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49C50" w14:textId="083BE40B" w:rsidR="00B627EA" w:rsidRPr="005D59A7" w:rsidRDefault="00972BEC" w:rsidP="00B627EA">
      <w:pPr>
        <w:bidi/>
        <w:spacing w:line="240" w:lineRule="auto"/>
        <w:ind w:hanging="283"/>
        <w:jc w:val="both"/>
        <w:rPr>
          <w:rFonts w:ascii="T" w:hAnsi="T" w:cstheme="majorBidi"/>
          <w:b/>
          <w:bCs/>
          <w:color w:val="548DD4" w:themeColor="text2" w:themeTint="99"/>
          <w:sz w:val="40"/>
          <w:szCs w:val="40"/>
          <w:rtl/>
        </w:rPr>
      </w:pPr>
      <w:bookmarkStart w:id="0" w:name="_Hlk225823442"/>
      <w:r w:rsidRPr="002D6703">
        <w:rPr>
          <w:rFonts w:asciiTheme="majorBidi" w:hAnsiTheme="majorBidi" w:cstheme="majorBidi"/>
          <w:b/>
          <w:noProof/>
          <w:sz w:val="20"/>
        </w:rPr>
        <w:drawing>
          <wp:anchor distT="0" distB="0" distL="114300" distR="114300" simplePos="0" relativeHeight="251658752" behindDoc="0" locked="0" layoutInCell="1" allowOverlap="1" wp14:anchorId="54ED0BD0" wp14:editId="1B411BA5">
            <wp:simplePos x="0" y="0"/>
            <wp:positionH relativeFrom="margin">
              <wp:posOffset>1979930</wp:posOffset>
            </wp:positionH>
            <wp:positionV relativeFrom="margin">
              <wp:posOffset>-355600</wp:posOffset>
            </wp:positionV>
            <wp:extent cx="1516380" cy="666750"/>
            <wp:effectExtent l="19050" t="0" r="762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750"/>
                    </a:xfrm>
                    <a:prstGeom prst="rect">
                      <a:avLst/>
                    </a:prstGeom>
                  </pic:spPr>
                </pic:pic>
              </a:graphicData>
            </a:graphic>
          </wp:anchor>
        </w:drawing>
      </w:r>
    </w:p>
    <w:p w14:paraId="04BD89F3" w14:textId="0CFE0614" w:rsidR="00B627EA" w:rsidRPr="005D59A7" w:rsidRDefault="00B627EA" w:rsidP="00B627EA">
      <w:pPr>
        <w:pStyle w:val="NormalWeb"/>
        <w:bidi/>
        <w:spacing w:before="0" w:beforeAutospacing="0" w:after="0" w:afterAutospacing="0"/>
        <w:ind w:right="-270"/>
        <w:rPr>
          <w:rFonts w:ascii="T" w:hAnsi="T" w:cstheme="majorBidi"/>
          <w:b/>
          <w:bCs/>
          <w:color w:val="0000FF"/>
          <w:sz w:val="32"/>
          <w:szCs w:val="32"/>
        </w:rPr>
      </w:pPr>
    </w:p>
    <w:p w14:paraId="7661DD81" w14:textId="77777777" w:rsidR="00B627EA" w:rsidRPr="005D59A7" w:rsidRDefault="00B627EA" w:rsidP="00B627EA">
      <w:pPr>
        <w:bidi/>
        <w:jc w:val="center"/>
        <w:rPr>
          <w:rFonts w:ascii="T" w:hAnsi="T" w:cs="Simplified Arabic"/>
          <w:b/>
          <w:bCs/>
          <w:sz w:val="24"/>
          <w:szCs w:val="24"/>
        </w:rPr>
      </w:pPr>
      <w:r w:rsidRPr="005D59A7">
        <w:rPr>
          <w:rFonts w:ascii="T" w:hAnsi="T" w:cs="Simplified Arabic"/>
          <w:b/>
          <w:bCs/>
          <w:sz w:val="24"/>
          <w:szCs w:val="24"/>
          <w:rtl/>
        </w:rPr>
        <w:t>مشروع أطروحة لتسجيل درجة الدكتوراه في</w:t>
      </w:r>
      <w:r w:rsidRPr="005D59A7">
        <w:rPr>
          <w:rFonts w:ascii="T" w:hAnsi="T" w:cs="Simplified Arabic"/>
          <w:b/>
          <w:bCs/>
          <w:sz w:val="24"/>
          <w:szCs w:val="24"/>
        </w:rPr>
        <w:t xml:space="preserve"> </w:t>
      </w:r>
      <w:r w:rsidRPr="005D59A7">
        <w:rPr>
          <w:rFonts w:ascii="T" w:hAnsi="T" w:cs="Simplified Arabic"/>
          <w:b/>
          <w:bCs/>
          <w:sz w:val="24"/>
          <w:szCs w:val="24"/>
          <w:rtl/>
        </w:rPr>
        <w:t>الإدارة</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130"/>
        <w:gridCol w:w="270"/>
      </w:tblGrid>
      <w:tr w:rsidR="00B627EA" w:rsidRPr="005D59A7" w14:paraId="2972832D" w14:textId="77777777" w:rsidTr="007E5DDA">
        <w:tc>
          <w:tcPr>
            <w:tcW w:w="8130" w:type="dxa"/>
            <w:tcBorders>
              <w:top w:val="nil"/>
              <w:left w:val="nil"/>
              <w:bottom w:val="nil"/>
              <w:right w:val="nil"/>
            </w:tcBorders>
            <w:vAlign w:val="center"/>
            <w:hideMark/>
          </w:tcPr>
          <w:p w14:paraId="237BA0D7" w14:textId="77777777" w:rsidR="00B627EA" w:rsidRPr="005D59A7" w:rsidRDefault="00B627EA" w:rsidP="007E5DDA">
            <w:pPr>
              <w:spacing w:after="0" w:line="240" w:lineRule="auto"/>
              <w:jc w:val="center"/>
              <w:rPr>
                <w:rFonts w:ascii="T" w:eastAsia="Times New Roman" w:hAnsi="T" w:cstheme="majorBidi"/>
                <w:b/>
                <w:bCs/>
                <w:sz w:val="24"/>
                <w:szCs w:val="24"/>
              </w:rPr>
            </w:pPr>
            <w:r w:rsidRPr="005D59A7">
              <w:rPr>
                <w:rFonts w:ascii="T" w:eastAsia="Times New Roman" w:hAnsi="T" w:cstheme="majorBidi"/>
                <w:b/>
                <w:bCs/>
                <w:color w:val="000000"/>
                <w:sz w:val="24"/>
              </w:rPr>
              <w:t>Submitted to Mid ocean University in partial fulfillment of the requirements for the degree of Doctor of Management</w:t>
            </w:r>
          </w:p>
        </w:tc>
        <w:tc>
          <w:tcPr>
            <w:tcW w:w="270" w:type="dxa"/>
            <w:tcBorders>
              <w:top w:val="nil"/>
              <w:left w:val="nil"/>
              <w:bottom w:val="nil"/>
              <w:right w:val="nil"/>
            </w:tcBorders>
            <w:vAlign w:val="center"/>
            <w:hideMark/>
          </w:tcPr>
          <w:p w14:paraId="58D61F10" w14:textId="77777777" w:rsidR="00B627EA" w:rsidRPr="005D59A7" w:rsidRDefault="00B627EA" w:rsidP="007E5DDA">
            <w:pPr>
              <w:spacing w:after="0" w:line="240" w:lineRule="auto"/>
              <w:rPr>
                <w:rFonts w:ascii="T" w:eastAsia="Times New Roman" w:hAnsi="T" w:cs="Times New Roman"/>
                <w:sz w:val="24"/>
                <w:szCs w:val="24"/>
              </w:rPr>
            </w:pPr>
            <w:r w:rsidRPr="005D59A7">
              <w:rPr>
                <w:rFonts w:ascii="Segoe UI Symbol" w:eastAsia="MS Mincho" w:hAnsi="Segoe UI Symbol" w:cs="Segoe UI Symbol"/>
                <w:color w:val="000000"/>
                <w:sz w:val="24"/>
              </w:rPr>
              <w:t>➢</w:t>
            </w:r>
          </w:p>
        </w:tc>
      </w:tr>
    </w:tbl>
    <w:p w14:paraId="291F3170" w14:textId="77777777" w:rsidR="00B627EA" w:rsidRPr="005D59A7" w:rsidRDefault="00B627EA" w:rsidP="00B627EA">
      <w:pPr>
        <w:bidi/>
        <w:rPr>
          <w:rFonts w:ascii="T" w:hAnsi="T" w:cstheme="majorBidi"/>
          <w:b/>
          <w:bCs/>
          <w:sz w:val="24"/>
          <w:szCs w:val="24"/>
          <w:rtl/>
        </w:rPr>
      </w:pPr>
    </w:p>
    <w:p w14:paraId="2CB8523B" w14:textId="77777777" w:rsidR="00B627EA" w:rsidRPr="005D59A7" w:rsidRDefault="00B627EA" w:rsidP="00B627EA">
      <w:pPr>
        <w:pStyle w:val="NormalWeb"/>
        <w:bidi/>
        <w:spacing w:before="0" w:beforeAutospacing="0" w:after="0" w:afterAutospacing="0"/>
        <w:ind w:right="-270"/>
        <w:jc w:val="both"/>
        <w:rPr>
          <w:rFonts w:ascii="T" w:hAnsi="T" w:cstheme="majorBidi"/>
          <w:b/>
          <w:bCs/>
          <w:color w:val="0000FF"/>
          <w:sz w:val="32"/>
          <w:szCs w:val="32"/>
          <w:rtl/>
          <w:lang w:bidi="ar-JO"/>
        </w:rPr>
      </w:pPr>
    </w:p>
    <w:p w14:paraId="36377248" w14:textId="77777777" w:rsidR="00B627EA" w:rsidRPr="005D59A7" w:rsidRDefault="00B627EA" w:rsidP="00B627EA">
      <w:pPr>
        <w:spacing w:line="360" w:lineRule="auto"/>
        <w:jc w:val="right"/>
        <w:rPr>
          <w:rFonts w:ascii="T" w:hAnsi="T" w:cs="Simplified Arabic"/>
          <w:b/>
          <w:bCs/>
          <w:noProof/>
          <w:sz w:val="28"/>
          <w:szCs w:val="28"/>
          <w:rtl/>
        </w:rPr>
      </w:pPr>
      <w:r w:rsidRPr="005D59A7">
        <w:rPr>
          <w:rFonts w:ascii="T" w:hAnsi="T" w:cs="Simplified Arabic"/>
          <w:b/>
          <w:bCs/>
          <w:noProof/>
          <w:sz w:val="28"/>
          <w:szCs w:val="28"/>
          <w:rtl/>
        </w:rPr>
        <w:t>العنوان باللغة العربية:</w:t>
      </w:r>
    </w:p>
    <w:p w14:paraId="08280DA0" w14:textId="77777777" w:rsidR="00B627EA" w:rsidRPr="005D59A7" w:rsidRDefault="00B627EA" w:rsidP="00B627EA">
      <w:pPr>
        <w:spacing w:line="240" w:lineRule="auto"/>
        <w:jc w:val="center"/>
        <w:rPr>
          <w:rFonts w:ascii="T" w:hAnsi="T" w:cs="Simplified Arabic"/>
          <w:b/>
          <w:bCs/>
          <w:color w:val="1F497D" w:themeColor="text2"/>
          <w:sz w:val="36"/>
          <w:szCs w:val="36"/>
          <w:rtl/>
        </w:rPr>
      </w:pPr>
      <w:r w:rsidRPr="005D59A7">
        <w:rPr>
          <w:rFonts w:ascii="T" w:hAnsi="T" w:cs="Simplified Arabic"/>
          <w:b/>
          <w:bCs/>
          <w:color w:val="1F497D" w:themeColor="text2"/>
          <w:sz w:val="36"/>
          <w:szCs w:val="36"/>
          <w:rtl/>
        </w:rPr>
        <w:t>تحليل واقع الشراكات بين القطاعين العام والخاص في قطاع البيئة وتطوير نموذج مقترح للحوكمة البيئية وإدارة الأداء في المملكة العربية السعودية (دراسة حالة للتفتيش البيئي)</w:t>
      </w:r>
    </w:p>
    <w:p w14:paraId="039F61F6" w14:textId="77777777" w:rsidR="00B627EA" w:rsidRPr="005D59A7" w:rsidRDefault="00B627EA" w:rsidP="00B627EA">
      <w:pPr>
        <w:spacing w:line="360" w:lineRule="auto"/>
        <w:ind w:left="534" w:hanging="340"/>
        <w:jc w:val="right"/>
        <w:rPr>
          <w:rFonts w:ascii="T" w:hAnsi="T" w:cs="Simplified Arabic"/>
          <w:b/>
          <w:bCs/>
          <w:noProof/>
          <w:sz w:val="20"/>
          <w:szCs w:val="20"/>
          <w:rtl/>
        </w:rPr>
      </w:pPr>
      <w:r w:rsidRPr="005D59A7">
        <w:rPr>
          <w:rFonts w:ascii="T" w:hAnsi="T" w:cs="Simplified Arabic"/>
          <w:b/>
          <w:bCs/>
          <w:noProof/>
          <w:sz w:val="20"/>
          <w:szCs w:val="28"/>
          <w:rtl/>
        </w:rPr>
        <w:t xml:space="preserve">العنوان </w:t>
      </w:r>
      <w:r w:rsidRPr="005D59A7">
        <w:rPr>
          <w:rFonts w:ascii="T" w:hAnsi="T" w:cs="Simplified Arabic"/>
          <w:b/>
          <w:bCs/>
          <w:noProof/>
          <w:sz w:val="28"/>
          <w:szCs w:val="28"/>
          <w:rtl/>
        </w:rPr>
        <w:t>باللغة الإنجليزية:</w:t>
      </w:r>
    </w:p>
    <w:p w14:paraId="147DBBA3" w14:textId="77777777" w:rsidR="00B627EA" w:rsidRPr="005D59A7" w:rsidRDefault="00B627EA" w:rsidP="00B627EA">
      <w:pPr>
        <w:pStyle w:val="NormalWeb"/>
        <w:bidi/>
        <w:spacing w:before="0" w:beforeAutospacing="0" w:after="0" w:afterAutospacing="0"/>
        <w:ind w:right="-270"/>
        <w:jc w:val="center"/>
        <w:rPr>
          <w:rFonts w:ascii="T" w:hAnsi="T" w:cstheme="majorBidi"/>
          <w:b/>
          <w:bCs/>
          <w:color w:val="0070C0"/>
          <w:sz w:val="28"/>
          <w:szCs w:val="32"/>
        </w:rPr>
      </w:pPr>
      <w:r w:rsidRPr="005D59A7">
        <w:rPr>
          <w:rFonts w:ascii="T" w:eastAsiaTheme="minorHAnsi" w:hAnsi="T" w:cstheme="majorBidi"/>
          <w:b/>
          <w:bCs/>
          <w:color w:val="1F497D" w:themeColor="text2"/>
          <w:sz w:val="36"/>
          <w:szCs w:val="36"/>
        </w:rPr>
        <w:t>ANALYZING THE REALITY OF PUBLIC-PRIVATE PARTNERSHIPS PPP IN THE ENVIRONMENTAL SECTOR AND DEVELOPING A PROPSAL MODEL FOR ENVIRONMENTAL GOVERNANCE AND PERFORMANCE MANAGEMENT IN SAUDI ARABIA (A CASE STUDY OF ENVIRONMENTAL INSPECTION)</w:t>
      </w:r>
    </w:p>
    <w:p w14:paraId="36942891" w14:textId="77777777" w:rsidR="00B627EA" w:rsidRPr="005D59A7" w:rsidRDefault="00B627EA" w:rsidP="00B627EA">
      <w:pPr>
        <w:pStyle w:val="NormalWeb"/>
        <w:bidi/>
        <w:spacing w:before="0" w:beforeAutospacing="0" w:after="0" w:afterAutospacing="0"/>
        <w:ind w:right="-270"/>
        <w:jc w:val="center"/>
        <w:rPr>
          <w:rFonts w:ascii="T" w:hAnsi="T" w:cstheme="majorBidi"/>
          <w:b/>
          <w:bCs/>
          <w:color w:val="0070C0"/>
          <w:sz w:val="36"/>
          <w:szCs w:val="36"/>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1"/>
        <w:gridCol w:w="5593"/>
      </w:tblGrid>
      <w:tr w:rsidR="00B627EA" w:rsidRPr="005D59A7" w14:paraId="72CF4286" w14:textId="77777777" w:rsidTr="007E5DDA">
        <w:trPr>
          <w:jc w:val="center"/>
        </w:trPr>
        <w:tc>
          <w:tcPr>
            <w:tcW w:w="1930" w:type="dxa"/>
          </w:tcPr>
          <w:p w14:paraId="6CE52009"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28"/>
                <w:szCs w:val="28"/>
                <w:rtl/>
              </w:rPr>
            </w:pPr>
            <w:r w:rsidRPr="005D59A7">
              <w:rPr>
                <w:rFonts w:ascii="T" w:hAnsi="T" w:cs="Simplified Arabic"/>
                <w:b/>
                <w:bCs/>
                <w:color w:val="000000" w:themeColor="text1"/>
                <w:sz w:val="28"/>
                <w:szCs w:val="28"/>
                <w:rtl/>
              </w:rPr>
              <w:t>اسم الباحث</w:t>
            </w:r>
          </w:p>
          <w:p w14:paraId="2D0ADF8C"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rPr>
            </w:pPr>
            <w:r w:rsidRPr="005D59A7">
              <w:rPr>
                <w:rFonts w:ascii="T" w:hAnsi="T" w:cs="Simplified Arabic"/>
                <w:b/>
                <w:bCs/>
                <w:color w:val="000000" w:themeColor="text1"/>
                <w:rtl/>
              </w:rPr>
              <w:t>دولة الباحث</w:t>
            </w:r>
          </w:p>
          <w:p w14:paraId="152ED57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28"/>
                <w:szCs w:val="28"/>
                <w:rtl/>
              </w:rPr>
              <w:t xml:space="preserve">اسم الجامعة       </w:t>
            </w:r>
          </w:p>
        </w:tc>
        <w:tc>
          <w:tcPr>
            <w:tcW w:w="270" w:type="dxa"/>
          </w:tcPr>
          <w:p w14:paraId="40BF839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36"/>
                <w:szCs w:val="36"/>
                <w:rtl/>
              </w:rPr>
              <w:t>:</w:t>
            </w:r>
          </w:p>
        </w:tc>
        <w:tc>
          <w:tcPr>
            <w:tcW w:w="5593" w:type="dxa"/>
          </w:tcPr>
          <w:p w14:paraId="0E27A6B3"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32"/>
                <w:szCs w:val="32"/>
                <w:rtl/>
              </w:rPr>
            </w:pPr>
            <w:r w:rsidRPr="005D59A7">
              <w:rPr>
                <w:rFonts w:ascii="T" w:hAnsi="T" w:cs="Simplified Arabic"/>
                <w:b/>
                <w:bCs/>
                <w:color w:val="1F497D" w:themeColor="text2"/>
                <w:sz w:val="28"/>
                <w:szCs w:val="28"/>
                <w:rtl/>
              </w:rPr>
              <w:t>عادل علي حماص</w:t>
            </w:r>
          </w:p>
          <w:p w14:paraId="2232E40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rtl/>
              </w:rPr>
            </w:pPr>
            <w:r w:rsidRPr="005D59A7">
              <w:rPr>
                <w:rFonts w:ascii="T" w:hAnsi="T" w:cs="Simplified Arabic"/>
                <w:b/>
                <w:bCs/>
                <w:color w:val="1F497D" w:themeColor="text2"/>
                <w:rtl/>
              </w:rPr>
              <w:t>المملكة العربية السعودية</w:t>
            </w:r>
          </w:p>
          <w:p w14:paraId="15622FC5"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28"/>
                <w:szCs w:val="28"/>
                <w:rtl/>
              </w:rPr>
            </w:pPr>
            <w:r w:rsidRPr="005D59A7">
              <w:rPr>
                <w:rFonts w:ascii="T" w:hAnsi="T" w:cs="Simplified Arabic"/>
                <w:b/>
                <w:bCs/>
                <w:color w:val="1F497D" w:themeColor="text2"/>
                <w:sz w:val="28"/>
                <w:szCs w:val="28"/>
                <w:rtl/>
              </w:rPr>
              <w:t>جامعة ميد أوشن</w:t>
            </w:r>
          </w:p>
        </w:tc>
      </w:tr>
      <w:tr w:rsidR="00B627EA" w:rsidRPr="005D59A7" w14:paraId="768562B4" w14:textId="77777777" w:rsidTr="007E5DDA">
        <w:trPr>
          <w:jc w:val="center"/>
        </w:trPr>
        <w:tc>
          <w:tcPr>
            <w:tcW w:w="1930" w:type="dxa"/>
          </w:tcPr>
          <w:p w14:paraId="14380418"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2"/>
                <w:szCs w:val="32"/>
                <w:rtl/>
              </w:rPr>
            </w:pPr>
            <w:r w:rsidRPr="005D59A7">
              <w:rPr>
                <w:rFonts w:ascii="T" w:hAnsi="T" w:cs="Simplified Arabic"/>
                <w:b/>
                <w:bCs/>
                <w:color w:val="000000" w:themeColor="text1"/>
                <w:sz w:val="28"/>
                <w:szCs w:val="28"/>
                <w:rtl/>
              </w:rPr>
              <w:t>الرقم الجامعي</w:t>
            </w:r>
          </w:p>
        </w:tc>
        <w:tc>
          <w:tcPr>
            <w:tcW w:w="270" w:type="dxa"/>
          </w:tcPr>
          <w:p w14:paraId="4401D879"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2"/>
                <w:szCs w:val="32"/>
                <w:rtl/>
              </w:rPr>
            </w:pPr>
            <w:r w:rsidRPr="005D59A7">
              <w:rPr>
                <w:rFonts w:ascii="T" w:hAnsi="T" w:cs="Simplified Arabic"/>
                <w:b/>
                <w:bCs/>
                <w:color w:val="000000" w:themeColor="text1"/>
                <w:sz w:val="32"/>
                <w:szCs w:val="32"/>
                <w:rtl/>
              </w:rPr>
              <w:t>:</w:t>
            </w:r>
          </w:p>
        </w:tc>
        <w:tc>
          <w:tcPr>
            <w:tcW w:w="5593" w:type="dxa"/>
          </w:tcPr>
          <w:p w14:paraId="15DA65F0"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36"/>
                <w:szCs w:val="36"/>
                <w:rtl/>
              </w:rPr>
            </w:pPr>
            <w:r w:rsidRPr="005D59A7">
              <w:rPr>
                <w:rFonts w:ascii="T" w:hAnsi="T" w:cs="Simplified Arabic"/>
                <w:b/>
                <w:bCs/>
                <w:color w:val="1F497D" w:themeColor="text2"/>
                <w:sz w:val="28"/>
                <w:szCs w:val="28"/>
                <w:rtl/>
              </w:rPr>
              <w:t>242001104</w:t>
            </w:r>
          </w:p>
        </w:tc>
      </w:tr>
      <w:tr w:rsidR="00B627EA" w:rsidRPr="005D59A7" w14:paraId="658FFA91" w14:textId="77777777" w:rsidTr="007E5DDA">
        <w:trPr>
          <w:jc w:val="center"/>
        </w:trPr>
        <w:tc>
          <w:tcPr>
            <w:tcW w:w="1930" w:type="dxa"/>
          </w:tcPr>
          <w:p w14:paraId="76288E45"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rPr>
            </w:pPr>
            <w:r w:rsidRPr="005D59A7">
              <w:rPr>
                <w:rFonts w:ascii="T" w:hAnsi="T" w:cs="Simplified Arabic"/>
                <w:b/>
                <w:bCs/>
                <w:color w:val="000000" w:themeColor="text1"/>
                <w:rtl/>
              </w:rPr>
              <w:t>الكلية</w:t>
            </w:r>
          </w:p>
          <w:p w14:paraId="0CE6E91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rtl/>
              </w:rPr>
              <w:t>التخصص</w:t>
            </w:r>
          </w:p>
        </w:tc>
        <w:tc>
          <w:tcPr>
            <w:tcW w:w="270" w:type="dxa"/>
          </w:tcPr>
          <w:p w14:paraId="1188490F"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36"/>
                <w:szCs w:val="36"/>
                <w:rtl/>
              </w:rPr>
              <w:t>:</w:t>
            </w:r>
          </w:p>
        </w:tc>
        <w:tc>
          <w:tcPr>
            <w:tcW w:w="5593" w:type="dxa"/>
          </w:tcPr>
          <w:p w14:paraId="34677F0B"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rtl/>
              </w:rPr>
            </w:pPr>
            <w:r w:rsidRPr="005D59A7">
              <w:rPr>
                <w:rFonts w:ascii="T" w:hAnsi="T" w:cs="Simplified Arabic"/>
                <w:b/>
                <w:bCs/>
                <w:color w:val="1F497D" w:themeColor="text2"/>
                <w:rtl/>
              </w:rPr>
              <w:t>كلية الإدارة</w:t>
            </w:r>
          </w:p>
          <w:p w14:paraId="0181A47D"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36"/>
                <w:szCs w:val="36"/>
                <w:rtl/>
              </w:rPr>
            </w:pPr>
            <w:r w:rsidRPr="005D59A7">
              <w:rPr>
                <w:rFonts w:ascii="T" w:hAnsi="T" w:cs="Simplified Arabic"/>
                <w:b/>
                <w:bCs/>
                <w:color w:val="1F497D" w:themeColor="text2"/>
                <w:rtl/>
              </w:rPr>
              <w:t>إدارة بيئية</w:t>
            </w:r>
          </w:p>
        </w:tc>
      </w:tr>
      <w:tr w:rsidR="00B627EA" w:rsidRPr="005D59A7" w14:paraId="1A47E656" w14:textId="77777777" w:rsidTr="007E5DDA">
        <w:trPr>
          <w:jc w:val="center"/>
        </w:trPr>
        <w:tc>
          <w:tcPr>
            <w:tcW w:w="1930" w:type="dxa"/>
          </w:tcPr>
          <w:p w14:paraId="5F8C7E7E" w14:textId="77777777" w:rsidR="00B627EA" w:rsidRPr="005D59A7" w:rsidRDefault="00B627EA" w:rsidP="007E5DDA">
            <w:pPr>
              <w:pStyle w:val="NormalWeb"/>
              <w:bidi/>
              <w:spacing w:before="0" w:beforeAutospacing="0" w:after="0" w:afterAutospacing="0"/>
              <w:ind w:right="-270"/>
              <w:rPr>
                <w:rFonts w:ascii="T" w:hAnsi="T" w:cstheme="majorBidi"/>
                <w:b/>
                <w:bCs/>
                <w:color w:val="000000" w:themeColor="text1"/>
                <w:sz w:val="36"/>
                <w:szCs w:val="36"/>
                <w:rtl/>
              </w:rPr>
            </w:pPr>
          </w:p>
        </w:tc>
        <w:tc>
          <w:tcPr>
            <w:tcW w:w="270" w:type="dxa"/>
          </w:tcPr>
          <w:p w14:paraId="2BDD89B5" w14:textId="77777777" w:rsidR="00B627EA" w:rsidRPr="005D59A7" w:rsidRDefault="00B627EA" w:rsidP="007E5DDA">
            <w:pPr>
              <w:pStyle w:val="NormalWeb"/>
              <w:bidi/>
              <w:spacing w:before="0" w:beforeAutospacing="0" w:after="0" w:afterAutospacing="0"/>
              <w:ind w:right="-270"/>
              <w:rPr>
                <w:rFonts w:ascii="T" w:hAnsi="T" w:cstheme="majorBidi"/>
                <w:b/>
                <w:bCs/>
                <w:color w:val="000000" w:themeColor="text1"/>
                <w:sz w:val="36"/>
                <w:szCs w:val="36"/>
                <w:rtl/>
              </w:rPr>
            </w:pPr>
          </w:p>
        </w:tc>
        <w:tc>
          <w:tcPr>
            <w:tcW w:w="5593" w:type="dxa"/>
          </w:tcPr>
          <w:p w14:paraId="6CF8A7BD" w14:textId="77777777" w:rsidR="00B627EA" w:rsidRPr="005D59A7" w:rsidRDefault="00B627EA" w:rsidP="007E5DDA">
            <w:pPr>
              <w:pStyle w:val="NormalWeb"/>
              <w:bidi/>
              <w:spacing w:before="0" w:beforeAutospacing="0" w:after="0" w:afterAutospacing="0"/>
              <w:ind w:right="-270"/>
              <w:rPr>
                <w:rFonts w:ascii="T" w:hAnsi="T" w:cstheme="majorBidi"/>
                <w:b/>
                <w:bCs/>
                <w:color w:val="0000FF"/>
                <w:sz w:val="36"/>
                <w:szCs w:val="36"/>
                <w:rtl/>
              </w:rPr>
            </w:pPr>
          </w:p>
        </w:tc>
      </w:tr>
    </w:tbl>
    <w:p w14:paraId="535C41A4" w14:textId="1C0321DA" w:rsidR="00B627EA" w:rsidRPr="005D59A7" w:rsidRDefault="00B627EA" w:rsidP="00B627EA">
      <w:pPr>
        <w:spacing w:line="240" w:lineRule="auto"/>
        <w:rPr>
          <w:rFonts w:ascii="T" w:hAnsi="T" w:cstheme="majorBidi"/>
          <w:noProof/>
          <w:rtl/>
          <w:lang w:bidi="ar-JO"/>
        </w:rPr>
      </w:pPr>
    </w:p>
    <w:p w14:paraId="154F0699" w14:textId="162E3517" w:rsidR="00B627EA" w:rsidRPr="005D59A7" w:rsidRDefault="00B627EA" w:rsidP="00B627EA">
      <w:pPr>
        <w:jc w:val="center"/>
        <w:rPr>
          <w:rFonts w:ascii="T" w:hAnsi="T" w:cs="Simplified Arabic"/>
          <w:b/>
          <w:bCs/>
          <w:color w:val="000000" w:themeColor="text1"/>
          <w:sz w:val="24"/>
          <w:szCs w:val="24"/>
          <w:rtl/>
        </w:rPr>
      </w:pPr>
      <w:r w:rsidRPr="005D59A7">
        <w:rPr>
          <w:rFonts w:ascii="T" w:hAnsi="T" w:cs="Simplified Arabic"/>
          <w:b/>
          <w:bCs/>
          <w:color w:val="000000" w:themeColor="text1"/>
          <w:sz w:val="24"/>
          <w:szCs w:val="24"/>
          <w:rtl/>
        </w:rPr>
        <w:t>144</w:t>
      </w:r>
      <w:r w:rsidR="00B477A9">
        <w:rPr>
          <w:rFonts w:ascii="T" w:hAnsi="T" w:cs="Simplified Arabic" w:hint="cs"/>
          <w:b/>
          <w:bCs/>
          <w:color w:val="000000" w:themeColor="text1"/>
          <w:sz w:val="24"/>
          <w:szCs w:val="24"/>
          <w:rtl/>
        </w:rPr>
        <w:t>8</w:t>
      </w:r>
      <w:r w:rsidRPr="005D59A7">
        <w:rPr>
          <w:rFonts w:ascii="T" w:hAnsi="T" w:cs="Simplified Arabic"/>
          <w:b/>
          <w:bCs/>
          <w:color w:val="000000" w:themeColor="text1"/>
          <w:sz w:val="24"/>
          <w:szCs w:val="24"/>
          <w:rtl/>
        </w:rPr>
        <w:t>هـ  -  202</w:t>
      </w:r>
      <w:r w:rsidR="00B477A9">
        <w:rPr>
          <w:rFonts w:ascii="T" w:hAnsi="T" w:cs="Simplified Arabic" w:hint="cs"/>
          <w:b/>
          <w:bCs/>
          <w:color w:val="000000" w:themeColor="text1"/>
          <w:sz w:val="24"/>
          <w:szCs w:val="24"/>
          <w:rtl/>
        </w:rPr>
        <w:t>6</w:t>
      </w:r>
      <w:r w:rsidRPr="005D59A7">
        <w:rPr>
          <w:rFonts w:ascii="T" w:hAnsi="T" w:cs="Simplified Arabic"/>
          <w:b/>
          <w:bCs/>
          <w:color w:val="000000" w:themeColor="text1"/>
          <w:sz w:val="24"/>
          <w:szCs w:val="24"/>
          <w:rtl/>
        </w:rPr>
        <w:t>م</w:t>
      </w:r>
    </w:p>
    <w:p w14:paraId="13BCE324" w14:textId="77777777" w:rsidR="00B627EA" w:rsidRPr="005D59A7" w:rsidRDefault="00B627EA" w:rsidP="00B627EA">
      <w:pPr>
        <w:bidi/>
        <w:jc w:val="center"/>
        <w:rPr>
          <w:rFonts w:ascii="T" w:hAnsi="T" w:cs="Simplified Arabic"/>
          <w:b/>
          <w:bCs/>
          <w:color w:val="000000" w:themeColor="text1"/>
          <w:sz w:val="32"/>
          <w:szCs w:val="32"/>
          <w:rtl/>
        </w:rPr>
      </w:pPr>
    </w:p>
    <w:p w14:paraId="5062A176" w14:textId="77777777" w:rsidR="00B627EA" w:rsidRPr="005D59A7" w:rsidRDefault="00B627EA" w:rsidP="00B627EA">
      <w:pPr>
        <w:bidi/>
        <w:jc w:val="center"/>
        <w:rPr>
          <w:rFonts w:ascii="T" w:hAnsi="T" w:cs="Simplified Arabic"/>
          <w:b/>
          <w:bCs/>
          <w:color w:val="000000" w:themeColor="text1"/>
          <w:sz w:val="32"/>
          <w:szCs w:val="32"/>
        </w:rPr>
      </w:pPr>
      <w:r w:rsidRPr="005D59A7">
        <w:rPr>
          <w:rFonts w:ascii="T" w:hAnsi="T" w:cs="Simplified Arabic"/>
          <w:b/>
          <w:bCs/>
          <w:noProof/>
          <w:color w:val="000000" w:themeColor="text1"/>
          <w:sz w:val="32"/>
          <w:szCs w:val="32"/>
        </w:rPr>
        <w:drawing>
          <wp:inline distT="0" distB="0" distL="0" distR="0" wp14:anchorId="3F4191C5" wp14:editId="754923E1">
            <wp:extent cx="4121150" cy="4066076"/>
            <wp:effectExtent l="0" t="0" r="0" b="0"/>
            <wp:docPr id="5289539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28422" cy="4073251"/>
                    </a:xfrm>
                    <a:prstGeom prst="rect">
                      <a:avLst/>
                    </a:prstGeom>
                    <a:noFill/>
                    <a:ln>
                      <a:noFill/>
                    </a:ln>
                  </pic:spPr>
                </pic:pic>
              </a:graphicData>
            </a:graphic>
          </wp:inline>
        </w:drawing>
      </w:r>
    </w:p>
    <w:p w14:paraId="72D90D59" w14:textId="77777777" w:rsidR="00B627EA" w:rsidRPr="005D59A7" w:rsidRDefault="00B627EA" w:rsidP="00B627EA">
      <w:pPr>
        <w:bidi/>
        <w:jc w:val="center"/>
        <w:rPr>
          <w:rFonts w:ascii="T" w:hAnsi="T" w:cs="Simplified Arabic"/>
          <w:b/>
          <w:bCs/>
          <w:color w:val="000000" w:themeColor="text1"/>
          <w:sz w:val="32"/>
          <w:szCs w:val="32"/>
          <w:rtl/>
        </w:rPr>
      </w:pPr>
      <w:r w:rsidRPr="005D59A7">
        <w:rPr>
          <w:rFonts w:ascii="T" w:hAnsi="T" w:cs="Simplified Arabic"/>
          <w:b/>
          <w:bCs/>
          <w:color w:val="000000" w:themeColor="text1"/>
          <w:sz w:val="32"/>
          <w:szCs w:val="32"/>
          <w:rtl/>
        </w:rPr>
        <w:t>صدق الله العظيم</w:t>
      </w:r>
    </w:p>
    <w:p w14:paraId="0BE1F53D" w14:textId="77777777" w:rsidR="00B627EA" w:rsidRPr="005D59A7" w:rsidRDefault="00B627EA" w:rsidP="00B627EA">
      <w:pPr>
        <w:bidi/>
        <w:rPr>
          <w:rFonts w:ascii="T" w:hAnsi="T" w:cs="Simplified Arabic"/>
          <w:b/>
          <w:bCs/>
          <w:color w:val="000000" w:themeColor="text1"/>
          <w:sz w:val="36"/>
          <w:szCs w:val="36"/>
          <w:rtl/>
        </w:rPr>
      </w:pPr>
    </w:p>
    <w:p w14:paraId="7689D9D5" w14:textId="77777777" w:rsidR="00B627EA" w:rsidRPr="005D59A7" w:rsidRDefault="00B627EA" w:rsidP="00B627EA">
      <w:pPr>
        <w:bidi/>
        <w:rPr>
          <w:rFonts w:ascii="T" w:hAnsi="T" w:cs="Simplified Arabic"/>
          <w:b/>
          <w:bCs/>
          <w:color w:val="000000" w:themeColor="text1"/>
          <w:sz w:val="36"/>
          <w:szCs w:val="36"/>
          <w:rtl/>
        </w:rPr>
      </w:pPr>
    </w:p>
    <w:p w14:paraId="2176B4D2" w14:textId="77777777" w:rsidR="00B627EA" w:rsidRPr="005D59A7" w:rsidRDefault="00B627EA" w:rsidP="00B627EA">
      <w:pPr>
        <w:bidi/>
        <w:rPr>
          <w:rFonts w:ascii="T" w:hAnsi="T" w:cs="Simplified Arabic"/>
          <w:b/>
          <w:bCs/>
          <w:color w:val="000000" w:themeColor="text1"/>
          <w:sz w:val="36"/>
          <w:szCs w:val="36"/>
          <w:rtl/>
        </w:rPr>
      </w:pPr>
    </w:p>
    <w:p w14:paraId="62039A41" w14:textId="77777777" w:rsidR="00B627EA" w:rsidRPr="005D59A7" w:rsidRDefault="00B627EA" w:rsidP="00B627EA">
      <w:pPr>
        <w:bidi/>
        <w:rPr>
          <w:rFonts w:ascii="T" w:hAnsi="T" w:cs="Simplified Arabic"/>
          <w:b/>
          <w:bCs/>
          <w:color w:val="000000" w:themeColor="text1"/>
          <w:sz w:val="36"/>
          <w:szCs w:val="36"/>
          <w:rtl/>
        </w:rPr>
      </w:pPr>
    </w:p>
    <w:p w14:paraId="034082B5" w14:textId="77777777" w:rsidR="004B1E9E" w:rsidRPr="005D59A7" w:rsidRDefault="004B1E9E" w:rsidP="00836D37">
      <w:pPr>
        <w:rPr>
          <w:rFonts w:ascii="T" w:hAnsi="T" w:cs="Simplified Arabic"/>
          <w:b/>
          <w:bCs/>
          <w:sz w:val="24"/>
          <w:szCs w:val="24"/>
        </w:rPr>
      </w:pPr>
    </w:p>
    <w:p w14:paraId="67CD0443" w14:textId="77777777" w:rsidR="00AA4673" w:rsidRPr="005D59A7" w:rsidRDefault="00AA4673" w:rsidP="00836D37">
      <w:pPr>
        <w:rPr>
          <w:rFonts w:ascii="T" w:hAnsi="T" w:cs="Simplified Arabic"/>
          <w:b/>
          <w:bCs/>
          <w:sz w:val="24"/>
          <w:szCs w:val="24"/>
        </w:rPr>
      </w:pPr>
    </w:p>
    <w:p w14:paraId="3256554B" w14:textId="77777777" w:rsidR="00AA4673" w:rsidRPr="005D59A7" w:rsidRDefault="00AA4673" w:rsidP="00836D37">
      <w:pPr>
        <w:rPr>
          <w:rFonts w:ascii="T" w:hAnsi="T" w:cs="Simplified Arabic"/>
          <w:b/>
          <w:bCs/>
          <w:sz w:val="24"/>
          <w:szCs w:val="24"/>
        </w:rPr>
      </w:pPr>
    </w:p>
    <w:p w14:paraId="349EABD6" w14:textId="77777777" w:rsidR="00AA4673" w:rsidRDefault="00AA4673" w:rsidP="00836D37">
      <w:pPr>
        <w:rPr>
          <w:rFonts w:ascii="T" w:hAnsi="T" w:cs="Simplified Arabic"/>
          <w:b/>
          <w:bCs/>
          <w:sz w:val="24"/>
          <w:szCs w:val="24"/>
        </w:rPr>
      </w:pPr>
    </w:p>
    <w:p w14:paraId="5AA2EA4F" w14:textId="77777777" w:rsidR="00344EDD" w:rsidRPr="005D59A7" w:rsidRDefault="00344EDD" w:rsidP="00836D37">
      <w:pPr>
        <w:rPr>
          <w:rFonts w:ascii="T" w:hAnsi="T" w:cs="Simplified Arabic"/>
          <w:b/>
          <w:bCs/>
          <w:sz w:val="24"/>
          <w:szCs w:val="24"/>
        </w:rPr>
      </w:pPr>
    </w:p>
    <w:p w14:paraId="1D59889C" w14:textId="77777777" w:rsidR="004B1E9E" w:rsidRPr="005D59A7" w:rsidRDefault="004B1E9E" w:rsidP="004B1E9E">
      <w:pPr>
        <w:spacing w:line="360" w:lineRule="auto"/>
        <w:jc w:val="center"/>
        <w:rPr>
          <w:rFonts w:ascii="T" w:eastAsia="Calibri" w:hAnsi="T" w:cs="Simplified Arabic"/>
          <w:b/>
          <w:bCs/>
          <w:sz w:val="16"/>
          <w:szCs w:val="16"/>
          <w:lang w:bidi="ar-EG"/>
        </w:rPr>
      </w:pPr>
      <w:r w:rsidRPr="005D59A7">
        <w:rPr>
          <w:rFonts w:ascii="T" w:eastAsia="Calibri" w:hAnsi="T" w:cs="Simplified Arabic"/>
          <w:b/>
          <w:bCs/>
          <w:sz w:val="28"/>
          <w:szCs w:val="28"/>
          <w:rtl/>
          <w:lang w:bidi="ar-SY"/>
        </w:rPr>
        <w:lastRenderedPageBreak/>
        <w:t>رسالة شكر</w:t>
      </w:r>
    </w:p>
    <w:p w14:paraId="01FA072F" w14:textId="4DEBE412"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بسم الله الرحمن الرحيم، قال تعالى في كتابه الكريم، (ومن يشكر فإنما يشكر لنفسه) أما بعد، فإني أحمد الله عز وجل حمداً كثيراُ طيباُ يملئ السماوات والأرض، وأشكره قبل كل شيء على ما أكرمني به من إتمام هذه الدراسة وأسأل الله أن تنفعني في ديني ودنياي وأنال بها رضاه. نحمده ونشكره كما ينبغي لجلال وجهه وعظيم سلطانه ونستغفره عدد خلقه ورضا نفسه وزنة عرشه ومداد كلماته ونسأله أن يتقبل منا أعمالنا واجتهادنا ويرضي بها عنا، ثم نصلي على أشرف الخلق سيدنا محمد صلى الله عليه وسلم وعلى آله وصحبه وسلم تسليماً كثيرا. </w:t>
      </w:r>
    </w:p>
    <w:p w14:paraId="6FF24607" w14:textId="77777777"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أتوجه بالشكر لإدارة الجامعة والتي تتمثل في مدير الجامعة الأستاذ الفاضل (.....) وعميد كلية (.....) ورئيس قسم (.....) أستاذي الفاضل الدكتور (........). </w:t>
      </w:r>
    </w:p>
    <w:p w14:paraId="3C755DFA" w14:textId="77777777"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كما أتوجه بالشكر إلى أستاذي الدكتور المسؤول عن رسالتي (......) والذي كان ولا زال الداعم الأول لي بعد الله عز وجل الأستاذ (......) المشرف العام على الرسالة. </w:t>
      </w:r>
    </w:p>
    <w:p w14:paraId="7DA30BB8" w14:textId="77777777"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أود أيضاً التوجه بخالص الشكر لكل الأساتذة الذين ساهموا ولو بالقليل من الدعم النفسي لي ومنهم الدكتور/الدكتورة (........) والشكر واجب لكل أساتذة التحكيم والسادة المناقشين لهذه الرسالة وشكراً لهم لقبول هذه المناقشة. </w:t>
      </w:r>
    </w:p>
    <w:p w14:paraId="7305921E" w14:textId="389B5C69"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أخيراً، لا يمكنني أن أنسى فضل ودور أهلي وزوجتي وأبنائي وأخوتي على دعمي طوال فترة البحث والتحضير لهذه المناقشة والشكر جائز لهم من بداية تعليمي على مدار كل المراحل التعليمية، فلولا وجودهم ودعمهم لما أكملت هذا العمل. </w:t>
      </w:r>
    </w:p>
    <w:p w14:paraId="3B34F565" w14:textId="79B707F1" w:rsidR="00A76C20" w:rsidRPr="005D59A7" w:rsidRDefault="00A76C20" w:rsidP="00A76C20">
      <w:pPr>
        <w:bidi/>
        <w:spacing w:line="360" w:lineRule="auto"/>
        <w:jc w:val="both"/>
        <w:rPr>
          <w:rFonts w:ascii="T" w:eastAsia="Calibri" w:hAnsi="T" w:cs="Sakkal Majalla"/>
          <w:sz w:val="28"/>
          <w:szCs w:val="28"/>
          <w:rtl/>
        </w:rPr>
      </w:pPr>
    </w:p>
    <w:p w14:paraId="7DB8AA19" w14:textId="30628389" w:rsidR="00A76C20" w:rsidRPr="005D59A7" w:rsidRDefault="00A76C20" w:rsidP="00A76C20">
      <w:pPr>
        <w:bidi/>
        <w:spacing w:line="360" w:lineRule="auto"/>
        <w:jc w:val="both"/>
        <w:rPr>
          <w:rFonts w:ascii="T" w:eastAsia="Calibri" w:hAnsi="T" w:cs="Sakkal Majalla"/>
          <w:sz w:val="28"/>
          <w:szCs w:val="28"/>
          <w:rtl/>
        </w:rPr>
      </w:pPr>
    </w:p>
    <w:p w14:paraId="4E5CDB63" w14:textId="5B593CC8" w:rsidR="00A76C20" w:rsidRPr="005D59A7" w:rsidRDefault="00A76C20" w:rsidP="00A76C20">
      <w:pPr>
        <w:bidi/>
        <w:spacing w:line="360" w:lineRule="auto"/>
        <w:jc w:val="both"/>
        <w:rPr>
          <w:rFonts w:ascii="T" w:eastAsia="Calibri" w:hAnsi="T" w:cs="Sakkal Majalla"/>
          <w:sz w:val="28"/>
          <w:szCs w:val="28"/>
          <w:rtl/>
        </w:rPr>
      </w:pPr>
    </w:p>
    <w:p w14:paraId="1FD03980" w14:textId="7A4EE633" w:rsidR="00A76C20" w:rsidRDefault="00A76C20" w:rsidP="00AA4673">
      <w:pPr>
        <w:bidi/>
        <w:rPr>
          <w:rFonts w:ascii="T" w:eastAsia="Calibri" w:hAnsi="T" w:cs="Sakkal Majalla"/>
          <w:sz w:val="28"/>
          <w:szCs w:val="28"/>
          <w:rtl/>
        </w:rPr>
      </w:pPr>
    </w:p>
    <w:p w14:paraId="3FE21C75" w14:textId="77777777" w:rsidR="00C20C02" w:rsidRPr="005D59A7" w:rsidRDefault="00C20C02" w:rsidP="00C20C02">
      <w:pPr>
        <w:bidi/>
        <w:rPr>
          <w:rFonts w:ascii="T" w:eastAsia="Calibri" w:hAnsi="T" w:cs="Sakkal Majalla"/>
          <w:sz w:val="28"/>
          <w:szCs w:val="28"/>
        </w:rPr>
      </w:pPr>
    </w:p>
    <w:p w14:paraId="7EB5E61D" w14:textId="77777777" w:rsidR="00AA4673" w:rsidRPr="005D59A7" w:rsidRDefault="00AA4673" w:rsidP="00AA4673">
      <w:pPr>
        <w:bidi/>
        <w:rPr>
          <w:rFonts w:ascii="T" w:hAnsi="T" w:cstheme="majorBidi"/>
          <w:b/>
          <w:bCs/>
          <w:sz w:val="32"/>
          <w:szCs w:val="32"/>
        </w:rPr>
      </w:pPr>
    </w:p>
    <w:p w14:paraId="123A99E7" w14:textId="77777777" w:rsidR="00A76C20" w:rsidRPr="005D59A7" w:rsidRDefault="00A76C20" w:rsidP="00481A79">
      <w:pPr>
        <w:jc w:val="center"/>
        <w:rPr>
          <w:rFonts w:ascii="T" w:hAnsi="T" w:cs="Simplified Arabic"/>
          <w:b/>
          <w:bCs/>
          <w:sz w:val="28"/>
          <w:szCs w:val="28"/>
          <w:rtl/>
        </w:rPr>
      </w:pPr>
      <w:r w:rsidRPr="005D59A7">
        <w:rPr>
          <w:rFonts w:ascii="T" w:hAnsi="T" w:cs="Simplified Arabic"/>
          <w:b/>
          <w:bCs/>
          <w:sz w:val="28"/>
          <w:szCs w:val="28"/>
          <w:rtl/>
        </w:rPr>
        <w:lastRenderedPageBreak/>
        <w:t>المستخلص</w:t>
      </w:r>
    </w:p>
    <w:p w14:paraId="6D2EE172"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لا تخلو الشراكات بين القطاعين العام والخاص من التعقيدات. فهي تتطلب تخطيطًا دقيقًا، وأطر قانونية وتنظيمية متينة، وتوزيعًا شفافًا للمخاطر بين الشركاء. وبينما يتحمل القطاع الخاص عادةً مخاطر الإنشاء والتشغيل، يتحمل القطاع العام المسؤولية النهائية عن ضمان تقديم الخدمات العامة وحماية المصلحة العامة. وبالتالي، يعد التخطيط والحوكمة لأي قطاع ما جوهر الأساس في إعادة الهيكلة والتنظيم نحو نجاح مثمر وأداء متميز.</w:t>
      </w:r>
    </w:p>
    <w:p w14:paraId="3A8BCAE6"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sz w:val="24"/>
          <w:szCs w:val="24"/>
          <w:rtl/>
        </w:rPr>
        <w:t>إلى جانب إعادة الهيكلة التنظيمية للقطاع البيئي التي تم تطبيقها في المملكة العربية السعودية، لا يزال انخراط القطاع الخاص فيه محدوداً. وتهدف هذه الدراسة بشكل رئيسي إلى اقتراح نموذج للشراكة بين القطاعين العام والخاص في القطاع البيئي، من شأنه تعزيز الحوكمة المطبقة حاليًا وزيادة كفاءة تقديم الخدمات من حيث التشغيل والتكلفة. عليه، قامت الوزارة بإطلاق الإستراتيجية الوطنية للبيئة في عام 2018 والتي اقتضت إنشاء المراكز الوطنية الخمسة وصندوق البيئة وذلك بهدف إعادة هيكلة القطاع وبحث سبل إشراك القطاع الخاص وتحقيق العوائد.</w:t>
      </w:r>
    </w:p>
    <w:p w14:paraId="1FF3B665"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sz w:val="24"/>
          <w:szCs w:val="24"/>
          <w:rtl/>
        </w:rPr>
        <w:t>ومن هنا، تنبع مشكلة الدراسة في بحث سبل الشراكة بين القطاعين العام والخاص في القطاع البيئي وذلك من خلال دراسة الخدمات البيئية التي يقدمها القطاع الخاص حالياً واختيار خدمة محددة لتوضيح الفجوة في الكفاءة التشغيلية والمالية واقتراح نموذج شراكة لها. كما تنبع الأهمية التطبيقية في اختيار خدمة بيئية محددة وهي التفتيش البيئي ودراسة الفجوة الحالية بها من الإجراءات والتكاليف الرأس مالية والتشغيلية، واقتراح نموذج شراكة بين القطاعين العام والخاص لها للحد من ذلك.</w:t>
      </w:r>
    </w:p>
    <w:p w14:paraId="63A8F630"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sz w:val="24"/>
          <w:szCs w:val="24"/>
          <w:rtl/>
        </w:rPr>
        <w:t>وتعد المتغيرات الوسيطة والمعدلة هي البنود، والمعايير الخاصة بالدراسة التي سيتم اختيارها لتمثيل نموذج مناسب للشراكة مع القطاع الخاص مثل الرسوم إن وجدت، التكاليف الرأس مالية والتشغيلية، عدد الموظفين، وغيرها من عناصر دراسات الجدوى.</w:t>
      </w:r>
    </w:p>
    <w:p w14:paraId="63F983CD"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lastRenderedPageBreak/>
        <w:t>بينما يعد منهج الدراسة مزيج بين الوصفي والتحليلي. ويتضح القسم الوصفي من خلال التقييم النظري للأدبيات الموجودة والمراجعة العامة للمعلومات المتعلقة بموضوع الرسالة. ومن ثم، يتدرج البحث وصولاً إلى القسم التحليلي الفني للخدمة البيئية المختارة كنموذج عمل وتطبيق دراسات الجدوى اللازمة لها لاقتراح نموذج شراكة بين القطاع العام والخاص لها شاملةً تحاليل الكفاءة التشغيلية والمالية.</w:t>
      </w:r>
    </w:p>
    <w:p w14:paraId="63B90DEA"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وتعد عينة الدراسة هي الخدمة البيئية التي سيتم اختيارها لعمل نموذج شراكة بين القطاع العام والخاص لها. ويشمل النموذج إعداد دراسة جدوى شاملة تشمل التكاليف التشغيلية والرأس مالية وعدد الموظفين وساعات العمل وتحليل المدخلات والمخرجات وحساب الرسوم والعوائد إن وجدت وغيرها من العناصر. ويكون الهدف الرئيسي هو خلق نموذج تشغيلي إداري لخدمة بيئية لمشاركة القطاع الخاص بها من شأنه إيجاد عوائد للجهة المعنية أو تقليل التكاليف التشغيلية أو ميزانية الجهة، بالإضافة إلى رفع جودة المخرجات وخلق سوق عمل جديد يوفر الوظائف والفرص. وكما تم الذكر مسبقاً، يعد التفتيش البيئي هو الخيار الأمثل كخدمة بيئية مستهدفة للدراسة.</w:t>
      </w:r>
    </w:p>
    <w:p w14:paraId="4D57A9D7"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 xml:space="preserve">ووجد البحث أن معظم الخدمات البيئية قابلة للمشاركة مع القطاع الخاص خاصة خدمة التفتيش البيئي والتي تم استهدافها كعينة أساسية للدراسة. حيث أن كافة الخدمات متضمنة خدمة التفتيش البيئي يتم تقديمها بالشكل الأساسي والتقليدي عن طريق الجهات الحكومية المسؤولة. وخلال إعداد الدراسات اللازمة ووضع الخطط المطلوبة يمكن التوصل إلى نموذج مناسب. وتعد الركيزة الأساسية لتخصيص خدمة التفتيش البيئي هي خلق مصدر دخل أساسي للخدمة عن طريق الرسوم البيئية ما من شأنه تغطية أو تقليل التكاليف التشغيلية للخدمة وخلق عوائد مالية، ويعد هذا الإجراء قابل للتفعيل حيث أن كافة التكاليف التشغيلية القائمة عليها الخدمة تعد على عاتق الدولة في الوقت الحالي. </w:t>
      </w:r>
    </w:p>
    <w:p w14:paraId="371B8329"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 xml:space="preserve">بعد التحليل والتقييم الأولي للخدمة تم إيجاد عدد كبير من الشركات المحتملة المحلية والإقليمية التي يمكن لها المشاركة في عملية تخصيص التفتيش وتوفير الموارد المطلوبة والكوادر البشرية التي من شأنها تقييم الخدمة بالشكل المطلوب وتقليل عبء التكاليف على المشغل الحكومي الحالي. وسيتم استهداف فرض الرسوم البيئية على شريحة العملاء من المنشآت على البنود الأساسية للتفتيش مثل زيارة المفتش وأيضاً من خلال </w:t>
      </w:r>
      <w:r w:rsidRPr="005D59A7">
        <w:rPr>
          <w:rFonts w:ascii="T" w:eastAsia="Times New Roman" w:hAnsi="T" w:cs="Simplified Arabic"/>
          <w:sz w:val="24"/>
          <w:szCs w:val="24"/>
          <w:rtl/>
        </w:rPr>
        <w:lastRenderedPageBreak/>
        <w:t xml:space="preserve">الخدمات الأخرى المصاحبة مثل خدمة إصدار الرخصة البيئية حيث وجد أنه يمكن فرض رسوم زيارة المفتش البيئي للمنشأة عن طريق الرخصة البيئية. </w:t>
      </w:r>
    </w:p>
    <w:p w14:paraId="35837E82" w14:textId="1FA629AB"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 xml:space="preserve">وعلى أصعدة المقارنة، يوجد العديد من الخدمات المحلية التي يتم مشاركة القطاع الخاص بها في القطاعات الأخرى مثل وزارة الداخلية وخدمات المرور والأمانات والبلديات وغيرها. كما يوجد على الأصعدة الدولية أمثلة عديدة في تخصيص خدمات قطاع البيئة وعلى سبيل المثال تم النظر في نموذج وكالة حماية البيئة بالمملكة المتحدة وأسكتلندا أيضاً. وبالتالي، يمكن الاستدلال على إمكانية تطبيق تخصيص الخدمات البيئية وتفعيل نماذج عمل ناجحة مثمرة. </w:t>
      </w:r>
    </w:p>
    <w:p w14:paraId="41BBF505" w14:textId="758592E4" w:rsidR="00686195" w:rsidRPr="005D59A7" w:rsidRDefault="00217271" w:rsidP="00AA4673">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b/>
          <w:bCs/>
          <w:sz w:val="24"/>
          <w:szCs w:val="24"/>
          <w:rtl/>
        </w:rPr>
        <w:t>الكلمات المفتاحية</w:t>
      </w:r>
      <w:r w:rsidRPr="005D59A7">
        <w:rPr>
          <w:rFonts w:ascii="T" w:eastAsia="Times New Roman" w:hAnsi="T" w:cs="Simplified Arabic"/>
          <w:sz w:val="24"/>
          <w:szCs w:val="24"/>
          <w:rtl/>
        </w:rPr>
        <w:t>: الشراكات بين القطاعين العام والخاص، الحوكمة البيئية، التفتيش البيئي , إدارة الأداء</w:t>
      </w:r>
    </w:p>
    <w:p w14:paraId="4D365A7A"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7A959A2D"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75BE5902"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45C443D5"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47631652"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4BAB58DC"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59972C89" w14:textId="77777777" w:rsidR="00AA4673"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1825D8E9" w14:textId="77777777" w:rsidR="00233335" w:rsidRDefault="00233335" w:rsidP="00233335">
      <w:pPr>
        <w:bidi/>
        <w:spacing w:before="100" w:beforeAutospacing="1" w:after="100" w:afterAutospacing="1" w:line="360" w:lineRule="auto"/>
        <w:ind w:firstLine="720"/>
        <w:jc w:val="lowKashida"/>
        <w:rPr>
          <w:rFonts w:ascii="T" w:eastAsia="Times New Roman" w:hAnsi="T" w:cs="Simplified Arabic"/>
          <w:sz w:val="24"/>
          <w:szCs w:val="24"/>
        </w:rPr>
      </w:pPr>
    </w:p>
    <w:p w14:paraId="1F086682" w14:textId="77777777" w:rsidR="00233335" w:rsidRPr="005D59A7" w:rsidRDefault="00233335" w:rsidP="00233335">
      <w:pPr>
        <w:bidi/>
        <w:spacing w:before="100" w:beforeAutospacing="1" w:after="100" w:afterAutospacing="1" w:line="360" w:lineRule="auto"/>
        <w:ind w:firstLine="720"/>
        <w:jc w:val="lowKashida"/>
        <w:rPr>
          <w:rFonts w:ascii="T" w:eastAsia="Times New Roman" w:hAnsi="T" w:cs="Simplified Arabic"/>
          <w:sz w:val="24"/>
          <w:szCs w:val="24"/>
        </w:rPr>
      </w:pPr>
    </w:p>
    <w:p w14:paraId="34D1B913"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16C7F562"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62C73609" w14:textId="77777777" w:rsidR="00242A04" w:rsidRPr="005D59A7" w:rsidRDefault="00242A04" w:rsidP="00481A79">
      <w:pPr>
        <w:jc w:val="center"/>
        <w:rPr>
          <w:rFonts w:ascii="T" w:hAnsi="T" w:cstheme="majorBidi"/>
          <w:b/>
          <w:bCs/>
          <w:sz w:val="28"/>
          <w:szCs w:val="28"/>
        </w:rPr>
      </w:pPr>
      <w:r w:rsidRPr="005D59A7">
        <w:rPr>
          <w:rFonts w:ascii="T" w:hAnsi="T" w:cstheme="majorBidi"/>
          <w:b/>
          <w:bCs/>
          <w:sz w:val="28"/>
          <w:szCs w:val="28"/>
        </w:rPr>
        <w:lastRenderedPageBreak/>
        <w:t>ABSTRACT</w:t>
      </w:r>
    </w:p>
    <w:p w14:paraId="0F70F05B" w14:textId="77777777" w:rsidR="00242A04" w:rsidRPr="005D59A7" w:rsidRDefault="00242A04" w:rsidP="00A76C20">
      <w:pPr>
        <w:spacing w:line="360" w:lineRule="auto"/>
        <w:ind w:firstLine="720"/>
        <w:jc w:val="both"/>
        <w:rPr>
          <w:rFonts w:ascii="T" w:hAnsi="T" w:cs="Times New Roman"/>
          <w:sz w:val="24"/>
          <w:szCs w:val="24"/>
        </w:rPr>
      </w:pPr>
      <w:r w:rsidRPr="005D59A7">
        <w:rPr>
          <w:rFonts w:ascii="T" w:hAnsi="T" w:cstheme="majorBidi"/>
          <w:sz w:val="24"/>
          <w:szCs w:val="24"/>
        </w:rPr>
        <w:t>Public-private partnerships are not without their complexities. They require meticulous planning, robust legal and regulatory frameworks, and a transparent allocation of risk between partners. While the private sector typically bears the risks of establishment and operation, the public sector bears the ultimate responsibility for ensuring the delivery of public services and protecting the public interest. Therefore, planning and governance are fundamental to any sector's restructuring and reorganization, paving the way for successful and high-performing outcomes</w:t>
      </w:r>
      <w:r w:rsidRPr="005D59A7">
        <w:rPr>
          <w:rFonts w:ascii="T" w:hAnsi="T" w:cs="Times New Roman"/>
          <w:sz w:val="24"/>
          <w:szCs w:val="24"/>
          <w:rtl/>
        </w:rPr>
        <w:t>.</w:t>
      </w:r>
    </w:p>
    <w:p w14:paraId="7AC19AE9"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Despite the organizational restructuring of the environmental sector implemented in Saudi Arabia, private sector involvement remains limited. This </w:t>
      </w:r>
      <w:proofErr w:type="gramStart"/>
      <w:r w:rsidRPr="005D59A7">
        <w:rPr>
          <w:rFonts w:ascii="T" w:hAnsi="T" w:cstheme="majorBidi"/>
          <w:sz w:val="24"/>
          <w:szCs w:val="24"/>
        </w:rPr>
        <w:t>study primarily</w:t>
      </w:r>
      <w:proofErr w:type="gramEnd"/>
      <w:r w:rsidRPr="005D59A7">
        <w:rPr>
          <w:rFonts w:ascii="T" w:hAnsi="T" w:cstheme="majorBidi"/>
          <w:sz w:val="24"/>
          <w:szCs w:val="24"/>
        </w:rPr>
        <w:t xml:space="preserve"> aims to propose a public-private partnership (PPP) model for the environmental sector that would enhance current governance practices and improve the operational and cost-effectiveness of service delivery. Accordingly, the Ministry launched the National Environment Strategy in 2018, which led to the establishment of five national centers and the Environmental Fund, with the goal of restructuring the sector and exploring ways to engage the private sector and generate returns.</w:t>
      </w:r>
    </w:p>
    <w:p w14:paraId="7060E443"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Hence, the research problem lies in exploring avenues for public-private partnerships in the environmental sector. This is achieved by examining the environmental services currently provided by the </w:t>
      </w:r>
      <w:r w:rsidR="008804AB" w:rsidRPr="005D59A7">
        <w:rPr>
          <w:rFonts w:ascii="T" w:hAnsi="T" w:cstheme="majorBidi"/>
          <w:sz w:val="24"/>
          <w:szCs w:val="24"/>
        </w:rPr>
        <w:t>public</w:t>
      </w:r>
      <w:r w:rsidRPr="005D59A7">
        <w:rPr>
          <w:rFonts w:ascii="T" w:hAnsi="T" w:cstheme="majorBidi"/>
          <w:sz w:val="24"/>
          <w:szCs w:val="24"/>
        </w:rPr>
        <w:t xml:space="preserve"> sector, selecting a specific service to highlight the gap in operational and financial efficiency, and proposing a partnership model for it. The practical significance of this study stems from choosing a specific environmental service—environmental inspection—and analyzing the existing gap in its procedures, capital costs, and operational expenses, thereby proposing a public-private partnership model to mitigate these challenges.</w:t>
      </w:r>
    </w:p>
    <w:p w14:paraId="5021D5DA"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t>The mediating and adjusting variables are the items and criteria of the study that will be chosen to represent a suitable model for partnership with the private sector, such as fees, if any, capital and operating costs, number of employees, and other elements of feasibility studies.</w:t>
      </w:r>
    </w:p>
    <w:p w14:paraId="3D15DB3F"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lastRenderedPageBreak/>
        <w:t>The study methodology combines descriptive and analytical approaches. The descriptive section begins with a theoretical evaluation of existing literature and a general review of information related to the thesis topic. The research then progresses to a technical analytical section, focusing on the selected environmental service as a business model and applying the necessary feasibility studies to propose a public-private partnership model, including operational and financial efficiency analyses.</w:t>
      </w:r>
    </w:p>
    <w:p w14:paraId="0A88CB91" w14:textId="0E7B6800"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The </w:t>
      </w:r>
      <w:r w:rsidR="00B60659" w:rsidRPr="005D59A7">
        <w:rPr>
          <w:rFonts w:ascii="T" w:hAnsi="T" w:cstheme="majorBidi"/>
          <w:sz w:val="24"/>
          <w:szCs w:val="24"/>
        </w:rPr>
        <w:t>sample study</w:t>
      </w:r>
      <w:r w:rsidRPr="005D59A7">
        <w:rPr>
          <w:rFonts w:ascii="T" w:hAnsi="T" w:cstheme="majorBidi"/>
          <w:sz w:val="24"/>
          <w:szCs w:val="24"/>
        </w:rPr>
        <w:t xml:space="preserve"> is an environmental service selected for a public-private partnership (PPP) model. This model includes a comprehensive feasibility study encompassing operational and capital costs, staffing levels and working hours, input-output analysis, calculation of fees and revenues (if applicable), and other relevant elements. The primary objective is to create an operational and administrative model for an environmental service involving private sector participation. This model aims to generate revenue for the relevant entity, reduce operational costs or budget constraints, improve the quality of </w:t>
      </w:r>
      <w:proofErr w:type="gramStart"/>
      <w:r w:rsidRPr="005D59A7">
        <w:rPr>
          <w:rFonts w:ascii="T" w:hAnsi="T" w:cstheme="majorBidi"/>
          <w:sz w:val="24"/>
          <w:szCs w:val="24"/>
        </w:rPr>
        <w:t>outputs</w:t>
      </w:r>
      <w:proofErr w:type="gramEnd"/>
      <w:r w:rsidRPr="005D59A7">
        <w:rPr>
          <w:rFonts w:ascii="T" w:hAnsi="T" w:cstheme="majorBidi"/>
          <w:sz w:val="24"/>
          <w:szCs w:val="24"/>
        </w:rPr>
        <w:t>, and create a new job market with available opportunities. As previously mentioned, environmental inspection is the ideal choice for this study.</w:t>
      </w:r>
    </w:p>
    <w:p w14:paraId="3CF63EAF" w14:textId="77777777"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The research found that most environmental services are suitable for privatization, particularly environmental inspection services which </w:t>
      </w:r>
      <w:proofErr w:type="gramStart"/>
      <w:r w:rsidRPr="005D59A7">
        <w:rPr>
          <w:rFonts w:ascii="T" w:hAnsi="T" w:cstheme="majorBidi"/>
          <w:sz w:val="24"/>
          <w:szCs w:val="24"/>
        </w:rPr>
        <w:t>is</w:t>
      </w:r>
      <w:proofErr w:type="gramEnd"/>
      <w:r w:rsidRPr="005D59A7">
        <w:rPr>
          <w:rFonts w:ascii="T" w:hAnsi="T" w:cstheme="majorBidi"/>
          <w:sz w:val="24"/>
          <w:szCs w:val="24"/>
        </w:rPr>
        <w:t xml:space="preserve"> chosen as the primary case study. Currently, all services, including environmental inspection, are provided primarily and traditionally by the responsible government agencies. By conducting the necessary studies and developing the required plans, a suitable model can be developed. The fundamental principle behind privatizing environmental inspection services is to create a primary source of revenue through environmental fees. This would cover or reduce the service's operational costs and generate financial returns. This measure is feasible, as all operational costs currently incurred by the service are borne by the government.</w:t>
      </w:r>
    </w:p>
    <w:p w14:paraId="4DCFA494" w14:textId="77777777"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Following initial analysis and evaluation of the service, a significant number of potential local and regional companies were identified that could participate in the inspection process, providing the necessary resources and personnel to effectively evaluate the service and reduce the cost burden on the current government operator. Environmental fees will be levied on a segment of </w:t>
      </w:r>
      <w:r w:rsidRPr="005D59A7">
        <w:rPr>
          <w:rFonts w:ascii="T" w:hAnsi="T" w:cstheme="majorBidi"/>
          <w:sz w:val="24"/>
          <w:szCs w:val="24"/>
        </w:rPr>
        <w:lastRenderedPageBreak/>
        <w:t>client facilities, covering essential inspection items such as the inspector's visit, as well as associated services like the issuance of the environmental license. It was determined that the environmental inspector's visit fee could be collected through the environmental license itself.</w:t>
      </w:r>
    </w:p>
    <w:p w14:paraId="31E995E9" w14:textId="77777777"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By way of comparison, many local services involve private sector participation in other sectors, such as the Ministry of the Interior, traffic services, municipalities, and others. Internationally, there are numerous examples of privatizing environmental services; for instance, the models of the UK and Scotland's Environmental Protection Agency have been examined. Therefore, the feasibility of privatizing environmental services and implementing successful and productive business models can be demonstrated.</w:t>
      </w:r>
    </w:p>
    <w:p w14:paraId="7A7FFEED" w14:textId="033E1614" w:rsidR="006A6532" w:rsidRPr="005D59A7" w:rsidRDefault="00217271" w:rsidP="00280FF6">
      <w:pPr>
        <w:spacing w:line="360" w:lineRule="auto"/>
        <w:ind w:firstLine="720"/>
        <w:jc w:val="both"/>
        <w:rPr>
          <w:rFonts w:ascii="T" w:hAnsi="T" w:cstheme="majorBidi"/>
          <w:sz w:val="24"/>
          <w:szCs w:val="24"/>
        </w:rPr>
      </w:pPr>
      <w:r w:rsidRPr="005D59A7">
        <w:rPr>
          <w:rFonts w:ascii="T" w:hAnsi="T" w:cstheme="majorBidi"/>
          <w:b/>
          <w:bCs/>
          <w:sz w:val="24"/>
          <w:szCs w:val="24"/>
        </w:rPr>
        <w:t>Keywords:</w:t>
      </w:r>
      <w:r w:rsidRPr="005D59A7">
        <w:rPr>
          <w:rFonts w:ascii="T" w:hAnsi="T" w:cstheme="majorBidi"/>
          <w:sz w:val="24"/>
          <w:szCs w:val="24"/>
        </w:rPr>
        <w:t xml:space="preserve"> Public-private partnerships, environmental governance, environmental inspection, performance management</w:t>
      </w:r>
    </w:p>
    <w:p w14:paraId="545B5081" w14:textId="77777777" w:rsidR="00AA4673" w:rsidRPr="005D59A7" w:rsidRDefault="00AA4673" w:rsidP="00280FF6">
      <w:pPr>
        <w:spacing w:line="360" w:lineRule="auto"/>
        <w:ind w:firstLine="720"/>
        <w:jc w:val="both"/>
        <w:rPr>
          <w:rFonts w:ascii="T" w:hAnsi="T" w:cstheme="majorBidi"/>
          <w:sz w:val="24"/>
          <w:szCs w:val="24"/>
        </w:rPr>
      </w:pPr>
    </w:p>
    <w:p w14:paraId="12855008" w14:textId="77777777" w:rsidR="00AA4673" w:rsidRPr="005D59A7" w:rsidRDefault="00AA4673" w:rsidP="00280FF6">
      <w:pPr>
        <w:spacing w:line="360" w:lineRule="auto"/>
        <w:ind w:firstLine="720"/>
        <w:jc w:val="both"/>
        <w:rPr>
          <w:rFonts w:ascii="T" w:hAnsi="T" w:cstheme="majorBidi"/>
          <w:sz w:val="24"/>
          <w:szCs w:val="24"/>
        </w:rPr>
      </w:pPr>
    </w:p>
    <w:p w14:paraId="26C596BD" w14:textId="77777777" w:rsidR="00AA4673" w:rsidRPr="005D59A7" w:rsidRDefault="00AA4673" w:rsidP="00280FF6">
      <w:pPr>
        <w:spacing w:line="360" w:lineRule="auto"/>
        <w:ind w:firstLine="720"/>
        <w:jc w:val="both"/>
        <w:rPr>
          <w:rFonts w:ascii="T" w:hAnsi="T" w:cstheme="majorBidi"/>
          <w:sz w:val="24"/>
          <w:szCs w:val="24"/>
        </w:rPr>
      </w:pPr>
    </w:p>
    <w:p w14:paraId="4FE848E5" w14:textId="77777777" w:rsidR="00AA4673" w:rsidRPr="005D59A7" w:rsidRDefault="00AA4673" w:rsidP="00280FF6">
      <w:pPr>
        <w:spacing w:line="360" w:lineRule="auto"/>
        <w:ind w:firstLine="720"/>
        <w:jc w:val="both"/>
        <w:rPr>
          <w:rFonts w:ascii="T" w:hAnsi="T" w:cstheme="majorBidi"/>
          <w:sz w:val="24"/>
          <w:szCs w:val="24"/>
        </w:rPr>
      </w:pPr>
    </w:p>
    <w:p w14:paraId="7168458E" w14:textId="77777777" w:rsidR="00AA4673" w:rsidRPr="005D59A7" w:rsidRDefault="00AA4673" w:rsidP="00280FF6">
      <w:pPr>
        <w:spacing w:line="360" w:lineRule="auto"/>
        <w:ind w:firstLine="720"/>
        <w:jc w:val="both"/>
        <w:rPr>
          <w:rFonts w:ascii="T" w:hAnsi="T" w:cstheme="majorBidi"/>
          <w:sz w:val="24"/>
          <w:szCs w:val="24"/>
        </w:rPr>
      </w:pPr>
    </w:p>
    <w:p w14:paraId="0A8E3673" w14:textId="77777777" w:rsidR="00AA4673" w:rsidRPr="005D59A7" w:rsidRDefault="00AA4673" w:rsidP="00280FF6">
      <w:pPr>
        <w:spacing w:line="360" w:lineRule="auto"/>
        <w:ind w:firstLine="720"/>
        <w:jc w:val="both"/>
        <w:rPr>
          <w:rFonts w:ascii="T" w:hAnsi="T" w:cstheme="majorBidi"/>
          <w:sz w:val="24"/>
          <w:szCs w:val="24"/>
        </w:rPr>
      </w:pPr>
    </w:p>
    <w:p w14:paraId="76F6F3CB" w14:textId="77777777" w:rsidR="00AA4673" w:rsidRPr="005D59A7" w:rsidRDefault="00AA4673" w:rsidP="00280FF6">
      <w:pPr>
        <w:spacing w:line="360" w:lineRule="auto"/>
        <w:ind w:firstLine="720"/>
        <w:jc w:val="both"/>
        <w:rPr>
          <w:rFonts w:ascii="T" w:hAnsi="T" w:cstheme="majorBidi"/>
          <w:sz w:val="24"/>
          <w:szCs w:val="24"/>
        </w:rPr>
      </w:pPr>
    </w:p>
    <w:p w14:paraId="6F8CE3D2" w14:textId="77777777" w:rsidR="00AA4673" w:rsidRPr="005D59A7" w:rsidRDefault="00AA4673" w:rsidP="00280FF6">
      <w:pPr>
        <w:spacing w:line="360" w:lineRule="auto"/>
        <w:ind w:firstLine="720"/>
        <w:jc w:val="both"/>
        <w:rPr>
          <w:rFonts w:ascii="T" w:hAnsi="T" w:cstheme="majorBidi"/>
          <w:sz w:val="24"/>
          <w:szCs w:val="24"/>
        </w:rPr>
      </w:pPr>
    </w:p>
    <w:p w14:paraId="092D1375" w14:textId="77777777" w:rsidR="00AA4673" w:rsidRPr="005D59A7" w:rsidRDefault="00AA4673" w:rsidP="00280FF6">
      <w:pPr>
        <w:spacing w:line="360" w:lineRule="auto"/>
        <w:ind w:firstLine="720"/>
        <w:jc w:val="both"/>
        <w:rPr>
          <w:rFonts w:ascii="T" w:hAnsi="T" w:cstheme="majorBidi"/>
          <w:sz w:val="24"/>
          <w:szCs w:val="24"/>
        </w:rPr>
      </w:pPr>
    </w:p>
    <w:p w14:paraId="513CC19E" w14:textId="56625A0F" w:rsidR="00AA4673" w:rsidRDefault="00AA4673" w:rsidP="00280FF6">
      <w:pPr>
        <w:spacing w:line="360" w:lineRule="auto"/>
        <w:ind w:firstLine="720"/>
        <w:jc w:val="both"/>
        <w:rPr>
          <w:rFonts w:ascii="T" w:hAnsi="T" w:cstheme="majorBidi"/>
          <w:sz w:val="24"/>
          <w:szCs w:val="24"/>
          <w:rtl/>
        </w:rPr>
      </w:pPr>
    </w:p>
    <w:p w14:paraId="1625C30D" w14:textId="41B875C8" w:rsidR="00EA4291" w:rsidRDefault="00EA4291" w:rsidP="00280FF6">
      <w:pPr>
        <w:spacing w:line="360" w:lineRule="auto"/>
        <w:ind w:firstLine="720"/>
        <w:jc w:val="both"/>
        <w:rPr>
          <w:rFonts w:ascii="T" w:hAnsi="T" w:cstheme="majorBidi"/>
          <w:sz w:val="24"/>
          <w:szCs w:val="24"/>
          <w:rtl/>
        </w:rPr>
      </w:pPr>
    </w:p>
    <w:p w14:paraId="5C8B4C00" w14:textId="66EF8DBD" w:rsidR="00EA4291" w:rsidRDefault="00EA4291" w:rsidP="00280FF6">
      <w:pPr>
        <w:spacing w:line="360" w:lineRule="auto"/>
        <w:ind w:firstLine="720"/>
        <w:jc w:val="both"/>
        <w:rPr>
          <w:rFonts w:ascii="T" w:hAnsi="T" w:cstheme="majorBidi"/>
          <w:sz w:val="24"/>
          <w:szCs w:val="24"/>
          <w:rtl/>
        </w:rPr>
      </w:pPr>
    </w:p>
    <w:p w14:paraId="0F1D8187" w14:textId="77777777" w:rsidR="00EA4291" w:rsidRPr="005D59A7" w:rsidRDefault="00EA4291" w:rsidP="00280FF6">
      <w:pPr>
        <w:spacing w:line="360" w:lineRule="auto"/>
        <w:ind w:firstLine="720"/>
        <w:jc w:val="both"/>
        <w:rPr>
          <w:rFonts w:ascii="T" w:hAnsi="T" w:cstheme="majorBidi"/>
          <w:sz w:val="24"/>
          <w:szCs w:val="24"/>
          <w:rtl/>
        </w:rPr>
      </w:pPr>
    </w:p>
    <w:sdt>
      <w:sdtPr>
        <w:rPr>
          <w:rFonts w:ascii="T" w:eastAsiaTheme="minorHAnsi" w:hAnsi="T" w:cstheme="minorBidi"/>
          <w:b w:val="0"/>
          <w:bCs w:val="0"/>
          <w:color w:val="auto"/>
          <w:sz w:val="22"/>
          <w:szCs w:val="22"/>
          <w:rtl/>
        </w:rPr>
        <w:id w:val="2700971"/>
        <w:docPartObj>
          <w:docPartGallery w:val="Table of Contents"/>
          <w:docPartUnique/>
        </w:docPartObj>
      </w:sdtPr>
      <w:sdtEndPr/>
      <w:sdtContent>
        <w:p w14:paraId="5AD7F050" w14:textId="2CCE1ECA" w:rsidR="00EA21E0" w:rsidRPr="00240338" w:rsidRDefault="00EA21E0" w:rsidP="00AC44CC">
          <w:pPr>
            <w:pStyle w:val="TOCHeading"/>
            <w:bidi/>
            <w:rPr>
              <w:rFonts w:ascii="Simplified Arabic" w:hAnsi="Simplified Arabic" w:cs="Simplified Arabic"/>
              <w:color w:val="auto"/>
            </w:rPr>
          </w:pPr>
          <w:r w:rsidRPr="00240338">
            <w:rPr>
              <w:rFonts w:ascii="Simplified Arabic" w:hAnsi="Simplified Arabic" w:cs="Simplified Arabic"/>
              <w:color w:val="auto"/>
              <w:rtl/>
            </w:rPr>
            <w:t>جدول المحتويات</w:t>
          </w:r>
        </w:p>
        <w:p w14:paraId="0C8279C7" w14:textId="6AE37FBD" w:rsidR="00AC44CC" w:rsidRDefault="00FD30BF">
          <w:pPr>
            <w:pStyle w:val="TOC1"/>
            <w:rPr>
              <w:rFonts w:eastAsiaTheme="minorEastAsia"/>
              <w:noProof/>
              <w:kern w:val="2"/>
              <w:sz w:val="24"/>
              <w:szCs w:val="24"/>
              <w:rtl/>
              <w14:ligatures w14:val="standardContextual"/>
            </w:rPr>
          </w:pPr>
          <w:r w:rsidRPr="00240338">
            <w:rPr>
              <w:rFonts w:ascii="Simplified Arabic" w:hAnsi="Simplified Arabic" w:cs="Simplified Arabic"/>
              <w:sz w:val="20"/>
              <w:szCs w:val="20"/>
            </w:rPr>
            <w:fldChar w:fldCharType="begin"/>
          </w:r>
          <w:r w:rsidR="00EA21E0" w:rsidRPr="00240338">
            <w:rPr>
              <w:rFonts w:ascii="Simplified Arabic" w:hAnsi="Simplified Arabic" w:cs="Simplified Arabic"/>
              <w:sz w:val="20"/>
              <w:szCs w:val="20"/>
            </w:rPr>
            <w:instrText xml:space="preserve"> TOC \o "1-3" \h \z \u </w:instrText>
          </w:r>
          <w:r w:rsidRPr="00240338">
            <w:rPr>
              <w:rFonts w:ascii="Simplified Arabic" w:hAnsi="Simplified Arabic" w:cs="Simplified Arabic"/>
              <w:sz w:val="20"/>
              <w:szCs w:val="20"/>
            </w:rPr>
            <w:fldChar w:fldCharType="separate"/>
          </w:r>
          <w:hyperlink w:anchor="_Toc234607841" w:history="1">
            <w:r w:rsidR="00AC44CC" w:rsidRPr="00F9081D">
              <w:rPr>
                <w:rStyle w:val="Hyperlink"/>
                <w:rFonts w:ascii="Simplified Arabic" w:hAnsi="Simplified Arabic" w:cs="Simplified Arabic"/>
                <w:b/>
                <w:bCs/>
                <w:noProof/>
                <w:rtl/>
              </w:rPr>
              <w:t>قائمة الجداول</w:t>
            </w:r>
            <w:r w:rsidR="00AC44CC">
              <w:rPr>
                <w:noProof/>
                <w:webHidden/>
                <w:rtl/>
              </w:rPr>
              <w:tab/>
            </w:r>
            <w:r w:rsidR="00AC44CC">
              <w:rPr>
                <w:noProof/>
                <w:webHidden/>
                <w:rtl/>
              </w:rPr>
              <w:fldChar w:fldCharType="begin"/>
            </w:r>
            <w:r w:rsidR="00AC44CC">
              <w:rPr>
                <w:noProof/>
                <w:webHidden/>
                <w:rtl/>
              </w:rPr>
              <w:instrText xml:space="preserve"> </w:instrText>
            </w:r>
            <w:r w:rsidR="00AC44CC">
              <w:rPr>
                <w:noProof/>
                <w:webHidden/>
              </w:rPr>
              <w:instrText>PAGEREF</w:instrText>
            </w:r>
            <w:r w:rsidR="00AC44CC">
              <w:rPr>
                <w:noProof/>
                <w:webHidden/>
                <w:rtl/>
              </w:rPr>
              <w:instrText xml:space="preserve"> _</w:instrText>
            </w:r>
            <w:r w:rsidR="00AC44CC">
              <w:rPr>
                <w:noProof/>
                <w:webHidden/>
              </w:rPr>
              <w:instrText>Toc234607841 \h</w:instrText>
            </w:r>
            <w:r w:rsidR="00AC44CC">
              <w:rPr>
                <w:noProof/>
                <w:webHidden/>
                <w:rtl/>
              </w:rPr>
              <w:instrText xml:space="preserve"> </w:instrText>
            </w:r>
            <w:r w:rsidR="00AC44CC">
              <w:rPr>
                <w:noProof/>
                <w:webHidden/>
                <w:rtl/>
              </w:rPr>
            </w:r>
            <w:r w:rsidR="00AC44CC">
              <w:rPr>
                <w:noProof/>
                <w:webHidden/>
                <w:rtl/>
              </w:rPr>
              <w:fldChar w:fldCharType="separate"/>
            </w:r>
            <w:r w:rsidR="00AC44CC">
              <w:rPr>
                <w:noProof/>
                <w:webHidden/>
                <w:rtl/>
              </w:rPr>
              <w:t>13</w:t>
            </w:r>
            <w:r w:rsidR="00AC44CC">
              <w:rPr>
                <w:noProof/>
                <w:webHidden/>
                <w:rtl/>
              </w:rPr>
              <w:fldChar w:fldCharType="end"/>
            </w:r>
          </w:hyperlink>
        </w:p>
        <w:p w14:paraId="04867F6B" w14:textId="39A2605E" w:rsidR="00AC44CC" w:rsidRDefault="00AC44CC">
          <w:pPr>
            <w:pStyle w:val="TOC1"/>
            <w:rPr>
              <w:rFonts w:eastAsiaTheme="minorEastAsia"/>
              <w:noProof/>
              <w:kern w:val="2"/>
              <w:sz w:val="24"/>
              <w:szCs w:val="24"/>
              <w:rtl/>
              <w14:ligatures w14:val="standardContextual"/>
            </w:rPr>
          </w:pPr>
          <w:hyperlink w:anchor="_Toc234607842" w:history="1">
            <w:r w:rsidRPr="00F9081D">
              <w:rPr>
                <w:rStyle w:val="Hyperlink"/>
                <w:rFonts w:ascii="Simplified Arabic" w:hAnsi="Simplified Arabic" w:cs="Simplified Arabic"/>
                <w:b/>
                <w:bCs/>
                <w:noProof/>
                <w:rtl/>
              </w:rPr>
              <w:t>قائمة الرسوم التوضيحية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Toc234607842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6D2E139" w14:textId="31DEF099" w:rsidR="00AC44CC" w:rsidRDefault="00AC44CC">
          <w:pPr>
            <w:pStyle w:val="TOC1"/>
            <w:rPr>
              <w:rFonts w:eastAsiaTheme="minorEastAsia"/>
              <w:noProof/>
              <w:kern w:val="2"/>
              <w:sz w:val="24"/>
              <w:szCs w:val="24"/>
              <w:rtl/>
              <w14:ligatures w14:val="standardContextual"/>
            </w:rPr>
          </w:pPr>
          <w:hyperlink w:anchor="_Toc234607843" w:history="1">
            <w:r w:rsidRPr="00F9081D">
              <w:rPr>
                <w:rStyle w:val="Hyperlink"/>
                <w:rFonts w:ascii="T" w:eastAsia="Times New Roman" w:hAnsi="T" w:cs="Simplified Arabic"/>
                <w:b/>
                <w:bCs/>
                <w:noProof/>
                <w:rtl/>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Toc234607843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31707C5" w14:textId="11828E38" w:rsidR="00AC44CC" w:rsidRDefault="00AC44CC">
          <w:pPr>
            <w:pStyle w:val="TOC1"/>
            <w:rPr>
              <w:rFonts w:eastAsiaTheme="minorEastAsia"/>
              <w:noProof/>
              <w:kern w:val="2"/>
              <w:sz w:val="24"/>
              <w:szCs w:val="24"/>
              <w:rtl/>
              <w14:ligatures w14:val="standardContextual"/>
            </w:rPr>
          </w:pPr>
          <w:hyperlink w:anchor="_Toc234607844" w:history="1">
            <w:r w:rsidRPr="00F9081D">
              <w:rPr>
                <w:rStyle w:val="Hyperlink"/>
                <w:rFonts w:ascii="T" w:eastAsia="Times New Roman" w:hAnsi="T" w:cs="Simplified Arabic"/>
                <w:b/>
                <w:bCs/>
                <w:noProof/>
                <w:rtl/>
              </w:rPr>
              <w:t>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Toc234607844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591F605" w14:textId="264C91D6" w:rsidR="00AC44CC" w:rsidRDefault="00AC44CC">
          <w:pPr>
            <w:pStyle w:val="TOC1"/>
            <w:rPr>
              <w:rFonts w:eastAsiaTheme="minorEastAsia"/>
              <w:noProof/>
              <w:kern w:val="2"/>
              <w:sz w:val="24"/>
              <w:szCs w:val="24"/>
              <w:rtl/>
              <w14:ligatures w14:val="standardContextual"/>
            </w:rPr>
          </w:pPr>
          <w:hyperlink w:anchor="_Toc234607845" w:history="1">
            <w:r w:rsidRPr="00F9081D">
              <w:rPr>
                <w:rStyle w:val="Hyperlink"/>
                <w:rFonts w:ascii="T" w:eastAsia="Times New Roman" w:hAnsi="T" w:cs="Simplified Arabic"/>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Toc234607845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B97F568" w14:textId="69B8A962" w:rsidR="00AC44CC" w:rsidRDefault="00AC44CC">
          <w:pPr>
            <w:pStyle w:val="TOC1"/>
            <w:rPr>
              <w:rFonts w:eastAsiaTheme="minorEastAsia"/>
              <w:noProof/>
              <w:kern w:val="2"/>
              <w:sz w:val="24"/>
              <w:szCs w:val="24"/>
              <w:rtl/>
              <w14:ligatures w14:val="standardContextual"/>
            </w:rPr>
          </w:pPr>
          <w:hyperlink w:anchor="_Toc234607846" w:history="1">
            <w:r w:rsidRPr="00F9081D">
              <w:rPr>
                <w:rStyle w:val="Hyperlink"/>
                <w:rFonts w:ascii="T" w:eastAsia="Times New Roman" w:hAnsi="T" w:cs="Simplified Arabic"/>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Toc234607846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FAE7D95" w14:textId="794D0A2D" w:rsidR="00AC44CC" w:rsidRDefault="00AC44CC">
          <w:pPr>
            <w:pStyle w:val="TOC1"/>
            <w:rPr>
              <w:rFonts w:eastAsiaTheme="minorEastAsia"/>
              <w:noProof/>
              <w:kern w:val="2"/>
              <w:sz w:val="24"/>
              <w:szCs w:val="24"/>
              <w:rtl/>
              <w14:ligatures w14:val="standardContextual"/>
            </w:rPr>
          </w:pPr>
          <w:hyperlink w:anchor="_Toc234607847" w:history="1">
            <w:r w:rsidRPr="00F9081D">
              <w:rPr>
                <w:rStyle w:val="Hyperlink"/>
                <w:rFonts w:ascii="T" w:eastAsia="Times New Roman" w:hAnsi="T" w:cs="Simplified Arabic"/>
                <w:b/>
                <w:bCs/>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Toc234607847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74149F0F" w14:textId="70E86F6B" w:rsidR="00AC44CC" w:rsidRDefault="00AC44CC">
          <w:pPr>
            <w:pStyle w:val="TOC1"/>
            <w:rPr>
              <w:rFonts w:eastAsiaTheme="minorEastAsia"/>
              <w:noProof/>
              <w:kern w:val="2"/>
              <w:sz w:val="24"/>
              <w:szCs w:val="24"/>
              <w:rtl/>
              <w14:ligatures w14:val="standardContextual"/>
            </w:rPr>
          </w:pPr>
          <w:hyperlink w:anchor="_Toc234607848" w:history="1">
            <w:r w:rsidRPr="00F9081D">
              <w:rPr>
                <w:rStyle w:val="Hyperlink"/>
                <w:rFonts w:ascii="T" w:eastAsia="Times New Roman" w:hAnsi="T" w:cs="Simplified Arabic"/>
                <w:b/>
                <w:bCs/>
                <w:noProof/>
                <w:rtl/>
              </w:rPr>
              <w:t>أهمية الدراسة (النظرية والتطبيقية):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Toc234607848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5626EBCC" w14:textId="5441C3C9" w:rsidR="00AC44CC" w:rsidRDefault="00AC44CC">
          <w:pPr>
            <w:pStyle w:val="TOC2"/>
            <w:rPr>
              <w:rFonts w:eastAsiaTheme="minorEastAsia"/>
              <w:noProof/>
              <w:kern w:val="2"/>
              <w:sz w:val="24"/>
              <w:szCs w:val="24"/>
              <w:rtl/>
              <w14:ligatures w14:val="standardContextual"/>
            </w:rPr>
          </w:pPr>
          <w:hyperlink w:anchor="_Toc234607849" w:history="1">
            <w:r w:rsidRPr="00F9081D">
              <w:rPr>
                <w:rStyle w:val="Hyperlink"/>
                <w:rFonts w:ascii="T" w:hAnsi="T" w:cs="Simplified Arabic"/>
                <w:b/>
                <w:bCs/>
                <w:noProof/>
                <w:rtl/>
              </w:rPr>
              <w:t>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Toc234607849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2E30D9EF" w14:textId="0D5B0F47" w:rsidR="00AC44CC" w:rsidRDefault="00AC44CC">
          <w:pPr>
            <w:pStyle w:val="TOC2"/>
            <w:rPr>
              <w:rFonts w:eastAsiaTheme="minorEastAsia"/>
              <w:noProof/>
              <w:kern w:val="2"/>
              <w:sz w:val="24"/>
              <w:szCs w:val="24"/>
              <w:rtl/>
              <w14:ligatures w14:val="standardContextual"/>
            </w:rPr>
          </w:pPr>
          <w:hyperlink w:anchor="_Toc234607850" w:history="1">
            <w:r w:rsidRPr="00F9081D">
              <w:rPr>
                <w:rStyle w:val="Hyperlink"/>
                <w:rFonts w:ascii="T" w:hAnsi="T" w:cs="Simplified Arabic"/>
                <w:b/>
                <w:bCs/>
                <w:noProof/>
                <w:rtl/>
              </w:rPr>
              <w:t>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Toc234607850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3258416" w14:textId="50A04FA7" w:rsidR="00AC44CC" w:rsidRDefault="00AC44CC">
          <w:pPr>
            <w:pStyle w:val="TOC1"/>
            <w:rPr>
              <w:rFonts w:eastAsiaTheme="minorEastAsia"/>
              <w:noProof/>
              <w:kern w:val="2"/>
              <w:sz w:val="24"/>
              <w:szCs w:val="24"/>
              <w:rtl/>
              <w14:ligatures w14:val="standardContextual"/>
            </w:rPr>
          </w:pPr>
          <w:hyperlink w:anchor="_Toc234607851" w:history="1">
            <w:r w:rsidRPr="00F9081D">
              <w:rPr>
                <w:rStyle w:val="Hyperlink"/>
                <w:rFonts w:ascii="T" w:eastAsia="Times New Roman" w:hAnsi="T" w:cs="Simplified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Toc234607851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714906CC" w14:textId="30BB2F3E" w:rsidR="00AC44CC" w:rsidRDefault="00AC44CC">
          <w:pPr>
            <w:pStyle w:val="TOC1"/>
            <w:rPr>
              <w:rFonts w:eastAsiaTheme="minorEastAsia"/>
              <w:noProof/>
              <w:kern w:val="2"/>
              <w:sz w:val="24"/>
              <w:szCs w:val="24"/>
              <w:rtl/>
              <w14:ligatures w14:val="standardContextual"/>
            </w:rPr>
          </w:pPr>
          <w:hyperlink w:anchor="_Toc234607852" w:history="1">
            <w:r w:rsidRPr="00F9081D">
              <w:rPr>
                <w:rStyle w:val="Hyperlink"/>
                <w:rFonts w:ascii="T" w:eastAsia="Times New Roman" w:hAnsi="T" w:cs="Simplified Arabic"/>
                <w:b/>
                <w:bCs/>
                <w:noProof/>
                <w:rtl/>
              </w:rPr>
              <w:t>مفاهيم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Toc234607852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1996B2E7" w14:textId="41DAF470" w:rsidR="00AC44CC" w:rsidRDefault="00AC44CC">
          <w:pPr>
            <w:pStyle w:val="TOC2"/>
            <w:rPr>
              <w:rFonts w:eastAsiaTheme="minorEastAsia"/>
              <w:noProof/>
              <w:kern w:val="2"/>
              <w:sz w:val="24"/>
              <w:szCs w:val="24"/>
              <w:rtl/>
              <w14:ligatures w14:val="standardContextual"/>
            </w:rPr>
          </w:pPr>
          <w:hyperlink w:anchor="_Toc234607853" w:history="1">
            <w:r w:rsidRPr="00F9081D">
              <w:rPr>
                <w:rStyle w:val="Hyperlink"/>
                <w:rFonts w:ascii="T" w:hAnsi="T" w:cs="Simplified Arabic"/>
                <w:noProof/>
                <w:rtl/>
              </w:rPr>
              <w:t>المفاهيم الاصطلاحية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Toc234607853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455A05E2" w14:textId="43E164FD" w:rsidR="00AC44CC" w:rsidRDefault="00AC44CC">
          <w:pPr>
            <w:pStyle w:val="TOC2"/>
            <w:rPr>
              <w:rFonts w:eastAsiaTheme="minorEastAsia"/>
              <w:noProof/>
              <w:kern w:val="2"/>
              <w:sz w:val="24"/>
              <w:szCs w:val="24"/>
              <w:rtl/>
              <w14:ligatures w14:val="standardContextual"/>
            </w:rPr>
          </w:pPr>
          <w:hyperlink w:anchor="_Toc234607854" w:history="1">
            <w:r w:rsidRPr="00F9081D">
              <w:rPr>
                <w:rStyle w:val="Hyperlink"/>
                <w:rFonts w:ascii="T" w:hAnsi="T" w:cs="Simplified Arabic"/>
                <w:noProof/>
                <w:rtl/>
              </w:rPr>
              <w:t>المفاهيم 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Toc234607854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29A09142" w14:textId="5401B64D" w:rsidR="00AC44CC" w:rsidRDefault="00AC44CC">
          <w:pPr>
            <w:pStyle w:val="TOC2"/>
            <w:rPr>
              <w:rFonts w:eastAsiaTheme="minorEastAsia"/>
              <w:noProof/>
              <w:kern w:val="2"/>
              <w:sz w:val="24"/>
              <w:szCs w:val="24"/>
              <w:rtl/>
              <w14:ligatures w14:val="standardContextual"/>
            </w:rPr>
          </w:pPr>
          <w:hyperlink w:anchor="_Toc234607855" w:history="1">
            <w:r w:rsidRPr="00F9081D">
              <w:rPr>
                <w:rStyle w:val="Hyperlink"/>
                <w:rFonts w:ascii="T" w:hAnsi="T" w:cs="Simplified Arabic"/>
                <w:noProof/>
                <w:rtl/>
              </w:rPr>
              <w:t>المفاهيم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Toc234607855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0FF168DF" w14:textId="15A64C45" w:rsidR="00AC44CC" w:rsidRDefault="00AC44CC">
          <w:pPr>
            <w:pStyle w:val="TOC1"/>
            <w:rPr>
              <w:rFonts w:eastAsiaTheme="minorEastAsia"/>
              <w:noProof/>
              <w:kern w:val="2"/>
              <w:sz w:val="24"/>
              <w:szCs w:val="24"/>
              <w:rtl/>
              <w14:ligatures w14:val="standardContextual"/>
            </w:rPr>
          </w:pPr>
          <w:hyperlink w:anchor="_Toc234607856" w:history="1">
            <w:r w:rsidRPr="00F9081D">
              <w:rPr>
                <w:rStyle w:val="Hyperlink"/>
                <w:rFonts w:ascii="T" w:eastAsia="Times New Roman" w:hAnsi="T" w:cs="Simplified Arabic"/>
                <w:b/>
                <w:bCs/>
                <w:noProof/>
                <w:rtl/>
              </w:rPr>
              <w:t>الدراسات المرجعية: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Toc234607856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3B50E8F6" w14:textId="59E31A8F" w:rsidR="00AC44CC" w:rsidRDefault="00AC44CC">
          <w:pPr>
            <w:pStyle w:val="TOC1"/>
            <w:rPr>
              <w:rFonts w:eastAsiaTheme="minorEastAsia"/>
              <w:noProof/>
              <w:kern w:val="2"/>
              <w:sz w:val="24"/>
              <w:szCs w:val="24"/>
              <w:rtl/>
              <w14:ligatures w14:val="standardContextual"/>
            </w:rPr>
          </w:pPr>
          <w:hyperlink w:anchor="_Toc234607857" w:history="1">
            <w:r w:rsidRPr="00F9081D">
              <w:rPr>
                <w:rStyle w:val="Hyperlink"/>
                <w:rFonts w:ascii="T" w:eastAsia="Times New Roman" w:hAnsi="T" w:cs="Simplified Arabic"/>
                <w:b/>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Toc234607857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2A05F6D1" w14:textId="34CC1C77" w:rsidR="00AC44CC" w:rsidRDefault="00AC44CC">
          <w:pPr>
            <w:pStyle w:val="TOC2"/>
            <w:rPr>
              <w:rFonts w:eastAsiaTheme="minorEastAsia"/>
              <w:noProof/>
              <w:kern w:val="2"/>
              <w:sz w:val="24"/>
              <w:szCs w:val="24"/>
              <w:rtl/>
              <w14:ligatures w14:val="standardContextual"/>
            </w:rPr>
          </w:pPr>
          <w:hyperlink w:anchor="_Toc234607858" w:history="1">
            <w:r w:rsidRPr="00F9081D">
              <w:rPr>
                <w:rStyle w:val="Hyperlink"/>
                <w:rFonts w:ascii="T" w:hAnsi="T" w:cs="Simplified Arabic"/>
                <w:noProof/>
                <w:rtl/>
              </w:rPr>
              <w:t>أولاً: الحدود 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Toc234607858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41DA7469" w14:textId="0903B6E9" w:rsidR="00AC44CC" w:rsidRDefault="00AC44CC">
          <w:pPr>
            <w:pStyle w:val="TOC2"/>
            <w:rPr>
              <w:rFonts w:eastAsiaTheme="minorEastAsia"/>
              <w:noProof/>
              <w:kern w:val="2"/>
              <w:sz w:val="24"/>
              <w:szCs w:val="24"/>
              <w:rtl/>
              <w14:ligatures w14:val="standardContextual"/>
            </w:rPr>
          </w:pPr>
          <w:hyperlink w:anchor="_Toc234607859" w:history="1">
            <w:r w:rsidRPr="00F9081D">
              <w:rPr>
                <w:rStyle w:val="Hyperlink"/>
                <w:rFonts w:ascii="T" w:hAnsi="T" w:cs="Simplified Arabic"/>
                <w:noProof/>
                <w:rtl/>
              </w:rPr>
              <w:t>ثانياً: الحدود الزمانية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Toc234607859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74B0BABB" w14:textId="26031AFD" w:rsidR="00AC44CC" w:rsidRDefault="00AC44CC">
          <w:pPr>
            <w:pStyle w:val="TOC2"/>
            <w:rPr>
              <w:rFonts w:eastAsiaTheme="minorEastAsia"/>
              <w:noProof/>
              <w:kern w:val="2"/>
              <w:sz w:val="24"/>
              <w:szCs w:val="24"/>
              <w:rtl/>
              <w14:ligatures w14:val="standardContextual"/>
            </w:rPr>
          </w:pPr>
          <w:hyperlink w:anchor="_Toc234607860" w:history="1">
            <w:r w:rsidRPr="00F9081D">
              <w:rPr>
                <w:rStyle w:val="Hyperlink"/>
                <w:rFonts w:ascii="T" w:hAnsi="T" w:cs="Simplified Arabic"/>
                <w:noProof/>
                <w:rtl/>
              </w:rPr>
              <w:t>ثالثاً: الحدود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Toc234607860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3AF888ED" w14:textId="0DFFDA7F" w:rsidR="00AC44CC" w:rsidRDefault="00AC44CC">
          <w:pPr>
            <w:pStyle w:val="TOC2"/>
            <w:rPr>
              <w:rFonts w:eastAsiaTheme="minorEastAsia"/>
              <w:noProof/>
              <w:kern w:val="2"/>
              <w:sz w:val="24"/>
              <w:szCs w:val="24"/>
              <w:rtl/>
              <w14:ligatures w14:val="standardContextual"/>
            </w:rPr>
          </w:pPr>
          <w:hyperlink w:anchor="_Toc234607861" w:history="1">
            <w:r w:rsidRPr="00F9081D">
              <w:rPr>
                <w:rStyle w:val="Hyperlink"/>
                <w:rFonts w:ascii="T" w:hAnsi="T" w:cs="Simplified Arabic"/>
                <w:noProof/>
                <w:rtl/>
              </w:rPr>
              <w:t>رابعاً: الحدود 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Toc234607861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6BA9C2A3" w14:textId="3192451B" w:rsidR="00AC44CC" w:rsidRDefault="00AC44CC">
          <w:pPr>
            <w:pStyle w:val="TOC1"/>
            <w:rPr>
              <w:rFonts w:eastAsiaTheme="minorEastAsia"/>
              <w:noProof/>
              <w:kern w:val="2"/>
              <w:sz w:val="24"/>
              <w:szCs w:val="24"/>
              <w:rtl/>
              <w14:ligatures w14:val="standardContextual"/>
            </w:rPr>
          </w:pPr>
          <w:hyperlink w:anchor="_Toc234607862" w:history="1">
            <w:r w:rsidRPr="00F9081D">
              <w:rPr>
                <w:rStyle w:val="Hyperlink"/>
                <w:rFonts w:ascii="T" w:eastAsia="Times New Roman" w:hAnsi="T" w:cs="Simplified Arabic"/>
                <w:b/>
                <w:bCs/>
                <w:noProof/>
                <w:rtl/>
              </w:rPr>
              <w:t>إجراءات ومنهجية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Toc234607862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6A9CDF8C" w14:textId="56A58940" w:rsidR="00AC44CC" w:rsidRDefault="00AC44CC">
          <w:pPr>
            <w:pStyle w:val="TOC2"/>
            <w:rPr>
              <w:rFonts w:eastAsiaTheme="minorEastAsia"/>
              <w:noProof/>
              <w:kern w:val="2"/>
              <w:sz w:val="24"/>
              <w:szCs w:val="24"/>
              <w:rtl/>
              <w14:ligatures w14:val="standardContextual"/>
            </w:rPr>
          </w:pPr>
          <w:hyperlink w:anchor="_Toc234607863" w:history="1">
            <w:r w:rsidRPr="00F9081D">
              <w:rPr>
                <w:rStyle w:val="Hyperlink"/>
                <w:rFonts w:ascii="T" w:hAnsi="T" w:cs="Simplified Arabic"/>
                <w:noProof/>
                <w:rtl/>
              </w:rPr>
              <w:t>مجتمع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Toc234607863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1F38F346" w14:textId="3E6B0763" w:rsidR="00AC44CC" w:rsidRDefault="00AC44CC">
          <w:pPr>
            <w:pStyle w:val="TOC2"/>
            <w:rPr>
              <w:rFonts w:eastAsiaTheme="minorEastAsia"/>
              <w:noProof/>
              <w:kern w:val="2"/>
              <w:sz w:val="24"/>
              <w:szCs w:val="24"/>
              <w:rtl/>
              <w14:ligatures w14:val="standardContextual"/>
            </w:rPr>
          </w:pPr>
          <w:hyperlink w:anchor="_Toc234607864" w:history="1">
            <w:r w:rsidRPr="00F9081D">
              <w:rPr>
                <w:rStyle w:val="Hyperlink"/>
                <w:rFonts w:ascii="T" w:hAnsi="T" w:cs="Simplified Arabic"/>
                <w:noProof/>
                <w:rtl/>
              </w:rPr>
              <w:t>وسائل جمع بيانات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Toc234607864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66D9901B" w14:textId="4E98CBD2" w:rsidR="00AC44CC" w:rsidRDefault="00AC44CC">
          <w:pPr>
            <w:pStyle w:val="TOC2"/>
            <w:rPr>
              <w:rFonts w:eastAsiaTheme="minorEastAsia"/>
              <w:noProof/>
              <w:kern w:val="2"/>
              <w:sz w:val="24"/>
              <w:szCs w:val="24"/>
              <w:rtl/>
              <w14:ligatures w14:val="standardContextual"/>
            </w:rPr>
          </w:pPr>
          <w:hyperlink w:anchor="_Toc234607865" w:history="1">
            <w:r w:rsidRPr="00F9081D">
              <w:rPr>
                <w:rStyle w:val="Hyperlink"/>
                <w:rFonts w:ascii="T" w:hAnsi="T" w:cs="Simplified Arabic"/>
                <w:noProof/>
                <w:shd w:val="clear" w:color="auto" w:fill="FFFFFF"/>
                <w:rtl/>
              </w:rPr>
              <w:t>إطار 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Toc234607865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437A472E" w14:textId="0595C307" w:rsidR="00AC44CC" w:rsidRDefault="00AC44CC">
          <w:pPr>
            <w:pStyle w:val="TOC3"/>
            <w:tabs>
              <w:tab w:val="left" w:pos="440"/>
              <w:tab w:val="right" w:leader="dot" w:pos="8296"/>
            </w:tabs>
            <w:bidi/>
            <w:rPr>
              <w:rFonts w:eastAsiaTheme="minorEastAsia"/>
              <w:noProof/>
              <w:kern w:val="2"/>
              <w:sz w:val="24"/>
              <w:szCs w:val="24"/>
              <w:rtl/>
              <w14:ligatures w14:val="standardContextual"/>
            </w:rPr>
          </w:pPr>
          <w:hyperlink w:anchor="_Toc234607866" w:history="1">
            <w:r w:rsidRPr="00F9081D">
              <w:rPr>
                <w:rStyle w:val="Hyperlink"/>
                <w:noProof/>
                <w:rtl/>
              </w:rPr>
              <w:t>أ‌.</w:t>
            </w:r>
            <w:r>
              <w:rPr>
                <w:rFonts w:eastAsiaTheme="minorEastAsia"/>
                <w:noProof/>
                <w:kern w:val="2"/>
                <w:sz w:val="24"/>
                <w:szCs w:val="24"/>
                <w:rtl/>
                <w14:ligatures w14:val="standardContextual"/>
              </w:rPr>
              <w:tab/>
            </w:r>
            <w:r w:rsidRPr="00F9081D">
              <w:rPr>
                <w:rStyle w:val="Hyperlink"/>
                <w:rFonts w:ascii="T" w:hAnsi="T" w:cs="Simplified Arabic"/>
                <w:noProof/>
                <w:shd w:val="clear" w:color="auto" w:fill="FFFFFF"/>
                <w:rtl/>
              </w:rPr>
              <w:t>أدوات التحليل المالي ومعايير اتخاذ 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Toc234607866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450994B7" w14:textId="6B7DDC73" w:rsidR="00AC44CC" w:rsidRDefault="00AC44CC">
          <w:pPr>
            <w:pStyle w:val="TOC3"/>
            <w:tabs>
              <w:tab w:val="left" w:pos="440"/>
              <w:tab w:val="right" w:leader="dot" w:pos="8296"/>
            </w:tabs>
            <w:bidi/>
            <w:rPr>
              <w:rFonts w:eastAsiaTheme="minorEastAsia"/>
              <w:noProof/>
              <w:kern w:val="2"/>
              <w:sz w:val="24"/>
              <w:szCs w:val="24"/>
              <w:rtl/>
              <w14:ligatures w14:val="standardContextual"/>
            </w:rPr>
          </w:pPr>
          <w:hyperlink w:anchor="_Toc234607867" w:history="1">
            <w:r w:rsidRPr="00F9081D">
              <w:rPr>
                <w:rStyle w:val="Hyperlink"/>
                <w:noProof/>
                <w:rtl/>
              </w:rPr>
              <w:t>ب‌.</w:t>
            </w:r>
            <w:r>
              <w:rPr>
                <w:rFonts w:eastAsiaTheme="minorEastAsia"/>
                <w:noProof/>
                <w:kern w:val="2"/>
                <w:sz w:val="24"/>
                <w:szCs w:val="24"/>
                <w:rtl/>
                <w14:ligatures w14:val="standardContextual"/>
              </w:rPr>
              <w:tab/>
            </w:r>
            <w:r w:rsidRPr="00F9081D">
              <w:rPr>
                <w:rStyle w:val="Hyperlink"/>
                <w:rFonts w:ascii="T" w:hAnsi="T" w:cs="Simplified Arabic"/>
                <w:noProof/>
                <w:shd w:val="clear" w:color="auto" w:fill="FFFFFF"/>
                <w:rtl/>
              </w:rPr>
              <w:t>مؤشرات مستوى الخدمة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Toc234607867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1B9B04A1" w14:textId="6544EFEA" w:rsidR="00AC44CC" w:rsidRDefault="00AC44CC">
          <w:pPr>
            <w:pStyle w:val="TOC3"/>
            <w:tabs>
              <w:tab w:val="left" w:pos="440"/>
              <w:tab w:val="right" w:leader="dot" w:pos="8296"/>
            </w:tabs>
            <w:bidi/>
            <w:rPr>
              <w:rFonts w:eastAsiaTheme="minorEastAsia"/>
              <w:noProof/>
              <w:kern w:val="2"/>
              <w:sz w:val="24"/>
              <w:szCs w:val="24"/>
              <w:rtl/>
              <w14:ligatures w14:val="standardContextual"/>
            </w:rPr>
          </w:pPr>
          <w:hyperlink w:anchor="_Toc234607868" w:history="1">
            <w:r w:rsidRPr="00F9081D">
              <w:rPr>
                <w:rStyle w:val="Hyperlink"/>
                <w:noProof/>
                <w:rtl/>
              </w:rPr>
              <w:t>ت‌.</w:t>
            </w:r>
            <w:r>
              <w:rPr>
                <w:rFonts w:eastAsiaTheme="minorEastAsia"/>
                <w:noProof/>
                <w:kern w:val="2"/>
                <w:sz w:val="24"/>
                <w:szCs w:val="24"/>
                <w:rtl/>
                <w14:ligatures w14:val="standardContextual"/>
              </w:rPr>
              <w:tab/>
            </w:r>
            <w:r w:rsidRPr="00F9081D">
              <w:rPr>
                <w:rStyle w:val="Hyperlink"/>
                <w:rFonts w:ascii="T" w:hAnsi="T" w:cs="Simplified Arabic"/>
                <w:noProof/>
                <w:shd w:val="clear" w:color="auto" w:fill="FFFFFF"/>
                <w:rtl/>
              </w:rPr>
              <w:t>أداة 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Toc234607868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250D474B" w14:textId="535F42EC" w:rsidR="00AC44CC" w:rsidRDefault="00AC44CC">
          <w:pPr>
            <w:pStyle w:val="TOC3"/>
            <w:tabs>
              <w:tab w:val="left" w:pos="440"/>
              <w:tab w:val="right" w:leader="dot" w:pos="8296"/>
            </w:tabs>
            <w:bidi/>
            <w:rPr>
              <w:rFonts w:eastAsiaTheme="minorEastAsia"/>
              <w:noProof/>
              <w:kern w:val="2"/>
              <w:sz w:val="24"/>
              <w:szCs w:val="24"/>
              <w:rtl/>
              <w14:ligatures w14:val="standardContextual"/>
            </w:rPr>
          </w:pPr>
          <w:hyperlink w:anchor="_Toc234607869" w:history="1">
            <w:r w:rsidRPr="00F9081D">
              <w:rPr>
                <w:rStyle w:val="Hyperlink"/>
                <w:noProof/>
                <w:rtl/>
              </w:rPr>
              <w:t>ث‌.</w:t>
            </w:r>
            <w:r>
              <w:rPr>
                <w:rFonts w:eastAsiaTheme="minorEastAsia"/>
                <w:noProof/>
                <w:kern w:val="2"/>
                <w:sz w:val="24"/>
                <w:szCs w:val="24"/>
                <w:rtl/>
                <w14:ligatures w14:val="standardContextual"/>
              </w:rPr>
              <w:tab/>
            </w:r>
            <w:r w:rsidRPr="00F9081D">
              <w:rPr>
                <w:rStyle w:val="Hyperlink"/>
                <w:rFonts w:ascii="T" w:hAnsi="T" w:cs="Simplified Arabic"/>
                <w:noProof/>
                <w:shd w:val="clear" w:color="auto" w:fill="FFFFFF"/>
                <w:rtl/>
              </w:rPr>
              <w:t>المتغيرات الضابطة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Toc234607869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0974C192" w14:textId="2CC2B5A7" w:rsidR="00AC44CC" w:rsidRDefault="00AC44CC">
          <w:pPr>
            <w:pStyle w:val="TOC2"/>
            <w:rPr>
              <w:rFonts w:eastAsiaTheme="minorEastAsia"/>
              <w:noProof/>
              <w:kern w:val="2"/>
              <w:sz w:val="24"/>
              <w:szCs w:val="24"/>
              <w:rtl/>
              <w14:ligatures w14:val="standardContextual"/>
            </w:rPr>
          </w:pPr>
          <w:hyperlink w:anchor="_Toc234607870" w:history="1">
            <w:r w:rsidRPr="00F9081D">
              <w:rPr>
                <w:rStyle w:val="Hyperlink"/>
                <w:rFonts w:ascii="T" w:hAnsi="T" w:cs="Simplified Arabic"/>
                <w:noProof/>
                <w:shd w:val="clear" w:color="auto" w:fill="FFFFFF"/>
                <w:rtl/>
              </w:rPr>
              <w:t>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Toc234607870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5F32AFCA" w14:textId="02E0D53A" w:rsidR="00AC44CC" w:rsidRDefault="00AC44CC">
          <w:pPr>
            <w:pStyle w:val="TOC1"/>
            <w:rPr>
              <w:rFonts w:eastAsiaTheme="minorEastAsia"/>
              <w:noProof/>
              <w:kern w:val="2"/>
              <w:sz w:val="24"/>
              <w:szCs w:val="24"/>
              <w:rtl/>
              <w14:ligatures w14:val="standardContextual"/>
            </w:rPr>
          </w:pPr>
          <w:hyperlink w:anchor="_Toc234607871" w:history="1">
            <w:r w:rsidRPr="00F9081D">
              <w:rPr>
                <w:rStyle w:val="Hyperlink"/>
                <w:rFonts w:ascii="T" w:hAnsi="T" w:cs="Simplified Arabic"/>
                <w:b/>
                <w:bCs/>
                <w:noProof/>
                <w:shd w:val="clear" w:color="auto" w:fill="FFFFFF"/>
                <w:rtl/>
              </w:rPr>
              <w:t>الفصل الثاني: الإطار النظري للدراسة (مراجعة الأدبيات ذات العلاقة)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Toc234607871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368EC99A" w14:textId="4961FF37" w:rsidR="00AC44CC" w:rsidRDefault="00AC44CC">
          <w:pPr>
            <w:pStyle w:val="TOC1"/>
            <w:rPr>
              <w:rFonts w:eastAsiaTheme="minorEastAsia"/>
              <w:noProof/>
              <w:kern w:val="2"/>
              <w:sz w:val="24"/>
              <w:szCs w:val="24"/>
              <w:rtl/>
              <w14:ligatures w14:val="standardContextual"/>
            </w:rPr>
          </w:pPr>
          <w:hyperlink w:anchor="_Toc234607872" w:history="1">
            <w:r w:rsidRPr="00F9081D">
              <w:rPr>
                <w:rStyle w:val="Hyperlink"/>
                <w:rFonts w:ascii="T" w:hAnsi="T" w:cs="Simplified Arabic"/>
                <w:b/>
                <w:bCs/>
                <w:noProof/>
                <w:shd w:val="clear" w:color="auto" w:fill="FFFFFF"/>
                <w:rtl/>
              </w:rPr>
              <w:t>منهجية مراجعة الأدبيات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Toc234607872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1ED8DE08" w14:textId="4B5C80FC" w:rsidR="00AC44CC" w:rsidRDefault="00AC44CC">
          <w:pPr>
            <w:pStyle w:val="TOC3"/>
            <w:tabs>
              <w:tab w:val="right" w:leader="dot" w:pos="8296"/>
            </w:tabs>
            <w:bidi/>
            <w:rPr>
              <w:rFonts w:eastAsiaTheme="minorEastAsia"/>
              <w:noProof/>
              <w:kern w:val="2"/>
              <w:sz w:val="24"/>
              <w:szCs w:val="24"/>
              <w:rtl/>
              <w14:ligatures w14:val="standardContextual"/>
            </w:rPr>
          </w:pPr>
          <w:hyperlink w:anchor="_Toc234607873" w:history="1">
            <w:r w:rsidRPr="00F9081D">
              <w:rPr>
                <w:rStyle w:val="Hyperlink"/>
                <w:rFonts w:ascii="T" w:eastAsiaTheme="majorEastAsia" w:hAnsi="T" w:cs="Simplified Arabic"/>
                <w:b/>
                <w:bCs/>
                <w:noProof/>
                <w:shd w:val="clear" w:color="auto" w:fill="FFFFFF"/>
                <w:rtl/>
              </w:rPr>
              <w:t>أولاً: قواعد البيانات والمصادر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Toc234607873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00CA9E85" w14:textId="74BC7E58" w:rsidR="00AC44CC" w:rsidRDefault="00AC44CC">
          <w:pPr>
            <w:pStyle w:val="TOC3"/>
            <w:tabs>
              <w:tab w:val="right" w:leader="dot" w:pos="8296"/>
            </w:tabs>
            <w:bidi/>
            <w:rPr>
              <w:rFonts w:eastAsiaTheme="minorEastAsia"/>
              <w:noProof/>
              <w:kern w:val="2"/>
              <w:sz w:val="24"/>
              <w:szCs w:val="24"/>
              <w:rtl/>
              <w14:ligatures w14:val="standardContextual"/>
            </w:rPr>
          </w:pPr>
          <w:hyperlink w:anchor="_Toc234607874" w:history="1">
            <w:r w:rsidRPr="00F9081D">
              <w:rPr>
                <w:rStyle w:val="Hyperlink"/>
                <w:rFonts w:ascii="T" w:eastAsiaTheme="majorEastAsia" w:hAnsi="T" w:cs="Simplified Arabic"/>
                <w:b/>
                <w:bCs/>
                <w:noProof/>
                <w:shd w:val="clear" w:color="auto" w:fill="FFFFFF"/>
                <w:rtl/>
              </w:rPr>
              <w:t>قواعد البيانات العلمية المحكمة</w:t>
            </w:r>
            <w:r w:rsidRPr="00F9081D">
              <w:rPr>
                <w:rStyle w:val="Hyperlink"/>
                <w:rFonts w:ascii="T" w:eastAsiaTheme="majorEastAsia" w:hAnsi="T" w:cs="Simplified Arabic"/>
                <w:b/>
                <w:bCs/>
                <w:noProof/>
                <w:shd w:val="clear" w:color="auto" w:fill="FFFFF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Toc234607874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782FFDF9" w14:textId="2623F11E" w:rsidR="00AC44CC" w:rsidRDefault="00AC44CC">
          <w:pPr>
            <w:pStyle w:val="TOC3"/>
            <w:tabs>
              <w:tab w:val="right" w:leader="dot" w:pos="8296"/>
            </w:tabs>
            <w:bidi/>
            <w:rPr>
              <w:rFonts w:eastAsiaTheme="minorEastAsia"/>
              <w:noProof/>
              <w:kern w:val="2"/>
              <w:sz w:val="24"/>
              <w:szCs w:val="24"/>
              <w:rtl/>
              <w14:ligatures w14:val="standardContextual"/>
            </w:rPr>
          </w:pPr>
          <w:hyperlink w:anchor="_Toc234607875" w:history="1">
            <w:r w:rsidRPr="00F9081D">
              <w:rPr>
                <w:rStyle w:val="Hyperlink"/>
                <w:rFonts w:ascii="T" w:eastAsiaTheme="majorEastAsia" w:hAnsi="T" w:cs="Simplified Arabic"/>
                <w:b/>
                <w:bCs/>
                <w:noProof/>
                <w:shd w:val="clear" w:color="auto" w:fill="FFFFFF"/>
                <w:rtl/>
              </w:rPr>
              <w:t>المصادر الرسمية والتقارير</w:t>
            </w:r>
            <w:r w:rsidRPr="00F9081D">
              <w:rPr>
                <w:rStyle w:val="Hyperlink"/>
                <w:rFonts w:ascii="T" w:eastAsiaTheme="majorEastAsia" w:hAnsi="T" w:cs="Simplified Arabic"/>
                <w:b/>
                <w:bCs/>
                <w:noProof/>
                <w:shd w:val="clear" w:color="auto" w:fill="FFFFF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Toc234607875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642F395C" w14:textId="4B107356" w:rsidR="00AC44CC" w:rsidRDefault="00AC44CC">
          <w:pPr>
            <w:pStyle w:val="TOC3"/>
            <w:tabs>
              <w:tab w:val="right" w:leader="dot" w:pos="8296"/>
            </w:tabs>
            <w:bidi/>
            <w:rPr>
              <w:rFonts w:eastAsiaTheme="minorEastAsia"/>
              <w:noProof/>
              <w:kern w:val="2"/>
              <w:sz w:val="24"/>
              <w:szCs w:val="24"/>
              <w:rtl/>
              <w14:ligatures w14:val="standardContextual"/>
            </w:rPr>
          </w:pPr>
          <w:hyperlink w:anchor="_Toc234607876" w:history="1">
            <w:r w:rsidRPr="00F9081D">
              <w:rPr>
                <w:rStyle w:val="Hyperlink"/>
                <w:rFonts w:ascii="T" w:eastAsiaTheme="majorEastAsia" w:hAnsi="T" w:cs="Simplified Arabic"/>
                <w:b/>
                <w:bCs/>
                <w:noProof/>
                <w:shd w:val="clear" w:color="auto" w:fill="FFFFFF"/>
                <w:rtl/>
              </w:rPr>
              <w:t>ثانياً: الكلمات المفتاحية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Toc234607876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02B86634" w14:textId="26C4B140" w:rsidR="00AC44CC" w:rsidRDefault="00AC44CC">
          <w:pPr>
            <w:pStyle w:val="TOC1"/>
            <w:rPr>
              <w:rFonts w:eastAsiaTheme="minorEastAsia"/>
              <w:noProof/>
              <w:kern w:val="2"/>
              <w:sz w:val="24"/>
              <w:szCs w:val="24"/>
              <w:rtl/>
              <w14:ligatures w14:val="standardContextual"/>
            </w:rPr>
          </w:pPr>
          <w:hyperlink w:anchor="_Toc234607877" w:history="1">
            <w:r w:rsidRPr="00F9081D">
              <w:rPr>
                <w:rStyle w:val="Hyperlink"/>
                <w:rFonts w:ascii="T" w:hAnsi="T" w:cs="Simplified Arabic"/>
                <w:b/>
                <w:bCs/>
                <w:noProof/>
                <w:rtl/>
              </w:rPr>
              <w:t>النظريات المفسرة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Toc234607877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77357BF4" w14:textId="7CB1CEAE" w:rsidR="00AC44CC" w:rsidRDefault="00AC44CC">
          <w:pPr>
            <w:pStyle w:val="TOC2"/>
            <w:rPr>
              <w:rFonts w:eastAsiaTheme="minorEastAsia"/>
              <w:noProof/>
              <w:kern w:val="2"/>
              <w:sz w:val="24"/>
              <w:szCs w:val="24"/>
              <w:rtl/>
              <w14:ligatures w14:val="standardContextual"/>
            </w:rPr>
          </w:pPr>
          <w:hyperlink w:anchor="_Toc234607878" w:history="1">
            <w:r w:rsidRPr="00F9081D">
              <w:rPr>
                <w:rStyle w:val="Hyperlink"/>
                <w:rFonts w:ascii="T" w:hAnsi="T" w:cs="Simplified Arabic"/>
                <w:b/>
                <w:bCs/>
                <w:noProof/>
                <w:rtl/>
              </w:rPr>
              <w:t>نظرية الوكالة</w:t>
            </w:r>
            <w:r w:rsidRPr="00F9081D">
              <w:rPr>
                <w:rStyle w:val="Hyperlink"/>
                <w:rFonts w:ascii="T" w:hAnsi="T" w:cs="Simplified Arabic"/>
                <w:b/>
                <w:bCs/>
                <w:noProof/>
              </w:rPr>
              <w:t xml:space="preserve"> (Agency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Toc234607878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59E14025" w14:textId="22FCA2D4" w:rsidR="00AC44CC" w:rsidRDefault="00AC44CC">
          <w:pPr>
            <w:pStyle w:val="TOC2"/>
            <w:rPr>
              <w:rFonts w:eastAsiaTheme="minorEastAsia"/>
              <w:noProof/>
              <w:kern w:val="2"/>
              <w:sz w:val="24"/>
              <w:szCs w:val="24"/>
              <w:rtl/>
              <w14:ligatures w14:val="standardContextual"/>
            </w:rPr>
          </w:pPr>
          <w:hyperlink w:anchor="_Toc234607879" w:history="1">
            <w:r w:rsidRPr="00F9081D">
              <w:rPr>
                <w:rStyle w:val="Hyperlink"/>
                <w:rFonts w:ascii="T" w:hAnsi="T" w:cs="Simplified Arabic"/>
                <w:b/>
                <w:bCs/>
                <w:noProof/>
                <w:rtl/>
              </w:rPr>
              <w:t>1.</w:t>
            </w:r>
            <w:r>
              <w:rPr>
                <w:rFonts w:eastAsiaTheme="minorEastAsia"/>
                <w:noProof/>
                <w:kern w:val="2"/>
                <w:sz w:val="24"/>
                <w:szCs w:val="24"/>
                <w:rtl/>
                <w14:ligatures w14:val="standardContextual"/>
              </w:rPr>
              <w:tab/>
            </w:r>
            <w:r w:rsidRPr="00F9081D">
              <w:rPr>
                <w:rStyle w:val="Hyperlink"/>
                <w:rFonts w:ascii="T" w:hAnsi="T" w:cs="Simplified Arabic"/>
                <w:b/>
                <w:bCs/>
                <w:noProof/>
                <w:rtl/>
              </w:rPr>
              <w:t>نظرة عامة عن الشراكة مع القطاع الخاص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Toc234607879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3166A9A1" w14:textId="6EBBD58E" w:rsidR="00AC44CC" w:rsidRDefault="00AC44CC">
          <w:pPr>
            <w:pStyle w:val="TOC2"/>
            <w:rPr>
              <w:rFonts w:eastAsiaTheme="minorEastAsia"/>
              <w:noProof/>
              <w:kern w:val="2"/>
              <w:sz w:val="24"/>
              <w:szCs w:val="24"/>
              <w:rtl/>
              <w14:ligatures w14:val="standardContextual"/>
            </w:rPr>
          </w:pPr>
          <w:hyperlink w:anchor="_Toc234607880" w:history="1">
            <w:r w:rsidRPr="00F9081D">
              <w:rPr>
                <w:rStyle w:val="Hyperlink"/>
                <w:rFonts w:ascii="T" w:hAnsi="T" w:cs="Simplified Arabic"/>
                <w:b/>
                <w:bCs/>
                <w:noProof/>
                <w:rtl/>
              </w:rPr>
              <w:t>2.</w:t>
            </w:r>
            <w:r>
              <w:rPr>
                <w:rFonts w:eastAsiaTheme="minorEastAsia"/>
                <w:noProof/>
                <w:kern w:val="2"/>
                <w:sz w:val="24"/>
                <w:szCs w:val="24"/>
                <w:rtl/>
                <w14:ligatures w14:val="standardContextual"/>
              </w:rPr>
              <w:tab/>
            </w:r>
            <w:r w:rsidRPr="00F9081D">
              <w:rPr>
                <w:rStyle w:val="Hyperlink"/>
                <w:rFonts w:ascii="T" w:hAnsi="T" w:cs="Simplified Arabic"/>
                <w:b/>
                <w:bCs/>
                <w:noProof/>
                <w:rtl/>
              </w:rPr>
              <w:t>منافع وفوائد الشراكة مع القطاع الخاص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Toc234607880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4A864554" w14:textId="12A56495" w:rsidR="00AC44CC" w:rsidRDefault="00AC44CC">
          <w:pPr>
            <w:pStyle w:val="TOC2"/>
            <w:rPr>
              <w:rFonts w:eastAsiaTheme="minorEastAsia"/>
              <w:noProof/>
              <w:kern w:val="2"/>
              <w:sz w:val="24"/>
              <w:szCs w:val="24"/>
              <w:rtl/>
              <w14:ligatures w14:val="standardContextual"/>
            </w:rPr>
          </w:pPr>
          <w:hyperlink w:anchor="_Toc234607881" w:history="1">
            <w:r w:rsidRPr="00F9081D">
              <w:rPr>
                <w:rStyle w:val="Hyperlink"/>
                <w:rFonts w:ascii="T" w:hAnsi="T" w:cs="Simplified Arabic"/>
                <w:b/>
                <w:bCs/>
                <w:noProof/>
                <w:rtl/>
              </w:rPr>
              <w:t>3.</w:t>
            </w:r>
            <w:r>
              <w:rPr>
                <w:rFonts w:eastAsiaTheme="minorEastAsia"/>
                <w:noProof/>
                <w:kern w:val="2"/>
                <w:sz w:val="24"/>
                <w:szCs w:val="24"/>
                <w:rtl/>
                <w14:ligatures w14:val="standardContextual"/>
              </w:rPr>
              <w:tab/>
            </w:r>
            <w:r w:rsidRPr="00F9081D">
              <w:rPr>
                <w:rStyle w:val="Hyperlink"/>
                <w:rFonts w:ascii="T" w:hAnsi="T" w:cs="Simplified Arabic"/>
                <w:b/>
                <w:bCs/>
                <w:noProof/>
                <w:rtl/>
              </w:rPr>
              <w:t>أنواع العقود وطرق التعاقد بين القطاعين العام والخاص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Toc234607881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1C1E7811" w14:textId="06DEA0BB" w:rsidR="00AC44CC" w:rsidRDefault="00AC44CC">
          <w:pPr>
            <w:pStyle w:val="TOC2"/>
            <w:rPr>
              <w:rFonts w:eastAsiaTheme="minorEastAsia"/>
              <w:noProof/>
              <w:kern w:val="2"/>
              <w:sz w:val="24"/>
              <w:szCs w:val="24"/>
              <w:rtl/>
              <w14:ligatures w14:val="standardContextual"/>
            </w:rPr>
          </w:pPr>
          <w:hyperlink w:anchor="_Toc234607882" w:history="1">
            <w:r w:rsidRPr="00F9081D">
              <w:rPr>
                <w:rStyle w:val="Hyperlink"/>
                <w:rFonts w:ascii="T" w:hAnsi="T" w:cs="Simplified Arabic"/>
                <w:b/>
                <w:bCs/>
                <w:noProof/>
                <w:rtl/>
              </w:rPr>
              <w:t>4.</w:t>
            </w:r>
            <w:r>
              <w:rPr>
                <w:rFonts w:eastAsiaTheme="minorEastAsia"/>
                <w:noProof/>
                <w:kern w:val="2"/>
                <w:sz w:val="24"/>
                <w:szCs w:val="24"/>
                <w:rtl/>
                <w14:ligatures w14:val="standardContextual"/>
              </w:rPr>
              <w:tab/>
            </w:r>
            <w:r w:rsidRPr="00F9081D">
              <w:rPr>
                <w:rStyle w:val="Hyperlink"/>
                <w:rFonts w:ascii="T" w:hAnsi="T" w:cs="Simplified Arabic"/>
                <w:b/>
                <w:bCs/>
                <w:noProof/>
                <w:rtl/>
              </w:rPr>
              <w:t>الحوكمة البيئية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Toc234607882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57F0E1C4" w14:textId="265796A9" w:rsidR="00AC44CC" w:rsidRDefault="00AC44CC">
          <w:pPr>
            <w:pStyle w:val="TOC2"/>
            <w:rPr>
              <w:rFonts w:eastAsiaTheme="minorEastAsia"/>
              <w:noProof/>
              <w:kern w:val="2"/>
              <w:sz w:val="24"/>
              <w:szCs w:val="24"/>
              <w:rtl/>
              <w14:ligatures w14:val="standardContextual"/>
            </w:rPr>
          </w:pPr>
          <w:hyperlink w:anchor="_Toc234607883" w:history="1">
            <w:r w:rsidRPr="00F9081D">
              <w:rPr>
                <w:rStyle w:val="Hyperlink"/>
                <w:rFonts w:ascii="T" w:hAnsi="T" w:cs="Simplified Arabic"/>
                <w:b/>
                <w:bCs/>
                <w:noProof/>
                <w:rtl/>
              </w:rPr>
              <w:t>5.</w:t>
            </w:r>
            <w:r>
              <w:rPr>
                <w:rFonts w:eastAsiaTheme="minorEastAsia"/>
                <w:noProof/>
                <w:kern w:val="2"/>
                <w:sz w:val="24"/>
                <w:szCs w:val="24"/>
                <w:rtl/>
                <w14:ligatures w14:val="standardContextual"/>
              </w:rPr>
              <w:tab/>
            </w:r>
            <w:r w:rsidRPr="00F9081D">
              <w:rPr>
                <w:rStyle w:val="Hyperlink"/>
                <w:rFonts w:ascii="T" w:hAnsi="T" w:cs="Simplified Arabic"/>
                <w:b/>
                <w:bCs/>
                <w:noProof/>
                <w:rtl/>
              </w:rPr>
              <w:t>رؤية المملكة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Toc234607883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4F1201E1" w14:textId="5083F5B6" w:rsidR="00AC44CC" w:rsidRDefault="00AC44CC">
          <w:pPr>
            <w:pStyle w:val="TOC3"/>
            <w:tabs>
              <w:tab w:val="left" w:pos="440"/>
              <w:tab w:val="right" w:leader="dot" w:pos="8296"/>
            </w:tabs>
            <w:bidi/>
            <w:rPr>
              <w:rFonts w:eastAsiaTheme="minorEastAsia"/>
              <w:noProof/>
              <w:kern w:val="2"/>
              <w:sz w:val="24"/>
              <w:szCs w:val="24"/>
              <w:rtl/>
              <w14:ligatures w14:val="standardContextual"/>
            </w:rPr>
          </w:pPr>
          <w:hyperlink w:anchor="_Toc234607884" w:history="1">
            <w:r w:rsidRPr="00F9081D">
              <w:rPr>
                <w:rStyle w:val="Hyperlink"/>
                <w:rFonts w:ascii="T" w:hAnsi="T" w:cs="Simplified Arabic"/>
                <w:noProof/>
                <w:rtl/>
              </w:rPr>
              <w:t>أ‌.</w:t>
            </w:r>
            <w:r>
              <w:rPr>
                <w:rFonts w:eastAsiaTheme="minorEastAsia"/>
                <w:noProof/>
                <w:kern w:val="2"/>
                <w:sz w:val="24"/>
                <w:szCs w:val="24"/>
                <w:rtl/>
                <w14:ligatures w14:val="standardContextual"/>
              </w:rPr>
              <w:tab/>
            </w:r>
            <w:r w:rsidRPr="00F9081D">
              <w:rPr>
                <w:rStyle w:val="Hyperlink"/>
                <w:rFonts w:ascii="T" w:hAnsi="T" w:cs="Simplified Arabic"/>
                <w:noProof/>
                <w:rtl/>
              </w:rPr>
              <w:t>أهداف التنمية المستدامة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Toc234607884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00DF013D" w14:textId="5BE0E86A" w:rsidR="00AC44CC" w:rsidRDefault="00AC44CC">
          <w:pPr>
            <w:pStyle w:val="TOC3"/>
            <w:tabs>
              <w:tab w:val="left" w:pos="440"/>
              <w:tab w:val="right" w:leader="dot" w:pos="8296"/>
            </w:tabs>
            <w:bidi/>
            <w:rPr>
              <w:rFonts w:eastAsiaTheme="minorEastAsia"/>
              <w:noProof/>
              <w:kern w:val="2"/>
              <w:sz w:val="24"/>
              <w:szCs w:val="24"/>
              <w:rtl/>
              <w14:ligatures w14:val="standardContextual"/>
            </w:rPr>
          </w:pPr>
          <w:hyperlink w:anchor="_Toc234607885" w:history="1">
            <w:r w:rsidRPr="00F9081D">
              <w:rPr>
                <w:rStyle w:val="Hyperlink"/>
                <w:rFonts w:ascii="T" w:hAnsi="T" w:cs="Simplified Arabic"/>
                <w:noProof/>
                <w:rtl/>
              </w:rPr>
              <w:t>ب‌.</w:t>
            </w:r>
            <w:r>
              <w:rPr>
                <w:rFonts w:eastAsiaTheme="minorEastAsia"/>
                <w:noProof/>
                <w:kern w:val="2"/>
                <w:sz w:val="24"/>
                <w:szCs w:val="24"/>
                <w:rtl/>
                <w14:ligatures w14:val="standardContextual"/>
              </w:rPr>
              <w:tab/>
            </w:r>
            <w:r w:rsidRPr="00F9081D">
              <w:rPr>
                <w:rStyle w:val="Hyperlink"/>
                <w:rFonts w:ascii="T" w:hAnsi="T" w:cs="Simplified Arabic"/>
                <w:noProof/>
                <w:rtl/>
              </w:rPr>
              <w:t>انطلاق رؤية المملكة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Toc234607885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063F353D" w14:textId="03C2E8CB" w:rsidR="00AC44CC" w:rsidRDefault="00AC44CC">
          <w:pPr>
            <w:pStyle w:val="TOC2"/>
            <w:rPr>
              <w:rFonts w:eastAsiaTheme="minorEastAsia"/>
              <w:noProof/>
              <w:kern w:val="2"/>
              <w:sz w:val="24"/>
              <w:szCs w:val="24"/>
              <w:rtl/>
              <w14:ligatures w14:val="standardContextual"/>
            </w:rPr>
          </w:pPr>
          <w:hyperlink w:anchor="_Toc234607886" w:history="1">
            <w:r w:rsidRPr="00F9081D">
              <w:rPr>
                <w:rStyle w:val="Hyperlink"/>
                <w:rFonts w:ascii="T" w:hAnsi="T" w:cs="Simplified Arabic"/>
                <w:noProof/>
                <w:rtl/>
              </w:rPr>
              <w:t>6.</w:t>
            </w:r>
            <w:r>
              <w:rPr>
                <w:rFonts w:eastAsiaTheme="minorEastAsia"/>
                <w:noProof/>
                <w:kern w:val="2"/>
                <w:sz w:val="24"/>
                <w:szCs w:val="24"/>
                <w:rtl/>
                <w14:ligatures w14:val="standardContextual"/>
              </w:rPr>
              <w:tab/>
            </w:r>
            <w:r w:rsidRPr="00F9081D">
              <w:rPr>
                <w:rStyle w:val="Hyperlink"/>
                <w:rFonts w:ascii="T" w:hAnsi="T" w:cs="Simplified Arabic"/>
                <w:noProof/>
                <w:rtl/>
              </w:rPr>
              <w:t>قطاع البيئة في 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Toc234607886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41EA21DA" w14:textId="543EE9A2" w:rsidR="00AC44CC" w:rsidRDefault="00AC44CC">
          <w:pPr>
            <w:pStyle w:val="TOC3"/>
            <w:tabs>
              <w:tab w:val="left" w:pos="440"/>
              <w:tab w:val="right" w:leader="dot" w:pos="8296"/>
            </w:tabs>
            <w:bidi/>
            <w:rPr>
              <w:rFonts w:eastAsiaTheme="minorEastAsia"/>
              <w:noProof/>
              <w:kern w:val="2"/>
              <w:sz w:val="24"/>
              <w:szCs w:val="24"/>
              <w:rtl/>
              <w14:ligatures w14:val="standardContextual"/>
            </w:rPr>
          </w:pPr>
          <w:hyperlink w:anchor="_Toc234607887" w:history="1">
            <w:r w:rsidRPr="00F9081D">
              <w:rPr>
                <w:rStyle w:val="Hyperlink"/>
                <w:rFonts w:ascii="T" w:hAnsi="T" w:cs="Simplified Arabic"/>
                <w:noProof/>
                <w:rtl/>
              </w:rPr>
              <w:t>أ‌.</w:t>
            </w:r>
            <w:r>
              <w:rPr>
                <w:rFonts w:eastAsiaTheme="minorEastAsia"/>
                <w:noProof/>
                <w:kern w:val="2"/>
                <w:sz w:val="24"/>
                <w:szCs w:val="24"/>
                <w:rtl/>
                <w14:ligatures w14:val="standardContextual"/>
              </w:rPr>
              <w:tab/>
            </w:r>
            <w:r w:rsidRPr="00F9081D">
              <w:rPr>
                <w:rStyle w:val="Hyperlink"/>
                <w:rFonts w:ascii="T" w:hAnsi="T" w:cs="Simplified Arabic"/>
                <w:noProof/>
                <w:rtl/>
              </w:rPr>
              <w:t>علاقة الرؤية بالتحول بالقطاع في البيئي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Toc234607887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4E21927A" w14:textId="6A6BD659" w:rsidR="00AC44CC" w:rsidRDefault="00AC44CC">
          <w:pPr>
            <w:pStyle w:val="TOC3"/>
            <w:tabs>
              <w:tab w:val="left" w:pos="440"/>
              <w:tab w:val="right" w:leader="dot" w:pos="8296"/>
            </w:tabs>
            <w:bidi/>
            <w:rPr>
              <w:rFonts w:eastAsiaTheme="minorEastAsia"/>
              <w:noProof/>
              <w:kern w:val="2"/>
              <w:sz w:val="24"/>
              <w:szCs w:val="24"/>
              <w:rtl/>
              <w14:ligatures w14:val="standardContextual"/>
            </w:rPr>
          </w:pPr>
          <w:hyperlink w:anchor="_Toc234607888" w:history="1">
            <w:r w:rsidRPr="00F9081D">
              <w:rPr>
                <w:rStyle w:val="Hyperlink"/>
                <w:rFonts w:ascii="T" w:hAnsi="T" w:cs="Simplified Arabic"/>
                <w:noProof/>
                <w:rtl/>
              </w:rPr>
              <w:t>ب‌.</w:t>
            </w:r>
            <w:r>
              <w:rPr>
                <w:rFonts w:eastAsiaTheme="minorEastAsia"/>
                <w:noProof/>
                <w:kern w:val="2"/>
                <w:sz w:val="24"/>
                <w:szCs w:val="24"/>
                <w:rtl/>
                <w14:ligatures w14:val="standardContextual"/>
              </w:rPr>
              <w:tab/>
            </w:r>
            <w:r w:rsidRPr="00F9081D">
              <w:rPr>
                <w:rStyle w:val="Hyperlink"/>
                <w:rFonts w:ascii="T" w:hAnsi="T" w:cs="Simplified Arabic"/>
                <w:noProof/>
                <w:rtl/>
              </w:rPr>
              <w:t>لمحة تاريخية عن قطاع البيئة في المملكة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Toc234607888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78FD2A95" w14:textId="2F5C7D42" w:rsidR="00AC44CC" w:rsidRDefault="00AC44CC">
          <w:pPr>
            <w:pStyle w:val="TOC3"/>
            <w:tabs>
              <w:tab w:val="left" w:pos="440"/>
              <w:tab w:val="right" w:leader="dot" w:pos="8296"/>
            </w:tabs>
            <w:bidi/>
            <w:rPr>
              <w:rFonts w:eastAsiaTheme="minorEastAsia"/>
              <w:noProof/>
              <w:kern w:val="2"/>
              <w:sz w:val="24"/>
              <w:szCs w:val="24"/>
              <w:rtl/>
              <w14:ligatures w14:val="standardContextual"/>
            </w:rPr>
          </w:pPr>
          <w:hyperlink w:anchor="_Toc234607889" w:history="1">
            <w:r w:rsidRPr="00F9081D">
              <w:rPr>
                <w:rStyle w:val="Hyperlink"/>
                <w:rFonts w:ascii="T" w:hAnsi="T" w:cs="Simplified Arabic"/>
                <w:noProof/>
                <w:rtl/>
              </w:rPr>
              <w:t>ت‌.</w:t>
            </w:r>
            <w:r>
              <w:rPr>
                <w:rFonts w:eastAsiaTheme="minorEastAsia"/>
                <w:noProof/>
                <w:kern w:val="2"/>
                <w:sz w:val="24"/>
                <w:szCs w:val="24"/>
                <w:rtl/>
                <w14:ligatures w14:val="standardContextual"/>
              </w:rPr>
              <w:tab/>
            </w:r>
            <w:r w:rsidRPr="00F9081D">
              <w:rPr>
                <w:rStyle w:val="Hyperlink"/>
                <w:rFonts w:ascii="T" w:hAnsi="T" w:cs="Simplified Arabic"/>
                <w:noProof/>
                <w:rtl/>
              </w:rPr>
              <w:t>نبذة عن الجهات المتخصصة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Toc234607889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23579549" w14:textId="0A059866" w:rsidR="00AC44CC" w:rsidRDefault="00AC44CC">
          <w:pPr>
            <w:pStyle w:val="TOC3"/>
            <w:tabs>
              <w:tab w:val="left" w:pos="440"/>
              <w:tab w:val="right" w:leader="dot" w:pos="8296"/>
            </w:tabs>
            <w:bidi/>
            <w:rPr>
              <w:rFonts w:eastAsiaTheme="minorEastAsia"/>
              <w:noProof/>
              <w:kern w:val="2"/>
              <w:sz w:val="24"/>
              <w:szCs w:val="24"/>
              <w:rtl/>
              <w14:ligatures w14:val="standardContextual"/>
            </w:rPr>
          </w:pPr>
          <w:hyperlink w:anchor="_Toc234607890" w:history="1">
            <w:r w:rsidRPr="00F9081D">
              <w:rPr>
                <w:rStyle w:val="Hyperlink"/>
                <w:rFonts w:ascii="T" w:hAnsi="T" w:cs="Simplified Arabic"/>
                <w:noProof/>
                <w:rtl/>
              </w:rPr>
              <w:t>ث‌.</w:t>
            </w:r>
            <w:r>
              <w:rPr>
                <w:rFonts w:eastAsiaTheme="minorEastAsia"/>
                <w:noProof/>
                <w:kern w:val="2"/>
                <w:sz w:val="24"/>
                <w:szCs w:val="24"/>
                <w:rtl/>
                <w14:ligatures w14:val="standardContextual"/>
              </w:rPr>
              <w:tab/>
            </w:r>
            <w:r w:rsidRPr="00F9081D">
              <w:rPr>
                <w:rStyle w:val="Hyperlink"/>
                <w:rFonts w:ascii="T" w:hAnsi="T" w:cs="Simplified Arabic"/>
                <w:noProof/>
                <w:rtl/>
              </w:rPr>
              <w:t>تقرير دراسة الإستراتيجية الوطنية للبيئة (وزارة البيئة والمياه والزراعة، 2018).</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Toc234607890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7206CE6F" w14:textId="048C48DB" w:rsidR="00AC44CC" w:rsidRDefault="00AC44CC">
          <w:pPr>
            <w:pStyle w:val="TOC1"/>
            <w:rPr>
              <w:rFonts w:eastAsiaTheme="minorEastAsia"/>
              <w:noProof/>
              <w:kern w:val="2"/>
              <w:sz w:val="24"/>
              <w:szCs w:val="24"/>
              <w:rtl/>
              <w14:ligatures w14:val="standardContextual"/>
            </w:rPr>
          </w:pPr>
          <w:hyperlink w:anchor="_Toc234607891" w:history="1">
            <w:r w:rsidRPr="00F9081D">
              <w:rPr>
                <w:rStyle w:val="Hyperlink"/>
                <w:rFonts w:ascii="T" w:hAnsi="T" w:cs="Simplified Arabic"/>
                <w:b/>
                <w:bCs/>
                <w:noProof/>
                <w:rtl/>
                <w:lang w:bidi="ar-EG"/>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Toc234607891 \h</w:instrText>
            </w:r>
            <w:r>
              <w:rPr>
                <w:noProof/>
                <w:webHidden/>
                <w:rtl/>
              </w:rPr>
              <w:instrText xml:space="preserve"> </w:instrText>
            </w:r>
            <w:r>
              <w:rPr>
                <w:noProof/>
                <w:webHidden/>
                <w:rtl/>
              </w:rPr>
            </w:r>
            <w:r>
              <w:rPr>
                <w:noProof/>
                <w:webHidden/>
                <w:rtl/>
              </w:rPr>
              <w:fldChar w:fldCharType="separate"/>
            </w:r>
            <w:r>
              <w:rPr>
                <w:noProof/>
                <w:webHidden/>
                <w:rtl/>
              </w:rPr>
              <w:t>102</w:t>
            </w:r>
            <w:r>
              <w:rPr>
                <w:noProof/>
                <w:webHidden/>
                <w:rtl/>
              </w:rPr>
              <w:fldChar w:fldCharType="end"/>
            </w:r>
          </w:hyperlink>
        </w:p>
        <w:p w14:paraId="0A2A6C04" w14:textId="189EF890" w:rsidR="00AC44CC" w:rsidRDefault="00AC44CC">
          <w:pPr>
            <w:pStyle w:val="TOC2"/>
            <w:rPr>
              <w:rFonts w:eastAsiaTheme="minorEastAsia"/>
              <w:noProof/>
              <w:kern w:val="2"/>
              <w:sz w:val="24"/>
              <w:szCs w:val="24"/>
              <w:rtl/>
              <w14:ligatures w14:val="standardContextual"/>
            </w:rPr>
          </w:pPr>
          <w:hyperlink w:anchor="_Toc234607892" w:history="1">
            <w:r w:rsidRPr="00F9081D">
              <w:rPr>
                <w:rStyle w:val="Hyperlink"/>
                <w:rFonts w:ascii="T" w:hAnsi="T" w:cs="Simplified Arabic"/>
                <w:noProof/>
                <w:rtl/>
                <w:lang w:bidi="ar-EG"/>
              </w:rPr>
              <w:t>المحور الأول: دراسات الشراكات بين القطاعين العام والخاص</w:t>
            </w:r>
            <w:r w:rsidRPr="00F9081D">
              <w:rPr>
                <w:rStyle w:val="Hyperlink"/>
                <w:rFonts w:ascii="T" w:hAnsi="T" w:cs="Simplified Arabic"/>
                <w:noProof/>
                <w:lang w:bidi="ar-EG"/>
              </w:rPr>
              <w:t xml:space="preserve"> (PPP)</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Toc234607892 \h</w:instrText>
            </w:r>
            <w:r>
              <w:rPr>
                <w:noProof/>
                <w:webHidden/>
                <w:rtl/>
              </w:rPr>
              <w:instrText xml:space="preserve"> </w:instrText>
            </w:r>
            <w:r>
              <w:rPr>
                <w:noProof/>
                <w:webHidden/>
                <w:rtl/>
              </w:rPr>
            </w:r>
            <w:r>
              <w:rPr>
                <w:noProof/>
                <w:webHidden/>
                <w:rtl/>
              </w:rPr>
              <w:fldChar w:fldCharType="separate"/>
            </w:r>
            <w:r>
              <w:rPr>
                <w:noProof/>
                <w:webHidden/>
                <w:rtl/>
              </w:rPr>
              <w:t>102</w:t>
            </w:r>
            <w:r>
              <w:rPr>
                <w:noProof/>
                <w:webHidden/>
                <w:rtl/>
              </w:rPr>
              <w:fldChar w:fldCharType="end"/>
            </w:r>
          </w:hyperlink>
        </w:p>
        <w:p w14:paraId="187E9A51" w14:textId="4A25369E" w:rsidR="00AC44CC" w:rsidRDefault="00AC44CC">
          <w:pPr>
            <w:pStyle w:val="TOC2"/>
            <w:rPr>
              <w:rFonts w:eastAsiaTheme="minorEastAsia"/>
              <w:noProof/>
              <w:kern w:val="2"/>
              <w:sz w:val="24"/>
              <w:szCs w:val="24"/>
              <w:rtl/>
              <w14:ligatures w14:val="standardContextual"/>
            </w:rPr>
          </w:pPr>
          <w:hyperlink w:anchor="_Toc234607893" w:history="1">
            <w:r w:rsidRPr="00F9081D">
              <w:rPr>
                <w:rStyle w:val="Hyperlink"/>
                <w:rFonts w:ascii="T" w:hAnsi="T" w:cs="Simplified Arabic"/>
                <w:noProof/>
                <w:rtl/>
              </w:rPr>
              <w:t>المحور الثاني: دراسات الحوكمة البيئية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Toc234607893 \h</w:instrText>
            </w:r>
            <w:r>
              <w:rPr>
                <w:noProof/>
                <w:webHidden/>
                <w:rtl/>
              </w:rPr>
              <w:instrText xml:space="preserve"> </w:instrText>
            </w:r>
            <w:r>
              <w:rPr>
                <w:noProof/>
                <w:webHidden/>
                <w:rtl/>
              </w:rPr>
            </w:r>
            <w:r>
              <w:rPr>
                <w:noProof/>
                <w:webHidden/>
                <w:rtl/>
              </w:rPr>
              <w:fldChar w:fldCharType="separate"/>
            </w:r>
            <w:r>
              <w:rPr>
                <w:noProof/>
                <w:webHidden/>
                <w:rtl/>
              </w:rPr>
              <w:t>109</w:t>
            </w:r>
            <w:r>
              <w:rPr>
                <w:noProof/>
                <w:webHidden/>
                <w:rtl/>
              </w:rPr>
              <w:fldChar w:fldCharType="end"/>
            </w:r>
          </w:hyperlink>
        </w:p>
        <w:p w14:paraId="4BF2C621" w14:textId="60AAC21A" w:rsidR="00AC44CC" w:rsidRDefault="00AC44CC">
          <w:pPr>
            <w:pStyle w:val="TOC2"/>
            <w:rPr>
              <w:rFonts w:eastAsiaTheme="minorEastAsia"/>
              <w:noProof/>
              <w:kern w:val="2"/>
              <w:sz w:val="24"/>
              <w:szCs w:val="24"/>
              <w:rtl/>
              <w14:ligatures w14:val="standardContextual"/>
            </w:rPr>
          </w:pPr>
          <w:hyperlink w:anchor="_Toc234607894" w:history="1">
            <w:r w:rsidRPr="00F9081D">
              <w:rPr>
                <w:rStyle w:val="Hyperlink"/>
                <w:rFonts w:ascii="T" w:hAnsi="T" w:cs="Simplified Arabic"/>
                <w:noProof/>
                <w:rtl/>
              </w:rPr>
              <w:t>المحور الثالث: دراسات العلاقة بين الشراكات والحوكمة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Toc234607894 \h</w:instrText>
            </w:r>
            <w:r>
              <w:rPr>
                <w:noProof/>
                <w:webHidden/>
                <w:rtl/>
              </w:rPr>
              <w:instrText xml:space="preserve"> </w:instrText>
            </w:r>
            <w:r>
              <w:rPr>
                <w:noProof/>
                <w:webHidden/>
                <w:rtl/>
              </w:rPr>
            </w:r>
            <w:r>
              <w:rPr>
                <w:noProof/>
                <w:webHidden/>
                <w:rtl/>
              </w:rPr>
              <w:fldChar w:fldCharType="separate"/>
            </w:r>
            <w:r>
              <w:rPr>
                <w:noProof/>
                <w:webHidden/>
                <w:rtl/>
              </w:rPr>
              <w:t>120</w:t>
            </w:r>
            <w:r>
              <w:rPr>
                <w:noProof/>
                <w:webHidden/>
                <w:rtl/>
              </w:rPr>
              <w:fldChar w:fldCharType="end"/>
            </w:r>
          </w:hyperlink>
        </w:p>
        <w:p w14:paraId="3BA7BC60" w14:textId="24969761" w:rsidR="00AC44CC" w:rsidRDefault="00AC44CC">
          <w:pPr>
            <w:pStyle w:val="TOC2"/>
            <w:rPr>
              <w:rFonts w:eastAsiaTheme="minorEastAsia"/>
              <w:noProof/>
              <w:kern w:val="2"/>
              <w:sz w:val="24"/>
              <w:szCs w:val="24"/>
              <w:rtl/>
              <w14:ligatures w14:val="standardContextual"/>
            </w:rPr>
          </w:pPr>
          <w:hyperlink w:anchor="_Toc234607895" w:history="1">
            <w:r w:rsidRPr="00F9081D">
              <w:rPr>
                <w:rStyle w:val="Hyperlink"/>
                <w:rFonts w:ascii="T" w:hAnsi="T" w:cs="Simplified Arabic"/>
                <w:noProof/>
                <w:rtl/>
              </w:rPr>
              <w:t>المحور الرابع: دراسات العلاقة بين الحوكمة وإدارة 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Toc234607895 \h</w:instrText>
            </w:r>
            <w:r>
              <w:rPr>
                <w:noProof/>
                <w:webHidden/>
                <w:rtl/>
              </w:rPr>
              <w:instrText xml:space="preserve"> </w:instrText>
            </w:r>
            <w:r>
              <w:rPr>
                <w:noProof/>
                <w:webHidden/>
                <w:rtl/>
              </w:rPr>
            </w:r>
            <w:r>
              <w:rPr>
                <w:noProof/>
                <w:webHidden/>
                <w:rtl/>
              </w:rPr>
              <w:fldChar w:fldCharType="separate"/>
            </w:r>
            <w:r>
              <w:rPr>
                <w:noProof/>
                <w:webHidden/>
                <w:rtl/>
              </w:rPr>
              <w:t>124</w:t>
            </w:r>
            <w:r>
              <w:rPr>
                <w:noProof/>
                <w:webHidden/>
                <w:rtl/>
              </w:rPr>
              <w:fldChar w:fldCharType="end"/>
            </w:r>
          </w:hyperlink>
        </w:p>
        <w:p w14:paraId="2CF2874B" w14:textId="12E873E9" w:rsidR="00AC44CC" w:rsidRDefault="00AC44CC">
          <w:pPr>
            <w:pStyle w:val="TOC2"/>
            <w:rPr>
              <w:rFonts w:eastAsiaTheme="minorEastAsia"/>
              <w:noProof/>
              <w:kern w:val="2"/>
              <w:sz w:val="24"/>
              <w:szCs w:val="24"/>
              <w:rtl/>
              <w14:ligatures w14:val="standardContextual"/>
            </w:rPr>
          </w:pPr>
          <w:hyperlink w:anchor="_Toc234607896" w:history="1">
            <w:r w:rsidRPr="00F9081D">
              <w:rPr>
                <w:rStyle w:val="Hyperlink"/>
                <w:rFonts w:ascii="T" w:hAnsi="T" w:cs="Simplified Arabic"/>
                <w:noProof/>
                <w:rtl/>
              </w:rPr>
              <w:t>المحور الخامس: دراسات في السياق العربي والسعودي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Toc234607896 \h</w:instrText>
            </w:r>
            <w:r>
              <w:rPr>
                <w:noProof/>
                <w:webHidden/>
                <w:rtl/>
              </w:rPr>
              <w:instrText xml:space="preserve"> </w:instrText>
            </w:r>
            <w:r>
              <w:rPr>
                <w:noProof/>
                <w:webHidden/>
                <w:rtl/>
              </w:rPr>
            </w:r>
            <w:r>
              <w:rPr>
                <w:noProof/>
                <w:webHidden/>
                <w:rtl/>
              </w:rPr>
              <w:fldChar w:fldCharType="separate"/>
            </w:r>
            <w:r>
              <w:rPr>
                <w:noProof/>
                <w:webHidden/>
                <w:rtl/>
              </w:rPr>
              <w:t>129</w:t>
            </w:r>
            <w:r>
              <w:rPr>
                <w:noProof/>
                <w:webHidden/>
                <w:rtl/>
              </w:rPr>
              <w:fldChar w:fldCharType="end"/>
            </w:r>
          </w:hyperlink>
        </w:p>
        <w:p w14:paraId="6F3D089B" w14:textId="4F85E492" w:rsidR="00AC44CC" w:rsidRDefault="00AC44CC">
          <w:pPr>
            <w:pStyle w:val="TOC1"/>
            <w:rPr>
              <w:rFonts w:eastAsiaTheme="minorEastAsia"/>
              <w:noProof/>
              <w:kern w:val="2"/>
              <w:sz w:val="24"/>
              <w:szCs w:val="24"/>
              <w:rtl/>
              <w14:ligatures w14:val="standardContextual"/>
            </w:rPr>
          </w:pPr>
          <w:hyperlink w:anchor="_Toc234607897" w:history="1">
            <w:r w:rsidRPr="00F9081D">
              <w:rPr>
                <w:rStyle w:val="Hyperlink"/>
                <w:rFonts w:ascii="Simplified Arabic" w:hAnsi="Simplified Arabic" w:cs="Simplified Arabic"/>
                <w:b/>
                <w:bCs/>
                <w:noProof/>
                <w:highlight w:val="yellow"/>
                <w:rtl/>
                <w:lang w:bidi="ar-EG"/>
              </w:rPr>
              <w:t>الفصل الثالث: 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Toc234607897 \h</w:instrText>
            </w:r>
            <w:r>
              <w:rPr>
                <w:noProof/>
                <w:webHidden/>
                <w:rtl/>
              </w:rPr>
              <w:instrText xml:space="preserve"> </w:instrText>
            </w:r>
            <w:r>
              <w:rPr>
                <w:noProof/>
                <w:webHidden/>
                <w:rtl/>
              </w:rPr>
            </w:r>
            <w:r>
              <w:rPr>
                <w:noProof/>
                <w:webHidden/>
                <w:rtl/>
              </w:rPr>
              <w:fldChar w:fldCharType="separate"/>
            </w:r>
            <w:r>
              <w:rPr>
                <w:noProof/>
                <w:webHidden/>
                <w:rtl/>
              </w:rPr>
              <w:t>140</w:t>
            </w:r>
            <w:r>
              <w:rPr>
                <w:noProof/>
                <w:webHidden/>
                <w:rtl/>
              </w:rPr>
              <w:fldChar w:fldCharType="end"/>
            </w:r>
          </w:hyperlink>
        </w:p>
        <w:p w14:paraId="138023A3" w14:textId="04FB927B" w:rsidR="00AC44CC" w:rsidRDefault="00AC44CC">
          <w:pPr>
            <w:pStyle w:val="TOC2"/>
            <w:rPr>
              <w:rFonts w:eastAsiaTheme="minorEastAsia"/>
              <w:noProof/>
              <w:kern w:val="2"/>
              <w:sz w:val="24"/>
              <w:szCs w:val="24"/>
              <w:rtl/>
              <w14:ligatures w14:val="standardContextual"/>
            </w:rPr>
          </w:pPr>
          <w:hyperlink w:anchor="_Toc234607898" w:history="1">
            <w:r w:rsidRPr="00F9081D">
              <w:rPr>
                <w:rStyle w:val="Hyperlink"/>
                <w:rFonts w:ascii="Simplified Arabic" w:eastAsia="Times New Roman" w:hAnsi="Simplified Arabic" w:cs="Simplified Arabic"/>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Toc234607898 \h</w:instrText>
            </w:r>
            <w:r>
              <w:rPr>
                <w:noProof/>
                <w:webHidden/>
                <w:rtl/>
              </w:rPr>
              <w:instrText xml:space="preserve"> </w:instrText>
            </w:r>
            <w:r>
              <w:rPr>
                <w:noProof/>
                <w:webHidden/>
                <w:rtl/>
              </w:rPr>
            </w:r>
            <w:r>
              <w:rPr>
                <w:noProof/>
                <w:webHidden/>
                <w:rtl/>
              </w:rPr>
              <w:fldChar w:fldCharType="separate"/>
            </w:r>
            <w:r>
              <w:rPr>
                <w:noProof/>
                <w:webHidden/>
                <w:rtl/>
              </w:rPr>
              <w:t>140</w:t>
            </w:r>
            <w:r>
              <w:rPr>
                <w:noProof/>
                <w:webHidden/>
                <w:rtl/>
              </w:rPr>
              <w:fldChar w:fldCharType="end"/>
            </w:r>
          </w:hyperlink>
        </w:p>
        <w:p w14:paraId="35E3EB79" w14:textId="28282246" w:rsidR="00AC44CC" w:rsidRDefault="00AC44CC">
          <w:pPr>
            <w:pStyle w:val="TOC1"/>
            <w:rPr>
              <w:rFonts w:eastAsiaTheme="minorEastAsia"/>
              <w:noProof/>
              <w:kern w:val="2"/>
              <w:sz w:val="24"/>
              <w:szCs w:val="24"/>
              <w:rtl/>
              <w14:ligatures w14:val="standardContextual"/>
            </w:rPr>
          </w:pPr>
          <w:hyperlink w:anchor="_Toc234607899" w:history="1">
            <w:r w:rsidRPr="00F9081D">
              <w:rPr>
                <w:rStyle w:val="Hyperlink"/>
                <w:rFonts w:ascii="Simplified Arabic" w:eastAsia="Times New Roman" w:hAnsi="Simplified Arabic" w:cs="Simplified Arabic"/>
                <w:b/>
                <w:bCs/>
                <w:noProof/>
                <w:kern w:val="36"/>
              </w:rPr>
              <w:t xml:space="preserve">3.1 </w:t>
            </w:r>
            <w:r w:rsidRPr="00F9081D">
              <w:rPr>
                <w:rStyle w:val="Hyperlink"/>
                <w:rFonts w:ascii="Simplified Arabic" w:eastAsia="Times New Roman" w:hAnsi="Simplified Arabic" w:cs="Simplified Arabic"/>
                <w:b/>
                <w:bCs/>
                <w:noProof/>
                <w:kern w:val="36"/>
                <w:rtl/>
              </w:rPr>
              <w:t>منهج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Toc234607899 \h</w:instrText>
            </w:r>
            <w:r>
              <w:rPr>
                <w:noProof/>
                <w:webHidden/>
                <w:rtl/>
              </w:rPr>
              <w:instrText xml:space="preserve"> </w:instrText>
            </w:r>
            <w:r>
              <w:rPr>
                <w:noProof/>
                <w:webHidden/>
                <w:rtl/>
              </w:rPr>
            </w:r>
            <w:r>
              <w:rPr>
                <w:noProof/>
                <w:webHidden/>
                <w:rtl/>
              </w:rPr>
              <w:fldChar w:fldCharType="separate"/>
            </w:r>
            <w:r>
              <w:rPr>
                <w:noProof/>
                <w:webHidden/>
                <w:rtl/>
              </w:rPr>
              <w:t>140</w:t>
            </w:r>
            <w:r>
              <w:rPr>
                <w:noProof/>
                <w:webHidden/>
                <w:rtl/>
              </w:rPr>
              <w:fldChar w:fldCharType="end"/>
            </w:r>
          </w:hyperlink>
        </w:p>
        <w:p w14:paraId="03CD50D6" w14:textId="6CF399F2" w:rsidR="00AC44CC" w:rsidRDefault="00AC44CC">
          <w:pPr>
            <w:pStyle w:val="TOC1"/>
            <w:rPr>
              <w:rFonts w:eastAsiaTheme="minorEastAsia"/>
              <w:noProof/>
              <w:kern w:val="2"/>
              <w:sz w:val="24"/>
              <w:szCs w:val="24"/>
              <w:rtl/>
              <w14:ligatures w14:val="standardContextual"/>
            </w:rPr>
          </w:pPr>
          <w:hyperlink w:anchor="_Toc234607900" w:history="1">
            <w:r w:rsidRPr="00F9081D">
              <w:rPr>
                <w:rStyle w:val="Hyperlink"/>
                <w:rFonts w:ascii="Simplified Arabic" w:eastAsia="Times New Roman" w:hAnsi="Simplified Arabic" w:cs="Simplified Arabic"/>
                <w:b/>
                <w:bCs/>
                <w:noProof/>
                <w:kern w:val="36"/>
              </w:rPr>
              <w:t xml:space="preserve">3.2 </w:t>
            </w:r>
            <w:r w:rsidRPr="00F9081D">
              <w:rPr>
                <w:rStyle w:val="Hyperlink"/>
                <w:rFonts w:ascii="Simplified Arabic" w:eastAsia="Times New Roman" w:hAnsi="Simplified Arabic" w:cs="Simplified Arabic"/>
                <w:b/>
                <w:bCs/>
                <w:noProof/>
                <w:kern w:val="36"/>
                <w:rtl/>
              </w:rPr>
              <w:t>تصميم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Toc234607900 \h</w:instrText>
            </w:r>
            <w:r>
              <w:rPr>
                <w:noProof/>
                <w:webHidden/>
                <w:rtl/>
              </w:rPr>
              <w:instrText xml:space="preserve"> </w:instrText>
            </w:r>
            <w:r>
              <w:rPr>
                <w:noProof/>
                <w:webHidden/>
                <w:rtl/>
              </w:rPr>
            </w:r>
            <w:r>
              <w:rPr>
                <w:noProof/>
                <w:webHidden/>
                <w:rtl/>
              </w:rPr>
              <w:fldChar w:fldCharType="separate"/>
            </w:r>
            <w:r>
              <w:rPr>
                <w:noProof/>
                <w:webHidden/>
                <w:rtl/>
              </w:rPr>
              <w:t>140</w:t>
            </w:r>
            <w:r>
              <w:rPr>
                <w:noProof/>
                <w:webHidden/>
                <w:rtl/>
              </w:rPr>
              <w:fldChar w:fldCharType="end"/>
            </w:r>
          </w:hyperlink>
        </w:p>
        <w:p w14:paraId="76A2C6FB" w14:textId="56A8E13F" w:rsidR="00AC44CC" w:rsidRDefault="00AC44CC">
          <w:pPr>
            <w:pStyle w:val="TOC1"/>
            <w:rPr>
              <w:rFonts w:eastAsiaTheme="minorEastAsia"/>
              <w:noProof/>
              <w:kern w:val="2"/>
              <w:sz w:val="24"/>
              <w:szCs w:val="24"/>
              <w:rtl/>
              <w14:ligatures w14:val="standardContextual"/>
            </w:rPr>
          </w:pPr>
          <w:hyperlink w:anchor="_Toc234607901" w:history="1">
            <w:r w:rsidRPr="00F9081D">
              <w:rPr>
                <w:rStyle w:val="Hyperlink"/>
                <w:rFonts w:ascii="Simplified Arabic" w:eastAsia="Times New Roman" w:hAnsi="Simplified Arabic" w:cs="Simplified Arabic"/>
                <w:b/>
                <w:bCs/>
                <w:noProof/>
                <w:kern w:val="36"/>
              </w:rPr>
              <w:t xml:space="preserve">3.3 </w:t>
            </w:r>
            <w:r w:rsidRPr="00F9081D">
              <w:rPr>
                <w:rStyle w:val="Hyperlink"/>
                <w:rFonts w:ascii="Simplified Arabic" w:eastAsia="Times New Roman" w:hAnsi="Simplified Arabic" w:cs="Simplified Arabic"/>
                <w:b/>
                <w:bCs/>
                <w:noProof/>
                <w:kern w:val="36"/>
                <w:rtl/>
              </w:rPr>
              <w:t>النموذج المفاهيمي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Toc234607901 \h</w:instrText>
            </w:r>
            <w:r>
              <w:rPr>
                <w:noProof/>
                <w:webHidden/>
                <w:rtl/>
              </w:rPr>
              <w:instrText xml:space="preserve"> </w:instrText>
            </w:r>
            <w:r>
              <w:rPr>
                <w:noProof/>
                <w:webHidden/>
                <w:rtl/>
              </w:rPr>
            </w:r>
            <w:r>
              <w:rPr>
                <w:noProof/>
                <w:webHidden/>
                <w:rtl/>
              </w:rPr>
              <w:fldChar w:fldCharType="separate"/>
            </w:r>
            <w:r>
              <w:rPr>
                <w:noProof/>
                <w:webHidden/>
                <w:rtl/>
              </w:rPr>
              <w:t>140</w:t>
            </w:r>
            <w:r>
              <w:rPr>
                <w:noProof/>
                <w:webHidden/>
                <w:rtl/>
              </w:rPr>
              <w:fldChar w:fldCharType="end"/>
            </w:r>
          </w:hyperlink>
        </w:p>
        <w:p w14:paraId="5DB86F96" w14:textId="5BECF9F8" w:rsidR="00AC44CC" w:rsidRDefault="00AC44CC">
          <w:pPr>
            <w:pStyle w:val="TOC3"/>
            <w:tabs>
              <w:tab w:val="right" w:leader="dot" w:pos="8296"/>
            </w:tabs>
            <w:bidi/>
            <w:rPr>
              <w:rFonts w:eastAsiaTheme="minorEastAsia"/>
              <w:noProof/>
              <w:kern w:val="2"/>
              <w:sz w:val="24"/>
              <w:szCs w:val="24"/>
              <w:rtl/>
              <w14:ligatures w14:val="standardContextual"/>
            </w:rPr>
          </w:pPr>
          <w:hyperlink w:anchor="_Toc234607902" w:history="1">
            <w:r w:rsidRPr="00F9081D">
              <w:rPr>
                <w:rStyle w:val="Hyperlink"/>
                <w:rFonts w:ascii="Simplified Arabic" w:eastAsia="Times New Roman" w:hAnsi="Simplified Arabic" w:cs="Simplified Arabic"/>
                <w:b/>
                <w:bCs/>
                <w:noProof/>
                <w:rtl/>
              </w:rPr>
              <w:t>جدول</w:t>
            </w:r>
            <w:r w:rsidRPr="00F9081D">
              <w:rPr>
                <w:rStyle w:val="Hyperlink"/>
                <w:rFonts w:ascii="Simplified Arabic" w:eastAsia="Times New Roman" w:hAnsi="Simplified Arabic" w:cs="Simplified Arabic"/>
                <w:b/>
                <w:bCs/>
                <w:noProof/>
              </w:rPr>
              <w:t xml:space="preserve">  (3-1)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Toc234607902 \h</w:instrText>
            </w:r>
            <w:r>
              <w:rPr>
                <w:noProof/>
                <w:webHidden/>
                <w:rtl/>
              </w:rPr>
              <w:instrText xml:space="preserve"> </w:instrText>
            </w:r>
            <w:r>
              <w:rPr>
                <w:noProof/>
                <w:webHidden/>
                <w:rtl/>
              </w:rPr>
            </w:r>
            <w:r>
              <w:rPr>
                <w:noProof/>
                <w:webHidden/>
                <w:rtl/>
              </w:rPr>
              <w:fldChar w:fldCharType="separate"/>
            </w:r>
            <w:r>
              <w:rPr>
                <w:noProof/>
                <w:webHidden/>
                <w:rtl/>
              </w:rPr>
              <w:t>141</w:t>
            </w:r>
            <w:r>
              <w:rPr>
                <w:noProof/>
                <w:webHidden/>
                <w:rtl/>
              </w:rPr>
              <w:fldChar w:fldCharType="end"/>
            </w:r>
          </w:hyperlink>
        </w:p>
        <w:p w14:paraId="079DB69F" w14:textId="53B1B7F7" w:rsidR="00AC44CC" w:rsidRDefault="00AC44CC">
          <w:pPr>
            <w:pStyle w:val="TOC3"/>
            <w:tabs>
              <w:tab w:val="right" w:leader="dot" w:pos="8296"/>
            </w:tabs>
            <w:bidi/>
            <w:rPr>
              <w:rFonts w:eastAsiaTheme="minorEastAsia"/>
              <w:noProof/>
              <w:kern w:val="2"/>
              <w:sz w:val="24"/>
              <w:szCs w:val="24"/>
              <w:rtl/>
              <w14:ligatures w14:val="standardContextual"/>
            </w:rPr>
          </w:pPr>
          <w:hyperlink w:anchor="_Toc234607903" w:history="1">
            <w:r w:rsidRPr="00F9081D">
              <w:rPr>
                <w:rStyle w:val="Hyperlink"/>
                <w:rFonts w:ascii="Simplified Arabic" w:eastAsia="Times New Roman" w:hAnsi="Simplified Arabic" w:cs="Simplified Arabic"/>
                <w:b/>
                <w:bCs/>
                <w:noProof/>
                <w:rtl/>
              </w:rPr>
              <w:t>النموذج المفاهيمي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Toc234607903 \h</w:instrText>
            </w:r>
            <w:r>
              <w:rPr>
                <w:noProof/>
                <w:webHidden/>
                <w:rtl/>
              </w:rPr>
              <w:instrText xml:space="preserve"> </w:instrText>
            </w:r>
            <w:r>
              <w:rPr>
                <w:noProof/>
                <w:webHidden/>
                <w:rtl/>
              </w:rPr>
            </w:r>
            <w:r>
              <w:rPr>
                <w:noProof/>
                <w:webHidden/>
                <w:rtl/>
              </w:rPr>
              <w:fldChar w:fldCharType="separate"/>
            </w:r>
            <w:r>
              <w:rPr>
                <w:noProof/>
                <w:webHidden/>
                <w:rtl/>
              </w:rPr>
              <w:t>141</w:t>
            </w:r>
            <w:r>
              <w:rPr>
                <w:noProof/>
                <w:webHidden/>
                <w:rtl/>
              </w:rPr>
              <w:fldChar w:fldCharType="end"/>
            </w:r>
          </w:hyperlink>
        </w:p>
        <w:p w14:paraId="48739F2B" w14:textId="5874F668" w:rsidR="00AC44CC" w:rsidRDefault="00AC44CC">
          <w:pPr>
            <w:pStyle w:val="TOC1"/>
            <w:rPr>
              <w:rFonts w:eastAsiaTheme="minorEastAsia"/>
              <w:noProof/>
              <w:kern w:val="2"/>
              <w:sz w:val="24"/>
              <w:szCs w:val="24"/>
              <w:rtl/>
              <w14:ligatures w14:val="standardContextual"/>
            </w:rPr>
          </w:pPr>
          <w:hyperlink w:anchor="_Toc234607904" w:history="1">
            <w:r w:rsidRPr="00F9081D">
              <w:rPr>
                <w:rStyle w:val="Hyperlink"/>
                <w:rFonts w:ascii="Simplified Arabic" w:eastAsia="Times New Roman" w:hAnsi="Simplified Arabic" w:cs="Simplified Arabic"/>
                <w:b/>
                <w:bCs/>
                <w:noProof/>
                <w:kern w:val="36"/>
              </w:rPr>
              <w:t xml:space="preserve">3.4 </w:t>
            </w:r>
            <w:r w:rsidRPr="00F9081D">
              <w:rPr>
                <w:rStyle w:val="Hyperlink"/>
                <w:rFonts w:ascii="Simplified Arabic" w:eastAsia="Times New Roman" w:hAnsi="Simplified Arabic" w:cs="Simplified Arabic"/>
                <w:b/>
                <w:bCs/>
                <w:noProof/>
                <w:kern w:val="36"/>
                <w:rtl/>
              </w:rPr>
              <w:t>التعريفات الإجرائية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Toc234607904 \h</w:instrText>
            </w:r>
            <w:r>
              <w:rPr>
                <w:noProof/>
                <w:webHidden/>
                <w:rtl/>
              </w:rPr>
              <w:instrText xml:space="preserve"> </w:instrText>
            </w:r>
            <w:r>
              <w:rPr>
                <w:noProof/>
                <w:webHidden/>
                <w:rtl/>
              </w:rPr>
            </w:r>
            <w:r>
              <w:rPr>
                <w:noProof/>
                <w:webHidden/>
                <w:rtl/>
              </w:rPr>
              <w:fldChar w:fldCharType="separate"/>
            </w:r>
            <w:r>
              <w:rPr>
                <w:noProof/>
                <w:webHidden/>
                <w:rtl/>
              </w:rPr>
              <w:t>141</w:t>
            </w:r>
            <w:r>
              <w:rPr>
                <w:noProof/>
                <w:webHidden/>
                <w:rtl/>
              </w:rPr>
              <w:fldChar w:fldCharType="end"/>
            </w:r>
          </w:hyperlink>
        </w:p>
        <w:p w14:paraId="16AE114F" w14:textId="051B364A" w:rsidR="00AC44CC" w:rsidRDefault="00AC44CC">
          <w:pPr>
            <w:pStyle w:val="TOC3"/>
            <w:tabs>
              <w:tab w:val="right" w:leader="dot" w:pos="8296"/>
            </w:tabs>
            <w:bidi/>
            <w:rPr>
              <w:rFonts w:eastAsiaTheme="minorEastAsia"/>
              <w:noProof/>
              <w:kern w:val="2"/>
              <w:sz w:val="24"/>
              <w:szCs w:val="24"/>
              <w:rtl/>
              <w14:ligatures w14:val="standardContextual"/>
            </w:rPr>
          </w:pPr>
          <w:hyperlink w:anchor="_Toc234607905" w:history="1">
            <w:r w:rsidRPr="00F9081D">
              <w:rPr>
                <w:rStyle w:val="Hyperlink"/>
                <w:rFonts w:ascii="Simplified Arabic" w:eastAsia="Times New Roman" w:hAnsi="Simplified Arabic" w:cs="Simplified Arabic"/>
                <w:b/>
                <w:bCs/>
                <w:noProof/>
                <w:rtl/>
              </w:rPr>
              <w:t>جدول</w:t>
            </w:r>
            <w:r w:rsidRPr="00F9081D">
              <w:rPr>
                <w:rStyle w:val="Hyperlink"/>
                <w:rFonts w:ascii="Simplified Arabic" w:eastAsia="Times New Roman" w:hAnsi="Simplified Arabic" w:cs="Simplified Arabic"/>
                <w:b/>
                <w:bCs/>
                <w:noProof/>
              </w:rPr>
              <w:t xml:space="preserve"> (3-2)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Toc234607905 \h</w:instrText>
            </w:r>
            <w:r>
              <w:rPr>
                <w:noProof/>
                <w:webHidden/>
                <w:rtl/>
              </w:rPr>
              <w:instrText xml:space="preserve"> </w:instrText>
            </w:r>
            <w:r>
              <w:rPr>
                <w:noProof/>
                <w:webHidden/>
                <w:rtl/>
              </w:rPr>
            </w:r>
            <w:r>
              <w:rPr>
                <w:noProof/>
                <w:webHidden/>
                <w:rtl/>
              </w:rPr>
              <w:fldChar w:fldCharType="separate"/>
            </w:r>
            <w:r>
              <w:rPr>
                <w:noProof/>
                <w:webHidden/>
                <w:rtl/>
              </w:rPr>
              <w:t>141</w:t>
            </w:r>
            <w:r>
              <w:rPr>
                <w:noProof/>
                <w:webHidden/>
                <w:rtl/>
              </w:rPr>
              <w:fldChar w:fldCharType="end"/>
            </w:r>
          </w:hyperlink>
        </w:p>
        <w:p w14:paraId="2EDAD1A0" w14:textId="5F3B347A" w:rsidR="00AC44CC" w:rsidRDefault="00AC44CC">
          <w:pPr>
            <w:pStyle w:val="TOC3"/>
            <w:tabs>
              <w:tab w:val="right" w:leader="dot" w:pos="8296"/>
            </w:tabs>
            <w:bidi/>
            <w:rPr>
              <w:rFonts w:eastAsiaTheme="minorEastAsia"/>
              <w:noProof/>
              <w:kern w:val="2"/>
              <w:sz w:val="24"/>
              <w:szCs w:val="24"/>
              <w:rtl/>
              <w14:ligatures w14:val="standardContextual"/>
            </w:rPr>
          </w:pPr>
          <w:hyperlink w:anchor="_Toc234607906" w:history="1">
            <w:r w:rsidRPr="00F9081D">
              <w:rPr>
                <w:rStyle w:val="Hyperlink"/>
                <w:rFonts w:ascii="Simplified Arabic" w:eastAsia="Times New Roman" w:hAnsi="Simplified Arabic" w:cs="Simplified Arabic"/>
                <w:b/>
                <w:bCs/>
                <w:noProof/>
                <w:rtl/>
              </w:rPr>
              <w:t>التعريفات الإجرائية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Toc234607906 \h</w:instrText>
            </w:r>
            <w:r>
              <w:rPr>
                <w:noProof/>
                <w:webHidden/>
                <w:rtl/>
              </w:rPr>
              <w:instrText xml:space="preserve"> </w:instrText>
            </w:r>
            <w:r>
              <w:rPr>
                <w:noProof/>
                <w:webHidden/>
                <w:rtl/>
              </w:rPr>
            </w:r>
            <w:r>
              <w:rPr>
                <w:noProof/>
                <w:webHidden/>
                <w:rtl/>
              </w:rPr>
              <w:fldChar w:fldCharType="separate"/>
            </w:r>
            <w:r>
              <w:rPr>
                <w:noProof/>
                <w:webHidden/>
                <w:rtl/>
              </w:rPr>
              <w:t>141</w:t>
            </w:r>
            <w:r>
              <w:rPr>
                <w:noProof/>
                <w:webHidden/>
                <w:rtl/>
              </w:rPr>
              <w:fldChar w:fldCharType="end"/>
            </w:r>
          </w:hyperlink>
        </w:p>
        <w:p w14:paraId="1BA8BD5F" w14:textId="60336C2E" w:rsidR="00AC44CC" w:rsidRDefault="00AC44CC">
          <w:pPr>
            <w:pStyle w:val="TOC1"/>
            <w:rPr>
              <w:rFonts w:eastAsiaTheme="minorEastAsia"/>
              <w:noProof/>
              <w:kern w:val="2"/>
              <w:sz w:val="24"/>
              <w:szCs w:val="24"/>
              <w:rtl/>
              <w14:ligatures w14:val="standardContextual"/>
            </w:rPr>
          </w:pPr>
          <w:hyperlink w:anchor="_Toc234607907" w:history="1">
            <w:r w:rsidRPr="00F9081D">
              <w:rPr>
                <w:rStyle w:val="Hyperlink"/>
                <w:rFonts w:ascii="Simplified Arabic" w:eastAsia="Times New Roman" w:hAnsi="Simplified Arabic" w:cs="Simplified Arabic"/>
                <w:b/>
                <w:bCs/>
                <w:noProof/>
                <w:kern w:val="36"/>
              </w:rPr>
              <w:t xml:space="preserve">3.5 </w:t>
            </w:r>
            <w:r w:rsidRPr="00F9081D">
              <w:rPr>
                <w:rStyle w:val="Hyperlink"/>
                <w:rFonts w:ascii="Simplified Arabic" w:eastAsia="Times New Roman" w:hAnsi="Simplified Arabic" w:cs="Simplified Arabic"/>
                <w:b/>
                <w:bCs/>
                <w:noProof/>
                <w:kern w:val="36"/>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Toc234607907 \h</w:instrText>
            </w:r>
            <w:r>
              <w:rPr>
                <w:noProof/>
                <w:webHidden/>
                <w:rtl/>
              </w:rPr>
              <w:instrText xml:space="preserve"> </w:instrText>
            </w:r>
            <w:r>
              <w:rPr>
                <w:noProof/>
                <w:webHidden/>
                <w:rtl/>
              </w:rPr>
            </w:r>
            <w:r>
              <w:rPr>
                <w:noProof/>
                <w:webHidden/>
                <w:rtl/>
              </w:rPr>
              <w:fldChar w:fldCharType="separate"/>
            </w:r>
            <w:r>
              <w:rPr>
                <w:noProof/>
                <w:webHidden/>
                <w:rtl/>
              </w:rPr>
              <w:t>142</w:t>
            </w:r>
            <w:r>
              <w:rPr>
                <w:noProof/>
                <w:webHidden/>
                <w:rtl/>
              </w:rPr>
              <w:fldChar w:fldCharType="end"/>
            </w:r>
          </w:hyperlink>
        </w:p>
        <w:p w14:paraId="33759B9C" w14:textId="7383BA8C" w:rsidR="00AC44CC" w:rsidRDefault="00AC44CC">
          <w:pPr>
            <w:pStyle w:val="TOC1"/>
            <w:rPr>
              <w:rFonts w:eastAsiaTheme="minorEastAsia"/>
              <w:noProof/>
              <w:kern w:val="2"/>
              <w:sz w:val="24"/>
              <w:szCs w:val="24"/>
              <w:rtl/>
              <w14:ligatures w14:val="standardContextual"/>
            </w:rPr>
          </w:pPr>
          <w:hyperlink w:anchor="_Toc234607908" w:history="1">
            <w:r w:rsidRPr="00F9081D">
              <w:rPr>
                <w:rStyle w:val="Hyperlink"/>
                <w:rFonts w:ascii="Simplified Arabic" w:eastAsia="Times New Roman" w:hAnsi="Simplified Arabic" w:cs="Simplified Arabic"/>
                <w:b/>
                <w:bCs/>
                <w:noProof/>
                <w:kern w:val="36"/>
              </w:rPr>
              <w:t xml:space="preserve">3.6 </w:t>
            </w:r>
            <w:r w:rsidRPr="00F9081D">
              <w:rPr>
                <w:rStyle w:val="Hyperlink"/>
                <w:rFonts w:ascii="Simplified Arabic" w:eastAsia="Times New Roman" w:hAnsi="Simplified Arabic" w:cs="Simplified Arabic"/>
                <w:b/>
                <w:bCs/>
                <w:noProof/>
                <w:kern w:val="36"/>
                <w:rtl/>
              </w:rPr>
              <w:t>وحدة 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Toc234607908 \h</w:instrText>
            </w:r>
            <w:r>
              <w:rPr>
                <w:noProof/>
                <w:webHidden/>
                <w:rtl/>
              </w:rPr>
              <w:instrText xml:space="preserve"> </w:instrText>
            </w:r>
            <w:r>
              <w:rPr>
                <w:noProof/>
                <w:webHidden/>
                <w:rtl/>
              </w:rPr>
            </w:r>
            <w:r>
              <w:rPr>
                <w:noProof/>
                <w:webHidden/>
                <w:rtl/>
              </w:rPr>
              <w:fldChar w:fldCharType="separate"/>
            </w:r>
            <w:r>
              <w:rPr>
                <w:noProof/>
                <w:webHidden/>
                <w:rtl/>
              </w:rPr>
              <w:t>142</w:t>
            </w:r>
            <w:r>
              <w:rPr>
                <w:noProof/>
                <w:webHidden/>
                <w:rtl/>
              </w:rPr>
              <w:fldChar w:fldCharType="end"/>
            </w:r>
          </w:hyperlink>
        </w:p>
        <w:p w14:paraId="41DF8F0E" w14:textId="36ED58A7" w:rsidR="00AC44CC" w:rsidRDefault="00AC44CC">
          <w:pPr>
            <w:pStyle w:val="TOC1"/>
            <w:rPr>
              <w:rFonts w:eastAsiaTheme="minorEastAsia"/>
              <w:noProof/>
              <w:kern w:val="2"/>
              <w:sz w:val="24"/>
              <w:szCs w:val="24"/>
              <w:rtl/>
              <w14:ligatures w14:val="standardContextual"/>
            </w:rPr>
          </w:pPr>
          <w:hyperlink w:anchor="_Toc234607909" w:history="1">
            <w:r w:rsidRPr="00F9081D">
              <w:rPr>
                <w:rStyle w:val="Hyperlink"/>
                <w:rFonts w:ascii="Simplified Arabic" w:eastAsia="Times New Roman" w:hAnsi="Simplified Arabic" w:cs="Simplified Arabic"/>
                <w:b/>
                <w:bCs/>
                <w:noProof/>
                <w:kern w:val="36"/>
              </w:rPr>
              <w:t xml:space="preserve">3.7 </w:t>
            </w:r>
            <w:r w:rsidRPr="00F9081D">
              <w:rPr>
                <w:rStyle w:val="Hyperlink"/>
                <w:rFonts w:ascii="Simplified Arabic" w:eastAsia="Times New Roman" w:hAnsi="Simplified Arabic" w:cs="Simplified Arabic"/>
                <w:b/>
                <w:bCs/>
                <w:noProof/>
                <w:kern w:val="36"/>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Toc234607909 \h</w:instrText>
            </w:r>
            <w:r>
              <w:rPr>
                <w:noProof/>
                <w:webHidden/>
                <w:rtl/>
              </w:rPr>
              <w:instrText xml:space="preserve"> </w:instrText>
            </w:r>
            <w:r>
              <w:rPr>
                <w:noProof/>
                <w:webHidden/>
                <w:rtl/>
              </w:rPr>
            </w:r>
            <w:r>
              <w:rPr>
                <w:noProof/>
                <w:webHidden/>
                <w:rtl/>
              </w:rPr>
              <w:fldChar w:fldCharType="separate"/>
            </w:r>
            <w:r>
              <w:rPr>
                <w:noProof/>
                <w:webHidden/>
                <w:rtl/>
              </w:rPr>
              <w:t>142</w:t>
            </w:r>
            <w:r>
              <w:rPr>
                <w:noProof/>
                <w:webHidden/>
                <w:rtl/>
              </w:rPr>
              <w:fldChar w:fldCharType="end"/>
            </w:r>
          </w:hyperlink>
        </w:p>
        <w:p w14:paraId="387FEEB1" w14:textId="1669C7F3" w:rsidR="00AC44CC" w:rsidRDefault="00AC44CC">
          <w:pPr>
            <w:pStyle w:val="TOC3"/>
            <w:tabs>
              <w:tab w:val="right" w:leader="dot" w:pos="8296"/>
            </w:tabs>
            <w:bidi/>
            <w:rPr>
              <w:rFonts w:eastAsiaTheme="minorEastAsia"/>
              <w:noProof/>
              <w:kern w:val="2"/>
              <w:sz w:val="24"/>
              <w:szCs w:val="24"/>
              <w:rtl/>
              <w14:ligatures w14:val="standardContextual"/>
            </w:rPr>
          </w:pPr>
          <w:hyperlink w:anchor="_Toc234607910" w:history="1">
            <w:r w:rsidRPr="00F9081D">
              <w:rPr>
                <w:rStyle w:val="Hyperlink"/>
                <w:rFonts w:ascii="Simplified Arabic" w:eastAsia="Times New Roman" w:hAnsi="Simplified Arabic" w:cs="Simplified Arabic"/>
                <w:b/>
                <w:bCs/>
                <w:noProof/>
                <w:rtl/>
              </w:rPr>
              <w:t>جدول</w:t>
            </w:r>
            <w:r w:rsidRPr="00F9081D">
              <w:rPr>
                <w:rStyle w:val="Hyperlink"/>
                <w:rFonts w:ascii="Simplified Arabic" w:eastAsia="Times New Roman" w:hAnsi="Simplified Arabic" w:cs="Simplified Arabic"/>
                <w:b/>
                <w:bCs/>
                <w:noProof/>
              </w:rPr>
              <w:t xml:space="preserve"> (3-3)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Toc234607910 \h</w:instrText>
            </w:r>
            <w:r>
              <w:rPr>
                <w:noProof/>
                <w:webHidden/>
                <w:rtl/>
              </w:rPr>
              <w:instrText xml:space="preserve"> </w:instrText>
            </w:r>
            <w:r>
              <w:rPr>
                <w:noProof/>
                <w:webHidden/>
                <w:rtl/>
              </w:rPr>
            </w:r>
            <w:r>
              <w:rPr>
                <w:noProof/>
                <w:webHidden/>
                <w:rtl/>
              </w:rPr>
              <w:fldChar w:fldCharType="separate"/>
            </w:r>
            <w:r>
              <w:rPr>
                <w:noProof/>
                <w:webHidden/>
                <w:rtl/>
              </w:rPr>
              <w:t>142</w:t>
            </w:r>
            <w:r>
              <w:rPr>
                <w:noProof/>
                <w:webHidden/>
                <w:rtl/>
              </w:rPr>
              <w:fldChar w:fldCharType="end"/>
            </w:r>
          </w:hyperlink>
        </w:p>
        <w:p w14:paraId="1EF4D7A4" w14:textId="70DA1F30" w:rsidR="00AC44CC" w:rsidRDefault="00AC44CC">
          <w:pPr>
            <w:pStyle w:val="TOC3"/>
            <w:tabs>
              <w:tab w:val="right" w:leader="dot" w:pos="8296"/>
            </w:tabs>
            <w:bidi/>
            <w:rPr>
              <w:rFonts w:eastAsiaTheme="minorEastAsia"/>
              <w:noProof/>
              <w:kern w:val="2"/>
              <w:sz w:val="24"/>
              <w:szCs w:val="24"/>
              <w:rtl/>
              <w14:ligatures w14:val="standardContextual"/>
            </w:rPr>
          </w:pPr>
          <w:hyperlink w:anchor="_Toc234607911" w:history="1">
            <w:r w:rsidRPr="00F9081D">
              <w:rPr>
                <w:rStyle w:val="Hyperlink"/>
                <w:rFonts w:ascii="Simplified Arabic" w:eastAsia="Times New Roman" w:hAnsi="Simplified Arabic" w:cs="Simplified Arabic"/>
                <w:b/>
                <w:bCs/>
                <w:noProof/>
                <w:rtl/>
              </w:rPr>
              <w:t>التوزيع المقترح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Toc234607911 \h</w:instrText>
            </w:r>
            <w:r>
              <w:rPr>
                <w:noProof/>
                <w:webHidden/>
                <w:rtl/>
              </w:rPr>
              <w:instrText xml:space="preserve"> </w:instrText>
            </w:r>
            <w:r>
              <w:rPr>
                <w:noProof/>
                <w:webHidden/>
                <w:rtl/>
              </w:rPr>
            </w:r>
            <w:r>
              <w:rPr>
                <w:noProof/>
                <w:webHidden/>
                <w:rtl/>
              </w:rPr>
              <w:fldChar w:fldCharType="separate"/>
            </w:r>
            <w:r>
              <w:rPr>
                <w:noProof/>
                <w:webHidden/>
                <w:rtl/>
              </w:rPr>
              <w:t>142</w:t>
            </w:r>
            <w:r>
              <w:rPr>
                <w:noProof/>
                <w:webHidden/>
                <w:rtl/>
              </w:rPr>
              <w:fldChar w:fldCharType="end"/>
            </w:r>
          </w:hyperlink>
        </w:p>
        <w:p w14:paraId="3201722A" w14:textId="3317E9A8" w:rsidR="00AC44CC" w:rsidRDefault="00AC44CC">
          <w:pPr>
            <w:pStyle w:val="TOC1"/>
            <w:rPr>
              <w:rFonts w:eastAsiaTheme="minorEastAsia"/>
              <w:noProof/>
              <w:kern w:val="2"/>
              <w:sz w:val="24"/>
              <w:szCs w:val="24"/>
              <w:rtl/>
              <w14:ligatures w14:val="standardContextual"/>
            </w:rPr>
          </w:pPr>
          <w:hyperlink w:anchor="_Toc234607912" w:history="1">
            <w:r w:rsidRPr="00F9081D">
              <w:rPr>
                <w:rStyle w:val="Hyperlink"/>
                <w:rFonts w:ascii="Simplified Arabic" w:eastAsia="Times New Roman" w:hAnsi="Simplified Arabic" w:cs="Simplified Arabic"/>
                <w:b/>
                <w:bCs/>
                <w:noProof/>
                <w:kern w:val="36"/>
              </w:rPr>
              <w:t xml:space="preserve">3.8 </w:t>
            </w:r>
            <w:r w:rsidRPr="00F9081D">
              <w:rPr>
                <w:rStyle w:val="Hyperlink"/>
                <w:rFonts w:ascii="Simplified Arabic" w:eastAsia="Times New Roman" w:hAnsi="Simplified Arabic" w:cs="Simplified Arabic"/>
                <w:b/>
                <w:bCs/>
                <w:noProof/>
                <w:kern w:val="36"/>
                <w:rtl/>
              </w:rPr>
              <w:t>مصادر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Toc234607912 \h</w:instrText>
            </w:r>
            <w:r>
              <w:rPr>
                <w:noProof/>
                <w:webHidden/>
                <w:rtl/>
              </w:rPr>
              <w:instrText xml:space="preserve"> </w:instrText>
            </w:r>
            <w:r>
              <w:rPr>
                <w:noProof/>
                <w:webHidden/>
                <w:rtl/>
              </w:rPr>
            </w:r>
            <w:r>
              <w:rPr>
                <w:noProof/>
                <w:webHidden/>
                <w:rtl/>
              </w:rPr>
              <w:fldChar w:fldCharType="separate"/>
            </w:r>
            <w:r>
              <w:rPr>
                <w:noProof/>
                <w:webHidden/>
                <w:rtl/>
              </w:rPr>
              <w:t>143</w:t>
            </w:r>
            <w:r>
              <w:rPr>
                <w:noProof/>
                <w:webHidden/>
                <w:rtl/>
              </w:rPr>
              <w:fldChar w:fldCharType="end"/>
            </w:r>
          </w:hyperlink>
        </w:p>
        <w:p w14:paraId="7C8588F3" w14:textId="38D599E0" w:rsidR="00AC44CC" w:rsidRDefault="00AC44CC">
          <w:pPr>
            <w:pStyle w:val="TOC1"/>
            <w:rPr>
              <w:rFonts w:eastAsiaTheme="minorEastAsia"/>
              <w:noProof/>
              <w:kern w:val="2"/>
              <w:sz w:val="24"/>
              <w:szCs w:val="24"/>
              <w:rtl/>
              <w14:ligatures w14:val="standardContextual"/>
            </w:rPr>
          </w:pPr>
          <w:hyperlink w:anchor="_Toc234607913" w:history="1">
            <w:r w:rsidRPr="00F9081D">
              <w:rPr>
                <w:rStyle w:val="Hyperlink"/>
                <w:rFonts w:ascii="Simplified Arabic" w:eastAsia="Times New Roman" w:hAnsi="Simplified Arabic" w:cs="Simplified Arabic"/>
                <w:b/>
                <w:bCs/>
                <w:noProof/>
                <w:kern w:val="36"/>
              </w:rPr>
              <w:t xml:space="preserve">3.9 </w:t>
            </w:r>
            <w:r w:rsidRPr="00F9081D">
              <w:rPr>
                <w:rStyle w:val="Hyperlink"/>
                <w:rFonts w:ascii="Simplified Arabic" w:eastAsia="Times New Roman" w:hAnsi="Simplified Arabic" w:cs="Simplified Arabic"/>
                <w:b/>
                <w:bCs/>
                <w:noProof/>
                <w:kern w:val="36"/>
                <w:rtl/>
              </w:rPr>
              <w:t>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Toc234607913 \h</w:instrText>
            </w:r>
            <w:r>
              <w:rPr>
                <w:noProof/>
                <w:webHidden/>
                <w:rtl/>
              </w:rPr>
              <w:instrText xml:space="preserve"> </w:instrText>
            </w:r>
            <w:r>
              <w:rPr>
                <w:noProof/>
                <w:webHidden/>
                <w:rtl/>
              </w:rPr>
            </w:r>
            <w:r>
              <w:rPr>
                <w:noProof/>
                <w:webHidden/>
                <w:rtl/>
              </w:rPr>
              <w:fldChar w:fldCharType="separate"/>
            </w:r>
            <w:r>
              <w:rPr>
                <w:noProof/>
                <w:webHidden/>
                <w:rtl/>
              </w:rPr>
              <w:t>143</w:t>
            </w:r>
            <w:r>
              <w:rPr>
                <w:noProof/>
                <w:webHidden/>
                <w:rtl/>
              </w:rPr>
              <w:fldChar w:fldCharType="end"/>
            </w:r>
          </w:hyperlink>
        </w:p>
        <w:p w14:paraId="29E3CE5C" w14:textId="548731CB" w:rsidR="00AC44CC" w:rsidRDefault="00AC44CC">
          <w:pPr>
            <w:pStyle w:val="TOC3"/>
            <w:tabs>
              <w:tab w:val="right" w:leader="dot" w:pos="8296"/>
            </w:tabs>
            <w:bidi/>
            <w:rPr>
              <w:rFonts w:eastAsiaTheme="minorEastAsia"/>
              <w:noProof/>
              <w:kern w:val="2"/>
              <w:sz w:val="24"/>
              <w:szCs w:val="24"/>
              <w:rtl/>
              <w14:ligatures w14:val="standardContextual"/>
            </w:rPr>
          </w:pPr>
          <w:hyperlink w:anchor="_Toc234607914" w:history="1">
            <w:r w:rsidRPr="00F9081D">
              <w:rPr>
                <w:rStyle w:val="Hyperlink"/>
                <w:rFonts w:ascii="Simplified Arabic" w:eastAsia="Times New Roman" w:hAnsi="Simplified Arabic" w:cs="Simplified Arabic"/>
                <w:b/>
                <w:bCs/>
                <w:noProof/>
                <w:rtl/>
              </w:rPr>
              <w:t>جدول</w:t>
            </w:r>
            <w:r w:rsidRPr="00F9081D">
              <w:rPr>
                <w:rStyle w:val="Hyperlink"/>
                <w:rFonts w:ascii="Simplified Arabic" w:eastAsia="Times New Roman" w:hAnsi="Simplified Arabic" w:cs="Simplified Arabic"/>
                <w:b/>
                <w:bCs/>
                <w:noProof/>
              </w:rPr>
              <w:t xml:space="preserve"> (3-4)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Toc234607914 \h</w:instrText>
            </w:r>
            <w:r>
              <w:rPr>
                <w:noProof/>
                <w:webHidden/>
                <w:rtl/>
              </w:rPr>
              <w:instrText xml:space="preserve"> </w:instrText>
            </w:r>
            <w:r>
              <w:rPr>
                <w:noProof/>
                <w:webHidden/>
                <w:rtl/>
              </w:rPr>
            </w:r>
            <w:r>
              <w:rPr>
                <w:noProof/>
                <w:webHidden/>
                <w:rtl/>
              </w:rPr>
              <w:fldChar w:fldCharType="separate"/>
            </w:r>
            <w:r>
              <w:rPr>
                <w:noProof/>
                <w:webHidden/>
                <w:rtl/>
              </w:rPr>
              <w:t>143</w:t>
            </w:r>
            <w:r>
              <w:rPr>
                <w:noProof/>
                <w:webHidden/>
                <w:rtl/>
              </w:rPr>
              <w:fldChar w:fldCharType="end"/>
            </w:r>
          </w:hyperlink>
        </w:p>
        <w:p w14:paraId="23707178" w14:textId="24713EE3" w:rsidR="00AC44CC" w:rsidRDefault="00AC44CC">
          <w:pPr>
            <w:pStyle w:val="TOC3"/>
            <w:tabs>
              <w:tab w:val="right" w:leader="dot" w:pos="8296"/>
            </w:tabs>
            <w:bidi/>
            <w:rPr>
              <w:rFonts w:eastAsiaTheme="minorEastAsia"/>
              <w:noProof/>
              <w:kern w:val="2"/>
              <w:sz w:val="24"/>
              <w:szCs w:val="24"/>
              <w:rtl/>
              <w14:ligatures w14:val="standardContextual"/>
            </w:rPr>
          </w:pPr>
          <w:hyperlink w:anchor="_Toc234607915" w:history="1">
            <w:r w:rsidRPr="00F9081D">
              <w:rPr>
                <w:rStyle w:val="Hyperlink"/>
                <w:rFonts w:ascii="Simplified Arabic" w:eastAsia="Times New Roman" w:hAnsi="Simplified Arabic" w:cs="Simplified Arabic"/>
                <w:b/>
                <w:bCs/>
                <w:noProof/>
                <w:rtl/>
              </w:rPr>
              <w:t>أدوات جمع البيانات ودور كل 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Toc234607915 \h</w:instrText>
            </w:r>
            <w:r>
              <w:rPr>
                <w:noProof/>
                <w:webHidden/>
                <w:rtl/>
              </w:rPr>
              <w:instrText xml:space="preserve"> </w:instrText>
            </w:r>
            <w:r>
              <w:rPr>
                <w:noProof/>
                <w:webHidden/>
                <w:rtl/>
              </w:rPr>
            </w:r>
            <w:r>
              <w:rPr>
                <w:noProof/>
                <w:webHidden/>
                <w:rtl/>
              </w:rPr>
              <w:fldChar w:fldCharType="separate"/>
            </w:r>
            <w:r>
              <w:rPr>
                <w:noProof/>
                <w:webHidden/>
                <w:rtl/>
              </w:rPr>
              <w:t>143</w:t>
            </w:r>
            <w:r>
              <w:rPr>
                <w:noProof/>
                <w:webHidden/>
                <w:rtl/>
              </w:rPr>
              <w:fldChar w:fldCharType="end"/>
            </w:r>
          </w:hyperlink>
        </w:p>
        <w:p w14:paraId="2BBDDE77" w14:textId="67C32D07" w:rsidR="00AC44CC" w:rsidRDefault="00AC44CC">
          <w:pPr>
            <w:pStyle w:val="TOC1"/>
            <w:rPr>
              <w:rFonts w:eastAsiaTheme="minorEastAsia"/>
              <w:noProof/>
              <w:kern w:val="2"/>
              <w:sz w:val="24"/>
              <w:szCs w:val="24"/>
              <w:rtl/>
              <w14:ligatures w14:val="standardContextual"/>
            </w:rPr>
          </w:pPr>
          <w:hyperlink w:anchor="_Toc234607916" w:history="1">
            <w:r w:rsidRPr="00F9081D">
              <w:rPr>
                <w:rStyle w:val="Hyperlink"/>
                <w:rFonts w:ascii="T" w:eastAsia="Calibri" w:hAnsi="T" w:cs="Simplified Arabic"/>
                <w:b/>
                <w:bCs/>
                <w:noProof/>
                <w:rtl/>
                <w:lang w:bidi="ar-EG"/>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Toc234607916 \h</w:instrText>
            </w:r>
            <w:r>
              <w:rPr>
                <w:noProof/>
                <w:webHidden/>
                <w:rtl/>
              </w:rPr>
              <w:instrText xml:space="preserve"> </w:instrText>
            </w:r>
            <w:r>
              <w:rPr>
                <w:noProof/>
                <w:webHidden/>
                <w:rtl/>
              </w:rPr>
            </w:r>
            <w:r>
              <w:rPr>
                <w:noProof/>
                <w:webHidden/>
                <w:rtl/>
              </w:rPr>
              <w:fldChar w:fldCharType="separate"/>
            </w:r>
            <w:r>
              <w:rPr>
                <w:noProof/>
                <w:webHidden/>
                <w:rtl/>
              </w:rPr>
              <w:t>151</w:t>
            </w:r>
            <w:r>
              <w:rPr>
                <w:noProof/>
                <w:webHidden/>
                <w:rtl/>
              </w:rPr>
              <w:fldChar w:fldCharType="end"/>
            </w:r>
          </w:hyperlink>
        </w:p>
        <w:p w14:paraId="0ADD30B6" w14:textId="2E0C34DA" w:rsidR="002C6EAC" w:rsidRPr="00D550B1" w:rsidRDefault="00FD30BF" w:rsidP="00AC44CC">
          <w:pPr>
            <w:bidi/>
            <w:spacing w:after="0" w:line="240" w:lineRule="auto"/>
            <w:rPr>
              <w:rFonts w:ascii="T" w:hAnsi="T" w:cstheme="majorBidi"/>
              <w:rtl/>
            </w:rPr>
          </w:pPr>
          <w:r w:rsidRPr="00240338">
            <w:rPr>
              <w:rFonts w:ascii="Simplified Arabic" w:hAnsi="Simplified Arabic" w:cs="Simplified Arabic"/>
              <w:sz w:val="20"/>
              <w:szCs w:val="20"/>
            </w:rPr>
            <w:fldChar w:fldCharType="end"/>
          </w:r>
        </w:p>
      </w:sdtContent>
    </w:sdt>
    <w:p w14:paraId="01D8AD95" w14:textId="1FAEAADA" w:rsidR="00E234C5" w:rsidRPr="00B94AD1" w:rsidRDefault="00CB09E2" w:rsidP="002C6EAC">
      <w:pPr>
        <w:pStyle w:val="Heading1"/>
        <w:bidi/>
        <w:rPr>
          <w:rFonts w:ascii="Simplified Arabic" w:hAnsi="Simplified Arabic" w:cs="Simplified Arabic"/>
          <w:b/>
          <w:bCs/>
          <w:color w:val="auto"/>
          <w:sz w:val="24"/>
          <w:szCs w:val="24"/>
          <w:rtl/>
          <w:lang w:bidi="ar-EG"/>
        </w:rPr>
      </w:pPr>
      <w:bookmarkStart w:id="1" w:name="_Toc234607841"/>
      <w:r w:rsidRPr="00B94AD1">
        <w:rPr>
          <w:rFonts w:ascii="Simplified Arabic" w:hAnsi="Simplified Arabic" w:cs="Simplified Arabic"/>
          <w:b/>
          <w:bCs/>
          <w:color w:val="auto"/>
          <w:sz w:val="24"/>
          <w:szCs w:val="24"/>
          <w:rtl/>
        </w:rPr>
        <w:lastRenderedPageBreak/>
        <w:t>قائمة الجداول</w:t>
      </w:r>
      <w:bookmarkEnd w:id="1"/>
    </w:p>
    <w:p w14:paraId="4A23FE2D" w14:textId="4DACB755" w:rsidR="006A6532" w:rsidRPr="00B94AD1" w:rsidRDefault="00FD30BF">
      <w:pPr>
        <w:pStyle w:val="TableofFigures"/>
        <w:tabs>
          <w:tab w:val="right" w:leader="dot" w:pos="8296"/>
        </w:tabs>
        <w:bidi/>
        <w:rPr>
          <w:rFonts w:ascii="Simplified Arabic" w:eastAsiaTheme="minorEastAsia" w:hAnsi="Simplified Arabic" w:cs="Simplified Arabic"/>
          <w:noProof/>
          <w:sz w:val="20"/>
          <w:szCs w:val="20"/>
          <w:rtl/>
        </w:rPr>
      </w:pPr>
      <w:r w:rsidRPr="005D59A7">
        <w:rPr>
          <w:rFonts w:ascii="T" w:hAnsi="T"/>
          <w:rtl/>
        </w:rPr>
        <w:fldChar w:fldCharType="begin"/>
      </w:r>
      <w:r w:rsidR="00920785" w:rsidRPr="005D59A7">
        <w:rPr>
          <w:rFonts w:ascii="T" w:hAnsi="T"/>
          <w:rtl/>
        </w:rPr>
        <w:instrText xml:space="preserve"> </w:instrText>
      </w:r>
      <w:r w:rsidR="00920785" w:rsidRPr="005D59A7">
        <w:rPr>
          <w:rFonts w:ascii="T" w:hAnsi="T"/>
        </w:rPr>
        <w:instrText>TOC</w:instrText>
      </w:r>
      <w:r w:rsidR="00920785" w:rsidRPr="005D59A7">
        <w:rPr>
          <w:rFonts w:ascii="T" w:hAnsi="T"/>
          <w:rtl/>
        </w:rPr>
        <w:instrText xml:space="preserve"> \</w:instrText>
      </w:r>
      <w:r w:rsidR="00920785" w:rsidRPr="005D59A7">
        <w:rPr>
          <w:rFonts w:ascii="T" w:hAnsi="T"/>
        </w:rPr>
        <w:instrText>h \z \c "Table</w:instrText>
      </w:r>
      <w:r w:rsidR="00920785" w:rsidRPr="005D59A7">
        <w:rPr>
          <w:rFonts w:ascii="T" w:hAnsi="T"/>
          <w:rtl/>
        </w:rPr>
        <w:instrText xml:space="preserve">" </w:instrText>
      </w:r>
      <w:r w:rsidRPr="005D59A7">
        <w:rPr>
          <w:rFonts w:ascii="T" w:hAnsi="T"/>
          <w:rtl/>
        </w:rPr>
        <w:fldChar w:fldCharType="separate"/>
      </w:r>
      <w:hyperlink w:anchor="_Toc225991173" w:history="1">
        <w:r w:rsidR="006A6532" w:rsidRPr="00B94AD1">
          <w:rPr>
            <w:rStyle w:val="Hyperlink"/>
            <w:rFonts w:ascii="Simplified Arabic" w:hAnsi="Simplified Arabic" w:cs="Simplified Arabic"/>
            <w:noProof/>
            <w:color w:val="auto"/>
            <w:sz w:val="20"/>
            <w:szCs w:val="20"/>
          </w:rPr>
          <w:t>Table</w:t>
        </w:r>
        <w:r w:rsidR="006A6532" w:rsidRPr="00B94AD1">
          <w:rPr>
            <w:rStyle w:val="Hyperlink"/>
            <w:rFonts w:ascii="Simplified Arabic" w:hAnsi="Simplified Arabic" w:cs="Simplified Arabic"/>
            <w:noProof/>
            <w:color w:val="auto"/>
            <w:sz w:val="20"/>
            <w:szCs w:val="20"/>
            <w:rtl/>
          </w:rPr>
          <w:t xml:space="preserve"> 2: المصطلحات التطبيقية</w:t>
        </w:r>
        <w:r w:rsidR="006A6532" w:rsidRPr="00B94AD1">
          <w:rPr>
            <w:rFonts w:ascii="Simplified Arabic" w:hAnsi="Simplified Arabic" w:cs="Simplified Arabic"/>
            <w:noProof/>
            <w:webHidden/>
            <w:sz w:val="20"/>
            <w:szCs w:val="20"/>
            <w:rtl/>
          </w:rPr>
          <w:tab/>
        </w:r>
        <w:r w:rsidR="006A6532" w:rsidRPr="00B94AD1">
          <w:rPr>
            <w:rStyle w:val="Hyperlink"/>
            <w:rFonts w:ascii="Simplified Arabic" w:hAnsi="Simplified Arabic" w:cs="Simplified Arabic"/>
            <w:noProof/>
            <w:color w:val="auto"/>
            <w:sz w:val="20"/>
            <w:szCs w:val="20"/>
            <w:rtl/>
          </w:rPr>
          <w:fldChar w:fldCharType="begin"/>
        </w:r>
        <w:r w:rsidR="006A6532" w:rsidRPr="00B94AD1">
          <w:rPr>
            <w:rFonts w:ascii="Simplified Arabic" w:hAnsi="Simplified Arabic" w:cs="Simplified Arabic"/>
            <w:noProof/>
            <w:webHidden/>
            <w:sz w:val="20"/>
            <w:szCs w:val="20"/>
            <w:rtl/>
          </w:rPr>
          <w:instrText xml:space="preserve"> </w:instrText>
        </w:r>
        <w:r w:rsidR="006A6532" w:rsidRPr="00B94AD1">
          <w:rPr>
            <w:rFonts w:ascii="Simplified Arabic" w:hAnsi="Simplified Arabic" w:cs="Simplified Arabic"/>
            <w:noProof/>
            <w:webHidden/>
            <w:sz w:val="20"/>
            <w:szCs w:val="20"/>
          </w:rPr>
          <w:instrText>PAGEREF</w:instrText>
        </w:r>
        <w:r w:rsidR="006A6532" w:rsidRPr="00B94AD1">
          <w:rPr>
            <w:rFonts w:ascii="Simplified Arabic" w:hAnsi="Simplified Arabic" w:cs="Simplified Arabic"/>
            <w:noProof/>
            <w:webHidden/>
            <w:sz w:val="20"/>
            <w:szCs w:val="20"/>
            <w:rtl/>
          </w:rPr>
          <w:instrText xml:space="preserve"> _</w:instrText>
        </w:r>
        <w:r w:rsidR="006A6532" w:rsidRPr="00B94AD1">
          <w:rPr>
            <w:rFonts w:ascii="Simplified Arabic" w:hAnsi="Simplified Arabic" w:cs="Simplified Arabic"/>
            <w:noProof/>
            <w:webHidden/>
            <w:sz w:val="20"/>
            <w:szCs w:val="20"/>
          </w:rPr>
          <w:instrText>Toc225991173 \h</w:instrText>
        </w:r>
        <w:r w:rsidR="006A6532" w:rsidRPr="00B94AD1">
          <w:rPr>
            <w:rFonts w:ascii="Simplified Arabic" w:hAnsi="Simplified Arabic" w:cs="Simplified Arabic"/>
            <w:noProof/>
            <w:webHidden/>
            <w:sz w:val="20"/>
            <w:szCs w:val="20"/>
            <w:rtl/>
          </w:rPr>
          <w:instrText xml:space="preserve"> </w:instrText>
        </w:r>
        <w:r w:rsidR="006A6532" w:rsidRPr="00B94AD1">
          <w:rPr>
            <w:rStyle w:val="Hyperlink"/>
            <w:rFonts w:ascii="Simplified Arabic" w:hAnsi="Simplified Arabic" w:cs="Simplified Arabic"/>
            <w:noProof/>
            <w:color w:val="auto"/>
            <w:sz w:val="20"/>
            <w:szCs w:val="20"/>
            <w:rtl/>
          </w:rPr>
        </w:r>
        <w:r w:rsidR="006A6532"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34</w:t>
        </w:r>
        <w:r w:rsidR="006A6532" w:rsidRPr="00B94AD1">
          <w:rPr>
            <w:rStyle w:val="Hyperlink"/>
            <w:rFonts w:ascii="Simplified Arabic" w:hAnsi="Simplified Arabic" w:cs="Simplified Arabic"/>
            <w:noProof/>
            <w:color w:val="auto"/>
            <w:sz w:val="20"/>
            <w:szCs w:val="20"/>
            <w:rtl/>
          </w:rPr>
          <w:fldChar w:fldCharType="end"/>
        </w:r>
      </w:hyperlink>
    </w:p>
    <w:p w14:paraId="61DAD20C" w14:textId="4893EFD6"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4" w:history="1">
        <w:r w:rsidRPr="00B94AD1">
          <w:rPr>
            <w:rStyle w:val="Hyperlink"/>
            <w:rFonts w:ascii="Simplified Arabic" w:hAnsi="Simplified Arabic" w:cs="Simplified Arabic"/>
            <w:noProof/>
            <w:color w:val="auto"/>
            <w:sz w:val="20"/>
            <w:szCs w:val="20"/>
          </w:rPr>
          <w:t>Table 3</w:t>
        </w:r>
        <w:r w:rsidRPr="00B94AD1">
          <w:rPr>
            <w:rStyle w:val="Hyperlink"/>
            <w:rFonts w:ascii="Simplified Arabic" w:hAnsi="Simplified Arabic" w:cs="Simplified Arabic"/>
            <w:noProof/>
            <w:color w:val="auto"/>
            <w:sz w:val="20"/>
            <w:szCs w:val="20"/>
            <w:rtl/>
          </w:rPr>
          <w:t>: الدراسات المرجعية المختارة</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Toc225991174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37</w:t>
        </w:r>
        <w:r w:rsidRPr="00B94AD1">
          <w:rPr>
            <w:rStyle w:val="Hyperlink"/>
            <w:rFonts w:ascii="Simplified Arabic" w:hAnsi="Simplified Arabic" w:cs="Simplified Arabic"/>
            <w:noProof/>
            <w:color w:val="auto"/>
            <w:sz w:val="20"/>
            <w:szCs w:val="20"/>
            <w:rtl/>
          </w:rPr>
          <w:fldChar w:fldCharType="end"/>
        </w:r>
      </w:hyperlink>
    </w:p>
    <w:p w14:paraId="22B8FE10" w14:textId="279A46B4"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5" w:history="1">
        <w:r w:rsidRPr="00B94AD1">
          <w:rPr>
            <w:rStyle w:val="Hyperlink"/>
            <w:rFonts w:ascii="Simplified Arabic" w:hAnsi="Simplified Arabic" w:cs="Simplified Arabic"/>
            <w:noProof/>
            <w:color w:val="auto"/>
            <w:sz w:val="20"/>
            <w:szCs w:val="20"/>
          </w:rPr>
          <w:t>Table</w:t>
        </w:r>
        <w:r w:rsidRPr="00B94AD1">
          <w:rPr>
            <w:rStyle w:val="Hyperlink"/>
            <w:rFonts w:ascii="Simplified Arabic" w:hAnsi="Simplified Arabic" w:cs="Simplified Arabic"/>
            <w:noProof/>
            <w:color w:val="auto"/>
            <w:sz w:val="20"/>
            <w:szCs w:val="20"/>
            <w:rtl/>
          </w:rPr>
          <w:t xml:space="preserve"> 4: الجهات التابعة لوزارة البيئة والمياه والزراعة</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Toc225991175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84</w:t>
        </w:r>
        <w:r w:rsidRPr="00B94AD1">
          <w:rPr>
            <w:rStyle w:val="Hyperlink"/>
            <w:rFonts w:ascii="Simplified Arabic" w:hAnsi="Simplified Arabic" w:cs="Simplified Arabic"/>
            <w:noProof/>
            <w:color w:val="auto"/>
            <w:sz w:val="20"/>
            <w:szCs w:val="20"/>
            <w:rtl/>
          </w:rPr>
          <w:fldChar w:fldCharType="end"/>
        </w:r>
      </w:hyperlink>
    </w:p>
    <w:p w14:paraId="2DF76E46" w14:textId="15DCF214"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6" w:history="1">
        <w:r w:rsidRPr="00B94AD1">
          <w:rPr>
            <w:rStyle w:val="Hyperlink"/>
            <w:rFonts w:ascii="Simplified Arabic" w:hAnsi="Simplified Arabic" w:cs="Simplified Arabic"/>
            <w:noProof/>
            <w:color w:val="auto"/>
            <w:sz w:val="20"/>
            <w:szCs w:val="20"/>
          </w:rPr>
          <w:t>Table</w:t>
        </w:r>
        <w:r w:rsidRPr="00B94AD1">
          <w:rPr>
            <w:rStyle w:val="Hyperlink"/>
            <w:rFonts w:ascii="Simplified Arabic" w:hAnsi="Simplified Arabic" w:cs="Simplified Arabic"/>
            <w:noProof/>
            <w:color w:val="auto"/>
            <w:sz w:val="20"/>
            <w:szCs w:val="20"/>
            <w:rtl/>
          </w:rPr>
          <w:t xml:space="preserve"> 5: الجهات البيئية بالمملكة العربية السعودية</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Toc225991176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89</w:t>
        </w:r>
        <w:r w:rsidRPr="00B94AD1">
          <w:rPr>
            <w:rStyle w:val="Hyperlink"/>
            <w:rFonts w:ascii="Simplified Arabic" w:hAnsi="Simplified Arabic" w:cs="Simplified Arabic"/>
            <w:noProof/>
            <w:color w:val="auto"/>
            <w:sz w:val="20"/>
            <w:szCs w:val="20"/>
            <w:rtl/>
          </w:rPr>
          <w:fldChar w:fldCharType="end"/>
        </w:r>
      </w:hyperlink>
    </w:p>
    <w:p w14:paraId="084E51B1" w14:textId="1E5E14D0"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7" w:history="1">
        <w:r w:rsidRPr="00B94AD1">
          <w:rPr>
            <w:rStyle w:val="Hyperlink"/>
            <w:rFonts w:ascii="Simplified Arabic" w:hAnsi="Simplified Arabic" w:cs="Simplified Arabic"/>
            <w:noProof/>
            <w:color w:val="auto"/>
            <w:sz w:val="20"/>
            <w:szCs w:val="20"/>
          </w:rPr>
          <w:t>Table</w:t>
        </w:r>
        <w:r w:rsidRPr="00B94AD1">
          <w:rPr>
            <w:rStyle w:val="Hyperlink"/>
            <w:rFonts w:ascii="Simplified Arabic" w:hAnsi="Simplified Arabic" w:cs="Simplified Arabic"/>
            <w:noProof/>
            <w:color w:val="auto"/>
            <w:sz w:val="20"/>
            <w:szCs w:val="20"/>
            <w:rtl/>
          </w:rPr>
          <w:t xml:space="preserve"> 5: تحليل القدرات المختلفة في قطاع البيئة والدروس المستفادة من أفضل الممارسات (الإستراتيجية الوطنية للبيئة)</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Toc225991177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99</w:t>
        </w:r>
        <w:r w:rsidRPr="00B94AD1">
          <w:rPr>
            <w:rStyle w:val="Hyperlink"/>
            <w:rFonts w:ascii="Simplified Arabic" w:hAnsi="Simplified Arabic" w:cs="Simplified Arabic"/>
            <w:noProof/>
            <w:color w:val="auto"/>
            <w:sz w:val="20"/>
            <w:szCs w:val="20"/>
            <w:rtl/>
          </w:rPr>
          <w:fldChar w:fldCharType="end"/>
        </w:r>
      </w:hyperlink>
    </w:p>
    <w:p w14:paraId="3E9E65C4" w14:textId="7B28740E" w:rsidR="00714B91" w:rsidRPr="005D59A7" w:rsidRDefault="00FD30BF" w:rsidP="00AA4673">
      <w:pPr>
        <w:bidi/>
        <w:rPr>
          <w:rFonts w:ascii="T" w:hAnsi="T"/>
        </w:rPr>
      </w:pPr>
      <w:r w:rsidRPr="005D59A7">
        <w:rPr>
          <w:rFonts w:ascii="T" w:hAnsi="T"/>
          <w:rtl/>
        </w:rPr>
        <w:fldChar w:fldCharType="end"/>
      </w:r>
    </w:p>
    <w:p w14:paraId="439E7B93" w14:textId="77777777" w:rsidR="00E25EBC" w:rsidRPr="005D59A7" w:rsidRDefault="00E25EBC" w:rsidP="00E25EBC">
      <w:pPr>
        <w:bidi/>
        <w:rPr>
          <w:rFonts w:ascii="T" w:hAnsi="T"/>
          <w:rtl/>
        </w:rPr>
      </w:pPr>
    </w:p>
    <w:p w14:paraId="3C2F3D60" w14:textId="77777777" w:rsidR="00CB09E2" w:rsidRPr="004F16E5" w:rsidRDefault="00CB09E2" w:rsidP="00E234C5">
      <w:pPr>
        <w:pStyle w:val="Heading1"/>
        <w:bidi/>
        <w:rPr>
          <w:rFonts w:ascii="Simplified Arabic" w:hAnsi="Simplified Arabic" w:cs="Simplified Arabic"/>
          <w:b/>
          <w:bCs/>
          <w:color w:val="auto"/>
          <w:sz w:val="24"/>
          <w:szCs w:val="24"/>
        </w:rPr>
      </w:pPr>
      <w:bookmarkStart w:id="2" w:name="_Toc234607842"/>
      <w:r w:rsidRPr="004F16E5">
        <w:rPr>
          <w:rFonts w:ascii="Simplified Arabic" w:hAnsi="Simplified Arabic" w:cs="Simplified Arabic"/>
          <w:b/>
          <w:bCs/>
          <w:color w:val="auto"/>
          <w:sz w:val="24"/>
          <w:szCs w:val="24"/>
          <w:rtl/>
        </w:rPr>
        <w:t>قائمة الرسوم التوضيحية</w:t>
      </w:r>
      <w:bookmarkEnd w:id="2"/>
    </w:p>
    <w:p w14:paraId="7D18DF44" w14:textId="3A93D070" w:rsidR="006A6532" w:rsidRPr="00B94AD1" w:rsidRDefault="00FD30BF">
      <w:pPr>
        <w:pStyle w:val="TableofFigures"/>
        <w:tabs>
          <w:tab w:val="right" w:leader="dot" w:pos="8296"/>
        </w:tabs>
        <w:bidi/>
        <w:rPr>
          <w:rFonts w:ascii="Simplified Arabic" w:eastAsiaTheme="minorEastAsia" w:hAnsi="Simplified Arabic" w:cs="Simplified Arabic"/>
          <w:noProof/>
          <w:sz w:val="20"/>
          <w:szCs w:val="20"/>
          <w:rtl/>
        </w:rPr>
      </w:pPr>
      <w:r w:rsidRPr="005D59A7">
        <w:rPr>
          <w:rFonts w:ascii="T" w:hAnsi="T" w:cstheme="majorBidi"/>
          <w:rtl/>
        </w:rPr>
        <w:fldChar w:fldCharType="begin"/>
      </w:r>
      <w:r w:rsidR="00920785" w:rsidRPr="005D59A7">
        <w:rPr>
          <w:rFonts w:ascii="T" w:hAnsi="T" w:cstheme="majorBidi"/>
          <w:rtl/>
        </w:rPr>
        <w:instrText xml:space="preserve"> </w:instrText>
      </w:r>
      <w:r w:rsidR="00920785" w:rsidRPr="005D59A7">
        <w:rPr>
          <w:rFonts w:ascii="T" w:hAnsi="T" w:cstheme="majorBidi"/>
        </w:rPr>
        <w:instrText>TOC</w:instrText>
      </w:r>
      <w:r w:rsidR="00920785" w:rsidRPr="005D59A7">
        <w:rPr>
          <w:rFonts w:ascii="T" w:hAnsi="T" w:cstheme="majorBidi"/>
          <w:rtl/>
        </w:rPr>
        <w:instrText xml:space="preserve"> \</w:instrText>
      </w:r>
      <w:r w:rsidR="00920785" w:rsidRPr="005D59A7">
        <w:rPr>
          <w:rFonts w:ascii="T" w:hAnsi="T" w:cstheme="majorBidi"/>
        </w:rPr>
        <w:instrText>h \z \c "Figure</w:instrText>
      </w:r>
      <w:r w:rsidR="00920785" w:rsidRPr="005D59A7">
        <w:rPr>
          <w:rFonts w:ascii="T" w:hAnsi="T" w:cstheme="majorBidi"/>
          <w:rtl/>
        </w:rPr>
        <w:instrText xml:space="preserve">" </w:instrText>
      </w:r>
      <w:r w:rsidRPr="005D59A7">
        <w:rPr>
          <w:rFonts w:ascii="T" w:hAnsi="T" w:cstheme="majorBidi"/>
          <w:rtl/>
        </w:rPr>
        <w:fldChar w:fldCharType="separate"/>
      </w:r>
      <w:hyperlink w:anchor="_Toc225991165" w:history="1">
        <w:r w:rsidR="006A6532" w:rsidRPr="00B94AD1">
          <w:rPr>
            <w:rStyle w:val="Hyperlink"/>
            <w:rFonts w:ascii="Simplified Arabic" w:hAnsi="Simplified Arabic" w:cs="Simplified Arabic"/>
            <w:noProof/>
            <w:color w:val="auto"/>
            <w:sz w:val="20"/>
            <w:szCs w:val="20"/>
          </w:rPr>
          <w:t>Figure</w:t>
        </w:r>
        <w:r w:rsidR="006A6532" w:rsidRPr="00B94AD1">
          <w:rPr>
            <w:rStyle w:val="Hyperlink"/>
            <w:rFonts w:ascii="Simplified Arabic" w:hAnsi="Simplified Arabic" w:cs="Simplified Arabic"/>
            <w:noProof/>
            <w:color w:val="auto"/>
            <w:sz w:val="20"/>
            <w:szCs w:val="20"/>
            <w:rtl/>
          </w:rPr>
          <w:t xml:space="preserve"> 1: الإطار الهيكلي لنموذج الدراسة</w:t>
        </w:r>
        <w:r w:rsidR="006A6532" w:rsidRPr="00B94AD1">
          <w:rPr>
            <w:rFonts w:ascii="Simplified Arabic" w:hAnsi="Simplified Arabic" w:cs="Simplified Arabic"/>
            <w:noProof/>
            <w:webHidden/>
            <w:sz w:val="20"/>
            <w:szCs w:val="20"/>
            <w:rtl/>
          </w:rPr>
          <w:tab/>
        </w:r>
        <w:r w:rsidR="006A6532" w:rsidRPr="00B94AD1">
          <w:rPr>
            <w:rStyle w:val="Hyperlink"/>
            <w:rFonts w:ascii="Simplified Arabic" w:hAnsi="Simplified Arabic" w:cs="Simplified Arabic"/>
            <w:noProof/>
            <w:color w:val="auto"/>
            <w:sz w:val="20"/>
            <w:szCs w:val="20"/>
            <w:rtl/>
          </w:rPr>
          <w:fldChar w:fldCharType="begin"/>
        </w:r>
        <w:r w:rsidR="006A6532" w:rsidRPr="00B94AD1">
          <w:rPr>
            <w:rFonts w:ascii="Simplified Arabic" w:hAnsi="Simplified Arabic" w:cs="Simplified Arabic"/>
            <w:noProof/>
            <w:webHidden/>
            <w:sz w:val="20"/>
            <w:szCs w:val="20"/>
            <w:rtl/>
          </w:rPr>
          <w:instrText xml:space="preserve"> </w:instrText>
        </w:r>
        <w:r w:rsidR="006A6532" w:rsidRPr="00B94AD1">
          <w:rPr>
            <w:rFonts w:ascii="Simplified Arabic" w:hAnsi="Simplified Arabic" w:cs="Simplified Arabic"/>
            <w:noProof/>
            <w:webHidden/>
            <w:sz w:val="20"/>
            <w:szCs w:val="20"/>
          </w:rPr>
          <w:instrText>PAGEREF</w:instrText>
        </w:r>
        <w:r w:rsidR="006A6532" w:rsidRPr="00B94AD1">
          <w:rPr>
            <w:rFonts w:ascii="Simplified Arabic" w:hAnsi="Simplified Arabic" w:cs="Simplified Arabic"/>
            <w:noProof/>
            <w:webHidden/>
            <w:sz w:val="20"/>
            <w:szCs w:val="20"/>
            <w:rtl/>
          </w:rPr>
          <w:instrText xml:space="preserve"> _</w:instrText>
        </w:r>
        <w:r w:rsidR="006A6532" w:rsidRPr="00B94AD1">
          <w:rPr>
            <w:rFonts w:ascii="Simplified Arabic" w:hAnsi="Simplified Arabic" w:cs="Simplified Arabic"/>
            <w:noProof/>
            <w:webHidden/>
            <w:sz w:val="20"/>
            <w:szCs w:val="20"/>
          </w:rPr>
          <w:instrText>Toc225991165 \h</w:instrText>
        </w:r>
        <w:r w:rsidR="006A6532" w:rsidRPr="00B94AD1">
          <w:rPr>
            <w:rFonts w:ascii="Simplified Arabic" w:hAnsi="Simplified Arabic" w:cs="Simplified Arabic"/>
            <w:noProof/>
            <w:webHidden/>
            <w:sz w:val="20"/>
            <w:szCs w:val="20"/>
            <w:rtl/>
          </w:rPr>
          <w:instrText xml:space="preserve"> </w:instrText>
        </w:r>
        <w:r w:rsidR="006A6532" w:rsidRPr="00B94AD1">
          <w:rPr>
            <w:rStyle w:val="Hyperlink"/>
            <w:rFonts w:ascii="Simplified Arabic" w:hAnsi="Simplified Arabic" w:cs="Simplified Arabic"/>
            <w:noProof/>
            <w:color w:val="auto"/>
            <w:sz w:val="20"/>
            <w:szCs w:val="20"/>
            <w:rtl/>
          </w:rPr>
        </w:r>
        <w:r w:rsidR="006A6532"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44</w:t>
        </w:r>
        <w:r w:rsidR="006A6532" w:rsidRPr="00B94AD1">
          <w:rPr>
            <w:rStyle w:val="Hyperlink"/>
            <w:rFonts w:ascii="Simplified Arabic" w:hAnsi="Simplified Arabic" w:cs="Simplified Arabic"/>
            <w:noProof/>
            <w:color w:val="auto"/>
            <w:sz w:val="20"/>
            <w:szCs w:val="20"/>
            <w:rtl/>
          </w:rPr>
          <w:fldChar w:fldCharType="end"/>
        </w:r>
      </w:hyperlink>
    </w:p>
    <w:p w14:paraId="3E3A30E9" w14:textId="27281264"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66"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2: أهداف التنمية المستدامة </w:t>
        </w:r>
        <w:r w:rsidRPr="00B94AD1">
          <w:rPr>
            <w:rStyle w:val="Hyperlink"/>
            <w:rFonts w:ascii="Simplified Arabic" w:hAnsi="Simplified Arabic" w:cs="Simplified Arabic"/>
            <w:noProof/>
            <w:color w:val="auto"/>
            <w:sz w:val="20"/>
            <w:szCs w:val="20"/>
          </w:rPr>
          <w:t>UNDP Egypt</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Toc225991166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72</w:t>
        </w:r>
        <w:r w:rsidRPr="00B94AD1">
          <w:rPr>
            <w:rStyle w:val="Hyperlink"/>
            <w:rFonts w:ascii="Simplified Arabic" w:hAnsi="Simplified Arabic" w:cs="Simplified Arabic"/>
            <w:noProof/>
            <w:color w:val="auto"/>
            <w:sz w:val="20"/>
            <w:szCs w:val="20"/>
            <w:rtl/>
          </w:rPr>
          <w:fldChar w:fldCharType="end"/>
        </w:r>
      </w:hyperlink>
    </w:p>
    <w:p w14:paraId="59732233" w14:textId="5791A4D8"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67"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6: الرؤية والرسالة (وزارة البيئة والمياه والزراعة، 2026)</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Toc225991167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80</w:t>
        </w:r>
        <w:r w:rsidRPr="00B94AD1">
          <w:rPr>
            <w:rStyle w:val="Hyperlink"/>
            <w:rFonts w:ascii="Simplified Arabic" w:hAnsi="Simplified Arabic" w:cs="Simplified Arabic"/>
            <w:noProof/>
            <w:color w:val="auto"/>
            <w:sz w:val="20"/>
            <w:szCs w:val="20"/>
            <w:rtl/>
          </w:rPr>
          <w:fldChar w:fldCharType="end"/>
        </w:r>
      </w:hyperlink>
    </w:p>
    <w:p w14:paraId="30F3EA47" w14:textId="55DBF201"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68"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7: أهداف الوزارة (وزارة البيئة والمياه والزراعة، 2026)</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Toc225991168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81</w:t>
        </w:r>
        <w:r w:rsidRPr="00B94AD1">
          <w:rPr>
            <w:rStyle w:val="Hyperlink"/>
            <w:rFonts w:ascii="Simplified Arabic" w:hAnsi="Simplified Arabic" w:cs="Simplified Arabic"/>
            <w:noProof/>
            <w:color w:val="auto"/>
            <w:sz w:val="20"/>
            <w:szCs w:val="20"/>
            <w:rtl/>
          </w:rPr>
          <w:fldChar w:fldCharType="end"/>
        </w:r>
      </w:hyperlink>
    </w:p>
    <w:p w14:paraId="186F60EA" w14:textId="3A616DF0"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69"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8: النمو السكاني خلال الثلاثين عاماً الماضية (بالملايين)</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Toc225991169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90</w:t>
        </w:r>
        <w:r w:rsidRPr="00B94AD1">
          <w:rPr>
            <w:rStyle w:val="Hyperlink"/>
            <w:rFonts w:ascii="Simplified Arabic" w:hAnsi="Simplified Arabic" w:cs="Simplified Arabic"/>
            <w:noProof/>
            <w:color w:val="auto"/>
            <w:sz w:val="20"/>
            <w:szCs w:val="20"/>
            <w:rtl/>
          </w:rPr>
          <w:fldChar w:fldCharType="end"/>
        </w:r>
      </w:hyperlink>
    </w:p>
    <w:p w14:paraId="03E5B08D" w14:textId="4F7CFA99"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0"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9: نمو الناتج المحلي الإجمالي على مدار الثلاثين عاماً الماضية (بالمليارات من الريال السعودي بأسعار ثابتة/سنوياً)</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Toc225991170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90</w:t>
        </w:r>
        <w:r w:rsidRPr="00B94AD1">
          <w:rPr>
            <w:rStyle w:val="Hyperlink"/>
            <w:rFonts w:ascii="Simplified Arabic" w:hAnsi="Simplified Arabic" w:cs="Simplified Arabic"/>
            <w:noProof/>
            <w:color w:val="auto"/>
            <w:sz w:val="20"/>
            <w:szCs w:val="20"/>
            <w:rtl/>
          </w:rPr>
          <w:fldChar w:fldCharType="end"/>
        </w:r>
      </w:hyperlink>
    </w:p>
    <w:p w14:paraId="1DB2C5E6" w14:textId="79C8DC5F"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1"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7: الميزانية السنوية للموارد الطبيعية (الإستراتيجية الوطنية للبيئة)</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Toc225991171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99</w:t>
        </w:r>
        <w:r w:rsidRPr="00B94AD1">
          <w:rPr>
            <w:rStyle w:val="Hyperlink"/>
            <w:rFonts w:ascii="Simplified Arabic" w:hAnsi="Simplified Arabic" w:cs="Simplified Arabic"/>
            <w:noProof/>
            <w:color w:val="auto"/>
            <w:sz w:val="20"/>
            <w:szCs w:val="20"/>
            <w:rtl/>
          </w:rPr>
          <w:fldChar w:fldCharType="end"/>
        </w:r>
      </w:hyperlink>
    </w:p>
    <w:p w14:paraId="6E5ED6A1" w14:textId="0866F0A6"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2"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8: تكلفة التدهور البيئي في المملكة (2014)</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Toc225991172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100</w:t>
        </w:r>
        <w:r w:rsidRPr="00B94AD1">
          <w:rPr>
            <w:rStyle w:val="Hyperlink"/>
            <w:rFonts w:ascii="Simplified Arabic" w:hAnsi="Simplified Arabic" w:cs="Simplified Arabic"/>
            <w:noProof/>
            <w:color w:val="auto"/>
            <w:sz w:val="20"/>
            <w:szCs w:val="20"/>
            <w:rtl/>
          </w:rPr>
          <w:fldChar w:fldCharType="end"/>
        </w:r>
      </w:hyperlink>
    </w:p>
    <w:p w14:paraId="5139627F" w14:textId="475CC2AB" w:rsidR="00EA21E0" w:rsidRPr="005D59A7" w:rsidRDefault="00FD30BF" w:rsidP="00BD507A">
      <w:pPr>
        <w:bidi/>
        <w:rPr>
          <w:rFonts w:ascii="T" w:hAnsi="T" w:cstheme="majorBidi"/>
          <w:rtl/>
        </w:rPr>
      </w:pPr>
      <w:r w:rsidRPr="005D59A7">
        <w:rPr>
          <w:rFonts w:ascii="T" w:hAnsi="T" w:cstheme="majorBidi"/>
          <w:rtl/>
        </w:rPr>
        <w:fldChar w:fldCharType="end"/>
      </w:r>
    </w:p>
    <w:p w14:paraId="21848CD6" w14:textId="77777777" w:rsidR="000D1D88" w:rsidRPr="005D59A7" w:rsidRDefault="000D1D88" w:rsidP="000D1D88">
      <w:pPr>
        <w:bidi/>
        <w:rPr>
          <w:rFonts w:ascii="T" w:hAnsi="T" w:cstheme="majorBidi"/>
          <w:rtl/>
        </w:rPr>
      </w:pPr>
    </w:p>
    <w:p w14:paraId="751BBA64" w14:textId="77777777" w:rsidR="000D1D88" w:rsidRPr="005D59A7" w:rsidRDefault="000D1D88" w:rsidP="000D1D88">
      <w:pPr>
        <w:bidi/>
        <w:rPr>
          <w:rFonts w:ascii="T" w:hAnsi="T" w:cstheme="majorBidi"/>
          <w:rtl/>
        </w:rPr>
      </w:pPr>
    </w:p>
    <w:p w14:paraId="43CA8790" w14:textId="77777777" w:rsidR="000D1D88" w:rsidRPr="005D59A7" w:rsidRDefault="000D1D88" w:rsidP="000D1D88">
      <w:pPr>
        <w:bidi/>
        <w:rPr>
          <w:rFonts w:ascii="T" w:hAnsi="T" w:cstheme="majorBidi"/>
          <w:rtl/>
        </w:rPr>
      </w:pPr>
    </w:p>
    <w:p w14:paraId="4BBF7541" w14:textId="77777777" w:rsidR="000D1D88" w:rsidRPr="005D59A7" w:rsidRDefault="000D1D88" w:rsidP="000D1D88">
      <w:pPr>
        <w:bidi/>
        <w:rPr>
          <w:rFonts w:ascii="T" w:hAnsi="T" w:cstheme="majorBidi"/>
          <w:rtl/>
        </w:rPr>
      </w:pPr>
    </w:p>
    <w:p w14:paraId="0B022591" w14:textId="77777777" w:rsidR="000D1D88" w:rsidRPr="005D59A7" w:rsidRDefault="000D1D88" w:rsidP="000D1D88">
      <w:pPr>
        <w:bidi/>
        <w:rPr>
          <w:rFonts w:ascii="T" w:hAnsi="T" w:cstheme="majorBidi"/>
          <w:rtl/>
        </w:rPr>
      </w:pPr>
    </w:p>
    <w:p w14:paraId="6C67F52E" w14:textId="77777777" w:rsidR="000D1D88" w:rsidRPr="005D59A7" w:rsidRDefault="000D1D88" w:rsidP="000D1D88">
      <w:pPr>
        <w:bidi/>
        <w:rPr>
          <w:rFonts w:ascii="T" w:hAnsi="T" w:cstheme="majorBidi"/>
          <w:rtl/>
        </w:rPr>
      </w:pPr>
    </w:p>
    <w:p w14:paraId="6B35C6D1" w14:textId="3B249CEC" w:rsidR="000D1D88" w:rsidRPr="005D59A7" w:rsidRDefault="000D1D88" w:rsidP="000D1D88">
      <w:pPr>
        <w:bidi/>
        <w:rPr>
          <w:rFonts w:ascii="T" w:hAnsi="T" w:cstheme="majorBidi"/>
          <w:rtl/>
        </w:rPr>
      </w:pPr>
    </w:p>
    <w:p w14:paraId="06A4CDD9" w14:textId="02E6AABF" w:rsidR="00E25EBC" w:rsidRPr="005D59A7" w:rsidRDefault="00E25EBC" w:rsidP="00E25EBC">
      <w:pPr>
        <w:bidi/>
        <w:rPr>
          <w:rFonts w:ascii="T" w:hAnsi="T" w:cstheme="majorBidi"/>
          <w:rtl/>
        </w:rPr>
      </w:pPr>
    </w:p>
    <w:p w14:paraId="66312592" w14:textId="067B3720" w:rsidR="00E25EBC" w:rsidRPr="005D59A7" w:rsidRDefault="00E25EBC" w:rsidP="00E25EBC">
      <w:pPr>
        <w:bidi/>
        <w:rPr>
          <w:rFonts w:ascii="T" w:hAnsi="T" w:cstheme="majorBidi"/>
          <w:rtl/>
        </w:rPr>
      </w:pPr>
    </w:p>
    <w:p w14:paraId="3FFE6C04" w14:textId="1E82A16F" w:rsidR="00E25EBC" w:rsidRPr="005D59A7" w:rsidRDefault="00E25EBC" w:rsidP="00E25EBC">
      <w:pPr>
        <w:bidi/>
        <w:rPr>
          <w:rFonts w:ascii="T" w:hAnsi="T" w:cstheme="majorBidi"/>
          <w:rtl/>
        </w:rPr>
      </w:pPr>
    </w:p>
    <w:p w14:paraId="1477D9D9" w14:textId="54ED07FD" w:rsidR="00E25EBC" w:rsidRPr="005D59A7" w:rsidRDefault="00E25EBC" w:rsidP="00E25EBC">
      <w:pPr>
        <w:bidi/>
        <w:rPr>
          <w:rFonts w:ascii="T" w:hAnsi="T" w:cstheme="majorBidi"/>
          <w:rtl/>
        </w:rPr>
      </w:pPr>
    </w:p>
    <w:p w14:paraId="24584A8E" w14:textId="6A30F4A9" w:rsidR="00E25EBC" w:rsidRDefault="00E25EBC" w:rsidP="00E25EBC">
      <w:pPr>
        <w:bidi/>
        <w:rPr>
          <w:rFonts w:ascii="T" w:hAnsi="T" w:cstheme="majorBidi"/>
        </w:rPr>
      </w:pPr>
    </w:p>
    <w:p w14:paraId="3DC0136E" w14:textId="77777777" w:rsidR="00233335" w:rsidRDefault="00233335" w:rsidP="00233335">
      <w:pPr>
        <w:bidi/>
        <w:rPr>
          <w:rFonts w:ascii="T" w:hAnsi="T" w:cstheme="majorBidi"/>
        </w:rPr>
      </w:pPr>
    </w:p>
    <w:p w14:paraId="44A0C928" w14:textId="77777777" w:rsidR="00233335" w:rsidRPr="005D59A7" w:rsidRDefault="00233335" w:rsidP="00233335">
      <w:pPr>
        <w:bidi/>
        <w:rPr>
          <w:rFonts w:ascii="T" w:hAnsi="T" w:cstheme="majorBidi"/>
          <w:rtl/>
        </w:rPr>
      </w:pPr>
    </w:p>
    <w:p w14:paraId="289F707F" w14:textId="77777777" w:rsidR="000D1D88" w:rsidRPr="005D59A7" w:rsidRDefault="000D1D88" w:rsidP="000D1D88">
      <w:pPr>
        <w:bidi/>
        <w:rPr>
          <w:rFonts w:ascii="T" w:hAnsi="T" w:cstheme="majorBidi"/>
          <w:rtl/>
        </w:rPr>
      </w:pPr>
    </w:p>
    <w:p w14:paraId="2E0DE1FD" w14:textId="77777777" w:rsidR="0048465E" w:rsidRPr="005D59A7" w:rsidRDefault="0048465E" w:rsidP="00217271">
      <w:pPr>
        <w:pStyle w:val="Heading1"/>
        <w:bidi/>
        <w:jc w:val="center"/>
        <w:rPr>
          <w:rFonts w:ascii="T" w:eastAsia="Times New Roman" w:hAnsi="T" w:cs="Simplified Arabic"/>
          <w:b/>
          <w:bCs/>
          <w:color w:val="auto"/>
          <w:sz w:val="28"/>
          <w:szCs w:val="28"/>
          <w:u w:val="single"/>
          <w:rtl/>
        </w:rPr>
      </w:pPr>
      <w:bookmarkStart w:id="3" w:name="_Toc234607843"/>
      <w:bookmarkStart w:id="4" w:name="_Hlk225644599"/>
      <w:r w:rsidRPr="005D59A7">
        <w:rPr>
          <w:rFonts w:ascii="T" w:eastAsia="Times New Roman" w:hAnsi="T" w:cs="Simplified Arabic"/>
          <w:b/>
          <w:bCs/>
          <w:color w:val="auto"/>
          <w:sz w:val="28"/>
          <w:szCs w:val="28"/>
          <w:u w:val="single"/>
          <w:rtl/>
        </w:rPr>
        <w:lastRenderedPageBreak/>
        <w:t>الفصل الأول: الإطار المنهجي للدراسة</w:t>
      </w:r>
      <w:bookmarkEnd w:id="3"/>
    </w:p>
    <w:p w14:paraId="48D4C25C" w14:textId="77777777" w:rsidR="00C11026" w:rsidRPr="005D59A7" w:rsidRDefault="00C11026" w:rsidP="00217271">
      <w:pPr>
        <w:pStyle w:val="Heading1"/>
        <w:bidi/>
        <w:rPr>
          <w:rFonts w:ascii="T" w:eastAsia="Times New Roman" w:hAnsi="T" w:cs="Simplified Arabic"/>
          <w:b/>
          <w:bCs/>
          <w:color w:val="auto"/>
          <w:sz w:val="24"/>
          <w:szCs w:val="24"/>
          <w:rtl/>
        </w:rPr>
      </w:pPr>
      <w:bookmarkStart w:id="5" w:name="_Toc234607844"/>
      <w:r w:rsidRPr="005D59A7">
        <w:rPr>
          <w:rFonts w:ascii="T" w:eastAsia="Times New Roman" w:hAnsi="T" w:cs="Simplified Arabic"/>
          <w:b/>
          <w:bCs/>
          <w:color w:val="auto"/>
          <w:sz w:val="24"/>
          <w:szCs w:val="24"/>
          <w:rtl/>
        </w:rPr>
        <w:t>مقدمة الدراسة</w:t>
      </w:r>
      <w:r w:rsidR="008A2744" w:rsidRPr="005D59A7">
        <w:rPr>
          <w:rFonts w:ascii="T" w:eastAsia="Times New Roman" w:hAnsi="T" w:cs="Simplified Arabic"/>
          <w:b/>
          <w:bCs/>
          <w:color w:val="auto"/>
          <w:sz w:val="24"/>
          <w:szCs w:val="24"/>
          <w:rtl/>
        </w:rPr>
        <w:t>:</w:t>
      </w:r>
      <w:bookmarkEnd w:id="5"/>
    </w:p>
    <w:p w14:paraId="13C2F1E4" w14:textId="77777777" w:rsidR="00217271" w:rsidRPr="005D59A7" w:rsidRDefault="00217271" w:rsidP="00790B4E">
      <w:pPr>
        <w:pStyle w:val="ListParagraph"/>
        <w:bidi/>
        <w:jc w:val="both"/>
        <w:rPr>
          <w:rFonts w:ascii="T" w:hAnsi="T" w:cs="Simplified Arabic"/>
          <w:sz w:val="24"/>
          <w:szCs w:val="24"/>
          <w:rtl/>
        </w:rPr>
      </w:pPr>
    </w:p>
    <w:p w14:paraId="59B6DB7F" w14:textId="69844E76" w:rsidR="000E5E9A" w:rsidRPr="005D59A7" w:rsidRDefault="000E5E9A"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شهد القطاع البيئي في المملكة العربية السعودية تحولًا جذريًا منذ إطلاق رؤية 2030 في عام 2016، حيث تم إعادة هيكلة المنظومة المؤسسية عبر إنشاء مراكز وطنية متخصصة وصندوق البيئة، وذلك في إطار الإستراتيجية الوطنية للبيئة التي أطلقتها وزارة البيئة والمياه والزراعة عام 2018.</w:t>
      </w:r>
      <w:r w:rsidR="00790B4E" w:rsidRPr="005D59A7">
        <w:rPr>
          <w:rFonts w:ascii="T" w:eastAsia="Calibri" w:hAnsi="T" w:cs="Simplified Arabic"/>
          <w:sz w:val="24"/>
          <w:szCs w:val="24"/>
          <w:rtl/>
        </w:rPr>
        <w:t>(التويجري,2024)</w:t>
      </w:r>
      <w:r w:rsidRPr="005D59A7">
        <w:rPr>
          <w:rFonts w:ascii="T" w:eastAsia="Calibri" w:hAnsi="T" w:cs="Simplified Arabic"/>
          <w:sz w:val="24"/>
          <w:szCs w:val="24"/>
          <w:rtl/>
        </w:rPr>
        <w:t xml:space="preserve"> وتهدف هذه الإستراتيجية إلى تحقيق الهدف الاستراتيجي 2.4.1 "الحد من التلوث بمختلف أنواعه" ضمن برنامج التحول الوطني، من خلال إنشاء ستة مراكز بيئية متخصصة هي: المركز الوطني للرقابة على الالتزام البيئي</w:t>
      </w:r>
      <w:r w:rsidRPr="005D59A7">
        <w:rPr>
          <w:rFonts w:ascii="T" w:eastAsia="Calibri" w:hAnsi="T" w:cs="Simplified Arabic"/>
          <w:sz w:val="24"/>
          <w:szCs w:val="24"/>
        </w:rPr>
        <w:t xml:space="preserve"> (NCEC)</w:t>
      </w:r>
      <w:r w:rsidRPr="005D59A7">
        <w:rPr>
          <w:rFonts w:ascii="T" w:eastAsia="Calibri" w:hAnsi="T" w:cs="Simplified Arabic"/>
          <w:sz w:val="24"/>
          <w:szCs w:val="24"/>
          <w:rtl/>
        </w:rPr>
        <w:t>، والمركز الوطني لتنمية الغطاء النباتي ومكافحة التصحر، والمركز الوطني للأرصاد، والمركز الوطني لتنمية الحياة الفطرية، والمركز الوطني لإدارة النفايات، بالإضافة إلى صندوق البيئة لدعم البرامج والمشاريع البيئية</w:t>
      </w:r>
      <w:r w:rsidRPr="005D59A7">
        <w:rPr>
          <w:rFonts w:ascii="T" w:eastAsia="Calibri" w:hAnsi="T" w:cs="Simplified Arabic"/>
          <w:sz w:val="24"/>
          <w:szCs w:val="24"/>
        </w:rPr>
        <w:t xml:space="preserve"> </w:t>
      </w:r>
      <w:r w:rsidR="00790B4E" w:rsidRPr="005D59A7">
        <w:rPr>
          <w:rFonts w:ascii="T" w:eastAsia="Calibri" w:hAnsi="T" w:cs="Simplified Arabic"/>
          <w:sz w:val="24"/>
          <w:szCs w:val="24"/>
          <w:rtl/>
        </w:rPr>
        <w:t>.(فاضل ,2024)</w:t>
      </w:r>
    </w:p>
    <w:p w14:paraId="0A284D8F" w14:textId="537550EE" w:rsidR="000E5E9A" w:rsidRPr="005D59A7" w:rsidRDefault="000E5E9A"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تعد الشراكات بين القطاعين العام والخاص</w:t>
      </w:r>
      <w:r w:rsidRPr="005D59A7">
        <w:rPr>
          <w:rFonts w:ascii="T" w:eastAsia="Calibri" w:hAnsi="T" w:cs="Simplified Arabic"/>
          <w:sz w:val="24"/>
          <w:szCs w:val="24"/>
        </w:rPr>
        <w:t xml:space="preserve"> (PPP) </w:t>
      </w:r>
      <w:r w:rsidRPr="005D59A7">
        <w:rPr>
          <w:rFonts w:ascii="T" w:eastAsia="Calibri" w:hAnsi="T" w:cs="Simplified Arabic"/>
          <w:sz w:val="24"/>
          <w:szCs w:val="24"/>
          <w:rtl/>
        </w:rPr>
        <w:t>نموذجًا تعاقديًا يتيح الاستفادة من كفاءة القطاع الخاص وخبراته في تقديم الخدمات العامة، مع احتفاظ القطاع العام بدوره التنظيمي والرقابي. وقد أثبتت المملكة نجاحًا في تطبيق هذا النموذج في قطاعات متعددة مثل المياه والطاقة والنقل، حيث استطاعت الشركة السعودية للشراكات في الماء</w:t>
      </w:r>
      <w:r w:rsidRPr="005D59A7">
        <w:rPr>
          <w:rFonts w:ascii="T" w:eastAsia="Calibri" w:hAnsi="T" w:cs="Simplified Arabic"/>
          <w:sz w:val="24"/>
          <w:szCs w:val="24"/>
        </w:rPr>
        <w:t xml:space="preserve"> (SWPC) </w:t>
      </w:r>
      <w:r w:rsidRPr="005D59A7">
        <w:rPr>
          <w:rFonts w:ascii="T" w:eastAsia="Calibri" w:hAnsi="T" w:cs="Simplified Arabic"/>
          <w:sz w:val="24"/>
          <w:szCs w:val="24"/>
          <w:rtl/>
        </w:rPr>
        <w:t>جذب استثمارات تجاوزت 12 مليار دولار من خلال مشاريع الشراكة</w:t>
      </w:r>
      <w:r w:rsidRPr="005D59A7">
        <w:rPr>
          <w:rFonts w:ascii="T" w:eastAsia="Calibri" w:hAnsi="T" w:cs="Simplified Arabic"/>
          <w:sz w:val="24"/>
          <w:szCs w:val="24"/>
        </w:rPr>
        <w:t xml:space="preserve"> (Saudi Water Partnership Company, 2024). </w:t>
      </w:r>
      <w:r w:rsidRPr="005D59A7">
        <w:rPr>
          <w:rFonts w:ascii="T" w:eastAsia="Calibri" w:hAnsi="T" w:cs="Simplified Arabic"/>
          <w:sz w:val="24"/>
          <w:szCs w:val="24"/>
          <w:rtl/>
        </w:rPr>
        <w:t>وفي قطاع البيئة، تم إطلاق أول مشروع تفتيش بيئي بنظام الشراكة بين القطاعين العام والخاص بالتعاون بين المركز الوطني للرقابة على الالتزام البيئي ووزارة البيئة والمياه والزراعة والمركز الوطني للتخصيص</w:t>
      </w:r>
      <w:r w:rsidRPr="005D59A7">
        <w:rPr>
          <w:rFonts w:ascii="T" w:eastAsia="Calibri" w:hAnsi="T" w:cs="Simplified Arabic"/>
          <w:sz w:val="24"/>
          <w:szCs w:val="24"/>
        </w:rPr>
        <w:t xml:space="preserve"> (</w:t>
      </w:r>
      <w:proofErr w:type="spellStart"/>
      <w:r w:rsidR="00790B4E" w:rsidRPr="005D59A7">
        <w:rPr>
          <w:rFonts w:ascii="T" w:eastAsia="Calibri" w:hAnsi="T" w:cs="Simplified Arabic"/>
          <w:sz w:val="24"/>
          <w:szCs w:val="24"/>
        </w:rPr>
        <w:t>Tahat</w:t>
      </w:r>
      <w:proofErr w:type="spellEnd"/>
      <w:r w:rsidRPr="005D59A7">
        <w:rPr>
          <w:rFonts w:ascii="T" w:eastAsia="Calibri" w:hAnsi="T" w:cs="Simplified Arabic"/>
          <w:sz w:val="24"/>
          <w:szCs w:val="24"/>
        </w:rPr>
        <w:t>, 202</w:t>
      </w:r>
      <w:r w:rsidR="00790B4E" w:rsidRPr="005D59A7">
        <w:rPr>
          <w:rFonts w:ascii="T" w:eastAsia="Calibri" w:hAnsi="T" w:cs="Simplified Arabic"/>
          <w:sz w:val="24"/>
          <w:szCs w:val="24"/>
        </w:rPr>
        <w:t>4</w:t>
      </w:r>
      <w:r w:rsidRPr="005D59A7">
        <w:rPr>
          <w:rFonts w:ascii="T" w:eastAsia="Calibri" w:hAnsi="T" w:cs="Simplified Arabic"/>
          <w:sz w:val="24"/>
          <w:szCs w:val="24"/>
        </w:rPr>
        <w:t>).</w:t>
      </w:r>
    </w:p>
    <w:p w14:paraId="36C3C3CD" w14:textId="77777777" w:rsidR="000E5E9A" w:rsidRPr="005D59A7" w:rsidRDefault="000E5E9A"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 xml:space="preserve">يقع المركز الوطني للرقابة على الالتزام البيئي في قلب هذه المنظومة، بصفته الجهة الرقابية الأساسية المسؤولة عن أعمال التفتيش البيئي، وإصدار التراخيص البيئية، ورصد التلوث في الأوساط البيئية الثلاثة (الهواء، الماء، التربة). وتشير البيانات المتوفرة من المركز خلال الفترة 2017-2019 إلى أن نموذج التوريد التقليدي المعتمد حاليًا لتقديم خدمة التفتيش البيئي يعاني من قصور تشغيلي ومالي واضح، يتمثل في عجز مالي قدره 41 </w:t>
      </w:r>
      <w:r w:rsidRPr="005D59A7">
        <w:rPr>
          <w:rFonts w:ascii="T" w:eastAsia="Calibri" w:hAnsi="T" w:cs="Simplified Arabic"/>
          <w:sz w:val="24"/>
          <w:szCs w:val="24"/>
          <w:rtl/>
        </w:rPr>
        <w:lastRenderedPageBreak/>
        <w:t>مليون ريال خلال ثلاث سنوات، وتراجع متوسط المخالفات لكل زيارة من 1.2 إلى 0.4، وارتفاع نسبة المخالفات المرفوضة إلى 45% (المركز الوطني للرقابة على الالتزام البيئي، 2020)</w:t>
      </w:r>
      <w:r w:rsidRPr="005D59A7">
        <w:rPr>
          <w:rFonts w:ascii="T" w:eastAsia="Calibri" w:hAnsi="T" w:cs="Simplified Arabic"/>
          <w:sz w:val="24"/>
          <w:szCs w:val="24"/>
        </w:rPr>
        <w:t>.</w:t>
      </w:r>
    </w:p>
    <w:p w14:paraId="2ACF1960" w14:textId="387B18C7" w:rsidR="00F873FA" w:rsidRPr="005D59A7" w:rsidRDefault="00790B4E"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عليه، تتحدد الفجوة العملية في محدودية التطبيق الميداني لنماذج الشراكة في قطاع البيئة السعودي، والفجوة العلمية في غياب نماذج متكاملة لهيكلة الشراكات بين القطاعين العام والخاص في الخدمات الرقابية عالية الحساسية، خاصة خدمة التفتيش البيئي. وبناءً على ذلك، تسعى هذه الدراسة إلى تحليل واقع الشراكات بين القطاعين العام والخاص في قطاع البيئة، وتطوير نموذج مقترح للحوكمة البيئية وإدارة الأداء لخدمة التفتيش البيئي، بالاعتماد على البيانات المتوفرة من المركز الوطني للرقابة على الالتزام البيئي خلال الفترة 2017-2019، وذلك بهدف تقديم حلول عملية تسهم في رفع كفاءة الخدمة، وتحسين جودة المخرجات، وتحقيق الاستدامة المالية، بما يتوافق مع مستهدفات رؤية السعودية 2030 والإستراتيجية الوطنية للبيئة.</w:t>
      </w:r>
      <w:r w:rsidR="00646FBB" w:rsidRPr="005D59A7">
        <w:rPr>
          <w:rFonts w:ascii="T" w:eastAsia="Calibri" w:hAnsi="T" w:cs="Simplified Arabic"/>
          <w:sz w:val="24"/>
          <w:szCs w:val="24"/>
          <w:rtl/>
        </w:rPr>
        <w:t xml:space="preserve"> </w:t>
      </w:r>
    </w:p>
    <w:p w14:paraId="25F0E314" w14:textId="77777777" w:rsidR="00890400" w:rsidRPr="005D59A7" w:rsidRDefault="00883E09" w:rsidP="00217271">
      <w:pPr>
        <w:pStyle w:val="Heading1"/>
        <w:bidi/>
        <w:rPr>
          <w:rFonts w:ascii="T" w:eastAsia="Times New Roman" w:hAnsi="T" w:cs="Simplified Arabic"/>
          <w:b/>
          <w:bCs/>
          <w:color w:val="auto"/>
          <w:sz w:val="24"/>
          <w:szCs w:val="24"/>
          <w:rtl/>
        </w:rPr>
      </w:pPr>
      <w:bookmarkStart w:id="6" w:name="_Toc234607845"/>
      <w:r w:rsidRPr="005D59A7">
        <w:rPr>
          <w:rFonts w:ascii="T" w:eastAsia="Times New Roman" w:hAnsi="T" w:cs="Simplified Arabic"/>
          <w:b/>
          <w:bCs/>
          <w:color w:val="auto"/>
          <w:sz w:val="24"/>
          <w:szCs w:val="24"/>
          <w:rtl/>
        </w:rPr>
        <w:t>مشكلة الدراسة</w:t>
      </w:r>
      <w:r w:rsidR="00436B59" w:rsidRPr="005D59A7">
        <w:rPr>
          <w:rFonts w:ascii="T" w:eastAsia="Times New Roman" w:hAnsi="T" w:cs="Simplified Arabic"/>
          <w:b/>
          <w:bCs/>
          <w:color w:val="auto"/>
          <w:sz w:val="24"/>
          <w:szCs w:val="24"/>
          <w:rtl/>
        </w:rPr>
        <w:t>:</w:t>
      </w:r>
      <w:bookmarkEnd w:id="6"/>
    </w:p>
    <w:p w14:paraId="410FDF4F" w14:textId="44059A46"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في سياق التحولات الهيكلية العميقة التي يشهدها القطاع البيئي في المملكة العربية السعودية، والتي جاءت استجابة لمستهدفات رؤية السعودية 2030، وما تبعها من إطلاق الإستراتيجية الوطنية للبيئة في عام 2018، وإعادة تصميم المنظومة المؤسسية عبر إنشاء مراكز وطنية متخصصة (المركز الوطني للرقابة على الالتزام البيئي، المركز الوطني لتنمية الغطاء النباتي ومكافحة التصحر، المركز الوطني لإدارة النفايات، المركز الوطني للأرصاد، المركز الوطني لتنمية الحياة الفطرية) وصندوق البيئة، لم يعد تقييم كفاءة أدوات الرقابة البيئية خيارًا تحليليًا فحسب، بل ضرورة استراتيجية لضمان تحقيق الاستدامة البيئية والاقتصادية (</w:t>
      </w:r>
      <w:r w:rsidRPr="005D59A7">
        <w:rPr>
          <w:rFonts w:ascii="T" w:eastAsia="Calibri" w:hAnsi="T" w:cs="Simplified Arabic"/>
          <w:sz w:val="24"/>
          <w:szCs w:val="24"/>
        </w:rPr>
        <w:t>Ministry of Environment, Water and Agriculture, 2020; Saudi</w:t>
      </w:r>
      <w:r w:rsidR="00217271" w:rsidRPr="005D59A7">
        <w:rPr>
          <w:rFonts w:ascii="T" w:eastAsia="Calibri" w:hAnsi="T" w:cs="Simplified Arabic"/>
          <w:sz w:val="24"/>
          <w:szCs w:val="24"/>
        </w:rPr>
        <w:t xml:space="preserve"> </w:t>
      </w:r>
      <w:proofErr w:type="spellStart"/>
      <w:r w:rsidRPr="005D59A7">
        <w:rPr>
          <w:rFonts w:ascii="T" w:eastAsia="Calibri" w:hAnsi="T" w:cs="Simplified Arabic"/>
          <w:sz w:val="24"/>
          <w:szCs w:val="24"/>
        </w:rPr>
        <w:t>pedia</w:t>
      </w:r>
      <w:proofErr w:type="spellEnd"/>
      <w:r w:rsidRPr="005D59A7">
        <w:rPr>
          <w:rFonts w:ascii="T" w:eastAsia="Calibri" w:hAnsi="T" w:cs="Simplified Arabic"/>
          <w:sz w:val="24"/>
          <w:szCs w:val="24"/>
        </w:rPr>
        <w:t>, 2025</w:t>
      </w:r>
      <w:r w:rsidRPr="005D59A7">
        <w:rPr>
          <w:rFonts w:ascii="T" w:eastAsia="Calibri" w:hAnsi="T" w:cs="Simplified Arabic"/>
          <w:sz w:val="24"/>
          <w:szCs w:val="24"/>
          <w:rtl/>
        </w:rPr>
        <w:t>).</w:t>
      </w:r>
    </w:p>
    <w:p w14:paraId="0EAD31C3" w14:textId="4DB10B84" w:rsidR="006E35DF" w:rsidRPr="005D59A7" w:rsidRDefault="006E35DF"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 xml:space="preserve">ويأتي التفتيش البيئي في قلب هذه المنظومة باعتباره الأداة التنفيذية المباشرة لضبط الامتثال، ومن ثم فإن أي خلل في كفاءته ينعكس بشكل مباشر على جودة البيئة، وتكلفة التدهور البيئي، وكفاءة استخدام الموارد العامة. وقد قدرت دراسة البنك الدولي (2014) تكلفة التدهور البيئي في المملكة بنحو 3.1% من إجمالي الناتج المحلي، أي ما يعادل 86 مليار ريال سعودي، مما يؤكد حجم التحدي البيئي والاقتصادي المرتبط بفعالية أنظمة الرقابة البيئية. كما أن رفع نسبة الالتزام البيئي والحد من التلوث يساهم بشكل مباشر وغير مباشر في تحقيق </w:t>
      </w:r>
      <w:r w:rsidRPr="005D59A7">
        <w:rPr>
          <w:rFonts w:ascii="T" w:eastAsia="Calibri" w:hAnsi="T" w:cs="Simplified Arabic"/>
          <w:sz w:val="24"/>
          <w:szCs w:val="24"/>
          <w:rtl/>
        </w:rPr>
        <w:lastRenderedPageBreak/>
        <w:t>مستهدفات رؤية 2030 الاجتماعية، ومنها رفع متوسط العمر المتوقع من 74 إلى 80 عامًا (المركز الوطني للرقابة على الالتزام البيئي، 2020)</w:t>
      </w:r>
    </w:p>
    <w:p w14:paraId="62CD6A70" w14:textId="77777777" w:rsidR="00F37362" w:rsidRPr="005D59A7" w:rsidRDefault="00F37362"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ونستعرض سويةً بعض المؤشرات المتعلقة بكفاءة الخدمة خلال الفترة 2017-2019 حيث كان المركز يقوم بتقديم الخدمة عن طريق التوريد بالطريقة التقليدية وذلك من خلال شركة المصادر البيئية الدولية. والتي كانت بدورها تقوم بتوظيف المفتشين وجدولة الزيارات التفتيشية بطرق تقليدية وجودة المخرجات لم تكن بالشكل المطلوب</w:t>
      </w:r>
      <w:r w:rsidR="00AC3F5D" w:rsidRPr="005D59A7">
        <w:rPr>
          <w:rFonts w:ascii="T" w:eastAsia="Calibri" w:hAnsi="T" w:cs="Simplified Arabic"/>
          <w:sz w:val="24"/>
          <w:szCs w:val="24"/>
          <w:rtl/>
        </w:rPr>
        <w:t xml:space="preserve"> (المركز الوطني للرقابة على الالتزام البيئي، 2020)</w:t>
      </w:r>
      <w:r w:rsidRPr="005D59A7">
        <w:rPr>
          <w:rFonts w:ascii="T" w:eastAsia="Calibri" w:hAnsi="T" w:cs="Simplified Arabic"/>
          <w:sz w:val="24"/>
          <w:szCs w:val="24"/>
          <w:rtl/>
        </w:rPr>
        <w:t>:</w:t>
      </w:r>
    </w:p>
    <w:p w14:paraId="7D792306" w14:textId="77777777" w:rsidR="00F37362" w:rsidRPr="005D59A7" w:rsidRDefault="00F37362" w:rsidP="00217271">
      <w:pPr>
        <w:bidi/>
        <w:jc w:val="both"/>
        <w:rPr>
          <w:rFonts w:ascii="T" w:hAnsi="T" w:cs="Simplified Arabic"/>
          <w:b/>
          <w:bCs/>
          <w:sz w:val="24"/>
          <w:szCs w:val="24"/>
          <w:shd w:val="clear" w:color="auto" w:fill="FFFFFF"/>
        </w:rPr>
      </w:pPr>
      <w:r w:rsidRPr="005D59A7">
        <w:rPr>
          <w:rFonts w:ascii="T" w:hAnsi="T" w:cs="Simplified Arabic"/>
          <w:b/>
          <w:bCs/>
          <w:sz w:val="24"/>
          <w:szCs w:val="24"/>
          <w:shd w:val="clear" w:color="auto" w:fill="FFFFFF"/>
          <w:rtl/>
        </w:rPr>
        <w:t xml:space="preserve">قيمة المشروع لمدة 3 سنوات (2017-2018-2019): 108,289,609 ريال سعودي. </w:t>
      </w:r>
    </w:p>
    <w:p w14:paraId="2B41A34E"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العوائد من المخالفات البيئية: </w:t>
      </w:r>
    </w:p>
    <w:p w14:paraId="1022A036"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15,745,000 ريال سعودي</w:t>
      </w:r>
    </w:p>
    <w:p w14:paraId="1B68E5ED"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19,568,000 ريال سعودي</w:t>
      </w:r>
    </w:p>
    <w:p w14:paraId="22497251"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31,916,000 ريال سعودي</w:t>
      </w:r>
    </w:p>
    <w:p w14:paraId="76B35042"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إجمالي العوائد: 67,238,000 ريال سعودي </w:t>
      </w:r>
    </w:p>
    <w:p w14:paraId="581AF514"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إجمالي العجز: 41,051,609 ريال سعودي</w:t>
      </w:r>
    </w:p>
    <w:p w14:paraId="1D38D8E9"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متوسط راتب المفتش البيئي: 5,000 ريال سعودي. </w:t>
      </w:r>
    </w:p>
    <w:p w14:paraId="28E6118D"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غير كافي لاستقطاب الكفاءات المتخصصة والفنية اللازمة وخلق بيئية محفزة وذلك بسبب إتباع طريقة التوريد التقليدية وغياب المنافسة. </w:t>
      </w:r>
    </w:p>
    <w:p w14:paraId="1D3C1CD3"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المفتشين البيئيين: </w:t>
      </w:r>
    </w:p>
    <w:p w14:paraId="262A92E3"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70 مفتش بيئي</w:t>
      </w:r>
    </w:p>
    <w:p w14:paraId="4A51C5D6"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222 مفتش بيئي (قرار مجلس الوزراء بدعم برنامج التفتيش البيئي: زيادة بنسبة 68% )</w:t>
      </w:r>
    </w:p>
    <w:p w14:paraId="3E1F8580" w14:textId="77777777" w:rsidR="00646FBB"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264 مفتش بيئي (الزيادة: 16%)</w:t>
      </w:r>
    </w:p>
    <w:p w14:paraId="5A514269"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المنشآت حسب قاعدة البيانات: </w:t>
      </w:r>
    </w:p>
    <w:p w14:paraId="7A6D97D9"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11,158 </w:t>
      </w:r>
    </w:p>
    <w:p w14:paraId="59675AA3"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13,627 (الزيادة: تمثل 18%)</w:t>
      </w:r>
    </w:p>
    <w:p w14:paraId="6D0D1453"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 xml:space="preserve">2019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19,322 (الزيادة: تمثل 29%)</w:t>
      </w:r>
    </w:p>
    <w:p w14:paraId="221F5360"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منشآت لكل مفتش بيئي:</w:t>
      </w:r>
    </w:p>
    <w:p w14:paraId="26CE510F"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159منشأة لكل مفتش بيئي</w:t>
      </w:r>
    </w:p>
    <w:p w14:paraId="5408755B"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61 منشأة لكل مفتش بيئي (بفضل قرار مجلس الوزراء بدعم برنامج التفتيش البيئي)</w:t>
      </w:r>
    </w:p>
    <w:p w14:paraId="638AF3C8"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73 منشأة لكل مفتش بيئي (عدم توافق زيادة المنشآت 29% مع زيادة عدد المفتشين 16%)</w:t>
      </w:r>
    </w:p>
    <w:p w14:paraId="64B723AF"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منشآت لكل مفتش بيئي:</w:t>
      </w:r>
    </w:p>
    <w:p w14:paraId="60E0DD3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159منشأة لكل مفتش بيئي</w:t>
      </w:r>
    </w:p>
    <w:p w14:paraId="2D9395B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61 منشأة لكل مفتش بيئي (بفضل قرار مجلس الوزراء بدعم برنامج التفتيش البيئي)</w:t>
      </w:r>
    </w:p>
    <w:p w14:paraId="11E38EA9"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73 منشأة لكل مفتش بيئي (عدم توافق زيادة المنشآت 29% مع زيادة عدد المفتشين 16%)</w:t>
      </w:r>
    </w:p>
    <w:p w14:paraId="61E4A290"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عدد الزيارات التفتيشية:</w:t>
      </w:r>
    </w:p>
    <w:p w14:paraId="1B3D5EDB"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3,735 زيارة تفتيشية</w:t>
      </w:r>
    </w:p>
    <w:p w14:paraId="1C6CCAA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6,479 زيارة تفتيشية (بواقع نسبة زيادة 42%)</w:t>
      </w:r>
    </w:p>
    <w:p w14:paraId="14A7535E"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21,369 زيارة تفتيشية (بواقع نسبة زيادة 70%)</w:t>
      </w:r>
    </w:p>
    <w:p w14:paraId="723609CC"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زيارة لكل مفتش:</w:t>
      </w:r>
    </w:p>
    <w:p w14:paraId="1E22D059"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53 زيارة لكل مفتش بيئي</w:t>
      </w:r>
    </w:p>
    <w:p w14:paraId="389F95EA"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29 زيارة لكل مفتش بيئي (قرار مجلس الوزراء بدعم برنامج التفتيش البيئي)</w:t>
      </w:r>
    </w:p>
    <w:p w14:paraId="5D46F29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81 زيارة لكل مفتش بيئي </w:t>
      </w:r>
    </w:p>
    <w:p w14:paraId="05D5A117"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المنشآت التي تم زيارتها: </w:t>
      </w:r>
    </w:p>
    <w:p w14:paraId="6F91AA19"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3,474 منشأة (بواقع نسبة تغطية لإجمالي المنشآت 31% مقابل 159 منشأة/مفتش)</w:t>
      </w:r>
    </w:p>
    <w:p w14:paraId="42376A82"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5,345 منشأة (بواقع نسبة تغطية لإجمالي المنشآت 39% مقابل 61 منشأة/مفتش)</w:t>
      </w:r>
    </w:p>
    <w:p w14:paraId="62FDC694"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13,443 منشأة (بواقع نسبة تغطية لإجمالي المنشآت 70% مقابل 73 منشأة/مفتش)</w:t>
      </w:r>
    </w:p>
    <w:p w14:paraId="3CB8154D"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المخالفات المرصودة: </w:t>
      </w:r>
    </w:p>
    <w:p w14:paraId="7D15F646"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4,298 مخالفة مرصودة</w:t>
      </w:r>
    </w:p>
    <w:p w14:paraId="4E95CA53"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4,327 مخالفة مرصودة</w:t>
      </w:r>
    </w:p>
    <w:p w14:paraId="637FA565"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8,564 مخالفة مرصودة</w:t>
      </w:r>
    </w:p>
    <w:p w14:paraId="175AB6EE"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مخالفة لكل زيارة: </w:t>
      </w:r>
    </w:p>
    <w:p w14:paraId="0E2875B9"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1.2 مخالفة لكل زيارة تفتيشية (مقابل 70 مفتش بيئي بواقع 31% نسبة تغطية للمنشآت)</w:t>
      </w:r>
    </w:p>
    <w:p w14:paraId="4138E29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0.7 مخالفة لكل زيارة تفتيشية (مقابل 222 مفتش بيئي بواقع 39% نسبة تغطية للمنشآت) </w:t>
      </w:r>
    </w:p>
    <w:p w14:paraId="3E59B763"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0.4 مخالفة لكل زيارة تفتيشية (مقابل 264 مفتش بيئي بواقع 70% نسبة تغطية للمنشآت)</w:t>
      </w:r>
    </w:p>
    <w:p w14:paraId="12DD2676"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المخالفات المعتمدة: </w:t>
      </w:r>
    </w:p>
    <w:p w14:paraId="49193A02"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2919 مخالفة معتمدة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1,379 مخالفة مرفوضة تشكل حوالي 32% من إجمالي المخالفات المرصودة.</w:t>
      </w:r>
    </w:p>
    <w:p w14:paraId="67D340F5"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2,750 مخالفة معتمدة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1,577 مخالفة مرفوضة تشكل حوالي 36% من إجمالي المخالفات المرصودة.</w:t>
      </w:r>
    </w:p>
    <w:p w14:paraId="2E6FD5DD"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4,682 مخالفة معتمدة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3,882 مخالفة مرفوضة تشكل حوالي 45% من إجمالي المخالفات المرصودة.</w:t>
      </w:r>
    </w:p>
    <w:p w14:paraId="136C577B"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تصنيف المخالفات المرصودة المعتمدة: </w:t>
      </w:r>
    </w:p>
    <w:p w14:paraId="3E64B524"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2017 -&gt; 1.018 مخالفة إدارية (35%) – 1,901 مخالفة فنية (65%).</w:t>
      </w:r>
    </w:p>
    <w:p w14:paraId="38860D6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2018 -&gt; 644    مخالفة إدارية (23%) – 2,106 مخالفة فنية (77%).</w:t>
      </w:r>
    </w:p>
    <w:p w14:paraId="09BD14C5" w14:textId="1F77803F" w:rsidR="00AB4755"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2019 -&gt; 1,426 مخالفة إدارية (30%) – 3,256 مخالفة فنية (70%).</w:t>
      </w:r>
    </w:p>
    <w:p w14:paraId="10163DE2"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من منظور اقتصادي مؤسسي، يمكن توصيف نموذج تقديم خدمة التفتيش البيئي الحالي بأنه يعاني من فشل في التصميم التعاقدي (</w:t>
      </w:r>
      <w:r w:rsidRPr="005D59A7">
        <w:rPr>
          <w:rFonts w:ascii="T" w:eastAsia="Calibri" w:hAnsi="T" w:cs="Simplified Arabic"/>
          <w:sz w:val="24"/>
          <w:szCs w:val="24"/>
        </w:rPr>
        <w:t>Contractual Design Failure</w:t>
      </w:r>
      <w:r w:rsidRPr="005D59A7">
        <w:rPr>
          <w:rFonts w:ascii="T" w:eastAsia="Calibri" w:hAnsi="T" w:cs="Simplified Arabic"/>
          <w:sz w:val="24"/>
          <w:szCs w:val="24"/>
          <w:rtl/>
        </w:rPr>
        <w:t>). إذ يعتمد على نموذج التوريد التقليدي (</w:t>
      </w:r>
      <w:r w:rsidRPr="005D59A7">
        <w:rPr>
          <w:rFonts w:ascii="T" w:eastAsia="Calibri" w:hAnsi="T" w:cs="Simplified Arabic"/>
          <w:sz w:val="24"/>
          <w:szCs w:val="24"/>
        </w:rPr>
        <w:t>Input-Based Contracting</w:t>
      </w:r>
      <w:r w:rsidRPr="005D59A7">
        <w:rPr>
          <w:rFonts w:ascii="T" w:eastAsia="Calibri" w:hAnsi="T" w:cs="Simplified Arabic"/>
          <w:sz w:val="24"/>
          <w:szCs w:val="24"/>
          <w:rtl/>
        </w:rPr>
        <w:t>)، الذي يركز على توفير الموارد (عدد مفتشين، عدد زيارات، ساعات عمل) دون ربطها بمخرجات قابلة للقياس أو نتائج بيئية فعلية (</w:t>
      </w:r>
      <w:r w:rsidRPr="005D59A7">
        <w:rPr>
          <w:rFonts w:ascii="T" w:eastAsia="Calibri" w:hAnsi="T" w:cs="Simplified Arabic"/>
          <w:sz w:val="24"/>
          <w:szCs w:val="24"/>
        </w:rPr>
        <w:t>Outcome-Based Performance</w:t>
      </w:r>
      <w:r w:rsidRPr="005D59A7">
        <w:rPr>
          <w:rFonts w:ascii="T" w:eastAsia="Calibri" w:hAnsi="T" w:cs="Simplified Arabic"/>
          <w:sz w:val="24"/>
          <w:szCs w:val="24"/>
          <w:rtl/>
        </w:rPr>
        <w:t>). هذا النموذج يؤدي إلى ما يُعرف في الأدبيات الاقتصادية بمشكلة الوكيل-الأصيل (</w:t>
      </w:r>
      <w:r w:rsidRPr="005D59A7">
        <w:rPr>
          <w:rFonts w:ascii="T" w:eastAsia="Calibri" w:hAnsi="T" w:cs="Simplified Arabic"/>
          <w:sz w:val="24"/>
          <w:szCs w:val="24"/>
        </w:rPr>
        <w:t>Principal-Agent Problem</w:t>
      </w:r>
      <w:r w:rsidRPr="005D59A7">
        <w:rPr>
          <w:rFonts w:ascii="T" w:eastAsia="Calibri" w:hAnsi="T" w:cs="Simplified Arabic"/>
          <w:sz w:val="24"/>
          <w:szCs w:val="24"/>
          <w:rtl/>
        </w:rPr>
        <w:t>)، حيث لا تتطابق مصالح الجهة المنفذة (القطاع الخاص) مع أهداف الجهة المنظمة (الحكومة)، في ظل غياب مؤشرات أداء تعاقدية صارمة.</w:t>
      </w:r>
    </w:p>
    <w:p w14:paraId="73A2767A"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lastRenderedPageBreak/>
        <w:t>كما أن عدم وجود آليات لتقاسم المخاطر (</w:t>
      </w:r>
      <w:r w:rsidRPr="005D59A7">
        <w:rPr>
          <w:rFonts w:ascii="T" w:eastAsia="Calibri" w:hAnsi="T" w:cs="Simplified Arabic"/>
          <w:sz w:val="24"/>
          <w:szCs w:val="24"/>
        </w:rPr>
        <w:t>Risk Sharing Mechanisms</w:t>
      </w:r>
      <w:r w:rsidRPr="005D59A7">
        <w:rPr>
          <w:rFonts w:ascii="T" w:eastAsia="Calibri" w:hAnsi="T" w:cs="Simplified Arabic"/>
          <w:sz w:val="24"/>
          <w:szCs w:val="24"/>
          <w:rtl/>
        </w:rPr>
        <w:t>) يجعل الحكومة تتحمل كامل العبء المالي، بينما لا يتحمل القطاع الخاص سوى مسؤولية تنفيذية محدودة. ففي النموذج التقليدي، يتقاضى القطاع الخاص مقابل توفير الموارد (عدد المفتشين وساعات العمل) بغض النظر عن جودة المخرجات أو تحقيق النتائج المرجوة، مما يخلق فجوة بين التكلفة والقيمة.</w:t>
      </w:r>
    </w:p>
    <w:p w14:paraId="60E048BB"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ماليًا، يشير العجز المسجل البالغ 41,051,609 ريال سعودي خلال الفترة 2017-2019 إلى غياب نموذج استرداد التكاليف (</w:t>
      </w:r>
      <w:r w:rsidRPr="005D59A7">
        <w:rPr>
          <w:rFonts w:ascii="T" w:eastAsia="Calibri" w:hAnsi="T" w:cs="Simplified Arabic"/>
          <w:sz w:val="24"/>
          <w:szCs w:val="24"/>
        </w:rPr>
        <w:t>Cost Recovery Model</w:t>
      </w:r>
      <w:r w:rsidRPr="005D59A7">
        <w:rPr>
          <w:rFonts w:ascii="T" w:eastAsia="Calibri" w:hAnsi="T" w:cs="Simplified Arabic"/>
          <w:sz w:val="24"/>
          <w:szCs w:val="24"/>
          <w:rtl/>
        </w:rPr>
        <w:t>)، حيث لا يتم توظيف المخالفات البيئية أو الرسوم كأداة تمويل مستدامة للخدمة. بلغ إجمالي العوائد من المخالفات 67,238,000 ريال، بينما بلغت التكاليف التشغيلية 108,289,609 ريال، مما يعني أن الإيرادات غطت فقط 62% من التكاليف، مع عجز سنوي مستدام. هذا العجز يعكس عدم قدرة النموذج الحالي على تحقيق الاستدامة المالية، مما يستدعي البحث عن نماذج تمويل بديلة.</w:t>
      </w:r>
    </w:p>
    <w:p w14:paraId="6AAE0273"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كما أن انخفاض رواتب المفتشين إلى متوسط 5,000 ريال شهريًا يعكس خللًا في هيكل الحوافز (</w:t>
      </w:r>
      <w:r w:rsidRPr="005D59A7">
        <w:rPr>
          <w:rFonts w:ascii="T" w:eastAsia="Calibri" w:hAnsi="T" w:cs="Simplified Arabic"/>
          <w:sz w:val="24"/>
          <w:szCs w:val="24"/>
        </w:rPr>
        <w:t>Incentive Structure</w:t>
      </w:r>
      <w:r w:rsidRPr="005D59A7">
        <w:rPr>
          <w:rFonts w:ascii="T" w:eastAsia="Calibri" w:hAnsi="T" w:cs="Simplified Arabic"/>
          <w:sz w:val="24"/>
          <w:szCs w:val="24"/>
          <w:rtl/>
        </w:rPr>
        <w:t>)، حيث لا يتمتع المفتشون بمستوى دخل يتناسب مع حساسية مهامهم وتعقيداتها الفنية. هذا الضعف في الحوافز يؤدي إلى:</w:t>
      </w:r>
    </w:p>
    <w:p w14:paraId="26017E49" w14:textId="77777777" w:rsidR="006E35DF" w:rsidRPr="005D59A7" w:rsidRDefault="006E35DF" w:rsidP="0045581D">
      <w:pPr>
        <w:pStyle w:val="ListParagraph"/>
        <w:numPr>
          <w:ilvl w:val="0"/>
          <w:numId w:val="30"/>
        </w:numPr>
        <w:bidi/>
        <w:spacing w:line="360" w:lineRule="auto"/>
        <w:jc w:val="lowKashida"/>
        <w:rPr>
          <w:rFonts w:ascii="T" w:eastAsia="Calibri" w:hAnsi="T" w:cs="Simplified Arabic"/>
          <w:sz w:val="24"/>
          <w:szCs w:val="24"/>
        </w:rPr>
      </w:pPr>
      <w:r w:rsidRPr="005D59A7">
        <w:rPr>
          <w:rFonts w:ascii="T" w:eastAsia="Calibri" w:hAnsi="T" w:cs="Simplified Arabic"/>
          <w:sz w:val="24"/>
          <w:szCs w:val="24"/>
          <w:rtl/>
        </w:rPr>
        <w:t>صعوبة استقطاب الكفاءات المتخصصة (أصحاب الخبرات الفنية والقانونية والهندسية).</w:t>
      </w:r>
    </w:p>
    <w:p w14:paraId="6B5AA8B5" w14:textId="77777777" w:rsidR="006E35DF" w:rsidRPr="005D59A7" w:rsidRDefault="006E35DF" w:rsidP="0045581D">
      <w:pPr>
        <w:pStyle w:val="ListParagraph"/>
        <w:numPr>
          <w:ilvl w:val="0"/>
          <w:numId w:val="30"/>
        </w:numPr>
        <w:bidi/>
        <w:spacing w:line="360" w:lineRule="auto"/>
        <w:jc w:val="lowKashida"/>
        <w:rPr>
          <w:rFonts w:ascii="T" w:eastAsia="Calibri" w:hAnsi="T" w:cs="Simplified Arabic"/>
          <w:sz w:val="24"/>
          <w:szCs w:val="24"/>
        </w:rPr>
      </w:pPr>
      <w:r w:rsidRPr="005D59A7">
        <w:rPr>
          <w:rFonts w:ascii="T" w:eastAsia="Calibri" w:hAnsi="T" w:cs="Simplified Arabic"/>
          <w:sz w:val="24"/>
          <w:szCs w:val="24"/>
          <w:rtl/>
        </w:rPr>
        <w:t>ارتفاع معدلات دوران الموظفين (</w:t>
      </w:r>
      <w:r w:rsidRPr="005D59A7">
        <w:rPr>
          <w:rFonts w:ascii="T" w:eastAsia="Calibri" w:hAnsi="T" w:cs="Simplified Arabic"/>
          <w:sz w:val="24"/>
          <w:szCs w:val="24"/>
        </w:rPr>
        <w:t>Turnover</w:t>
      </w:r>
      <w:r w:rsidRPr="005D59A7">
        <w:rPr>
          <w:rFonts w:ascii="T" w:eastAsia="Calibri" w:hAnsi="T" w:cs="Simplified Arabic"/>
          <w:sz w:val="24"/>
          <w:szCs w:val="24"/>
          <w:rtl/>
        </w:rPr>
        <w:t>) مما يزيد من تكاليف التدريب.</w:t>
      </w:r>
    </w:p>
    <w:p w14:paraId="7B362EF6" w14:textId="77777777" w:rsidR="006E35DF" w:rsidRPr="005D59A7" w:rsidRDefault="006E35DF" w:rsidP="0045581D">
      <w:pPr>
        <w:pStyle w:val="ListParagraph"/>
        <w:numPr>
          <w:ilvl w:val="0"/>
          <w:numId w:val="30"/>
        </w:numPr>
        <w:bidi/>
        <w:spacing w:line="360" w:lineRule="auto"/>
        <w:jc w:val="lowKashida"/>
        <w:rPr>
          <w:rFonts w:ascii="T" w:eastAsia="Calibri" w:hAnsi="T" w:cs="Simplified Arabic"/>
          <w:sz w:val="24"/>
          <w:szCs w:val="24"/>
        </w:rPr>
      </w:pPr>
      <w:r w:rsidRPr="005D59A7">
        <w:rPr>
          <w:rFonts w:ascii="T" w:eastAsia="Calibri" w:hAnsi="T" w:cs="Simplified Arabic"/>
          <w:sz w:val="24"/>
          <w:szCs w:val="24"/>
          <w:rtl/>
        </w:rPr>
        <w:t>انخفاض الإنتاجية وضعف جودة الأداء.</w:t>
      </w:r>
    </w:p>
    <w:p w14:paraId="709150C0" w14:textId="77777777" w:rsidR="006E35DF" w:rsidRPr="005D59A7" w:rsidRDefault="006E35DF" w:rsidP="0045581D">
      <w:pPr>
        <w:pStyle w:val="ListParagraph"/>
        <w:numPr>
          <w:ilvl w:val="0"/>
          <w:numId w:val="30"/>
        </w:numPr>
        <w:bidi/>
        <w:spacing w:line="360" w:lineRule="auto"/>
        <w:jc w:val="lowKashida"/>
        <w:rPr>
          <w:rFonts w:ascii="T" w:eastAsia="Calibri" w:hAnsi="T" w:cs="Simplified Arabic"/>
          <w:sz w:val="24"/>
          <w:szCs w:val="24"/>
        </w:rPr>
      </w:pPr>
      <w:r w:rsidRPr="005D59A7">
        <w:rPr>
          <w:rFonts w:ascii="T" w:eastAsia="Calibri" w:hAnsi="T" w:cs="Simplified Arabic"/>
          <w:sz w:val="24"/>
          <w:szCs w:val="24"/>
          <w:rtl/>
        </w:rPr>
        <w:t>عدم وجود مسارات مهنية واضحة، مما يؤثر على الاستدامة البشرية.</w:t>
      </w:r>
    </w:p>
    <w:p w14:paraId="031D8D7F"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تشغيليًا، يمكن رصد عدة أوجه قصور إضافية في النموذج الحالي:</w:t>
      </w:r>
    </w:p>
    <w:p w14:paraId="233E0B41"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غياب التكامل بين الجهات ذات العلاقة (</w:t>
      </w:r>
      <w:r w:rsidRPr="005D59A7">
        <w:rPr>
          <w:rFonts w:ascii="T" w:eastAsia="Calibri" w:hAnsi="T" w:cs="Simplified Arabic"/>
          <w:sz w:val="24"/>
          <w:szCs w:val="24"/>
        </w:rPr>
        <w:t>Fragmentation</w:t>
      </w:r>
      <w:r w:rsidRPr="005D59A7">
        <w:rPr>
          <w:rFonts w:ascii="T" w:eastAsia="Calibri" w:hAnsi="T" w:cs="Simplified Arabic"/>
          <w:sz w:val="24"/>
          <w:szCs w:val="24"/>
          <w:rtl/>
        </w:rPr>
        <w:t>): حيث تعمل جهات متعددة (المركز الوطني للرقابة على الالتزام البيئي، وزارة البيئة والمياه والزراعة، الأمانات، الهيئة الملكية للجبيل وينبع) بشكل منفصل، مما يؤدي إلى ازدواجية الجهود أو فجوات في التغطية، وعدم تبادل المعلومات بشكل فعال.</w:t>
      </w:r>
    </w:p>
    <w:p w14:paraId="76516E55"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lastRenderedPageBreak/>
        <w:t>ضعف نظم المتابعة والتقييم (</w:t>
      </w:r>
      <w:r w:rsidRPr="005D59A7">
        <w:rPr>
          <w:rFonts w:ascii="T" w:eastAsia="Calibri" w:hAnsi="T" w:cs="Simplified Arabic"/>
          <w:sz w:val="24"/>
          <w:szCs w:val="24"/>
        </w:rPr>
        <w:t>Monitoring &amp; Evaluation Systems</w:t>
      </w:r>
      <w:r w:rsidRPr="005D59A7">
        <w:rPr>
          <w:rFonts w:ascii="T" w:eastAsia="Calibri" w:hAnsi="T" w:cs="Simplified Arabic"/>
          <w:sz w:val="24"/>
          <w:szCs w:val="24"/>
          <w:rtl/>
        </w:rPr>
        <w:t>): عدم وجود أنظمة متكاملة لتتبع أداء المفتشين، وجودة الزيارات، وتأثير التفتيش على معدلات الامتثال، مما يحد من القدرة على اتخاذ قرارات تحسين مستندة إلى بيانات دقيقة.</w:t>
      </w:r>
    </w:p>
    <w:p w14:paraId="5D1E2D0B"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محدودية استخدام مؤشرات الأداء الرئيسية (</w:t>
      </w:r>
      <w:r w:rsidRPr="005D59A7">
        <w:rPr>
          <w:rFonts w:ascii="T" w:eastAsia="Calibri" w:hAnsi="T" w:cs="Simplified Arabic"/>
          <w:sz w:val="24"/>
          <w:szCs w:val="24"/>
        </w:rPr>
        <w:t>KPIs</w:t>
      </w:r>
      <w:r w:rsidRPr="005D59A7">
        <w:rPr>
          <w:rFonts w:ascii="T" w:eastAsia="Calibri" w:hAnsi="T" w:cs="Simplified Arabic"/>
          <w:sz w:val="24"/>
          <w:szCs w:val="24"/>
          <w:rtl/>
        </w:rPr>
        <w:t>) المرتبطة بالأثر البيئي: حيث تركز المؤشرات الحالية على مخرجات العملية (عدد الزيارات، عدد المخالفات) بدلاً من النتائج البيئية الفعلية (انخفاض نسبة التلوث، تحسن جودة الهواء والمياه، زيادة معدلات الامتثال).</w:t>
      </w:r>
    </w:p>
    <w:p w14:paraId="467FAB68" w14:textId="11AA8813"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عدم وجود مسارات مهنية واضحة للمفتشين: ما يؤثر على الاستدامة البشرية ويقلل من الاستقرار الوظيفي، ويؤدي إلى فقدان الخبرات المتراكمة.</w:t>
      </w:r>
    </w:p>
    <w:p w14:paraId="254C4413" w14:textId="777CCAFA"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الفجوة في الأدبيات ونمذجة الشراكات بين القطاعين العام والخاص</w:t>
      </w:r>
    </w:p>
    <w:p w14:paraId="79DC41E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على الرغم من التوجه المؤسسي نحو تعزيز الشراكات ضمن برنامج التحول الوطني ورؤية 2030، فإن الأدبيات الحالية لا تقدم نماذج تشغيلية قابلة للتطبيق في قطاع التفتيش البيئي، والذي يُصنف ضمن الخدمات التنظيمية عالية الحساسية</w:t>
      </w:r>
      <w:r w:rsidRPr="005D59A7">
        <w:rPr>
          <w:rFonts w:ascii="T" w:eastAsia="Calibri" w:hAnsi="T" w:cs="Simplified Arabic"/>
          <w:sz w:val="24"/>
          <w:szCs w:val="24"/>
        </w:rPr>
        <w:t xml:space="preserve"> (High-Sensitivity Regulatory Services). </w:t>
      </w:r>
      <w:r w:rsidRPr="005D59A7">
        <w:rPr>
          <w:rFonts w:ascii="T" w:eastAsia="Calibri" w:hAnsi="T" w:cs="Simplified Arabic"/>
          <w:sz w:val="24"/>
          <w:szCs w:val="24"/>
          <w:rtl/>
        </w:rPr>
        <w:t>وتكمن الإشكالية في أن تطبيق الشراكات بين القطاعين العام والخاص في هذا النوع من الخدمات يتطلب توازنًا دقيقًا بين ثلاثة أبعاد قد تكون متضاربة أحيانًا</w:t>
      </w:r>
      <w:r w:rsidRPr="005D59A7">
        <w:rPr>
          <w:rFonts w:ascii="T" w:eastAsia="Calibri" w:hAnsi="T" w:cs="Simplified Arabic"/>
          <w:sz w:val="24"/>
          <w:szCs w:val="24"/>
        </w:rPr>
        <w:t>:</w:t>
      </w:r>
    </w:p>
    <w:p w14:paraId="2A29FC0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الأول: الكفاءة الاقتصادية</w:t>
      </w:r>
      <w:r w:rsidRPr="005D59A7">
        <w:rPr>
          <w:rFonts w:ascii="T" w:eastAsia="Calibri" w:hAnsi="T" w:cs="Simplified Arabic"/>
          <w:sz w:val="24"/>
          <w:szCs w:val="24"/>
        </w:rPr>
        <w:t xml:space="preserve"> (Efficiency): </w:t>
      </w:r>
      <w:r w:rsidRPr="005D59A7">
        <w:rPr>
          <w:rFonts w:ascii="T" w:eastAsia="Calibri" w:hAnsi="T" w:cs="Simplified Arabic"/>
          <w:sz w:val="24"/>
          <w:szCs w:val="24"/>
          <w:rtl/>
        </w:rPr>
        <w:t>تحقيق أعلى مردود بأقل تكلفة، من خلال الاستفادة من خبرات القطاع الخاص وكفاءته التشغيلية، وتطبيق تقنيات حديثة، وتحسين إدارة الموارد، وتقليل الهدر</w:t>
      </w:r>
      <w:r w:rsidRPr="005D59A7">
        <w:rPr>
          <w:rFonts w:ascii="T" w:eastAsia="Calibri" w:hAnsi="T" w:cs="Simplified Arabic"/>
          <w:sz w:val="24"/>
          <w:szCs w:val="24"/>
        </w:rPr>
        <w:t>.</w:t>
      </w:r>
    </w:p>
    <w:p w14:paraId="70C98C0C"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الثاني: الحياد التنظيمي</w:t>
      </w:r>
      <w:r w:rsidRPr="005D59A7">
        <w:rPr>
          <w:rFonts w:ascii="T" w:eastAsia="Calibri" w:hAnsi="T" w:cs="Simplified Arabic"/>
          <w:sz w:val="24"/>
          <w:szCs w:val="24"/>
        </w:rPr>
        <w:t xml:space="preserve"> (Regulatory Neutrality): </w:t>
      </w:r>
      <w:r w:rsidRPr="005D59A7">
        <w:rPr>
          <w:rFonts w:ascii="T" w:eastAsia="Calibri" w:hAnsi="T" w:cs="Simplified Arabic"/>
          <w:sz w:val="24"/>
          <w:szCs w:val="24"/>
          <w:rtl/>
        </w:rPr>
        <w:t>ضمان عدم تأثير إشراك القطاع الخاص على استقلالية وحيادية الرقابة البيئية، والحفاظ على سلطة اتخاذ القرارات التنظيمية (مثل إصدار المخالفات، تحديد العقوبات) في يد الجهات الحكومية المختصة</w:t>
      </w:r>
      <w:r w:rsidRPr="005D59A7">
        <w:rPr>
          <w:rFonts w:ascii="T" w:eastAsia="Calibri" w:hAnsi="T" w:cs="Simplified Arabic"/>
          <w:sz w:val="24"/>
          <w:szCs w:val="24"/>
        </w:rPr>
        <w:t>.</w:t>
      </w:r>
    </w:p>
    <w:p w14:paraId="6FE9D38B"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lastRenderedPageBreak/>
        <w:t>البعد الثالث: المساءلة والشفافية</w:t>
      </w:r>
      <w:r w:rsidRPr="005D59A7">
        <w:rPr>
          <w:rFonts w:ascii="T" w:eastAsia="Calibri" w:hAnsi="T" w:cs="Simplified Arabic"/>
          <w:sz w:val="24"/>
          <w:szCs w:val="24"/>
        </w:rPr>
        <w:t xml:space="preserve"> (Accountability &amp; Transparency): </w:t>
      </w:r>
      <w:r w:rsidRPr="005D59A7">
        <w:rPr>
          <w:rFonts w:ascii="T" w:eastAsia="Calibri" w:hAnsi="T" w:cs="Simplified Arabic"/>
          <w:sz w:val="24"/>
          <w:szCs w:val="24"/>
          <w:rtl/>
        </w:rPr>
        <w:t>وضع آليات واضحة لمساءلة جميع الأطراف (الجهة الحكومية والقطاع الخاص)، وضمان شفافية العمليات، وإتاحة المعلومات للمواطنين والمستثمرين، مع الحفاظ على سرية المعلومات الحساسة</w:t>
      </w:r>
      <w:r w:rsidRPr="005D59A7">
        <w:rPr>
          <w:rFonts w:ascii="T" w:eastAsia="Calibri" w:hAnsi="T" w:cs="Simplified Arabic"/>
          <w:sz w:val="24"/>
          <w:szCs w:val="24"/>
        </w:rPr>
        <w:t>.</w:t>
      </w:r>
    </w:p>
    <w:p w14:paraId="66086DA3"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كما أن الأدبيات تفتقر إلى نماذج لدمج أدوات متقدمة مثل</w:t>
      </w:r>
      <w:r w:rsidRPr="005D59A7">
        <w:rPr>
          <w:rFonts w:ascii="T" w:eastAsia="Calibri" w:hAnsi="T" w:cs="Simplified Arabic"/>
          <w:sz w:val="24"/>
          <w:szCs w:val="24"/>
        </w:rPr>
        <w:t>:</w:t>
      </w:r>
    </w:p>
    <w:p w14:paraId="2C001F4E"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التعاقد القائم على الأداء</w:t>
      </w:r>
      <w:r w:rsidRPr="005D59A7">
        <w:rPr>
          <w:rFonts w:ascii="T" w:eastAsia="Calibri" w:hAnsi="T" w:cs="Simplified Arabic"/>
          <w:sz w:val="24"/>
          <w:szCs w:val="24"/>
        </w:rPr>
        <w:t xml:space="preserve"> (Performance-Based Contracting): </w:t>
      </w:r>
      <w:r w:rsidRPr="005D59A7">
        <w:rPr>
          <w:rFonts w:ascii="T" w:eastAsia="Calibri" w:hAnsi="T" w:cs="Simplified Arabic"/>
          <w:sz w:val="24"/>
          <w:szCs w:val="24"/>
          <w:rtl/>
        </w:rPr>
        <w:t>ربط تعويض القطاع الخاص بتحقيق مؤشرات أداء محددة وقابلة للقياس (مثل نسبة تغطية المنشآت، دقة الرصد، سرعة معالجة المخالفات، تقليل نسبة المخالفات المرفوضة)</w:t>
      </w:r>
      <w:r w:rsidRPr="005D59A7">
        <w:rPr>
          <w:rFonts w:ascii="T" w:eastAsia="Calibri" w:hAnsi="T" w:cs="Simplified Arabic"/>
          <w:sz w:val="24"/>
          <w:szCs w:val="24"/>
        </w:rPr>
        <w:t>.</w:t>
      </w:r>
    </w:p>
    <w:p w14:paraId="5ADF8FBE"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الدفع مقابل النتائج</w:t>
      </w:r>
      <w:r w:rsidRPr="005D59A7">
        <w:rPr>
          <w:rFonts w:ascii="T" w:eastAsia="Calibri" w:hAnsi="T" w:cs="Simplified Arabic"/>
          <w:sz w:val="24"/>
          <w:szCs w:val="24"/>
        </w:rPr>
        <w:t xml:space="preserve"> (Payment by Results): </w:t>
      </w:r>
      <w:r w:rsidRPr="005D59A7">
        <w:rPr>
          <w:rFonts w:ascii="T" w:eastAsia="Calibri" w:hAnsi="T" w:cs="Simplified Arabic"/>
          <w:sz w:val="24"/>
          <w:szCs w:val="24"/>
          <w:rtl/>
        </w:rPr>
        <w:t>حيث يتم الدفع للقطاع الخاص بناءً على النتائج البيئية المحققة (انخفاض المخالفات المتكررة، تحسن مؤشرات جودة البيئة، زيادة معدلات الامتثال) وليس فقط على توفير المدخلات</w:t>
      </w:r>
      <w:r w:rsidRPr="005D59A7">
        <w:rPr>
          <w:rFonts w:ascii="T" w:eastAsia="Calibri" w:hAnsi="T" w:cs="Simplified Arabic"/>
          <w:sz w:val="24"/>
          <w:szCs w:val="24"/>
        </w:rPr>
        <w:t>.</w:t>
      </w:r>
    </w:p>
    <w:p w14:paraId="35C41AF0" w14:textId="6DE245ED"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استخدام التكنولوجيا في التفتيش</w:t>
      </w:r>
      <w:r w:rsidRPr="005D59A7">
        <w:rPr>
          <w:rFonts w:ascii="T" w:eastAsia="Calibri" w:hAnsi="T" w:cs="Simplified Arabic"/>
          <w:sz w:val="24"/>
          <w:szCs w:val="24"/>
        </w:rPr>
        <w:t xml:space="preserve">: </w:t>
      </w:r>
      <w:r w:rsidRPr="005D59A7">
        <w:rPr>
          <w:rFonts w:ascii="T" w:eastAsia="Calibri" w:hAnsi="T" w:cs="Simplified Arabic"/>
          <w:sz w:val="24"/>
          <w:szCs w:val="24"/>
          <w:rtl/>
        </w:rPr>
        <w:t>توظيف الذكاء الاصطناعي، وتحليل البيانات الضخمة</w:t>
      </w:r>
      <w:r w:rsidRPr="005D59A7">
        <w:rPr>
          <w:rFonts w:ascii="T" w:eastAsia="Calibri" w:hAnsi="T" w:cs="Simplified Arabic"/>
          <w:sz w:val="24"/>
          <w:szCs w:val="24"/>
        </w:rPr>
        <w:t xml:space="preserve"> (Big Data)</w:t>
      </w:r>
      <w:r w:rsidRPr="005D59A7">
        <w:rPr>
          <w:rFonts w:ascii="T" w:eastAsia="Calibri" w:hAnsi="T" w:cs="Simplified Arabic"/>
          <w:sz w:val="24"/>
          <w:szCs w:val="24"/>
          <w:rtl/>
        </w:rPr>
        <w:t>، وإنترنت الأشياء</w:t>
      </w:r>
      <w:r w:rsidRPr="005D59A7">
        <w:rPr>
          <w:rFonts w:ascii="T" w:eastAsia="Calibri" w:hAnsi="T" w:cs="Simplified Arabic"/>
          <w:sz w:val="24"/>
          <w:szCs w:val="24"/>
        </w:rPr>
        <w:t xml:space="preserve"> (IoT)</w:t>
      </w:r>
      <w:r w:rsidRPr="005D59A7">
        <w:rPr>
          <w:rFonts w:ascii="T" w:eastAsia="Calibri" w:hAnsi="T" w:cs="Simplified Arabic"/>
          <w:sz w:val="24"/>
          <w:szCs w:val="24"/>
          <w:rtl/>
        </w:rPr>
        <w:t>، والطائرات بدون طيار</w:t>
      </w:r>
      <w:r w:rsidRPr="005D59A7">
        <w:rPr>
          <w:rFonts w:ascii="T" w:eastAsia="Calibri" w:hAnsi="T" w:cs="Simplified Arabic"/>
          <w:sz w:val="24"/>
          <w:szCs w:val="24"/>
        </w:rPr>
        <w:t xml:space="preserve"> (Drones)</w:t>
      </w:r>
      <w:r w:rsidRPr="005D59A7">
        <w:rPr>
          <w:rFonts w:ascii="T" w:eastAsia="Calibri" w:hAnsi="T" w:cs="Simplified Arabic"/>
          <w:sz w:val="24"/>
          <w:szCs w:val="24"/>
          <w:rtl/>
        </w:rPr>
        <w:t>، والتطبيقات الذكية في عمليات التفتيش لتحسين الكفاءة والدقة</w:t>
      </w:r>
      <w:r w:rsidRPr="005D59A7">
        <w:rPr>
          <w:rFonts w:ascii="T" w:eastAsia="Calibri" w:hAnsi="T" w:cs="Simplified Arabic"/>
          <w:sz w:val="24"/>
          <w:szCs w:val="24"/>
        </w:rPr>
        <w:t>.</w:t>
      </w:r>
    </w:p>
    <w:p w14:paraId="1B905C88" w14:textId="71EA78D9"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نماذج تسعير الخدمات الرقابية</w:t>
      </w:r>
      <w:r w:rsidRPr="005D59A7">
        <w:rPr>
          <w:rFonts w:ascii="T" w:eastAsia="Calibri" w:hAnsi="T" w:cs="Simplified Arabic"/>
          <w:sz w:val="24"/>
          <w:szCs w:val="24"/>
        </w:rPr>
        <w:t xml:space="preserve">: </w:t>
      </w:r>
      <w:r w:rsidRPr="005D59A7">
        <w:rPr>
          <w:rFonts w:ascii="T" w:eastAsia="Calibri" w:hAnsi="T" w:cs="Simplified Arabic"/>
          <w:sz w:val="24"/>
          <w:szCs w:val="24"/>
          <w:rtl/>
        </w:rPr>
        <w:t>تطوير آليات لتسعير الخدمات الرقابية بما يضمن استدامة التمويل دون تحميل المنشآت أعباء غير عادلة، مع مراعاة القدرة على الدفع وحجم المنشأة ومستوى المخاطر</w:t>
      </w:r>
      <w:r w:rsidRPr="005D59A7">
        <w:rPr>
          <w:rFonts w:ascii="T" w:eastAsia="Calibri" w:hAnsi="T" w:cs="Simplified Arabic"/>
          <w:sz w:val="24"/>
          <w:szCs w:val="24"/>
        </w:rPr>
        <w:t>.</w:t>
      </w:r>
    </w:p>
    <w:p w14:paraId="4B2B1039" w14:textId="1570D3B7" w:rsidR="00E9655D" w:rsidRPr="005D59A7" w:rsidRDefault="00E9655D"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تقييد نقل التجارب الدولية</w:t>
      </w:r>
      <w:r w:rsidRPr="005D59A7">
        <w:rPr>
          <w:rFonts w:ascii="T" w:eastAsia="Calibri" w:hAnsi="T" w:cs="Simplified Arabic"/>
          <w:sz w:val="24"/>
          <w:szCs w:val="24"/>
        </w:rPr>
        <w:t>: </w:t>
      </w:r>
      <w:r w:rsidRPr="005D59A7">
        <w:rPr>
          <w:rFonts w:ascii="T" w:eastAsia="Calibri" w:hAnsi="T" w:cs="Simplified Arabic"/>
          <w:sz w:val="24"/>
          <w:szCs w:val="24"/>
          <w:rtl/>
        </w:rPr>
        <w:t>عند النظر في الاستفادة من تجارب دول مثل المملكة المتحدة واسكتلندا في مجال الشراكات البيئية، تجدر الإشارة إلى أن الاختلافات في السياق المؤسسي والقانوني والاقتصادي بين هذه الدول والمملكة العربية السعودية تحد من قابلية النقل المباشر للنماذج. فاختلاف أنظمة العقود، ومستويات الشفافية، واستقلالية الهيئات التنظيمية، وهيكل سوق العمل، كلها عوامل تتطلب مواءمة مؤسسية دقيقة قبل تبني أي عناصر من تلك التجارب. كما أن تجارب تلك الدول قد تكون مرتبطة بسياقات قانونية وتاريخية مختلفة، مما يستدعي دراسة متأنية لمدى ملاءمتها للبيئة السعودية قبل اقتراح أي نموذج</w:t>
      </w:r>
      <w:r w:rsidRPr="005D59A7">
        <w:rPr>
          <w:rFonts w:ascii="T" w:eastAsia="Calibri" w:hAnsi="T" w:cs="Simplified Arabic"/>
          <w:sz w:val="24"/>
          <w:szCs w:val="24"/>
        </w:rPr>
        <w:t>.</w:t>
      </w:r>
    </w:p>
    <w:p w14:paraId="3F23C519"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lastRenderedPageBreak/>
        <w:t>بالإضافة إلى ذلك، لا توجد دراسات كافية تعالج كيفية</w:t>
      </w:r>
      <w:r w:rsidRPr="005D59A7">
        <w:rPr>
          <w:rFonts w:ascii="T" w:eastAsia="Calibri" w:hAnsi="T" w:cs="Simplified Arabic"/>
          <w:sz w:val="24"/>
          <w:szCs w:val="24"/>
        </w:rPr>
        <w:t>:</w:t>
      </w:r>
    </w:p>
    <w:p w14:paraId="5AA7B2ED" w14:textId="271CC6AD"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تصميم مؤشرات أداء بيئية قابلة للقياس</w:t>
      </w:r>
      <w:r w:rsidRPr="005D59A7">
        <w:rPr>
          <w:rFonts w:ascii="T" w:eastAsia="Calibri" w:hAnsi="T" w:cs="Simplified Arabic"/>
          <w:sz w:val="24"/>
          <w:szCs w:val="24"/>
        </w:rPr>
        <w:t xml:space="preserve"> </w:t>
      </w:r>
      <w:r w:rsidRPr="005D59A7">
        <w:rPr>
          <w:rFonts w:ascii="T" w:eastAsia="Calibri" w:hAnsi="T" w:cs="Simplified Arabic"/>
          <w:sz w:val="24"/>
          <w:szCs w:val="24"/>
          <w:rtl/>
        </w:rPr>
        <w:t>يمكن استخدامها كأساس للتعاقد مع القطاع الخاص، وتكون مرتبطة بالأثر البيئي الفعلي وليس فقط بمخرجات العملية</w:t>
      </w:r>
      <w:r w:rsidRPr="005D59A7">
        <w:rPr>
          <w:rFonts w:ascii="T" w:eastAsia="Calibri" w:hAnsi="T" w:cs="Simplified Arabic"/>
          <w:sz w:val="24"/>
          <w:szCs w:val="24"/>
        </w:rPr>
        <w:t>.</w:t>
      </w:r>
    </w:p>
    <w:p w14:paraId="75997D5B"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توزيع المسؤوليات بين الجهات المنظمة والمنفذة دون الإخلال بالسيادة التنظيمية، مع وضع آليات واضحة للرقابة والإشراف</w:t>
      </w:r>
      <w:r w:rsidRPr="005D59A7">
        <w:rPr>
          <w:rFonts w:ascii="T" w:eastAsia="Calibri" w:hAnsi="T" w:cs="Simplified Arabic"/>
          <w:sz w:val="24"/>
          <w:szCs w:val="24"/>
        </w:rPr>
        <w:t>.</w:t>
      </w:r>
    </w:p>
    <w:p w14:paraId="4DB766A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هيكلة عقود الشراكة لضمان استمرارية الخدمة في ظل تغير اللوائح البيئية أو الظروف الاقتصادية، مع مراعاة المرونة اللازمة للتكيف</w:t>
      </w:r>
      <w:r w:rsidRPr="005D59A7">
        <w:rPr>
          <w:rFonts w:ascii="T" w:eastAsia="Calibri" w:hAnsi="T" w:cs="Simplified Arabic"/>
          <w:sz w:val="24"/>
          <w:szCs w:val="24"/>
        </w:rPr>
        <w:t>.</w:t>
      </w:r>
    </w:p>
    <w:p w14:paraId="100771CF"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تقييم المخاطر المرتبطة بإشراك القطاع الخاص في الخدمات الرقابية (مخاطر السمعة، مخاطر التواطؤ، مخاطر الأمن المعلوماتي، مخاطر تضارب المصالح)</w:t>
      </w:r>
      <w:r w:rsidRPr="005D59A7">
        <w:rPr>
          <w:rFonts w:ascii="T" w:eastAsia="Calibri" w:hAnsi="T" w:cs="Simplified Arabic"/>
          <w:sz w:val="24"/>
          <w:szCs w:val="24"/>
        </w:rPr>
        <w:t>.</w:t>
      </w:r>
    </w:p>
    <w:p w14:paraId="58D4441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تصميم أنظمة حوافز فعالة تجذب الكفاءات الفنية والقانونية للعمل في مجال التفتيش البيئي من خلال القطاع الخاص، مع ضمان جودة الأداء واستمراريته</w:t>
      </w:r>
      <w:r w:rsidRPr="005D59A7">
        <w:rPr>
          <w:rFonts w:ascii="T" w:eastAsia="Calibri" w:hAnsi="T" w:cs="Simplified Arabic"/>
          <w:sz w:val="24"/>
          <w:szCs w:val="24"/>
        </w:rPr>
        <w:t>.</w:t>
      </w:r>
    </w:p>
    <w:p w14:paraId="010A6FBE" w14:textId="2931E458"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الأبعاد الاستراتيجية والتنموية للمشكلة</w:t>
      </w:r>
    </w:p>
    <w:p w14:paraId="086D884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لا تقتصر تداعيات القصور في التفتيش البيئي على الجانب التشغيلي، بل تمتد إلى أبعاد أوسع تشمل</w:t>
      </w:r>
      <w:r w:rsidRPr="005D59A7">
        <w:rPr>
          <w:rFonts w:ascii="T" w:eastAsia="Calibri" w:hAnsi="T" w:cs="Simplified Arabic"/>
          <w:sz w:val="24"/>
          <w:szCs w:val="24"/>
        </w:rPr>
        <w:t>:</w:t>
      </w:r>
    </w:p>
    <w:p w14:paraId="519D991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الاقتصادي: يؤدي ضعف الرقابة البيئية إلى زيادة تكلفة التدهور البيئي، والتي قدرت سابقًا بنحو 3.1% من الناتج المحلي الإجمالي (86 مليار ريال سعودي)، كما تؤثر على كفاءة استخدام الموارد العامة وتزيد من الأعباء المالية على الدولة. كما أن عدم كفاءة التفتيش قد يؤدي إلى زيادة المخالفات البيئية المتكررة، مما يزيد من تكاليف المعالجة والعلاج</w:t>
      </w:r>
      <w:r w:rsidRPr="005D59A7">
        <w:rPr>
          <w:rFonts w:ascii="T" w:eastAsia="Calibri" w:hAnsi="T" w:cs="Simplified Arabic"/>
          <w:sz w:val="24"/>
          <w:szCs w:val="24"/>
        </w:rPr>
        <w:t>.</w:t>
      </w:r>
    </w:p>
    <w:p w14:paraId="66C2428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الصحي: من خلال زيادة معدلات التلوث البيئي وتأثيرها المباشر على الأمراض المزمنة والجهاز التنفسي، مما يؤثر على جودة الحياة ومتوسط العمر المتوقع. وقد حددت رؤية 2030 هدفًا لرفع متوسط العمر المتوقع من 74 إلى 80 عامًا، وهو هدف يرتبط بشكل مباشر بجودة البيئة ومستوى التلوث</w:t>
      </w:r>
      <w:r w:rsidRPr="005D59A7">
        <w:rPr>
          <w:rFonts w:ascii="T" w:eastAsia="Calibri" w:hAnsi="T" w:cs="Simplified Arabic"/>
          <w:sz w:val="24"/>
          <w:szCs w:val="24"/>
        </w:rPr>
        <w:t>.</w:t>
      </w:r>
    </w:p>
    <w:p w14:paraId="2F2F991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lastRenderedPageBreak/>
        <w:t>البعد الاستثماري: تتطلب بيئة الأعمال الحديثة إطارًا تنظيميًا فعالًا وواضحًا، حيث يعتبر المستثمرون المحليون والدوليون وجود نظام رقابي قوي مؤشرًا على استقرار واستدامة بيئة الاستثمار. كما أن الشفافية والالتزام البيئي يعززان سمعة المملكة كوجهة استثمارية جاذبة</w:t>
      </w:r>
      <w:r w:rsidRPr="005D59A7">
        <w:rPr>
          <w:rFonts w:ascii="T" w:eastAsia="Calibri" w:hAnsi="T" w:cs="Simplified Arabic"/>
          <w:sz w:val="24"/>
          <w:szCs w:val="24"/>
        </w:rPr>
        <w:t>.</w:t>
      </w:r>
    </w:p>
    <w:p w14:paraId="0595537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المؤسسي: يعكس أداء التفتيش البيئي نضج المنظومة المؤسسية وقدرتها على تنفيذ السياسات وتحقيق الأهداف الاستراتيجية. كما أن نجاح نماذج الشراكة في هذا القطاع يمكن أن يكون نموذجًا يُحتذى به في خدمات حكومية أخرى</w:t>
      </w:r>
      <w:r w:rsidRPr="005D59A7">
        <w:rPr>
          <w:rFonts w:ascii="T" w:eastAsia="Calibri" w:hAnsi="T" w:cs="Simplified Arabic"/>
          <w:sz w:val="24"/>
          <w:szCs w:val="24"/>
        </w:rPr>
        <w:t>.</w:t>
      </w:r>
    </w:p>
    <w:p w14:paraId="6146647B"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البيئي: يمثل التفتيش البيئي الأداة التنفيذية المباشرة لتحقيق مستهدفات الإستراتيجية الوطنية للبيئة، خاصة الهدف الاستراتيجي 2.4.1 "الحد من التلوث بمختلف أنواعه" ضمن برنامج التحول الوطني. كما أنه يساهم في تحقيق أهداف المبادرة السعودية الخضراء</w:t>
      </w:r>
      <w:r w:rsidRPr="005D59A7">
        <w:rPr>
          <w:rFonts w:ascii="T" w:eastAsia="Calibri" w:hAnsi="T" w:cs="Simplified Arabic"/>
          <w:sz w:val="24"/>
          <w:szCs w:val="24"/>
        </w:rPr>
        <w:t xml:space="preserve"> (SGI) </w:t>
      </w:r>
      <w:r w:rsidRPr="005D59A7">
        <w:rPr>
          <w:rFonts w:ascii="T" w:eastAsia="Calibri" w:hAnsi="T" w:cs="Simplified Arabic"/>
          <w:sz w:val="24"/>
          <w:szCs w:val="24"/>
          <w:rtl/>
        </w:rPr>
        <w:t>التي تهدف إلى خفض الانبعاثات وزيادة الغطاء النباتي وحماية الحياة الفطرية</w:t>
      </w:r>
      <w:r w:rsidRPr="005D59A7">
        <w:rPr>
          <w:rFonts w:ascii="T" w:eastAsia="Calibri" w:hAnsi="T" w:cs="Simplified Arabic"/>
          <w:sz w:val="24"/>
          <w:szCs w:val="24"/>
        </w:rPr>
        <w:t>.</w:t>
      </w:r>
    </w:p>
    <w:p w14:paraId="12852178" w14:textId="51724E4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وبالتالي، فإن تحسين نظام التفتيش البيئي ليس مجرد إصلاح إداري، بل يمثل رافعة استراتيجية متعددة الأثر</w:t>
      </w:r>
      <w:r w:rsidRPr="005D59A7">
        <w:rPr>
          <w:rFonts w:ascii="T" w:eastAsia="Calibri" w:hAnsi="T" w:cs="Simplified Arabic"/>
          <w:sz w:val="24"/>
          <w:szCs w:val="24"/>
        </w:rPr>
        <w:t xml:space="preserve"> </w:t>
      </w:r>
      <w:r w:rsidRPr="005D59A7">
        <w:rPr>
          <w:rFonts w:ascii="T" w:eastAsia="Calibri" w:hAnsi="T" w:cs="Simplified Arabic"/>
          <w:sz w:val="24"/>
          <w:szCs w:val="24"/>
          <w:rtl/>
        </w:rPr>
        <w:t>تسهم في تحقيق أهداف متقاطعة بين الأبعاد الاقتصادية والاجتماعية والبيئية والمؤسسية</w:t>
      </w:r>
      <w:r w:rsidRPr="005D59A7">
        <w:rPr>
          <w:rFonts w:ascii="T" w:eastAsia="Calibri" w:hAnsi="T" w:cs="Simplified Arabic"/>
          <w:sz w:val="24"/>
          <w:szCs w:val="24"/>
        </w:rPr>
        <w:t>.</w:t>
      </w:r>
    </w:p>
    <w:p w14:paraId="3FE50394" w14:textId="16668EB1"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في ضوء التحليل السابق، يمكن صياغة مشكلة الدراسة كما يلي</w:t>
      </w:r>
      <w:r w:rsidRPr="005D59A7">
        <w:rPr>
          <w:rFonts w:ascii="T" w:eastAsia="Calibri" w:hAnsi="T" w:cs="Simplified Arabic"/>
          <w:sz w:val="24"/>
          <w:szCs w:val="24"/>
        </w:rPr>
        <w:t>:</w:t>
      </w:r>
    </w:p>
    <w:p w14:paraId="22B4CB97"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تتمثل مشكلة الدراسة في وجود اختلال هيكلي متعدد الأبعاد في نظام التفتيش البيئي في المملكة العربية السعودية، يتجلى في</w:t>
      </w:r>
      <w:r w:rsidRPr="005D59A7">
        <w:rPr>
          <w:rFonts w:ascii="T" w:eastAsia="Calibri" w:hAnsi="T" w:cs="Simplified Arabic"/>
          <w:sz w:val="24"/>
          <w:szCs w:val="24"/>
        </w:rPr>
        <w:t>:</w:t>
      </w:r>
    </w:p>
    <w:p w14:paraId="65B4E47A"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أولاً: فجوة بين التوسع الكمي ومحدودية الكفاءة النوعية: حيث تحقق زيادة ملحوظة في عدد المفتشين (277%) والزيارات (470%) والمنشآت المغطاة (287%)، لكنها لم تصاحبها زيادة مماثلة في جودة المخرجات (تراجع المخالفات لكل زيارة بنسبة 67%) ودقتها (ارتفاع نسبة المخالفات المرفوضة إلى 45%)</w:t>
      </w:r>
      <w:r w:rsidRPr="005D59A7">
        <w:rPr>
          <w:rFonts w:ascii="T" w:eastAsia="Calibri" w:hAnsi="T" w:cs="Simplified Arabic"/>
          <w:sz w:val="24"/>
          <w:szCs w:val="24"/>
        </w:rPr>
        <w:t>.</w:t>
      </w:r>
    </w:p>
    <w:p w14:paraId="1C6F5F07"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ثانيًا: قصور في التصميم التشغيلي والمالي لنموذج تقديم الخدمة: يعتمد النموذج الحالي على التوريد التقليدي</w:t>
      </w:r>
      <w:r w:rsidRPr="005D59A7">
        <w:rPr>
          <w:rFonts w:ascii="T" w:eastAsia="Calibri" w:hAnsi="T" w:cs="Simplified Arabic"/>
          <w:sz w:val="24"/>
          <w:szCs w:val="24"/>
        </w:rPr>
        <w:t xml:space="preserve"> (Input-Based) </w:t>
      </w:r>
      <w:r w:rsidRPr="005D59A7">
        <w:rPr>
          <w:rFonts w:ascii="T" w:eastAsia="Calibri" w:hAnsi="T" w:cs="Simplified Arabic"/>
          <w:sz w:val="24"/>
          <w:szCs w:val="24"/>
          <w:rtl/>
        </w:rPr>
        <w:t>بدلاً من التعاقد القائم على الأداء</w:t>
      </w:r>
      <w:r w:rsidRPr="005D59A7">
        <w:rPr>
          <w:rFonts w:ascii="T" w:eastAsia="Calibri" w:hAnsi="T" w:cs="Simplified Arabic"/>
          <w:sz w:val="24"/>
          <w:szCs w:val="24"/>
        </w:rPr>
        <w:t xml:space="preserve"> (Performance-Based)</w:t>
      </w:r>
      <w:r w:rsidRPr="005D59A7">
        <w:rPr>
          <w:rFonts w:ascii="T" w:eastAsia="Calibri" w:hAnsi="T" w:cs="Simplified Arabic"/>
          <w:sz w:val="24"/>
          <w:szCs w:val="24"/>
          <w:rtl/>
        </w:rPr>
        <w:t xml:space="preserve">، مما أدى إلى عجز </w:t>
      </w:r>
      <w:r w:rsidRPr="005D59A7">
        <w:rPr>
          <w:rFonts w:ascii="T" w:eastAsia="Calibri" w:hAnsi="T" w:cs="Simplified Arabic"/>
          <w:sz w:val="24"/>
          <w:szCs w:val="24"/>
          <w:rtl/>
        </w:rPr>
        <w:lastRenderedPageBreak/>
        <w:t>مالي مستدام (41 مليون ريال خلال 3 سنوات)، وضعف في هيكل الحوافز (رواتب المفتشين 5,000 ريال)، وعدم قدرة الخدمة على تحقيق استدامة مالية، إضافة إلى غياب آليات تقاسم المخاطر</w:t>
      </w:r>
      <w:r w:rsidRPr="005D59A7">
        <w:rPr>
          <w:rFonts w:ascii="T" w:eastAsia="Calibri" w:hAnsi="T" w:cs="Simplified Arabic"/>
          <w:sz w:val="24"/>
          <w:szCs w:val="24"/>
        </w:rPr>
        <w:t>.</w:t>
      </w:r>
    </w:p>
    <w:p w14:paraId="6A17C658"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ثالثًا: ضعف في حوكمة البيانات وإدارة المعلومات: ارتفاع نسبة المخالفات المرفوضة (45%) يعكس ضعفًا في دقة الرصد، وسلامة الإجراءات النظامية، واستخدام التقنيات الحديثة في التفتيش، إضافة إلى غياب أنظمة متكاملة لتتبع الأداء</w:t>
      </w:r>
      <w:r w:rsidRPr="005D59A7">
        <w:rPr>
          <w:rFonts w:ascii="T" w:eastAsia="Calibri" w:hAnsi="T" w:cs="Simplified Arabic"/>
          <w:sz w:val="24"/>
          <w:szCs w:val="24"/>
        </w:rPr>
        <w:t>.</w:t>
      </w:r>
    </w:p>
    <w:p w14:paraId="6872E7F8"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رابعًا: عدم كفاءة في تخصيص الموارد ومواءمتها مع الاحتياج: عدم مواكبة زيادة عدد المفتشين (16%) لزيادة عدد المنشآت (29%)، مما أدى إلى تذبذب عبء العمل وعدم استقرار الأداء، وزيادة الضغط على المفتشين</w:t>
      </w:r>
      <w:r w:rsidRPr="005D59A7">
        <w:rPr>
          <w:rFonts w:ascii="T" w:eastAsia="Calibri" w:hAnsi="T" w:cs="Simplified Arabic"/>
          <w:sz w:val="24"/>
          <w:szCs w:val="24"/>
        </w:rPr>
        <w:t>.</w:t>
      </w:r>
    </w:p>
    <w:p w14:paraId="199E4C58"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خامسًا: غياب التكامل المؤسسي: عمل الجهات المعنية بشكل منفصل دون أنظمة تكامل فعالة، مما يؤدي إلى ازدواجية الجهود أو فجوات في التغطية، وعدم تبادل المعلومات بشكل فعال</w:t>
      </w:r>
      <w:r w:rsidRPr="005D59A7">
        <w:rPr>
          <w:rFonts w:ascii="T" w:eastAsia="Calibri" w:hAnsi="T" w:cs="Simplified Arabic"/>
          <w:sz w:val="24"/>
          <w:szCs w:val="24"/>
        </w:rPr>
        <w:t>.</w:t>
      </w:r>
    </w:p>
    <w:p w14:paraId="79FC1153"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سادسًا: غياب نماذج تطبيقية متقدمة في الأدبيات لهيكلة الشراكات بين القطاعين العام والخاص في الخدمات الرقابية البيئية عالية الحساسية، بما يشمل</w:t>
      </w:r>
      <w:r w:rsidRPr="005D59A7">
        <w:rPr>
          <w:rFonts w:ascii="T" w:eastAsia="Calibri" w:hAnsi="T" w:cs="Simplified Arabic"/>
          <w:sz w:val="24"/>
          <w:szCs w:val="24"/>
        </w:rPr>
        <w:t>:</w:t>
      </w:r>
    </w:p>
    <w:p w14:paraId="48743D8C"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تصميم مؤشرات أداء بيئية قابلة للقياس</w:t>
      </w:r>
      <w:r w:rsidRPr="005D59A7">
        <w:rPr>
          <w:rFonts w:ascii="T" w:eastAsia="Calibri" w:hAnsi="T" w:cs="Simplified Arabic"/>
          <w:sz w:val="24"/>
          <w:szCs w:val="24"/>
        </w:rPr>
        <w:t xml:space="preserve"> (Measurable Environmental KPIs).</w:t>
      </w:r>
    </w:p>
    <w:p w14:paraId="32F470AD"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توزيع المخاطر بين القطاعين العام والخاص</w:t>
      </w:r>
      <w:r w:rsidRPr="005D59A7">
        <w:rPr>
          <w:rFonts w:ascii="T" w:eastAsia="Calibri" w:hAnsi="T" w:cs="Simplified Arabic"/>
          <w:sz w:val="24"/>
          <w:szCs w:val="24"/>
        </w:rPr>
        <w:t xml:space="preserve"> (Risk Allocation).</w:t>
      </w:r>
    </w:p>
    <w:p w14:paraId="3F20D36F"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ضمان الحياد التنظيمي والشفافية والمساءلة</w:t>
      </w:r>
      <w:r w:rsidRPr="005D59A7">
        <w:rPr>
          <w:rFonts w:ascii="T" w:eastAsia="Calibri" w:hAnsi="T" w:cs="Simplified Arabic"/>
          <w:sz w:val="24"/>
          <w:szCs w:val="24"/>
        </w:rPr>
        <w:t xml:space="preserve"> (Regulatory Neutrality, Transparency &amp; Accountability).</w:t>
      </w:r>
    </w:p>
    <w:p w14:paraId="0D4544E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تطوير نماذج استرداد التكاليف</w:t>
      </w:r>
      <w:r w:rsidRPr="005D59A7">
        <w:rPr>
          <w:rFonts w:ascii="T" w:eastAsia="Calibri" w:hAnsi="T" w:cs="Simplified Arabic"/>
          <w:sz w:val="24"/>
          <w:szCs w:val="24"/>
        </w:rPr>
        <w:t xml:space="preserve"> (Cost Recovery Models).</w:t>
      </w:r>
    </w:p>
    <w:p w14:paraId="2403B0DC"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توظيف التقنيات الحديثة</w:t>
      </w:r>
      <w:r w:rsidRPr="005D59A7">
        <w:rPr>
          <w:rFonts w:ascii="T" w:eastAsia="Calibri" w:hAnsi="T" w:cs="Simplified Arabic"/>
          <w:sz w:val="24"/>
          <w:szCs w:val="24"/>
        </w:rPr>
        <w:t xml:space="preserve"> (</w:t>
      </w:r>
      <w:proofErr w:type="spellStart"/>
      <w:r w:rsidRPr="005D59A7">
        <w:rPr>
          <w:rFonts w:ascii="T" w:eastAsia="Calibri" w:hAnsi="T" w:cs="Simplified Arabic"/>
          <w:sz w:val="24"/>
          <w:szCs w:val="24"/>
        </w:rPr>
        <w:t>RegTech</w:t>
      </w:r>
      <w:proofErr w:type="spellEnd"/>
      <w:r w:rsidRPr="005D59A7">
        <w:rPr>
          <w:rFonts w:ascii="T" w:eastAsia="Calibri" w:hAnsi="T" w:cs="Simplified Arabic"/>
          <w:sz w:val="24"/>
          <w:szCs w:val="24"/>
        </w:rPr>
        <w:t xml:space="preserve"> &amp; </w:t>
      </w:r>
      <w:proofErr w:type="spellStart"/>
      <w:r w:rsidRPr="005D59A7">
        <w:rPr>
          <w:rFonts w:ascii="T" w:eastAsia="Calibri" w:hAnsi="T" w:cs="Simplified Arabic"/>
          <w:sz w:val="24"/>
          <w:szCs w:val="24"/>
        </w:rPr>
        <w:t>GovTech</w:t>
      </w:r>
      <w:proofErr w:type="spellEnd"/>
      <w:r w:rsidRPr="005D59A7">
        <w:rPr>
          <w:rFonts w:ascii="T" w:eastAsia="Calibri" w:hAnsi="T" w:cs="Simplified Arabic"/>
          <w:sz w:val="24"/>
          <w:szCs w:val="24"/>
        </w:rPr>
        <w:t xml:space="preserve">) </w:t>
      </w:r>
      <w:r w:rsidRPr="005D59A7">
        <w:rPr>
          <w:rFonts w:ascii="T" w:eastAsia="Calibri" w:hAnsi="T" w:cs="Simplified Arabic"/>
          <w:sz w:val="24"/>
          <w:szCs w:val="24"/>
          <w:rtl/>
        </w:rPr>
        <w:t>في عمليات التفتيش</w:t>
      </w:r>
      <w:r w:rsidRPr="005D59A7">
        <w:rPr>
          <w:rFonts w:ascii="T" w:eastAsia="Calibri" w:hAnsi="T" w:cs="Simplified Arabic"/>
          <w:sz w:val="24"/>
          <w:szCs w:val="24"/>
        </w:rPr>
        <w:t>.</w:t>
      </w:r>
    </w:p>
    <w:p w14:paraId="15B31E26"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هيكلة عقود قائمة على الأداء والنتائج</w:t>
      </w:r>
      <w:r w:rsidRPr="005D59A7">
        <w:rPr>
          <w:rFonts w:ascii="T" w:eastAsia="Calibri" w:hAnsi="T" w:cs="Simplified Arabic"/>
          <w:sz w:val="24"/>
          <w:szCs w:val="24"/>
        </w:rPr>
        <w:t xml:space="preserve"> (Performance-Based &amp; Results-Based Contracting).</w:t>
      </w:r>
    </w:p>
    <w:p w14:paraId="535388EC" w14:textId="77777777" w:rsidR="006E7C5B" w:rsidRPr="005D59A7" w:rsidRDefault="006E7C5B" w:rsidP="00DF52A6">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lastRenderedPageBreak/>
        <w:t>وعليه، تبرز الحاجة إلى تطوير نموذج تكاملي مبتكر قائم على الشراكات بين القطاعين العام والخاص يعيد هندسة منظومة التفتيش البيئي من منظور تشغيلي ومالي ومؤسسي، بما يحقق الكفاءة، ويعزز الامتثال البيئي، ويدعم مستهدفات الاستدامة ضمن رؤية السعودية 2030، مع الحفاظ على الحياد التنظيمي والشفافية والمساءلة</w:t>
      </w:r>
      <w:r w:rsidRPr="005D59A7">
        <w:rPr>
          <w:rFonts w:ascii="T" w:eastAsia="Calibri" w:hAnsi="T" w:cs="Simplified Arabic"/>
          <w:sz w:val="24"/>
          <w:szCs w:val="24"/>
        </w:rPr>
        <w:t>.</w:t>
      </w:r>
    </w:p>
    <w:p w14:paraId="548611FF" w14:textId="77777777" w:rsidR="00177E64" w:rsidRPr="00693289" w:rsidRDefault="00F873FA" w:rsidP="00DF52A6">
      <w:pPr>
        <w:pStyle w:val="Heading1"/>
        <w:bidi/>
        <w:rPr>
          <w:rFonts w:ascii="T" w:eastAsia="Times New Roman" w:hAnsi="T" w:cs="Simplified Arabic"/>
          <w:b/>
          <w:bCs/>
          <w:color w:val="auto"/>
          <w:sz w:val="24"/>
          <w:szCs w:val="24"/>
          <w:rtl/>
        </w:rPr>
      </w:pPr>
      <w:bookmarkStart w:id="7" w:name="_Toc234607846"/>
      <w:r w:rsidRPr="00693289">
        <w:rPr>
          <w:rFonts w:ascii="T" w:eastAsia="Times New Roman" w:hAnsi="T" w:cs="Simplified Arabic"/>
          <w:b/>
          <w:bCs/>
          <w:color w:val="auto"/>
          <w:sz w:val="24"/>
          <w:szCs w:val="24"/>
          <w:rtl/>
        </w:rPr>
        <w:t>تساؤلات الدراسة:</w:t>
      </w:r>
      <w:bookmarkEnd w:id="7"/>
    </w:p>
    <w:p w14:paraId="7D3A7CB2" w14:textId="77777777" w:rsidR="00D82B05" w:rsidRPr="00693289" w:rsidRDefault="00D82B05" w:rsidP="00DF52A6">
      <w:pPr>
        <w:bidi/>
        <w:ind w:left="84" w:firstLine="720"/>
        <w:jc w:val="both"/>
        <w:rPr>
          <w:rFonts w:ascii="T" w:hAnsi="T" w:cs="Simplified Arabic"/>
          <w:b/>
          <w:bCs/>
          <w:sz w:val="24"/>
          <w:szCs w:val="24"/>
          <w:shd w:val="clear" w:color="auto" w:fill="FFFFFF"/>
          <w:rtl/>
          <w:lang w:bidi="ar-EG"/>
        </w:rPr>
      </w:pPr>
      <w:r w:rsidRPr="00693289">
        <w:rPr>
          <w:rFonts w:ascii="T" w:hAnsi="T" w:cs="Simplified Arabic"/>
          <w:b/>
          <w:bCs/>
          <w:sz w:val="24"/>
          <w:szCs w:val="24"/>
          <w:shd w:val="clear" w:color="auto" w:fill="FFFFFF"/>
          <w:rtl/>
          <w:lang w:bidi="ar-EG"/>
        </w:rPr>
        <w:t>السؤال الرئيس</w:t>
      </w:r>
      <w:r w:rsidRPr="00693289">
        <w:rPr>
          <w:rFonts w:ascii="T" w:hAnsi="T" w:cs="Simplified Arabic"/>
          <w:b/>
          <w:bCs/>
          <w:sz w:val="24"/>
          <w:szCs w:val="24"/>
          <w:shd w:val="clear" w:color="auto" w:fill="FFFFFF"/>
          <w:lang w:bidi="ar-EG"/>
        </w:rPr>
        <w:t>:</w:t>
      </w:r>
    </w:p>
    <w:p w14:paraId="47CEB100" w14:textId="77777777" w:rsidR="00D82B05" w:rsidRPr="00693289" w:rsidRDefault="00D82B05" w:rsidP="00DF52A6">
      <w:pPr>
        <w:bidi/>
        <w:spacing w:line="360" w:lineRule="auto"/>
        <w:ind w:left="84" w:firstLine="720"/>
        <w:jc w:val="both"/>
        <w:rPr>
          <w:rFonts w:ascii="T" w:hAnsi="T" w:cs="Simplified Arabic"/>
          <w:sz w:val="24"/>
          <w:szCs w:val="24"/>
          <w:shd w:val="clear" w:color="auto" w:fill="FFFFFF"/>
          <w:rtl/>
          <w:lang w:bidi="ar-EG"/>
        </w:rPr>
      </w:pPr>
      <w:r w:rsidRPr="00693289">
        <w:rPr>
          <w:rFonts w:ascii="T" w:hAnsi="T" w:cs="Simplified Arabic"/>
          <w:sz w:val="24"/>
          <w:szCs w:val="24"/>
          <w:shd w:val="clear" w:color="auto" w:fill="FFFFFF"/>
          <w:rtl/>
          <w:lang w:bidi="ar-EG"/>
        </w:rPr>
        <w:t>ما مدى كفاءة وفعالية نموذج الحوكمة والتشغيل الحالي لخدمة التفتيش البيئي في المملكة العربية السعودية، كما تطبقه المركز الوطني للرقابة على الالتزام البيئي، وما مدى قدرة نموذج شراكة مقترح بين القطاعين العام والخاص</w:t>
      </w:r>
      <w:r w:rsidRPr="00693289">
        <w:rPr>
          <w:rFonts w:ascii="T" w:hAnsi="T" w:cs="Simplified Arabic"/>
          <w:sz w:val="24"/>
          <w:szCs w:val="24"/>
          <w:shd w:val="clear" w:color="auto" w:fill="FFFFFF"/>
          <w:lang w:bidi="ar-EG"/>
        </w:rPr>
        <w:t xml:space="preserve"> (PPP) </w:t>
      </w:r>
      <w:r w:rsidRPr="00693289">
        <w:rPr>
          <w:rFonts w:ascii="T" w:hAnsi="T" w:cs="Simplified Arabic"/>
          <w:sz w:val="24"/>
          <w:szCs w:val="24"/>
          <w:shd w:val="clear" w:color="auto" w:fill="FFFFFF"/>
          <w:rtl/>
          <w:lang w:bidi="ar-EG"/>
        </w:rPr>
        <w:t>على تحسين الكفاءة التشغيلية وجودة المخرجات وتحقيق الاستدامة المالية بما يتوافق مع مستهدفات رؤية السعودية 2030؟</w:t>
      </w:r>
    </w:p>
    <w:p w14:paraId="5E65EA66" w14:textId="77777777" w:rsidR="00D82B05" w:rsidRPr="00693289" w:rsidRDefault="00D82B05" w:rsidP="00DF52A6">
      <w:pPr>
        <w:bidi/>
        <w:spacing w:line="360" w:lineRule="auto"/>
        <w:ind w:left="84" w:firstLine="720"/>
        <w:jc w:val="both"/>
        <w:rPr>
          <w:rFonts w:ascii="T" w:hAnsi="T" w:cs="Simplified Arabic"/>
          <w:b/>
          <w:bCs/>
          <w:sz w:val="24"/>
          <w:szCs w:val="24"/>
          <w:shd w:val="clear" w:color="auto" w:fill="FFFFFF"/>
          <w:rtl/>
          <w:lang w:bidi="ar-EG"/>
        </w:rPr>
      </w:pPr>
      <w:r w:rsidRPr="00693289">
        <w:rPr>
          <w:rFonts w:ascii="T" w:hAnsi="T" w:cs="Simplified Arabic"/>
          <w:b/>
          <w:bCs/>
          <w:sz w:val="24"/>
          <w:szCs w:val="24"/>
          <w:shd w:val="clear" w:color="auto" w:fill="FFFFFF"/>
          <w:rtl/>
          <w:lang w:bidi="ar-EG"/>
        </w:rPr>
        <w:t>الأسئلة الفرعية</w:t>
      </w:r>
      <w:r w:rsidRPr="00693289">
        <w:rPr>
          <w:rFonts w:ascii="T" w:hAnsi="T" w:cs="Simplified Arabic"/>
          <w:b/>
          <w:bCs/>
          <w:sz w:val="24"/>
          <w:szCs w:val="24"/>
          <w:shd w:val="clear" w:color="auto" w:fill="FFFFFF"/>
          <w:lang w:bidi="ar-EG"/>
        </w:rPr>
        <w:t>:</w:t>
      </w:r>
    </w:p>
    <w:p w14:paraId="07B46018" w14:textId="77777777" w:rsidR="00D82B05" w:rsidRPr="00693289" w:rsidRDefault="00D82B05" w:rsidP="0045581D">
      <w:pPr>
        <w:pStyle w:val="ListParagraph"/>
        <w:numPr>
          <w:ilvl w:val="0"/>
          <w:numId w:val="27"/>
        </w:numPr>
        <w:bidi/>
        <w:spacing w:line="360" w:lineRule="auto"/>
        <w:ind w:left="84" w:firstLine="0"/>
        <w:jc w:val="both"/>
        <w:rPr>
          <w:rFonts w:ascii="T" w:hAnsi="T" w:cs="Simplified Arabic"/>
          <w:sz w:val="24"/>
          <w:szCs w:val="24"/>
          <w:shd w:val="clear" w:color="auto" w:fill="FFFFFF"/>
          <w:rtl/>
          <w:lang w:bidi="ar-EG"/>
        </w:rPr>
      </w:pPr>
      <w:r w:rsidRPr="00693289">
        <w:rPr>
          <w:rFonts w:ascii="T" w:hAnsi="T" w:cs="Simplified Arabic"/>
          <w:sz w:val="24"/>
          <w:szCs w:val="24"/>
          <w:shd w:val="clear" w:color="auto" w:fill="FFFFFF"/>
          <w:rtl/>
          <w:lang w:bidi="ar-EG"/>
        </w:rPr>
        <w:t>ما خصائص وأداء نموذج تقديم خدمة التفتيش البيئي الحالي من حيث الكفاءة التشغيلية، جودة المخرجات، مستوى التغطية، وآليات التوريد التقليدية؟</w:t>
      </w:r>
    </w:p>
    <w:p w14:paraId="32AD6D00" w14:textId="77777777" w:rsidR="00D82B05" w:rsidRPr="00693289" w:rsidRDefault="00D82B05" w:rsidP="0045581D">
      <w:pPr>
        <w:pStyle w:val="ListParagraph"/>
        <w:numPr>
          <w:ilvl w:val="0"/>
          <w:numId w:val="27"/>
        </w:numPr>
        <w:bidi/>
        <w:spacing w:line="360" w:lineRule="auto"/>
        <w:ind w:left="84" w:firstLine="0"/>
        <w:jc w:val="both"/>
        <w:rPr>
          <w:rFonts w:ascii="T" w:hAnsi="T" w:cs="Simplified Arabic"/>
          <w:sz w:val="24"/>
          <w:szCs w:val="24"/>
          <w:shd w:val="clear" w:color="auto" w:fill="FFFFFF"/>
          <w:rtl/>
          <w:lang w:bidi="ar-EG"/>
        </w:rPr>
      </w:pPr>
      <w:r w:rsidRPr="00693289">
        <w:rPr>
          <w:rFonts w:ascii="T" w:hAnsi="T" w:cs="Simplified Arabic"/>
          <w:sz w:val="24"/>
          <w:szCs w:val="24"/>
          <w:shd w:val="clear" w:color="auto" w:fill="FFFFFF"/>
          <w:rtl/>
          <w:lang w:bidi="ar-EG"/>
        </w:rPr>
        <w:t>إلى أي مدى يحقق النموذج الحالي كفاءة اقتصادية واستدامة مالية، وما فرص تحسين التكلفة والعائد (خصوصًا تكلفة الزيارة التفتيشية) في حال تطبيق نموذج شراكة مع القطاع الخاص؟</w:t>
      </w:r>
    </w:p>
    <w:p w14:paraId="7D6F56C0" w14:textId="77777777" w:rsidR="00D82B05" w:rsidRPr="00693289" w:rsidRDefault="00D82B05" w:rsidP="0045581D">
      <w:pPr>
        <w:pStyle w:val="ListParagraph"/>
        <w:numPr>
          <w:ilvl w:val="0"/>
          <w:numId w:val="27"/>
        </w:numPr>
        <w:bidi/>
        <w:spacing w:line="360" w:lineRule="auto"/>
        <w:ind w:left="84" w:firstLine="0"/>
        <w:jc w:val="both"/>
        <w:rPr>
          <w:rFonts w:ascii="T" w:hAnsi="T" w:cs="Simplified Arabic"/>
          <w:sz w:val="24"/>
          <w:szCs w:val="24"/>
          <w:shd w:val="clear" w:color="auto" w:fill="FFFFFF"/>
          <w:rtl/>
          <w:lang w:bidi="ar-EG"/>
        </w:rPr>
      </w:pPr>
      <w:r w:rsidRPr="00693289">
        <w:rPr>
          <w:rFonts w:ascii="T" w:hAnsi="T" w:cs="Simplified Arabic"/>
          <w:sz w:val="24"/>
          <w:szCs w:val="24"/>
          <w:shd w:val="clear" w:color="auto" w:fill="FFFFFF"/>
          <w:rtl/>
          <w:lang w:bidi="ar-EG"/>
        </w:rPr>
        <w:t>ما النماذج التعاقدية الأنسب</w:t>
      </w:r>
      <w:r w:rsidRPr="00693289">
        <w:rPr>
          <w:rFonts w:ascii="T" w:hAnsi="T" w:cs="Simplified Arabic"/>
          <w:sz w:val="24"/>
          <w:szCs w:val="24"/>
          <w:shd w:val="clear" w:color="auto" w:fill="FFFFFF"/>
          <w:lang w:bidi="ar-EG"/>
        </w:rPr>
        <w:t xml:space="preserve"> (</w:t>
      </w:r>
      <w:r w:rsidRPr="00693289">
        <w:rPr>
          <w:rFonts w:ascii="T" w:hAnsi="T" w:cs="Simplified Arabic"/>
          <w:sz w:val="24"/>
          <w:szCs w:val="24"/>
          <w:shd w:val="clear" w:color="auto" w:fill="FFFFFF"/>
          <w:rtl/>
          <w:lang w:bidi="ar-EG"/>
        </w:rPr>
        <w:t>مثل</w:t>
      </w:r>
      <w:r w:rsidRPr="00693289">
        <w:rPr>
          <w:rFonts w:ascii="T" w:hAnsi="T" w:cs="Simplified Arabic"/>
          <w:sz w:val="24"/>
          <w:szCs w:val="24"/>
          <w:shd w:val="clear" w:color="auto" w:fill="FFFFFF"/>
          <w:lang w:bidi="ar-EG"/>
        </w:rPr>
        <w:t xml:space="preserve"> DBO</w:t>
      </w:r>
      <w:r w:rsidRPr="00693289">
        <w:rPr>
          <w:rFonts w:ascii="T" w:hAnsi="T" w:cs="Simplified Arabic"/>
          <w:sz w:val="24"/>
          <w:szCs w:val="24"/>
          <w:shd w:val="clear" w:color="auto" w:fill="FFFFFF"/>
          <w:rtl/>
          <w:lang w:bidi="ar-EG"/>
        </w:rPr>
        <w:t xml:space="preserve">، </w:t>
      </w:r>
      <w:r w:rsidRPr="00693289">
        <w:rPr>
          <w:rFonts w:ascii="T" w:hAnsi="T" w:cs="Simplified Arabic"/>
          <w:sz w:val="24"/>
          <w:szCs w:val="24"/>
          <w:shd w:val="clear" w:color="auto" w:fill="FFFFFF"/>
          <w:lang w:bidi="ar-EG"/>
        </w:rPr>
        <w:t>DBFM</w:t>
      </w:r>
      <w:r w:rsidRPr="00693289">
        <w:rPr>
          <w:rFonts w:ascii="T" w:hAnsi="T" w:cs="Simplified Arabic"/>
          <w:sz w:val="24"/>
          <w:szCs w:val="24"/>
          <w:shd w:val="clear" w:color="auto" w:fill="FFFFFF"/>
          <w:rtl/>
          <w:lang w:bidi="ar-EG"/>
        </w:rPr>
        <w:t>، أو التعهيد المتقدم</w:t>
      </w:r>
      <w:r w:rsidRPr="00693289">
        <w:rPr>
          <w:rFonts w:ascii="T" w:hAnsi="T" w:cs="Simplified Arabic"/>
          <w:sz w:val="24"/>
          <w:szCs w:val="24"/>
          <w:shd w:val="clear" w:color="auto" w:fill="FFFFFF"/>
          <w:lang w:bidi="ar-EG"/>
        </w:rPr>
        <w:t xml:space="preserve">) </w:t>
      </w:r>
      <w:r w:rsidRPr="00693289">
        <w:rPr>
          <w:rFonts w:ascii="T" w:hAnsi="T" w:cs="Simplified Arabic"/>
          <w:sz w:val="24"/>
          <w:szCs w:val="24"/>
          <w:shd w:val="clear" w:color="auto" w:fill="FFFFFF"/>
          <w:rtl/>
          <w:lang w:bidi="ar-EG"/>
        </w:rPr>
        <w:t>لتقديم خدمة التفتيش البيئي، وما مدى ملاءمتها لطبيعة الخدمات الرقابية في القطاع البيئي السعودي؟</w:t>
      </w:r>
    </w:p>
    <w:p w14:paraId="02683D4A" w14:textId="77777777" w:rsidR="00D82B05" w:rsidRPr="00693289" w:rsidRDefault="00D82B05" w:rsidP="0045581D">
      <w:pPr>
        <w:pStyle w:val="ListParagraph"/>
        <w:numPr>
          <w:ilvl w:val="0"/>
          <w:numId w:val="27"/>
        </w:numPr>
        <w:bidi/>
        <w:spacing w:line="360" w:lineRule="auto"/>
        <w:ind w:left="84" w:firstLine="0"/>
        <w:jc w:val="both"/>
        <w:rPr>
          <w:rFonts w:ascii="T" w:hAnsi="T" w:cs="Simplified Arabic"/>
          <w:sz w:val="24"/>
          <w:szCs w:val="24"/>
          <w:shd w:val="clear" w:color="auto" w:fill="FFFFFF"/>
          <w:rtl/>
          <w:lang w:bidi="ar-EG"/>
        </w:rPr>
      </w:pPr>
      <w:r w:rsidRPr="00693289">
        <w:rPr>
          <w:rFonts w:ascii="T" w:hAnsi="T" w:cs="Simplified Arabic"/>
          <w:sz w:val="24"/>
          <w:szCs w:val="24"/>
          <w:shd w:val="clear" w:color="auto" w:fill="FFFFFF"/>
          <w:rtl/>
          <w:lang w:bidi="ar-EG"/>
        </w:rPr>
        <w:t>كيف يمكن تصميم إطار متكامل لتوزيع المخاطر بين القطاعين العام والخاص، وربط الرسوم والعوائد بمؤشرات أداء قابلة للقياس، بما يحقق التوازن المالي ويعزز كفاءة وجودة الخدمة؟</w:t>
      </w:r>
    </w:p>
    <w:p w14:paraId="4993D2BC" w14:textId="15FEB165" w:rsidR="000D1D88" w:rsidRPr="00693289" w:rsidRDefault="00D82B05" w:rsidP="00DF52A6">
      <w:pPr>
        <w:bidi/>
        <w:spacing w:line="360" w:lineRule="auto"/>
        <w:ind w:left="84" w:firstLine="720"/>
        <w:jc w:val="both"/>
        <w:rPr>
          <w:rFonts w:ascii="T" w:hAnsi="T" w:cs="Simplified Arabic"/>
          <w:sz w:val="24"/>
          <w:szCs w:val="24"/>
          <w:shd w:val="clear" w:color="auto" w:fill="FFFFFF"/>
          <w:rtl/>
          <w:lang w:bidi="ar-EG"/>
        </w:rPr>
      </w:pPr>
      <w:r w:rsidRPr="00693289">
        <w:rPr>
          <w:rFonts w:ascii="T" w:hAnsi="T" w:cs="Simplified Arabic"/>
          <w:sz w:val="24"/>
          <w:szCs w:val="24"/>
          <w:shd w:val="clear" w:color="auto" w:fill="FFFFFF"/>
          <w:rtl/>
          <w:lang w:bidi="ar-EG"/>
        </w:rPr>
        <w:t>وستتم معالجة هذه التساؤلات من خلال تحليل البيانات المتاحة، والاستناد إلى الأدبيات العلمية والدراسات السابقة، وبما يدعم بناء نموذج تطبيقي متكامل يسهم في تطوير حوكمة وأداء خدمات التفتيش البيئي.</w:t>
      </w:r>
    </w:p>
    <w:p w14:paraId="66E81B4C" w14:textId="2D37D79A" w:rsidR="00F32747" w:rsidRPr="00693289" w:rsidRDefault="00F32747" w:rsidP="00DF52A6">
      <w:pPr>
        <w:pStyle w:val="Heading1"/>
        <w:bidi/>
        <w:spacing w:line="360" w:lineRule="auto"/>
        <w:rPr>
          <w:rFonts w:ascii="T" w:eastAsia="Times New Roman" w:hAnsi="T" w:cs="Simplified Arabic"/>
          <w:b/>
          <w:bCs/>
          <w:color w:val="auto"/>
          <w:sz w:val="24"/>
          <w:szCs w:val="24"/>
          <w:rtl/>
        </w:rPr>
      </w:pPr>
      <w:bookmarkStart w:id="8" w:name="_Toc234607847"/>
      <w:r w:rsidRPr="00693289">
        <w:rPr>
          <w:rFonts w:ascii="T" w:eastAsia="Times New Roman" w:hAnsi="T" w:cs="Simplified Arabic"/>
          <w:b/>
          <w:bCs/>
          <w:color w:val="auto"/>
          <w:sz w:val="24"/>
          <w:szCs w:val="24"/>
          <w:rtl/>
        </w:rPr>
        <w:lastRenderedPageBreak/>
        <w:t>فرضيات الدراسة</w:t>
      </w:r>
      <w:bookmarkEnd w:id="8"/>
    </w:p>
    <w:p w14:paraId="75E6BCCB" w14:textId="32E756B8" w:rsidR="00E9655D" w:rsidRPr="00693289" w:rsidRDefault="00E9655D" w:rsidP="0045581D">
      <w:pPr>
        <w:pStyle w:val="ListParagraph"/>
        <w:numPr>
          <w:ilvl w:val="0"/>
          <w:numId w:val="31"/>
        </w:numPr>
        <w:bidi/>
        <w:spacing w:line="360" w:lineRule="auto"/>
        <w:jc w:val="both"/>
        <w:rPr>
          <w:rFonts w:ascii="T" w:hAnsi="T" w:cs="Simplified Arabic"/>
          <w:sz w:val="24"/>
          <w:szCs w:val="24"/>
          <w:shd w:val="clear" w:color="auto" w:fill="FFFFFF"/>
          <w:lang w:bidi="ar-EG"/>
        </w:rPr>
      </w:pPr>
      <w:r w:rsidRPr="00693289">
        <w:rPr>
          <w:rFonts w:ascii="T" w:hAnsi="T" w:cs="Simplified Arabic"/>
          <w:sz w:val="24"/>
          <w:szCs w:val="24"/>
          <w:shd w:val="clear" w:color="auto" w:fill="FFFFFF"/>
          <w:rtl/>
          <w:lang w:bidi="ar-EG"/>
        </w:rPr>
        <w:t>يتسم نموذج تقديم خدمة التفتيش البيئي الحالي بانخفاض ذي دلالة إحصائية في مستوى الكفاءة التشغيلية، ويُقاس ذلك من خلال مؤشرات الإنتاجية، ونسبة التغطية التفتيشية، وتكلفة الزيارة التفتيشية</w:t>
      </w:r>
      <w:r w:rsidRPr="00693289">
        <w:rPr>
          <w:rFonts w:ascii="T" w:hAnsi="T" w:cs="Simplified Arabic"/>
          <w:sz w:val="24"/>
          <w:szCs w:val="24"/>
          <w:shd w:val="clear" w:color="auto" w:fill="FFFFFF"/>
          <w:lang w:bidi="ar-EG"/>
        </w:rPr>
        <w:t>.</w:t>
      </w:r>
    </w:p>
    <w:p w14:paraId="2FE59BC7" w14:textId="6FF6A642" w:rsidR="00E9655D" w:rsidRPr="00693289" w:rsidRDefault="00E9655D" w:rsidP="0045581D">
      <w:pPr>
        <w:pStyle w:val="ListParagraph"/>
        <w:numPr>
          <w:ilvl w:val="0"/>
          <w:numId w:val="31"/>
        </w:numPr>
        <w:bidi/>
        <w:spacing w:line="360" w:lineRule="auto"/>
        <w:jc w:val="both"/>
        <w:rPr>
          <w:rFonts w:ascii="T" w:hAnsi="T" w:cs="Simplified Arabic"/>
          <w:sz w:val="24"/>
          <w:szCs w:val="24"/>
          <w:shd w:val="clear" w:color="auto" w:fill="FFFFFF"/>
          <w:lang w:bidi="ar-EG"/>
        </w:rPr>
      </w:pPr>
      <w:r w:rsidRPr="00693289">
        <w:rPr>
          <w:rFonts w:ascii="T" w:hAnsi="T" w:cs="Simplified Arabic"/>
          <w:sz w:val="24"/>
          <w:szCs w:val="24"/>
          <w:shd w:val="clear" w:color="auto" w:fill="FFFFFF"/>
          <w:rtl/>
          <w:lang w:bidi="ar-EG"/>
        </w:rPr>
        <w:t>لا يحقق نموذج تقديم خدمة التفتيش البيئي الحالي مستوى كفاءة مالية مستدامة، حيث توجد علاقة ذات دلالة إحصائية بين ارتفاع التكاليف التشغيلية وانخفاض صافي العائد المالي للخدمة</w:t>
      </w:r>
      <w:r w:rsidRPr="00693289">
        <w:rPr>
          <w:rFonts w:ascii="T" w:hAnsi="T" w:cs="Simplified Arabic"/>
          <w:sz w:val="24"/>
          <w:szCs w:val="24"/>
          <w:shd w:val="clear" w:color="auto" w:fill="FFFFFF"/>
          <w:lang w:bidi="ar-EG"/>
        </w:rPr>
        <w:t>.</w:t>
      </w:r>
    </w:p>
    <w:p w14:paraId="1695E7A7" w14:textId="645534E0" w:rsidR="00E9655D" w:rsidRPr="00693289" w:rsidRDefault="00E9655D" w:rsidP="0045581D">
      <w:pPr>
        <w:pStyle w:val="ListParagraph"/>
        <w:numPr>
          <w:ilvl w:val="0"/>
          <w:numId w:val="31"/>
        </w:numPr>
        <w:bidi/>
        <w:spacing w:line="360" w:lineRule="auto"/>
        <w:jc w:val="both"/>
        <w:rPr>
          <w:rFonts w:ascii="T" w:hAnsi="T" w:cs="Simplified Arabic"/>
          <w:sz w:val="24"/>
          <w:szCs w:val="24"/>
          <w:shd w:val="clear" w:color="auto" w:fill="FFFFFF"/>
          <w:lang w:bidi="ar-EG"/>
        </w:rPr>
      </w:pPr>
      <w:r w:rsidRPr="00693289">
        <w:rPr>
          <w:rFonts w:ascii="T" w:hAnsi="T" w:cs="Simplified Arabic"/>
          <w:sz w:val="24"/>
          <w:szCs w:val="24"/>
          <w:shd w:val="clear" w:color="auto" w:fill="FFFFFF"/>
          <w:rtl/>
          <w:lang w:bidi="ar-EG"/>
        </w:rPr>
        <w:t>يسهم تطبيق نموذج الشراكة بين القطاعين العام والخاص</w:t>
      </w:r>
      <w:r w:rsidRPr="00693289">
        <w:rPr>
          <w:rFonts w:ascii="T" w:hAnsi="T" w:cs="Simplified Arabic"/>
          <w:sz w:val="24"/>
          <w:szCs w:val="24"/>
          <w:shd w:val="clear" w:color="auto" w:fill="FFFFFF"/>
          <w:lang w:bidi="ar-EG"/>
        </w:rPr>
        <w:t xml:space="preserve"> (PPP) </w:t>
      </w:r>
      <w:r w:rsidRPr="00693289">
        <w:rPr>
          <w:rFonts w:ascii="T" w:hAnsi="T" w:cs="Simplified Arabic"/>
          <w:sz w:val="24"/>
          <w:szCs w:val="24"/>
          <w:shd w:val="clear" w:color="auto" w:fill="FFFFFF"/>
          <w:rtl/>
          <w:lang w:bidi="ar-EG"/>
        </w:rPr>
        <w:t>في تحسين ذي دلالة إحصائية في كل من الكفاءة التشغيلية وجودة مخرجات خدمة التفتيش البيئي مقارنة بالنموذج القائم</w:t>
      </w:r>
      <w:r w:rsidRPr="00693289">
        <w:rPr>
          <w:rFonts w:ascii="T" w:hAnsi="T" w:cs="Simplified Arabic"/>
          <w:sz w:val="24"/>
          <w:szCs w:val="24"/>
          <w:shd w:val="clear" w:color="auto" w:fill="FFFFFF"/>
          <w:lang w:bidi="ar-EG"/>
        </w:rPr>
        <w:t>.</w:t>
      </w:r>
    </w:p>
    <w:p w14:paraId="52570137" w14:textId="33DA5BCE" w:rsidR="00F32747" w:rsidRPr="00693289" w:rsidRDefault="00E9655D" w:rsidP="0045581D">
      <w:pPr>
        <w:pStyle w:val="ListParagraph"/>
        <w:numPr>
          <w:ilvl w:val="0"/>
          <w:numId w:val="31"/>
        </w:numPr>
        <w:bidi/>
        <w:spacing w:line="360" w:lineRule="auto"/>
        <w:jc w:val="both"/>
        <w:rPr>
          <w:rFonts w:ascii="T" w:hAnsi="T" w:cs="Simplified Arabic"/>
          <w:sz w:val="24"/>
          <w:szCs w:val="24"/>
          <w:shd w:val="clear" w:color="auto" w:fill="FFFFFF"/>
          <w:lang w:bidi="ar-EG"/>
        </w:rPr>
      </w:pPr>
      <w:r w:rsidRPr="00693289">
        <w:rPr>
          <w:rFonts w:ascii="T" w:hAnsi="T" w:cs="Simplified Arabic"/>
          <w:sz w:val="24"/>
          <w:szCs w:val="24"/>
          <w:shd w:val="clear" w:color="auto" w:fill="FFFFFF"/>
          <w:rtl/>
          <w:lang w:bidi="ar-EG"/>
        </w:rPr>
        <w:t>يؤدي تطبيق آليات متقدمة لتوزيع المخاطر وربط المدفوعات بمؤشرات أداء رئيسية</w:t>
      </w:r>
      <w:r w:rsidRPr="00693289">
        <w:rPr>
          <w:rFonts w:ascii="T" w:hAnsi="T" w:cs="Simplified Arabic"/>
          <w:sz w:val="24"/>
          <w:szCs w:val="24"/>
          <w:shd w:val="clear" w:color="auto" w:fill="FFFFFF"/>
          <w:lang w:bidi="ar-EG"/>
        </w:rPr>
        <w:t xml:space="preserve"> (KPIs) </w:t>
      </w:r>
      <w:r w:rsidRPr="00693289">
        <w:rPr>
          <w:rFonts w:ascii="T" w:hAnsi="T" w:cs="Simplified Arabic"/>
          <w:sz w:val="24"/>
          <w:szCs w:val="24"/>
          <w:shd w:val="clear" w:color="auto" w:fill="FFFFFF"/>
          <w:rtl/>
          <w:lang w:bidi="ar-EG"/>
        </w:rPr>
        <w:t>ضمن إطار الشراكة بين القطاعين العام والخاص إلى تحسين ذي دلالة إحصائية في الاستدامة المالية ورفع جودة الأداء لخدمة التفتيش البيئي</w:t>
      </w:r>
      <w:r w:rsidRPr="00693289">
        <w:rPr>
          <w:rFonts w:ascii="T" w:hAnsi="T" w:cs="Simplified Arabic"/>
          <w:sz w:val="24"/>
          <w:szCs w:val="24"/>
          <w:shd w:val="clear" w:color="auto" w:fill="FFFFFF"/>
          <w:lang w:bidi="ar-EG"/>
        </w:rPr>
        <w:t>.</w:t>
      </w:r>
      <w:r w:rsidRPr="00693289">
        <w:rPr>
          <w:rFonts w:ascii="T" w:hAnsi="T" w:cs="Simplified Arabic"/>
          <w:sz w:val="24"/>
          <w:szCs w:val="24"/>
          <w:shd w:val="clear" w:color="auto" w:fill="FFFFFF"/>
          <w:rtl/>
          <w:lang w:bidi="ar-EG"/>
        </w:rPr>
        <w:t>.</w:t>
      </w:r>
    </w:p>
    <w:p w14:paraId="47085ADA" w14:textId="5D35C45B" w:rsidR="004F7270" w:rsidRPr="005D59A7" w:rsidRDefault="00C11026" w:rsidP="00DF52A6">
      <w:pPr>
        <w:pStyle w:val="Heading1"/>
        <w:bidi/>
        <w:spacing w:line="360" w:lineRule="auto"/>
        <w:rPr>
          <w:rFonts w:ascii="T" w:eastAsia="Times New Roman" w:hAnsi="T" w:cs="Simplified Arabic"/>
          <w:b/>
          <w:bCs/>
          <w:color w:val="auto"/>
          <w:sz w:val="24"/>
          <w:szCs w:val="24"/>
          <w:rtl/>
        </w:rPr>
      </w:pPr>
      <w:bookmarkStart w:id="9" w:name="_Toc234607848"/>
      <w:r w:rsidRPr="005D59A7">
        <w:rPr>
          <w:rFonts w:ascii="T" w:eastAsia="Times New Roman" w:hAnsi="T" w:cs="Simplified Arabic"/>
          <w:b/>
          <w:bCs/>
          <w:color w:val="auto"/>
          <w:sz w:val="24"/>
          <w:szCs w:val="24"/>
          <w:rtl/>
        </w:rPr>
        <w:t>أهمية الدراسة (</w:t>
      </w:r>
      <w:r w:rsidR="000A1E46" w:rsidRPr="005D59A7">
        <w:rPr>
          <w:rFonts w:ascii="T" w:eastAsia="Times New Roman" w:hAnsi="T" w:cs="Simplified Arabic"/>
          <w:b/>
          <w:bCs/>
          <w:color w:val="auto"/>
          <w:sz w:val="24"/>
          <w:szCs w:val="24"/>
          <w:rtl/>
        </w:rPr>
        <w:t>النظرية والتطبيقية</w:t>
      </w:r>
      <w:r w:rsidRPr="005D59A7">
        <w:rPr>
          <w:rFonts w:ascii="T" w:eastAsia="Times New Roman" w:hAnsi="T" w:cs="Simplified Arabic"/>
          <w:b/>
          <w:bCs/>
          <w:color w:val="auto"/>
          <w:sz w:val="24"/>
          <w:szCs w:val="24"/>
          <w:rtl/>
        </w:rPr>
        <w:t>)</w:t>
      </w:r>
      <w:r w:rsidR="00883E09" w:rsidRPr="005D59A7">
        <w:rPr>
          <w:rFonts w:ascii="T" w:eastAsia="Times New Roman" w:hAnsi="T" w:cs="Simplified Arabic"/>
          <w:b/>
          <w:bCs/>
          <w:color w:val="auto"/>
          <w:sz w:val="24"/>
          <w:szCs w:val="24"/>
          <w:rtl/>
        </w:rPr>
        <w:t>:</w:t>
      </w:r>
      <w:bookmarkEnd w:id="9"/>
    </w:p>
    <w:p w14:paraId="26922DE5" w14:textId="77777777" w:rsidR="00A41647" w:rsidRPr="005D59A7" w:rsidRDefault="00A41647" w:rsidP="00F24293">
      <w:pPr>
        <w:pStyle w:val="Heading2"/>
        <w:bidi/>
        <w:rPr>
          <w:rFonts w:ascii="T" w:hAnsi="T" w:cs="Simplified Arabic"/>
          <w:b/>
          <w:bCs/>
          <w:color w:val="auto"/>
          <w:sz w:val="24"/>
          <w:szCs w:val="24"/>
          <w:rtl/>
        </w:rPr>
      </w:pPr>
      <w:bookmarkStart w:id="10" w:name="_Toc234607849"/>
      <w:r w:rsidRPr="005D59A7">
        <w:rPr>
          <w:rFonts w:ascii="T" w:hAnsi="T" w:cs="Simplified Arabic"/>
          <w:b/>
          <w:bCs/>
          <w:color w:val="auto"/>
          <w:sz w:val="24"/>
          <w:szCs w:val="24"/>
          <w:rtl/>
        </w:rPr>
        <w:t>الأهمية النظرية</w:t>
      </w:r>
      <w:bookmarkEnd w:id="10"/>
    </w:p>
    <w:p w14:paraId="50F775B8" w14:textId="77777777" w:rsidR="004D3152" w:rsidRPr="005D59A7" w:rsidRDefault="00890400" w:rsidP="00DF52A6">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يشهد القطاع البيئي في المملكة العربية السعودية تحولاً جذرياً، مدفوعاً بمبادرات وطنية طموحة ووعي متزايد بالتحديات البيئية الفريدة التي تواجهها البلاد. ورغم اعتماد المملكة تاريخياً على</w:t>
      </w:r>
      <w:r w:rsidRPr="005D59A7">
        <w:rPr>
          <w:rFonts w:ascii="T" w:hAnsi="T" w:cs="Simplified Arabic"/>
          <w:sz w:val="24"/>
          <w:szCs w:val="24"/>
        </w:rPr>
        <w:t xml:space="preserve"> </w:t>
      </w:r>
      <w:r w:rsidRPr="005D59A7">
        <w:rPr>
          <w:rFonts w:ascii="T" w:hAnsi="T" w:cs="Simplified Arabic"/>
          <w:sz w:val="24"/>
          <w:szCs w:val="24"/>
          <w:rtl/>
        </w:rPr>
        <w:t xml:space="preserve">النفط، </w:t>
      </w:r>
      <w:r w:rsidR="005F48DB" w:rsidRPr="005D59A7">
        <w:rPr>
          <w:rFonts w:ascii="T" w:hAnsi="T" w:cs="Simplified Arabic"/>
          <w:sz w:val="24"/>
          <w:szCs w:val="24"/>
          <w:rtl/>
        </w:rPr>
        <w:t>إلا أنها</w:t>
      </w:r>
      <w:r w:rsidRPr="005D59A7">
        <w:rPr>
          <w:rFonts w:ascii="T" w:hAnsi="T" w:cs="Simplified Arabic"/>
          <w:sz w:val="24"/>
          <w:szCs w:val="24"/>
          <w:rtl/>
        </w:rPr>
        <w:t xml:space="preserve"> تخطو الآن خطوات واسعة نحو مستقبل أكثر استدامة في إطار رؤيتها 2030 التي تُشكل جوهر التحول البيئي في المملكة. تُمثل رؤية 2030 إطاراً استراتيجياً شاملاً للتنويع الاقتصادي والتنمية المستدامة، يركز على إعادة بناء الإطار المؤسسي وتعزيز مشاركة القطاع الخاص في جميع القطاعات، بما في ذلك القطاع البيئي (</w:t>
      </w:r>
      <w:r w:rsidRPr="005D59A7">
        <w:rPr>
          <w:rFonts w:ascii="T" w:hAnsi="T" w:cs="Simplified Arabic"/>
          <w:sz w:val="24"/>
          <w:szCs w:val="24"/>
        </w:rPr>
        <w:t>Vision2030, 2025</w:t>
      </w:r>
      <w:r w:rsidRPr="005D59A7">
        <w:rPr>
          <w:rFonts w:ascii="T" w:hAnsi="T" w:cs="Simplified Arabic"/>
          <w:sz w:val="24"/>
          <w:szCs w:val="24"/>
          <w:rtl/>
        </w:rPr>
        <w:t>).</w:t>
      </w:r>
      <w:r w:rsidR="005A5496" w:rsidRPr="005D59A7">
        <w:rPr>
          <w:rFonts w:ascii="T" w:hAnsi="T" w:cs="Simplified Arabic"/>
          <w:sz w:val="24"/>
          <w:szCs w:val="24"/>
          <w:rtl/>
        </w:rPr>
        <w:t xml:space="preserve"> ف</w:t>
      </w:r>
      <w:r w:rsidR="00210FA3" w:rsidRPr="005D59A7">
        <w:rPr>
          <w:rFonts w:ascii="T" w:hAnsi="T" w:cs="Simplified Arabic"/>
          <w:sz w:val="24"/>
          <w:szCs w:val="24"/>
          <w:shd w:val="clear" w:color="auto" w:fill="FFFFFF"/>
          <w:rtl/>
        </w:rPr>
        <w:t>في</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جوهرها،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تُعدّ</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الشراكات</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بين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القطاعين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العام</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والخاص</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أداة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إستراتيجية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للحكومات</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لتحسين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تقديم</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الخدمات</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العامة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خلال</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تسخير</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نقاط</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قوة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كلاً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القطاعين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في</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علاقة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طويلة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الأمد</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تعود</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بالنفع</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على</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الطرفين. وتنبع</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أهميتها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مجموعة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واسعة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المزايا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التي</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يُمكن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أن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تُقدمها،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مثل:</w:t>
      </w:r>
    </w:p>
    <w:p w14:paraId="06D13908" w14:textId="5BB7CCE9" w:rsidR="00210FA3" w:rsidRPr="005D59A7" w:rsidRDefault="00210FA3" w:rsidP="00410D73">
      <w:pPr>
        <w:pStyle w:val="ListParagraph"/>
        <w:bidi/>
        <w:spacing w:line="360" w:lineRule="auto"/>
        <w:ind w:left="84" w:firstLine="720"/>
        <w:jc w:val="both"/>
        <w:rPr>
          <w:rFonts w:ascii="T" w:hAnsi="T" w:cs="Simplified Arabic"/>
          <w:sz w:val="24"/>
          <w:szCs w:val="24"/>
        </w:rPr>
      </w:pPr>
      <w:r w:rsidRPr="005D59A7">
        <w:rPr>
          <w:rFonts w:ascii="T" w:hAnsi="T" w:cs="Simplified Arabic"/>
          <w:b/>
          <w:bCs/>
          <w:sz w:val="24"/>
          <w:szCs w:val="24"/>
          <w:rtl/>
        </w:rPr>
        <w:t>الوصول</w:t>
      </w:r>
      <w:r w:rsidR="0089666A" w:rsidRPr="005D59A7">
        <w:rPr>
          <w:rFonts w:ascii="T" w:hAnsi="T" w:cs="Simplified Arabic"/>
          <w:b/>
          <w:bCs/>
          <w:sz w:val="24"/>
          <w:szCs w:val="24"/>
          <w:rtl/>
        </w:rPr>
        <w:t xml:space="preserve"> </w:t>
      </w:r>
      <w:r w:rsidRPr="005D59A7">
        <w:rPr>
          <w:rFonts w:ascii="T" w:hAnsi="T" w:cs="Simplified Arabic"/>
          <w:b/>
          <w:bCs/>
          <w:sz w:val="24"/>
          <w:szCs w:val="24"/>
          <w:rtl/>
        </w:rPr>
        <w:t>إلى</w:t>
      </w:r>
      <w:r w:rsidR="0089666A" w:rsidRPr="005D59A7">
        <w:rPr>
          <w:rFonts w:ascii="T" w:hAnsi="T" w:cs="Simplified Arabic"/>
          <w:b/>
          <w:bCs/>
          <w:sz w:val="24"/>
          <w:szCs w:val="24"/>
          <w:rtl/>
        </w:rPr>
        <w:t xml:space="preserve"> </w:t>
      </w:r>
      <w:r w:rsidRPr="005D59A7">
        <w:rPr>
          <w:rFonts w:ascii="T" w:hAnsi="T" w:cs="Simplified Arabic"/>
          <w:b/>
          <w:bCs/>
          <w:sz w:val="24"/>
          <w:szCs w:val="24"/>
          <w:rtl/>
        </w:rPr>
        <w:t>تمويل</w:t>
      </w:r>
      <w:r w:rsidR="0089666A" w:rsidRPr="005D59A7">
        <w:rPr>
          <w:rFonts w:ascii="T" w:hAnsi="T" w:cs="Simplified Arabic"/>
          <w:b/>
          <w:bCs/>
          <w:sz w:val="24"/>
          <w:szCs w:val="24"/>
          <w:rtl/>
        </w:rPr>
        <w:t xml:space="preserve"> </w:t>
      </w:r>
      <w:r w:rsidRPr="005D59A7">
        <w:rPr>
          <w:rFonts w:ascii="T" w:hAnsi="T" w:cs="Simplified Arabic"/>
          <w:b/>
          <w:bCs/>
          <w:sz w:val="24"/>
          <w:szCs w:val="24"/>
          <w:rtl/>
        </w:rPr>
        <w:t>وخبرة</w:t>
      </w:r>
      <w:r w:rsidR="0089666A" w:rsidRPr="005D59A7">
        <w:rPr>
          <w:rFonts w:ascii="T" w:hAnsi="T" w:cs="Simplified Arabic"/>
          <w:b/>
          <w:bCs/>
          <w:sz w:val="24"/>
          <w:szCs w:val="24"/>
          <w:rtl/>
        </w:rPr>
        <w:t xml:space="preserve"> </w:t>
      </w:r>
      <w:r w:rsidRPr="005D59A7">
        <w:rPr>
          <w:rFonts w:ascii="T" w:hAnsi="T" w:cs="Simplified Arabic"/>
          <w:b/>
          <w:bCs/>
          <w:sz w:val="24"/>
          <w:szCs w:val="24"/>
          <w:rtl/>
        </w:rPr>
        <w:t>القطاع</w:t>
      </w:r>
      <w:r w:rsidR="0089666A" w:rsidRPr="005D59A7">
        <w:rPr>
          <w:rFonts w:ascii="T" w:hAnsi="T" w:cs="Simplified Arabic"/>
          <w:b/>
          <w:bCs/>
          <w:sz w:val="24"/>
          <w:szCs w:val="24"/>
          <w:rtl/>
        </w:rPr>
        <w:t xml:space="preserve"> </w:t>
      </w:r>
      <w:r w:rsidRPr="005D59A7">
        <w:rPr>
          <w:rFonts w:ascii="T" w:hAnsi="T" w:cs="Simplified Arabic"/>
          <w:b/>
          <w:bCs/>
          <w:sz w:val="24"/>
          <w:szCs w:val="24"/>
          <w:rtl/>
        </w:rPr>
        <w:t>الخاص:</w:t>
      </w:r>
      <w:r w:rsidRPr="005D59A7">
        <w:rPr>
          <w:rFonts w:ascii="T" w:hAnsi="T" w:cs="Simplified Arabic"/>
          <w:sz w:val="24"/>
          <w:szCs w:val="24"/>
          <w:rtl/>
        </w:rPr>
        <w:t>سد</w:t>
      </w:r>
      <w:r w:rsidR="0089666A" w:rsidRPr="005D59A7">
        <w:rPr>
          <w:rFonts w:ascii="T" w:hAnsi="T" w:cs="Simplified Arabic"/>
          <w:sz w:val="24"/>
          <w:szCs w:val="24"/>
          <w:rtl/>
        </w:rPr>
        <w:t xml:space="preserve"> </w:t>
      </w:r>
      <w:r w:rsidRPr="005D59A7">
        <w:rPr>
          <w:rFonts w:ascii="T" w:hAnsi="T" w:cs="Simplified Arabic"/>
          <w:sz w:val="24"/>
          <w:szCs w:val="24"/>
          <w:rtl/>
        </w:rPr>
        <w:t>فجوات</w:t>
      </w:r>
      <w:r w:rsidR="0089666A" w:rsidRPr="005D59A7">
        <w:rPr>
          <w:rFonts w:ascii="T" w:hAnsi="T" w:cs="Simplified Arabic"/>
          <w:sz w:val="24"/>
          <w:szCs w:val="24"/>
          <w:rtl/>
        </w:rPr>
        <w:t xml:space="preserve"> </w:t>
      </w:r>
      <w:r w:rsidRPr="005D59A7">
        <w:rPr>
          <w:rFonts w:ascii="T" w:hAnsi="T" w:cs="Simplified Arabic"/>
          <w:sz w:val="24"/>
          <w:szCs w:val="24"/>
          <w:rtl/>
        </w:rPr>
        <w:t>التمويل: غالباً</w:t>
      </w:r>
      <w:r w:rsidR="0089666A" w:rsidRPr="005D59A7">
        <w:rPr>
          <w:rFonts w:ascii="T" w:hAnsi="T" w:cs="Simplified Arabic"/>
          <w:sz w:val="24"/>
          <w:szCs w:val="24"/>
          <w:rtl/>
        </w:rPr>
        <w:t xml:space="preserve"> </w:t>
      </w:r>
      <w:r w:rsidRPr="005D59A7">
        <w:rPr>
          <w:rFonts w:ascii="T" w:hAnsi="T" w:cs="Simplified Arabic"/>
          <w:sz w:val="24"/>
          <w:szCs w:val="24"/>
          <w:rtl/>
        </w:rPr>
        <w:t>ما</w:t>
      </w:r>
      <w:r w:rsidR="0089666A" w:rsidRPr="005D59A7">
        <w:rPr>
          <w:rFonts w:ascii="T" w:hAnsi="T" w:cs="Simplified Arabic"/>
          <w:sz w:val="24"/>
          <w:szCs w:val="24"/>
          <w:rtl/>
        </w:rPr>
        <w:t xml:space="preserve"> </w:t>
      </w:r>
      <w:r w:rsidRPr="005D59A7">
        <w:rPr>
          <w:rFonts w:ascii="T" w:hAnsi="T" w:cs="Simplified Arabic"/>
          <w:sz w:val="24"/>
          <w:szCs w:val="24"/>
          <w:rtl/>
        </w:rPr>
        <w:t>تواجه</w:t>
      </w:r>
      <w:r w:rsidR="0089666A" w:rsidRPr="005D59A7">
        <w:rPr>
          <w:rFonts w:ascii="T" w:hAnsi="T" w:cs="Simplified Arabic"/>
          <w:sz w:val="24"/>
          <w:szCs w:val="24"/>
          <w:rtl/>
        </w:rPr>
        <w:t xml:space="preserve"> </w:t>
      </w:r>
      <w:r w:rsidRPr="005D59A7">
        <w:rPr>
          <w:rFonts w:ascii="T" w:hAnsi="T" w:cs="Simplified Arabic"/>
          <w:sz w:val="24"/>
          <w:szCs w:val="24"/>
          <w:rtl/>
        </w:rPr>
        <w:t>الحكومات</w:t>
      </w:r>
      <w:r w:rsidR="0089666A" w:rsidRPr="005D59A7">
        <w:rPr>
          <w:rFonts w:ascii="T" w:hAnsi="T" w:cs="Simplified Arabic"/>
          <w:sz w:val="24"/>
          <w:szCs w:val="24"/>
          <w:rtl/>
        </w:rPr>
        <w:t xml:space="preserve"> </w:t>
      </w:r>
      <w:r w:rsidRPr="005D59A7">
        <w:rPr>
          <w:rFonts w:ascii="T" w:hAnsi="T" w:cs="Simplified Arabic"/>
          <w:sz w:val="24"/>
          <w:szCs w:val="24"/>
          <w:rtl/>
        </w:rPr>
        <w:t>قيوداً</w:t>
      </w:r>
      <w:r w:rsidR="0089666A" w:rsidRPr="005D59A7">
        <w:rPr>
          <w:rFonts w:ascii="T" w:hAnsi="T" w:cs="Simplified Arabic"/>
          <w:sz w:val="24"/>
          <w:szCs w:val="24"/>
          <w:rtl/>
        </w:rPr>
        <w:t xml:space="preserve"> </w:t>
      </w:r>
      <w:r w:rsidRPr="005D59A7">
        <w:rPr>
          <w:rFonts w:ascii="T" w:hAnsi="T" w:cs="Simplified Arabic"/>
          <w:sz w:val="24"/>
          <w:szCs w:val="24"/>
          <w:rtl/>
        </w:rPr>
        <w:t>على</w:t>
      </w:r>
      <w:r w:rsidR="0089666A" w:rsidRPr="005D59A7">
        <w:rPr>
          <w:rFonts w:ascii="T" w:hAnsi="T" w:cs="Simplified Arabic"/>
          <w:sz w:val="24"/>
          <w:szCs w:val="24"/>
          <w:rtl/>
        </w:rPr>
        <w:t xml:space="preserve"> </w:t>
      </w:r>
      <w:r w:rsidRPr="005D59A7">
        <w:rPr>
          <w:rFonts w:ascii="T" w:hAnsi="T" w:cs="Simplified Arabic"/>
          <w:sz w:val="24"/>
          <w:szCs w:val="24"/>
          <w:rtl/>
        </w:rPr>
        <w:t>الميزانية،</w:t>
      </w:r>
      <w:r w:rsidR="0089666A" w:rsidRPr="005D59A7">
        <w:rPr>
          <w:rFonts w:ascii="T" w:hAnsi="T" w:cs="Simplified Arabic"/>
          <w:sz w:val="24"/>
          <w:szCs w:val="24"/>
          <w:rtl/>
        </w:rPr>
        <w:t xml:space="preserve"> </w:t>
      </w:r>
      <w:r w:rsidRPr="005D59A7">
        <w:rPr>
          <w:rFonts w:ascii="T" w:hAnsi="T" w:cs="Simplified Arabic"/>
          <w:sz w:val="24"/>
          <w:szCs w:val="24"/>
          <w:rtl/>
        </w:rPr>
        <w:t>وخاصةً</w:t>
      </w:r>
      <w:r w:rsidR="0089666A" w:rsidRPr="005D59A7">
        <w:rPr>
          <w:rFonts w:ascii="T" w:hAnsi="T" w:cs="Simplified Arabic"/>
          <w:sz w:val="24"/>
          <w:szCs w:val="24"/>
          <w:rtl/>
        </w:rPr>
        <w:t xml:space="preserve"> </w:t>
      </w:r>
      <w:r w:rsidRPr="005D59A7">
        <w:rPr>
          <w:rFonts w:ascii="T" w:hAnsi="T" w:cs="Simplified Arabic"/>
          <w:sz w:val="24"/>
          <w:szCs w:val="24"/>
          <w:rtl/>
        </w:rPr>
        <w:t>في</w:t>
      </w:r>
      <w:r w:rsidR="0089666A" w:rsidRPr="005D59A7">
        <w:rPr>
          <w:rFonts w:ascii="T" w:hAnsi="T" w:cs="Simplified Arabic"/>
          <w:sz w:val="24"/>
          <w:szCs w:val="24"/>
          <w:rtl/>
        </w:rPr>
        <w:t xml:space="preserve"> </w:t>
      </w:r>
      <w:r w:rsidRPr="005D59A7">
        <w:rPr>
          <w:rFonts w:ascii="T" w:hAnsi="T" w:cs="Simplified Arabic"/>
          <w:sz w:val="24"/>
          <w:szCs w:val="24"/>
          <w:rtl/>
        </w:rPr>
        <w:t>مشاريع</w:t>
      </w:r>
      <w:r w:rsidR="0089666A" w:rsidRPr="005D59A7">
        <w:rPr>
          <w:rFonts w:ascii="T" w:hAnsi="T" w:cs="Simplified Arabic"/>
          <w:sz w:val="24"/>
          <w:szCs w:val="24"/>
          <w:rtl/>
        </w:rPr>
        <w:t xml:space="preserve"> </w:t>
      </w:r>
      <w:r w:rsidRPr="005D59A7">
        <w:rPr>
          <w:rFonts w:ascii="T" w:hAnsi="T" w:cs="Simplified Arabic"/>
          <w:sz w:val="24"/>
          <w:szCs w:val="24"/>
          <w:rtl/>
        </w:rPr>
        <w:t>البنية</w:t>
      </w:r>
      <w:r w:rsidR="0089666A" w:rsidRPr="005D59A7">
        <w:rPr>
          <w:rFonts w:ascii="T" w:hAnsi="T" w:cs="Simplified Arabic"/>
          <w:sz w:val="24"/>
          <w:szCs w:val="24"/>
          <w:rtl/>
        </w:rPr>
        <w:t xml:space="preserve"> </w:t>
      </w:r>
      <w:r w:rsidRPr="005D59A7">
        <w:rPr>
          <w:rFonts w:ascii="T" w:hAnsi="T" w:cs="Simplified Arabic"/>
          <w:sz w:val="24"/>
          <w:szCs w:val="24"/>
          <w:rtl/>
        </w:rPr>
        <w:t>التحتية</w:t>
      </w:r>
      <w:r w:rsidR="0089666A" w:rsidRPr="005D59A7">
        <w:rPr>
          <w:rFonts w:ascii="T" w:hAnsi="T" w:cs="Simplified Arabic"/>
          <w:sz w:val="24"/>
          <w:szCs w:val="24"/>
          <w:rtl/>
        </w:rPr>
        <w:t xml:space="preserve"> </w:t>
      </w:r>
      <w:r w:rsidRPr="005D59A7">
        <w:rPr>
          <w:rFonts w:ascii="T" w:hAnsi="T" w:cs="Simplified Arabic"/>
          <w:sz w:val="24"/>
          <w:szCs w:val="24"/>
          <w:rtl/>
        </w:rPr>
        <w:t>واسعة</w:t>
      </w:r>
      <w:r w:rsidR="0089666A" w:rsidRPr="005D59A7">
        <w:rPr>
          <w:rFonts w:ascii="T" w:hAnsi="T" w:cs="Simplified Arabic"/>
          <w:sz w:val="24"/>
          <w:szCs w:val="24"/>
          <w:rtl/>
        </w:rPr>
        <w:t xml:space="preserve"> </w:t>
      </w:r>
      <w:r w:rsidRPr="005D59A7">
        <w:rPr>
          <w:rFonts w:ascii="T" w:hAnsi="T" w:cs="Simplified Arabic"/>
          <w:sz w:val="24"/>
          <w:szCs w:val="24"/>
          <w:rtl/>
        </w:rPr>
        <w:t>النطاق. من دورها، تتيح</w:t>
      </w:r>
      <w:r w:rsidR="0089666A" w:rsidRPr="005D59A7">
        <w:rPr>
          <w:rFonts w:ascii="T" w:hAnsi="T" w:cs="Simplified Arabic"/>
          <w:sz w:val="24"/>
          <w:szCs w:val="24"/>
          <w:rtl/>
        </w:rPr>
        <w:t xml:space="preserve"> </w:t>
      </w:r>
      <w:r w:rsidRPr="005D59A7">
        <w:rPr>
          <w:rFonts w:ascii="T" w:hAnsi="T" w:cs="Simplified Arabic"/>
          <w:sz w:val="24"/>
          <w:szCs w:val="24"/>
          <w:rtl/>
        </w:rPr>
        <w:t>الشراكات</w:t>
      </w:r>
      <w:r w:rsidR="0089666A" w:rsidRPr="005D59A7">
        <w:rPr>
          <w:rFonts w:ascii="T" w:hAnsi="T" w:cs="Simplified Arabic"/>
          <w:sz w:val="24"/>
          <w:szCs w:val="24"/>
          <w:rtl/>
        </w:rPr>
        <w:t xml:space="preserve"> </w:t>
      </w:r>
      <w:r w:rsidRPr="005D59A7">
        <w:rPr>
          <w:rFonts w:ascii="T" w:hAnsi="T" w:cs="Simplified Arabic"/>
          <w:sz w:val="24"/>
          <w:szCs w:val="24"/>
          <w:rtl/>
        </w:rPr>
        <w:t>بين</w:t>
      </w:r>
      <w:r w:rsidR="0089666A" w:rsidRPr="005D59A7">
        <w:rPr>
          <w:rFonts w:ascii="T" w:hAnsi="T" w:cs="Simplified Arabic"/>
          <w:sz w:val="24"/>
          <w:szCs w:val="24"/>
          <w:rtl/>
        </w:rPr>
        <w:t xml:space="preserve"> </w:t>
      </w:r>
      <w:r w:rsidRPr="005D59A7">
        <w:rPr>
          <w:rFonts w:ascii="T" w:hAnsi="T" w:cs="Simplified Arabic"/>
          <w:sz w:val="24"/>
          <w:szCs w:val="24"/>
          <w:rtl/>
        </w:rPr>
        <w:t>القطاعين</w:t>
      </w:r>
      <w:r w:rsidR="0089666A" w:rsidRPr="005D59A7">
        <w:rPr>
          <w:rFonts w:ascii="T" w:hAnsi="T" w:cs="Simplified Arabic"/>
          <w:sz w:val="24"/>
          <w:szCs w:val="24"/>
          <w:rtl/>
        </w:rPr>
        <w:t xml:space="preserve"> </w:t>
      </w:r>
      <w:r w:rsidRPr="005D59A7">
        <w:rPr>
          <w:rFonts w:ascii="T" w:hAnsi="T" w:cs="Simplified Arabic"/>
          <w:sz w:val="24"/>
          <w:szCs w:val="24"/>
          <w:rtl/>
        </w:rPr>
        <w:t>العام</w:t>
      </w:r>
      <w:r w:rsidR="0089666A" w:rsidRPr="005D59A7">
        <w:rPr>
          <w:rFonts w:ascii="T" w:hAnsi="T" w:cs="Simplified Arabic"/>
          <w:sz w:val="24"/>
          <w:szCs w:val="24"/>
          <w:rtl/>
        </w:rPr>
        <w:t xml:space="preserve"> </w:t>
      </w:r>
      <w:r w:rsidRPr="005D59A7">
        <w:rPr>
          <w:rFonts w:ascii="T" w:hAnsi="T" w:cs="Simplified Arabic"/>
          <w:sz w:val="24"/>
          <w:szCs w:val="24"/>
          <w:rtl/>
        </w:rPr>
        <w:t>والخاص</w:t>
      </w:r>
      <w:r w:rsidR="0089666A" w:rsidRPr="005D59A7">
        <w:rPr>
          <w:rFonts w:ascii="T" w:hAnsi="T" w:cs="Simplified Arabic"/>
          <w:sz w:val="24"/>
          <w:szCs w:val="24"/>
          <w:rtl/>
        </w:rPr>
        <w:t xml:space="preserve"> </w:t>
      </w:r>
      <w:r w:rsidRPr="005D59A7">
        <w:rPr>
          <w:rFonts w:ascii="T" w:hAnsi="T" w:cs="Simplified Arabic"/>
          <w:sz w:val="24"/>
          <w:szCs w:val="24"/>
          <w:rtl/>
        </w:rPr>
        <w:lastRenderedPageBreak/>
        <w:t>الوصول</w:t>
      </w:r>
      <w:r w:rsidR="0089666A" w:rsidRPr="005D59A7">
        <w:rPr>
          <w:rFonts w:ascii="T" w:hAnsi="T" w:cs="Simplified Arabic"/>
          <w:sz w:val="24"/>
          <w:szCs w:val="24"/>
          <w:rtl/>
        </w:rPr>
        <w:t xml:space="preserve"> </w:t>
      </w:r>
      <w:r w:rsidRPr="005D59A7">
        <w:rPr>
          <w:rFonts w:ascii="T" w:hAnsi="T" w:cs="Simplified Arabic"/>
          <w:sz w:val="24"/>
          <w:szCs w:val="24"/>
          <w:rtl/>
        </w:rPr>
        <w:t>إلى</w:t>
      </w:r>
      <w:r w:rsidR="0089666A" w:rsidRPr="005D59A7">
        <w:rPr>
          <w:rFonts w:ascii="T" w:hAnsi="T" w:cs="Simplified Arabic"/>
          <w:sz w:val="24"/>
          <w:szCs w:val="24"/>
          <w:rtl/>
        </w:rPr>
        <w:t xml:space="preserve"> </w:t>
      </w:r>
      <w:r w:rsidRPr="005D59A7">
        <w:rPr>
          <w:rFonts w:ascii="T" w:hAnsi="T" w:cs="Simplified Arabic"/>
          <w:sz w:val="24"/>
          <w:szCs w:val="24"/>
          <w:rtl/>
        </w:rPr>
        <w:t>رأس</w:t>
      </w:r>
      <w:r w:rsidR="0089666A" w:rsidRPr="005D59A7">
        <w:rPr>
          <w:rFonts w:ascii="T" w:hAnsi="T" w:cs="Simplified Arabic"/>
          <w:sz w:val="24"/>
          <w:szCs w:val="24"/>
          <w:rtl/>
        </w:rPr>
        <w:t xml:space="preserve"> </w:t>
      </w:r>
      <w:r w:rsidRPr="005D59A7">
        <w:rPr>
          <w:rFonts w:ascii="T" w:hAnsi="T" w:cs="Simplified Arabic"/>
          <w:sz w:val="24"/>
          <w:szCs w:val="24"/>
          <w:rtl/>
        </w:rPr>
        <w:t>المال</w:t>
      </w:r>
      <w:r w:rsidR="0089666A" w:rsidRPr="005D59A7">
        <w:rPr>
          <w:rFonts w:ascii="T" w:hAnsi="T" w:cs="Simplified Arabic"/>
          <w:sz w:val="24"/>
          <w:szCs w:val="24"/>
          <w:rtl/>
        </w:rPr>
        <w:t xml:space="preserve"> </w:t>
      </w:r>
      <w:r w:rsidRPr="005D59A7">
        <w:rPr>
          <w:rFonts w:ascii="T" w:hAnsi="T" w:cs="Simplified Arabic"/>
          <w:sz w:val="24"/>
          <w:szCs w:val="24"/>
          <w:rtl/>
        </w:rPr>
        <w:t>الخاص،</w:t>
      </w:r>
      <w:r w:rsidR="0089666A" w:rsidRPr="005D59A7">
        <w:rPr>
          <w:rFonts w:ascii="T" w:hAnsi="T" w:cs="Simplified Arabic"/>
          <w:sz w:val="24"/>
          <w:szCs w:val="24"/>
          <w:rtl/>
        </w:rPr>
        <w:t xml:space="preserve"> </w:t>
      </w:r>
      <w:r w:rsidRPr="005D59A7">
        <w:rPr>
          <w:rFonts w:ascii="T" w:hAnsi="T" w:cs="Simplified Arabic"/>
          <w:sz w:val="24"/>
          <w:szCs w:val="24"/>
          <w:rtl/>
        </w:rPr>
        <w:t>مما</w:t>
      </w:r>
      <w:r w:rsidR="0089666A" w:rsidRPr="005D59A7">
        <w:rPr>
          <w:rFonts w:ascii="T" w:hAnsi="T" w:cs="Simplified Arabic"/>
          <w:sz w:val="24"/>
          <w:szCs w:val="24"/>
          <w:rtl/>
        </w:rPr>
        <w:t xml:space="preserve"> </w:t>
      </w:r>
      <w:r w:rsidRPr="005D59A7">
        <w:rPr>
          <w:rFonts w:ascii="T" w:hAnsi="T" w:cs="Simplified Arabic"/>
          <w:sz w:val="24"/>
          <w:szCs w:val="24"/>
          <w:rtl/>
        </w:rPr>
        <w:t>يُمكّن</w:t>
      </w:r>
      <w:r w:rsidR="0089666A" w:rsidRPr="005D59A7">
        <w:rPr>
          <w:rFonts w:ascii="T" w:hAnsi="T" w:cs="Simplified Arabic"/>
          <w:sz w:val="24"/>
          <w:szCs w:val="24"/>
          <w:rtl/>
        </w:rPr>
        <w:t xml:space="preserve"> </w:t>
      </w:r>
      <w:r w:rsidRPr="005D59A7">
        <w:rPr>
          <w:rFonts w:ascii="T" w:hAnsi="T" w:cs="Simplified Arabic"/>
          <w:sz w:val="24"/>
          <w:szCs w:val="24"/>
          <w:rtl/>
        </w:rPr>
        <w:t>من</w:t>
      </w:r>
      <w:r w:rsidR="0089666A" w:rsidRPr="005D59A7">
        <w:rPr>
          <w:rFonts w:ascii="T" w:hAnsi="T" w:cs="Simplified Arabic"/>
          <w:sz w:val="24"/>
          <w:szCs w:val="24"/>
          <w:rtl/>
        </w:rPr>
        <w:t xml:space="preserve"> </w:t>
      </w:r>
      <w:r w:rsidRPr="005D59A7">
        <w:rPr>
          <w:rFonts w:ascii="T" w:hAnsi="T" w:cs="Simplified Arabic"/>
          <w:sz w:val="24"/>
          <w:szCs w:val="24"/>
          <w:rtl/>
        </w:rPr>
        <w:t>إنجاز</w:t>
      </w:r>
      <w:r w:rsidR="0089666A" w:rsidRPr="005D59A7">
        <w:rPr>
          <w:rFonts w:ascii="T" w:hAnsi="T" w:cs="Simplified Arabic"/>
          <w:sz w:val="24"/>
          <w:szCs w:val="24"/>
          <w:rtl/>
        </w:rPr>
        <w:t xml:space="preserve"> </w:t>
      </w:r>
      <w:r w:rsidRPr="005D59A7">
        <w:rPr>
          <w:rFonts w:ascii="T" w:hAnsi="T" w:cs="Simplified Arabic"/>
          <w:sz w:val="24"/>
          <w:szCs w:val="24"/>
          <w:rtl/>
        </w:rPr>
        <w:t>المشاريع</w:t>
      </w:r>
      <w:r w:rsidR="0089666A" w:rsidRPr="005D59A7">
        <w:rPr>
          <w:rFonts w:ascii="T" w:hAnsi="T" w:cs="Simplified Arabic"/>
          <w:sz w:val="24"/>
          <w:szCs w:val="24"/>
          <w:rtl/>
        </w:rPr>
        <w:t xml:space="preserve"> </w:t>
      </w:r>
      <w:r w:rsidRPr="005D59A7">
        <w:rPr>
          <w:rFonts w:ascii="T" w:hAnsi="T" w:cs="Simplified Arabic"/>
          <w:sz w:val="24"/>
          <w:szCs w:val="24"/>
          <w:rtl/>
        </w:rPr>
        <w:t>في</w:t>
      </w:r>
      <w:r w:rsidR="0089666A" w:rsidRPr="005D59A7">
        <w:rPr>
          <w:rFonts w:ascii="T" w:hAnsi="T" w:cs="Simplified Arabic"/>
          <w:sz w:val="24"/>
          <w:szCs w:val="24"/>
          <w:rtl/>
        </w:rPr>
        <w:t xml:space="preserve"> </w:t>
      </w:r>
      <w:r w:rsidRPr="005D59A7">
        <w:rPr>
          <w:rFonts w:ascii="T" w:hAnsi="T" w:cs="Simplified Arabic"/>
          <w:sz w:val="24"/>
          <w:szCs w:val="24"/>
          <w:rtl/>
        </w:rPr>
        <w:t>وقت</w:t>
      </w:r>
      <w:r w:rsidR="0089666A" w:rsidRPr="005D59A7">
        <w:rPr>
          <w:rFonts w:ascii="T" w:hAnsi="T" w:cs="Simplified Arabic"/>
          <w:sz w:val="24"/>
          <w:szCs w:val="24"/>
          <w:rtl/>
        </w:rPr>
        <w:t xml:space="preserve"> </w:t>
      </w:r>
      <w:r w:rsidRPr="005D59A7">
        <w:rPr>
          <w:rFonts w:ascii="T" w:hAnsi="T" w:cs="Simplified Arabic"/>
          <w:sz w:val="24"/>
          <w:szCs w:val="24"/>
          <w:rtl/>
        </w:rPr>
        <w:t>أسرع،</w:t>
      </w:r>
      <w:r w:rsidR="0089666A" w:rsidRPr="005D59A7">
        <w:rPr>
          <w:rFonts w:ascii="T" w:hAnsi="T" w:cs="Simplified Arabic"/>
          <w:sz w:val="24"/>
          <w:szCs w:val="24"/>
          <w:rtl/>
        </w:rPr>
        <w:t xml:space="preserve"> </w:t>
      </w:r>
      <w:r w:rsidRPr="005D59A7">
        <w:rPr>
          <w:rFonts w:ascii="T" w:hAnsi="T" w:cs="Simplified Arabic"/>
          <w:sz w:val="24"/>
          <w:szCs w:val="24"/>
          <w:rtl/>
        </w:rPr>
        <w:t>أو</w:t>
      </w:r>
      <w:r w:rsidR="0089666A" w:rsidRPr="005D59A7">
        <w:rPr>
          <w:rFonts w:ascii="T" w:hAnsi="T" w:cs="Simplified Arabic"/>
          <w:sz w:val="24"/>
          <w:szCs w:val="24"/>
          <w:rtl/>
        </w:rPr>
        <w:t xml:space="preserve"> </w:t>
      </w:r>
      <w:r w:rsidRPr="005D59A7">
        <w:rPr>
          <w:rFonts w:ascii="T" w:hAnsi="T" w:cs="Simplified Arabic"/>
          <w:sz w:val="24"/>
          <w:szCs w:val="24"/>
          <w:rtl/>
        </w:rPr>
        <w:t>حتى</w:t>
      </w:r>
      <w:r w:rsidR="0089666A" w:rsidRPr="005D59A7">
        <w:rPr>
          <w:rFonts w:ascii="T" w:hAnsi="T" w:cs="Simplified Arabic"/>
          <w:sz w:val="24"/>
          <w:szCs w:val="24"/>
          <w:rtl/>
        </w:rPr>
        <w:t xml:space="preserve"> </w:t>
      </w:r>
      <w:r w:rsidRPr="005D59A7">
        <w:rPr>
          <w:rFonts w:ascii="T" w:hAnsi="T" w:cs="Simplified Arabic"/>
          <w:sz w:val="24"/>
          <w:szCs w:val="24"/>
          <w:rtl/>
        </w:rPr>
        <w:t>يُمكّن</w:t>
      </w:r>
      <w:r w:rsidR="0089666A" w:rsidRPr="005D59A7">
        <w:rPr>
          <w:rFonts w:ascii="T" w:hAnsi="T" w:cs="Simplified Arabic"/>
          <w:sz w:val="24"/>
          <w:szCs w:val="24"/>
          <w:rtl/>
        </w:rPr>
        <w:t xml:space="preserve"> </w:t>
      </w:r>
      <w:r w:rsidRPr="005D59A7">
        <w:rPr>
          <w:rFonts w:ascii="T" w:hAnsi="T" w:cs="Simplified Arabic"/>
          <w:sz w:val="24"/>
          <w:szCs w:val="24"/>
          <w:rtl/>
        </w:rPr>
        <w:t>من</w:t>
      </w:r>
      <w:r w:rsidR="0089666A" w:rsidRPr="005D59A7">
        <w:rPr>
          <w:rFonts w:ascii="T" w:hAnsi="T" w:cs="Simplified Arabic"/>
          <w:sz w:val="24"/>
          <w:szCs w:val="24"/>
          <w:rtl/>
        </w:rPr>
        <w:t xml:space="preserve"> </w:t>
      </w:r>
      <w:r w:rsidRPr="005D59A7">
        <w:rPr>
          <w:rFonts w:ascii="T" w:hAnsi="T" w:cs="Simplified Arabic"/>
          <w:sz w:val="24"/>
          <w:szCs w:val="24"/>
          <w:rtl/>
        </w:rPr>
        <w:t>تنفيذها</w:t>
      </w:r>
      <w:r w:rsidR="0089666A" w:rsidRPr="005D59A7">
        <w:rPr>
          <w:rFonts w:ascii="T" w:hAnsi="T" w:cs="Simplified Arabic"/>
          <w:sz w:val="24"/>
          <w:szCs w:val="24"/>
          <w:rtl/>
        </w:rPr>
        <w:t xml:space="preserve"> </w:t>
      </w:r>
      <w:r w:rsidRPr="005D59A7">
        <w:rPr>
          <w:rFonts w:ascii="T" w:hAnsi="T" w:cs="Simplified Arabic"/>
          <w:sz w:val="24"/>
          <w:szCs w:val="24"/>
          <w:rtl/>
        </w:rPr>
        <w:t>من</w:t>
      </w:r>
      <w:r w:rsidR="0089666A" w:rsidRPr="005D59A7">
        <w:rPr>
          <w:rFonts w:ascii="T" w:hAnsi="T" w:cs="Simplified Arabic"/>
          <w:sz w:val="24"/>
          <w:szCs w:val="24"/>
          <w:rtl/>
        </w:rPr>
        <w:t xml:space="preserve"> </w:t>
      </w:r>
      <w:r w:rsidRPr="005D59A7">
        <w:rPr>
          <w:rFonts w:ascii="T" w:hAnsi="T" w:cs="Simplified Arabic"/>
          <w:sz w:val="24"/>
          <w:szCs w:val="24"/>
          <w:rtl/>
        </w:rPr>
        <w:t>الأساس،</w:t>
      </w:r>
      <w:r w:rsidR="0089666A" w:rsidRPr="005D59A7">
        <w:rPr>
          <w:rFonts w:ascii="T" w:hAnsi="T" w:cs="Simplified Arabic"/>
          <w:sz w:val="24"/>
          <w:szCs w:val="24"/>
          <w:rtl/>
        </w:rPr>
        <w:t xml:space="preserve"> </w:t>
      </w:r>
      <w:r w:rsidRPr="005D59A7">
        <w:rPr>
          <w:rFonts w:ascii="T" w:hAnsi="T" w:cs="Simplified Arabic"/>
          <w:sz w:val="24"/>
          <w:szCs w:val="24"/>
          <w:rtl/>
        </w:rPr>
        <w:t>بالإضافة إلى</w:t>
      </w:r>
      <w:r w:rsidR="0089666A" w:rsidRPr="005D59A7">
        <w:rPr>
          <w:rFonts w:ascii="T" w:hAnsi="T" w:cs="Simplified Arabic"/>
          <w:sz w:val="24"/>
          <w:szCs w:val="24"/>
          <w:rtl/>
        </w:rPr>
        <w:t xml:space="preserve"> </w:t>
      </w:r>
      <w:r w:rsidRPr="005D59A7">
        <w:rPr>
          <w:rFonts w:ascii="T" w:hAnsi="T" w:cs="Simplified Arabic"/>
          <w:sz w:val="24"/>
          <w:szCs w:val="24"/>
          <w:rtl/>
        </w:rPr>
        <w:t>توزيع</w:t>
      </w:r>
      <w:r w:rsidR="0089666A" w:rsidRPr="005D59A7">
        <w:rPr>
          <w:rFonts w:ascii="T" w:hAnsi="T" w:cs="Simplified Arabic"/>
          <w:sz w:val="24"/>
          <w:szCs w:val="24"/>
          <w:rtl/>
        </w:rPr>
        <w:t xml:space="preserve"> </w:t>
      </w:r>
      <w:r w:rsidRPr="005D59A7">
        <w:rPr>
          <w:rFonts w:ascii="T" w:hAnsi="T" w:cs="Simplified Arabic"/>
          <w:sz w:val="24"/>
          <w:szCs w:val="24"/>
          <w:rtl/>
        </w:rPr>
        <w:t>التكاليف</w:t>
      </w:r>
      <w:r w:rsidR="0089666A" w:rsidRPr="005D59A7">
        <w:rPr>
          <w:rFonts w:ascii="T" w:hAnsi="T" w:cs="Simplified Arabic"/>
          <w:sz w:val="24"/>
          <w:szCs w:val="24"/>
          <w:rtl/>
        </w:rPr>
        <w:t xml:space="preserve"> </w:t>
      </w:r>
      <w:r w:rsidRPr="005D59A7">
        <w:rPr>
          <w:rFonts w:ascii="T" w:hAnsi="T" w:cs="Simplified Arabic"/>
          <w:sz w:val="24"/>
          <w:szCs w:val="24"/>
          <w:rtl/>
        </w:rPr>
        <w:t>على</w:t>
      </w:r>
      <w:r w:rsidR="0089666A" w:rsidRPr="005D59A7">
        <w:rPr>
          <w:rFonts w:ascii="T" w:hAnsi="T" w:cs="Simplified Arabic"/>
          <w:sz w:val="24"/>
          <w:szCs w:val="24"/>
          <w:rtl/>
        </w:rPr>
        <w:t xml:space="preserve"> </w:t>
      </w:r>
      <w:r w:rsidRPr="005D59A7">
        <w:rPr>
          <w:rFonts w:ascii="T" w:hAnsi="T" w:cs="Simplified Arabic"/>
          <w:sz w:val="24"/>
          <w:szCs w:val="24"/>
          <w:rtl/>
        </w:rPr>
        <w:t>فترة</w:t>
      </w:r>
      <w:r w:rsidR="0089666A" w:rsidRPr="005D59A7">
        <w:rPr>
          <w:rFonts w:ascii="T" w:hAnsi="T" w:cs="Simplified Arabic"/>
          <w:sz w:val="24"/>
          <w:szCs w:val="24"/>
          <w:rtl/>
        </w:rPr>
        <w:t xml:space="preserve"> </w:t>
      </w:r>
      <w:r w:rsidRPr="005D59A7">
        <w:rPr>
          <w:rFonts w:ascii="T" w:hAnsi="T" w:cs="Simplified Arabic"/>
          <w:sz w:val="24"/>
          <w:szCs w:val="24"/>
          <w:rtl/>
        </w:rPr>
        <w:t>زمنية</w:t>
      </w:r>
      <w:r w:rsidR="0089666A" w:rsidRPr="005D59A7">
        <w:rPr>
          <w:rFonts w:ascii="T" w:hAnsi="T" w:cs="Simplified Arabic"/>
          <w:sz w:val="24"/>
          <w:szCs w:val="24"/>
          <w:rtl/>
        </w:rPr>
        <w:t xml:space="preserve"> </w:t>
      </w:r>
      <w:r w:rsidRPr="005D59A7">
        <w:rPr>
          <w:rFonts w:ascii="T" w:hAnsi="T" w:cs="Simplified Arabic"/>
          <w:sz w:val="24"/>
          <w:szCs w:val="24"/>
          <w:rtl/>
        </w:rPr>
        <w:t>أطول.</w:t>
      </w:r>
    </w:p>
    <w:p w14:paraId="2385A1C1" w14:textId="77777777" w:rsidR="00210FA3" w:rsidRPr="005D59A7" w:rsidRDefault="00210FA3" w:rsidP="00DF52A6">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الاستفادة</w:t>
      </w:r>
      <w:r w:rsidR="0089666A" w:rsidRPr="005D59A7">
        <w:rPr>
          <w:rFonts w:ascii="T" w:hAnsi="T" w:cs="Simplified Arabic"/>
          <w:sz w:val="24"/>
          <w:szCs w:val="24"/>
          <w:rtl/>
        </w:rPr>
        <w:t xml:space="preserve"> </w:t>
      </w:r>
      <w:r w:rsidRPr="005D59A7">
        <w:rPr>
          <w:rFonts w:ascii="T" w:hAnsi="T" w:cs="Simplified Arabic"/>
          <w:sz w:val="24"/>
          <w:szCs w:val="24"/>
          <w:rtl/>
        </w:rPr>
        <w:t>من</w:t>
      </w:r>
      <w:r w:rsidR="0089666A" w:rsidRPr="005D59A7">
        <w:rPr>
          <w:rFonts w:ascii="T" w:hAnsi="T" w:cs="Simplified Arabic"/>
          <w:sz w:val="24"/>
          <w:szCs w:val="24"/>
          <w:rtl/>
        </w:rPr>
        <w:t xml:space="preserve"> </w:t>
      </w:r>
      <w:r w:rsidRPr="005D59A7">
        <w:rPr>
          <w:rFonts w:ascii="T" w:hAnsi="T" w:cs="Simplified Arabic"/>
          <w:sz w:val="24"/>
          <w:szCs w:val="24"/>
          <w:rtl/>
        </w:rPr>
        <w:t>المهارات</w:t>
      </w:r>
      <w:r w:rsidR="0089666A" w:rsidRPr="005D59A7">
        <w:rPr>
          <w:rFonts w:ascii="T" w:hAnsi="T" w:cs="Simplified Arabic"/>
          <w:sz w:val="24"/>
          <w:szCs w:val="24"/>
          <w:rtl/>
        </w:rPr>
        <w:t xml:space="preserve"> </w:t>
      </w:r>
      <w:r w:rsidRPr="005D59A7">
        <w:rPr>
          <w:rFonts w:ascii="T" w:hAnsi="T" w:cs="Simplified Arabic"/>
          <w:sz w:val="24"/>
          <w:szCs w:val="24"/>
          <w:rtl/>
        </w:rPr>
        <w:t>المتخصصة: تُقدّم</w:t>
      </w:r>
      <w:r w:rsidR="0089666A" w:rsidRPr="005D59A7">
        <w:rPr>
          <w:rFonts w:ascii="T" w:hAnsi="T" w:cs="Simplified Arabic"/>
          <w:sz w:val="24"/>
          <w:szCs w:val="24"/>
          <w:rtl/>
        </w:rPr>
        <w:t xml:space="preserve"> </w:t>
      </w:r>
      <w:r w:rsidRPr="005D59A7">
        <w:rPr>
          <w:rFonts w:ascii="T" w:hAnsi="T" w:cs="Simplified Arabic"/>
          <w:sz w:val="24"/>
          <w:szCs w:val="24"/>
          <w:rtl/>
        </w:rPr>
        <w:t>الشركات</w:t>
      </w:r>
      <w:r w:rsidR="0089666A" w:rsidRPr="005D59A7">
        <w:rPr>
          <w:rFonts w:ascii="T" w:hAnsi="T" w:cs="Simplified Arabic"/>
          <w:sz w:val="24"/>
          <w:szCs w:val="24"/>
          <w:rtl/>
        </w:rPr>
        <w:t xml:space="preserve"> </w:t>
      </w:r>
      <w:r w:rsidRPr="005D59A7">
        <w:rPr>
          <w:rFonts w:ascii="T" w:hAnsi="T" w:cs="Simplified Arabic"/>
          <w:sz w:val="24"/>
          <w:szCs w:val="24"/>
          <w:rtl/>
        </w:rPr>
        <w:t>الخاصة</w:t>
      </w:r>
      <w:r w:rsidR="0089666A" w:rsidRPr="005D59A7">
        <w:rPr>
          <w:rFonts w:ascii="T" w:hAnsi="T" w:cs="Simplified Arabic"/>
          <w:sz w:val="24"/>
          <w:szCs w:val="24"/>
          <w:rtl/>
        </w:rPr>
        <w:t xml:space="preserve"> </w:t>
      </w:r>
      <w:r w:rsidRPr="005D59A7">
        <w:rPr>
          <w:rFonts w:ascii="T" w:hAnsi="T" w:cs="Simplified Arabic"/>
          <w:sz w:val="24"/>
          <w:szCs w:val="24"/>
          <w:rtl/>
        </w:rPr>
        <w:t>معارف</w:t>
      </w:r>
      <w:r w:rsidR="0089666A" w:rsidRPr="005D59A7">
        <w:rPr>
          <w:rFonts w:ascii="T" w:hAnsi="T" w:cs="Simplified Arabic"/>
          <w:sz w:val="24"/>
          <w:szCs w:val="24"/>
          <w:rtl/>
        </w:rPr>
        <w:t xml:space="preserve"> </w:t>
      </w:r>
      <w:r w:rsidRPr="005D59A7">
        <w:rPr>
          <w:rFonts w:ascii="T" w:hAnsi="T" w:cs="Simplified Arabic"/>
          <w:sz w:val="24"/>
          <w:szCs w:val="24"/>
          <w:rtl/>
        </w:rPr>
        <w:t>وخبرات</w:t>
      </w:r>
      <w:r w:rsidR="0089666A" w:rsidRPr="005D59A7">
        <w:rPr>
          <w:rFonts w:ascii="T" w:hAnsi="T" w:cs="Simplified Arabic"/>
          <w:sz w:val="24"/>
          <w:szCs w:val="24"/>
          <w:rtl/>
        </w:rPr>
        <w:t xml:space="preserve"> </w:t>
      </w:r>
      <w:r w:rsidRPr="005D59A7">
        <w:rPr>
          <w:rFonts w:ascii="T" w:hAnsi="T" w:cs="Simplified Arabic"/>
          <w:sz w:val="24"/>
          <w:szCs w:val="24"/>
          <w:rtl/>
        </w:rPr>
        <w:t>متخصصة</w:t>
      </w:r>
      <w:r w:rsidR="0089666A" w:rsidRPr="005D59A7">
        <w:rPr>
          <w:rFonts w:ascii="T" w:hAnsi="T" w:cs="Simplified Arabic"/>
          <w:sz w:val="24"/>
          <w:szCs w:val="24"/>
          <w:rtl/>
        </w:rPr>
        <w:t xml:space="preserve"> </w:t>
      </w:r>
      <w:r w:rsidRPr="005D59A7">
        <w:rPr>
          <w:rFonts w:ascii="T" w:hAnsi="T" w:cs="Simplified Arabic"/>
          <w:sz w:val="24"/>
          <w:szCs w:val="24"/>
          <w:rtl/>
        </w:rPr>
        <w:t>وأساليب</w:t>
      </w:r>
      <w:r w:rsidR="0089666A" w:rsidRPr="005D59A7">
        <w:rPr>
          <w:rFonts w:ascii="T" w:hAnsi="T" w:cs="Simplified Arabic"/>
          <w:sz w:val="24"/>
          <w:szCs w:val="24"/>
          <w:rtl/>
        </w:rPr>
        <w:t xml:space="preserve"> </w:t>
      </w:r>
      <w:r w:rsidRPr="005D59A7">
        <w:rPr>
          <w:rFonts w:ascii="T" w:hAnsi="T" w:cs="Simplified Arabic"/>
          <w:sz w:val="24"/>
          <w:szCs w:val="24"/>
          <w:rtl/>
        </w:rPr>
        <w:t>مبتكرة</w:t>
      </w:r>
      <w:r w:rsidR="0089666A" w:rsidRPr="005D59A7">
        <w:rPr>
          <w:rFonts w:ascii="T" w:hAnsi="T" w:cs="Simplified Arabic"/>
          <w:sz w:val="24"/>
          <w:szCs w:val="24"/>
          <w:rtl/>
        </w:rPr>
        <w:t xml:space="preserve"> </w:t>
      </w:r>
      <w:r w:rsidRPr="005D59A7">
        <w:rPr>
          <w:rFonts w:ascii="T" w:hAnsi="T" w:cs="Simplified Arabic"/>
          <w:sz w:val="24"/>
          <w:szCs w:val="24"/>
          <w:rtl/>
        </w:rPr>
        <w:t>قد</w:t>
      </w:r>
      <w:r w:rsidR="0089666A" w:rsidRPr="005D59A7">
        <w:rPr>
          <w:rFonts w:ascii="T" w:hAnsi="T" w:cs="Simplified Arabic"/>
          <w:sz w:val="24"/>
          <w:szCs w:val="24"/>
          <w:rtl/>
        </w:rPr>
        <w:t xml:space="preserve"> </w:t>
      </w:r>
      <w:r w:rsidRPr="005D59A7">
        <w:rPr>
          <w:rFonts w:ascii="T" w:hAnsi="T" w:cs="Simplified Arabic"/>
          <w:sz w:val="24"/>
          <w:szCs w:val="24"/>
          <w:rtl/>
        </w:rPr>
        <w:t>لا</w:t>
      </w:r>
      <w:r w:rsidR="0089666A" w:rsidRPr="005D59A7">
        <w:rPr>
          <w:rFonts w:ascii="T" w:hAnsi="T" w:cs="Simplified Arabic"/>
          <w:sz w:val="24"/>
          <w:szCs w:val="24"/>
          <w:rtl/>
        </w:rPr>
        <w:t xml:space="preserve"> </w:t>
      </w:r>
      <w:r w:rsidRPr="005D59A7">
        <w:rPr>
          <w:rFonts w:ascii="T" w:hAnsi="T" w:cs="Simplified Arabic"/>
          <w:sz w:val="24"/>
          <w:szCs w:val="24"/>
          <w:rtl/>
        </w:rPr>
        <w:t>تكون</w:t>
      </w:r>
      <w:r w:rsidR="0089666A" w:rsidRPr="005D59A7">
        <w:rPr>
          <w:rFonts w:ascii="T" w:hAnsi="T" w:cs="Simplified Arabic"/>
          <w:sz w:val="24"/>
          <w:szCs w:val="24"/>
          <w:rtl/>
        </w:rPr>
        <w:t xml:space="preserve"> </w:t>
      </w:r>
      <w:r w:rsidRPr="005D59A7">
        <w:rPr>
          <w:rFonts w:ascii="T" w:hAnsi="T" w:cs="Simplified Arabic"/>
          <w:sz w:val="24"/>
          <w:szCs w:val="24"/>
          <w:rtl/>
        </w:rPr>
        <w:t>متاحة</w:t>
      </w:r>
      <w:r w:rsidR="0089666A" w:rsidRPr="005D59A7">
        <w:rPr>
          <w:rFonts w:ascii="T" w:hAnsi="T" w:cs="Simplified Arabic"/>
          <w:sz w:val="24"/>
          <w:szCs w:val="24"/>
          <w:rtl/>
        </w:rPr>
        <w:t xml:space="preserve"> </w:t>
      </w:r>
      <w:r w:rsidRPr="005D59A7">
        <w:rPr>
          <w:rFonts w:ascii="T" w:hAnsi="T" w:cs="Simplified Arabic"/>
          <w:sz w:val="24"/>
          <w:szCs w:val="24"/>
          <w:rtl/>
        </w:rPr>
        <w:t>في</w:t>
      </w:r>
      <w:r w:rsidR="0089666A" w:rsidRPr="005D59A7">
        <w:rPr>
          <w:rFonts w:ascii="T" w:hAnsi="T" w:cs="Simplified Arabic"/>
          <w:sz w:val="24"/>
          <w:szCs w:val="24"/>
          <w:rtl/>
        </w:rPr>
        <w:t xml:space="preserve"> </w:t>
      </w:r>
      <w:r w:rsidRPr="005D59A7">
        <w:rPr>
          <w:rFonts w:ascii="T" w:hAnsi="T" w:cs="Simplified Arabic"/>
          <w:sz w:val="24"/>
          <w:szCs w:val="24"/>
          <w:rtl/>
        </w:rPr>
        <w:t>القطاع</w:t>
      </w:r>
      <w:r w:rsidR="0089666A" w:rsidRPr="005D59A7">
        <w:rPr>
          <w:rFonts w:ascii="T" w:hAnsi="T" w:cs="Simplified Arabic"/>
          <w:sz w:val="24"/>
          <w:szCs w:val="24"/>
          <w:rtl/>
        </w:rPr>
        <w:t xml:space="preserve"> </w:t>
      </w:r>
      <w:r w:rsidRPr="005D59A7">
        <w:rPr>
          <w:rFonts w:ascii="T" w:hAnsi="T" w:cs="Simplified Arabic"/>
          <w:sz w:val="24"/>
          <w:szCs w:val="24"/>
          <w:rtl/>
        </w:rPr>
        <w:t>العام. وهذا</w:t>
      </w:r>
      <w:r w:rsidR="0089666A" w:rsidRPr="005D59A7">
        <w:rPr>
          <w:rFonts w:ascii="T" w:hAnsi="T" w:cs="Simplified Arabic"/>
          <w:sz w:val="24"/>
          <w:szCs w:val="24"/>
          <w:rtl/>
        </w:rPr>
        <w:t xml:space="preserve"> </w:t>
      </w:r>
      <w:r w:rsidRPr="005D59A7">
        <w:rPr>
          <w:rFonts w:ascii="T" w:hAnsi="T" w:cs="Simplified Arabic"/>
          <w:sz w:val="24"/>
          <w:szCs w:val="24"/>
          <w:rtl/>
        </w:rPr>
        <w:t>يُمكن</w:t>
      </w:r>
      <w:r w:rsidR="0089666A" w:rsidRPr="005D59A7">
        <w:rPr>
          <w:rFonts w:ascii="T" w:hAnsi="T" w:cs="Simplified Arabic"/>
          <w:sz w:val="24"/>
          <w:szCs w:val="24"/>
          <w:rtl/>
        </w:rPr>
        <w:t xml:space="preserve"> </w:t>
      </w:r>
      <w:r w:rsidRPr="005D59A7">
        <w:rPr>
          <w:rFonts w:ascii="T" w:hAnsi="T" w:cs="Simplified Arabic"/>
          <w:sz w:val="24"/>
          <w:szCs w:val="24"/>
          <w:rtl/>
        </w:rPr>
        <w:t>أن</w:t>
      </w:r>
      <w:r w:rsidR="0089666A" w:rsidRPr="005D59A7">
        <w:rPr>
          <w:rFonts w:ascii="T" w:hAnsi="T" w:cs="Simplified Arabic"/>
          <w:sz w:val="24"/>
          <w:szCs w:val="24"/>
          <w:rtl/>
        </w:rPr>
        <w:t xml:space="preserve"> </w:t>
      </w:r>
      <w:r w:rsidRPr="005D59A7">
        <w:rPr>
          <w:rFonts w:ascii="T" w:hAnsi="T" w:cs="Simplified Arabic"/>
          <w:sz w:val="24"/>
          <w:szCs w:val="24"/>
          <w:rtl/>
        </w:rPr>
        <w:t>يُؤدي</w:t>
      </w:r>
      <w:r w:rsidR="0089666A" w:rsidRPr="005D59A7">
        <w:rPr>
          <w:rFonts w:ascii="T" w:hAnsi="T" w:cs="Simplified Arabic"/>
          <w:sz w:val="24"/>
          <w:szCs w:val="24"/>
          <w:rtl/>
        </w:rPr>
        <w:t xml:space="preserve"> </w:t>
      </w:r>
      <w:r w:rsidRPr="005D59A7">
        <w:rPr>
          <w:rFonts w:ascii="T" w:hAnsi="T" w:cs="Simplified Arabic"/>
          <w:sz w:val="24"/>
          <w:szCs w:val="24"/>
          <w:rtl/>
        </w:rPr>
        <w:t>إلى</w:t>
      </w:r>
      <w:r w:rsidR="0089666A" w:rsidRPr="005D59A7">
        <w:rPr>
          <w:rFonts w:ascii="T" w:hAnsi="T" w:cs="Simplified Arabic"/>
          <w:sz w:val="24"/>
          <w:szCs w:val="24"/>
          <w:rtl/>
        </w:rPr>
        <w:t xml:space="preserve"> </w:t>
      </w:r>
      <w:r w:rsidRPr="005D59A7">
        <w:rPr>
          <w:rFonts w:ascii="T" w:hAnsi="T" w:cs="Simplified Arabic"/>
          <w:sz w:val="24"/>
          <w:szCs w:val="24"/>
          <w:rtl/>
        </w:rPr>
        <w:t>تصميم</w:t>
      </w:r>
      <w:r w:rsidR="0089666A" w:rsidRPr="005D59A7">
        <w:rPr>
          <w:rFonts w:ascii="T" w:hAnsi="T" w:cs="Simplified Arabic"/>
          <w:sz w:val="24"/>
          <w:szCs w:val="24"/>
          <w:rtl/>
        </w:rPr>
        <w:t xml:space="preserve"> </w:t>
      </w:r>
      <w:r w:rsidRPr="005D59A7">
        <w:rPr>
          <w:rFonts w:ascii="T" w:hAnsi="T" w:cs="Simplified Arabic"/>
          <w:sz w:val="24"/>
          <w:szCs w:val="24"/>
          <w:rtl/>
        </w:rPr>
        <w:t>وبناء</w:t>
      </w:r>
      <w:r w:rsidR="0089666A" w:rsidRPr="005D59A7">
        <w:rPr>
          <w:rFonts w:ascii="T" w:hAnsi="T" w:cs="Simplified Arabic"/>
          <w:sz w:val="24"/>
          <w:szCs w:val="24"/>
          <w:rtl/>
        </w:rPr>
        <w:t xml:space="preserve"> </w:t>
      </w:r>
      <w:r w:rsidRPr="005D59A7">
        <w:rPr>
          <w:rFonts w:ascii="T" w:hAnsi="T" w:cs="Simplified Arabic"/>
          <w:sz w:val="24"/>
          <w:szCs w:val="24"/>
          <w:rtl/>
        </w:rPr>
        <w:t>وتشغيل</w:t>
      </w:r>
      <w:r w:rsidR="0089666A" w:rsidRPr="005D59A7">
        <w:rPr>
          <w:rFonts w:ascii="T" w:hAnsi="T" w:cs="Simplified Arabic"/>
          <w:sz w:val="24"/>
          <w:szCs w:val="24"/>
          <w:rtl/>
        </w:rPr>
        <w:t xml:space="preserve"> </w:t>
      </w:r>
      <w:r w:rsidRPr="005D59A7">
        <w:rPr>
          <w:rFonts w:ascii="T" w:hAnsi="T" w:cs="Simplified Arabic"/>
          <w:sz w:val="24"/>
          <w:szCs w:val="24"/>
          <w:rtl/>
        </w:rPr>
        <w:t>أكثر</w:t>
      </w:r>
      <w:r w:rsidR="0089666A" w:rsidRPr="005D59A7">
        <w:rPr>
          <w:rFonts w:ascii="T" w:hAnsi="T" w:cs="Simplified Arabic"/>
          <w:sz w:val="24"/>
          <w:szCs w:val="24"/>
          <w:rtl/>
        </w:rPr>
        <w:t xml:space="preserve"> </w:t>
      </w:r>
      <w:r w:rsidRPr="005D59A7">
        <w:rPr>
          <w:rFonts w:ascii="T" w:hAnsi="T" w:cs="Simplified Arabic"/>
          <w:sz w:val="24"/>
          <w:szCs w:val="24"/>
          <w:rtl/>
        </w:rPr>
        <w:t>كفاءة</w:t>
      </w:r>
      <w:r w:rsidR="0089666A" w:rsidRPr="005D59A7">
        <w:rPr>
          <w:rFonts w:ascii="T" w:hAnsi="T" w:cs="Simplified Arabic"/>
          <w:sz w:val="24"/>
          <w:szCs w:val="24"/>
          <w:rtl/>
        </w:rPr>
        <w:t xml:space="preserve"> </w:t>
      </w:r>
      <w:r w:rsidRPr="005D59A7">
        <w:rPr>
          <w:rFonts w:ascii="T" w:hAnsi="T" w:cs="Simplified Arabic"/>
          <w:sz w:val="24"/>
          <w:szCs w:val="24"/>
          <w:rtl/>
        </w:rPr>
        <w:t>للمشاريع.</w:t>
      </w:r>
    </w:p>
    <w:p w14:paraId="2B4A75C0" w14:textId="27DA7772"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تعزيز</w:t>
      </w:r>
      <w:r w:rsidR="00444E8E" w:rsidRPr="005D59A7">
        <w:rPr>
          <w:rFonts w:ascii="T" w:hAnsi="T" w:cs="Simplified Arabic"/>
          <w:sz w:val="24"/>
          <w:szCs w:val="24"/>
          <w:rtl/>
        </w:rPr>
        <w:t xml:space="preserve"> </w:t>
      </w:r>
      <w:r w:rsidRPr="005D59A7">
        <w:rPr>
          <w:rFonts w:ascii="T" w:hAnsi="T" w:cs="Simplified Arabic"/>
          <w:sz w:val="24"/>
          <w:szCs w:val="24"/>
          <w:rtl/>
        </w:rPr>
        <w:t>الكفاءة</w:t>
      </w:r>
      <w:r w:rsidR="00444E8E" w:rsidRPr="005D59A7">
        <w:rPr>
          <w:rFonts w:ascii="T" w:hAnsi="T" w:cs="Simplified Arabic"/>
          <w:sz w:val="24"/>
          <w:szCs w:val="24"/>
          <w:rtl/>
        </w:rPr>
        <w:t xml:space="preserve"> </w:t>
      </w:r>
      <w:r w:rsidRPr="005D59A7">
        <w:rPr>
          <w:rFonts w:ascii="T" w:hAnsi="T" w:cs="Simplified Arabic"/>
          <w:sz w:val="24"/>
          <w:szCs w:val="24"/>
          <w:rtl/>
        </w:rPr>
        <w:t>والابتكار:تحسين</w:t>
      </w:r>
      <w:r w:rsidR="00444E8E" w:rsidRPr="005D59A7">
        <w:rPr>
          <w:rFonts w:ascii="T" w:hAnsi="T" w:cs="Simplified Arabic"/>
          <w:sz w:val="24"/>
          <w:szCs w:val="24"/>
          <w:rtl/>
        </w:rPr>
        <w:t xml:space="preserve"> </w:t>
      </w:r>
      <w:r w:rsidRPr="005D59A7">
        <w:rPr>
          <w:rFonts w:ascii="T" w:hAnsi="T" w:cs="Simplified Arabic"/>
          <w:sz w:val="24"/>
          <w:szCs w:val="24"/>
          <w:rtl/>
        </w:rPr>
        <w:t>إنجاز</w:t>
      </w:r>
      <w:r w:rsidR="00444E8E" w:rsidRPr="005D59A7">
        <w:rPr>
          <w:rFonts w:ascii="T" w:hAnsi="T" w:cs="Simplified Arabic"/>
          <w:sz w:val="24"/>
          <w:szCs w:val="24"/>
          <w:rtl/>
        </w:rPr>
        <w:t xml:space="preserve"> </w:t>
      </w:r>
      <w:r w:rsidRPr="005D59A7">
        <w:rPr>
          <w:rFonts w:ascii="T" w:hAnsi="T" w:cs="Simplified Arabic"/>
          <w:sz w:val="24"/>
          <w:szCs w:val="24"/>
          <w:rtl/>
        </w:rPr>
        <w:t>المشاريع: غالبًا</w:t>
      </w:r>
      <w:r w:rsidR="00444E8E" w:rsidRPr="005D59A7">
        <w:rPr>
          <w:rFonts w:ascii="T" w:hAnsi="T" w:cs="Simplified Arabic"/>
          <w:sz w:val="24"/>
          <w:szCs w:val="24"/>
          <w:rtl/>
        </w:rPr>
        <w:t xml:space="preserve"> </w:t>
      </w:r>
      <w:r w:rsidRPr="005D59A7">
        <w:rPr>
          <w:rFonts w:ascii="T" w:hAnsi="T" w:cs="Simplified Arabic"/>
          <w:sz w:val="24"/>
          <w:szCs w:val="24"/>
          <w:rtl/>
        </w:rPr>
        <w:t>ما</w:t>
      </w:r>
      <w:r w:rsidR="00444E8E" w:rsidRPr="005D59A7">
        <w:rPr>
          <w:rFonts w:ascii="T" w:hAnsi="T" w:cs="Simplified Arabic"/>
          <w:sz w:val="24"/>
          <w:szCs w:val="24"/>
          <w:rtl/>
        </w:rPr>
        <w:t xml:space="preserve"> </w:t>
      </w:r>
      <w:r w:rsidRPr="005D59A7">
        <w:rPr>
          <w:rFonts w:ascii="T" w:hAnsi="T" w:cs="Simplified Arabic"/>
          <w:sz w:val="24"/>
          <w:szCs w:val="24"/>
          <w:rtl/>
        </w:rPr>
        <w:t>يُقدم</w:t>
      </w:r>
      <w:r w:rsidR="00444E8E" w:rsidRPr="005D59A7">
        <w:rPr>
          <w:rFonts w:ascii="T" w:hAnsi="T" w:cs="Simplified Arabic"/>
          <w:sz w:val="24"/>
          <w:szCs w:val="24"/>
          <w:rtl/>
        </w:rPr>
        <w:t xml:space="preserve"> </w:t>
      </w:r>
      <w:r w:rsidRPr="005D59A7">
        <w:rPr>
          <w:rFonts w:ascii="T" w:hAnsi="T" w:cs="Simplified Arabic"/>
          <w:sz w:val="24"/>
          <w:szCs w:val="24"/>
          <w:rtl/>
        </w:rPr>
        <w:t>شركاء</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r w:rsidR="00444E8E" w:rsidRPr="005D59A7">
        <w:rPr>
          <w:rFonts w:ascii="T" w:hAnsi="T" w:cs="Simplified Arabic"/>
          <w:sz w:val="24"/>
          <w:szCs w:val="24"/>
          <w:rtl/>
        </w:rPr>
        <w:t xml:space="preserve"> </w:t>
      </w:r>
      <w:r w:rsidRPr="005D59A7">
        <w:rPr>
          <w:rFonts w:ascii="T" w:hAnsi="T" w:cs="Simplified Arabic"/>
          <w:sz w:val="24"/>
          <w:szCs w:val="24"/>
          <w:rtl/>
        </w:rPr>
        <w:t>تقنيات</w:t>
      </w:r>
      <w:r w:rsidR="00444E8E" w:rsidRPr="005D59A7">
        <w:rPr>
          <w:rFonts w:ascii="T" w:hAnsi="T" w:cs="Simplified Arabic"/>
          <w:sz w:val="24"/>
          <w:szCs w:val="24"/>
          <w:rtl/>
        </w:rPr>
        <w:t xml:space="preserve"> </w:t>
      </w:r>
      <w:r w:rsidRPr="005D59A7">
        <w:rPr>
          <w:rFonts w:ascii="T" w:hAnsi="T" w:cs="Simplified Arabic"/>
          <w:sz w:val="24"/>
          <w:szCs w:val="24"/>
          <w:rtl/>
        </w:rPr>
        <w:t>إدارة</w:t>
      </w:r>
      <w:r w:rsidR="00444E8E" w:rsidRPr="005D59A7">
        <w:rPr>
          <w:rFonts w:ascii="T" w:hAnsi="T" w:cs="Simplified Arabic"/>
          <w:sz w:val="24"/>
          <w:szCs w:val="24"/>
          <w:rtl/>
        </w:rPr>
        <w:t xml:space="preserve"> </w:t>
      </w:r>
      <w:r w:rsidRPr="005D59A7">
        <w:rPr>
          <w:rFonts w:ascii="T" w:hAnsi="T" w:cs="Simplified Arabic"/>
          <w:sz w:val="24"/>
          <w:szCs w:val="24"/>
          <w:rtl/>
        </w:rPr>
        <w:t>مشاريع</w:t>
      </w:r>
      <w:r w:rsidR="00444E8E" w:rsidRPr="005D59A7">
        <w:rPr>
          <w:rFonts w:ascii="T" w:hAnsi="T" w:cs="Simplified Arabic"/>
          <w:sz w:val="24"/>
          <w:szCs w:val="24"/>
          <w:rtl/>
        </w:rPr>
        <w:t xml:space="preserve"> </w:t>
      </w:r>
      <w:r w:rsidRPr="005D59A7">
        <w:rPr>
          <w:rFonts w:ascii="T" w:hAnsi="T" w:cs="Simplified Arabic"/>
          <w:sz w:val="24"/>
          <w:szCs w:val="24"/>
          <w:rtl/>
        </w:rPr>
        <w:t>متطورة،</w:t>
      </w:r>
      <w:r w:rsidR="00444E8E" w:rsidRPr="005D59A7">
        <w:rPr>
          <w:rFonts w:ascii="T" w:hAnsi="T" w:cs="Simplified Arabic"/>
          <w:sz w:val="24"/>
          <w:szCs w:val="24"/>
          <w:rtl/>
        </w:rPr>
        <w:t xml:space="preserve"> </w:t>
      </w:r>
      <w:r w:rsidRPr="005D59A7">
        <w:rPr>
          <w:rFonts w:ascii="T" w:hAnsi="T" w:cs="Simplified Arabic"/>
          <w:sz w:val="24"/>
          <w:szCs w:val="24"/>
          <w:rtl/>
        </w:rPr>
        <w:t>وعمليات</w:t>
      </w:r>
      <w:r w:rsidR="00444E8E" w:rsidRPr="005D59A7">
        <w:rPr>
          <w:rFonts w:ascii="T" w:hAnsi="T" w:cs="Simplified Arabic"/>
          <w:sz w:val="24"/>
          <w:szCs w:val="24"/>
          <w:rtl/>
        </w:rPr>
        <w:t xml:space="preserve"> </w:t>
      </w:r>
      <w:r w:rsidRPr="005D59A7">
        <w:rPr>
          <w:rFonts w:ascii="T" w:hAnsi="T" w:cs="Simplified Arabic"/>
          <w:sz w:val="24"/>
          <w:szCs w:val="24"/>
          <w:rtl/>
        </w:rPr>
        <w:t>مُبسطة،</w:t>
      </w:r>
      <w:r w:rsidR="00444E8E" w:rsidRPr="005D59A7">
        <w:rPr>
          <w:rFonts w:ascii="T" w:hAnsi="T" w:cs="Simplified Arabic"/>
          <w:sz w:val="24"/>
          <w:szCs w:val="24"/>
          <w:rtl/>
        </w:rPr>
        <w:t xml:space="preserve"> </w:t>
      </w:r>
      <w:r w:rsidRPr="005D59A7">
        <w:rPr>
          <w:rFonts w:ascii="T" w:hAnsi="T" w:cs="Simplified Arabic"/>
          <w:sz w:val="24"/>
          <w:szCs w:val="24"/>
          <w:rtl/>
        </w:rPr>
        <w:t>وتركيزًا</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الأداء،</w:t>
      </w:r>
      <w:r w:rsidR="00444E8E" w:rsidRPr="005D59A7">
        <w:rPr>
          <w:rFonts w:ascii="T" w:hAnsi="T" w:cs="Simplified Arabic"/>
          <w:sz w:val="24"/>
          <w:szCs w:val="24"/>
          <w:rtl/>
        </w:rPr>
        <w:t xml:space="preserve"> </w:t>
      </w:r>
      <w:r w:rsidRPr="005D59A7">
        <w:rPr>
          <w:rFonts w:ascii="T" w:hAnsi="T" w:cs="Simplified Arabic"/>
          <w:sz w:val="24"/>
          <w:szCs w:val="24"/>
          <w:rtl/>
        </w:rPr>
        <w:t>مما</w:t>
      </w:r>
      <w:r w:rsidR="00444E8E" w:rsidRPr="005D59A7">
        <w:rPr>
          <w:rFonts w:ascii="T" w:hAnsi="T" w:cs="Simplified Arabic"/>
          <w:sz w:val="24"/>
          <w:szCs w:val="24"/>
          <w:rtl/>
        </w:rPr>
        <w:t xml:space="preserve"> </w:t>
      </w:r>
      <w:r w:rsidRPr="005D59A7">
        <w:rPr>
          <w:rFonts w:ascii="T" w:hAnsi="T" w:cs="Simplified Arabic"/>
          <w:sz w:val="24"/>
          <w:szCs w:val="24"/>
          <w:rtl/>
        </w:rPr>
        <w:t>يُسهم</w:t>
      </w:r>
      <w:r w:rsidR="00444E8E" w:rsidRPr="005D59A7">
        <w:rPr>
          <w:rFonts w:ascii="T" w:hAnsi="T" w:cs="Simplified Arabic"/>
          <w:sz w:val="24"/>
          <w:szCs w:val="24"/>
          <w:rtl/>
        </w:rPr>
        <w:t xml:space="preserve"> </w:t>
      </w:r>
      <w:r w:rsidRPr="005D59A7">
        <w:rPr>
          <w:rFonts w:ascii="T" w:hAnsi="T" w:cs="Simplified Arabic"/>
          <w:sz w:val="24"/>
          <w:szCs w:val="24"/>
          <w:rtl/>
        </w:rPr>
        <w:t>في</w:t>
      </w:r>
      <w:r w:rsidR="00444E8E" w:rsidRPr="005D59A7">
        <w:rPr>
          <w:rFonts w:ascii="T" w:hAnsi="T" w:cs="Simplified Arabic"/>
          <w:sz w:val="24"/>
          <w:szCs w:val="24"/>
          <w:rtl/>
        </w:rPr>
        <w:t xml:space="preserve"> </w:t>
      </w:r>
      <w:r w:rsidRPr="005D59A7">
        <w:rPr>
          <w:rFonts w:ascii="T" w:hAnsi="T" w:cs="Simplified Arabic"/>
          <w:sz w:val="24"/>
          <w:szCs w:val="24"/>
          <w:rtl/>
        </w:rPr>
        <w:t>تسريع</w:t>
      </w:r>
      <w:r w:rsidR="00444E8E" w:rsidRPr="005D59A7">
        <w:rPr>
          <w:rFonts w:ascii="T" w:hAnsi="T" w:cs="Simplified Arabic"/>
          <w:sz w:val="24"/>
          <w:szCs w:val="24"/>
          <w:rtl/>
        </w:rPr>
        <w:t xml:space="preserve"> </w:t>
      </w:r>
      <w:r w:rsidRPr="005D59A7">
        <w:rPr>
          <w:rFonts w:ascii="T" w:hAnsi="T" w:cs="Simplified Arabic"/>
          <w:sz w:val="24"/>
          <w:szCs w:val="24"/>
          <w:rtl/>
        </w:rPr>
        <w:t>إنجاز</w:t>
      </w:r>
      <w:r w:rsidR="00444E8E" w:rsidRPr="005D59A7">
        <w:rPr>
          <w:rFonts w:ascii="T" w:hAnsi="T" w:cs="Simplified Arabic"/>
          <w:sz w:val="24"/>
          <w:szCs w:val="24"/>
          <w:rtl/>
        </w:rPr>
        <w:t xml:space="preserve"> </w:t>
      </w:r>
      <w:r w:rsidRPr="005D59A7">
        <w:rPr>
          <w:rFonts w:ascii="T" w:hAnsi="T" w:cs="Simplified Arabic"/>
          <w:sz w:val="24"/>
          <w:szCs w:val="24"/>
          <w:rtl/>
        </w:rPr>
        <w:t>المشاريع</w:t>
      </w:r>
      <w:r w:rsidR="00444E8E" w:rsidRPr="005D59A7">
        <w:rPr>
          <w:rFonts w:ascii="T" w:hAnsi="T" w:cs="Simplified Arabic"/>
          <w:sz w:val="24"/>
          <w:szCs w:val="24"/>
          <w:rtl/>
        </w:rPr>
        <w:t xml:space="preserve"> </w:t>
      </w:r>
      <w:r w:rsidRPr="005D59A7">
        <w:rPr>
          <w:rFonts w:ascii="T" w:hAnsi="T" w:cs="Simplified Arabic"/>
          <w:sz w:val="24"/>
          <w:szCs w:val="24"/>
          <w:rtl/>
        </w:rPr>
        <w:t>وتقليل</w:t>
      </w:r>
      <w:r w:rsidR="00444E8E" w:rsidRPr="005D59A7">
        <w:rPr>
          <w:rFonts w:ascii="T" w:hAnsi="T" w:cs="Simplified Arabic"/>
          <w:sz w:val="24"/>
          <w:szCs w:val="24"/>
          <w:rtl/>
        </w:rPr>
        <w:t xml:space="preserve"> </w:t>
      </w:r>
      <w:r w:rsidRPr="005D59A7">
        <w:rPr>
          <w:rFonts w:ascii="T" w:hAnsi="T" w:cs="Simplified Arabic"/>
          <w:sz w:val="24"/>
          <w:szCs w:val="24"/>
          <w:rtl/>
        </w:rPr>
        <w:t>التأخير.</w:t>
      </w:r>
    </w:p>
    <w:p w14:paraId="62941A12" w14:textId="77777777"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الابتكار: تُحرك</w:t>
      </w:r>
      <w:r w:rsidR="00444E8E" w:rsidRPr="005D59A7">
        <w:rPr>
          <w:rFonts w:ascii="T" w:hAnsi="T" w:cs="Simplified Arabic"/>
          <w:sz w:val="24"/>
          <w:szCs w:val="24"/>
          <w:rtl/>
        </w:rPr>
        <w:t xml:space="preserve"> </w:t>
      </w:r>
      <w:r w:rsidRPr="005D59A7">
        <w:rPr>
          <w:rFonts w:ascii="T" w:hAnsi="T" w:cs="Simplified Arabic"/>
          <w:sz w:val="24"/>
          <w:szCs w:val="24"/>
          <w:rtl/>
        </w:rPr>
        <w:t>الكيانات</w:t>
      </w:r>
      <w:r w:rsidR="00444E8E" w:rsidRPr="005D59A7">
        <w:rPr>
          <w:rFonts w:ascii="T" w:hAnsi="T" w:cs="Simplified Arabic"/>
          <w:sz w:val="24"/>
          <w:szCs w:val="24"/>
          <w:rtl/>
        </w:rPr>
        <w:t xml:space="preserve"> </w:t>
      </w:r>
      <w:r w:rsidRPr="005D59A7">
        <w:rPr>
          <w:rFonts w:ascii="T" w:hAnsi="T" w:cs="Simplified Arabic"/>
          <w:sz w:val="24"/>
          <w:szCs w:val="24"/>
          <w:rtl/>
        </w:rPr>
        <w:t>الخاصة</w:t>
      </w:r>
      <w:r w:rsidR="00444E8E" w:rsidRPr="005D59A7">
        <w:rPr>
          <w:rFonts w:ascii="T" w:hAnsi="T" w:cs="Simplified Arabic"/>
          <w:sz w:val="24"/>
          <w:szCs w:val="24"/>
          <w:rtl/>
        </w:rPr>
        <w:t xml:space="preserve"> </w:t>
      </w:r>
      <w:r w:rsidRPr="005D59A7">
        <w:rPr>
          <w:rFonts w:ascii="T" w:hAnsi="T" w:cs="Simplified Arabic"/>
          <w:sz w:val="24"/>
          <w:szCs w:val="24"/>
          <w:rtl/>
        </w:rPr>
        <w:t>دوافع</w:t>
      </w:r>
      <w:r w:rsidR="00444E8E" w:rsidRPr="005D59A7">
        <w:rPr>
          <w:rFonts w:ascii="T" w:hAnsi="T" w:cs="Simplified Arabic"/>
          <w:sz w:val="24"/>
          <w:szCs w:val="24"/>
          <w:rtl/>
        </w:rPr>
        <w:t xml:space="preserve"> </w:t>
      </w:r>
      <w:r w:rsidRPr="005D59A7">
        <w:rPr>
          <w:rFonts w:ascii="T" w:hAnsi="T" w:cs="Simplified Arabic"/>
          <w:sz w:val="24"/>
          <w:szCs w:val="24"/>
          <w:rtl/>
        </w:rPr>
        <w:t>الربح</w:t>
      </w:r>
      <w:r w:rsidR="00444E8E" w:rsidRPr="005D59A7">
        <w:rPr>
          <w:rFonts w:ascii="T" w:hAnsi="T" w:cs="Simplified Arabic"/>
          <w:sz w:val="24"/>
          <w:szCs w:val="24"/>
          <w:rtl/>
        </w:rPr>
        <w:t xml:space="preserve"> </w:t>
      </w:r>
      <w:r w:rsidRPr="005D59A7">
        <w:rPr>
          <w:rFonts w:ascii="T" w:hAnsi="T" w:cs="Simplified Arabic"/>
          <w:sz w:val="24"/>
          <w:szCs w:val="24"/>
          <w:rtl/>
        </w:rPr>
        <w:t>والمنافسة،</w:t>
      </w:r>
      <w:r w:rsidR="00444E8E" w:rsidRPr="005D59A7">
        <w:rPr>
          <w:rFonts w:ascii="T" w:hAnsi="T" w:cs="Simplified Arabic"/>
          <w:sz w:val="24"/>
          <w:szCs w:val="24"/>
          <w:rtl/>
        </w:rPr>
        <w:t xml:space="preserve"> </w:t>
      </w:r>
      <w:r w:rsidRPr="005D59A7">
        <w:rPr>
          <w:rFonts w:ascii="T" w:hAnsi="T" w:cs="Simplified Arabic"/>
          <w:sz w:val="24"/>
          <w:szCs w:val="24"/>
          <w:rtl/>
        </w:rPr>
        <w:t>مما</w:t>
      </w:r>
      <w:r w:rsidR="00444E8E" w:rsidRPr="005D59A7">
        <w:rPr>
          <w:rFonts w:ascii="T" w:hAnsi="T" w:cs="Simplified Arabic"/>
          <w:sz w:val="24"/>
          <w:szCs w:val="24"/>
          <w:rtl/>
        </w:rPr>
        <w:t xml:space="preserve"> </w:t>
      </w:r>
      <w:r w:rsidRPr="005D59A7">
        <w:rPr>
          <w:rFonts w:ascii="T" w:hAnsi="T" w:cs="Simplified Arabic"/>
          <w:sz w:val="24"/>
          <w:szCs w:val="24"/>
          <w:rtl/>
        </w:rPr>
        <w:t>يُعزز</w:t>
      </w:r>
      <w:r w:rsidR="00444E8E" w:rsidRPr="005D59A7">
        <w:rPr>
          <w:rFonts w:ascii="T" w:hAnsi="T" w:cs="Simplified Arabic"/>
          <w:sz w:val="24"/>
          <w:szCs w:val="24"/>
          <w:rtl/>
        </w:rPr>
        <w:t xml:space="preserve"> </w:t>
      </w:r>
      <w:r w:rsidRPr="005D59A7">
        <w:rPr>
          <w:rFonts w:ascii="T" w:hAnsi="T" w:cs="Simplified Arabic"/>
          <w:sz w:val="24"/>
          <w:szCs w:val="24"/>
          <w:rtl/>
        </w:rPr>
        <w:t>الابتكار</w:t>
      </w:r>
      <w:r w:rsidR="00444E8E" w:rsidRPr="005D59A7">
        <w:rPr>
          <w:rFonts w:ascii="T" w:hAnsi="T" w:cs="Simplified Arabic"/>
          <w:sz w:val="24"/>
          <w:szCs w:val="24"/>
          <w:rtl/>
        </w:rPr>
        <w:t xml:space="preserve"> </w:t>
      </w:r>
      <w:r w:rsidRPr="005D59A7">
        <w:rPr>
          <w:rFonts w:ascii="T" w:hAnsi="T" w:cs="Simplified Arabic"/>
          <w:sz w:val="24"/>
          <w:szCs w:val="24"/>
          <w:rtl/>
        </w:rPr>
        <w:t>في</w:t>
      </w:r>
      <w:r w:rsidR="00444E8E" w:rsidRPr="005D59A7">
        <w:rPr>
          <w:rFonts w:ascii="T" w:hAnsi="T" w:cs="Simplified Arabic"/>
          <w:sz w:val="24"/>
          <w:szCs w:val="24"/>
          <w:rtl/>
        </w:rPr>
        <w:t xml:space="preserve"> </w:t>
      </w:r>
      <w:r w:rsidRPr="005D59A7">
        <w:rPr>
          <w:rFonts w:ascii="T" w:hAnsi="T" w:cs="Simplified Arabic"/>
          <w:sz w:val="24"/>
          <w:szCs w:val="24"/>
          <w:rtl/>
        </w:rPr>
        <w:t>التكنولوجيا</w:t>
      </w:r>
      <w:r w:rsidR="00444E8E" w:rsidRPr="005D59A7">
        <w:rPr>
          <w:rFonts w:ascii="T" w:hAnsi="T" w:cs="Simplified Arabic"/>
          <w:sz w:val="24"/>
          <w:szCs w:val="24"/>
          <w:rtl/>
        </w:rPr>
        <w:t xml:space="preserve"> </w:t>
      </w:r>
      <w:r w:rsidRPr="005D59A7">
        <w:rPr>
          <w:rFonts w:ascii="T" w:hAnsi="T" w:cs="Simplified Arabic"/>
          <w:sz w:val="24"/>
          <w:szCs w:val="24"/>
          <w:rtl/>
        </w:rPr>
        <w:t>والعمليات</w:t>
      </w:r>
      <w:r w:rsidR="00444E8E" w:rsidRPr="005D59A7">
        <w:rPr>
          <w:rFonts w:ascii="T" w:hAnsi="T" w:cs="Simplified Arabic"/>
          <w:sz w:val="24"/>
          <w:szCs w:val="24"/>
          <w:rtl/>
        </w:rPr>
        <w:t xml:space="preserve"> </w:t>
      </w:r>
      <w:r w:rsidRPr="005D59A7">
        <w:rPr>
          <w:rFonts w:ascii="T" w:hAnsi="T" w:cs="Simplified Arabic"/>
          <w:sz w:val="24"/>
          <w:szCs w:val="24"/>
          <w:rtl/>
        </w:rPr>
        <w:t>وتقديم</w:t>
      </w:r>
      <w:r w:rsidR="00444E8E" w:rsidRPr="005D59A7">
        <w:rPr>
          <w:rFonts w:ascii="T" w:hAnsi="T" w:cs="Simplified Arabic"/>
          <w:sz w:val="24"/>
          <w:szCs w:val="24"/>
          <w:rtl/>
        </w:rPr>
        <w:t xml:space="preserve"> </w:t>
      </w:r>
      <w:r w:rsidRPr="005D59A7">
        <w:rPr>
          <w:rFonts w:ascii="T" w:hAnsi="T" w:cs="Simplified Arabic"/>
          <w:sz w:val="24"/>
          <w:szCs w:val="24"/>
          <w:rtl/>
        </w:rPr>
        <w:t>الخدمات. وهذا</w:t>
      </w:r>
      <w:r w:rsidR="00444E8E" w:rsidRPr="005D59A7">
        <w:rPr>
          <w:rFonts w:ascii="T" w:hAnsi="T" w:cs="Simplified Arabic"/>
          <w:sz w:val="24"/>
          <w:szCs w:val="24"/>
          <w:rtl/>
        </w:rPr>
        <w:t xml:space="preserve"> </w:t>
      </w:r>
      <w:r w:rsidRPr="005D59A7">
        <w:rPr>
          <w:rFonts w:ascii="T" w:hAnsi="T" w:cs="Simplified Arabic"/>
          <w:sz w:val="24"/>
          <w:szCs w:val="24"/>
          <w:rtl/>
        </w:rPr>
        <w:t>يُؤدي</w:t>
      </w:r>
      <w:r w:rsidR="00444E8E" w:rsidRPr="005D59A7">
        <w:rPr>
          <w:rFonts w:ascii="T" w:hAnsi="T" w:cs="Simplified Arabic"/>
          <w:sz w:val="24"/>
          <w:szCs w:val="24"/>
          <w:rtl/>
        </w:rPr>
        <w:t xml:space="preserve"> </w:t>
      </w:r>
      <w:r w:rsidRPr="005D59A7">
        <w:rPr>
          <w:rFonts w:ascii="T" w:hAnsi="T" w:cs="Simplified Arabic"/>
          <w:sz w:val="24"/>
          <w:szCs w:val="24"/>
          <w:rtl/>
        </w:rPr>
        <w:t>إلى</w:t>
      </w:r>
      <w:r w:rsidR="00444E8E" w:rsidRPr="005D59A7">
        <w:rPr>
          <w:rFonts w:ascii="T" w:hAnsi="T" w:cs="Simplified Arabic"/>
          <w:sz w:val="24"/>
          <w:szCs w:val="24"/>
          <w:rtl/>
        </w:rPr>
        <w:t xml:space="preserve"> </w:t>
      </w:r>
      <w:r w:rsidRPr="005D59A7">
        <w:rPr>
          <w:rFonts w:ascii="T" w:hAnsi="T" w:cs="Simplified Arabic"/>
          <w:sz w:val="24"/>
          <w:szCs w:val="24"/>
          <w:rtl/>
        </w:rPr>
        <w:t>حلول</w:t>
      </w:r>
      <w:r w:rsidR="00444E8E" w:rsidRPr="005D59A7">
        <w:rPr>
          <w:rFonts w:ascii="T" w:hAnsi="T" w:cs="Simplified Arabic"/>
          <w:sz w:val="24"/>
          <w:szCs w:val="24"/>
          <w:rtl/>
        </w:rPr>
        <w:t xml:space="preserve"> </w:t>
      </w:r>
      <w:r w:rsidRPr="005D59A7">
        <w:rPr>
          <w:rFonts w:ascii="T" w:hAnsi="T" w:cs="Simplified Arabic"/>
          <w:sz w:val="24"/>
          <w:szCs w:val="24"/>
          <w:rtl/>
        </w:rPr>
        <w:t>ذات</w:t>
      </w:r>
      <w:r w:rsidR="00444E8E" w:rsidRPr="005D59A7">
        <w:rPr>
          <w:rFonts w:ascii="T" w:hAnsi="T" w:cs="Simplified Arabic"/>
          <w:sz w:val="24"/>
          <w:szCs w:val="24"/>
          <w:rtl/>
        </w:rPr>
        <w:t xml:space="preserve"> </w:t>
      </w:r>
      <w:r w:rsidRPr="005D59A7">
        <w:rPr>
          <w:rFonts w:ascii="T" w:hAnsi="T" w:cs="Simplified Arabic"/>
          <w:sz w:val="24"/>
          <w:szCs w:val="24"/>
          <w:rtl/>
        </w:rPr>
        <w:t>جودة</w:t>
      </w:r>
      <w:r w:rsidR="00444E8E" w:rsidRPr="005D59A7">
        <w:rPr>
          <w:rFonts w:ascii="T" w:hAnsi="T" w:cs="Simplified Arabic"/>
          <w:sz w:val="24"/>
          <w:szCs w:val="24"/>
          <w:rtl/>
        </w:rPr>
        <w:t xml:space="preserve"> </w:t>
      </w:r>
      <w:r w:rsidRPr="005D59A7">
        <w:rPr>
          <w:rFonts w:ascii="T" w:hAnsi="T" w:cs="Simplified Arabic"/>
          <w:sz w:val="24"/>
          <w:szCs w:val="24"/>
          <w:rtl/>
        </w:rPr>
        <w:t>أعلى</w:t>
      </w:r>
      <w:r w:rsidR="00444E8E" w:rsidRPr="005D59A7">
        <w:rPr>
          <w:rFonts w:ascii="T" w:hAnsi="T" w:cs="Simplified Arabic"/>
          <w:sz w:val="24"/>
          <w:szCs w:val="24"/>
          <w:rtl/>
        </w:rPr>
        <w:t xml:space="preserve"> </w:t>
      </w:r>
      <w:r w:rsidRPr="005D59A7">
        <w:rPr>
          <w:rFonts w:ascii="T" w:hAnsi="T" w:cs="Simplified Arabic"/>
          <w:sz w:val="24"/>
          <w:szCs w:val="24"/>
          <w:rtl/>
        </w:rPr>
        <w:t>وفعالية</w:t>
      </w:r>
      <w:r w:rsidR="00444E8E" w:rsidRPr="005D59A7">
        <w:rPr>
          <w:rFonts w:ascii="T" w:hAnsi="T" w:cs="Simplified Arabic"/>
          <w:sz w:val="24"/>
          <w:szCs w:val="24"/>
          <w:rtl/>
        </w:rPr>
        <w:t xml:space="preserve"> </w:t>
      </w:r>
      <w:r w:rsidRPr="005D59A7">
        <w:rPr>
          <w:rFonts w:ascii="T" w:hAnsi="T" w:cs="Simplified Arabic"/>
          <w:sz w:val="24"/>
          <w:szCs w:val="24"/>
          <w:rtl/>
        </w:rPr>
        <w:t>من</w:t>
      </w:r>
      <w:r w:rsidR="00444E8E" w:rsidRPr="005D59A7">
        <w:rPr>
          <w:rFonts w:ascii="T" w:hAnsi="T" w:cs="Simplified Arabic"/>
          <w:sz w:val="24"/>
          <w:szCs w:val="24"/>
          <w:rtl/>
        </w:rPr>
        <w:t xml:space="preserve"> </w:t>
      </w:r>
      <w:r w:rsidRPr="005D59A7">
        <w:rPr>
          <w:rFonts w:ascii="T" w:hAnsi="T" w:cs="Simplified Arabic"/>
          <w:sz w:val="24"/>
          <w:szCs w:val="24"/>
          <w:rtl/>
        </w:rPr>
        <w:t>حيث</w:t>
      </w:r>
      <w:r w:rsidR="00444E8E" w:rsidRPr="005D59A7">
        <w:rPr>
          <w:rFonts w:ascii="T" w:hAnsi="T" w:cs="Simplified Arabic"/>
          <w:sz w:val="24"/>
          <w:szCs w:val="24"/>
          <w:rtl/>
        </w:rPr>
        <w:t xml:space="preserve"> </w:t>
      </w:r>
      <w:r w:rsidRPr="005D59A7">
        <w:rPr>
          <w:rFonts w:ascii="T" w:hAnsi="T" w:cs="Simplified Arabic"/>
          <w:sz w:val="24"/>
          <w:szCs w:val="24"/>
          <w:rtl/>
        </w:rPr>
        <w:t>التكلفة.</w:t>
      </w:r>
    </w:p>
    <w:p w14:paraId="66B8FDC7" w14:textId="77777777" w:rsidR="005A5496"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نهج</w:t>
      </w:r>
      <w:r w:rsidR="00444E8E" w:rsidRPr="005D59A7">
        <w:rPr>
          <w:rFonts w:ascii="T" w:hAnsi="T" w:cs="Simplified Arabic"/>
          <w:sz w:val="24"/>
          <w:szCs w:val="24"/>
          <w:rtl/>
        </w:rPr>
        <w:t xml:space="preserve"> </w:t>
      </w:r>
      <w:r w:rsidRPr="005D59A7">
        <w:rPr>
          <w:rFonts w:ascii="T" w:hAnsi="T" w:cs="Simplified Arabic"/>
          <w:sz w:val="24"/>
          <w:szCs w:val="24"/>
          <w:rtl/>
        </w:rPr>
        <w:t>التكلفة</w:t>
      </w:r>
      <w:r w:rsidR="00444E8E" w:rsidRPr="005D59A7">
        <w:rPr>
          <w:rFonts w:ascii="T" w:hAnsi="T" w:cs="Simplified Arabic"/>
          <w:sz w:val="24"/>
          <w:szCs w:val="24"/>
          <w:rtl/>
        </w:rPr>
        <w:t xml:space="preserve"> </w:t>
      </w:r>
      <w:r w:rsidRPr="005D59A7">
        <w:rPr>
          <w:rFonts w:ascii="T" w:hAnsi="T" w:cs="Simplified Arabic"/>
          <w:sz w:val="24"/>
          <w:szCs w:val="24"/>
          <w:rtl/>
        </w:rPr>
        <w:t>الشاملة: غالبًا</w:t>
      </w:r>
      <w:r w:rsidR="00444E8E" w:rsidRPr="005D59A7">
        <w:rPr>
          <w:rFonts w:ascii="T" w:hAnsi="T" w:cs="Simplified Arabic"/>
          <w:sz w:val="24"/>
          <w:szCs w:val="24"/>
          <w:rtl/>
        </w:rPr>
        <w:t xml:space="preserve"> </w:t>
      </w:r>
      <w:r w:rsidRPr="005D59A7">
        <w:rPr>
          <w:rFonts w:ascii="T" w:hAnsi="T" w:cs="Simplified Arabic"/>
          <w:sz w:val="24"/>
          <w:szCs w:val="24"/>
          <w:rtl/>
        </w:rPr>
        <w:t>ما</w:t>
      </w:r>
      <w:r w:rsidR="00444E8E" w:rsidRPr="005D59A7">
        <w:rPr>
          <w:rFonts w:ascii="T" w:hAnsi="T" w:cs="Simplified Arabic"/>
          <w:sz w:val="24"/>
          <w:szCs w:val="24"/>
          <w:rtl/>
        </w:rPr>
        <w:t xml:space="preserve"> </w:t>
      </w:r>
      <w:r w:rsidRPr="005D59A7">
        <w:rPr>
          <w:rFonts w:ascii="T" w:hAnsi="T" w:cs="Simplified Arabic"/>
          <w:sz w:val="24"/>
          <w:szCs w:val="24"/>
          <w:rtl/>
        </w:rPr>
        <w:t>تُراعي</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دورة</w:t>
      </w:r>
      <w:r w:rsidR="00444E8E" w:rsidRPr="005D59A7">
        <w:rPr>
          <w:rFonts w:ascii="T" w:hAnsi="T" w:cs="Simplified Arabic"/>
          <w:sz w:val="24"/>
          <w:szCs w:val="24"/>
          <w:rtl/>
        </w:rPr>
        <w:t xml:space="preserve"> </w:t>
      </w:r>
      <w:r w:rsidRPr="005D59A7">
        <w:rPr>
          <w:rFonts w:ascii="T" w:hAnsi="T" w:cs="Simplified Arabic"/>
          <w:sz w:val="24"/>
          <w:szCs w:val="24"/>
          <w:rtl/>
        </w:rPr>
        <w:t>حياة</w:t>
      </w:r>
      <w:r w:rsidR="00444E8E" w:rsidRPr="005D59A7">
        <w:rPr>
          <w:rFonts w:ascii="T" w:hAnsi="T" w:cs="Simplified Arabic"/>
          <w:sz w:val="24"/>
          <w:szCs w:val="24"/>
          <w:rtl/>
        </w:rPr>
        <w:t xml:space="preserve"> </w:t>
      </w:r>
      <w:r w:rsidRPr="005D59A7">
        <w:rPr>
          <w:rFonts w:ascii="T" w:hAnsi="T" w:cs="Simplified Arabic"/>
          <w:sz w:val="24"/>
          <w:szCs w:val="24"/>
          <w:rtl/>
        </w:rPr>
        <w:t>المشروع</w:t>
      </w:r>
      <w:r w:rsidR="00444E8E" w:rsidRPr="005D59A7">
        <w:rPr>
          <w:rFonts w:ascii="T" w:hAnsi="T" w:cs="Simplified Arabic"/>
          <w:sz w:val="24"/>
          <w:szCs w:val="24"/>
          <w:rtl/>
        </w:rPr>
        <w:t xml:space="preserve"> </w:t>
      </w:r>
      <w:r w:rsidRPr="005D59A7">
        <w:rPr>
          <w:rFonts w:ascii="T" w:hAnsi="T" w:cs="Simplified Arabic"/>
          <w:sz w:val="24"/>
          <w:szCs w:val="24"/>
          <w:rtl/>
        </w:rPr>
        <w:t>بأكملها،</w:t>
      </w:r>
      <w:r w:rsidR="00444E8E" w:rsidRPr="005D59A7">
        <w:rPr>
          <w:rFonts w:ascii="T" w:hAnsi="T" w:cs="Simplified Arabic"/>
          <w:sz w:val="24"/>
          <w:szCs w:val="24"/>
          <w:rtl/>
        </w:rPr>
        <w:t xml:space="preserve"> </w:t>
      </w:r>
      <w:r w:rsidRPr="005D59A7">
        <w:rPr>
          <w:rFonts w:ascii="T" w:hAnsi="T" w:cs="Simplified Arabic"/>
          <w:sz w:val="24"/>
          <w:szCs w:val="24"/>
          <w:rtl/>
        </w:rPr>
        <w:t>مما</w:t>
      </w:r>
      <w:r w:rsidR="00444E8E" w:rsidRPr="005D59A7">
        <w:rPr>
          <w:rFonts w:ascii="T" w:hAnsi="T" w:cs="Simplified Arabic"/>
          <w:sz w:val="24"/>
          <w:szCs w:val="24"/>
          <w:rtl/>
        </w:rPr>
        <w:t xml:space="preserve"> </w:t>
      </w:r>
      <w:r w:rsidRPr="005D59A7">
        <w:rPr>
          <w:rFonts w:ascii="T" w:hAnsi="T" w:cs="Simplified Arabic"/>
          <w:sz w:val="24"/>
          <w:szCs w:val="24"/>
          <w:rtl/>
        </w:rPr>
        <w:t>يُحفز</w:t>
      </w:r>
      <w:r w:rsidR="00444E8E" w:rsidRPr="005D59A7">
        <w:rPr>
          <w:rFonts w:ascii="T" w:hAnsi="T" w:cs="Simplified Arabic"/>
          <w:sz w:val="24"/>
          <w:szCs w:val="24"/>
          <w:rtl/>
        </w:rPr>
        <w:t xml:space="preserve"> </w:t>
      </w:r>
      <w:r w:rsidRPr="005D59A7">
        <w:rPr>
          <w:rFonts w:ascii="T" w:hAnsi="T" w:cs="Simplified Arabic"/>
          <w:sz w:val="24"/>
          <w:szCs w:val="24"/>
          <w:rtl/>
        </w:rPr>
        <w:t>الشركاء</w:t>
      </w:r>
      <w:r w:rsidR="00444E8E" w:rsidRPr="005D59A7">
        <w:rPr>
          <w:rFonts w:ascii="T" w:hAnsi="T" w:cs="Simplified Arabic"/>
          <w:sz w:val="24"/>
          <w:szCs w:val="24"/>
          <w:rtl/>
        </w:rPr>
        <w:t xml:space="preserve"> </w:t>
      </w:r>
      <w:r w:rsidRPr="005D59A7">
        <w:rPr>
          <w:rFonts w:ascii="T" w:hAnsi="T" w:cs="Simplified Arabic"/>
          <w:sz w:val="24"/>
          <w:szCs w:val="24"/>
          <w:rtl/>
        </w:rPr>
        <w:t>من</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تحسين</w:t>
      </w:r>
      <w:r w:rsidR="00444E8E" w:rsidRPr="005D59A7">
        <w:rPr>
          <w:rFonts w:ascii="T" w:hAnsi="T" w:cs="Simplified Arabic"/>
          <w:sz w:val="24"/>
          <w:szCs w:val="24"/>
          <w:rtl/>
        </w:rPr>
        <w:t xml:space="preserve"> </w:t>
      </w:r>
      <w:r w:rsidRPr="005D59A7">
        <w:rPr>
          <w:rFonts w:ascii="T" w:hAnsi="T" w:cs="Simplified Arabic"/>
          <w:sz w:val="24"/>
          <w:szCs w:val="24"/>
          <w:rtl/>
        </w:rPr>
        <w:t>أعمال</w:t>
      </w:r>
      <w:r w:rsidR="00444E8E" w:rsidRPr="005D59A7">
        <w:rPr>
          <w:rFonts w:ascii="T" w:hAnsi="T" w:cs="Simplified Arabic"/>
          <w:sz w:val="24"/>
          <w:szCs w:val="24"/>
          <w:rtl/>
        </w:rPr>
        <w:t xml:space="preserve"> </w:t>
      </w:r>
      <w:r w:rsidRPr="005D59A7">
        <w:rPr>
          <w:rFonts w:ascii="T" w:hAnsi="T" w:cs="Simplified Arabic"/>
          <w:sz w:val="24"/>
          <w:szCs w:val="24"/>
          <w:rtl/>
        </w:rPr>
        <w:t>البناء</w:t>
      </w:r>
      <w:r w:rsidR="00444E8E" w:rsidRPr="005D59A7">
        <w:rPr>
          <w:rFonts w:ascii="T" w:hAnsi="T" w:cs="Simplified Arabic"/>
          <w:sz w:val="24"/>
          <w:szCs w:val="24"/>
          <w:rtl/>
        </w:rPr>
        <w:t xml:space="preserve"> </w:t>
      </w:r>
      <w:r w:rsidRPr="005D59A7">
        <w:rPr>
          <w:rFonts w:ascii="T" w:hAnsi="T" w:cs="Simplified Arabic"/>
          <w:sz w:val="24"/>
          <w:szCs w:val="24"/>
          <w:rtl/>
        </w:rPr>
        <w:t>والصيانة</w:t>
      </w:r>
      <w:r w:rsidR="00444E8E" w:rsidRPr="005D59A7">
        <w:rPr>
          <w:rFonts w:ascii="T" w:hAnsi="T" w:cs="Simplified Arabic"/>
          <w:sz w:val="24"/>
          <w:szCs w:val="24"/>
          <w:rtl/>
        </w:rPr>
        <w:t xml:space="preserve"> </w:t>
      </w:r>
      <w:r w:rsidRPr="005D59A7">
        <w:rPr>
          <w:rFonts w:ascii="T" w:hAnsi="T" w:cs="Simplified Arabic"/>
          <w:sz w:val="24"/>
          <w:szCs w:val="24"/>
          <w:rtl/>
        </w:rPr>
        <w:t>المستمرة</w:t>
      </w:r>
      <w:r w:rsidR="00444E8E" w:rsidRPr="005D59A7">
        <w:rPr>
          <w:rFonts w:ascii="T" w:hAnsi="T" w:cs="Simplified Arabic"/>
          <w:sz w:val="24"/>
          <w:szCs w:val="24"/>
          <w:rtl/>
        </w:rPr>
        <w:t xml:space="preserve"> </w:t>
      </w:r>
      <w:r w:rsidRPr="005D59A7">
        <w:rPr>
          <w:rFonts w:ascii="T" w:hAnsi="T" w:cs="Simplified Arabic"/>
          <w:sz w:val="24"/>
          <w:szCs w:val="24"/>
          <w:rtl/>
        </w:rPr>
        <w:t>لتقليل</w:t>
      </w:r>
      <w:r w:rsidR="00444E8E" w:rsidRPr="005D59A7">
        <w:rPr>
          <w:rFonts w:ascii="T" w:hAnsi="T" w:cs="Simplified Arabic"/>
          <w:sz w:val="24"/>
          <w:szCs w:val="24"/>
          <w:rtl/>
        </w:rPr>
        <w:t xml:space="preserve"> </w:t>
      </w:r>
      <w:r w:rsidRPr="005D59A7">
        <w:rPr>
          <w:rFonts w:ascii="T" w:hAnsi="T" w:cs="Simplified Arabic"/>
          <w:sz w:val="24"/>
          <w:szCs w:val="24"/>
          <w:rtl/>
        </w:rPr>
        <w:t>التكاليف</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المدى</w:t>
      </w:r>
      <w:r w:rsidR="00444E8E" w:rsidRPr="005D59A7">
        <w:rPr>
          <w:rFonts w:ascii="T" w:hAnsi="T" w:cs="Simplified Arabic"/>
          <w:sz w:val="24"/>
          <w:szCs w:val="24"/>
          <w:rtl/>
        </w:rPr>
        <w:t xml:space="preserve"> </w:t>
      </w:r>
      <w:r w:rsidRPr="005D59A7">
        <w:rPr>
          <w:rFonts w:ascii="T" w:hAnsi="T" w:cs="Simplified Arabic"/>
          <w:sz w:val="24"/>
          <w:szCs w:val="24"/>
          <w:rtl/>
        </w:rPr>
        <w:t>الطويل.</w:t>
      </w:r>
    </w:p>
    <w:p w14:paraId="4E0D94E8" w14:textId="03251EDE"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تقاسم</w:t>
      </w:r>
      <w:r w:rsidR="00444E8E" w:rsidRPr="005D59A7">
        <w:rPr>
          <w:rFonts w:ascii="T" w:hAnsi="T" w:cs="Simplified Arabic"/>
          <w:sz w:val="24"/>
          <w:szCs w:val="24"/>
          <w:rtl/>
        </w:rPr>
        <w:t xml:space="preserve"> </w:t>
      </w:r>
      <w:r w:rsidRPr="005D59A7">
        <w:rPr>
          <w:rFonts w:ascii="T" w:hAnsi="T" w:cs="Simplified Arabic"/>
          <w:sz w:val="24"/>
          <w:szCs w:val="24"/>
          <w:rtl/>
        </w:rPr>
        <w:t>المخاطر</w:t>
      </w:r>
      <w:r w:rsidR="00444E8E" w:rsidRPr="005D59A7">
        <w:rPr>
          <w:rFonts w:ascii="T" w:hAnsi="T" w:cs="Simplified Arabic"/>
          <w:sz w:val="24"/>
          <w:szCs w:val="24"/>
          <w:rtl/>
        </w:rPr>
        <w:t xml:space="preserve"> </w:t>
      </w:r>
      <w:r w:rsidRPr="005D59A7">
        <w:rPr>
          <w:rFonts w:ascii="T" w:hAnsi="T" w:cs="Simplified Arabic"/>
          <w:sz w:val="24"/>
          <w:szCs w:val="24"/>
          <w:rtl/>
        </w:rPr>
        <w:t>وإدارتها:التوزيع</w:t>
      </w:r>
      <w:r w:rsidR="00444E8E" w:rsidRPr="005D59A7">
        <w:rPr>
          <w:rFonts w:ascii="T" w:hAnsi="T" w:cs="Simplified Arabic"/>
          <w:sz w:val="24"/>
          <w:szCs w:val="24"/>
          <w:rtl/>
        </w:rPr>
        <w:t xml:space="preserve"> </w:t>
      </w:r>
      <w:r w:rsidRPr="005D59A7">
        <w:rPr>
          <w:rFonts w:ascii="T" w:hAnsi="T" w:cs="Simplified Arabic"/>
          <w:sz w:val="24"/>
          <w:szCs w:val="24"/>
          <w:rtl/>
        </w:rPr>
        <w:t>الأمثل</w:t>
      </w:r>
      <w:r w:rsidR="00444E8E" w:rsidRPr="005D59A7">
        <w:rPr>
          <w:rFonts w:ascii="T" w:hAnsi="T" w:cs="Simplified Arabic"/>
          <w:sz w:val="24"/>
          <w:szCs w:val="24"/>
          <w:rtl/>
        </w:rPr>
        <w:t xml:space="preserve"> </w:t>
      </w:r>
      <w:r w:rsidRPr="005D59A7">
        <w:rPr>
          <w:rFonts w:ascii="T" w:hAnsi="T" w:cs="Simplified Arabic"/>
          <w:sz w:val="24"/>
          <w:szCs w:val="24"/>
          <w:rtl/>
        </w:rPr>
        <w:t>للمخاطر: تُتيح</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توزيع</w:t>
      </w:r>
      <w:r w:rsidR="00444E8E" w:rsidRPr="005D59A7">
        <w:rPr>
          <w:rFonts w:ascii="T" w:hAnsi="T" w:cs="Simplified Arabic"/>
          <w:sz w:val="24"/>
          <w:szCs w:val="24"/>
          <w:rtl/>
        </w:rPr>
        <w:t xml:space="preserve"> </w:t>
      </w:r>
      <w:r w:rsidRPr="005D59A7">
        <w:rPr>
          <w:rFonts w:ascii="T" w:hAnsi="T" w:cs="Simplified Arabic"/>
          <w:sz w:val="24"/>
          <w:szCs w:val="24"/>
          <w:rtl/>
        </w:rPr>
        <w:t>المخاطر</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الكيانات</w:t>
      </w:r>
      <w:r w:rsidR="00444E8E" w:rsidRPr="005D59A7">
        <w:rPr>
          <w:rFonts w:ascii="T" w:hAnsi="T" w:cs="Simplified Arabic"/>
          <w:sz w:val="24"/>
          <w:szCs w:val="24"/>
          <w:rtl/>
        </w:rPr>
        <w:t xml:space="preserve"> </w:t>
      </w:r>
      <w:r w:rsidRPr="005D59A7">
        <w:rPr>
          <w:rFonts w:ascii="T" w:hAnsi="T" w:cs="Simplified Arabic"/>
          <w:sz w:val="24"/>
          <w:szCs w:val="24"/>
          <w:rtl/>
        </w:rPr>
        <w:t>العامة</w:t>
      </w:r>
      <w:r w:rsidR="00444E8E" w:rsidRPr="005D59A7">
        <w:rPr>
          <w:rFonts w:ascii="T" w:hAnsi="T" w:cs="Simplified Arabic"/>
          <w:sz w:val="24"/>
          <w:szCs w:val="24"/>
          <w:rtl/>
        </w:rPr>
        <w:t xml:space="preserve"> </w:t>
      </w:r>
      <w:r w:rsidRPr="005D59A7">
        <w:rPr>
          <w:rFonts w:ascii="T" w:hAnsi="T" w:cs="Simplified Arabic"/>
          <w:sz w:val="24"/>
          <w:szCs w:val="24"/>
          <w:rtl/>
        </w:rPr>
        <w:t>والخاصة،</w:t>
      </w:r>
      <w:r w:rsidR="00444E8E" w:rsidRPr="005D59A7">
        <w:rPr>
          <w:rFonts w:ascii="T" w:hAnsi="T" w:cs="Simplified Arabic"/>
          <w:sz w:val="24"/>
          <w:szCs w:val="24"/>
          <w:rtl/>
        </w:rPr>
        <w:t xml:space="preserve"> </w:t>
      </w:r>
      <w:r w:rsidRPr="005D59A7">
        <w:rPr>
          <w:rFonts w:ascii="T" w:hAnsi="T" w:cs="Simplified Arabic"/>
          <w:sz w:val="24"/>
          <w:szCs w:val="24"/>
          <w:rtl/>
        </w:rPr>
        <w:t>حيث</w:t>
      </w:r>
      <w:r w:rsidR="00444E8E" w:rsidRPr="005D59A7">
        <w:rPr>
          <w:rFonts w:ascii="T" w:hAnsi="T" w:cs="Simplified Arabic"/>
          <w:sz w:val="24"/>
          <w:szCs w:val="24"/>
          <w:rtl/>
        </w:rPr>
        <w:t xml:space="preserve"> </w:t>
      </w:r>
      <w:r w:rsidRPr="005D59A7">
        <w:rPr>
          <w:rFonts w:ascii="T" w:hAnsi="T" w:cs="Simplified Arabic"/>
          <w:sz w:val="24"/>
          <w:szCs w:val="24"/>
          <w:rtl/>
        </w:rPr>
        <w:t>يتحمل</w:t>
      </w:r>
      <w:r w:rsidR="00444E8E" w:rsidRPr="005D59A7">
        <w:rPr>
          <w:rFonts w:ascii="T" w:hAnsi="T" w:cs="Simplified Arabic"/>
          <w:sz w:val="24"/>
          <w:szCs w:val="24"/>
          <w:rtl/>
        </w:rPr>
        <w:t xml:space="preserve"> </w:t>
      </w:r>
      <w:r w:rsidRPr="005D59A7">
        <w:rPr>
          <w:rFonts w:ascii="T" w:hAnsi="T" w:cs="Simplified Arabic"/>
          <w:sz w:val="24"/>
          <w:szCs w:val="24"/>
          <w:rtl/>
        </w:rPr>
        <w:t>كل</w:t>
      </w:r>
      <w:r w:rsidR="00444E8E" w:rsidRPr="005D59A7">
        <w:rPr>
          <w:rFonts w:ascii="T" w:hAnsi="T" w:cs="Simplified Arabic"/>
          <w:sz w:val="24"/>
          <w:szCs w:val="24"/>
          <w:rtl/>
        </w:rPr>
        <w:t xml:space="preserve"> </w:t>
      </w:r>
      <w:r w:rsidRPr="005D59A7">
        <w:rPr>
          <w:rFonts w:ascii="T" w:hAnsi="T" w:cs="Simplified Arabic"/>
          <w:sz w:val="24"/>
          <w:szCs w:val="24"/>
          <w:rtl/>
        </w:rPr>
        <w:t>طرف</w:t>
      </w:r>
      <w:r w:rsidR="00444E8E" w:rsidRPr="005D59A7">
        <w:rPr>
          <w:rFonts w:ascii="T" w:hAnsi="T" w:cs="Simplified Arabic"/>
          <w:sz w:val="24"/>
          <w:szCs w:val="24"/>
          <w:rtl/>
        </w:rPr>
        <w:t xml:space="preserve"> </w:t>
      </w:r>
      <w:r w:rsidRPr="005D59A7">
        <w:rPr>
          <w:rFonts w:ascii="T" w:hAnsi="T" w:cs="Simplified Arabic"/>
          <w:sz w:val="24"/>
          <w:szCs w:val="24"/>
          <w:rtl/>
        </w:rPr>
        <w:t>المخاطر</w:t>
      </w:r>
      <w:r w:rsidR="00444E8E" w:rsidRPr="005D59A7">
        <w:rPr>
          <w:rFonts w:ascii="T" w:hAnsi="T" w:cs="Simplified Arabic"/>
          <w:sz w:val="24"/>
          <w:szCs w:val="24"/>
          <w:rtl/>
        </w:rPr>
        <w:t xml:space="preserve"> </w:t>
      </w:r>
      <w:r w:rsidRPr="005D59A7">
        <w:rPr>
          <w:rFonts w:ascii="T" w:hAnsi="T" w:cs="Simplified Arabic"/>
          <w:sz w:val="24"/>
          <w:szCs w:val="24"/>
          <w:rtl/>
        </w:rPr>
        <w:t>التي</w:t>
      </w:r>
      <w:r w:rsidR="00444E8E" w:rsidRPr="005D59A7">
        <w:rPr>
          <w:rFonts w:ascii="T" w:hAnsi="T" w:cs="Simplified Arabic"/>
          <w:sz w:val="24"/>
          <w:szCs w:val="24"/>
          <w:rtl/>
        </w:rPr>
        <w:t xml:space="preserve"> </w:t>
      </w:r>
      <w:r w:rsidRPr="005D59A7">
        <w:rPr>
          <w:rFonts w:ascii="T" w:hAnsi="T" w:cs="Simplified Arabic"/>
          <w:sz w:val="24"/>
          <w:szCs w:val="24"/>
          <w:rtl/>
        </w:rPr>
        <w:t>يُعدّ</w:t>
      </w:r>
      <w:r w:rsidR="00444E8E" w:rsidRPr="005D59A7">
        <w:rPr>
          <w:rFonts w:ascii="T" w:hAnsi="T" w:cs="Simplified Arabic"/>
          <w:sz w:val="24"/>
          <w:szCs w:val="24"/>
          <w:rtl/>
        </w:rPr>
        <w:t xml:space="preserve"> </w:t>
      </w:r>
      <w:r w:rsidRPr="005D59A7">
        <w:rPr>
          <w:rFonts w:ascii="T" w:hAnsi="T" w:cs="Simplified Arabic"/>
          <w:sz w:val="24"/>
          <w:szCs w:val="24"/>
          <w:rtl/>
        </w:rPr>
        <w:t>الأقدر</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تقييمها</w:t>
      </w:r>
      <w:r w:rsidR="00444E8E" w:rsidRPr="005D59A7">
        <w:rPr>
          <w:rFonts w:ascii="T" w:hAnsi="T" w:cs="Simplified Arabic"/>
          <w:sz w:val="24"/>
          <w:szCs w:val="24"/>
          <w:rtl/>
        </w:rPr>
        <w:t xml:space="preserve"> </w:t>
      </w:r>
      <w:r w:rsidRPr="005D59A7">
        <w:rPr>
          <w:rFonts w:ascii="T" w:hAnsi="T" w:cs="Simplified Arabic"/>
          <w:sz w:val="24"/>
          <w:szCs w:val="24"/>
          <w:rtl/>
        </w:rPr>
        <w:t>والتحكم</w:t>
      </w:r>
      <w:r w:rsidR="00444E8E" w:rsidRPr="005D59A7">
        <w:rPr>
          <w:rFonts w:ascii="T" w:hAnsi="T" w:cs="Simplified Arabic"/>
          <w:sz w:val="24"/>
          <w:szCs w:val="24"/>
          <w:rtl/>
        </w:rPr>
        <w:t xml:space="preserve"> </w:t>
      </w:r>
      <w:r w:rsidRPr="005D59A7">
        <w:rPr>
          <w:rFonts w:ascii="T" w:hAnsi="T" w:cs="Simplified Arabic"/>
          <w:sz w:val="24"/>
          <w:szCs w:val="24"/>
          <w:rtl/>
        </w:rPr>
        <w:t>فيها</w:t>
      </w:r>
      <w:r w:rsidR="00444E8E" w:rsidRPr="005D59A7">
        <w:rPr>
          <w:rFonts w:ascii="T" w:hAnsi="T" w:cs="Simplified Arabic"/>
          <w:sz w:val="24"/>
          <w:szCs w:val="24"/>
          <w:rtl/>
        </w:rPr>
        <w:t xml:space="preserve"> </w:t>
      </w:r>
      <w:r w:rsidRPr="005D59A7">
        <w:rPr>
          <w:rFonts w:ascii="T" w:hAnsi="T" w:cs="Simplified Arabic"/>
          <w:sz w:val="24"/>
          <w:szCs w:val="24"/>
          <w:rtl/>
        </w:rPr>
        <w:t>ومواجهتها. ويشمل</w:t>
      </w:r>
      <w:r w:rsidR="00444E8E" w:rsidRPr="005D59A7">
        <w:rPr>
          <w:rFonts w:ascii="T" w:hAnsi="T" w:cs="Simplified Arabic"/>
          <w:sz w:val="24"/>
          <w:szCs w:val="24"/>
          <w:rtl/>
        </w:rPr>
        <w:t xml:space="preserve"> </w:t>
      </w:r>
      <w:r w:rsidRPr="005D59A7">
        <w:rPr>
          <w:rFonts w:ascii="T" w:hAnsi="T" w:cs="Simplified Arabic"/>
          <w:sz w:val="24"/>
          <w:szCs w:val="24"/>
          <w:rtl/>
        </w:rPr>
        <w:t>ذلك</w:t>
      </w:r>
      <w:r w:rsidR="00444E8E" w:rsidRPr="005D59A7">
        <w:rPr>
          <w:rFonts w:ascii="T" w:hAnsi="T" w:cs="Simplified Arabic"/>
          <w:sz w:val="24"/>
          <w:szCs w:val="24"/>
          <w:rtl/>
        </w:rPr>
        <w:t xml:space="preserve"> </w:t>
      </w:r>
      <w:r w:rsidRPr="005D59A7">
        <w:rPr>
          <w:rFonts w:ascii="T" w:hAnsi="T" w:cs="Simplified Arabic"/>
          <w:sz w:val="24"/>
          <w:szCs w:val="24"/>
          <w:rtl/>
        </w:rPr>
        <w:t>مخاطر</w:t>
      </w:r>
      <w:r w:rsidR="00444E8E" w:rsidRPr="005D59A7">
        <w:rPr>
          <w:rFonts w:ascii="T" w:hAnsi="T" w:cs="Simplified Arabic"/>
          <w:sz w:val="24"/>
          <w:szCs w:val="24"/>
          <w:rtl/>
        </w:rPr>
        <w:t xml:space="preserve"> </w:t>
      </w:r>
      <w:r w:rsidRPr="005D59A7">
        <w:rPr>
          <w:rFonts w:ascii="T" w:hAnsi="T" w:cs="Simplified Arabic"/>
          <w:sz w:val="24"/>
          <w:szCs w:val="24"/>
          <w:rtl/>
        </w:rPr>
        <w:t>البناء،</w:t>
      </w:r>
      <w:r w:rsidR="00444E8E" w:rsidRPr="005D59A7">
        <w:rPr>
          <w:rFonts w:ascii="T" w:hAnsi="T" w:cs="Simplified Arabic"/>
          <w:sz w:val="24"/>
          <w:szCs w:val="24"/>
          <w:rtl/>
        </w:rPr>
        <w:t xml:space="preserve"> </w:t>
      </w:r>
      <w:r w:rsidRPr="005D59A7">
        <w:rPr>
          <w:rFonts w:ascii="T" w:hAnsi="T" w:cs="Simplified Arabic"/>
          <w:sz w:val="24"/>
          <w:szCs w:val="24"/>
          <w:rtl/>
        </w:rPr>
        <w:t>والمخاطر</w:t>
      </w:r>
      <w:r w:rsidR="00444E8E" w:rsidRPr="005D59A7">
        <w:rPr>
          <w:rFonts w:ascii="T" w:hAnsi="T" w:cs="Simplified Arabic"/>
          <w:sz w:val="24"/>
          <w:szCs w:val="24"/>
          <w:rtl/>
        </w:rPr>
        <w:t xml:space="preserve"> </w:t>
      </w:r>
      <w:r w:rsidRPr="005D59A7">
        <w:rPr>
          <w:rFonts w:ascii="T" w:hAnsi="T" w:cs="Simplified Arabic"/>
          <w:sz w:val="24"/>
          <w:szCs w:val="24"/>
          <w:rtl/>
        </w:rPr>
        <w:t>التشغيلية،</w:t>
      </w:r>
      <w:r w:rsidR="00444E8E" w:rsidRPr="005D59A7">
        <w:rPr>
          <w:rFonts w:ascii="T" w:hAnsi="T" w:cs="Simplified Arabic"/>
          <w:sz w:val="24"/>
          <w:szCs w:val="24"/>
          <w:rtl/>
        </w:rPr>
        <w:t xml:space="preserve"> </w:t>
      </w:r>
      <w:r w:rsidRPr="005D59A7">
        <w:rPr>
          <w:rFonts w:ascii="T" w:hAnsi="T" w:cs="Simplified Arabic"/>
          <w:sz w:val="24"/>
          <w:szCs w:val="24"/>
          <w:rtl/>
        </w:rPr>
        <w:t>والمخاطر</w:t>
      </w:r>
      <w:r w:rsidR="00444E8E" w:rsidRPr="005D59A7">
        <w:rPr>
          <w:rFonts w:ascii="T" w:hAnsi="T" w:cs="Simplified Arabic"/>
          <w:sz w:val="24"/>
          <w:szCs w:val="24"/>
          <w:rtl/>
        </w:rPr>
        <w:t xml:space="preserve"> </w:t>
      </w:r>
      <w:r w:rsidRPr="005D59A7">
        <w:rPr>
          <w:rFonts w:ascii="T" w:hAnsi="T" w:cs="Simplified Arabic"/>
          <w:sz w:val="24"/>
          <w:szCs w:val="24"/>
          <w:rtl/>
        </w:rPr>
        <w:t>المالية.</w:t>
      </w:r>
    </w:p>
    <w:p w14:paraId="7A1679DF" w14:textId="77777777" w:rsidR="00EA148A"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المساءلة: غالبًا</w:t>
      </w:r>
      <w:r w:rsidR="00444E8E" w:rsidRPr="005D59A7">
        <w:rPr>
          <w:rFonts w:ascii="T" w:hAnsi="T" w:cs="Simplified Arabic"/>
          <w:sz w:val="24"/>
          <w:szCs w:val="24"/>
          <w:rtl/>
        </w:rPr>
        <w:t xml:space="preserve"> </w:t>
      </w:r>
      <w:r w:rsidRPr="005D59A7">
        <w:rPr>
          <w:rFonts w:ascii="T" w:hAnsi="T" w:cs="Simplified Arabic"/>
          <w:sz w:val="24"/>
          <w:szCs w:val="24"/>
          <w:rtl/>
        </w:rPr>
        <w:t>ما</w:t>
      </w:r>
      <w:r w:rsidR="00444E8E" w:rsidRPr="005D59A7">
        <w:rPr>
          <w:rFonts w:ascii="T" w:hAnsi="T" w:cs="Simplified Arabic"/>
          <w:sz w:val="24"/>
          <w:szCs w:val="24"/>
          <w:rtl/>
        </w:rPr>
        <w:t xml:space="preserve"> </w:t>
      </w:r>
      <w:r w:rsidRPr="005D59A7">
        <w:rPr>
          <w:rFonts w:ascii="T" w:hAnsi="T" w:cs="Simplified Arabic"/>
          <w:sz w:val="24"/>
          <w:szCs w:val="24"/>
          <w:rtl/>
        </w:rPr>
        <w:t>تتضمن</w:t>
      </w:r>
      <w:r w:rsidR="00444E8E" w:rsidRPr="005D59A7">
        <w:rPr>
          <w:rFonts w:ascii="T" w:hAnsi="T" w:cs="Simplified Arabic"/>
          <w:sz w:val="24"/>
          <w:szCs w:val="24"/>
          <w:rtl/>
        </w:rPr>
        <w:t xml:space="preserve"> </w:t>
      </w:r>
      <w:r w:rsidRPr="005D59A7">
        <w:rPr>
          <w:rFonts w:ascii="T" w:hAnsi="T" w:cs="Simplified Arabic"/>
          <w:sz w:val="24"/>
          <w:szCs w:val="24"/>
          <w:rtl/>
        </w:rPr>
        <w:t>الاتفاقيات</w:t>
      </w:r>
      <w:r w:rsidR="00444E8E" w:rsidRPr="005D59A7">
        <w:rPr>
          <w:rFonts w:ascii="T" w:hAnsi="T" w:cs="Simplified Arabic"/>
          <w:sz w:val="24"/>
          <w:szCs w:val="24"/>
          <w:rtl/>
        </w:rPr>
        <w:t xml:space="preserve"> </w:t>
      </w:r>
      <w:r w:rsidRPr="005D59A7">
        <w:rPr>
          <w:rFonts w:ascii="T" w:hAnsi="T" w:cs="Simplified Arabic"/>
          <w:sz w:val="24"/>
          <w:szCs w:val="24"/>
          <w:rtl/>
        </w:rPr>
        <w:t>التعاقدية</w:t>
      </w:r>
      <w:r w:rsidR="00444E8E" w:rsidRPr="005D59A7">
        <w:rPr>
          <w:rFonts w:ascii="T" w:hAnsi="T" w:cs="Simplified Arabic"/>
          <w:sz w:val="24"/>
          <w:szCs w:val="24"/>
          <w:rtl/>
        </w:rPr>
        <w:t xml:space="preserve"> </w:t>
      </w:r>
      <w:r w:rsidRPr="005D59A7">
        <w:rPr>
          <w:rFonts w:ascii="T" w:hAnsi="T" w:cs="Simplified Arabic"/>
          <w:sz w:val="24"/>
          <w:szCs w:val="24"/>
          <w:rtl/>
        </w:rPr>
        <w:t>في</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مؤشرات</w:t>
      </w:r>
      <w:r w:rsidR="00444E8E" w:rsidRPr="005D59A7">
        <w:rPr>
          <w:rFonts w:ascii="T" w:hAnsi="T" w:cs="Simplified Arabic"/>
          <w:sz w:val="24"/>
          <w:szCs w:val="24"/>
          <w:rtl/>
        </w:rPr>
        <w:t xml:space="preserve"> </w:t>
      </w:r>
      <w:r w:rsidRPr="005D59A7">
        <w:rPr>
          <w:rFonts w:ascii="T" w:hAnsi="T" w:cs="Simplified Arabic"/>
          <w:sz w:val="24"/>
          <w:szCs w:val="24"/>
          <w:rtl/>
        </w:rPr>
        <w:t>ومعايير</w:t>
      </w:r>
      <w:r w:rsidR="00444E8E" w:rsidRPr="005D59A7">
        <w:rPr>
          <w:rFonts w:ascii="T" w:hAnsi="T" w:cs="Simplified Arabic"/>
          <w:sz w:val="24"/>
          <w:szCs w:val="24"/>
          <w:rtl/>
        </w:rPr>
        <w:t xml:space="preserve"> </w:t>
      </w:r>
      <w:r w:rsidRPr="005D59A7">
        <w:rPr>
          <w:rFonts w:ascii="T" w:hAnsi="T" w:cs="Simplified Arabic"/>
          <w:sz w:val="24"/>
          <w:szCs w:val="24"/>
          <w:rtl/>
        </w:rPr>
        <w:t>أداء</w:t>
      </w:r>
      <w:r w:rsidR="00444E8E" w:rsidRPr="005D59A7">
        <w:rPr>
          <w:rFonts w:ascii="T" w:hAnsi="T" w:cs="Simplified Arabic"/>
          <w:sz w:val="24"/>
          <w:szCs w:val="24"/>
          <w:rtl/>
        </w:rPr>
        <w:t xml:space="preserve"> </w:t>
      </w:r>
      <w:r w:rsidRPr="005D59A7">
        <w:rPr>
          <w:rFonts w:ascii="T" w:hAnsi="T" w:cs="Simplified Arabic"/>
          <w:sz w:val="24"/>
          <w:szCs w:val="24"/>
          <w:rtl/>
        </w:rPr>
        <w:t>واضحة،</w:t>
      </w:r>
      <w:r w:rsidR="00444E8E" w:rsidRPr="005D59A7">
        <w:rPr>
          <w:rFonts w:ascii="T" w:hAnsi="T" w:cs="Simplified Arabic"/>
          <w:sz w:val="24"/>
          <w:szCs w:val="24"/>
          <w:rtl/>
        </w:rPr>
        <w:t xml:space="preserve"> </w:t>
      </w:r>
      <w:r w:rsidRPr="005D59A7">
        <w:rPr>
          <w:rFonts w:ascii="T" w:hAnsi="T" w:cs="Simplified Arabic"/>
          <w:sz w:val="24"/>
          <w:szCs w:val="24"/>
          <w:rtl/>
        </w:rPr>
        <w:t>تُحمّل</w:t>
      </w:r>
      <w:r w:rsidR="00444E8E" w:rsidRPr="005D59A7">
        <w:rPr>
          <w:rFonts w:ascii="T" w:hAnsi="T" w:cs="Simplified Arabic"/>
          <w:sz w:val="24"/>
          <w:szCs w:val="24"/>
          <w:rtl/>
        </w:rPr>
        <w:t xml:space="preserve"> </w:t>
      </w:r>
      <w:r w:rsidRPr="005D59A7">
        <w:rPr>
          <w:rFonts w:ascii="T" w:hAnsi="T" w:cs="Simplified Arabic"/>
          <w:sz w:val="24"/>
          <w:szCs w:val="24"/>
          <w:rtl/>
        </w:rPr>
        <w:t>الشركاء</w:t>
      </w:r>
      <w:r w:rsidR="00444E8E" w:rsidRPr="005D59A7">
        <w:rPr>
          <w:rFonts w:ascii="T" w:hAnsi="T" w:cs="Simplified Arabic"/>
          <w:sz w:val="24"/>
          <w:szCs w:val="24"/>
          <w:rtl/>
        </w:rPr>
        <w:t xml:space="preserve"> </w:t>
      </w:r>
      <w:r w:rsidRPr="005D59A7">
        <w:rPr>
          <w:rFonts w:ascii="T" w:hAnsi="T" w:cs="Simplified Arabic"/>
          <w:sz w:val="24"/>
          <w:szCs w:val="24"/>
          <w:rtl/>
        </w:rPr>
        <w:t>من</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r w:rsidR="00444E8E" w:rsidRPr="005D59A7">
        <w:rPr>
          <w:rFonts w:ascii="T" w:hAnsi="T" w:cs="Simplified Arabic"/>
          <w:sz w:val="24"/>
          <w:szCs w:val="24"/>
          <w:rtl/>
        </w:rPr>
        <w:t xml:space="preserve"> </w:t>
      </w:r>
      <w:r w:rsidRPr="005D59A7">
        <w:rPr>
          <w:rFonts w:ascii="T" w:hAnsi="T" w:cs="Simplified Arabic"/>
          <w:sz w:val="24"/>
          <w:szCs w:val="24"/>
          <w:rtl/>
        </w:rPr>
        <w:t>مسؤولية</w:t>
      </w:r>
      <w:r w:rsidR="00444E8E" w:rsidRPr="005D59A7">
        <w:rPr>
          <w:rFonts w:ascii="T" w:hAnsi="T" w:cs="Simplified Arabic"/>
          <w:sz w:val="24"/>
          <w:szCs w:val="24"/>
          <w:rtl/>
        </w:rPr>
        <w:t xml:space="preserve"> </w:t>
      </w:r>
      <w:r w:rsidRPr="005D59A7">
        <w:rPr>
          <w:rFonts w:ascii="T" w:hAnsi="T" w:cs="Simplified Arabic"/>
          <w:sz w:val="24"/>
          <w:szCs w:val="24"/>
          <w:rtl/>
        </w:rPr>
        <w:t>تحقيق</w:t>
      </w:r>
      <w:r w:rsidR="00444E8E" w:rsidRPr="005D59A7">
        <w:rPr>
          <w:rFonts w:ascii="T" w:hAnsi="T" w:cs="Simplified Arabic"/>
          <w:sz w:val="24"/>
          <w:szCs w:val="24"/>
          <w:rtl/>
        </w:rPr>
        <w:t xml:space="preserve"> </w:t>
      </w:r>
      <w:r w:rsidRPr="005D59A7">
        <w:rPr>
          <w:rFonts w:ascii="T" w:hAnsi="T" w:cs="Simplified Arabic"/>
          <w:sz w:val="24"/>
          <w:szCs w:val="24"/>
          <w:rtl/>
        </w:rPr>
        <w:t>الأهداف. وغالبًا</w:t>
      </w:r>
      <w:r w:rsidR="00444E8E" w:rsidRPr="005D59A7">
        <w:rPr>
          <w:rFonts w:ascii="T" w:hAnsi="T" w:cs="Simplified Arabic"/>
          <w:sz w:val="24"/>
          <w:szCs w:val="24"/>
          <w:rtl/>
        </w:rPr>
        <w:t xml:space="preserve"> </w:t>
      </w:r>
      <w:r w:rsidRPr="005D59A7">
        <w:rPr>
          <w:rFonts w:ascii="T" w:hAnsi="T" w:cs="Simplified Arabic"/>
          <w:sz w:val="24"/>
          <w:szCs w:val="24"/>
          <w:rtl/>
        </w:rPr>
        <w:t>ما</w:t>
      </w:r>
      <w:r w:rsidR="00444E8E" w:rsidRPr="005D59A7">
        <w:rPr>
          <w:rFonts w:ascii="T" w:hAnsi="T" w:cs="Simplified Arabic"/>
          <w:sz w:val="24"/>
          <w:szCs w:val="24"/>
          <w:rtl/>
        </w:rPr>
        <w:t xml:space="preserve"> </w:t>
      </w:r>
      <w:r w:rsidRPr="005D59A7">
        <w:rPr>
          <w:rFonts w:ascii="T" w:hAnsi="T" w:cs="Simplified Arabic"/>
          <w:sz w:val="24"/>
          <w:szCs w:val="24"/>
          <w:rtl/>
        </w:rPr>
        <w:t>ترتبط</w:t>
      </w:r>
      <w:r w:rsidR="00444E8E" w:rsidRPr="005D59A7">
        <w:rPr>
          <w:rFonts w:ascii="T" w:hAnsi="T" w:cs="Simplified Arabic"/>
          <w:sz w:val="24"/>
          <w:szCs w:val="24"/>
          <w:rtl/>
        </w:rPr>
        <w:t xml:space="preserve"> </w:t>
      </w:r>
      <w:r w:rsidRPr="005D59A7">
        <w:rPr>
          <w:rFonts w:ascii="T" w:hAnsi="T" w:cs="Simplified Arabic"/>
          <w:sz w:val="24"/>
          <w:szCs w:val="24"/>
          <w:rtl/>
        </w:rPr>
        <w:t>ربحيتهم بهذه</w:t>
      </w:r>
      <w:r w:rsidR="00444E8E" w:rsidRPr="005D59A7">
        <w:rPr>
          <w:rFonts w:ascii="T" w:hAnsi="T" w:cs="Simplified Arabic"/>
          <w:sz w:val="24"/>
          <w:szCs w:val="24"/>
          <w:rtl/>
        </w:rPr>
        <w:t xml:space="preserve"> </w:t>
      </w:r>
      <w:r w:rsidRPr="005D59A7">
        <w:rPr>
          <w:rFonts w:ascii="T" w:hAnsi="T" w:cs="Simplified Arabic"/>
          <w:sz w:val="24"/>
          <w:szCs w:val="24"/>
          <w:rtl/>
        </w:rPr>
        <w:t>المقاييس.</w:t>
      </w:r>
    </w:p>
    <w:p w14:paraId="152A99A2" w14:textId="421DE4F1"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تحسين</w:t>
      </w:r>
      <w:r w:rsidR="00444E8E" w:rsidRPr="005D59A7">
        <w:rPr>
          <w:rFonts w:ascii="T" w:hAnsi="T" w:cs="Simplified Arabic"/>
          <w:sz w:val="24"/>
          <w:szCs w:val="24"/>
          <w:rtl/>
        </w:rPr>
        <w:t xml:space="preserve"> </w:t>
      </w:r>
      <w:r w:rsidRPr="005D59A7">
        <w:rPr>
          <w:rFonts w:ascii="T" w:hAnsi="T" w:cs="Simplified Arabic"/>
          <w:sz w:val="24"/>
          <w:szCs w:val="24"/>
          <w:rtl/>
        </w:rPr>
        <w:t>الخدمات</w:t>
      </w:r>
      <w:r w:rsidR="00444E8E" w:rsidRPr="005D59A7">
        <w:rPr>
          <w:rFonts w:ascii="T" w:hAnsi="T" w:cs="Simplified Arabic"/>
          <w:sz w:val="24"/>
          <w:szCs w:val="24"/>
          <w:rtl/>
        </w:rPr>
        <w:t xml:space="preserve"> </w:t>
      </w:r>
      <w:r w:rsidRPr="005D59A7">
        <w:rPr>
          <w:rFonts w:ascii="T" w:hAnsi="T" w:cs="Simplified Arabic"/>
          <w:sz w:val="24"/>
          <w:szCs w:val="24"/>
          <w:rtl/>
        </w:rPr>
        <w:t>العامة</w:t>
      </w:r>
      <w:r w:rsidR="00444E8E" w:rsidRPr="005D59A7">
        <w:rPr>
          <w:rFonts w:ascii="T" w:hAnsi="T" w:cs="Simplified Arabic"/>
          <w:sz w:val="24"/>
          <w:szCs w:val="24"/>
          <w:rtl/>
        </w:rPr>
        <w:t xml:space="preserve"> </w:t>
      </w:r>
      <w:r w:rsidRPr="005D59A7">
        <w:rPr>
          <w:rFonts w:ascii="T" w:hAnsi="T" w:cs="Simplified Arabic"/>
          <w:sz w:val="24"/>
          <w:szCs w:val="24"/>
          <w:rtl/>
        </w:rPr>
        <w:t>وتحقيق</w:t>
      </w:r>
      <w:r w:rsidR="00444E8E" w:rsidRPr="005D59A7">
        <w:rPr>
          <w:rFonts w:ascii="T" w:hAnsi="T" w:cs="Simplified Arabic"/>
          <w:sz w:val="24"/>
          <w:szCs w:val="24"/>
          <w:rtl/>
        </w:rPr>
        <w:t xml:space="preserve"> </w:t>
      </w:r>
      <w:r w:rsidRPr="005D59A7">
        <w:rPr>
          <w:rFonts w:ascii="T" w:hAnsi="T" w:cs="Simplified Arabic"/>
          <w:sz w:val="24"/>
          <w:szCs w:val="24"/>
          <w:rtl/>
        </w:rPr>
        <w:t>قيمة</w:t>
      </w:r>
      <w:r w:rsidR="00444E8E" w:rsidRPr="005D59A7">
        <w:rPr>
          <w:rFonts w:ascii="T" w:hAnsi="T" w:cs="Simplified Arabic"/>
          <w:sz w:val="24"/>
          <w:szCs w:val="24"/>
          <w:rtl/>
        </w:rPr>
        <w:t xml:space="preserve"> </w:t>
      </w:r>
      <w:r w:rsidRPr="005D59A7">
        <w:rPr>
          <w:rFonts w:ascii="T" w:hAnsi="T" w:cs="Simplified Arabic"/>
          <w:sz w:val="24"/>
          <w:szCs w:val="24"/>
          <w:rtl/>
        </w:rPr>
        <w:t>مقابل</w:t>
      </w:r>
      <w:r w:rsidR="00444E8E" w:rsidRPr="005D59A7">
        <w:rPr>
          <w:rFonts w:ascii="T" w:hAnsi="T" w:cs="Simplified Arabic"/>
          <w:sz w:val="24"/>
          <w:szCs w:val="24"/>
          <w:rtl/>
        </w:rPr>
        <w:t xml:space="preserve"> </w:t>
      </w:r>
      <w:r w:rsidRPr="005D59A7">
        <w:rPr>
          <w:rFonts w:ascii="T" w:hAnsi="T" w:cs="Simplified Arabic"/>
          <w:sz w:val="24"/>
          <w:szCs w:val="24"/>
          <w:rtl/>
        </w:rPr>
        <w:t>المال:خدمات</w:t>
      </w:r>
      <w:r w:rsidR="00444E8E" w:rsidRPr="005D59A7">
        <w:rPr>
          <w:rFonts w:ascii="T" w:hAnsi="T" w:cs="Simplified Arabic"/>
          <w:sz w:val="24"/>
          <w:szCs w:val="24"/>
          <w:rtl/>
        </w:rPr>
        <w:t xml:space="preserve"> </w:t>
      </w:r>
      <w:r w:rsidRPr="005D59A7">
        <w:rPr>
          <w:rFonts w:ascii="T" w:hAnsi="T" w:cs="Simplified Arabic"/>
          <w:sz w:val="24"/>
          <w:szCs w:val="24"/>
          <w:rtl/>
        </w:rPr>
        <w:t>ذات</w:t>
      </w:r>
      <w:r w:rsidR="00444E8E" w:rsidRPr="005D59A7">
        <w:rPr>
          <w:rFonts w:ascii="T" w:hAnsi="T" w:cs="Simplified Arabic"/>
          <w:sz w:val="24"/>
          <w:szCs w:val="24"/>
          <w:rtl/>
        </w:rPr>
        <w:t xml:space="preserve"> </w:t>
      </w:r>
      <w:r w:rsidRPr="005D59A7">
        <w:rPr>
          <w:rFonts w:ascii="T" w:hAnsi="T" w:cs="Simplified Arabic"/>
          <w:sz w:val="24"/>
          <w:szCs w:val="24"/>
          <w:rtl/>
        </w:rPr>
        <w:t>جودة</w:t>
      </w:r>
      <w:r w:rsidR="00444E8E" w:rsidRPr="005D59A7">
        <w:rPr>
          <w:rFonts w:ascii="T" w:hAnsi="T" w:cs="Simplified Arabic"/>
          <w:sz w:val="24"/>
          <w:szCs w:val="24"/>
          <w:rtl/>
        </w:rPr>
        <w:t xml:space="preserve"> </w:t>
      </w:r>
      <w:r w:rsidRPr="005D59A7">
        <w:rPr>
          <w:rFonts w:ascii="T" w:hAnsi="T" w:cs="Simplified Arabic"/>
          <w:sz w:val="24"/>
          <w:szCs w:val="24"/>
          <w:rtl/>
        </w:rPr>
        <w:t>أعلى: من</w:t>
      </w:r>
      <w:r w:rsidR="00444E8E" w:rsidRPr="005D59A7">
        <w:rPr>
          <w:rFonts w:ascii="T" w:hAnsi="T" w:cs="Simplified Arabic"/>
          <w:sz w:val="24"/>
          <w:szCs w:val="24"/>
          <w:rtl/>
        </w:rPr>
        <w:t xml:space="preserve"> </w:t>
      </w:r>
      <w:r w:rsidRPr="005D59A7">
        <w:rPr>
          <w:rFonts w:ascii="T" w:hAnsi="T" w:cs="Simplified Arabic"/>
          <w:sz w:val="24"/>
          <w:szCs w:val="24"/>
          <w:rtl/>
        </w:rPr>
        <w:t>خلال</w:t>
      </w:r>
      <w:r w:rsidR="00444E8E" w:rsidRPr="005D59A7">
        <w:rPr>
          <w:rFonts w:ascii="T" w:hAnsi="T" w:cs="Simplified Arabic"/>
          <w:sz w:val="24"/>
          <w:szCs w:val="24"/>
          <w:rtl/>
        </w:rPr>
        <w:t xml:space="preserve"> </w:t>
      </w:r>
      <w:r w:rsidRPr="005D59A7">
        <w:rPr>
          <w:rFonts w:ascii="T" w:hAnsi="T" w:cs="Simplified Arabic"/>
          <w:sz w:val="24"/>
          <w:szCs w:val="24"/>
          <w:rtl/>
        </w:rPr>
        <w:t>دمج</w:t>
      </w:r>
      <w:r w:rsidR="00444E8E" w:rsidRPr="005D59A7">
        <w:rPr>
          <w:rFonts w:ascii="T" w:hAnsi="T" w:cs="Simplified Arabic"/>
          <w:sz w:val="24"/>
          <w:szCs w:val="24"/>
          <w:rtl/>
        </w:rPr>
        <w:t xml:space="preserve"> </w:t>
      </w:r>
      <w:r w:rsidRPr="005D59A7">
        <w:rPr>
          <w:rFonts w:ascii="T" w:hAnsi="T" w:cs="Simplified Arabic"/>
          <w:sz w:val="24"/>
          <w:szCs w:val="24"/>
          <w:rtl/>
        </w:rPr>
        <w:t>كفاءة</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r w:rsidR="00444E8E" w:rsidRPr="005D59A7">
        <w:rPr>
          <w:rFonts w:ascii="T" w:hAnsi="T" w:cs="Simplified Arabic"/>
          <w:sz w:val="24"/>
          <w:szCs w:val="24"/>
          <w:rtl/>
        </w:rPr>
        <w:t xml:space="preserve"> </w:t>
      </w:r>
      <w:r w:rsidRPr="005D59A7">
        <w:rPr>
          <w:rFonts w:ascii="T" w:hAnsi="T" w:cs="Simplified Arabic"/>
          <w:sz w:val="24"/>
          <w:szCs w:val="24"/>
          <w:rtl/>
        </w:rPr>
        <w:t>وابتكاراته،</w:t>
      </w:r>
      <w:r w:rsidR="00444E8E" w:rsidRPr="005D59A7">
        <w:rPr>
          <w:rFonts w:ascii="T" w:hAnsi="T" w:cs="Simplified Arabic"/>
          <w:sz w:val="24"/>
          <w:szCs w:val="24"/>
          <w:rtl/>
        </w:rPr>
        <w:t xml:space="preserve"> </w:t>
      </w:r>
      <w:r w:rsidRPr="005D59A7">
        <w:rPr>
          <w:rFonts w:ascii="T" w:hAnsi="T" w:cs="Simplified Arabic"/>
          <w:sz w:val="24"/>
          <w:szCs w:val="24"/>
          <w:rtl/>
        </w:rPr>
        <w:t>يمكن</w:t>
      </w:r>
      <w:r w:rsidR="00444E8E" w:rsidRPr="005D59A7">
        <w:rPr>
          <w:rFonts w:ascii="T" w:hAnsi="T" w:cs="Simplified Arabic"/>
          <w:sz w:val="24"/>
          <w:szCs w:val="24"/>
          <w:rtl/>
        </w:rPr>
        <w:t xml:space="preserve"> </w:t>
      </w:r>
      <w:r w:rsidRPr="005D59A7">
        <w:rPr>
          <w:rFonts w:ascii="T" w:hAnsi="T" w:cs="Simplified Arabic"/>
          <w:sz w:val="24"/>
          <w:szCs w:val="24"/>
          <w:rtl/>
        </w:rPr>
        <w:t>أن</w:t>
      </w:r>
      <w:r w:rsidR="00444E8E" w:rsidRPr="005D59A7">
        <w:rPr>
          <w:rFonts w:ascii="T" w:hAnsi="T" w:cs="Simplified Arabic"/>
          <w:sz w:val="24"/>
          <w:szCs w:val="24"/>
          <w:rtl/>
        </w:rPr>
        <w:t xml:space="preserve"> </w:t>
      </w:r>
      <w:r w:rsidRPr="005D59A7">
        <w:rPr>
          <w:rFonts w:ascii="T" w:hAnsi="T" w:cs="Simplified Arabic"/>
          <w:sz w:val="24"/>
          <w:szCs w:val="24"/>
          <w:rtl/>
        </w:rPr>
        <w:t>تؤدي</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إلى</w:t>
      </w:r>
      <w:r w:rsidR="00444E8E" w:rsidRPr="005D59A7">
        <w:rPr>
          <w:rFonts w:ascii="T" w:hAnsi="T" w:cs="Simplified Arabic"/>
          <w:sz w:val="24"/>
          <w:szCs w:val="24"/>
          <w:rtl/>
        </w:rPr>
        <w:t xml:space="preserve"> </w:t>
      </w:r>
      <w:r w:rsidRPr="005D59A7">
        <w:rPr>
          <w:rFonts w:ascii="T" w:hAnsi="T" w:cs="Simplified Arabic"/>
          <w:sz w:val="24"/>
          <w:szCs w:val="24"/>
          <w:rtl/>
        </w:rPr>
        <w:t>تحسين</w:t>
      </w:r>
      <w:r w:rsidR="00444E8E" w:rsidRPr="005D59A7">
        <w:rPr>
          <w:rFonts w:ascii="T" w:hAnsi="T" w:cs="Simplified Arabic"/>
          <w:sz w:val="24"/>
          <w:szCs w:val="24"/>
          <w:rtl/>
        </w:rPr>
        <w:t xml:space="preserve"> </w:t>
      </w:r>
      <w:r w:rsidRPr="005D59A7">
        <w:rPr>
          <w:rFonts w:ascii="T" w:hAnsi="T" w:cs="Simplified Arabic"/>
          <w:sz w:val="24"/>
          <w:szCs w:val="24"/>
          <w:rtl/>
        </w:rPr>
        <w:t>جودة</w:t>
      </w:r>
      <w:r w:rsidR="00444E8E" w:rsidRPr="005D59A7">
        <w:rPr>
          <w:rFonts w:ascii="T" w:hAnsi="T" w:cs="Simplified Arabic"/>
          <w:sz w:val="24"/>
          <w:szCs w:val="24"/>
          <w:rtl/>
        </w:rPr>
        <w:t xml:space="preserve"> </w:t>
      </w:r>
      <w:r w:rsidRPr="005D59A7">
        <w:rPr>
          <w:rFonts w:ascii="T" w:hAnsi="T" w:cs="Simplified Arabic"/>
          <w:sz w:val="24"/>
          <w:szCs w:val="24"/>
          <w:rtl/>
        </w:rPr>
        <w:t>الخدمات</w:t>
      </w:r>
      <w:r w:rsidR="00444E8E" w:rsidRPr="005D59A7">
        <w:rPr>
          <w:rFonts w:ascii="T" w:hAnsi="T" w:cs="Simplified Arabic"/>
          <w:sz w:val="24"/>
          <w:szCs w:val="24"/>
          <w:rtl/>
        </w:rPr>
        <w:t xml:space="preserve"> </w:t>
      </w:r>
      <w:r w:rsidRPr="005D59A7">
        <w:rPr>
          <w:rFonts w:ascii="T" w:hAnsi="T" w:cs="Simplified Arabic"/>
          <w:sz w:val="24"/>
          <w:szCs w:val="24"/>
          <w:rtl/>
        </w:rPr>
        <w:t>العامة</w:t>
      </w:r>
      <w:r w:rsidR="00444E8E" w:rsidRPr="005D59A7">
        <w:rPr>
          <w:rFonts w:ascii="T" w:hAnsi="T" w:cs="Simplified Arabic"/>
          <w:sz w:val="24"/>
          <w:szCs w:val="24"/>
          <w:rtl/>
        </w:rPr>
        <w:t xml:space="preserve"> </w:t>
      </w:r>
      <w:r w:rsidRPr="005D59A7">
        <w:rPr>
          <w:rFonts w:ascii="T" w:hAnsi="T" w:cs="Simplified Arabic"/>
          <w:sz w:val="24"/>
          <w:szCs w:val="24"/>
          <w:rtl/>
        </w:rPr>
        <w:t>وسرعة</w:t>
      </w:r>
      <w:r w:rsidR="00444E8E" w:rsidRPr="005D59A7">
        <w:rPr>
          <w:rFonts w:ascii="T" w:hAnsi="T" w:cs="Simplified Arabic"/>
          <w:sz w:val="24"/>
          <w:szCs w:val="24"/>
          <w:rtl/>
        </w:rPr>
        <w:t xml:space="preserve"> </w:t>
      </w:r>
      <w:r w:rsidRPr="005D59A7">
        <w:rPr>
          <w:rFonts w:ascii="T" w:hAnsi="T" w:cs="Simplified Arabic"/>
          <w:sz w:val="24"/>
          <w:szCs w:val="24"/>
          <w:rtl/>
        </w:rPr>
        <w:t>تقديمها،</w:t>
      </w:r>
      <w:r w:rsidR="00444E8E" w:rsidRPr="005D59A7">
        <w:rPr>
          <w:rFonts w:ascii="T" w:hAnsi="T" w:cs="Simplified Arabic"/>
          <w:sz w:val="24"/>
          <w:szCs w:val="24"/>
          <w:rtl/>
        </w:rPr>
        <w:t xml:space="preserve"> </w:t>
      </w:r>
      <w:r w:rsidRPr="005D59A7">
        <w:rPr>
          <w:rFonts w:ascii="T" w:hAnsi="T" w:cs="Simplified Arabic"/>
          <w:sz w:val="24"/>
          <w:szCs w:val="24"/>
          <w:rtl/>
        </w:rPr>
        <w:t>بدءاً</w:t>
      </w:r>
      <w:r w:rsidR="00444E8E" w:rsidRPr="005D59A7">
        <w:rPr>
          <w:rFonts w:ascii="T" w:hAnsi="T" w:cs="Simplified Arabic"/>
          <w:sz w:val="24"/>
          <w:szCs w:val="24"/>
          <w:rtl/>
        </w:rPr>
        <w:t xml:space="preserve"> </w:t>
      </w:r>
      <w:r w:rsidRPr="005D59A7">
        <w:rPr>
          <w:rFonts w:ascii="T" w:hAnsi="T" w:cs="Simplified Arabic"/>
          <w:sz w:val="24"/>
          <w:szCs w:val="24"/>
          <w:rtl/>
        </w:rPr>
        <w:t>من</w:t>
      </w:r>
      <w:r w:rsidR="00444E8E" w:rsidRPr="005D59A7">
        <w:rPr>
          <w:rFonts w:ascii="T" w:hAnsi="T" w:cs="Simplified Arabic"/>
          <w:sz w:val="24"/>
          <w:szCs w:val="24"/>
          <w:rtl/>
        </w:rPr>
        <w:t xml:space="preserve"> </w:t>
      </w:r>
      <w:r w:rsidRPr="005D59A7">
        <w:rPr>
          <w:rFonts w:ascii="T" w:hAnsi="T" w:cs="Simplified Arabic"/>
          <w:sz w:val="24"/>
          <w:szCs w:val="24"/>
          <w:rtl/>
        </w:rPr>
        <w:t>شبكات</w:t>
      </w:r>
      <w:r w:rsidR="00444E8E" w:rsidRPr="005D59A7">
        <w:rPr>
          <w:rFonts w:ascii="T" w:hAnsi="T" w:cs="Simplified Arabic"/>
          <w:sz w:val="24"/>
          <w:szCs w:val="24"/>
          <w:rtl/>
        </w:rPr>
        <w:t xml:space="preserve"> </w:t>
      </w:r>
      <w:r w:rsidRPr="005D59A7">
        <w:rPr>
          <w:rFonts w:ascii="T" w:hAnsi="T" w:cs="Simplified Arabic"/>
          <w:sz w:val="24"/>
          <w:szCs w:val="24"/>
          <w:rtl/>
        </w:rPr>
        <w:t>النقل</w:t>
      </w:r>
      <w:r w:rsidR="00444E8E" w:rsidRPr="005D59A7">
        <w:rPr>
          <w:rFonts w:ascii="T" w:hAnsi="T" w:cs="Simplified Arabic"/>
          <w:sz w:val="24"/>
          <w:szCs w:val="24"/>
          <w:rtl/>
        </w:rPr>
        <w:t xml:space="preserve"> </w:t>
      </w:r>
      <w:r w:rsidRPr="005D59A7">
        <w:rPr>
          <w:rFonts w:ascii="T" w:hAnsi="T" w:cs="Simplified Arabic"/>
          <w:sz w:val="24"/>
          <w:szCs w:val="24"/>
          <w:rtl/>
        </w:rPr>
        <w:t>ومرافق</w:t>
      </w:r>
      <w:r w:rsidR="00444E8E" w:rsidRPr="005D59A7">
        <w:rPr>
          <w:rFonts w:ascii="T" w:hAnsi="T" w:cs="Simplified Arabic"/>
          <w:sz w:val="24"/>
          <w:szCs w:val="24"/>
          <w:rtl/>
        </w:rPr>
        <w:t xml:space="preserve"> </w:t>
      </w:r>
      <w:r w:rsidRPr="005D59A7">
        <w:rPr>
          <w:rFonts w:ascii="T" w:hAnsi="T" w:cs="Simplified Arabic"/>
          <w:sz w:val="24"/>
          <w:szCs w:val="24"/>
          <w:rtl/>
        </w:rPr>
        <w:t>الرعاية</w:t>
      </w:r>
      <w:r w:rsidR="00444E8E" w:rsidRPr="005D59A7">
        <w:rPr>
          <w:rFonts w:ascii="T" w:hAnsi="T" w:cs="Simplified Arabic"/>
          <w:sz w:val="24"/>
          <w:szCs w:val="24"/>
          <w:rtl/>
        </w:rPr>
        <w:t xml:space="preserve"> </w:t>
      </w:r>
      <w:r w:rsidRPr="005D59A7">
        <w:rPr>
          <w:rFonts w:ascii="T" w:hAnsi="T" w:cs="Simplified Arabic"/>
          <w:sz w:val="24"/>
          <w:szCs w:val="24"/>
          <w:rtl/>
        </w:rPr>
        <w:t>الصحية</w:t>
      </w:r>
      <w:r w:rsidR="00444E8E" w:rsidRPr="005D59A7">
        <w:rPr>
          <w:rFonts w:ascii="T" w:hAnsi="T" w:cs="Simplified Arabic"/>
          <w:sz w:val="24"/>
          <w:szCs w:val="24"/>
          <w:rtl/>
        </w:rPr>
        <w:t xml:space="preserve"> </w:t>
      </w:r>
      <w:r w:rsidRPr="005D59A7">
        <w:rPr>
          <w:rFonts w:ascii="T" w:hAnsi="T" w:cs="Simplified Arabic"/>
          <w:sz w:val="24"/>
          <w:szCs w:val="24"/>
          <w:rtl/>
        </w:rPr>
        <w:t>ووصولًا</w:t>
      </w:r>
      <w:r w:rsidR="00444E8E" w:rsidRPr="005D59A7">
        <w:rPr>
          <w:rFonts w:ascii="T" w:hAnsi="T" w:cs="Simplified Arabic"/>
          <w:sz w:val="24"/>
          <w:szCs w:val="24"/>
          <w:rtl/>
        </w:rPr>
        <w:t xml:space="preserve"> </w:t>
      </w:r>
      <w:r w:rsidRPr="005D59A7">
        <w:rPr>
          <w:rFonts w:ascii="T" w:hAnsi="T" w:cs="Simplified Arabic"/>
          <w:sz w:val="24"/>
          <w:szCs w:val="24"/>
          <w:rtl/>
        </w:rPr>
        <w:t>إلى</w:t>
      </w:r>
      <w:r w:rsidR="00444E8E" w:rsidRPr="005D59A7">
        <w:rPr>
          <w:rFonts w:ascii="T" w:hAnsi="T" w:cs="Simplified Arabic"/>
          <w:sz w:val="24"/>
          <w:szCs w:val="24"/>
          <w:rtl/>
        </w:rPr>
        <w:t xml:space="preserve"> </w:t>
      </w:r>
      <w:r w:rsidRPr="005D59A7">
        <w:rPr>
          <w:rFonts w:ascii="T" w:hAnsi="T" w:cs="Simplified Arabic"/>
          <w:sz w:val="24"/>
          <w:szCs w:val="24"/>
          <w:rtl/>
        </w:rPr>
        <w:t>المؤسسات</w:t>
      </w:r>
      <w:r w:rsidR="00444E8E" w:rsidRPr="005D59A7">
        <w:rPr>
          <w:rFonts w:ascii="T" w:hAnsi="T" w:cs="Simplified Arabic"/>
          <w:sz w:val="24"/>
          <w:szCs w:val="24"/>
          <w:rtl/>
        </w:rPr>
        <w:t xml:space="preserve"> </w:t>
      </w:r>
      <w:r w:rsidRPr="005D59A7">
        <w:rPr>
          <w:rFonts w:ascii="T" w:hAnsi="T" w:cs="Simplified Arabic"/>
          <w:sz w:val="24"/>
          <w:szCs w:val="24"/>
          <w:rtl/>
        </w:rPr>
        <w:t>التعليمية.</w:t>
      </w:r>
    </w:p>
    <w:p w14:paraId="1E548E5B" w14:textId="77777777"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قيمة</w:t>
      </w:r>
      <w:r w:rsidR="00444E8E" w:rsidRPr="005D59A7">
        <w:rPr>
          <w:rFonts w:ascii="T" w:hAnsi="T" w:cs="Simplified Arabic"/>
          <w:sz w:val="24"/>
          <w:szCs w:val="24"/>
          <w:rtl/>
        </w:rPr>
        <w:t xml:space="preserve"> </w:t>
      </w:r>
      <w:r w:rsidRPr="005D59A7">
        <w:rPr>
          <w:rFonts w:ascii="T" w:hAnsi="T" w:cs="Simplified Arabic"/>
          <w:sz w:val="24"/>
          <w:szCs w:val="24"/>
          <w:rtl/>
        </w:rPr>
        <w:t>مقابل</w:t>
      </w:r>
      <w:r w:rsidR="00444E8E" w:rsidRPr="005D59A7">
        <w:rPr>
          <w:rFonts w:ascii="T" w:hAnsi="T" w:cs="Simplified Arabic"/>
          <w:sz w:val="24"/>
          <w:szCs w:val="24"/>
          <w:rtl/>
        </w:rPr>
        <w:t xml:space="preserve"> </w:t>
      </w:r>
      <w:r w:rsidRPr="005D59A7">
        <w:rPr>
          <w:rFonts w:ascii="T" w:hAnsi="T" w:cs="Simplified Arabic"/>
          <w:sz w:val="24"/>
          <w:szCs w:val="24"/>
          <w:rtl/>
        </w:rPr>
        <w:t>المال: في</w:t>
      </w:r>
      <w:r w:rsidR="00444E8E" w:rsidRPr="005D59A7">
        <w:rPr>
          <w:rFonts w:ascii="T" w:hAnsi="T" w:cs="Simplified Arabic"/>
          <w:sz w:val="24"/>
          <w:szCs w:val="24"/>
          <w:rtl/>
        </w:rPr>
        <w:t xml:space="preserve"> </w:t>
      </w:r>
      <w:r w:rsidRPr="005D59A7">
        <w:rPr>
          <w:rFonts w:ascii="T" w:hAnsi="T" w:cs="Simplified Arabic"/>
          <w:sz w:val="24"/>
          <w:szCs w:val="24"/>
          <w:rtl/>
        </w:rPr>
        <w:t>حين</w:t>
      </w:r>
      <w:r w:rsidR="00444E8E" w:rsidRPr="005D59A7">
        <w:rPr>
          <w:rFonts w:ascii="T" w:hAnsi="T" w:cs="Simplified Arabic"/>
          <w:sz w:val="24"/>
          <w:szCs w:val="24"/>
          <w:rtl/>
        </w:rPr>
        <w:t xml:space="preserve"> </w:t>
      </w:r>
      <w:r w:rsidRPr="005D59A7">
        <w:rPr>
          <w:rFonts w:ascii="T" w:hAnsi="T" w:cs="Simplified Arabic"/>
          <w:sz w:val="24"/>
          <w:szCs w:val="24"/>
          <w:rtl/>
        </w:rPr>
        <w:t>أن</w:t>
      </w:r>
      <w:r w:rsidR="00444E8E" w:rsidRPr="005D59A7">
        <w:rPr>
          <w:rFonts w:ascii="T" w:hAnsi="T" w:cs="Simplified Arabic"/>
          <w:sz w:val="24"/>
          <w:szCs w:val="24"/>
          <w:rtl/>
        </w:rPr>
        <w:t xml:space="preserve"> </w:t>
      </w:r>
      <w:r w:rsidRPr="005D59A7">
        <w:rPr>
          <w:rFonts w:ascii="T" w:hAnsi="T" w:cs="Simplified Arabic"/>
          <w:sz w:val="24"/>
          <w:szCs w:val="24"/>
          <w:rtl/>
        </w:rPr>
        <w:t>التكاليف</w:t>
      </w:r>
      <w:r w:rsidR="00444E8E" w:rsidRPr="005D59A7">
        <w:rPr>
          <w:rFonts w:ascii="T" w:hAnsi="T" w:cs="Simplified Arabic"/>
          <w:sz w:val="24"/>
          <w:szCs w:val="24"/>
          <w:rtl/>
        </w:rPr>
        <w:t xml:space="preserve"> </w:t>
      </w:r>
      <w:r w:rsidRPr="005D59A7">
        <w:rPr>
          <w:rFonts w:ascii="T" w:hAnsi="T" w:cs="Simplified Arabic"/>
          <w:sz w:val="24"/>
          <w:szCs w:val="24"/>
          <w:rtl/>
        </w:rPr>
        <w:t>الأولية</w:t>
      </w:r>
      <w:r w:rsidR="00444E8E" w:rsidRPr="005D59A7">
        <w:rPr>
          <w:rFonts w:ascii="T" w:hAnsi="T" w:cs="Simplified Arabic"/>
          <w:sz w:val="24"/>
          <w:szCs w:val="24"/>
          <w:rtl/>
        </w:rPr>
        <w:t xml:space="preserve"> </w:t>
      </w:r>
      <w:r w:rsidRPr="005D59A7">
        <w:rPr>
          <w:rFonts w:ascii="T" w:hAnsi="T" w:cs="Simplified Arabic"/>
          <w:sz w:val="24"/>
          <w:szCs w:val="24"/>
          <w:rtl/>
        </w:rPr>
        <w:t>قد</w:t>
      </w:r>
      <w:r w:rsidR="00444E8E" w:rsidRPr="005D59A7">
        <w:rPr>
          <w:rFonts w:ascii="T" w:hAnsi="T" w:cs="Simplified Arabic"/>
          <w:sz w:val="24"/>
          <w:szCs w:val="24"/>
          <w:rtl/>
        </w:rPr>
        <w:t xml:space="preserve"> </w:t>
      </w:r>
      <w:r w:rsidRPr="005D59A7">
        <w:rPr>
          <w:rFonts w:ascii="T" w:hAnsi="T" w:cs="Simplified Arabic"/>
          <w:sz w:val="24"/>
          <w:szCs w:val="24"/>
          <w:rtl/>
        </w:rPr>
        <w:t>تكون</w:t>
      </w:r>
      <w:r w:rsidR="00444E8E" w:rsidRPr="005D59A7">
        <w:rPr>
          <w:rFonts w:ascii="T" w:hAnsi="T" w:cs="Simplified Arabic"/>
          <w:sz w:val="24"/>
          <w:szCs w:val="24"/>
          <w:rtl/>
        </w:rPr>
        <w:t xml:space="preserve"> </w:t>
      </w:r>
      <w:r w:rsidRPr="005D59A7">
        <w:rPr>
          <w:rFonts w:ascii="T" w:hAnsi="T" w:cs="Simplified Arabic"/>
          <w:sz w:val="24"/>
          <w:szCs w:val="24"/>
          <w:rtl/>
        </w:rPr>
        <w:t>أعلى</w:t>
      </w:r>
      <w:r w:rsidR="00444E8E" w:rsidRPr="005D59A7">
        <w:rPr>
          <w:rFonts w:ascii="T" w:hAnsi="T" w:cs="Simplified Arabic"/>
          <w:sz w:val="24"/>
          <w:szCs w:val="24"/>
          <w:rtl/>
        </w:rPr>
        <w:t xml:space="preserve"> </w:t>
      </w:r>
      <w:r w:rsidRPr="005D59A7">
        <w:rPr>
          <w:rFonts w:ascii="T" w:hAnsi="T" w:cs="Simplified Arabic"/>
          <w:sz w:val="24"/>
          <w:szCs w:val="24"/>
          <w:rtl/>
        </w:rPr>
        <w:t>في</w:t>
      </w:r>
      <w:r w:rsidR="00444E8E" w:rsidRPr="005D59A7">
        <w:rPr>
          <w:rFonts w:ascii="T" w:hAnsi="T" w:cs="Simplified Arabic"/>
          <w:sz w:val="24"/>
          <w:szCs w:val="24"/>
          <w:rtl/>
        </w:rPr>
        <w:t xml:space="preserve"> </w:t>
      </w:r>
      <w:r w:rsidRPr="005D59A7">
        <w:rPr>
          <w:rFonts w:ascii="T" w:hAnsi="T" w:cs="Simplified Arabic"/>
          <w:sz w:val="24"/>
          <w:szCs w:val="24"/>
          <w:rtl/>
        </w:rPr>
        <w:t>بعض</w:t>
      </w:r>
      <w:r w:rsidR="00444E8E" w:rsidRPr="005D59A7">
        <w:rPr>
          <w:rFonts w:ascii="T" w:hAnsi="T" w:cs="Simplified Arabic"/>
          <w:sz w:val="24"/>
          <w:szCs w:val="24"/>
          <w:rtl/>
        </w:rPr>
        <w:t xml:space="preserve"> </w:t>
      </w:r>
      <w:r w:rsidRPr="005D59A7">
        <w:rPr>
          <w:rFonts w:ascii="T" w:hAnsi="T" w:cs="Simplified Arabic"/>
          <w:sz w:val="24"/>
          <w:szCs w:val="24"/>
          <w:rtl/>
        </w:rPr>
        <w:t>الأحيان،</w:t>
      </w:r>
      <w:r w:rsidR="00444E8E" w:rsidRPr="005D59A7">
        <w:rPr>
          <w:rFonts w:ascii="T" w:hAnsi="T" w:cs="Simplified Arabic"/>
          <w:sz w:val="24"/>
          <w:szCs w:val="24"/>
          <w:rtl/>
        </w:rPr>
        <w:t xml:space="preserve"> </w:t>
      </w:r>
      <w:r w:rsidRPr="005D59A7">
        <w:rPr>
          <w:rFonts w:ascii="T" w:hAnsi="T" w:cs="Simplified Arabic"/>
          <w:sz w:val="24"/>
          <w:szCs w:val="24"/>
          <w:rtl/>
        </w:rPr>
        <w:t>إلا</w:t>
      </w:r>
      <w:r w:rsidR="00444E8E" w:rsidRPr="005D59A7">
        <w:rPr>
          <w:rFonts w:ascii="T" w:hAnsi="T" w:cs="Simplified Arabic"/>
          <w:sz w:val="24"/>
          <w:szCs w:val="24"/>
          <w:rtl/>
        </w:rPr>
        <w:t xml:space="preserve"> </w:t>
      </w:r>
      <w:r w:rsidRPr="005D59A7">
        <w:rPr>
          <w:rFonts w:ascii="T" w:hAnsi="T" w:cs="Simplified Arabic"/>
          <w:sz w:val="24"/>
          <w:szCs w:val="24"/>
          <w:rtl/>
        </w:rPr>
        <w:t>أن</w:t>
      </w:r>
      <w:r w:rsidR="00444E8E" w:rsidRPr="005D59A7">
        <w:rPr>
          <w:rFonts w:ascii="T" w:hAnsi="T" w:cs="Simplified Arabic"/>
          <w:sz w:val="24"/>
          <w:szCs w:val="24"/>
          <w:rtl/>
        </w:rPr>
        <w:t xml:space="preserve"> </w:t>
      </w:r>
      <w:r w:rsidRPr="005D59A7">
        <w:rPr>
          <w:rFonts w:ascii="T" w:hAnsi="T" w:cs="Simplified Arabic"/>
          <w:sz w:val="24"/>
          <w:szCs w:val="24"/>
          <w:rtl/>
        </w:rPr>
        <w:t>القيمة</w:t>
      </w:r>
      <w:r w:rsidR="00444E8E" w:rsidRPr="005D59A7">
        <w:rPr>
          <w:rFonts w:ascii="T" w:hAnsi="T" w:cs="Simplified Arabic"/>
          <w:sz w:val="24"/>
          <w:szCs w:val="24"/>
          <w:rtl/>
        </w:rPr>
        <w:t xml:space="preserve"> </w:t>
      </w:r>
      <w:r w:rsidRPr="005D59A7">
        <w:rPr>
          <w:rFonts w:ascii="T" w:hAnsi="T" w:cs="Simplified Arabic"/>
          <w:sz w:val="24"/>
          <w:szCs w:val="24"/>
          <w:rtl/>
        </w:rPr>
        <w:t>الإجمالية</w:t>
      </w:r>
      <w:r w:rsidR="00444E8E" w:rsidRPr="005D59A7">
        <w:rPr>
          <w:rFonts w:ascii="T" w:hAnsi="T" w:cs="Simplified Arabic"/>
          <w:sz w:val="24"/>
          <w:szCs w:val="24"/>
          <w:rtl/>
        </w:rPr>
        <w:t xml:space="preserve"> </w:t>
      </w:r>
      <w:r w:rsidRPr="005D59A7">
        <w:rPr>
          <w:rFonts w:ascii="T" w:hAnsi="T" w:cs="Simplified Arabic"/>
          <w:sz w:val="24"/>
          <w:szCs w:val="24"/>
          <w:rtl/>
        </w:rPr>
        <w:t>مقابل</w:t>
      </w:r>
      <w:r w:rsidR="00444E8E" w:rsidRPr="005D59A7">
        <w:rPr>
          <w:rFonts w:ascii="T" w:hAnsi="T" w:cs="Simplified Arabic"/>
          <w:sz w:val="24"/>
          <w:szCs w:val="24"/>
          <w:rtl/>
        </w:rPr>
        <w:t xml:space="preserve"> </w:t>
      </w:r>
      <w:r w:rsidRPr="005D59A7">
        <w:rPr>
          <w:rFonts w:ascii="T" w:hAnsi="T" w:cs="Simplified Arabic"/>
          <w:sz w:val="24"/>
          <w:szCs w:val="24"/>
          <w:rtl/>
        </w:rPr>
        <w:t>المال</w:t>
      </w:r>
      <w:r w:rsidR="00444E8E" w:rsidRPr="005D59A7">
        <w:rPr>
          <w:rFonts w:ascii="T" w:hAnsi="T" w:cs="Simplified Arabic"/>
          <w:sz w:val="24"/>
          <w:szCs w:val="24"/>
          <w:rtl/>
        </w:rPr>
        <w:t xml:space="preserve"> </w:t>
      </w:r>
      <w:r w:rsidRPr="005D59A7">
        <w:rPr>
          <w:rFonts w:ascii="T" w:hAnsi="T" w:cs="Simplified Arabic"/>
          <w:sz w:val="24"/>
          <w:szCs w:val="24"/>
          <w:rtl/>
        </w:rPr>
        <w:t>يمكن</w:t>
      </w:r>
      <w:r w:rsidR="00444E8E" w:rsidRPr="005D59A7">
        <w:rPr>
          <w:rFonts w:ascii="T" w:hAnsi="T" w:cs="Simplified Arabic"/>
          <w:sz w:val="24"/>
          <w:szCs w:val="24"/>
          <w:rtl/>
        </w:rPr>
        <w:t xml:space="preserve"> </w:t>
      </w:r>
      <w:r w:rsidRPr="005D59A7">
        <w:rPr>
          <w:rFonts w:ascii="T" w:hAnsi="T" w:cs="Simplified Arabic"/>
          <w:sz w:val="24"/>
          <w:szCs w:val="24"/>
          <w:rtl/>
        </w:rPr>
        <w:t>أن</w:t>
      </w:r>
      <w:r w:rsidR="00444E8E" w:rsidRPr="005D59A7">
        <w:rPr>
          <w:rFonts w:ascii="T" w:hAnsi="T" w:cs="Simplified Arabic"/>
          <w:sz w:val="24"/>
          <w:szCs w:val="24"/>
          <w:rtl/>
        </w:rPr>
        <w:t xml:space="preserve"> </w:t>
      </w:r>
      <w:r w:rsidRPr="005D59A7">
        <w:rPr>
          <w:rFonts w:ascii="T" w:hAnsi="T" w:cs="Simplified Arabic"/>
          <w:sz w:val="24"/>
          <w:szCs w:val="24"/>
          <w:rtl/>
        </w:rPr>
        <w:t>تكون</w:t>
      </w:r>
      <w:r w:rsidR="00444E8E" w:rsidRPr="005D59A7">
        <w:rPr>
          <w:rFonts w:ascii="T" w:hAnsi="T" w:cs="Simplified Arabic"/>
          <w:sz w:val="24"/>
          <w:szCs w:val="24"/>
          <w:rtl/>
        </w:rPr>
        <w:t xml:space="preserve"> </w:t>
      </w:r>
      <w:r w:rsidRPr="005D59A7">
        <w:rPr>
          <w:rFonts w:ascii="T" w:hAnsi="T" w:cs="Simplified Arabic"/>
          <w:sz w:val="24"/>
          <w:szCs w:val="24"/>
          <w:rtl/>
        </w:rPr>
        <w:t>أكبر</w:t>
      </w:r>
      <w:r w:rsidR="00444E8E" w:rsidRPr="005D59A7">
        <w:rPr>
          <w:rFonts w:ascii="T" w:hAnsi="T" w:cs="Simplified Arabic"/>
          <w:sz w:val="24"/>
          <w:szCs w:val="24"/>
          <w:rtl/>
        </w:rPr>
        <w:t xml:space="preserve"> </w:t>
      </w:r>
      <w:r w:rsidRPr="005D59A7">
        <w:rPr>
          <w:rFonts w:ascii="T" w:hAnsi="T" w:cs="Simplified Arabic"/>
          <w:sz w:val="24"/>
          <w:szCs w:val="24"/>
          <w:rtl/>
        </w:rPr>
        <w:t>بفضل</w:t>
      </w:r>
      <w:r w:rsidR="00444E8E" w:rsidRPr="005D59A7">
        <w:rPr>
          <w:rFonts w:ascii="T" w:hAnsi="T" w:cs="Simplified Arabic"/>
          <w:sz w:val="24"/>
          <w:szCs w:val="24"/>
          <w:rtl/>
        </w:rPr>
        <w:t xml:space="preserve"> </w:t>
      </w:r>
      <w:r w:rsidRPr="005D59A7">
        <w:rPr>
          <w:rFonts w:ascii="T" w:hAnsi="T" w:cs="Simplified Arabic"/>
          <w:sz w:val="24"/>
          <w:szCs w:val="24"/>
          <w:rtl/>
        </w:rPr>
        <w:t>كفاءة</w:t>
      </w:r>
      <w:r w:rsidR="00444E8E" w:rsidRPr="005D59A7">
        <w:rPr>
          <w:rFonts w:ascii="T" w:hAnsi="T" w:cs="Simplified Arabic"/>
          <w:sz w:val="24"/>
          <w:szCs w:val="24"/>
          <w:rtl/>
        </w:rPr>
        <w:t xml:space="preserve"> </w:t>
      </w:r>
      <w:r w:rsidRPr="005D59A7">
        <w:rPr>
          <w:rFonts w:ascii="T" w:hAnsi="T" w:cs="Simplified Arabic"/>
          <w:sz w:val="24"/>
          <w:szCs w:val="24"/>
          <w:rtl/>
        </w:rPr>
        <w:t>التكلفة</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المدى</w:t>
      </w:r>
      <w:r w:rsidR="00444E8E" w:rsidRPr="005D59A7">
        <w:rPr>
          <w:rFonts w:ascii="T" w:hAnsi="T" w:cs="Simplified Arabic"/>
          <w:sz w:val="24"/>
          <w:szCs w:val="24"/>
          <w:rtl/>
        </w:rPr>
        <w:t xml:space="preserve"> </w:t>
      </w:r>
      <w:r w:rsidRPr="005D59A7">
        <w:rPr>
          <w:rFonts w:ascii="T" w:hAnsi="T" w:cs="Simplified Arabic"/>
          <w:sz w:val="24"/>
          <w:szCs w:val="24"/>
          <w:rtl/>
        </w:rPr>
        <w:t>الطويل،</w:t>
      </w:r>
      <w:r w:rsidR="00444E8E" w:rsidRPr="005D59A7">
        <w:rPr>
          <w:rFonts w:ascii="T" w:hAnsi="T" w:cs="Simplified Arabic"/>
          <w:sz w:val="24"/>
          <w:szCs w:val="24"/>
          <w:rtl/>
        </w:rPr>
        <w:t xml:space="preserve"> </w:t>
      </w:r>
      <w:r w:rsidRPr="005D59A7">
        <w:rPr>
          <w:rFonts w:ascii="T" w:hAnsi="T" w:cs="Simplified Arabic"/>
          <w:sz w:val="24"/>
          <w:szCs w:val="24"/>
          <w:rtl/>
        </w:rPr>
        <w:t>وسرعة</w:t>
      </w:r>
      <w:r w:rsidR="00444E8E" w:rsidRPr="005D59A7">
        <w:rPr>
          <w:rFonts w:ascii="T" w:hAnsi="T" w:cs="Simplified Arabic"/>
          <w:sz w:val="24"/>
          <w:szCs w:val="24"/>
          <w:rtl/>
        </w:rPr>
        <w:t xml:space="preserve"> </w:t>
      </w:r>
      <w:r w:rsidRPr="005D59A7">
        <w:rPr>
          <w:rFonts w:ascii="T" w:hAnsi="T" w:cs="Simplified Arabic"/>
          <w:sz w:val="24"/>
          <w:szCs w:val="24"/>
          <w:rtl/>
        </w:rPr>
        <w:t>التسليم،</w:t>
      </w:r>
      <w:r w:rsidR="00444E8E" w:rsidRPr="005D59A7">
        <w:rPr>
          <w:rFonts w:ascii="T" w:hAnsi="T" w:cs="Simplified Arabic"/>
          <w:sz w:val="24"/>
          <w:szCs w:val="24"/>
          <w:rtl/>
        </w:rPr>
        <w:t xml:space="preserve"> </w:t>
      </w:r>
      <w:r w:rsidRPr="005D59A7">
        <w:rPr>
          <w:rFonts w:ascii="T" w:hAnsi="T" w:cs="Simplified Arabic"/>
          <w:sz w:val="24"/>
          <w:szCs w:val="24"/>
          <w:rtl/>
        </w:rPr>
        <w:t>وتحسين</w:t>
      </w:r>
      <w:r w:rsidR="00444E8E" w:rsidRPr="005D59A7">
        <w:rPr>
          <w:rFonts w:ascii="T" w:hAnsi="T" w:cs="Simplified Arabic"/>
          <w:sz w:val="24"/>
          <w:szCs w:val="24"/>
          <w:rtl/>
        </w:rPr>
        <w:t xml:space="preserve"> </w:t>
      </w:r>
      <w:r w:rsidRPr="005D59A7">
        <w:rPr>
          <w:rFonts w:ascii="T" w:hAnsi="T" w:cs="Simplified Arabic"/>
          <w:sz w:val="24"/>
          <w:szCs w:val="24"/>
          <w:rtl/>
        </w:rPr>
        <w:t>الجودة.</w:t>
      </w:r>
    </w:p>
    <w:p w14:paraId="2CE5FCDF" w14:textId="77777777" w:rsidR="00EA21E0"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lastRenderedPageBreak/>
        <w:t>التركيز</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الكفاءات</w:t>
      </w:r>
      <w:r w:rsidR="00444E8E" w:rsidRPr="005D59A7">
        <w:rPr>
          <w:rFonts w:ascii="T" w:hAnsi="T" w:cs="Simplified Arabic"/>
          <w:sz w:val="24"/>
          <w:szCs w:val="24"/>
          <w:rtl/>
        </w:rPr>
        <w:t xml:space="preserve"> </w:t>
      </w:r>
      <w:r w:rsidRPr="005D59A7">
        <w:rPr>
          <w:rFonts w:ascii="T" w:hAnsi="T" w:cs="Simplified Arabic"/>
          <w:sz w:val="24"/>
          <w:szCs w:val="24"/>
          <w:rtl/>
        </w:rPr>
        <w:t>الأساسية: تتيح</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للقطاع</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التركيز</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السياسات</w:t>
      </w:r>
      <w:r w:rsidR="00444E8E" w:rsidRPr="005D59A7">
        <w:rPr>
          <w:rFonts w:ascii="T" w:hAnsi="T" w:cs="Simplified Arabic"/>
          <w:sz w:val="24"/>
          <w:szCs w:val="24"/>
          <w:rtl/>
        </w:rPr>
        <w:t xml:space="preserve"> </w:t>
      </w:r>
      <w:r w:rsidRPr="005D59A7">
        <w:rPr>
          <w:rFonts w:ascii="T" w:hAnsi="T" w:cs="Simplified Arabic"/>
          <w:sz w:val="24"/>
          <w:szCs w:val="24"/>
          <w:rtl/>
        </w:rPr>
        <w:t>والتخطيط</w:t>
      </w:r>
      <w:r w:rsidR="00444E8E" w:rsidRPr="005D59A7">
        <w:rPr>
          <w:rFonts w:ascii="T" w:hAnsi="T" w:cs="Simplified Arabic"/>
          <w:sz w:val="24"/>
          <w:szCs w:val="24"/>
          <w:rtl/>
        </w:rPr>
        <w:t xml:space="preserve"> </w:t>
      </w:r>
      <w:r w:rsidRPr="005D59A7">
        <w:rPr>
          <w:rFonts w:ascii="T" w:hAnsi="T" w:cs="Simplified Arabic"/>
          <w:sz w:val="24"/>
          <w:szCs w:val="24"/>
          <w:rtl/>
        </w:rPr>
        <w:t>والتنظيم،</w:t>
      </w:r>
      <w:r w:rsidR="00444E8E" w:rsidRPr="005D59A7">
        <w:rPr>
          <w:rFonts w:ascii="T" w:hAnsi="T" w:cs="Simplified Arabic"/>
          <w:sz w:val="24"/>
          <w:szCs w:val="24"/>
          <w:rtl/>
        </w:rPr>
        <w:t xml:space="preserve"> </w:t>
      </w:r>
      <w:r w:rsidRPr="005D59A7">
        <w:rPr>
          <w:rFonts w:ascii="T" w:hAnsi="T" w:cs="Simplified Arabic"/>
          <w:sz w:val="24"/>
          <w:szCs w:val="24"/>
          <w:rtl/>
        </w:rPr>
        <w:t>وتفويض</w:t>
      </w:r>
      <w:r w:rsidR="00444E8E" w:rsidRPr="005D59A7">
        <w:rPr>
          <w:rFonts w:ascii="T" w:hAnsi="T" w:cs="Simplified Arabic"/>
          <w:sz w:val="24"/>
          <w:szCs w:val="24"/>
          <w:rtl/>
        </w:rPr>
        <w:t xml:space="preserve"> </w:t>
      </w:r>
      <w:r w:rsidRPr="005D59A7">
        <w:rPr>
          <w:rFonts w:ascii="T" w:hAnsi="T" w:cs="Simplified Arabic"/>
          <w:sz w:val="24"/>
          <w:szCs w:val="24"/>
          <w:rtl/>
        </w:rPr>
        <w:t>العمليات</w:t>
      </w:r>
      <w:r w:rsidR="00444E8E" w:rsidRPr="005D59A7">
        <w:rPr>
          <w:rFonts w:ascii="T" w:hAnsi="T" w:cs="Simplified Arabic"/>
          <w:sz w:val="24"/>
          <w:szCs w:val="24"/>
          <w:rtl/>
        </w:rPr>
        <w:t xml:space="preserve"> </w:t>
      </w:r>
      <w:r w:rsidRPr="005D59A7">
        <w:rPr>
          <w:rFonts w:ascii="T" w:hAnsi="T" w:cs="Simplified Arabic"/>
          <w:sz w:val="24"/>
          <w:szCs w:val="24"/>
          <w:rtl/>
        </w:rPr>
        <w:t>اليومية</w:t>
      </w:r>
      <w:r w:rsidR="00444E8E" w:rsidRPr="005D59A7">
        <w:rPr>
          <w:rFonts w:ascii="T" w:hAnsi="T" w:cs="Simplified Arabic"/>
          <w:sz w:val="24"/>
          <w:szCs w:val="24"/>
          <w:rtl/>
        </w:rPr>
        <w:t xml:space="preserve"> </w:t>
      </w:r>
      <w:r w:rsidRPr="005D59A7">
        <w:rPr>
          <w:rFonts w:ascii="T" w:hAnsi="T" w:cs="Simplified Arabic"/>
          <w:sz w:val="24"/>
          <w:szCs w:val="24"/>
          <w:rtl/>
        </w:rPr>
        <w:t>والمشاريع</w:t>
      </w:r>
      <w:r w:rsidR="003F7572" w:rsidRPr="005D59A7">
        <w:rPr>
          <w:rFonts w:ascii="T" w:hAnsi="T" w:cs="Simplified Arabic"/>
          <w:sz w:val="24"/>
          <w:szCs w:val="24"/>
          <w:rtl/>
        </w:rPr>
        <w:t xml:space="preserve"> ذات</w:t>
      </w:r>
      <w:r w:rsidR="00444E8E" w:rsidRPr="005D59A7">
        <w:rPr>
          <w:rFonts w:ascii="T" w:hAnsi="T" w:cs="Simplified Arabic"/>
          <w:sz w:val="24"/>
          <w:szCs w:val="24"/>
          <w:rtl/>
        </w:rPr>
        <w:t xml:space="preserve"> </w:t>
      </w:r>
      <w:r w:rsidRPr="005D59A7">
        <w:rPr>
          <w:rFonts w:ascii="T" w:hAnsi="T" w:cs="Simplified Arabic"/>
          <w:sz w:val="24"/>
          <w:szCs w:val="24"/>
          <w:rtl/>
        </w:rPr>
        <w:t>رأس</w:t>
      </w:r>
      <w:r w:rsidR="00444E8E" w:rsidRPr="005D59A7">
        <w:rPr>
          <w:rFonts w:ascii="T" w:hAnsi="T" w:cs="Simplified Arabic"/>
          <w:sz w:val="24"/>
          <w:szCs w:val="24"/>
          <w:rtl/>
        </w:rPr>
        <w:t xml:space="preserve"> </w:t>
      </w:r>
      <w:r w:rsidRPr="005D59A7">
        <w:rPr>
          <w:rFonts w:ascii="T" w:hAnsi="T" w:cs="Simplified Arabic"/>
          <w:sz w:val="24"/>
          <w:szCs w:val="24"/>
          <w:rtl/>
        </w:rPr>
        <w:t>المال</w:t>
      </w:r>
      <w:r w:rsidR="003F7572" w:rsidRPr="005D59A7">
        <w:rPr>
          <w:rFonts w:ascii="T" w:hAnsi="T" w:cs="Simplified Arabic"/>
          <w:sz w:val="24"/>
          <w:szCs w:val="24"/>
          <w:rtl/>
        </w:rPr>
        <w:t xml:space="preserve"> المرتفع</w:t>
      </w:r>
      <w:r w:rsidR="00444E8E" w:rsidRPr="005D59A7">
        <w:rPr>
          <w:rFonts w:ascii="T" w:hAnsi="T" w:cs="Simplified Arabic"/>
          <w:sz w:val="24"/>
          <w:szCs w:val="24"/>
          <w:rtl/>
        </w:rPr>
        <w:t xml:space="preserve"> </w:t>
      </w:r>
      <w:r w:rsidRPr="005D59A7">
        <w:rPr>
          <w:rFonts w:ascii="T" w:hAnsi="T" w:cs="Simplified Arabic"/>
          <w:sz w:val="24"/>
          <w:szCs w:val="24"/>
          <w:rtl/>
        </w:rPr>
        <w:t>إلى</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p>
    <w:p w14:paraId="6529959A" w14:textId="0FE4D789"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التحفيز</w:t>
      </w:r>
      <w:r w:rsidR="00444E8E" w:rsidRPr="005D59A7">
        <w:rPr>
          <w:rFonts w:ascii="T" w:hAnsi="T" w:cs="Simplified Arabic"/>
          <w:sz w:val="24"/>
          <w:szCs w:val="24"/>
          <w:rtl/>
        </w:rPr>
        <w:t xml:space="preserve"> </w:t>
      </w:r>
      <w:r w:rsidRPr="005D59A7">
        <w:rPr>
          <w:rFonts w:ascii="T" w:hAnsi="T" w:cs="Simplified Arabic"/>
          <w:sz w:val="24"/>
          <w:szCs w:val="24"/>
          <w:rtl/>
        </w:rPr>
        <w:t>الاقتصادي</w:t>
      </w:r>
      <w:r w:rsidR="004F25C0" w:rsidRPr="005D59A7">
        <w:rPr>
          <w:rFonts w:ascii="T" w:hAnsi="T" w:cs="Simplified Arabic"/>
          <w:sz w:val="24"/>
          <w:szCs w:val="24"/>
          <w:rtl/>
        </w:rPr>
        <w:t xml:space="preserve"> </w:t>
      </w:r>
      <w:r w:rsidRPr="005D59A7">
        <w:rPr>
          <w:rFonts w:ascii="T" w:hAnsi="T" w:cs="Simplified Arabic"/>
          <w:sz w:val="24"/>
          <w:szCs w:val="24"/>
          <w:rtl/>
        </w:rPr>
        <w:t>والنمو:خلق</w:t>
      </w:r>
      <w:r w:rsidR="004F25C0" w:rsidRPr="005D59A7">
        <w:rPr>
          <w:rFonts w:ascii="T" w:hAnsi="T" w:cs="Simplified Arabic"/>
          <w:sz w:val="24"/>
          <w:szCs w:val="24"/>
          <w:rtl/>
        </w:rPr>
        <w:t xml:space="preserve"> </w:t>
      </w:r>
      <w:r w:rsidRPr="005D59A7">
        <w:rPr>
          <w:rFonts w:ascii="T" w:hAnsi="T" w:cs="Simplified Arabic"/>
          <w:sz w:val="24"/>
          <w:szCs w:val="24"/>
          <w:rtl/>
        </w:rPr>
        <w:t>فرص</w:t>
      </w:r>
      <w:r w:rsidR="004F25C0" w:rsidRPr="005D59A7">
        <w:rPr>
          <w:rFonts w:ascii="T" w:hAnsi="T" w:cs="Simplified Arabic"/>
          <w:sz w:val="24"/>
          <w:szCs w:val="24"/>
          <w:rtl/>
        </w:rPr>
        <w:t xml:space="preserve"> </w:t>
      </w:r>
      <w:r w:rsidRPr="005D59A7">
        <w:rPr>
          <w:rFonts w:ascii="T" w:hAnsi="T" w:cs="Simplified Arabic"/>
          <w:sz w:val="24"/>
          <w:szCs w:val="24"/>
          <w:rtl/>
        </w:rPr>
        <w:t>العمل: يمكن</w:t>
      </w:r>
      <w:r w:rsidR="004F25C0" w:rsidRPr="005D59A7">
        <w:rPr>
          <w:rFonts w:ascii="T" w:hAnsi="T" w:cs="Simplified Arabic"/>
          <w:sz w:val="24"/>
          <w:szCs w:val="24"/>
          <w:rtl/>
        </w:rPr>
        <w:t xml:space="preserve"> </w:t>
      </w:r>
      <w:r w:rsidRPr="005D59A7">
        <w:rPr>
          <w:rFonts w:ascii="T" w:hAnsi="T" w:cs="Simplified Arabic"/>
          <w:sz w:val="24"/>
          <w:szCs w:val="24"/>
          <w:rtl/>
        </w:rPr>
        <w:t>للمشاريع</w:t>
      </w:r>
      <w:r w:rsidR="004F25C0" w:rsidRPr="005D59A7">
        <w:rPr>
          <w:rFonts w:ascii="T" w:hAnsi="T" w:cs="Simplified Arabic"/>
          <w:sz w:val="24"/>
          <w:szCs w:val="24"/>
          <w:rtl/>
        </w:rPr>
        <w:t xml:space="preserve"> </w:t>
      </w:r>
      <w:r w:rsidRPr="005D59A7">
        <w:rPr>
          <w:rFonts w:ascii="T" w:hAnsi="T" w:cs="Simplified Arabic"/>
          <w:sz w:val="24"/>
          <w:szCs w:val="24"/>
          <w:rtl/>
        </w:rPr>
        <w:t>الكبيرة</w:t>
      </w:r>
      <w:r w:rsidR="004F25C0" w:rsidRPr="005D59A7">
        <w:rPr>
          <w:rFonts w:ascii="T" w:hAnsi="T" w:cs="Simplified Arabic"/>
          <w:sz w:val="24"/>
          <w:szCs w:val="24"/>
          <w:rtl/>
        </w:rPr>
        <w:t xml:space="preserve"> </w:t>
      </w:r>
      <w:r w:rsidRPr="005D59A7">
        <w:rPr>
          <w:rFonts w:ascii="T" w:hAnsi="T" w:cs="Simplified Arabic"/>
          <w:sz w:val="24"/>
          <w:szCs w:val="24"/>
          <w:rtl/>
        </w:rPr>
        <w:t>الممولة</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خلال</w:t>
      </w:r>
      <w:r w:rsidR="004F25C0" w:rsidRPr="005D59A7">
        <w:rPr>
          <w:rFonts w:ascii="T" w:hAnsi="T" w:cs="Simplified Arabic"/>
          <w:sz w:val="24"/>
          <w:szCs w:val="24"/>
          <w:rtl/>
        </w:rPr>
        <w:t xml:space="preserve"> </w:t>
      </w:r>
      <w:r w:rsidRPr="005D59A7">
        <w:rPr>
          <w:rFonts w:ascii="T" w:hAnsi="T" w:cs="Simplified Arabic"/>
          <w:sz w:val="24"/>
          <w:szCs w:val="24"/>
          <w:rtl/>
        </w:rPr>
        <w:t>الشراكات</w:t>
      </w:r>
      <w:r w:rsidR="004F25C0" w:rsidRPr="005D59A7">
        <w:rPr>
          <w:rFonts w:ascii="T" w:hAnsi="T" w:cs="Simplified Arabic"/>
          <w:sz w:val="24"/>
          <w:szCs w:val="24"/>
          <w:rtl/>
        </w:rPr>
        <w:t xml:space="preserve"> </w:t>
      </w:r>
      <w:r w:rsidRPr="005D59A7">
        <w:rPr>
          <w:rFonts w:ascii="T" w:hAnsi="T" w:cs="Simplified Arabic"/>
          <w:sz w:val="24"/>
          <w:szCs w:val="24"/>
          <w:rtl/>
        </w:rPr>
        <w:t>بين</w:t>
      </w:r>
      <w:r w:rsidR="004F25C0" w:rsidRPr="005D59A7">
        <w:rPr>
          <w:rFonts w:ascii="T" w:hAnsi="T" w:cs="Simplified Arabic"/>
          <w:sz w:val="24"/>
          <w:szCs w:val="24"/>
          <w:rtl/>
        </w:rPr>
        <w:t xml:space="preserve"> </w:t>
      </w:r>
      <w:r w:rsidRPr="005D59A7">
        <w:rPr>
          <w:rFonts w:ascii="T" w:hAnsi="T" w:cs="Simplified Arabic"/>
          <w:sz w:val="24"/>
          <w:szCs w:val="24"/>
          <w:rtl/>
        </w:rPr>
        <w:t>القطاعين</w:t>
      </w:r>
      <w:r w:rsidR="004F25C0" w:rsidRPr="005D59A7">
        <w:rPr>
          <w:rFonts w:ascii="T" w:hAnsi="T" w:cs="Simplified Arabic"/>
          <w:sz w:val="24"/>
          <w:szCs w:val="24"/>
          <w:rtl/>
        </w:rPr>
        <w:t xml:space="preserve"> </w:t>
      </w:r>
      <w:r w:rsidRPr="005D59A7">
        <w:rPr>
          <w:rFonts w:ascii="T" w:hAnsi="T" w:cs="Simplified Arabic"/>
          <w:sz w:val="24"/>
          <w:szCs w:val="24"/>
          <w:rtl/>
        </w:rPr>
        <w:t>العام</w:t>
      </w:r>
      <w:r w:rsidR="004F25C0" w:rsidRPr="005D59A7">
        <w:rPr>
          <w:rFonts w:ascii="T" w:hAnsi="T" w:cs="Simplified Arabic"/>
          <w:sz w:val="24"/>
          <w:szCs w:val="24"/>
          <w:rtl/>
        </w:rPr>
        <w:t xml:space="preserve"> </w:t>
      </w:r>
      <w:r w:rsidRPr="005D59A7">
        <w:rPr>
          <w:rFonts w:ascii="T" w:hAnsi="T" w:cs="Simplified Arabic"/>
          <w:sz w:val="24"/>
          <w:szCs w:val="24"/>
          <w:rtl/>
        </w:rPr>
        <w:t>والخاص</w:t>
      </w:r>
      <w:r w:rsidR="004F25C0" w:rsidRPr="005D59A7">
        <w:rPr>
          <w:rFonts w:ascii="T" w:hAnsi="T" w:cs="Simplified Arabic"/>
          <w:sz w:val="24"/>
          <w:szCs w:val="24"/>
          <w:rtl/>
        </w:rPr>
        <w:t xml:space="preserve"> </w:t>
      </w:r>
      <w:r w:rsidRPr="005D59A7">
        <w:rPr>
          <w:rFonts w:ascii="T" w:hAnsi="T" w:cs="Simplified Arabic"/>
          <w:sz w:val="24"/>
          <w:szCs w:val="24"/>
          <w:rtl/>
        </w:rPr>
        <w:t>تحفيز</w:t>
      </w:r>
      <w:r w:rsidR="004F25C0" w:rsidRPr="005D59A7">
        <w:rPr>
          <w:rFonts w:ascii="T" w:hAnsi="T" w:cs="Simplified Arabic"/>
          <w:sz w:val="24"/>
          <w:szCs w:val="24"/>
          <w:rtl/>
        </w:rPr>
        <w:t xml:space="preserve"> </w:t>
      </w:r>
      <w:r w:rsidRPr="005D59A7">
        <w:rPr>
          <w:rFonts w:ascii="T" w:hAnsi="T" w:cs="Simplified Arabic"/>
          <w:sz w:val="24"/>
          <w:szCs w:val="24"/>
          <w:rtl/>
        </w:rPr>
        <w:t>النشاط</w:t>
      </w:r>
      <w:r w:rsidR="004F25C0" w:rsidRPr="005D59A7">
        <w:rPr>
          <w:rFonts w:ascii="T" w:hAnsi="T" w:cs="Simplified Arabic"/>
          <w:sz w:val="24"/>
          <w:szCs w:val="24"/>
          <w:rtl/>
        </w:rPr>
        <w:t xml:space="preserve"> </w:t>
      </w:r>
      <w:r w:rsidRPr="005D59A7">
        <w:rPr>
          <w:rFonts w:ascii="T" w:hAnsi="T" w:cs="Simplified Arabic"/>
          <w:sz w:val="24"/>
          <w:szCs w:val="24"/>
          <w:rtl/>
        </w:rPr>
        <w:t>الاقتصادي،</w:t>
      </w:r>
      <w:r w:rsidR="004F25C0" w:rsidRPr="005D59A7">
        <w:rPr>
          <w:rFonts w:ascii="T" w:hAnsi="T" w:cs="Simplified Arabic"/>
          <w:sz w:val="24"/>
          <w:szCs w:val="24"/>
          <w:rtl/>
        </w:rPr>
        <w:t xml:space="preserve"> </w:t>
      </w:r>
      <w:r w:rsidRPr="005D59A7">
        <w:rPr>
          <w:rFonts w:ascii="T" w:hAnsi="T" w:cs="Simplified Arabic"/>
          <w:sz w:val="24"/>
          <w:szCs w:val="24"/>
          <w:rtl/>
        </w:rPr>
        <w:t>مما</w:t>
      </w:r>
      <w:r w:rsidR="004F25C0" w:rsidRPr="005D59A7">
        <w:rPr>
          <w:rFonts w:ascii="T" w:hAnsi="T" w:cs="Simplified Arabic"/>
          <w:sz w:val="24"/>
          <w:szCs w:val="24"/>
          <w:rtl/>
        </w:rPr>
        <w:t xml:space="preserve"> </w:t>
      </w:r>
      <w:r w:rsidRPr="005D59A7">
        <w:rPr>
          <w:rFonts w:ascii="T" w:hAnsi="T" w:cs="Simplified Arabic"/>
          <w:sz w:val="24"/>
          <w:szCs w:val="24"/>
          <w:rtl/>
        </w:rPr>
        <w:t>يؤدي</w:t>
      </w:r>
      <w:r w:rsidR="004F25C0" w:rsidRPr="005D59A7">
        <w:rPr>
          <w:rFonts w:ascii="T" w:hAnsi="T" w:cs="Simplified Arabic"/>
          <w:sz w:val="24"/>
          <w:szCs w:val="24"/>
          <w:rtl/>
        </w:rPr>
        <w:t xml:space="preserve"> </w:t>
      </w:r>
      <w:r w:rsidRPr="005D59A7">
        <w:rPr>
          <w:rFonts w:ascii="T" w:hAnsi="T" w:cs="Simplified Arabic"/>
          <w:sz w:val="24"/>
          <w:szCs w:val="24"/>
          <w:rtl/>
        </w:rPr>
        <w:t>إلى</w:t>
      </w:r>
      <w:r w:rsidR="004F25C0" w:rsidRPr="005D59A7">
        <w:rPr>
          <w:rFonts w:ascii="T" w:hAnsi="T" w:cs="Simplified Arabic"/>
          <w:sz w:val="24"/>
          <w:szCs w:val="24"/>
          <w:rtl/>
        </w:rPr>
        <w:t xml:space="preserve"> </w:t>
      </w:r>
      <w:r w:rsidRPr="005D59A7">
        <w:rPr>
          <w:rFonts w:ascii="T" w:hAnsi="T" w:cs="Simplified Arabic"/>
          <w:sz w:val="24"/>
          <w:szCs w:val="24"/>
          <w:rtl/>
        </w:rPr>
        <w:t>خلق</w:t>
      </w:r>
      <w:r w:rsidR="004F25C0" w:rsidRPr="005D59A7">
        <w:rPr>
          <w:rFonts w:ascii="T" w:hAnsi="T" w:cs="Simplified Arabic"/>
          <w:sz w:val="24"/>
          <w:szCs w:val="24"/>
          <w:rtl/>
        </w:rPr>
        <w:t xml:space="preserve"> </w:t>
      </w:r>
      <w:r w:rsidRPr="005D59A7">
        <w:rPr>
          <w:rFonts w:ascii="T" w:hAnsi="T" w:cs="Simplified Arabic"/>
          <w:sz w:val="24"/>
          <w:szCs w:val="24"/>
          <w:rtl/>
        </w:rPr>
        <w:t>فرص</w:t>
      </w:r>
      <w:r w:rsidR="004F25C0" w:rsidRPr="005D59A7">
        <w:rPr>
          <w:rFonts w:ascii="T" w:hAnsi="T" w:cs="Simplified Arabic"/>
          <w:sz w:val="24"/>
          <w:szCs w:val="24"/>
          <w:rtl/>
        </w:rPr>
        <w:t xml:space="preserve"> </w:t>
      </w:r>
      <w:r w:rsidRPr="005D59A7">
        <w:rPr>
          <w:rFonts w:ascii="T" w:hAnsi="T" w:cs="Simplified Arabic"/>
          <w:sz w:val="24"/>
          <w:szCs w:val="24"/>
          <w:rtl/>
        </w:rPr>
        <w:t>عمل</w:t>
      </w:r>
      <w:r w:rsidR="004F25C0" w:rsidRPr="005D59A7">
        <w:rPr>
          <w:rFonts w:ascii="T" w:hAnsi="T" w:cs="Simplified Arabic"/>
          <w:sz w:val="24"/>
          <w:szCs w:val="24"/>
          <w:rtl/>
        </w:rPr>
        <w:t xml:space="preserve"> </w:t>
      </w:r>
      <w:r w:rsidRPr="005D59A7">
        <w:rPr>
          <w:rFonts w:ascii="T" w:hAnsi="T" w:cs="Simplified Arabic"/>
          <w:sz w:val="24"/>
          <w:szCs w:val="24"/>
          <w:rtl/>
        </w:rPr>
        <w:t>في</w:t>
      </w:r>
      <w:r w:rsidR="004F25C0" w:rsidRPr="005D59A7">
        <w:rPr>
          <w:rFonts w:ascii="T" w:hAnsi="T" w:cs="Simplified Arabic"/>
          <w:sz w:val="24"/>
          <w:szCs w:val="24"/>
          <w:rtl/>
        </w:rPr>
        <w:t xml:space="preserve"> </w:t>
      </w:r>
      <w:r w:rsidRPr="005D59A7">
        <w:rPr>
          <w:rFonts w:ascii="T" w:hAnsi="T" w:cs="Simplified Arabic"/>
          <w:sz w:val="24"/>
          <w:szCs w:val="24"/>
          <w:rtl/>
        </w:rPr>
        <w:t>قطاعات</w:t>
      </w:r>
      <w:r w:rsidR="004F25C0" w:rsidRPr="005D59A7">
        <w:rPr>
          <w:rFonts w:ascii="T" w:hAnsi="T" w:cs="Simplified Arabic"/>
          <w:sz w:val="24"/>
          <w:szCs w:val="24"/>
          <w:rtl/>
        </w:rPr>
        <w:t xml:space="preserve"> </w:t>
      </w:r>
      <w:r w:rsidRPr="005D59A7">
        <w:rPr>
          <w:rFonts w:ascii="T" w:hAnsi="T" w:cs="Simplified Arabic"/>
          <w:sz w:val="24"/>
          <w:szCs w:val="24"/>
          <w:rtl/>
        </w:rPr>
        <w:t>البناء</w:t>
      </w:r>
      <w:r w:rsidR="004F25C0" w:rsidRPr="005D59A7">
        <w:rPr>
          <w:rFonts w:ascii="T" w:hAnsi="T" w:cs="Simplified Arabic"/>
          <w:sz w:val="24"/>
          <w:szCs w:val="24"/>
          <w:rtl/>
        </w:rPr>
        <w:t xml:space="preserve"> </w:t>
      </w:r>
      <w:r w:rsidRPr="005D59A7">
        <w:rPr>
          <w:rFonts w:ascii="T" w:hAnsi="T" w:cs="Simplified Arabic"/>
          <w:sz w:val="24"/>
          <w:szCs w:val="24"/>
          <w:rtl/>
        </w:rPr>
        <w:t>والمعدات</w:t>
      </w:r>
      <w:r w:rsidR="004F25C0" w:rsidRPr="005D59A7">
        <w:rPr>
          <w:rFonts w:ascii="T" w:hAnsi="T" w:cs="Simplified Arabic"/>
          <w:sz w:val="24"/>
          <w:szCs w:val="24"/>
          <w:rtl/>
        </w:rPr>
        <w:t xml:space="preserve"> </w:t>
      </w:r>
      <w:r w:rsidRPr="005D59A7">
        <w:rPr>
          <w:rFonts w:ascii="T" w:hAnsi="T" w:cs="Simplified Arabic"/>
          <w:sz w:val="24"/>
          <w:szCs w:val="24"/>
          <w:rtl/>
        </w:rPr>
        <w:t>وخدمات</w:t>
      </w:r>
      <w:r w:rsidR="004F25C0" w:rsidRPr="005D59A7">
        <w:rPr>
          <w:rFonts w:ascii="T" w:hAnsi="T" w:cs="Simplified Arabic"/>
          <w:sz w:val="24"/>
          <w:szCs w:val="24"/>
          <w:rtl/>
        </w:rPr>
        <w:t xml:space="preserve"> </w:t>
      </w:r>
      <w:r w:rsidRPr="005D59A7">
        <w:rPr>
          <w:rFonts w:ascii="T" w:hAnsi="T" w:cs="Simplified Arabic"/>
          <w:sz w:val="24"/>
          <w:szCs w:val="24"/>
          <w:rtl/>
        </w:rPr>
        <w:t>الدعم</w:t>
      </w:r>
      <w:r w:rsidR="004F25C0" w:rsidRPr="005D59A7">
        <w:rPr>
          <w:rFonts w:ascii="T" w:hAnsi="T" w:cs="Simplified Arabic"/>
          <w:sz w:val="24"/>
          <w:szCs w:val="24"/>
          <w:rtl/>
        </w:rPr>
        <w:t xml:space="preserve"> </w:t>
      </w:r>
      <w:r w:rsidRPr="005D59A7">
        <w:rPr>
          <w:rFonts w:ascii="T" w:hAnsi="T" w:cs="Simplified Arabic"/>
          <w:sz w:val="24"/>
          <w:szCs w:val="24"/>
          <w:rtl/>
        </w:rPr>
        <w:t>وغيرها</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الصناعات</w:t>
      </w:r>
      <w:r w:rsidR="004F25C0" w:rsidRPr="005D59A7">
        <w:rPr>
          <w:rFonts w:ascii="T" w:hAnsi="T" w:cs="Simplified Arabic"/>
          <w:sz w:val="24"/>
          <w:szCs w:val="24"/>
          <w:rtl/>
        </w:rPr>
        <w:t xml:space="preserve"> </w:t>
      </w:r>
      <w:r w:rsidRPr="005D59A7">
        <w:rPr>
          <w:rFonts w:ascii="T" w:hAnsi="T" w:cs="Simplified Arabic"/>
          <w:sz w:val="24"/>
          <w:szCs w:val="24"/>
          <w:rtl/>
        </w:rPr>
        <w:t>ذات</w:t>
      </w:r>
      <w:r w:rsidR="004F25C0" w:rsidRPr="005D59A7">
        <w:rPr>
          <w:rFonts w:ascii="T" w:hAnsi="T" w:cs="Simplified Arabic"/>
          <w:sz w:val="24"/>
          <w:szCs w:val="24"/>
          <w:rtl/>
        </w:rPr>
        <w:t xml:space="preserve"> </w:t>
      </w:r>
      <w:r w:rsidRPr="005D59A7">
        <w:rPr>
          <w:rFonts w:ascii="T" w:hAnsi="T" w:cs="Simplified Arabic"/>
          <w:sz w:val="24"/>
          <w:szCs w:val="24"/>
          <w:rtl/>
        </w:rPr>
        <w:t>الصلة.</w:t>
      </w:r>
    </w:p>
    <w:p w14:paraId="075D2E7C" w14:textId="77777777"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فرص</w:t>
      </w:r>
      <w:r w:rsidR="004F25C0" w:rsidRPr="005D59A7">
        <w:rPr>
          <w:rFonts w:ascii="T" w:hAnsi="T" w:cs="Simplified Arabic"/>
          <w:sz w:val="24"/>
          <w:szCs w:val="24"/>
          <w:rtl/>
        </w:rPr>
        <w:t xml:space="preserve"> </w:t>
      </w:r>
      <w:r w:rsidRPr="005D59A7">
        <w:rPr>
          <w:rFonts w:ascii="T" w:hAnsi="T" w:cs="Simplified Arabic"/>
          <w:sz w:val="24"/>
          <w:szCs w:val="24"/>
          <w:rtl/>
        </w:rPr>
        <w:t>الاستثمار: تتيح</w:t>
      </w:r>
      <w:r w:rsidR="004F25C0" w:rsidRPr="005D59A7">
        <w:rPr>
          <w:rFonts w:ascii="T" w:hAnsi="T" w:cs="Simplified Arabic"/>
          <w:sz w:val="24"/>
          <w:szCs w:val="24"/>
          <w:rtl/>
        </w:rPr>
        <w:t xml:space="preserve"> </w:t>
      </w:r>
      <w:r w:rsidRPr="005D59A7">
        <w:rPr>
          <w:rFonts w:ascii="T" w:hAnsi="T" w:cs="Simplified Arabic"/>
          <w:sz w:val="24"/>
          <w:szCs w:val="24"/>
          <w:rtl/>
        </w:rPr>
        <w:t>الشراكات</w:t>
      </w:r>
      <w:r w:rsidR="004F25C0" w:rsidRPr="005D59A7">
        <w:rPr>
          <w:rFonts w:ascii="T" w:hAnsi="T" w:cs="Simplified Arabic"/>
          <w:sz w:val="24"/>
          <w:szCs w:val="24"/>
          <w:rtl/>
        </w:rPr>
        <w:t xml:space="preserve"> </w:t>
      </w:r>
      <w:r w:rsidRPr="005D59A7">
        <w:rPr>
          <w:rFonts w:ascii="T" w:hAnsi="T" w:cs="Simplified Arabic"/>
          <w:sz w:val="24"/>
          <w:szCs w:val="24"/>
          <w:rtl/>
        </w:rPr>
        <w:t>بين</w:t>
      </w:r>
      <w:r w:rsidR="004F25C0" w:rsidRPr="005D59A7">
        <w:rPr>
          <w:rFonts w:ascii="T" w:hAnsi="T" w:cs="Simplified Arabic"/>
          <w:sz w:val="24"/>
          <w:szCs w:val="24"/>
          <w:rtl/>
        </w:rPr>
        <w:t xml:space="preserve"> </w:t>
      </w:r>
      <w:r w:rsidRPr="005D59A7">
        <w:rPr>
          <w:rFonts w:ascii="T" w:hAnsi="T" w:cs="Simplified Arabic"/>
          <w:sz w:val="24"/>
          <w:szCs w:val="24"/>
          <w:rtl/>
        </w:rPr>
        <w:t>القطاعين</w:t>
      </w:r>
      <w:r w:rsidR="004F25C0" w:rsidRPr="005D59A7">
        <w:rPr>
          <w:rFonts w:ascii="T" w:hAnsi="T" w:cs="Simplified Arabic"/>
          <w:sz w:val="24"/>
          <w:szCs w:val="24"/>
          <w:rtl/>
        </w:rPr>
        <w:t xml:space="preserve"> </w:t>
      </w:r>
      <w:r w:rsidRPr="005D59A7">
        <w:rPr>
          <w:rFonts w:ascii="T" w:hAnsi="T" w:cs="Simplified Arabic"/>
          <w:sz w:val="24"/>
          <w:szCs w:val="24"/>
          <w:rtl/>
        </w:rPr>
        <w:t>العام</w:t>
      </w:r>
      <w:r w:rsidR="004F25C0" w:rsidRPr="005D59A7">
        <w:rPr>
          <w:rFonts w:ascii="T" w:hAnsi="T" w:cs="Simplified Arabic"/>
          <w:sz w:val="24"/>
          <w:szCs w:val="24"/>
          <w:rtl/>
        </w:rPr>
        <w:t xml:space="preserve"> </w:t>
      </w:r>
      <w:r w:rsidRPr="005D59A7">
        <w:rPr>
          <w:rFonts w:ascii="T" w:hAnsi="T" w:cs="Simplified Arabic"/>
          <w:sz w:val="24"/>
          <w:szCs w:val="24"/>
          <w:rtl/>
        </w:rPr>
        <w:t>والخاص</w:t>
      </w:r>
      <w:r w:rsidR="004F25C0" w:rsidRPr="005D59A7">
        <w:rPr>
          <w:rFonts w:ascii="T" w:hAnsi="T" w:cs="Simplified Arabic"/>
          <w:sz w:val="24"/>
          <w:szCs w:val="24"/>
          <w:rtl/>
        </w:rPr>
        <w:t xml:space="preserve"> </w:t>
      </w:r>
      <w:r w:rsidRPr="005D59A7">
        <w:rPr>
          <w:rFonts w:ascii="T" w:hAnsi="T" w:cs="Simplified Arabic"/>
          <w:sz w:val="24"/>
          <w:szCs w:val="24"/>
          <w:rtl/>
        </w:rPr>
        <w:t>فرصًا</w:t>
      </w:r>
      <w:r w:rsidR="004F25C0" w:rsidRPr="005D59A7">
        <w:rPr>
          <w:rFonts w:ascii="T" w:hAnsi="T" w:cs="Simplified Arabic"/>
          <w:sz w:val="24"/>
          <w:szCs w:val="24"/>
          <w:rtl/>
        </w:rPr>
        <w:t xml:space="preserve"> </w:t>
      </w:r>
      <w:r w:rsidRPr="005D59A7">
        <w:rPr>
          <w:rFonts w:ascii="T" w:hAnsi="T" w:cs="Simplified Arabic"/>
          <w:sz w:val="24"/>
          <w:szCs w:val="24"/>
          <w:rtl/>
        </w:rPr>
        <w:t>استثمارية</w:t>
      </w:r>
      <w:r w:rsidR="004F25C0" w:rsidRPr="005D59A7">
        <w:rPr>
          <w:rFonts w:ascii="T" w:hAnsi="T" w:cs="Simplified Arabic"/>
          <w:sz w:val="24"/>
          <w:szCs w:val="24"/>
          <w:rtl/>
        </w:rPr>
        <w:t xml:space="preserve"> </w:t>
      </w:r>
      <w:r w:rsidRPr="005D59A7">
        <w:rPr>
          <w:rFonts w:ascii="T" w:hAnsi="T" w:cs="Simplified Arabic"/>
          <w:sz w:val="24"/>
          <w:szCs w:val="24"/>
          <w:rtl/>
        </w:rPr>
        <w:t>جديدة</w:t>
      </w:r>
      <w:r w:rsidR="004F25C0" w:rsidRPr="005D59A7">
        <w:rPr>
          <w:rFonts w:ascii="T" w:hAnsi="T" w:cs="Simplified Arabic"/>
          <w:sz w:val="24"/>
          <w:szCs w:val="24"/>
          <w:rtl/>
        </w:rPr>
        <w:t xml:space="preserve"> </w:t>
      </w:r>
      <w:r w:rsidRPr="005D59A7">
        <w:rPr>
          <w:rFonts w:ascii="T" w:hAnsi="T" w:cs="Simplified Arabic"/>
          <w:sz w:val="24"/>
          <w:szCs w:val="24"/>
          <w:rtl/>
        </w:rPr>
        <w:t>للشركات</w:t>
      </w:r>
      <w:r w:rsidR="004F25C0" w:rsidRPr="005D59A7">
        <w:rPr>
          <w:rFonts w:ascii="T" w:hAnsi="T" w:cs="Simplified Arabic"/>
          <w:sz w:val="24"/>
          <w:szCs w:val="24"/>
          <w:rtl/>
        </w:rPr>
        <w:t xml:space="preserve"> </w:t>
      </w:r>
      <w:r w:rsidRPr="005D59A7">
        <w:rPr>
          <w:rFonts w:ascii="T" w:hAnsi="T" w:cs="Simplified Arabic"/>
          <w:sz w:val="24"/>
          <w:szCs w:val="24"/>
          <w:rtl/>
        </w:rPr>
        <w:t>الخاصة،</w:t>
      </w:r>
      <w:r w:rsidR="004F25C0" w:rsidRPr="005D59A7">
        <w:rPr>
          <w:rFonts w:ascii="T" w:hAnsi="T" w:cs="Simplified Arabic"/>
          <w:sz w:val="24"/>
          <w:szCs w:val="24"/>
          <w:rtl/>
        </w:rPr>
        <w:t xml:space="preserve"> </w:t>
      </w:r>
      <w:r w:rsidRPr="005D59A7">
        <w:rPr>
          <w:rFonts w:ascii="T" w:hAnsi="T" w:cs="Simplified Arabic"/>
          <w:sz w:val="24"/>
          <w:szCs w:val="24"/>
          <w:rtl/>
        </w:rPr>
        <w:t>مما</w:t>
      </w:r>
      <w:r w:rsidR="004F25C0" w:rsidRPr="005D59A7">
        <w:rPr>
          <w:rFonts w:ascii="T" w:hAnsi="T" w:cs="Simplified Arabic"/>
          <w:sz w:val="24"/>
          <w:szCs w:val="24"/>
          <w:rtl/>
        </w:rPr>
        <w:t xml:space="preserve"> </w:t>
      </w:r>
      <w:r w:rsidRPr="005D59A7">
        <w:rPr>
          <w:rFonts w:ascii="T" w:hAnsi="T" w:cs="Simplified Arabic"/>
          <w:sz w:val="24"/>
          <w:szCs w:val="24"/>
          <w:rtl/>
        </w:rPr>
        <w:t>يساعدها</w:t>
      </w:r>
      <w:r w:rsidR="004F25C0" w:rsidRPr="005D59A7">
        <w:rPr>
          <w:rFonts w:ascii="T" w:hAnsi="T" w:cs="Simplified Arabic"/>
          <w:sz w:val="24"/>
          <w:szCs w:val="24"/>
          <w:rtl/>
        </w:rPr>
        <w:t xml:space="preserve"> </w:t>
      </w:r>
      <w:r w:rsidRPr="005D59A7">
        <w:rPr>
          <w:rFonts w:ascii="T" w:hAnsi="T" w:cs="Simplified Arabic"/>
          <w:sz w:val="24"/>
          <w:szCs w:val="24"/>
          <w:rtl/>
        </w:rPr>
        <w:t>على</w:t>
      </w:r>
      <w:r w:rsidR="004F25C0" w:rsidRPr="005D59A7">
        <w:rPr>
          <w:rFonts w:ascii="T" w:hAnsi="T" w:cs="Simplified Arabic"/>
          <w:sz w:val="24"/>
          <w:szCs w:val="24"/>
          <w:rtl/>
        </w:rPr>
        <w:t xml:space="preserve"> </w:t>
      </w:r>
      <w:r w:rsidRPr="005D59A7">
        <w:rPr>
          <w:rFonts w:ascii="T" w:hAnsi="T" w:cs="Simplified Arabic"/>
          <w:sz w:val="24"/>
          <w:szCs w:val="24"/>
          <w:rtl/>
        </w:rPr>
        <w:t>تطوير</w:t>
      </w:r>
      <w:r w:rsidR="004F25C0" w:rsidRPr="005D59A7">
        <w:rPr>
          <w:rFonts w:ascii="T" w:hAnsi="T" w:cs="Simplified Arabic"/>
          <w:sz w:val="24"/>
          <w:szCs w:val="24"/>
          <w:rtl/>
        </w:rPr>
        <w:t xml:space="preserve"> </w:t>
      </w:r>
      <w:r w:rsidRPr="005D59A7">
        <w:rPr>
          <w:rFonts w:ascii="T" w:hAnsi="T" w:cs="Simplified Arabic"/>
          <w:sz w:val="24"/>
          <w:szCs w:val="24"/>
          <w:rtl/>
        </w:rPr>
        <w:t>الخبرات</w:t>
      </w:r>
      <w:r w:rsidR="004F25C0" w:rsidRPr="005D59A7">
        <w:rPr>
          <w:rFonts w:ascii="T" w:hAnsi="T" w:cs="Simplified Arabic"/>
          <w:sz w:val="24"/>
          <w:szCs w:val="24"/>
          <w:rtl/>
        </w:rPr>
        <w:t xml:space="preserve"> </w:t>
      </w:r>
      <w:r w:rsidRPr="005D59A7">
        <w:rPr>
          <w:rFonts w:ascii="T" w:hAnsi="T" w:cs="Simplified Arabic"/>
          <w:sz w:val="24"/>
          <w:szCs w:val="24"/>
          <w:rtl/>
        </w:rPr>
        <w:t>والمهارات</w:t>
      </w:r>
      <w:r w:rsidR="004F25C0" w:rsidRPr="005D59A7">
        <w:rPr>
          <w:rFonts w:ascii="T" w:hAnsi="T" w:cs="Simplified Arabic"/>
          <w:sz w:val="24"/>
          <w:szCs w:val="24"/>
          <w:rtl/>
        </w:rPr>
        <w:t xml:space="preserve"> </w:t>
      </w:r>
      <w:r w:rsidRPr="005D59A7">
        <w:rPr>
          <w:rFonts w:ascii="T" w:hAnsi="T" w:cs="Simplified Arabic"/>
          <w:sz w:val="24"/>
          <w:szCs w:val="24"/>
          <w:rtl/>
        </w:rPr>
        <w:t>التي</w:t>
      </w:r>
      <w:r w:rsidR="004F25C0" w:rsidRPr="005D59A7">
        <w:rPr>
          <w:rFonts w:ascii="T" w:hAnsi="T" w:cs="Simplified Arabic"/>
          <w:sz w:val="24"/>
          <w:szCs w:val="24"/>
          <w:rtl/>
        </w:rPr>
        <w:t xml:space="preserve"> </w:t>
      </w:r>
      <w:r w:rsidRPr="005D59A7">
        <w:rPr>
          <w:rFonts w:ascii="T" w:hAnsi="T" w:cs="Simplified Arabic"/>
          <w:sz w:val="24"/>
          <w:szCs w:val="24"/>
          <w:rtl/>
        </w:rPr>
        <w:t>يمكن</w:t>
      </w:r>
      <w:r w:rsidR="004F25C0" w:rsidRPr="005D59A7">
        <w:rPr>
          <w:rFonts w:ascii="T" w:hAnsi="T" w:cs="Simplified Arabic"/>
          <w:sz w:val="24"/>
          <w:szCs w:val="24"/>
          <w:rtl/>
        </w:rPr>
        <w:t xml:space="preserve"> </w:t>
      </w:r>
      <w:r w:rsidRPr="005D59A7">
        <w:rPr>
          <w:rFonts w:ascii="T" w:hAnsi="T" w:cs="Simplified Arabic"/>
          <w:sz w:val="24"/>
          <w:szCs w:val="24"/>
          <w:rtl/>
        </w:rPr>
        <w:t>إعادة</w:t>
      </w:r>
      <w:r w:rsidR="004F25C0" w:rsidRPr="005D59A7">
        <w:rPr>
          <w:rFonts w:ascii="T" w:hAnsi="T" w:cs="Simplified Arabic"/>
          <w:sz w:val="24"/>
          <w:szCs w:val="24"/>
          <w:rtl/>
        </w:rPr>
        <w:t xml:space="preserve"> </w:t>
      </w:r>
      <w:r w:rsidRPr="005D59A7">
        <w:rPr>
          <w:rFonts w:ascii="T" w:hAnsi="T" w:cs="Simplified Arabic"/>
          <w:sz w:val="24"/>
          <w:szCs w:val="24"/>
          <w:rtl/>
        </w:rPr>
        <w:t>تطبيقها</w:t>
      </w:r>
      <w:r w:rsidR="004F25C0" w:rsidRPr="005D59A7">
        <w:rPr>
          <w:rFonts w:ascii="T" w:hAnsi="T" w:cs="Simplified Arabic"/>
          <w:sz w:val="24"/>
          <w:szCs w:val="24"/>
          <w:rtl/>
        </w:rPr>
        <w:t xml:space="preserve"> </w:t>
      </w:r>
      <w:r w:rsidRPr="005D59A7">
        <w:rPr>
          <w:rFonts w:ascii="T" w:hAnsi="T" w:cs="Simplified Arabic"/>
          <w:sz w:val="24"/>
          <w:szCs w:val="24"/>
          <w:rtl/>
        </w:rPr>
        <w:t>في</w:t>
      </w:r>
      <w:r w:rsidR="004F25C0" w:rsidRPr="005D59A7">
        <w:rPr>
          <w:rFonts w:ascii="T" w:hAnsi="T" w:cs="Simplified Arabic"/>
          <w:sz w:val="24"/>
          <w:szCs w:val="24"/>
          <w:rtl/>
        </w:rPr>
        <w:t xml:space="preserve"> </w:t>
      </w:r>
      <w:r w:rsidRPr="005D59A7">
        <w:rPr>
          <w:rFonts w:ascii="T" w:hAnsi="T" w:cs="Simplified Arabic"/>
          <w:sz w:val="24"/>
          <w:szCs w:val="24"/>
          <w:rtl/>
        </w:rPr>
        <w:t>مشاريع</w:t>
      </w:r>
      <w:r w:rsidR="004F25C0" w:rsidRPr="005D59A7">
        <w:rPr>
          <w:rFonts w:ascii="T" w:hAnsi="T" w:cs="Simplified Arabic"/>
          <w:sz w:val="24"/>
          <w:szCs w:val="24"/>
          <w:rtl/>
        </w:rPr>
        <w:t xml:space="preserve"> </w:t>
      </w:r>
      <w:r w:rsidRPr="005D59A7">
        <w:rPr>
          <w:rFonts w:ascii="T" w:hAnsi="T" w:cs="Simplified Arabic"/>
          <w:sz w:val="24"/>
          <w:szCs w:val="24"/>
          <w:rtl/>
        </w:rPr>
        <w:t>أخرى.</w:t>
      </w:r>
    </w:p>
    <w:p w14:paraId="1CCCEFFD" w14:textId="77777777" w:rsidR="005A5496" w:rsidRPr="005D59A7" w:rsidRDefault="00210FA3" w:rsidP="00DF52A6">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تطوير</w:t>
      </w:r>
      <w:r w:rsidR="004F25C0" w:rsidRPr="005D59A7">
        <w:rPr>
          <w:rFonts w:ascii="T" w:hAnsi="T" w:cs="Simplified Arabic"/>
          <w:sz w:val="24"/>
          <w:szCs w:val="24"/>
          <w:rtl/>
        </w:rPr>
        <w:t xml:space="preserve"> </w:t>
      </w:r>
      <w:r w:rsidRPr="005D59A7">
        <w:rPr>
          <w:rFonts w:ascii="T" w:hAnsi="T" w:cs="Simplified Arabic"/>
          <w:sz w:val="24"/>
          <w:szCs w:val="24"/>
          <w:rtl/>
        </w:rPr>
        <w:t>البنية</w:t>
      </w:r>
      <w:r w:rsidR="004F25C0" w:rsidRPr="005D59A7">
        <w:rPr>
          <w:rFonts w:ascii="T" w:hAnsi="T" w:cs="Simplified Arabic"/>
          <w:sz w:val="24"/>
          <w:szCs w:val="24"/>
          <w:rtl/>
        </w:rPr>
        <w:t xml:space="preserve"> </w:t>
      </w:r>
      <w:r w:rsidRPr="005D59A7">
        <w:rPr>
          <w:rFonts w:ascii="T" w:hAnsi="T" w:cs="Simplified Arabic"/>
          <w:sz w:val="24"/>
          <w:szCs w:val="24"/>
          <w:rtl/>
        </w:rPr>
        <w:t>التحتية: تعتبر</w:t>
      </w:r>
      <w:r w:rsidR="004F25C0" w:rsidRPr="005D59A7">
        <w:rPr>
          <w:rFonts w:ascii="T" w:hAnsi="T" w:cs="Simplified Arabic"/>
          <w:sz w:val="24"/>
          <w:szCs w:val="24"/>
          <w:rtl/>
        </w:rPr>
        <w:t xml:space="preserve"> </w:t>
      </w:r>
      <w:r w:rsidRPr="005D59A7">
        <w:rPr>
          <w:rFonts w:ascii="T" w:hAnsi="T" w:cs="Simplified Arabic"/>
          <w:sz w:val="24"/>
          <w:szCs w:val="24"/>
          <w:rtl/>
        </w:rPr>
        <w:t>الشراكات</w:t>
      </w:r>
      <w:r w:rsidR="004F25C0" w:rsidRPr="005D59A7">
        <w:rPr>
          <w:rFonts w:ascii="T" w:hAnsi="T" w:cs="Simplified Arabic"/>
          <w:sz w:val="24"/>
          <w:szCs w:val="24"/>
          <w:rtl/>
        </w:rPr>
        <w:t xml:space="preserve"> </w:t>
      </w:r>
      <w:r w:rsidRPr="005D59A7">
        <w:rPr>
          <w:rFonts w:ascii="T" w:hAnsi="T" w:cs="Simplified Arabic"/>
          <w:sz w:val="24"/>
          <w:szCs w:val="24"/>
          <w:rtl/>
        </w:rPr>
        <w:t>بين</w:t>
      </w:r>
      <w:r w:rsidR="004F25C0" w:rsidRPr="005D59A7">
        <w:rPr>
          <w:rFonts w:ascii="T" w:hAnsi="T" w:cs="Simplified Arabic"/>
          <w:sz w:val="24"/>
          <w:szCs w:val="24"/>
          <w:rtl/>
        </w:rPr>
        <w:t xml:space="preserve"> </w:t>
      </w:r>
      <w:r w:rsidRPr="005D59A7">
        <w:rPr>
          <w:rFonts w:ascii="T" w:hAnsi="T" w:cs="Simplified Arabic"/>
          <w:sz w:val="24"/>
          <w:szCs w:val="24"/>
          <w:rtl/>
        </w:rPr>
        <w:t>القطاعين</w:t>
      </w:r>
      <w:r w:rsidR="004F25C0" w:rsidRPr="005D59A7">
        <w:rPr>
          <w:rFonts w:ascii="T" w:hAnsi="T" w:cs="Simplified Arabic"/>
          <w:sz w:val="24"/>
          <w:szCs w:val="24"/>
          <w:rtl/>
        </w:rPr>
        <w:t xml:space="preserve"> </w:t>
      </w:r>
      <w:r w:rsidRPr="005D59A7">
        <w:rPr>
          <w:rFonts w:ascii="T" w:hAnsi="T" w:cs="Simplified Arabic"/>
          <w:sz w:val="24"/>
          <w:szCs w:val="24"/>
          <w:rtl/>
        </w:rPr>
        <w:t>العام</w:t>
      </w:r>
      <w:r w:rsidR="004F25C0" w:rsidRPr="005D59A7">
        <w:rPr>
          <w:rFonts w:ascii="T" w:hAnsi="T" w:cs="Simplified Arabic"/>
          <w:sz w:val="24"/>
          <w:szCs w:val="24"/>
          <w:rtl/>
        </w:rPr>
        <w:t xml:space="preserve"> </w:t>
      </w:r>
      <w:r w:rsidRPr="005D59A7">
        <w:rPr>
          <w:rFonts w:ascii="T" w:hAnsi="T" w:cs="Simplified Arabic"/>
          <w:sz w:val="24"/>
          <w:szCs w:val="24"/>
          <w:rtl/>
        </w:rPr>
        <w:t>والخاص</w:t>
      </w:r>
      <w:r w:rsidR="004F25C0" w:rsidRPr="005D59A7">
        <w:rPr>
          <w:rFonts w:ascii="T" w:hAnsi="T" w:cs="Simplified Arabic"/>
          <w:sz w:val="24"/>
          <w:szCs w:val="24"/>
          <w:rtl/>
        </w:rPr>
        <w:t xml:space="preserve"> </w:t>
      </w:r>
      <w:r w:rsidRPr="005D59A7">
        <w:rPr>
          <w:rFonts w:ascii="T" w:hAnsi="T" w:cs="Simplified Arabic"/>
          <w:sz w:val="24"/>
          <w:szCs w:val="24"/>
          <w:rtl/>
        </w:rPr>
        <w:t>ضرورية</w:t>
      </w:r>
      <w:r w:rsidR="004F25C0" w:rsidRPr="005D59A7">
        <w:rPr>
          <w:rFonts w:ascii="T" w:hAnsi="T" w:cs="Simplified Arabic"/>
          <w:sz w:val="24"/>
          <w:szCs w:val="24"/>
          <w:rtl/>
        </w:rPr>
        <w:t xml:space="preserve"> </w:t>
      </w:r>
      <w:r w:rsidRPr="005D59A7">
        <w:rPr>
          <w:rFonts w:ascii="T" w:hAnsi="T" w:cs="Simplified Arabic"/>
          <w:sz w:val="24"/>
          <w:szCs w:val="24"/>
          <w:rtl/>
        </w:rPr>
        <w:t>لسد</w:t>
      </w:r>
      <w:r w:rsidR="004F25C0" w:rsidRPr="005D59A7">
        <w:rPr>
          <w:rFonts w:ascii="T" w:hAnsi="T" w:cs="Simplified Arabic"/>
          <w:sz w:val="24"/>
          <w:szCs w:val="24"/>
          <w:rtl/>
        </w:rPr>
        <w:t xml:space="preserve"> </w:t>
      </w:r>
      <w:r w:rsidRPr="005D59A7">
        <w:rPr>
          <w:rFonts w:ascii="T" w:hAnsi="T" w:cs="Simplified Arabic"/>
          <w:sz w:val="24"/>
          <w:szCs w:val="24"/>
          <w:rtl/>
        </w:rPr>
        <w:t>فجوات</w:t>
      </w:r>
      <w:r w:rsidR="004F25C0" w:rsidRPr="005D59A7">
        <w:rPr>
          <w:rFonts w:ascii="T" w:hAnsi="T" w:cs="Simplified Arabic"/>
          <w:sz w:val="24"/>
          <w:szCs w:val="24"/>
          <w:rtl/>
        </w:rPr>
        <w:t xml:space="preserve"> </w:t>
      </w:r>
      <w:r w:rsidRPr="005D59A7">
        <w:rPr>
          <w:rFonts w:ascii="T" w:hAnsi="T" w:cs="Simplified Arabic"/>
          <w:sz w:val="24"/>
          <w:szCs w:val="24"/>
          <w:rtl/>
        </w:rPr>
        <w:t>البنية</w:t>
      </w:r>
      <w:r w:rsidR="004F25C0" w:rsidRPr="005D59A7">
        <w:rPr>
          <w:rFonts w:ascii="T" w:hAnsi="T" w:cs="Simplified Arabic"/>
          <w:sz w:val="24"/>
          <w:szCs w:val="24"/>
          <w:rtl/>
        </w:rPr>
        <w:t xml:space="preserve"> </w:t>
      </w:r>
      <w:r w:rsidRPr="005D59A7">
        <w:rPr>
          <w:rFonts w:ascii="T" w:hAnsi="T" w:cs="Simplified Arabic"/>
          <w:sz w:val="24"/>
          <w:szCs w:val="24"/>
          <w:rtl/>
        </w:rPr>
        <w:t>التحتية،</w:t>
      </w:r>
      <w:r w:rsidR="004F25C0" w:rsidRPr="005D59A7">
        <w:rPr>
          <w:rFonts w:ascii="T" w:hAnsi="T" w:cs="Simplified Arabic"/>
          <w:sz w:val="24"/>
          <w:szCs w:val="24"/>
          <w:rtl/>
        </w:rPr>
        <w:t xml:space="preserve"> </w:t>
      </w:r>
      <w:r w:rsidRPr="005D59A7">
        <w:rPr>
          <w:rFonts w:ascii="T" w:hAnsi="T" w:cs="Simplified Arabic"/>
          <w:sz w:val="24"/>
          <w:szCs w:val="24"/>
          <w:rtl/>
        </w:rPr>
        <w:t>وخاصة</w:t>
      </w:r>
      <w:r w:rsidR="004F25C0" w:rsidRPr="005D59A7">
        <w:rPr>
          <w:rFonts w:ascii="T" w:hAnsi="T" w:cs="Simplified Arabic"/>
          <w:sz w:val="24"/>
          <w:szCs w:val="24"/>
          <w:rtl/>
        </w:rPr>
        <w:t xml:space="preserve"> </w:t>
      </w:r>
      <w:r w:rsidRPr="005D59A7">
        <w:rPr>
          <w:rFonts w:ascii="T" w:hAnsi="T" w:cs="Simplified Arabic"/>
          <w:sz w:val="24"/>
          <w:szCs w:val="24"/>
          <w:rtl/>
        </w:rPr>
        <w:t>في</w:t>
      </w:r>
      <w:r w:rsidR="004F25C0" w:rsidRPr="005D59A7">
        <w:rPr>
          <w:rFonts w:ascii="T" w:hAnsi="T" w:cs="Simplified Arabic"/>
          <w:sz w:val="24"/>
          <w:szCs w:val="24"/>
          <w:rtl/>
        </w:rPr>
        <w:t xml:space="preserve"> </w:t>
      </w:r>
      <w:r w:rsidRPr="005D59A7">
        <w:rPr>
          <w:rFonts w:ascii="T" w:hAnsi="T" w:cs="Simplified Arabic"/>
          <w:sz w:val="24"/>
          <w:szCs w:val="24"/>
          <w:rtl/>
        </w:rPr>
        <w:t>المجتمعات</w:t>
      </w:r>
      <w:r w:rsidR="004F25C0" w:rsidRPr="005D59A7">
        <w:rPr>
          <w:rFonts w:ascii="T" w:hAnsi="T" w:cs="Simplified Arabic"/>
          <w:sz w:val="24"/>
          <w:szCs w:val="24"/>
          <w:rtl/>
        </w:rPr>
        <w:t xml:space="preserve"> </w:t>
      </w:r>
      <w:r w:rsidRPr="005D59A7">
        <w:rPr>
          <w:rFonts w:ascii="T" w:hAnsi="T" w:cs="Simplified Arabic"/>
          <w:sz w:val="24"/>
          <w:szCs w:val="24"/>
          <w:rtl/>
        </w:rPr>
        <w:t>والبلدان</w:t>
      </w:r>
      <w:r w:rsidR="004F25C0" w:rsidRPr="005D59A7">
        <w:rPr>
          <w:rFonts w:ascii="T" w:hAnsi="T" w:cs="Simplified Arabic"/>
          <w:sz w:val="24"/>
          <w:szCs w:val="24"/>
          <w:rtl/>
        </w:rPr>
        <w:t xml:space="preserve"> </w:t>
      </w:r>
      <w:r w:rsidRPr="005D59A7">
        <w:rPr>
          <w:rFonts w:ascii="T" w:hAnsi="T" w:cs="Simplified Arabic"/>
          <w:sz w:val="24"/>
          <w:szCs w:val="24"/>
          <w:rtl/>
        </w:rPr>
        <w:t>النامية،</w:t>
      </w:r>
      <w:r w:rsidR="004F25C0" w:rsidRPr="005D59A7">
        <w:rPr>
          <w:rFonts w:ascii="T" w:hAnsi="T" w:cs="Simplified Arabic"/>
          <w:sz w:val="24"/>
          <w:szCs w:val="24"/>
          <w:rtl/>
        </w:rPr>
        <w:t xml:space="preserve"> </w:t>
      </w:r>
      <w:r w:rsidRPr="005D59A7">
        <w:rPr>
          <w:rFonts w:ascii="T" w:hAnsi="T" w:cs="Simplified Arabic"/>
          <w:sz w:val="24"/>
          <w:szCs w:val="24"/>
          <w:rtl/>
        </w:rPr>
        <w:t>مما</w:t>
      </w:r>
      <w:r w:rsidR="004F25C0" w:rsidRPr="005D59A7">
        <w:rPr>
          <w:rFonts w:ascii="T" w:hAnsi="T" w:cs="Simplified Arabic"/>
          <w:sz w:val="24"/>
          <w:szCs w:val="24"/>
          <w:rtl/>
        </w:rPr>
        <w:t xml:space="preserve"> </w:t>
      </w:r>
      <w:r w:rsidRPr="005D59A7">
        <w:rPr>
          <w:rFonts w:ascii="T" w:hAnsi="T" w:cs="Simplified Arabic"/>
          <w:sz w:val="24"/>
          <w:szCs w:val="24"/>
          <w:rtl/>
        </w:rPr>
        <w:t>يمكن</w:t>
      </w:r>
      <w:r w:rsidR="004F25C0" w:rsidRPr="005D59A7">
        <w:rPr>
          <w:rFonts w:ascii="T" w:hAnsi="T" w:cs="Simplified Arabic"/>
          <w:sz w:val="24"/>
          <w:szCs w:val="24"/>
          <w:rtl/>
        </w:rPr>
        <w:t xml:space="preserve"> </w:t>
      </w:r>
      <w:r w:rsidRPr="005D59A7">
        <w:rPr>
          <w:rFonts w:ascii="T" w:hAnsi="T" w:cs="Simplified Arabic"/>
          <w:sz w:val="24"/>
          <w:szCs w:val="24"/>
          <w:rtl/>
        </w:rPr>
        <w:t>أن</w:t>
      </w:r>
      <w:r w:rsidR="004F25C0" w:rsidRPr="005D59A7">
        <w:rPr>
          <w:rFonts w:ascii="T" w:hAnsi="T" w:cs="Simplified Arabic"/>
          <w:sz w:val="24"/>
          <w:szCs w:val="24"/>
          <w:rtl/>
        </w:rPr>
        <w:t xml:space="preserve"> </w:t>
      </w:r>
      <w:r w:rsidRPr="005D59A7">
        <w:rPr>
          <w:rFonts w:ascii="T" w:hAnsi="T" w:cs="Simplified Arabic"/>
          <w:sz w:val="24"/>
          <w:szCs w:val="24"/>
          <w:rtl/>
        </w:rPr>
        <w:t>يجذب</w:t>
      </w:r>
      <w:r w:rsidR="004F25C0" w:rsidRPr="005D59A7">
        <w:rPr>
          <w:rFonts w:ascii="T" w:hAnsi="T" w:cs="Simplified Arabic"/>
          <w:sz w:val="24"/>
          <w:szCs w:val="24"/>
          <w:rtl/>
        </w:rPr>
        <w:t xml:space="preserve"> </w:t>
      </w:r>
      <w:r w:rsidRPr="005D59A7">
        <w:rPr>
          <w:rFonts w:ascii="T" w:hAnsi="T" w:cs="Simplified Arabic"/>
          <w:sz w:val="24"/>
          <w:szCs w:val="24"/>
          <w:rtl/>
        </w:rPr>
        <w:t>المزيد</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الشركات</w:t>
      </w:r>
      <w:r w:rsidR="004F25C0" w:rsidRPr="005D59A7">
        <w:rPr>
          <w:rFonts w:ascii="T" w:hAnsi="T" w:cs="Simplified Arabic"/>
          <w:sz w:val="24"/>
          <w:szCs w:val="24"/>
          <w:rtl/>
        </w:rPr>
        <w:t xml:space="preserve"> </w:t>
      </w:r>
      <w:r w:rsidRPr="005D59A7">
        <w:rPr>
          <w:rFonts w:ascii="T" w:hAnsi="T" w:cs="Simplified Arabic"/>
          <w:sz w:val="24"/>
          <w:szCs w:val="24"/>
          <w:rtl/>
        </w:rPr>
        <w:t>والمزيد</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النمو</w:t>
      </w:r>
      <w:r w:rsidR="004F25C0" w:rsidRPr="005D59A7">
        <w:rPr>
          <w:rFonts w:ascii="T" w:hAnsi="T" w:cs="Simplified Arabic"/>
          <w:sz w:val="24"/>
          <w:szCs w:val="24"/>
          <w:rtl/>
        </w:rPr>
        <w:t xml:space="preserve"> </w:t>
      </w:r>
      <w:r w:rsidRPr="005D59A7">
        <w:rPr>
          <w:rFonts w:ascii="T" w:hAnsi="T" w:cs="Simplified Arabic"/>
          <w:sz w:val="24"/>
          <w:szCs w:val="24"/>
          <w:rtl/>
        </w:rPr>
        <w:t>الاقتصادي.</w:t>
      </w:r>
    </w:p>
    <w:p w14:paraId="3D4F134C" w14:textId="63AE72A5" w:rsidR="00A41647" w:rsidRPr="005D59A7" w:rsidRDefault="00210FA3" w:rsidP="00DF52A6">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لذلك،</w:t>
      </w:r>
      <w:r w:rsidR="004F25C0" w:rsidRPr="005D59A7">
        <w:rPr>
          <w:rFonts w:ascii="T" w:hAnsi="T" w:cs="Simplified Arabic"/>
          <w:sz w:val="24"/>
          <w:szCs w:val="24"/>
          <w:rtl/>
        </w:rPr>
        <w:t xml:space="preserve"> </w:t>
      </w:r>
      <w:r w:rsidRPr="005D59A7">
        <w:rPr>
          <w:rFonts w:ascii="T" w:hAnsi="T" w:cs="Simplified Arabic"/>
          <w:sz w:val="24"/>
          <w:szCs w:val="24"/>
          <w:rtl/>
        </w:rPr>
        <w:t>تعد</w:t>
      </w:r>
      <w:r w:rsidR="004F25C0" w:rsidRPr="005D59A7">
        <w:rPr>
          <w:rFonts w:ascii="T" w:hAnsi="T" w:cs="Simplified Arabic"/>
          <w:sz w:val="24"/>
          <w:szCs w:val="24"/>
          <w:rtl/>
        </w:rPr>
        <w:t xml:space="preserve"> </w:t>
      </w:r>
      <w:r w:rsidRPr="005D59A7">
        <w:rPr>
          <w:rFonts w:ascii="T" w:hAnsi="T" w:cs="Simplified Arabic"/>
          <w:sz w:val="24"/>
          <w:szCs w:val="24"/>
          <w:rtl/>
        </w:rPr>
        <w:t>الشراكات</w:t>
      </w:r>
      <w:r w:rsidR="004F25C0" w:rsidRPr="005D59A7">
        <w:rPr>
          <w:rFonts w:ascii="T" w:hAnsi="T" w:cs="Simplified Arabic"/>
          <w:sz w:val="24"/>
          <w:szCs w:val="24"/>
          <w:rtl/>
        </w:rPr>
        <w:t xml:space="preserve"> </w:t>
      </w:r>
      <w:r w:rsidRPr="005D59A7">
        <w:rPr>
          <w:rFonts w:ascii="T" w:hAnsi="T" w:cs="Simplified Arabic"/>
          <w:sz w:val="24"/>
          <w:szCs w:val="24"/>
          <w:rtl/>
        </w:rPr>
        <w:t>بين</w:t>
      </w:r>
      <w:r w:rsidR="004F25C0" w:rsidRPr="005D59A7">
        <w:rPr>
          <w:rFonts w:ascii="T" w:hAnsi="T" w:cs="Simplified Arabic"/>
          <w:sz w:val="24"/>
          <w:szCs w:val="24"/>
          <w:rtl/>
        </w:rPr>
        <w:t xml:space="preserve"> </w:t>
      </w:r>
      <w:r w:rsidRPr="005D59A7">
        <w:rPr>
          <w:rFonts w:ascii="T" w:hAnsi="T" w:cs="Simplified Arabic"/>
          <w:sz w:val="24"/>
          <w:szCs w:val="24"/>
          <w:rtl/>
        </w:rPr>
        <w:t>القطاعين</w:t>
      </w:r>
      <w:r w:rsidR="004F25C0" w:rsidRPr="005D59A7">
        <w:rPr>
          <w:rFonts w:ascii="T" w:hAnsi="T" w:cs="Simplified Arabic"/>
          <w:sz w:val="24"/>
          <w:szCs w:val="24"/>
          <w:rtl/>
        </w:rPr>
        <w:t xml:space="preserve"> </w:t>
      </w:r>
      <w:r w:rsidRPr="005D59A7">
        <w:rPr>
          <w:rFonts w:ascii="T" w:hAnsi="T" w:cs="Simplified Arabic"/>
          <w:sz w:val="24"/>
          <w:szCs w:val="24"/>
          <w:rtl/>
        </w:rPr>
        <w:t>العام</w:t>
      </w:r>
      <w:r w:rsidR="004F25C0" w:rsidRPr="005D59A7">
        <w:rPr>
          <w:rFonts w:ascii="T" w:hAnsi="T" w:cs="Simplified Arabic"/>
          <w:sz w:val="24"/>
          <w:szCs w:val="24"/>
          <w:rtl/>
        </w:rPr>
        <w:t xml:space="preserve"> </w:t>
      </w:r>
      <w:r w:rsidRPr="005D59A7">
        <w:rPr>
          <w:rFonts w:ascii="T" w:hAnsi="T" w:cs="Simplified Arabic"/>
          <w:sz w:val="24"/>
          <w:szCs w:val="24"/>
          <w:rtl/>
        </w:rPr>
        <w:t>والخاص</w:t>
      </w:r>
      <w:r w:rsidR="004F25C0" w:rsidRPr="005D59A7">
        <w:rPr>
          <w:rFonts w:ascii="T" w:hAnsi="T" w:cs="Simplified Arabic"/>
          <w:sz w:val="24"/>
          <w:szCs w:val="24"/>
          <w:rtl/>
        </w:rPr>
        <w:t xml:space="preserve"> </w:t>
      </w:r>
      <w:r w:rsidRPr="005D59A7">
        <w:rPr>
          <w:rFonts w:ascii="T" w:hAnsi="T" w:cs="Simplified Arabic"/>
          <w:sz w:val="24"/>
          <w:szCs w:val="24"/>
          <w:rtl/>
        </w:rPr>
        <w:t>مهمة</w:t>
      </w:r>
      <w:r w:rsidR="004F25C0" w:rsidRPr="005D59A7">
        <w:rPr>
          <w:rFonts w:ascii="T" w:hAnsi="T" w:cs="Simplified Arabic"/>
          <w:sz w:val="24"/>
          <w:szCs w:val="24"/>
          <w:rtl/>
        </w:rPr>
        <w:t xml:space="preserve"> </w:t>
      </w:r>
      <w:r w:rsidRPr="005D59A7">
        <w:rPr>
          <w:rFonts w:ascii="T" w:hAnsi="T" w:cs="Simplified Arabic"/>
          <w:sz w:val="24"/>
          <w:szCs w:val="24"/>
          <w:rtl/>
        </w:rPr>
        <w:t>لأنها</w:t>
      </w:r>
      <w:r w:rsidR="004F25C0" w:rsidRPr="005D59A7">
        <w:rPr>
          <w:rFonts w:ascii="T" w:hAnsi="T" w:cs="Simplified Arabic"/>
          <w:sz w:val="24"/>
          <w:szCs w:val="24"/>
          <w:rtl/>
        </w:rPr>
        <w:t xml:space="preserve"> </w:t>
      </w:r>
      <w:r w:rsidRPr="005D59A7">
        <w:rPr>
          <w:rFonts w:ascii="T" w:hAnsi="T" w:cs="Simplified Arabic"/>
          <w:sz w:val="24"/>
          <w:szCs w:val="24"/>
          <w:rtl/>
        </w:rPr>
        <w:t>توفر</w:t>
      </w:r>
      <w:r w:rsidR="004F25C0" w:rsidRPr="005D59A7">
        <w:rPr>
          <w:rFonts w:ascii="T" w:hAnsi="T" w:cs="Simplified Arabic"/>
          <w:sz w:val="24"/>
          <w:szCs w:val="24"/>
          <w:rtl/>
        </w:rPr>
        <w:t xml:space="preserve"> </w:t>
      </w:r>
      <w:r w:rsidRPr="005D59A7">
        <w:rPr>
          <w:rFonts w:ascii="T" w:hAnsi="T" w:cs="Simplified Arabic"/>
          <w:sz w:val="24"/>
          <w:szCs w:val="24"/>
          <w:rtl/>
        </w:rPr>
        <w:t>آلية</w:t>
      </w:r>
      <w:r w:rsidR="004F25C0" w:rsidRPr="005D59A7">
        <w:rPr>
          <w:rFonts w:ascii="T" w:hAnsi="T" w:cs="Simplified Arabic"/>
          <w:sz w:val="24"/>
          <w:szCs w:val="24"/>
          <w:rtl/>
        </w:rPr>
        <w:t xml:space="preserve"> </w:t>
      </w:r>
      <w:r w:rsidRPr="005D59A7">
        <w:rPr>
          <w:rFonts w:ascii="T" w:hAnsi="T" w:cs="Simplified Arabic"/>
          <w:sz w:val="24"/>
          <w:szCs w:val="24"/>
          <w:rtl/>
        </w:rPr>
        <w:t>قوية</w:t>
      </w:r>
      <w:r w:rsidR="004F25C0" w:rsidRPr="005D59A7">
        <w:rPr>
          <w:rFonts w:ascii="T" w:hAnsi="T" w:cs="Simplified Arabic"/>
          <w:sz w:val="24"/>
          <w:szCs w:val="24"/>
          <w:rtl/>
        </w:rPr>
        <w:t xml:space="preserve"> </w:t>
      </w:r>
      <w:r w:rsidRPr="005D59A7">
        <w:rPr>
          <w:rFonts w:ascii="T" w:hAnsi="T" w:cs="Simplified Arabic"/>
          <w:sz w:val="24"/>
          <w:szCs w:val="24"/>
          <w:rtl/>
        </w:rPr>
        <w:t>للحكومات</w:t>
      </w:r>
      <w:r w:rsidR="004F25C0" w:rsidRPr="005D59A7">
        <w:rPr>
          <w:rFonts w:ascii="T" w:hAnsi="T" w:cs="Simplified Arabic"/>
          <w:sz w:val="24"/>
          <w:szCs w:val="24"/>
          <w:rtl/>
        </w:rPr>
        <w:t xml:space="preserve"> </w:t>
      </w:r>
      <w:r w:rsidRPr="005D59A7">
        <w:rPr>
          <w:rFonts w:ascii="T" w:hAnsi="T" w:cs="Simplified Arabic"/>
          <w:sz w:val="24"/>
          <w:szCs w:val="24"/>
          <w:rtl/>
        </w:rPr>
        <w:t>لشراء</w:t>
      </w:r>
      <w:r w:rsidR="004F25C0" w:rsidRPr="005D59A7">
        <w:rPr>
          <w:rFonts w:ascii="T" w:hAnsi="T" w:cs="Simplified Arabic"/>
          <w:sz w:val="24"/>
          <w:szCs w:val="24"/>
          <w:rtl/>
        </w:rPr>
        <w:t xml:space="preserve"> </w:t>
      </w:r>
      <w:r w:rsidRPr="005D59A7">
        <w:rPr>
          <w:rFonts w:ascii="T" w:hAnsi="T" w:cs="Simplified Arabic"/>
          <w:sz w:val="24"/>
          <w:szCs w:val="24"/>
          <w:rtl/>
        </w:rPr>
        <w:t>وتنفيذ</w:t>
      </w:r>
      <w:r w:rsidR="004F25C0" w:rsidRPr="005D59A7">
        <w:rPr>
          <w:rFonts w:ascii="T" w:hAnsi="T" w:cs="Simplified Arabic"/>
          <w:sz w:val="24"/>
          <w:szCs w:val="24"/>
          <w:rtl/>
        </w:rPr>
        <w:t xml:space="preserve"> </w:t>
      </w:r>
      <w:r w:rsidRPr="005D59A7">
        <w:rPr>
          <w:rFonts w:ascii="T" w:hAnsi="T" w:cs="Simplified Arabic"/>
          <w:sz w:val="24"/>
          <w:szCs w:val="24"/>
          <w:rtl/>
        </w:rPr>
        <w:t>البنية</w:t>
      </w:r>
      <w:r w:rsidR="004F25C0" w:rsidRPr="005D59A7">
        <w:rPr>
          <w:rFonts w:ascii="T" w:hAnsi="T" w:cs="Simplified Arabic"/>
          <w:sz w:val="24"/>
          <w:szCs w:val="24"/>
          <w:rtl/>
        </w:rPr>
        <w:t xml:space="preserve"> </w:t>
      </w:r>
      <w:r w:rsidRPr="005D59A7">
        <w:rPr>
          <w:rFonts w:ascii="T" w:hAnsi="T" w:cs="Simplified Arabic"/>
          <w:sz w:val="24"/>
          <w:szCs w:val="24"/>
          <w:rtl/>
        </w:rPr>
        <w:t>التحتية</w:t>
      </w:r>
      <w:r w:rsidR="004F25C0" w:rsidRPr="005D59A7">
        <w:rPr>
          <w:rFonts w:ascii="T" w:hAnsi="T" w:cs="Simplified Arabic"/>
          <w:sz w:val="24"/>
          <w:szCs w:val="24"/>
          <w:rtl/>
        </w:rPr>
        <w:t xml:space="preserve"> </w:t>
      </w:r>
      <w:r w:rsidRPr="005D59A7">
        <w:rPr>
          <w:rFonts w:ascii="T" w:hAnsi="T" w:cs="Simplified Arabic"/>
          <w:sz w:val="24"/>
          <w:szCs w:val="24"/>
          <w:rtl/>
        </w:rPr>
        <w:t>والخدمات</w:t>
      </w:r>
      <w:r w:rsidR="004F25C0" w:rsidRPr="005D59A7">
        <w:rPr>
          <w:rFonts w:ascii="T" w:hAnsi="T" w:cs="Simplified Arabic"/>
          <w:sz w:val="24"/>
          <w:szCs w:val="24"/>
          <w:rtl/>
        </w:rPr>
        <w:t xml:space="preserve"> </w:t>
      </w:r>
      <w:r w:rsidRPr="005D59A7">
        <w:rPr>
          <w:rFonts w:ascii="T" w:hAnsi="T" w:cs="Simplified Arabic"/>
          <w:sz w:val="24"/>
          <w:szCs w:val="24"/>
          <w:rtl/>
        </w:rPr>
        <w:t>العامة</w:t>
      </w:r>
      <w:r w:rsidR="004F25C0" w:rsidRPr="005D59A7">
        <w:rPr>
          <w:rFonts w:ascii="T" w:hAnsi="T" w:cs="Simplified Arabic"/>
          <w:sz w:val="24"/>
          <w:szCs w:val="24"/>
          <w:rtl/>
        </w:rPr>
        <w:t xml:space="preserve"> </w:t>
      </w:r>
      <w:r w:rsidRPr="005D59A7">
        <w:rPr>
          <w:rFonts w:ascii="T" w:hAnsi="T" w:cs="Simplified Arabic"/>
          <w:sz w:val="24"/>
          <w:szCs w:val="24"/>
          <w:rtl/>
        </w:rPr>
        <w:t>الأساسية</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خلال</w:t>
      </w:r>
      <w:r w:rsidR="004F25C0" w:rsidRPr="005D59A7">
        <w:rPr>
          <w:rFonts w:ascii="T" w:hAnsi="T" w:cs="Simplified Arabic"/>
          <w:sz w:val="24"/>
          <w:szCs w:val="24"/>
          <w:rtl/>
        </w:rPr>
        <w:t xml:space="preserve"> </w:t>
      </w:r>
      <w:r w:rsidRPr="005D59A7">
        <w:rPr>
          <w:rFonts w:ascii="T" w:hAnsi="T" w:cs="Simplified Arabic"/>
          <w:sz w:val="24"/>
          <w:szCs w:val="24"/>
          <w:rtl/>
        </w:rPr>
        <w:t>تسخير</w:t>
      </w:r>
      <w:r w:rsidR="004F25C0" w:rsidRPr="005D59A7">
        <w:rPr>
          <w:rFonts w:ascii="T" w:hAnsi="T" w:cs="Simplified Arabic"/>
          <w:sz w:val="24"/>
          <w:szCs w:val="24"/>
          <w:rtl/>
        </w:rPr>
        <w:t xml:space="preserve"> </w:t>
      </w:r>
      <w:r w:rsidRPr="005D59A7">
        <w:rPr>
          <w:rFonts w:ascii="T" w:hAnsi="T" w:cs="Simplified Arabic"/>
          <w:sz w:val="24"/>
          <w:szCs w:val="24"/>
          <w:rtl/>
        </w:rPr>
        <w:t>الموارد</w:t>
      </w:r>
      <w:r w:rsidR="004F25C0" w:rsidRPr="005D59A7">
        <w:rPr>
          <w:rFonts w:ascii="T" w:hAnsi="T" w:cs="Simplified Arabic"/>
          <w:sz w:val="24"/>
          <w:szCs w:val="24"/>
          <w:rtl/>
        </w:rPr>
        <w:t xml:space="preserve"> </w:t>
      </w:r>
      <w:r w:rsidRPr="005D59A7">
        <w:rPr>
          <w:rFonts w:ascii="T" w:hAnsi="T" w:cs="Simplified Arabic"/>
          <w:sz w:val="24"/>
          <w:szCs w:val="24"/>
          <w:rtl/>
        </w:rPr>
        <w:t>المالية</w:t>
      </w:r>
      <w:r w:rsidR="004F25C0" w:rsidRPr="005D59A7">
        <w:rPr>
          <w:rFonts w:ascii="T" w:hAnsi="T" w:cs="Simplified Arabic"/>
          <w:sz w:val="24"/>
          <w:szCs w:val="24"/>
          <w:rtl/>
        </w:rPr>
        <w:t xml:space="preserve"> </w:t>
      </w:r>
      <w:r w:rsidRPr="005D59A7">
        <w:rPr>
          <w:rFonts w:ascii="T" w:hAnsi="T" w:cs="Simplified Arabic"/>
          <w:sz w:val="24"/>
          <w:szCs w:val="24"/>
          <w:rtl/>
        </w:rPr>
        <w:t>والخبرة</w:t>
      </w:r>
      <w:r w:rsidR="004F25C0" w:rsidRPr="005D59A7">
        <w:rPr>
          <w:rFonts w:ascii="T" w:hAnsi="T" w:cs="Simplified Arabic"/>
          <w:sz w:val="24"/>
          <w:szCs w:val="24"/>
          <w:rtl/>
        </w:rPr>
        <w:t xml:space="preserve"> </w:t>
      </w:r>
      <w:r w:rsidRPr="005D59A7">
        <w:rPr>
          <w:rFonts w:ascii="T" w:hAnsi="T" w:cs="Simplified Arabic"/>
          <w:sz w:val="24"/>
          <w:szCs w:val="24"/>
          <w:rtl/>
        </w:rPr>
        <w:t>والابتكار</w:t>
      </w:r>
      <w:r w:rsidR="004F25C0" w:rsidRPr="005D59A7">
        <w:rPr>
          <w:rFonts w:ascii="T" w:hAnsi="T" w:cs="Simplified Arabic"/>
          <w:sz w:val="24"/>
          <w:szCs w:val="24"/>
          <w:rtl/>
        </w:rPr>
        <w:t xml:space="preserve"> </w:t>
      </w:r>
      <w:r w:rsidRPr="005D59A7">
        <w:rPr>
          <w:rFonts w:ascii="T" w:hAnsi="T" w:cs="Simplified Arabic"/>
          <w:sz w:val="24"/>
          <w:szCs w:val="24"/>
          <w:rtl/>
        </w:rPr>
        <w:t>في</w:t>
      </w:r>
      <w:r w:rsidR="004F25C0" w:rsidRPr="005D59A7">
        <w:rPr>
          <w:rFonts w:ascii="T" w:hAnsi="T" w:cs="Simplified Arabic"/>
          <w:sz w:val="24"/>
          <w:szCs w:val="24"/>
          <w:rtl/>
        </w:rPr>
        <w:t xml:space="preserve"> </w:t>
      </w:r>
      <w:r w:rsidRPr="005D59A7">
        <w:rPr>
          <w:rFonts w:ascii="T" w:hAnsi="T" w:cs="Simplified Arabic"/>
          <w:sz w:val="24"/>
          <w:szCs w:val="24"/>
          <w:rtl/>
        </w:rPr>
        <w:t>القطاع</w:t>
      </w:r>
      <w:r w:rsidR="004F25C0" w:rsidRPr="005D59A7">
        <w:rPr>
          <w:rFonts w:ascii="T" w:hAnsi="T" w:cs="Simplified Arabic"/>
          <w:sz w:val="24"/>
          <w:szCs w:val="24"/>
          <w:rtl/>
        </w:rPr>
        <w:t xml:space="preserve"> </w:t>
      </w:r>
      <w:r w:rsidRPr="005D59A7">
        <w:rPr>
          <w:rFonts w:ascii="T" w:hAnsi="T" w:cs="Simplified Arabic"/>
          <w:sz w:val="24"/>
          <w:szCs w:val="24"/>
          <w:rtl/>
        </w:rPr>
        <w:t>الخاص،</w:t>
      </w:r>
      <w:r w:rsidR="004F25C0" w:rsidRPr="005D59A7">
        <w:rPr>
          <w:rFonts w:ascii="T" w:hAnsi="T" w:cs="Simplified Arabic"/>
          <w:sz w:val="24"/>
          <w:szCs w:val="24"/>
          <w:rtl/>
        </w:rPr>
        <w:t xml:space="preserve"> </w:t>
      </w:r>
      <w:r w:rsidRPr="005D59A7">
        <w:rPr>
          <w:rFonts w:ascii="T" w:hAnsi="T" w:cs="Simplified Arabic"/>
          <w:sz w:val="24"/>
          <w:szCs w:val="24"/>
          <w:rtl/>
        </w:rPr>
        <w:t>بهدف</w:t>
      </w:r>
      <w:r w:rsidR="004F25C0" w:rsidRPr="005D59A7">
        <w:rPr>
          <w:rFonts w:ascii="T" w:hAnsi="T" w:cs="Simplified Arabic"/>
          <w:sz w:val="24"/>
          <w:szCs w:val="24"/>
          <w:rtl/>
        </w:rPr>
        <w:t xml:space="preserve"> </w:t>
      </w:r>
      <w:r w:rsidRPr="005D59A7">
        <w:rPr>
          <w:rFonts w:ascii="T" w:hAnsi="T" w:cs="Simplified Arabic"/>
          <w:sz w:val="24"/>
          <w:szCs w:val="24"/>
          <w:rtl/>
        </w:rPr>
        <w:t>تحقيق</w:t>
      </w:r>
      <w:r w:rsidR="004F25C0" w:rsidRPr="005D59A7">
        <w:rPr>
          <w:rFonts w:ascii="T" w:hAnsi="T" w:cs="Simplified Arabic"/>
          <w:sz w:val="24"/>
          <w:szCs w:val="24"/>
          <w:rtl/>
        </w:rPr>
        <w:t xml:space="preserve"> </w:t>
      </w:r>
      <w:r w:rsidRPr="005D59A7">
        <w:rPr>
          <w:rFonts w:ascii="T" w:hAnsi="T" w:cs="Simplified Arabic"/>
          <w:sz w:val="24"/>
          <w:szCs w:val="24"/>
          <w:rtl/>
        </w:rPr>
        <w:t>نتائج</w:t>
      </w:r>
      <w:r w:rsidR="004F25C0" w:rsidRPr="005D59A7">
        <w:rPr>
          <w:rFonts w:ascii="T" w:hAnsi="T" w:cs="Simplified Arabic"/>
          <w:sz w:val="24"/>
          <w:szCs w:val="24"/>
          <w:rtl/>
        </w:rPr>
        <w:t xml:space="preserve"> </w:t>
      </w:r>
      <w:r w:rsidRPr="005D59A7">
        <w:rPr>
          <w:rFonts w:ascii="T" w:hAnsi="T" w:cs="Simplified Arabic"/>
          <w:sz w:val="24"/>
          <w:szCs w:val="24"/>
          <w:rtl/>
        </w:rPr>
        <w:t>أكثر</w:t>
      </w:r>
      <w:r w:rsidR="004F25C0" w:rsidRPr="005D59A7">
        <w:rPr>
          <w:rFonts w:ascii="T" w:hAnsi="T" w:cs="Simplified Arabic"/>
          <w:sz w:val="24"/>
          <w:szCs w:val="24"/>
          <w:rtl/>
        </w:rPr>
        <w:t xml:space="preserve"> </w:t>
      </w:r>
      <w:r w:rsidRPr="005D59A7">
        <w:rPr>
          <w:rFonts w:ascii="T" w:hAnsi="T" w:cs="Simplified Arabic"/>
          <w:sz w:val="24"/>
          <w:szCs w:val="24"/>
          <w:rtl/>
        </w:rPr>
        <w:t>كفاءة</w:t>
      </w:r>
      <w:r w:rsidR="004F25C0" w:rsidRPr="005D59A7">
        <w:rPr>
          <w:rFonts w:ascii="T" w:hAnsi="T" w:cs="Simplified Arabic"/>
          <w:sz w:val="24"/>
          <w:szCs w:val="24"/>
          <w:rtl/>
        </w:rPr>
        <w:t xml:space="preserve"> </w:t>
      </w:r>
      <w:r w:rsidRPr="005D59A7">
        <w:rPr>
          <w:rFonts w:ascii="T" w:hAnsi="T" w:cs="Simplified Arabic"/>
          <w:sz w:val="24"/>
          <w:szCs w:val="24"/>
          <w:rtl/>
        </w:rPr>
        <w:t>وأعلى</w:t>
      </w:r>
      <w:r w:rsidR="004F25C0" w:rsidRPr="005D59A7">
        <w:rPr>
          <w:rFonts w:ascii="T" w:hAnsi="T" w:cs="Simplified Arabic"/>
          <w:sz w:val="24"/>
          <w:szCs w:val="24"/>
          <w:rtl/>
        </w:rPr>
        <w:t xml:space="preserve"> </w:t>
      </w:r>
      <w:r w:rsidRPr="005D59A7">
        <w:rPr>
          <w:rFonts w:ascii="T" w:hAnsi="T" w:cs="Simplified Arabic"/>
          <w:sz w:val="24"/>
          <w:szCs w:val="24"/>
          <w:rtl/>
        </w:rPr>
        <w:t>جودة</w:t>
      </w:r>
      <w:r w:rsidR="004F25C0" w:rsidRPr="005D59A7">
        <w:rPr>
          <w:rFonts w:ascii="T" w:hAnsi="T" w:cs="Simplified Arabic"/>
          <w:sz w:val="24"/>
          <w:szCs w:val="24"/>
          <w:rtl/>
        </w:rPr>
        <w:t xml:space="preserve"> </w:t>
      </w:r>
      <w:r w:rsidRPr="005D59A7">
        <w:rPr>
          <w:rFonts w:ascii="T" w:hAnsi="T" w:cs="Simplified Arabic"/>
          <w:sz w:val="24"/>
          <w:szCs w:val="24"/>
          <w:rtl/>
        </w:rPr>
        <w:t>وفي</w:t>
      </w:r>
      <w:r w:rsidR="004F25C0" w:rsidRPr="005D59A7">
        <w:rPr>
          <w:rFonts w:ascii="T" w:hAnsi="T" w:cs="Simplified Arabic"/>
          <w:sz w:val="24"/>
          <w:szCs w:val="24"/>
          <w:rtl/>
        </w:rPr>
        <w:t xml:space="preserve"> </w:t>
      </w:r>
      <w:r w:rsidRPr="005D59A7">
        <w:rPr>
          <w:rFonts w:ascii="T" w:hAnsi="T" w:cs="Simplified Arabic"/>
          <w:sz w:val="24"/>
          <w:szCs w:val="24"/>
          <w:rtl/>
        </w:rPr>
        <w:t>الوقت</w:t>
      </w:r>
      <w:r w:rsidR="004F25C0" w:rsidRPr="005D59A7">
        <w:rPr>
          <w:rFonts w:ascii="T" w:hAnsi="T" w:cs="Simplified Arabic"/>
          <w:sz w:val="24"/>
          <w:szCs w:val="24"/>
          <w:rtl/>
        </w:rPr>
        <w:t xml:space="preserve"> </w:t>
      </w:r>
      <w:r w:rsidRPr="005D59A7">
        <w:rPr>
          <w:rFonts w:ascii="T" w:hAnsi="T" w:cs="Simplified Arabic"/>
          <w:sz w:val="24"/>
          <w:szCs w:val="24"/>
          <w:rtl/>
        </w:rPr>
        <w:t>المناسب</w:t>
      </w:r>
      <w:r w:rsidR="004F25C0" w:rsidRPr="005D59A7">
        <w:rPr>
          <w:rFonts w:ascii="T" w:hAnsi="T" w:cs="Simplified Arabic"/>
          <w:sz w:val="24"/>
          <w:szCs w:val="24"/>
          <w:rtl/>
        </w:rPr>
        <w:t xml:space="preserve"> </w:t>
      </w:r>
      <w:r w:rsidRPr="005D59A7">
        <w:rPr>
          <w:rFonts w:ascii="T" w:hAnsi="T" w:cs="Simplified Arabic"/>
          <w:sz w:val="24"/>
          <w:szCs w:val="24"/>
          <w:rtl/>
        </w:rPr>
        <w:t>للمواطنين</w:t>
      </w:r>
      <w:r w:rsidR="004F25C0" w:rsidRPr="005D59A7">
        <w:rPr>
          <w:rFonts w:ascii="T" w:hAnsi="T" w:cs="Simplified Arabic"/>
          <w:sz w:val="24"/>
          <w:szCs w:val="24"/>
          <w:rtl/>
        </w:rPr>
        <w:t xml:space="preserve"> </w:t>
      </w:r>
      <w:r w:rsidRPr="005D59A7">
        <w:rPr>
          <w:rFonts w:ascii="T" w:hAnsi="T" w:cs="Simplified Arabic"/>
          <w:sz w:val="24"/>
          <w:szCs w:val="24"/>
          <w:rtl/>
        </w:rPr>
        <w:t>(</w:t>
      </w:r>
      <w:r w:rsidR="004D3152" w:rsidRPr="005D59A7">
        <w:rPr>
          <w:rFonts w:ascii="T" w:hAnsi="T" w:cs="Simplified Arabic"/>
          <w:sz w:val="24"/>
          <w:szCs w:val="24"/>
        </w:rPr>
        <w:t xml:space="preserve">PPP </w:t>
      </w:r>
      <w:proofErr w:type="spellStart"/>
      <w:r w:rsidR="004D3152" w:rsidRPr="005D59A7">
        <w:rPr>
          <w:rFonts w:ascii="T" w:hAnsi="T" w:cs="Simplified Arabic"/>
          <w:sz w:val="24"/>
          <w:szCs w:val="24"/>
        </w:rPr>
        <w:t>Aliance</w:t>
      </w:r>
      <w:proofErr w:type="spellEnd"/>
      <w:r w:rsidRPr="005D59A7">
        <w:rPr>
          <w:rFonts w:ascii="T" w:hAnsi="T" w:cs="Simplified Arabic"/>
          <w:sz w:val="24"/>
          <w:szCs w:val="24"/>
        </w:rPr>
        <w:t>, 2024</w:t>
      </w:r>
      <w:r w:rsidRPr="005D59A7">
        <w:rPr>
          <w:rFonts w:ascii="T" w:hAnsi="T" w:cs="Simplified Arabic"/>
          <w:sz w:val="24"/>
          <w:szCs w:val="24"/>
          <w:rtl/>
        </w:rPr>
        <w:t>)</w:t>
      </w:r>
      <w:r w:rsidR="00A41647" w:rsidRPr="005D59A7">
        <w:rPr>
          <w:rFonts w:ascii="T" w:hAnsi="T" w:cs="Simplified Arabic"/>
          <w:sz w:val="24"/>
          <w:szCs w:val="24"/>
          <w:rtl/>
        </w:rPr>
        <w:t xml:space="preserve">. </w:t>
      </w:r>
      <w:r w:rsidR="005F48DB" w:rsidRPr="005D59A7">
        <w:rPr>
          <w:rFonts w:ascii="T" w:hAnsi="T" w:cs="Simplified Arabic"/>
          <w:sz w:val="24"/>
          <w:szCs w:val="24"/>
          <w:rtl/>
        </w:rPr>
        <w:t>وهنا تكمن الأهمية النظرية للدراسة في جوهر فعالية الشراكات بين القطاعين العام والخاص بشكل عام وفي القطاع البيئي على وجه الخصوص.</w:t>
      </w:r>
      <w:r w:rsidR="00285330" w:rsidRPr="005D59A7">
        <w:rPr>
          <w:rFonts w:ascii="T" w:hAnsi="T" w:cs="Simplified Arabic"/>
          <w:sz w:val="24"/>
          <w:szCs w:val="24"/>
        </w:rPr>
        <w:t>( Alomari,2018)</w:t>
      </w:r>
    </w:p>
    <w:p w14:paraId="3BF7AE62" w14:textId="77777777" w:rsidR="000073C4" w:rsidRPr="005D59A7" w:rsidRDefault="000073C4" w:rsidP="00F24293">
      <w:pPr>
        <w:pStyle w:val="Heading2"/>
        <w:bidi/>
        <w:rPr>
          <w:rFonts w:ascii="T" w:hAnsi="T" w:cs="Simplified Arabic"/>
          <w:b/>
          <w:bCs/>
          <w:color w:val="auto"/>
          <w:sz w:val="24"/>
          <w:szCs w:val="24"/>
          <w:rtl/>
        </w:rPr>
      </w:pPr>
      <w:bookmarkStart w:id="11" w:name="_Toc234607850"/>
      <w:r w:rsidRPr="005D59A7">
        <w:rPr>
          <w:rFonts w:ascii="T" w:hAnsi="T" w:cs="Simplified Arabic"/>
          <w:b/>
          <w:bCs/>
          <w:color w:val="auto"/>
          <w:sz w:val="24"/>
          <w:szCs w:val="24"/>
          <w:rtl/>
        </w:rPr>
        <w:t>الأهمية التطبيقية</w:t>
      </w:r>
      <w:bookmarkEnd w:id="11"/>
    </w:p>
    <w:p w14:paraId="27E9B51A" w14:textId="7B154B5F" w:rsidR="00646FBB" w:rsidRPr="005D59A7" w:rsidRDefault="00210FA3" w:rsidP="00F2429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على الرغم من التطور المشهود في الشراكة بين القطاعين العام والخاص</w:t>
      </w:r>
      <w:r w:rsidR="000073C4" w:rsidRPr="005D59A7">
        <w:rPr>
          <w:rFonts w:ascii="T" w:hAnsi="T" w:cs="Simplified Arabic"/>
          <w:sz w:val="24"/>
          <w:szCs w:val="24"/>
          <w:rtl/>
        </w:rPr>
        <w:t xml:space="preserve"> في بعض القطاعات في المملكة مثل الأمن والمرور والاتصالات وتقنية المعلومات</w:t>
      </w:r>
      <w:r w:rsidRPr="005D59A7">
        <w:rPr>
          <w:rFonts w:ascii="T" w:hAnsi="T" w:cs="Simplified Arabic"/>
          <w:sz w:val="24"/>
          <w:szCs w:val="24"/>
          <w:rtl/>
        </w:rPr>
        <w:t xml:space="preserve">، </w:t>
      </w:r>
      <w:r w:rsidR="000073C4" w:rsidRPr="005D59A7">
        <w:rPr>
          <w:rFonts w:ascii="T" w:hAnsi="T" w:cs="Simplified Arabic"/>
          <w:sz w:val="24"/>
          <w:szCs w:val="24"/>
          <w:rtl/>
        </w:rPr>
        <w:t>إلا أن القطاع البيئي</w:t>
      </w:r>
      <w:r w:rsidR="005F48DB" w:rsidRPr="005D59A7">
        <w:rPr>
          <w:rFonts w:ascii="T" w:hAnsi="T" w:cs="Simplified Arabic"/>
          <w:sz w:val="24"/>
          <w:szCs w:val="24"/>
          <w:rtl/>
        </w:rPr>
        <w:t xml:space="preserve"> بشكل عام</w:t>
      </w:r>
      <w:r w:rsidR="000073C4" w:rsidRPr="005D59A7">
        <w:rPr>
          <w:rFonts w:ascii="T" w:hAnsi="T" w:cs="Simplified Arabic"/>
          <w:sz w:val="24"/>
          <w:szCs w:val="24"/>
          <w:rtl/>
        </w:rPr>
        <w:t xml:space="preserve"> يفتقر إلى التميز التشغيلي والمشاركات الكافية بين القطاعين العام والخاص لتعظيم الإمكانات وزيادة الكفاءة وخفض التكاليف رغم </w:t>
      </w:r>
      <w:r w:rsidRPr="005D59A7">
        <w:rPr>
          <w:rFonts w:ascii="T" w:hAnsi="T" w:cs="Simplified Arabic"/>
          <w:sz w:val="24"/>
          <w:szCs w:val="24"/>
          <w:rtl/>
        </w:rPr>
        <w:t xml:space="preserve">إعادة </w:t>
      </w:r>
      <w:r w:rsidR="000073C4" w:rsidRPr="005D59A7">
        <w:rPr>
          <w:rFonts w:ascii="T" w:hAnsi="T" w:cs="Simplified Arabic"/>
          <w:sz w:val="24"/>
          <w:szCs w:val="24"/>
          <w:rtl/>
        </w:rPr>
        <w:t>ال</w:t>
      </w:r>
      <w:r w:rsidRPr="005D59A7">
        <w:rPr>
          <w:rFonts w:ascii="T" w:hAnsi="T" w:cs="Simplified Arabic"/>
          <w:sz w:val="24"/>
          <w:szCs w:val="24"/>
          <w:rtl/>
        </w:rPr>
        <w:t xml:space="preserve">هيكلة </w:t>
      </w:r>
      <w:r w:rsidR="000073C4" w:rsidRPr="005D59A7">
        <w:rPr>
          <w:rFonts w:ascii="T" w:hAnsi="T" w:cs="Simplified Arabic"/>
          <w:sz w:val="24"/>
          <w:szCs w:val="24"/>
          <w:rtl/>
        </w:rPr>
        <w:t>التي مر بها</w:t>
      </w:r>
      <w:r w:rsidRPr="005D59A7">
        <w:rPr>
          <w:rFonts w:ascii="T" w:hAnsi="T" w:cs="Simplified Arabic"/>
          <w:sz w:val="24"/>
          <w:szCs w:val="24"/>
          <w:rtl/>
        </w:rPr>
        <w:t>، فإنه ووفقًا</w:t>
      </w:r>
      <w:r w:rsidR="004F25C0" w:rsidRPr="005D59A7">
        <w:rPr>
          <w:rFonts w:ascii="T" w:hAnsi="T" w:cs="Simplified Arabic"/>
          <w:sz w:val="24"/>
          <w:szCs w:val="24"/>
          <w:rtl/>
        </w:rPr>
        <w:t xml:space="preserve"> </w:t>
      </w:r>
      <w:r w:rsidRPr="005D59A7">
        <w:rPr>
          <w:rFonts w:ascii="T" w:hAnsi="T" w:cs="Simplified Arabic"/>
          <w:sz w:val="24"/>
          <w:szCs w:val="24"/>
          <w:rtl/>
        </w:rPr>
        <w:t>للعديد</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00410D73" w:rsidRPr="005D59A7">
        <w:rPr>
          <w:rFonts w:ascii="T" w:hAnsi="T" w:cs="Simplified Arabic"/>
          <w:sz w:val="24"/>
          <w:szCs w:val="24"/>
          <w:rtl/>
        </w:rPr>
        <w:t>الدراسات،</w:t>
      </w:r>
      <w:r w:rsidRPr="005D59A7">
        <w:rPr>
          <w:rFonts w:ascii="T" w:hAnsi="T" w:cs="Simplified Arabic"/>
          <w:sz w:val="24"/>
          <w:szCs w:val="24"/>
          <w:rtl/>
        </w:rPr>
        <w:t xml:space="preserve"> ونظراً</w:t>
      </w:r>
      <w:r w:rsidR="004F25C0" w:rsidRPr="005D59A7">
        <w:rPr>
          <w:rFonts w:ascii="T" w:hAnsi="T" w:cs="Simplified Arabic"/>
          <w:sz w:val="24"/>
          <w:szCs w:val="24"/>
          <w:rtl/>
        </w:rPr>
        <w:t xml:space="preserve"> </w:t>
      </w:r>
      <w:r w:rsidRPr="005D59A7">
        <w:rPr>
          <w:rFonts w:ascii="T" w:hAnsi="T" w:cs="Simplified Arabic"/>
          <w:sz w:val="24"/>
          <w:szCs w:val="24"/>
          <w:rtl/>
        </w:rPr>
        <w:t>لطبيعتها،</w:t>
      </w:r>
      <w:r w:rsidR="004F25C0" w:rsidRPr="005D59A7">
        <w:rPr>
          <w:rFonts w:ascii="T" w:hAnsi="T" w:cs="Simplified Arabic"/>
          <w:sz w:val="24"/>
          <w:szCs w:val="24"/>
          <w:rtl/>
        </w:rPr>
        <w:t xml:space="preserve"> </w:t>
      </w:r>
      <w:r w:rsidRPr="005D59A7">
        <w:rPr>
          <w:rFonts w:ascii="T" w:hAnsi="T" w:cs="Simplified Arabic"/>
          <w:sz w:val="24"/>
          <w:szCs w:val="24"/>
          <w:rtl/>
        </w:rPr>
        <w:t>تواجه</w:t>
      </w:r>
      <w:r w:rsidR="004F25C0" w:rsidRPr="005D59A7">
        <w:rPr>
          <w:rFonts w:ascii="T" w:hAnsi="T" w:cs="Simplified Arabic"/>
          <w:sz w:val="24"/>
          <w:szCs w:val="24"/>
          <w:rtl/>
        </w:rPr>
        <w:t xml:space="preserve"> </w:t>
      </w:r>
      <w:r w:rsidRPr="005D59A7">
        <w:rPr>
          <w:rFonts w:ascii="T" w:hAnsi="T" w:cs="Simplified Arabic"/>
          <w:sz w:val="24"/>
          <w:szCs w:val="24"/>
          <w:rtl/>
        </w:rPr>
        <w:t>المملكة عدة</w:t>
      </w:r>
      <w:r w:rsidR="004F25C0" w:rsidRPr="005D59A7">
        <w:rPr>
          <w:rFonts w:ascii="T" w:hAnsi="T" w:cs="Simplified Arabic"/>
          <w:sz w:val="24"/>
          <w:szCs w:val="24"/>
          <w:rtl/>
        </w:rPr>
        <w:t xml:space="preserve"> </w:t>
      </w:r>
      <w:r w:rsidRPr="005D59A7">
        <w:rPr>
          <w:rFonts w:ascii="T" w:hAnsi="T" w:cs="Simplified Arabic"/>
          <w:sz w:val="24"/>
          <w:szCs w:val="24"/>
          <w:rtl/>
        </w:rPr>
        <w:t>تحديات</w:t>
      </w:r>
      <w:r w:rsidR="004F25C0" w:rsidRPr="005D59A7">
        <w:rPr>
          <w:rFonts w:ascii="T" w:hAnsi="T" w:cs="Simplified Arabic"/>
          <w:sz w:val="24"/>
          <w:szCs w:val="24"/>
          <w:rtl/>
        </w:rPr>
        <w:t xml:space="preserve"> </w:t>
      </w:r>
      <w:r w:rsidRPr="005D59A7">
        <w:rPr>
          <w:rFonts w:ascii="T" w:hAnsi="T" w:cs="Simplified Arabic"/>
          <w:sz w:val="24"/>
          <w:szCs w:val="24"/>
          <w:rtl/>
        </w:rPr>
        <w:t>بيئية</w:t>
      </w:r>
      <w:r w:rsidR="004F25C0" w:rsidRPr="005D59A7">
        <w:rPr>
          <w:rFonts w:ascii="T" w:hAnsi="T" w:cs="Simplified Arabic"/>
          <w:sz w:val="24"/>
          <w:szCs w:val="24"/>
          <w:rtl/>
        </w:rPr>
        <w:t xml:space="preserve"> </w:t>
      </w:r>
      <w:r w:rsidRPr="005D59A7">
        <w:rPr>
          <w:rFonts w:ascii="T" w:hAnsi="T" w:cs="Simplified Arabic"/>
          <w:sz w:val="24"/>
          <w:szCs w:val="24"/>
          <w:rtl/>
        </w:rPr>
        <w:t>جسيمة،</w:t>
      </w:r>
      <w:r w:rsidR="004F25C0" w:rsidRPr="005D59A7">
        <w:rPr>
          <w:rFonts w:ascii="T" w:hAnsi="T" w:cs="Simplified Arabic"/>
          <w:sz w:val="24"/>
          <w:szCs w:val="24"/>
          <w:rtl/>
        </w:rPr>
        <w:t xml:space="preserve"> </w:t>
      </w:r>
      <w:r w:rsidRPr="005D59A7">
        <w:rPr>
          <w:rFonts w:ascii="T" w:hAnsi="T" w:cs="Simplified Arabic"/>
          <w:sz w:val="24"/>
          <w:szCs w:val="24"/>
          <w:rtl/>
        </w:rPr>
        <w:t xml:space="preserve">منها </w:t>
      </w:r>
      <w:r w:rsidR="00285330" w:rsidRPr="005D59A7">
        <w:rPr>
          <w:rFonts w:ascii="T" w:hAnsi="T" w:cs="Simplified Arabic"/>
          <w:sz w:val="24"/>
          <w:szCs w:val="24"/>
        </w:rPr>
        <w:t>(</w:t>
      </w:r>
      <w:proofErr w:type="spellStart"/>
      <w:r w:rsidR="00285330" w:rsidRPr="005D59A7">
        <w:rPr>
          <w:rFonts w:ascii="T" w:hAnsi="T" w:cs="Simplified Arabic"/>
          <w:sz w:val="24"/>
          <w:szCs w:val="24"/>
        </w:rPr>
        <w:t>liu,et</w:t>
      </w:r>
      <w:proofErr w:type="spellEnd"/>
      <w:r w:rsidR="00285330" w:rsidRPr="005D59A7">
        <w:rPr>
          <w:rFonts w:ascii="T" w:hAnsi="T" w:cs="Simplified Arabic"/>
          <w:sz w:val="24"/>
          <w:szCs w:val="24"/>
        </w:rPr>
        <w:t xml:space="preserve"> al ,2021)</w:t>
      </w:r>
      <w:r w:rsidRPr="005D59A7">
        <w:rPr>
          <w:rFonts w:ascii="T" w:hAnsi="T" w:cs="Simplified Arabic"/>
          <w:sz w:val="24"/>
          <w:szCs w:val="24"/>
          <w:rtl/>
        </w:rPr>
        <w:t>:</w:t>
      </w:r>
    </w:p>
    <w:p w14:paraId="570C34AF" w14:textId="77777777" w:rsidR="00210FA3"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ندرة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المياه: تُمثل</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تحدياً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كبيراً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باعتبار أن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المنطقة الجغرافية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قاحلة،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مما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يؤدي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إلى</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الاعتماد</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الكبير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على</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تحلية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المياه (وهي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عملية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كثيفة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الاستهلاك</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للطاقة) والمياه</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الجوفية.</w:t>
      </w:r>
    </w:p>
    <w:p w14:paraId="0A4E04D4" w14:textId="77777777" w:rsidR="00210FA3"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تلوث</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الهواء</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والماء</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والتربة: ينجم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عن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الأنشطة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الصناعية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والتوسع</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الحضري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وقضايا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إدارة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النفايات والتصحر.</w:t>
      </w:r>
    </w:p>
    <w:p w14:paraId="6E1BF807" w14:textId="77777777" w:rsidR="00210FA3"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التصحر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وتدهور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الأراضي: يتفاقمان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بسبب</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تغير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المناخ</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والرعي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الجائر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والاستخدام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غير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المستدام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للأراضي.</w:t>
      </w:r>
    </w:p>
    <w:p w14:paraId="42071B87" w14:textId="77777777" w:rsidR="00210FA3"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فقدان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التنوع</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البيولوجي: معظم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النظم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البيئية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المتنوعة مهددة،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بما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في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ذلك</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الحياة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البرية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والبحرية.</w:t>
      </w:r>
    </w:p>
    <w:p w14:paraId="25B7F4F8" w14:textId="77777777" w:rsidR="00AA4970"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آثار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تغير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المناخ: من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المتوقع</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أن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يتأثر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الشرق</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الأوسط</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بشدة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بارتفاع</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درجات</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الحرارة،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وتغير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أنماط</w:t>
      </w:r>
      <w:r w:rsidR="00AA4970" w:rsidRPr="005D59A7">
        <w:rPr>
          <w:rFonts w:ascii="T" w:hAnsi="T" w:cs="Simplified Arabic"/>
          <w:sz w:val="24"/>
          <w:szCs w:val="24"/>
          <w:shd w:val="clear" w:color="auto" w:fill="FFFFFF"/>
          <w:rtl/>
        </w:rPr>
        <w:t xml:space="preserve"> هطول ا</w:t>
      </w:r>
      <w:r w:rsidRPr="005D59A7">
        <w:rPr>
          <w:rFonts w:ascii="T" w:hAnsi="T" w:cs="Simplified Arabic"/>
          <w:sz w:val="24"/>
          <w:szCs w:val="24"/>
          <w:shd w:val="clear" w:color="auto" w:fill="FFFFFF"/>
          <w:rtl/>
        </w:rPr>
        <w:t>لأمطار،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وزيادة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وتيرة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الظواهر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الجوية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المتطرفة.</w:t>
      </w:r>
    </w:p>
    <w:p w14:paraId="5CC8A264" w14:textId="77777777" w:rsidR="00210FA3"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تشكل</w:t>
      </w:r>
      <w:r w:rsidR="00AA4970" w:rsidRPr="005D59A7">
        <w:rPr>
          <w:rFonts w:ascii="T" w:hAnsi="T" w:cs="Simplified Arabic"/>
          <w:sz w:val="24"/>
          <w:szCs w:val="24"/>
          <w:rtl/>
        </w:rPr>
        <w:t xml:space="preserve"> </w:t>
      </w:r>
      <w:r w:rsidRPr="005D59A7">
        <w:rPr>
          <w:rFonts w:ascii="T" w:hAnsi="T" w:cs="Simplified Arabic"/>
          <w:sz w:val="24"/>
          <w:szCs w:val="24"/>
          <w:rtl/>
        </w:rPr>
        <w:t>مشكلة</w:t>
      </w:r>
      <w:r w:rsidR="00AA4970" w:rsidRPr="005D59A7">
        <w:rPr>
          <w:rFonts w:ascii="T" w:hAnsi="T" w:cs="Simplified Arabic"/>
          <w:sz w:val="24"/>
          <w:szCs w:val="24"/>
          <w:rtl/>
        </w:rPr>
        <w:t xml:space="preserve"> </w:t>
      </w:r>
      <w:r w:rsidRPr="005D59A7">
        <w:rPr>
          <w:rFonts w:ascii="T" w:hAnsi="T" w:cs="Simplified Arabic"/>
          <w:sz w:val="24"/>
          <w:szCs w:val="24"/>
          <w:rtl/>
        </w:rPr>
        <w:t>ظاهرة</w:t>
      </w:r>
      <w:r w:rsidR="00AA4970" w:rsidRPr="005D59A7">
        <w:rPr>
          <w:rFonts w:ascii="T" w:hAnsi="T" w:cs="Simplified Arabic"/>
          <w:sz w:val="24"/>
          <w:szCs w:val="24"/>
          <w:rtl/>
        </w:rPr>
        <w:t xml:space="preserve"> </w:t>
      </w:r>
      <w:r w:rsidRPr="005D59A7">
        <w:rPr>
          <w:rFonts w:ascii="T" w:hAnsi="T" w:cs="Simplified Arabic"/>
          <w:sz w:val="24"/>
          <w:szCs w:val="24"/>
          <w:rtl/>
        </w:rPr>
        <w:t>التصحر</w:t>
      </w:r>
      <w:r w:rsidR="00AA4970" w:rsidRPr="005D59A7">
        <w:rPr>
          <w:rFonts w:ascii="T" w:hAnsi="T" w:cs="Simplified Arabic"/>
          <w:sz w:val="24"/>
          <w:szCs w:val="24"/>
          <w:rtl/>
        </w:rPr>
        <w:t xml:space="preserve"> </w:t>
      </w:r>
      <w:r w:rsidRPr="005D59A7">
        <w:rPr>
          <w:rFonts w:ascii="T" w:hAnsi="T" w:cs="Simplified Arabic"/>
          <w:sz w:val="24"/>
          <w:szCs w:val="24"/>
          <w:rtl/>
        </w:rPr>
        <w:t>والاعتماد</w:t>
      </w:r>
      <w:r w:rsidR="00AA4970" w:rsidRPr="005D59A7">
        <w:rPr>
          <w:rFonts w:ascii="T" w:hAnsi="T" w:cs="Simplified Arabic"/>
          <w:sz w:val="24"/>
          <w:szCs w:val="24"/>
          <w:rtl/>
        </w:rPr>
        <w:t xml:space="preserve"> </w:t>
      </w:r>
      <w:r w:rsidRPr="005D59A7">
        <w:rPr>
          <w:rFonts w:ascii="T" w:hAnsi="T" w:cs="Simplified Arabic"/>
          <w:sz w:val="24"/>
          <w:szCs w:val="24"/>
          <w:rtl/>
        </w:rPr>
        <w:t>الاقتصادي</w:t>
      </w:r>
      <w:r w:rsidR="00AA4970" w:rsidRPr="005D59A7">
        <w:rPr>
          <w:rFonts w:ascii="T" w:hAnsi="T" w:cs="Simplified Arabic"/>
          <w:sz w:val="24"/>
          <w:szCs w:val="24"/>
          <w:rtl/>
        </w:rPr>
        <w:t xml:space="preserve"> </w:t>
      </w:r>
      <w:r w:rsidRPr="005D59A7">
        <w:rPr>
          <w:rFonts w:ascii="T" w:hAnsi="T" w:cs="Simplified Arabic"/>
          <w:sz w:val="24"/>
          <w:szCs w:val="24"/>
          <w:rtl/>
        </w:rPr>
        <w:t>على</w:t>
      </w:r>
      <w:r w:rsidR="00AA4970" w:rsidRPr="005D59A7">
        <w:rPr>
          <w:rFonts w:ascii="T" w:hAnsi="T" w:cs="Simplified Arabic"/>
          <w:sz w:val="24"/>
          <w:szCs w:val="24"/>
          <w:rtl/>
        </w:rPr>
        <w:t xml:space="preserve"> </w:t>
      </w:r>
      <w:r w:rsidRPr="005D59A7">
        <w:rPr>
          <w:rFonts w:ascii="T" w:hAnsi="T" w:cs="Simplified Arabic"/>
          <w:sz w:val="24"/>
          <w:szCs w:val="24"/>
          <w:rtl/>
        </w:rPr>
        <w:t>النفط مخاوف</w:t>
      </w:r>
      <w:r w:rsidR="00AA4970" w:rsidRPr="005D59A7">
        <w:rPr>
          <w:rFonts w:ascii="T" w:hAnsi="T" w:cs="Simplified Arabic"/>
          <w:sz w:val="24"/>
          <w:szCs w:val="24"/>
          <w:rtl/>
        </w:rPr>
        <w:t xml:space="preserve"> </w:t>
      </w:r>
      <w:r w:rsidRPr="005D59A7">
        <w:rPr>
          <w:rFonts w:ascii="T" w:hAnsi="T" w:cs="Simplified Arabic"/>
          <w:sz w:val="24"/>
          <w:szCs w:val="24"/>
          <w:rtl/>
        </w:rPr>
        <w:t>اقتصادية</w:t>
      </w:r>
      <w:r w:rsidR="00AA4970" w:rsidRPr="005D59A7">
        <w:rPr>
          <w:rFonts w:ascii="T" w:hAnsi="T" w:cs="Simplified Arabic"/>
          <w:sz w:val="24"/>
          <w:szCs w:val="24"/>
          <w:rtl/>
        </w:rPr>
        <w:t xml:space="preserve"> </w:t>
      </w:r>
      <w:r w:rsidRPr="005D59A7">
        <w:rPr>
          <w:rFonts w:ascii="T" w:hAnsi="T" w:cs="Simplified Arabic"/>
          <w:sz w:val="24"/>
          <w:szCs w:val="24"/>
          <w:rtl/>
        </w:rPr>
        <w:t>جسيمة</w:t>
      </w:r>
      <w:r w:rsidR="00AA4970" w:rsidRPr="005D59A7">
        <w:rPr>
          <w:rFonts w:ascii="T" w:hAnsi="T" w:cs="Simplified Arabic"/>
          <w:sz w:val="24"/>
          <w:szCs w:val="24"/>
          <w:rtl/>
        </w:rPr>
        <w:t xml:space="preserve"> </w:t>
      </w:r>
      <w:r w:rsidRPr="005D59A7">
        <w:rPr>
          <w:rFonts w:ascii="T" w:hAnsi="T" w:cs="Simplified Arabic"/>
          <w:sz w:val="24"/>
          <w:szCs w:val="24"/>
          <w:rtl/>
        </w:rPr>
        <w:t>وتعد أيضا</w:t>
      </w:r>
      <w:r w:rsidR="00AA4970" w:rsidRPr="005D59A7">
        <w:rPr>
          <w:rFonts w:ascii="T" w:hAnsi="T" w:cs="Simplified Arabic"/>
          <w:sz w:val="24"/>
          <w:szCs w:val="24"/>
          <w:rtl/>
        </w:rPr>
        <w:t xml:space="preserve"> </w:t>
      </w:r>
      <w:r w:rsidRPr="005D59A7">
        <w:rPr>
          <w:rFonts w:ascii="T" w:hAnsi="T" w:cs="Simplified Arabic"/>
          <w:sz w:val="24"/>
          <w:szCs w:val="24"/>
          <w:rtl/>
        </w:rPr>
        <w:t>أمراً</w:t>
      </w:r>
      <w:r w:rsidR="00AA4970" w:rsidRPr="005D59A7">
        <w:rPr>
          <w:rFonts w:ascii="T" w:hAnsi="T" w:cs="Simplified Arabic"/>
          <w:sz w:val="24"/>
          <w:szCs w:val="24"/>
          <w:rtl/>
        </w:rPr>
        <w:t xml:space="preserve"> </w:t>
      </w:r>
      <w:r w:rsidRPr="005D59A7">
        <w:rPr>
          <w:rFonts w:ascii="T" w:hAnsi="T" w:cs="Simplified Arabic"/>
          <w:sz w:val="24"/>
          <w:szCs w:val="24"/>
          <w:rtl/>
        </w:rPr>
        <w:t>مقلقاً</w:t>
      </w:r>
      <w:r w:rsidR="00AA4970" w:rsidRPr="005D59A7">
        <w:rPr>
          <w:rFonts w:ascii="T" w:hAnsi="T" w:cs="Simplified Arabic"/>
          <w:sz w:val="24"/>
          <w:szCs w:val="24"/>
          <w:rtl/>
        </w:rPr>
        <w:t xml:space="preserve"> </w:t>
      </w:r>
      <w:r w:rsidRPr="005D59A7">
        <w:rPr>
          <w:rFonts w:ascii="T" w:hAnsi="T" w:cs="Simplified Arabic"/>
          <w:sz w:val="24"/>
          <w:szCs w:val="24"/>
          <w:rtl/>
        </w:rPr>
        <w:t>يزيد</w:t>
      </w:r>
      <w:r w:rsidR="00AA4970" w:rsidRPr="005D59A7">
        <w:rPr>
          <w:rFonts w:ascii="T" w:hAnsi="T" w:cs="Simplified Arabic"/>
          <w:sz w:val="24"/>
          <w:szCs w:val="24"/>
          <w:rtl/>
        </w:rPr>
        <w:t xml:space="preserve"> </w:t>
      </w:r>
      <w:r w:rsidRPr="005D59A7">
        <w:rPr>
          <w:rFonts w:ascii="T" w:hAnsi="T" w:cs="Simplified Arabic"/>
          <w:sz w:val="24"/>
          <w:szCs w:val="24"/>
          <w:rtl/>
        </w:rPr>
        <w:t>من</w:t>
      </w:r>
      <w:r w:rsidR="00AA4970" w:rsidRPr="005D59A7">
        <w:rPr>
          <w:rFonts w:ascii="T" w:hAnsi="T" w:cs="Simplified Arabic"/>
          <w:sz w:val="24"/>
          <w:szCs w:val="24"/>
          <w:rtl/>
        </w:rPr>
        <w:t xml:space="preserve"> </w:t>
      </w:r>
      <w:r w:rsidRPr="005D59A7">
        <w:rPr>
          <w:rFonts w:ascii="T" w:hAnsi="T" w:cs="Simplified Arabic"/>
          <w:sz w:val="24"/>
          <w:szCs w:val="24"/>
          <w:rtl/>
        </w:rPr>
        <w:t>أعباء</w:t>
      </w:r>
      <w:r w:rsidR="00AA4970" w:rsidRPr="005D59A7">
        <w:rPr>
          <w:rFonts w:ascii="T" w:hAnsi="T" w:cs="Simplified Arabic"/>
          <w:sz w:val="24"/>
          <w:szCs w:val="24"/>
          <w:rtl/>
        </w:rPr>
        <w:t xml:space="preserve"> </w:t>
      </w:r>
      <w:r w:rsidRPr="005D59A7">
        <w:rPr>
          <w:rFonts w:ascii="T" w:hAnsi="T" w:cs="Simplified Arabic"/>
          <w:sz w:val="24"/>
          <w:szCs w:val="24"/>
          <w:rtl/>
        </w:rPr>
        <w:t>الأجهزة</w:t>
      </w:r>
      <w:r w:rsidR="00AA4970" w:rsidRPr="005D59A7">
        <w:rPr>
          <w:rFonts w:ascii="T" w:hAnsi="T" w:cs="Simplified Arabic"/>
          <w:sz w:val="24"/>
          <w:szCs w:val="24"/>
          <w:rtl/>
        </w:rPr>
        <w:t xml:space="preserve"> </w:t>
      </w:r>
      <w:r w:rsidRPr="005D59A7">
        <w:rPr>
          <w:rFonts w:ascii="T" w:hAnsi="T" w:cs="Simplified Arabic"/>
          <w:sz w:val="24"/>
          <w:szCs w:val="24"/>
          <w:rtl/>
        </w:rPr>
        <w:t>القائمة</w:t>
      </w:r>
      <w:r w:rsidR="00AA4970" w:rsidRPr="005D59A7">
        <w:rPr>
          <w:rFonts w:ascii="T" w:hAnsi="T" w:cs="Simplified Arabic"/>
          <w:sz w:val="24"/>
          <w:szCs w:val="24"/>
          <w:rtl/>
        </w:rPr>
        <w:t xml:space="preserve"> </w:t>
      </w:r>
      <w:r w:rsidRPr="005D59A7">
        <w:rPr>
          <w:rFonts w:ascii="T" w:hAnsi="T" w:cs="Simplified Arabic"/>
          <w:sz w:val="24"/>
          <w:szCs w:val="24"/>
          <w:rtl/>
        </w:rPr>
        <w:t>على</w:t>
      </w:r>
      <w:r w:rsidR="00AA4970" w:rsidRPr="005D59A7">
        <w:rPr>
          <w:rFonts w:ascii="T" w:hAnsi="T" w:cs="Simplified Arabic"/>
          <w:sz w:val="24"/>
          <w:szCs w:val="24"/>
          <w:rtl/>
        </w:rPr>
        <w:t xml:space="preserve"> </w:t>
      </w:r>
      <w:r w:rsidRPr="005D59A7">
        <w:rPr>
          <w:rFonts w:ascii="T" w:hAnsi="T" w:cs="Simplified Arabic"/>
          <w:sz w:val="24"/>
          <w:szCs w:val="24"/>
          <w:rtl/>
        </w:rPr>
        <w:t>مكافحة هذه</w:t>
      </w:r>
      <w:r w:rsidR="00AA4970" w:rsidRPr="005D59A7">
        <w:rPr>
          <w:rFonts w:ascii="T" w:hAnsi="T" w:cs="Simplified Arabic"/>
          <w:sz w:val="24"/>
          <w:szCs w:val="24"/>
          <w:rtl/>
        </w:rPr>
        <w:t xml:space="preserve"> </w:t>
      </w:r>
      <w:r w:rsidRPr="005D59A7">
        <w:rPr>
          <w:rFonts w:ascii="T" w:hAnsi="T" w:cs="Simplified Arabic"/>
          <w:sz w:val="24"/>
          <w:szCs w:val="24"/>
          <w:rtl/>
        </w:rPr>
        <w:t>الظواهر</w:t>
      </w:r>
      <w:r w:rsidR="00AA4970" w:rsidRPr="005D59A7">
        <w:rPr>
          <w:rFonts w:ascii="T" w:hAnsi="T" w:cs="Simplified Arabic"/>
          <w:sz w:val="24"/>
          <w:szCs w:val="24"/>
          <w:rtl/>
        </w:rPr>
        <w:t xml:space="preserve"> </w:t>
      </w:r>
      <w:r w:rsidRPr="005D59A7">
        <w:rPr>
          <w:rFonts w:ascii="T" w:hAnsi="T" w:cs="Simplified Arabic"/>
          <w:sz w:val="24"/>
          <w:szCs w:val="24"/>
          <w:rtl/>
        </w:rPr>
        <w:t>الطبيعية. عليه، فقد</w:t>
      </w:r>
      <w:r w:rsidR="00AA4970" w:rsidRPr="005D59A7">
        <w:rPr>
          <w:rFonts w:ascii="T" w:hAnsi="T" w:cs="Simplified Arabic"/>
          <w:sz w:val="24"/>
          <w:szCs w:val="24"/>
          <w:rtl/>
        </w:rPr>
        <w:t xml:space="preserve"> </w:t>
      </w:r>
      <w:r w:rsidRPr="005D59A7">
        <w:rPr>
          <w:rFonts w:ascii="T" w:hAnsi="T" w:cs="Simplified Arabic"/>
          <w:sz w:val="24"/>
          <w:szCs w:val="24"/>
          <w:rtl/>
        </w:rPr>
        <w:t>وضعت</w:t>
      </w:r>
      <w:r w:rsidR="00AA4970" w:rsidRPr="005D59A7">
        <w:rPr>
          <w:rFonts w:ascii="T" w:hAnsi="T" w:cs="Simplified Arabic"/>
          <w:sz w:val="24"/>
          <w:szCs w:val="24"/>
          <w:rtl/>
        </w:rPr>
        <w:t xml:space="preserve"> </w:t>
      </w:r>
      <w:r w:rsidRPr="005D59A7">
        <w:rPr>
          <w:rFonts w:ascii="T" w:hAnsi="T" w:cs="Simplified Arabic"/>
          <w:sz w:val="24"/>
          <w:szCs w:val="24"/>
          <w:rtl/>
        </w:rPr>
        <w:t>عدة</w:t>
      </w:r>
      <w:r w:rsidR="00AA4970" w:rsidRPr="005D59A7">
        <w:rPr>
          <w:rFonts w:ascii="T" w:hAnsi="T" w:cs="Simplified Arabic"/>
          <w:sz w:val="24"/>
          <w:szCs w:val="24"/>
          <w:rtl/>
        </w:rPr>
        <w:t xml:space="preserve"> </w:t>
      </w:r>
      <w:r w:rsidRPr="005D59A7">
        <w:rPr>
          <w:rFonts w:ascii="T" w:hAnsi="T" w:cs="Simplified Arabic"/>
          <w:sz w:val="24"/>
          <w:szCs w:val="24"/>
          <w:rtl/>
        </w:rPr>
        <w:t>دراسات</w:t>
      </w:r>
      <w:r w:rsidR="00AA4970" w:rsidRPr="005D59A7">
        <w:rPr>
          <w:rFonts w:ascii="T" w:hAnsi="T" w:cs="Simplified Arabic"/>
          <w:sz w:val="24"/>
          <w:szCs w:val="24"/>
          <w:rtl/>
        </w:rPr>
        <w:t xml:space="preserve"> </w:t>
      </w:r>
      <w:r w:rsidRPr="005D59A7">
        <w:rPr>
          <w:rFonts w:ascii="T" w:hAnsi="T" w:cs="Simplified Arabic"/>
          <w:sz w:val="24"/>
          <w:szCs w:val="24"/>
          <w:rtl/>
        </w:rPr>
        <w:t>سابقة</w:t>
      </w:r>
      <w:r w:rsidR="00AA4970" w:rsidRPr="005D59A7">
        <w:rPr>
          <w:rFonts w:ascii="T" w:hAnsi="T" w:cs="Simplified Arabic"/>
          <w:sz w:val="24"/>
          <w:szCs w:val="24"/>
          <w:rtl/>
        </w:rPr>
        <w:t xml:space="preserve"> </w:t>
      </w:r>
      <w:r w:rsidRPr="005D59A7">
        <w:rPr>
          <w:rFonts w:ascii="T" w:hAnsi="T" w:cs="Simplified Arabic"/>
          <w:sz w:val="24"/>
          <w:szCs w:val="24"/>
          <w:rtl/>
        </w:rPr>
        <w:t>التقديرات</w:t>
      </w:r>
      <w:r w:rsidR="00AA4970" w:rsidRPr="005D59A7">
        <w:rPr>
          <w:rFonts w:ascii="T" w:hAnsi="T" w:cs="Simplified Arabic"/>
          <w:sz w:val="24"/>
          <w:szCs w:val="24"/>
          <w:rtl/>
        </w:rPr>
        <w:t xml:space="preserve"> </w:t>
      </w:r>
      <w:r w:rsidRPr="005D59A7">
        <w:rPr>
          <w:rFonts w:ascii="T" w:hAnsi="T" w:cs="Simplified Arabic"/>
          <w:sz w:val="24"/>
          <w:szCs w:val="24"/>
          <w:rtl/>
        </w:rPr>
        <w:t>المناسبة</w:t>
      </w:r>
      <w:r w:rsidR="00AA4970" w:rsidRPr="005D59A7">
        <w:rPr>
          <w:rFonts w:ascii="T" w:hAnsi="T" w:cs="Simplified Arabic"/>
          <w:sz w:val="24"/>
          <w:szCs w:val="24"/>
          <w:rtl/>
        </w:rPr>
        <w:t xml:space="preserve"> </w:t>
      </w:r>
      <w:r w:rsidRPr="005D59A7">
        <w:rPr>
          <w:rFonts w:ascii="T" w:hAnsi="T" w:cs="Simplified Arabic"/>
          <w:sz w:val="24"/>
          <w:szCs w:val="24"/>
          <w:rtl/>
        </w:rPr>
        <w:t>لتقييم</w:t>
      </w:r>
      <w:r w:rsidR="00AA4970" w:rsidRPr="005D59A7">
        <w:rPr>
          <w:rFonts w:ascii="T" w:hAnsi="T" w:cs="Simplified Arabic"/>
          <w:sz w:val="24"/>
          <w:szCs w:val="24"/>
          <w:rtl/>
        </w:rPr>
        <w:t xml:space="preserve"> </w:t>
      </w:r>
      <w:r w:rsidRPr="005D59A7">
        <w:rPr>
          <w:rFonts w:ascii="T" w:hAnsi="T" w:cs="Simplified Arabic"/>
          <w:sz w:val="24"/>
          <w:szCs w:val="24"/>
          <w:rtl/>
        </w:rPr>
        <w:t>تكلفة</w:t>
      </w:r>
      <w:r w:rsidR="00AA4970" w:rsidRPr="005D59A7">
        <w:rPr>
          <w:rFonts w:ascii="T" w:hAnsi="T" w:cs="Simplified Arabic"/>
          <w:sz w:val="24"/>
          <w:szCs w:val="24"/>
          <w:rtl/>
        </w:rPr>
        <w:t xml:space="preserve"> </w:t>
      </w:r>
      <w:r w:rsidRPr="005D59A7">
        <w:rPr>
          <w:rFonts w:ascii="T" w:hAnsi="T" w:cs="Simplified Arabic"/>
          <w:sz w:val="24"/>
          <w:szCs w:val="24"/>
          <w:rtl/>
        </w:rPr>
        <w:t>التدهور</w:t>
      </w:r>
      <w:r w:rsidR="00AA4970" w:rsidRPr="005D59A7">
        <w:rPr>
          <w:rFonts w:ascii="T" w:hAnsi="T" w:cs="Simplified Arabic"/>
          <w:sz w:val="24"/>
          <w:szCs w:val="24"/>
          <w:rtl/>
        </w:rPr>
        <w:t xml:space="preserve"> </w:t>
      </w:r>
      <w:r w:rsidRPr="005D59A7">
        <w:rPr>
          <w:rFonts w:ascii="T" w:hAnsi="T" w:cs="Simplified Arabic"/>
          <w:sz w:val="24"/>
          <w:szCs w:val="24"/>
          <w:rtl/>
        </w:rPr>
        <w:t>البيئي</w:t>
      </w:r>
      <w:r w:rsidR="00AA4970" w:rsidRPr="005D59A7">
        <w:rPr>
          <w:rFonts w:ascii="T" w:hAnsi="T" w:cs="Simplified Arabic"/>
          <w:sz w:val="24"/>
          <w:szCs w:val="24"/>
          <w:rtl/>
        </w:rPr>
        <w:t xml:space="preserve"> </w:t>
      </w:r>
      <w:r w:rsidRPr="005D59A7">
        <w:rPr>
          <w:rFonts w:ascii="T" w:hAnsi="T" w:cs="Simplified Arabic"/>
          <w:sz w:val="24"/>
          <w:szCs w:val="24"/>
          <w:rtl/>
        </w:rPr>
        <w:t>في</w:t>
      </w:r>
      <w:r w:rsidR="00AA4970" w:rsidRPr="005D59A7">
        <w:rPr>
          <w:rFonts w:ascii="T" w:hAnsi="T" w:cs="Simplified Arabic"/>
          <w:sz w:val="24"/>
          <w:szCs w:val="24"/>
          <w:rtl/>
        </w:rPr>
        <w:t xml:space="preserve"> </w:t>
      </w:r>
      <w:r w:rsidRPr="005D59A7">
        <w:rPr>
          <w:rFonts w:ascii="T" w:hAnsi="T" w:cs="Simplified Arabic"/>
          <w:sz w:val="24"/>
          <w:szCs w:val="24"/>
          <w:rtl/>
        </w:rPr>
        <w:t>المملكة</w:t>
      </w:r>
      <w:r w:rsidR="00AA4970" w:rsidRPr="005D59A7">
        <w:rPr>
          <w:rFonts w:ascii="T" w:hAnsi="T" w:cs="Simplified Arabic"/>
          <w:sz w:val="24"/>
          <w:szCs w:val="24"/>
          <w:rtl/>
        </w:rPr>
        <w:t xml:space="preserve"> </w:t>
      </w:r>
      <w:r w:rsidRPr="005D59A7">
        <w:rPr>
          <w:rFonts w:ascii="T" w:hAnsi="T" w:cs="Simplified Arabic"/>
          <w:sz w:val="24"/>
          <w:szCs w:val="24"/>
          <w:rtl/>
        </w:rPr>
        <w:t>ومنها:</w:t>
      </w:r>
    </w:p>
    <w:p w14:paraId="6CA51856" w14:textId="77777777" w:rsidR="00372E00"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دراسة</w:t>
      </w:r>
      <w:r w:rsidR="00045246" w:rsidRPr="005D59A7">
        <w:rPr>
          <w:rFonts w:ascii="T" w:hAnsi="T" w:cs="Simplified Arabic"/>
          <w:sz w:val="24"/>
          <w:szCs w:val="24"/>
        </w:rPr>
        <w:t xml:space="preserve"> </w:t>
      </w:r>
      <w:r w:rsidRPr="005D59A7">
        <w:rPr>
          <w:rFonts w:ascii="T" w:hAnsi="T" w:cs="Simplified Arabic"/>
          <w:sz w:val="24"/>
          <w:szCs w:val="24"/>
          <w:rtl/>
        </w:rPr>
        <w:t>البنك</w:t>
      </w:r>
      <w:r w:rsidR="00045246" w:rsidRPr="005D59A7">
        <w:rPr>
          <w:rFonts w:ascii="T" w:hAnsi="T" w:cs="Simplified Arabic"/>
          <w:sz w:val="24"/>
          <w:szCs w:val="24"/>
        </w:rPr>
        <w:t xml:space="preserve"> </w:t>
      </w:r>
      <w:r w:rsidRPr="005D59A7">
        <w:rPr>
          <w:rFonts w:ascii="T" w:hAnsi="T" w:cs="Simplified Arabic"/>
          <w:sz w:val="24"/>
          <w:szCs w:val="24"/>
          <w:rtl/>
        </w:rPr>
        <w:t>الدولي</w:t>
      </w:r>
      <w:r w:rsidR="00045246" w:rsidRPr="005D59A7">
        <w:rPr>
          <w:rFonts w:ascii="T" w:hAnsi="T" w:cs="Simplified Arabic"/>
          <w:sz w:val="24"/>
          <w:szCs w:val="24"/>
        </w:rPr>
        <w:t xml:space="preserve"> </w:t>
      </w:r>
      <w:r w:rsidRPr="005D59A7">
        <w:rPr>
          <w:rFonts w:ascii="T" w:hAnsi="T" w:cs="Simplified Arabic"/>
          <w:sz w:val="24"/>
          <w:szCs w:val="24"/>
          <w:rtl/>
        </w:rPr>
        <w:t xml:space="preserve">لعام </w:t>
      </w:r>
      <w:r w:rsidR="008200D7" w:rsidRPr="005D59A7">
        <w:rPr>
          <w:rFonts w:ascii="T" w:hAnsi="T" w:cs="Simplified Arabic"/>
          <w:sz w:val="24"/>
          <w:szCs w:val="24"/>
          <w:rtl/>
        </w:rPr>
        <w:t>2014</w:t>
      </w:r>
      <w:r w:rsidRPr="005D59A7">
        <w:rPr>
          <w:rFonts w:ascii="T" w:hAnsi="T" w:cs="Simplified Arabic"/>
          <w:sz w:val="24"/>
          <w:szCs w:val="24"/>
          <w:rtl/>
        </w:rPr>
        <w:t>: من</w:t>
      </w:r>
      <w:r w:rsidR="00045246" w:rsidRPr="005D59A7">
        <w:rPr>
          <w:rFonts w:ascii="T" w:hAnsi="T" w:cs="Simplified Arabic"/>
          <w:sz w:val="24"/>
          <w:szCs w:val="24"/>
        </w:rPr>
        <w:t xml:space="preserve"> </w:t>
      </w:r>
      <w:r w:rsidRPr="005D59A7">
        <w:rPr>
          <w:rFonts w:ascii="T" w:hAnsi="T" w:cs="Simplified Arabic"/>
          <w:sz w:val="24"/>
          <w:szCs w:val="24"/>
          <w:rtl/>
        </w:rPr>
        <w:t>الأرقام</w:t>
      </w:r>
      <w:r w:rsidR="00045246" w:rsidRPr="005D59A7">
        <w:rPr>
          <w:rFonts w:ascii="T" w:hAnsi="T" w:cs="Simplified Arabic"/>
          <w:sz w:val="24"/>
          <w:szCs w:val="24"/>
        </w:rPr>
        <w:t xml:space="preserve"> </w:t>
      </w:r>
      <w:r w:rsidRPr="005D59A7">
        <w:rPr>
          <w:rFonts w:ascii="T" w:hAnsi="T" w:cs="Simplified Arabic"/>
          <w:sz w:val="24"/>
          <w:szCs w:val="24"/>
          <w:rtl/>
        </w:rPr>
        <w:t>الرئيسية</w:t>
      </w:r>
      <w:r w:rsidR="00045246" w:rsidRPr="005D59A7">
        <w:rPr>
          <w:rFonts w:ascii="T" w:hAnsi="T" w:cs="Simplified Arabic"/>
          <w:sz w:val="24"/>
          <w:szCs w:val="24"/>
        </w:rPr>
        <w:t xml:space="preserve"> </w:t>
      </w:r>
      <w:r w:rsidRPr="005D59A7">
        <w:rPr>
          <w:rFonts w:ascii="T" w:hAnsi="T" w:cs="Simplified Arabic"/>
          <w:sz w:val="24"/>
          <w:szCs w:val="24"/>
          <w:rtl/>
        </w:rPr>
        <w:t>التي</w:t>
      </w:r>
      <w:r w:rsidR="00045246" w:rsidRPr="005D59A7">
        <w:rPr>
          <w:rFonts w:ascii="T" w:hAnsi="T" w:cs="Simplified Arabic"/>
          <w:sz w:val="24"/>
          <w:szCs w:val="24"/>
        </w:rPr>
        <w:t xml:space="preserve"> </w:t>
      </w:r>
      <w:r w:rsidRPr="005D59A7">
        <w:rPr>
          <w:rFonts w:ascii="T" w:hAnsi="T" w:cs="Simplified Arabic"/>
          <w:sz w:val="24"/>
          <w:szCs w:val="24"/>
          <w:rtl/>
        </w:rPr>
        <w:t>يُستشهد</w:t>
      </w:r>
      <w:r w:rsidR="00045246" w:rsidRPr="005D59A7">
        <w:rPr>
          <w:rFonts w:ascii="T" w:hAnsi="T" w:cs="Simplified Arabic"/>
          <w:sz w:val="24"/>
          <w:szCs w:val="24"/>
        </w:rPr>
        <w:t xml:space="preserve"> </w:t>
      </w:r>
      <w:r w:rsidRPr="005D59A7">
        <w:rPr>
          <w:rFonts w:ascii="T" w:hAnsi="T" w:cs="Simplified Arabic"/>
          <w:sz w:val="24"/>
          <w:szCs w:val="24"/>
          <w:rtl/>
        </w:rPr>
        <w:t>بها</w:t>
      </w:r>
      <w:r w:rsidR="00045246" w:rsidRPr="005D59A7">
        <w:rPr>
          <w:rFonts w:ascii="T" w:hAnsi="T" w:cs="Simplified Arabic"/>
          <w:sz w:val="24"/>
          <w:szCs w:val="24"/>
        </w:rPr>
        <w:t xml:space="preserve"> </w:t>
      </w:r>
      <w:r w:rsidRPr="005D59A7">
        <w:rPr>
          <w:rFonts w:ascii="T" w:hAnsi="T" w:cs="Simplified Arabic"/>
          <w:sz w:val="24"/>
          <w:szCs w:val="24"/>
          <w:rtl/>
        </w:rPr>
        <w:t>كثيراً</w:t>
      </w:r>
      <w:r w:rsidR="00045246" w:rsidRPr="005D59A7">
        <w:rPr>
          <w:rFonts w:ascii="T" w:hAnsi="T" w:cs="Simplified Arabic"/>
          <w:sz w:val="24"/>
          <w:szCs w:val="24"/>
        </w:rPr>
        <w:t xml:space="preserve"> </w:t>
      </w:r>
      <w:r w:rsidRPr="005D59A7">
        <w:rPr>
          <w:rFonts w:ascii="T" w:hAnsi="T" w:cs="Simplified Arabic"/>
          <w:sz w:val="24"/>
          <w:szCs w:val="24"/>
          <w:rtl/>
        </w:rPr>
        <w:t>دراسة</w:t>
      </w:r>
      <w:r w:rsidR="00045246" w:rsidRPr="005D59A7">
        <w:rPr>
          <w:rFonts w:ascii="T" w:hAnsi="T" w:cs="Simplified Arabic"/>
          <w:sz w:val="24"/>
          <w:szCs w:val="24"/>
        </w:rPr>
        <w:t xml:space="preserve"> </w:t>
      </w:r>
      <w:r w:rsidRPr="005D59A7">
        <w:rPr>
          <w:rFonts w:ascii="T" w:hAnsi="T" w:cs="Simplified Arabic"/>
          <w:sz w:val="24"/>
          <w:szCs w:val="24"/>
          <w:rtl/>
        </w:rPr>
        <w:t>أجراها</w:t>
      </w:r>
      <w:r w:rsidR="00045246" w:rsidRPr="005D59A7">
        <w:rPr>
          <w:rFonts w:ascii="T" w:hAnsi="T" w:cs="Simplified Arabic"/>
          <w:sz w:val="24"/>
          <w:szCs w:val="24"/>
        </w:rPr>
        <w:t xml:space="preserve"> </w:t>
      </w:r>
      <w:r w:rsidRPr="005D59A7">
        <w:rPr>
          <w:rFonts w:ascii="T" w:hAnsi="T" w:cs="Simplified Arabic"/>
          <w:sz w:val="24"/>
          <w:szCs w:val="24"/>
          <w:rtl/>
        </w:rPr>
        <w:t>البنك</w:t>
      </w:r>
      <w:r w:rsidR="00045246" w:rsidRPr="005D59A7">
        <w:rPr>
          <w:rFonts w:ascii="T" w:hAnsi="T" w:cs="Simplified Arabic"/>
          <w:sz w:val="24"/>
          <w:szCs w:val="24"/>
        </w:rPr>
        <w:t xml:space="preserve"> </w:t>
      </w:r>
      <w:r w:rsidRPr="005D59A7">
        <w:rPr>
          <w:rFonts w:ascii="T" w:hAnsi="T" w:cs="Simplified Arabic"/>
          <w:sz w:val="24"/>
          <w:szCs w:val="24"/>
          <w:rtl/>
        </w:rPr>
        <w:t>الدولي</w:t>
      </w:r>
      <w:r w:rsidR="00045246" w:rsidRPr="005D59A7">
        <w:rPr>
          <w:rFonts w:ascii="T" w:hAnsi="T" w:cs="Simplified Arabic"/>
          <w:sz w:val="24"/>
          <w:szCs w:val="24"/>
        </w:rPr>
        <w:t xml:space="preserve"> </w:t>
      </w:r>
      <w:r w:rsidRPr="005D59A7">
        <w:rPr>
          <w:rFonts w:ascii="T" w:hAnsi="T" w:cs="Simplified Arabic"/>
          <w:sz w:val="24"/>
          <w:szCs w:val="24"/>
          <w:rtl/>
        </w:rPr>
        <w:t xml:space="preserve">عام </w:t>
      </w:r>
      <w:r w:rsidR="008200D7" w:rsidRPr="005D59A7">
        <w:rPr>
          <w:rFonts w:ascii="T" w:hAnsi="T" w:cs="Simplified Arabic"/>
          <w:sz w:val="24"/>
          <w:szCs w:val="24"/>
          <w:rtl/>
        </w:rPr>
        <w:t>2014</w:t>
      </w:r>
      <w:r w:rsidRPr="005D59A7">
        <w:rPr>
          <w:rFonts w:ascii="T" w:hAnsi="T" w:cs="Simplified Arabic"/>
          <w:sz w:val="24"/>
          <w:szCs w:val="24"/>
          <w:rtl/>
        </w:rPr>
        <w:t>،</w:t>
      </w:r>
      <w:r w:rsidR="00045246" w:rsidRPr="005D59A7">
        <w:rPr>
          <w:rFonts w:ascii="T" w:hAnsi="T" w:cs="Simplified Arabic"/>
          <w:sz w:val="24"/>
          <w:szCs w:val="24"/>
        </w:rPr>
        <w:t xml:space="preserve"> </w:t>
      </w:r>
      <w:r w:rsidRPr="005D59A7">
        <w:rPr>
          <w:rFonts w:ascii="T" w:hAnsi="T" w:cs="Simplified Arabic"/>
          <w:sz w:val="24"/>
          <w:szCs w:val="24"/>
          <w:rtl/>
        </w:rPr>
        <w:t>والتي</w:t>
      </w:r>
      <w:r w:rsidR="00045246" w:rsidRPr="005D59A7">
        <w:rPr>
          <w:rFonts w:ascii="T" w:hAnsi="T" w:cs="Simplified Arabic"/>
          <w:sz w:val="24"/>
          <w:szCs w:val="24"/>
        </w:rPr>
        <w:t xml:space="preserve"> </w:t>
      </w:r>
      <w:r w:rsidRPr="005D59A7">
        <w:rPr>
          <w:rFonts w:ascii="T" w:hAnsi="T" w:cs="Simplified Arabic"/>
          <w:sz w:val="24"/>
          <w:szCs w:val="24"/>
          <w:rtl/>
        </w:rPr>
        <w:t>قدرت</w:t>
      </w:r>
      <w:r w:rsidR="00045246" w:rsidRPr="005D59A7">
        <w:rPr>
          <w:rFonts w:ascii="T" w:hAnsi="T" w:cs="Simplified Arabic"/>
          <w:sz w:val="24"/>
          <w:szCs w:val="24"/>
        </w:rPr>
        <w:t xml:space="preserve"> </w:t>
      </w:r>
      <w:r w:rsidRPr="005D59A7">
        <w:rPr>
          <w:rFonts w:ascii="T" w:hAnsi="T" w:cs="Simplified Arabic"/>
          <w:sz w:val="24"/>
          <w:szCs w:val="24"/>
          <w:rtl/>
        </w:rPr>
        <w:t>أن</w:t>
      </w:r>
      <w:r w:rsidR="00045246" w:rsidRPr="005D59A7">
        <w:rPr>
          <w:rFonts w:ascii="T" w:hAnsi="T" w:cs="Simplified Arabic"/>
          <w:sz w:val="24"/>
          <w:szCs w:val="24"/>
        </w:rPr>
        <w:t xml:space="preserve"> </w:t>
      </w:r>
      <w:r w:rsidRPr="005D59A7">
        <w:rPr>
          <w:rFonts w:ascii="T" w:hAnsi="T" w:cs="Simplified Arabic"/>
          <w:sz w:val="24"/>
          <w:szCs w:val="24"/>
          <w:rtl/>
        </w:rPr>
        <w:t>تكلفة</w:t>
      </w:r>
      <w:r w:rsidR="00045246" w:rsidRPr="005D59A7">
        <w:rPr>
          <w:rFonts w:ascii="T" w:hAnsi="T" w:cs="Simplified Arabic"/>
          <w:sz w:val="24"/>
          <w:szCs w:val="24"/>
        </w:rPr>
        <w:t xml:space="preserve"> </w:t>
      </w:r>
      <w:r w:rsidRPr="005D59A7">
        <w:rPr>
          <w:rFonts w:ascii="T" w:hAnsi="T" w:cs="Simplified Arabic"/>
          <w:sz w:val="24"/>
          <w:szCs w:val="24"/>
          <w:rtl/>
        </w:rPr>
        <w:t>التدهور</w:t>
      </w:r>
      <w:r w:rsidR="00045246" w:rsidRPr="005D59A7">
        <w:rPr>
          <w:rFonts w:ascii="T" w:hAnsi="T" w:cs="Simplified Arabic"/>
          <w:sz w:val="24"/>
          <w:szCs w:val="24"/>
        </w:rPr>
        <w:t xml:space="preserve"> </w:t>
      </w:r>
      <w:r w:rsidRPr="005D59A7">
        <w:rPr>
          <w:rFonts w:ascii="T" w:hAnsi="T" w:cs="Simplified Arabic"/>
          <w:sz w:val="24"/>
          <w:szCs w:val="24"/>
          <w:rtl/>
        </w:rPr>
        <w:t>البيئي</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المملكة</w:t>
      </w:r>
      <w:r w:rsidR="00045246" w:rsidRPr="005D59A7">
        <w:rPr>
          <w:rFonts w:ascii="T" w:hAnsi="T" w:cs="Simplified Arabic"/>
          <w:sz w:val="24"/>
          <w:szCs w:val="24"/>
        </w:rPr>
        <w:t xml:space="preserve"> </w:t>
      </w:r>
      <w:r w:rsidRPr="005D59A7">
        <w:rPr>
          <w:rFonts w:ascii="T" w:hAnsi="T" w:cs="Simplified Arabic"/>
          <w:sz w:val="24"/>
          <w:szCs w:val="24"/>
          <w:rtl/>
        </w:rPr>
        <w:t>العربية</w:t>
      </w:r>
      <w:r w:rsidR="00045246" w:rsidRPr="005D59A7">
        <w:rPr>
          <w:rFonts w:ascii="T" w:hAnsi="T" w:cs="Simplified Arabic"/>
          <w:sz w:val="24"/>
          <w:szCs w:val="24"/>
        </w:rPr>
        <w:t xml:space="preserve"> </w:t>
      </w:r>
      <w:r w:rsidRPr="005D59A7">
        <w:rPr>
          <w:rFonts w:ascii="T" w:hAnsi="T" w:cs="Simplified Arabic"/>
          <w:sz w:val="24"/>
          <w:szCs w:val="24"/>
          <w:rtl/>
        </w:rPr>
        <w:t>السعودية</w:t>
      </w:r>
      <w:r w:rsidR="00045246" w:rsidRPr="005D59A7">
        <w:rPr>
          <w:rFonts w:ascii="T" w:hAnsi="T" w:cs="Simplified Arabic"/>
          <w:sz w:val="24"/>
          <w:szCs w:val="24"/>
        </w:rPr>
        <w:t xml:space="preserve"> </w:t>
      </w:r>
      <w:r w:rsidRPr="005D59A7">
        <w:rPr>
          <w:rFonts w:ascii="T" w:hAnsi="T" w:cs="Simplified Arabic"/>
          <w:sz w:val="24"/>
          <w:szCs w:val="24"/>
          <w:rtl/>
        </w:rPr>
        <w:t xml:space="preserve">تجاوزت </w:t>
      </w:r>
      <w:r w:rsidR="008200D7" w:rsidRPr="005D59A7">
        <w:rPr>
          <w:rFonts w:ascii="T" w:hAnsi="T" w:cs="Simplified Arabic"/>
          <w:sz w:val="24"/>
          <w:szCs w:val="24"/>
          <w:rtl/>
        </w:rPr>
        <w:t>86</w:t>
      </w:r>
      <w:r w:rsidRPr="005D59A7">
        <w:rPr>
          <w:rFonts w:ascii="T" w:hAnsi="T" w:cs="Simplified Arabic"/>
          <w:sz w:val="24"/>
          <w:szCs w:val="24"/>
          <w:rtl/>
        </w:rPr>
        <w:t xml:space="preserve"> مليار</w:t>
      </w:r>
      <w:r w:rsidR="00045246" w:rsidRPr="005D59A7">
        <w:rPr>
          <w:rFonts w:ascii="T" w:hAnsi="T" w:cs="Simplified Arabic"/>
          <w:sz w:val="24"/>
          <w:szCs w:val="24"/>
        </w:rPr>
        <w:t xml:space="preserve"> </w:t>
      </w:r>
      <w:r w:rsidRPr="005D59A7">
        <w:rPr>
          <w:rFonts w:ascii="T" w:hAnsi="T" w:cs="Simplified Arabic"/>
          <w:sz w:val="24"/>
          <w:szCs w:val="24"/>
          <w:rtl/>
        </w:rPr>
        <w:t>ريال</w:t>
      </w:r>
      <w:r w:rsidR="00045246" w:rsidRPr="005D59A7">
        <w:rPr>
          <w:rFonts w:ascii="T" w:hAnsi="T" w:cs="Simplified Arabic"/>
          <w:sz w:val="24"/>
          <w:szCs w:val="24"/>
        </w:rPr>
        <w:t xml:space="preserve"> </w:t>
      </w:r>
      <w:r w:rsidRPr="005D59A7">
        <w:rPr>
          <w:rFonts w:ascii="T" w:hAnsi="T" w:cs="Simplified Arabic"/>
          <w:sz w:val="24"/>
          <w:szCs w:val="24"/>
          <w:rtl/>
        </w:rPr>
        <w:t>سعودي،</w:t>
      </w:r>
      <w:r w:rsidR="00045246" w:rsidRPr="005D59A7">
        <w:rPr>
          <w:rFonts w:ascii="T" w:hAnsi="T" w:cs="Simplified Arabic"/>
          <w:sz w:val="24"/>
          <w:szCs w:val="24"/>
        </w:rPr>
        <w:t xml:space="preserve"> </w:t>
      </w:r>
      <w:r w:rsidRPr="005D59A7">
        <w:rPr>
          <w:rFonts w:ascii="T" w:hAnsi="T" w:cs="Simplified Arabic"/>
          <w:sz w:val="24"/>
          <w:szCs w:val="24"/>
          <w:rtl/>
        </w:rPr>
        <w:t>أي</w:t>
      </w:r>
      <w:r w:rsidR="00045246" w:rsidRPr="005D59A7">
        <w:rPr>
          <w:rFonts w:ascii="T" w:hAnsi="T" w:cs="Simplified Arabic"/>
          <w:sz w:val="24"/>
          <w:szCs w:val="24"/>
        </w:rPr>
        <w:t xml:space="preserve"> </w:t>
      </w:r>
      <w:r w:rsidRPr="005D59A7">
        <w:rPr>
          <w:rFonts w:ascii="T" w:hAnsi="T" w:cs="Simplified Arabic"/>
          <w:sz w:val="24"/>
          <w:szCs w:val="24"/>
          <w:rtl/>
        </w:rPr>
        <w:t>ما</w:t>
      </w:r>
      <w:r w:rsidR="00045246" w:rsidRPr="005D59A7">
        <w:rPr>
          <w:rFonts w:ascii="T" w:hAnsi="T" w:cs="Simplified Arabic"/>
          <w:sz w:val="24"/>
          <w:szCs w:val="24"/>
        </w:rPr>
        <w:t xml:space="preserve"> </w:t>
      </w:r>
      <w:r w:rsidRPr="005D59A7">
        <w:rPr>
          <w:rFonts w:ascii="T" w:hAnsi="T" w:cs="Simplified Arabic"/>
          <w:sz w:val="24"/>
          <w:szCs w:val="24"/>
          <w:rtl/>
        </w:rPr>
        <w:t xml:space="preserve">يعادل </w:t>
      </w:r>
      <w:r w:rsidR="008200D7" w:rsidRPr="005D59A7">
        <w:rPr>
          <w:rFonts w:ascii="T" w:hAnsi="T" w:cs="Simplified Arabic"/>
          <w:sz w:val="24"/>
          <w:szCs w:val="24"/>
          <w:rtl/>
        </w:rPr>
        <w:t>3</w:t>
      </w:r>
      <w:r w:rsidRPr="005D59A7">
        <w:rPr>
          <w:rFonts w:ascii="T" w:hAnsi="T" w:cs="Simplified Arabic"/>
          <w:sz w:val="24"/>
          <w:szCs w:val="24"/>
          <w:rtl/>
        </w:rPr>
        <w:t>٪ من</w:t>
      </w:r>
      <w:r w:rsidR="00045246" w:rsidRPr="005D59A7">
        <w:rPr>
          <w:rFonts w:ascii="T" w:hAnsi="T" w:cs="Simplified Arabic"/>
          <w:sz w:val="24"/>
          <w:szCs w:val="24"/>
        </w:rPr>
        <w:t xml:space="preserve"> </w:t>
      </w:r>
      <w:r w:rsidRPr="005D59A7">
        <w:rPr>
          <w:rFonts w:ascii="T" w:hAnsi="T" w:cs="Simplified Arabic"/>
          <w:sz w:val="24"/>
          <w:szCs w:val="24"/>
          <w:rtl/>
        </w:rPr>
        <w:t>الناتج</w:t>
      </w:r>
      <w:r w:rsidR="00045246" w:rsidRPr="005D59A7">
        <w:rPr>
          <w:rFonts w:ascii="T" w:hAnsi="T" w:cs="Simplified Arabic"/>
          <w:sz w:val="24"/>
          <w:szCs w:val="24"/>
        </w:rPr>
        <w:t xml:space="preserve"> </w:t>
      </w:r>
      <w:r w:rsidRPr="005D59A7">
        <w:rPr>
          <w:rFonts w:ascii="T" w:hAnsi="T" w:cs="Simplified Arabic"/>
          <w:sz w:val="24"/>
          <w:szCs w:val="24"/>
          <w:rtl/>
        </w:rPr>
        <w:t>المحلي</w:t>
      </w:r>
      <w:r w:rsidR="00045246" w:rsidRPr="005D59A7">
        <w:rPr>
          <w:rFonts w:ascii="T" w:hAnsi="T" w:cs="Simplified Arabic"/>
          <w:sz w:val="24"/>
          <w:szCs w:val="24"/>
        </w:rPr>
        <w:t xml:space="preserve"> </w:t>
      </w:r>
      <w:r w:rsidRPr="005D59A7">
        <w:rPr>
          <w:rFonts w:ascii="T" w:hAnsi="T" w:cs="Simplified Arabic"/>
          <w:sz w:val="24"/>
          <w:szCs w:val="24"/>
          <w:rtl/>
        </w:rPr>
        <w:t>الإجمالي،</w:t>
      </w:r>
      <w:r w:rsidR="00045246" w:rsidRPr="005D59A7">
        <w:rPr>
          <w:rFonts w:ascii="T" w:hAnsi="T" w:cs="Simplified Arabic"/>
          <w:sz w:val="24"/>
          <w:szCs w:val="24"/>
        </w:rPr>
        <w:t xml:space="preserve"> </w:t>
      </w:r>
      <w:r w:rsidRPr="005D59A7">
        <w:rPr>
          <w:rFonts w:ascii="T" w:hAnsi="T" w:cs="Simplified Arabic"/>
          <w:sz w:val="24"/>
          <w:szCs w:val="24"/>
          <w:rtl/>
        </w:rPr>
        <w:t>وذلك</w:t>
      </w:r>
      <w:r w:rsidR="00045246" w:rsidRPr="005D59A7">
        <w:rPr>
          <w:rFonts w:ascii="T" w:hAnsi="T" w:cs="Simplified Arabic"/>
          <w:sz w:val="24"/>
          <w:szCs w:val="24"/>
        </w:rPr>
        <w:t xml:space="preserve"> </w:t>
      </w:r>
      <w:r w:rsidRPr="005D59A7">
        <w:rPr>
          <w:rFonts w:ascii="T" w:hAnsi="T" w:cs="Simplified Arabic"/>
          <w:sz w:val="24"/>
          <w:szCs w:val="24"/>
          <w:rtl/>
        </w:rPr>
        <w:t>بسبب</w:t>
      </w:r>
      <w:r w:rsidR="00045246" w:rsidRPr="005D59A7">
        <w:rPr>
          <w:rFonts w:ascii="T" w:hAnsi="T" w:cs="Simplified Arabic"/>
          <w:sz w:val="24"/>
          <w:szCs w:val="24"/>
        </w:rPr>
        <w:t xml:space="preserve"> </w:t>
      </w:r>
      <w:r w:rsidRPr="005D59A7">
        <w:rPr>
          <w:rFonts w:ascii="T" w:hAnsi="T" w:cs="Simplified Arabic"/>
          <w:sz w:val="24"/>
          <w:szCs w:val="24"/>
          <w:rtl/>
        </w:rPr>
        <w:t>عدم</w:t>
      </w:r>
      <w:r w:rsidR="00045246" w:rsidRPr="005D59A7">
        <w:rPr>
          <w:rFonts w:ascii="T" w:hAnsi="T" w:cs="Simplified Arabic"/>
          <w:sz w:val="24"/>
          <w:szCs w:val="24"/>
        </w:rPr>
        <w:t xml:space="preserve"> </w:t>
      </w:r>
      <w:r w:rsidRPr="005D59A7">
        <w:rPr>
          <w:rFonts w:ascii="T" w:hAnsi="T" w:cs="Simplified Arabic"/>
          <w:sz w:val="24"/>
          <w:szCs w:val="24"/>
          <w:rtl/>
        </w:rPr>
        <w:t>الالتزام</w:t>
      </w:r>
      <w:r w:rsidR="00045246" w:rsidRPr="005D59A7">
        <w:rPr>
          <w:rFonts w:ascii="T" w:hAnsi="T" w:cs="Simplified Arabic"/>
          <w:sz w:val="24"/>
          <w:szCs w:val="24"/>
        </w:rPr>
        <w:t xml:space="preserve"> </w:t>
      </w:r>
      <w:r w:rsidRPr="005D59A7">
        <w:rPr>
          <w:rFonts w:ascii="T" w:hAnsi="T" w:cs="Simplified Arabic"/>
          <w:sz w:val="24"/>
          <w:szCs w:val="24"/>
          <w:rtl/>
        </w:rPr>
        <w:t>بالضوابط</w:t>
      </w:r>
      <w:r w:rsidR="00045246" w:rsidRPr="005D59A7">
        <w:rPr>
          <w:rFonts w:ascii="T" w:hAnsi="T" w:cs="Simplified Arabic"/>
          <w:sz w:val="24"/>
          <w:szCs w:val="24"/>
        </w:rPr>
        <w:t xml:space="preserve"> </w:t>
      </w:r>
      <w:r w:rsidRPr="005D59A7">
        <w:rPr>
          <w:rFonts w:ascii="T" w:hAnsi="T" w:cs="Simplified Arabic"/>
          <w:sz w:val="24"/>
          <w:szCs w:val="24"/>
          <w:rtl/>
        </w:rPr>
        <w:t>والمعايير</w:t>
      </w:r>
      <w:r w:rsidR="00045246" w:rsidRPr="005D59A7">
        <w:rPr>
          <w:rFonts w:ascii="T" w:hAnsi="T" w:cs="Simplified Arabic"/>
          <w:sz w:val="24"/>
          <w:szCs w:val="24"/>
        </w:rPr>
        <w:t xml:space="preserve"> </w:t>
      </w:r>
      <w:r w:rsidRPr="005D59A7">
        <w:rPr>
          <w:rFonts w:ascii="T" w:hAnsi="T" w:cs="Simplified Arabic"/>
          <w:sz w:val="24"/>
          <w:szCs w:val="24"/>
          <w:rtl/>
        </w:rPr>
        <w:t>البيئية. وقد</w:t>
      </w:r>
      <w:r w:rsidR="00045246" w:rsidRPr="005D59A7">
        <w:rPr>
          <w:rFonts w:ascii="T" w:hAnsi="T" w:cs="Simplified Arabic"/>
          <w:sz w:val="24"/>
          <w:szCs w:val="24"/>
        </w:rPr>
        <w:t xml:space="preserve"> </w:t>
      </w:r>
      <w:r w:rsidRPr="005D59A7">
        <w:rPr>
          <w:rFonts w:ascii="T" w:hAnsi="T" w:cs="Simplified Arabic"/>
          <w:sz w:val="24"/>
          <w:szCs w:val="24"/>
          <w:rtl/>
        </w:rPr>
        <w:t>سلّط</w:t>
      </w:r>
      <w:r w:rsidR="00045246" w:rsidRPr="005D59A7">
        <w:rPr>
          <w:rFonts w:ascii="T" w:hAnsi="T" w:cs="Simplified Arabic"/>
          <w:sz w:val="24"/>
          <w:szCs w:val="24"/>
        </w:rPr>
        <w:t xml:space="preserve"> </w:t>
      </w:r>
      <w:r w:rsidRPr="005D59A7">
        <w:rPr>
          <w:rFonts w:ascii="T" w:hAnsi="T" w:cs="Simplified Arabic"/>
          <w:sz w:val="24"/>
          <w:szCs w:val="24"/>
          <w:rtl/>
        </w:rPr>
        <w:t>نائب</w:t>
      </w:r>
      <w:r w:rsidR="00045246" w:rsidRPr="005D59A7">
        <w:rPr>
          <w:rFonts w:ascii="T" w:hAnsi="T" w:cs="Simplified Arabic"/>
          <w:sz w:val="24"/>
          <w:szCs w:val="24"/>
        </w:rPr>
        <w:t xml:space="preserve"> </w:t>
      </w:r>
      <w:r w:rsidRPr="005D59A7">
        <w:rPr>
          <w:rFonts w:ascii="T" w:hAnsi="T" w:cs="Simplified Arabic"/>
          <w:sz w:val="24"/>
          <w:szCs w:val="24"/>
          <w:rtl/>
        </w:rPr>
        <w:t>وزير</w:t>
      </w:r>
      <w:r w:rsidR="00045246" w:rsidRPr="005D59A7">
        <w:rPr>
          <w:rFonts w:ascii="T" w:hAnsi="T" w:cs="Simplified Arabic"/>
          <w:sz w:val="24"/>
          <w:szCs w:val="24"/>
        </w:rPr>
        <w:t xml:space="preserve"> </w:t>
      </w:r>
      <w:r w:rsidRPr="005D59A7">
        <w:rPr>
          <w:rFonts w:ascii="T" w:hAnsi="T" w:cs="Simplified Arabic"/>
          <w:sz w:val="24"/>
          <w:szCs w:val="24"/>
          <w:rtl/>
        </w:rPr>
        <w:t>البيئة</w:t>
      </w:r>
      <w:r w:rsidR="00045246" w:rsidRPr="005D59A7">
        <w:rPr>
          <w:rFonts w:ascii="T" w:hAnsi="T" w:cs="Simplified Arabic"/>
          <w:sz w:val="24"/>
          <w:szCs w:val="24"/>
        </w:rPr>
        <w:t xml:space="preserve"> </w:t>
      </w:r>
      <w:r w:rsidRPr="005D59A7">
        <w:rPr>
          <w:rFonts w:ascii="T" w:hAnsi="T" w:cs="Simplified Arabic"/>
          <w:sz w:val="24"/>
          <w:szCs w:val="24"/>
          <w:rtl/>
        </w:rPr>
        <w:t>السعودي</w:t>
      </w:r>
      <w:r w:rsidR="00045246" w:rsidRPr="005D59A7">
        <w:rPr>
          <w:rFonts w:ascii="T" w:hAnsi="T" w:cs="Simplified Arabic"/>
          <w:sz w:val="24"/>
          <w:szCs w:val="24"/>
        </w:rPr>
        <w:t xml:space="preserve"> </w:t>
      </w:r>
      <w:r w:rsidRPr="005D59A7">
        <w:rPr>
          <w:rFonts w:ascii="T" w:hAnsi="T" w:cs="Simplified Arabic"/>
          <w:sz w:val="24"/>
          <w:szCs w:val="24"/>
          <w:rtl/>
        </w:rPr>
        <w:t>الضوء</w:t>
      </w:r>
      <w:r w:rsidR="00045246" w:rsidRPr="005D59A7">
        <w:rPr>
          <w:rFonts w:ascii="T" w:hAnsi="T" w:cs="Simplified Arabic"/>
          <w:sz w:val="24"/>
          <w:szCs w:val="24"/>
        </w:rPr>
        <w:t xml:space="preserve"> </w:t>
      </w:r>
      <w:r w:rsidRPr="005D59A7">
        <w:rPr>
          <w:rFonts w:ascii="T" w:hAnsi="T" w:cs="Simplified Arabic"/>
          <w:sz w:val="24"/>
          <w:szCs w:val="24"/>
          <w:rtl/>
        </w:rPr>
        <w:t>مؤخرًا</w:t>
      </w:r>
      <w:r w:rsidR="00045246" w:rsidRPr="005D59A7">
        <w:rPr>
          <w:rFonts w:ascii="T" w:hAnsi="T" w:cs="Simplified Arabic"/>
          <w:sz w:val="24"/>
          <w:szCs w:val="24"/>
        </w:rPr>
        <w:t xml:space="preserve"> </w:t>
      </w:r>
      <w:r w:rsidRPr="005D59A7">
        <w:rPr>
          <w:rFonts w:ascii="T" w:hAnsi="T" w:cs="Simplified Arabic"/>
          <w:sz w:val="24"/>
          <w:szCs w:val="24"/>
          <w:rtl/>
        </w:rPr>
        <w:t>على</w:t>
      </w:r>
      <w:r w:rsidR="00045246" w:rsidRPr="005D59A7">
        <w:rPr>
          <w:rFonts w:ascii="T" w:hAnsi="T" w:cs="Simplified Arabic"/>
          <w:sz w:val="24"/>
          <w:szCs w:val="24"/>
        </w:rPr>
        <w:t xml:space="preserve"> </w:t>
      </w:r>
      <w:r w:rsidRPr="005D59A7">
        <w:rPr>
          <w:rFonts w:ascii="T" w:hAnsi="T" w:cs="Simplified Arabic"/>
          <w:sz w:val="24"/>
          <w:szCs w:val="24"/>
          <w:rtl/>
        </w:rPr>
        <w:t>هذا</w:t>
      </w:r>
      <w:r w:rsidR="00045246" w:rsidRPr="005D59A7">
        <w:rPr>
          <w:rFonts w:ascii="T" w:hAnsi="T" w:cs="Simplified Arabic"/>
          <w:sz w:val="24"/>
          <w:szCs w:val="24"/>
        </w:rPr>
        <w:t xml:space="preserve"> </w:t>
      </w:r>
      <w:r w:rsidRPr="005D59A7">
        <w:rPr>
          <w:rFonts w:ascii="T" w:hAnsi="T" w:cs="Simplified Arabic"/>
          <w:sz w:val="24"/>
          <w:szCs w:val="24"/>
          <w:rtl/>
        </w:rPr>
        <w:t>الرقم</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 xml:space="preserve">فبراير </w:t>
      </w:r>
      <w:r w:rsidR="008200D7" w:rsidRPr="005D59A7">
        <w:rPr>
          <w:rFonts w:ascii="T" w:hAnsi="T" w:cs="Simplified Arabic"/>
          <w:sz w:val="24"/>
          <w:szCs w:val="24"/>
          <w:rtl/>
        </w:rPr>
        <w:t>2024</w:t>
      </w:r>
      <w:r w:rsidRPr="005D59A7">
        <w:rPr>
          <w:rFonts w:ascii="T" w:hAnsi="T" w:cs="Simplified Arabic"/>
          <w:sz w:val="24"/>
          <w:szCs w:val="24"/>
          <w:rtl/>
        </w:rPr>
        <w:t>،</w:t>
      </w:r>
      <w:r w:rsidR="00045246" w:rsidRPr="005D59A7">
        <w:rPr>
          <w:rFonts w:ascii="T" w:hAnsi="T" w:cs="Simplified Arabic"/>
          <w:sz w:val="24"/>
          <w:szCs w:val="24"/>
        </w:rPr>
        <w:t xml:space="preserve"> </w:t>
      </w:r>
      <w:r w:rsidRPr="005D59A7">
        <w:rPr>
          <w:rFonts w:ascii="T" w:hAnsi="T" w:cs="Simplified Arabic"/>
          <w:sz w:val="24"/>
          <w:szCs w:val="24"/>
          <w:rtl/>
        </w:rPr>
        <w:t>مؤكدًا</w:t>
      </w:r>
      <w:r w:rsidR="00045246" w:rsidRPr="005D59A7">
        <w:rPr>
          <w:rFonts w:ascii="T" w:hAnsi="T" w:cs="Simplified Arabic"/>
          <w:sz w:val="24"/>
          <w:szCs w:val="24"/>
        </w:rPr>
        <w:t xml:space="preserve"> </w:t>
      </w:r>
      <w:r w:rsidRPr="005D59A7">
        <w:rPr>
          <w:rFonts w:ascii="T" w:hAnsi="T" w:cs="Simplified Arabic"/>
          <w:sz w:val="24"/>
          <w:szCs w:val="24"/>
          <w:rtl/>
        </w:rPr>
        <w:t>على</w:t>
      </w:r>
      <w:r w:rsidR="00045246" w:rsidRPr="005D59A7">
        <w:rPr>
          <w:rFonts w:ascii="T" w:hAnsi="T" w:cs="Simplified Arabic"/>
          <w:sz w:val="24"/>
          <w:szCs w:val="24"/>
        </w:rPr>
        <w:t xml:space="preserve"> </w:t>
      </w:r>
      <w:r w:rsidRPr="005D59A7">
        <w:rPr>
          <w:rFonts w:ascii="T" w:hAnsi="T" w:cs="Simplified Arabic"/>
          <w:sz w:val="24"/>
          <w:szCs w:val="24"/>
          <w:rtl/>
        </w:rPr>
        <w:t>أهميته</w:t>
      </w:r>
      <w:r w:rsidR="00045246" w:rsidRPr="005D59A7">
        <w:rPr>
          <w:rFonts w:ascii="T" w:hAnsi="T" w:cs="Simplified Arabic"/>
          <w:sz w:val="24"/>
          <w:szCs w:val="24"/>
        </w:rPr>
        <w:t xml:space="preserve"> </w:t>
      </w:r>
      <w:r w:rsidRPr="005D59A7">
        <w:rPr>
          <w:rFonts w:ascii="T" w:hAnsi="T" w:cs="Simplified Arabic"/>
          <w:sz w:val="24"/>
          <w:szCs w:val="24"/>
          <w:rtl/>
        </w:rPr>
        <w:t>المستمرة (</w:t>
      </w:r>
      <w:r w:rsidRPr="005D59A7">
        <w:rPr>
          <w:rFonts w:ascii="T" w:hAnsi="T" w:cs="Simplified Arabic"/>
          <w:sz w:val="24"/>
          <w:szCs w:val="24"/>
        </w:rPr>
        <w:t>World Bank, 2014</w:t>
      </w:r>
      <w:r w:rsidRPr="005D59A7">
        <w:rPr>
          <w:rFonts w:ascii="T" w:hAnsi="T" w:cs="Simplified Arabic"/>
          <w:sz w:val="24"/>
          <w:szCs w:val="24"/>
          <w:rtl/>
        </w:rPr>
        <w:t>).</w:t>
      </w:r>
    </w:p>
    <w:p w14:paraId="14A37BE7" w14:textId="77777777" w:rsidR="00685A20" w:rsidRPr="005D59A7" w:rsidRDefault="00210FA3" w:rsidP="000D16AD">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تلوث</w:t>
      </w:r>
      <w:r w:rsidR="00045246" w:rsidRPr="005D59A7">
        <w:rPr>
          <w:rFonts w:ascii="T" w:hAnsi="T" w:cs="Simplified Arabic"/>
          <w:sz w:val="24"/>
          <w:szCs w:val="24"/>
        </w:rPr>
        <w:t xml:space="preserve"> </w:t>
      </w:r>
      <w:r w:rsidRPr="005D59A7">
        <w:rPr>
          <w:rFonts w:ascii="T" w:hAnsi="T" w:cs="Simplified Arabic"/>
          <w:sz w:val="24"/>
          <w:szCs w:val="24"/>
          <w:rtl/>
        </w:rPr>
        <w:t>الهواء: يُعدّ</w:t>
      </w:r>
      <w:r w:rsidR="00045246" w:rsidRPr="005D59A7">
        <w:rPr>
          <w:rFonts w:ascii="T" w:hAnsi="T" w:cs="Simplified Arabic"/>
          <w:sz w:val="24"/>
          <w:szCs w:val="24"/>
        </w:rPr>
        <w:t xml:space="preserve"> </w:t>
      </w:r>
      <w:r w:rsidRPr="005D59A7">
        <w:rPr>
          <w:rFonts w:ascii="T" w:hAnsi="T" w:cs="Simplified Arabic"/>
          <w:sz w:val="24"/>
          <w:szCs w:val="24"/>
          <w:rtl/>
        </w:rPr>
        <w:t>تلوث</w:t>
      </w:r>
      <w:r w:rsidR="00045246" w:rsidRPr="005D59A7">
        <w:rPr>
          <w:rFonts w:ascii="T" w:hAnsi="T" w:cs="Simplified Arabic"/>
          <w:sz w:val="24"/>
          <w:szCs w:val="24"/>
        </w:rPr>
        <w:t xml:space="preserve"> </w:t>
      </w:r>
      <w:r w:rsidRPr="005D59A7">
        <w:rPr>
          <w:rFonts w:ascii="T" w:hAnsi="T" w:cs="Simplified Arabic"/>
          <w:sz w:val="24"/>
          <w:szCs w:val="24"/>
          <w:rtl/>
        </w:rPr>
        <w:t>الهواء</w:t>
      </w:r>
      <w:r w:rsidR="00045246" w:rsidRPr="005D59A7">
        <w:rPr>
          <w:rFonts w:ascii="T" w:hAnsi="T" w:cs="Simplified Arabic"/>
          <w:sz w:val="24"/>
          <w:szCs w:val="24"/>
        </w:rPr>
        <w:t xml:space="preserve"> </w:t>
      </w:r>
      <w:r w:rsidRPr="005D59A7">
        <w:rPr>
          <w:rFonts w:ascii="T" w:hAnsi="T" w:cs="Simplified Arabic"/>
          <w:sz w:val="24"/>
          <w:szCs w:val="24"/>
          <w:rtl/>
        </w:rPr>
        <w:t>مساهماً</w:t>
      </w:r>
      <w:r w:rsidR="00045246" w:rsidRPr="005D59A7">
        <w:rPr>
          <w:rFonts w:ascii="T" w:hAnsi="T" w:cs="Simplified Arabic"/>
          <w:sz w:val="24"/>
          <w:szCs w:val="24"/>
        </w:rPr>
        <w:t xml:space="preserve"> </w:t>
      </w:r>
      <w:r w:rsidRPr="005D59A7">
        <w:rPr>
          <w:rFonts w:ascii="T" w:hAnsi="T" w:cs="Simplified Arabic"/>
          <w:sz w:val="24"/>
          <w:szCs w:val="24"/>
          <w:rtl/>
        </w:rPr>
        <w:t>رئيسياً</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تكاليف</w:t>
      </w:r>
      <w:r w:rsidR="00045246" w:rsidRPr="005D59A7">
        <w:rPr>
          <w:rFonts w:ascii="T" w:hAnsi="T" w:cs="Simplified Arabic"/>
          <w:sz w:val="24"/>
          <w:szCs w:val="24"/>
        </w:rPr>
        <w:t xml:space="preserve"> </w:t>
      </w:r>
      <w:r w:rsidRPr="005D59A7">
        <w:rPr>
          <w:rFonts w:ascii="T" w:hAnsi="T" w:cs="Simplified Arabic"/>
          <w:sz w:val="24"/>
          <w:szCs w:val="24"/>
          <w:rtl/>
        </w:rPr>
        <w:t>التدهور</w:t>
      </w:r>
      <w:r w:rsidR="00045246" w:rsidRPr="005D59A7">
        <w:rPr>
          <w:rFonts w:ascii="T" w:hAnsi="T" w:cs="Simplified Arabic"/>
          <w:sz w:val="24"/>
          <w:szCs w:val="24"/>
        </w:rPr>
        <w:t xml:space="preserve"> </w:t>
      </w:r>
      <w:r w:rsidRPr="005D59A7">
        <w:rPr>
          <w:rFonts w:ascii="T" w:hAnsi="T" w:cs="Simplified Arabic"/>
          <w:sz w:val="24"/>
          <w:szCs w:val="24"/>
          <w:rtl/>
        </w:rPr>
        <w:t>البيئي. فقد</w:t>
      </w:r>
      <w:r w:rsidR="00045246" w:rsidRPr="005D59A7">
        <w:rPr>
          <w:rFonts w:ascii="T" w:hAnsi="T" w:cs="Simplified Arabic"/>
          <w:sz w:val="24"/>
          <w:szCs w:val="24"/>
        </w:rPr>
        <w:t xml:space="preserve"> </w:t>
      </w:r>
      <w:r w:rsidRPr="005D59A7">
        <w:rPr>
          <w:rFonts w:ascii="T" w:hAnsi="T" w:cs="Simplified Arabic"/>
          <w:sz w:val="24"/>
          <w:szCs w:val="24"/>
          <w:rtl/>
        </w:rPr>
        <w:t>أشار</w:t>
      </w:r>
      <w:r w:rsidR="00045246" w:rsidRPr="005D59A7">
        <w:rPr>
          <w:rFonts w:ascii="T" w:hAnsi="T" w:cs="Simplified Arabic"/>
          <w:sz w:val="24"/>
          <w:szCs w:val="24"/>
        </w:rPr>
        <w:t xml:space="preserve"> </w:t>
      </w:r>
      <w:r w:rsidRPr="005D59A7">
        <w:rPr>
          <w:rFonts w:ascii="T" w:hAnsi="T" w:cs="Simplified Arabic"/>
          <w:sz w:val="24"/>
          <w:szCs w:val="24"/>
          <w:rtl/>
        </w:rPr>
        <w:t>تقرير</w:t>
      </w:r>
      <w:r w:rsidR="00045246" w:rsidRPr="005D59A7">
        <w:rPr>
          <w:rFonts w:ascii="T" w:hAnsi="T" w:cs="Simplified Arabic"/>
          <w:sz w:val="24"/>
          <w:szCs w:val="24"/>
        </w:rPr>
        <w:t xml:space="preserve"> </w:t>
      </w:r>
      <w:r w:rsidRPr="005D59A7">
        <w:rPr>
          <w:rFonts w:ascii="T" w:hAnsi="T" w:cs="Simplified Arabic"/>
          <w:sz w:val="24"/>
          <w:szCs w:val="24"/>
          <w:rtl/>
        </w:rPr>
        <w:t>للبنك</w:t>
      </w:r>
      <w:r w:rsidR="00045246" w:rsidRPr="005D59A7">
        <w:rPr>
          <w:rFonts w:ascii="T" w:hAnsi="T" w:cs="Simplified Arabic"/>
          <w:sz w:val="24"/>
          <w:szCs w:val="24"/>
        </w:rPr>
        <w:t xml:space="preserve"> </w:t>
      </w:r>
      <w:r w:rsidRPr="005D59A7">
        <w:rPr>
          <w:rFonts w:ascii="T" w:hAnsi="T" w:cs="Simplified Arabic"/>
          <w:sz w:val="24"/>
          <w:szCs w:val="24"/>
          <w:rtl/>
        </w:rPr>
        <w:t>الدولي</w:t>
      </w:r>
      <w:r w:rsidR="00045246" w:rsidRPr="005D59A7">
        <w:rPr>
          <w:rFonts w:ascii="T" w:hAnsi="T" w:cs="Simplified Arabic"/>
          <w:sz w:val="24"/>
          <w:szCs w:val="24"/>
        </w:rPr>
        <w:t xml:space="preserve"> </w:t>
      </w:r>
      <w:r w:rsidRPr="005D59A7">
        <w:rPr>
          <w:rFonts w:ascii="T" w:hAnsi="T" w:cs="Simplified Arabic"/>
          <w:sz w:val="24"/>
          <w:szCs w:val="24"/>
          <w:rtl/>
        </w:rPr>
        <w:t xml:space="preserve">عام </w:t>
      </w:r>
      <w:r w:rsidR="008200D7" w:rsidRPr="005D59A7">
        <w:rPr>
          <w:rFonts w:ascii="T" w:hAnsi="T" w:cs="Simplified Arabic"/>
          <w:sz w:val="24"/>
          <w:szCs w:val="24"/>
          <w:rtl/>
        </w:rPr>
        <w:t>2022</w:t>
      </w:r>
      <w:r w:rsidRPr="005D59A7">
        <w:rPr>
          <w:rFonts w:ascii="T" w:hAnsi="T" w:cs="Simplified Arabic"/>
          <w:sz w:val="24"/>
          <w:szCs w:val="24"/>
          <w:rtl/>
        </w:rPr>
        <w:t xml:space="preserve"> إلى</w:t>
      </w:r>
      <w:r w:rsidR="00045246" w:rsidRPr="005D59A7">
        <w:rPr>
          <w:rFonts w:ascii="T" w:hAnsi="T" w:cs="Simplified Arabic"/>
          <w:sz w:val="24"/>
          <w:szCs w:val="24"/>
        </w:rPr>
        <w:t xml:space="preserve"> </w:t>
      </w:r>
      <w:r w:rsidRPr="005D59A7">
        <w:rPr>
          <w:rFonts w:ascii="T" w:hAnsi="T" w:cs="Simplified Arabic"/>
          <w:sz w:val="24"/>
          <w:szCs w:val="24"/>
          <w:rtl/>
        </w:rPr>
        <w:t>أن</w:t>
      </w:r>
      <w:r w:rsidR="00045246" w:rsidRPr="005D59A7">
        <w:rPr>
          <w:rFonts w:ascii="T" w:hAnsi="T" w:cs="Simplified Arabic"/>
          <w:sz w:val="24"/>
          <w:szCs w:val="24"/>
        </w:rPr>
        <w:t xml:space="preserve"> </w:t>
      </w:r>
      <w:r w:rsidRPr="005D59A7">
        <w:rPr>
          <w:rFonts w:ascii="T" w:hAnsi="T" w:cs="Simplified Arabic"/>
          <w:sz w:val="24"/>
          <w:szCs w:val="24"/>
          <w:rtl/>
        </w:rPr>
        <w:t>تلوث</w:t>
      </w:r>
      <w:r w:rsidR="00045246" w:rsidRPr="005D59A7">
        <w:rPr>
          <w:rFonts w:ascii="T" w:hAnsi="T" w:cs="Simplified Arabic"/>
          <w:sz w:val="24"/>
          <w:szCs w:val="24"/>
        </w:rPr>
        <w:t xml:space="preserve"> </w:t>
      </w:r>
      <w:r w:rsidRPr="005D59A7">
        <w:rPr>
          <w:rFonts w:ascii="T" w:hAnsi="T" w:cs="Simplified Arabic"/>
          <w:sz w:val="24"/>
          <w:szCs w:val="24"/>
          <w:rtl/>
        </w:rPr>
        <w:t>الهواء</w:t>
      </w:r>
      <w:r w:rsidR="00045246" w:rsidRPr="005D59A7">
        <w:rPr>
          <w:rFonts w:ascii="T" w:hAnsi="T" w:cs="Simplified Arabic"/>
          <w:sz w:val="24"/>
          <w:szCs w:val="24"/>
        </w:rPr>
        <w:t xml:space="preserve"> </w:t>
      </w:r>
      <w:r w:rsidRPr="005D59A7">
        <w:rPr>
          <w:rFonts w:ascii="T" w:hAnsi="T" w:cs="Simplified Arabic"/>
          <w:sz w:val="24"/>
          <w:szCs w:val="24"/>
          <w:rtl/>
        </w:rPr>
        <w:t>يُكلّف</w:t>
      </w:r>
      <w:r w:rsidR="00045246" w:rsidRPr="005D59A7">
        <w:rPr>
          <w:rFonts w:ascii="T" w:hAnsi="T" w:cs="Simplified Arabic"/>
          <w:sz w:val="24"/>
          <w:szCs w:val="24"/>
        </w:rPr>
        <w:t xml:space="preserve"> </w:t>
      </w:r>
      <w:r w:rsidRPr="005D59A7">
        <w:rPr>
          <w:rFonts w:ascii="T" w:hAnsi="T" w:cs="Simplified Arabic"/>
          <w:sz w:val="24"/>
          <w:szCs w:val="24"/>
          <w:rtl/>
        </w:rPr>
        <w:t>منطقة</w:t>
      </w:r>
      <w:r w:rsidR="00045246" w:rsidRPr="005D59A7">
        <w:rPr>
          <w:rFonts w:ascii="T" w:hAnsi="T" w:cs="Simplified Arabic"/>
          <w:sz w:val="24"/>
          <w:szCs w:val="24"/>
        </w:rPr>
        <w:t xml:space="preserve"> </w:t>
      </w:r>
      <w:r w:rsidRPr="005D59A7">
        <w:rPr>
          <w:rFonts w:ascii="T" w:hAnsi="T" w:cs="Simplified Arabic"/>
          <w:sz w:val="24"/>
          <w:szCs w:val="24"/>
          <w:rtl/>
        </w:rPr>
        <w:t>الشرق</w:t>
      </w:r>
      <w:r w:rsidR="00045246" w:rsidRPr="005D59A7">
        <w:rPr>
          <w:rFonts w:ascii="T" w:hAnsi="T" w:cs="Simplified Arabic"/>
          <w:sz w:val="24"/>
          <w:szCs w:val="24"/>
        </w:rPr>
        <w:t xml:space="preserve"> </w:t>
      </w:r>
      <w:r w:rsidRPr="005D59A7">
        <w:rPr>
          <w:rFonts w:ascii="T" w:hAnsi="T" w:cs="Simplified Arabic"/>
          <w:sz w:val="24"/>
          <w:szCs w:val="24"/>
          <w:rtl/>
        </w:rPr>
        <w:t>الأوسط</w:t>
      </w:r>
      <w:r w:rsidR="00045246" w:rsidRPr="005D59A7">
        <w:rPr>
          <w:rFonts w:ascii="T" w:hAnsi="T" w:cs="Simplified Arabic"/>
          <w:sz w:val="24"/>
          <w:szCs w:val="24"/>
        </w:rPr>
        <w:t xml:space="preserve"> </w:t>
      </w:r>
      <w:r w:rsidRPr="005D59A7">
        <w:rPr>
          <w:rFonts w:ascii="T" w:hAnsi="T" w:cs="Simplified Arabic"/>
          <w:sz w:val="24"/>
          <w:szCs w:val="24"/>
          <w:rtl/>
        </w:rPr>
        <w:t>وشمال</w:t>
      </w:r>
      <w:r w:rsidR="00045246" w:rsidRPr="005D59A7">
        <w:rPr>
          <w:rFonts w:ascii="T" w:hAnsi="T" w:cs="Simplified Arabic"/>
          <w:sz w:val="24"/>
          <w:szCs w:val="24"/>
        </w:rPr>
        <w:t xml:space="preserve"> </w:t>
      </w:r>
      <w:r w:rsidRPr="005D59A7">
        <w:rPr>
          <w:rFonts w:ascii="T" w:hAnsi="T" w:cs="Simplified Arabic"/>
          <w:sz w:val="24"/>
          <w:szCs w:val="24"/>
          <w:rtl/>
        </w:rPr>
        <w:t>إفريقيا</w:t>
      </w:r>
      <w:r w:rsidR="00045246" w:rsidRPr="005D59A7">
        <w:rPr>
          <w:rFonts w:ascii="T" w:hAnsi="T" w:cs="Simplified Arabic"/>
          <w:sz w:val="24"/>
          <w:szCs w:val="24"/>
        </w:rPr>
        <w:t xml:space="preserve"> </w:t>
      </w:r>
      <w:r w:rsidRPr="005D59A7">
        <w:rPr>
          <w:rFonts w:ascii="T" w:hAnsi="T" w:cs="Simplified Arabic"/>
          <w:sz w:val="24"/>
          <w:szCs w:val="24"/>
          <w:rtl/>
        </w:rPr>
        <w:t>بأكملها</w:t>
      </w:r>
      <w:r w:rsidR="00045246" w:rsidRPr="005D59A7">
        <w:rPr>
          <w:rFonts w:ascii="T" w:hAnsi="T" w:cs="Simplified Arabic"/>
          <w:sz w:val="24"/>
          <w:szCs w:val="24"/>
        </w:rPr>
        <w:t xml:space="preserve"> </w:t>
      </w:r>
      <w:r w:rsidRPr="005D59A7">
        <w:rPr>
          <w:rFonts w:ascii="T" w:hAnsi="T" w:cs="Simplified Arabic"/>
          <w:sz w:val="24"/>
          <w:szCs w:val="24"/>
          <w:rtl/>
        </w:rPr>
        <w:t xml:space="preserve">حوالي </w:t>
      </w:r>
      <w:r w:rsidR="008200D7" w:rsidRPr="005D59A7">
        <w:rPr>
          <w:rFonts w:ascii="T" w:hAnsi="T" w:cs="Simplified Arabic"/>
          <w:sz w:val="24"/>
          <w:szCs w:val="24"/>
          <w:rtl/>
        </w:rPr>
        <w:t>141</w:t>
      </w:r>
      <w:r w:rsidRPr="005D59A7">
        <w:rPr>
          <w:rFonts w:ascii="T" w:hAnsi="T" w:cs="Simplified Arabic"/>
          <w:sz w:val="24"/>
          <w:szCs w:val="24"/>
          <w:rtl/>
        </w:rPr>
        <w:t xml:space="preserve"> مليار</w:t>
      </w:r>
      <w:r w:rsidR="00045246" w:rsidRPr="005D59A7">
        <w:rPr>
          <w:rFonts w:ascii="T" w:hAnsi="T" w:cs="Simplified Arabic"/>
          <w:sz w:val="24"/>
          <w:szCs w:val="24"/>
        </w:rPr>
        <w:t xml:space="preserve"> </w:t>
      </w:r>
      <w:r w:rsidRPr="005D59A7">
        <w:rPr>
          <w:rFonts w:ascii="T" w:hAnsi="T" w:cs="Simplified Arabic"/>
          <w:sz w:val="24"/>
          <w:szCs w:val="24"/>
          <w:rtl/>
        </w:rPr>
        <w:t>دولار</w:t>
      </w:r>
      <w:r w:rsidR="00045246" w:rsidRPr="005D59A7">
        <w:rPr>
          <w:rFonts w:ascii="T" w:hAnsi="T" w:cs="Simplified Arabic"/>
          <w:sz w:val="24"/>
          <w:szCs w:val="24"/>
        </w:rPr>
        <w:t xml:space="preserve"> </w:t>
      </w:r>
      <w:r w:rsidRPr="005D59A7">
        <w:rPr>
          <w:rFonts w:ascii="T" w:hAnsi="T" w:cs="Simplified Arabic"/>
          <w:sz w:val="24"/>
          <w:szCs w:val="24"/>
          <w:rtl/>
        </w:rPr>
        <w:t>سنويًا،</w:t>
      </w:r>
      <w:r w:rsidR="00045246" w:rsidRPr="005D59A7">
        <w:rPr>
          <w:rFonts w:ascii="T" w:hAnsi="T" w:cs="Simplified Arabic"/>
          <w:sz w:val="24"/>
          <w:szCs w:val="24"/>
        </w:rPr>
        <w:t xml:space="preserve"> </w:t>
      </w:r>
      <w:r w:rsidRPr="005D59A7">
        <w:rPr>
          <w:rFonts w:ascii="T" w:hAnsi="T" w:cs="Simplified Arabic"/>
          <w:sz w:val="24"/>
          <w:szCs w:val="24"/>
          <w:rtl/>
        </w:rPr>
        <w:t>أي</w:t>
      </w:r>
      <w:r w:rsidR="00045246" w:rsidRPr="005D59A7">
        <w:rPr>
          <w:rFonts w:ascii="T" w:hAnsi="T" w:cs="Simplified Arabic"/>
          <w:sz w:val="24"/>
          <w:szCs w:val="24"/>
        </w:rPr>
        <w:t xml:space="preserve"> </w:t>
      </w:r>
      <w:r w:rsidRPr="005D59A7">
        <w:rPr>
          <w:rFonts w:ascii="T" w:hAnsi="T" w:cs="Simplified Arabic"/>
          <w:sz w:val="24"/>
          <w:szCs w:val="24"/>
          <w:rtl/>
        </w:rPr>
        <w:t>ما</w:t>
      </w:r>
      <w:r w:rsidR="00045246" w:rsidRPr="005D59A7">
        <w:rPr>
          <w:rFonts w:ascii="T" w:hAnsi="T" w:cs="Simplified Arabic"/>
          <w:sz w:val="24"/>
          <w:szCs w:val="24"/>
        </w:rPr>
        <w:t xml:space="preserve"> </w:t>
      </w:r>
      <w:r w:rsidRPr="005D59A7">
        <w:rPr>
          <w:rFonts w:ascii="T" w:hAnsi="T" w:cs="Simplified Arabic"/>
          <w:sz w:val="24"/>
          <w:szCs w:val="24"/>
          <w:rtl/>
        </w:rPr>
        <w:t xml:space="preserve">يعادل </w:t>
      </w:r>
      <w:r w:rsidR="008200D7" w:rsidRPr="005D59A7">
        <w:rPr>
          <w:rFonts w:ascii="T" w:hAnsi="T" w:cs="Simplified Arabic"/>
          <w:sz w:val="24"/>
          <w:szCs w:val="24"/>
          <w:rtl/>
        </w:rPr>
        <w:t>2</w:t>
      </w:r>
      <w:r w:rsidRPr="005D59A7">
        <w:rPr>
          <w:rFonts w:ascii="T" w:hAnsi="T" w:cs="Simplified Arabic"/>
          <w:sz w:val="24"/>
          <w:szCs w:val="24"/>
          <w:rtl/>
        </w:rPr>
        <w:t>٪ من</w:t>
      </w:r>
      <w:r w:rsidR="00045246" w:rsidRPr="005D59A7">
        <w:rPr>
          <w:rFonts w:ascii="T" w:hAnsi="T" w:cs="Simplified Arabic"/>
          <w:sz w:val="24"/>
          <w:szCs w:val="24"/>
        </w:rPr>
        <w:t xml:space="preserve"> </w:t>
      </w:r>
      <w:r w:rsidRPr="005D59A7">
        <w:rPr>
          <w:rFonts w:ascii="T" w:hAnsi="T" w:cs="Simplified Arabic"/>
          <w:sz w:val="24"/>
          <w:szCs w:val="24"/>
          <w:rtl/>
        </w:rPr>
        <w:t>الناتج</w:t>
      </w:r>
      <w:r w:rsidR="00045246" w:rsidRPr="005D59A7">
        <w:rPr>
          <w:rFonts w:ascii="T" w:hAnsi="T" w:cs="Simplified Arabic"/>
          <w:sz w:val="24"/>
          <w:szCs w:val="24"/>
        </w:rPr>
        <w:t xml:space="preserve"> </w:t>
      </w:r>
      <w:r w:rsidRPr="005D59A7">
        <w:rPr>
          <w:rFonts w:ascii="T" w:hAnsi="T" w:cs="Simplified Arabic"/>
          <w:sz w:val="24"/>
          <w:szCs w:val="24"/>
          <w:rtl/>
        </w:rPr>
        <w:t>الاقتصادي</w:t>
      </w:r>
      <w:r w:rsidR="00045246" w:rsidRPr="005D59A7">
        <w:rPr>
          <w:rFonts w:ascii="T" w:hAnsi="T" w:cs="Simplified Arabic"/>
          <w:sz w:val="24"/>
          <w:szCs w:val="24"/>
        </w:rPr>
        <w:t xml:space="preserve"> </w:t>
      </w:r>
      <w:r w:rsidRPr="005D59A7">
        <w:rPr>
          <w:rFonts w:ascii="T" w:hAnsi="T" w:cs="Simplified Arabic"/>
          <w:sz w:val="24"/>
          <w:szCs w:val="24"/>
          <w:rtl/>
        </w:rPr>
        <w:t>للمنطقة،</w:t>
      </w:r>
      <w:r w:rsidR="00045246" w:rsidRPr="005D59A7">
        <w:rPr>
          <w:rFonts w:ascii="T" w:hAnsi="T" w:cs="Simplified Arabic"/>
          <w:sz w:val="24"/>
          <w:szCs w:val="24"/>
        </w:rPr>
        <w:t xml:space="preserve"> </w:t>
      </w:r>
      <w:r w:rsidRPr="005D59A7">
        <w:rPr>
          <w:rFonts w:ascii="T" w:hAnsi="T" w:cs="Simplified Arabic"/>
          <w:sz w:val="24"/>
          <w:szCs w:val="24"/>
          <w:rtl/>
        </w:rPr>
        <w:t>مما</w:t>
      </w:r>
      <w:r w:rsidR="00045246" w:rsidRPr="005D59A7">
        <w:rPr>
          <w:rFonts w:ascii="T" w:hAnsi="T" w:cs="Simplified Arabic"/>
          <w:sz w:val="24"/>
          <w:szCs w:val="24"/>
        </w:rPr>
        <w:t xml:space="preserve"> </w:t>
      </w:r>
      <w:r w:rsidRPr="005D59A7">
        <w:rPr>
          <w:rFonts w:ascii="T" w:hAnsi="T" w:cs="Simplified Arabic"/>
          <w:sz w:val="24"/>
          <w:szCs w:val="24"/>
          <w:rtl/>
        </w:rPr>
        <w:t>يؤدي</w:t>
      </w:r>
      <w:r w:rsidR="00045246" w:rsidRPr="005D59A7">
        <w:rPr>
          <w:rFonts w:ascii="T" w:hAnsi="T" w:cs="Simplified Arabic"/>
          <w:sz w:val="24"/>
          <w:szCs w:val="24"/>
        </w:rPr>
        <w:t xml:space="preserve"> </w:t>
      </w:r>
      <w:r w:rsidRPr="005D59A7">
        <w:rPr>
          <w:rFonts w:ascii="T" w:hAnsi="T" w:cs="Simplified Arabic"/>
          <w:sz w:val="24"/>
          <w:szCs w:val="24"/>
          <w:rtl/>
        </w:rPr>
        <w:t>إلى</w:t>
      </w:r>
      <w:r w:rsidR="00045246" w:rsidRPr="005D59A7">
        <w:rPr>
          <w:rFonts w:ascii="T" w:hAnsi="T" w:cs="Simplified Arabic"/>
          <w:sz w:val="24"/>
          <w:szCs w:val="24"/>
        </w:rPr>
        <w:t xml:space="preserve"> </w:t>
      </w:r>
      <w:r w:rsidRPr="005D59A7">
        <w:rPr>
          <w:rFonts w:ascii="T" w:hAnsi="T" w:cs="Simplified Arabic"/>
          <w:sz w:val="24"/>
          <w:szCs w:val="24"/>
          <w:rtl/>
        </w:rPr>
        <w:t>مشاكل</w:t>
      </w:r>
      <w:r w:rsidR="00045246" w:rsidRPr="005D59A7">
        <w:rPr>
          <w:rFonts w:ascii="T" w:hAnsi="T" w:cs="Simplified Arabic"/>
          <w:sz w:val="24"/>
          <w:szCs w:val="24"/>
        </w:rPr>
        <w:t xml:space="preserve"> </w:t>
      </w:r>
      <w:r w:rsidRPr="005D59A7">
        <w:rPr>
          <w:rFonts w:ascii="T" w:hAnsi="T" w:cs="Simplified Arabic"/>
          <w:sz w:val="24"/>
          <w:szCs w:val="24"/>
          <w:rtl/>
        </w:rPr>
        <w:t>صحية</w:t>
      </w:r>
      <w:r w:rsidR="00045246" w:rsidRPr="005D59A7">
        <w:rPr>
          <w:rFonts w:ascii="T" w:hAnsi="T" w:cs="Simplified Arabic"/>
          <w:sz w:val="24"/>
          <w:szCs w:val="24"/>
        </w:rPr>
        <w:t xml:space="preserve"> </w:t>
      </w:r>
      <w:r w:rsidRPr="005D59A7">
        <w:rPr>
          <w:rFonts w:ascii="T" w:hAnsi="T" w:cs="Simplified Arabic"/>
          <w:sz w:val="24"/>
          <w:szCs w:val="24"/>
          <w:rtl/>
        </w:rPr>
        <w:t>كبيرة</w:t>
      </w:r>
      <w:r w:rsidR="00045246" w:rsidRPr="005D59A7">
        <w:rPr>
          <w:rFonts w:ascii="T" w:hAnsi="T" w:cs="Simplified Arabic"/>
          <w:sz w:val="24"/>
          <w:szCs w:val="24"/>
        </w:rPr>
        <w:t xml:space="preserve"> </w:t>
      </w:r>
      <w:r w:rsidRPr="005D59A7">
        <w:rPr>
          <w:rFonts w:ascii="T" w:hAnsi="T" w:cs="Simplified Arabic"/>
          <w:sz w:val="24"/>
          <w:szCs w:val="24"/>
          <w:rtl/>
        </w:rPr>
        <w:t>ومعدلات</w:t>
      </w:r>
      <w:r w:rsidR="00045246" w:rsidRPr="005D59A7">
        <w:rPr>
          <w:rFonts w:ascii="T" w:hAnsi="T" w:cs="Simplified Arabic"/>
          <w:sz w:val="24"/>
          <w:szCs w:val="24"/>
        </w:rPr>
        <w:t xml:space="preserve"> </w:t>
      </w:r>
      <w:r w:rsidRPr="005D59A7">
        <w:rPr>
          <w:rFonts w:ascii="T" w:hAnsi="T" w:cs="Simplified Arabic"/>
          <w:sz w:val="24"/>
          <w:szCs w:val="24"/>
          <w:rtl/>
        </w:rPr>
        <w:t>وفيات. ورغم</w:t>
      </w:r>
      <w:r w:rsidR="00045246" w:rsidRPr="005D59A7">
        <w:rPr>
          <w:rFonts w:ascii="T" w:hAnsi="T" w:cs="Simplified Arabic"/>
          <w:sz w:val="24"/>
          <w:szCs w:val="24"/>
        </w:rPr>
        <w:t xml:space="preserve"> </w:t>
      </w:r>
      <w:r w:rsidRPr="005D59A7">
        <w:rPr>
          <w:rFonts w:ascii="T" w:hAnsi="T" w:cs="Simplified Arabic"/>
          <w:sz w:val="24"/>
          <w:szCs w:val="24"/>
          <w:rtl/>
        </w:rPr>
        <w:t>عدم</w:t>
      </w:r>
      <w:r w:rsidR="00045246" w:rsidRPr="005D59A7">
        <w:rPr>
          <w:rFonts w:ascii="T" w:hAnsi="T" w:cs="Simplified Arabic"/>
          <w:sz w:val="24"/>
          <w:szCs w:val="24"/>
        </w:rPr>
        <w:t xml:space="preserve"> </w:t>
      </w:r>
      <w:r w:rsidRPr="005D59A7">
        <w:rPr>
          <w:rFonts w:ascii="T" w:hAnsi="T" w:cs="Simplified Arabic"/>
          <w:sz w:val="24"/>
          <w:szCs w:val="24"/>
          <w:rtl/>
        </w:rPr>
        <w:t>تقديم</w:t>
      </w:r>
      <w:r w:rsidR="00045246" w:rsidRPr="005D59A7">
        <w:rPr>
          <w:rFonts w:ascii="T" w:hAnsi="T" w:cs="Simplified Arabic"/>
          <w:sz w:val="24"/>
          <w:szCs w:val="24"/>
        </w:rPr>
        <w:t xml:space="preserve"> </w:t>
      </w:r>
      <w:r w:rsidRPr="005D59A7">
        <w:rPr>
          <w:rFonts w:ascii="T" w:hAnsi="T" w:cs="Simplified Arabic"/>
          <w:sz w:val="24"/>
          <w:szCs w:val="24"/>
          <w:rtl/>
        </w:rPr>
        <w:t>رقم</w:t>
      </w:r>
      <w:r w:rsidR="00045246" w:rsidRPr="005D59A7">
        <w:rPr>
          <w:rFonts w:ascii="T" w:hAnsi="T" w:cs="Simplified Arabic"/>
          <w:sz w:val="24"/>
          <w:szCs w:val="24"/>
        </w:rPr>
        <w:t xml:space="preserve"> </w:t>
      </w:r>
      <w:r w:rsidRPr="005D59A7">
        <w:rPr>
          <w:rFonts w:ascii="T" w:hAnsi="T" w:cs="Simplified Arabic"/>
          <w:sz w:val="24"/>
          <w:szCs w:val="24"/>
          <w:rtl/>
        </w:rPr>
        <w:t>محدد</w:t>
      </w:r>
      <w:r w:rsidR="00045246" w:rsidRPr="005D59A7">
        <w:rPr>
          <w:rFonts w:ascii="T" w:hAnsi="T" w:cs="Simplified Arabic"/>
          <w:sz w:val="24"/>
          <w:szCs w:val="24"/>
        </w:rPr>
        <w:t xml:space="preserve"> </w:t>
      </w:r>
      <w:r w:rsidRPr="005D59A7">
        <w:rPr>
          <w:rFonts w:ascii="T" w:hAnsi="T" w:cs="Simplified Arabic"/>
          <w:sz w:val="24"/>
          <w:szCs w:val="24"/>
          <w:rtl/>
        </w:rPr>
        <w:t>للمملكة</w:t>
      </w:r>
      <w:r w:rsidR="00045246" w:rsidRPr="005D59A7">
        <w:rPr>
          <w:rFonts w:ascii="T" w:hAnsi="T" w:cs="Simplified Arabic"/>
          <w:sz w:val="24"/>
          <w:szCs w:val="24"/>
        </w:rPr>
        <w:t xml:space="preserve"> </w:t>
      </w:r>
      <w:r w:rsidRPr="005D59A7">
        <w:rPr>
          <w:rFonts w:ascii="T" w:hAnsi="T" w:cs="Simplified Arabic"/>
          <w:sz w:val="24"/>
          <w:szCs w:val="24"/>
          <w:rtl/>
        </w:rPr>
        <w:t>العربية</w:t>
      </w:r>
      <w:r w:rsidR="00045246" w:rsidRPr="005D59A7">
        <w:rPr>
          <w:rFonts w:ascii="T" w:hAnsi="T" w:cs="Simplified Arabic"/>
          <w:sz w:val="24"/>
          <w:szCs w:val="24"/>
        </w:rPr>
        <w:t xml:space="preserve"> </w:t>
      </w:r>
      <w:r w:rsidRPr="005D59A7">
        <w:rPr>
          <w:rFonts w:ascii="T" w:hAnsi="T" w:cs="Simplified Arabic"/>
          <w:sz w:val="24"/>
          <w:szCs w:val="24"/>
          <w:rtl/>
        </w:rPr>
        <w:t>السعودية</w:t>
      </w:r>
      <w:r w:rsidR="00045246" w:rsidRPr="005D59A7">
        <w:rPr>
          <w:rFonts w:ascii="T" w:hAnsi="T" w:cs="Simplified Arabic"/>
          <w:sz w:val="24"/>
          <w:szCs w:val="24"/>
        </w:rPr>
        <w:t xml:space="preserve"> </w:t>
      </w:r>
      <w:r w:rsidRPr="005D59A7">
        <w:rPr>
          <w:rFonts w:ascii="T" w:hAnsi="T" w:cs="Simplified Arabic"/>
          <w:sz w:val="24"/>
          <w:szCs w:val="24"/>
          <w:rtl/>
        </w:rPr>
        <w:t>وحدها</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هذا</w:t>
      </w:r>
      <w:r w:rsidR="00045246" w:rsidRPr="005D59A7">
        <w:rPr>
          <w:rFonts w:ascii="T" w:hAnsi="T" w:cs="Simplified Arabic"/>
          <w:sz w:val="24"/>
          <w:szCs w:val="24"/>
        </w:rPr>
        <w:t xml:space="preserve"> </w:t>
      </w:r>
      <w:r w:rsidRPr="005D59A7">
        <w:rPr>
          <w:rFonts w:ascii="T" w:hAnsi="T" w:cs="Simplified Arabic"/>
          <w:sz w:val="24"/>
          <w:szCs w:val="24"/>
          <w:rtl/>
        </w:rPr>
        <w:t>التقرير،</w:t>
      </w:r>
      <w:r w:rsidR="00045246" w:rsidRPr="005D59A7">
        <w:rPr>
          <w:rFonts w:ascii="T" w:hAnsi="T" w:cs="Simplified Arabic"/>
          <w:sz w:val="24"/>
          <w:szCs w:val="24"/>
        </w:rPr>
        <w:t xml:space="preserve"> </w:t>
      </w:r>
      <w:r w:rsidRPr="005D59A7">
        <w:rPr>
          <w:rFonts w:ascii="T" w:hAnsi="T" w:cs="Simplified Arabic"/>
          <w:sz w:val="24"/>
          <w:szCs w:val="24"/>
          <w:rtl/>
        </w:rPr>
        <w:t>إلا</w:t>
      </w:r>
      <w:r w:rsidR="00045246" w:rsidRPr="005D59A7">
        <w:rPr>
          <w:rFonts w:ascii="T" w:hAnsi="T" w:cs="Simplified Arabic"/>
          <w:sz w:val="24"/>
          <w:szCs w:val="24"/>
        </w:rPr>
        <w:t xml:space="preserve"> </w:t>
      </w:r>
      <w:r w:rsidRPr="005D59A7">
        <w:rPr>
          <w:rFonts w:ascii="T" w:hAnsi="T" w:cs="Simplified Arabic"/>
          <w:sz w:val="24"/>
          <w:szCs w:val="24"/>
          <w:rtl/>
        </w:rPr>
        <w:t>أنه</w:t>
      </w:r>
      <w:r w:rsidR="00045246" w:rsidRPr="005D59A7">
        <w:rPr>
          <w:rFonts w:ascii="T" w:hAnsi="T" w:cs="Simplified Arabic"/>
          <w:sz w:val="24"/>
          <w:szCs w:val="24"/>
        </w:rPr>
        <w:t xml:space="preserve"> </w:t>
      </w:r>
      <w:r w:rsidRPr="005D59A7">
        <w:rPr>
          <w:rFonts w:ascii="T" w:hAnsi="T" w:cs="Simplified Arabic"/>
          <w:sz w:val="24"/>
          <w:szCs w:val="24"/>
          <w:rtl/>
        </w:rPr>
        <w:t>بالنظر</w:t>
      </w:r>
      <w:r w:rsidR="00045246" w:rsidRPr="005D59A7">
        <w:rPr>
          <w:rFonts w:ascii="T" w:hAnsi="T" w:cs="Simplified Arabic"/>
          <w:sz w:val="24"/>
          <w:szCs w:val="24"/>
        </w:rPr>
        <w:t xml:space="preserve"> </w:t>
      </w:r>
      <w:r w:rsidRPr="005D59A7">
        <w:rPr>
          <w:rFonts w:ascii="T" w:hAnsi="T" w:cs="Simplified Arabic"/>
          <w:sz w:val="24"/>
          <w:szCs w:val="24"/>
          <w:rtl/>
        </w:rPr>
        <w:t>إلى</w:t>
      </w:r>
      <w:r w:rsidR="00045246" w:rsidRPr="005D59A7">
        <w:rPr>
          <w:rFonts w:ascii="T" w:hAnsi="T" w:cs="Simplified Arabic"/>
          <w:sz w:val="24"/>
          <w:szCs w:val="24"/>
        </w:rPr>
        <w:t xml:space="preserve"> </w:t>
      </w:r>
      <w:r w:rsidRPr="005D59A7">
        <w:rPr>
          <w:rFonts w:ascii="T" w:hAnsi="T" w:cs="Simplified Arabic"/>
          <w:sz w:val="24"/>
          <w:szCs w:val="24"/>
          <w:rtl/>
        </w:rPr>
        <w:t>النشاط</w:t>
      </w:r>
      <w:r w:rsidR="00045246" w:rsidRPr="005D59A7">
        <w:rPr>
          <w:rFonts w:ascii="T" w:hAnsi="T" w:cs="Simplified Arabic"/>
          <w:sz w:val="24"/>
          <w:szCs w:val="24"/>
        </w:rPr>
        <w:t xml:space="preserve"> </w:t>
      </w:r>
      <w:r w:rsidRPr="005D59A7">
        <w:rPr>
          <w:rFonts w:ascii="T" w:hAnsi="T" w:cs="Simplified Arabic"/>
          <w:sz w:val="24"/>
          <w:szCs w:val="24"/>
          <w:rtl/>
        </w:rPr>
        <w:t>الصناعي</w:t>
      </w:r>
      <w:r w:rsidR="00045246" w:rsidRPr="005D59A7">
        <w:rPr>
          <w:rFonts w:ascii="T" w:hAnsi="T" w:cs="Simplified Arabic"/>
          <w:sz w:val="24"/>
          <w:szCs w:val="24"/>
        </w:rPr>
        <w:t xml:space="preserve"> </w:t>
      </w:r>
      <w:r w:rsidRPr="005D59A7">
        <w:rPr>
          <w:rFonts w:ascii="T" w:hAnsi="T" w:cs="Simplified Arabic"/>
          <w:sz w:val="24"/>
          <w:szCs w:val="24"/>
          <w:rtl/>
        </w:rPr>
        <w:t>والتحضر</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المملكة،</w:t>
      </w:r>
      <w:r w:rsidR="00045246" w:rsidRPr="005D59A7">
        <w:rPr>
          <w:rFonts w:ascii="T" w:hAnsi="T" w:cs="Simplified Arabic"/>
          <w:sz w:val="24"/>
          <w:szCs w:val="24"/>
        </w:rPr>
        <w:t xml:space="preserve"> </w:t>
      </w:r>
      <w:r w:rsidRPr="005D59A7">
        <w:rPr>
          <w:rFonts w:ascii="T" w:hAnsi="T" w:cs="Simplified Arabic"/>
          <w:sz w:val="24"/>
          <w:szCs w:val="24"/>
          <w:rtl/>
        </w:rPr>
        <w:t>فإن</w:t>
      </w:r>
      <w:r w:rsidR="00045246" w:rsidRPr="005D59A7">
        <w:rPr>
          <w:rFonts w:ascii="T" w:hAnsi="T" w:cs="Simplified Arabic"/>
          <w:sz w:val="24"/>
          <w:szCs w:val="24"/>
        </w:rPr>
        <w:t xml:space="preserve"> </w:t>
      </w:r>
      <w:r w:rsidRPr="005D59A7">
        <w:rPr>
          <w:rFonts w:ascii="T" w:hAnsi="T" w:cs="Simplified Arabic"/>
          <w:sz w:val="24"/>
          <w:szCs w:val="24"/>
          <w:rtl/>
        </w:rPr>
        <w:t>حصتها</w:t>
      </w:r>
      <w:r w:rsidR="00045246" w:rsidRPr="005D59A7">
        <w:rPr>
          <w:rFonts w:ascii="T" w:hAnsi="T" w:cs="Simplified Arabic"/>
          <w:sz w:val="24"/>
          <w:szCs w:val="24"/>
        </w:rPr>
        <w:t xml:space="preserve"> </w:t>
      </w:r>
      <w:r w:rsidRPr="005D59A7">
        <w:rPr>
          <w:rFonts w:ascii="T" w:hAnsi="T" w:cs="Simplified Arabic"/>
          <w:sz w:val="24"/>
          <w:szCs w:val="24"/>
          <w:rtl/>
        </w:rPr>
        <w:t>ستكون</w:t>
      </w:r>
      <w:r w:rsidR="00045246" w:rsidRPr="005D59A7">
        <w:rPr>
          <w:rFonts w:ascii="T" w:hAnsi="T" w:cs="Simplified Arabic"/>
          <w:sz w:val="24"/>
          <w:szCs w:val="24"/>
        </w:rPr>
        <w:t xml:space="preserve"> </w:t>
      </w:r>
      <w:r w:rsidRPr="005D59A7">
        <w:rPr>
          <w:rFonts w:ascii="T" w:hAnsi="T" w:cs="Simplified Arabic"/>
          <w:sz w:val="24"/>
          <w:szCs w:val="24"/>
          <w:rtl/>
        </w:rPr>
        <w:t>كبيرة. كما</w:t>
      </w:r>
      <w:r w:rsidR="00045246" w:rsidRPr="005D59A7">
        <w:rPr>
          <w:rFonts w:ascii="T" w:hAnsi="T" w:cs="Simplified Arabic"/>
          <w:sz w:val="24"/>
          <w:szCs w:val="24"/>
        </w:rPr>
        <w:t xml:space="preserve"> </w:t>
      </w:r>
      <w:r w:rsidRPr="005D59A7">
        <w:rPr>
          <w:rFonts w:ascii="T" w:hAnsi="T" w:cs="Simplified Arabic"/>
          <w:sz w:val="24"/>
          <w:szCs w:val="24"/>
          <w:rtl/>
        </w:rPr>
        <w:t>تُظهر</w:t>
      </w:r>
      <w:r w:rsidR="00045246" w:rsidRPr="005D59A7">
        <w:rPr>
          <w:rFonts w:ascii="T" w:hAnsi="T" w:cs="Simplified Arabic"/>
          <w:sz w:val="24"/>
          <w:szCs w:val="24"/>
        </w:rPr>
        <w:t xml:space="preserve"> </w:t>
      </w:r>
      <w:r w:rsidRPr="005D59A7">
        <w:rPr>
          <w:rFonts w:ascii="T" w:hAnsi="T" w:cs="Simplified Arabic"/>
          <w:sz w:val="24"/>
          <w:szCs w:val="24"/>
          <w:rtl/>
        </w:rPr>
        <w:t>الدراسات</w:t>
      </w:r>
      <w:r w:rsidR="00045246" w:rsidRPr="005D59A7">
        <w:rPr>
          <w:rFonts w:ascii="T" w:hAnsi="T" w:cs="Simplified Arabic"/>
          <w:sz w:val="24"/>
          <w:szCs w:val="24"/>
        </w:rPr>
        <w:t xml:space="preserve"> </w:t>
      </w:r>
      <w:r w:rsidRPr="005D59A7">
        <w:rPr>
          <w:rFonts w:ascii="T" w:hAnsi="T" w:cs="Simplified Arabic"/>
          <w:sz w:val="24"/>
          <w:szCs w:val="24"/>
          <w:rtl/>
        </w:rPr>
        <w:t>أن</w:t>
      </w:r>
      <w:r w:rsidR="00045246" w:rsidRPr="005D59A7">
        <w:rPr>
          <w:rFonts w:ascii="T" w:hAnsi="T" w:cs="Simplified Arabic"/>
          <w:sz w:val="24"/>
          <w:szCs w:val="24"/>
        </w:rPr>
        <w:t xml:space="preserve"> </w:t>
      </w:r>
      <w:r w:rsidRPr="005D59A7">
        <w:rPr>
          <w:rFonts w:ascii="T" w:hAnsi="T" w:cs="Simplified Arabic"/>
          <w:sz w:val="24"/>
          <w:szCs w:val="24"/>
          <w:rtl/>
        </w:rPr>
        <w:t>زيادة</w:t>
      </w:r>
      <w:r w:rsidR="00045246" w:rsidRPr="005D59A7">
        <w:rPr>
          <w:rFonts w:ascii="T" w:hAnsi="T" w:cs="Simplified Arabic"/>
          <w:sz w:val="24"/>
          <w:szCs w:val="24"/>
        </w:rPr>
        <w:t xml:space="preserve"> </w:t>
      </w:r>
      <w:r w:rsidRPr="005D59A7">
        <w:rPr>
          <w:rFonts w:ascii="T" w:hAnsi="T" w:cs="Simplified Arabic"/>
          <w:sz w:val="24"/>
          <w:szCs w:val="24"/>
          <w:rtl/>
        </w:rPr>
        <w:t>انبعاثات</w:t>
      </w:r>
      <w:r w:rsidR="00045246" w:rsidRPr="005D59A7">
        <w:rPr>
          <w:rFonts w:ascii="T" w:hAnsi="T" w:cs="Simplified Arabic"/>
          <w:sz w:val="24"/>
          <w:szCs w:val="24"/>
        </w:rPr>
        <w:t xml:space="preserve"> </w:t>
      </w:r>
      <w:r w:rsidRPr="005D59A7">
        <w:rPr>
          <w:rFonts w:ascii="T" w:hAnsi="T" w:cs="Simplified Arabic"/>
          <w:sz w:val="24"/>
          <w:szCs w:val="24"/>
          <w:rtl/>
        </w:rPr>
        <w:t>ثاني</w:t>
      </w:r>
      <w:r w:rsidR="00045246" w:rsidRPr="005D59A7">
        <w:rPr>
          <w:rFonts w:ascii="T" w:hAnsi="T" w:cs="Simplified Arabic"/>
          <w:sz w:val="24"/>
          <w:szCs w:val="24"/>
        </w:rPr>
        <w:t xml:space="preserve"> </w:t>
      </w:r>
      <w:r w:rsidRPr="005D59A7">
        <w:rPr>
          <w:rFonts w:ascii="T" w:hAnsi="T" w:cs="Simplified Arabic"/>
          <w:sz w:val="24"/>
          <w:szCs w:val="24"/>
          <w:rtl/>
        </w:rPr>
        <w:t>أكسيد</w:t>
      </w:r>
      <w:r w:rsidR="00045246" w:rsidRPr="005D59A7">
        <w:rPr>
          <w:rFonts w:ascii="T" w:hAnsi="T" w:cs="Simplified Arabic"/>
          <w:sz w:val="24"/>
          <w:szCs w:val="24"/>
        </w:rPr>
        <w:t xml:space="preserve"> </w:t>
      </w:r>
      <w:r w:rsidRPr="005D59A7">
        <w:rPr>
          <w:rFonts w:ascii="T" w:hAnsi="T" w:cs="Simplified Arabic"/>
          <w:sz w:val="24"/>
          <w:szCs w:val="24"/>
          <w:rtl/>
        </w:rPr>
        <w:t>الكربون</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المملكة</w:t>
      </w:r>
      <w:r w:rsidR="00045246" w:rsidRPr="005D59A7">
        <w:rPr>
          <w:rFonts w:ascii="T" w:hAnsi="T" w:cs="Simplified Arabic"/>
          <w:sz w:val="24"/>
          <w:szCs w:val="24"/>
        </w:rPr>
        <w:t xml:space="preserve"> </w:t>
      </w:r>
      <w:r w:rsidRPr="005D59A7">
        <w:rPr>
          <w:rFonts w:ascii="T" w:hAnsi="T" w:cs="Simplified Arabic"/>
          <w:sz w:val="24"/>
          <w:szCs w:val="24"/>
          <w:rtl/>
        </w:rPr>
        <w:t>العربية</w:t>
      </w:r>
      <w:r w:rsidR="00045246" w:rsidRPr="005D59A7">
        <w:rPr>
          <w:rFonts w:ascii="T" w:hAnsi="T" w:cs="Simplified Arabic"/>
          <w:sz w:val="24"/>
          <w:szCs w:val="24"/>
        </w:rPr>
        <w:t xml:space="preserve"> </w:t>
      </w:r>
      <w:r w:rsidRPr="005D59A7">
        <w:rPr>
          <w:rFonts w:ascii="T" w:hAnsi="T" w:cs="Simplified Arabic"/>
          <w:sz w:val="24"/>
          <w:szCs w:val="24"/>
          <w:rtl/>
        </w:rPr>
        <w:t>السعودية</w:t>
      </w:r>
      <w:r w:rsidR="00045246" w:rsidRPr="005D59A7">
        <w:rPr>
          <w:rFonts w:ascii="T" w:hAnsi="T" w:cs="Simplified Arabic"/>
          <w:sz w:val="24"/>
          <w:szCs w:val="24"/>
        </w:rPr>
        <w:t xml:space="preserve"> </w:t>
      </w:r>
      <w:r w:rsidRPr="005D59A7">
        <w:rPr>
          <w:rFonts w:ascii="T" w:hAnsi="T" w:cs="Simplified Arabic"/>
          <w:sz w:val="24"/>
          <w:szCs w:val="24"/>
          <w:rtl/>
        </w:rPr>
        <w:t xml:space="preserve">بنسبة </w:t>
      </w:r>
      <w:r w:rsidR="008200D7" w:rsidRPr="005D59A7">
        <w:rPr>
          <w:rFonts w:ascii="T" w:hAnsi="T" w:cs="Simplified Arabic"/>
          <w:sz w:val="24"/>
          <w:szCs w:val="24"/>
          <w:rtl/>
        </w:rPr>
        <w:t>10</w:t>
      </w:r>
      <w:r w:rsidRPr="005D59A7">
        <w:rPr>
          <w:rFonts w:ascii="T" w:hAnsi="T" w:cs="Simplified Arabic"/>
          <w:sz w:val="24"/>
          <w:szCs w:val="24"/>
          <w:rtl/>
        </w:rPr>
        <w:t>٪ يمكن</w:t>
      </w:r>
      <w:r w:rsidR="00045246" w:rsidRPr="005D59A7">
        <w:rPr>
          <w:rFonts w:ascii="T" w:hAnsi="T" w:cs="Simplified Arabic"/>
          <w:sz w:val="24"/>
          <w:szCs w:val="24"/>
        </w:rPr>
        <w:t xml:space="preserve"> </w:t>
      </w:r>
      <w:r w:rsidRPr="005D59A7">
        <w:rPr>
          <w:rFonts w:ascii="T" w:hAnsi="T" w:cs="Simplified Arabic"/>
          <w:sz w:val="24"/>
          <w:szCs w:val="24"/>
          <w:rtl/>
        </w:rPr>
        <w:t>أن</w:t>
      </w:r>
      <w:r w:rsidR="00045246" w:rsidRPr="005D59A7">
        <w:rPr>
          <w:rFonts w:ascii="T" w:hAnsi="T" w:cs="Simplified Arabic"/>
          <w:sz w:val="24"/>
          <w:szCs w:val="24"/>
        </w:rPr>
        <w:t xml:space="preserve"> </w:t>
      </w:r>
      <w:r w:rsidRPr="005D59A7">
        <w:rPr>
          <w:rFonts w:ascii="T" w:hAnsi="T" w:cs="Simplified Arabic"/>
          <w:sz w:val="24"/>
          <w:szCs w:val="24"/>
          <w:rtl/>
        </w:rPr>
        <w:t>تؤدي</w:t>
      </w:r>
      <w:r w:rsidR="00045246" w:rsidRPr="005D59A7">
        <w:rPr>
          <w:rFonts w:ascii="T" w:hAnsi="T" w:cs="Simplified Arabic"/>
          <w:sz w:val="24"/>
          <w:szCs w:val="24"/>
        </w:rPr>
        <w:t xml:space="preserve"> </w:t>
      </w:r>
      <w:r w:rsidRPr="005D59A7">
        <w:rPr>
          <w:rFonts w:ascii="T" w:hAnsi="T" w:cs="Simplified Arabic"/>
          <w:sz w:val="24"/>
          <w:szCs w:val="24"/>
          <w:rtl/>
        </w:rPr>
        <w:t>إلى</w:t>
      </w:r>
      <w:r w:rsidR="00045246" w:rsidRPr="005D59A7">
        <w:rPr>
          <w:rFonts w:ascii="T" w:hAnsi="T" w:cs="Simplified Arabic"/>
          <w:sz w:val="24"/>
          <w:szCs w:val="24"/>
        </w:rPr>
        <w:t xml:space="preserve"> </w:t>
      </w:r>
      <w:r w:rsidRPr="005D59A7">
        <w:rPr>
          <w:rFonts w:ascii="T" w:hAnsi="T" w:cs="Simplified Arabic"/>
          <w:sz w:val="24"/>
          <w:szCs w:val="24"/>
          <w:rtl/>
        </w:rPr>
        <w:t>انخفاض</w:t>
      </w:r>
      <w:r w:rsidR="00045246" w:rsidRPr="005D59A7">
        <w:rPr>
          <w:rFonts w:ascii="T" w:hAnsi="T" w:cs="Simplified Arabic"/>
          <w:sz w:val="24"/>
          <w:szCs w:val="24"/>
        </w:rPr>
        <w:t xml:space="preserve"> </w:t>
      </w:r>
      <w:r w:rsidRPr="005D59A7">
        <w:rPr>
          <w:rFonts w:ascii="T" w:hAnsi="T" w:cs="Simplified Arabic"/>
          <w:sz w:val="24"/>
          <w:szCs w:val="24"/>
          <w:rtl/>
        </w:rPr>
        <w:t>إنتاجية</w:t>
      </w:r>
      <w:r w:rsidR="00045246" w:rsidRPr="005D59A7">
        <w:rPr>
          <w:rFonts w:ascii="T" w:hAnsi="T" w:cs="Simplified Arabic"/>
          <w:sz w:val="24"/>
          <w:szCs w:val="24"/>
        </w:rPr>
        <w:t xml:space="preserve"> </w:t>
      </w:r>
      <w:r w:rsidRPr="005D59A7">
        <w:rPr>
          <w:rFonts w:ascii="T" w:hAnsi="T" w:cs="Simplified Arabic"/>
          <w:sz w:val="24"/>
          <w:szCs w:val="24"/>
          <w:rtl/>
        </w:rPr>
        <w:t>العمال</w:t>
      </w:r>
      <w:r w:rsidR="00045246" w:rsidRPr="005D59A7">
        <w:rPr>
          <w:rFonts w:ascii="T" w:hAnsi="T" w:cs="Simplified Arabic"/>
          <w:sz w:val="24"/>
          <w:szCs w:val="24"/>
        </w:rPr>
        <w:t xml:space="preserve"> </w:t>
      </w:r>
      <w:r w:rsidRPr="005D59A7">
        <w:rPr>
          <w:rFonts w:ascii="T" w:hAnsi="T" w:cs="Simplified Arabic"/>
          <w:sz w:val="24"/>
          <w:szCs w:val="24"/>
          <w:rtl/>
        </w:rPr>
        <w:t>وإنتاجية</w:t>
      </w:r>
      <w:r w:rsidR="00045246" w:rsidRPr="005D59A7">
        <w:rPr>
          <w:rFonts w:ascii="T" w:hAnsi="T" w:cs="Simplified Arabic"/>
          <w:sz w:val="24"/>
          <w:szCs w:val="24"/>
        </w:rPr>
        <w:t xml:space="preserve"> </w:t>
      </w:r>
      <w:r w:rsidRPr="005D59A7">
        <w:rPr>
          <w:rFonts w:ascii="T" w:hAnsi="T" w:cs="Simplified Arabic"/>
          <w:sz w:val="24"/>
          <w:szCs w:val="24"/>
          <w:rtl/>
        </w:rPr>
        <w:t>رأس</w:t>
      </w:r>
      <w:r w:rsidR="00045246" w:rsidRPr="005D59A7">
        <w:rPr>
          <w:rFonts w:ascii="T" w:hAnsi="T" w:cs="Simplified Arabic"/>
          <w:sz w:val="24"/>
          <w:szCs w:val="24"/>
        </w:rPr>
        <w:t xml:space="preserve"> </w:t>
      </w:r>
      <w:r w:rsidRPr="005D59A7">
        <w:rPr>
          <w:rFonts w:ascii="T" w:hAnsi="T" w:cs="Simplified Arabic"/>
          <w:sz w:val="24"/>
          <w:szCs w:val="24"/>
          <w:rtl/>
        </w:rPr>
        <w:t>المال</w:t>
      </w:r>
      <w:r w:rsidR="00045246" w:rsidRPr="005D59A7">
        <w:rPr>
          <w:rFonts w:ascii="T" w:hAnsi="T" w:cs="Simplified Arabic"/>
          <w:sz w:val="24"/>
          <w:szCs w:val="24"/>
        </w:rPr>
        <w:t xml:space="preserve"> </w:t>
      </w:r>
      <w:r w:rsidRPr="005D59A7">
        <w:rPr>
          <w:rFonts w:ascii="T" w:hAnsi="T" w:cs="Simplified Arabic"/>
          <w:sz w:val="24"/>
          <w:szCs w:val="24"/>
          <w:rtl/>
        </w:rPr>
        <w:t>المستثمر (</w:t>
      </w:r>
      <w:r w:rsidRPr="005D59A7">
        <w:rPr>
          <w:rFonts w:ascii="T" w:hAnsi="T" w:cs="Simplified Arabic"/>
          <w:sz w:val="24"/>
          <w:szCs w:val="24"/>
        </w:rPr>
        <w:t>World Bank, 2022</w:t>
      </w:r>
      <w:r w:rsidRPr="005D59A7">
        <w:rPr>
          <w:rFonts w:ascii="T" w:hAnsi="T" w:cs="Simplified Arabic"/>
          <w:sz w:val="24"/>
          <w:szCs w:val="24"/>
          <w:rtl/>
        </w:rPr>
        <w:t>).</w:t>
      </w:r>
    </w:p>
    <w:p w14:paraId="5ED50CAE" w14:textId="77777777" w:rsidR="00FB3FFD"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تدهور</w:t>
      </w:r>
      <w:r w:rsidR="00333C4D" w:rsidRPr="005D59A7">
        <w:rPr>
          <w:rFonts w:ascii="T" w:hAnsi="T" w:cs="Simplified Arabic"/>
          <w:sz w:val="24"/>
          <w:szCs w:val="24"/>
          <w:rtl/>
        </w:rPr>
        <w:t xml:space="preserve"> </w:t>
      </w:r>
      <w:r w:rsidRPr="005D59A7">
        <w:rPr>
          <w:rFonts w:ascii="T" w:hAnsi="T" w:cs="Simplified Arabic"/>
          <w:sz w:val="24"/>
          <w:szCs w:val="24"/>
          <w:rtl/>
        </w:rPr>
        <w:t>الأراضي: تواجه</w:t>
      </w:r>
      <w:r w:rsidR="009737DA" w:rsidRPr="005D59A7">
        <w:rPr>
          <w:rFonts w:ascii="T" w:hAnsi="T" w:cs="Simplified Arabic"/>
          <w:sz w:val="24"/>
          <w:szCs w:val="24"/>
        </w:rPr>
        <w:t xml:space="preserve"> </w:t>
      </w:r>
      <w:r w:rsidRPr="005D59A7">
        <w:rPr>
          <w:rFonts w:ascii="T" w:hAnsi="T" w:cs="Simplified Arabic"/>
          <w:sz w:val="24"/>
          <w:szCs w:val="24"/>
          <w:rtl/>
        </w:rPr>
        <w:t>المملكة</w:t>
      </w:r>
      <w:r w:rsidR="009737DA" w:rsidRPr="005D59A7">
        <w:rPr>
          <w:rFonts w:ascii="T" w:hAnsi="T" w:cs="Simplified Arabic"/>
          <w:sz w:val="24"/>
          <w:szCs w:val="24"/>
        </w:rPr>
        <w:t xml:space="preserve"> </w:t>
      </w:r>
      <w:r w:rsidRPr="005D59A7">
        <w:rPr>
          <w:rFonts w:ascii="T" w:hAnsi="T" w:cs="Simplified Arabic"/>
          <w:sz w:val="24"/>
          <w:szCs w:val="24"/>
          <w:rtl/>
        </w:rPr>
        <w:t>العربية</w:t>
      </w:r>
      <w:r w:rsidR="009737DA" w:rsidRPr="005D59A7">
        <w:rPr>
          <w:rFonts w:ascii="T" w:hAnsi="T" w:cs="Simplified Arabic"/>
          <w:sz w:val="24"/>
          <w:szCs w:val="24"/>
        </w:rPr>
        <w:t xml:space="preserve"> </w:t>
      </w:r>
      <w:r w:rsidRPr="005D59A7">
        <w:rPr>
          <w:rFonts w:ascii="T" w:hAnsi="T" w:cs="Simplified Arabic"/>
          <w:sz w:val="24"/>
          <w:szCs w:val="24"/>
          <w:rtl/>
        </w:rPr>
        <w:t>السعودية</w:t>
      </w:r>
      <w:r w:rsidR="009737DA" w:rsidRPr="005D59A7">
        <w:rPr>
          <w:rFonts w:ascii="T" w:hAnsi="T" w:cs="Simplified Arabic"/>
          <w:sz w:val="24"/>
          <w:szCs w:val="24"/>
        </w:rPr>
        <w:t xml:space="preserve"> </w:t>
      </w:r>
      <w:r w:rsidRPr="005D59A7">
        <w:rPr>
          <w:rFonts w:ascii="T" w:hAnsi="T" w:cs="Simplified Arabic"/>
          <w:sz w:val="24"/>
          <w:szCs w:val="24"/>
          <w:rtl/>
        </w:rPr>
        <w:t>تحديات</w:t>
      </w:r>
      <w:r w:rsidR="009737DA" w:rsidRPr="005D59A7">
        <w:rPr>
          <w:rFonts w:ascii="T" w:hAnsi="T" w:cs="Simplified Arabic"/>
          <w:sz w:val="24"/>
          <w:szCs w:val="24"/>
        </w:rPr>
        <w:t xml:space="preserve"> </w:t>
      </w:r>
      <w:r w:rsidRPr="005D59A7">
        <w:rPr>
          <w:rFonts w:ascii="T" w:hAnsi="T" w:cs="Simplified Arabic"/>
          <w:sz w:val="24"/>
          <w:szCs w:val="24"/>
          <w:rtl/>
        </w:rPr>
        <w:t>كبيرة</w:t>
      </w:r>
      <w:r w:rsidR="009737DA" w:rsidRPr="005D59A7">
        <w:rPr>
          <w:rFonts w:ascii="T" w:hAnsi="T" w:cs="Simplified Arabic"/>
          <w:sz w:val="24"/>
          <w:szCs w:val="24"/>
        </w:rPr>
        <w:t xml:space="preserve"> </w:t>
      </w:r>
      <w:r w:rsidRPr="005D59A7">
        <w:rPr>
          <w:rFonts w:ascii="T" w:hAnsi="T" w:cs="Simplified Arabic"/>
          <w:sz w:val="24"/>
          <w:szCs w:val="24"/>
          <w:rtl/>
        </w:rPr>
        <w:t>في</w:t>
      </w:r>
      <w:r w:rsidR="009737DA" w:rsidRPr="005D59A7">
        <w:rPr>
          <w:rFonts w:ascii="T" w:hAnsi="T" w:cs="Simplified Arabic"/>
          <w:sz w:val="24"/>
          <w:szCs w:val="24"/>
        </w:rPr>
        <w:t xml:space="preserve"> </w:t>
      </w:r>
      <w:r w:rsidRPr="005D59A7">
        <w:rPr>
          <w:rFonts w:ascii="T" w:hAnsi="T" w:cs="Simplified Arabic"/>
          <w:sz w:val="24"/>
          <w:szCs w:val="24"/>
          <w:rtl/>
        </w:rPr>
        <w:t>مجال</w:t>
      </w:r>
      <w:r w:rsidR="009737DA" w:rsidRPr="005D59A7">
        <w:rPr>
          <w:rFonts w:ascii="T" w:hAnsi="T" w:cs="Simplified Arabic"/>
          <w:sz w:val="24"/>
          <w:szCs w:val="24"/>
        </w:rPr>
        <w:t xml:space="preserve"> </w:t>
      </w:r>
      <w:r w:rsidRPr="005D59A7">
        <w:rPr>
          <w:rFonts w:ascii="T" w:hAnsi="T" w:cs="Simplified Arabic"/>
          <w:sz w:val="24"/>
          <w:szCs w:val="24"/>
          <w:rtl/>
        </w:rPr>
        <w:t>تدهور</w:t>
      </w:r>
      <w:r w:rsidR="009737DA" w:rsidRPr="005D59A7">
        <w:rPr>
          <w:rFonts w:ascii="T" w:hAnsi="T" w:cs="Simplified Arabic"/>
          <w:sz w:val="24"/>
          <w:szCs w:val="24"/>
        </w:rPr>
        <w:t xml:space="preserve"> </w:t>
      </w:r>
      <w:r w:rsidRPr="005D59A7">
        <w:rPr>
          <w:rFonts w:ascii="T" w:hAnsi="T" w:cs="Simplified Arabic"/>
          <w:sz w:val="24"/>
          <w:szCs w:val="24"/>
          <w:rtl/>
        </w:rPr>
        <w:t>الأراضي،</w:t>
      </w:r>
      <w:r w:rsidR="009737DA" w:rsidRPr="005D59A7">
        <w:rPr>
          <w:rFonts w:ascii="T" w:hAnsi="T" w:cs="Simplified Arabic"/>
          <w:sz w:val="24"/>
          <w:szCs w:val="24"/>
        </w:rPr>
        <w:t xml:space="preserve"> </w:t>
      </w:r>
      <w:r w:rsidRPr="005D59A7">
        <w:rPr>
          <w:rFonts w:ascii="T" w:hAnsi="T" w:cs="Simplified Arabic"/>
          <w:sz w:val="24"/>
          <w:szCs w:val="24"/>
          <w:rtl/>
        </w:rPr>
        <w:t>حيث</w:t>
      </w:r>
      <w:r w:rsidR="009737DA" w:rsidRPr="005D59A7">
        <w:rPr>
          <w:rFonts w:ascii="T" w:hAnsi="T" w:cs="Simplified Arabic"/>
          <w:sz w:val="24"/>
          <w:szCs w:val="24"/>
        </w:rPr>
        <w:t xml:space="preserve"> </w:t>
      </w:r>
      <w:r w:rsidRPr="005D59A7">
        <w:rPr>
          <w:rFonts w:ascii="T" w:hAnsi="T" w:cs="Simplified Arabic"/>
          <w:sz w:val="24"/>
          <w:szCs w:val="24"/>
          <w:rtl/>
        </w:rPr>
        <w:t>تُصنف 95% من</w:t>
      </w:r>
      <w:r w:rsidR="009737DA" w:rsidRPr="005D59A7">
        <w:rPr>
          <w:rFonts w:ascii="T" w:hAnsi="T" w:cs="Simplified Arabic"/>
          <w:sz w:val="24"/>
          <w:szCs w:val="24"/>
        </w:rPr>
        <w:t xml:space="preserve"> </w:t>
      </w:r>
      <w:r w:rsidRPr="005D59A7">
        <w:rPr>
          <w:rFonts w:ascii="T" w:hAnsi="T" w:cs="Simplified Arabic"/>
          <w:sz w:val="24"/>
          <w:szCs w:val="24"/>
          <w:rtl/>
        </w:rPr>
        <w:t>أراضيها</w:t>
      </w:r>
      <w:r w:rsidR="009737DA" w:rsidRPr="005D59A7">
        <w:rPr>
          <w:rFonts w:ascii="T" w:hAnsi="T" w:cs="Simplified Arabic"/>
          <w:sz w:val="24"/>
          <w:szCs w:val="24"/>
        </w:rPr>
        <w:t xml:space="preserve"> </w:t>
      </w:r>
      <w:r w:rsidRPr="005D59A7">
        <w:rPr>
          <w:rFonts w:ascii="T" w:hAnsi="T" w:cs="Simplified Arabic"/>
          <w:sz w:val="24"/>
          <w:szCs w:val="24"/>
          <w:rtl/>
        </w:rPr>
        <w:t>على</w:t>
      </w:r>
      <w:r w:rsidR="009737DA" w:rsidRPr="005D59A7">
        <w:rPr>
          <w:rFonts w:ascii="T" w:hAnsi="T" w:cs="Simplified Arabic"/>
          <w:sz w:val="24"/>
          <w:szCs w:val="24"/>
        </w:rPr>
        <w:t xml:space="preserve"> </w:t>
      </w:r>
      <w:r w:rsidRPr="005D59A7">
        <w:rPr>
          <w:rFonts w:ascii="T" w:hAnsi="T" w:cs="Simplified Arabic"/>
          <w:sz w:val="24"/>
          <w:szCs w:val="24"/>
          <w:rtl/>
        </w:rPr>
        <w:t>أنها</w:t>
      </w:r>
      <w:r w:rsidR="009737DA" w:rsidRPr="005D59A7">
        <w:rPr>
          <w:rFonts w:ascii="T" w:hAnsi="T" w:cs="Simplified Arabic"/>
          <w:sz w:val="24"/>
          <w:szCs w:val="24"/>
        </w:rPr>
        <w:t xml:space="preserve"> </w:t>
      </w:r>
      <w:r w:rsidRPr="005D59A7">
        <w:rPr>
          <w:rFonts w:ascii="T" w:hAnsi="T" w:cs="Simplified Arabic"/>
          <w:sz w:val="24"/>
          <w:szCs w:val="24"/>
          <w:rtl/>
        </w:rPr>
        <w:t>صحراوية. في</w:t>
      </w:r>
      <w:r w:rsidR="009737DA" w:rsidRPr="005D59A7">
        <w:rPr>
          <w:rFonts w:ascii="T" w:hAnsi="T" w:cs="Simplified Arabic"/>
          <w:sz w:val="24"/>
          <w:szCs w:val="24"/>
        </w:rPr>
        <w:t xml:space="preserve"> </w:t>
      </w:r>
      <w:r w:rsidRPr="005D59A7">
        <w:rPr>
          <w:rFonts w:ascii="T" w:hAnsi="T" w:cs="Simplified Arabic"/>
          <w:sz w:val="24"/>
          <w:szCs w:val="24"/>
          <w:rtl/>
        </w:rPr>
        <w:t>عام 2019،</w:t>
      </w:r>
      <w:r w:rsidR="009737DA" w:rsidRPr="005D59A7">
        <w:rPr>
          <w:rFonts w:ascii="T" w:hAnsi="T" w:cs="Simplified Arabic"/>
          <w:sz w:val="24"/>
          <w:szCs w:val="24"/>
        </w:rPr>
        <w:t xml:space="preserve"> </w:t>
      </w:r>
      <w:r w:rsidRPr="005D59A7">
        <w:rPr>
          <w:rFonts w:ascii="T" w:hAnsi="T" w:cs="Simplified Arabic"/>
          <w:sz w:val="24"/>
          <w:szCs w:val="24"/>
          <w:rtl/>
        </w:rPr>
        <w:t>أثر</w:t>
      </w:r>
      <w:r w:rsidR="009737DA" w:rsidRPr="005D59A7">
        <w:rPr>
          <w:rFonts w:ascii="T" w:hAnsi="T" w:cs="Simplified Arabic"/>
          <w:sz w:val="24"/>
          <w:szCs w:val="24"/>
        </w:rPr>
        <w:t xml:space="preserve"> </w:t>
      </w:r>
      <w:r w:rsidRPr="005D59A7">
        <w:rPr>
          <w:rFonts w:ascii="T" w:hAnsi="T" w:cs="Simplified Arabic"/>
          <w:sz w:val="24"/>
          <w:szCs w:val="24"/>
          <w:rtl/>
        </w:rPr>
        <w:t>تدهور</w:t>
      </w:r>
      <w:r w:rsidR="009737DA" w:rsidRPr="005D59A7">
        <w:rPr>
          <w:rFonts w:ascii="T" w:hAnsi="T" w:cs="Simplified Arabic"/>
          <w:sz w:val="24"/>
          <w:szCs w:val="24"/>
        </w:rPr>
        <w:t xml:space="preserve"> </w:t>
      </w:r>
      <w:r w:rsidRPr="005D59A7">
        <w:rPr>
          <w:rFonts w:ascii="T" w:hAnsi="T" w:cs="Simplified Arabic"/>
          <w:sz w:val="24"/>
          <w:szCs w:val="24"/>
          <w:rtl/>
        </w:rPr>
        <w:t>الأراضي</w:t>
      </w:r>
      <w:r w:rsidR="009737DA" w:rsidRPr="005D59A7">
        <w:rPr>
          <w:rFonts w:ascii="T" w:hAnsi="T" w:cs="Simplified Arabic"/>
          <w:sz w:val="24"/>
          <w:szCs w:val="24"/>
        </w:rPr>
        <w:t xml:space="preserve"> </w:t>
      </w:r>
      <w:r w:rsidRPr="005D59A7">
        <w:rPr>
          <w:rFonts w:ascii="T" w:hAnsi="T" w:cs="Simplified Arabic"/>
          <w:sz w:val="24"/>
          <w:szCs w:val="24"/>
          <w:rtl/>
        </w:rPr>
        <w:t>على 20 مليون</w:t>
      </w:r>
      <w:r w:rsidR="009737DA" w:rsidRPr="005D59A7">
        <w:rPr>
          <w:rFonts w:ascii="T" w:hAnsi="T" w:cs="Simplified Arabic"/>
          <w:sz w:val="24"/>
          <w:szCs w:val="24"/>
        </w:rPr>
        <w:t xml:space="preserve"> </w:t>
      </w:r>
      <w:r w:rsidRPr="005D59A7">
        <w:rPr>
          <w:rFonts w:ascii="T" w:hAnsi="T" w:cs="Simplified Arabic"/>
          <w:sz w:val="24"/>
          <w:szCs w:val="24"/>
          <w:rtl/>
        </w:rPr>
        <w:t>هكتار،</w:t>
      </w:r>
      <w:r w:rsidR="009737DA" w:rsidRPr="005D59A7">
        <w:rPr>
          <w:rFonts w:ascii="T" w:hAnsi="T" w:cs="Simplified Arabic"/>
          <w:sz w:val="24"/>
          <w:szCs w:val="24"/>
        </w:rPr>
        <w:t xml:space="preserve"> </w:t>
      </w:r>
      <w:r w:rsidRPr="005D59A7">
        <w:rPr>
          <w:rFonts w:ascii="T" w:hAnsi="T" w:cs="Simplified Arabic"/>
          <w:sz w:val="24"/>
          <w:szCs w:val="24"/>
          <w:rtl/>
        </w:rPr>
        <w:t>أي</w:t>
      </w:r>
      <w:r w:rsidR="009737DA" w:rsidRPr="005D59A7">
        <w:rPr>
          <w:rFonts w:ascii="T" w:hAnsi="T" w:cs="Simplified Arabic"/>
          <w:sz w:val="24"/>
          <w:szCs w:val="24"/>
        </w:rPr>
        <w:t xml:space="preserve"> </w:t>
      </w:r>
      <w:r w:rsidRPr="005D59A7">
        <w:rPr>
          <w:rFonts w:ascii="T" w:hAnsi="T" w:cs="Simplified Arabic"/>
          <w:sz w:val="24"/>
          <w:szCs w:val="24"/>
          <w:rtl/>
        </w:rPr>
        <w:t>أكثر</w:t>
      </w:r>
      <w:r w:rsidR="009737DA" w:rsidRPr="005D59A7">
        <w:rPr>
          <w:rFonts w:ascii="T" w:hAnsi="T" w:cs="Simplified Arabic"/>
          <w:sz w:val="24"/>
          <w:szCs w:val="24"/>
        </w:rPr>
        <w:t xml:space="preserve"> </w:t>
      </w:r>
      <w:r w:rsidRPr="005D59A7">
        <w:rPr>
          <w:rFonts w:ascii="T" w:hAnsi="T" w:cs="Simplified Arabic"/>
          <w:sz w:val="24"/>
          <w:szCs w:val="24"/>
          <w:rtl/>
        </w:rPr>
        <w:t xml:space="preserve">من </w:t>
      </w:r>
      <w:r w:rsidRPr="005D59A7">
        <w:rPr>
          <w:rFonts w:ascii="T" w:hAnsi="T" w:cs="Simplified Arabic"/>
          <w:sz w:val="24"/>
          <w:szCs w:val="24"/>
          <w:rtl/>
        </w:rPr>
        <w:lastRenderedPageBreak/>
        <w:t>10% من</w:t>
      </w:r>
      <w:r w:rsidR="009737DA" w:rsidRPr="005D59A7">
        <w:rPr>
          <w:rFonts w:ascii="T" w:hAnsi="T" w:cs="Simplified Arabic"/>
          <w:sz w:val="24"/>
          <w:szCs w:val="24"/>
        </w:rPr>
        <w:t xml:space="preserve"> </w:t>
      </w:r>
      <w:r w:rsidRPr="005D59A7">
        <w:rPr>
          <w:rFonts w:ascii="T" w:hAnsi="T" w:cs="Simplified Arabic"/>
          <w:sz w:val="24"/>
          <w:szCs w:val="24"/>
          <w:rtl/>
        </w:rPr>
        <w:t>أراضي</w:t>
      </w:r>
      <w:r w:rsidR="009737DA" w:rsidRPr="005D59A7">
        <w:rPr>
          <w:rFonts w:ascii="T" w:hAnsi="T" w:cs="Simplified Arabic"/>
          <w:sz w:val="24"/>
          <w:szCs w:val="24"/>
        </w:rPr>
        <w:t xml:space="preserve"> </w:t>
      </w:r>
      <w:r w:rsidRPr="005D59A7">
        <w:rPr>
          <w:rFonts w:ascii="T" w:hAnsi="T" w:cs="Simplified Arabic"/>
          <w:sz w:val="24"/>
          <w:szCs w:val="24"/>
          <w:rtl/>
        </w:rPr>
        <w:t>المملكة. تشمل</w:t>
      </w:r>
      <w:r w:rsidR="009737DA" w:rsidRPr="005D59A7">
        <w:rPr>
          <w:rFonts w:ascii="T" w:hAnsi="T" w:cs="Simplified Arabic"/>
          <w:sz w:val="24"/>
          <w:szCs w:val="24"/>
        </w:rPr>
        <w:t xml:space="preserve"> </w:t>
      </w:r>
      <w:r w:rsidRPr="005D59A7">
        <w:rPr>
          <w:rFonts w:ascii="T" w:hAnsi="T" w:cs="Simplified Arabic"/>
          <w:sz w:val="24"/>
          <w:szCs w:val="24"/>
          <w:rtl/>
        </w:rPr>
        <w:t>التكاليف</w:t>
      </w:r>
      <w:r w:rsidR="009737DA" w:rsidRPr="005D59A7">
        <w:rPr>
          <w:rFonts w:ascii="T" w:hAnsi="T" w:cs="Simplified Arabic"/>
          <w:sz w:val="24"/>
          <w:szCs w:val="24"/>
        </w:rPr>
        <w:t xml:space="preserve"> </w:t>
      </w:r>
      <w:r w:rsidRPr="005D59A7">
        <w:rPr>
          <w:rFonts w:ascii="T" w:hAnsi="T" w:cs="Simplified Arabic"/>
          <w:sz w:val="24"/>
          <w:szCs w:val="24"/>
          <w:rtl/>
        </w:rPr>
        <w:t>الاقتصادية</w:t>
      </w:r>
      <w:r w:rsidR="009737DA" w:rsidRPr="005D59A7">
        <w:rPr>
          <w:rFonts w:ascii="T" w:hAnsi="T" w:cs="Simplified Arabic"/>
          <w:sz w:val="24"/>
          <w:szCs w:val="24"/>
        </w:rPr>
        <w:t xml:space="preserve"> </w:t>
      </w:r>
      <w:r w:rsidRPr="005D59A7">
        <w:rPr>
          <w:rFonts w:ascii="T" w:hAnsi="T" w:cs="Simplified Arabic"/>
          <w:sz w:val="24"/>
          <w:szCs w:val="24"/>
          <w:rtl/>
        </w:rPr>
        <w:t>المرتبطة</w:t>
      </w:r>
      <w:r w:rsidR="009737DA" w:rsidRPr="005D59A7">
        <w:rPr>
          <w:rFonts w:ascii="T" w:hAnsi="T" w:cs="Simplified Arabic"/>
          <w:sz w:val="24"/>
          <w:szCs w:val="24"/>
        </w:rPr>
        <w:t xml:space="preserve"> </w:t>
      </w:r>
      <w:r w:rsidRPr="005D59A7">
        <w:rPr>
          <w:rFonts w:ascii="T" w:hAnsi="T" w:cs="Simplified Arabic"/>
          <w:sz w:val="24"/>
          <w:szCs w:val="24"/>
          <w:rtl/>
        </w:rPr>
        <w:t>بتدهور</w:t>
      </w:r>
      <w:r w:rsidR="009737DA" w:rsidRPr="005D59A7">
        <w:rPr>
          <w:rFonts w:ascii="T" w:hAnsi="T" w:cs="Simplified Arabic"/>
          <w:sz w:val="24"/>
          <w:szCs w:val="24"/>
        </w:rPr>
        <w:t xml:space="preserve"> </w:t>
      </w:r>
      <w:r w:rsidRPr="005D59A7">
        <w:rPr>
          <w:rFonts w:ascii="T" w:hAnsi="T" w:cs="Simplified Arabic"/>
          <w:sz w:val="24"/>
          <w:szCs w:val="24"/>
          <w:rtl/>
        </w:rPr>
        <w:t>الأراضي</w:t>
      </w:r>
      <w:r w:rsidR="009737DA" w:rsidRPr="005D59A7">
        <w:rPr>
          <w:rFonts w:ascii="T" w:hAnsi="T" w:cs="Simplified Arabic"/>
          <w:sz w:val="24"/>
          <w:szCs w:val="24"/>
        </w:rPr>
        <w:t xml:space="preserve"> </w:t>
      </w:r>
      <w:r w:rsidRPr="005D59A7">
        <w:rPr>
          <w:rFonts w:ascii="T" w:hAnsi="T" w:cs="Simplified Arabic"/>
          <w:sz w:val="24"/>
          <w:szCs w:val="24"/>
          <w:rtl/>
        </w:rPr>
        <w:t>انخفاض</w:t>
      </w:r>
      <w:r w:rsidR="009737DA" w:rsidRPr="005D59A7">
        <w:rPr>
          <w:rFonts w:ascii="T" w:hAnsi="T" w:cs="Simplified Arabic"/>
          <w:sz w:val="24"/>
          <w:szCs w:val="24"/>
        </w:rPr>
        <w:t xml:space="preserve"> </w:t>
      </w:r>
      <w:r w:rsidRPr="005D59A7">
        <w:rPr>
          <w:rFonts w:ascii="T" w:hAnsi="T" w:cs="Simplified Arabic"/>
          <w:sz w:val="24"/>
          <w:szCs w:val="24"/>
          <w:rtl/>
        </w:rPr>
        <w:t>الإنتاجية</w:t>
      </w:r>
      <w:r w:rsidR="009737DA" w:rsidRPr="005D59A7">
        <w:rPr>
          <w:rFonts w:ascii="T" w:hAnsi="T" w:cs="Simplified Arabic"/>
          <w:sz w:val="24"/>
          <w:szCs w:val="24"/>
        </w:rPr>
        <w:t xml:space="preserve"> </w:t>
      </w:r>
      <w:r w:rsidRPr="005D59A7">
        <w:rPr>
          <w:rFonts w:ascii="T" w:hAnsi="T" w:cs="Simplified Arabic"/>
          <w:sz w:val="24"/>
          <w:szCs w:val="24"/>
          <w:rtl/>
        </w:rPr>
        <w:t>الزراعية،</w:t>
      </w:r>
      <w:r w:rsidR="009737DA" w:rsidRPr="005D59A7">
        <w:rPr>
          <w:rFonts w:ascii="T" w:hAnsi="T" w:cs="Simplified Arabic"/>
          <w:sz w:val="24"/>
          <w:szCs w:val="24"/>
        </w:rPr>
        <w:t xml:space="preserve"> </w:t>
      </w:r>
      <w:r w:rsidRPr="005D59A7">
        <w:rPr>
          <w:rFonts w:ascii="T" w:hAnsi="T" w:cs="Simplified Arabic"/>
          <w:sz w:val="24"/>
          <w:szCs w:val="24"/>
          <w:rtl/>
        </w:rPr>
        <w:t>وفقدان</w:t>
      </w:r>
      <w:r w:rsidR="009737DA" w:rsidRPr="005D59A7">
        <w:rPr>
          <w:rFonts w:ascii="T" w:hAnsi="T" w:cs="Simplified Arabic"/>
          <w:sz w:val="24"/>
          <w:szCs w:val="24"/>
        </w:rPr>
        <w:t xml:space="preserve"> </w:t>
      </w:r>
      <w:r w:rsidRPr="005D59A7">
        <w:rPr>
          <w:rFonts w:ascii="T" w:hAnsi="T" w:cs="Simplified Arabic"/>
          <w:sz w:val="24"/>
          <w:szCs w:val="24"/>
          <w:rtl/>
        </w:rPr>
        <w:t>سبل</w:t>
      </w:r>
      <w:r w:rsidR="009737DA" w:rsidRPr="005D59A7">
        <w:rPr>
          <w:rFonts w:ascii="T" w:hAnsi="T" w:cs="Simplified Arabic"/>
          <w:sz w:val="24"/>
          <w:szCs w:val="24"/>
        </w:rPr>
        <w:t xml:space="preserve"> </w:t>
      </w:r>
      <w:r w:rsidRPr="005D59A7">
        <w:rPr>
          <w:rFonts w:ascii="T" w:hAnsi="T" w:cs="Simplified Arabic"/>
          <w:sz w:val="24"/>
          <w:szCs w:val="24"/>
          <w:rtl/>
        </w:rPr>
        <w:t>العيش،</w:t>
      </w:r>
      <w:r w:rsidR="009737DA" w:rsidRPr="005D59A7">
        <w:rPr>
          <w:rFonts w:ascii="T" w:hAnsi="T" w:cs="Simplified Arabic"/>
          <w:sz w:val="24"/>
          <w:szCs w:val="24"/>
        </w:rPr>
        <w:t xml:space="preserve"> </w:t>
      </w:r>
      <w:r w:rsidRPr="005D59A7">
        <w:rPr>
          <w:rFonts w:ascii="T" w:hAnsi="T" w:cs="Simplified Arabic"/>
          <w:sz w:val="24"/>
          <w:szCs w:val="24"/>
          <w:rtl/>
        </w:rPr>
        <w:t>وزيادة</w:t>
      </w:r>
      <w:r w:rsidR="009737DA" w:rsidRPr="005D59A7">
        <w:rPr>
          <w:rFonts w:ascii="T" w:hAnsi="T" w:cs="Simplified Arabic"/>
          <w:sz w:val="24"/>
          <w:szCs w:val="24"/>
        </w:rPr>
        <w:t xml:space="preserve"> </w:t>
      </w:r>
      <w:r w:rsidRPr="005D59A7">
        <w:rPr>
          <w:rFonts w:ascii="T" w:hAnsi="T" w:cs="Simplified Arabic"/>
          <w:sz w:val="24"/>
          <w:szCs w:val="24"/>
          <w:rtl/>
        </w:rPr>
        <w:t>الإنفاق</w:t>
      </w:r>
      <w:r w:rsidR="009737DA" w:rsidRPr="005D59A7">
        <w:rPr>
          <w:rFonts w:ascii="T" w:hAnsi="T" w:cs="Simplified Arabic"/>
          <w:sz w:val="24"/>
          <w:szCs w:val="24"/>
        </w:rPr>
        <w:t xml:space="preserve"> </w:t>
      </w:r>
      <w:r w:rsidRPr="005D59A7">
        <w:rPr>
          <w:rFonts w:ascii="T" w:hAnsi="T" w:cs="Simplified Arabic"/>
          <w:sz w:val="24"/>
          <w:szCs w:val="24"/>
          <w:rtl/>
        </w:rPr>
        <w:t>العام</w:t>
      </w:r>
      <w:r w:rsidR="009737DA" w:rsidRPr="005D59A7">
        <w:rPr>
          <w:rFonts w:ascii="T" w:hAnsi="T" w:cs="Simplified Arabic"/>
          <w:sz w:val="24"/>
          <w:szCs w:val="24"/>
        </w:rPr>
        <w:t xml:space="preserve"> </w:t>
      </w:r>
      <w:r w:rsidRPr="005D59A7">
        <w:rPr>
          <w:rFonts w:ascii="T" w:hAnsi="T" w:cs="Simplified Arabic"/>
          <w:sz w:val="24"/>
          <w:szCs w:val="24"/>
          <w:rtl/>
        </w:rPr>
        <w:t>على</w:t>
      </w:r>
      <w:r w:rsidR="009737DA" w:rsidRPr="005D59A7">
        <w:rPr>
          <w:rFonts w:ascii="T" w:hAnsi="T" w:cs="Simplified Arabic"/>
          <w:sz w:val="24"/>
          <w:szCs w:val="24"/>
        </w:rPr>
        <w:t xml:space="preserve"> </w:t>
      </w:r>
      <w:r w:rsidRPr="005D59A7">
        <w:rPr>
          <w:rFonts w:ascii="T" w:hAnsi="T" w:cs="Simplified Arabic"/>
          <w:sz w:val="24"/>
          <w:szCs w:val="24"/>
          <w:rtl/>
        </w:rPr>
        <w:t>النقل</w:t>
      </w:r>
      <w:r w:rsidR="009737DA" w:rsidRPr="005D59A7">
        <w:rPr>
          <w:rFonts w:ascii="T" w:hAnsi="T" w:cs="Simplified Arabic"/>
          <w:sz w:val="24"/>
          <w:szCs w:val="24"/>
        </w:rPr>
        <w:t xml:space="preserve"> </w:t>
      </w:r>
      <w:r w:rsidRPr="005D59A7">
        <w:rPr>
          <w:rFonts w:ascii="T" w:hAnsi="T" w:cs="Simplified Arabic"/>
          <w:sz w:val="24"/>
          <w:szCs w:val="24"/>
          <w:rtl/>
        </w:rPr>
        <w:t>والاستعادة</w:t>
      </w:r>
      <w:r w:rsidR="009737DA" w:rsidRPr="005D59A7">
        <w:rPr>
          <w:rFonts w:ascii="T" w:hAnsi="T" w:cs="Simplified Arabic"/>
          <w:sz w:val="24"/>
          <w:szCs w:val="24"/>
        </w:rPr>
        <w:t xml:space="preserve"> </w:t>
      </w:r>
      <w:r w:rsidRPr="005D59A7">
        <w:rPr>
          <w:rFonts w:ascii="T" w:hAnsi="T" w:cs="Simplified Arabic"/>
          <w:sz w:val="24"/>
          <w:szCs w:val="24"/>
          <w:rtl/>
        </w:rPr>
        <w:t>البيئية. ويسلط</w:t>
      </w:r>
      <w:r w:rsidR="009737DA" w:rsidRPr="005D59A7">
        <w:rPr>
          <w:rFonts w:ascii="T" w:hAnsi="T" w:cs="Simplified Arabic"/>
          <w:sz w:val="24"/>
          <w:szCs w:val="24"/>
        </w:rPr>
        <w:t xml:space="preserve"> </w:t>
      </w:r>
      <w:r w:rsidRPr="005D59A7">
        <w:rPr>
          <w:rFonts w:ascii="T" w:hAnsi="T" w:cs="Simplified Arabic"/>
          <w:sz w:val="24"/>
          <w:szCs w:val="24"/>
          <w:rtl/>
        </w:rPr>
        <w:t>هدف</w:t>
      </w:r>
      <w:r w:rsidR="009737DA" w:rsidRPr="005D59A7">
        <w:rPr>
          <w:rFonts w:ascii="T" w:hAnsi="T" w:cs="Simplified Arabic"/>
          <w:sz w:val="24"/>
          <w:szCs w:val="24"/>
        </w:rPr>
        <w:t xml:space="preserve"> </w:t>
      </w:r>
      <w:r w:rsidRPr="005D59A7">
        <w:rPr>
          <w:rFonts w:ascii="T" w:hAnsi="T" w:cs="Simplified Arabic"/>
          <w:sz w:val="24"/>
          <w:szCs w:val="24"/>
          <w:rtl/>
        </w:rPr>
        <w:t>اتفاقية</w:t>
      </w:r>
      <w:r w:rsidR="009737DA" w:rsidRPr="005D59A7">
        <w:rPr>
          <w:rFonts w:ascii="T" w:hAnsi="T" w:cs="Simplified Arabic"/>
          <w:sz w:val="24"/>
          <w:szCs w:val="24"/>
        </w:rPr>
        <w:t xml:space="preserve"> </w:t>
      </w:r>
      <w:r w:rsidRPr="005D59A7">
        <w:rPr>
          <w:rFonts w:ascii="T" w:hAnsi="T" w:cs="Simplified Arabic"/>
          <w:sz w:val="24"/>
          <w:szCs w:val="24"/>
          <w:rtl/>
        </w:rPr>
        <w:t>الأمم</w:t>
      </w:r>
      <w:r w:rsidR="009737DA" w:rsidRPr="005D59A7">
        <w:rPr>
          <w:rFonts w:ascii="T" w:hAnsi="T" w:cs="Simplified Arabic"/>
          <w:sz w:val="24"/>
          <w:szCs w:val="24"/>
        </w:rPr>
        <w:t xml:space="preserve"> </w:t>
      </w:r>
      <w:r w:rsidRPr="005D59A7">
        <w:rPr>
          <w:rFonts w:ascii="T" w:hAnsi="T" w:cs="Simplified Arabic"/>
          <w:sz w:val="24"/>
          <w:szCs w:val="24"/>
          <w:rtl/>
        </w:rPr>
        <w:t>المتحدة</w:t>
      </w:r>
      <w:r w:rsidR="009737DA" w:rsidRPr="005D59A7">
        <w:rPr>
          <w:rFonts w:ascii="T" w:hAnsi="T" w:cs="Simplified Arabic"/>
          <w:sz w:val="24"/>
          <w:szCs w:val="24"/>
        </w:rPr>
        <w:t xml:space="preserve"> </w:t>
      </w:r>
      <w:r w:rsidRPr="005D59A7">
        <w:rPr>
          <w:rFonts w:ascii="T" w:hAnsi="T" w:cs="Simplified Arabic"/>
          <w:sz w:val="24"/>
          <w:szCs w:val="24"/>
          <w:rtl/>
        </w:rPr>
        <w:t>لمكافحة</w:t>
      </w:r>
      <w:r w:rsidR="009737DA" w:rsidRPr="005D59A7">
        <w:rPr>
          <w:rFonts w:ascii="T" w:hAnsi="T" w:cs="Simplified Arabic"/>
          <w:sz w:val="24"/>
          <w:szCs w:val="24"/>
        </w:rPr>
        <w:t xml:space="preserve"> </w:t>
      </w:r>
      <w:r w:rsidRPr="005D59A7">
        <w:rPr>
          <w:rFonts w:ascii="T" w:hAnsi="T" w:cs="Simplified Arabic"/>
          <w:sz w:val="24"/>
          <w:szCs w:val="24"/>
          <w:rtl/>
        </w:rPr>
        <w:t>التصحر</w:t>
      </w:r>
      <w:r w:rsidR="009737DA" w:rsidRPr="005D59A7">
        <w:rPr>
          <w:rFonts w:ascii="T" w:hAnsi="T" w:cs="Simplified Arabic"/>
          <w:sz w:val="24"/>
          <w:szCs w:val="24"/>
        </w:rPr>
        <w:t xml:space="preserve"> </w:t>
      </w:r>
      <w:r w:rsidRPr="005D59A7">
        <w:rPr>
          <w:rFonts w:ascii="T" w:hAnsi="T" w:cs="Simplified Arabic"/>
          <w:sz w:val="24"/>
          <w:szCs w:val="24"/>
          <w:rtl/>
        </w:rPr>
        <w:t>لاستعادة 1.5 مليار</w:t>
      </w:r>
      <w:r w:rsidR="009737DA" w:rsidRPr="005D59A7">
        <w:rPr>
          <w:rFonts w:ascii="T" w:hAnsi="T" w:cs="Simplified Arabic"/>
          <w:sz w:val="24"/>
          <w:szCs w:val="24"/>
        </w:rPr>
        <w:t xml:space="preserve"> </w:t>
      </w:r>
      <w:r w:rsidR="009737DA" w:rsidRPr="005D59A7">
        <w:rPr>
          <w:rFonts w:ascii="T" w:hAnsi="T" w:cs="Simplified Arabic"/>
          <w:sz w:val="24"/>
          <w:szCs w:val="24"/>
          <w:rtl/>
        </w:rPr>
        <w:t xml:space="preserve">هكتار </w:t>
      </w:r>
      <w:r w:rsidRPr="005D59A7">
        <w:rPr>
          <w:rFonts w:ascii="T" w:hAnsi="T" w:cs="Simplified Arabic"/>
          <w:sz w:val="24"/>
          <w:szCs w:val="24"/>
          <w:rtl/>
        </w:rPr>
        <w:t>عالميًا</w:t>
      </w:r>
      <w:r w:rsidR="009737DA" w:rsidRPr="005D59A7">
        <w:rPr>
          <w:rFonts w:ascii="T" w:hAnsi="T" w:cs="Simplified Arabic"/>
          <w:sz w:val="24"/>
          <w:szCs w:val="24"/>
          <w:rtl/>
        </w:rPr>
        <w:t xml:space="preserve"> </w:t>
      </w:r>
      <w:r w:rsidRPr="005D59A7">
        <w:rPr>
          <w:rFonts w:ascii="T" w:hAnsi="T" w:cs="Simplified Arabic"/>
          <w:sz w:val="24"/>
          <w:szCs w:val="24"/>
          <w:rtl/>
        </w:rPr>
        <w:t>بحلول</w:t>
      </w:r>
      <w:r w:rsidR="009737DA" w:rsidRPr="005D59A7">
        <w:rPr>
          <w:rFonts w:ascii="T" w:hAnsi="T" w:cs="Simplified Arabic"/>
          <w:sz w:val="24"/>
          <w:szCs w:val="24"/>
          <w:rtl/>
        </w:rPr>
        <w:t xml:space="preserve"> </w:t>
      </w:r>
      <w:r w:rsidRPr="005D59A7">
        <w:rPr>
          <w:rFonts w:ascii="T" w:hAnsi="T" w:cs="Simplified Arabic"/>
          <w:sz w:val="24"/>
          <w:szCs w:val="24"/>
          <w:rtl/>
        </w:rPr>
        <w:t>عام 2030 الضوء</w:t>
      </w:r>
      <w:r w:rsidR="009737DA" w:rsidRPr="005D59A7">
        <w:rPr>
          <w:rFonts w:ascii="T" w:hAnsi="T" w:cs="Simplified Arabic"/>
          <w:sz w:val="24"/>
          <w:szCs w:val="24"/>
          <w:rtl/>
        </w:rPr>
        <w:t xml:space="preserve"> </w:t>
      </w:r>
      <w:r w:rsidRPr="005D59A7">
        <w:rPr>
          <w:rFonts w:ascii="T" w:hAnsi="T" w:cs="Simplified Arabic"/>
          <w:sz w:val="24"/>
          <w:szCs w:val="24"/>
          <w:rtl/>
        </w:rPr>
        <w:t>على</w:t>
      </w:r>
      <w:r w:rsidR="009737DA" w:rsidRPr="005D59A7">
        <w:rPr>
          <w:rFonts w:ascii="T" w:hAnsi="T" w:cs="Simplified Arabic"/>
          <w:sz w:val="24"/>
          <w:szCs w:val="24"/>
          <w:rtl/>
        </w:rPr>
        <w:t xml:space="preserve"> </w:t>
      </w:r>
      <w:r w:rsidRPr="005D59A7">
        <w:rPr>
          <w:rFonts w:ascii="T" w:hAnsi="T" w:cs="Simplified Arabic"/>
          <w:sz w:val="24"/>
          <w:szCs w:val="24"/>
          <w:rtl/>
        </w:rPr>
        <w:t>حجم</w:t>
      </w:r>
      <w:r w:rsidR="009737DA" w:rsidRPr="005D59A7">
        <w:rPr>
          <w:rFonts w:ascii="T" w:hAnsi="T" w:cs="Simplified Arabic"/>
          <w:sz w:val="24"/>
          <w:szCs w:val="24"/>
          <w:rtl/>
        </w:rPr>
        <w:t xml:space="preserve"> </w:t>
      </w:r>
      <w:r w:rsidRPr="005D59A7">
        <w:rPr>
          <w:rFonts w:ascii="T" w:hAnsi="T" w:cs="Simplified Arabic"/>
          <w:sz w:val="24"/>
          <w:szCs w:val="24"/>
          <w:rtl/>
        </w:rPr>
        <w:t>هذه</w:t>
      </w:r>
      <w:r w:rsidR="009737DA" w:rsidRPr="005D59A7">
        <w:rPr>
          <w:rFonts w:ascii="T" w:hAnsi="T" w:cs="Simplified Arabic"/>
          <w:sz w:val="24"/>
          <w:szCs w:val="24"/>
          <w:rtl/>
        </w:rPr>
        <w:t xml:space="preserve"> </w:t>
      </w:r>
      <w:r w:rsidRPr="005D59A7">
        <w:rPr>
          <w:rFonts w:ascii="T" w:hAnsi="T" w:cs="Simplified Arabic"/>
          <w:sz w:val="24"/>
          <w:szCs w:val="24"/>
          <w:rtl/>
        </w:rPr>
        <w:t>المشكلة (</w:t>
      </w:r>
      <w:r w:rsidRPr="005D59A7">
        <w:rPr>
          <w:rFonts w:ascii="T" w:hAnsi="T" w:cs="Simplified Arabic"/>
          <w:sz w:val="24"/>
          <w:szCs w:val="24"/>
        </w:rPr>
        <w:t>UNCCD, 2024</w:t>
      </w:r>
      <w:r w:rsidRPr="005D59A7">
        <w:rPr>
          <w:rFonts w:ascii="T" w:hAnsi="T" w:cs="Simplified Arabic"/>
          <w:sz w:val="24"/>
          <w:szCs w:val="24"/>
          <w:rtl/>
        </w:rPr>
        <w:t>).</w:t>
      </w:r>
    </w:p>
    <w:p w14:paraId="2E545F28" w14:textId="48E94FC4" w:rsidR="00210FA3"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إدارة</w:t>
      </w:r>
      <w:r w:rsidR="009737DA" w:rsidRPr="005D59A7">
        <w:rPr>
          <w:rFonts w:ascii="T" w:hAnsi="T" w:cs="Simplified Arabic"/>
          <w:sz w:val="24"/>
          <w:szCs w:val="24"/>
          <w:rtl/>
        </w:rPr>
        <w:t xml:space="preserve"> </w:t>
      </w:r>
      <w:r w:rsidRPr="005D59A7">
        <w:rPr>
          <w:rFonts w:ascii="T" w:hAnsi="T" w:cs="Simplified Arabic"/>
          <w:sz w:val="24"/>
          <w:szCs w:val="24"/>
          <w:rtl/>
        </w:rPr>
        <w:t>مياه</w:t>
      </w:r>
      <w:r w:rsidR="009737DA" w:rsidRPr="005D59A7">
        <w:rPr>
          <w:rFonts w:ascii="T" w:hAnsi="T" w:cs="Simplified Arabic"/>
          <w:sz w:val="24"/>
          <w:szCs w:val="24"/>
          <w:rtl/>
        </w:rPr>
        <w:t xml:space="preserve"> </w:t>
      </w:r>
      <w:r w:rsidRPr="005D59A7">
        <w:rPr>
          <w:rFonts w:ascii="T" w:hAnsi="T" w:cs="Simplified Arabic"/>
          <w:sz w:val="24"/>
          <w:szCs w:val="24"/>
          <w:rtl/>
        </w:rPr>
        <w:t>الصرف</w:t>
      </w:r>
      <w:r w:rsidR="009737DA" w:rsidRPr="005D59A7">
        <w:rPr>
          <w:rFonts w:ascii="T" w:hAnsi="T" w:cs="Simplified Arabic"/>
          <w:sz w:val="24"/>
          <w:szCs w:val="24"/>
          <w:rtl/>
        </w:rPr>
        <w:t xml:space="preserve"> </w:t>
      </w:r>
      <w:r w:rsidRPr="005D59A7">
        <w:rPr>
          <w:rFonts w:ascii="T" w:hAnsi="T" w:cs="Simplified Arabic"/>
          <w:sz w:val="24"/>
          <w:szCs w:val="24"/>
          <w:rtl/>
        </w:rPr>
        <w:t>الصحي: وجدت</w:t>
      </w:r>
      <w:r w:rsidR="009737DA" w:rsidRPr="005D59A7">
        <w:rPr>
          <w:rFonts w:ascii="T" w:hAnsi="T" w:cs="Simplified Arabic"/>
          <w:sz w:val="24"/>
          <w:szCs w:val="24"/>
          <w:rtl/>
        </w:rPr>
        <w:t xml:space="preserve"> </w:t>
      </w:r>
      <w:r w:rsidRPr="005D59A7">
        <w:rPr>
          <w:rFonts w:ascii="T" w:hAnsi="T" w:cs="Simplified Arabic"/>
          <w:sz w:val="24"/>
          <w:szCs w:val="24"/>
          <w:rtl/>
        </w:rPr>
        <w:t>دراسة</w:t>
      </w:r>
      <w:r w:rsidR="009737DA" w:rsidRPr="005D59A7">
        <w:rPr>
          <w:rFonts w:ascii="T" w:hAnsi="T" w:cs="Simplified Arabic"/>
          <w:sz w:val="24"/>
          <w:szCs w:val="24"/>
          <w:rtl/>
        </w:rPr>
        <w:t xml:space="preserve"> </w:t>
      </w:r>
      <w:r w:rsidRPr="005D59A7">
        <w:rPr>
          <w:rFonts w:ascii="T" w:hAnsi="T" w:cs="Simplified Arabic"/>
          <w:sz w:val="24"/>
          <w:szCs w:val="24"/>
          <w:rtl/>
        </w:rPr>
        <w:t>ركزت</w:t>
      </w:r>
      <w:r w:rsidR="009737DA" w:rsidRPr="005D59A7">
        <w:rPr>
          <w:rFonts w:ascii="T" w:hAnsi="T" w:cs="Simplified Arabic"/>
          <w:sz w:val="24"/>
          <w:szCs w:val="24"/>
          <w:rtl/>
        </w:rPr>
        <w:t xml:space="preserve"> </w:t>
      </w:r>
      <w:r w:rsidRPr="005D59A7">
        <w:rPr>
          <w:rFonts w:ascii="T" w:hAnsi="T" w:cs="Simplified Arabic"/>
          <w:sz w:val="24"/>
          <w:szCs w:val="24"/>
          <w:rtl/>
        </w:rPr>
        <w:t>على</w:t>
      </w:r>
      <w:r w:rsidR="009737DA" w:rsidRPr="005D59A7">
        <w:rPr>
          <w:rFonts w:ascii="T" w:hAnsi="T" w:cs="Simplified Arabic"/>
          <w:sz w:val="24"/>
          <w:szCs w:val="24"/>
          <w:rtl/>
        </w:rPr>
        <w:t xml:space="preserve"> </w:t>
      </w:r>
      <w:r w:rsidRPr="005D59A7">
        <w:rPr>
          <w:rFonts w:ascii="T" w:hAnsi="T" w:cs="Simplified Arabic"/>
          <w:sz w:val="24"/>
          <w:szCs w:val="24"/>
          <w:rtl/>
        </w:rPr>
        <w:t>تكاليف</w:t>
      </w:r>
      <w:r w:rsidR="009737DA" w:rsidRPr="005D59A7">
        <w:rPr>
          <w:rFonts w:ascii="T" w:hAnsi="T" w:cs="Simplified Arabic"/>
          <w:sz w:val="24"/>
          <w:szCs w:val="24"/>
          <w:rtl/>
        </w:rPr>
        <w:t xml:space="preserve"> </w:t>
      </w:r>
      <w:r w:rsidRPr="005D59A7">
        <w:rPr>
          <w:rFonts w:ascii="T" w:hAnsi="T" w:cs="Simplified Arabic"/>
          <w:sz w:val="24"/>
          <w:szCs w:val="24"/>
          <w:rtl/>
        </w:rPr>
        <w:t>التدهور</w:t>
      </w:r>
      <w:r w:rsidR="009737DA" w:rsidRPr="005D59A7">
        <w:rPr>
          <w:rFonts w:ascii="T" w:hAnsi="T" w:cs="Simplified Arabic"/>
          <w:sz w:val="24"/>
          <w:szCs w:val="24"/>
          <w:rtl/>
        </w:rPr>
        <w:t xml:space="preserve"> </w:t>
      </w:r>
      <w:r w:rsidRPr="005D59A7">
        <w:rPr>
          <w:rFonts w:ascii="T" w:hAnsi="T" w:cs="Simplified Arabic"/>
          <w:sz w:val="24"/>
          <w:szCs w:val="24"/>
          <w:rtl/>
        </w:rPr>
        <w:t>البيئي</w:t>
      </w:r>
      <w:r w:rsidR="009737DA" w:rsidRPr="005D59A7">
        <w:rPr>
          <w:rFonts w:ascii="T" w:hAnsi="T" w:cs="Simplified Arabic"/>
          <w:sz w:val="24"/>
          <w:szCs w:val="24"/>
          <w:rtl/>
        </w:rPr>
        <w:t xml:space="preserve"> </w:t>
      </w:r>
      <w:r w:rsidRPr="005D59A7">
        <w:rPr>
          <w:rFonts w:ascii="T" w:hAnsi="T" w:cs="Simplified Arabic"/>
          <w:sz w:val="24"/>
          <w:szCs w:val="24"/>
          <w:rtl/>
        </w:rPr>
        <w:t>الناتج</w:t>
      </w:r>
      <w:r w:rsidR="009737DA" w:rsidRPr="005D59A7">
        <w:rPr>
          <w:rFonts w:ascii="T" w:hAnsi="T" w:cs="Simplified Arabic"/>
          <w:sz w:val="24"/>
          <w:szCs w:val="24"/>
          <w:rtl/>
        </w:rPr>
        <w:t xml:space="preserve"> </w:t>
      </w:r>
      <w:r w:rsidRPr="005D59A7">
        <w:rPr>
          <w:rFonts w:ascii="T" w:hAnsi="T" w:cs="Simplified Arabic"/>
          <w:sz w:val="24"/>
          <w:szCs w:val="24"/>
          <w:rtl/>
        </w:rPr>
        <w:t>عن</w:t>
      </w:r>
      <w:r w:rsidR="009737DA" w:rsidRPr="005D59A7">
        <w:rPr>
          <w:rFonts w:ascii="T" w:hAnsi="T" w:cs="Simplified Arabic"/>
          <w:sz w:val="24"/>
          <w:szCs w:val="24"/>
          <w:rtl/>
        </w:rPr>
        <w:t xml:space="preserve"> </w:t>
      </w:r>
      <w:r w:rsidRPr="005D59A7">
        <w:rPr>
          <w:rFonts w:ascii="T" w:hAnsi="T" w:cs="Simplified Arabic"/>
          <w:sz w:val="24"/>
          <w:szCs w:val="24"/>
          <w:rtl/>
        </w:rPr>
        <w:t>عدم</w:t>
      </w:r>
      <w:r w:rsidR="009737DA" w:rsidRPr="005D59A7">
        <w:rPr>
          <w:rFonts w:ascii="T" w:hAnsi="T" w:cs="Simplified Arabic"/>
          <w:sz w:val="24"/>
          <w:szCs w:val="24"/>
          <w:rtl/>
        </w:rPr>
        <w:t xml:space="preserve"> </w:t>
      </w:r>
      <w:r w:rsidRPr="005D59A7">
        <w:rPr>
          <w:rFonts w:ascii="T" w:hAnsi="T" w:cs="Simplified Arabic"/>
          <w:sz w:val="24"/>
          <w:szCs w:val="24"/>
          <w:rtl/>
        </w:rPr>
        <w:t>إعادة</w:t>
      </w:r>
      <w:r w:rsidR="009737DA" w:rsidRPr="005D59A7">
        <w:rPr>
          <w:rFonts w:ascii="T" w:hAnsi="T" w:cs="Simplified Arabic"/>
          <w:sz w:val="24"/>
          <w:szCs w:val="24"/>
          <w:rtl/>
        </w:rPr>
        <w:t xml:space="preserve"> </w:t>
      </w:r>
      <w:r w:rsidRPr="005D59A7">
        <w:rPr>
          <w:rFonts w:ascii="T" w:hAnsi="T" w:cs="Simplified Arabic"/>
          <w:sz w:val="24"/>
          <w:szCs w:val="24"/>
          <w:rtl/>
        </w:rPr>
        <w:t>استخدام</w:t>
      </w:r>
      <w:r w:rsidR="009737DA" w:rsidRPr="005D59A7">
        <w:rPr>
          <w:rFonts w:ascii="T" w:hAnsi="T" w:cs="Simplified Arabic"/>
          <w:sz w:val="24"/>
          <w:szCs w:val="24"/>
          <w:rtl/>
        </w:rPr>
        <w:t xml:space="preserve"> </w:t>
      </w:r>
      <w:r w:rsidRPr="005D59A7">
        <w:rPr>
          <w:rFonts w:ascii="T" w:hAnsi="T" w:cs="Simplified Arabic"/>
          <w:sz w:val="24"/>
          <w:szCs w:val="24"/>
          <w:rtl/>
        </w:rPr>
        <w:t>مياه</w:t>
      </w:r>
      <w:r w:rsidR="009737DA" w:rsidRPr="005D59A7">
        <w:rPr>
          <w:rFonts w:ascii="T" w:hAnsi="T" w:cs="Simplified Arabic"/>
          <w:sz w:val="24"/>
          <w:szCs w:val="24"/>
          <w:rtl/>
        </w:rPr>
        <w:t xml:space="preserve"> </w:t>
      </w:r>
      <w:r w:rsidRPr="005D59A7">
        <w:rPr>
          <w:rFonts w:ascii="T" w:hAnsi="T" w:cs="Simplified Arabic"/>
          <w:sz w:val="24"/>
          <w:szCs w:val="24"/>
          <w:rtl/>
        </w:rPr>
        <w:t>الصرف</w:t>
      </w:r>
      <w:r w:rsidR="009737DA" w:rsidRPr="005D59A7">
        <w:rPr>
          <w:rFonts w:ascii="T" w:hAnsi="T" w:cs="Simplified Arabic"/>
          <w:sz w:val="24"/>
          <w:szCs w:val="24"/>
          <w:rtl/>
        </w:rPr>
        <w:t xml:space="preserve"> </w:t>
      </w:r>
      <w:r w:rsidRPr="005D59A7">
        <w:rPr>
          <w:rFonts w:ascii="T" w:hAnsi="T" w:cs="Simplified Arabic"/>
          <w:sz w:val="24"/>
          <w:szCs w:val="24"/>
          <w:rtl/>
        </w:rPr>
        <w:t>الصحي</w:t>
      </w:r>
      <w:r w:rsidR="009737DA" w:rsidRPr="005D59A7">
        <w:rPr>
          <w:rFonts w:ascii="T" w:hAnsi="T" w:cs="Simplified Arabic"/>
          <w:sz w:val="24"/>
          <w:szCs w:val="24"/>
          <w:rtl/>
        </w:rPr>
        <w:t xml:space="preserve"> </w:t>
      </w:r>
      <w:r w:rsidRPr="005D59A7">
        <w:rPr>
          <w:rFonts w:ascii="T" w:hAnsi="T" w:cs="Simplified Arabic"/>
          <w:sz w:val="24"/>
          <w:szCs w:val="24"/>
          <w:rtl/>
        </w:rPr>
        <w:t>المعالجة</w:t>
      </w:r>
      <w:r w:rsidR="009737DA" w:rsidRPr="005D59A7">
        <w:rPr>
          <w:rFonts w:ascii="T" w:hAnsi="T" w:cs="Simplified Arabic"/>
          <w:sz w:val="24"/>
          <w:szCs w:val="24"/>
          <w:rtl/>
        </w:rPr>
        <w:t xml:space="preserve"> </w:t>
      </w:r>
      <w:r w:rsidRPr="005D59A7">
        <w:rPr>
          <w:rFonts w:ascii="T" w:hAnsi="T" w:cs="Simplified Arabic"/>
          <w:sz w:val="24"/>
          <w:szCs w:val="24"/>
          <w:rtl/>
        </w:rPr>
        <w:t>بالكامل</w:t>
      </w:r>
      <w:r w:rsidR="009737DA" w:rsidRPr="005D59A7">
        <w:rPr>
          <w:rFonts w:ascii="T" w:hAnsi="T" w:cs="Simplified Arabic"/>
          <w:sz w:val="24"/>
          <w:szCs w:val="24"/>
          <w:rtl/>
        </w:rPr>
        <w:t xml:space="preserve"> </w:t>
      </w:r>
      <w:r w:rsidRPr="005D59A7">
        <w:rPr>
          <w:rFonts w:ascii="T" w:hAnsi="T" w:cs="Simplified Arabic"/>
          <w:sz w:val="24"/>
          <w:szCs w:val="24"/>
          <w:rtl/>
        </w:rPr>
        <w:t>في</w:t>
      </w:r>
      <w:r w:rsidR="009737DA" w:rsidRPr="005D59A7">
        <w:rPr>
          <w:rFonts w:ascii="T" w:hAnsi="T" w:cs="Simplified Arabic"/>
          <w:sz w:val="24"/>
          <w:szCs w:val="24"/>
          <w:rtl/>
        </w:rPr>
        <w:t xml:space="preserve"> </w:t>
      </w:r>
      <w:r w:rsidRPr="005D59A7">
        <w:rPr>
          <w:rFonts w:ascii="T" w:hAnsi="T" w:cs="Simplified Arabic"/>
          <w:sz w:val="24"/>
          <w:szCs w:val="24"/>
          <w:rtl/>
        </w:rPr>
        <w:t>المملكة</w:t>
      </w:r>
      <w:r w:rsidR="009737DA" w:rsidRPr="005D59A7">
        <w:rPr>
          <w:rFonts w:ascii="T" w:hAnsi="T" w:cs="Simplified Arabic"/>
          <w:sz w:val="24"/>
          <w:szCs w:val="24"/>
          <w:rtl/>
        </w:rPr>
        <w:t xml:space="preserve"> </w:t>
      </w:r>
      <w:r w:rsidRPr="005D59A7">
        <w:rPr>
          <w:rFonts w:ascii="T" w:hAnsi="T" w:cs="Simplified Arabic"/>
          <w:sz w:val="24"/>
          <w:szCs w:val="24"/>
          <w:rtl/>
        </w:rPr>
        <w:t>العربية</w:t>
      </w:r>
      <w:r w:rsidR="009737DA" w:rsidRPr="005D59A7">
        <w:rPr>
          <w:rFonts w:ascii="T" w:hAnsi="T" w:cs="Simplified Arabic"/>
          <w:sz w:val="24"/>
          <w:szCs w:val="24"/>
          <w:rtl/>
        </w:rPr>
        <w:t xml:space="preserve"> </w:t>
      </w:r>
      <w:r w:rsidRPr="005D59A7">
        <w:rPr>
          <w:rFonts w:ascii="T" w:hAnsi="T" w:cs="Simplified Arabic"/>
          <w:sz w:val="24"/>
          <w:szCs w:val="24"/>
          <w:rtl/>
        </w:rPr>
        <w:t>السعودية</w:t>
      </w:r>
      <w:r w:rsidR="009737DA" w:rsidRPr="005D59A7">
        <w:rPr>
          <w:rFonts w:ascii="T" w:hAnsi="T" w:cs="Simplified Arabic"/>
          <w:sz w:val="24"/>
          <w:szCs w:val="24"/>
          <w:rtl/>
        </w:rPr>
        <w:t xml:space="preserve"> </w:t>
      </w:r>
      <w:r w:rsidRPr="005D59A7">
        <w:rPr>
          <w:rFonts w:ascii="T" w:hAnsi="T" w:cs="Simplified Arabic"/>
          <w:sz w:val="24"/>
          <w:szCs w:val="24"/>
          <w:rtl/>
        </w:rPr>
        <w:t>أنه</w:t>
      </w:r>
      <w:r w:rsidR="009737DA" w:rsidRPr="005D59A7">
        <w:rPr>
          <w:rFonts w:ascii="T" w:hAnsi="T" w:cs="Simplified Arabic"/>
          <w:sz w:val="24"/>
          <w:szCs w:val="24"/>
          <w:rtl/>
        </w:rPr>
        <w:t xml:space="preserve"> </w:t>
      </w:r>
      <w:r w:rsidRPr="005D59A7">
        <w:rPr>
          <w:rFonts w:ascii="T" w:hAnsi="T" w:cs="Simplified Arabic"/>
          <w:sz w:val="24"/>
          <w:szCs w:val="24"/>
          <w:rtl/>
        </w:rPr>
        <w:t>في</w:t>
      </w:r>
      <w:r w:rsidR="009737DA" w:rsidRPr="005D59A7">
        <w:rPr>
          <w:rFonts w:ascii="T" w:hAnsi="T" w:cs="Simplified Arabic"/>
          <w:sz w:val="24"/>
          <w:szCs w:val="24"/>
          <w:rtl/>
        </w:rPr>
        <w:t xml:space="preserve"> </w:t>
      </w:r>
      <w:r w:rsidRPr="005D59A7">
        <w:rPr>
          <w:rFonts w:ascii="T" w:hAnsi="T" w:cs="Simplified Arabic"/>
          <w:sz w:val="24"/>
          <w:szCs w:val="24"/>
          <w:rtl/>
        </w:rPr>
        <w:t>عام 2019،</w:t>
      </w:r>
      <w:r w:rsidR="009737DA" w:rsidRPr="005D59A7">
        <w:rPr>
          <w:rFonts w:ascii="T" w:hAnsi="T" w:cs="Simplified Arabic"/>
          <w:sz w:val="24"/>
          <w:szCs w:val="24"/>
          <w:rtl/>
        </w:rPr>
        <w:t xml:space="preserve"> </w:t>
      </w:r>
      <w:r w:rsidRPr="005D59A7">
        <w:rPr>
          <w:rFonts w:ascii="T" w:hAnsi="T" w:cs="Simplified Arabic"/>
          <w:sz w:val="24"/>
          <w:szCs w:val="24"/>
          <w:rtl/>
        </w:rPr>
        <w:t>بلغ</w:t>
      </w:r>
      <w:r w:rsidR="009737DA" w:rsidRPr="005D59A7">
        <w:rPr>
          <w:rFonts w:ascii="T" w:hAnsi="T" w:cs="Simplified Arabic"/>
          <w:sz w:val="24"/>
          <w:szCs w:val="24"/>
          <w:rtl/>
        </w:rPr>
        <w:t xml:space="preserve"> </w:t>
      </w:r>
      <w:r w:rsidRPr="005D59A7">
        <w:rPr>
          <w:rFonts w:ascii="T" w:hAnsi="T" w:cs="Simplified Arabic"/>
          <w:sz w:val="24"/>
          <w:szCs w:val="24"/>
          <w:rtl/>
        </w:rPr>
        <w:t>إجمالي</w:t>
      </w:r>
      <w:r w:rsidR="009737DA" w:rsidRPr="005D59A7">
        <w:rPr>
          <w:rFonts w:ascii="T" w:hAnsi="T" w:cs="Simplified Arabic"/>
          <w:sz w:val="24"/>
          <w:szCs w:val="24"/>
          <w:rtl/>
        </w:rPr>
        <w:t xml:space="preserve"> </w:t>
      </w:r>
      <w:r w:rsidRPr="005D59A7">
        <w:rPr>
          <w:rFonts w:ascii="T" w:hAnsi="T" w:cs="Simplified Arabic"/>
          <w:sz w:val="24"/>
          <w:szCs w:val="24"/>
          <w:rtl/>
        </w:rPr>
        <w:t>التكاليف</w:t>
      </w:r>
      <w:r w:rsidR="009737DA" w:rsidRPr="005D59A7">
        <w:rPr>
          <w:rFonts w:ascii="T" w:hAnsi="T" w:cs="Simplified Arabic"/>
          <w:sz w:val="24"/>
          <w:szCs w:val="24"/>
          <w:rtl/>
        </w:rPr>
        <w:t xml:space="preserve"> </w:t>
      </w:r>
      <w:r w:rsidRPr="005D59A7">
        <w:rPr>
          <w:rFonts w:ascii="T" w:hAnsi="T" w:cs="Simplified Arabic"/>
          <w:sz w:val="24"/>
          <w:szCs w:val="24"/>
          <w:rtl/>
        </w:rPr>
        <w:t>التي</w:t>
      </w:r>
      <w:r w:rsidR="009737DA" w:rsidRPr="005D59A7">
        <w:rPr>
          <w:rFonts w:ascii="T" w:hAnsi="T" w:cs="Simplified Arabic"/>
          <w:sz w:val="24"/>
          <w:szCs w:val="24"/>
          <w:rtl/>
        </w:rPr>
        <w:t xml:space="preserve"> </w:t>
      </w:r>
      <w:r w:rsidRPr="005D59A7">
        <w:rPr>
          <w:rFonts w:ascii="T" w:hAnsi="T" w:cs="Simplified Arabic"/>
          <w:sz w:val="24"/>
          <w:szCs w:val="24"/>
          <w:rtl/>
        </w:rPr>
        <w:t>يتحملها</w:t>
      </w:r>
      <w:r w:rsidR="009737DA" w:rsidRPr="005D59A7">
        <w:rPr>
          <w:rFonts w:ascii="T" w:hAnsi="T" w:cs="Simplified Arabic"/>
          <w:sz w:val="24"/>
          <w:szCs w:val="24"/>
          <w:rtl/>
        </w:rPr>
        <w:t xml:space="preserve"> </w:t>
      </w:r>
      <w:r w:rsidRPr="005D59A7">
        <w:rPr>
          <w:rFonts w:ascii="T" w:hAnsi="T" w:cs="Simplified Arabic"/>
          <w:sz w:val="24"/>
          <w:szCs w:val="24"/>
          <w:rtl/>
        </w:rPr>
        <w:t>الاقتصاد</w:t>
      </w:r>
      <w:r w:rsidR="009737DA" w:rsidRPr="005D59A7">
        <w:rPr>
          <w:rFonts w:ascii="T" w:hAnsi="T" w:cs="Simplified Arabic"/>
          <w:sz w:val="24"/>
          <w:szCs w:val="24"/>
          <w:rtl/>
        </w:rPr>
        <w:t xml:space="preserve"> </w:t>
      </w:r>
      <w:r w:rsidRPr="005D59A7">
        <w:rPr>
          <w:rFonts w:ascii="T" w:hAnsi="T" w:cs="Simplified Arabic"/>
          <w:sz w:val="24"/>
          <w:szCs w:val="24"/>
          <w:rtl/>
        </w:rPr>
        <w:t>السعودي</w:t>
      </w:r>
      <w:r w:rsidR="009737DA" w:rsidRPr="005D59A7">
        <w:rPr>
          <w:rFonts w:ascii="T" w:hAnsi="T" w:cs="Simplified Arabic"/>
          <w:sz w:val="24"/>
          <w:szCs w:val="24"/>
          <w:rtl/>
        </w:rPr>
        <w:t xml:space="preserve"> </w:t>
      </w:r>
      <w:r w:rsidRPr="005D59A7">
        <w:rPr>
          <w:rFonts w:ascii="T" w:hAnsi="T" w:cs="Simplified Arabic"/>
          <w:sz w:val="24"/>
          <w:szCs w:val="24"/>
          <w:rtl/>
        </w:rPr>
        <w:t>لمعالجة</w:t>
      </w:r>
      <w:r w:rsidR="009737DA" w:rsidRPr="005D59A7">
        <w:rPr>
          <w:rFonts w:ascii="T" w:hAnsi="T" w:cs="Simplified Arabic"/>
          <w:sz w:val="24"/>
          <w:szCs w:val="24"/>
          <w:rtl/>
        </w:rPr>
        <w:t xml:space="preserve"> </w:t>
      </w:r>
      <w:r w:rsidRPr="005D59A7">
        <w:rPr>
          <w:rFonts w:ascii="T" w:hAnsi="T" w:cs="Simplified Arabic"/>
          <w:sz w:val="24"/>
          <w:szCs w:val="24"/>
          <w:rtl/>
        </w:rPr>
        <w:t>مياه</w:t>
      </w:r>
      <w:r w:rsidR="009737DA" w:rsidRPr="005D59A7">
        <w:rPr>
          <w:rFonts w:ascii="T" w:hAnsi="T" w:cs="Simplified Arabic"/>
          <w:sz w:val="24"/>
          <w:szCs w:val="24"/>
          <w:rtl/>
        </w:rPr>
        <w:t xml:space="preserve"> </w:t>
      </w:r>
      <w:r w:rsidRPr="005D59A7">
        <w:rPr>
          <w:rFonts w:ascii="T" w:hAnsi="T" w:cs="Simplified Arabic"/>
          <w:sz w:val="24"/>
          <w:szCs w:val="24"/>
          <w:rtl/>
        </w:rPr>
        <w:t>الصرف</w:t>
      </w:r>
      <w:r w:rsidR="009737DA" w:rsidRPr="005D59A7">
        <w:rPr>
          <w:rFonts w:ascii="T" w:hAnsi="T" w:cs="Simplified Arabic"/>
          <w:sz w:val="24"/>
          <w:szCs w:val="24"/>
          <w:rtl/>
        </w:rPr>
        <w:t xml:space="preserve"> </w:t>
      </w:r>
      <w:r w:rsidRPr="005D59A7">
        <w:rPr>
          <w:rFonts w:ascii="T" w:hAnsi="T" w:cs="Simplified Arabic"/>
          <w:sz w:val="24"/>
          <w:szCs w:val="24"/>
          <w:rtl/>
        </w:rPr>
        <w:t>الصحي 658.67 مليون</w:t>
      </w:r>
      <w:r w:rsidR="009737DA" w:rsidRPr="005D59A7">
        <w:rPr>
          <w:rFonts w:ascii="T" w:hAnsi="T" w:cs="Simplified Arabic"/>
          <w:sz w:val="24"/>
          <w:szCs w:val="24"/>
          <w:rtl/>
        </w:rPr>
        <w:t xml:space="preserve"> </w:t>
      </w:r>
      <w:r w:rsidRPr="005D59A7">
        <w:rPr>
          <w:rFonts w:ascii="T" w:hAnsi="T" w:cs="Simplified Arabic"/>
          <w:sz w:val="24"/>
          <w:szCs w:val="24"/>
          <w:rtl/>
        </w:rPr>
        <w:t>دولار</w:t>
      </w:r>
      <w:r w:rsidR="009737DA" w:rsidRPr="005D59A7">
        <w:rPr>
          <w:rFonts w:ascii="T" w:hAnsi="T" w:cs="Simplified Arabic"/>
          <w:sz w:val="24"/>
          <w:szCs w:val="24"/>
          <w:rtl/>
        </w:rPr>
        <w:t xml:space="preserve"> </w:t>
      </w:r>
      <w:r w:rsidRPr="005D59A7">
        <w:rPr>
          <w:rFonts w:ascii="T" w:hAnsi="T" w:cs="Simplified Arabic"/>
          <w:sz w:val="24"/>
          <w:szCs w:val="24"/>
          <w:rtl/>
        </w:rPr>
        <w:t>أمريكي. شكلت</w:t>
      </w:r>
      <w:r w:rsidR="009737DA" w:rsidRPr="005D59A7">
        <w:rPr>
          <w:rFonts w:ascii="T" w:hAnsi="T" w:cs="Simplified Arabic"/>
          <w:sz w:val="24"/>
          <w:szCs w:val="24"/>
          <w:rtl/>
        </w:rPr>
        <w:t xml:space="preserve"> </w:t>
      </w:r>
      <w:r w:rsidRPr="005D59A7">
        <w:rPr>
          <w:rFonts w:ascii="T" w:hAnsi="T" w:cs="Simplified Arabic"/>
          <w:sz w:val="24"/>
          <w:szCs w:val="24"/>
          <w:rtl/>
        </w:rPr>
        <w:t>التكاليف</w:t>
      </w:r>
      <w:r w:rsidR="009737DA" w:rsidRPr="005D59A7">
        <w:rPr>
          <w:rFonts w:ascii="T" w:hAnsi="T" w:cs="Simplified Arabic"/>
          <w:sz w:val="24"/>
          <w:szCs w:val="24"/>
          <w:rtl/>
        </w:rPr>
        <w:t xml:space="preserve"> </w:t>
      </w:r>
      <w:r w:rsidRPr="005D59A7">
        <w:rPr>
          <w:rFonts w:ascii="T" w:hAnsi="T" w:cs="Simplified Arabic"/>
          <w:sz w:val="24"/>
          <w:szCs w:val="24"/>
          <w:rtl/>
        </w:rPr>
        <w:t>المباشرة 75.5% من</w:t>
      </w:r>
      <w:r w:rsidR="009737DA" w:rsidRPr="005D59A7">
        <w:rPr>
          <w:rFonts w:ascii="T" w:hAnsi="T" w:cs="Simplified Arabic"/>
          <w:sz w:val="24"/>
          <w:szCs w:val="24"/>
          <w:rtl/>
        </w:rPr>
        <w:t xml:space="preserve"> </w:t>
      </w:r>
      <w:r w:rsidRPr="005D59A7">
        <w:rPr>
          <w:rFonts w:ascii="T" w:hAnsi="T" w:cs="Simplified Arabic"/>
          <w:sz w:val="24"/>
          <w:szCs w:val="24"/>
          <w:rtl/>
        </w:rPr>
        <w:t>هذا</w:t>
      </w:r>
      <w:r w:rsidR="009737DA" w:rsidRPr="005D59A7">
        <w:rPr>
          <w:rFonts w:ascii="T" w:hAnsi="T" w:cs="Simplified Arabic"/>
          <w:sz w:val="24"/>
          <w:szCs w:val="24"/>
          <w:rtl/>
        </w:rPr>
        <w:t xml:space="preserve"> </w:t>
      </w:r>
      <w:r w:rsidRPr="005D59A7">
        <w:rPr>
          <w:rFonts w:ascii="T" w:hAnsi="T" w:cs="Simplified Arabic"/>
          <w:sz w:val="24"/>
          <w:szCs w:val="24"/>
          <w:rtl/>
        </w:rPr>
        <w:t>الإجمالي،</w:t>
      </w:r>
      <w:r w:rsidR="009737DA" w:rsidRPr="005D59A7">
        <w:rPr>
          <w:rFonts w:ascii="T" w:hAnsi="T" w:cs="Simplified Arabic"/>
          <w:sz w:val="24"/>
          <w:szCs w:val="24"/>
          <w:rtl/>
        </w:rPr>
        <w:t xml:space="preserve"> </w:t>
      </w:r>
      <w:r w:rsidRPr="005D59A7">
        <w:rPr>
          <w:rFonts w:ascii="T" w:hAnsi="T" w:cs="Simplified Arabic"/>
          <w:sz w:val="24"/>
          <w:szCs w:val="24"/>
          <w:rtl/>
        </w:rPr>
        <w:t>بينما</w:t>
      </w:r>
      <w:r w:rsidR="009737DA" w:rsidRPr="005D59A7">
        <w:rPr>
          <w:rFonts w:ascii="T" w:hAnsi="T" w:cs="Simplified Arabic"/>
          <w:sz w:val="24"/>
          <w:szCs w:val="24"/>
          <w:rtl/>
        </w:rPr>
        <w:t xml:space="preserve"> </w:t>
      </w:r>
      <w:r w:rsidRPr="005D59A7">
        <w:rPr>
          <w:rFonts w:ascii="T" w:hAnsi="T" w:cs="Simplified Arabic"/>
          <w:sz w:val="24"/>
          <w:szCs w:val="24"/>
          <w:rtl/>
        </w:rPr>
        <w:t>شكلت</w:t>
      </w:r>
      <w:r w:rsidR="009737DA" w:rsidRPr="005D59A7">
        <w:rPr>
          <w:rFonts w:ascii="T" w:hAnsi="T" w:cs="Simplified Arabic"/>
          <w:sz w:val="24"/>
          <w:szCs w:val="24"/>
          <w:rtl/>
        </w:rPr>
        <w:t xml:space="preserve"> </w:t>
      </w:r>
      <w:r w:rsidRPr="005D59A7">
        <w:rPr>
          <w:rFonts w:ascii="T" w:hAnsi="T" w:cs="Simplified Arabic"/>
          <w:sz w:val="24"/>
          <w:szCs w:val="24"/>
          <w:rtl/>
        </w:rPr>
        <w:t>التكاليف</w:t>
      </w:r>
      <w:r w:rsidR="009737DA" w:rsidRPr="005D59A7">
        <w:rPr>
          <w:rFonts w:ascii="T" w:hAnsi="T" w:cs="Simplified Arabic"/>
          <w:sz w:val="24"/>
          <w:szCs w:val="24"/>
          <w:rtl/>
        </w:rPr>
        <w:t xml:space="preserve"> </w:t>
      </w:r>
      <w:r w:rsidRPr="005D59A7">
        <w:rPr>
          <w:rFonts w:ascii="T" w:hAnsi="T" w:cs="Simplified Arabic"/>
          <w:sz w:val="24"/>
          <w:szCs w:val="24"/>
          <w:rtl/>
        </w:rPr>
        <w:t>غير</w:t>
      </w:r>
      <w:r w:rsidR="009737DA" w:rsidRPr="005D59A7">
        <w:rPr>
          <w:rFonts w:ascii="T" w:hAnsi="T" w:cs="Simplified Arabic"/>
          <w:sz w:val="24"/>
          <w:szCs w:val="24"/>
          <w:rtl/>
        </w:rPr>
        <w:t xml:space="preserve"> </w:t>
      </w:r>
      <w:r w:rsidRPr="005D59A7">
        <w:rPr>
          <w:rFonts w:ascii="T" w:hAnsi="T" w:cs="Simplified Arabic"/>
          <w:sz w:val="24"/>
          <w:szCs w:val="24"/>
          <w:rtl/>
        </w:rPr>
        <w:t>المباشرة</w:t>
      </w:r>
      <w:r w:rsidR="009737DA" w:rsidRPr="005D59A7">
        <w:rPr>
          <w:rFonts w:ascii="T" w:hAnsi="T" w:cs="Simplified Arabic"/>
          <w:sz w:val="24"/>
          <w:szCs w:val="24"/>
          <w:rtl/>
        </w:rPr>
        <w:t xml:space="preserve"> </w:t>
      </w:r>
      <w:r w:rsidRPr="005D59A7">
        <w:rPr>
          <w:rFonts w:ascii="T" w:hAnsi="T" w:cs="Simplified Arabic"/>
          <w:sz w:val="24"/>
          <w:szCs w:val="24"/>
          <w:rtl/>
        </w:rPr>
        <w:t xml:space="preserve">نسبة 24.5% المتبقية </w:t>
      </w:r>
      <w:r w:rsidR="00FF0AED" w:rsidRPr="005D59A7">
        <w:rPr>
          <w:rFonts w:ascii="T" w:hAnsi="T" w:cs="Simplified Arabic"/>
          <w:sz w:val="24"/>
          <w:szCs w:val="24"/>
        </w:rPr>
        <w:t>(Dawoud, et al , 2022)</w:t>
      </w:r>
    </w:p>
    <w:p w14:paraId="75D3433E" w14:textId="77777777" w:rsidR="00210FA3"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الآثار</w:t>
      </w:r>
      <w:r w:rsidR="00665475" w:rsidRPr="005D59A7">
        <w:rPr>
          <w:rFonts w:ascii="T" w:hAnsi="T" w:cs="Simplified Arabic"/>
          <w:sz w:val="24"/>
          <w:szCs w:val="24"/>
        </w:rPr>
        <w:t xml:space="preserve"> </w:t>
      </w:r>
      <w:r w:rsidRPr="005D59A7">
        <w:rPr>
          <w:rFonts w:ascii="T" w:hAnsi="T" w:cs="Simplified Arabic"/>
          <w:sz w:val="24"/>
          <w:szCs w:val="24"/>
          <w:rtl/>
        </w:rPr>
        <w:t>الصحية: يؤثر</w:t>
      </w:r>
      <w:r w:rsidR="00665475" w:rsidRPr="005D59A7">
        <w:rPr>
          <w:rFonts w:ascii="T" w:hAnsi="T" w:cs="Simplified Arabic"/>
          <w:sz w:val="24"/>
          <w:szCs w:val="24"/>
        </w:rPr>
        <w:t xml:space="preserve"> </w:t>
      </w:r>
      <w:r w:rsidRPr="005D59A7">
        <w:rPr>
          <w:rFonts w:ascii="T" w:hAnsi="T" w:cs="Simplified Arabic"/>
          <w:sz w:val="24"/>
          <w:szCs w:val="24"/>
          <w:rtl/>
        </w:rPr>
        <w:t>التدهور</w:t>
      </w:r>
      <w:r w:rsidR="00665475" w:rsidRPr="005D59A7">
        <w:rPr>
          <w:rFonts w:ascii="T" w:hAnsi="T" w:cs="Simplified Arabic"/>
          <w:sz w:val="24"/>
          <w:szCs w:val="24"/>
        </w:rPr>
        <w:t xml:space="preserve"> </w:t>
      </w:r>
      <w:r w:rsidRPr="005D59A7">
        <w:rPr>
          <w:rFonts w:ascii="T" w:hAnsi="T" w:cs="Simplified Arabic"/>
          <w:sz w:val="24"/>
          <w:szCs w:val="24"/>
          <w:rtl/>
        </w:rPr>
        <w:t>البيئي،</w:t>
      </w:r>
      <w:r w:rsidR="00665475" w:rsidRPr="005D59A7">
        <w:rPr>
          <w:rFonts w:ascii="T" w:hAnsi="T" w:cs="Simplified Arabic"/>
          <w:sz w:val="24"/>
          <w:szCs w:val="24"/>
        </w:rPr>
        <w:t xml:space="preserve"> </w:t>
      </w:r>
      <w:r w:rsidRPr="005D59A7">
        <w:rPr>
          <w:rFonts w:ascii="T" w:hAnsi="T" w:cs="Simplified Arabic"/>
          <w:sz w:val="24"/>
          <w:szCs w:val="24"/>
          <w:rtl/>
        </w:rPr>
        <w:t>وخاصة</w:t>
      </w:r>
      <w:r w:rsidR="00665475" w:rsidRPr="005D59A7">
        <w:rPr>
          <w:rFonts w:ascii="T" w:hAnsi="T" w:cs="Simplified Arabic"/>
          <w:sz w:val="24"/>
          <w:szCs w:val="24"/>
        </w:rPr>
        <w:t xml:space="preserve"> </w:t>
      </w:r>
      <w:r w:rsidRPr="005D59A7">
        <w:rPr>
          <w:rFonts w:ascii="T" w:hAnsi="T" w:cs="Simplified Arabic"/>
          <w:sz w:val="24"/>
          <w:szCs w:val="24"/>
          <w:rtl/>
        </w:rPr>
        <w:t>تلوث</w:t>
      </w:r>
      <w:r w:rsidR="00665475" w:rsidRPr="005D59A7">
        <w:rPr>
          <w:rFonts w:ascii="T" w:hAnsi="T" w:cs="Simplified Arabic"/>
          <w:sz w:val="24"/>
          <w:szCs w:val="24"/>
        </w:rPr>
        <w:t xml:space="preserve"> </w:t>
      </w:r>
      <w:r w:rsidRPr="005D59A7">
        <w:rPr>
          <w:rFonts w:ascii="T" w:hAnsi="T" w:cs="Simplified Arabic"/>
          <w:sz w:val="24"/>
          <w:szCs w:val="24"/>
          <w:rtl/>
        </w:rPr>
        <w:t>الهواء</w:t>
      </w:r>
      <w:r w:rsidR="00665475" w:rsidRPr="005D59A7">
        <w:rPr>
          <w:rFonts w:ascii="T" w:hAnsi="T" w:cs="Simplified Arabic"/>
          <w:sz w:val="24"/>
          <w:szCs w:val="24"/>
        </w:rPr>
        <w:t xml:space="preserve"> </w:t>
      </w:r>
      <w:r w:rsidRPr="005D59A7">
        <w:rPr>
          <w:rFonts w:ascii="T" w:hAnsi="T" w:cs="Simplified Arabic"/>
          <w:sz w:val="24"/>
          <w:szCs w:val="24"/>
          <w:rtl/>
        </w:rPr>
        <w:t>والماء،</w:t>
      </w:r>
      <w:r w:rsidR="00665475" w:rsidRPr="005D59A7">
        <w:rPr>
          <w:rFonts w:ascii="T" w:hAnsi="T" w:cs="Simplified Arabic"/>
          <w:sz w:val="24"/>
          <w:szCs w:val="24"/>
        </w:rPr>
        <w:t xml:space="preserve"> </w:t>
      </w:r>
      <w:r w:rsidRPr="005D59A7">
        <w:rPr>
          <w:rFonts w:ascii="T" w:hAnsi="T" w:cs="Simplified Arabic"/>
          <w:sz w:val="24"/>
          <w:szCs w:val="24"/>
          <w:rtl/>
        </w:rPr>
        <w:t>بشكل</w:t>
      </w:r>
      <w:r w:rsidR="00665475" w:rsidRPr="005D59A7">
        <w:rPr>
          <w:rFonts w:ascii="T" w:hAnsi="T" w:cs="Simplified Arabic"/>
          <w:sz w:val="24"/>
          <w:szCs w:val="24"/>
        </w:rPr>
        <w:t xml:space="preserve"> </w:t>
      </w:r>
      <w:r w:rsidRPr="005D59A7">
        <w:rPr>
          <w:rFonts w:ascii="T" w:hAnsi="T" w:cs="Simplified Arabic"/>
          <w:sz w:val="24"/>
          <w:szCs w:val="24"/>
          <w:rtl/>
        </w:rPr>
        <w:t>مباشر</w:t>
      </w:r>
      <w:r w:rsidR="00665475" w:rsidRPr="005D59A7">
        <w:rPr>
          <w:rFonts w:ascii="T" w:hAnsi="T" w:cs="Simplified Arabic"/>
          <w:sz w:val="24"/>
          <w:szCs w:val="24"/>
        </w:rPr>
        <w:t xml:space="preserve"> </w:t>
      </w:r>
      <w:r w:rsidRPr="005D59A7">
        <w:rPr>
          <w:rFonts w:ascii="T" w:hAnsi="T" w:cs="Simplified Arabic"/>
          <w:sz w:val="24"/>
          <w:szCs w:val="24"/>
          <w:rtl/>
        </w:rPr>
        <w:t>على</w:t>
      </w:r>
      <w:r w:rsidR="00665475" w:rsidRPr="005D59A7">
        <w:rPr>
          <w:rFonts w:ascii="T" w:hAnsi="T" w:cs="Simplified Arabic"/>
          <w:sz w:val="24"/>
          <w:szCs w:val="24"/>
        </w:rPr>
        <w:t xml:space="preserve"> </w:t>
      </w:r>
      <w:r w:rsidRPr="005D59A7">
        <w:rPr>
          <w:rFonts w:ascii="T" w:hAnsi="T" w:cs="Simplified Arabic"/>
          <w:sz w:val="24"/>
          <w:szCs w:val="24"/>
          <w:rtl/>
        </w:rPr>
        <w:t>الصحة</w:t>
      </w:r>
      <w:r w:rsidR="00665475" w:rsidRPr="005D59A7">
        <w:rPr>
          <w:rFonts w:ascii="T" w:hAnsi="T" w:cs="Simplified Arabic"/>
          <w:sz w:val="24"/>
          <w:szCs w:val="24"/>
        </w:rPr>
        <w:t xml:space="preserve"> </w:t>
      </w:r>
      <w:r w:rsidRPr="005D59A7">
        <w:rPr>
          <w:rFonts w:ascii="T" w:hAnsi="T" w:cs="Simplified Arabic"/>
          <w:sz w:val="24"/>
          <w:szCs w:val="24"/>
          <w:rtl/>
        </w:rPr>
        <w:t>العامة. يؤدي</w:t>
      </w:r>
      <w:r w:rsidR="00665475" w:rsidRPr="005D59A7">
        <w:rPr>
          <w:rFonts w:ascii="T" w:hAnsi="T" w:cs="Simplified Arabic"/>
          <w:sz w:val="24"/>
          <w:szCs w:val="24"/>
        </w:rPr>
        <w:t xml:space="preserve"> </w:t>
      </w:r>
      <w:r w:rsidRPr="005D59A7">
        <w:rPr>
          <w:rFonts w:ascii="T" w:hAnsi="T" w:cs="Simplified Arabic"/>
          <w:sz w:val="24"/>
          <w:szCs w:val="24"/>
          <w:rtl/>
        </w:rPr>
        <w:t>هذا</w:t>
      </w:r>
      <w:r w:rsidR="00665475" w:rsidRPr="005D59A7">
        <w:rPr>
          <w:rFonts w:ascii="T" w:hAnsi="T" w:cs="Simplified Arabic"/>
          <w:sz w:val="24"/>
          <w:szCs w:val="24"/>
        </w:rPr>
        <w:t xml:space="preserve"> </w:t>
      </w:r>
      <w:r w:rsidRPr="005D59A7">
        <w:rPr>
          <w:rFonts w:ascii="T" w:hAnsi="T" w:cs="Simplified Arabic"/>
          <w:sz w:val="24"/>
          <w:szCs w:val="24"/>
          <w:rtl/>
        </w:rPr>
        <w:t>إلى</w:t>
      </w:r>
      <w:r w:rsidR="00665475" w:rsidRPr="005D59A7">
        <w:rPr>
          <w:rFonts w:ascii="T" w:hAnsi="T" w:cs="Simplified Arabic"/>
          <w:sz w:val="24"/>
          <w:szCs w:val="24"/>
        </w:rPr>
        <w:t xml:space="preserve"> </w:t>
      </w:r>
      <w:r w:rsidRPr="005D59A7">
        <w:rPr>
          <w:rFonts w:ascii="T" w:hAnsi="T" w:cs="Simplified Arabic"/>
          <w:sz w:val="24"/>
          <w:szCs w:val="24"/>
          <w:rtl/>
        </w:rPr>
        <w:t>زيادة</w:t>
      </w:r>
      <w:r w:rsidR="00665475" w:rsidRPr="005D59A7">
        <w:rPr>
          <w:rFonts w:ascii="T" w:hAnsi="T" w:cs="Simplified Arabic"/>
          <w:sz w:val="24"/>
          <w:szCs w:val="24"/>
        </w:rPr>
        <w:t xml:space="preserve"> </w:t>
      </w:r>
      <w:r w:rsidRPr="005D59A7">
        <w:rPr>
          <w:rFonts w:ascii="T" w:hAnsi="T" w:cs="Simplified Arabic"/>
          <w:sz w:val="24"/>
          <w:szCs w:val="24"/>
          <w:rtl/>
        </w:rPr>
        <w:t>تكاليف</w:t>
      </w:r>
      <w:r w:rsidR="00665475" w:rsidRPr="005D59A7">
        <w:rPr>
          <w:rFonts w:ascii="T" w:hAnsi="T" w:cs="Simplified Arabic"/>
          <w:sz w:val="24"/>
          <w:szCs w:val="24"/>
        </w:rPr>
        <w:t xml:space="preserve"> </w:t>
      </w:r>
      <w:r w:rsidRPr="005D59A7">
        <w:rPr>
          <w:rFonts w:ascii="T" w:hAnsi="T" w:cs="Simplified Arabic"/>
          <w:sz w:val="24"/>
          <w:szCs w:val="24"/>
          <w:rtl/>
        </w:rPr>
        <w:t>الرعاية</w:t>
      </w:r>
      <w:r w:rsidR="00665475" w:rsidRPr="005D59A7">
        <w:rPr>
          <w:rFonts w:ascii="T" w:hAnsi="T" w:cs="Simplified Arabic"/>
          <w:sz w:val="24"/>
          <w:szCs w:val="24"/>
        </w:rPr>
        <w:t xml:space="preserve"> </w:t>
      </w:r>
      <w:r w:rsidRPr="005D59A7">
        <w:rPr>
          <w:rFonts w:ascii="T" w:hAnsi="T" w:cs="Simplified Arabic"/>
          <w:sz w:val="24"/>
          <w:szCs w:val="24"/>
          <w:rtl/>
        </w:rPr>
        <w:t>الصحية،</w:t>
      </w:r>
      <w:r w:rsidR="00665475" w:rsidRPr="005D59A7">
        <w:rPr>
          <w:rFonts w:ascii="T" w:hAnsi="T" w:cs="Simplified Arabic"/>
          <w:sz w:val="24"/>
          <w:szCs w:val="24"/>
        </w:rPr>
        <w:t xml:space="preserve"> </w:t>
      </w:r>
      <w:r w:rsidRPr="005D59A7">
        <w:rPr>
          <w:rFonts w:ascii="T" w:hAnsi="T" w:cs="Simplified Arabic"/>
          <w:sz w:val="24"/>
          <w:szCs w:val="24"/>
          <w:rtl/>
        </w:rPr>
        <w:t>وانخفاض</w:t>
      </w:r>
      <w:r w:rsidR="00665475" w:rsidRPr="005D59A7">
        <w:rPr>
          <w:rFonts w:ascii="T" w:hAnsi="T" w:cs="Simplified Arabic"/>
          <w:sz w:val="24"/>
          <w:szCs w:val="24"/>
        </w:rPr>
        <w:t xml:space="preserve"> </w:t>
      </w:r>
      <w:r w:rsidRPr="005D59A7">
        <w:rPr>
          <w:rFonts w:ascii="T" w:hAnsi="T" w:cs="Simplified Arabic"/>
          <w:sz w:val="24"/>
          <w:szCs w:val="24"/>
          <w:rtl/>
        </w:rPr>
        <w:t>الإنتاجية</w:t>
      </w:r>
      <w:r w:rsidR="00665475" w:rsidRPr="005D59A7">
        <w:rPr>
          <w:rFonts w:ascii="T" w:hAnsi="T" w:cs="Simplified Arabic"/>
          <w:sz w:val="24"/>
          <w:szCs w:val="24"/>
        </w:rPr>
        <w:t xml:space="preserve"> </w:t>
      </w:r>
      <w:r w:rsidRPr="005D59A7">
        <w:rPr>
          <w:rFonts w:ascii="T" w:hAnsi="T" w:cs="Simplified Arabic"/>
          <w:sz w:val="24"/>
          <w:szCs w:val="24"/>
          <w:rtl/>
        </w:rPr>
        <w:t>بسبب</w:t>
      </w:r>
      <w:r w:rsidR="00665475" w:rsidRPr="005D59A7">
        <w:rPr>
          <w:rFonts w:ascii="T" w:hAnsi="T" w:cs="Simplified Arabic"/>
          <w:sz w:val="24"/>
          <w:szCs w:val="24"/>
        </w:rPr>
        <w:t xml:space="preserve"> </w:t>
      </w:r>
      <w:r w:rsidRPr="005D59A7">
        <w:rPr>
          <w:rFonts w:ascii="T" w:hAnsi="T" w:cs="Simplified Arabic"/>
          <w:sz w:val="24"/>
          <w:szCs w:val="24"/>
          <w:rtl/>
        </w:rPr>
        <w:t>الأمراض،</w:t>
      </w:r>
      <w:r w:rsidR="00665475" w:rsidRPr="005D59A7">
        <w:rPr>
          <w:rFonts w:ascii="T" w:hAnsi="T" w:cs="Simplified Arabic"/>
          <w:sz w:val="24"/>
          <w:szCs w:val="24"/>
        </w:rPr>
        <w:t xml:space="preserve"> </w:t>
      </w:r>
      <w:r w:rsidRPr="005D59A7">
        <w:rPr>
          <w:rFonts w:ascii="T" w:hAnsi="T" w:cs="Simplified Arabic"/>
          <w:sz w:val="24"/>
          <w:szCs w:val="24"/>
          <w:rtl/>
        </w:rPr>
        <w:t>وارتفاع</w:t>
      </w:r>
      <w:r w:rsidR="00665475" w:rsidRPr="005D59A7">
        <w:rPr>
          <w:rFonts w:ascii="T" w:hAnsi="T" w:cs="Simplified Arabic"/>
          <w:sz w:val="24"/>
          <w:szCs w:val="24"/>
        </w:rPr>
        <w:t xml:space="preserve"> </w:t>
      </w:r>
      <w:r w:rsidRPr="005D59A7">
        <w:rPr>
          <w:rFonts w:ascii="T" w:hAnsi="T" w:cs="Simplified Arabic"/>
          <w:sz w:val="24"/>
          <w:szCs w:val="24"/>
          <w:rtl/>
        </w:rPr>
        <w:t>معدل</w:t>
      </w:r>
      <w:r w:rsidR="00665475" w:rsidRPr="005D59A7">
        <w:rPr>
          <w:rFonts w:ascii="T" w:hAnsi="T" w:cs="Simplified Arabic"/>
          <w:sz w:val="24"/>
          <w:szCs w:val="24"/>
        </w:rPr>
        <w:t xml:space="preserve"> </w:t>
      </w:r>
      <w:r w:rsidRPr="005D59A7">
        <w:rPr>
          <w:rFonts w:ascii="T" w:hAnsi="T" w:cs="Simplified Arabic"/>
          <w:sz w:val="24"/>
          <w:szCs w:val="24"/>
          <w:rtl/>
        </w:rPr>
        <w:t>الإصابة</w:t>
      </w:r>
      <w:r w:rsidR="00665475" w:rsidRPr="005D59A7">
        <w:rPr>
          <w:rFonts w:ascii="T" w:hAnsi="T" w:cs="Simplified Arabic"/>
          <w:sz w:val="24"/>
          <w:szCs w:val="24"/>
        </w:rPr>
        <w:t xml:space="preserve"> </w:t>
      </w:r>
      <w:r w:rsidRPr="005D59A7">
        <w:rPr>
          <w:rFonts w:ascii="T" w:hAnsi="T" w:cs="Simplified Arabic"/>
          <w:sz w:val="24"/>
          <w:szCs w:val="24"/>
          <w:rtl/>
        </w:rPr>
        <w:t>بأمراض</w:t>
      </w:r>
      <w:r w:rsidR="00665475" w:rsidRPr="005D59A7">
        <w:rPr>
          <w:rFonts w:ascii="T" w:hAnsi="T" w:cs="Simplified Arabic"/>
          <w:sz w:val="24"/>
          <w:szCs w:val="24"/>
        </w:rPr>
        <w:t xml:space="preserve"> </w:t>
      </w:r>
      <w:r w:rsidRPr="005D59A7">
        <w:rPr>
          <w:rFonts w:ascii="T" w:hAnsi="T" w:cs="Simplified Arabic"/>
          <w:sz w:val="24"/>
          <w:szCs w:val="24"/>
          <w:rtl/>
        </w:rPr>
        <w:t>مثل</w:t>
      </w:r>
      <w:r w:rsidR="00665475" w:rsidRPr="005D59A7">
        <w:rPr>
          <w:rFonts w:ascii="T" w:hAnsi="T" w:cs="Simplified Arabic"/>
          <w:sz w:val="24"/>
          <w:szCs w:val="24"/>
        </w:rPr>
        <w:t xml:space="preserve"> </w:t>
      </w:r>
      <w:r w:rsidRPr="005D59A7">
        <w:rPr>
          <w:rFonts w:ascii="T" w:hAnsi="T" w:cs="Simplified Arabic"/>
          <w:sz w:val="24"/>
          <w:szCs w:val="24"/>
          <w:rtl/>
        </w:rPr>
        <w:t>أمراض</w:t>
      </w:r>
      <w:r w:rsidR="00665475" w:rsidRPr="005D59A7">
        <w:rPr>
          <w:rFonts w:ascii="T" w:hAnsi="T" w:cs="Simplified Arabic"/>
          <w:sz w:val="24"/>
          <w:szCs w:val="24"/>
        </w:rPr>
        <w:t xml:space="preserve"> </w:t>
      </w:r>
      <w:r w:rsidRPr="005D59A7">
        <w:rPr>
          <w:rFonts w:ascii="T" w:hAnsi="T" w:cs="Simplified Arabic"/>
          <w:sz w:val="24"/>
          <w:szCs w:val="24"/>
          <w:rtl/>
        </w:rPr>
        <w:t>الجهاز</w:t>
      </w:r>
      <w:r w:rsidR="00665475" w:rsidRPr="005D59A7">
        <w:rPr>
          <w:rFonts w:ascii="T" w:hAnsi="T" w:cs="Simplified Arabic"/>
          <w:sz w:val="24"/>
          <w:szCs w:val="24"/>
        </w:rPr>
        <w:t xml:space="preserve"> </w:t>
      </w:r>
      <w:r w:rsidRPr="005D59A7">
        <w:rPr>
          <w:rFonts w:ascii="T" w:hAnsi="T" w:cs="Simplified Arabic"/>
          <w:sz w:val="24"/>
          <w:szCs w:val="24"/>
          <w:rtl/>
        </w:rPr>
        <w:t>التنفسي</w:t>
      </w:r>
      <w:r w:rsidR="00665475" w:rsidRPr="005D59A7">
        <w:rPr>
          <w:rFonts w:ascii="T" w:hAnsi="T" w:cs="Simplified Arabic"/>
          <w:sz w:val="24"/>
          <w:szCs w:val="24"/>
        </w:rPr>
        <w:t xml:space="preserve"> </w:t>
      </w:r>
      <w:r w:rsidRPr="005D59A7">
        <w:rPr>
          <w:rFonts w:ascii="T" w:hAnsi="T" w:cs="Simplified Arabic"/>
          <w:sz w:val="24"/>
          <w:szCs w:val="24"/>
          <w:rtl/>
        </w:rPr>
        <w:t>والسرطان (</w:t>
      </w:r>
      <w:r w:rsidRPr="005D59A7">
        <w:rPr>
          <w:rFonts w:ascii="T" w:hAnsi="T" w:cs="Simplified Arabic"/>
          <w:sz w:val="24"/>
          <w:szCs w:val="24"/>
        </w:rPr>
        <w:t>WHO, 2024</w:t>
      </w:r>
      <w:r w:rsidRPr="005D59A7">
        <w:rPr>
          <w:rFonts w:ascii="T" w:hAnsi="T" w:cs="Simplified Arabic"/>
          <w:sz w:val="24"/>
          <w:szCs w:val="24"/>
          <w:rtl/>
        </w:rPr>
        <w:t>).</w:t>
      </w:r>
    </w:p>
    <w:p w14:paraId="44C786D4" w14:textId="77777777" w:rsidR="00665475"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الاستهلاك</w:t>
      </w:r>
      <w:r w:rsidR="00665475" w:rsidRPr="005D59A7">
        <w:rPr>
          <w:rFonts w:ascii="T" w:hAnsi="T" w:cs="Simplified Arabic"/>
          <w:sz w:val="24"/>
          <w:szCs w:val="24"/>
        </w:rPr>
        <w:t xml:space="preserve"> </w:t>
      </w:r>
      <w:r w:rsidRPr="005D59A7">
        <w:rPr>
          <w:rFonts w:ascii="T" w:hAnsi="T" w:cs="Simplified Arabic"/>
          <w:sz w:val="24"/>
          <w:szCs w:val="24"/>
          <w:rtl/>
        </w:rPr>
        <w:t>غير</w:t>
      </w:r>
      <w:r w:rsidR="00665475" w:rsidRPr="005D59A7">
        <w:rPr>
          <w:rFonts w:ascii="T" w:hAnsi="T" w:cs="Simplified Arabic"/>
          <w:sz w:val="24"/>
          <w:szCs w:val="24"/>
        </w:rPr>
        <w:t xml:space="preserve"> </w:t>
      </w:r>
      <w:r w:rsidRPr="005D59A7">
        <w:rPr>
          <w:rFonts w:ascii="T" w:hAnsi="T" w:cs="Simplified Arabic"/>
          <w:sz w:val="24"/>
          <w:szCs w:val="24"/>
          <w:rtl/>
        </w:rPr>
        <w:t>المستدام</w:t>
      </w:r>
      <w:r w:rsidR="00665475" w:rsidRPr="005D59A7">
        <w:rPr>
          <w:rFonts w:ascii="T" w:hAnsi="T" w:cs="Simplified Arabic"/>
          <w:sz w:val="24"/>
          <w:szCs w:val="24"/>
        </w:rPr>
        <w:t xml:space="preserve"> </w:t>
      </w:r>
      <w:r w:rsidRPr="005D59A7">
        <w:rPr>
          <w:rFonts w:ascii="T" w:hAnsi="T" w:cs="Simplified Arabic"/>
          <w:sz w:val="24"/>
          <w:szCs w:val="24"/>
          <w:rtl/>
        </w:rPr>
        <w:t>للموارد: تُعد</w:t>
      </w:r>
      <w:r w:rsidR="00665475" w:rsidRPr="005D59A7">
        <w:rPr>
          <w:rFonts w:ascii="T" w:hAnsi="T" w:cs="Simplified Arabic"/>
          <w:sz w:val="24"/>
          <w:szCs w:val="24"/>
        </w:rPr>
        <w:t xml:space="preserve"> </w:t>
      </w:r>
      <w:r w:rsidRPr="005D59A7">
        <w:rPr>
          <w:rFonts w:ascii="T" w:hAnsi="T" w:cs="Simplified Arabic"/>
          <w:sz w:val="24"/>
          <w:szCs w:val="24"/>
          <w:rtl/>
        </w:rPr>
        <w:t>المملكة</w:t>
      </w:r>
      <w:r w:rsidR="00665475" w:rsidRPr="005D59A7">
        <w:rPr>
          <w:rFonts w:ascii="T" w:hAnsi="T" w:cs="Simplified Arabic"/>
          <w:sz w:val="24"/>
          <w:szCs w:val="24"/>
        </w:rPr>
        <w:t xml:space="preserve"> </w:t>
      </w:r>
      <w:r w:rsidRPr="005D59A7">
        <w:rPr>
          <w:rFonts w:ascii="T" w:hAnsi="T" w:cs="Simplified Arabic"/>
          <w:sz w:val="24"/>
          <w:szCs w:val="24"/>
          <w:rtl/>
        </w:rPr>
        <w:t>العربية</w:t>
      </w:r>
      <w:r w:rsidR="00665475" w:rsidRPr="005D59A7">
        <w:rPr>
          <w:rFonts w:ascii="T" w:hAnsi="T" w:cs="Simplified Arabic"/>
          <w:sz w:val="24"/>
          <w:szCs w:val="24"/>
        </w:rPr>
        <w:t xml:space="preserve"> </w:t>
      </w:r>
      <w:r w:rsidRPr="005D59A7">
        <w:rPr>
          <w:rFonts w:ascii="T" w:hAnsi="T" w:cs="Simplified Arabic"/>
          <w:sz w:val="24"/>
          <w:szCs w:val="24"/>
          <w:rtl/>
        </w:rPr>
        <w:t>السعودية</w:t>
      </w:r>
      <w:r w:rsidR="00665475" w:rsidRPr="005D59A7">
        <w:rPr>
          <w:rFonts w:ascii="T" w:hAnsi="T" w:cs="Simplified Arabic"/>
          <w:sz w:val="24"/>
          <w:szCs w:val="24"/>
        </w:rPr>
        <w:t xml:space="preserve"> </w:t>
      </w:r>
      <w:r w:rsidRPr="005D59A7">
        <w:rPr>
          <w:rFonts w:ascii="T" w:hAnsi="T" w:cs="Simplified Arabic"/>
          <w:sz w:val="24"/>
          <w:szCs w:val="24"/>
          <w:rtl/>
        </w:rPr>
        <w:t>من</w:t>
      </w:r>
      <w:r w:rsidR="00665475" w:rsidRPr="005D59A7">
        <w:rPr>
          <w:rFonts w:ascii="T" w:hAnsi="T" w:cs="Simplified Arabic"/>
          <w:sz w:val="24"/>
          <w:szCs w:val="24"/>
        </w:rPr>
        <w:t xml:space="preserve"> </w:t>
      </w:r>
      <w:r w:rsidRPr="005D59A7">
        <w:rPr>
          <w:rFonts w:ascii="T" w:hAnsi="T" w:cs="Simplified Arabic"/>
          <w:sz w:val="24"/>
          <w:szCs w:val="24"/>
          <w:rtl/>
        </w:rPr>
        <w:t>أكبر</w:t>
      </w:r>
      <w:r w:rsidR="00665475" w:rsidRPr="005D59A7">
        <w:rPr>
          <w:rFonts w:ascii="T" w:hAnsi="T" w:cs="Simplified Arabic"/>
          <w:sz w:val="24"/>
          <w:szCs w:val="24"/>
        </w:rPr>
        <w:t xml:space="preserve"> </w:t>
      </w:r>
      <w:r w:rsidRPr="005D59A7">
        <w:rPr>
          <w:rFonts w:ascii="T" w:hAnsi="T" w:cs="Simplified Arabic"/>
          <w:sz w:val="24"/>
          <w:szCs w:val="24"/>
          <w:rtl/>
        </w:rPr>
        <w:t>مستهلكي</w:t>
      </w:r>
      <w:r w:rsidR="00665475" w:rsidRPr="005D59A7">
        <w:rPr>
          <w:rFonts w:ascii="T" w:hAnsi="T" w:cs="Simplified Arabic"/>
          <w:sz w:val="24"/>
          <w:szCs w:val="24"/>
        </w:rPr>
        <w:t xml:space="preserve"> </w:t>
      </w:r>
      <w:r w:rsidRPr="005D59A7">
        <w:rPr>
          <w:rFonts w:ascii="T" w:hAnsi="T" w:cs="Simplified Arabic"/>
          <w:sz w:val="24"/>
          <w:szCs w:val="24"/>
          <w:rtl/>
        </w:rPr>
        <w:t>المياه</w:t>
      </w:r>
      <w:r w:rsidR="00665475" w:rsidRPr="005D59A7">
        <w:rPr>
          <w:rFonts w:ascii="T" w:hAnsi="T" w:cs="Simplified Arabic"/>
          <w:sz w:val="24"/>
          <w:szCs w:val="24"/>
        </w:rPr>
        <w:t xml:space="preserve"> </w:t>
      </w:r>
      <w:r w:rsidRPr="005D59A7">
        <w:rPr>
          <w:rFonts w:ascii="T" w:hAnsi="T" w:cs="Simplified Arabic"/>
          <w:sz w:val="24"/>
          <w:szCs w:val="24"/>
          <w:rtl/>
        </w:rPr>
        <w:t>للفرد</w:t>
      </w:r>
      <w:r w:rsidR="00665475" w:rsidRPr="005D59A7">
        <w:rPr>
          <w:rFonts w:ascii="T" w:hAnsi="T" w:cs="Simplified Arabic"/>
          <w:sz w:val="24"/>
          <w:szCs w:val="24"/>
        </w:rPr>
        <w:t xml:space="preserve"> </w:t>
      </w:r>
      <w:r w:rsidRPr="005D59A7">
        <w:rPr>
          <w:rFonts w:ascii="T" w:hAnsi="T" w:cs="Simplified Arabic"/>
          <w:sz w:val="24"/>
          <w:szCs w:val="24"/>
          <w:rtl/>
        </w:rPr>
        <w:t>في</w:t>
      </w:r>
      <w:r w:rsidR="00665475" w:rsidRPr="005D59A7">
        <w:rPr>
          <w:rFonts w:ascii="T" w:hAnsi="T" w:cs="Simplified Arabic"/>
          <w:sz w:val="24"/>
          <w:szCs w:val="24"/>
        </w:rPr>
        <w:t xml:space="preserve"> </w:t>
      </w:r>
      <w:r w:rsidRPr="005D59A7">
        <w:rPr>
          <w:rFonts w:ascii="T" w:hAnsi="T" w:cs="Simplified Arabic"/>
          <w:sz w:val="24"/>
          <w:szCs w:val="24"/>
          <w:rtl/>
        </w:rPr>
        <w:t>العالم،</w:t>
      </w:r>
      <w:r w:rsidR="00665475" w:rsidRPr="005D59A7">
        <w:rPr>
          <w:rFonts w:ascii="T" w:hAnsi="T" w:cs="Simplified Arabic"/>
          <w:sz w:val="24"/>
          <w:szCs w:val="24"/>
        </w:rPr>
        <w:t xml:space="preserve"> </w:t>
      </w:r>
      <w:r w:rsidRPr="005D59A7">
        <w:rPr>
          <w:rFonts w:ascii="T" w:hAnsi="T" w:cs="Simplified Arabic"/>
          <w:sz w:val="24"/>
          <w:szCs w:val="24"/>
          <w:rtl/>
        </w:rPr>
        <w:t>على</w:t>
      </w:r>
      <w:r w:rsidR="00665475" w:rsidRPr="005D59A7">
        <w:rPr>
          <w:rFonts w:ascii="T" w:hAnsi="T" w:cs="Simplified Arabic"/>
          <w:sz w:val="24"/>
          <w:szCs w:val="24"/>
        </w:rPr>
        <w:t xml:space="preserve"> </w:t>
      </w:r>
      <w:r w:rsidRPr="005D59A7">
        <w:rPr>
          <w:rFonts w:ascii="T" w:hAnsi="T" w:cs="Simplified Arabic"/>
          <w:sz w:val="24"/>
          <w:szCs w:val="24"/>
          <w:rtl/>
        </w:rPr>
        <w:t>الرغم</w:t>
      </w:r>
      <w:r w:rsidR="00665475" w:rsidRPr="005D59A7">
        <w:rPr>
          <w:rFonts w:ascii="T" w:hAnsi="T" w:cs="Simplified Arabic"/>
          <w:sz w:val="24"/>
          <w:szCs w:val="24"/>
        </w:rPr>
        <w:t xml:space="preserve"> </w:t>
      </w:r>
      <w:r w:rsidRPr="005D59A7">
        <w:rPr>
          <w:rFonts w:ascii="T" w:hAnsi="T" w:cs="Simplified Arabic"/>
          <w:sz w:val="24"/>
          <w:szCs w:val="24"/>
          <w:rtl/>
        </w:rPr>
        <w:t>من</w:t>
      </w:r>
      <w:r w:rsidR="00665475" w:rsidRPr="005D59A7">
        <w:rPr>
          <w:rFonts w:ascii="T" w:hAnsi="T" w:cs="Simplified Arabic"/>
          <w:sz w:val="24"/>
          <w:szCs w:val="24"/>
        </w:rPr>
        <w:t xml:space="preserve"> </w:t>
      </w:r>
      <w:r w:rsidRPr="005D59A7">
        <w:rPr>
          <w:rFonts w:ascii="T" w:hAnsi="T" w:cs="Simplified Arabic"/>
          <w:sz w:val="24"/>
          <w:szCs w:val="24"/>
          <w:rtl/>
        </w:rPr>
        <w:t>وقوعها</w:t>
      </w:r>
      <w:r w:rsidR="00665475" w:rsidRPr="005D59A7">
        <w:rPr>
          <w:rFonts w:ascii="T" w:hAnsi="T" w:cs="Simplified Arabic"/>
          <w:sz w:val="24"/>
          <w:szCs w:val="24"/>
        </w:rPr>
        <w:t xml:space="preserve"> </w:t>
      </w:r>
      <w:r w:rsidRPr="005D59A7">
        <w:rPr>
          <w:rFonts w:ascii="T" w:hAnsi="T" w:cs="Simplified Arabic"/>
          <w:sz w:val="24"/>
          <w:szCs w:val="24"/>
          <w:rtl/>
        </w:rPr>
        <w:t>في</w:t>
      </w:r>
      <w:r w:rsidR="00665475" w:rsidRPr="005D59A7">
        <w:rPr>
          <w:rFonts w:ascii="T" w:hAnsi="T" w:cs="Simplified Arabic"/>
          <w:sz w:val="24"/>
          <w:szCs w:val="24"/>
        </w:rPr>
        <w:t xml:space="preserve"> </w:t>
      </w:r>
      <w:r w:rsidRPr="005D59A7">
        <w:rPr>
          <w:rFonts w:ascii="T" w:hAnsi="T" w:cs="Simplified Arabic"/>
          <w:sz w:val="24"/>
          <w:szCs w:val="24"/>
          <w:rtl/>
        </w:rPr>
        <w:t>إحدى</w:t>
      </w:r>
      <w:r w:rsidR="00665475" w:rsidRPr="005D59A7">
        <w:rPr>
          <w:rFonts w:ascii="T" w:hAnsi="T" w:cs="Simplified Arabic"/>
          <w:sz w:val="24"/>
          <w:szCs w:val="24"/>
        </w:rPr>
        <w:t xml:space="preserve"> </w:t>
      </w:r>
      <w:r w:rsidRPr="005D59A7">
        <w:rPr>
          <w:rFonts w:ascii="T" w:hAnsi="T" w:cs="Simplified Arabic"/>
          <w:sz w:val="24"/>
          <w:szCs w:val="24"/>
          <w:rtl/>
        </w:rPr>
        <w:t>أكثر</w:t>
      </w:r>
      <w:r w:rsidR="00665475" w:rsidRPr="005D59A7">
        <w:rPr>
          <w:rFonts w:ascii="T" w:hAnsi="T" w:cs="Simplified Arabic"/>
          <w:sz w:val="24"/>
          <w:szCs w:val="24"/>
        </w:rPr>
        <w:t xml:space="preserve"> </w:t>
      </w:r>
      <w:r w:rsidRPr="005D59A7">
        <w:rPr>
          <w:rFonts w:ascii="T" w:hAnsi="T" w:cs="Simplified Arabic"/>
          <w:sz w:val="24"/>
          <w:szCs w:val="24"/>
          <w:rtl/>
        </w:rPr>
        <w:t>المناطق</w:t>
      </w:r>
      <w:r w:rsidR="00665475" w:rsidRPr="005D59A7">
        <w:rPr>
          <w:rFonts w:ascii="T" w:hAnsi="T" w:cs="Simplified Arabic"/>
          <w:sz w:val="24"/>
          <w:szCs w:val="24"/>
        </w:rPr>
        <w:t xml:space="preserve"> </w:t>
      </w:r>
      <w:r w:rsidRPr="005D59A7">
        <w:rPr>
          <w:rFonts w:ascii="T" w:hAnsi="T" w:cs="Simplified Arabic"/>
          <w:sz w:val="24"/>
          <w:szCs w:val="24"/>
          <w:rtl/>
        </w:rPr>
        <w:t>جفافًا. هذا</w:t>
      </w:r>
      <w:r w:rsidR="00665475" w:rsidRPr="005D59A7">
        <w:rPr>
          <w:rFonts w:ascii="T" w:hAnsi="T" w:cs="Simplified Arabic"/>
          <w:sz w:val="24"/>
          <w:szCs w:val="24"/>
        </w:rPr>
        <w:t xml:space="preserve"> </w:t>
      </w:r>
      <w:r w:rsidRPr="005D59A7">
        <w:rPr>
          <w:rFonts w:ascii="T" w:hAnsi="T" w:cs="Simplified Arabic"/>
          <w:sz w:val="24"/>
          <w:szCs w:val="24"/>
          <w:rtl/>
        </w:rPr>
        <w:t>الاعتماد</w:t>
      </w:r>
      <w:r w:rsidR="00665475" w:rsidRPr="005D59A7">
        <w:rPr>
          <w:rFonts w:ascii="T" w:hAnsi="T" w:cs="Simplified Arabic"/>
          <w:sz w:val="24"/>
          <w:szCs w:val="24"/>
        </w:rPr>
        <w:t xml:space="preserve"> </w:t>
      </w:r>
      <w:r w:rsidRPr="005D59A7">
        <w:rPr>
          <w:rFonts w:ascii="T" w:hAnsi="T" w:cs="Simplified Arabic"/>
          <w:sz w:val="24"/>
          <w:szCs w:val="24"/>
          <w:rtl/>
        </w:rPr>
        <w:t>غير</w:t>
      </w:r>
      <w:r w:rsidR="00665475" w:rsidRPr="005D59A7">
        <w:rPr>
          <w:rFonts w:ascii="T" w:hAnsi="T" w:cs="Simplified Arabic"/>
          <w:sz w:val="24"/>
          <w:szCs w:val="24"/>
        </w:rPr>
        <w:t xml:space="preserve"> </w:t>
      </w:r>
      <w:r w:rsidRPr="005D59A7">
        <w:rPr>
          <w:rFonts w:ascii="T" w:hAnsi="T" w:cs="Simplified Arabic"/>
          <w:sz w:val="24"/>
          <w:szCs w:val="24"/>
          <w:rtl/>
        </w:rPr>
        <w:t>المستدام</w:t>
      </w:r>
      <w:r w:rsidR="00665475" w:rsidRPr="005D59A7">
        <w:rPr>
          <w:rFonts w:ascii="T" w:hAnsi="T" w:cs="Simplified Arabic"/>
          <w:sz w:val="24"/>
          <w:szCs w:val="24"/>
        </w:rPr>
        <w:t xml:space="preserve"> </w:t>
      </w:r>
      <w:r w:rsidRPr="005D59A7">
        <w:rPr>
          <w:rFonts w:ascii="T" w:hAnsi="T" w:cs="Simplified Arabic"/>
          <w:sz w:val="24"/>
          <w:szCs w:val="24"/>
          <w:rtl/>
        </w:rPr>
        <w:t>على</w:t>
      </w:r>
      <w:r w:rsidR="00665475" w:rsidRPr="005D59A7">
        <w:rPr>
          <w:rFonts w:ascii="T" w:hAnsi="T" w:cs="Simplified Arabic"/>
          <w:sz w:val="24"/>
          <w:szCs w:val="24"/>
        </w:rPr>
        <w:t xml:space="preserve"> </w:t>
      </w:r>
      <w:r w:rsidRPr="005D59A7">
        <w:rPr>
          <w:rFonts w:ascii="T" w:hAnsi="T" w:cs="Simplified Arabic"/>
          <w:sz w:val="24"/>
          <w:szCs w:val="24"/>
          <w:rtl/>
        </w:rPr>
        <w:t>مصادر</w:t>
      </w:r>
      <w:r w:rsidR="00665475" w:rsidRPr="005D59A7">
        <w:rPr>
          <w:rFonts w:ascii="T" w:hAnsi="T" w:cs="Simplified Arabic"/>
          <w:sz w:val="24"/>
          <w:szCs w:val="24"/>
        </w:rPr>
        <w:t xml:space="preserve"> </w:t>
      </w:r>
      <w:r w:rsidRPr="005D59A7">
        <w:rPr>
          <w:rFonts w:ascii="T" w:hAnsi="T" w:cs="Simplified Arabic"/>
          <w:sz w:val="24"/>
          <w:szCs w:val="24"/>
          <w:rtl/>
        </w:rPr>
        <w:t>المياه</w:t>
      </w:r>
      <w:r w:rsidR="00665475" w:rsidRPr="005D59A7">
        <w:rPr>
          <w:rFonts w:ascii="T" w:hAnsi="T" w:cs="Simplified Arabic"/>
          <w:sz w:val="24"/>
          <w:szCs w:val="24"/>
        </w:rPr>
        <w:t xml:space="preserve"> </w:t>
      </w:r>
      <w:r w:rsidRPr="005D59A7">
        <w:rPr>
          <w:rFonts w:ascii="T" w:hAnsi="T" w:cs="Simplified Arabic"/>
          <w:sz w:val="24"/>
          <w:szCs w:val="24"/>
          <w:rtl/>
        </w:rPr>
        <w:t>المحدودة،</w:t>
      </w:r>
      <w:r w:rsidR="00665475" w:rsidRPr="005D59A7">
        <w:rPr>
          <w:rFonts w:ascii="T" w:hAnsi="T" w:cs="Simplified Arabic"/>
          <w:sz w:val="24"/>
          <w:szCs w:val="24"/>
        </w:rPr>
        <w:t xml:space="preserve"> </w:t>
      </w:r>
      <w:r w:rsidRPr="005D59A7">
        <w:rPr>
          <w:rFonts w:ascii="T" w:hAnsi="T" w:cs="Simplified Arabic"/>
          <w:sz w:val="24"/>
          <w:szCs w:val="24"/>
          <w:rtl/>
        </w:rPr>
        <w:t>والذي</w:t>
      </w:r>
      <w:r w:rsidR="00665475" w:rsidRPr="005D59A7">
        <w:rPr>
          <w:rFonts w:ascii="T" w:hAnsi="T" w:cs="Simplified Arabic"/>
          <w:sz w:val="24"/>
          <w:szCs w:val="24"/>
        </w:rPr>
        <w:t xml:space="preserve"> </w:t>
      </w:r>
      <w:r w:rsidRPr="005D59A7">
        <w:rPr>
          <w:rFonts w:ascii="T" w:hAnsi="T" w:cs="Simplified Arabic"/>
          <w:sz w:val="24"/>
          <w:szCs w:val="24"/>
          <w:rtl/>
        </w:rPr>
        <w:t>يتفاقم</w:t>
      </w:r>
      <w:r w:rsidR="00665475" w:rsidRPr="005D59A7">
        <w:rPr>
          <w:rFonts w:ascii="T" w:hAnsi="T" w:cs="Simplified Arabic"/>
          <w:sz w:val="24"/>
          <w:szCs w:val="24"/>
        </w:rPr>
        <w:t xml:space="preserve"> </w:t>
      </w:r>
      <w:r w:rsidRPr="005D59A7">
        <w:rPr>
          <w:rFonts w:ascii="T" w:hAnsi="T" w:cs="Simplified Arabic"/>
          <w:sz w:val="24"/>
          <w:szCs w:val="24"/>
          <w:rtl/>
        </w:rPr>
        <w:t>بسبب</w:t>
      </w:r>
      <w:r w:rsidR="00665475" w:rsidRPr="005D59A7">
        <w:rPr>
          <w:rFonts w:ascii="T" w:hAnsi="T" w:cs="Simplified Arabic"/>
          <w:sz w:val="24"/>
          <w:szCs w:val="24"/>
        </w:rPr>
        <w:t xml:space="preserve"> </w:t>
      </w:r>
      <w:r w:rsidRPr="005D59A7">
        <w:rPr>
          <w:rFonts w:ascii="T" w:hAnsi="T" w:cs="Simplified Arabic"/>
          <w:sz w:val="24"/>
          <w:szCs w:val="24"/>
          <w:rtl/>
        </w:rPr>
        <w:t>التصحر،</w:t>
      </w:r>
      <w:r w:rsidR="00665475" w:rsidRPr="005D59A7">
        <w:rPr>
          <w:rFonts w:ascii="T" w:hAnsi="T" w:cs="Simplified Arabic"/>
          <w:sz w:val="24"/>
          <w:szCs w:val="24"/>
        </w:rPr>
        <w:t xml:space="preserve"> </w:t>
      </w:r>
      <w:r w:rsidRPr="005D59A7">
        <w:rPr>
          <w:rFonts w:ascii="T" w:hAnsi="T" w:cs="Simplified Arabic"/>
          <w:sz w:val="24"/>
          <w:szCs w:val="24"/>
          <w:rtl/>
        </w:rPr>
        <w:t>يُهدد</w:t>
      </w:r>
      <w:r w:rsidR="00665475" w:rsidRPr="005D59A7">
        <w:rPr>
          <w:rFonts w:ascii="T" w:hAnsi="T" w:cs="Simplified Arabic"/>
          <w:sz w:val="24"/>
          <w:szCs w:val="24"/>
        </w:rPr>
        <w:t xml:space="preserve"> </w:t>
      </w:r>
      <w:r w:rsidRPr="005D59A7">
        <w:rPr>
          <w:rFonts w:ascii="T" w:hAnsi="T" w:cs="Simplified Arabic"/>
          <w:sz w:val="24"/>
          <w:szCs w:val="24"/>
          <w:rtl/>
        </w:rPr>
        <w:t>بشكل</w:t>
      </w:r>
      <w:r w:rsidR="00665475" w:rsidRPr="005D59A7">
        <w:rPr>
          <w:rFonts w:ascii="T" w:hAnsi="T" w:cs="Simplified Arabic"/>
          <w:sz w:val="24"/>
          <w:szCs w:val="24"/>
        </w:rPr>
        <w:t xml:space="preserve"> </w:t>
      </w:r>
      <w:r w:rsidRPr="005D59A7">
        <w:rPr>
          <w:rFonts w:ascii="T" w:hAnsi="T" w:cs="Simplified Arabic"/>
          <w:sz w:val="24"/>
          <w:szCs w:val="24"/>
          <w:rtl/>
        </w:rPr>
        <w:t>أكبر</w:t>
      </w:r>
      <w:r w:rsidR="00665475" w:rsidRPr="005D59A7">
        <w:rPr>
          <w:rFonts w:ascii="T" w:hAnsi="T" w:cs="Simplified Arabic"/>
          <w:sz w:val="24"/>
          <w:szCs w:val="24"/>
        </w:rPr>
        <w:t xml:space="preserve"> </w:t>
      </w:r>
      <w:r w:rsidRPr="005D59A7">
        <w:rPr>
          <w:rFonts w:ascii="T" w:hAnsi="T" w:cs="Simplified Arabic"/>
          <w:sz w:val="24"/>
          <w:szCs w:val="24"/>
          <w:rtl/>
        </w:rPr>
        <w:t>توافر</w:t>
      </w:r>
      <w:r w:rsidR="00665475" w:rsidRPr="005D59A7">
        <w:rPr>
          <w:rFonts w:ascii="T" w:hAnsi="T" w:cs="Simplified Arabic"/>
          <w:sz w:val="24"/>
          <w:szCs w:val="24"/>
        </w:rPr>
        <w:t xml:space="preserve"> </w:t>
      </w:r>
      <w:r w:rsidRPr="005D59A7">
        <w:rPr>
          <w:rFonts w:ascii="T" w:hAnsi="T" w:cs="Simplified Arabic"/>
          <w:sz w:val="24"/>
          <w:szCs w:val="24"/>
          <w:rtl/>
        </w:rPr>
        <w:t>الموارد</w:t>
      </w:r>
      <w:r w:rsidR="00665475" w:rsidRPr="005D59A7">
        <w:rPr>
          <w:rFonts w:ascii="T" w:hAnsi="T" w:cs="Simplified Arabic"/>
          <w:sz w:val="24"/>
          <w:szCs w:val="24"/>
        </w:rPr>
        <w:t xml:space="preserve"> </w:t>
      </w:r>
      <w:r w:rsidRPr="005D59A7">
        <w:rPr>
          <w:rFonts w:ascii="T" w:hAnsi="T" w:cs="Simplified Arabic"/>
          <w:sz w:val="24"/>
          <w:szCs w:val="24"/>
          <w:rtl/>
        </w:rPr>
        <w:t>والإنتاجية</w:t>
      </w:r>
      <w:r w:rsidR="00665475" w:rsidRPr="005D59A7">
        <w:rPr>
          <w:rFonts w:ascii="T" w:hAnsi="T" w:cs="Simplified Arabic"/>
          <w:sz w:val="24"/>
          <w:szCs w:val="24"/>
        </w:rPr>
        <w:t xml:space="preserve"> </w:t>
      </w:r>
      <w:r w:rsidRPr="005D59A7">
        <w:rPr>
          <w:rFonts w:ascii="T" w:hAnsi="T" w:cs="Simplified Arabic"/>
          <w:sz w:val="24"/>
          <w:szCs w:val="24"/>
          <w:rtl/>
        </w:rPr>
        <w:t>الزراعية (</w:t>
      </w:r>
      <w:r w:rsidRPr="005D59A7">
        <w:rPr>
          <w:rFonts w:ascii="T" w:hAnsi="T" w:cs="Simplified Arabic"/>
          <w:sz w:val="24"/>
          <w:szCs w:val="24"/>
        </w:rPr>
        <w:t>CITA, 2024</w:t>
      </w:r>
      <w:r w:rsidRPr="005D59A7">
        <w:rPr>
          <w:rFonts w:ascii="T" w:hAnsi="T" w:cs="Simplified Arabic"/>
          <w:sz w:val="24"/>
          <w:szCs w:val="24"/>
          <w:rtl/>
        </w:rPr>
        <w:t>).</w:t>
      </w:r>
    </w:p>
    <w:p w14:paraId="358C3CAC" w14:textId="77777777" w:rsidR="005A5496" w:rsidRPr="005D59A7" w:rsidRDefault="005A5496" w:rsidP="000D16AD">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وتكمن أهمية الدراسة في تطوير نموذج شراكة بين القطاعين العام والخاص بتفاصيل دقيقة لخدمة بيئية من اختيار الباحث، وحيث أن الشراكة بين القطاعين العام والخاص حذت نحو اتجاه مختلف وأكثر فاعلية بعد إطلاق رؤية المملكة 2030 وتعد حتى اليوم في مراحل مبدئية عند الأخذ بالاعتبار الخدمات الأساسية والهيكلة التنظيمية.</w:t>
      </w:r>
    </w:p>
    <w:p w14:paraId="60005B2A" w14:textId="1284440D" w:rsidR="00920785" w:rsidRPr="005D59A7" w:rsidRDefault="00FB7749" w:rsidP="000D16AD">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ومن هنا، تنبع الأهمية التطبيقية في اختيار خدمة بيئية محددة مثل التفتيش البيئي ودراسة الفجوة الحالية بها من الإجراءات والتكاليف الرأس مالية والتشغيلية، و</w:t>
      </w:r>
      <w:r w:rsidR="005F48DB" w:rsidRPr="005D59A7">
        <w:rPr>
          <w:rFonts w:ascii="T" w:hAnsi="T" w:cs="Simplified Arabic"/>
          <w:sz w:val="24"/>
          <w:szCs w:val="24"/>
          <w:rtl/>
        </w:rPr>
        <w:t>عرض الدراسات السابقة المتوفرة بهذا الخصوص ل</w:t>
      </w:r>
      <w:r w:rsidRPr="005D59A7">
        <w:rPr>
          <w:rFonts w:ascii="T" w:hAnsi="T" w:cs="Simplified Arabic"/>
          <w:sz w:val="24"/>
          <w:szCs w:val="24"/>
          <w:rtl/>
        </w:rPr>
        <w:t>اقتراح نموذج شراكة بين القطاعي</w:t>
      </w:r>
      <w:r w:rsidR="005F48DB" w:rsidRPr="005D59A7">
        <w:rPr>
          <w:rFonts w:ascii="T" w:hAnsi="T" w:cs="Simplified Arabic"/>
          <w:sz w:val="24"/>
          <w:szCs w:val="24"/>
          <w:rtl/>
        </w:rPr>
        <w:t>ن العام والخاص لها</w:t>
      </w:r>
      <w:r w:rsidR="00C54779" w:rsidRPr="005D59A7">
        <w:rPr>
          <w:rFonts w:ascii="T" w:hAnsi="T" w:cs="Simplified Arabic"/>
          <w:sz w:val="24"/>
          <w:szCs w:val="24"/>
          <w:rtl/>
        </w:rPr>
        <w:t xml:space="preserve"> والذي يمكن استخدامه كنموذج للخدمات الأخرى</w:t>
      </w:r>
      <w:r w:rsidR="005F48DB" w:rsidRPr="005D59A7">
        <w:rPr>
          <w:rFonts w:ascii="T" w:hAnsi="T" w:cs="Simplified Arabic"/>
          <w:sz w:val="24"/>
          <w:szCs w:val="24"/>
          <w:rtl/>
        </w:rPr>
        <w:t xml:space="preserve">. </w:t>
      </w:r>
    </w:p>
    <w:tbl>
      <w:tblPr>
        <w:tblStyle w:val="TableGrid"/>
        <w:bidiVisual/>
        <w:tblW w:w="0" w:type="auto"/>
        <w:tblLook w:val="04A0" w:firstRow="1" w:lastRow="0" w:firstColumn="1" w:lastColumn="0" w:noHBand="0" w:noVBand="1"/>
      </w:tblPr>
      <w:tblGrid>
        <w:gridCol w:w="1491"/>
        <w:gridCol w:w="1942"/>
        <w:gridCol w:w="1970"/>
        <w:gridCol w:w="2893"/>
      </w:tblGrid>
      <w:tr w:rsidR="0048002A" w:rsidRPr="005D59A7" w14:paraId="25B06AD0" w14:textId="77777777" w:rsidTr="00285330">
        <w:tc>
          <w:tcPr>
            <w:tcW w:w="0" w:type="auto"/>
            <w:hideMark/>
          </w:tcPr>
          <w:p w14:paraId="21B7341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الفائدة المتوقعة</w:t>
            </w:r>
          </w:p>
        </w:tc>
        <w:tc>
          <w:tcPr>
            <w:tcW w:w="0" w:type="auto"/>
            <w:hideMark/>
          </w:tcPr>
          <w:p w14:paraId="0C57456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مؤشر الأداء الرئيسي</w:t>
            </w:r>
            <w:r w:rsidRPr="005D59A7">
              <w:rPr>
                <w:rFonts w:ascii="T" w:hAnsi="T" w:cs="Simplified Arabic"/>
                <w:sz w:val="24"/>
                <w:szCs w:val="24"/>
                <w:shd w:val="clear" w:color="auto" w:fill="FFFFFF"/>
              </w:rPr>
              <w:t xml:space="preserve"> (KPI)</w:t>
            </w:r>
          </w:p>
        </w:tc>
        <w:tc>
          <w:tcPr>
            <w:tcW w:w="0" w:type="auto"/>
            <w:hideMark/>
          </w:tcPr>
          <w:p w14:paraId="0B0F6155"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مصدر البيانات</w:t>
            </w:r>
          </w:p>
        </w:tc>
        <w:tc>
          <w:tcPr>
            <w:tcW w:w="0" w:type="auto"/>
            <w:hideMark/>
          </w:tcPr>
          <w:p w14:paraId="6815C195"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طريقة القياس</w:t>
            </w:r>
          </w:p>
        </w:tc>
      </w:tr>
      <w:tr w:rsidR="0048002A" w:rsidRPr="005D59A7" w14:paraId="3384437D" w14:textId="77777777" w:rsidTr="00285330">
        <w:tc>
          <w:tcPr>
            <w:tcW w:w="0" w:type="auto"/>
            <w:hideMark/>
          </w:tcPr>
          <w:p w14:paraId="7BFE86CC"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خفض التكاليف التشغيلية</w:t>
            </w:r>
          </w:p>
        </w:tc>
        <w:tc>
          <w:tcPr>
            <w:tcW w:w="0" w:type="auto"/>
            <w:hideMark/>
          </w:tcPr>
          <w:p w14:paraId="6E864D1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تكلفة الزيارة التفتيشية (ريال/زيارة)</w:t>
            </w:r>
          </w:p>
        </w:tc>
        <w:tc>
          <w:tcPr>
            <w:tcW w:w="0" w:type="auto"/>
            <w:hideMark/>
          </w:tcPr>
          <w:p w14:paraId="314998C5"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6F7696CE"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إجمالي التكاليف التشغيلية ÷ عدد الزيارات</w:t>
            </w:r>
          </w:p>
        </w:tc>
      </w:tr>
      <w:tr w:rsidR="0048002A" w:rsidRPr="005D59A7" w14:paraId="039CD2B1" w14:textId="77777777" w:rsidTr="00285330">
        <w:tc>
          <w:tcPr>
            <w:tcW w:w="0" w:type="auto"/>
            <w:hideMark/>
          </w:tcPr>
          <w:p w14:paraId="741DE68D"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رفع كفاءة التغطية</w:t>
            </w:r>
          </w:p>
        </w:tc>
        <w:tc>
          <w:tcPr>
            <w:tcW w:w="0" w:type="auto"/>
            <w:hideMark/>
          </w:tcPr>
          <w:p w14:paraId="3A22AEC0"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نسبة تغطية المنشآت</w:t>
            </w:r>
            <w:r w:rsidRPr="005D59A7">
              <w:rPr>
                <w:rFonts w:ascii="T" w:hAnsi="T" w:cs="Simplified Arabic"/>
                <w:sz w:val="24"/>
                <w:szCs w:val="24"/>
                <w:shd w:val="clear" w:color="auto" w:fill="FFFFFF"/>
              </w:rPr>
              <w:t xml:space="preserve"> (%)</w:t>
            </w:r>
          </w:p>
        </w:tc>
        <w:tc>
          <w:tcPr>
            <w:tcW w:w="0" w:type="auto"/>
            <w:hideMark/>
          </w:tcPr>
          <w:p w14:paraId="5F96DB95"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3972C92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(المنشآت المزورة ÷ إجمالي المنشآت) × 100</w:t>
            </w:r>
          </w:p>
        </w:tc>
      </w:tr>
      <w:tr w:rsidR="0048002A" w:rsidRPr="005D59A7" w14:paraId="2C9F55A4" w14:textId="77777777" w:rsidTr="00285330">
        <w:tc>
          <w:tcPr>
            <w:tcW w:w="0" w:type="auto"/>
            <w:hideMark/>
          </w:tcPr>
          <w:p w14:paraId="324B6FC6"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تحسين جودة الرصد</w:t>
            </w:r>
          </w:p>
        </w:tc>
        <w:tc>
          <w:tcPr>
            <w:tcW w:w="0" w:type="auto"/>
            <w:hideMark/>
          </w:tcPr>
          <w:p w14:paraId="130BBD7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نسبة المخالفات المرفوضة</w:t>
            </w:r>
            <w:r w:rsidRPr="005D59A7">
              <w:rPr>
                <w:rFonts w:ascii="T" w:hAnsi="T" w:cs="Simplified Arabic"/>
                <w:sz w:val="24"/>
                <w:szCs w:val="24"/>
                <w:shd w:val="clear" w:color="auto" w:fill="FFFFFF"/>
              </w:rPr>
              <w:t xml:space="preserve"> (%)</w:t>
            </w:r>
          </w:p>
        </w:tc>
        <w:tc>
          <w:tcPr>
            <w:tcW w:w="0" w:type="auto"/>
            <w:hideMark/>
          </w:tcPr>
          <w:p w14:paraId="44717E50"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5107A059"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(المخالفات المرفوضة ÷ إجمالي المخالفات المرصودة) × 100</w:t>
            </w:r>
          </w:p>
        </w:tc>
      </w:tr>
      <w:tr w:rsidR="0048002A" w:rsidRPr="005D59A7" w14:paraId="575765B0" w14:textId="77777777" w:rsidTr="00285330">
        <w:tc>
          <w:tcPr>
            <w:tcW w:w="0" w:type="auto"/>
            <w:hideMark/>
          </w:tcPr>
          <w:p w14:paraId="77A55036"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زيادة كفاءة الموارد</w:t>
            </w:r>
          </w:p>
        </w:tc>
        <w:tc>
          <w:tcPr>
            <w:tcW w:w="0" w:type="auto"/>
            <w:hideMark/>
          </w:tcPr>
          <w:p w14:paraId="1C032D71"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عدد المنشآت لكل مفتش</w:t>
            </w:r>
          </w:p>
        </w:tc>
        <w:tc>
          <w:tcPr>
            <w:tcW w:w="0" w:type="auto"/>
            <w:hideMark/>
          </w:tcPr>
          <w:p w14:paraId="40F30B69"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4709A04C"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إجمالي المنشآت ÷ عدد المفتشين</w:t>
            </w:r>
          </w:p>
        </w:tc>
      </w:tr>
      <w:tr w:rsidR="0048002A" w:rsidRPr="005D59A7" w14:paraId="34F8AC2E" w14:textId="77777777" w:rsidTr="00285330">
        <w:tc>
          <w:tcPr>
            <w:tcW w:w="0" w:type="auto"/>
            <w:hideMark/>
          </w:tcPr>
          <w:p w14:paraId="4EE50839"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تحسين سرعة الإجراءات</w:t>
            </w:r>
          </w:p>
        </w:tc>
        <w:tc>
          <w:tcPr>
            <w:tcW w:w="0" w:type="auto"/>
            <w:hideMark/>
          </w:tcPr>
          <w:p w14:paraId="43795324"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متوسط زمن إغلاق المخالفات (أيام)</w:t>
            </w:r>
          </w:p>
        </w:tc>
        <w:tc>
          <w:tcPr>
            <w:tcW w:w="0" w:type="auto"/>
            <w:hideMark/>
          </w:tcPr>
          <w:p w14:paraId="20775D27"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1E3D692D"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إجمالي زمن إغلاق المخالفات ÷ عدد المخالفات</w:t>
            </w:r>
          </w:p>
        </w:tc>
      </w:tr>
      <w:tr w:rsidR="0048002A" w:rsidRPr="005D59A7" w14:paraId="268506AF" w14:textId="77777777" w:rsidTr="00285330">
        <w:tc>
          <w:tcPr>
            <w:tcW w:w="0" w:type="auto"/>
            <w:hideMark/>
          </w:tcPr>
          <w:p w14:paraId="42F22977"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تحقيق الاستدامة المالية</w:t>
            </w:r>
          </w:p>
        </w:tc>
        <w:tc>
          <w:tcPr>
            <w:tcW w:w="0" w:type="auto"/>
            <w:hideMark/>
          </w:tcPr>
          <w:p w14:paraId="5F2DA261"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نسبة استرداد التكاليف</w:t>
            </w:r>
            <w:r w:rsidRPr="005D59A7">
              <w:rPr>
                <w:rFonts w:ascii="T" w:hAnsi="T" w:cs="Simplified Arabic"/>
                <w:sz w:val="24"/>
                <w:szCs w:val="24"/>
                <w:shd w:val="clear" w:color="auto" w:fill="FFFFFF"/>
              </w:rPr>
              <w:t xml:space="preserve"> (%)</w:t>
            </w:r>
          </w:p>
        </w:tc>
        <w:tc>
          <w:tcPr>
            <w:tcW w:w="0" w:type="auto"/>
            <w:hideMark/>
          </w:tcPr>
          <w:p w14:paraId="74BB4F82"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50E61A1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(الإيرادات ÷ التكاليف) × 100</w:t>
            </w:r>
          </w:p>
        </w:tc>
      </w:tr>
    </w:tbl>
    <w:p w14:paraId="08B63B72" w14:textId="77777777" w:rsidR="00C41994" w:rsidRPr="005D59A7" w:rsidRDefault="00C11026" w:rsidP="00410D73">
      <w:pPr>
        <w:pStyle w:val="Heading1"/>
        <w:bidi/>
        <w:spacing w:line="360" w:lineRule="auto"/>
        <w:rPr>
          <w:rFonts w:ascii="T" w:eastAsia="Times New Roman" w:hAnsi="T" w:cs="Simplified Arabic"/>
          <w:b/>
          <w:bCs/>
          <w:color w:val="auto"/>
          <w:sz w:val="24"/>
          <w:szCs w:val="24"/>
          <w:rtl/>
        </w:rPr>
      </w:pPr>
      <w:bookmarkStart w:id="12" w:name="_Toc234607851"/>
      <w:r w:rsidRPr="005D59A7">
        <w:rPr>
          <w:rFonts w:ascii="T" w:eastAsia="Times New Roman" w:hAnsi="T" w:cs="Simplified Arabic"/>
          <w:b/>
          <w:bCs/>
          <w:color w:val="auto"/>
          <w:sz w:val="24"/>
          <w:szCs w:val="24"/>
          <w:rtl/>
        </w:rPr>
        <w:t>أ</w:t>
      </w:r>
      <w:r w:rsidR="00A16E60" w:rsidRPr="005D59A7">
        <w:rPr>
          <w:rFonts w:ascii="T" w:eastAsia="Times New Roman" w:hAnsi="T" w:cs="Simplified Arabic"/>
          <w:b/>
          <w:bCs/>
          <w:color w:val="auto"/>
          <w:sz w:val="24"/>
          <w:szCs w:val="24"/>
          <w:rtl/>
        </w:rPr>
        <w:t>هد</w:t>
      </w:r>
      <w:r w:rsidRPr="005D59A7">
        <w:rPr>
          <w:rFonts w:ascii="T" w:eastAsia="Times New Roman" w:hAnsi="T" w:cs="Simplified Arabic"/>
          <w:b/>
          <w:bCs/>
          <w:color w:val="auto"/>
          <w:sz w:val="24"/>
          <w:szCs w:val="24"/>
          <w:rtl/>
        </w:rPr>
        <w:t>ا</w:t>
      </w:r>
      <w:r w:rsidR="00A16E60" w:rsidRPr="005D59A7">
        <w:rPr>
          <w:rFonts w:ascii="T" w:eastAsia="Times New Roman" w:hAnsi="T" w:cs="Simplified Arabic"/>
          <w:b/>
          <w:bCs/>
          <w:color w:val="auto"/>
          <w:sz w:val="24"/>
          <w:szCs w:val="24"/>
          <w:rtl/>
        </w:rPr>
        <w:t>ف الدراسة:</w:t>
      </w:r>
      <w:bookmarkEnd w:id="12"/>
    </w:p>
    <w:p w14:paraId="5F0D662B" w14:textId="77777777" w:rsidR="006E7C5B" w:rsidRPr="005D59A7" w:rsidRDefault="006E7C5B" w:rsidP="00410D7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تهدف هذه الدراسة إلى تطوير نموذج شراكة فعّال بين القطاعين العام والخاص</w:t>
      </w:r>
      <w:r w:rsidRPr="005D59A7">
        <w:rPr>
          <w:rFonts w:ascii="T" w:hAnsi="T" w:cs="Simplified Arabic"/>
          <w:sz w:val="24"/>
          <w:szCs w:val="24"/>
        </w:rPr>
        <w:t xml:space="preserve"> (PPP) </w:t>
      </w:r>
      <w:r w:rsidRPr="005D59A7">
        <w:rPr>
          <w:rFonts w:ascii="T" w:hAnsi="T" w:cs="Simplified Arabic"/>
          <w:sz w:val="24"/>
          <w:szCs w:val="24"/>
          <w:rtl/>
        </w:rPr>
        <w:t>لتقديم خدمة التفتيش البيئي في المملكة العربية السعودية، استنادًا إلى البيانات المتاحة للفترة (2019–2022)، وبما يتوافق مع مستهدفات رؤية السعودية 2030، وذلك بهدف تعزيز كفاءة الأداء التشغيلي، وتحقيق الاستدامة المالية، ورفع مستوى الامتثال البيئي. كما تسعى الدراسة إلى دعم توجهات إعادة هيكلة القطاع البيئي المنبثقة عن الإستراتيجية الوطنية للبيئة، من خلال تقديم إطار تحليلي وتطبيقي متكامل لنمذجة الشراكات في الخدمات الرقابية</w:t>
      </w:r>
      <w:r w:rsidRPr="005D59A7">
        <w:rPr>
          <w:rFonts w:ascii="T" w:hAnsi="T" w:cs="Simplified Arabic"/>
          <w:sz w:val="24"/>
          <w:szCs w:val="24"/>
        </w:rPr>
        <w:t>.</w:t>
      </w:r>
    </w:p>
    <w:p w14:paraId="6EE4CC3A" w14:textId="77777777" w:rsidR="006E7C5B" w:rsidRPr="005D59A7" w:rsidRDefault="006E7C5B" w:rsidP="00410D7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وينبثق عن هذا الهدف العام مجموعة من الأهداف الفرعية، تم هيكلتها بما يتوافق مع منهجية التحليل المعتمدة في الدراسة، على النحو التالي</w:t>
      </w:r>
      <w:r w:rsidRPr="005D59A7">
        <w:rPr>
          <w:rFonts w:ascii="T" w:hAnsi="T" w:cs="Simplified Arabic"/>
          <w:sz w:val="24"/>
          <w:szCs w:val="24"/>
        </w:rPr>
        <w:t>:</w:t>
      </w:r>
    </w:p>
    <w:p w14:paraId="3FC04479" w14:textId="48821F4A"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تحليل وتوصيف مؤشرات الأداء الحالية لخدمة التفتيش البيئي كما تقدمها المركز الوطني للرقابة على الالتزام البيئي، من حيث الكفاءة التشغيلية، جودة المخرجات، مستوى التغطية، وآلية التوريد التقليدية، بهدف بناء قاعدة مرجعية دقيقة</w:t>
      </w:r>
      <w:r w:rsidRPr="005D59A7">
        <w:rPr>
          <w:rFonts w:ascii="T" w:hAnsi="T" w:cs="Simplified Arabic"/>
          <w:sz w:val="24"/>
          <w:szCs w:val="24"/>
        </w:rPr>
        <w:t xml:space="preserve"> </w:t>
      </w:r>
      <w:r w:rsidRPr="005D59A7">
        <w:rPr>
          <w:rFonts w:ascii="T" w:hAnsi="T" w:cs="Simplified Arabic"/>
          <w:sz w:val="24"/>
          <w:szCs w:val="24"/>
          <w:rtl/>
        </w:rPr>
        <w:t>تمكّن من إجراء المقارنات التحليلية اللاحقة</w:t>
      </w:r>
      <w:r w:rsidRPr="005D59A7">
        <w:rPr>
          <w:rFonts w:ascii="T" w:hAnsi="T" w:cs="Simplified Arabic"/>
          <w:sz w:val="24"/>
          <w:szCs w:val="24"/>
        </w:rPr>
        <w:t>.</w:t>
      </w:r>
    </w:p>
    <w:p w14:paraId="565567EB"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تحديد وتحليل أوجه القصور والاختلال في النموذج الحالي لتقديم الخدمة، سواء على المستوى التشغيلي أو المؤسسي أو التعاقدي، وربط هذه الفجوات بمؤشرات الأداء الفعلية، بما يسهم في تفسير أسباب انخفاض الكفاءة وجودة المخرجات</w:t>
      </w:r>
      <w:r w:rsidRPr="005D59A7">
        <w:rPr>
          <w:rFonts w:ascii="T" w:hAnsi="T" w:cs="Simplified Arabic"/>
          <w:sz w:val="24"/>
          <w:szCs w:val="24"/>
        </w:rPr>
        <w:t>.</w:t>
      </w:r>
    </w:p>
    <w:p w14:paraId="6E2AFA85" w14:textId="02846615" w:rsidR="00E6351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lastRenderedPageBreak/>
        <w:t>إجراء تحليل جدوى متكامل يركز على تقييم كفاءة النموذج الحالي مقارنة بالنماذج البديلة، وذلك من خلال</w:t>
      </w:r>
      <w:r w:rsidR="00E6351B" w:rsidRPr="005D59A7">
        <w:rPr>
          <w:rFonts w:ascii="T" w:hAnsi="T" w:cs="Simplified Arabic"/>
          <w:sz w:val="24"/>
          <w:szCs w:val="24"/>
          <w:rtl/>
        </w:rPr>
        <w:t xml:space="preserve"> تحليل مؤشر التكلفة التشغيلية للزيارة التفتيشية، وحساب التكلفة الحالية وتقدير التكلفة المستهدفة في ظل نموذج الشراكة، مع تحليل الإيرادات المحتملة وفجوة التمويل.</w:t>
      </w:r>
    </w:p>
    <w:p w14:paraId="18B373F8"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تطوير مجموعة من النماذج التعاقدية المناسبة لتقديم خدمة التفتيش البيئي، مثل نماذج التشغيل والصيانة</w:t>
      </w:r>
      <w:r w:rsidRPr="005D59A7">
        <w:rPr>
          <w:rFonts w:ascii="T" w:hAnsi="T" w:cs="Simplified Arabic"/>
          <w:sz w:val="24"/>
          <w:szCs w:val="24"/>
        </w:rPr>
        <w:t xml:space="preserve"> (O&amp;M/DBO)</w:t>
      </w:r>
      <w:r w:rsidRPr="005D59A7">
        <w:rPr>
          <w:rFonts w:ascii="T" w:hAnsi="T" w:cs="Simplified Arabic"/>
          <w:sz w:val="24"/>
          <w:szCs w:val="24"/>
          <w:rtl/>
        </w:rPr>
        <w:t>، ونماذج التصميم والبناء والتمويل والتشغيل</w:t>
      </w:r>
      <w:r w:rsidRPr="005D59A7">
        <w:rPr>
          <w:rFonts w:ascii="T" w:hAnsi="T" w:cs="Simplified Arabic"/>
          <w:sz w:val="24"/>
          <w:szCs w:val="24"/>
        </w:rPr>
        <w:t xml:space="preserve"> (DBFM)</w:t>
      </w:r>
      <w:r w:rsidRPr="005D59A7">
        <w:rPr>
          <w:rFonts w:ascii="T" w:hAnsi="T" w:cs="Simplified Arabic"/>
          <w:sz w:val="24"/>
          <w:szCs w:val="24"/>
          <w:rtl/>
        </w:rPr>
        <w:t>، ونماذج التعهيد المتقدم، مع تحليل مزايا وقيود كل نموذج من حيث الكفاءة والمرونة وقابلية التطبيق في السياق التنظيمي البيئي</w:t>
      </w:r>
      <w:r w:rsidRPr="005D59A7">
        <w:rPr>
          <w:rFonts w:ascii="T" w:hAnsi="T" w:cs="Simplified Arabic"/>
          <w:sz w:val="24"/>
          <w:szCs w:val="24"/>
        </w:rPr>
        <w:t>.</w:t>
      </w:r>
    </w:p>
    <w:p w14:paraId="41E7613C"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إعداد إطار تحليلي شامل لتحديد وتصنيف المخاطر المرتبطة بتطبيق نماذج</w:t>
      </w:r>
      <w:r w:rsidRPr="005D59A7">
        <w:rPr>
          <w:rFonts w:ascii="T" w:hAnsi="T" w:cs="Simplified Arabic"/>
          <w:sz w:val="24"/>
          <w:szCs w:val="24"/>
        </w:rPr>
        <w:t xml:space="preserve"> PPP </w:t>
      </w:r>
      <w:r w:rsidRPr="005D59A7">
        <w:rPr>
          <w:rFonts w:ascii="T" w:hAnsi="T" w:cs="Simplified Arabic"/>
          <w:sz w:val="24"/>
          <w:szCs w:val="24"/>
          <w:rtl/>
        </w:rPr>
        <w:t>في التفتيش البيئي، بما يشمل المخاطر التشغيلية والمالية والتنظيمية، واستخدام أدوات تحليل استراتيجية مثل</w:t>
      </w:r>
      <w:r w:rsidRPr="005D59A7">
        <w:rPr>
          <w:rFonts w:ascii="T" w:hAnsi="T" w:cs="Simplified Arabic"/>
          <w:sz w:val="24"/>
          <w:szCs w:val="24"/>
        </w:rPr>
        <w:t xml:space="preserve"> SWOT </w:t>
      </w:r>
      <w:r w:rsidRPr="005D59A7">
        <w:rPr>
          <w:rFonts w:ascii="T" w:hAnsi="T" w:cs="Simplified Arabic"/>
          <w:sz w:val="24"/>
          <w:szCs w:val="24"/>
          <w:rtl/>
        </w:rPr>
        <w:t>و</w:t>
      </w:r>
      <w:r w:rsidRPr="005D59A7">
        <w:rPr>
          <w:rFonts w:ascii="T" w:hAnsi="T" w:cs="Simplified Arabic"/>
          <w:sz w:val="24"/>
          <w:szCs w:val="24"/>
        </w:rPr>
        <w:t>PESTEL</w:t>
      </w:r>
      <w:r w:rsidRPr="005D59A7">
        <w:rPr>
          <w:rFonts w:ascii="T" w:hAnsi="T" w:cs="Simplified Arabic"/>
          <w:sz w:val="24"/>
          <w:szCs w:val="24"/>
          <w:rtl/>
        </w:rPr>
        <w:t>، ومن ثم تطوير مصفوفة لتوزيع هذه المخاطر بين القطاعين العام والخاص بما يحقق التوازن ويعزز الكفاءة</w:t>
      </w:r>
      <w:r w:rsidRPr="005D59A7">
        <w:rPr>
          <w:rFonts w:ascii="T" w:hAnsi="T" w:cs="Simplified Arabic"/>
          <w:sz w:val="24"/>
          <w:szCs w:val="24"/>
        </w:rPr>
        <w:t>.</w:t>
      </w:r>
    </w:p>
    <w:p w14:paraId="131D8D67"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تحليل وتطوير نماذج تسعير مبتكرة لخدمة التفتيش البيئي، تشمل ربط الرسوم بمستوى المخاطر البيئية للمنشآت، وتطبيق آليات الدفع مقابل الأداء، وتقييم سيناريوهات تحقيق التوازن المالي أو الفائض، بما يدعم استدامة التمويل ويحفز الامتثال</w:t>
      </w:r>
      <w:r w:rsidRPr="005D59A7">
        <w:rPr>
          <w:rFonts w:ascii="T" w:hAnsi="T" w:cs="Simplified Arabic"/>
          <w:sz w:val="24"/>
          <w:szCs w:val="24"/>
        </w:rPr>
        <w:t>.</w:t>
      </w:r>
    </w:p>
    <w:p w14:paraId="3E92BB83"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تجميع مخرجات التحليل السابقة في نموذج تطبيقي متكامل يوضح آلية تنفيذ الشراكة بين القطاعين العام والخاص في خدمة التفتيش البيئي، متضمنًا هيكل الحوكمة، وآليات التعاقد، ومؤشرات الأداء، ونموذج التمويل</w:t>
      </w:r>
      <w:r w:rsidRPr="005D59A7">
        <w:rPr>
          <w:rFonts w:ascii="T" w:hAnsi="T" w:cs="Simplified Arabic"/>
          <w:sz w:val="24"/>
          <w:szCs w:val="24"/>
        </w:rPr>
        <w:t>.</w:t>
      </w:r>
    </w:p>
    <w:p w14:paraId="325276B2" w14:textId="0984F74C" w:rsidR="00920785" w:rsidRPr="005D59A7" w:rsidRDefault="006E7C5B"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صياغة مجموعة من التوصيات التطبيقية الموجهة لصناع القرار، بما يدعم تحسين كفاءة الخدمة، وتعزيز الحوكمة، وتوسيع مشاركة القطاع الخاص، وتحقيق مستهدفات برنامج التحول الوطني، وضمان الاستدامة البيئية والمالية على المدى الطويل.</w:t>
      </w:r>
    </w:p>
    <w:p w14:paraId="20A0470F" w14:textId="77777777" w:rsidR="00694E3F" w:rsidRPr="005D59A7" w:rsidRDefault="006E5511" w:rsidP="00410D73">
      <w:pPr>
        <w:pStyle w:val="Heading1"/>
        <w:bidi/>
        <w:spacing w:line="360" w:lineRule="auto"/>
        <w:rPr>
          <w:rFonts w:ascii="T" w:eastAsia="Times New Roman" w:hAnsi="T" w:cs="Simplified Arabic"/>
          <w:b/>
          <w:bCs/>
          <w:color w:val="auto"/>
          <w:sz w:val="24"/>
          <w:szCs w:val="24"/>
        </w:rPr>
      </w:pPr>
      <w:bookmarkStart w:id="13" w:name="_Toc234607852"/>
      <w:r w:rsidRPr="005D59A7">
        <w:rPr>
          <w:rFonts w:ascii="T" w:eastAsia="Times New Roman" w:hAnsi="T" w:cs="Simplified Arabic"/>
          <w:b/>
          <w:bCs/>
          <w:color w:val="auto"/>
          <w:sz w:val="24"/>
          <w:szCs w:val="24"/>
          <w:rtl/>
        </w:rPr>
        <w:t>مفاهيم الدراسة:</w:t>
      </w:r>
      <w:bookmarkEnd w:id="13"/>
    </w:p>
    <w:p w14:paraId="3FD2CD5C" w14:textId="77777777" w:rsidR="00694E3F" w:rsidRPr="005D59A7" w:rsidRDefault="006E5511" w:rsidP="00410D73">
      <w:pPr>
        <w:pStyle w:val="Heading2"/>
        <w:bidi/>
        <w:rPr>
          <w:rFonts w:ascii="T" w:hAnsi="T" w:cs="Simplified Arabic"/>
          <w:color w:val="auto"/>
          <w:sz w:val="24"/>
          <w:szCs w:val="24"/>
          <w:rtl/>
        </w:rPr>
      </w:pPr>
      <w:bookmarkStart w:id="14" w:name="_Toc234607853"/>
      <w:r w:rsidRPr="005D59A7">
        <w:rPr>
          <w:rFonts w:ascii="T" w:hAnsi="T" w:cs="Simplified Arabic"/>
          <w:color w:val="auto"/>
          <w:sz w:val="24"/>
          <w:szCs w:val="24"/>
          <w:rtl/>
        </w:rPr>
        <w:t>المفاهيم ال</w:t>
      </w:r>
      <w:r w:rsidR="00694E3F" w:rsidRPr="005D59A7">
        <w:rPr>
          <w:rFonts w:ascii="T" w:hAnsi="T" w:cs="Simplified Arabic"/>
          <w:color w:val="auto"/>
          <w:sz w:val="24"/>
          <w:szCs w:val="24"/>
          <w:rtl/>
        </w:rPr>
        <w:t>اص</w:t>
      </w:r>
      <w:r w:rsidRPr="005D59A7">
        <w:rPr>
          <w:rFonts w:ascii="T" w:hAnsi="T" w:cs="Simplified Arabic"/>
          <w:color w:val="auto"/>
          <w:sz w:val="24"/>
          <w:szCs w:val="24"/>
          <w:rtl/>
        </w:rPr>
        <w:t>طلاحية</w:t>
      </w:r>
      <w:bookmarkEnd w:id="14"/>
    </w:p>
    <w:p w14:paraId="151D2422" w14:textId="6A087472" w:rsidR="009B69C0" w:rsidRPr="005D59A7" w:rsidRDefault="006E5511"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برنامج</w:t>
      </w:r>
      <w:r w:rsidRPr="005D59A7">
        <w:rPr>
          <w:rFonts w:ascii="T" w:hAnsi="T" w:cs="Simplified Arabic"/>
          <w:sz w:val="24"/>
          <w:szCs w:val="24"/>
        </w:rPr>
        <w:t xml:space="preserve"> </w:t>
      </w:r>
      <w:r w:rsidRPr="005D59A7">
        <w:rPr>
          <w:rFonts w:ascii="T" w:hAnsi="T" w:cs="Simplified Arabic"/>
          <w:sz w:val="24"/>
          <w:szCs w:val="24"/>
          <w:rtl/>
        </w:rPr>
        <w:t>التحول</w:t>
      </w:r>
      <w:r w:rsidRPr="005D59A7">
        <w:rPr>
          <w:rFonts w:ascii="T" w:hAnsi="T" w:cs="Simplified Arabic"/>
          <w:sz w:val="24"/>
          <w:szCs w:val="24"/>
        </w:rPr>
        <w:t xml:space="preserve"> </w:t>
      </w:r>
      <w:r w:rsidRPr="005D59A7">
        <w:rPr>
          <w:rFonts w:ascii="T" w:hAnsi="T" w:cs="Simplified Arabic"/>
          <w:sz w:val="24"/>
          <w:szCs w:val="24"/>
          <w:rtl/>
        </w:rPr>
        <w:t>الوطني (</w:t>
      </w:r>
      <w:r w:rsidRPr="005D59A7">
        <w:rPr>
          <w:rFonts w:ascii="T" w:hAnsi="T" w:cs="Simplified Arabic"/>
          <w:sz w:val="24"/>
          <w:szCs w:val="24"/>
        </w:rPr>
        <w:t>NTP</w:t>
      </w:r>
      <w:r w:rsidRPr="005D59A7">
        <w:rPr>
          <w:rFonts w:ascii="T" w:hAnsi="T" w:cs="Simplified Arabic"/>
          <w:sz w:val="24"/>
          <w:szCs w:val="24"/>
          <w:rtl/>
        </w:rPr>
        <w:t>): البرنامج الذي استندت عليه رؤية المملكة 2030 في إعادة هيكلة الجهات الحكومية والربط بينها ويشمل خدمات رقمية حكومية سهلة، توفير الجهد والوقت، بالإضافة إلى تعزيز دور القطاع الخاص ليشارك في تسهيل حياة المواطنين (</w:t>
      </w:r>
      <w:r w:rsidRPr="005D59A7">
        <w:rPr>
          <w:rFonts w:ascii="T" w:hAnsi="T" w:cs="Simplified Arabic"/>
          <w:sz w:val="24"/>
          <w:szCs w:val="24"/>
        </w:rPr>
        <w:t>Vision 2030, 2025</w:t>
      </w:r>
      <w:r w:rsidRPr="005D59A7">
        <w:rPr>
          <w:rFonts w:ascii="T" w:hAnsi="T" w:cs="Simplified Arabic"/>
          <w:sz w:val="24"/>
          <w:szCs w:val="24"/>
          <w:rtl/>
        </w:rPr>
        <w:t>) (</w:t>
      </w:r>
      <w:proofErr w:type="spellStart"/>
      <w:r w:rsidR="00747729" w:rsidRPr="005D59A7">
        <w:rPr>
          <w:rFonts w:ascii="T" w:hAnsi="T" w:cs="Simplified Arabic"/>
          <w:sz w:val="24"/>
          <w:szCs w:val="24"/>
        </w:rPr>
        <w:t>Alkhurayji,et</w:t>
      </w:r>
      <w:proofErr w:type="spellEnd"/>
      <w:r w:rsidR="00747729" w:rsidRPr="005D59A7">
        <w:rPr>
          <w:rFonts w:ascii="T" w:hAnsi="T" w:cs="Simplified Arabic"/>
          <w:sz w:val="24"/>
          <w:szCs w:val="24"/>
        </w:rPr>
        <w:t xml:space="preserve"> al ,2024</w:t>
      </w:r>
      <w:r w:rsidRPr="005D59A7">
        <w:rPr>
          <w:rFonts w:ascii="T" w:hAnsi="T" w:cs="Simplified Arabic"/>
          <w:sz w:val="24"/>
          <w:szCs w:val="24"/>
          <w:rtl/>
        </w:rPr>
        <w:t>).</w:t>
      </w:r>
    </w:p>
    <w:p w14:paraId="19FFDA6F" w14:textId="7269D7CB"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lastRenderedPageBreak/>
        <w:t>الإستراتيجية</w:t>
      </w:r>
      <w:r w:rsidRPr="005D59A7">
        <w:rPr>
          <w:rFonts w:ascii="T" w:hAnsi="T" w:cs="Simplified Arabic"/>
          <w:sz w:val="24"/>
          <w:szCs w:val="24"/>
        </w:rPr>
        <w:t xml:space="preserve"> </w:t>
      </w:r>
      <w:r w:rsidRPr="005D59A7">
        <w:rPr>
          <w:rFonts w:ascii="T" w:hAnsi="T" w:cs="Simplified Arabic"/>
          <w:sz w:val="24"/>
          <w:szCs w:val="24"/>
          <w:rtl/>
        </w:rPr>
        <w:t>الوطنية</w:t>
      </w:r>
      <w:r w:rsidRPr="005D59A7">
        <w:rPr>
          <w:rFonts w:ascii="T" w:hAnsi="T" w:cs="Simplified Arabic"/>
          <w:sz w:val="24"/>
          <w:szCs w:val="24"/>
        </w:rPr>
        <w:t xml:space="preserve"> </w:t>
      </w:r>
      <w:r w:rsidRPr="005D59A7">
        <w:rPr>
          <w:rFonts w:ascii="T" w:hAnsi="T" w:cs="Simplified Arabic"/>
          <w:sz w:val="24"/>
          <w:szCs w:val="24"/>
          <w:rtl/>
        </w:rPr>
        <w:t>للبيئة (</w:t>
      </w:r>
      <w:r w:rsidRPr="005D59A7">
        <w:rPr>
          <w:rFonts w:ascii="T" w:hAnsi="T" w:cs="Simplified Arabic"/>
          <w:sz w:val="24"/>
          <w:szCs w:val="24"/>
        </w:rPr>
        <w:t>NET</w:t>
      </w:r>
      <w:r w:rsidRPr="005D59A7">
        <w:rPr>
          <w:rFonts w:ascii="T" w:hAnsi="T" w:cs="Simplified Arabic"/>
          <w:sz w:val="24"/>
          <w:szCs w:val="24"/>
          <w:rtl/>
        </w:rPr>
        <w:t>): الإستراتيجية المعنية بإعادة هيكلة قطاع البيئة والتي تم إطلاقها من قبل وزارة البيئة والمياه والزراعة والتي تشمل الدراسات المرجعية والميزانيات التشغيلية وإطلاق المراكز الوطنية البيئية الخمسة وصندوق البيئة</w:t>
      </w:r>
      <w:r w:rsidRPr="005D59A7">
        <w:rPr>
          <w:rFonts w:ascii="T" w:hAnsi="T" w:cs="Simplified Arabic"/>
          <w:sz w:val="24"/>
          <w:szCs w:val="24"/>
        </w:rPr>
        <w:t xml:space="preserve"> </w:t>
      </w:r>
      <w:r w:rsidR="00747729" w:rsidRPr="005D59A7">
        <w:rPr>
          <w:rFonts w:ascii="T" w:hAnsi="T" w:cs="Simplified Arabic"/>
          <w:sz w:val="24"/>
          <w:szCs w:val="24"/>
        </w:rPr>
        <w:t>(</w:t>
      </w:r>
      <w:proofErr w:type="spellStart"/>
      <w:r w:rsidR="00747729" w:rsidRPr="005D59A7">
        <w:rPr>
          <w:rFonts w:ascii="T" w:hAnsi="T" w:cs="Simplified Arabic"/>
          <w:sz w:val="24"/>
          <w:szCs w:val="24"/>
        </w:rPr>
        <w:t>Alshuwaikhat</w:t>
      </w:r>
      <w:proofErr w:type="spellEnd"/>
      <w:r w:rsidR="00747729" w:rsidRPr="005D59A7">
        <w:rPr>
          <w:rFonts w:ascii="T" w:hAnsi="T" w:cs="Simplified Arabic"/>
          <w:sz w:val="24"/>
          <w:szCs w:val="24"/>
        </w:rPr>
        <w:t xml:space="preserve"> ,et al ,2023)</w:t>
      </w:r>
      <w:r w:rsidRPr="005D59A7">
        <w:rPr>
          <w:rFonts w:ascii="T" w:hAnsi="T" w:cs="Simplified Arabic"/>
          <w:sz w:val="24"/>
          <w:szCs w:val="24"/>
          <w:rtl/>
        </w:rPr>
        <w:t>.</w:t>
      </w:r>
    </w:p>
    <w:p w14:paraId="076BA301" w14:textId="21DD5FE8"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وزارة</w:t>
      </w:r>
      <w:r w:rsidRPr="005D59A7">
        <w:rPr>
          <w:rFonts w:ascii="T" w:hAnsi="T" w:cs="Simplified Arabic"/>
          <w:sz w:val="24"/>
          <w:szCs w:val="24"/>
        </w:rPr>
        <w:t xml:space="preserve"> </w:t>
      </w:r>
      <w:r w:rsidRPr="005D59A7">
        <w:rPr>
          <w:rFonts w:ascii="T" w:hAnsi="T" w:cs="Simplified Arabic"/>
          <w:sz w:val="24"/>
          <w:szCs w:val="24"/>
          <w:rtl/>
        </w:rPr>
        <w:t>البيئة</w:t>
      </w:r>
      <w:r w:rsidRPr="005D59A7">
        <w:rPr>
          <w:rFonts w:ascii="T" w:hAnsi="T" w:cs="Simplified Arabic"/>
          <w:sz w:val="24"/>
          <w:szCs w:val="24"/>
        </w:rPr>
        <w:t xml:space="preserve"> </w:t>
      </w:r>
      <w:r w:rsidRPr="005D59A7">
        <w:rPr>
          <w:rFonts w:ascii="T" w:hAnsi="T" w:cs="Simplified Arabic"/>
          <w:sz w:val="24"/>
          <w:szCs w:val="24"/>
          <w:rtl/>
        </w:rPr>
        <w:t>والمياه</w:t>
      </w:r>
      <w:r w:rsidRPr="005D59A7">
        <w:rPr>
          <w:rFonts w:ascii="T" w:hAnsi="T" w:cs="Simplified Arabic"/>
          <w:sz w:val="24"/>
          <w:szCs w:val="24"/>
        </w:rPr>
        <w:t xml:space="preserve"> </w:t>
      </w:r>
      <w:r w:rsidRPr="005D59A7">
        <w:rPr>
          <w:rFonts w:ascii="T" w:hAnsi="T" w:cs="Simplified Arabic"/>
          <w:sz w:val="24"/>
          <w:szCs w:val="24"/>
          <w:rtl/>
        </w:rPr>
        <w:t>والزراعة (</w:t>
      </w:r>
      <w:r w:rsidRPr="005D59A7">
        <w:rPr>
          <w:rFonts w:ascii="T" w:hAnsi="T" w:cs="Simplified Arabic"/>
          <w:sz w:val="24"/>
          <w:szCs w:val="24"/>
        </w:rPr>
        <w:t>MEWA</w:t>
      </w:r>
      <w:r w:rsidRPr="005D59A7">
        <w:rPr>
          <w:rFonts w:ascii="T" w:hAnsi="T" w:cs="Simplified Arabic"/>
          <w:sz w:val="24"/>
          <w:szCs w:val="24"/>
          <w:rtl/>
        </w:rPr>
        <w:t xml:space="preserve">): الجهة الحكومية الرئيسية المسؤولة عن السياسات البيئية والتشريعات والتخطيط. </w:t>
      </w:r>
      <w:r w:rsidR="00747729" w:rsidRPr="005D59A7">
        <w:rPr>
          <w:rFonts w:ascii="T" w:hAnsi="T" w:cs="Simplified Arabic"/>
          <w:sz w:val="24"/>
          <w:szCs w:val="24"/>
          <w:rtl/>
        </w:rPr>
        <w:t>(</w:t>
      </w:r>
      <w:proofErr w:type="spellStart"/>
      <w:r w:rsidR="00747729" w:rsidRPr="005D59A7">
        <w:rPr>
          <w:rFonts w:ascii="T" w:hAnsi="T" w:cs="Simplified Arabic"/>
          <w:sz w:val="24"/>
          <w:szCs w:val="24"/>
        </w:rPr>
        <w:t>Odnoletkova</w:t>
      </w:r>
      <w:proofErr w:type="spellEnd"/>
      <w:r w:rsidR="00747729" w:rsidRPr="005D59A7">
        <w:rPr>
          <w:rFonts w:ascii="T" w:hAnsi="T" w:cs="Simplified Arabic"/>
          <w:sz w:val="24"/>
          <w:szCs w:val="24"/>
        </w:rPr>
        <w:t xml:space="preserve"> &amp; </w:t>
      </w:r>
      <w:proofErr w:type="spellStart"/>
      <w:r w:rsidR="00747729" w:rsidRPr="005D59A7">
        <w:rPr>
          <w:rFonts w:ascii="T" w:hAnsi="T" w:cs="Simplified Arabic"/>
          <w:sz w:val="24"/>
          <w:szCs w:val="24"/>
        </w:rPr>
        <w:t>Patzek</w:t>
      </w:r>
      <w:proofErr w:type="spellEnd"/>
      <w:r w:rsidR="00747729" w:rsidRPr="005D59A7">
        <w:rPr>
          <w:rFonts w:ascii="T" w:hAnsi="T" w:cs="Simplified Arabic"/>
          <w:sz w:val="24"/>
          <w:szCs w:val="24"/>
        </w:rPr>
        <w:t>, 2023</w:t>
      </w:r>
      <w:r w:rsidR="00747729" w:rsidRPr="005D59A7">
        <w:rPr>
          <w:rFonts w:ascii="T" w:hAnsi="T" w:cs="Simplified Arabic"/>
          <w:sz w:val="24"/>
          <w:szCs w:val="24"/>
          <w:rtl/>
        </w:rPr>
        <w:t>).‏</w:t>
      </w:r>
    </w:p>
    <w:p w14:paraId="47590633" w14:textId="1A205DC8"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للالتزام</w:t>
      </w:r>
      <w:r w:rsidRPr="005D59A7">
        <w:rPr>
          <w:rFonts w:ascii="T" w:hAnsi="T" w:cs="Simplified Arabic"/>
          <w:sz w:val="24"/>
          <w:szCs w:val="24"/>
        </w:rPr>
        <w:t xml:space="preserve"> </w:t>
      </w:r>
      <w:r w:rsidRPr="005D59A7">
        <w:rPr>
          <w:rFonts w:ascii="T" w:hAnsi="T" w:cs="Simplified Arabic"/>
          <w:sz w:val="24"/>
          <w:szCs w:val="24"/>
          <w:rtl/>
        </w:rPr>
        <w:t>البيئي (</w:t>
      </w:r>
      <w:r w:rsidRPr="005D59A7">
        <w:rPr>
          <w:rFonts w:ascii="T" w:hAnsi="T" w:cs="Simplified Arabic"/>
          <w:sz w:val="24"/>
          <w:szCs w:val="24"/>
        </w:rPr>
        <w:t>NCEC</w:t>
      </w:r>
      <w:r w:rsidRPr="005D59A7">
        <w:rPr>
          <w:rFonts w:ascii="T" w:hAnsi="T" w:cs="Simplified Arabic"/>
          <w:sz w:val="24"/>
          <w:szCs w:val="24"/>
          <w:rtl/>
        </w:rPr>
        <w:t xml:space="preserve">): يضمن الالتزام بالمعايير واللوائح البيئية، بما في ذلك إصدار التصاريح البيئية، ومراقبة التلوث، وتطبيق العقوبات. </w:t>
      </w:r>
      <w:r w:rsidR="007270C8" w:rsidRPr="005D59A7">
        <w:rPr>
          <w:rFonts w:ascii="T" w:hAnsi="T" w:cs="Simplified Arabic"/>
          <w:sz w:val="24"/>
          <w:szCs w:val="24"/>
          <w:rtl/>
        </w:rPr>
        <w:t>(</w:t>
      </w:r>
      <w:proofErr w:type="spellStart"/>
      <w:r w:rsidR="007270C8" w:rsidRPr="005D59A7">
        <w:rPr>
          <w:rFonts w:ascii="T" w:hAnsi="T" w:cs="Simplified Arabic"/>
          <w:sz w:val="24"/>
          <w:szCs w:val="24"/>
        </w:rPr>
        <w:t>Algamdy</w:t>
      </w:r>
      <w:proofErr w:type="spellEnd"/>
      <w:r w:rsidR="007270C8" w:rsidRPr="005D59A7">
        <w:rPr>
          <w:rFonts w:ascii="T" w:hAnsi="T" w:cs="Simplified Arabic"/>
          <w:sz w:val="24"/>
          <w:szCs w:val="24"/>
        </w:rPr>
        <w:t>, 2022</w:t>
      </w:r>
      <w:r w:rsidR="007270C8" w:rsidRPr="005D59A7">
        <w:rPr>
          <w:rFonts w:ascii="T" w:hAnsi="T" w:cs="Simplified Arabic"/>
          <w:sz w:val="24"/>
          <w:szCs w:val="24"/>
          <w:rtl/>
        </w:rPr>
        <w:t>)</w:t>
      </w:r>
    </w:p>
    <w:p w14:paraId="3D4FAC24" w14:textId="77777777"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للغطاء</w:t>
      </w:r>
      <w:r w:rsidRPr="005D59A7">
        <w:rPr>
          <w:rFonts w:ascii="T" w:hAnsi="T" w:cs="Simplified Arabic"/>
          <w:sz w:val="24"/>
          <w:szCs w:val="24"/>
        </w:rPr>
        <w:t xml:space="preserve"> </w:t>
      </w:r>
      <w:r w:rsidRPr="005D59A7">
        <w:rPr>
          <w:rFonts w:ascii="T" w:hAnsi="T" w:cs="Simplified Arabic"/>
          <w:sz w:val="24"/>
          <w:szCs w:val="24"/>
          <w:rtl/>
        </w:rPr>
        <w:t>النباتي</w:t>
      </w:r>
      <w:r w:rsidRPr="005D59A7">
        <w:rPr>
          <w:rFonts w:ascii="T" w:hAnsi="T" w:cs="Simplified Arabic"/>
          <w:sz w:val="24"/>
          <w:szCs w:val="24"/>
        </w:rPr>
        <w:t xml:space="preserve"> </w:t>
      </w:r>
      <w:r w:rsidRPr="005D59A7">
        <w:rPr>
          <w:rFonts w:ascii="T" w:hAnsi="T" w:cs="Simplified Arabic"/>
          <w:sz w:val="24"/>
          <w:szCs w:val="24"/>
          <w:rtl/>
        </w:rPr>
        <w:t>ومكافحة</w:t>
      </w:r>
      <w:r w:rsidRPr="005D59A7">
        <w:rPr>
          <w:rFonts w:ascii="T" w:hAnsi="T" w:cs="Simplified Arabic"/>
          <w:sz w:val="24"/>
          <w:szCs w:val="24"/>
        </w:rPr>
        <w:t xml:space="preserve"> </w:t>
      </w:r>
      <w:r w:rsidRPr="005D59A7">
        <w:rPr>
          <w:rFonts w:ascii="T" w:hAnsi="T" w:cs="Simplified Arabic"/>
          <w:sz w:val="24"/>
          <w:szCs w:val="24"/>
          <w:rtl/>
        </w:rPr>
        <w:t>التصحر (</w:t>
      </w:r>
      <w:r w:rsidRPr="005D59A7">
        <w:rPr>
          <w:rFonts w:ascii="T" w:hAnsi="T" w:cs="Simplified Arabic"/>
          <w:sz w:val="24"/>
          <w:szCs w:val="24"/>
        </w:rPr>
        <w:t>NCVC</w:t>
      </w:r>
      <w:r w:rsidRPr="005D59A7">
        <w:rPr>
          <w:rFonts w:ascii="T" w:hAnsi="T" w:cs="Simplified Arabic"/>
          <w:sz w:val="24"/>
          <w:szCs w:val="24"/>
          <w:rtl/>
        </w:rPr>
        <w:t>): يركز على التشجير، وإعادة تأهيل الأراضي، ومكافحة التصحر (يتوفر رابط الجهة ضمن المراجع).</w:t>
      </w:r>
    </w:p>
    <w:p w14:paraId="348BC436" w14:textId="77777777"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للحياة</w:t>
      </w:r>
      <w:r w:rsidRPr="005D59A7">
        <w:rPr>
          <w:rFonts w:ascii="T" w:hAnsi="T" w:cs="Simplified Arabic"/>
          <w:sz w:val="24"/>
          <w:szCs w:val="24"/>
        </w:rPr>
        <w:t xml:space="preserve"> </w:t>
      </w:r>
      <w:r w:rsidRPr="005D59A7">
        <w:rPr>
          <w:rFonts w:ascii="T" w:hAnsi="T" w:cs="Simplified Arabic"/>
          <w:sz w:val="24"/>
          <w:szCs w:val="24"/>
          <w:rtl/>
        </w:rPr>
        <w:t>الفطرية (</w:t>
      </w:r>
      <w:r w:rsidRPr="005D59A7">
        <w:rPr>
          <w:rFonts w:ascii="T" w:hAnsi="T" w:cs="Simplified Arabic"/>
          <w:sz w:val="24"/>
          <w:szCs w:val="24"/>
        </w:rPr>
        <w:t>NCW</w:t>
      </w:r>
      <w:r w:rsidRPr="005D59A7">
        <w:rPr>
          <w:rFonts w:ascii="T" w:hAnsi="T" w:cs="Simplified Arabic"/>
          <w:sz w:val="24"/>
          <w:szCs w:val="24"/>
          <w:rtl/>
        </w:rPr>
        <w:t>): مسؤول عن تنمية وحماية الحياة الفطرية البرية والبحرية (يتوفر رابط الجهة ضمن المراجع).</w:t>
      </w:r>
    </w:p>
    <w:p w14:paraId="70F30B01" w14:textId="77777777"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للأرصاد</w:t>
      </w:r>
      <w:r w:rsidRPr="005D59A7">
        <w:rPr>
          <w:rFonts w:ascii="T" w:hAnsi="T" w:cs="Simplified Arabic"/>
          <w:sz w:val="24"/>
          <w:szCs w:val="24"/>
        </w:rPr>
        <w:t xml:space="preserve"> </w:t>
      </w:r>
      <w:r w:rsidRPr="005D59A7">
        <w:rPr>
          <w:rFonts w:ascii="T" w:hAnsi="T" w:cs="Simplified Arabic"/>
          <w:sz w:val="24"/>
          <w:szCs w:val="24"/>
          <w:rtl/>
        </w:rPr>
        <w:t>الجوية (</w:t>
      </w:r>
      <w:r w:rsidRPr="005D59A7">
        <w:rPr>
          <w:rFonts w:ascii="T" w:hAnsi="T" w:cs="Simplified Arabic"/>
          <w:sz w:val="24"/>
          <w:szCs w:val="24"/>
        </w:rPr>
        <w:t>NCM</w:t>
      </w:r>
      <w:r w:rsidRPr="005D59A7">
        <w:rPr>
          <w:rFonts w:ascii="T" w:hAnsi="T" w:cs="Simplified Arabic"/>
          <w:sz w:val="24"/>
          <w:szCs w:val="24"/>
          <w:rtl/>
        </w:rPr>
        <w:t>): يُقدّم خدمات الأرصاد الجوية، ويرصد جودة الهواء (يتوفر رابط الجهة ضمن المراجع).</w:t>
      </w:r>
    </w:p>
    <w:p w14:paraId="36FA18D4" w14:textId="77777777" w:rsidR="00646FBB" w:rsidRPr="005D59A7" w:rsidRDefault="006E5511"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لإدارة</w:t>
      </w:r>
      <w:r w:rsidRPr="005D59A7">
        <w:rPr>
          <w:rFonts w:ascii="T" w:hAnsi="T" w:cs="Simplified Arabic"/>
          <w:sz w:val="24"/>
          <w:szCs w:val="24"/>
        </w:rPr>
        <w:t xml:space="preserve"> </w:t>
      </w:r>
      <w:r w:rsidRPr="005D59A7">
        <w:rPr>
          <w:rFonts w:ascii="T" w:hAnsi="T" w:cs="Simplified Arabic"/>
          <w:sz w:val="24"/>
          <w:szCs w:val="24"/>
          <w:rtl/>
        </w:rPr>
        <w:t>النفايات (</w:t>
      </w:r>
      <w:r w:rsidRPr="005D59A7">
        <w:rPr>
          <w:rFonts w:ascii="T" w:hAnsi="T" w:cs="Simplified Arabic"/>
          <w:sz w:val="24"/>
          <w:szCs w:val="24"/>
        </w:rPr>
        <w:t>MWAN</w:t>
      </w:r>
      <w:r w:rsidRPr="005D59A7">
        <w:rPr>
          <w:rFonts w:ascii="T" w:hAnsi="T" w:cs="Simplified Arabic"/>
          <w:sz w:val="24"/>
          <w:szCs w:val="24"/>
          <w:rtl/>
        </w:rPr>
        <w:t>): يُشرف على استراتيجيات ومبادرات إدارة النفايات (يتوفر رابط الجهة ضمن المراجع).</w:t>
      </w:r>
    </w:p>
    <w:p w14:paraId="33975369" w14:textId="77777777" w:rsidR="006E5511" w:rsidRPr="005D59A7" w:rsidRDefault="006E5511" w:rsidP="00410D73">
      <w:pPr>
        <w:pStyle w:val="Heading2"/>
        <w:bidi/>
        <w:rPr>
          <w:rFonts w:ascii="T" w:hAnsi="T" w:cs="Simplified Arabic"/>
          <w:color w:val="auto"/>
          <w:sz w:val="24"/>
          <w:szCs w:val="24"/>
          <w:rtl/>
        </w:rPr>
      </w:pPr>
      <w:bookmarkStart w:id="15" w:name="_Toc234607854"/>
      <w:r w:rsidRPr="005D59A7">
        <w:rPr>
          <w:rFonts w:ascii="T" w:hAnsi="T" w:cs="Simplified Arabic"/>
          <w:color w:val="auto"/>
          <w:sz w:val="24"/>
          <w:szCs w:val="24"/>
          <w:rtl/>
        </w:rPr>
        <w:t>المفاهيم الإجرائية</w:t>
      </w:r>
      <w:bookmarkEnd w:id="15"/>
    </w:p>
    <w:tbl>
      <w:tblPr>
        <w:tblStyle w:val="TableGrid"/>
        <w:bidiVisual/>
        <w:tblW w:w="0" w:type="auto"/>
        <w:tblLook w:val="04A0" w:firstRow="1" w:lastRow="0" w:firstColumn="1" w:lastColumn="0" w:noHBand="0" w:noVBand="1"/>
      </w:tblPr>
      <w:tblGrid>
        <w:gridCol w:w="1426"/>
        <w:gridCol w:w="2856"/>
        <w:gridCol w:w="2280"/>
        <w:gridCol w:w="1734"/>
      </w:tblGrid>
      <w:tr w:rsidR="0048002A" w:rsidRPr="005D59A7" w14:paraId="7FA088B3" w14:textId="77777777" w:rsidTr="007270C8">
        <w:tc>
          <w:tcPr>
            <w:tcW w:w="0" w:type="auto"/>
            <w:hideMark/>
          </w:tcPr>
          <w:p w14:paraId="6A7DFD0B"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المفهوم</w:t>
            </w:r>
          </w:p>
        </w:tc>
        <w:tc>
          <w:tcPr>
            <w:tcW w:w="0" w:type="auto"/>
            <w:hideMark/>
          </w:tcPr>
          <w:p w14:paraId="7E6186CE"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التعريف الإجرائي</w:t>
            </w:r>
          </w:p>
        </w:tc>
        <w:tc>
          <w:tcPr>
            <w:tcW w:w="0" w:type="auto"/>
            <w:hideMark/>
          </w:tcPr>
          <w:p w14:paraId="7E7D77AE"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مؤشر/طريقة القياس</w:t>
            </w:r>
          </w:p>
        </w:tc>
        <w:tc>
          <w:tcPr>
            <w:tcW w:w="0" w:type="auto"/>
            <w:hideMark/>
          </w:tcPr>
          <w:p w14:paraId="2E654F50"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مصدر البيانات</w:t>
            </w:r>
          </w:p>
        </w:tc>
      </w:tr>
      <w:tr w:rsidR="0048002A" w:rsidRPr="005D59A7" w14:paraId="4C77B5C3" w14:textId="77777777" w:rsidTr="007270C8">
        <w:tc>
          <w:tcPr>
            <w:tcW w:w="0" w:type="auto"/>
            <w:hideMark/>
          </w:tcPr>
          <w:p w14:paraId="4CA936A9"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الشراكة بين القطاعين العام والخاص</w:t>
            </w:r>
            <w:r w:rsidRPr="005D59A7">
              <w:rPr>
                <w:rFonts w:ascii="T" w:hAnsi="T" w:cs="Simplified Arabic"/>
                <w:sz w:val="24"/>
                <w:szCs w:val="24"/>
                <w:shd w:val="clear" w:color="auto" w:fill="FFFFFF"/>
              </w:rPr>
              <w:t xml:space="preserve"> (PPP)</w:t>
            </w:r>
          </w:p>
        </w:tc>
        <w:tc>
          <w:tcPr>
            <w:tcW w:w="0" w:type="auto"/>
            <w:hideMark/>
          </w:tcPr>
          <w:p w14:paraId="12A2C026"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نموذج تعاقدي يجمع بين القطاعين العام والخاص لتقديم خدمة عامة، حيث يتولى القطاع الخاص تنفيذ الخدمة مقابل عائد مالي مرتبط بالأداء</w:t>
            </w:r>
          </w:p>
        </w:tc>
        <w:tc>
          <w:tcPr>
            <w:tcW w:w="0" w:type="auto"/>
            <w:hideMark/>
          </w:tcPr>
          <w:p w14:paraId="08B2219D"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نوع النموذج التعاقدي</w:t>
            </w:r>
            <w:r w:rsidRPr="005D59A7">
              <w:rPr>
                <w:rFonts w:ascii="T" w:hAnsi="T" w:cs="Simplified Arabic"/>
                <w:sz w:val="24"/>
                <w:szCs w:val="24"/>
                <w:shd w:val="clear" w:color="auto" w:fill="FFFFFF"/>
              </w:rPr>
              <w:t xml:space="preserve"> (O&amp;M / DBO / DBFM / Outsourcing)</w:t>
            </w:r>
          </w:p>
        </w:tc>
        <w:tc>
          <w:tcPr>
            <w:tcW w:w="0" w:type="auto"/>
            <w:hideMark/>
          </w:tcPr>
          <w:p w14:paraId="34C0332B"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للتخصيص</w:t>
            </w:r>
            <w:r w:rsidRPr="005D59A7">
              <w:rPr>
                <w:rFonts w:ascii="T" w:hAnsi="T" w:cs="Simplified Arabic"/>
                <w:sz w:val="24"/>
                <w:szCs w:val="24"/>
                <w:shd w:val="clear" w:color="auto" w:fill="FFFFFF"/>
              </w:rPr>
              <w:t xml:space="preserve"> (NCP, 2022)</w:t>
            </w:r>
          </w:p>
        </w:tc>
      </w:tr>
      <w:tr w:rsidR="0048002A" w:rsidRPr="005D59A7" w14:paraId="580E5B14" w14:textId="77777777" w:rsidTr="007270C8">
        <w:tc>
          <w:tcPr>
            <w:tcW w:w="0" w:type="auto"/>
            <w:hideMark/>
          </w:tcPr>
          <w:p w14:paraId="2784DC13"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الحوكمة البيئية</w:t>
            </w:r>
          </w:p>
        </w:tc>
        <w:tc>
          <w:tcPr>
            <w:tcW w:w="0" w:type="auto"/>
            <w:hideMark/>
          </w:tcPr>
          <w:p w14:paraId="2EFB7D66"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الإطار المؤسسي والتشريعي المنظم لقطاع البيئة، بما في ذلك توزيع المسؤوليات والصلاحيات بين الجهات المعنية</w:t>
            </w:r>
          </w:p>
        </w:tc>
        <w:tc>
          <w:tcPr>
            <w:tcW w:w="0" w:type="auto"/>
            <w:hideMark/>
          </w:tcPr>
          <w:p w14:paraId="01068A40"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درجة وضوح توزيع المسؤوليات، عدد الجهات المعنية بالخدمة</w:t>
            </w:r>
          </w:p>
        </w:tc>
        <w:tc>
          <w:tcPr>
            <w:tcW w:w="0" w:type="auto"/>
            <w:hideMark/>
          </w:tcPr>
          <w:p w14:paraId="72F264B5"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الإستراتيجية الوطنية للبيئة</w:t>
            </w:r>
            <w:r w:rsidRPr="005D59A7">
              <w:rPr>
                <w:rFonts w:ascii="T" w:hAnsi="T" w:cs="Simplified Arabic"/>
                <w:sz w:val="24"/>
                <w:szCs w:val="24"/>
                <w:shd w:val="clear" w:color="auto" w:fill="FFFFFF"/>
              </w:rPr>
              <w:t xml:space="preserve"> (MEWA, 2020)</w:t>
            </w:r>
          </w:p>
        </w:tc>
      </w:tr>
      <w:tr w:rsidR="0048002A" w:rsidRPr="005D59A7" w14:paraId="2431BBF3" w14:textId="77777777" w:rsidTr="007270C8">
        <w:tc>
          <w:tcPr>
            <w:tcW w:w="0" w:type="auto"/>
            <w:hideMark/>
          </w:tcPr>
          <w:p w14:paraId="39C9063A"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كفاءة الخدمة</w:t>
            </w:r>
          </w:p>
        </w:tc>
        <w:tc>
          <w:tcPr>
            <w:tcW w:w="0" w:type="auto"/>
            <w:hideMark/>
          </w:tcPr>
          <w:p w14:paraId="7000B17D"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نسبة المخرجات إلى المدخلات في تقديم خدمة التفتيش البيئي، معبراً عنها بالتكلفة لكل وحدة خدمة</w:t>
            </w:r>
          </w:p>
        </w:tc>
        <w:tc>
          <w:tcPr>
            <w:tcW w:w="0" w:type="auto"/>
            <w:hideMark/>
          </w:tcPr>
          <w:p w14:paraId="65A6011E"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التكلفة التشغيلية للزيارة التفتيشية (ريال/زيارة)</w:t>
            </w:r>
          </w:p>
        </w:tc>
        <w:tc>
          <w:tcPr>
            <w:tcW w:w="0" w:type="auto"/>
            <w:hideMark/>
          </w:tcPr>
          <w:p w14:paraId="2C85CDB7"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r w:rsidR="0048002A" w:rsidRPr="005D59A7" w14:paraId="09AF6901" w14:textId="77777777" w:rsidTr="007270C8">
        <w:tc>
          <w:tcPr>
            <w:tcW w:w="0" w:type="auto"/>
            <w:hideMark/>
          </w:tcPr>
          <w:p w14:paraId="23042448"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جودة المخرجات</w:t>
            </w:r>
          </w:p>
        </w:tc>
        <w:tc>
          <w:tcPr>
            <w:tcW w:w="0" w:type="auto"/>
            <w:hideMark/>
          </w:tcPr>
          <w:p w14:paraId="70F0B12D"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مدى دقة وفعالية عمليات التفتيش البيئي، معبراً عنها بنسبة المخالفات المقبولة إدارياً وقانونياً</w:t>
            </w:r>
          </w:p>
        </w:tc>
        <w:tc>
          <w:tcPr>
            <w:tcW w:w="0" w:type="auto"/>
            <w:hideMark/>
          </w:tcPr>
          <w:p w14:paraId="5CC9EF13"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نسبة المخالفات المرفوضة</w:t>
            </w:r>
            <w:r w:rsidRPr="005D59A7">
              <w:rPr>
                <w:rFonts w:ascii="T" w:hAnsi="T" w:cs="Simplified Arabic"/>
                <w:sz w:val="24"/>
                <w:szCs w:val="24"/>
                <w:shd w:val="clear" w:color="auto" w:fill="FFFFFF"/>
              </w:rPr>
              <w:t xml:space="preserve"> (%)</w:t>
            </w:r>
          </w:p>
        </w:tc>
        <w:tc>
          <w:tcPr>
            <w:tcW w:w="0" w:type="auto"/>
            <w:hideMark/>
          </w:tcPr>
          <w:p w14:paraId="49E5A31D"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r w:rsidR="0048002A" w:rsidRPr="005D59A7" w14:paraId="3B63B459" w14:textId="77777777" w:rsidTr="007270C8">
        <w:tc>
          <w:tcPr>
            <w:tcW w:w="0" w:type="auto"/>
            <w:hideMark/>
          </w:tcPr>
          <w:p w14:paraId="295BFA32"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مستوى التغطية</w:t>
            </w:r>
          </w:p>
        </w:tc>
        <w:tc>
          <w:tcPr>
            <w:tcW w:w="0" w:type="auto"/>
            <w:hideMark/>
          </w:tcPr>
          <w:p w14:paraId="489A17CC"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نسبة المنشآت التي تمت زيارتها تفتيشياً إلى إجمالي المنشآت المسجلة في قاعدة البيانات</w:t>
            </w:r>
          </w:p>
        </w:tc>
        <w:tc>
          <w:tcPr>
            <w:tcW w:w="0" w:type="auto"/>
            <w:hideMark/>
          </w:tcPr>
          <w:p w14:paraId="5A8FB976"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(المنشآت المزورة ÷ إجمالي المنشآت) × 100</w:t>
            </w:r>
          </w:p>
        </w:tc>
        <w:tc>
          <w:tcPr>
            <w:tcW w:w="0" w:type="auto"/>
            <w:hideMark/>
          </w:tcPr>
          <w:p w14:paraId="56CAC13A"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r w:rsidR="0048002A" w:rsidRPr="005D59A7" w14:paraId="31E15013" w14:textId="77777777" w:rsidTr="007270C8">
        <w:tc>
          <w:tcPr>
            <w:tcW w:w="0" w:type="auto"/>
            <w:hideMark/>
          </w:tcPr>
          <w:p w14:paraId="7B0A91D8"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كفاءة الموارد البشرية</w:t>
            </w:r>
          </w:p>
        </w:tc>
        <w:tc>
          <w:tcPr>
            <w:tcW w:w="0" w:type="auto"/>
            <w:hideMark/>
          </w:tcPr>
          <w:p w14:paraId="5F8A11AA"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مدى تناسب عدد المفتشين مع عدد المنشآت المشمولة بالتفتيش</w:t>
            </w:r>
          </w:p>
        </w:tc>
        <w:tc>
          <w:tcPr>
            <w:tcW w:w="0" w:type="auto"/>
            <w:hideMark/>
          </w:tcPr>
          <w:p w14:paraId="4ED48CE2"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عدد المنشآت لكل مفتش</w:t>
            </w:r>
          </w:p>
        </w:tc>
        <w:tc>
          <w:tcPr>
            <w:tcW w:w="0" w:type="auto"/>
            <w:hideMark/>
          </w:tcPr>
          <w:p w14:paraId="4B2DAA0B"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r w:rsidR="0048002A" w:rsidRPr="005D59A7" w14:paraId="489E7816" w14:textId="77777777" w:rsidTr="007270C8">
        <w:tc>
          <w:tcPr>
            <w:tcW w:w="0" w:type="auto"/>
            <w:hideMark/>
          </w:tcPr>
          <w:p w14:paraId="2BC9A7D8"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الجدوى المالية</w:t>
            </w:r>
          </w:p>
        </w:tc>
        <w:tc>
          <w:tcPr>
            <w:tcW w:w="0" w:type="auto"/>
            <w:hideMark/>
          </w:tcPr>
          <w:p w14:paraId="7238D31F"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قدرة النموذج التشغيلي على تحقيق توازن بين الإيرادات والتكاليف، مع تحقيق فائض أو تغطية العجز</w:t>
            </w:r>
          </w:p>
        </w:tc>
        <w:tc>
          <w:tcPr>
            <w:tcW w:w="0" w:type="auto"/>
            <w:hideMark/>
          </w:tcPr>
          <w:p w14:paraId="09083B4F"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نسبة استرداد التكاليف (%)، صافي العائد السنوي (ريال)</w:t>
            </w:r>
          </w:p>
        </w:tc>
        <w:tc>
          <w:tcPr>
            <w:tcW w:w="0" w:type="auto"/>
            <w:hideMark/>
          </w:tcPr>
          <w:p w14:paraId="1BD800AC"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bl>
    <w:p w14:paraId="570FAE87" w14:textId="77777777" w:rsidR="007270C8" w:rsidRPr="005D59A7" w:rsidRDefault="007270C8" w:rsidP="00DF52A6">
      <w:pPr>
        <w:bidi/>
        <w:spacing w:after="200" w:line="276" w:lineRule="auto"/>
        <w:ind w:left="8" w:firstLine="720"/>
        <w:jc w:val="both"/>
        <w:rPr>
          <w:rFonts w:ascii="T" w:hAnsi="T" w:cs="Simplified Arabic"/>
          <w:sz w:val="24"/>
          <w:szCs w:val="24"/>
          <w:shd w:val="clear" w:color="auto" w:fill="FFFFFF"/>
        </w:rPr>
      </w:pPr>
    </w:p>
    <w:p w14:paraId="65BA2C0D" w14:textId="1CA93507" w:rsidR="00F41E95" w:rsidRPr="005D59A7" w:rsidRDefault="00F41E95" w:rsidP="00410D73">
      <w:pPr>
        <w:pStyle w:val="Heading2"/>
        <w:bidi/>
        <w:rPr>
          <w:rFonts w:ascii="T" w:hAnsi="T" w:cs="Simplified Arabic"/>
          <w:color w:val="auto"/>
          <w:sz w:val="24"/>
          <w:szCs w:val="24"/>
          <w:rtl/>
        </w:rPr>
      </w:pPr>
      <w:bookmarkStart w:id="16" w:name="_Toc234607855"/>
      <w:r w:rsidRPr="005D59A7">
        <w:rPr>
          <w:rFonts w:ascii="T" w:hAnsi="T" w:cs="Simplified Arabic"/>
          <w:color w:val="auto"/>
          <w:sz w:val="24"/>
          <w:szCs w:val="24"/>
          <w:rtl/>
        </w:rPr>
        <w:t>المفاهيم التطبيقية</w:t>
      </w:r>
      <w:bookmarkEnd w:id="16"/>
    </w:p>
    <w:p w14:paraId="22640285" w14:textId="77777777" w:rsidR="00410D73" w:rsidRPr="005D59A7" w:rsidRDefault="00410D73" w:rsidP="00410D73">
      <w:pPr>
        <w:bidi/>
        <w:rPr>
          <w:rFonts w:ascii="T" w:hAnsi="T" w:cs="Simplified Arabic"/>
          <w:sz w:val="24"/>
          <w:szCs w:val="24"/>
          <w:rtl/>
        </w:rPr>
      </w:pPr>
    </w:p>
    <w:tbl>
      <w:tblPr>
        <w:tblStyle w:val="TableGrid"/>
        <w:tblpPr w:leftFromText="180" w:rightFromText="180" w:vertAnchor="text" w:tblpXSpec="right" w:tblpY="1"/>
        <w:tblOverlap w:val="never"/>
        <w:bidiVisual/>
        <w:tblW w:w="0" w:type="auto"/>
        <w:tblLook w:val="04A0" w:firstRow="1" w:lastRow="0" w:firstColumn="1" w:lastColumn="0" w:noHBand="0" w:noVBand="1"/>
      </w:tblPr>
      <w:tblGrid>
        <w:gridCol w:w="3050"/>
        <w:gridCol w:w="4240"/>
      </w:tblGrid>
      <w:tr w:rsidR="0048002A" w:rsidRPr="005D59A7" w14:paraId="67F2E174" w14:textId="77777777" w:rsidTr="00410D73">
        <w:tc>
          <w:tcPr>
            <w:tcW w:w="3050" w:type="dxa"/>
            <w:vAlign w:val="center"/>
          </w:tcPr>
          <w:p w14:paraId="3238EC87"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المصطلح</w:t>
            </w:r>
          </w:p>
        </w:tc>
        <w:tc>
          <w:tcPr>
            <w:tcW w:w="4240" w:type="dxa"/>
            <w:vAlign w:val="center"/>
          </w:tcPr>
          <w:p w14:paraId="4CD6CFE8"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التعريف</w:t>
            </w:r>
          </w:p>
        </w:tc>
      </w:tr>
      <w:tr w:rsidR="0048002A" w:rsidRPr="005D59A7" w14:paraId="30D4D57C" w14:textId="77777777" w:rsidTr="00410D73">
        <w:tc>
          <w:tcPr>
            <w:tcW w:w="3050" w:type="dxa"/>
            <w:vAlign w:val="center"/>
          </w:tcPr>
          <w:p w14:paraId="6BC007BD"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lastRenderedPageBreak/>
              <w:t>المفتش البيئي</w:t>
            </w:r>
          </w:p>
        </w:tc>
        <w:tc>
          <w:tcPr>
            <w:tcW w:w="4240" w:type="dxa"/>
            <w:vAlign w:val="center"/>
          </w:tcPr>
          <w:p w14:paraId="40F5CD61" w14:textId="77777777" w:rsidR="00F41E95" w:rsidRPr="005D59A7" w:rsidRDefault="002F1419" w:rsidP="00410D73">
            <w:pPr>
              <w:bidi/>
              <w:jc w:val="center"/>
              <w:rPr>
                <w:rFonts w:ascii="T" w:hAnsi="T" w:cs="Simplified Arabic"/>
                <w:sz w:val="24"/>
                <w:szCs w:val="24"/>
                <w:rtl/>
              </w:rPr>
            </w:pPr>
            <w:r w:rsidRPr="005D59A7">
              <w:rPr>
                <w:rFonts w:ascii="T" w:hAnsi="T" w:cs="Simplified Arabic"/>
                <w:sz w:val="24"/>
                <w:szCs w:val="24"/>
                <w:rtl/>
              </w:rPr>
              <w:t>الموظف المختص والمسؤول عن القيام بالزيارة التفتيشية. يمتلك مؤهلات علمية وخلفية عملية ذات صلة بال</w:t>
            </w:r>
            <w:r w:rsidR="00463130" w:rsidRPr="005D59A7">
              <w:rPr>
                <w:rFonts w:ascii="T" w:hAnsi="T" w:cs="Simplified Arabic"/>
                <w:sz w:val="24"/>
                <w:szCs w:val="24"/>
                <w:rtl/>
              </w:rPr>
              <w:t>مجال.</w:t>
            </w:r>
          </w:p>
        </w:tc>
      </w:tr>
      <w:tr w:rsidR="0048002A" w:rsidRPr="005D59A7" w14:paraId="48859639" w14:textId="77777777" w:rsidTr="00410D73">
        <w:tc>
          <w:tcPr>
            <w:tcW w:w="3050" w:type="dxa"/>
            <w:vAlign w:val="center"/>
          </w:tcPr>
          <w:p w14:paraId="700EC851"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الزيارة التفتيشية</w:t>
            </w:r>
          </w:p>
        </w:tc>
        <w:tc>
          <w:tcPr>
            <w:tcW w:w="4240" w:type="dxa"/>
            <w:vAlign w:val="center"/>
          </w:tcPr>
          <w:p w14:paraId="0227B634"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زيارة المفتش البيئي للمنشأة للتأكد من مطابقة العمليات التشغيلية للاشتراطات والمعايير المندرجة تحت النظام العام للبيئية واللوائح التنفيذية.</w:t>
            </w:r>
          </w:p>
        </w:tc>
      </w:tr>
      <w:tr w:rsidR="0048002A" w:rsidRPr="005D59A7" w14:paraId="616D811B" w14:textId="77777777" w:rsidTr="00410D73">
        <w:tc>
          <w:tcPr>
            <w:tcW w:w="3050" w:type="dxa"/>
            <w:vAlign w:val="center"/>
          </w:tcPr>
          <w:p w14:paraId="47E0DE6D"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تكلفة الزيارة التفتيشية</w:t>
            </w:r>
          </w:p>
        </w:tc>
        <w:tc>
          <w:tcPr>
            <w:tcW w:w="4240" w:type="dxa"/>
            <w:vAlign w:val="center"/>
          </w:tcPr>
          <w:p w14:paraId="18C1E4A6"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يتم عقد الزيارات التفتيشية بدون مقابل مالي من قبل القطاع العام. الهدف الرئيسي لمشاركة القطاع الخاص هو فرض رسوم على الزيارة التفتيشية.</w:t>
            </w:r>
          </w:p>
        </w:tc>
      </w:tr>
      <w:tr w:rsidR="0048002A" w:rsidRPr="005D59A7" w14:paraId="7AFE670A" w14:textId="77777777" w:rsidTr="00410D73">
        <w:tc>
          <w:tcPr>
            <w:tcW w:w="3050" w:type="dxa"/>
            <w:vAlign w:val="center"/>
          </w:tcPr>
          <w:p w14:paraId="40FEC99E"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المخالفة البيئية</w:t>
            </w:r>
          </w:p>
        </w:tc>
        <w:tc>
          <w:tcPr>
            <w:tcW w:w="4240" w:type="dxa"/>
            <w:vAlign w:val="center"/>
          </w:tcPr>
          <w:p w14:paraId="09897FF4"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أي إجراء تشغيلي أو إنشائي مخالف للأنظمة العامة للبيئة واللوائح التنفيذية ذات الصلة من قبل المنشأة.</w:t>
            </w:r>
          </w:p>
        </w:tc>
      </w:tr>
      <w:tr w:rsidR="0048002A" w:rsidRPr="005D59A7" w14:paraId="60253EDA" w14:textId="77777777" w:rsidTr="00410D73">
        <w:tc>
          <w:tcPr>
            <w:tcW w:w="3050" w:type="dxa"/>
            <w:vAlign w:val="center"/>
          </w:tcPr>
          <w:p w14:paraId="0CC3DBB4" w14:textId="77777777" w:rsidR="00F41E95" w:rsidRPr="005D59A7" w:rsidRDefault="002F1419" w:rsidP="00410D73">
            <w:pPr>
              <w:bidi/>
              <w:jc w:val="center"/>
              <w:rPr>
                <w:rFonts w:ascii="T" w:hAnsi="T" w:cs="Simplified Arabic"/>
                <w:sz w:val="24"/>
                <w:szCs w:val="24"/>
                <w:rtl/>
              </w:rPr>
            </w:pPr>
            <w:r w:rsidRPr="005D59A7">
              <w:rPr>
                <w:rFonts w:ascii="T" w:hAnsi="T" w:cs="Simplified Arabic"/>
                <w:sz w:val="24"/>
                <w:szCs w:val="24"/>
                <w:rtl/>
              </w:rPr>
              <w:t>المنشأة</w:t>
            </w:r>
          </w:p>
        </w:tc>
        <w:tc>
          <w:tcPr>
            <w:tcW w:w="4240" w:type="dxa"/>
            <w:vAlign w:val="center"/>
          </w:tcPr>
          <w:p w14:paraId="50D03F9D"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أي منشأة ذات نشاط له تأثير سلبي على البيئية، ويتم تصنيفها وفق النظام تحت 3 فئات حسب حجم الأثر المتوقع ونوع النشاط وحجمه.</w:t>
            </w:r>
          </w:p>
        </w:tc>
      </w:tr>
      <w:tr w:rsidR="0048002A" w:rsidRPr="005D59A7" w14:paraId="68959163" w14:textId="77777777" w:rsidTr="00410D73">
        <w:tc>
          <w:tcPr>
            <w:tcW w:w="3050" w:type="dxa"/>
            <w:vAlign w:val="center"/>
          </w:tcPr>
          <w:p w14:paraId="0FE922B7" w14:textId="77777777" w:rsidR="00F41E95" w:rsidRPr="005D59A7" w:rsidRDefault="002F1419" w:rsidP="00410D73">
            <w:pPr>
              <w:bidi/>
              <w:jc w:val="center"/>
              <w:rPr>
                <w:rFonts w:ascii="T" w:hAnsi="T" w:cs="Simplified Arabic"/>
                <w:sz w:val="24"/>
                <w:szCs w:val="24"/>
                <w:rtl/>
              </w:rPr>
            </w:pPr>
            <w:r w:rsidRPr="005D59A7">
              <w:rPr>
                <w:rFonts w:ascii="T" w:hAnsi="T" w:cs="Simplified Arabic"/>
                <w:sz w:val="24"/>
                <w:szCs w:val="24"/>
                <w:rtl/>
              </w:rPr>
              <w:t>نسبة التغطية</w:t>
            </w:r>
          </w:p>
        </w:tc>
        <w:tc>
          <w:tcPr>
            <w:tcW w:w="4240" w:type="dxa"/>
            <w:vAlign w:val="center"/>
          </w:tcPr>
          <w:p w14:paraId="7DE58112"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نسبة التغطية الجغرافية لعمليات التفتيش البيئي للمنشآت في كافة مناطق المملكة.</w:t>
            </w:r>
          </w:p>
        </w:tc>
      </w:tr>
    </w:tbl>
    <w:p w14:paraId="4CF77AED" w14:textId="58870859" w:rsidR="00F41E95" w:rsidRPr="005D59A7" w:rsidRDefault="002F1419" w:rsidP="00DF52A6">
      <w:pPr>
        <w:pStyle w:val="Caption"/>
        <w:bidi/>
        <w:ind w:firstLine="720"/>
        <w:jc w:val="center"/>
        <w:rPr>
          <w:rFonts w:ascii="T" w:hAnsi="T" w:cs="Simplified Arabic"/>
          <w:color w:val="auto"/>
          <w:sz w:val="24"/>
          <w:szCs w:val="24"/>
          <w:rtl/>
        </w:rPr>
      </w:pPr>
      <w:r w:rsidRPr="005D59A7">
        <w:rPr>
          <w:rFonts w:ascii="T" w:hAnsi="T" w:cs="Simplified Arabic"/>
          <w:color w:val="auto"/>
          <w:sz w:val="24"/>
          <w:szCs w:val="24"/>
        </w:rPr>
        <w:br w:type="textWrapping" w:clear="all"/>
      </w:r>
      <w:bookmarkStart w:id="17" w:name="_Toc225991173"/>
      <w:r w:rsidRPr="005D59A7">
        <w:rPr>
          <w:rFonts w:ascii="T" w:hAnsi="T" w:cs="Simplified Arabic"/>
          <w:color w:val="auto"/>
          <w:sz w:val="24"/>
          <w:szCs w:val="24"/>
        </w:rPr>
        <w:t>Table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Table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1</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المصطلحات التطبيقية</w:t>
      </w:r>
      <w:bookmarkEnd w:id="17"/>
    </w:p>
    <w:p w14:paraId="211D57C7" w14:textId="77777777" w:rsidR="007270C8" w:rsidRPr="005D59A7" w:rsidRDefault="007270C8" w:rsidP="00DF52A6">
      <w:pPr>
        <w:shd w:val="clear" w:color="auto" w:fill="FFFFFF"/>
        <w:bidi/>
        <w:spacing w:before="240" w:after="240" w:line="240" w:lineRule="auto"/>
        <w:ind w:firstLine="720"/>
        <w:rPr>
          <w:rFonts w:ascii="T" w:hAnsi="T" w:cs="Simplified Arabic"/>
          <w:sz w:val="24"/>
          <w:szCs w:val="24"/>
        </w:rPr>
      </w:pPr>
      <w:r w:rsidRPr="005D59A7">
        <w:rPr>
          <w:rFonts w:ascii="T" w:hAnsi="T" w:cs="Simplified Arabic"/>
          <w:sz w:val="24"/>
          <w:szCs w:val="24"/>
          <w:rtl/>
        </w:rPr>
        <w:t>لضمان الدقة المفاهيمية في الدراسة، يتم التمييز بين المصطلحات التالية</w:t>
      </w:r>
      <w:r w:rsidRPr="005D59A7">
        <w:rPr>
          <w:rFonts w:ascii="T" w:hAnsi="T" w:cs="Simplified Arabic"/>
          <w:sz w:val="24"/>
          <w:szCs w:val="24"/>
        </w:rPr>
        <w:t>:</w:t>
      </w:r>
    </w:p>
    <w:tbl>
      <w:tblPr>
        <w:tblStyle w:val="TableGrid"/>
        <w:bidiVisual/>
        <w:tblW w:w="8635" w:type="dxa"/>
        <w:tblLook w:val="04A0" w:firstRow="1" w:lastRow="0" w:firstColumn="1" w:lastColumn="0" w:noHBand="0" w:noVBand="1"/>
      </w:tblPr>
      <w:tblGrid>
        <w:gridCol w:w="2283"/>
        <w:gridCol w:w="3379"/>
        <w:gridCol w:w="2973"/>
      </w:tblGrid>
      <w:tr w:rsidR="0048002A" w:rsidRPr="005D59A7" w14:paraId="54945F43" w14:textId="77777777" w:rsidTr="007270C8">
        <w:trPr>
          <w:trHeight w:val="372"/>
        </w:trPr>
        <w:tc>
          <w:tcPr>
            <w:tcW w:w="0" w:type="auto"/>
            <w:hideMark/>
          </w:tcPr>
          <w:p w14:paraId="7DBD2F87"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المصطلح</w:t>
            </w:r>
          </w:p>
        </w:tc>
        <w:tc>
          <w:tcPr>
            <w:tcW w:w="0" w:type="auto"/>
            <w:hideMark/>
          </w:tcPr>
          <w:p w14:paraId="5DD53DC2"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التعريف</w:t>
            </w:r>
          </w:p>
        </w:tc>
        <w:tc>
          <w:tcPr>
            <w:tcW w:w="0" w:type="auto"/>
            <w:hideMark/>
          </w:tcPr>
          <w:p w14:paraId="58AF3516"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الاستخدام في الدراسة</w:t>
            </w:r>
          </w:p>
        </w:tc>
      </w:tr>
      <w:tr w:rsidR="0048002A" w:rsidRPr="005D59A7" w14:paraId="0286FD54" w14:textId="77777777" w:rsidTr="007270C8">
        <w:trPr>
          <w:trHeight w:val="1490"/>
        </w:trPr>
        <w:tc>
          <w:tcPr>
            <w:tcW w:w="0" w:type="auto"/>
            <w:hideMark/>
          </w:tcPr>
          <w:p w14:paraId="5B17781D"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الشراكة بين القطاعين العام والخاص</w:t>
            </w:r>
            <w:r w:rsidRPr="005D59A7">
              <w:rPr>
                <w:rFonts w:ascii="T" w:hAnsi="T" w:cs="Simplified Arabic"/>
                <w:sz w:val="24"/>
                <w:szCs w:val="24"/>
              </w:rPr>
              <w:t xml:space="preserve"> (PPP)</w:t>
            </w:r>
          </w:p>
        </w:tc>
        <w:tc>
          <w:tcPr>
            <w:tcW w:w="0" w:type="auto"/>
            <w:hideMark/>
          </w:tcPr>
          <w:p w14:paraId="2E67C428"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نموذج تعاقدي طويل الأجل يتعاون فيه القطاعان العام والخاص لتقديم خدمة عامة، حيث يتولى القطاع الخاص مسؤولية التمويل والبناء والتشغيل (كلياً أو جزئياً)، مع بقاء ملكية الأصول للقطاع العام</w:t>
            </w:r>
            <w:r w:rsidRPr="005D59A7">
              <w:rPr>
                <w:rFonts w:ascii="T" w:hAnsi="T" w:cs="Simplified Arabic"/>
                <w:sz w:val="24"/>
                <w:szCs w:val="24"/>
              </w:rPr>
              <w:t>.</w:t>
            </w:r>
          </w:p>
        </w:tc>
        <w:tc>
          <w:tcPr>
            <w:tcW w:w="0" w:type="auto"/>
            <w:hideMark/>
          </w:tcPr>
          <w:p w14:paraId="5DDD0148"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المصطلح المظلي الذي تعتمده الدراسة، ويشمل جميع نماذج التعاقد التي تتضمن مشاركة القطاع الخاص في تقديم الخدمة</w:t>
            </w:r>
            <w:r w:rsidRPr="005D59A7">
              <w:rPr>
                <w:rFonts w:ascii="T" w:hAnsi="T" w:cs="Simplified Arabic"/>
                <w:sz w:val="24"/>
                <w:szCs w:val="24"/>
              </w:rPr>
              <w:t>.</w:t>
            </w:r>
          </w:p>
        </w:tc>
      </w:tr>
      <w:tr w:rsidR="0048002A" w:rsidRPr="005D59A7" w14:paraId="47FBF719" w14:textId="77777777" w:rsidTr="007270C8">
        <w:trPr>
          <w:trHeight w:val="1117"/>
        </w:trPr>
        <w:tc>
          <w:tcPr>
            <w:tcW w:w="0" w:type="auto"/>
            <w:hideMark/>
          </w:tcPr>
          <w:p w14:paraId="0FB12EA6"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lastRenderedPageBreak/>
              <w:t>التخصيص</w:t>
            </w:r>
            <w:r w:rsidRPr="005D59A7">
              <w:rPr>
                <w:rFonts w:ascii="T" w:hAnsi="T" w:cs="Simplified Arabic"/>
                <w:sz w:val="24"/>
                <w:szCs w:val="24"/>
              </w:rPr>
              <w:t xml:space="preserve"> (Privatization)</w:t>
            </w:r>
          </w:p>
        </w:tc>
        <w:tc>
          <w:tcPr>
            <w:tcW w:w="0" w:type="auto"/>
            <w:hideMark/>
          </w:tcPr>
          <w:p w14:paraId="1B575373"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نقل ملكية الأصول أو الخدمات من القطاع العام إلى القطاع الخاص بشكل كامل أو جزئي، مع تحول المسؤولية الكاملة إلى القطاع الخاص</w:t>
            </w:r>
            <w:r w:rsidRPr="005D59A7">
              <w:rPr>
                <w:rFonts w:ascii="T" w:hAnsi="T" w:cs="Simplified Arabic"/>
                <w:sz w:val="24"/>
                <w:szCs w:val="24"/>
              </w:rPr>
              <w:t>.</w:t>
            </w:r>
          </w:p>
        </w:tc>
        <w:tc>
          <w:tcPr>
            <w:tcW w:w="0" w:type="auto"/>
            <w:hideMark/>
          </w:tcPr>
          <w:p w14:paraId="002935A7"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لا يدخل ضمن نطاق الدراسة، حيث تبقى ملكية خدمة التفتيش البيئي للقطاع العام</w:t>
            </w:r>
            <w:r w:rsidRPr="005D59A7">
              <w:rPr>
                <w:rFonts w:ascii="T" w:hAnsi="T" w:cs="Simplified Arabic"/>
                <w:sz w:val="24"/>
                <w:szCs w:val="24"/>
              </w:rPr>
              <w:t>.</w:t>
            </w:r>
          </w:p>
        </w:tc>
      </w:tr>
      <w:tr w:rsidR="0048002A" w:rsidRPr="005D59A7" w14:paraId="051A37FE" w14:textId="77777777" w:rsidTr="007270C8">
        <w:trPr>
          <w:trHeight w:val="1117"/>
        </w:trPr>
        <w:tc>
          <w:tcPr>
            <w:tcW w:w="0" w:type="auto"/>
            <w:hideMark/>
          </w:tcPr>
          <w:p w14:paraId="2843531A"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الخصخصة</w:t>
            </w:r>
            <w:r w:rsidRPr="005D59A7">
              <w:rPr>
                <w:rFonts w:ascii="T" w:hAnsi="T" w:cs="Simplified Arabic"/>
                <w:sz w:val="24"/>
                <w:szCs w:val="24"/>
              </w:rPr>
              <w:t xml:space="preserve"> (Corporatization)</w:t>
            </w:r>
          </w:p>
        </w:tc>
        <w:tc>
          <w:tcPr>
            <w:tcW w:w="0" w:type="auto"/>
            <w:hideMark/>
          </w:tcPr>
          <w:p w14:paraId="39D7C637"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تحويل جهة حكومية إلى شركة مملوكة للدولة مع تطبيق ممارسات القطاع الخاص في الإدارة والتشغيل</w:t>
            </w:r>
            <w:r w:rsidRPr="005D59A7">
              <w:rPr>
                <w:rFonts w:ascii="T" w:hAnsi="T" w:cs="Simplified Arabic"/>
                <w:sz w:val="24"/>
                <w:szCs w:val="24"/>
              </w:rPr>
              <w:t>.</w:t>
            </w:r>
          </w:p>
        </w:tc>
        <w:tc>
          <w:tcPr>
            <w:tcW w:w="0" w:type="auto"/>
            <w:hideMark/>
          </w:tcPr>
          <w:p w14:paraId="25DC078B"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لا يدخل ضمن نطاق الدراسة</w:t>
            </w:r>
            <w:r w:rsidRPr="005D59A7">
              <w:rPr>
                <w:rFonts w:ascii="T" w:hAnsi="T" w:cs="Simplified Arabic"/>
                <w:sz w:val="24"/>
                <w:szCs w:val="24"/>
              </w:rPr>
              <w:t>.</w:t>
            </w:r>
          </w:p>
        </w:tc>
      </w:tr>
      <w:tr w:rsidR="0048002A" w:rsidRPr="005D59A7" w14:paraId="463F9344" w14:textId="77777777" w:rsidTr="007270C8">
        <w:trPr>
          <w:trHeight w:val="1490"/>
        </w:trPr>
        <w:tc>
          <w:tcPr>
            <w:tcW w:w="0" w:type="auto"/>
            <w:hideMark/>
          </w:tcPr>
          <w:p w14:paraId="59E2AC3E"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التوريد</w:t>
            </w:r>
            <w:r w:rsidRPr="005D59A7">
              <w:rPr>
                <w:rFonts w:ascii="T" w:hAnsi="T" w:cs="Simplified Arabic"/>
                <w:sz w:val="24"/>
                <w:szCs w:val="24"/>
              </w:rPr>
              <w:t xml:space="preserve"> (Outsourcing)</w:t>
            </w:r>
          </w:p>
        </w:tc>
        <w:tc>
          <w:tcPr>
            <w:tcW w:w="0" w:type="auto"/>
            <w:hideMark/>
          </w:tcPr>
          <w:p w14:paraId="67F69D5D"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نموذج تعاقدي قصير الأجل تقوم فيه الجهة الحكومية بتعيين مقاول خارجي لتقديم خدمة محددة، مع احتفاظها بالمسؤولية الكاملة والرقابة المباشرة</w:t>
            </w:r>
            <w:r w:rsidRPr="005D59A7">
              <w:rPr>
                <w:rFonts w:ascii="T" w:hAnsi="T" w:cs="Simplified Arabic"/>
                <w:sz w:val="24"/>
                <w:szCs w:val="24"/>
              </w:rPr>
              <w:t>.</w:t>
            </w:r>
          </w:p>
        </w:tc>
        <w:tc>
          <w:tcPr>
            <w:tcW w:w="0" w:type="auto"/>
            <w:hideMark/>
          </w:tcPr>
          <w:p w14:paraId="7AFFE6A0"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يمثل النموذج التقليدي الحالي</w:t>
            </w:r>
            <w:r w:rsidRPr="005D59A7">
              <w:rPr>
                <w:rFonts w:ascii="T" w:hAnsi="T" w:cs="Simplified Arabic"/>
                <w:sz w:val="24"/>
                <w:szCs w:val="24"/>
              </w:rPr>
              <w:t xml:space="preserve"> (Input-Based Contracting) </w:t>
            </w:r>
            <w:r w:rsidRPr="005D59A7">
              <w:rPr>
                <w:rFonts w:ascii="T" w:hAnsi="T" w:cs="Simplified Arabic"/>
                <w:sz w:val="24"/>
                <w:szCs w:val="24"/>
                <w:rtl/>
              </w:rPr>
              <w:t>الذي تسعى الدراسة إلى تجاوزه نحو نموذج</w:t>
            </w:r>
            <w:r w:rsidRPr="005D59A7">
              <w:rPr>
                <w:rFonts w:ascii="T" w:hAnsi="T" w:cs="Simplified Arabic"/>
                <w:sz w:val="24"/>
                <w:szCs w:val="24"/>
              </w:rPr>
              <w:t xml:space="preserve"> PPP </w:t>
            </w:r>
            <w:r w:rsidRPr="005D59A7">
              <w:rPr>
                <w:rFonts w:ascii="T" w:hAnsi="T" w:cs="Simplified Arabic"/>
                <w:sz w:val="24"/>
                <w:szCs w:val="24"/>
                <w:rtl/>
              </w:rPr>
              <w:t>قائم على الأداء</w:t>
            </w:r>
            <w:r w:rsidRPr="005D59A7">
              <w:rPr>
                <w:rFonts w:ascii="T" w:hAnsi="T" w:cs="Simplified Arabic"/>
                <w:sz w:val="24"/>
                <w:szCs w:val="24"/>
              </w:rPr>
              <w:t>.</w:t>
            </w:r>
          </w:p>
        </w:tc>
      </w:tr>
    </w:tbl>
    <w:p w14:paraId="10017D62" w14:textId="77777777" w:rsidR="007270C8" w:rsidRPr="005D59A7" w:rsidRDefault="007270C8" w:rsidP="00410D73">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تبنى المصطلح المظلي</w:t>
      </w:r>
      <w:r w:rsidRPr="005D59A7">
        <w:rPr>
          <w:rFonts w:ascii="T" w:hAnsi="T" w:cs="Simplified Arabic"/>
          <w:sz w:val="24"/>
          <w:szCs w:val="24"/>
        </w:rPr>
        <w:t>: </w:t>
      </w:r>
      <w:r w:rsidRPr="005D59A7">
        <w:rPr>
          <w:rFonts w:ascii="T" w:hAnsi="T" w:cs="Simplified Arabic"/>
          <w:sz w:val="24"/>
          <w:szCs w:val="24"/>
          <w:rtl/>
        </w:rPr>
        <w:t>تعتمد الدراسة مصطلح </w:t>
      </w:r>
      <w:r w:rsidRPr="005D59A7">
        <w:rPr>
          <w:rFonts w:ascii="T" w:hAnsi="T" w:cs="Simplified Arabic"/>
          <w:sz w:val="24"/>
          <w:szCs w:val="24"/>
        </w:rPr>
        <w:t>"</w:t>
      </w:r>
      <w:r w:rsidRPr="005D59A7">
        <w:rPr>
          <w:rFonts w:ascii="T" w:hAnsi="T" w:cs="Simplified Arabic"/>
          <w:sz w:val="24"/>
          <w:szCs w:val="24"/>
          <w:rtl/>
        </w:rPr>
        <w:t>الشراكة بين القطاعين العام والخاص</w:t>
      </w:r>
      <w:r w:rsidRPr="005D59A7">
        <w:rPr>
          <w:rFonts w:ascii="T" w:hAnsi="T" w:cs="Simplified Arabic"/>
          <w:sz w:val="24"/>
          <w:szCs w:val="24"/>
        </w:rPr>
        <w:t xml:space="preserve"> (PPP)" </w:t>
      </w:r>
      <w:r w:rsidRPr="005D59A7">
        <w:rPr>
          <w:rFonts w:ascii="T" w:hAnsi="T" w:cs="Simplified Arabic"/>
          <w:sz w:val="24"/>
          <w:szCs w:val="24"/>
          <w:rtl/>
        </w:rPr>
        <w:t>كمصطلح مظلي يشير إلى جميع النماذج التعاقدية التي تتضمن تعاوناً هيكلياً طويل الأجل بين القطاعين العام والخاص في تقديم خدمة التفتيش البيئي، مع التركيز على نموذج التشغيل والصيانة</w:t>
      </w:r>
      <w:r w:rsidRPr="005D59A7">
        <w:rPr>
          <w:rFonts w:ascii="T" w:hAnsi="T" w:cs="Simplified Arabic"/>
          <w:sz w:val="24"/>
          <w:szCs w:val="24"/>
        </w:rPr>
        <w:t xml:space="preserve"> (O&amp;M) </w:t>
      </w:r>
      <w:r w:rsidRPr="005D59A7">
        <w:rPr>
          <w:rFonts w:ascii="T" w:hAnsi="T" w:cs="Simplified Arabic"/>
          <w:sz w:val="24"/>
          <w:szCs w:val="24"/>
          <w:rtl/>
        </w:rPr>
        <w:t>باعتباره الأنسب للخدمة</w:t>
      </w:r>
      <w:r w:rsidRPr="005D59A7">
        <w:rPr>
          <w:rFonts w:ascii="T" w:hAnsi="T" w:cs="Simplified Arabic"/>
          <w:sz w:val="24"/>
          <w:szCs w:val="24"/>
        </w:rPr>
        <w:t>.</w:t>
      </w:r>
    </w:p>
    <w:p w14:paraId="6B22ED22" w14:textId="77777777" w:rsidR="00177E64" w:rsidRPr="005D59A7" w:rsidRDefault="00177E64" w:rsidP="00861DC2">
      <w:pPr>
        <w:pStyle w:val="Heading1"/>
        <w:bidi/>
        <w:spacing w:line="360" w:lineRule="auto"/>
        <w:rPr>
          <w:rFonts w:ascii="T" w:eastAsia="Times New Roman" w:hAnsi="T" w:cs="Simplified Arabic"/>
          <w:b/>
          <w:bCs/>
          <w:color w:val="auto"/>
          <w:sz w:val="24"/>
          <w:szCs w:val="24"/>
          <w:rtl/>
        </w:rPr>
      </w:pPr>
      <w:bookmarkStart w:id="18" w:name="_Toc234607856"/>
      <w:r w:rsidRPr="005D59A7">
        <w:rPr>
          <w:rFonts w:ascii="T" w:eastAsia="Times New Roman" w:hAnsi="T" w:cs="Simplified Arabic"/>
          <w:b/>
          <w:bCs/>
          <w:color w:val="auto"/>
          <w:sz w:val="24"/>
          <w:szCs w:val="24"/>
          <w:rtl/>
        </w:rPr>
        <w:t>الدراسات المرجعية:</w:t>
      </w:r>
      <w:bookmarkEnd w:id="18"/>
    </w:p>
    <w:p w14:paraId="35F02737" w14:textId="77777777" w:rsidR="00177E64" w:rsidRPr="005D59A7" w:rsidRDefault="00177E64" w:rsidP="00410D7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سيتم</w:t>
      </w:r>
      <w:r w:rsidR="00556639" w:rsidRPr="005D59A7">
        <w:rPr>
          <w:rFonts w:ascii="T" w:hAnsi="T" w:cs="Simplified Arabic"/>
          <w:sz w:val="24"/>
          <w:szCs w:val="24"/>
          <w:rtl/>
        </w:rPr>
        <w:t xml:space="preserve"> التعليق على الدراسات السابقة في فصل الثاني والخاص بعرضها ومراجعتها، وتشمل أهم الدراسات المرجعية التي سيتم الاعتماد عليها ما يلي</w:t>
      </w:r>
      <w:r w:rsidRPr="005D59A7">
        <w:rPr>
          <w:rFonts w:ascii="T" w:hAnsi="T" w:cs="Simplified Arabic"/>
          <w:sz w:val="24"/>
          <w:szCs w:val="24"/>
          <w:rtl/>
        </w:rPr>
        <w:t>:</w:t>
      </w:r>
    </w:p>
    <w:tbl>
      <w:tblPr>
        <w:tblStyle w:val="TableGrid"/>
        <w:bidiVisual/>
        <w:tblW w:w="0" w:type="auto"/>
        <w:tblInd w:w="674" w:type="dxa"/>
        <w:tblLook w:val="04A0" w:firstRow="1" w:lastRow="0" w:firstColumn="1" w:lastColumn="0" w:noHBand="0" w:noVBand="1"/>
      </w:tblPr>
      <w:tblGrid>
        <w:gridCol w:w="2186"/>
        <w:gridCol w:w="2752"/>
        <w:gridCol w:w="2684"/>
      </w:tblGrid>
      <w:tr w:rsidR="0048002A" w:rsidRPr="005D59A7" w14:paraId="06B51CEA" w14:textId="77777777" w:rsidTr="00463130">
        <w:tc>
          <w:tcPr>
            <w:tcW w:w="2230" w:type="dxa"/>
            <w:vAlign w:val="center"/>
          </w:tcPr>
          <w:p w14:paraId="591D382E"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الدراسة/المرجع</w:t>
            </w:r>
          </w:p>
        </w:tc>
        <w:tc>
          <w:tcPr>
            <w:tcW w:w="2837" w:type="dxa"/>
            <w:vAlign w:val="center"/>
          </w:tcPr>
          <w:p w14:paraId="51011653"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المنهج</w:t>
            </w:r>
          </w:p>
        </w:tc>
        <w:tc>
          <w:tcPr>
            <w:tcW w:w="2763" w:type="dxa"/>
            <w:vAlign w:val="center"/>
          </w:tcPr>
          <w:p w14:paraId="31C25149"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أوجه الاستفادة</w:t>
            </w:r>
          </w:p>
        </w:tc>
      </w:tr>
      <w:tr w:rsidR="0048002A" w:rsidRPr="005D59A7" w14:paraId="19438BA1" w14:textId="77777777" w:rsidTr="00463130">
        <w:tc>
          <w:tcPr>
            <w:tcW w:w="2230" w:type="dxa"/>
            <w:vAlign w:val="center"/>
          </w:tcPr>
          <w:p w14:paraId="6D22E3BE"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رؤية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المملكة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العربية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السعودية 2030</w:t>
            </w:r>
          </w:p>
        </w:tc>
        <w:tc>
          <w:tcPr>
            <w:tcW w:w="2837" w:type="dxa"/>
            <w:vAlign w:val="center"/>
          </w:tcPr>
          <w:p w14:paraId="6E87ECB4"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وتشمل الإطار المؤسسي والأهداف والمبادرات والمشاريع والمؤشرات لإعادة هيكلة النظام الحكومي شاملاً كافة القطاعات</w:t>
            </w:r>
          </w:p>
        </w:tc>
        <w:tc>
          <w:tcPr>
            <w:tcW w:w="2763" w:type="dxa"/>
            <w:vAlign w:val="center"/>
          </w:tcPr>
          <w:p w14:paraId="6F9098D1"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الحصول على البيانات المتعلقة بمؤشرات الأداء والأهداف لقطاع البيئة وبرامج التخصيص</w:t>
            </w:r>
          </w:p>
        </w:tc>
      </w:tr>
      <w:tr w:rsidR="0048002A" w:rsidRPr="005D59A7" w14:paraId="61887E38" w14:textId="77777777" w:rsidTr="00463130">
        <w:tc>
          <w:tcPr>
            <w:tcW w:w="2230" w:type="dxa"/>
            <w:vAlign w:val="center"/>
          </w:tcPr>
          <w:p w14:paraId="4F506326"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الجهات الحكومية المستهدفة مثل وزارة البيئة والمياه والزراعة والمراكز </w:t>
            </w:r>
            <w:r w:rsidRPr="005D59A7">
              <w:rPr>
                <w:rFonts w:ascii="T" w:hAnsi="T" w:cs="Simplified Arabic"/>
                <w:sz w:val="24"/>
                <w:szCs w:val="24"/>
                <w:shd w:val="clear" w:color="auto" w:fill="FFFFFF"/>
                <w:rtl/>
              </w:rPr>
              <w:lastRenderedPageBreak/>
              <w:t>الوطنية البيئية ومركز التخصيص</w:t>
            </w:r>
          </w:p>
        </w:tc>
        <w:tc>
          <w:tcPr>
            <w:tcW w:w="2837" w:type="dxa"/>
            <w:vAlign w:val="center"/>
          </w:tcPr>
          <w:p w14:paraId="59F88377"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كافة المواقع الإلكترونية للجهات الممثلة لقطاع البيئة والمركز الوطني للتخصيص</w:t>
            </w:r>
          </w:p>
        </w:tc>
        <w:tc>
          <w:tcPr>
            <w:tcW w:w="2763" w:type="dxa"/>
            <w:vAlign w:val="center"/>
          </w:tcPr>
          <w:p w14:paraId="2DD86431"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وتمثل مصادر ذات أهمية للحصول على البيانات </w:t>
            </w:r>
            <w:r w:rsidRPr="005D59A7">
              <w:rPr>
                <w:rFonts w:ascii="T" w:hAnsi="T" w:cs="Simplified Arabic"/>
                <w:sz w:val="24"/>
                <w:szCs w:val="24"/>
                <w:shd w:val="clear" w:color="auto" w:fill="FFFFFF"/>
                <w:rtl/>
              </w:rPr>
              <w:lastRenderedPageBreak/>
              <w:t>والمعلومات والمؤشرات والتقارير المتعلقة بالخدمات البيئية</w:t>
            </w:r>
          </w:p>
        </w:tc>
      </w:tr>
      <w:tr w:rsidR="0048002A" w:rsidRPr="005D59A7" w14:paraId="64D31E0A" w14:textId="77777777" w:rsidTr="00463130">
        <w:tc>
          <w:tcPr>
            <w:tcW w:w="2230" w:type="dxa"/>
            <w:vAlign w:val="center"/>
          </w:tcPr>
          <w:p w14:paraId="4C5F230E"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الملخص التنفيذي للإستراتيجية الوطنية للبيئة</w:t>
            </w:r>
          </w:p>
        </w:tc>
        <w:tc>
          <w:tcPr>
            <w:tcW w:w="2837" w:type="dxa"/>
            <w:vAlign w:val="center"/>
          </w:tcPr>
          <w:p w14:paraId="78D09B76"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تقرير شامل قامت بإصداره وزارة البيئة والمياه والزراعة عام 2018</w:t>
            </w:r>
          </w:p>
        </w:tc>
        <w:tc>
          <w:tcPr>
            <w:tcW w:w="2763" w:type="dxa"/>
            <w:vAlign w:val="center"/>
          </w:tcPr>
          <w:p w14:paraId="75E8F3BA"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يشمل الإطار المؤسسي النظري والتنفيذي لإعادة هيكلة قطاع البيئة شاملاً تحليل الفجوة الحالية والدراسات المرجعية الإقليمية والدولية والمبادرات والمشاريع وغيرها.</w:t>
            </w:r>
          </w:p>
          <w:p w14:paraId="04DB1C23" w14:textId="77777777" w:rsidR="00C146B6" w:rsidRPr="005D59A7" w:rsidRDefault="00C146B6" w:rsidP="00410D73">
            <w:pPr>
              <w:pStyle w:val="ListParagraph"/>
              <w:bidi/>
              <w:ind w:left="0"/>
              <w:jc w:val="center"/>
              <w:rPr>
                <w:rFonts w:ascii="T" w:hAnsi="T" w:cs="Simplified Arabic"/>
                <w:sz w:val="24"/>
                <w:szCs w:val="24"/>
                <w:shd w:val="clear" w:color="auto" w:fill="FFFFFF"/>
                <w:rtl/>
              </w:rPr>
            </w:pPr>
          </w:p>
        </w:tc>
      </w:tr>
      <w:tr w:rsidR="0048002A" w:rsidRPr="005D59A7" w14:paraId="4B33FD1D" w14:textId="77777777" w:rsidTr="00463130">
        <w:tc>
          <w:tcPr>
            <w:tcW w:w="2230" w:type="dxa"/>
            <w:vAlign w:val="center"/>
          </w:tcPr>
          <w:p w14:paraId="12344FBC"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دليل</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تخطيط</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وتطوير</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قطاع</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الشراكة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بين</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القطاعين</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العام</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والخاص،</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الصادر</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عن</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المركز</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الوطني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للتخصيص (</w:t>
            </w:r>
            <w:r w:rsidRPr="005D59A7">
              <w:rPr>
                <w:rFonts w:ascii="T" w:hAnsi="T" w:cs="Simplified Arabic"/>
                <w:sz w:val="24"/>
                <w:szCs w:val="24"/>
                <w:shd w:val="clear" w:color="auto" w:fill="FFFFFF"/>
              </w:rPr>
              <w:t>NCP</w:t>
            </w:r>
            <w:r w:rsidRPr="005D59A7">
              <w:rPr>
                <w:rFonts w:ascii="T" w:hAnsi="T" w:cs="Simplified Arabic"/>
                <w:sz w:val="24"/>
                <w:szCs w:val="24"/>
                <w:shd w:val="clear" w:color="auto" w:fill="FFFFFF"/>
                <w:rtl/>
              </w:rPr>
              <w:t>)</w:t>
            </w:r>
          </w:p>
        </w:tc>
        <w:tc>
          <w:tcPr>
            <w:tcW w:w="2837" w:type="dxa"/>
            <w:vAlign w:val="center"/>
          </w:tcPr>
          <w:p w14:paraId="7BE39A90"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دليل يشمل الأطر التنفيذية لإجراءات بناء الشراكة مع القطاع الخاص في الجهات القطاعية بالمملكة والصادر من المركز الوطني للتخصيص عام 2022</w:t>
            </w:r>
          </w:p>
        </w:tc>
        <w:tc>
          <w:tcPr>
            <w:tcW w:w="2763" w:type="dxa"/>
            <w:vAlign w:val="center"/>
          </w:tcPr>
          <w:p w14:paraId="65AD7A26"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الإطار التنظيمي والإجرائي للشراكات بين القطاعين العام والخاص في المملكة.</w:t>
            </w:r>
          </w:p>
        </w:tc>
      </w:tr>
      <w:tr w:rsidR="0048002A" w:rsidRPr="005D59A7" w14:paraId="42DAFC62" w14:textId="77777777" w:rsidTr="00463130">
        <w:tc>
          <w:tcPr>
            <w:tcW w:w="2230" w:type="dxa"/>
            <w:vAlign w:val="center"/>
          </w:tcPr>
          <w:p w14:paraId="24821E4C"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برنامج</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العمل</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البيئي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في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المملكة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العربية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السعودية (</w:t>
            </w:r>
            <w:r w:rsidRPr="005D59A7">
              <w:rPr>
                <w:rFonts w:ascii="T" w:hAnsi="T" w:cs="Simplified Arabic"/>
                <w:sz w:val="24"/>
                <w:szCs w:val="24"/>
                <w:shd w:val="clear" w:color="auto" w:fill="FFFFFF"/>
              </w:rPr>
              <w:t>SAEP</w:t>
            </w:r>
            <w:r w:rsidRPr="005D59A7">
              <w:rPr>
                <w:rFonts w:ascii="T" w:hAnsi="T" w:cs="Simplified Arabic"/>
                <w:sz w:val="24"/>
                <w:szCs w:val="24"/>
                <w:shd w:val="clear" w:color="auto" w:fill="FFFFFF"/>
                <w:rtl/>
              </w:rPr>
              <w:t>)</w:t>
            </w:r>
          </w:p>
        </w:tc>
        <w:tc>
          <w:tcPr>
            <w:tcW w:w="2837" w:type="dxa"/>
            <w:vAlign w:val="center"/>
          </w:tcPr>
          <w:p w14:paraId="2ED11E81" w14:textId="16E4D66C"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تقرير يشمل تكلفة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التدهور</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البيئي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في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عام 2014 والصادر من</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البنك</w:t>
            </w:r>
            <w:r w:rsidRPr="005D59A7">
              <w:rPr>
                <w:rFonts w:ascii="T" w:hAnsi="T" w:cs="Simplified Arabic"/>
                <w:sz w:val="24"/>
                <w:szCs w:val="24"/>
                <w:shd w:val="clear" w:color="auto" w:fill="FFFFFF"/>
              </w:rPr>
              <w:t xml:space="preserve"> </w:t>
            </w:r>
            <w:r w:rsidR="00861DC2" w:rsidRPr="005D59A7">
              <w:rPr>
                <w:rFonts w:ascii="T" w:hAnsi="T" w:cs="Simplified Arabic"/>
                <w:sz w:val="24"/>
                <w:szCs w:val="24"/>
                <w:shd w:val="clear" w:color="auto" w:fill="FFFFFF"/>
                <w:rtl/>
              </w:rPr>
              <w:t>الدول قسم</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الممارسات</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العالمية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للبيئة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والموارد</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الطبيعية في 2016 والمختص</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بمنطقة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الشرق</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الأوسط</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وشمال</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أفريقيا</w:t>
            </w:r>
          </w:p>
        </w:tc>
        <w:tc>
          <w:tcPr>
            <w:tcW w:w="2763" w:type="dxa"/>
            <w:vAlign w:val="center"/>
          </w:tcPr>
          <w:p w14:paraId="278C0CFD"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الأرقام والمعلومات الخاصة بتكاليف التدهور البيئي في المملكة قبل إنشاء المراكز وإطلاق الإستراتيجية الوطنية للبيئة. وتعد معلومات هامة لتقييم الفجوة التي تستهدفها الدراسة</w:t>
            </w:r>
          </w:p>
        </w:tc>
      </w:tr>
      <w:tr w:rsidR="0048002A" w:rsidRPr="005D59A7" w14:paraId="7E726447" w14:textId="77777777" w:rsidTr="00463130">
        <w:tc>
          <w:tcPr>
            <w:tcW w:w="2230" w:type="dxa"/>
            <w:vAlign w:val="center"/>
          </w:tcPr>
          <w:p w14:paraId="66111776" w14:textId="77777777" w:rsidR="00EB4354" w:rsidRPr="005D59A7" w:rsidRDefault="00EB435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اللجنة الإشرافية</w:t>
            </w:r>
          </w:p>
        </w:tc>
        <w:tc>
          <w:tcPr>
            <w:tcW w:w="2837" w:type="dxa"/>
            <w:vAlign w:val="center"/>
          </w:tcPr>
          <w:p w14:paraId="38BDFE3B" w14:textId="77777777" w:rsidR="00EB4354" w:rsidRPr="005D59A7" w:rsidRDefault="00EB435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هي اللجنة التي تم اعتمادها لمشاريع تخصيص قطاع البيئة وتشمل وزير البيئة والمياه والزراعة والرئيس التنفيذي للمركز الوطني للتخصيص والرؤساء التنفيذيين للمراكز الوطنية البيئية الخمسة</w:t>
            </w:r>
          </w:p>
        </w:tc>
        <w:tc>
          <w:tcPr>
            <w:tcW w:w="2763" w:type="dxa"/>
            <w:vAlign w:val="center"/>
          </w:tcPr>
          <w:p w14:paraId="6BCEFAA4" w14:textId="77777777" w:rsidR="00EB4354" w:rsidRPr="005D59A7" w:rsidRDefault="00EB435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مادة علمية مقدمة للجنة تشمل مقترح ومبادرة تخصيص التفتيش البيئي وتتبعها عدد من المواد العلمية المتعلقة مثل دراسات الجدوى وغيرها من المعلومات</w:t>
            </w:r>
          </w:p>
        </w:tc>
      </w:tr>
    </w:tbl>
    <w:p w14:paraId="057DFDFE" w14:textId="25F00ACE" w:rsidR="007F4785" w:rsidRPr="005D59A7" w:rsidRDefault="007F4785" w:rsidP="00DF52A6">
      <w:pPr>
        <w:pStyle w:val="Caption"/>
        <w:keepNext/>
        <w:bidi/>
        <w:ind w:firstLine="720"/>
        <w:jc w:val="center"/>
        <w:rPr>
          <w:rFonts w:ascii="T" w:hAnsi="T" w:cs="Simplified Arabic"/>
          <w:color w:val="auto"/>
          <w:sz w:val="24"/>
          <w:szCs w:val="24"/>
        </w:rPr>
      </w:pPr>
      <w:bookmarkStart w:id="19" w:name="_Toc225991174"/>
      <w:r w:rsidRPr="005D59A7">
        <w:rPr>
          <w:rFonts w:ascii="T" w:hAnsi="T" w:cs="Simplified Arabic"/>
          <w:color w:val="auto"/>
          <w:sz w:val="24"/>
          <w:szCs w:val="24"/>
        </w:rPr>
        <w:lastRenderedPageBreak/>
        <w:t xml:space="preserve">Table </w:t>
      </w:r>
      <w:r w:rsidR="00FD30BF" w:rsidRPr="005D59A7">
        <w:rPr>
          <w:rFonts w:ascii="T" w:hAnsi="T" w:cs="Simplified Arabic"/>
          <w:color w:val="auto"/>
          <w:sz w:val="24"/>
          <w:szCs w:val="24"/>
        </w:rPr>
        <w:fldChar w:fldCharType="begin"/>
      </w:r>
      <w:r w:rsidRPr="005D59A7">
        <w:rPr>
          <w:rFonts w:ascii="T" w:hAnsi="T" w:cs="Simplified Arabic"/>
          <w:color w:val="auto"/>
          <w:sz w:val="24"/>
          <w:szCs w:val="24"/>
        </w:rPr>
        <w:instrText xml:space="preserve"> SEQ Table \* ARABIC </w:instrText>
      </w:r>
      <w:r w:rsidR="00FD30BF" w:rsidRPr="005D59A7">
        <w:rPr>
          <w:rFonts w:ascii="T" w:hAnsi="T" w:cs="Simplified Arabic"/>
          <w:color w:val="auto"/>
          <w:sz w:val="24"/>
          <w:szCs w:val="24"/>
        </w:rPr>
        <w:fldChar w:fldCharType="separate"/>
      </w:r>
      <w:r w:rsidR="00E86871">
        <w:rPr>
          <w:rFonts w:ascii="T" w:hAnsi="T" w:cs="Simplified Arabic"/>
          <w:noProof/>
          <w:color w:val="auto"/>
          <w:sz w:val="24"/>
          <w:szCs w:val="24"/>
        </w:rPr>
        <w:t>2</w:t>
      </w:r>
      <w:r w:rsidR="00FD30BF" w:rsidRPr="005D59A7">
        <w:rPr>
          <w:rFonts w:ascii="T" w:hAnsi="T" w:cs="Simplified Arabic"/>
          <w:color w:val="auto"/>
          <w:sz w:val="24"/>
          <w:szCs w:val="24"/>
        </w:rPr>
        <w:fldChar w:fldCharType="end"/>
      </w:r>
      <w:r w:rsidRPr="005D59A7">
        <w:rPr>
          <w:rFonts w:ascii="T" w:hAnsi="T" w:cs="Simplified Arabic"/>
          <w:noProof/>
          <w:color w:val="auto"/>
          <w:sz w:val="24"/>
          <w:szCs w:val="24"/>
          <w:rtl/>
        </w:rPr>
        <w:t>: الدراسات المرجعية المختارة</w:t>
      </w:r>
      <w:bookmarkEnd w:id="19"/>
    </w:p>
    <w:p w14:paraId="4D85B909" w14:textId="77777777" w:rsidR="00E4150D" w:rsidRPr="005D59A7" w:rsidRDefault="00CC208F" w:rsidP="00861DC2">
      <w:pPr>
        <w:pStyle w:val="Heading1"/>
        <w:bidi/>
        <w:spacing w:line="360" w:lineRule="auto"/>
        <w:rPr>
          <w:rFonts w:ascii="T" w:eastAsia="Times New Roman" w:hAnsi="T" w:cs="Simplified Arabic"/>
          <w:b/>
          <w:bCs/>
          <w:color w:val="auto"/>
          <w:sz w:val="24"/>
          <w:szCs w:val="24"/>
          <w:rtl/>
        </w:rPr>
      </w:pPr>
      <w:bookmarkStart w:id="20" w:name="_Toc234607857"/>
      <w:r w:rsidRPr="005D59A7">
        <w:rPr>
          <w:rFonts w:ascii="T" w:eastAsia="Times New Roman" w:hAnsi="T" w:cs="Simplified Arabic"/>
          <w:b/>
          <w:bCs/>
          <w:color w:val="auto"/>
          <w:sz w:val="24"/>
          <w:szCs w:val="24"/>
          <w:rtl/>
        </w:rPr>
        <w:t>حدود الدراسة:</w:t>
      </w:r>
      <w:bookmarkEnd w:id="20"/>
    </w:p>
    <w:p w14:paraId="77E9605D" w14:textId="77777777" w:rsidR="00FF0AED" w:rsidRPr="005D59A7" w:rsidRDefault="00FF0AED" w:rsidP="00861DC2">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تختص الدراسة بتقييم القطاع البيئي في المملكة العربية السعودية منذ انطلاق الرؤية وتقييم الهيكل التنظيمي له. وستركز الرسالة بشكل أدق على الموارد البشرية والمعلومات الأخرى الهامة الخاصة بخدمة التفتيش البيئي التي تم اختيارها لتطبيق نموذج شراكة مع القطاع الخاص لها. ويمكن تقسيم حدود الدراسة كالتالي</w:t>
      </w:r>
      <w:r w:rsidRPr="005D59A7">
        <w:rPr>
          <w:rFonts w:ascii="T" w:hAnsi="T" w:cs="Simplified Arabic"/>
          <w:sz w:val="24"/>
          <w:szCs w:val="24"/>
        </w:rPr>
        <w:t>:</w:t>
      </w:r>
    </w:p>
    <w:p w14:paraId="02E5CD71" w14:textId="77777777" w:rsidR="00FF0AED" w:rsidRPr="005D59A7" w:rsidRDefault="00FF0AED" w:rsidP="00861DC2">
      <w:pPr>
        <w:pStyle w:val="Heading2"/>
        <w:bidi/>
        <w:rPr>
          <w:rFonts w:ascii="T" w:hAnsi="T" w:cs="Simplified Arabic"/>
          <w:color w:val="auto"/>
          <w:sz w:val="24"/>
          <w:szCs w:val="24"/>
          <w:rtl/>
        </w:rPr>
      </w:pPr>
      <w:bookmarkStart w:id="21" w:name="_Toc234607858"/>
      <w:r w:rsidRPr="005D59A7">
        <w:rPr>
          <w:rFonts w:ascii="T" w:hAnsi="T" w:cs="Simplified Arabic"/>
          <w:color w:val="auto"/>
          <w:sz w:val="24"/>
          <w:szCs w:val="24"/>
          <w:rtl/>
        </w:rPr>
        <w:t>أولاً: الحدود المكانية</w:t>
      </w:r>
      <w:bookmarkEnd w:id="21"/>
    </w:p>
    <w:p w14:paraId="45071169" w14:textId="77777777" w:rsidR="00FF0AED" w:rsidRPr="005D59A7" w:rsidRDefault="00FF0AED" w:rsidP="00861DC2">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تقتصر الدراسة على التغطية الجغرافية التي تشملها خدمة التفتيش البيئي تحت إشراف المركز الوطني للرقابة على الالتزام البيئي</w:t>
      </w:r>
      <w:r w:rsidRPr="005D59A7">
        <w:rPr>
          <w:rFonts w:ascii="T" w:hAnsi="T" w:cs="Simplified Arabic"/>
          <w:sz w:val="24"/>
          <w:szCs w:val="24"/>
        </w:rPr>
        <w:t xml:space="preserve"> (NCEC)</w:t>
      </w:r>
      <w:r w:rsidRPr="005D59A7">
        <w:rPr>
          <w:rFonts w:ascii="T" w:hAnsi="T" w:cs="Simplified Arabic"/>
          <w:sz w:val="24"/>
          <w:szCs w:val="24"/>
          <w:rtl/>
        </w:rPr>
        <w:t>، وهي كافة مناطق المملكة العربية السعودية (الرياض، مكة المكرمة، المدينة المنورة، الشرقية، عسير، تبوك، حائل، الحدود الشمالية، جازان، نجران، الباحة، الجوف، القصيم). ويتم اختيار عينة طبقية من المنشآت المشمولة بالتفتيش وفقاً لتصنيفها إلى ثلاث فئات رئيسية: المنشآت عالية الخطورة (مثل المصانع الكبرى والمنشآت البتروكيماوية)، والمنشآت متوسطة الخطورة (مثل المنشآت الصناعية المتوسطة والمرافق الخدمية)، والمنشآت منخفضة الخطورة (مثل المنشآت التجارية والمكاتب). ويهدف هذا التصنيف إلى ضمان تمثيل متوازن لجميع فئات المنشآت في التحليل، بما يعزز دقة النتائج وقابليتها للتعميم</w:t>
      </w:r>
      <w:r w:rsidRPr="005D59A7">
        <w:rPr>
          <w:rFonts w:ascii="T" w:hAnsi="T" w:cs="Simplified Arabic"/>
          <w:sz w:val="24"/>
          <w:szCs w:val="24"/>
        </w:rPr>
        <w:t>.</w:t>
      </w:r>
    </w:p>
    <w:p w14:paraId="4D5314A2" w14:textId="77777777" w:rsidR="00FF0AED" w:rsidRPr="005D59A7" w:rsidRDefault="00FF0AED" w:rsidP="00861DC2">
      <w:pPr>
        <w:pStyle w:val="Heading2"/>
        <w:bidi/>
        <w:rPr>
          <w:rFonts w:ascii="T" w:hAnsi="T" w:cs="Simplified Arabic"/>
          <w:color w:val="auto"/>
          <w:sz w:val="24"/>
          <w:szCs w:val="24"/>
          <w:rtl/>
        </w:rPr>
      </w:pPr>
      <w:bookmarkStart w:id="22" w:name="_Toc234607859"/>
      <w:r w:rsidRPr="005D59A7">
        <w:rPr>
          <w:rFonts w:ascii="T" w:hAnsi="T" w:cs="Simplified Arabic"/>
          <w:color w:val="auto"/>
          <w:sz w:val="24"/>
          <w:szCs w:val="24"/>
          <w:rtl/>
        </w:rPr>
        <w:t>ثانياً: الحدود الزمانية</w:t>
      </w:r>
      <w:bookmarkEnd w:id="22"/>
    </w:p>
    <w:p w14:paraId="074B6A2A"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تم جمع البيانات والمعلومات خلال الفترة 2019-2022، وتشمل دراسات ومعلومات تمتد من 2017 إلى 2022. وتعتمد الدراسة نافذة قياس محددة تتمثل في مقارنة أداء خدمة التفتيش البيئي بين فترتين: الفترة الأولى (2017-2019) التي تمثل مرحلة التوريد التقليدي بالكامل، والفترة الثانية (2020-2022) التي شهدت بداية التحول نحو نماذج تشغيلية مختلفة. ويهدف هذا التقسيم إلى إتاحة إمكانية قياس الفروق في مؤشرات الأداء الرئيسية (التكلفة التشغيلية، نسبة التغطية، نسبة المخالفات المرفوضة) بين النموذجين، مع تبرير اختيار الفترة الزمنية بناءً على توفر البيانات الرسمية من المركز الوطني للرقابة على الالتزام البيئي واستقرار الظروف التشغيلية خلال هذه الفترة</w:t>
      </w:r>
      <w:r w:rsidRPr="005D59A7">
        <w:rPr>
          <w:rFonts w:ascii="T" w:hAnsi="T" w:cs="Simplified Arabic"/>
          <w:sz w:val="24"/>
          <w:szCs w:val="24"/>
        </w:rPr>
        <w:t>.</w:t>
      </w:r>
    </w:p>
    <w:p w14:paraId="40807ADD" w14:textId="77777777" w:rsidR="00FF0AED" w:rsidRPr="005D59A7" w:rsidRDefault="00FF0AED" w:rsidP="00861DC2">
      <w:pPr>
        <w:pStyle w:val="Heading2"/>
        <w:bidi/>
        <w:rPr>
          <w:rFonts w:ascii="T" w:hAnsi="T" w:cs="Simplified Arabic"/>
          <w:color w:val="auto"/>
          <w:sz w:val="24"/>
          <w:szCs w:val="24"/>
          <w:rtl/>
        </w:rPr>
      </w:pPr>
      <w:bookmarkStart w:id="23" w:name="_Toc234607860"/>
      <w:r w:rsidRPr="005D59A7">
        <w:rPr>
          <w:rFonts w:ascii="T" w:hAnsi="T" w:cs="Simplified Arabic"/>
          <w:color w:val="auto"/>
          <w:sz w:val="24"/>
          <w:szCs w:val="24"/>
          <w:rtl/>
        </w:rPr>
        <w:lastRenderedPageBreak/>
        <w:t>ثالثاً: الحدود البشرية</w:t>
      </w:r>
      <w:bookmarkEnd w:id="23"/>
    </w:p>
    <w:p w14:paraId="1BF65A03"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تقتصر الدراسة على المفتشين البيئيين العاملين في خدمة التفتيش البيئي، وعناصر الموارد البشرية الأخرى ذات الصلة المباشرة بالخدمة (كالمشرفين، محللي البيانات، فرق الدعم الإداري). ويتم التركيز على تحليل كفاءة هيكل الموارد البشرية من حيث العدد، التوزيع الجغرافي، مؤهلات المفتشين، وهيكل الحوافز، بهدف تحديد الفجوات واقتراح التحسينات اللازمة لرفع كفاءة الخدمة وتحسين جودة المخرجات وتقليل التكاليف التشغيلية</w:t>
      </w:r>
      <w:r w:rsidRPr="005D59A7">
        <w:rPr>
          <w:rFonts w:ascii="T" w:hAnsi="T" w:cs="Simplified Arabic"/>
          <w:sz w:val="24"/>
          <w:szCs w:val="24"/>
        </w:rPr>
        <w:t>.</w:t>
      </w:r>
    </w:p>
    <w:p w14:paraId="5F1E10D1" w14:textId="77777777" w:rsidR="00FF0AED" w:rsidRPr="005D59A7" w:rsidRDefault="00FF0AED" w:rsidP="00DF0990">
      <w:pPr>
        <w:pStyle w:val="Heading2"/>
        <w:bidi/>
        <w:rPr>
          <w:rFonts w:ascii="T" w:hAnsi="T" w:cs="Simplified Arabic"/>
          <w:color w:val="auto"/>
          <w:sz w:val="24"/>
          <w:szCs w:val="24"/>
          <w:rtl/>
        </w:rPr>
      </w:pPr>
      <w:bookmarkStart w:id="24" w:name="_Toc234607861"/>
      <w:r w:rsidRPr="005D59A7">
        <w:rPr>
          <w:rFonts w:ascii="T" w:hAnsi="T" w:cs="Simplified Arabic"/>
          <w:color w:val="auto"/>
          <w:sz w:val="24"/>
          <w:szCs w:val="24"/>
          <w:rtl/>
        </w:rPr>
        <w:t>رابعاً: الحدود الموضوعية</w:t>
      </w:r>
      <w:bookmarkEnd w:id="24"/>
    </w:p>
    <w:p w14:paraId="1F781937"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يتم التعريج على إعادة هيكلة القطاع البيئي بشكل عام، مع الإشارة إلى المراكز الوطنية الأخرى (المركز الوطني لتنمية الغطاء النباتي، المركز الوطني لإدارة النفايات، المركز الوطني للأرصاد، المركز الوطني لتنمية الحياة الفطرية) بشكل موجز. غير أن الهدف الموضوعي الأساسي ينصب على المركز الوطني للرقابة على الالتزام البيئي</w:t>
      </w:r>
      <w:r w:rsidRPr="005D59A7">
        <w:rPr>
          <w:rFonts w:ascii="T" w:hAnsi="T" w:cs="Simplified Arabic"/>
          <w:sz w:val="24"/>
          <w:szCs w:val="24"/>
        </w:rPr>
        <w:t xml:space="preserve"> (NCEC)</w:t>
      </w:r>
      <w:r w:rsidRPr="005D59A7">
        <w:rPr>
          <w:rFonts w:ascii="T" w:hAnsi="T" w:cs="Simplified Arabic"/>
          <w:sz w:val="24"/>
          <w:szCs w:val="24"/>
          <w:rtl/>
        </w:rPr>
        <w:t>، وتحديداً خدمة التفتيش البيئي، وذلك بسبب توفر الدراسات والبيانات المرتبطة بهذه الخدمة لدى الباحث، ولطبيعة هذه الخدمة كخدمة رقابية عالية الحساسية يمكن من خلالها اختبار نماذج الشراكة بين القطاعين العام والخاص في القطاع البيئي</w:t>
      </w:r>
      <w:r w:rsidRPr="005D59A7">
        <w:rPr>
          <w:rFonts w:ascii="T" w:hAnsi="T" w:cs="Simplified Arabic"/>
          <w:sz w:val="24"/>
          <w:szCs w:val="24"/>
        </w:rPr>
        <w:t>.</w:t>
      </w:r>
    </w:p>
    <w:p w14:paraId="72E9661D"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يتم استبعاد ما يلي من نطاق الدراسة</w:t>
      </w:r>
      <w:r w:rsidRPr="005D59A7">
        <w:rPr>
          <w:rFonts w:ascii="T" w:hAnsi="T" w:cs="Simplified Arabic"/>
          <w:sz w:val="24"/>
          <w:szCs w:val="24"/>
        </w:rPr>
        <w:t>:</w:t>
      </w:r>
    </w:p>
    <w:p w14:paraId="2488AFB1"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الخدمات البيئية الأخرى التي تقدمها المراكز الوطنية الأخرى (مثل خدمات التشجير، إدارة النفايات، الرصد الجوي، حماية المحميات الطبيعية)، وذلك لاختلاف طبيعتها التشغيلية وآليات الشراكة المناسبة لها، ولعدم توفر بيانات كمية موثقة مماثلة لتلك المتوفرة لخدمة التفتيش البيئي</w:t>
      </w:r>
      <w:r w:rsidRPr="005D59A7">
        <w:rPr>
          <w:rFonts w:ascii="T" w:hAnsi="T" w:cs="Simplified Arabic"/>
          <w:sz w:val="24"/>
          <w:szCs w:val="24"/>
        </w:rPr>
        <w:t>.</w:t>
      </w:r>
    </w:p>
    <w:p w14:paraId="768CA722"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عمليات التفتيش ذات الطبيعة الخاصة أو العالية الحساسية التي تتطلب تدخلاً مباشراً من الجهات الأمنية أو ذات الطابع السري، حيث تختلف آليات إدارتها وتوزيع المخاطر فيها عن عمليات التفتيش الروتينية</w:t>
      </w:r>
      <w:r w:rsidRPr="005D59A7">
        <w:rPr>
          <w:rFonts w:ascii="T" w:hAnsi="T" w:cs="Simplified Arabic"/>
          <w:sz w:val="24"/>
          <w:szCs w:val="24"/>
        </w:rPr>
        <w:t>.</w:t>
      </w:r>
    </w:p>
    <w:p w14:paraId="2155DA7F"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المنشآت التي لم تُسجل في قاعدة بيانات المركز الوطني للرقابة على الالتزام البيئي خلال الفترة الزمنية للدراسة، حيث لا تتوفر عنها بيانات موثقة يمكن الاعتماد عليها في التحليل</w:t>
      </w:r>
      <w:r w:rsidRPr="005D59A7">
        <w:rPr>
          <w:rFonts w:ascii="T" w:hAnsi="T" w:cs="Simplified Arabic"/>
          <w:sz w:val="24"/>
          <w:szCs w:val="24"/>
        </w:rPr>
        <w:t>.</w:t>
      </w:r>
    </w:p>
    <w:p w14:paraId="60DE4529"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الجوانب الفنية البحتة لأنظمة التفتيش البيئي (مثل معايير القياس والاختبارات المعملية)، حيث تركز الدراسة على الجوانب التشغيلية والإدارية والمالية للخدمة</w:t>
      </w:r>
      <w:r w:rsidRPr="005D59A7">
        <w:rPr>
          <w:rFonts w:ascii="T" w:hAnsi="T" w:cs="Simplified Arabic"/>
          <w:sz w:val="24"/>
          <w:szCs w:val="24"/>
        </w:rPr>
        <w:t>.</w:t>
      </w:r>
    </w:p>
    <w:p w14:paraId="687FCB34" w14:textId="09A37B8F"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يترتب على استبعاد هذه العناصر أن نتائج الدراسة تكون قابلة للتعميم على خدمة التفتيش البيئي الروتيني للمنشآت المسجلة ضمن قاعدة بيانات المركز الوطني للرقابة على الالتزام البيئي. أما تعميم النتائج على خدمات بيئية أخرى أو على عمليات التفتيش عالية المخاطر أو الخاصة، فيتطلب دراسات إضافية تأخذ في الاعتبار الخصائص المختلفة لكل خدمة أو نوع تفتيش</w:t>
      </w:r>
      <w:r w:rsidRPr="005D59A7">
        <w:rPr>
          <w:rFonts w:ascii="T" w:hAnsi="T" w:cs="Simplified Arabic"/>
          <w:sz w:val="24"/>
          <w:szCs w:val="24"/>
        </w:rPr>
        <w:t>.</w:t>
      </w:r>
    </w:p>
    <w:p w14:paraId="2C41608C" w14:textId="77777777" w:rsidR="00E4150D" w:rsidRPr="005D59A7" w:rsidRDefault="00E4150D" w:rsidP="00DF0990">
      <w:pPr>
        <w:pStyle w:val="Heading1"/>
        <w:bidi/>
        <w:spacing w:line="360" w:lineRule="auto"/>
        <w:rPr>
          <w:rFonts w:ascii="T" w:eastAsia="Times New Roman" w:hAnsi="T" w:cs="Simplified Arabic"/>
          <w:b/>
          <w:bCs/>
          <w:color w:val="auto"/>
          <w:sz w:val="24"/>
          <w:szCs w:val="24"/>
          <w:rtl/>
        </w:rPr>
      </w:pPr>
      <w:bookmarkStart w:id="25" w:name="_Toc234607862"/>
      <w:r w:rsidRPr="005D59A7">
        <w:rPr>
          <w:rFonts w:ascii="T" w:eastAsia="Times New Roman" w:hAnsi="T" w:cs="Simplified Arabic"/>
          <w:b/>
          <w:bCs/>
          <w:color w:val="auto"/>
          <w:sz w:val="24"/>
          <w:szCs w:val="24"/>
          <w:rtl/>
        </w:rPr>
        <w:t>إجراءات</w:t>
      </w:r>
      <w:r w:rsidR="00E1181E" w:rsidRPr="005D59A7">
        <w:rPr>
          <w:rFonts w:ascii="T" w:eastAsia="Times New Roman" w:hAnsi="T" w:cs="Simplified Arabic"/>
          <w:b/>
          <w:bCs/>
          <w:color w:val="auto"/>
          <w:sz w:val="24"/>
          <w:szCs w:val="24"/>
          <w:rtl/>
        </w:rPr>
        <w:t xml:space="preserve"> ومنهجية</w:t>
      </w:r>
      <w:r w:rsidRPr="005D59A7">
        <w:rPr>
          <w:rFonts w:ascii="T" w:eastAsia="Times New Roman" w:hAnsi="T" w:cs="Simplified Arabic"/>
          <w:b/>
          <w:bCs/>
          <w:color w:val="auto"/>
          <w:sz w:val="24"/>
          <w:szCs w:val="24"/>
          <w:rtl/>
        </w:rPr>
        <w:t xml:space="preserve"> الدراسة:</w:t>
      </w:r>
      <w:bookmarkEnd w:id="25"/>
    </w:p>
    <w:p w14:paraId="6321A004" w14:textId="77777777" w:rsidR="003530A3" w:rsidRPr="005D59A7" w:rsidRDefault="003530A3" w:rsidP="00DF0990">
      <w:pPr>
        <w:pStyle w:val="Heading2"/>
        <w:bidi/>
        <w:rPr>
          <w:rFonts w:ascii="T" w:hAnsi="T" w:cs="Simplified Arabic"/>
          <w:color w:val="auto"/>
          <w:sz w:val="24"/>
          <w:szCs w:val="24"/>
          <w:rtl/>
        </w:rPr>
      </w:pPr>
      <w:bookmarkStart w:id="26" w:name="_Toc234607863"/>
      <w:r w:rsidRPr="005D59A7">
        <w:rPr>
          <w:rFonts w:ascii="T" w:hAnsi="T" w:cs="Simplified Arabic"/>
          <w:color w:val="auto"/>
          <w:sz w:val="24"/>
          <w:szCs w:val="24"/>
          <w:rtl/>
        </w:rPr>
        <w:t>مجتمع وعينة الدراسة:</w:t>
      </w:r>
      <w:bookmarkEnd w:id="26"/>
    </w:p>
    <w:p w14:paraId="1C04AC65" w14:textId="77777777" w:rsidR="003530A3" w:rsidRPr="005D59A7" w:rsidRDefault="003530A3"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بحكم اختصاص الدراسة بعرض نموذج مقترح للشراكة مع القطاع الخاص في تقديم خدمة التفتيش البيئي، وهي خدمة مدرجة تحت القطاع البيئي بالمملكة، عليه، تعد الجهات المتمثلة في القطاع وعددها 7 وهي وزارة البيئة والمياه والزراعة والمركز الوطني للرقابة على الالتزام البيئي والمركز الوطني لتنمية الغطاء النباتي ومكافحة التصحر والمركز الوطني لتنمية الحياة الفطرية والمركز الوطني للأرصاد والمركز الوطني لإدارة النفايات وصندوق البيئة العينة الشاملة لمجتمع الدراسة. ويعد مجتمع الدراسة الدقيق هو الخدمات البيئية التي تقدمها هذه الجهات، بالإضافة إلى الجهة المعنية بالشراكات وبرامج التخصيص وهي المركز الوطني للتخصيص.</w:t>
      </w:r>
    </w:p>
    <w:p w14:paraId="7A566A97" w14:textId="77777777" w:rsidR="00646FBB" w:rsidRPr="005D59A7" w:rsidRDefault="003530A3" w:rsidP="00861DC2">
      <w:pPr>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بينما تعد عينة الدراسة هي الخدمة البيئية التي تم اختيارها لعمل نموذج شراكة بين القطاعين العام والخاص لها وهي خدمة التفتيش البيئي. ويشمل النموذج إعداد دراسة جدوى شاملة تشمل التكاليف التشغيلية والرأس مالية وعدد الموظفين وساعات العمل وتحليل المدخلات والمخرجات وحساب الرسوم والعوائد إن وجدت وغيرها من العناصر. ويكون الهدف الرئيسي هو خلق نموذج تشغيلي إداري لخدمة بيئية لمشاركة القطاع الخاص بها من شأنه إيجاد عوائد للجهة المعنية أو تقليل التكاليف التشغيلية أو ميزانية الجهة، بالإضافة إلى رفع جودة المخرجات وخلق سوق عمل جديد يوفر الوظائف والفرص. وكما تم الذكر مسبقاً، يعد التفتيش البيئي هو الخيار الأمثل كخدمة بيئية مستهدفة</w:t>
      </w:r>
      <w:r w:rsidR="005A3D0B" w:rsidRPr="005D59A7">
        <w:rPr>
          <w:rFonts w:ascii="T" w:hAnsi="T" w:cs="Simplified Arabic"/>
          <w:sz w:val="24"/>
          <w:szCs w:val="24"/>
          <w:shd w:val="clear" w:color="auto" w:fill="FFFFFF"/>
          <w:rtl/>
        </w:rPr>
        <w:t xml:space="preserve"> ويعود ذلك إلى وجود دراسات سابقة لدى المراجع والمصادر التي يعتمد عليها الباحث.</w:t>
      </w:r>
    </w:p>
    <w:p w14:paraId="60442322" w14:textId="77777777" w:rsidR="00167E73" w:rsidRPr="005D59A7" w:rsidRDefault="00167E73" w:rsidP="00DF0990">
      <w:pPr>
        <w:pStyle w:val="Heading2"/>
        <w:bidi/>
        <w:rPr>
          <w:rFonts w:ascii="T" w:hAnsi="T" w:cs="Simplified Arabic"/>
          <w:color w:val="auto"/>
          <w:sz w:val="24"/>
          <w:szCs w:val="24"/>
          <w:rtl/>
        </w:rPr>
      </w:pPr>
      <w:bookmarkStart w:id="27" w:name="_Toc234607864"/>
      <w:r w:rsidRPr="005D59A7">
        <w:rPr>
          <w:rFonts w:ascii="T" w:hAnsi="T" w:cs="Simplified Arabic"/>
          <w:color w:val="auto"/>
          <w:sz w:val="24"/>
          <w:szCs w:val="24"/>
          <w:rtl/>
        </w:rPr>
        <w:lastRenderedPageBreak/>
        <w:t>وسائل جمع بيانات الدراسة</w:t>
      </w:r>
      <w:bookmarkEnd w:id="27"/>
    </w:p>
    <w:p w14:paraId="3104A7FE" w14:textId="77777777" w:rsidR="005E3641" w:rsidRPr="005D59A7" w:rsidRDefault="005956A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المصادر الحكومية المتعلقة بالدراسة، المنصات الإلكترونية للجهات المختصة، والبيانات الثانوية عبر الإنترنت، والبيانات المتعلقة بالمراجع الخاصة بالباحث. بالإضافة إلى البيانات الدقيقة التي قد يتطلبها البحث عند الحاجة وحسب المعلومات المطلوبة والمقابلات الشخصية مع الأشخاص والجهات ذوي العلاقة والمتمثلة على وجه الخصوص في البيانات التي يقدمها المركز الوطني للرقابة على الالتزام البيئي وذلك كونه الجهة المسؤولة عن تقديم خدمة التفتيش البيئي والجهة الرقابية التنفيذية على المراكز الأخرى والتابعة لقطاع البيئة ككل.</w:t>
      </w:r>
      <w:r w:rsidR="005E3641" w:rsidRPr="005D59A7">
        <w:rPr>
          <w:rFonts w:ascii="T" w:hAnsi="T" w:cs="Simplified Arabic"/>
          <w:sz w:val="24"/>
          <w:szCs w:val="24"/>
          <w:shd w:val="clear" w:color="auto" w:fill="FFFFFF"/>
          <w:rtl/>
        </w:rPr>
        <w:t xml:space="preserve"> عليه، فإن كافة الحسابات والدراسات المطلوبة للنموذج المقترح تدخل ضمن نطاق المعالجات الإحصائية المقترحة مثل عدد العاملين وساعات العمل والتكاليف التشغيلية والرأس مالية والأجهزة والمعدات ودراسات الجدوى لفرض رسوم تشغيلية وغيرها.</w:t>
      </w:r>
    </w:p>
    <w:p w14:paraId="0F8EF319" w14:textId="77777777" w:rsidR="00D11980" w:rsidRPr="005D59A7" w:rsidRDefault="00D11980" w:rsidP="008A5ED9">
      <w:pPr>
        <w:pStyle w:val="Heading2"/>
        <w:bidi/>
        <w:rPr>
          <w:rFonts w:ascii="T" w:hAnsi="T" w:cs="Simplified Arabic"/>
          <w:color w:val="auto"/>
          <w:sz w:val="24"/>
          <w:szCs w:val="24"/>
          <w:shd w:val="clear" w:color="auto" w:fill="FFFFFF"/>
          <w:rtl/>
        </w:rPr>
      </w:pPr>
      <w:bookmarkStart w:id="28" w:name="_Toc234607865"/>
      <w:r w:rsidRPr="005D59A7">
        <w:rPr>
          <w:rFonts w:ascii="T" w:hAnsi="T" w:cs="Simplified Arabic"/>
          <w:color w:val="auto"/>
          <w:sz w:val="24"/>
          <w:szCs w:val="24"/>
          <w:shd w:val="clear" w:color="auto" w:fill="FFFFFF"/>
          <w:rtl/>
        </w:rPr>
        <w:t>إطار التحليل</w:t>
      </w:r>
      <w:bookmarkEnd w:id="28"/>
    </w:p>
    <w:p w14:paraId="7A10CE4F" w14:textId="0D85481B" w:rsidR="000D1D88" w:rsidRPr="005D59A7" w:rsidRDefault="00D11980"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بحكم اعتماد الدراسة على عرض بيانات ومعلومات متعلقة بدراسة جدوى لمشاركة القطاع الخاص لخدمة التفتيش البيئي، فإن التحليل يعد تحليل المنافع والتكاليف حيث يتم جمع كافة المعلومات المتعلقة بالخدمة مثل عدد الموظفين وعدد المخالفات البيئية المرصودة وعدد الزيارات التفتيشية ومتوسط رواتب المفتشين وعدد المنشآت وتصنيفها وغيرها من المعلومات المتعلقة بحساب التكلفة التشغيلية للخدمة على عاتق القطاع العام ومن ثم بحث سبل تحديد تكلفة رمزية للخدمة يتم من خلالها إشراك القطاع الخاص لتوفير أعداد أكبر من المفتشين ورفع جودة الرقابة والمخرجات. </w:t>
      </w:r>
    </w:p>
    <w:p w14:paraId="6F95A14F" w14:textId="5CFC793E" w:rsidR="005E5F72" w:rsidRPr="005D59A7" w:rsidRDefault="005E5F72" w:rsidP="0045581D">
      <w:pPr>
        <w:pStyle w:val="Heading3"/>
        <w:numPr>
          <w:ilvl w:val="0"/>
          <w:numId w:val="3"/>
        </w:numPr>
        <w:bidi/>
        <w:spacing w:line="360" w:lineRule="auto"/>
        <w:ind w:left="368" w:firstLine="720"/>
        <w:rPr>
          <w:rFonts w:ascii="T" w:hAnsi="T" w:cs="Simplified Arabic"/>
          <w:color w:val="auto"/>
          <w:sz w:val="24"/>
          <w:szCs w:val="24"/>
          <w:shd w:val="clear" w:color="auto" w:fill="FFFFFF"/>
          <w:rtl/>
        </w:rPr>
      </w:pPr>
      <w:bookmarkStart w:id="29" w:name="_Toc234607866"/>
      <w:r w:rsidRPr="005D59A7">
        <w:rPr>
          <w:rFonts w:ascii="T" w:hAnsi="T" w:cs="Simplified Arabic"/>
          <w:color w:val="auto"/>
          <w:sz w:val="24"/>
          <w:szCs w:val="24"/>
          <w:shd w:val="clear" w:color="auto" w:fill="FFFFFF"/>
          <w:rtl/>
        </w:rPr>
        <w:t>أدوات التحليل المالي ومعايير اتخاذ القرار</w:t>
      </w:r>
      <w:bookmarkEnd w:id="29"/>
    </w:p>
    <w:p w14:paraId="57264D18"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لتقييم الجدوى المالية للنموذج المقترح، سيتم الاعتماد على المقاييس المالية القياسية التالية</w:t>
      </w:r>
      <w:r w:rsidRPr="005D59A7">
        <w:rPr>
          <w:rFonts w:ascii="T" w:hAnsi="T" w:cs="Simplified Arabic"/>
          <w:sz w:val="24"/>
          <w:szCs w:val="24"/>
          <w:shd w:val="clear" w:color="auto" w:fill="FFFFFF"/>
        </w:rPr>
        <w:t>:</w:t>
      </w:r>
    </w:p>
    <w:p w14:paraId="0937F003"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يتم حساب صافي القيمة الحالية</w:t>
      </w:r>
      <w:r w:rsidRPr="005D59A7">
        <w:rPr>
          <w:rFonts w:ascii="T" w:hAnsi="T" w:cs="Simplified Arabic"/>
          <w:sz w:val="24"/>
          <w:szCs w:val="24"/>
          <w:shd w:val="clear" w:color="auto" w:fill="FFFFFF"/>
        </w:rPr>
        <w:t xml:space="preserve"> (Net Present Value - NPV) </w:t>
      </w:r>
      <w:r w:rsidRPr="005D59A7">
        <w:rPr>
          <w:rFonts w:ascii="T" w:hAnsi="T" w:cs="Simplified Arabic"/>
          <w:sz w:val="24"/>
          <w:szCs w:val="24"/>
          <w:shd w:val="clear" w:color="auto" w:fill="FFFFFF"/>
          <w:rtl/>
        </w:rPr>
        <w:t>كمجموع القيم الحالية للتدفقات النقدية المستقبلية مطروحاً منها الاستثمار الأولي، ويتم قبول النموذج إذا كانت قيمة</w:t>
      </w:r>
      <w:r w:rsidRPr="005D59A7">
        <w:rPr>
          <w:rFonts w:ascii="T" w:hAnsi="T" w:cs="Simplified Arabic"/>
          <w:sz w:val="24"/>
          <w:szCs w:val="24"/>
          <w:shd w:val="clear" w:color="auto" w:fill="FFFFFF"/>
        </w:rPr>
        <w:t xml:space="preserve"> NPV </w:t>
      </w:r>
      <w:r w:rsidRPr="005D59A7">
        <w:rPr>
          <w:rFonts w:ascii="T" w:hAnsi="T" w:cs="Simplified Arabic"/>
          <w:sz w:val="24"/>
          <w:szCs w:val="24"/>
          <w:shd w:val="clear" w:color="auto" w:fill="FFFFFF"/>
          <w:rtl/>
        </w:rPr>
        <w:t>أكبر من الصفر، مما يعني أن العوائد المتوقعة تفوق التكاليف الاستثمارية</w:t>
      </w:r>
      <w:r w:rsidRPr="005D59A7">
        <w:rPr>
          <w:rFonts w:ascii="T" w:hAnsi="T" w:cs="Simplified Arabic"/>
          <w:sz w:val="24"/>
          <w:szCs w:val="24"/>
          <w:shd w:val="clear" w:color="auto" w:fill="FFFFFF"/>
        </w:rPr>
        <w:t>.</w:t>
      </w:r>
    </w:p>
    <w:p w14:paraId="7ACE542C"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أما معدل العائد الداخلي</w:t>
      </w:r>
      <w:r w:rsidRPr="005D59A7">
        <w:rPr>
          <w:rFonts w:ascii="T" w:hAnsi="T" w:cs="Simplified Arabic"/>
          <w:sz w:val="24"/>
          <w:szCs w:val="24"/>
          <w:shd w:val="clear" w:color="auto" w:fill="FFFFFF"/>
        </w:rPr>
        <w:t xml:space="preserve"> (Internal Rate of Return - IRR) </w:t>
      </w:r>
      <w:r w:rsidRPr="005D59A7">
        <w:rPr>
          <w:rFonts w:ascii="T" w:hAnsi="T" w:cs="Simplified Arabic"/>
          <w:sz w:val="24"/>
          <w:szCs w:val="24"/>
          <w:shd w:val="clear" w:color="auto" w:fill="FFFFFF"/>
          <w:rtl/>
        </w:rPr>
        <w:t>فهو معدل الخصم الذي يجعل صافي القيمة الحالية يساوي صفراً، ويتم قبول النموذج إذا كان</w:t>
      </w:r>
      <w:r w:rsidRPr="005D59A7">
        <w:rPr>
          <w:rFonts w:ascii="T" w:hAnsi="T" w:cs="Simplified Arabic"/>
          <w:sz w:val="24"/>
          <w:szCs w:val="24"/>
          <w:shd w:val="clear" w:color="auto" w:fill="FFFFFF"/>
        </w:rPr>
        <w:t xml:space="preserve"> IRR </w:t>
      </w:r>
      <w:r w:rsidRPr="005D59A7">
        <w:rPr>
          <w:rFonts w:ascii="T" w:hAnsi="T" w:cs="Simplified Arabic"/>
          <w:sz w:val="24"/>
          <w:szCs w:val="24"/>
          <w:shd w:val="clear" w:color="auto" w:fill="FFFFFF"/>
          <w:rtl/>
        </w:rPr>
        <w:t>أكبر من تكلفة رأس المال المقدرة بـ 8-10%، وهو ما يشير إلى أن العائد على الاستثمار يفوق تكلفة التمويل</w:t>
      </w:r>
      <w:r w:rsidRPr="005D59A7">
        <w:rPr>
          <w:rFonts w:ascii="T" w:hAnsi="T" w:cs="Simplified Arabic"/>
          <w:sz w:val="24"/>
          <w:szCs w:val="24"/>
          <w:shd w:val="clear" w:color="auto" w:fill="FFFFFF"/>
        </w:rPr>
        <w:t>.</w:t>
      </w:r>
    </w:p>
    <w:p w14:paraId="46A66519"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كما سيتم حساب فترة الاسترداد</w:t>
      </w:r>
      <w:r w:rsidRPr="005D59A7">
        <w:rPr>
          <w:rFonts w:ascii="T" w:hAnsi="T" w:cs="Simplified Arabic"/>
          <w:sz w:val="24"/>
          <w:szCs w:val="24"/>
          <w:shd w:val="clear" w:color="auto" w:fill="FFFFFF"/>
        </w:rPr>
        <w:t xml:space="preserve"> (Payback Period) </w:t>
      </w:r>
      <w:r w:rsidRPr="005D59A7">
        <w:rPr>
          <w:rFonts w:ascii="T" w:hAnsi="T" w:cs="Simplified Arabic"/>
          <w:sz w:val="24"/>
          <w:szCs w:val="24"/>
          <w:shd w:val="clear" w:color="auto" w:fill="FFFFFF"/>
          <w:rtl/>
        </w:rPr>
        <w:t>وهي الوقت اللازم لاسترداد الاستثمار الأولي من التدفقات النقدية، ويتم قبول النموذج إذا كانت فترة الاسترداد أقل من 5 سنوات، وهو معيار يعكس سرعة استعادة رأس المال المستثمر</w:t>
      </w:r>
      <w:r w:rsidRPr="005D59A7">
        <w:rPr>
          <w:rFonts w:ascii="T" w:hAnsi="T" w:cs="Simplified Arabic"/>
          <w:sz w:val="24"/>
          <w:szCs w:val="24"/>
          <w:shd w:val="clear" w:color="auto" w:fill="FFFFFF"/>
        </w:rPr>
        <w:t>.</w:t>
      </w:r>
    </w:p>
    <w:p w14:paraId="11CA223F"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أما نسبة استرداد التكاليف</w:t>
      </w:r>
      <w:r w:rsidRPr="005D59A7">
        <w:rPr>
          <w:rFonts w:ascii="T" w:hAnsi="T" w:cs="Simplified Arabic"/>
          <w:sz w:val="24"/>
          <w:szCs w:val="24"/>
          <w:shd w:val="clear" w:color="auto" w:fill="FFFFFF"/>
        </w:rPr>
        <w:t xml:space="preserve"> (Cost Recovery Ratio) </w:t>
      </w:r>
      <w:r w:rsidRPr="005D59A7">
        <w:rPr>
          <w:rFonts w:ascii="T" w:hAnsi="T" w:cs="Simplified Arabic"/>
          <w:sz w:val="24"/>
          <w:szCs w:val="24"/>
          <w:shd w:val="clear" w:color="auto" w:fill="FFFFFF"/>
          <w:rtl/>
        </w:rPr>
        <w:t>فتحسب بقسمة الإيرادات المتوقعة على التكاليف التشغيلية مضروبة في 100، ويتم قبول النموذج إذا كانت النسبة تساوي أو تزيد عن 100%، مما يعني أن الإيرادات تغطي التكاليف التشغيلية بالكامل</w:t>
      </w:r>
      <w:r w:rsidRPr="005D59A7">
        <w:rPr>
          <w:rFonts w:ascii="T" w:hAnsi="T" w:cs="Simplified Arabic"/>
          <w:sz w:val="24"/>
          <w:szCs w:val="24"/>
          <w:shd w:val="clear" w:color="auto" w:fill="FFFFFF"/>
        </w:rPr>
        <w:t>.</w:t>
      </w:r>
    </w:p>
    <w:p w14:paraId="4F156762" w14:textId="36BAB290" w:rsidR="005E5F72" w:rsidRPr="005D59A7" w:rsidRDefault="005E5F72" w:rsidP="0045581D">
      <w:pPr>
        <w:pStyle w:val="Heading3"/>
        <w:numPr>
          <w:ilvl w:val="0"/>
          <w:numId w:val="3"/>
        </w:numPr>
        <w:bidi/>
        <w:spacing w:line="360" w:lineRule="auto"/>
        <w:ind w:left="368" w:firstLine="720"/>
        <w:rPr>
          <w:rFonts w:ascii="T" w:hAnsi="T" w:cs="Simplified Arabic"/>
          <w:color w:val="auto"/>
          <w:sz w:val="24"/>
          <w:szCs w:val="24"/>
          <w:shd w:val="clear" w:color="auto" w:fill="FFFFFF"/>
          <w:rtl/>
        </w:rPr>
      </w:pPr>
      <w:bookmarkStart w:id="30" w:name="_Toc234607867"/>
      <w:r w:rsidRPr="005D59A7">
        <w:rPr>
          <w:rFonts w:ascii="T" w:hAnsi="T" w:cs="Simplified Arabic"/>
          <w:color w:val="auto"/>
          <w:sz w:val="24"/>
          <w:szCs w:val="24"/>
          <w:shd w:val="clear" w:color="auto" w:fill="FFFFFF"/>
          <w:rtl/>
        </w:rPr>
        <w:t>مؤشرات مستوى الخدمة</w:t>
      </w:r>
      <w:bookmarkEnd w:id="30"/>
    </w:p>
    <w:p w14:paraId="073921AD"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سيتم اعتماد مؤشرات الأداء الرئيسية التالية لقياس جودة الخدمة في النموذج المقترح.</w:t>
      </w:r>
    </w:p>
    <w:p w14:paraId="4A4D0DB4" w14:textId="0BFD15C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أول هذه المؤشرات هي نسبة تغطية المنشآت، والتي تقاس بقسمة عدد المنشآت التي تمت زيارتها تفتيشياً على إجمالي المنشآت المسجلة في قاعدة البيانات، مضروبة في 100، والمستهدف أن تصل هذه النسبة إلى 85% على الأقل</w:t>
      </w:r>
      <w:r w:rsidRPr="005D59A7">
        <w:rPr>
          <w:rFonts w:ascii="T" w:hAnsi="T" w:cs="Simplified Arabic"/>
          <w:sz w:val="24"/>
          <w:szCs w:val="24"/>
          <w:shd w:val="clear" w:color="auto" w:fill="FFFFFF"/>
        </w:rPr>
        <w:t>.</w:t>
      </w:r>
    </w:p>
    <w:p w14:paraId="4D3424E7"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المؤشر الثاني هو نسبة المخالفات المرفوضة، والتي تقاس بقسمة عدد المخالفات المرفوضة على إجمالي المخالفات المرصودة، مضروبة في 100، والمستهدف ألا تتجاوز هذه النسبة 20%، وذلك لضمان جودة ودقة عمليات الرصد</w:t>
      </w:r>
      <w:r w:rsidRPr="005D59A7">
        <w:rPr>
          <w:rFonts w:ascii="T" w:hAnsi="T" w:cs="Simplified Arabic"/>
          <w:sz w:val="24"/>
          <w:szCs w:val="24"/>
          <w:shd w:val="clear" w:color="auto" w:fill="FFFFFF"/>
        </w:rPr>
        <w:t>.</w:t>
      </w:r>
    </w:p>
    <w:p w14:paraId="7FE9BF65"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المؤشر الثالث هو متوسط زمن إغلاق المخالفة، ويقاس بقسمة إجمالي زمن إغلاق المخالفات على عدد المخالفات، والمستهدف ألا يتجاوز 30 يوماً، مما يعكس سرعة الإجراءات وفعاليتها</w:t>
      </w:r>
      <w:r w:rsidRPr="005D59A7">
        <w:rPr>
          <w:rFonts w:ascii="T" w:hAnsi="T" w:cs="Simplified Arabic"/>
          <w:sz w:val="24"/>
          <w:szCs w:val="24"/>
          <w:shd w:val="clear" w:color="auto" w:fill="FFFFFF"/>
        </w:rPr>
        <w:t>.</w:t>
      </w:r>
    </w:p>
    <w:p w14:paraId="22429C6C"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أما المؤشر الرابع فهو عدد الزيارات لكل مفتش سنوياً، ويقاس بقسمة إجمالي الزيارات على عدد المفتشين، والمستهدف أن يتراوح بين 50 و80 زيارة سنوياً، مما يعكس تحقيق توازن بين عبء العمل وجودة الأداء</w:t>
      </w:r>
      <w:r w:rsidRPr="005D59A7">
        <w:rPr>
          <w:rFonts w:ascii="T" w:hAnsi="T" w:cs="Simplified Arabic"/>
          <w:sz w:val="24"/>
          <w:szCs w:val="24"/>
          <w:shd w:val="clear" w:color="auto" w:fill="FFFFFF"/>
        </w:rPr>
        <w:t>.</w:t>
      </w:r>
    </w:p>
    <w:p w14:paraId="379637AD" w14:textId="2E9A4DFC" w:rsidR="005E5F72" w:rsidRPr="005D59A7" w:rsidRDefault="005E5F72" w:rsidP="0045581D">
      <w:pPr>
        <w:pStyle w:val="Heading3"/>
        <w:numPr>
          <w:ilvl w:val="0"/>
          <w:numId w:val="3"/>
        </w:numPr>
        <w:bidi/>
        <w:spacing w:line="360" w:lineRule="auto"/>
        <w:ind w:left="368" w:firstLine="720"/>
        <w:rPr>
          <w:rFonts w:ascii="T" w:hAnsi="T" w:cs="Simplified Arabic"/>
          <w:color w:val="auto"/>
          <w:sz w:val="24"/>
          <w:szCs w:val="24"/>
          <w:shd w:val="clear" w:color="auto" w:fill="FFFFFF"/>
          <w:rtl/>
        </w:rPr>
      </w:pPr>
      <w:bookmarkStart w:id="31" w:name="_Toc234607868"/>
      <w:r w:rsidRPr="005D59A7">
        <w:rPr>
          <w:rFonts w:ascii="T" w:hAnsi="T" w:cs="Simplified Arabic"/>
          <w:color w:val="auto"/>
          <w:sz w:val="24"/>
          <w:szCs w:val="24"/>
          <w:shd w:val="clear" w:color="auto" w:fill="FFFFFF"/>
          <w:rtl/>
        </w:rPr>
        <w:lastRenderedPageBreak/>
        <w:t>أداة التحليل</w:t>
      </w:r>
      <w:bookmarkEnd w:id="31"/>
    </w:p>
    <w:p w14:paraId="4BFFA7B3" w14:textId="0521DCF9"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سيتم استخدام برنامج</w:t>
      </w:r>
      <w:r w:rsidRPr="005D59A7">
        <w:rPr>
          <w:rFonts w:ascii="T" w:hAnsi="T" w:cs="Simplified Arabic"/>
          <w:sz w:val="24"/>
          <w:szCs w:val="24"/>
          <w:shd w:val="clear" w:color="auto" w:fill="FFFFFF"/>
        </w:rPr>
        <w:t xml:space="preserve"> Microsoft Excel </w:t>
      </w:r>
      <w:r w:rsidRPr="005D59A7">
        <w:rPr>
          <w:rFonts w:ascii="T" w:hAnsi="T" w:cs="Simplified Arabic"/>
          <w:sz w:val="24"/>
          <w:szCs w:val="24"/>
          <w:shd w:val="clear" w:color="auto" w:fill="FFFFFF"/>
          <w:rtl/>
        </w:rPr>
        <w:t>كأداة رئيسية لإجراء التحليلات المالية والإحصائية، وذلك لتوفره وسهولة استخدامه وقدرته على تنفيذ حسابات</w:t>
      </w:r>
      <w:r w:rsidRPr="005D59A7">
        <w:rPr>
          <w:rFonts w:ascii="T" w:hAnsi="T" w:cs="Simplified Arabic"/>
          <w:sz w:val="24"/>
          <w:szCs w:val="24"/>
          <w:shd w:val="clear" w:color="auto" w:fill="FFFFFF"/>
        </w:rPr>
        <w:t xml:space="preserve"> NPV </w:t>
      </w:r>
      <w:r w:rsidRPr="005D59A7">
        <w:rPr>
          <w:rFonts w:ascii="T" w:hAnsi="T" w:cs="Simplified Arabic"/>
          <w:sz w:val="24"/>
          <w:szCs w:val="24"/>
          <w:shd w:val="clear" w:color="auto" w:fill="FFFFFF"/>
          <w:rtl/>
        </w:rPr>
        <w:t>و</w:t>
      </w:r>
      <w:r w:rsidRPr="005D59A7">
        <w:rPr>
          <w:rFonts w:ascii="T" w:hAnsi="T" w:cs="Simplified Arabic"/>
          <w:sz w:val="24"/>
          <w:szCs w:val="24"/>
          <w:shd w:val="clear" w:color="auto" w:fill="FFFFFF"/>
        </w:rPr>
        <w:t xml:space="preserve"> IRR </w:t>
      </w:r>
      <w:r w:rsidRPr="005D59A7">
        <w:rPr>
          <w:rFonts w:ascii="T" w:hAnsi="T" w:cs="Simplified Arabic"/>
          <w:sz w:val="24"/>
          <w:szCs w:val="24"/>
          <w:shd w:val="clear" w:color="auto" w:fill="FFFFFF"/>
          <w:rtl/>
        </w:rPr>
        <w:t>و</w:t>
      </w:r>
      <w:r w:rsidRPr="005D59A7">
        <w:rPr>
          <w:rFonts w:ascii="T" w:hAnsi="T" w:cs="Simplified Arabic"/>
          <w:sz w:val="24"/>
          <w:szCs w:val="24"/>
          <w:shd w:val="clear" w:color="auto" w:fill="FFFFFF"/>
        </w:rPr>
        <w:t xml:space="preserve"> Payback Period </w:t>
      </w:r>
      <w:r w:rsidRPr="005D59A7">
        <w:rPr>
          <w:rFonts w:ascii="T" w:hAnsi="T" w:cs="Simplified Arabic"/>
          <w:sz w:val="24"/>
          <w:szCs w:val="24"/>
          <w:shd w:val="clear" w:color="auto" w:fill="FFFFFF"/>
          <w:rtl/>
        </w:rPr>
        <w:t>باستخدام الدوال المالية المدمجة مثل</w:t>
      </w:r>
      <w:r w:rsidRPr="005D59A7">
        <w:rPr>
          <w:rFonts w:ascii="T" w:hAnsi="T" w:cs="Simplified Arabic"/>
          <w:sz w:val="24"/>
          <w:szCs w:val="24"/>
          <w:shd w:val="clear" w:color="auto" w:fill="FFFFFF"/>
        </w:rPr>
        <w:t xml:space="preserve"> NPV </w:t>
      </w:r>
      <w:r w:rsidRPr="005D59A7">
        <w:rPr>
          <w:rFonts w:ascii="T" w:hAnsi="T" w:cs="Simplified Arabic"/>
          <w:sz w:val="24"/>
          <w:szCs w:val="24"/>
          <w:shd w:val="clear" w:color="auto" w:fill="FFFFFF"/>
          <w:rtl/>
        </w:rPr>
        <w:t>و</w:t>
      </w:r>
      <w:r w:rsidRPr="005D59A7">
        <w:rPr>
          <w:rFonts w:ascii="T" w:hAnsi="T" w:cs="Simplified Arabic"/>
          <w:sz w:val="24"/>
          <w:szCs w:val="24"/>
          <w:shd w:val="clear" w:color="auto" w:fill="FFFFFF"/>
        </w:rPr>
        <w:t xml:space="preserve"> IRR </w:t>
      </w:r>
      <w:r w:rsidRPr="005D59A7">
        <w:rPr>
          <w:rFonts w:ascii="T" w:hAnsi="T" w:cs="Simplified Arabic"/>
          <w:sz w:val="24"/>
          <w:szCs w:val="24"/>
          <w:shd w:val="clear" w:color="auto" w:fill="FFFFFF"/>
          <w:rtl/>
        </w:rPr>
        <w:t>و</w:t>
      </w:r>
      <w:r w:rsidRPr="005D59A7">
        <w:rPr>
          <w:rFonts w:ascii="T" w:hAnsi="T" w:cs="Simplified Arabic"/>
          <w:sz w:val="24"/>
          <w:szCs w:val="24"/>
          <w:shd w:val="clear" w:color="auto" w:fill="FFFFFF"/>
        </w:rPr>
        <w:t xml:space="preserve"> XNPV</w:t>
      </w:r>
      <w:r w:rsidRPr="005D59A7">
        <w:rPr>
          <w:rFonts w:ascii="T" w:hAnsi="T" w:cs="Simplified Arabic"/>
          <w:sz w:val="24"/>
          <w:szCs w:val="24"/>
          <w:shd w:val="clear" w:color="auto" w:fill="FFFFFF"/>
          <w:rtl/>
        </w:rPr>
        <w:t>، كما يتيح البرنامج إجراء تحليل الحساسية وإنشاء السيناريوهات المالية المختلفة</w:t>
      </w:r>
      <w:r w:rsidRPr="005D59A7">
        <w:rPr>
          <w:rFonts w:ascii="T" w:hAnsi="T" w:cs="Simplified Arabic"/>
          <w:sz w:val="24"/>
          <w:szCs w:val="24"/>
          <w:shd w:val="clear" w:color="auto" w:fill="FFFFFF"/>
        </w:rPr>
        <w:t>.</w:t>
      </w:r>
    </w:p>
    <w:p w14:paraId="1533FF73" w14:textId="06E8B36A" w:rsidR="004F7ABA" w:rsidRPr="005D59A7" w:rsidRDefault="004F7ABA" w:rsidP="0045581D">
      <w:pPr>
        <w:pStyle w:val="Heading3"/>
        <w:numPr>
          <w:ilvl w:val="0"/>
          <w:numId w:val="3"/>
        </w:numPr>
        <w:bidi/>
        <w:spacing w:line="360" w:lineRule="auto"/>
        <w:ind w:left="368" w:firstLine="720"/>
        <w:rPr>
          <w:rFonts w:ascii="T" w:hAnsi="T" w:cs="Simplified Arabic"/>
          <w:color w:val="auto"/>
          <w:sz w:val="24"/>
          <w:szCs w:val="24"/>
          <w:shd w:val="clear" w:color="auto" w:fill="FFFFFF"/>
          <w:rtl/>
        </w:rPr>
      </w:pPr>
      <w:bookmarkStart w:id="32" w:name="_Toc234607869"/>
      <w:r w:rsidRPr="005D59A7">
        <w:rPr>
          <w:rFonts w:ascii="T" w:hAnsi="T" w:cs="Simplified Arabic"/>
          <w:color w:val="auto"/>
          <w:sz w:val="24"/>
          <w:szCs w:val="24"/>
          <w:shd w:val="clear" w:color="auto" w:fill="FFFFFF"/>
          <w:rtl/>
        </w:rPr>
        <w:t>المتغيرات الضابطة</w:t>
      </w:r>
      <w:bookmarkEnd w:id="32"/>
    </w:p>
    <w:p w14:paraId="06DB8B37"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لضمان دقة تفسير النتائج وقابليتها للتعميم، تم تحديد مجموعة من المتغيرات الضابطة التي سيتم استخدامها في التحليل لتقييم تأثير العوامل المختلفة على كفاءة وجودة خدمة التفتيش البيئي. تساعد هذه المتغيرات في عزل تأثير العوامل الخارجية والتركيز على العلاقة الحقيقية بين المتغيرات المستقلة (نموذج التوريد التقليدي / نموذج الشراكة المقترح) والمتغيرات التابعة (الكفاءة التشغيلية، جودة المخرجات، الاستدامة المالية)</w:t>
      </w:r>
      <w:r w:rsidRPr="005D59A7">
        <w:rPr>
          <w:rFonts w:ascii="T" w:hAnsi="T" w:cs="Simplified Arabic"/>
          <w:sz w:val="24"/>
          <w:szCs w:val="24"/>
          <w:shd w:val="clear" w:color="auto" w:fill="FFFFFF"/>
        </w:rPr>
        <w:t>.</w:t>
      </w:r>
    </w:p>
    <w:p w14:paraId="38D87D30"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أولاً: تصنيف المنشآت حسب خطورة النشاط</w:t>
      </w:r>
    </w:p>
    <w:p w14:paraId="22FFC815" w14:textId="5037F313"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يتم تصنيف المنشآت المشمولة بخدمة التفتيش البيئي إلى ثلاث فئات رئيسية وفقاً لمستوى تأثيرها البيئي المحتمل، وذلك بناءً على التصنيف المعتمد من المركز الوطني للرقابة على الالتزام البيئي</w:t>
      </w:r>
      <w:r w:rsidRPr="005D59A7">
        <w:rPr>
          <w:rFonts w:ascii="T" w:hAnsi="T" w:cs="Simplified Arabic"/>
          <w:sz w:val="24"/>
          <w:szCs w:val="24"/>
          <w:shd w:val="clear" w:color="auto" w:fill="FFFFFF"/>
        </w:rPr>
        <w:t xml:space="preserve"> (NCEC,  2020). </w:t>
      </w:r>
      <w:r w:rsidRPr="005D59A7">
        <w:rPr>
          <w:rFonts w:ascii="T" w:hAnsi="T" w:cs="Simplified Arabic"/>
          <w:sz w:val="24"/>
          <w:szCs w:val="24"/>
          <w:shd w:val="clear" w:color="auto" w:fill="FFFFFF"/>
          <w:rtl/>
        </w:rPr>
        <w:t>تشمل فئة المنشآت عالية الخطورة المنشآت ذات التأثير البيئي الكبير المحتمل، مثل المصانع الكبرى والمنشآت البتروكيماوية ومحطات الطاقة ومصانع الأسمنت، والتي تتطلب تفتيشاً مكثفاً ومتكرراً. أما فئة المنشآت متوسطة الخطورة فتشمل المنشآت ذات التأثير البيئي المتوسط مثل المنشآت الصناعية المتوسطة والمرافق الخدمية الكبرى والمستشفيات، والتي تتطلب تفتيشاً دورياً منتظماً. فيما تشمل فئة المنشآت منخفضة الخطورة المنشآت ذات التأثير البيئي المحدود مثل المنشآت التجارية والمكاتب والمرافق الصغيرة، والتي تتطلب تفتيشاً أقل تكراراً</w:t>
      </w:r>
      <w:r w:rsidRPr="005D59A7">
        <w:rPr>
          <w:rFonts w:ascii="T" w:hAnsi="T" w:cs="Simplified Arabic"/>
          <w:sz w:val="24"/>
          <w:szCs w:val="24"/>
          <w:shd w:val="clear" w:color="auto" w:fill="FFFFFF"/>
        </w:rPr>
        <w:t>.</w:t>
      </w:r>
    </w:p>
    <w:p w14:paraId="543F9213"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ثانياً: تصنيف المنشآت حسب الحجم</w:t>
      </w:r>
    </w:p>
    <w:p w14:paraId="4705364F"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يتم تصنيف المنشآت حسب حجمها التشغيلي إلى ثلاث فئات: المنشآت الكبيرة التي يزيد عدد موظفيها عن 500 موظف أو ذات مساحة تشغيلية كبيرة أو إنتاج سنوي مرتفع، والمنشآت المتوسطة التي </w:t>
      </w:r>
      <w:r w:rsidRPr="005D59A7">
        <w:rPr>
          <w:rFonts w:ascii="T" w:hAnsi="T" w:cs="Simplified Arabic"/>
          <w:sz w:val="24"/>
          <w:szCs w:val="24"/>
          <w:shd w:val="clear" w:color="auto" w:fill="FFFFFF"/>
          <w:rtl/>
        </w:rPr>
        <w:lastRenderedPageBreak/>
        <w:t>يتراوح عدد موظفيها بين 50 و500 موظف، والمنشآت الصغيرة التي يقل عدد موظفيها عن 50 موظفاً. يساعد هذا التصنيف في تقييم تأثير حجم المنشأة على تكلفة وكثافة التفتيش المطلوبة</w:t>
      </w:r>
      <w:r w:rsidRPr="005D59A7">
        <w:rPr>
          <w:rFonts w:ascii="T" w:hAnsi="T" w:cs="Simplified Arabic"/>
          <w:sz w:val="24"/>
          <w:szCs w:val="24"/>
          <w:shd w:val="clear" w:color="auto" w:fill="FFFFFF"/>
        </w:rPr>
        <w:t>.</w:t>
      </w:r>
    </w:p>
    <w:p w14:paraId="01434BEC"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ثالثاً: تصنيف المنشآت حسب نوع النشاط</w:t>
      </w:r>
    </w:p>
    <w:p w14:paraId="415401A0"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يتم تصنيف المنشآت حسب النشاط الاقتصادي الرئيسي إلى خمس فئات: الصناعية (المنشآت العاملة في قطاع التصنيع والإنتاج الصناعي)، والخدمية (المستشفيات والفنادق والمطاعم والمراكز التجارية)، والزراعية (المنشآت العاملة في قطاع الزراعة والإنتاج الحيواني)، والإنشائية (المنشآت العاملة في قطاع البناء والتشييد)، والبتروكيماوية (المنشآت العاملة في قطاع النفط والغاز والبتروكيماويات). يساعد هذا التصنيف في تقييم تأثير نوع النشاط على طبيعة المخالفات البيئية المتوقعة وكثافة التفتيش المطلوبة</w:t>
      </w:r>
      <w:r w:rsidRPr="005D59A7">
        <w:rPr>
          <w:rFonts w:ascii="T" w:hAnsi="T" w:cs="Simplified Arabic"/>
          <w:sz w:val="24"/>
          <w:szCs w:val="24"/>
          <w:shd w:val="clear" w:color="auto" w:fill="FFFFFF"/>
        </w:rPr>
        <w:t>.</w:t>
      </w:r>
    </w:p>
    <w:p w14:paraId="7B758DDE"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رابعاً: تصنيف المنشآت حسب المنطقة الجغرافية</w:t>
      </w:r>
    </w:p>
    <w:p w14:paraId="45EE9521"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يتم تصنيف المنشآت حسب المنطقة الإدارية التي تقع فيها إلى خمس مناطق رئيسية: المنطقة الوسطى (الرياض، القصيم)، والمنطقة الشرقية (الدمام، الأحساء، الجبيل، الظهران)، والمنطقة الغربية (مكة المكرمة، جدة، المدينة المنورة، الطائف)، والمنطقة الشمالية (تبوك، حائل، الحدود الشمالية، الجوف)، والمنطقة الجنوبية (عسير، جازان، نجران، الباحة). يساعد هذا التصنيف في تقييم تأثير العوامل الجغرافية والمناخية والاقتصادية على أداء خدمة التفتيش البيئي</w:t>
      </w:r>
      <w:r w:rsidRPr="005D59A7">
        <w:rPr>
          <w:rFonts w:ascii="T" w:hAnsi="T" w:cs="Simplified Arabic"/>
          <w:sz w:val="24"/>
          <w:szCs w:val="24"/>
          <w:shd w:val="clear" w:color="auto" w:fill="FFFFFF"/>
        </w:rPr>
        <w:t>.</w:t>
      </w:r>
    </w:p>
    <w:p w14:paraId="4D47251C"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خامساً: آلية استخدام المتغيرات الضابطة في التحليل</w:t>
      </w:r>
    </w:p>
    <w:p w14:paraId="448A40E7"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سيتم استخدام المتغيرات الضابطة وفق الآليات التالية: أولاً، التصنيف الطبقي</w:t>
      </w:r>
      <w:r w:rsidRPr="005D59A7">
        <w:rPr>
          <w:rFonts w:ascii="T" w:hAnsi="T" w:cs="Simplified Arabic"/>
          <w:sz w:val="24"/>
          <w:szCs w:val="24"/>
          <w:shd w:val="clear" w:color="auto" w:fill="FFFFFF"/>
        </w:rPr>
        <w:t xml:space="preserve"> (Stratification) </w:t>
      </w:r>
      <w:r w:rsidRPr="005D59A7">
        <w:rPr>
          <w:rFonts w:ascii="T" w:hAnsi="T" w:cs="Simplified Arabic"/>
          <w:sz w:val="24"/>
          <w:szCs w:val="24"/>
          <w:shd w:val="clear" w:color="auto" w:fill="FFFFFF"/>
          <w:rtl/>
        </w:rPr>
        <w:t>حيث سيتم تقسيم عينة الدراسة إلى طبقات متجانسة بناءً على المتغيرات الضابطة (خطورة النشاط، حجم المنشأة، نوع النشاط، المنطقة الجغرافية)، وذلك لضمان تمثيل متوازن لجميع الفئات في التحليل. ثانياً، المقارنة المتجانسة</w:t>
      </w:r>
      <w:r w:rsidRPr="005D59A7">
        <w:rPr>
          <w:rFonts w:ascii="T" w:hAnsi="T" w:cs="Simplified Arabic"/>
          <w:sz w:val="24"/>
          <w:szCs w:val="24"/>
          <w:shd w:val="clear" w:color="auto" w:fill="FFFFFF"/>
        </w:rPr>
        <w:t xml:space="preserve"> (Homogeneous Comparison) </w:t>
      </w:r>
      <w:r w:rsidRPr="005D59A7">
        <w:rPr>
          <w:rFonts w:ascii="T" w:hAnsi="T" w:cs="Simplified Arabic"/>
          <w:sz w:val="24"/>
          <w:szCs w:val="24"/>
          <w:shd w:val="clear" w:color="auto" w:fill="FFFFFF"/>
          <w:rtl/>
        </w:rPr>
        <w:t>حيث سيتم إجراء المقارنات بين النموذج الحالي والنموذج المقترح داخل كل طبقة من المتغيرات الضابطة على حدة، لضمان أن الفروق في الأداء تعزى إلى النموذج التشغيلي وليس إلى اختلافات في خصائص المنشآت. ثالثاً، تحليل التباين متعدد المتغيرات</w:t>
      </w:r>
      <w:r w:rsidRPr="005D59A7">
        <w:rPr>
          <w:rFonts w:ascii="T" w:hAnsi="T" w:cs="Simplified Arabic"/>
          <w:sz w:val="24"/>
          <w:szCs w:val="24"/>
          <w:shd w:val="clear" w:color="auto" w:fill="FFFFFF"/>
        </w:rPr>
        <w:t xml:space="preserve"> (MANOVA) </w:t>
      </w:r>
      <w:r w:rsidRPr="005D59A7">
        <w:rPr>
          <w:rFonts w:ascii="T" w:hAnsi="T" w:cs="Simplified Arabic"/>
          <w:sz w:val="24"/>
          <w:szCs w:val="24"/>
          <w:shd w:val="clear" w:color="auto" w:fill="FFFFFF"/>
          <w:rtl/>
        </w:rPr>
        <w:t xml:space="preserve">لتقييم تأثير المتغيرات الضابطة على المؤشرات التابعة (التكلفة التشغيلية للزيارة، نسبة المخالفات المرفوضة، نسبة التغطية)، وذلك لتحديد ما إذا كانت الفروق بين المجموعات ذات دلالة إحصائية. رابعاً، تحليل الانحدار </w:t>
      </w:r>
      <w:r w:rsidRPr="005D59A7">
        <w:rPr>
          <w:rFonts w:ascii="T" w:hAnsi="T" w:cs="Simplified Arabic"/>
          <w:sz w:val="24"/>
          <w:szCs w:val="24"/>
          <w:shd w:val="clear" w:color="auto" w:fill="FFFFFF"/>
          <w:rtl/>
        </w:rPr>
        <w:lastRenderedPageBreak/>
        <w:t>المتعدد</w:t>
      </w:r>
      <w:r w:rsidRPr="005D59A7">
        <w:rPr>
          <w:rFonts w:ascii="T" w:hAnsi="T" w:cs="Simplified Arabic"/>
          <w:sz w:val="24"/>
          <w:szCs w:val="24"/>
          <w:shd w:val="clear" w:color="auto" w:fill="FFFFFF"/>
        </w:rPr>
        <w:t xml:space="preserve"> (Multiple Regression) </w:t>
      </w:r>
      <w:r w:rsidRPr="005D59A7">
        <w:rPr>
          <w:rFonts w:ascii="T" w:hAnsi="T" w:cs="Simplified Arabic"/>
          <w:sz w:val="24"/>
          <w:szCs w:val="24"/>
          <w:shd w:val="clear" w:color="auto" w:fill="FFFFFF"/>
          <w:rtl/>
        </w:rPr>
        <w:t>لتقدير تأثير كل من المتغيرات المستقلة (نوع النموذج) والمتغيرات الضابطة على المتغيرات التابعة، وذلك لتحديد المساهم النسبي لكل متغير في تفسير التباين. خامساً، تحليل الحساسية</w:t>
      </w:r>
      <w:r w:rsidRPr="005D59A7">
        <w:rPr>
          <w:rFonts w:ascii="T" w:hAnsi="T" w:cs="Simplified Arabic"/>
          <w:sz w:val="24"/>
          <w:szCs w:val="24"/>
          <w:shd w:val="clear" w:color="auto" w:fill="FFFFFF"/>
        </w:rPr>
        <w:t xml:space="preserve"> (Sensitivity Analysis) </w:t>
      </w:r>
      <w:r w:rsidRPr="005D59A7">
        <w:rPr>
          <w:rFonts w:ascii="T" w:hAnsi="T" w:cs="Simplified Arabic"/>
          <w:sz w:val="24"/>
          <w:szCs w:val="24"/>
          <w:shd w:val="clear" w:color="auto" w:fill="FFFFFF"/>
          <w:rtl/>
        </w:rPr>
        <w:t>لتقييم مدى استقرار النتائج عند تغيير تصنيفات المتغيرات الضابطة</w:t>
      </w:r>
      <w:r w:rsidRPr="005D59A7">
        <w:rPr>
          <w:rFonts w:ascii="T" w:hAnsi="T" w:cs="Simplified Arabic"/>
          <w:sz w:val="24"/>
          <w:szCs w:val="24"/>
          <w:shd w:val="clear" w:color="auto" w:fill="FFFFFF"/>
        </w:rPr>
        <w:t>.</w:t>
      </w:r>
    </w:p>
    <w:p w14:paraId="14D664F1" w14:textId="317B29B9" w:rsidR="00E4150D" w:rsidRPr="005D59A7" w:rsidRDefault="005E3641" w:rsidP="008A5ED9">
      <w:pPr>
        <w:pStyle w:val="Heading2"/>
        <w:bidi/>
        <w:rPr>
          <w:rFonts w:ascii="T" w:hAnsi="T" w:cs="Simplified Arabic"/>
          <w:color w:val="auto"/>
          <w:sz w:val="24"/>
          <w:szCs w:val="24"/>
          <w:shd w:val="clear" w:color="auto" w:fill="FFFFFF"/>
          <w:rtl/>
        </w:rPr>
      </w:pPr>
      <w:bookmarkStart w:id="33" w:name="_Toc234607870"/>
      <w:r w:rsidRPr="005D59A7">
        <w:rPr>
          <w:rFonts w:ascii="T" w:hAnsi="T" w:cs="Simplified Arabic"/>
          <w:color w:val="auto"/>
          <w:sz w:val="24"/>
          <w:szCs w:val="24"/>
          <w:shd w:val="clear" w:color="auto" w:fill="FFFFFF"/>
          <w:rtl/>
        </w:rPr>
        <w:t>نموذج الدراسة</w:t>
      </w:r>
      <w:bookmarkEnd w:id="33"/>
    </w:p>
    <w:p w14:paraId="7FEB3B80" w14:textId="77777777" w:rsidR="00210FA3" w:rsidRPr="005D59A7" w:rsidRDefault="00E4150D" w:rsidP="00861DC2">
      <w:pPr>
        <w:bidi/>
        <w:spacing w:after="0" w:line="360" w:lineRule="auto"/>
        <w:ind w:left="720"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يعد منهج الدراسة مزيج بين الوصفي والتحليلي. ويتضح القسم الوصفي من خلال التقييم النظري للأدبيات الموجودة والمراجعة العامة للمعلومات المتعلقة بموضوع الرسالة. ومن ثم، يتدرج البحث وصولاً إلى القسم التحليلي الفني </w:t>
      </w:r>
      <w:r w:rsidR="005E3641" w:rsidRPr="005D59A7">
        <w:rPr>
          <w:rFonts w:ascii="T" w:hAnsi="T" w:cs="Simplified Arabic"/>
          <w:sz w:val="24"/>
          <w:szCs w:val="24"/>
          <w:shd w:val="clear" w:color="auto" w:fill="FFFFFF"/>
          <w:rtl/>
        </w:rPr>
        <w:t>لل</w:t>
      </w:r>
      <w:r w:rsidRPr="005D59A7">
        <w:rPr>
          <w:rFonts w:ascii="T" w:hAnsi="T" w:cs="Simplified Arabic"/>
          <w:sz w:val="24"/>
          <w:szCs w:val="24"/>
          <w:shd w:val="clear" w:color="auto" w:fill="FFFFFF"/>
          <w:rtl/>
        </w:rPr>
        <w:t xml:space="preserve">خدمة </w:t>
      </w:r>
      <w:r w:rsidR="005E3641" w:rsidRPr="005D59A7">
        <w:rPr>
          <w:rFonts w:ascii="T" w:hAnsi="T" w:cs="Simplified Arabic"/>
          <w:sz w:val="24"/>
          <w:szCs w:val="24"/>
          <w:shd w:val="clear" w:color="auto" w:fill="FFFFFF"/>
          <w:rtl/>
        </w:rPr>
        <w:t>ال</w:t>
      </w:r>
      <w:r w:rsidRPr="005D59A7">
        <w:rPr>
          <w:rFonts w:ascii="T" w:hAnsi="T" w:cs="Simplified Arabic"/>
          <w:sz w:val="24"/>
          <w:szCs w:val="24"/>
          <w:shd w:val="clear" w:color="auto" w:fill="FFFFFF"/>
          <w:rtl/>
        </w:rPr>
        <w:t xml:space="preserve">بيئية </w:t>
      </w:r>
      <w:r w:rsidR="005E3641" w:rsidRPr="005D59A7">
        <w:rPr>
          <w:rFonts w:ascii="T" w:hAnsi="T" w:cs="Simplified Arabic"/>
          <w:sz w:val="24"/>
          <w:szCs w:val="24"/>
          <w:shd w:val="clear" w:color="auto" w:fill="FFFFFF"/>
          <w:rtl/>
        </w:rPr>
        <w:t xml:space="preserve">المختارة </w:t>
      </w:r>
      <w:r w:rsidRPr="005D59A7">
        <w:rPr>
          <w:rFonts w:ascii="T" w:hAnsi="T" w:cs="Simplified Arabic"/>
          <w:sz w:val="24"/>
          <w:szCs w:val="24"/>
          <w:shd w:val="clear" w:color="auto" w:fill="FFFFFF"/>
          <w:rtl/>
        </w:rPr>
        <w:t>كنموذج وعمل دراسات الجدوى اللازمة لها لاقتراح نموذج شراكة بين القطاع العام والخاص لها شاملةً تحاليل الكفاءة التشغيلية والمالية.</w:t>
      </w:r>
      <w:r w:rsidR="005E3641" w:rsidRPr="005D59A7">
        <w:rPr>
          <w:rFonts w:ascii="T" w:hAnsi="T" w:cs="Simplified Arabic"/>
          <w:sz w:val="24"/>
          <w:szCs w:val="24"/>
          <w:shd w:val="clear" w:color="auto" w:fill="FFFFFF"/>
          <w:rtl/>
        </w:rPr>
        <w:t xml:space="preserve"> و</w:t>
      </w:r>
      <w:r w:rsidRPr="005D59A7">
        <w:rPr>
          <w:rFonts w:ascii="T" w:hAnsi="T" w:cs="Simplified Arabic"/>
          <w:sz w:val="24"/>
          <w:szCs w:val="24"/>
          <w:shd w:val="clear" w:color="auto" w:fill="FFFFFF"/>
          <w:rtl/>
        </w:rPr>
        <w:t xml:space="preserve">يعد التحليل وصفي كمي لتحليل الجدوى والتحليل المالي مثل تحليل التكاليف، وتحليل الكفاءة، وغيرها من التحاليل المطلوبة عند الحاجة وفقاً لبنود دراسة الجدوى الأولية </w:t>
      </w:r>
      <w:r w:rsidR="000C7BC3" w:rsidRPr="005D59A7">
        <w:rPr>
          <w:rFonts w:ascii="T" w:hAnsi="T" w:cs="Simplified Arabic"/>
          <w:sz w:val="24"/>
          <w:szCs w:val="24"/>
          <w:shd w:val="clear" w:color="auto" w:fill="FFFFFF"/>
          <w:rtl/>
        </w:rPr>
        <w:t>واشتراطات دليل تخصيص المشاريع الصادر من المركز الوطني للتخصيص</w:t>
      </w:r>
      <w:r w:rsidRPr="005D59A7">
        <w:rPr>
          <w:rFonts w:ascii="T" w:hAnsi="T" w:cs="Simplified Arabic"/>
          <w:sz w:val="24"/>
          <w:szCs w:val="24"/>
          <w:shd w:val="clear" w:color="auto" w:fill="FFFFFF"/>
          <w:rtl/>
        </w:rPr>
        <w:t>.</w:t>
      </w:r>
      <w:r w:rsidR="005E3641" w:rsidRPr="005D59A7">
        <w:rPr>
          <w:rFonts w:ascii="T" w:hAnsi="T" w:cs="Simplified Arabic"/>
          <w:sz w:val="24"/>
          <w:szCs w:val="24"/>
          <w:shd w:val="clear" w:color="auto" w:fill="FFFFFF"/>
          <w:rtl/>
        </w:rPr>
        <w:t xml:space="preserve"> وبالتالي، يوضح النموذج الموضح أدناه </w:t>
      </w:r>
      <w:r w:rsidR="00210FA3" w:rsidRPr="005D59A7">
        <w:rPr>
          <w:rFonts w:ascii="T" w:hAnsi="T" w:cs="Simplified Arabic"/>
          <w:sz w:val="24"/>
          <w:szCs w:val="24"/>
          <w:shd w:val="clear" w:color="auto" w:fill="FFFFFF"/>
          <w:rtl/>
        </w:rPr>
        <w:t>المراجعة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النظرية</w:t>
      </w:r>
      <w:r w:rsidR="005E3641" w:rsidRPr="005D59A7">
        <w:rPr>
          <w:rFonts w:ascii="T" w:hAnsi="T" w:cs="Simplified Arabic"/>
          <w:sz w:val="24"/>
          <w:szCs w:val="24"/>
          <w:shd w:val="clear" w:color="auto" w:fill="FFFFFF"/>
          <w:rtl/>
        </w:rPr>
        <w:t xml:space="preserve"> التي تعتمد</w:t>
      </w:r>
      <w:r w:rsidR="005E3641" w:rsidRPr="005D59A7">
        <w:rPr>
          <w:rFonts w:ascii="T" w:hAnsi="T" w:cs="Simplified Arabic"/>
          <w:sz w:val="24"/>
          <w:szCs w:val="24"/>
          <w:shd w:val="clear" w:color="auto" w:fill="FFFFFF"/>
        </w:rPr>
        <w:t xml:space="preserve"> </w:t>
      </w:r>
      <w:r w:rsidR="005E3641" w:rsidRPr="005D59A7">
        <w:rPr>
          <w:rFonts w:ascii="T" w:hAnsi="T" w:cs="Simplified Arabic"/>
          <w:sz w:val="24"/>
          <w:szCs w:val="24"/>
          <w:shd w:val="clear" w:color="auto" w:fill="FFFFFF"/>
          <w:rtl/>
        </w:rPr>
        <w:t>الدراسة</w:t>
      </w:r>
      <w:r w:rsidR="005E3641" w:rsidRPr="005D59A7">
        <w:rPr>
          <w:rFonts w:ascii="T" w:hAnsi="T" w:cs="Simplified Arabic"/>
          <w:sz w:val="24"/>
          <w:szCs w:val="24"/>
          <w:shd w:val="clear" w:color="auto" w:fill="FFFFFF"/>
        </w:rPr>
        <w:t xml:space="preserve"> </w:t>
      </w:r>
      <w:r w:rsidR="005E3641" w:rsidRPr="005D59A7">
        <w:rPr>
          <w:rFonts w:ascii="T" w:hAnsi="T" w:cs="Simplified Arabic"/>
          <w:sz w:val="24"/>
          <w:szCs w:val="24"/>
          <w:shd w:val="clear" w:color="auto" w:fill="FFFFFF"/>
          <w:rtl/>
        </w:rPr>
        <w:t>عليها. وتشمل</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إعادة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هيكلة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القطاع</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البيئي</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الحالية،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بما</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في</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ذلك</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رؤية 2030 والإستراتيجية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الوطنية</w:t>
      </w:r>
      <w:r w:rsidR="00AB3EFD" w:rsidRPr="005D59A7">
        <w:rPr>
          <w:rFonts w:ascii="T" w:hAnsi="T" w:cs="Simplified Arabic"/>
          <w:sz w:val="24"/>
          <w:szCs w:val="24"/>
          <w:shd w:val="clear" w:color="auto" w:fill="FFFFFF"/>
        </w:rPr>
        <w:t xml:space="preserve"> </w:t>
      </w:r>
      <w:r w:rsidR="005E3641" w:rsidRPr="005D59A7">
        <w:rPr>
          <w:rFonts w:ascii="T" w:hAnsi="T" w:cs="Simplified Arabic"/>
          <w:sz w:val="24"/>
          <w:szCs w:val="24"/>
          <w:shd w:val="clear" w:color="auto" w:fill="FFFFFF"/>
          <w:rtl/>
        </w:rPr>
        <w:t>للبيئة.</w:t>
      </w:r>
    </w:p>
    <w:p w14:paraId="7E56A86A" w14:textId="77777777" w:rsidR="00ED6028" w:rsidRPr="005D59A7" w:rsidRDefault="00ED6028" w:rsidP="00861DC2">
      <w:pPr>
        <w:pStyle w:val="ListParagraph"/>
        <w:bidi/>
        <w:spacing w:line="360" w:lineRule="auto"/>
        <w:ind w:firstLine="720"/>
        <w:rPr>
          <w:rFonts w:ascii="T" w:hAnsi="T" w:cs="Simplified Arabic"/>
          <w:sz w:val="24"/>
          <w:szCs w:val="24"/>
          <w:shd w:val="clear" w:color="auto" w:fill="FFFFFF"/>
          <w:rtl/>
        </w:rPr>
      </w:pPr>
    </w:p>
    <w:p w14:paraId="5D87E1B8" w14:textId="501DD20E" w:rsidR="00210FA3" w:rsidRPr="005D59A7" w:rsidRDefault="003B4A9A" w:rsidP="003B4A9A">
      <w:pPr>
        <w:bidi/>
        <w:spacing w:line="360" w:lineRule="auto"/>
        <w:rPr>
          <w:rFonts w:ascii="T" w:hAnsi="T" w:cs="Simplified Arabic"/>
          <w:sz w:val="24"/>
          <w:szCs w:val="24"/>
          <w:shd w:val="clear" w:color="auto" w:fill="FFFFFF"/>
          <w:rtl/>
        </w:rPr>
      </w:pPr>
      <w:r w:rsidRPr="005D59A7">
        <w:rPr>
          <w:rFonts w:ascii="T" w:hAnsi="T" w:cs="Simplified Arabic"/>
          <w:sz w:val="24"/>
          <w:szCs w:val="24"/>
          <w:shd w:val="clear" w:color="auto" w:fill="FFFFFF"/>
        </w:rPr>
        <w:t xml:space="preserve"> </w:t>
      </w:r>
      <w:r w:rsidR="002F608A" w:rsidRPr="005D59A7">
        <w:rPr>
          <w:rFonts w:ascii="T" w:hAnsi="T"/>
          <w:shd w:val="clear" w:color="auto" w:fill="FFFFFF"/>
        </w:rPr>
        <w:object w:dxaOrig="4320" w:dyaOrig="4320" w14:anchorId="7C503A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235.5pt" o:ole="">
            <v:imagedata r:id="rId10" o:title=""/>
          </v:shape>
          <o:OLEObject Type="Embed" ProgID="FoxitReader.Document" ShapeID="_x0000_i1025" DrawAspect="Content" ObjectID="_1845919721" r:id="rId11"/>
        </w:object>
      </w:r>
    </w:p>
    <w:p w14:paraId="40EB2962" w14:textId="0079C0D8" w:rsidR="000B0E21" w:rsidRPr="005D59A7" w:rsidRDefault="00920785" w:rsidP="00861DC2">
      <w:pPr>
        <w:pStyle w:val="Caption"/>
        <w:bidi/>
        <w:spacing w:line="360" w:lineRule="auto"/>
        <w:ind w:firstLine="720"/>
        <w:jc w:val="center"/>
        <w:rPr>
          <w:rFonts w:ascii="T" w:hAnsi="T" w:cs="Simplified Arabic"/>
          <w:noProof/>
          <w:color w:val="auto"/>
          <w:sz w:val="24"/>
          <w:szCs w:val="24"/>
          <w:rtl/>
        </w:rPr>
      </w:pPr>
      <w:bookmarkStart w:id="34" w:name="_Toc213846040"/>
      <w:bookmarkStart w:id="35" w:name="_Toc225991165"/>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1</w:t>
      </w:r>
      <w:r w:rsidR="00FD30BF" w:rsidRPr="005D59A7">
        <w:rPr>
          <w:rFonts w:ascii="T" w:hAnsi="T" w:cs="Simplified Arabic"/>
          <w:color w:val="auto"/>
          <w:sz w:val="24"/>
          <w:szCs w:val="24"/>
          <w:rtl/>
        </w:rPr>
        <w:fldChar w:fldCharType="end"/>
      </w:r>
      <w:r w:rsidRPr="005D59A7">
        <w:rPr>
          <w:rFonts w:ascii="T" w:hAnsi="T" w:cs="Simplified Arabic"/>
          <w:noProof/>
          <w:color w:val="auto"/>
          <w:sz w:val="24"/>
          <w:szCs w:val="24"/>
          <w:rtl/>
        </w:rPr>
        <w:t>: الإطار الهيكلي لنموذج الدراسة</w:t>
      </w:r>
      <w:bookmarkEnd w:id="34"/>
      <w:bookmarkEnd w:id="35"/>
    </w:p>
    <w:p w14:paraId="189F70C4" w14:textId="77777777" w:rsidR="00646FBB" w:rsidRPr="005D59A7" w:rsidRDefault="00646FBB" w:rsidP="00861DC2">
      <w:pPr>
        <w:bidi/>
        <w:spacing w:line="360" w:lineRule="auto"/>
        <w:ind w:firstLine="720"/>
        <w:rPr>
          <w:rFonts w:ascii="T" w:hAnsi="T" w:cs="Simplified Arabic"/>
          <w:sz w:val="24"/>
          <w:szCs w:val="24"/>
          <w:rtl/>
        </w:rPr>
      </w:pPr>
    </w:p>
    <w:p w14:paraId="37B5D2B7" w14:textId="77777777" w:rsidR="00A42786" w:rsidRPr="005D59A7" w:rsidRDefault="00A42786" w:rsidP="00861DC2">
      <w:pPr>
        <w:bidi/>
        <w:spacing w:after="200" w:line="360" w:lineRule="auto"/>
        <w:ind w:left="720" w:firstLine="720"/>
        <w:jc w:val="both"/>
        <w:rPr>
          <w:rFonts w:ascii="T" w:hAnsi="T" w:cs="Simplified Arabic"/>
          <w:sz w:val="24"/>
          <w:szCs w:val="24"/>
          <w:rtl/>
        </w:rPr>
      </w:pPr>
      <w:r w:rsidRPr="005D59A7">
        <w:rPr>
          <w:rFonts w:ascii="T" w:hAnsi="T" w:cs="Simplified Arabic"/>
          <w:sz w:val="24"/>
          <w:szCs w:val="24"/>
          <w:rtl/>
        </w:rPr>
        <w:t>يشير النموذج إلى</w:t>
      </w:r>
      <w:r w:rsidR="00333980" w:rsidRPr="005D59A7">
        <w:rPr>
          <w:rFonts w:ascii="T" w:hAnsi="T" w:cs="Simplified Arabic"/>
          <w:sz w:val="24"/>
          <w:szCs w:val="24"/>
          <w:rtl/>
        </w:rPr>
        <w:t xml:space="preserve"> </w:t>
      </w:r>
      <w:r w:rsidR="0010375B" w:rsidRPr="005D59A7">
        <w:rPr>
          <w:rFonts w:ascii="T" w:hAnsi="T" w:cs="Simplified Arabic"/>
          <w:sz w:val="24"/>
          <w:szCs w:val="24"/>
          <w:rtl/>
        </w:rPr>
        <w:t>إعادة الهيكلة للقطاع للبيئي</w:t>
      </w:r>
      <w:r w:rsidRPr="005D59A7">
        <w:rPr>
          <w:rFonts w:ascii="T" w:hAnsi="T" w:cs="Simplified Arabic"/>
          <w:sz w:val="24"/>
          <w:szCs w:val="24"/>
          <w:rtl/>
        </w:rPr>
        <w:t xml:space="preserve"> انطلاقاً من الرؤية ومروراً ببرنامج التحول الوطني وبرنامج التخصيص والإستراتيجية الوطنية للبيئة والجهات المستحدثة تحت إشراف وزارة البيئة والمياه والزراعة. كما يشير إلى أنه سيتم مناقشة الخدمات البيئية التي تقدمها الجهات وما يتم تقديمه من خلال القطاع الخاص مع التنويه بأنه سيتم عرض نموذج مقترح للشراكة مع القطاع الخاص لخدمة التفتيش البيئي. وكما تم الذكر مسبقاً، تم اختيار خدمة التفتيش البيئي لثلاثة أسباب رئيسية وهي: 1) يعد المركز الوطني للرقابة على الالتزام البيئي الجهة الرئيسية بين المراكز الخمسة المستحدثة من الإستراتيجية الوطنية للبيئة، 2) يعد التفتيش البيئي الخدمة الأساسية والرئيسية والدورية التي يقدمها المركز ويستند عليها بشكل رئيسي، 3) وجود بيانات ودراسات سابقة لدى الباحث في المستهدف المطلوب. </w:t>
      </w:r>
    </w:p>
    <w:p w14:paraId="55618335" w14:textId="77777777" w:rsidR="00C54779" w:rsidRPr="005D59A7" w:rsidRDefault="00AA774F" w:rsidP="00861DC2">
      <w:pPr>
        <w:bidi/>
        <w:spacing w:after="200" w:line="360" w:lineRule="auto"/>
        <w:ind w:left="720" w:firstLine="720"/>
        <w:jc w:val="both"/>
        <w:rPr>
          <w:rFonts w:ascii="T" w:hAnsi="T" w:cs="Simplified Arabic"/>
          <w:sz w:val="24"/>
          <w:szCs w:val="24"/>
          <w:rtl/>
        </w:rPr>
      </w:pPr>
      <w:r w:rsidRPr="005D59A7">
        <w:rPr>
          <w:rFonts w:ascii="T" w:hAnsi="T" w:cs="Simplified Arabic"/>
          <w:sz w:val="24"/>
          <w:szCs w:val="24"/>
          <w:rtl/>
        </w:rPr>
        <w:t>عليه، س</w:t>
      </w:r>
      <w:r w:rsidR="00C838F5" w:rsidRPr="005D59A7">
        <w:rPr>
          <w:rFonts w:ascii="T" w:hAnsi="T" w:cs="Simplified Arabic"/>
          <w:sz w:val="24"/>
          <w:szCs w:val="24"/>
          <w:rtl/>
        </w:rPr>
        <w:t>تساهم هذه الدراسة في تمكين القطاع الخاص من المشاركة في تقديم الخدمات البيئية مع القطاع العا</w:t>
      </w:r>
      <w:r w:rsidR="009F4758" w:rsidRPr="005D59A7">
        <w:rPr>
          <w:rFonts w:ascii="T" w:hAnsi="T" w:cs="Simplified Arabic"/>
          <w:sz w:val="24"/>
          <w:szCs w:val="24"/>
          <w:rtl/>
        </w:rPr>
        <w:t xml:space="preserve">م وذلك عن طريق </w:t>
      </w:r>
      <w:r w:rsidR="00C54779" w:rsidRPr="005D59A7">
        <w:rPr>
          <w:rFonts w:ascii="T" w:hAnsi="T" w:cs="Simplified Arabic"/>
          <w:sz w:val="24"/>
          <w:szCs w:val="24"/>
          <w:rtl/>
        </w:rPr>
        <w:t>عرض الدراسات والبيانات الموجودة وتحليلها لتكون نموذج يحتذى به في الخدمات الأخرى</w:t>
      </w:r>
      <w:r w:rsidR="009F4758" w:rsidRPr="005D59A7">
        <w:rPr>
          <w:rFonts w:ascii="T" w:hAnsi="T" w:cs="Simplified Arabic"/>
          <w:sz w:val="24"/>
          <w:szCs w:val="24"/>
          <w:rtl/>
        </w:rPr>
        <w:t xml:space="preserve">. وتتمثل العلاقة السببية أو </w:t>
      </w:r>
      <w:r w:rsidR="00EA0711" w:rsidRPr="005D59A7">
        <w:rPr>
          <w:rFonts w:ascii="T" w:hAnsi="T" w:cs="Simplified Arabic"/>
          <w:sz w:val="24"/>
          <w:szCs w:val="24"/>
          <w:rtl/>
        </w:rPr>
        <w:t>الإرتباطية</w:t>
      </w:r>
      <w:r w:rsidR="009F4758" w:rsidRPr="005D59A7">
        <w:rPr>
          <w:rFonts w:ascii="T" w:hAnsi="T" w:cs="Simplified Arabic"/>
          <w:sz w:val="24"/>
          <w:szCs w:val="24"/>
          <w:rtl/>
        </w:rPr>
        <w:t xml:space="preserve"> الأساسية في</w:t>
      </w:r>
      <w:r w:rsidR="00C838F5" w:rsidRPr="005D59A7">
        <w:rPr>
          <w:rFonts w:ascii="T" w:hAnsi="T" w:cs="Simplified Arabic"/>
          <w:sz w:val="24"/>
          <w:szCs w:val="24"/>
          <w:rtl/>
        </w:rPr>
        <w:t xml:space="preserve"> المساهمة في خفض التكاليف على عاتق القطاع العام</w:t>
      </w:r>
      <w:r w:rsidR="00B71861" w:rsidRPr="005D59A7">
        <w:rPr>
          <w:rFonts w:ascii="T" w:hAnsi="T" w:cs="Simplified Arabic"/>
          <w:sz w:val="24"/>
          <w:szCs w:val="24"/>
          <w:rtl/>
        </w:rPr>
        <w:t xml:space="preserve"> والتموي</w:t>
      </w:r>
      <w:r w:rsidR="009F4758" w:rsidRPr="005D59A7">
        <w:rPr>
          <w:rFonts w:ascii="T" w:hAnsi="T" w:cs="Simplified Arabic"/>
          <w:sz w:val="24"/>
          <w:szCs w:val="24"/>
          <w:rtl/>
        </w:rPr>
        <w:t>ل البيئي القادم من صندوق البيئة للمراكز البيئية الخمسة عن طريق إشراك القطاع الخاص في تقديم الخدمات</w:t>
      </w:r>
      <w:r w:rsidR="00E4150D" w:rsidRPr="005D59A7">
        <w:rPr>
          <w:rFonts w:ascii="T" w:hAnsi="T" w:cs="Simplified Arabic"/>
          <w:sz w:val="24"/>
          <w:szCs w:val="24"/>
          <w:rtl/>
        </w:rPr>
        <w:t>.</w:t>
      </w:r>
    </w:p>
    <w:p w14:paraId="4C070464" w14:textId="77777777" w:rsidR="0010375B" w:rsidRPr="005D59A7" w:rsidRDefault="0010375B" w:rsidP="00E25EBC">
      <w:pPr>
        <w:bidi/>
        <w:spacing w:after="200" w:line="360" w:lineRule="auto"/>
        <w:ind w:left="84" w:firstLine="720"/>
        <w:jc w:val="both"/>
        <w:rPr>
          <w:rFonts w:ascii="T" w:hAnsi="T" w:cs="Simplified Arabic"/>
          <w:sz w:val="24"/>
          <w:szCs w:val="24"/>
          <w:rtl/>
        </w:rPr>
      </w:pPr>
      <w:r w:rsidRPr="005D59A7">
        <w:rPr>
          <w:rFonts w:ascii="T" w:hAnsi="T" w:cs="Simplified Arabic"/>
          <w:sz w:val="24"/>
          <w:szCs w:val="24"/>
          <w:rtl/>
        </w:rPr>
        <w:t xml:space="preserve"> </w:t>
      </w:r>
      <w:r w:rsidR="00060EF4" w:rsidRPr="005D59A7">
        <w:rPr>
          <w:rFonts w:ascii="T" w:hAnsi="T" w:cs="Simplified Arabic"/>
          <w:sz w:val="24"/>
          <w:szCs w:val="24"/>
          <w:rtl/>
        </w:rPr>
        <w:t>و</w:t>
      </w:r>
      <w:r w:rsidRPr="005D59A7">
        <w:rPr>
          <w:rFonts w:ascii="T" w:hAnsi="T" w:cs="Simplified Arabic"/>
          <w:sz w:val="24"/>
          <w:szCs w:val="24"/>
          <w:rtl/>
        </w:rPr>
        <w:t>تعد الخطوات الموضحة أدناه هي الخطوات الأساسية لتنفيذ الدراسة</w:t>
      </w:r>
      <w:r w:rsidR="00060EF4" w:rsidRPr="005D59A7">
        <w:rPr>
          <w:rFonts w:ascii="T" w:hAnsi="T" w:cs="Simplified Arabic"/>
          <w:sz w:val="24"/>
          <w:szCs w:val="24"/>
          <w:rtl/>
        </w:rPr>
        <w:t xml:space="preserve"> والتي سيتم مناقشتها في الفصول القادمة للرسالة:</w:t>
      </w:r>
    </w:p>
    <w:p w14:paraId="444049B8" w14:textId="77777777" w:rsidR="005E3641"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المراجعة الأدبية ابتداءً من رؤية المملكة ومبادرات الشراكة بين القطاعين العام والخاص.</w:t>
      </w:r>
    </w:p>
    <w:p w14:paraId="7158E611" w14:textId="77777777" w:rsidR="005E3641"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الإستراتيجية الوطنية للبيئة والهيكلة التنظيمية لقطاع البيئية.</w:t>
      </w:r>
    </w:p>
    <w:p w14:paraId="7A7F0C4A" w14:textId="77777777" w:rsidR="005E3641"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التعريف بالجهات المعنية ومهامها.</w:t>
      </w:r>
    </w:p>
    <w:p w14:paraId="7707654C" w14:textId="77777777" w:rsidR="005E3641"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مناقشة الخدمات البيئية المتوفرة.</w:t>
      </w:r>
    </w:p>
    <w:p w14:paraId="71C5FC88" w14:textId="77777777" w:rsidR="00C54779"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إعداد وعرض دراسة الجدوى لخدمة التفتيش البيئي لاقتراح نموذج شراكة مع القطاع الخاص</w:t>
      </w:r>
      <w:r w:rsidR="00A42786" w:rsidRPr="005D59A7">
        <w:rPr>
          <w:rFonts w:ascii="T" w:hAnsi="T" w:cs="Simplified Arabic"/>
          <w:sz w:val="24"/>
          <w:szCs w:val="24"/>
          <w:shd w:val="clear" w:color="auto" w:fill="FFFFFF"/>
          <w:rtl/>
        </w:rPr>
        <w:t>.</w:t>
      </w:r>
    </w:p>
    <w:p w14:paraId="5375EB36" w14:textId="7E997925" w:rsidR="00B5432A" w:rsidRPr="005D59A7" w:rsidRDefault="00060EF4" w:rsidP="00E25EBC">
      <w:pPr>
        <w:bidi/>
        <w:spacing w:after="200" w:line="360" w:lineRule="auto"/>
        <w:ind w:left="84" w:firstLine="720"/>
        <w:jc w:val="both"/>
        <w:rPr>
          <w:rFonts w:ascii="T" w:hAnsi="T" w:cs="Simplified Arabic"/>
          <w:sz w:val="24"/>
          <w:szCs w:val="24"/>
          <w:rtl/>
        </w:rPr>
      </w:pPr>
      <w:r w:rsidRPr="005D59A7">
        <w:rPr>
          <w:rFonts w:ascii="T" w:hAnsi="T" w:cs="Simplified Arabic"/>
          <w:sz w:val="24"/>
          <w:szCs w:val="24"/>
          <w:rtl/>
        </w:rPr>
        <w:lastRenderedPageBreak/>
        <w:t xml:space="preserve">وفي </w:t>
      </w:r>
      <w:r w:rsidR="00DB16F3" w:rsidRPr="005D59A7">
        <w:rPr>
          <w:rFonts w:ascii="T" w:hAnsi="T" w:cs="Simplified Arabic"/>
          <w:sz w:val="24"/>
          <w:szCs w:val="24"/>
          <w:rtl/>
        </w:rPr>
        <w:t>ختام</w:t>
      </w:r>
      <w:r w:rsidRPr="005D59A7">
        <w:rPr>
          <w:rFonts w:ascii="T" w:hAnsi="T" w:cs="Simplified Arabic"/>
          <w:sz w:val="24"/>
          <w:szCs w:val="24"/>
          <w:rtl/>
        </w:rPr>
        <w:t xml:space="preserve"> هذا الفصل</w:t>
      </w:r>
      <w:r w:rsidR="00DB16F3" w:rsidRPr="005D59A7">
        <w:rPr>
          <w:rFonts w:ascii="T" w:hAnsi="T" w:cs="Simplified Arabic"/>
          <w:sz w:val="24"/>
          <w:szCs w:val="24"/>
          <w:rtl/>
        </w:rPr>
        <w:t>، يقدّم الفصل الثاني مراجعةً مُركّزة للأدبيات والنموذج المفاهيمي النهائي وفجوة البحث؛ ويعرض الفصل الثالث المنهجية التفصيلية وخطة التحليل</w:t>
      </w:r>
      <w:r w:rsidR="00E31E98" w:rsidRPr="005D59A7">
        <w:rPr>
          <w:rFonts w:ascii="T" w:hAnsi="T" w:cs="Simplified Arabic"/>
          <w:sz w:val="24"/>
          <w:szCs w:val="24"/>
          <w:rtl/>
        </w:rPr>
        <w:t xml:space="preserve">، بينما يستعرض الفصل </w:t>
      </w:r>
      <w:r w:rsidR="00EB1549" w:rsidRPr="005D59A7">
        <w:rPr>
          <w:rFonts w:ascii="T" w:hAnsi="T" w:cs="Simplified Arabic"/>
          <w:sz w:val="24"/>
          <w:szCs w:val="24"/>
          <w:rtl/>
        </w:rPr>
        <w:t>الرابع النتائج</w:t>
      </w:r>
      <w:r w:rsidR="00E31E98" w:rsidRPr="005D59A7">
        <w:rPr>
          <w:rFonts w:ascii="T" w:hAnsi="T" w:cs="Simplified Arabic"/>
          <w:sz w:val="24"/>
          <w:szCs w:val="24"/>
          <w:rtl/>
        </w:rPr>
        <w:t xml:space="preserve"> واختبار الفرضيات</w:t>
      </w:r>
      <w:r w:rsidR="00DB16F3" w:rsidRPr="005D59A7">
        <w:rPr>
          <w:rFonts w:ascii="T" w:hAnsi="T" w:cs="Simplified Arabic"/>
          <w:sz w:val="24"/>
          <w:szCs w:val="24"/>
          <w:rtl/>
        </w:rPr>
        <w:t xml:space="preserve">؛ </w:t>
      </w:r>
      <w:r w:rsidR="00E31E98" w:rsidRPr="005D59A7">
        <w:rPr>
          <w:rFonts w:ascii="T" w:hAnsi="T" w:cs="Simplified Arabic"/>
          <w:sz w:val="24"/>
          <w:szCs w:val="24"/>
          <w:rtl/>
        </w:rPr>
        <w:t>وتختتم الرسالة</w:t>
      </w:r>
      <w:r w:rsidR="00DB16F3" w:rsidRPr="005D59A7">
        <w:rPr>
          <w:rFonts w:ascii="T" w:hAnsi="T" w:cs="Simplified Arabic"/>
          <w:sz w:val="24"/>
          <w:szCs w:val="24"/>
          <w:rtl/>
        </w:rPr>
        <w:t xml:space="preserve"> </w:t>
      </w:r>
      <w:r w:rsidR="00E31E98" w:rsidRPr="005D59A7">
        <w:rPr>
          <w:rFonts w:ascii="T" w:hAnsi="T" w:cs="Simplified Arabic"/>
          <w:sz w:val="24"/>
          <w:szCs w:val="24"/>
          <w:rtl/>
        </w:rPr>
        <w:t>ب</w:t>
      </w:r>
      <w:r w:rsidR="00DB16F3" w:rsidRPr="005D59A7">
        <w:rPr>
          <w:rFonts w:ascii="T" w:hAnsi="T" w:cs="Simplified Arabic"/>
          <w:sz w:val="24"/>
          <w:szCs w:val="24"/>
          <w:rtl/>
        </w:rPr>
        <w:t xml:space="preserve">الفصل </w:t>
      </w:r>
      <w:r w:rsidR="00E31E98" w:rsidRPr="005D59A7">
        <w:rPr>
          <w:rFonts w:ascii="T" w:hAnsi="T" w:cs="Simplified Arabic"/>
          <w:sz w:val="24"/>
          <w:szCs w:val="24"/>
          <w:rtl/>
        </w:rPr>
        <w:t>الخامس ب</w:t>
      </w:r>
      <w:r w:rsidR="00DB16F3" w:rsidRPr="005D59A7">
        <w:rPr>
          <w:rFonts w:ascii="T" w:hAnsi="T" w:cs="Simplified Arabic"/>
          <w:sz w:val="24"/>
          <w:szCs w:val="24"/>
          <w:rtl/>
        </w:rPr>
        <w:t>مناقشة</w:t>
      </w:r>
      <w:r w:rsidRPr="005D59A7">
        <w:rPr>
          <w:rFonts w:ascii="T" w:hAnsi="T" w:cs="Simplified Arabic"/>
          <w:sz w:val="24"/>
          <w:szCs w:val="24"/>
          <w:rtl/>
        </w:rPr>
        <w:t xml:space="preserve"> مصفوفة المخاطر</w:t>
      </w:r>
      <w:r w:rsidR="00DB16F3" w:rsidRPr="005D59A7">
        <w:rPr>
          <w:rFonts w:ascii="T" w:hAnsi="T" w:cs="Simplified Arabic"/>
          <w:sz w:val="24"/>
          <w:szCs w:val="24"/>
          <w:rtl/>
        </w:rPr>
        <w:t xml:space="preserve"> والتوصيات والسياسات والحدود والبحوث المستقبلية.</w:t>
      </w:r>
    </w:p>
    <w:bookmarkEnd w:id="4"/>
    <w:p w14:paraId="6DCD4F8E" w14:textId="77777777" w:rsidR="00077001" w:rsidRPr="005D59A7" w:rsidRDefault="00077001" w:rsidP="00861DC2">
      <w:pPr>
        <w:bidi/>
        <w:spacing w:after="200" w:line="360" w:lineRule="auto"/>
        <w:ind w:left="720" w:firstLine="720"/>
        <w:jc w:val="both"/>
        <w:rPr>
          <w:rFonts w:ascii="T" w:hAnsi="T" w:cs="Simplified Arabic"/>
          <w:sz w:val="24"/>
          <w:szCs w:val="24"/>
          <w:rtl/>
        </w:rPr>
      </w:pPr>
    </w:p>
    <w:p w14:paraId="3F60071C" w14:textId="77777777" w:rsidR="008A5ED9" w:rsidRPr="005D59A7" w:rsidRDefault="008A5ED9" w:rsidP="008A5ED9">
      <w:pPr>
        <w:rPr>
          <w:rFonts w:ascii="T" w:hAnsi="T" w:cs="Simplified Arabic"/>
          <w:sz w:val="24"/>
          <w:szCs w:val="24"/>
          <w:shd w:val="clear" w:color="auto" w:fill="FFFFFF"/>
          <w:rtl/>
        </w:rPr>
      </w:pPr>
      <w:bookmarkStart w:id="36" w:name="_Hlk225713754"/>
    </w:p>
    <w:p w14:paraId="5563E49E" w14:textId="77777777" w:rsidR="008A5ED9" w:rsidRPr="005D59A7" w:rsidRDefault="008A5ED9" w:rsidP="008A5ED9">
      <w:pPr>
        <w:rPr>
          <w:rFonts w:ascii="T" w:hAnsi="T" w:cs="Simplified Arabic"/>
          <w:sz w:val="24"/>
          <w:szCs w:val="24"/>
          <w:shd w:val="clear" w:color="auto" w:fill="FFFFFF"/>
          <w:rtl/>
        </w:rPr>
      </w:pPr>
    </w:p>
    <w:p w14:paraId="1D3B5A52" w14:textId="77777777" w:rsidR="008A5ED9" w:rsidRPr="005D59A7" w:rsidRDefault="008A5ED9" w:rsidP="008A5ED9">
      <w:pPr>
        <w:rPr>
          <w:rFonts w:ascii="T" w:hAnsi="T" w:cs="Simplified Arabic"/>
          <w:sz w:val="24"/>
          <w:szCs w:val="24"/>
          <w:shd w:val="clear" w:color="auto" w:fill="FFFFFF"/>
          <w:rtl/>
        </w:rPr>
      </w:pPr>
    </w:p>
    <w:p w14:paraId="664818F5" w14:textId="77777777" w:rsidR="008A5ED9" w:rsidRPr="005D59A7" w:rsidRDefault="008A5ED9" w:rsidP="008A5ED9">
      <w:pPr>
        <w:rPr>
          <w:rFonts w:ascii="T" w:hAnsi="T" w:cs="Simplified Arabic"/>
          <w:sz w:val="24"/>
          <w:szCs w:val="24"/>
          <w:shd w:val="clear" w:color="auto" w:fill="FFFFFF"/>
          <w:rtl/>
        </w:rPr>
      </w:pPr>
    </w:p>
    <w:p w14:paraId="30930744" w14:textId="77777777" w:rsidR="008A5ED9" w:rsidRPr="005D59A7" w:rsidRDefault="008A5ED9" w:rsidP="008A5ED9">
      <w:pPr>
        <w:rPr>
          <w:rFonts w:ascii="T" w:hAnsi="T" w:cs="Simplified Arabic"/>
          <w:sz w:val="24"/>
          <w:szCs w:val="24"/>
          <w:shd w:val="clear" w:color="auto" w:fill="FFFFFF"/>
          <w:rtl/>
        </w:rPr>
      </w:pPr>
    </w:p>
    <w:p w14:paraId="53E4C31E" w14:textId="6D964224" w:rsidR="008A5ED9" w:rsidRPr="005D59A7" w:rsidRDefault="008A5ED9" w:rsidP="008A5ED9">
      <w:pPr>
        <w:rPr>
          <w:rFonts w:ascii="T" w:hAnsi="T" w:cs="Simplified Arabic"/>
          <w:sz w:val="24"/>
          <w:szCs w:val="24"/>
          <w:shd w:val="clear" w:color="auto" w:fill="FFFFFF"/>
          <w:rtl/>
        </w:rPr>
      </w:pPr>
    </w:p>
    <w:p w14:paraId="387450AC" w14:textId="6147980C" w:rsidR="008A5ED9" w:rsidRPr="005D59A7" w:rsidRDefault="008A5ED9" w:rsidP="008A5ED9">
      <w:pPr>
        <w:rPr>
          <w:rFonts w:ascii="T" w:hAnsi="T" w:cs="Simplified Arabic"/>
          <w:sz w:val="24"/>
          <w:szCs w:val="24"/>
          <w:shd w:val="clear" w:color="auto" w:fill="FFFFFF"/>
          <w:rtl/>
        </w:rPr>
      </w:pPr>
    </w:p>
    <w:p w14:paraId="300B8B94" w14:textId="77777777" w:rsidR="008A5ED9" w:rsidRDefault="008A5ED9" w:rsidP="008A5ED9">
      <w:pPr>
        <w:rPr>
          <w:rFonts w:ascii="T" w:hAnsi="T" w:cs="Simplified Arabic"/>
          <w:sz w:val="24"/>
          <w:szCs w:val="24"/>
          <w:shd w:val="clear" w:color="auto" w:fill="FFFFFF"/>
        </w:rPr>
      </w:pPr>
    </w:p>
    <w:p w14:paraId="3B2A7326" w14:textId="77777777" w:rsidR="00294C02" w:rsidRDefault="00294C02" w:rsidP="008A5ED9">
      <w:pPr>
        <w:rPr>
          <w:rFonts w:ascii="T" w:hAnsi="T" w:cs="Simplified Arabic"/>
          <w:sz w:val="24"/>
          <w:szCs w:val="24"/>
          <w:shd w:val="clear" w:color="auto" w:fill="FFFFFF"/>
        </w:rPr>
      </w:pPr>
    </w:p>
    <w:p w14:paraId="469799F4" w14:textId="77777777" w:rsidR="00294C02" w:rsidRDefault="00294C02" w:rsidP="008A5ED9">
      <w:pPr>
        <w:rPr>
          <w:rFonts w:ascii="T" w:hAnsi="T" w:cs="Simplified Arabic"/>
          <w:sz w:val="24"/>
          <w:szCs w:val="24"/>
          <w:shd w:val="clear" w:color="auto" w:fill="FFFFFF"/>
        </w:rPr>
      </w:pPr>
    </w:p>
    <w:p w14:paraId="5D3C35A7" w14:textId="77777777" w:rsidR="00294C02" w:rsidRDefault="00294C02" w:rsidP="008A5ED9">
      <w:pPr>
        <w:rPr>
          <w:rFonts w:ascii="T" w:hAnsi="T" w:cs="Simplified Arabic"/>
          <w:sz w:val="24"/>
          <w:szCs w:val="24"/>
          <w:shd w:val="clear" w:color="auto" w:fill="FFFFFF"/>
        </w:rPr>
      </w:pPr>
    </w:p>
    <w:p w14:paraId="3B105CC9" w14:textId="77777777" w:rsidR="00294C02" w:rsidRDefault="00294C02" w:rsidP="008A5ED9">
      <w:pPr>
        <w:rPr>
          <w:rFonts w:ascii="T" w:hAnsi="T" w:cs="Simplified Arabic"/>
          <w:sz w:val="24"/>
          <w:szCs w:val="24"/>
          <w:shd w:val="clear" w:color="auto" w:fill="FFFFFF"/>
        </w:rPr>
      </w:pPr>
    </w:p>
    <w:p w14:paraId="387E8DAE" w14:textId="77777777" w:rsidR="00294C02" w:rsidRDefault="00294C02" w:rsidP="008A5ED9">
      <w:pPr>
        <w:rPr>
          <w:rFonts w:ascii="T" w:hAnsi="T" w:cs="Simplified Arabic"/>
          <w:sz w:val="24"/>
          <w:szCs w:val="24"/>
          <w:shd w:val="clear" w:color="auto" w:fill="FFFFFF"/>
        </w:rPr>
      </w:pPr>
    </w:p>
    <w:p w14:paraId="206C2DA1" w14:textId="77777777" w:rsidR="00294C02" w:rsidRDefault="00294C02" w:rsidP="008A5ED9">
      <w:pPr>
        <w:rPr>
          <w:rFonts w:ascii="T" w:hAnsi="T" w:cs="Simplified Arabic"/>
          <w:sz w:val="24"/>
          <w:szCs w:val="24"/>
          <w:shd w:val="clear" w:color="auto" w:fill="FFFFFF"/>
        </w:rPr>
      </w:pPr>
    </w:p>
    <w:p w14:paraId="2E61E1C0" w14:textId="77777777" w:rsidR="00294C02" w:rsidRDefault="00294C02" w:rsidP="008A5ED9">
      <w:pPr>
        <w:rPr>
          <w:rFonts w:ascii="T" w:hAnsi="T" w:cs="Simplified Arabic"/>
          <w:sz w:val="24"/>
          <w:szCs w:val="24"/>
          <w:shd w:val="clear" w:color="auto" w:fill="FFFFFF"/>
        </w:rPr>
      </w:pPr>
    </w:p>
    <w:p w14:paraId="606F6AF3" w14:textId="77777777" w:rsidR="00294C02" w:rsidRDefault="00294C02" w:rsidP="008A5ED9">
      <w:pPr>
        <w:rPr>
          <w:rFonts w:ascii="T" w:hAnsi="T" w:cs="Simplified Arabic"/>
          <w:sz w:val="24"/>
          <w:szCs w:val="24"/>
          <w:shd w:val="clear" w:color="auto" w:fill="FFFFFF"/>
        </w:rPr>
      </w:pPr>
    </w:p>
    <w:p w14:paraId="6814D87E" w14:textId="77777777" w:rsidR="00294C02" w:rsidRPr="005D59A7" w:rsidRDefault="00294C02" w:rsidP="008A5ED9">
      <w:pPr>
        <w:rPr>
          <w:rFonts w:ascii="T" w:hAnsi="T" w:cs="Simplified Arabic"/>
          <w:sz w:val="24"/>
          <w:szCs w:val="24"/>
          <w:shd w:val="clear" w:color="auto" w:fill="FFFFFF"/>
          <w:rtl/>
        </w:rPr>
      </w:pPr>
    </w:p>
    <w:p w14:paraId="6FD19A19" w14:textId="36F79A3C" w:rsidR="00E31E98" w:rsidRPr="005D59A7" w:rsidRDefault="00E31E98" w:rsidP="00057D71">
      <w:pPr>
        <w:pStyle w:val="Heading1"/>
        <w:bidi/>
        <w:spacing w:line="360" w:lineRule="auto"/>
        <w:ind w:firstLine="720"/>
        <w:jc w:val="center"/>
        <w:rPr>
          <w:rFonts w:ascii="T" w:hAnsi="T" w:cs="Simplified Arabic"/>
          <w:b/>
          <w:bCs/>
          <w:color w:val="auto"/>
          <w:sz w:val="28"/>
          <w:szCs w:val="28"/>
          <w:u w:val="single"/>
          <w:shd w:val="clear" w:color="auto" w:fill="FFFFFF"/>
          <w:rtl/>
        </w:rPr>
      </w:pPr>
      <w:bookmarkStart w:id="37" w:name="_Toc234607871"/>
      <w:r w:rsidRPr="005D59A7">
        <w:rPr>
          <w:rFonts w:ascii="T" w:hAnsi="T" w:cs="Simplified Arabic"/>
          <w:b/>
          <w:bCs/>
          <w:color w:val="auto"/>
          <w:sz w:val="28"/>
          <w:szCs w:val="28"/>
          <w:u w:val="single"/>
          <w:shd w:val="clear" w:color="auto" w:fill="FFFFFF"/>
          <w:rtl/>
        </w:rPr>
        <w:lastRenderedPageBreak/>
        <w:t>الفصل الثاني: الإطار النظري للدراسة (مراجعة الأدبيات ذات العلاقة)</w:t>
      </w:r>
      <w:bookmarkEnd w:id="37"/>
    </w:p>
    <w:p w14:paraId="5B276226" w14:textId="29304036" w:rsidR="008432FD" w:rsidRPr="005D59A7" w:rsidRDefault="00B554E2"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في هذا الفصل ستتم مناقشة الأدبيات ذات العلاقة بالرسالة وذلك من خلال مناقشة التاريخ العام للشراكات مع القطاع الخاص وأهميتها وتطورها عبر السنوات. ومن ثم مناقشة رؤية المملكة 2030 كانطلاقة حقيقية لإعادة الهيكلة المؤسسية في المملكة وتفعيل الشراكات مع القطاع الخاص. وأخيراً، التعريج على قطاع البيئة وما مر به من إعادة هيكلة وإنشاء جهات متخصصة حديثة وإطلاق الإستراتيجية الوطنية للبيئة. </w:t>
      </w:r>
    </w:p>
    <w:p w14:paraId="6D03A8A1" w14:textId="77777777" w:rsidR="00843CD6" w:rsidRPr="005D59A7" w:rsidRDefault="00843CD6" w:rsidP="00861DC2">
      <w:pPr>
        <w:pStyle w:val="Heading1"/>
        <w:bidi/>
        <w:spacing w:line="360" w:lineRule="auto"/>
        <w:ind w:firstLine="720"/>
        <w:rPr>
          <w:rFonts w:ascii="T" w:hAnsi="T" w:cs="Simplified Arabic"/>
          <w:b/>
          <w:bCs/>
          <w:color w:val="auto"/>
          <w:sz w:val="24"/>
          <w:szCs w:val="24"/>
          <w:u w:val="single"/>
          <w:shd w:val="clear" w:color="auto" w:fill="FFFFFF"/>
        </w:rPr>
      </w:pPr>
      <w:bookmarkStart w:id="38" w:name="_Toc234607872"/>
      <w:r w:rsidRPr="005D59A7">
        <w:rPr>
          <w:rFonts w:ascii="T" w:hAnsi="T" w:cs="Simplified Arabic"/>
          <w:b/>
          <w:bCs/>
          <w:color w:val="auto"/>
          <w:sz w:val="24"/>
          <w:szCs w:val="24"/>
          <w:u w:val="single"/>
          <w:shd w:val="clear" w:color="auto" w:fill="FFFFFF"/>
          <w:rtl/>
        </w:rPr>
        <w:t>منهجية مراجعة الأدبيات</w:t>
      </w:r>
      <w:bookmarkEnd w:id="38"/>
    </w:p>
    <w:p w14:paraId="40692BC3" w14:textId="77777777" w:rsidR="00843CD6" w:rsidRPr="005D59A7" w:rsidRDefault="00843CD6" w:rsidP="00861DC2">
      <w:pPr>
        <w:bidi/>
        <w:spacing w:line="360" w:lineRule="auto"/>
        <w:ind w:firstLine="720"/>
        <w:jc w:val="both"/>
        <w:rPr>
          <w:rFonts w:ascii="T" w:hAnsi="T" w:cs="Simplified Arabic"/>
          <w:sz w:val="24"/>
          <w:szCs w:val="24"/>
        </w:rPr>
      </w:pPr>
      <w:r w:rsidRPr="005D59A7">
        <w:rPr>
          <w:rFonts w:ascii="T" w:hAnsi="T" w:cs="Simplified Arabic"/>
          <w:sz w:val="24"/>
          <w:szCs w:val="24"/>
          <w:rtl/>
        </w:rPr>
        <w:t>تم اعتماد منهجية منظمة ومرنة لمراجعة الأدبيات في هذا الفصل، وذلك بهدف ضمان الشمولية والموضوعية والدقة في تغطية الدراسات السابقة ذات الصلة بموضوع البحث. اعتمدت المراجعة على أسس ومعايير واضحة يمكن تلخيصها في المحاور التالية: مصادر البيانات، الكلمات المفتاحية، الفترة الزمنية، معايير الاختيار والاستبعاد، تنظيم المراجعة، إجراءات تحليل المحتوى، حدود المراجعة، وإجراءات التحديث</w:t>
      </w:r>
      <w:r w:rsidRPr="005D59A7">
        <w:rPr>
          <w:rFonts w:ascii="T" w:hAnsi="T" w:cs="Simplified Arabic"/>
          <w:sz w:val="24"/>
          <w:szCs w:val="24"/>
        </w:rPr>
        <w:t>.</w:t>
      </w:r>
    </w:p>
    <w:p w14:paraId="1DC0BAAC" w14:textId="77777777" w:rsidR="00843CD6" w:rsidRPr="005D59A7" w:rsidRDefault="00843CD6" w:rsidP="00861DC2">
      <w:pPr>
        <w:shd w:val="clear" w:color="auto" w:fill="FFFFFF"/>
        <w:bidi/>
        <w:spacing w:before="480" w:after="240" w:line="360" w:lineRule="auto"/>
        <w:ind w:firstLine="720"/>
        <w:outlineLvl w:val="2"/>
        <w:rPr>
          <w:rFonts w:ascii="T" w:eastAsiaTheme="majorEastAsia" w:hAnsi="T" w:cs="Simplified Arabic"/>
          <w:b/>
          <w:bCs/>
          <w:sz w:val="24"/>
          <w:szCs w:val="24"/>
          <w:u w:val="single"/>
          <w:shd w:val="clear" w:color="auto" w:fill="FFFFFF"/>
        </w:rPr>
      </w:pPr>
      <w:bookmarkStart w:id="39" w:name="_Toc234607873"/>
      <w:r w:rsidRPr="005D59A7">
        <w:rPr>
          <w:rFonts w:ascii="T" w:eastAsiaTheme="majorEastAsia" w:hAnsi="T" w:cs="Simplified Arabic"/>
          <w:b/>
          <w:bCs/>
          <w:sz w:val="24"/>
          <w:szCs w:val="24"/>
          <w:u w:val="single"/>
          <w:shd w:val="clear" w:color="auto" w:fill="FFFFFF"/>
          <w:rtl/>
        </w:rPr>
        <w:t>أولاً: قواعد البيانات والمصادر</w:t>
      </w:r>
      <w:bookmarkEnd w:id="39"/>
    </w:p>
    <w:p w14:paraId="05C6225E"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تم الاعتماد على مجموعة متنوعة من قواعد البيانات والمصادر لضمان تغطية شاملة للأدبيات ذات الصلة. تم اختيار هذه المصادر بناءً على ثلاثة اعتبارات رئيسية: (1) تغطيتها الواسعة للمجالات ذات الصلة (الاقتصاد، الإدارة العامة، العلوم البيئية، الهندسة)، (2) مصداقيتها العلمية، (3) توفرها للباحث</w:t>
      </w:r>
      <w:r w:rsidRPr="005D59A7">
        <w:rPr>
          <w:rFonts w:ascii="T" w:hAnsi="T" w:cs="Simplified Arabic"/>
          <w:sz w:val="24"/>
          <w:szCs w:val="24"/>
        </w:rPr>
        <w:t>.</w:t>
      </w:r>
    </w:p>
    <w:p w14:paraId="1D21275F" w14:textId="77777777" w:rsidR="00843CD6" w:rsidRPr="005D59A7" w:rsidRDefault="00843CD6" w:rsidP="00861DC2">
      <w:pPr>
        <w:shd w:val="clear" w:color="auto" w:fill="FFFFFF"/>
        <w:bidi/>
        <w:spacing w:before="480" w:after="240" w:line="360" w:lineRule="auto"/>
        <w:ind w:firstLine="720"/>
        <w:outlineLvl w:val="2"/>
        <w:rPr>
          <w:rFonts w:ascii="T" w:eastAsiaTheme="majorEastAsia" w:hAnsi="T" w:cs="Simplified Arabic"/>
          <w:b/>
          <w:bCs/>
          <w:sz w:val="24"/>
          <w:szCs w:val="24"/>
          <w:u w:val="single"/>
          <w:shd w:val="clear" w:color="auto" w:fill="FFFFFF"/>
        </w:rPr>
      </w:pPr>
      <w:bookmarkStart w:id="40" w:name="_Toc234607874"/>
      <w:r w:rsidRPr="005D59A7">
        <w:rPr>
          <w:rFonts w:ascii="T" w:eastAsiaTheme="majorEastAsia" w:hAnsi="T" w:cs="Simplified Arabic"/>
          <w:b/>
          <w:bCs/>
          <w:sz w:val="24"/>
          <w:szCs w:val="24"/>
          <w:u w:val="single"/>
          <w:shd w:val="clear" w:color="auto" w:fill="FFFFFF"/>
          <w:rtl/>
        </w:rPr>
        <w:t>قواعد البيانات العلمية المحكمة</w:t>
      </w:r>
      <w:r w:rsidRPr="005D59A7">
        <w:rPr>
          <w:rFonts w:ascii="T" w:eastAsiaTheme="majorEastAsia" w:hAnsi="T" w:cs="Simplified Arabic"/>
          <w:b/>
          <w:bCs/>
          <w:sz w:val="24"/>
          <w:szCs w:val="24"/>
          <w:u w:val="single"/>
          <w:shd w:val="clear" w:color="auto" w:fill="FFFFFF"/>
        </w:rPr>
        <w:t>:</w:t>
      </w:r>
      <w:bookmarkEnd w:id="40"/>
    </w:p>
    <w:tbl>
      <w:tblPr>
        <w:tblStyle w:val="TableGrid"/>
        <w:bidiVisual/>
        <w:tblW w:w="0" w:type="auto"/>
        <w:tblLook w:val="04A0" w:firstRow="1" w:lastRow="0" w:firstColumn="1" w:lastColumn="0" w:noHBand="0" w:noVBand="1"/>
      </w:tblPr>
      <w:tblGrid>
        <w:gridCol w:w="2195"/>
        <w:gridCol w:w="1645"/>
        <w:gridCol w:w="4456"/>
      </w:tblGrid>
      <w:tr w:rsidR="0048002A" w:rsidRPr="005D59A7" w14:paraId="4D21D4C6" w14:textId="77777777" w:rsidTr="00970F45">
        <w:tc>
          <w:tcPr>
            <w:tcW w:w="0" w:type="auto"/>
            <w:hideMark/>
          </w:tcPr>
          <w:p w14:paraId="1BF03C55"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قاعدة البيانات</w:t>
            </w:r>
          </w:p>
        </w:tc>
        <w:tc>
          <w:tcPr>
            <w:tcW w:w="0" w:type="auto"/>
            <w:hideMark/>
          </w:tcPr>
          <w:p w14:paraId="6A475408" w14:textId="77777777" w:rsidR="00843CD6" w:rsidRPr="005D59A7" w:rsidRDefault="00843CD6" w:rsidP="008A5ED9">
            <w:pPr>
              <w:bidi/>
              <w:spacing w:after="0" w:line="240" w:lineRule="auto"/>
              <w:rPr>
                <w:rFonts w:ascii="T" w:hAnsi="T" w:cs="Simplified Arabic"/>
                <w:sz w:val="24"/>
                <w:szCs w:val="24"/>
              </w:rPr>
            </w:pPr>
            <w:r w:rsidRPr="005D59A7">
              <w:rPr>
                <w:rFonts w:ascii="T" w:hAnsi="T" w:cs="Simplified Arabic"/>
                <w:sz w:val="24"/>
                <w:szCs w:val="24"/>
                <w:rtl/>
              </w:rPr>
              <w:t>مجال التغطية</w:t>
            </w:r>
          </w:p>
        </w:tc>
        <w:tc>
          <w:tcPr>
            <w:tcW w:w="0" w:type="auto"/>
            <w:hideMark/>
          </w:tcPr>
          <w:p w14:paraId="4D6F97DD" w14:textId="77777777" w:rsidR="00843CD6" w:rsidRPr="005D59A7" w:rsidRDefault="00843CD6" w:rsidP="008A5ED9">
            <w:pPr>
              <w:bidi/>
              <w:spacing w:after="0" w:line="240" w:lineRule="auto"/>
              <w:rPr>
                <w:rFonts w:ascii="T" w:hAnsi="T" w:cs="Simplified Arabic"/>
                <w:sz w:val="24"/>
                <w:szCs w:val="24"/>
              </w:rPr>
            </w:pPr>
            <w:r w:rsidRPr="005D59A7">
              <w:rPr>
                <w:rFonts w:ascii="T" w:hAnsi="T" w:cs="Simplified Arabic"/>
                <w:sz w:val="24"/>
                <w:szCs w:val="24"/>
                <w:rtl/>
              </w:rPr>
              <w:t>سبب الاختيار</w:t>
            </w:r>
          </w:p>
        </w:tc>
      </w:tr>
      <w:tr w:rsidR="0048002A" w:rsidRPr="005D59A7" w14:paraId="3AB60E17" w14:textId="77777777" w:rsidTr="00970F45">
        <w:tc>
          <w:tcPr>
            <w:tcW w:w="0" w:type="auto"/>
            <w:hideMark/>
          </w:tcPr>
          <w:p w14:paraId="25EC8174"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Scopus</w:t>
            </w:r>
          </w:p>
        </w:tc>
        <w:tc>
          <w:tcPr>
            <w:tcW w:w="0" w:type="auto"/>
            <w:hideMark/>
          </w:tcPr>
          <w:p w14:paraId="7D2F0A97"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متعدد التخصصات</w:t>
            </w:r>
          </w:p>
        </w:tc>
        <w:tc>
          <w:tcPr>
            <w:tcW w:w="0" w:type="auto"/>
            <w:hideMark/>
          </w:tcPr>
          <w:p w14:paraId="10B63FB0"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أكبر قاعدة بيانات للدراسات المحكمة، تغطي أكثر من 22 ألف دورية علمية</w:t>
            </w:r>
          </w:p>
        </w:tc>
      </w:tr>
      <w:tr w:rsidR="0048002A" w:rsidRPr="005D59A7" w14:paraId="65D3D9B5" w14:textId="77777777" w:rsidTr="00970F45">
        <w:tc>
          <w:tcPr>
            <w:tcW w:w="0" w:type="auto"/>
            <w:hideMark/>
          </w:tcPr>
          <w:p w14:paraId="7547694F"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Web of Science (</w:t>
            </w:r>
            <w:proofErr w:type="spellStart"/>
            <w:r w:rsidRPr="005D59A7">
              <w:rPr>
                <w:rFonts w:ascii="T" w:hAnsi="T" w:cs="Simplified Arabic"/>
                <w:sz w:val="24"/>
                <w:szCs w:val="24"/>
              </w:rPr>
              <w:t>WoS</w:t>
            </w:r>
            <w:proofErr w:type="spellEnd"/>
            <w:r w:rsidRPr="005D59A7">
              <w:rPr>
                <w:rFonts w:ascii="T" w:hAnsi="T" w:cs="Simplified Arabic"/>
                <w:sz w:val="24"/>
                <w:szCs w:val="24"/>
              </w:rPr>
              <w:t>)</w:t>
            </w:r>
          </w:p>
        </w:tc>
        <w:tc>
          <w:tcPr>
            <w:tcW w:w="0" w:type="auto"/>
            <w:hideMark/>
          </w:tcPr>
          <w:p w14:paraId="4F9FFD8D"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متعدد التخصصات</w:t>
            </w:r>
          </w:p>
        </w:tc>
        <w:tc>
          <w:tcPr>
            <w:tcW w:w="0" w:type="auto"/>
            <w:hideMark/>
          </w:tcPr>
          <w:p w14:paraId="47CEDBD2"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 المجلات العلمية عالية التأثير</w:t>
            </w:r>
            <w:r w:rsidRPr="005D59A7">
              <w:rPr>
                <w:rFonts w:ascii="T" w:hAnsi="T" w:cs="Simplified Arabic"/>
                <w:sz w:val="24"/>
                <w:szCs w:val="24"/>
              </w:rPr>
              <w:t xml:space="preserve"> (Core Collection)</w:t>
            </w:r>
          </w:p>
        </w:tc>
      </w:tr>
      <w:tr w:rsidR="0048002A" w:rsidRPr="005D59A7" w14:paraId="3E50181C" w14:textId="77777777" w:rsidTr="00970F45">
        <w:tc>
          <w:tcPr>
            <w:tcW w:w="0" w:type="auto"/>
            <w:hideMark/>
          </w:tcPr>
          <w:p w14:paraId="0B53ED78"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Google Scholar</w:t>
            </w:r>
          </w:p>
        </w:tc>
        <w:tc>
          <w:tcPr>
            <w:tcW w:w="0" w:type="auto"/>
            <w:hideMark/>
          </w:tcPr>
          <w:p w14:paraId="2DC9B99C"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متعدد التخصصات</w:t>
            </w:r>
          </w:p>
        </w:tc>
        <w:tc>
          <w:tcPr>
            <w:tcW w:w="0" w:type="auto"/>
            <w:hideMark/>
          </w:tcPr>
          <w:p w14:paraId="2EE2652C"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تغطية واسعة للدراسات الأكاديمية والتقارير والكتب</w:t>
            </w:r>
          </w:p>
        </w:tc>
      </w:tr>
      <w:tr w:rsidR="0048002A" w:rsidRPr="005D59A7" w14:paraId="15CB5445" w14:textId="77777777" w:rsidTr="00970F45">
        <w:tc>
          <w:tcPr>
            <w:tcW w:w="0" w:type="auto"/>
            <w:hideMark/>
          </w:tcPr>
          <w:p w14:paraId="21B9BCD2"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ScienceDirect</w:t>
            </w:r>
          </w:p>
        </w:tc>
        <w:tc>
          <w:tcPr>
            <w:tcW w:w="0" w:type="auto"/>
            <w:hideMark/>
          </w:tcPr>
          <w:p w14:paraId="6D8D852D"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العلوم والطب والهندسة</w:t>
            </w:r>
          </w:p>
        </w:tc>
        <w:tc>
          <w:tcPr>
            <w:tcW w:w="0" w:type="auto"/>
            <w:hideMark/>
          </w:tcPr>
          <w:p w14:paraId="693AF4B9"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 منشورات</w:t>
            </w:r>
            <w:r w:rsidRPr="005D59A7">
              <w:rPr>
                <w:rFonts w:ascii="T" w:hAnsi="T" w:cs="Simplified Arabic"/>
                <w:sz w:val="24"/>
                <w:szCs w:val="24"/>
              </w:rPr>
              <w:t xml:space="preserve"> Elsevier </w:t>
            </w:r>
            <w:r w:rsidRPr="005D59A7">
              <w:rPr>
                <w:rFonts w:ascii="T" w:hAnsi="T" w:cs="Simplified Arabic"/>
                <w:sz w:val="24"/>
                <w:szCs w:val="24"/>
                <w:rtl/>
              </w:rPr>
              <w:t>في مجالات البيئة والإدارة</w:t>
            </w:r>
          </w:p>
        </w:tc>
      </w:tr>
    </w:tbl>
    <w:p w14:paraId="346CA698" w14:textId="77777777" w:rsidR="00843CD6" w:rsidRPr="005D59A7" w:rsidRDefault="00843CD6" w:rsidP="00861DC2">
      <w:pPr>
        <w:shd w:val="clear" w:color="auto" w:fill="FFFFFF"/>
        <w:bidi/>
        <w:spacing w:before="480" w:after="240" w:line="360" w:lineRule="auto"/>
        <w:ind w:firstLine="720"/>
        <w:outlineLvl w:val="2"/>
        <w:rPr>
          <w:rFonts w:ascii="T" w:eastAsiaTheme="majorEastAsia" w:hAnsi="T" w:cs="Simplified Arabic"/>
          <w:b/>
          <w:bCs/>
          <w:sz w:val="24"/>
          <w:szCs w:val="24"/>
          <w:u w:val="single"/>
          <w:shd w:val="clear" w:color="auto" w:fill="FFFFFF"/>
        </w:rPr>
      </w:pPr>
      <w:bookmarkStart w:id="41" w:name="_Toc234607875"/>
      <w:r w:rsidRPr="005D59A7">
        <w:rPr>
          <w:rFonts w:ascii="T" w:eastAsiaTheme="majorEastAsia" w:hAnsi="T" w:cs="Simplified Arabic"/>
          <w:b/>
          <w:bCs/>
          <w:sz w:val="24"/>
          <w:szCs w:val="24"/>
          <w:u w:val="single"/>
          <w:shd w:val="clear" w:color="auto" w:fill="FFFFFF"/>
          <w:rtl/>
        </w:rPr>
        <w:lastRenderedPageBreak/>
        <w:t>المصادر الرسمية والتقارير</w:t>
      </w:r>
      <w:r w:rsidRPr="005D59A7">
        <w:rPr>
          <w:rFonts w:ascii="T" w:eastAsiaTheme="majorEastAsia" w:hAnsi="T" w:cs="Simplified Arabic"/>
          <w:b/>
          <w:bCs/>
          <w:sz w:val="24"/>
          <w:szCs w:val="24"/>
          <w:u w:val="single"/>
          <w:shd w:val="clear" w:color="auto" w:fill="FFFFFF"/>
        </w:rPr>
        <w:t>:</w:t>
      </w:r>
      <w:bookmarkEnd w:id="41"/>
    </w:p>
    <w:p w14:paraId="473FF2A7"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التقارير الحكومية السعودية</w:t>
      </w:r>
      <w:r w:rsidRPr="005D59A7">
        <w:rPr>
          <w:rFonts w:ascii="T" w:hAnsi="T" w:cs="Simplified Arabic"/>
          <w:sz w:val="24"/>
          <w:szCs w:val="24"/>
        </w:rPr>
        <w:t>: </w:t>
      </w:r>
      <w:r w:rsidRPr="005D59A7">
        <w:rPr>
          <w:rFonts w:ascii="T" w:hAnsi="T" w:cs="Simplified Arabic"/>
          <w:sz w:val="24"/>
          <w:szCs w:val="24"/>
          <w:rtl/>
        </w:rPr>
        <w:t>وزارة البيئة والمياه والزراعة</w:t>
      </w:r>
      <w:r w:rsidRPr="005D59A7">
        <w:rPr>
          <w:rFonts w:ascii="T" w:hAnsi="T" w:cs="Simplified Arabic"/>
          <w:sz w:val="24"/>
          <w:szCs w:val="24"/>
        </w:rPr>
        <w:t xml:space="preserve"> (MEWA)</w:t>
      </w:r>
      <w:r w:rsidRPr="005D59A7">
        <w:rPr>
          <w:rFonts w:ascii="T" w:hAnsi="T" w:cs="Simplified Arabic"/>
          <w:sz w:val="24"/>
          <w:szCs w:val="24"/>
          <w:rtl/>
        </w:rPr>
        <w:t>، المركز الوطني للتخصيص</w:t>
      </w:r>
      <w:r w:rsidRPr="005D59A7">
        <w:rPr>
          <w:rFonts w:ascii="T" w:hAnsi="T" w:cs="Simplified Arabic"/>
          <w:sz w:val="24"/>
          <w:szCs w:val="24"/>
        </w:rPr>
        <w:t xml:space="preserve"> (NCP)</w:t>
      </w:r>
      <w:r w:rsidRPr="005D59A7">
        <w:rPr>
          <w:rFonts w:ascii="T" w:hAnsi="T" w:cs="Simplified Arabic"/>
          <w:sz w:val="24"/>
          <w:szCs w:val="24"/>
          <w:rtl/>
        </w:rPr>
        <w:t>، المركز الوطني للرقابة على الالتزام البيئي</w:t>
      </w:r>
      <w:r w:rsidRPr="005D59A7">
        <w:rPr>
          <w:rFonts w:ascii="T" w:hAnsi="T" w:cs="Simplified Arabic"/>
          <w:sz w:val="24"/>
          <w:szCs w:val="24"/>
        </w:rPr>
        <w:t xml:space="preserve"> (NCEC)</w:t>
      </w:r>
      <w:r w:rsidRPr="005D59A7">
        <w:rPr>
          <w:rFonts w:ascii="T" w:hAnsi="T" w:cs="Simplified Arabic"/>
          <w:sz w:val="24"/>
          <w:szCs w:val="24"/>
          <w:rtl/>
        </w:rPr>
        <w:t>، صندوق البيئة</w:t>
      </w:r>
      <w:r w:rsidRPr="005D59A7">
        <w:rPr>
          <w:rFonts w:ascii="T" w:hAnsi="T" w:cs="Simplified Arabic"/>
          <w:sz w:val="24"/>
          <w:szCs w:val="24"/>
        </w:rPr>
        <w:t xml:space="preserve"> (EF).</w:t>
      </w:r>
    </w:p>
    <w:p w14:paraId="7B4CDDE9"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التقارير الدولية</w:t>
      </w:r>
      <w:r w:rsidRPr="005D59A7">
        <w:rPr>
          <w:rFonts w:ascii="T" w:hAnsi="T" w:cs="Simplified Arabic"/>
          <w:sz w:val="24"/>
          <w:szCs w:val="24"/>
        </w:rPr>
        <w:t>: </w:t>
      </w:r>
      <w:r w:rsidRPr="005D59A7">
        <w:rPr>
          <w:rFonts w:ascii="T" w:hAnsi="T" w:cs="Simplified Arabic"/>
          <w:sz w:val="24"/>
          <w:szCs w:val="24"/>
          <w:rtl/>
        </w:rPr>
        <w:t>البنك الدولي</w:t>
      </w:r>
      <w:r w:rsidRPr="005D59A7">
        <w:rPr>
          <w:rFonts w:ascii="T" w:hAnsi="T" w:cs="Simplified Arabic"/>
          <w:sz w:val="24"/>
          <w:szCs w:val="24"/>
        </w:rPr>
        <w:t xml:space="preserve"> (World Bank)</w:t>
      </w:r>
      <w:r w:rsidRPr="005D59A7">
        <w:rPr>
          <w:rFonts w:ascii="T" w:hAnsi="T" w:cs="Simplified Arabic"/>
          <w:sz w:val="24"/>
          <w:szCs w:val="24"/>
          <w:rtl/>
        </w:rPr>
        <w:t>، منظمة التعاون الاقتصادي والتنمية</w:t>
      </w:r>
      <w:r w:rsidRPr="005D59A7">
        <w:rPr>
          <w:rFonts w:ascii="T" w:hAnsi="T" w:cs="Simplified Arabic"/>
          <w:sz w:val="24"/>
          <w:szCs w:val="24"/>
        </w:rPr>
        <w:t xml:space="preserve"> (OECD)</w:t>
      </w:r>
      <w:r w:rsidRPr="005D59A7">
        <w:rPr>
          <w:rFonts w:ascii="T" w:hAnsi="T" w:cs="Simplified Arabic"/>
          <w:sz w:val="24"/>
          <w:szCs w:val="24"/>
          <w:rtl/>
        </w:rPr>
        <w:t>، الأمم المتحدة</w:t>
      </w:r>
      <w:r w:rsidRPr="005D59A7">
        <w:rPr>
          <w:rFonts w:ascii="T" w:hAnsi="T" w:cs="Simplified Arabic"/>
          <w:sz w:val="24"/>
          <w:szCs w:val="24"/>
        </w:rPr>
        <w:t xml:space="preserve"> (UN)</w:t>
      </w:r>
      <w:r w:rsidRPr="005D59A7">
        <w:rPr>
          <w:rFonts w:ascii="T" w:hAnsi="T" w:cs="Simplified Arabic"/>
          <w:sz w:val="24"/>
          <w:szCs w:val="24"/>
          <w:rtl/>
        </w:rPr>
        <w:t>، منظمة الصحة العالمية</w:t>
      </w:r>
      <w:r w:rsidRPr="005D59A7">
        <w:rPr>
          <w:rFonts w:ascii="T" w:hAnsi="T" w:cs="Simplified Arabic"/>
          <w:sz w:val="24"/>
          <w:szCs w:val="24"/>
        </w:rPr>
        <w:t xml:space="preserve"> (WHO)</w:t>
      </w:r>
      <w:r w:rsidRPr="005D59A7">
        <w:rPr>
          <w:rFonts w:ascii="T" w:hAnsi="T" w:cs="Simplified Arabic"/>
          <w:sz w:val="24"/>
          <w:szCs w:val="24"/>
          <w:rtl/>
        </w:rPr>
        <w:t>، الاتحاد الأوروبي</w:t>
      </w:r>
      <w:r w:rsidRPr="005D59A7">
        <w:rPr>
          <w:rFonts w:ascii="T" w:hAnsi="T" w:cs="Simplified Arabic"/>
          <w:sz w:val="24"/>
          <w:szCs w:val="24"/>
        </w:rPr>
        <w:t xml:space="preserve"> (EU).</w:t>
      </w:r>
    </w:p>
    <w:p w14:paraId="4EEA2D67"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الكتب والمراجع العلمية</w:t>
      </w:r>
      <w:r w:rsidRPr="005D59A7">
        <w:rPr>
          <w:rFonts w:ascii="T" w:hAnsi="T" w:cs="Simplified Arabic"/>
          <w:sz w:val="24"/>
          <w:szCs w:val="24"/>
        </w:rPr>
        <w:t>: </w:t>
      </w:r>
      <w:r w:rsidRPr="005D59A7">
        <w:rPr>
          <w:rFonts w:ascii="T" w:hAnsi="T" w:cs="Simplified Arabic"/>
          <w:sz w:val="24"/>
          <w:szCs w:val="24"/>
          <w:rtl/>
        </w:rPr>
        <w:t>الصادرة عن دور نشر أكاديمية موثوقة مثل</w:t>
      </w:r>
      <w:r w:rsidRPr="005D59A7">
        <w:rPr>
          <w:rFonts w:ascii="T" w:hAnsi="T" w:cs="Simplified Arabic"/>
          <w:sz w:val="24"/>
          <w:szCs w:val="24"/>
        </w:rPr>
        <w:t xml:space="preserve"> Springer</w:t>
      </w:r>
      <w:r w:rsidRPr="005D59A7">
        <w:rPr>
          <w:rFonts w:ascii="T" w:hAnsi="T" w:cs="Simplified Arabic"/>
          <w:sz w:val="24"/>
          <w:szCs w:val="24"/>
          <w:rtl/>
        </w:rPr>
        <w:t xml:space="preserve">، </w:t>
      </w:r>
      <w:r w:rsidRPr="005D59A7">
        <w:rPr>
          <w:rFonts w:ascii="T" w:hAnsi="T" w:cs="Simplified Arabic"/>
          <w:sz w:val="24"/>
          <w:szCs w:val="24"/>
        </w:rPr>
        <w:t>Elsevier</w:t>
      </w:r>
      <w:r w:rsidRPr="005D59A7">
        <w:rPr>
          <w:rFonts w:ascii="T" w:hAnsi="T" w:cs="Simplified Arabic"/>
          <w:sz w:val="24"/>
          <w:szCs w:val="24"/>
          <w:rtl/>
        </w:rPr>
        <w:t xml:space="preserve">، </w:t>
      </w:r>
      <w:r w:rsidRPr="005D59A7">
        <w:rPr>
          <w:rFonts w:ascii="T" w:hAnsi="T" w:cs="Simplified Arabic"/>
          <w:sz w:val="24"/>
          <w:szCs w:val="24"/>
        </w:rPr>
        <w:t>Routledge.</w:t>
      </w:r>
    </w:p>
    <w:p w14:paraId="08DCA8B4"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أطروحات الدكتوراه والماجستير</w:t>
      </w:r>
      <w:r w:rsidRPr="005D59A7">
        <w:rPr>
          <w:rFonts w:ascii="T" w:hAnsi="T" w:cs="Simplified Arabic"/>
          <w:sz w:val="24"/>
          <w:szCs w:val="24"/>
        </w:rPr>
        <w:t>: </w:t>
      </w:r>
      <w:r w:rsidRPr="005D59A7">
        <w:rPr>
          <w:rFonts w:ascii="T" w:hAnsi="T" w:cs="Simplified Arabic"/>
          <w:sz w:val="24"/>
          <w:szCs w:val="24"/>
          <w:rtl/>
        </w:rPr>
        <w:t>من الجامعات السعودية والعربية والعالمية، عبر قواعد بيانات مثل</w:t>
      </w:r>
      <w:r w:rsidRPr="005D59A7">
        <w:rPr>
          <w:rFonts w:ascii="T" w:hAnsi="T" w:cs="Simplified Arabic"/>
          <w:sz w:val="24"/>
          <w:szCs w:val="24"/>
        </w:rPr>
        <w:t xml:space="preserve"> ProQuest </w:t>
      </w:r>
      <w:r w:rsidRPr="005D59A7">
        <w:rPr>
          <w:rFonts w:ascii="T" w:hAnsi="T" w:cs="Simplified Arabic"/>
          <w:sz w:val="24"/>
          <w:szCs w:val="24"/>
          <w:rtl/>
        </w:rPr>
        <w:t>و</w:t>
      </w:r>
      <w:r w:rsidRPr="005D59A7">
        <w:rPr>
          <w:rFonts w:ascii="T" w:hAnsi="T" w:cs="Simplified Arabic"/>
          <w:sz w:val="24"/>
          <w:szCs w:val="24"/>
        </w:rPr>
        <w:t>DAR.</w:t>
      </w:r>
    </w:p>
    <w:p w14:paraId="1440C488" w14:textId="77777777" w:rsidR="00843CD6" w:rsidRPr="005D59A7" w:rsidRDefault="00843CD6" w:rsidP="00861DC2">
      <w:pPr>
        <w:shd w:val="clear" w:color="auto" w:fill="FFFFFF"/>
        <w:bidi/>
        <w:spacing w:before="480" w:after="240" w:line="360" w:lineRule="auto"/>
        <w:ind w:firstLine="720"/>
        <w:outlineLvl w:val="2"/>
        <w:rPr>
          <w:rFonts w:ascii="T" w:eastAsiaTheme="majorEastAsia" w:hAnsi="T" w:cs="Simplified Arabic"/>
          <w:b/>
          <w:bCs/>
          <w:sz w:val="24"/>
          <w:szCs w:val="24"/>
          <w:u w:val="single"/>
          <w:shd w:val="clear" w:color="auto" w:fill="FFFFFF"/>
        </w:rPr>
      </w:pPr>
      <w:bookmarkStart w:id="42" w:name="_Toc234607876"/>
      <w:r w:rsidRPr="005D59A7">
        <w:rPr>
          <w:rFonts w:ascii="T" w:eastAsiaTheme="majorEastAsia" w:hAnsi="T" w:cs="Simplified Arabic"/>
          <w:b/>
          <w:bCs/>
          <w:sz w:val="24"/>
          <w:szCs w:val="24"/>
          <w:u w:val="single"/>
          <w:shd w:val="clear" w:color="auto" w:fill="FFFFFF"/>
          <w:rtl/>
        </w:rPr>
        <w:t>ثانياً: الكلمات المفتاحية</w:t>
      </w:r>
      <w:bookmarkEnd w:id="42"/>
    </w:p>
    <w:p w14:paraId="13C03F4B"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تم استخدام مجموعة متكاملة من الكلمات المفتاحية باللغتين العربية والإنجليزية، وتم دمجها باستخدام أدوات البحث المنطقية</w:t>
      </w:r>
      <w:r w:rsidRPr="005D59A7">
        <w:rPr>
          <w:rFonts w:ascii="T" w:hAnsi="T" w:cs="Simplified Arabic"/>
          <w:sz w:val="24"/>
          <w:szCs w:val="24"/>
        </w:rPr>
        <w:t xml:space="preserve"> (Boolean Operators) </w:t>
      </w:r>
      <w:r w:rsidRPr="005D59A7">
        <w:rPr>
          <w:rFonts w:ascii="T" w:hAnsi="T" w:cs="Simplified Arabic"/>
          <w:sz w:val="24"/>
          <w:szCs w:val="24"/>
          <w:rtl/>
        </w:rPr>
        <w:t>مثل </w:t>
      </w:r>
      <w:r w:rsidRPr="005D59A7">
        <w:rPr>
          <w:rFonts w:ascii="T" w:hAnsi="T" w:cs="Simplified Arabic"/>
          <w:sz w:val="24"/>
          <w:szCs w:val="24"/>
        </w:rPr>
        <w:t>AND</w:t>
      </w:r>
      <w:r w:rsidRPr="005D59A7">
        <w:rPr>
          <w:rFonts w:ascii="T" w:hAnsi="T" w:cs="Simplified Arabic"/>
          <w:sz w:val="24"/>
          <w:szCs w:val="24"/>
          <w:rtl/>
        </w:rPr>
        <w:t>، </w:t>
      </w:r>
      <w:r w:rsidRPr="005D59A7">
        <w:rPr>
          <w:rFonts w:ascii="T" w:hAnsi="T" w:cs="Simplified Arabic"/>
          <w:sz w:val="24"/>
          <w:szCs w:val="24"/>
        </w:rPr>
        <w:t>OR</w:t>
      </w:r>
      <w:r w:rsidRPr="005D59A7">
        <w:rPr>
          <w:rFonts w:ascii="T" w:hAnsi="T" w:cs="Simplified Arabic"/>
          <w:sz w:val="24"/>
          <w:szCs w:val="24"/>
          <w:rtl/>
        </w:rPr>
        <w:t>، </w:t>
      </w:r>
      <w:r w:rsidRPr="005D59A7">
        <w:rPr>
          <w:rFonts w:ascii="T" w:hAnsi="T" w:cs="Simplified Arabic"/>
          <w:sz w:val="24"/>
          <w:szCs w:val="24"/>
        </w:rPr>
        <w:t>NOT </w:t>
      </w:r>
      <w:r w:rsidRPr="005D59A7">
        <w:rPr>
          <w:rFonts w:ascii="T" w:hAnsi="T" w:cs="Simplified Arabic"/>
          <w:sz w:val="24"/>
          <w:szCs w:val="24"/>
          <w:rtl/>
        </w:rPr>
        <w:t>لضمان دقة نتائج البحث. كلمات المفتاحية إلى أربع مجموعات رئيسية:</w:t>
      </w:r>
    </w:p>
    <w:p w14:paraId="5148E854"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 xml:space="preserve"> المجموعة الأولى: مفاهيم الشراكة الأساسية</w:t>
      </w:r>
    </w:p>
    <w:tbl>
      <w:tblPr>
        <w:tblStyle w:val="TableGrid"/>
        <w:bidiVisual/>
        <w:tblW w:w="8650" w:type="dxa"/>
        <w:tblLook w:val="04A0" w:firstRow="1" w:lastRow="0" w:firstColumn="1" w:lastColumn="0" w:noHBand="0" w:noVBand="1"/>
      </w:tblPr>
      <w:tblGrid>
        <w:gridCol w:w="916"/>
        <w:gridCol w:w="7734"/>
      </w:tblGrid>
      <w:tr w:rsidR="0048002A" w:rsidRPr="005D59A7" w14:paraId="0A770DFA" w14:textId="77777777" w:rsidTr="00970F45">
        <w:trPr>
          <w:trHeight w:val="517"/>
        </w:trPr>
        <w:tc>
          <w:tcPr>
            <w:tcW w:w="0" w:type="auto"/>
            <w:hideMark/>
          </w:tcPr>
          <w:p w14:paraId="7505AE5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اللغة</w:t>
            </w:r>
          </w:p>
        </w:tc>
        <w:tc>
          <w:tcPr>
            <w:tcW w:w="0" w:type="auto"/>
            <w:hideMark/>
          </w:tcPr>
          <w:p w14:paraId="75FD1E0F"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الكلمات المفتاحية</w:t>
            </w:r>
          </w:p>
        </w:tc>
      </w:tr>
      <w:tr w:rsidR="0048002A" w:rsidRPr="005D59A7" w14:paraId="58A3D9AD" w14:textId="77777777" w:rsidTr="00970F45">
        <w:trPr>
          <w:trHeight w:val="517"/>
        </w:trPr>
        <w:tc>
          <w:tcPr>
            <w:tcW w:w="0" w:type="auto"/>
            <w:hideMark/>
          </w:tcPr>
          <w:p w14:paraId="145FF24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الإنجليزية</w:t>
            </w:r>
          </w:p>
        </w:tc>
        <w:tc>
          <w:tcPr>
            <w:tcW w:w="0" w:type="auto"/>
            <w:hideMark/>
          </w:tcPr>
          <w:p w14:paraId="3FDE926B"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 xml:space="preserve">"Public-Private </w:t>
            </w:r>
            <w:proofErr w:type="gramStart"/>
            <w:r w:rsidRPr="005D59A7">
              <w:rPr>
                <w:rFonts w:ascii="T" w:hAnsi="T" w:cs="Simplified Arabic"/>
                <w:sz w:val="24"/>
                <w:szCs w:val="24"/>
              </w:rPr>
              <w:t>Partnerships"</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w:t>
            </w:r>
            <w:proofErr w:type="gramStart"/>
            <w:r w:rsidRPr="005D59A7">
              <w:rPr>
                <w:rFonts w:ascii="T" w:hAnsi="T" w:cs="Simplified Arabic"/>
                <w:sz w:val="24"/>
                <w:szCs w:val="24"/>
              </w:rPr>
              <w:t>PPP"</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w:t>
            </w:r>
            <w:proofErr w:type="gramStart"/>
            <w:r w:rsidRPr="005D59A7">
              <w:rPr>
                <w:rFonts w:ascii="T" w:hAnsi="T" w:cs="Simplified Arabic"/>
                <w:sz w:val="24"/>
                <w:szCs w:val="24"/>
              </w:rPr>
              <w:t>P3"</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"Private finance </w:t>
            </w:r>
            <w:proofErr w:type="gramStart"/>
            <w:r w:rsidRPr="005D59A7">
              <w:rPr>
                <w:rFonts w:ascii="T" w:hAnsi="T" w:cs="Simplified Arabic"/>
                <w:sz w:val="24"/>
                <w:szCs w:val="24"/>
              </w:rPr>
              <w:t>initiative"</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"PFI"</w:t>
            </w:r>
          </w:p>
        </w:tc>
      </w:tr>
      <w:tr w:rsidR="0048002A" w:rsidRPr="005D59A7" w14:paraId="7E9977A6" w14:textId="77777777" w:rsidTr="00970F45">
        <w:trPr>
          <w:trHeight w:val="517"/>
        </w:trPr>
        <w:tc>
          <w:tcPr>
            <w:tcW w:w="0" w:type="auto"/>
            <w:hideMark/>
          </w:tcPr>
          <w:p w14:paraId="20E2B4A4"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العربية</w:t>
            </w:r>
          </w:p>
        </w:tc>
        <w:tc>
          <w:tcPr>
            <w:tcW w:w="0" w:type="auto"/>
            <w:hideMark/>
          </w:tcPr>
          <w:p w14:paraId="3438B58B"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t>
            </w:r>
            <w:proofErr w:type="gramStart"/>
            <w:r w:rsidRPr="005D59A7">
              <w:rPr>
                <w:rFonts w:ascii="T" w:hAnsi="T" w:cs="Simplified Arabic"/>
                <w:sz w:val="24"/>
                <w:szCs w:val="24"/>
                <w:rtl/>
              </w:rPr>
              <w:t>الشراكة بين القطاعين العام والخاص"،</w:t>
            </w:r>
            <w:proofErr w:type="gramEnd"/>
            <w:r w:rsidRPr="005D59A7">
              <w:rPr>
                <w:rFonts w:ascii="T" w:hAnsi="T" w:cs="Simplified Arabic"/>
                <w:sz w:val="24"/>
                <w:szCs w:val="24"/>
                <w:rtl/>
              </w:rPr>
              <w:t xml:space="preserve"> "</w:t>
            </w:r>
            <w:proofErr w:type="gramStart"/>
            <w:r w:rsidRPr="005D59A7">
              <w:rPr>
                <w:rFonts w:ascii="T" w:hAnsi="T" w:cs="Simplified Arabic"/>
                <w:sz w:val="24"/>
                <w:szCs w:val="24"/>
                <w:rtl/>
              </w:rPr>
              <w:t>المشاركة مع القطاع الخاص"،</w:t>
            </w:r>
            <w:proofErr w:type="gramEnd"/>
            <w:r w:rsidRPr="005D59A7">
              <w:rPr>
                <w:rFonts w:ascii="T" w:hAnsi="T" w:cs="Simplified Arabic"/>
                <w:sz w:val="24"/>
                <w:szCs w:val="24"/>
                <w:rtl/>
              </w:rPr>
              <w:t xml:space="preserve"> "مبادرة التمويل الخاص</w:t>
            </w:r>
            <w:r w:rsidRPr="005D59A7">
              <w:rPr>
                <w:rFonts w:ascii="T" w:hAnsi="T" w:cs="Simplified Arabic"/>
                <w:sz w:val="24"/>
                <w:szCs w:val="24"/>
              </w:rPr>
              <w:t>"</w:t>
            </w:r>
          </w:p>
        </w:tc>
      </w:tr>
    </w:tbl>
    <w:p w14:paraId="6090198F"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المجموعة الثانية: مفاهيم الحوكمة والأداء</w:t>
      </w:r>
    </w:p>
    <w:tbl>
      <w:tblPr>
        <w:tblStyle w:val="TableGrid"/>
        <w:bidiVisual/>
        <w:tblW w:w="8475" w:type="dxa"/>
        <w:tblLook w:val="04A0" w:firstRow="1" w:lastRow="0" w:firstColumn="1" w:lastColumn="0" w:noHBand="0" w:noVBand="1"/>
      </w:tblPr>
      <w:tblGrid>
        <w:gridCol w:w="916"/>
        <w:gridCol w:w="7559"/>
      </w:tblGrid>
      <w:tr w:rsidR="0048002A" w:rsidRPr="005D59A7" w14:paraId="2B2799C2" w14:textId="77777777" w:rsidTr="00970F45">
        <w:trPr>
          <w:trHeight w:val="430"/>
        </w:trPr>
        <w:tc>
          <w:tcPr>
            <w:tcW w:w="0" w:type="auto"/>
            <w:hideMark/>
          </w:tcPr>
          <w:p w14:paraId="13315F5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اللغة</w:t>
            </w:r>
          </w:p>
        </w:tc>
        <w:tc>
          <w:tcPr>
            <w:tcW w:w="0" w:type="auto"/>
            <w:hideMark/>
          </w:tcPr>
          <w:p w14:paraId="68233EA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الكلمات المفتاحية</w:t>
            </w:r>
          </w:p>
        </w:tc>
      </w:tr>
      <w:tr w:rsidR="0048002A" w:rsidRPr="005D59A7" w14:paraId="5B1416D5" w14:textId="77777777" w:rsidTr="00970F45">
        <w:trPr>
          <w:trHeight w:val="843"/>
        </w:trPr>
        <w:tc>
          <w:tcPr>
            <w:tcW w:w="0" w:type="auto"/>
            <w:hideMark/>
          </w:tcPr>
          <w:p w14:paraId="29428271"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lastRenderedPageBreak/>
              <w:t>الإنجليزية</w:t>
            </w:r>
          </w:p>
        </w:tc>
        <w:tc>
          <w:tcPr>
            <w:tcW w:w="0" w:type="auto"/>
            <w:hideMark/>
          </w:tcPr>
          <w:p w14:paraId="7792F02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 xml:space="preserve">"Environmental </w:t>
            </w:r>
            <w:proofErr w:type="gramStart"/>
            <w:r w:rsidRPr="005D59A7">
              <w:rPr>
                <w:rFonts w:ascii="T" w:hAnsi="T" w:cs="Simplified Arabic"/>
                <w:sz w:val="24"/>
                <w:szCs w:val="24"/>
              </w:rPr>
              <w:t>governance"</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"Environmental </w:t>
            </w:r>
            <w:proofErr w:type="gramStart"/>
            <w:r w:rsidRPr="005D59A7">
              <w:rPr>
                <w:rFonts w:ascii="T" w:hAnsi="T" w:cs="Simplified Arabic"/>
                <w:sz w:val="24"/>
                <w:szCs w:val="24"/>
              </w:rPr>
              <w:t>compliance"</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"Performance-based </w:t>
            </w:r>
            <w:proofErr w:type="gramStart"/>
            <w:r w:rsidRPr="005D59A7">
              <w:rPr>
                <w:rFonts w:ascii="T" w:hAnsi="T" w:cs="Simplified Arabic"/>
                <w:sz w:val="24"/>
                <w:szCs w:val="24"/>
              </w:rPr>
              <w:t>contracting"</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"Output-based </w:t>
            </w:r>
            <w:proofErr w:type="gramStart"/>
            <w:r w:rsidRPr="005D59A7">
              <w:rPr>
                <w:rFonts w:ascii="T" w:hAnsi="T" w:cs="Simplified Arabic"/>
                <w:sz w:val="24"/>
                <w:szCs w:val="24"/>
              </w:rPr>
              <w:t>contracting"</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"Risk </w:t>
            </w:r>
            <w:proofErr w:type="gramStart"/>
            <w:r w:rsidRPr="005D59A7">
              <w:rPr>
                <w:rFonts w:ascii="T" w:hAnsi="T" w:cs="Simplified Arabic"/>
                <w:sz w:val="24"/>
                <w:szCs w:val="24"/>
              </w:rPr>
              <w:t>allocation"</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"Risk sharing"</w:t>
            </w:r>
          </w:p>
        </w:tc>
      </w:tr>
      <w:tr w:rsidR="0048002A" w:rsidRPr="005D59A7" w14:paraId="1AF11498" w14:textId="77777777" w:rsidTr="00970F45">
        <w:trPr>
          <w:trHeight w:val="430"/>
        </w:trPr>
        <w:tc>
          <w:tcPr>
            <w:tcW w:w="0" w:type="auto"/>
            <w:hideMark/>
          </w:tcPr>
          <w:p w14:paraId="2CBCBD3A"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العربية</w:t>
            </w:r>
          </w:p>
        </w:tc>
        <w:tc>
          <w:tcPr>
            <w:tcW w:w="0" w:type="auto"/>
            <w:hideMark/>
          </w:tcPr>
          <w:p w14:paraId="5FB4175C"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t>
            </w:r>
            <w:r w:rsidRPr="005D59A7">
              <w:rPr>
                <w:rFonts w:ascii="T" w:hAnsi="T" w:cs="Simplified Arabic"/>
                <w:sz w:val="24"/>
                <w:szCs w:val="24"/>
                <w:rtl/>
              </w:rPr>
              <w:t>الحوكمة البيئية"، "الامتثال البيئي"، "التعاقد القائم على الأداء"، "توزيع المخاطر"، "تقاسم المخاطر</w:t>
            </w:r>
            <w:r w:rsidRPr="005D59A7">
              <w:rPr>
                <w:rFonts w:ascii="T" w:hAnsi="T" w:cs="Simplified Arabic"/>
                <w:sz w:val="24"/>
                <w:szCs w:val="24"/>
              </w:rPr>
              <w:t>"</w:t>
            </w:r>
          </w:p>
        </w:tc>
      </w:tr>
    </w:tbl>
    <w:p w14:paraId="2DAFBB79"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المجموعة الثالثة: مفاهيم التفتيش البيئي</w:t>
      </w:r>
    </w:p>
    <w:tbl>
      <w:tblPr>
        <w:tblStyle w:val="TableGrid"/>
        <w:bidiVisual/>
        <w:tblW w:w="8636" w:type="dxa"/>
        <w:tblLook w:val="04A0" w:firstRow="1" w:lastRow="0" w:firstColumn="1" w:lastColumn="0" w:noHBand="0" w:noVBand="1"/>
      </w:tblPr>
      <w:tblGrid>
        <w:gridCol w:w="916"/>
        <w:gridCol w:w="7720"/>
      </w:tblGrid>
      <w:tr w:rsidR="0048002A" w:rsidRPr="005D59A7" w14:paraId="7E7B8C5B" w14:textId="77777777" w:rsidTr="00970F45">
        <w:trPr>
          <w:trHeight w:val="379"/>
        </w:trPr>
        <w:tc>
          <w:tcPr>
            <w:tcW w:w="0" w:type="auto"/>
            <w:hideMark/>
          </w:tcPr>
          <w:p w14:paraId="49B7E9E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اللغة</w:t>
            </w:r>
          </w:p>
        </w:tc>
        <w:tc>
          <w:tcPr>
            <w:tcW w:w="0" w:type="auto"/>
            <w:hideMark/>
          </w:tcPr>
          <w:p w14:paraId="2F94E75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الكلمات المفتاحية</w:t>
            </w:r>
          </w:p>
        </w:tc>
      </w:tr>
      <w:tr w:rsidR="0048002A" w:rsidRPr="005D59A7" w14:paraId="2AEB00FD" w14:textId="77777777" w:rsidTr="00970F45">
        <w:trPr>
          <w:trHeight w:val="758"/>
        </w:trPr>
        <w:tc>
          <w:tcPr>
            <w:tcW w:w="0" w:type="auto"/>
            <w:hideMark/>
          </w:tcPr>
          <w:p w14:paraId="64C46F2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الإنجليزية</w:t>
            </w:r>
          </w:p>
        </w:tc>
        <w:tc>
          <w:tcPr>
            <w:tcW w:w="0" w:type="auto"/>
            <w:hideMark/>
          </w:tcPr>
          <w:p w14:paraId="5EE8FAD1"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 xml:space="preserve">"Environmental </w:t>
            </w:r>
            <w:proofErr w:type="gramStart"/>
            <w:r w:rsidRPr="005D59A7">
              <w:rPr>
                <w:rFonts w:ascii="T" w:hAnsi="T" w:cs="Simplified Arabic"/>
                <w:sz w:val="24"/>
                <w:szCs w:val="24"/>
              </w:rPr>
              <w:t>inspection"</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"Environmental </w:t>
            </w:r>
            <w:proofErr w:type="gramStart"/>
            <w:r w:rsidRPr="005D59A7">
              <w:rPr>
                <w:rFonts w:ascii="T" w:hAnsi="T" w:cs="Simplified Arabic"/>
                <w:sz w:val="24"/>
                <w:szCs w:val="24"/>
              </w:rPr>
              <w:t>monitoring"</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"Regulatory </w:t>
            </w:r>
            <w:proofErr w:type="gramStart"/>
            <w:r w:rsidRPr="005D59A7">
              <w:rPr>
                <w:rFonts w:ascii="T" w:hAnsi="T" w:cs="Simplified Arabic"/>
                <w:sz w:val="24"/>
                <w:szCs w:val="24"/>
              </w:rPr>
              <w:t>enforcement"</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"Compliance </w:t>
            </w:r>
            <w:proofErr w:type="gramStart"/>
            <w:r w:rsidRPr="005D59A7">
              <w:rPr>
                <w:rFonts w:ascii="T" w:hAnsi="T" w:cs="Simplified Arabic"/>
                <w:sz w:val="24"/>
                <w:szCs w:val="24"/>
              </w:rPr>
              <w:t>monitoring"</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"Inspection efficiency"</w:t>
            </w:r>
          </w:p>
        </w:tc>
      </w:tr>
      <w:tr w:rsidR="0048002A" w:rsidRPr="005D59A7" w14:paraId="2962C926" w14:textId="77777777" w:rsidTr="00970F45">
        <w:trPr>
          <w:trHeight w:val="379"/>
        </w:trPr>
        <w:tc>
          <w:tcPr>
            <w:tcW w:w="0" w:type="auto"/>
            <w:hideMark/>
          </w:tcPr>
          <w:p w14:paraId="1491B451"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العربية</w:t>
            </w:r>
          </w:p>
        </w:tc>
        <w:tc>
          <w:tcPr>
            <w:tcW w:w="0" w:type="auto"/>
            <w:hideMark/>
          </w:tcPr>
          <w:p w14:paraId="34BF491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t>
            </w:r>
            <w:r w:rsidRPr="005D59A7">
              <w:rPr>
                <w:rFonts w:ascii="T" w:hAnsi="T" w:cs="Simplified Arabic"/>
                <w:sz w:val="24"/>
                <w:szCs w:val="24"/>
                <w:rtl/>
              </w:rPr>
              <w:t>التفتيش البيئي"، "الرقابة البيئية"، "الإنفاذ التنظيمي"، "مراقبة الامتثال"، "كفاءة التفتيش</w:t>
            </w:r>
            <w:r w:rsidRPr="005D59A7">
              <w:rPr>
                <w:rFonts w:ascii="T" w:hAnsi="T" w:cs="Simplified Arabic"/>
                <w:sz w:val="24"/>
                <w:szCs w:val="24"/>
              </w:rPr>
              <w:t>"</w:t>
            </w:r>
          </w:p>
        </w:tc>
      </w:tr>
    </w:tbl>
    <w:p w14:paraId="4DCB8494"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المجموعة الرابعة: السياق السعودي</w:t>
      </w:r>
    </w:p>
    <w:tbl>
      <w:tblPr>
        <w:tblStyle w:val="TableGrid"/>
        <w:tblW w:w="8429" w:type="dxa"/>
        <w:tblLook w:val="04A0" w:firstRow="1" w:lastRow="0" w:firstColumn="1" w:lastColumn="0" w:noHBand="0" w:noVBand="1"/>
      </w:tblPr>
      <w:tblGrid>
        <w:gridCol w:w="916"/>
        <w:gridCol w:w="7513"/>
      </w:tblGrid>
      <w:tr w:rsidR="0048002A" w:rsidRPr="005D59A7" w14:paraId="4528862D" w14:textId="77777777" w:rsidTr="00970F45">
        <w:trPr>
          <w:trHeight w:val="401"/>
        </w:trPr>
        <w:tc>
          <w:tcPr>
            <w:tcW w:w="0" w:type="auto"/>
            <w:hideMark/>
          </w:tcPr>
          <w:p w14:paraId="13AA107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اللغة</w:t>
            </w:r>
          </w:p>
        </w:tc>
        <w:tc>
          <w:tcPr>
            <w:tcW w:w="0" w:type="auto"/>
            <w:hideMark/>
          </w:tcPr>
          <w:p w14:paraId="7E45570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الكلمات المفتاحية</w:t>
            </w:r>
          </w:p>
        </w:tc>
      </w:tr>
      <w:tr w:rsidR="0048002A" w:rsidRPr="005D59A7" w14:paraId="522CC962" w14:textId="77777777" w:rsidTr="00970F45">
        <w:trPr>
          <w:trHeight w:val="787"/>
        </w:trPr>
        <w:tc>
          <w:tcPr>
            <w:tcW w:w="0" w:type="auto"/>
            <w:hideMark/>
          </w:tcPr>
          <w:p w14:paraId="3EB0561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الإنجليزية</w:t>
            </w:r>
          </w:p>
        </w:tc>
        <w:tc>
          <w:tcPr>
            <w:tcW w:w="0" w:type="auto"/>
            <w:hideMark/>
          </w:tcPr>
          <w:p w14:paraId="0DE2D5B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"Saudi Vision 2030"</w:t>
            </w:r>
            <w:r w:rsidRPr="005D59A7">
              <w:rPr>
                <w:rFonts w:ascii="T" w:hAnsi="T" w:cs="Simplified Arabic"/>
                <w:sz w:val="24"/>
                <w:szCs w:val="24"/>
                <w:rtl/>
              </w:rPr>
              <w:t xml:space="preserve">، </w:t>
            </w:r>
            <w:r w:rsidRPr="005D59A7">
              <w:rPr>
                <w:rFonts w:ascii="T" w:hAnsi="T" w:cs="Simplified Arabic"/>
                <w:sz w:val="24"/>
                <w:szCs w:val="24"/>
              </w:rPr>
              <w:t>"Saudi environmental sector"</w:t>
            </w:r>
            <w:r w:rsidRPr="005D59A7">
              <w:rPr>
                <w:rFonts w:ascii="T" w:hAnsi="T" w:cs="Simplified Arabic"/>
                <w:sz w:val="24"/>
                <w:szCs w:val="24"/>
                <w:rtl/>
              </w:rPr>
              <w:t xml:space="preserve">، </w:t>
            </w:r>
            <w:r w:rsidRPr="005D59A7">
              <w:rPr>
                <w:rFonts w:ascii="T" w:hAnsi="T" w:cs="Simplified Arabic"/>
                <w:sz w:val="24"/>
                <w:szCs w:val="24"/>
              </w:rPr>
              <w:t>"National Environment Strategy"</w:t>
            </w:r>
            <w:r w:rsidRPr="005D59A7">
              <w:rPr>
                <w:rFonts w:ascii="T" w:hAnsi="T" w:cs="Simplified Arabic"/>
                <w:sz w:val="24"/>
                <w:szCs w:val="24"/>
                <w:rtl/>
              </w:rPr>
              <w:t xml:space="preserve">، </w:t>
            </w:r>
            <w:r w:rsidRPr="005D59A7">
              <w:rPr>
                <w:rFonts w:ascii="T" w:hAnsi="T" w:cs="Simplified Arabic"/>
                <w:sz w:val="24"/>
                <w:szCs w:val="24"/>
              </w:rPr>
              <w:t>"Saudi Green Initiative"</w:t>
            </w:r>
            <w:r w:rsidRPr="005D59A7">
              <w:rPr>
                <w:rFonts w:ascii="T" w:hAnsi="T" w:cs="Simplified Arabic"/>
                <w:sz w:val="24"/>
                <w:szCs w:val="24"/>
                <w:rtl/>
              </w:rPr>
              <w:t xml:space="preserve">، </w:t>
            </w:r>
            <w:r w:rsidRPr="005D59A7">
              <w:rPr>
                <w:rFonts w:ascii="T" w:hAnsi="T" w:cs="Simplified Arabic"/>
                <w:sz w:val="24"/>
                <w:szCs w:val="24"/>
              </w:rPr>
              <w:t>"NCEC"</w:t>
            </w:r>
          </w:p>
        </w:tc>
      </w:tr>
      <w:tr w:rsidR="0048002A" w:rsidRPr="005D59A7" w14:paraId="3367979C" w14:textId="77777777" w:rsidTr="00970F45">
        <w:trPr>
          <w:trHeight w:val="803"/>
        </w:trPr>
        <w:tc>
          <w:tcPr>
            <w:tcW w:w="0" w:type="auto"/>
            <w:hideMark/>
          </w:tcPr>
          <w:p w14:paraId="1B36858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العربية</w:t>
            </w:r>
          </w:p>
        </w:tc>
        <w:tc>
          <w:tcPr>
            <w:tcW w:w="0" w:type="auto"/>
            <w:hideMark/>
          </w:tcPr>
          <w:p w14:paraId="15AD461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t>
            </w:r>
            <w:r w:rsidRPr="005D59A7">
              <w:rPr>
                <w:rFonts w:ascii="T" w:hAnsi="T" w:cs="Simplified Arabic"/>
                <w:sz w:val="24"/>
                <w:szCs w:val="24"/>
                <w:rtl/>
              </w:rPr>
              <w:t>رؤية السعودية 2030"، "</w:t>
            </w:r>
            <w:proofErr w:type="gramStart"/>
            <w:r w:rsidRPr="005D59A7">
              <w:rPr>
                <w:rFonts w:ascii="T" w:hAnsi="T" w:cs="Simplified Arabic"/>
                <w:sz w:val="24"/>
                <w:szCs w:val="24"/>
                <w:rtl/>
              </w:rPr>
              <w:t>القطاع البيئي السعودي"،</w:t>
            </w:r>
            <w:proofErr w:type="gramEnd"/>
            <w:r w:rsidRPr="005D59A7">
              <w:rPr>
                <w:rFonts w:ascii="T" w:hAnsi="T" w:cs="Simplified Arabic"/>
                <w:sz w:val="24"/>
                <w:szCs w:val="24"/>
                <w:rtl/>
              </w:rPr>
              <w:t xml:space="preserve"> "</w:t>
            </w:r>
            <w:proofErr w:type="gramStart"/>
            <w:r w:rsidRPr="005D59A7">
              <w:rPr>
                <w:rFonts w:ascii="T" w:hAnsi="T" w:cs="Simplified Arabic"/>
                <w:sz w:val="24"/>
                <w:szCs w:val="24"/>
                <w:rtl/>
              </w:rPr>
              <w:t>الإستراتيجية الوطنية للبيئة"،</w:t>
            </w:r>
            <w:proofErr w:type="gramEnd"/>
            <w:r w:rsidRPr="005D59A7">
              <w:rPr>
                <w:rFonts w:ascii="T" w:hAnsi="T" w:cs="Simplified Arabic"/>
                <w:sz w:val="24"/>
                <w:szCs w:val="24"/>
                <w:rtl/>
              </w:rPr>
              <w:t xml:space="preserve"> "</w:t>
            </w:r>
            <w:proofErr w:type="gramStart"/>
            <w:r w:rsidRPr="005D59A7">
              <w:rPr>
                <w:rFonts w:ascii="T" w:hAnsi="T" w:cs="Simplified Arabic"/>
                <w:sz w:val="24"/>
                <w:szCs w:val="24"/>
                <w:rtl/>
              </w:rPr>
              <w:t>المبادرة السعودية الخضراء"،</w:t>
            </w:r>
            <w:proofErr w:type="gramEnd"/>
            <w:r w:rsidRPr="005D59A7">
              <w:rPr>
                <w:rFonts w:ascii="T" w:hAnsi="T" w:cs="Simplified Arabic"/>
                <w:sz w:val="24"/>
                <w:szCs w:val="24"/>
                <w:rtl/>
              </w:rPr>
              <w:t xml:space="preserve"> "المركز الوطني للرقابة على الالتزام البيئي</w:t>
            </w:r>
            <w:r w:rsidRPr="005D59A7">
              <w:rPr>
                <w:rFonts w:ascii="T" w:hAnsi="T" w:cs="Simplified Arabic"/>
                <w:sz w:val="24"/>
                <w:szCs w:val="24"/>
              </w:rPr>
              <w:t>"</w:t>
            </w:r>
          </w:p>
        </w:tc>
      </w:tr>
    </w:tbl>
    <w:p w14:paraId="283003AE" w14:textId="79BDB5C0" w:rsidR="00843CD6" w:rsidRPr="005D59A7" w:rsidRDefault="00843CD6" w:rsidP="00861DC2">
      <w:pPr>
        <w:bidi/>
        <w:spacing w:line="360" w:lineRule="auto"/>
        <w:ind w:firstLine="720"/>
        <w:rPr>
          <w:rFonts w:ascii="T" w:hAnsi="T" w:cs="Simplified Arabic"/>
          <w:sz w:val="24"/>
          <w:szCs w:val="24"/>
          <w:rtl/>
        </w:rPr>
      </w:pPr>
    </w:p>
    <w:p w14:paraId="0E730131" w14:textId="77777777" w:rsidR="00843CD6" w:rsidRPr="005D59A7" w:rsidRDefault="00843CD6" w:rsidP="00861DC2">
      <w:pPr>
        <w:shd w:val="clear" w:color="auto" w:fill="FFFFFF"/>
        <w:bidi/>
        <w:spacing w:before="240" w:after="240" w:line="360" w:lineRule="auto"/>
        <w:ind w:firstLine="720"/>
        <w:jc w:val="both"/>
        <w:rPr>
          <w:rFonts w:ascii="T" w:hAnsi="T" w:cs="Simplified Arabic"/>
          <w:b/>
          <w:bCs/>
          <w:sz w:val="24"/>
          <w:szCs w:val="24"/>
        </w:rPr>
      </w:pPr>
      <w:r w:rsidRPr="005D59A7">
        <w:rPr>
          <w:rFonts w:ascii="T" w:hAnsi="T" w:cs="Simplified Arabic"/>
          <w:b/>
          <w:bCs/>
          <w:sz w:val="24"/>
          <w:szCs w:val="24"/>
          <w:rtl/>
        </w:rPr>
        <w:t>ثالثاً: الفترة الزمنية</w:t>
      </w:r>
    </w:p>
    <w:p w14:paraId="6D017756" w14:textId="77777777" w:rsidR="00843CD6" w:rsidRPr="005D59A7" w:rsidRDefault="00843CD6" w:rsidP="00861DC2">
      <w:pPr>
        <w:shd w:val="clear" w:color="auto" w:fill="FFFFFF"/>
        <w:bidi/>
        <w:spacing w:before="240" w:after="240" w:line="360" w:lineRule="auto"/>
        <w:ind w:firstLine="720"/>
        <w:rPr>
          <w:rFonts w:ascii="T" w:hAnsi="T" w:cs="Simplified Arabic"/>
          <w:sz w:val="24"/>
          <w:szCs w:val="24"/>
        </w:rPr>
      </w:pPr>
      <w:r w:rsidRPr="005D59A7">
        <w:rPr>
          <w:rFonts w:ascii="T" w:hAnsi="T" w:cs="Simplified Arabic"/>
          <w:sz w:val="24"/>
          <w:szCs w:val="24"/>
          <w:rtl/>
        </w:rPr>
        <w:t>تم تحديد الفترة الزمنية للمراجعة بناءً على تطور المجال والحاجة إلى تغطية كل من الدراسات المؤسسة والحديثة. تم تقسيم الفترة الزمنية إلى ثلاث فئات رئيسية</w:t>
      </w:r>
      <w:r w:rsidRPr="005D59A7">
        <w:rPr>
          <w:rFonts w:ascii="T" w:hAnsi="T" w:cs="Simplified Arabic"/>
          <w:sz w:val="24"/>
          <w:szCs w:val="24"/>
        </w:rPr>
        <w:t>:</w:t>
      </w:r>
    </w:p>
    <w:tbl>
      <w:tblPr>
        <w:tblStyle w:val="TableGrid"/>
        <w:bidiVisual/>
        <w:tblW w:w="0" w:type="auto"/>
        <w:tblLook w:val="04A0" w:firstRow="1" w:lastRow="0" w:firstColumn="1" w:lastColumn="0" w:noHBand="0" w:noVBand="1"/>
      </w:tblPr>
      <w:tblGrid>
        <w:gridCol w:w="2434"/>
        <w:gridCol w:w="1027"/>
        <w:gridCol w:w="3924"/>
        <w:gridCol w:w="911"/>
      </w:tblGrid>
      <w:tr w:rsidR="0048002A" w:rsidRPr="005D59A7" w14:paraId="015CE52D" w14:textId="77777777" w:rsidTr="00843CD6">
        <w:tc>
          <w:tcPr>
            <w:tcW w:w="0" w:type="auto"/>
            <w:hideMark/>
          </w:tcPr>
          <w:p w14:paraId="6C4C037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الفئة</w:t>
            </w:r>
          </w:p>
        </w:tc>
        <w:tc>
          <w:tcPr>
            <w:tcW w:w="0" w:type="auto"/>
            <w:hideMark/>
          </w:tcPr>
          <w:p w14:paraId="3B2DFBB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النطاق الزمني</w:t>
            </w:r>
          </w:p>
        </w:tc>
        <w:tc>
          <w:tcPr>
            <w:tcW w:w="0" w:type="auto"/>
            <w:hideMark/>
          </w:tcPr>
          <w:p w14:paraId="6E1E95B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الأساس المنطقي</w:t>
            </w:r>
          </w:p>
        </w:tc>
        <w:tc>
          <w:tcPr>
            <w:tcW w:w="0" w:type="auto"/>
            <w:hideMark/>
          </w:tcPr>
          <w:p w14:paraId="2661649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نسبة التغطية</w:t>
            </w:r>
          </w:p>
        </w:tc>
      </w:tr>
      <w:tr w:rsidR="0048002A" w:rsidRPr="005D59A7" w14:paraId="36F9B900" w14:textId="77777777" w:rsidTr="00843CD6">
        <w:tc>
          <w:tcPr>
            <w:tcW w:w="0" w:type="auto"/>
            <w:hideMark/>
          </w:tcPr>
          <w:p w14:paraId="63D0AD8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الأساسية</w:t>
            </w:r>
            <w:r w:rsidRPr="005D59A7">
              <w:rPr>
                <w:rFonts w:ascii="T" w:hAnsi="T" w:cs="Simplified Arabic"/>
                <w:sz w:val="24"/>
                <w:szCs w:val="24"/>
              </w:rPr>
              <w:t xml:space="preserve"> (Foundation)</w:t>
            </w:r>
          </w:p>
        </w:tc>
        <w:tc>
          <w:tcPr>
            <w:tcW w:w="0" w:type="auto"/>
            <w:hideMark/>
          </w:tcPr>
          <w:p w14:paraId="579E57D5"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1970-2000</w:t>
            </w:r>
          </w:p>
        </w:tc>
        <w:tc>
          <w:tcPr>
            <w:tcW w:w="0" w:type="auto"/>
            <w:hideMark/>
          </w:tcPr>
          <w:p w14:paraId="709C5D5E" w14:textId="3154F2D2"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تغطية النظريات المؤسسة (نظرية الوكالة) والتجارب التاريخية الأولى للشراكة</w:t>
            </w:r>
          </w:p>
        </w:tc>
        <w:tc>
          <w:tcPr>
            <w:tcW w:w="0" w:type="auto"/>
            <w:hideMark/>
          </w:tcPr>
          <w:p w14:paraId="39B6DAE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15%</w:t>
            </w:r>
          </w:p>
        </w:tc>
      </w:tr>
      <w:tr w:rsidR="0048002A" w:rsidRPr="005D59A7" w14:paraId="4821AEEC" w14:textId="77777777" w:rsidTr="00843CD6">
        <w:tc>
          <w:tcPr>
            <w:tcW w:w="0" w:type="auto"/>
            <w:hideMark/>
          </w:tcPr>
          <w:p w14:paraId="253AF4F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الحديثة</w:t>
            </w:r>
            <w:r w:rsidRPr="005D59A7">
              <w:rPr>
                <w:rFonts w:ascii="T" w:hAnsi="T" w:cs="Simplified Arabic"/>
                <w:sz w:val="24"/>
                <w:szCs w:val="24"/>
              </w:rPr>
              <w:t xml:space="preserve"> (Recent)</w:t>
            </w:r>
          </w:p>
        </w:tc>
        <w:tc>
          <w:tcPr>
            <w:tcW w:w="0" w:type="auto"/>
            <w:hideMark/>
          </w:tcPr>
          <w:p w14:paraId="61D56C65"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2000-2015</w:t>
            </w:r>
          </w:p>
        </w:tc>
        <w:tc>
          <w:tcPr>
            <w:tcW w:w="0" w:type="auto"/>
            <w:hideMark/>
          </w:tcPr>
          <w:p w14:paraId="53AC3A6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تغطية تطور نماذج الشراكة وانتشارها عالميًا، وظهور الإطارات التشريعية والتنظيمية</w:t>
            </w:r>
          </w:p>
        </w:tc>
        <w:tc>
          <w:tcPr>
            <w:tcW w:w="0" w:type="auto"/>
            <w:hideMark/>
          </w:tcPr>
          <w:p w14:paraId="114967D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25%</w:t>
            </w:r>
          </w:p>
        </w:tc>
      </w:tr>
      <w:tr w:rsidR="0048002A" w:rsidRPr="005D59A7" w14:paraId="3D0D8B83" w14:textId="77777777" w:rsidTr="00843CD6">
        <w:tc>
          <w:tcPr>
            <w:tcW w:w="0" w:type="auto"/>
            <w:hideMark/>
          </w:tcPr>
          <w:p w14:paraId="4F406B53"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lastRenderedPageBreak/>
              <w:t>الدراسات المعاصرة</w:t>
            </w:r>
            <w:r w:rsidRPr="005D59A7">
              <w:rPr>
                <w:rFonts w:ascii="T" w:hAnsi="T" w:cs="Simplified Arabic"/>
                <w:sz w:val="24"/>
                <w:szCs w:val="24"/>
              </w:rPr>
              <w:t xml:space="preserve"> (Contemporary)</w:t>
            </w:r>
          </w:p>
        </w:tc>
        <w:tc>
          <w:tcPr>
            <w:tcW w:w="0" w:type="auto"/>
            <w:hideMark/>
          </w:tcPr>
          <w:p w14:paraId="756235F3"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2015-2025</w:t>
            </w:r>
          </w:p>
        </w:tc>
        <w:tc>
          <w:tcPr>
            <w:tcW w:w="0" w:type="auto"/>
            <w:hideMark/>
          </w:tcPr>
          <w:p w14:paraId="53BCB39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تغطية التطبيقات الحديثة للشراكة في القطاع البيئي، ودراسات الحالة في منطقة الشرق الأوسط، وما بعد رؤية 2030</w:t>
            </w:r>
          </w:p>
        </w:tc>
        <w:tc>
          <w:tcPr>
            <w:tcW w:w="0" w:type="auto"/>
            <w:hideMark/>
          </w:tcPr>
          <w:p w14:paraId="0941D17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60%</w:t>
            </w:r>
          </w:p>
        </w:tc>
      </w:tr>
    </w:tbl>
    <w:p w14:paraId="4BADECCB" w14:textId="00936A7F" w:rsidR="00843CD6" w:rsidRPr="005D59A7" w:rsidRDefault="00843CD6" w:rsidP="00861DC2">
      <w:pPr>
        <w:shd w:val="clear" w:color="auto" w:fill="FFFFFF"/>
        <w:bidi/>
        <w:spacing w:before="240" w:after="240" w:line="360" w:lineRule="auto"/>
        <w:ind w:firstLine="720"/>
        <w:rPr>
          <w:rFonts w:ascii="T" w:hAnsi="T" w:cs="Simplified Arabic"/>
          <w:sz w:val="24"/>
          <w:szCs w:val="24"/>
        </w:rPr>
      </w:pPr>
      <w:r w:rsidRPr="005D59A7">
        <w:rPr>
          <w:rFonts w:ascii="T" w:hAnsi="T" w:cs="Simplified Arabic"/>
          <w:sz w:val="24"/>
          <w:szCs w:val="24"/>
          <w:rtl/>
        </w:rPr>
        <w:t>تم إعطاء أولوية خاصة للدراسات المنشورة خلال السنوات الخمس الأخيرة (2020-2025) لضمان مواكبة أحدث التطورات في المجال، مع الاحتفاظ بالدراسات المؤسسة والتاريخية الضرورية لفهم تطور المفاهيم والنظريات</w:t>
      </w:r>
      <w:r w:rsidRPr="005D59A7">
        <w:rPr>
          <w:rFonts w:ascii="T" w:hAnsi="T" w:cs="Simplified Arabic"/>
          <w:sz w:val="24"/>
          <w:szCs w:val="24"/>
        </w:rPr>
        <w:t>.</w:t>
      </w:r>
    </w:p>
    <w:p w14:paraId="1C5111C3" w14:textId="77777777" w:rsidR="00843CD6" w:rsidRPr="005D59A7" w:rsidRDefault="00843CD6" w:rsidP="00861DC2">
      <w:pPr>
        <w:shd w:val="clear" w:color="auto" w:fill="FFFFFF"/>
        <w:bidi/>
        <w:spacing w:before="240" w:after="240" w:line="360" w:lineRule="auto"/>
        <w:ind w:firstLine="720"/>
        <w:jc w:val="both"/>
        <w:rPr>
          <w:rFonts w:ascii="T" w:hAnsi="T" w:cs="Simplified Arabic"/>
          <w:b/>
          <w:bCs/>
          <w:sz w:val="24"/>
          <w:szCs w:val="24"/>
        </w:rPr>
      </w:pPr>
      <w:r w:rsidRPr="005D59A7">
        <w:rPr>
          <w:rFonts w:ascii="T" w:hAnsi="T" w:cs="Simplified Arabic"/>
          <w:b/>
          <w:bCs/>
          <w:sz w:val="24"/>
          <w:szCs w:val="24"/>
          <w:rtl/>
        </w:rPr>
        <w:t>رابعاً: معايير الاختيار والاستبعاد</w:t>
      </w:r>
    </w:p>
    <w:p w14:paraId="6D232873" w14:textId="77777777" w:rsidR="00843CD6" w:rsidRPr="005D59A7" w:rsidRDefault="00843CD6" w:rsidP="00861DC2">
      <w:pPr>
        <w:shd w:val="clear" w:color="auto" w:fill="FFFFFF"/>
        <w:bidi/>
        <w:spacing w:before="240" w:after="240" w:line="360" w:lineRule="auto"/>
        <w:ind w:firstLine="720"/>
        <w:rPr>
          <w:rFonts w:ascii="T" w:hAnsi="T" w:cs="Simplified Arabic"/>
          <w:sz w:val="24"/>
          <w:szCs w:val="24"/>
        </w:rPr>
      </w:pPr>
      <w:r w:rsidRPr="005D59A7">
        <w:rPr>
          <w:rFonts w:ascii="T" w:hAnsi="T" w:cs="Simplified Arabic"/>
          <w:sz w:val="24"/>
          <w:szCs w:val="24"/>
          <w:rtl/>
        </w:rPr>
        <w:t>تم تطبيق مجموعة من المعايير المنهجية لاختيار أو استبعاد المصادر، بهدف ضمان جودة وملاءمة المواد التي تم تضمينها في المراجعة</w:t>
      </w:r>
      <w:r w:rsidRPr="005D59A7">
        <w:rPr>
          <w:rFonts w:ascii="T" w:hAnsi="T" w:cs="Simplified Arabic"/>
          <w:sz w:val="24"/>
          <w:szCs w:val="24"/>
        </w:rPr>
        <w:t>.</w:t>
      </w:r>
    </w:p>
    <w:p w14:paraId="78D3AFF8" w14:textId="77777777" w:rsidR="00843CD6" w:rsidRPr="005D59A7" w:rsidRDefault="00843CD6" w:rsidP="00861DC2">
      <w:pPr>
        <w:shd w:val="clear" w:color="auto" w:fill="FFFFFF"/>
        <w:bidi/>
        <w:spacing w:before="240" w:after="240" w:line="360" w:lineRule="auto"/>
        <w:ind w:firstLine="720"/>
        <w:jc w:val="both"/>
        <w:rPr>
          <w:rFonts w:ascii="T" w:hAnsi="T" w:cs="Simplified Arabic"/>
          <w:b/>
          <w:bCs/>
          <w:sz w:val="24"/>
          <w:szCs w:val="24"/>
        </w:rPr>
      </w:pPr>
      <w:r w:rsidRPr="005D59A7">
        <w:rPr>
          <w:rFonts w:ascii="T" w:hAnsi="T" w:cs="Simplified Arabic"/>
          <w:b/>
          <w:bCs/>
          <w:sz w:val="24"/>
          <w:szCs w:val="24"/>
          <w:rtl/>
        </w:rPr>
        <w:t>معايير الاختيار</w:t>
      </w:r>
      <w:r w:rsidRPr="005D59A7">
        <w:rPr>
          <w:rFonts w:ascii="T" w:hAnsi="T" w:cs="Simplified Arabic"/>
          <w:b/>
          <w:bCs/>
          <w:sz w:val="24"/>
          <w:szCs w:val="24"/>
        </w:rPr>
        <w:t xml:space="preserve"> (Inclusion Criteria):</w:t>
      </w:r>
    </w:p>
    <w:tbl>
      <w:tblPr>
        <w:tblStyle w:val="TableGrid"/>
        <w:bidiVisual/>
        <w:tblW w:w="8396" w:type="dxa"/>
        <w:tblLook w:val="04A0" w:firstRow="1" w:lastRow="0" w:firstColumn="1" w:lastColumn="0" w:noHBand="0" w:noVBand="1"/>
      </w:tblPr>
      <w:tblGrid>
        <w:gridCol w:w="1877"/>
        <w:gridCol w:w="6519"/>
      </w:tblGrid>
      <w:tr w:rsidR="0048002A" w:rsidRPr="005D59A7" w14:paraId="0279F5DC" w14:textId="77777777" w:rsidTr="00843CD6">
        <w:trPr>
          <w:trHeight w:val="395"/>
        </w:trPr>
        <w:tc>
          <w:tcPr>
            <w:tcW w:w="0" w:type="auto"/>
            <w:hideMark/>
          </w:tcPr>
          <w:p w14:paraId="279E4B3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المعيار</w:t>
            </w:r>
          </w:p>
        </w:tc>
        <w:tc>
          <w:tcPr>
            <w:tcW w:w="0" w:type="auto"/>
            <w:hideMark/>
          </w:tcPr>
          <w:p w14:paraId="7EB8614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الوصف</w:t>
            </w:r>
          </w:p>
        </w:tc>
      </w:tr>
      <w:tr w:rsidR="0048002A" w:rsidRPr="005D59A7" w14:paraId="047A3D07" w14:textId="77777777" w:rsidTr="00843CD6">
        <w:trPr>
          <w:trHeight w:val="379"/>
        </w:trPr>
        <w:tc>
          <w:tcPr>
            <w:tcW w:w="0" w:type="auto"/>
            <w:hideMark/>
          </w:tcPr>
          <w:p w14:paraId="087299D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المحكمة</w:t>
            </w:r>
          </w:p>
        </w:tc>
        <w:tc>
          <w:tcPr>
            <w:tcW w:w="0" w:type="auto"/>
            <w:hideMark/>
          </w:tcPr>
          <w:p w14:paraId="2F84609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المنشورة في مجلات علمية محكمة</w:t>
            </w:r>
            <w:r w:rsidRPr="005D59A7">
              <w:rPr>
                <w:rFonts w:ascii="T" w:hAnsi="T" w:cs="Simplified Arabic"/>
                <w:sz w:val="24"/>
                <w:szCs w:val="24"/>
              </w:rPr>
              <w:t xml:space="preserve"> (Peer-reviewed journals)</w:t>
            </w:r>
          </w:p>
        </w:tc>
      </w:tr>
      <w:tr w:rsidR="0048002A" w:rsidRPr="005D59A7" w14:paraId="2128D1E6" w14:textId="77777777" w:rsidTr="00843CD6">
        <w:trPr>
          <w:trHeight w:val="395"/>
        </w:trPr>
        <w:tc>
          <w:tcPr>
            <w:tcW w:w="0" w:type="auto"/>
            <w:hideMark/>
          </w:tcPr>
          <w:p w14:paraId="3EBD5FE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التقارير الرسمية</w:t>
            </w:r>
          </w:p>
        </w:tc>
        <w:tc>
          <w:tcPr>
            <w:tcW w:w="0" w:type="auto"/>
            <w:hideMark/>
          </w:tcPr>
          <w:p w14:paraId="021600C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التقارير الصادرة عن الجهات الحكومية السعودية والمنظمات الدولية</w:t>
            </w:r>
          </w:p>
        </w:tc>
      </w:tr>
      <w:tr w:rsidR="0048002A" w:rsidRPr="005D59A7" w14:paraId="202382DE" w14:textId="77777777" w:rsidTr="00843CD6">
        <w:trPr>
          <w:trHeight w:val="395"/>
        </w:trPr>
        <w:tc>
          <w:tcPr>
            <w:tcW w:w="0" w:type="auto"/>
            <w:hideMark/>
          </w:tcPr>
          <w:p w14:paraId="17D75D7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الكتب العلمية</w:t>
            </w:r>
          </w:p>
        </w:tc>
        <w:tc>
          <w:tcPr>
            <w:tcW w:w="0" w:type="auto"/>
            <w:hideMark/>
          </w:tcPr>
          <w:p w14:paraId="3C2986C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الكتب والمراجع الصادرة عن دور نشر أكاديمية موثوقة</w:t>
            </w:r>
          </w:p>
        </w:tc>
      </w:tr>
      <w:tr w:rsidR="0048002A" w:rsidRPr="005D59A7" w14:paraId="20748F55" w14:textId="77777777" w:rsidTr="00843CD6">
        <w:trPr>
          <w:trHeight w:val="379"/>
        </w:trPr>
        <w:tc>
          <w:tcPr>
            <w:tcW w:w="0" w:type="auto"/>
            <w:hideMark/>
          </w:tcPr>
          <w:p w14:paraId="3E0E0BB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الأطروحات الجامعية</w:t>
            </w:r>
          </w:p>
        </w:tc>
        <w:tc>
          <w:tcPr>
            <w:tcW w:w="0" w:type="auto"/>
            <w:hideMark/>
          </w:tcPr>
          <w:p w14:paraId="3BE377B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أطروحات الدكتوراه والماجستير من جامعات معترف بها</w:t>
            </w:r>
          </w:p>
        </w:tc>
      </w:tr>
      <w:tr w:rsidR="0048002A" w:rsidRPr="005D59A7" w14:paraId="5A3732B8" w14:textId="77777777" w:rsidTr="00843CD6">
        <w:trPr>
          <w:trHeight w:val="395"/>
        </w:trPr>
        <w:tc>
          <w:tcPr>
            <w:tcW w:w="0" w:type="auto"/>
            <w:hideMark/>
          </w:tcPr>
          <w:p w14:paraId="7864F9CF"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دراسات الحالة</w:t>
            </w:r>
          </w:p>
        </w:tc>
        <w:tc>
          <w:tcPr>
            <w:tcW w:w="0" w:type="auto"/>
            <w:hideMark/>
          </w:tcPr>
          <w:p w14:paraId="54D0681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دراسات الحالة الموثقة التي تتضمن بيانات كمية أو كيفية قابلة للتحقق</w:t>
            </w:r>
          </w:p>
        </w:tc>
      </w:tr>
      <w:tr w:rsidR="0048002A" w:rsidRPr="005D59A7" w14:paraId="5A6BFC8E" w14:textId="77777777" w:rsidTr="00843CD6">
        <w:trPr>
          <w:trHeight w:val="379"/>
        </w:trPr>
        <w:tc>
          <w:tcPr>
            <w:tcW w:w="0" w:type="auto"/>
            <w:hideMark/>
          </w:tcPr>
          <w:p w14:paraId="5E4F100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التنوع اللغوي</w:t>
            </w:r>
          </w:p>
        </w:tc>
        <w:tc>
          <w:tcPr>
            <w:tcW w:w="0" w:type="auto"/>
            <w:hideMark/>
          </w:tcPr>
          <w:p w14:paraId="1A26B7F5"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المنشورة باللغتين العربية والإنجليزية</w:t>
            </w:r>
          </w:p>
        </w:tc>
      </w:tr>
    </w:tbl>
    <w:p w14:paraId="7BC4C985" w14:textId="77777777" w:rsidR="00843CD6" w:rsidRPr="005D59A7" w:rsidRDefault="00843CD6" w:rsidP="00861DC2">
      <w:pPr>
        <w:shd w:val="clear" w:color="auto" w:fill="FFFFFF"/>
        <w:bidi/>
        <w:spacing w:before="240" w:after="240" w:line="360" w:lineRule="auto"/>
        <w:ind w:firstLine="720"/>
        <w:rPr>
          <w:rFonts w:ascii="T" w:hAnsi="T" w:cs="Simplified Arabic"/>
          <w:b/>
          <w:bCs/>
          <w:sz w:val="24"/>
          <w:szCs w:val="24"/>
        </w:rPr>
      </w:pPr>
      <w:r w:rsidRPr="005D59A7">
        <w:rPr>
          <w:rFonts w:ascii="T" w:hAnsi="T" w:cs="Simplified Arabic"/>
          <w:b/>
          <w:bCs/>
          <w:sz w:val="24"/>
          <w:szCs w:val="24"/>
          <w:rtl/>
        </w:rPr>
        <w:t>معايير</w:t>
      </w:r>
      <w:r w:rsidRPr="005D59A7">
        <w:rPr>
          <w:rFonts w:ascii="T" w:eastAsia="Times New Roman" w:hAnsi="T" w:cs="Simplified Arabic"/>
          <w:b/>
          <w:bCs/>
          <w:sz w:val="24"/>
          <w:szCs w:val="24"/>
          <w:rtl/>
        </w:rPr>
        <w:t xml:space="preserve"> </w:t>
      </w:r>
      <w:r w:rsidRPr="005D59A7">
        <w:rPr>
          <w:rFonts w:ascii="T" w:hAnsi="T" w:cs="Simplified Arabic"/>
          <w:b/>
          <w:bCs/>
          <w:sz w:val="24"/>
          <w:szCs w:val="24"/>
          <w:rtl/>
        </w:rPr>
        <w:t>الاستبعاد</w:t>
      </w:r>
      <w:r w:rsidRPr="005D59A7">
        <w:rPr>
          <w:rFonts w:ascii="T" w:hAnsi="T" w:cs="Simplified Arabic"/>
          <w:b/>
          <w:bCs/>
          <w:sz w:val="24"/>
          <w:szCs w:val="24"/>
        </w:rPr>
        <w:t xml:space="preserve"> (Exclusion Criteria):</w:t>
      </w:r>
    </w:p>
    <w:tbl>
      <w:tblPr>
        <w:tblStyle w:val="TableGrid"/>
        <w:bidiVisual/>
        <w:tblW w:w="7947" w:type="dxa"/>
        <w:tblLook w:val="04A0" w:firstRow="1" w:lastRow="0" w:firstColumn="1" w:lastColumn="0" w:noHBand="0" w:noVBand="1"/>
      </w:tblPr>
      <w:tblGrid>
        <w:gridCol w:w="1950"/>
        <w:gridCol w:w="5997"/>
      </w:tblGrid>
      <w:tr w:rsidR="0048002A" w:rsidRPr="005D59A7" w14:paraId="0DAEA4F4" w14:textId="77777777" w:rsidTr="00843CD6">
        <w:trPr>
          <w:trHeight w:val="395"/>
        </w:trPr>
        <w:tc>
          <w:tcPr>
            <w:tcW w:w="0" w:type="auto"/>
            <w:hideMark/>
          </w:tcPr>
          <w:p w14:paraId="45C24D8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المعيار</w:t>
            </w:r>
          </w:p>
        </w:tc>
        <w:tc>
          <w:tcPr>
            <w:tcW w:w="0" w:type="auto"/>
            <w:hideMark/>
          </w:tcPr>
          <w:p w14:paraId="4A2522A3"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الوصف</w:t>
            </w:r>
          </w:p>
        </w:tc>
      </w:tr>
      <w:tr w:rsidR="0048002A" w:rsidRPr="005D59A7" w14:paraId="60210C2F" w14:textId="77777777" w:rsidTr="00843CD6">
        <w:trPr>
          <w:trHeight w:val="379"/>
        </w:trPr>
        <w:tc>
          <w:tcPr>
            <w:tcW w:w="0" w:type="auto"/>
            <w:hideMark/>
          </w:tcPr>
          <w:p w14:paraId="5697D92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المقالات غير المحكمة</w:t>
            </w:r>
          </w:p>
        </w:tc>
        <w:tc>
          <w:tcPr>
            <w:tcW w:w="0" w:type="auto"/>
            <w:hideMark/>
          </w:tcPr>
          <w:p w14:paraId="1A739B7F"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المقالات المنشورة في مجلات غير محكمة أو منصات إلكترونية غير موثقة</w:t>
            </w:r>
          </w:p>
        </w:tc>
      </w:tr>
      <w:tr w:rsidR="0048002A" w:rsidRPr="005D59A7" w14:paraId="4BEA8E5D" w14:textId="77777777" w:rsidTr="00843CD6">
        <w:trPr>
          <w:trHeight w:val="395"/>
        </w:trPr>
        <w:tc>
          <w:tcPr>
            <w:tcW w:w="0" w:type="auto"/>
            <w:hideMark/>
          </w:tcPr>
          <w:p w14:paraId="3C857AD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التقارير الإعلامية</w:t>
            </w:r>
          </w:p>
        </w:tc>
        <w:tc>
          <w:tcPr>
            <w:tcW w:w="0" w:type="auto"/>
            <w:hideMark/>
          </w:tcPr>
          <w:p w14:paraId="67C6AD13"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التقارير الإعلامية غير الموثقة أو الافتتاحيات</w:t>
            </w:r>
          </w:p>
        </w:tc>
      </w:tr>
      <w:tr w:rsidR="0048002A" w:rsidRPr="005D59A7" w14:paraId="07C7571F" w14:textId="77777777" w:rsidTr="00843CD6">
        <w:trPr>
          <w:trHeight w:val="395"/>
        </w:trPr>
        <w:tc>
          <w:tcPr>
            <w:tcW w:w="0" w:type="auto"/>
            <w:hideMark/>
          </w:tcPr>
          <w:p w14:paraId="268A053B"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الآراء الشخصية</w:t>
            </w:r>
          </w:p>
        </w:tc>
        <w:tc>
          <w:tcPr>
            <w:tcW w:w="0" w:type="auto"/>
            <w:hideMark/>
          </w:tcPr>
          <w:p w14:paraId="17F75D6A"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الآراء الشخصية والمدونات والتعليقات غير العلمية</w:t>
            </w:r>
          </w:p>
        </w:tc>
      </w:tr>
      <w:tr w:rsidR="0048002A" w:rsidRPr="005D59A7" w14:paraId="76D7E8AF" w14:textId="77777777" w:rsidTr="00843CD6">
        <w:trPr>
          <w:trHeight w:val="379"/>
        </w:trPr>
        <w:tc>
          <w:tcPr>
            <w:tcW w:w="0" w:type="auto"/>
            <w:hideMark/>
          </w:tcPr>
          <w:p w14:paraId="31A0BE3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المصادر غير الموثقة</w:t>
            </w:r>
          </w:p>
        </w:tc>
        <w:tc>
          <w:tcPr>
            <w:tcW w:w="0" w:type="auto"/>
            <w:hideMark/>
          </w:tcPr>
          <w:p w14:paraId="7EAE113A"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المصادر التي لا تحدد تاريخ النشر أو المصدر بوضوح</w:t>
            </w:r>
          </w:p>
        </w:tc>
      </w:tr>
      <w:tr w:rsidR="0048002A" w:rsidRPr="005D59A7" w14:paraId="0AF2EA70" w14:textId="77777777" w:rsidTr="00843CD6">
        <w:trPr>
          <w:trHeight w:val="395"/>
        </w:trPr>
        <w:tc>
          <w:tcPr>
            <w:tcW w:w="0" w:type="auto"/>
            <w:hideMark/>
          </w:tcPr>
          <w:p w14:paraId="18E6FE75"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عدم الصلة</w:t>
            </w:r>
          </w:p>
        </w:tc>
        <w:tc>
          <w:tcPr>
            <w:tcW w:w="0" w:type="auto"/>
            <w:hideMark/>
          </w:tcPr>
          <w:p w14:paraId="70BC82CD"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التي لا ترتبط بشكل مباشر بموضوع البحث</w:t>
            </w:r>
          </w:p>
        </w:tc>
      </w:tr>
      <w:tr w:rsidR="0048002A" w:rsidRPr="005D59A7" w14:paraId="5E9FCE8C" w14:textId="77777777" w:rsidTr="00843CD6">
        <w:trPr>
          <w:trHeight w:val="379"/>
        </w:trPr>
        <w:tc>
          <w:tcPr>
            <w:tcW w:w="0" w:type="auto"/>
            <w:hideMark/>
          </w:tcPr>
          <w:p w14:paraId="59932F9A"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المصادر المكررة</w:t>
            </w:r>
          </w:p>
        </w:tc>
        <w:tc>
          <w:tcPr>
            <w:tcW w:w="0" w:type="auto"/>
            <w:hideMark/>
          </w:tcPr>
          <w:p w14:paraId="7E96149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المصادر المكررة في أكثر من قاعدة بيانات</w:t>
            </w:r>
          </w:p>
        </w:tc>
      </w:tr>
    </w:tbl>
    <w:p w14:paraId="33C3C2FA" w14:textId="77777777" w:rsidR="00843CD6" w:rsidRPr="005D59A7" w:rsidRDefault="00843CD6" w:rsidP="00E25EBC">
      <w:pPr>
        <w:shd w:val="clear" w:color="auto" w:fill="FFFFFF"/>
        <w:bidi/>
        <w:spacing w:before="240" w:after="240" w:line="360" w:lineRule="auto"/>
        <w:ind w:firstLine="84"/>
        <w:rPr>
          <w:rFonts w:ascii="T" w:eastAsia="Times New Roman" w:hAnsi="T" w:cs="Simplified Arabic"/>
          <w:sz w:val="24"/>
          <w:szCs w:val="24"/>
        </w:rPr>
      </w:pPr>
      <w:r w:rsidRPr="005D59A7">
        <w:rPr>
          <w:rFonts w:ascii="T" w:hAnsi="T" w:cs="Simplified Arabic"/>
          <w:b/>
          <w:bCs/>
          <w:sz w:val="24"/>
          <w:szCs w:val="24"/>
          <w:rtl/>
        </w:rPr>
        <w:lastRenderedPageBreak/>
        <w:t>إجراءات ضمان الجودة</w:t>
      </w:r>
      <w:r w:rsidRPr="005D59A7">
        <w:rPr>
          <w:rFonts w:ascii="T" w:eastAsia="Times New Roman" w:hAnsi="T" w:cs="Simplified Arabic"/>
          <w:b/>
          <w:bCs/>
          <w:sz w:val="24"/>
          <w:szCs w:val="24"/>
        </w:rPr>
        <w:t>:</w:t>
      </w:r>
    </w:p>
    <w:p w14:paraId="781BBCCB" w14:textId="77777777" w:rsidR="00843CD6" w:rsidRPr="005D59A7" w:rsidRDefault="00843CD6" w:rsidP="0045581D">
      <w:pPr>
        <w:pStyle w:val="ListParagraph"/>
        <w:numPr>
          <w:ilvl w:val="0"/>
          <w:numId w:val="28"/>
        </w:numPr>
        <w:shd w:val="clear" w:color="auto" w:fill="FFFFFF"/>
        <w:bidi/>
        <w:spacing w:before="240" w:after="240" w:line="360" w:lineRule="auto"/>
        <w:ind w:firstLine="84"/>
        <w:rPr>
          <w:rFonts w:ascii="T" w:hAnsi="T" w:cs="Simplified Arabic"/>
          <w:sz w:val="24"/>
          <w:szCs w:val="24"/>
        </w:rPr>
      </w:pPr>
      <w:r w:rsidRPr="005D59A7">
        <w:rPr>
          <w:rFonts w:ascii="T" w:hAnsi="T" w:cs="Simplified Arabic"/>
          <w:sz w:val="24"/>
          <w:szCs w:val="24"/>
          <w:rtl/>
        </w:rPr>
        <w:t>تم التحقق من مصداقية المصادر من خلال التحقق من الناشر وتاريخ النشر وعدد الاستشهادات السابقة</w:t>
      </w:r>
      <w:r w:rsidRPr="005D59A7">
        <w:rPr>
          <w:rFonts w:ascii="T" w:hAnsi="T" w:cs="Simplified Arabic"/>
          <w:sz w:val="24"/>
          <w:szCs w:val="24"/>
        </w:rPr>
        <w:t>.</w:t>
      </w:r>
    </w:p>
    <w:p w14:paraId="5B26BEFE" w14:textId="77777777" w:rsidR="00843CD6" w:rsidRPr="005D59A7" w:rsidRDefault="00843CD6" w:rsidP="0045581D">
      <w:pPr>
        <w:pStyle w:val="ListParagraph"/>
        <w:numPr>
          <w:ilvl w:val="0"/>
          <w:numId w:val="28"/>
        </w:numPr>
        <w:shd w:val="clear" w:color="auto" w:fill="FFFFFF"/>
        <w:bidi/>
        <w:spacing w:before="240" w:after="240" w:line="360" w:lineRule="auto"/>
        <w:ind w:firstLine="84"/>
        <w:rPr>
          <w:rFonts w:ascii="T" w:hAnsi="T" w:cs="Simplified Arabic"/>
          <w:sz w:val="24"/>
          <w:szCs w:val="24"/>
        </w:rPr>
      </w:pPr>
      <w:r w:rsidRPr="005D59A7">
        <w:rPr>
          <w:rFonts w:ascii="T" w:hAnsi="T" w:cs="Simplified Arabic"/>
          <w:sz w:val="24"/>
          <w:szCs w:val="24"/>
          <w:rtl/>
        </w:rPr>
        <w:t>تم تفضيل المصادر ذات معامل التأثير العالي</w:t>
      </w:r>
      <w:r w:rsidRPr="005D59A7">
        <w:rPr>
          <w:rFonts w:ascii="T" w:hAnsi="T" w:cs="Simplified Arabic"/>
          <w:sz w:val="24"/>
          <w:szCs w:val="24"/>
        </w:rPr>
        <w:t xml:space="preserve"> (Impact Factor) </w:t>
      </w:r>
      <w:r w:rsidRPr="005D59A7">
        <w:rPr>
          <w:rFonts w:ascii="T" w:hAnsi="T" w:cs="Simplified Arabic"/>
          <w:sz w:val="24"/>
          <w:szCs w:val="24"/>
          <w:rtl/>
        </w:rPr>
        <w:t>في المجلات العلمية</w:t>
      </w:r>
      <w:r w:rsidRPr="005D59A7">
        <w:rPr>
          <w:rFonts w:ascii="T" w:hAnsi="T" w:cs="Simplified Arabic"/>
          <w:sz w:val="24"/>
          <w:szCs w:val="24"/>
        </w:rPr>
        <w:t>.</w:t>
      </w:r>
    </w:p>
    <w:p w14:paraId="7879EADD" w14:textId="77777777" w:rsidR="00843CD6" w:rsidRPr="005D59A7" w:rsidRDefault="00843CD6" w:rsidP="0045581D">
      <w:pPr>
        <w:pStyle w:val="ListParagraph"/>
        <w:numPr>
          <w:ilvl w:val="0"/>
          <w:numId w:val="28"/>
        </w:numPr>
        <w:shd w:val="clear" w:color="auto" w:fill="FFFFFF"/>
        <w:bidi/>
        <w:spacing w:before="240" w:after="240" w:line="360" w:lineRule="auto"/>
        <w:ind w:firstLine="84"/>
        <w:rPr>
          <w:rFonts w:ascii="T" w:hAnsi="T" w:cs="Simplified Arabic"/>
          <w:sz w:val="24"/>
          <w:szCs w:val="24"/>
        </w:rPr>
      </w:pPr>
      <w:r w:rsidRPr="005D59A7">
        <w:rPr>
          <w:rFonts w:ascii="T" w:hAnsi="T" w:cs="Simplified Arabic"/>
          <w:sz w:val="24"/>
          <w:szCs w:val="24"/>
          <w:rtl/>
        </w:rPr>
        <w:t>تم تفضيل التقارير الصادرة عن جهات رسمية ذات سمعة عالمية</w:t>
      </w:r>
      <w:r w:rsidRPr="005D59A7">
        <w:rPr>
          <w:rFonts w:ascii="T" w:hAnsi="T" w:cs="Simplified Arabic"/>
          <w:sz w:val="24"/>
          <w:szCs w:val="24"/>
        </w:rPr>
        <w:t xml:space="preserve"> (</w:t>
      </w:r>
      <w:r w:rsidRPr="005D59A7">
        <w:rPr>
          <w:rFonts w:ascii="T" w:hAnsi="T" w:cs="Simplified Arabic"/>
          <w:sz w:val="24"/>
          <w:szCs w:val="24"/>
          <w:rtl/>
        </w:rPr>
        <w:t xml:space="preserve">البنك الدولي، </w:t>
      </w:r>
      <w:r w:rsidRPr="005D59A7">
        <w:rPr>
          <w:rFonts w:ascii="T" w:hAnsi="T" w:cs="Simplified Arabic"/>
          <w:sz w:val="24"/>
          <w:szCs w:val="24"/>
        </w:rPr>
        <w:t>OECD</w:t>
      </w:r>
      <w:r w:rsidRPr="005D59A7">
        <w:rPr>
          <w:rFonts w:ascii="T" w:hAnsi="T" w:cs="Simplified Arabic"/>
          <w:sz w:val="24"/>
          <w:szCs w:val="24"/>
          <w:rtl/>
        </w:rPr>
        <w:t>، الأمم المتحدة</w:t>
      </w:r>
      <w:r w:rsidRPr="005D59A7">
        <w:rPr>
          <w:rFonts w:ascii="T" w:hAnsi="T" w:cs="Simplified Arabic"/>
          <w:sz w:val="24"/>
          <w:szCs w:val="24"/>
        </w:rPr>
        <w:t>).</w:t>
      </w:r>
    </w:p>
    <w:p w14:paraId="78342342" w14:textId="77777777" w:rsidR="00843CD6" w:rsidRPr="005D59A7" w:rsidRDefault="00843CD6" w:rsidP="0045581D">
      <w:pPr>
        <w:pStyle w:val="ListParagraph"/>
        <w:numPr>
          <w:ilvl w:val="0"/>
          <w:numId w:val="28"/>
        </w:numPr>
        <w:shd w:val="clear" w:color="auto" w:fill="FFFFFF"/>
        <w:bidi/>
        <w:spacing w:before="240" w:after="240" w:line="360" w:lineRule="auto"/>
        <w:ind w:firstLine="84"/>
        <w:rPr>
          <w:rFonts w:ascii="T" w:hAnsi="T" w:cs="Simplified Arabic"/>
          <w:sz w:val="24"/>
          <w:szCs w:val="24"/>
        </w:rPr>
      </w:pPr>
      <w:r w:rsidRPr="005D59A7">
        <w:rPr>
          <w:rFonts w:ascii="T" w:hAnsi="T" w:cs="Simplified Arabic"/>
          <w:sz w:val="24"/>
          <w:szCs w:val="24"/>
          <w:rtl/>
        </w:rPr>
        <w:t>تم اعتماد مبدأ "التشبع النظري</w:t>
      </w:r>
      <w:r w:rsidRPr="005D59A7">
        <w:rPr>
          <w:rFonts w:ascii="T" w:hAnsi="T" w:cs="Simplified Arabic"/>
          <w:sz w:val="24"/>
          <w:szCs w:val="24"/>
        </w:rPr>
        <w:t xml:space="preserve">" (Theoretical Saturation) </w:t>
      </w:r>
      <w:r w:rsidRPr="005D59A7">
        <w:rPr>
          <w:rFonts w:ascii="T" w:hAnsi="T" w:cs="Simplified Arabic"/>
          <w:sz w:val="24"/>
          <w:szCs w:val="24"/>
          <w:rtl/>
        </w:rPr>
        <w:t>كمعيار لوقف إضافة المصادر الجديدة</w:t>
      </w:r>
      <w:r w:rsidRPr="005D59A7">
        <w:rPr>
          <w:rFonts w:ascii="T" w:hAnsi="T" w:cs="Simplified Arabic"/>
          <w:sz w:val="24"/>
          <w:szCs w:val="24"/>
        </w:rPr>
        <w:t>.</w:t>
      </w:r>
    </w:p>
    <w:p w14:paraId="4B8FCF44" w14:textId="51784205" w:rsidR="001F38D7" w:rsidRPr="005D59A7" w:rsidRDefault="001F38D7" w:rsidP="00E25EBC">
      <w:pPr>
        <w:pStyle w:val="Heading1"/>
        <w:bidi/>
        <w:rPr>
          <w:rFonts w:ascii="T" w:hAnsi="T" w:cs="Simplified Arabic"/>
          <w:b/>
          <w:bCs/>
          <w:color w:val="auto"/>
          <w:sz w:val="24"/>
          <w:szCs w:val="24"/>
          <w:rtl/>
        </w:rPr>
      </w:pPr>
      <w:bookmarkStart w:id="43" w:name="_Toc234607877"/>
      <w:r w:rsidRPr="005D59A7">
        <w:rPr>
          <w:rFonts w:ascii="T" w:hAnsi="T" w:cs="Simplified Arabic"/>
          <w:b/>
          <w:bCs/>
          <w:color w:val="auto"/>
          <w:sz w:val="24"/>
          <w:szCs w:val="24"/>
          <w:rtl/>
        </w:rPr>
        <w:t>النظريات المفسرة</w:t>
      </w:r>
      <w:bookmarkEnd w:id="43"/>
    </w:p>
    <w:p w14:paraId="1F6D7ACC" w14:textId="2165703E" w:rsidR="001F38D7" w:rsidRPr="005D59A7" w:rsidRDefault="001F38D7" w:rsidP="00E25EBC">
      <w:pPr>
        <w:pStyle w:val="Heading2"/>
        <w:bidi/>
        <w:rPr>
          <w:rFonts w:ascii="T" w:hAnsi="T" w:cs="Simplified Arabic"/>
          <w:b/>
          <w:bCs/>
          <w:color w:val="auto"/>
          <w:sz w:val="24"/>
          <w:szCs w:val="24"/>
          <w:rtl/>
        </w:rPr>
      </w:pPr>
      <w:bookmarkStart w:id="44" w:name="_Toc234607878"/>
      <w:r w:rsidRPr="005D59A7">
        <w:rPr>
          <w:rFonts w:ascii="T" w:hAnsi="T" w:cs="Simplified Arabic"/>
          <w:b/>
          <w:bCs/>
          <w:color w:val="auto"/>
          <w:sz w:val="24"/>
          <w:szCs w:val="24"/>
          <w:rtl/>
        </w:rPr>
        <w:t>نظرية الوكالة</w:t>
      </w:r>
      <w:r w:rsidRPr="005D59A7">
        <w:rPr>
          <w:rFonts w:ascii="T" w:hAnsi="T" w:cs="Simplified Arabic"/>
          <w:b/>
          <w:bCs/>
          <w:color w:val="auto"/>
          <w:sz w:val="24"/>
          <w:szCs w:val="24"/>
        </w:rPr>
        <w:t xml:space="preserve"> (Agency Theory)</w:t>
      </w:r>
      <w:bookmarkEnd w:id="44"/>
    </w:p>
    <w:p w14:paraId="460CA2D3"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أولاً: مفهوم نظرية الوكالة وأساسها الفكري</w:t>
      </w:r>
    </w:p>
    <w:p w14:paraId="6DCF53C3" w14:textId="0D899C33"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تعد نظرية الوكالة من النظريات المحورية في الفكر الإداري والاقتصادي المعاصر، حيث تسعى إلى تفسير العلاقات التعاقدية بين الأطراف المختلفة وفهم التحديات التي تنشأ عن فصل الملكية عن الإدارة. تعود جذور هذه النظرية إلى أعمال</w:t>
      </w:r>
      <w:r w:rsidRPr="005D59A7">
        <w:rPr>
          <w:rFonts w:ascii="T" w:hAnsi="T" w:cs="Simplified Arabic"/>
          <w:sz w:val="24"/>
          <w:szCs w:val="24"/>
        </w:rPr>
        <w:t xml:space="preserve"> Ross (1973) </w:t>
      </w:r>
      <w:r w:rsidRPr="005D59A7">
        <w:rPr>
          <w:rFonts w:ascii="T" w:hAnsi="T" w:cs="Simplified Arabic"/>
          <w:sz w:val="24"/>
          <w:szCs w:val="24"/>
          <w:rtl/>
        </w:rPr>
        <w:t>الذي صاغ مفهوم "علاقة الوكالة" لأول مرة، و</w:t>
      </w:r>
      <w:r w:rsidRPr="005D59A7">
        <w:rPr>
          <w:rFonts w:ascii="T" w:hAnsi="T" w:cs="Simplified Arabic"/>
          <w:sz w:val="24"/>
          <w:szCs w:val="24"/>
        </w:rPr>
        <w:t xml:space="preserve">Jensen &amp; Meckling (1976) </w:t>
      </w:r>
      <w:r w:rsidRPr="005D59A7">
        <w:rPr>
          <w:rFonts w:ascii="T" w:hAnsi="T" w:cs="Simplified Arabic"/>
          <w:sz w:val="24"/>
          <w:szCs w:val="24"/>
          <w:rtl/>
        </w:rPr>
        <w:t xml:space="preserve"> الذين قدما التعريف الكلاسيكي للنظرية. في جوهرها، تتناول نظرية الوكالة العلاقة بين "الأصيل</w:t>
      </w:r>
      <w:r w:rsidRPr="005D59A7">
        <w:rPr>
          <w:rFonts w:ascii="T" w:hAnsi="T" w:cs="Simplified Arabic"/>
          <w:sz w:val="24"/>
          <w:szCs w:val="24"/>
        </w:rPr>
        <w:t xml:space="preserve">" (Principal) </w:t>
      </w:r>
      <w:r w:rsidRPr="005D59A7">
        <w:rPr>
          <w:rFonts w:ascii="T" w:hAnsi="T" w:cs="Simplified Arabic"/>
          <w:sz w:val="24"/>
          <w:szCs w:val="24"/>
          <w:rtl/>
        </w:rPr>
        <w:t>الذي يفوض سلطاته وصلاحياته، و"الوكيل</w:t>
      </w:r>
      <w:r w:rsidRPr="005D59A7">
        <w:rPr>
          <w:rFonts w:ascii="T" w:hAnsi="T" w:cs="Simplified Arabic"/>
          <w:sz w:val="24"/>
          <w:szCs w:val="24"/>
        </w:rPr>
        <w:t xml:space="preserve">" (Agent) </w:t>
      </w:r>
      <w:r w:rsidRPr="005D59A7">
        <w:rPr>
          <w:rFonts w:ascii="T" w:hAnsi="T" w:cs="Simplified Arabic"/>
          <w:sz w:val="24"/>
          <w:szCs w:val="24"/>
          <w:rtl/>
        </w:rPr>
        <w:t>الذي يتولى تنفيذ المهام نيابة عن الأصيل</w:t>
      </w:r>
      <w:r w:rsidRPr="005D59A7">
        <w:rPr>
          <w:rFonts w:ascii="T" w:hAnsi="T" w:cs="Simplified Arabic"/>
          <w:sz w:val="24"/>
          <w:szCs w:val="24"/>
        </w:rPr>
        <w:t>.</w:t>
      </w:r>
    </w:p>
    <w:p w14:paraId="72326004"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تفسر نظرية الوكالة كيفية تنظيم العلاقة بين المالكين (الأصيل) والمديرين (الوكيل) في المنظمات، حيث يفوض المالكون سلطات اتخاذ القرار إلى المديرين لإدارة أعمالهم. غير أن هذا التفويض يخلق حالة من عدم تطابق المصالح، حيث قد يسعى الوكيل لتحقيق أهدافه الشخصية على حساب مصالح الأصيل. وتلعب آليات حوكمة الشركات دوراً حاسماً في الحد من الآثار السلبية الناجمة عن هذه العلاقة، من خلال وضع أنظمة رقابية وحوافز مناسبة تهدف إلى مواءمة مصالح الطرفين</w:t>
      </w:r>
      <w:r w:rsidRPr="005D59A7">
        <w:rPr>
          <w:rFonts w:ascii="T" w:hAnsi="T" w:cs="Simplified Arabic"/>
          <w:sz w:val="24"/>
          <w:szCs w:val="24"/>
        </w:rPr>
        <w:t xml:space="preserve"> (Salem, </w:t>
      </w:r>
      <w:proofErr w:type="spellStart"/>
      <w:r w:rsidRPr="005D59A7">
        <w:rPr>
          <w:rFonts w:ascii="T" w:hAnsi="T" w:cs="Simplified Arabic"/>
          <w:sz w:val="24"/>
          <w:szCs w:val="24"/>
        </w:rPr>
        <w:t>Zbain</w:t>
      </w:r>
      <w:proofErr w:type="spellEnd"/>
      <w:r w:rsidRPr="005D59A7">
        <w:rPr>
          <w:rFonts w:ascii="T" w:hAnsi="T" w:cs="Simplified Arabic"/>
          <w:sz w:val="24"/>
          <w:szCs w:val="24"/>
        </w:rPr>
        <w:t>, &amp; Abdullah, 2021).</w:t>
      </w:r>
    </w:p>
    <w:p w14:paraId="6E7C10E0" w14:textId="1E293CC3"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تطورت نظرية الوكالة عبر الزمن لتشمل تحليلاً أعمق لمشكلة "عدم تطابق المصالح</w:t>
      </w:r>
      <w:r w:rsidRPr="005D59A7">
        <w:rPr>
          <w:rFonts w:ascii="T" w:hAnsi="T" w:cs="Simplified Arabic"/>
          <w:sz w:val="24"/>
          <w:szCs w:val="24"/>
        </w:rPr>
        <w:t xml:space="preserve">" (Interest Misalignment) </w:t>
      </w:r>
      <w:r w:rsidRPr="005D59A7">
        <w:rPr>
          <w:rFonts w:ascii="T" w:hAnsi="T" w:cs="Simplified Arabic"/>
          <w:sz w:val="24"/>
          <w:szCs w:val="24"/>
          <w:rtl/>
        </w:rPr>
        <w:t>بين الأصيل والوكيل، وكيفية تصميم آليات الحوافز والرقابة للتخفيف من هذه المشكلة. وقد ساهمت أعمال</w:t>
      </w:r>
      <w:r w:rsidRPr="005D59A7">
        <w:rPr>
          <w:rFonts w:ascii="T" w:hAnsi="T" w:cs="Simplified Arabic"/>
          <w:sz w:val="24"/>
          <w:szCs w:val="24"/>
        </w:rPr>
        <w:t xml:space="preserve"> Eisenhardt (1989) </w:t>
      </w:r>
      <w:r w:rsidRPr="005D59A7">
        <w:rPr>
          <w:rFonts w:ascii="T" w:hAnsi="T" w:cs="Simplified Arabic"/>
          <w:sz w:val="24"/>
          <w:szCs w:val="24"/>
          <w:rtl/>
        </w:rPr>
        <w:t>في تقديم توليفة شاملة لنظرية الوكالة، حيث ميزت بين سيناريوهين رئيسيين: الأول عندما يكون سلوك الوكيل قابلاً للملاحظة</w:t>
      </w:r>
      <w:r w:rsidRPr="005D59A7">
        <w:rPr>
          <w:rFonts w:ascii="T" w:hAnsi="T" w:cs="Simplified Arabic"/>
          <w:sz w:val="24"/>
          <w:szCs w:val="24"/>
        </w:rPr>
        <w:t xml:space="preserve"> (Behavior-Based Contracting)</w:t>
      </w:r>
      <w:r w:rsidRPr="005D59A7">
        <w:rPr>
          <w:rFonts w:ascii="T" w:hAnsi="T" w:cs="Simplified Arabic"/>
          <w:sz w:val="24"/>
          <w:szCs w:val="24"/>
          <w:rtl/>
        </w:rPr>
        <w:t>، والثاني عندما تكون النتائج فقط هي القابلة للقياس</w:t>
      </w:r>
      <w:r w:rsidRPr="005D59A7">
        <w:rPr>
          <w:rFonts w:ascii="T" w:hAnsi="T" w:cs="Simplified Arabic"/>
          <w:sz w:val="24"/>
          <w:szCs w:val="24"/>
        </w:rPr>
        <w:t xml:space="preserve"> (Outcome-Based Contracting).</w:t>
      </w:r>
    </w:p>
    <w:p w14:paraId="2B1CE47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في سياق العلاقات التعاقدية بين القطاعين العام والخاص، طُبقت نظرية الوكالة بشكل متزايد لفهم التحديات التي تنشأ عندما يفوض القطاع العام (الأصيل) مسؤوليات تشغيلية إلى القطاع الخاص (الوكيل). وتشير أدبيات الحوكمة إلى أن المنظمات تبنت بشكل متزايد نماذج الشراكة كاستجابة للضغوط الهيكلية ولتوسيع نطاق سلطتها في مجالات جديدة، مما يعكس تطبيقًا لمبادئ نظرية الوكالة في السياقات متعددة الأطراف</w:t>
      </w:r>
      <w:r w:rsidRPr="005D59A7">
        <w:rPr>
          <w:rFonts w:ascii="T" w:hAnsi="T" w:cs="Simplified Arabic"/>
          <w:sz w:val="24"/>
          <w:szCs w:val="24"/>
        </w:rPr>
        <w:t xml:space="preserve"> (Salem, </w:t>
      </w:r>
      <w:proofErr w:type="spellStart"/>
      <w:r w:rsidRPr="005D59A7">
        <w:rPr>
          <w:rFonts w:ascii="T" w:hAnsi="T" w:cs="Simplified Arabic"/>
          <w:sz w:val="24"/>
          <w:szCs w:val="24"/>
        </w:rPr>
        <w:t>Zbain</w:t>
      </w:r>
      <w:proofErr w:type="spellEnd"/>
      <w:r w:rsidRPr="005D59A7">
        <w:rPr>
          <w:rFonts w:ascii="T" w:hAnsi="T" w:cs="Simplified Arabic"/>
          <w:sz w:val="24"/>
          <w:szCs w:val="24"/>
        </w:rPr>
        <w:t>, &amp; Abdullah, 2021).</w:t>
      </w:r>
    </w:p>
    <w:p w14:paraId="5DE47AE7"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ثانياً: الافتراضات الأساسية لنظرية الوكالة</w:t>
      </w:r>
    </w:p>
    <w:p w14:paraId="214BD36D"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تقوم نظرية الوكالة على مجموعة من الافتراضات الأساسية التي تشكل الأساس المنطقي لفهم العلاقة بين الأصيل والوكيل. تساعد هذه الافتراضات في تفسير التحديات التي تنشأ في العلاقات التعاقدية وتوجيه تصميم آليات الحوكمة المناسبة</w:t>
      </w:r>
      <w:r w:rsidRPr="005D59A7">
        <w:rPr>
          <w:rFonts w:ascii="T" w:hAnsi="T" w:cs="Simplified Arabic"/>
          <w:sz w:val="24"/>
          <w:szCs w:val="24"/>
        </w:rPr>
        <w:t>.</w:t>
      </w:r>
    </w:p>
    <w:p w14:paraId="51838C17" w14:textId="28E136CC" w:rsidR="001F38D7" w:rsidRPr="005D59A7" w:rsidRDefault="001F38D7" w:rsidP="0045581D">
      <w:pPr>
        <w:pStyle w:val="ListParagraph"/>
        <w:numPr>
          <w:ilvl w:val="0"/>
          <w:numId w:val="29"/>
        </w:num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افتراض تضارب المصالح</w:t>
      </w:r>
      <w:r w:rsidRPr="005D59A7">
        <w:rPr>
          <w:rFonts w:ascii="T" w:hAnsi="T" w:cs="Simplified Arabic"/>
          <w:sz w:val="24"/>
          <w:szCs w:val="24"/>
        </w:rPr>
        <w:t xml:space="preserve"> (Conflict of Interest):</w:t>
      </w:r>
    </w:p>
    <w:p w14:paraId="6DB35A6C"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يفترض أن الأصيل والوكيل لديهما أهداف ومصالح مختلفة. فالأصيل يسعى إلى تحقيق أهداف اجتماعية وخدماتية عامة (مثل جودة التفتيش البيئي، والامتثال للمعايير)، بينما يسعى الوكيل إلى تعظيم أرباحه وتقليل تكاليفه. هذا التضارب في المصالح يخلق حاجة إلى آليات رقابية وحوافز لمواءمة سلوك الوكيل مع أهداف الأصيل</w:t>
      </w:r>
      <w:r w:rsidRPr="005D59A7">
        <w:rPr>
          <w:rFonts w:ascii="T" w:hAnsi="T" w:cs="Simplified Arabic"/>
          <w:sz w:val="24"/>
          <w:szCs w:val="24"/>
        </w:rPr>
        <w:t xml:space="preserve"> (Jensen &amp; Meckling, 1976).</w:t>
      </w:r>
    </w:p>
    <w:p w14:paraId="75FED098"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يتجلى هذا التضارب بوضوح في سياق الشراكات بين القطاعين العام والخاص، حيث تسعى الجهات الحكومية إلى تحقيق أهداف اجتماعية وبيئية، بينما يسعى الشركاء من القطاع الخاص إلى تعظيم عوائدهم المالية. </w:t>
      </w:r>
      <w:r w:rsidRPr="005D59A7">
        <w:rPr>
          <w:rFonts w:ascii="T" w:hAnsi="T" w:cs="Simplified Arabic"/>
          <w:sz w:val="24"/>
          <w:szCs w:val="24"/>
          <w:rtl/>
        </w:rPr>
        <w:lastRenderedPageBreak/>
        <w:t>وقد أشارت الدراسات إلى أن آليات حوكمة الشركات تلعب دورًا محوريًا في معالجة هذا التضارب من خلال وضع أطر تنظيمية تحدد مسؤوليات وواجبات كل طرف (محمد علي خيري ويسري، 2022)</w:t>
      </w:r>
      <w:r w:rsidRPr="005D59A7">
        <w:rPr>
          <w:rFonts w:ascii="T" w:hAnsi="T" w:cs="Simplified Arabic"/>
          <w:sz w:val="24"/>
          <w:szCs w:val="24"/>
        </w:rPr>
        <w:t>.</w:t>
      </w:r>
    </w:p>
    <w:p w14:paraId="3945130E" w14:textId="54B6E2F3" w:rsidR="001F38D7" w:rsidRPr="005D59A7" w:rsidRDefault="001F38D7" w:rsidP="0045581D">
      <w:pPr>
        <w:pStyle w:val="ListParagraph"/>
        <w:numPr>
          <w:ilvl w:val="0"/>
          <w:numId w:val="29"/>
        </w:num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افتراض عدم تماثل المعلومات</w:t>
      </w:r>
      <w:r w:rsidRPr="005D59A7">
        <w:rPr>
          <w:rFonts w:ascii="T" w:hAnsi="T" w:cs="Simplified Arabic"/>
          <w:sz w:val="24"/>
          <w:szCs w:val="24"/>
        </w:rPr>
        <w:t xml:space="preserve"> (Information Asymmetry):</w:t>
      </w:r>
    </w:p>
    <w:p w14:paraId="4C0C3C6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يفترض أن الوكيل يمتلك معلومات أكثر من الأصيل حول العمليات التشغيلية والتكاليف والجهد المبذول. في سياق التفتيش البيئي، يكون للقطاع الخاص (المكلف بتنفيذ التفتيش) معلومات تفصيلية عن كيفية تنفيذ الزيارات التفتيشية، وجودة المفتشين، وكفاءة الإجراءات، بينما يفتقر القطاع العام إلى هذه المعلومات التفصيلية. هذا التفاوت في المعلومات يخلق إمكانية للسلوك الانتهازي من قبل الوكيل</w:t>
      </w:r>
      <w:r w:rsidRPr="005D59A7">
        <w:rPr>
          <w:rFonts w:ascii="T" w:hAnsi="T" w:cs="Simplified Arabic"/>
          <w:sz w:val="24"/>
          <w:szCs w:val="24"/>
        </w:rPr>
        <w:t xml:space="preserve"> (Eisenhardt, 1989).</w:t>
      </w:r>
    </w:p>
    <w:p w14:paraId="3AB86BBD" w14:textId="5F8F2FC6"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تشير الأدبيات إلى أن عدم تماثل المعلومات يعد من أهم التحديات التي تواجه العلاقات التعاقدية، حيث يمكن للوكيل استغلال هذه المعلومات لصالحه على حساب الأصيل. وتؤكد الدراسات أن آليات التحصين الإداري</w:t>
      </w:r>
      <w:r w:rsidRPr="005D59A7">
        <w:rPr>
          <w:rFonts w:ascii="T" w:hAnsi="T" w:cs="Simplified Arabic"/>
          <w:sz w:val="24"/>
          <w:szCs w:val="24"/>
        </w:rPr>
        <w:t xml:space="preserve"> (Managerial Entrenchment) </w:t>
      </w:r>
      <w:r w:rsidRPr="005D59A7">
        <w:rPr>
          <w:rFonts w:ascii="T" w:hAnsi="T" w:cs="Simplified Arabic"/>
          <w:sz w:val="24"/>
          <w:szCs w:val="24"/>
          <w:rtl/>
        </w:rPr>
        <w:t>يمكن أن تؤثر بشكل كبير على سلوك التكلفة غير المتماثل، حيث يستغل المديرون عدم تماثل المعلومات لتحقيق أهدافهم الشخصية (يسري،اخرون, 2022؛ عفيفي ,اخرون، 2023)</w:t>
      </w:r>
      <w:r w:rsidRPr="005D59A7">
        <w:rPr>
          <w:rFonts w:ascii="T" w:hAnsi="T" w:cs="Simplified Arabic"/>
          <w:sz w:val="24"/>
          <w:szCs w:val="24"/>
        </w:rPr>
        <w:t>.</w:t>
      </w:r>
    </w:p>
    <w:p w14:paraId="2934C408" w14:textId="1328AF07" w:rsidR="001F38D7" w:rsidRPr="005D59A7" w:rsidRDefault="001F38D7" w:rsidP="0045581D">
      <w:pPr>
        <w:pStyle w:val="ListParagraph"/>
        <w:numPr>
          <w:ilvl w:val="0"/>
          <w:numId w:val="29"/>
        </w:num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افتراض السلوك الانتهازي</w:t>
      </w:r>
      <w:r w:rsidRPr="005D59A7">
        <w:rPr>
          <w:rFonts w:ascii="T" w:hAnsi="T" w:cs="Simplified Arabic"/>
          <w:sz w:val="24"/>
          <w:szCs w:val="24"/>
        </w:rPr>
        <w:t xml:space="preserve"> (Opportunism):</w:t>
      </w:r>
    </w:p>
    <w:p w14:paraId="0DE62B51"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يفترض أن الأطراف الاقتصادية قد تسعى لتحقيق مصالحها الخاصة بوسائل قد لا تكون شفافة أو نزيهة، بما في ذلك إخفاء المعلومات أو تشويهها. هذا السلوك، الذي يُعرِّف</w:t>
      </w:r>
      <w:r w:rsidRPr="005D59A7">
        <w:rPr>
          <w:rFonts w:ascii="T" w:hAnsi="T" w:cs="Simplified Arabic"/>
          <w:sz w:val="24"/>
          <w:szCs w:val="24"/>
        </w:rPr>
        <w:t xml:space="preserve"> Williamson (1975) </w:t>
      </w:r>
      <w:r w:rsidRPr="005D59A7">
        <w:rPr>
          <w:rFonts w:ascii="T" w:hAnsi="T" w:cs="Simplified Arabic"/>
          <w:sz w:val="24"/>
          <w:szCs w:val="24"/>
          <w:rtl/>
        </w:rPr>
        <w:t>بأنه "السعي وراء المصلحة الذاتية بالمكر والخداع"، يُعد تحديًا رئيسيًا في العلاقات التعاقدية، خاصة عندما تكون العقود غير مكتملة</w:t>
      </w:r>
      <w:r w:rsidRPr="005D59A7">
        <w:rPr>
          <w:rFonts w:ascii="T" w:hAnsi="T" w:cs="Simplified Arabic"/>
          <w:sz w:val="24"/>
          <w:szCs w:val="24"/>
        </w:rPr>
        <w:t xml:space="preserve"> (Williamson, 1985).</w:t>
      </w:r>
    </w:p>
    <w:p w14:paraId="0E421E2C" w14:textId="23276293"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في نماذج التوريد التقليدية، قد يتجلى السلوك الانتهازي في تقديم جودة أقل من المتفق عليها، أو تضخيم ساعات العمل، أو تقليل الجهد المبذول في التدقيق. وقد أشارت الدراسات إلى أن السلوك الانتهازي يرتبط ارتباطًا وثيقًا بمشكلة التحصين الإداري، حيث يسعى المديرون إلى تعزيز مواقعهم وزيادة قوتهم التفاوضية على حساب المالكين (عفيفي ,اخرون، 2023)</w:t>
      </w:r>
      <w:r w:rsidRPr="005D59A7">
        <w:rPr>
          <w:rFonts w:ascii="T" w:hAnsi="T" w:cs="Simplified Arabic"/>
          <w:sz w:val="24"/>
          <w:szCs w:val="24"/>
        </w:rPr>
        <w:t>.</w:t>
      </w:r>
    </w:p>
    <w:p w14:paraId="33DC1BD3" w14:textId="38FD5DCC" w:rsidR="001F38D7" w:rsidRPr="005D59A7" w:rsidRDefault="001F38D7" w:rsidP="0045581D">
      <w:pPr>
        <w:pStyle w:val="ListParagraph"/>
        <w:numPr>
          <w:ilvl w:val="0"/>
          <w:numId w:val="29"/>
        </w:num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افتراض العقلانية المحدودة</w:t>
      </w:r>
      <w:r w:rsidRPr="005D59A7">
        <w:rPr>
          <w:rFonts w:ascii="T" w:hAnsi="T" w:cs="Simplified Arabic"/>
          <w:sz w:val="24"/>
          <w:szCs w:val="24"/>
        </w:rPr>
        <w:t xml:space="preserve"> (Bounded Rationality):</w:t>
      </w:r>
    </w:p>
    <w:p w14:paraId="4B66356E"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تترتب على العقلانية المحدودة عدة آثار مهمة في سياق الشراكات بين القطاعين العام والخاص. أولاً، يصعب توقع جميع المخاطر المحتملة وتوزيعها بشكل مسبق. ثانيًا، تظهر الحاجة إلى آليات تكيف وتعديل خلال فترة العقد. ثالثًا، تبرز أهمية الثقة والسمعة كآليات تكميلية للعقود المكتوبة. وقد أشارت الدراسات إلى أن فهم هذه الافتراضات يساعد في تصميم عقود أكثر مرونة وفعالية (بتول وعلي وخلف، 2011)</w:t>
      </w:r>
      <w:r w:rsidRPr="005D59A7">
        <w:rPr>
          <w:rFonts w:ascii="T" w:hAnsi="T" w:cs="Simplified Arabic"/>
          <w:sz w:val="24"/>
          <w:szCs w:val="24"/>
        </w:rPr>
        <w:t>.</w:t>
      </w:r>
    </w:p>
    <w:p w14:paraId="0217308E"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ثالثاً: تكاليف الوكالة</w:t>
      </w:r>
      <w:r w:rsidRPr="005D59A7">
        <w:rPr>
          <w:rFonts w:ascii="T" w:hAnsi="T" w:cs="Simplified Arabic"/>
          <w:b/>
          <w:bCs/>
          <w:sz w:val="24"/>
          <w:szCs w:val="24"/>
        </w:rPr>
        <w:t xml:space="preserve"> (Agency Costs)</w:t>
      </w:r>
    </w:p>
    <w:p w14:paraId="4EAE69F0"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تُعرّف تكاليف الوكالة بأنها إجمالي التكاليف الناشئة عن علاقة الوكالة، وتشمل ثلاثة أنواع رئيسية</w:t>
      </w:r>
      <w:r w:rsidRPr="005D59A7">
        <w:rPr>
          <w:rFonts w:ascii="T" w:hAnsi="T" w:cs="Simplified Arabic"/>
          <w:sz w:val="24"/>
          <w:szCs w:val="24"/>
        </w:rPr>
        <w:t>:</w:t>
      </w:r>
    </w:p>
    <w:p w14:paraId="1CA14F15"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النوع الأول: تكاليف المراقبة</w:t>
      </w:r>
      <w:r w:rsidRPr="005D59A7">
        <w:rPr>
          <w:rFonts w:ascii="T" w:hAnsi="T" w:cs="Simplified Arabic"/>
          <w:sz w:val="24"/>
          <w:szCs w:val="24"/>
        </w:rPr>
        <w:t xml:space="preserve"> (Monitoring Costs):</w:t>
      </w:r>
    </w:p>
    <w:p w14:paraId="4ED184A9"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تمثل التكاليف التي يتحملها الأصيل لمراقبة سلوك الوكيل والتأكد من امتثاله للعقد. تشمل هذه التكاليف أنظمة الإبلاغ الدوري، والتدقيق المستقل، وأنظمة التفتيش المزدوج، والرقابة الداخلية. في سياق التفتيش البيئي، تشمل تكاليف المراقبة الإشراف على أداء القطاع الخاص، وتكاليف أنظمة الرقابة الداخلية، وتكاليف التدقيق والمراجعة</w:t>
      </w:r>
      <w:r w:rsidRPr="005D59A7">
        <w:rPr>
          <w:rFonts w:ascii="T" w:hAnsi="T" w:cs="Simplified Arabic"/>
          <w:sz w:val="24"/>
          <w:szCs w:val="24"/>
        </w:rPr>
        <w:t xml:space="preserve"> (Jensen &amp; Meckling, 1976).</w:t>
      </w:r>
    </w:p>
    <w:p w14:paraId="2DD660A5"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تشير الأدبيات إلى أن تكاليف المراقبة يمكن تخفيضها من خلال تصميم أنظمة حوافز فعالة تقلل من الحاجة إلى المراقبة المباشرة. فقد أظهرت الدراسات أن آليات حوكمة الشركات الفعالة تساهم في خفض تكاليف المراقبة من خلال تحسين شفافية المعلومات وتعزيز المساءلة</w:t>
      </w:r>
      <w:r w:rsidRPr="005D59A7">
        <w:rPr>
          <w:rFonts w:ascii="T" w:hAnsi="T" w:cs="Simplified Arabic"/>
          <w:sz w:val="24"/>
          <w:szCs w:val="24"/>
        </w:rPr>
        <w:t xml:space="preserve"> (Salem, </w:t>
      </w:r>
      <w:proofErr w:type="spellStart"/>
      <w:r w:rsidRPr="005D59A7">
        <w:rPr>
          <w:rFonts w:ascii="T" w:hAnsi="T" w:cs="Simplified Arabic"/>
          <w:sz w:val="24"/>
          <w:szCs w:val="24"/>
        </w:rPr>
        <w:t>Zbain</w:t>
      </w:r>
      <w:proofErr w:type="spellEnd"/>
      <w:r w:rsidRPr="005D59A7">
        <w:rPr>
          <w:rFonts w:ascii="T" w:hAnsi="T" w:cs="Simplified Arabic"/>
          <w:sz w:val="24"/>
          <w:szCs w:val="24"/>
        </w:rPr>
        <w:t>, &amp; Abdullah, 2021).</w:t>
      </w:r>
    </w:p>
    <w:p w14:paraId="6C5EE223"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النوع الثاني: تكاليف التزام</w:t>
      </w:r>
      <w:r w:rsidRPr="005D59A7">
        <w:rPr>
          <w:rFonts w:ascii="T" w:hAnsi="T" w:cs="Simplified Arabic"/>
          <w:sz w:val="24"/>
          <w:szCs w:val="24"/>
        </w:rPr>
        <w:t xml:space="preserve"> (Bonding Costs):</w:t>
      </w:r>
    </w:p>
    <w:p w14:paraId="67190438"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تمثل التكاليف التي يتحملها الوكيل لإثبات التزامه بتنفيذ العقد وفقًا لشروطه. تشمل هذه التكاليف تقديم الضمانات البنكية، وتكاليف إعداد التقارير الدورية، وتكاليف الامتثال لمعايير الجودة، وتكاليف التأمين ضد المخاطر. يتحمل الوكيل هذه التكاليف بهدف طمأنة الأصيل بأنه سينفذ العقد بأمانة وكفاءة</w:t>
      </w:r>
      <w:r w:rsidRPr="005D59A7">
        <w:rPr>
          <w:rFonts w:ascii="T" w:hAnsi="T" w:cs="Simplified Arabic"/>
          <w:sz w:val="24"/>
          <w:szCs w:val="24"/>
        </w:rPr>
        <w:t xml:space="preserve"> (Jensen &amp; Meckling, 1976).</w:t>
      </w:r>
    </w:p>
    <w:p w14:paraId="03E47538" w14:textId="5CA5FA5D"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أشارت دراسة </w:t>
      </w:r>
      <w:r w:rsidR="003709B2" w:rsidRPr="005D59A7">
        <w:rPr>
          <w:rFonts w:ascii="T" w:hAnsi="T" w:cs="Simplified Arabic"/>
          <w:sz w:val="24"/>
          <w:szCs w:val="24"/>
          <w:rtl/>
        </w:rPr>
        <w:t>نوري,اخرون</w:t>
      </w:r>
      <w:r w:rsidRPr="005D59A7">
        <w:rPr>
          <w:rFonts w:ascii="T" w:hAnsi="T" w:cs="Simplified Arabic"/>
          <w:sz w:val="24"/>
          <w:szCs w:val="24"/>
          <w:rtl/>
        </w:rPr>
        <w:t xml:space="preserve"> (2011) إلى أن تكاليف الالتزام تلعب دورًا مهمًا في بناء الثقة بين الأصيل والوكيل، حيث تعمل كإشارة</w:t>
      </w:r>
      <w:r w:rsidRPr="005D59A7">
        <w:rPr>
          <w:rFonts w:ascii="T" w:hAnsi="T" w:cs="Simplified Arabic"/>
          <w:sz w:val="24"/>
          <w:szCs w:val="24"/>
        </w:rPr>
        <w:t xml:space="preserve"> (Signaling) </w:t>
      </w:r>
      <w:r w:rsidRPr="005D59A7">
        <w:rPr>
          <w:rFonts w:ascii="T" w:hAnsi="T" w:cs="Simplified Arabic"/>
          <w:sz w:val="24"/>
          <w:szCs w:val="24"/>
          <w:rtl/>
        </w:rPr>
        <w:t>على نزاهة وكفاءة الوكيل. كما أشارت إلى أن حوكمة الشركات تساهم في تخفيض هذه التكاليف من خلال وضع معايير موحدة للإفصاح والشفافية</w:t>
      </w:r>
      <w:r w:rsidRPr="005D59A7">
        <w:rPr>
          <w:rFonts w:ascii="T" w:hAnsi="T" w:cs="Simplified Arabic"/>
          <w:sz w:val="24"/>
          <w:szCs w:val="24"/>
        </w:rPr>
        <w:t>.</w:t>
      </w:r>
    </w:p>
    <w:p w14:paraId="161D6C2E"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النوع الثالث: الخسارة المتبقية</w:t>
      </w:r>
      <w:r w:rsidRPr="005D59A7">
        <w:rPr>
          <w:rFonts w:ascii="T" w:hAnsi="T" w:cs="Simplified Arabic"/>
          <w:sz w:val="24"/>
          <w:szCs w:val="24"/>
        </w:rPr>
        <w:t xml:space="preserve"> (Residual Loss):</w:t>
      </w:r>
    </w:p>
    <w:p w14:paraId="0655678F"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تمثل الخسارة في قيمة العقد الناتجة عن الفجوة بين قرارات الوكيل والقرارات التي كان سيتخذها الأصيل لو كان لديه نفس المعلومات. هذه الخسارة هي "الثمن" الذي يدفعه الأصيل مقابل تفويض السلطة للوكيل، وهي تنشأ حتى في ظل وجود أنظمة مراقبة وحوافز مثالية</w:t>
      </w:r>
      <w:r w:rsidRPr="005D59A7">
        <w:rPr>
          <w:rFonts w:ascii="T" w:hAnsi="T" w:cs="Simplified Arabic"/>
          <w:sz w:val="24"/>
          <w:szCs w:val="24"/>
        </w:rPr>
        <w:t xml:space="preserve"> (Jensen &amp; Meckling, 1976).</w:t>
      </w:r>
    </w:p>
    <w:p w14:paraId="653A6901"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في سياق خدمة التفتيش البيئي، تتجلى الخسارة المتبقية في انخفاض جودة التفتيش، وزيادة نسبة المخالفات المرفوضة، وتراجع كفاءة التغطية، والعجز المالي المستمر. وقد أظهرت البيانات أن النموذج التقليدي للتفتيش البيئي عانى من خسارة متبقية كبيرة تمثلت في عجز مالي بلغ 41 مليون ريال خلال الفترة 2017-2019 (المركز الوطني للرقابة على الالتزام البيئي، 2020)</w:t>
      </w:r>
      <w:r w:rsidRPr="005D59A7">
        <w:rPr>
          <w:rFonts w:ascii="T" w:hAnsi="T" w:cs="Simplified Arabic"/>
          <w:sz w:val="24"/>
          <w:szCs w:val="24"/>
        </w:rPr>
        <w:t>.</w:t>
      </w:r>
    </w:p>
    <w:p w14:paraId="51A2F5D5"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رابعاً: مشكلة الوكيل-الأصيل في عقود الشراكة</w:t>
      </w:r>
    </w:p>
    <w:p w14:paraId="73BDC803"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تتجسد مشكلة الوكيل-الأصيل في عقود الشراكة بين القطاعين العام والخاص في عدة أبعاد رئيسية</w:t>
      </w:r>
      <w:r w:rsidRPr="005D59A7">
        <w:rPr>
          <w:rFonts w:ascii="T" w:hAnsi="T" w:cs="Simplified Arabic"/>
          <w:sz w:val="24"/>
          <w:szCs w:val="24"/>
        </w:rPr>
        <w:t>:</w:t>
      </w:r>
    </w:p>
    <w:p w14:paraId="238E745F"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البعد الأول: مشكلة الاختيار السلبي</w:t>
      </w:r>
      <w:r w:rsidRPr="005D59A7">
        <w:rPr>
          <w:rFonts w:ascii="T" w:hAnsi="T" w:cs="Simplified Arabic"/>
          <w:sz w:val="24"/>
          <w:szCs w:val="24"/>
        </w:rPr>
        <w:t xml:space="preserve"> (Adverse Selection):</w:t>
      </w:r>
    </w:p>
    <w:p w14:paraId="17A4AF0E"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تحدث قبل توقيع العقد، حيث قد يقدم الوكيل معلومات غير دقيقة حول قدراته وكفاءاته بهدف الفوز بالعقد. في مشاريع التفتيش البيئي، قد تبالغ الشركات المتقدمة في تقدير قدرتها على تغطية عدد معين من المنشآت أو تحقيق مستويات جودة محددة</w:t>
      </w:r>
      <w:r w:rsidRPr="005D59A7">
        <w:rPr>
          <w:rFonts w:ascii="T" w:hAnsi="T" w:cs="Simplified Arabic"/>
          <w:sz w:val="24"/>
          <w:szCs w:val="24"/>
        </w:rPr>
        <w:t xml:space="preserve"> (Eisenhardt, 1989).</w:t>
      </w:r>
    </w:p>
    <w:p w14:paraId="5CB49628" w14:textId="2C71F414"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تشير الأدبيات إلى أن آليات التحصين الإداري تساهم في تفاقم مشكلة الاختيار السلبي، حيث يسعى المديرون إلى إظهار أداء أفضل من حقيقتهم بهدف تعزيز مواقعهم وزيادة قوتهم التفاوضية. وقد أظهرت الدراسات </w:t>
      </w:r>
      <w:r w:rsidRPr="005D59A7">
        <w:rPr>
          <w:rFonts w:ascii="T" w:hAnsi="T" w:cs="Simplified Arabic"/>
          <w:sz w:val="24"/>
          <w:szCs w:val="24"/>
          <w:rtl/>
        </w:rPr>
        <w:lastRenderedPageBreak/>
        <w:t>أن العلاقة بين التحصين الإداري والسلوك غير المتماثل للتكلفة تعكس وجود هذه المشكلة في العديد من المنظمات (يسري,اخرون، 2022؛ عفيفي ,اخرون، 2023)</w:t>
      </w:r>
      <w:r w:rsidRPr="005D59A7">
        <w:rPr>
          <w:rFonts w:ascii="T" w:hAnsi="T" w:cs="Simplified Arabic"/>
          <w:sz w:val="24"/>
          <w:szCs w:val="24"/>
        </w:rPr>
        <w:t>.</w:t>
      </w:r>
    </w:p>
    <w:p w14:paraId="47FAB91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البعد الثاني: مشكلة المخاطر الخلقية</w:t>
      </w:r>
      <w:r w:rsidRPr="005D59A7">
        <w:rPr>
          <w:rFonts w:ascii="T" w:hAnsi="T" w:cs="Simplified Arabic"/>
          <w:sz w:val="24"/>
          <w:szCs w:val="24"/>
        </w:rPr>
        <w:t xml:space="preserve"> (Moral Hazard):</w:t>
      </w:r>
    </w:p>
    <w:p w14:paraId="0F6AE38D"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تحدث بعد توقيع العقد، حيث قد يبذل الوكيل جهدًا أقل من المتفق عليه لأنه لا يتحمل العواقب الكاملة لتقصيره. في النموذج التقليدي للتفتيش البيئي، حيث يتم الدفع مقابل المدخلات (عدد المفتشين، ساعات العمل) بغض النظر عن المخرجات، يكون هناك حافز ضعيف لبذل جهد عالي الجودة، مما يفسر ارتفاع نسبة المخالفات المرفوضة وضعف كفاءة الرصد (المركز الوطني للرقابة على الالتزام البيئي، 2020)</w:t>
      </w:r>
      <w:r w:rsidRPr="005D59A7">
        <w:rPr>
          <w:rFonts w:ascii="T" w:hAnsi="T" w:cs="Simplified Arabic"/>
          <w:sz w:val="24"/>
          <w:szCs w:val="24"/>
        </w:rPr>
        <w:t>.</w:t>
      </w:r>
    </w:p>
    <w:p w14:paraId="5F94CADE" w14:textId="2D001DFD"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تتضاعف مشكلة المخاطر الخلقية في حالة عدم وجود آليات رقابية فعالة. أن تضارب المصالح بين العاملين في الشركة (كأصحاب مصالح) والشركة نفسها يمكن أن يؤدي إلى سلوكيات غير مرغوب فيها، مثل تقليل الجهد أو الإهمال </w:t>
      </w:r>
      <w:r w:rsidR="003709B2" w:rsidRPr="005D59A7">
        <w:rPr>
          <w:rFonts w:ascii="T" w:hAnsi="T" w:cs="Simplified Arabic"/>
          <w:sz w:val="24"/>
          <w:szCs w:val="24"/>
          <w:rtl/>
        </w:rPr>
        <w:t>المتعمد</w:t>
      </w:r>
      <w:r w:rsidR="003709B2" w:rsidRPr="005D59A7">
        <w:rPr>
          <w:rFonts w:ascii="T" w:hAnsi="T" w:cs="Simplified Arabic"/>
          <w:sz w:val="24"/>
          <w:szCs w:val="24"/>
        </w:rPr>
        <w:t>.</w:t>
      </w:r>
      <w:r w:rsidR="003709B2" w:rsidRPr="005D59A7">
        <w:rPr>
          <w:rFonts w:ascii="T" w:hAnsi="T" w:cs="Simplified Arabic"/>
          <w:sz w:val="24"/>
          <w:szCs w:val="24"/>
          <w:rtl/>
        </w:rPr>
        <w:t xml:space="preserve"> (</w:t>
      </w:r>
      <w:r w:rsidRPr="005D59A7">
        <w:rPr>
          <w:rFonts w:ascii="T" w:hAnsi="T" w:cs="Simplified Arabic"/>
          <w:sz w:val="24"/>
          <w:szCs w:val="24"/>
          <w:rtl/>
        </w:rPr>
        <w:t>عبدو,اخرون ,2024)</w:t>
      </w:r>
    </w:p>
    <w:p w14:paraId="705FB506"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البعد الثالث: مشكلة استيلاء ذوي المصالح</w:t>
      </w:r>
      <w:r w:rsidRPr="005D59A7">
        <w:rPr>
          <w:rFonts w:ascii="T" w:hAnsi="T" w:cs="Simplified Arabic"/>
          <w:sz w:val="24"/>
          <w:szCs w:val="24"/>
        </w:rPr>
        <w:t xml:space="preserve"> (Hold-up Problem):</w:t>
      </w:r>
    </w:p>
    <w:p w14:paraId="6E1DABD4"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تحدث عندما يقوم الوكيل باستثمارات خاصة بالعقد (مثل تدريب مفتشين على أنظمة محددة)، وبعد أن تصبح هذه الاستثمارات محصورة في العلاقة، قد يحاول الوكيل استغلال ذلك لإعادة التفاوض على شروط العقد لصالحه</w:t>
      </w:r>
      <w:r w:rsidRPr="005D59A7">
        <w:rPr>
          <w:rFonts w:ascii="T" w:hAnsi="T" w:cs="Simplified Arabic"/>
          <w:sz w:val="24"/>
          <w:szCs w:val="24"/>
        </w:rPr>
        <w:t xml:space="preserve"> (Williamson, 1985).</w:t>
      </w:r>
    </w:p>
    <w:p w14:paraId="0FA2BB5E" w14:textId="5BCB5518"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هذه المشكلة شائعة في العقود طويلة الأجل حيث تتطلب خصوصية أصول عالية. وتشير الأدبيات إلى أن نظام الحاكمية المؤسسية يمكن أن يوفر حلاً مناسبًا لهذه المشكلة من خلال وضع أطر تنظيمية تحمي حقوق الأطراف وتوفر آليات لحل النزاعات (</w:t>
      </w:r>
      <w:r w:rsidR="003709B2" w:rsidRPr="005D59A7">
        <w:rPr>
          <w:rFonts w:ascii="T" w:hAnsi="T" w:cs="Simplified Arabic"/>
          <w:sz w:val="24"/>
          <w:szCs w:val="24"/>
          <w:rtl/>
        </w:rPr>
        <w:t>عثمان,اخرون</w:t>
      </w:r>
      <w:r w:rsidRPr="005D59A7">
        <w:rPr>
          <w:rFonts w:ascii="T" w:hAnsi="T" w:cs="Simplified Arabic"/>
          <w:sz w:val="24"/>
          <w:szCs w:val="24"/>
          <w:rtl/>
        </w:rPr>
        <w:t>، 2015)</w:t>
      </w:r>
      <w:r w:rsidRPr="005D59A7">
        <w:rPr>
          <w:rFonts w:ascii="T" w:hAnsi="T" w:cs="Simplified Arabic"/>
          <w:sz w:val="24"/>
          <w:szCs w:val="24"/>
        </w:rPr>
        <w:t>.</w:t>
      </w:r>
    </w:p>
    <w:p w14:paraId="61359981"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خامساً: آليات معالجة مشكلة الوكالة</w:t>
      </w:r>
    </w:p>
    <w:p w14:paraId="604EE4D2"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لتخفيف مشكلة الوكالة، طورت الأدبيات الإدارية والاقتصادية مجموعة من الآليات</w:t>
      </w:r>
      <w:r w:rsidRPr="005D59A7">
        <w:rPr>
          <w:rFonts w:ascii="T" w:hAnsi="T" w:cs="Simplified Arabic"/>
          <w:sz w:val="24"/>
          <w:szCs w:val="24"/>
        </w:rPr>
        <w:t>:</w:t>
      </w:r>
    </w:p>
    <w:p w14:paraId="0706ECE1" w14:textId="228C4DCA"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التعاقد القائم على الأداء</w:t>
      </w:r>
      <w:r w:rsidRPr="005D59A7">
        <w:rPr>
          <w:rFonts w:ascii="T" w:hAnsi="T" w:cs="Simplified Arabic"/>
          <w:sz w:val="24"/>
          <w:szCs w:val="24"/>
        </w:rPr>
        <w:t xml:space="preserve"> (Performance-Based Contracting):</w:t>
      </w:r>
    </w:p>
    <w:p w14:paraId="139359C0"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ربط تعويض الوكيل بتحقيق مؤشرات أداء محددة وقابلة للقياس بدلاً من الدفع مقابل المدخلات. في سياق التفتيش البيئي، يمكن ربط الدفع بمؤشرات مثل: عدد المخالفات المعتمدة، نسبة المخالفات المرفوضة، نسبة تغطية المنشآت، زمن إغلاق المخالفات</w:t>
      </w:r>
      <w:r w:rsidRPr="005D59A7">
        <w:rPr>
          <w:rFonts w:ascii="T" w:hAnsi="T" w:cs="Simplified Arabic"/>
          <w:sz w:val="24"/>
          <w:szCs w:val="24"/>
        </w:rPr>
        <w:t xml:space="preserve"> (Eisenhardt, 1989).</w:t>
      </w:r>
    </w:p>
    <w:p w14:paraId="30DE2918" w14:textId="06D844D2"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تشير الأبحاث إلى أن التعاقد القائم على الأداء يساهم في تقليل مشكلة عدم تطابق المصالح من خلال مواءمة حوافز الوكيل مع أهداف الأصيل. وقد أظهرت الدراسات أن الشركات التي تتبنى آليات حوكمة فعالة تحقق كفاءة استثمارية أعلى، مما يعكس فعالية هذه الآليات في معالجة مشكلة الوكالة (عفيفي </w:t>
      </w:r>
      <w:r w:rsidR="003709B2" w:rsidRPr="005D59A7">
        <w:rPr>
          <w:rFonts w:ascii="T" w:hAnsi="T" w:cs="Simplified Arabic"/>
          <w:sz w:val="24"/>
          <w:szCs w:val="24"/>
          <w:rtl/>
        </w:rPr>
        <w:t>,اخرون</w:t>
      </w:r>
      <w:r w:rsidRPr="005D59A7">
        <w:rPr>
          <w:rFonts w:ascii="T" w:hAnsi="T" w:cs="Simplified Arabic"/>
          <w:sz w:val="24"/>
          <w:szCs w:val="24"/>
          <w:rtl/>
        </w:rPr>
        <w:t>، 2023)</w:t>
      </w:r>
      <w:r w:rsidRPr="005D59A7">
        <w:rPr>
          <w:rFonts w:ascii="T" w:hAnsi="T" w:cs="Simplified Arabic"/>
          <w:sz w:val="24"/>
          <w:szCs w:val="24"/>
        </w:rPr>
        <w:t>.</w:t>
      </w:r>
    </w:p>
    <w:p w14:paraId="5AAC7B44" w14:textId="7B911093"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آليات المراقبة والرقابة</w:t>
      </w:r>
      <w:r w:rsidRPr="005D59A7">
        <w:rPr>
          <w:rFonts w:ascii="T" w:hAnsi="T" w:cs="Simplified Arabic"/>
          <w:sz w:val="24"/>
          <w:szCs w:val="24"/>
        </w:rPr>
        <w:t xml:space="preserve"> (Monitoring Mechanisms):</w:t>
      </w:r>
    </w:p>
    <w:p w14:paraId="2E3D1861"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تشمل أنظمة الإبلاغ الدوري، والتدقيق المستقل، وأنظمة التفتيش المزدوج. تهدف هذه الآليات إلى تقليل عدم تماثل المعلومات من خلال توفير تدفق منتظم للمعلومات من الوكيل إلى الأصيل</w:t>
      </w:r>
      <w:r w:rsidRPr="005D59A7">
        <w:rPr>
          <w:rFonts w:ascii="T" w:hAnsi="T" w:cs="Simplified Arabic"/>
          <w:sz w:val="24"/>
          <w:szCs w:val="24"/>
        </w:rPr>
        <w:t xml:space="preserve"> (Jensen &amp; Meckling, 1976).</w:t>
      </w:r>
    </w:p>
    <w:p w14:paraId="55EBB9DC" w14:textId="6435918A"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تعتبر هذه الآليات جزءًا أساسيًا من نظام الحوكمة المؤسسية، حيث تساهم في تخفيض مشاكل نظرية الوكالة من خلال تعزيز الشفافية والمساءلة. أن حوكمة الشركات تلعب دورًا محوريًا في تخفيض مشاكل نظرية الوكالة من خلال وضع أطر تنظيمية تحدد مسؤوليات الأطراف وتضمن حقوقهم</w:t>
      </w:r>
      <w:r w:rsidRPr="005D59A7">
        <w:rPr>
          <w:rFonts w:ascii="T" w:hAnsi="T" w:cs="Simplified Arabic"/>
          <w:sz w:val="24"/>
          <w:szCs w:val="24"/>
        </w:rPr>
        <w:t>.</w:t>
      </w:r>
      <w:r w:rsidR="003709B2" w:rsidRPr="005D59A7">
        <w:rPr>
          <w:rFonts w:ascii="T" w:hAnsi="T" w:cs="Simplified Arabic"/>
          <w:sz w:val="24"/>
          <w:szCs w:val="24"/>
          <w:rtl/>
        </w:rPr>
        <w:t>(نوري,اخرون,2011)</w:t>
      </w:r>
    </w:p>
    <w:p w14:paraId="4C27FC64" w14:textId="788B4BEC"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أنظمة الحوافز والعقوبات</w:t>
      </w:r>
      <w:r w:rsidRPr="005D59A7">
        <w:rPr>
          <w:rFonts w:ascii="T" w:hAnsi="T" w:cs="Simplified Arabic"/>
          <w:sz w:val="24"/>
          <w:szCs w:val="24"/>
        </w:rPr>
        <w:t xml:space="preserve"> (Incentive &amp; Penalty Systems):</w:t>
      </w:r>
    </w:p>
    <w:p w14:paraId="6B9B4F53"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تصميم عقود تتضمن مكافآت للأداء المتميز وعقوبات للأداء الضعيف. يمكن أن تشمل المكافآت نسبًا إضافية من الإيرادات، بينما تشمل العقوبات تخفيض الدفع أو إنهاء العقد</w:t>
      </w:r>
      <w:r w:rsidRPr="005D59A7">
        <w:rPr>
          <w:rFonts w:ascii="T" w:hAnsi="T" w:cs="Simplified Arabic"/>
          <w:sz w:val="24"/>
          <w:szCs w:val="24"/>
        </w:rPr>
        <w:t xml:space="preserve"> (Eisenhardt, 1989).</w:t>
      </w:r>
    </w:p>
    <w:p w14:paraId="4DB5946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تعمل أنظمة الحوافز والعقوبات على تحفيز الوكيل لبذل جهد أعلى وتقليل السلوك الانتهازي. وقد أظهرت الدراسات أن هذه الأنظمة تساهم في تخفيض مشكلة المخاطر الخلقية من خلال ربط مكافآت الوكيل بأدائه الفعلي</w:t>
      </w:r>
      <w:r w:rsidRPr="005D59A7">
        <w:rPr>
          <w:rFonts w:ascii="T" w:hAnsi="T" w:cs="Simplified Arabic"/>
          <w:sz w:val="24"/>
          <w:szCs w:val="24"/>
        </w:rPr>
        <w:t xml:space="preserve"> (Salem, </w:t>
      </w:r>
      <w:proofErr w:type="spellStart"/>
      <w:r w:rsidRPr="005D59A7">
        <w:rPr>
          <w:rFonts w:ascii="T" w:hAnsi="T" w:cs="Simplified Arabic"/>
          <w:sz w:val="24"/>
          <w:szCs w:val="24"/>
        </w:rPr>
        <w:t>Zbain</w:t>
      </w:r>
      <w:proofErr w:type="spellEnd"/>
      <w:r w:rsidRPr="005D59A7">
        <w:rPr>
          <w:rFonts w:ascii="T" w:hAnsi="T" w:cs="Simplified Arabic"/>
          <w:sz w:val="24"/>
          <w:szCs w:val="24"/>
        </w:rPr>
        <w:t>, &amp; Abdullah, 2021).</w:t>
      </w:r>
    </w:p>
    <w:p w14:paraId="35B50E9A" w14:textId="12EC94D9"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تقاسم المخاطر</w:t>
      </w:r>
      <w:r w:rsidRPr="005D59A7">
        <w:rPr>
          <w:rFonts w:ascii="T" w:hAnsi="T" w:cs="Simplified Arabic"/>
          <w:sz w:val="24"/>
          <w:szCs w:val="24"/>
        </w:rPr>
        <w:t xml:space="preserve"> (Risk Sharing):</w:t>
      </w:r>
    </w:p>
    <w:p w14:paraId="11D34B00"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توزيع المخاطر بين الأصيل والوكيل وفقًا لمبدأ "الطرف الأكثر قدرة على إدارتها". المخاطر التشغيلية (مثل ضعف أداء المفتشين) يمكن نقلها إلى القطاع الخاص، بينما تبقى المخاطر التنظيمية (مثل تغير اللوائح) مع القطاع العام</w:t>
      </w:r>
      <w:r w:rsidRPr="005D59A7">
        <w:rPr>
          <w:rFonts w:ascii="T" w:hAnsi="T" w:cs="Simplified Arabic"/>
          <w:sz w:val="24"/>
          <w:szCs w:val="24"/>
        </w:rPr>
        <w:t xml:space="preserve"> (Williamson, 1985).</w:t>
      </w:r>
    </w:p>
    <w:p w14:paraId="4564AF0B" w14:textId="763F14FB"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يعتبر توزيع المخاطر بشكل عادل من أهم عناصر عقود الشراكة الناجحة. نظام الحاكمية المؤسسية يمثل الحل الأمثل للأطراف المتعارضة في ظل نظرية الوكالة، من خلال توزيع المسؤوليات والمخاطر بشكل متوازن</w:t>
      </w:r>
      <w:r w:rsidRPr="005D59A7">
        <w:rPr>
          <w:rFonts w:ascii="T" w:hAnsi="T" w:cs="Simplified Arabic"/>
          <w:sz w:val="24"/>
          <w:szCs w:val="24"/>
        </w:rPr>
        <w:t>.</w:t>
      </w:r>
      <w:r w:rsidR="003709B2" w:rsidRPr="005D59A7">
        <w:rPr>
          <w:rFonts w:ascii="T" w:hAnsi="T" w:cs="Simplified Arabic"/>
          <w:sz w:val="24"/>
          <w:szCs w:val="24"/>
          <w:rtl/>
        </w:rPr>
        <w:t>(عثمان,اخرون,2015)</w:t>
      </w:r>
    </w:p>
    <w:p w14:paraId="762A08D4"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سادساً: تطبيق النظرية على الدراسة الحالية</w:t>
      </w:r>
    </w:p>
    <w:p w14:paraId="45A1A414"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تُستخدم نظرية الوكالة في هذه الدراسة لتفسير العلاقة بين المركز الوطني للرقابة على الالتزام البيئي (الأصيل) والقطاع الخاص (الوكيل) في تقديم خدمة التفتيش البيئي. تشير النظرية إلى أن النموذج التقليدي القائم على التوريد</w:t>
      </w:r>
      <w:r w:rsidRPr="005D59A7">
        <w:rPr>
          <w:rFonts w:ascii="T" w:hAnsi="T" w:cs="Simplified Arabic"/>
          <w:sz w:val="24"/>
          <w:szCs w:val="24"/>
        </w:rPr>
        <w:t xml:space="preserve"> (Input-Based Contracting) </w:t>
      </w:r>
      <w:r w:rsidRPr="005D59A7">
        <w:rPr>
          <w:rFonts w:ascii="T" w:hAnsi="T" w:cs="Simplified Arabic"/>
          <w:sz w:val="24"/>
          <w:szCs w:val="24"/>
          <w:rtl/>
        </w:rPr>
        <w:t>يعاني من مشكلة الوكالة الأساسية، حيث يتم الدفع للقطاع الخاص مقابل توفير المدخلات (عدد المفتشين، ساعات العمل) بغض النظر عن جودة المخرجات</w:t>
      </w:r>
      <w:r w:rsidRPr="005D59A7">
        <w:rPr>
          <w:rFonts w:ascii="T" w:hAnsi="T" w:cs="Simplified Arabic"/>
          <w:sz w:val="24"/>
          <w:szCs w:val="24"/>
        </w:rPr>
        <w:t>.</w:t>
      </w:r>
    </w:p>
    <w:p w14:paraId="25E44F0E"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هذا النموذج أدى إلى عدة مظاهر لمشكلة الوكالة في خدمة التفتيش البيئي</w:t>
      </w:r>
      <w:r w:rsidRPr="005D59A7">
        <w:rPr>
          <w:rFonts w:ascii="T" w:hAnsi="T" w:cs="Simplified Arabic"/>
          <w:sz w:val="24"/>
          <w:szCs w:val="24"/>
        </w:rPr>
        <w:t>:</w:t>
      </w:r>
    </w:p>
    <w:p w14:paraId="63A9EE9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مشكلة المخاطر الخلقية: ضعف كفاءة الرصد (تراجع المخالفات لكل زيارة من 1.2 إلى 0.4) بسبب غياب الحوافز لبذل جهد عالي الجودة</w:t>
      </w:r>
      <w:r w:rsidRPr="005D59A7">
        <w:rPr>
          <w:rFonts w:ascii="T" w:hAnsi="T" w:cs="Simplified Arabic"/>
          <w:sz w:val="24"/>
          <w:szCs w:val="24"/>
        </w:rPr>
        <w:t>.</w:t>
      </w:r>
    </w:p>
    <w:p w14:paraId="13F522C8"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مشكلة الاختيار السلبي: ارتفاع نسبة المخالفات المرفوضة إلى 45% نتيجة تقديم معلومات غير دقيقة حول جودة التفتيش</w:t>
      </w:r>
      <w:r w:rsidRPr="005D59A7">
        <w:rPr>
          <w:rFonts w:ascii="T" w:hAnsi="T" w:cs="Simplified Arabic"/>
          <w:sz w:val="24"/>
          <w:szCs w:val="24"/>
        </w:rPr>
        <w:t>.</w:t>
      </w:r>
    </w:p>
    <w:p w14:paraId="52221E3B"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الخسارة المتبقية: العجز المالي المستمر (41 مليون ريال) نتيجة الفجوة بين الأداء الفعلي والأداء المطلوب</w:t>
      </w:r>
      <w:r w:rsidRPr="005D59A7">
        <w:rPr>
          <w:rFonts w:ascii="T" w:hAnsi="T" w:cs="Simplified Arabic"/>
          <w:sz w:val="24"/>
          <w:szCs w:val="24"/>
        </w:rPr>
        <w:t>.</w:t>
      </w:r>
    </w:p>
    <w:p w14:paraId="3A02E088"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وتقترح النظرية أن الانتقال إلى نموذج التعاقد القائم على الأداء</w:t>
      </w:r>
      <w:r w:rsidRPr="005D59A7">
        <w:rPr>
          <w:rFonts w:ascii="T" w:hAnsi="T" w:cs="Simplified Arabic"/>
          <w:sz w:val="24"/>
          <w:szCs w:val="24"/>
        </w:rPr>
        <w:t xml:space="preserve"> (Performance-Based Contracting)</w:t>
      </w:r>
      <w:r w:rsidRPr="005D59A7">
        <w:rPr>
          <w:rFonts w:ascii="T" w:hAnsi="T" w:cs="Simplified Arabic"/>
          <w:sz w:val="24"/>
          <w:szCs w:val="24"/>
          <w:rtl/>
        </w:rPr>
        <w:t>، مع ربط المقابل المالي بمؤشرات أداء محددة</w:t>
      </w:r>
      <w:r w:rsidRPr="005D59A7">
        <w:rPr>
          <w:rFonts w:ascii="T" w:hAnsi="T" w:cs="Simplified Arabic"/>
          <w:sz w:val="24"/>
          <w:szCs w:val="24"/>
        </w:rPr>
        <w:t xml:space="preserve"> (KPIs)</w:t>
      </w:r>
      <w:r w:rsidRPr="005D59A7">
        <w:rPr>
          <w:rFonts w:ascii="T" w:hAnsi="T" w:cs="Simplified Arabic"/>
          <w:sz w:val="24"/>
          <w:szCs w:val="24"/>
          <w:rtl/>
        </w:rPr>
        <w:t xml:space="preserve">، يمكن أن يخفف من مشكلة عدم تطابق </w:t>
      </w:r>
      <w:r w:rsidRPr="005D59A7">
        <w:rPr>
          <w:rFonts w:ascii="T" w:hAnsi="T" w:cs="Simplified Arabic"/>
          <w:sz w:val="24"/>
          <w:szCs w:val="24"/>
          <w:rtl/>
        </w:rPr>
        <w:lastRenderedPageBreak/>
        <w:t>المصالح ويحسن كفاءة وجودة الخدمة. هذا يتوافق مع ما أشارت إليه دراسة مجدي عبد اللطيف عبدو (2024) حول أهمية معالجة تضارب المصالح بين الأطراف المختلفة لتحقيق أداء أفضل</w:t>
      </w:r>
      <w:r w:rsidRPr="005D59A7">
        <w:rPr>
          <w:rFonts w:ascii="T" w:hAnsi="T" w:cs="Simplified Arabic"/>
          <w:sz w:val="24"/>
          <w:szCs w:val="24"/>
        </w:rPr>
        <w:t>.</w:t>
      </w:r>
    </w:p>
    <w:p w14:paraId="30C625FA"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سابعاً: العلاقة بين نظرية الوكالة وحوكمة الشركات</w:t>
      </w:r>
    </w:p>
    <w:p w14:paraId="3CABB273" w14:textId="6D14D76B"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ترتبط نظرية الوكالة ارتباطًا وثيقًا بحوكمة الشركات، حيث تشكل النظرية الأساس الفكري لفهم آليات الحوكمة ودورها في معالجة مشاكل الوكالة. حوكمة الشركات تلعب دورًا محوريًا في تخفيض مشاكل نظرية الوكالة من خلال</w:t>
      </w:r>
      <w:r w:rsidRPr="005D59A7">
        <w:rPr>
          <w:rFonts w:ascii="T" w:hAnsi="T" w:cs="Simplified Arabic"/>
          <w:sz w:val="24"/>
          <w:szCs w:val="24"/>
        </w:rPr>
        <w:t>:</w:t>
      </w:r>
    </w:p>
    <w:p w14:paraId="1EEA67C3" w14:textId="77777777" w:rsidR="001F38D7" w:rsidRPr="005D59A7" w:rsidRDefault="001F38D7" w:rsidP="0045581D">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5D59A7">
        <w:rPr>
          <w:rFonts w:ascii="T" w:hAnsi="T" w:cs="Simplified Arabic"/>
          <w:sz w:val="24"/>
          <w:szCs w:val="24"/>
          <w:rtl/>
        </w:rPr>
        <w:t>وضع أطر تنظيمية تحدد مسؤوليات وواجبات الأطراف المختلفة</w:t>
      </w:r>
      <w:r w:rsidRPr="005D59A7">
        <w:rPr>
          <w:rFonts w:ascii="T" w:hAnsi="T" w:cs="Simplified Arabic"/>
          <w:sz w:val="24"/>
          <w:szCs w:val="24"/>
        </w:rPr>
        <w:t>.</w:t>
      </w:r>
    </w:p>
    <w:p w14:paraId="638DA0C3" w14:textId="77777777" w:rsidR="001F38D7" w:rsidRPr="005D59A7" w:rsidRDefault="001F38D7" w:rsidP="0045581D">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5D59A7">
        <w:rPr>
          <w:rFonts w:ascii="T" w:hAnsi="T" w:cs="Simplified Arabic"/>
          <w:sz w:val="24"/>
          <w:szCs w:val="24"/>
          <w:rtl/>
        </w:rPr>
        <w:t>تعزيز الشفافية والإفصاح لتقليل عدم تماثل المعلومات</w:t>
      </w:r>
      <w:r w:rsidRPr="005D59A7">
        <w:rPr>
          <w:rFonts w:ascii="T" w:hAnsi="T" w:cs="Simplified Arabic"/>
          <w:sz w:val="24"/>
          <w:szCs w:val="24"/>
        </w:rPr>
        <w:t>.</w:t>
      </w:r>
    </w:p>
    <w:p w14:paraId="554AE265" w14:textId="77777777" w:rsidR="001F38D7" w:rsidRPr="005D59A7" w:rsidRDefault="001F38D7" w:rsidP="0045581D">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5D59A7">
        <w:rPr>
          <w:rFonts w:ascii="T" w:hAnsi="T" w:cs="Simplified Arabic"/>
          <w:sz w:val="24"/>
          <w:szCs w:val="24"/>
          <w:rtl/>
        </w:rPr>
        <w:t>تصميم أنظمة حوافز فعالة لمواءمة مصالح الأصيل والوكيل</w:t>
      </w:r>
      <w:r w:rsidRPr="005D59A7">
        <w:rPr>
          <w:rFonts w:ascii="T" w:hAnsi="T" w:cs="Simplified Arabic"/>
          <w:sz w:val="24"/>
          <w:szCs w:val="24"/>
        </w:rPr>
        <w:t>.</w:t>
      </w:r>
    </w:p>
    <w:p w14:paraId="7A8CEEBF" w14:textId="77777777" w:rsidR="001F38D7" w:rsidRPr="005D59A7" w:rsidRDefault="001F38D7" w:rsidP="0045581D">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5D59A7">
        <w:rPr>
          <w:rFonts w:ascii="T" w:hAnsi="T" w:cs="Simplified Arabic"/>
          <w:sz w:val="24"/>
          <w:szCs w:val="24"/>
          <w:rtl/>
        </w:rPr>
        <w:t>إنشاء آليات رقابية مستقلة لمراقبة أداء الوكيل</w:t>
      </w:r>
      <w:r w:rsidRPr="005D59A7">
        <w:rPr>
          <w:rFonts w:ascii="T" w:hAnsi="T" w:cs="Simplified Arabic"/>
          <w:sz w:val="24"/>
          <w:szCs w:val="24"/>
        </w:rPr>
        <w:t>.</w:t>
      </w:r>
    </w:p>
    <w:p w14:paraId="73F2664F" w14:textId="339A74E7" w:rsidR="008432FD" w:rsidRDefault="00545FDC" w:rsidP="0045581D">
      <w:pPr>
        <w:pStyle w:val="Heading2"/>
        <w:numPr>
          <w:ilvl w:val="2"/>
          <w:numId w:val="3"/>
        </w:numPr>
        <w:bidi/>
        <w:spacing w:line="360" w:lineRule="auto"/>
        <w:ind w:firstLine="720"/>
        <w:rPr>
          <w:rFonts w:ascii="T" w:hAnsi="T" w:cs="Simplified Arabic"/>
          <w:b/>
          <w:bCs/>
          <w:color w:val="auto"/>
          <w:sz w:val="24"/>
          <w:szCs w:val="24"/>
          <w:rtl/>
        </w:rPr>
      </w:pPr>
      <w:bookmarkStart w:id="45" w:name="_Toc234607879"/>
      <w:r w:rsidRPr="005D59A7">
        <w:rPr>
          <w:rFonts w:ascii="T" w:hAnsi="T" w:cs="Simplified Arabic"/>
          <w:b/>
          <w:bCs/>
          <w:color w:val="auto"/>
          <w:sz w:val="24"/>
          <w:szCs w:val="24"/>
          <w:rtl/>
        </w:rPr>
        <w:t xml:space="preserve">نظرة عامة عن </w:t>
      </w:r>
      <w:r w:rsidR="008432FD" w:rsidRPr="005D59A7">
        <w:rPr>
          <w:rFonts w:ascii="T" w:hAnsi="T" w:cs="Simplified Arabic"/>
          <w:b/>
          <w:bCs/>
          <w:color w:val="auto"/>
          <w:sz w:val="24"/>
          <w:szCs w:val="24"/>
          <w:rtl/>
        </w:rPr>
        <w:t>الشراكة مع القطاع الخاص</w:t>
      </w:r>
      <w:bookmarkEnd w:id="45"/>
      <w:r w:rsidR="008432FD" w:rsidRPr="005D59A7">
        <w:rPr>
          <w:rFonts w:ascii="T" w:hAnsi="T" w:cs="Simplified Arabic"/>
          <w:b/>
          <w:bCs/>
          <w:color w:val="auto"/>
          <w:sz w:val="24"/>
          <w:szCs w:val="24"/>
          <w:rtl/>
        </w:rPr>
        <w:t xml:space="preserve"> </w:t>
      </w:r>
    </w:p>
    <w:p w14:paraId="2D68773A" w14:textId="1814CC53" w:rsidR="00AE0CA0" w:rsidRPr="00AE0CA0" w:rsidRDefault="00AE0CA0" w:rsidP="00AE0CA0">
      <w:pPr>
        <w:pStyle w:val="ListParagraph"/>
        <w:numPr>
          <w:ilvl w:val="0"/>
          <w:numId w:val="36"/>
        </w:numPr>
        <w:shd w:val="clear" w:color="auto" w:fill="FFFFFF"/>
        <w:bidi/>
        <w:spacing w:before="240" w:after="240" w:line="360" w:lineRule="auto"/>
        <w:jc w:val="both"/>
        <w:rPr>
          <w:rFonts w:ascii="T" w:hAnsi="T" w:cs="Simplified Arabic"/>
          <w:b/>
          <w:bCs/>
          <w:sz w:val="24"/>
          <w:szCs w:val="24"/>
          <w:rtl/>
        </w:rPr>
      </w:pPr>
      <w:r w:rsidRPr="00AE0CA0">
        <w:rPr>
          <w:rFonts w:ascii="T" w:hAnsi="T" w:cs="Simplified Arabic"/>
          <w:b/>
          <w:bCs/>
          <w:sz w:val="24"/>
          <w:szCs w:val="24"/>
          <w:rtl/>
        </w:rPr>
        <w:t>تعريف الشراكة بين القطاعين العام والخاص ومكوناتها الجوهرية</w:t>
      </w:r>
    </w:p>
    <w:p w14:paraId="1BB2C696"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تُعرَّف الشراكة بين القطاعين العام والخاص</w:t>
      </w:r>
      <w:r w:rsidRPr="00AE0CA0">
        <w:rPr>
          <w:rFonts w:ascii="T" w:hAnsi="T" w:cs="Simplified Arabic"/>
          <w:sz w:val="24"/>
          <w:szCs w:val="24"/>
        </w:rPr>
        <w:t xml:space="preserve"> (Public-Private Partnership – PPP) </w:t>
      </w:r>
      <w:r w:rsidRPr="00AE0CA0">
        <w:rPr>
          <w:rFonts w:ascii="T" w:hAnsi="T" w:cs="Simplified Arabic"/>
          <w:sz w:val="24"/>
          <w:szCs w:val="24"/>
          <w:rtl/>
        </w:rPr>
        <w:t>بأنها نموذج تعاقدي تعاوني طويل الأجل، تجتمع بموجبه جهة حكومية مع كيان من القطاع الخاص بهدف توفير البنية التحتية أو الخدمات العامة. وقد تزايد الاعتماد على هذا النموذج عالميًا كأداة مبتكرة تتجاوز قدرات التمويل التقليدية، خاصة في ظل القيود المالية التي تواجهها الحكومات، أو معاناتها من تحديات هيكلية في الكفاءة التشغيلية</w:t>
      </w:r>
      <w:r w:rsidRPr="00AE0CA0">
        <w:rPr>
          <w:rFonts w:ascii="T" w:hAnsi="T" w:cs="Simplified Arabic"/>
          <w:sz w:val="24"/>
          <w:szCs w:val="24"/>
        </w:rPr>
        <w:t xml:space="preserve"> (Investopedia, 2024).</w:t>
      </w:r>
    </w:p>
    <w:p w14:paraId="34792C27"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تختلف هذه الشراكة اختلافًا جوهريًا عن أنماط المشتريات العامة التقليدية. ففي العقود التقليدية، تتولى الحكومة تصميم المشروع وتمويله وتنفيذه بنفسها أو عبر مقاولين محددين</w:t>
      </w:r>
      <w:r w:rsidRPr="00AE0CA0">
        <w:rPr>
          <w:rFonts w:ascii="T" w:hAnsi="T" w:cs="Simplified Arabic"/>
          <w:sz w:val="24"/>
          <w:szCs w:val="24"/>
        </w:rPr>
        <w:t>. (</w:t>
      </w:r>
      <w:proofErr w:type="spellStart"/>
      <w:proofErr w:type="gramStart"/>
      <w:r w:rsidRPr="00AE0CA0">
        <w:rPr>
          <w:rFonts w:ascii="T" w:hAnsi="T" w:cs="Simplified Arabic"/>
          <w:sz w:val="24"/>
          <w:szCs w:val="24"/>
        </w:rPr>
        <w:t>Owojori,et</w:t>
      </w:r>
      <w:proofErr w:type="spellEnd"/>
      <w:proofErr w:type="gramEnd"/>
      <w:r w:rsidRPr="00AE0CA0">
        <w:rPr>
          <w:rFonts w:ascii="T" w:hAnsi="T" w:cs="Simplified Arabic"/>
          <w:sz w:val="24"/>
          <w:szCs w:val="24"/>
        </w:rPr>
        <w:t xml:space="preserve"> al ,2025) </w:t>
      </w:r>
      <w:r w:rsidRPr="00AE0CA0">
        <w:rPr>
          <w:rFonts w:ascii="T" w:hAnsi="T" w:cs="Simplified Arabic"/>
          <w:sz w:val="24"/>
          <w:szCs w:val="24"/>
          <w:rtl/>
        </w:rPr>
        <w:t xml:space="preserve">أما في عقود الشراكة، فتُنقل حزمة متكاملة من المسؤوليات – إلى جانب المخاطر المرتبطة بها – إلى الشريك الخاص. وتشمل هذه المسؤوليات: التصميم، والبناء، والتمويل، والتشغيل، والصيانة. كما تمتد لتشمل الأصول العامة كالطرق </w:t>
      </w:r>
      <w:r w:rsidRPr="00AE0CA0">
        <w:rPr>
          <w:rFonts w:ascii="T" w:hAnsi="T" w:cs="Simplified Arabic"/>
          <w:sz w:val="24"/>
          <w:szCs w:val="24"/>
          <w:rtl/>
        </w:rPr>
        <w:lastRenderedPageBreak/>
        <w:t>والمستشفيات ومرافق معالجة المياه، والخدمات المرتبطة كالتفتيش وإعداد التقارير ومراقبة الجودة</w:t>
      </w:r>
      <w:r w:rsidRPr="00AE0CA0">
        <w:rPr>
          <w:rFonts w:ascii="T" w:hAnsi="T" w:cs="Simplified Arabic"/>
          <w:sz w:val="24"/>
          <w:szCs w:val="24"/>
        </w:rPr>
        <w:t xml:space="preserve"> (Casady et al., 2024).</w:t>
      </w:r>
    </w:p>
    <w:p w14:paraId="279FAED5" w14:textId="20C5C2B2" w:rsidR="00AE0CA0" w:rsidRPr="00E6041B" w:rsidRDefault="00AE0CA0" w:rsidP="00E6041B">
      <w:pPr>
        <w:pStyle w:val="ListParagraph"/>
        <w:numPr>
          <w:ilvl w:val="0"/>
          <w:numId w:val="36"/>
        </w:numPr>
        <w:shd w:val="clear" w:color="auto" w:fill="FFFFFF"/>
        <w:bidi/>
        <w:spacing w:before="240" w:after="240" w:line="360" w:lineRule="auto"/>
        <w:jc w:val="both"/>
        <w:rPr>
          <w:rFonts w:ascii="T" w:hAnsi="T" w:cs="Simplified Arabic"/>
          <w:b/>
          <w:bCs/>
          <w:sz w:val="24"/>
          <w:szCs w:val="24"/>
          <w:rtl/>
        </w:rPr>
      </w:pPr>
      <w:r w:rsidRPr="00E6041B">
        <w:rPr>
          <w:rFonts w:ascii="T" w:hAnsi="T" w:cs="Simplified Arabic"/>
          <w:b/>
          <w:bCs/>
          <w:sz w:val="24"/>
          <w:szCs w:val="24"/>
          <w:rtl/>
        </w:rPr>
        <w:t>الأسباب الاستراتيجية للجوء إلى نموذج الشراكة</w:t>
      </w:r>
    </w:p>
    <w:p w14:paraId="3402F2FA"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يتأسس المنطق الدافع لاعتماد الشراكات بين القطاعين العام والخاص على ركيزتين متكاملتين: الأولى تتعلق بالقطاع العام، والثانية بالقطاع الخاص</w:t>
      </w:r>
      <w:r w:rsidRPr="00AE0CA0">
        <w:rPr>
          <w:rFonts w:ascii="T" w:hAnsi="T" w:cs="Simplified Arabic"/>
          <w:sz w:val="24"/>
          <w:szCs w:val="24"/>
        </w:rPr>
        <w:t>.</w:t>
      </w:r>
    </w:p>
    <w:p w14:paraId="7030333D"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من منظور القطاع العام: تسعى الحكومات من خلال هذه الشراكات إلى استقطاب خبرات القطاع الخاص، والاستفادة من كفاءاته التشغيلية، وقدرته على الوصول إلى رؤوس الأموال بسهولة أكبر. وتتمثل الغايات المنشودة في: تسريع وتيرة إنجاز المشاريع، وتحقيق ما يُعرف بـ "القيمة مقابل المال" وتحفيز الإبداع والابتكار في تقديم الخدمات العامة</w:t>
      </w:r>
      <w:r w:rsidRPr="00AE0CA0">
        <w:rPr>
          <w:rFonts w:ascii="T" w:hAnsi="T" w:cs="Simplified Arabic"/>
          <w:sz w:val="24"/>
          <w:szCs w:val="24"/>
        </w:rPr>
        <w:t xml:space="preserve"> (Investopedia, 2024).</w:t>
      </w:r>
    </w:p>
    <w:p w14:paraId="042AA3E0"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من منظور القطاع الخاص: تُمثل الشراكات نافذة على فرص تجارية جديدة مستقرة وطويلة الأجل، تتيح للشركات إمكانية تحقيق تدفقات نقدية وإيرادات يمكن التنبؤ بها، وغالبًا ما تُربط هذه الإيرادات بمستويات أداء محددة وجودة خدمات متفق عليها</w:t>
      </w:r>
      <w:r w:rsidRPr="00AE0CA0">
        <w:rPr>
          <w:rFonts w:ascii="T" w:hAnsi="T" w:cs="Simplified Arabic"/>
          <w:sz w:val="24"/>
          <w:szCs w:val="24"/>
        </w:rPr>
        <w:t xml:space="preserve"> (Investopedia, 2024).</w:t>
      </w:r>
    </w:p>
    <w:p w14:paraId="72DD6D76" w14:textId="084CEF5D" w:rsidR="00AE0CA0" w:rsidRPr="00E6041B" w:rsidRDefault="00AE0CA0" w:rsidP="00E6041B">
      <w:pPr>
        <w:pStyle w:val="ListParagraph"/>
        <w:numPr>
          <w:ilvl w:val="0"/>
          <w:numId w:val="36"/>
        </w:numPr>
        <w:shd w:val="clear" w:color="auto" w:fill="FFFFFF"/>
        <w:bidi/>
        <w:spacing w:before="240" w:after="240" w:line="360" w:lineRule="auto"/>
        <w:jc w:val="both"/>
        <w:rPr>
          <w:rFonts w:ascii="T" w:hAnsi="T" w:cs="Simplified Arabic"/>
          <w:b/>
          <w:bCs/>
          <w:sz w:val="24"/>
          <w:szCs w:val="24"/>
          <w:rtl/>
        </w:rPr>
      </w:pPr>
      <w:r w:rsidRPr="00E6041B">
        <w:rPr>
          <w:rFonts w:ascii="T" w:hAnsi="T" w:cs="Simplified Arabic"/>
          <w:b/>
          <w:bCs/>
          <w:sz w:val="24"/>
          <w:szCs w:val="24"/>
          <w:rtl/>
        </w:rPr>
        <w:t>الخصائص المميزة للشراكة عن العقود التقليدية</w:t>
      </w:r>
    </w:p>
    <w:p w14:paraId="33BD44B3"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على الرغم من غياب اتفاق نظري جامع حول تعريف محدد للشراكة بين القطاعين العام والخاص، إلا أن ثمة سمات فريدة يمكن بواسطتها تمييزها عن الاتفاقيات التعاقدية التقليدية. يلخص</w:t>
      </w:r>
      <w:r w:rsidRPr="00AE0CA0">
        <w:rPr>
          <w:rFonts w:ascii="T" w:hAnsi="T" w:cs="Simplified Arabic"/>
          <w:sz w:val="24"/>
          <w:szCs w:val="24"/>
        </w:rPr>
        <w:t xml:space="preserve"> (</w:t>
      </w:r>
      <w:proofErr w:type="spellStart"/>
      <w:r w:rsidRPr="00AE0CA0">
        <w:rPr>
          <w:rFonts w:ascii="T" w:hAnsi="T" w:cs="Simplified Arabic"/>
          <w:sz w:val="24"/>
          <w:szCs w:val="24"/>
        </w:rPr>
        <w:t>LawTeacher</w:t>
      </w:r>
      <w:proofErr w:type="spellEnd"/>
      <w:r w:rsidRPr="00AE0CA0">
        <w:rPr>
          <w:rFonts w:ascii="T" w:hAnsi="T" w:cs="Simplified Arabic"/>
          <w:sz w:val="24"/>
          <w:szCs w:val="24"/>
        </w:rPr>
        <w:t xml:space="preserve">, 2018)  </w:t>
      </w:r>
      <w:r w:rsidRPr="00AE0CA0">
        <w:rPr>
          <w:rFonts w:ascii="T" w:hAnsi="T" w:cs="Simplified Arabic"/>
          <w:sz w:val="24"/>
          <w:szCs w:val="24"/>
          <w:rtl/>
        </w:rPr>
        <w:t>و</w:t>
      </w:r>
      <w:r w:rsidRPr="00AE0CA0">
        <w:rPr>
          <w:rFonts w:ascii="T" w:hAnsi="T" w:cs="Simplified Arabic"/>
          <w:sz w:val="24"/>
          <w:szCs w:val="24"/>
        </w:rPr>
        <w:t>(</w:t>
      </w:r>
      <w:proofErr w:type="spellStart"/>
      <w:r w:rsidRPr="00AE0CA0">
        <w:rPr>
          <w:rFonts w:ascii="T" w:hAnsi="T" w:cs="Simplified Arabic"/>
          <w:sz w:val="24"/>
          <w:szCs w:val="24"/>
        </w:rPr>
        <w:t>Ramolobe</w:t>
      </w:r>
      <w:proofErr w:type="spellEnd"/>
      <w:r w:rsidRPr="00AE0CA0">
        <w:rPr>
          <w:rFonts w:ascii="T" w:hAnsi="T" w:cs="Simplified Arabic"/>
          <w:sz w:val="24"/>
          <w:szCs w:val="24"/>
        </w:rPr>
        <w:t xml:space="preserve"> &amp; </w:t>
      </w:r>
      <w:proofErr w:type="spellStart"/>
      <w:r w:rsidRPr="00AE0CA0">
        <w:rPr>
          <w:rFonts w:ascii="T" w:hAnsi="T" w:cs="Simplified Arabic"/>
          <w:sz w:val="24"/>
          <w:szCs w:val="24"/>
        </w:rPr>
        <w:t>Khandanisa</w:t>
      </w:r>
      <w:proofErr w:type="spellEnd"/>
      <w:r w:rsidRPr="00AE0CA0">
        <w:rPr>
          <w:rFonts w:ascii="T" w:hAnsi="T" w:cs="Simplified Arabic"/>
          <w:sz w:val="24"/>
          <w:szCs w:val="24"/>
        </w:rPr>
        <w:t xml:space="preserve">, 2024)  </w:t>
      </w:r>
      <w:r w:rsidRPr="00AE0CA0">
        <w:rPr>
          <w:rFonts w:ascii="T" w:hAnsi="T" w:cs="Simplified Arabic"/>
          <w:sz w:val="24"/>
          <w:szCs w:val="24"/>
          <w:rtl/>
        </w:rPr>
        <w:t>هذه السمات في خمس خصائص رئيسة</w:t>
      </w:r>
      <w:r w:rsidRPr="00AE0CA0">
        <w:rPr>
          <w:rFonts w:ascii="T" w:hAnsi="T" w:cs="Simplified Arabic"/>
          <w:sz w:val="24"/>
          <w:szCs w:val="24"/>
        </w:rPr>
        <w:t>:</w:t>
      </w:r>
    </w:p>
    <w:p w14:paraId="7F01522D" w14:textId="05016B70"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تمويل القطاع الخاص للمشروع: لا يقتصر دور القطاع الخاص على التنفيذ، بل يمتد ليشمل توفير التمويل اللازم، غالبًا من خلال إنشاء كيان قانوني مستقل يُعرف بالشركة ذات الغرض الخاص، والتي قد تلجأ بدورها إلى المؤسسات المالية والبنوك</w:t>
      </w:r>
      <w:r w:rsidRPr="00E6041B">
        <w:rPr>
          <w:rFonts w:ascii="T" w:hAnsi="T" w:cs="Simplified Arabic"/>
          <w:sz w:val="24"/>
          <w:szCs w:val="24"/>
        </w:rPr>
        <w:t>.</w:t>
      </w:r>
    </w:p>
    <w:p w14:paraId="70BA8FAA" w14:textId="7E21A276"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lastRenderedPageBreak/>
        <w:t>العلاقة التعاقدية طويلة الأجل: تفترض الشراكة أفقًا زمنيًا ممتدًا يعكس دورة حياة الأصل أو الخدمة. وتختلف المدة حسب طبيعة المشروع، إلا أنها في مشاريع البنية التحتية الكبرى قد تمتد من 15 إلى 20 عامًا أو أكثر. ‏</w:t>
      </w:r>
    </w:p>
    <w:p w14:paraId="40266EC2" w14:textId="6B6282A0"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الدور الاستراتيجي الممتد للقطاع الخاص: يتجاوز دور القطاع الخاص في هذه الشراكات مجرد المقاول المنفذ، ليتحول إلى شريك استراتيجي يشارك في مختلف مراحل المشروع: بدءًا من التصميم، مرورًا بالتمويل والبناء، وصولاً إلى التشغيل والصيانة</w:t>
      </w:r>
      <w:r w:rsidRPr="00E6041B">
        <w:rPr>
          <w:rFonts w:ascii="T" w:hAnsi="T" w:cs="Simplified Arabic"/>
          <w:sz w:val="24"/>
          <w:szCs w:val="24"/>
        </w:rPr>
        <w:t>.</w:t>
      </w:r>
    </w:p>
    <w:p w14:paraId="1D73E803" w14:textId="3D3A1469"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توزيع المخاطر بين الطرفين: تُعد إعادة توزيع المخاطر السمة الأكثر جوهرية في عقود الشراكة. فبدلاً من أن يتحمل القطاع العام وحده المخاطر، تُنقل حزمة منها إلى القطاع الخاص وفقًا لقدرة كل طرف على إدارتها. وتصنف هذه المخاطر إلى خمسة أنواع رئيسة</w:t>
      </w:r>
      <w:r w:rsidRPr="00E6041B">
        <w:rPr>
          <w:rFonts w:ascii="T" w:hAnsi="T" w:cs="Simplified Arabic"/>
          <w:sz w:val="24"/>
          <w:szCs w:val="24"/>
        </w:rPr>
        <w:t>:</w:t>
      </w:r>
    </w:p>
    <w:p w14:paraId="303D7B2A"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مخاطر الإنشاء: وتشمل عيوب التصميم، وتأخيرات الجدول الزمني، وتجاوز التكاليف</w:t>
      </w:r>
      <w:r w:rsidRPr="00AE0CA0">
        <w:rPr>
          <w:rFonts w:cs="Arial"/>
          <w:color w:val="FF0000"/>
          <w:rtl/>
        </w:rPr>
        <w:t xml:space="preserve"> </w:t>
      </w:r>
      <w:r w:rsidRPr="00E6041B">
        <w:rPr>
          <w:rFonts w:ascii="T" w:hAnsi="T" w:cs="Simplified Arabic"/>
          <w:sz w:val="24"/>
          <w:szCs w:val="24"/>
          <w:rtl/>
        </w:rPr>
        <w:t>المقررة</w:t>
      </w:r>
      <w:r w:rsidRPr="00E6041B">
        <w:rPr>
          <w:rFonts w:ascii="T" w:hAnsi="T" w:cs="Simplified Arabic"/>
          <w:sz w:val="24"/>
          <w:szCs w:val="24"/>
        </w:rPr>
        <w:t>.</w:t>
      </w:r>
    </w:p>
    <w:p w14:paraId="41AABE98"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المخاطر المالية: وتتمثل في تقلبات أسعار الفائدة، وأسعار الصرف، ومعدلات التضخم</w:t>
      </w:r>
      <w:r w:rsidRPr="00E6041B">
        <w:rPr>
          <w:rFonts w:ascii="T" w:hAnsi="T" w:cs="Simplified Arabic"/>
          <w:sz w:val="24"/>
          <w:szCs w:val="24"/>
        </w:rPr>
        <w:t>.</w:t>
      </w:r>
    </w:p>
    <w:p w14:paraId="4E5EB0DF"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مخاطر الأداء: وتتعلق بمدى توافر الخدمة واستمراريتها، إلى جانب جودة الأداء ومدى مطابقته للمعايير</w:t>
      </w:r>
      <w:r w:rsidRPr="00E6041B">
        <w:rPr>
          <w:rFonts w:ascii="T" w:hAnsi="T" w:cs="Simplified Arabic"/>
          <w:sz w:val="24"/>
          <w:szCs w:val="24"/>
        </w:rPr>
        <w:t>. (</w:t>
      </w:r>
      <w:proofErr w:type="spellStart"/>
      <w:proofErr w:type="gramStart"/>
      <w:r w:rsidRPr="00E6041B">
        <w:rPr>
          <w:rFonts w:ascii="T" w:hAnsi="T" w:cs="Simplified Arabic"/>
          <w:sz w:val="24"/>
          <w:szCs w:val="24"/>
        </w:rPr>
        <w:t>Rybnicek,et</w:t>
      </w:r>
      <w:proofErr w:type="spellEnd"/>
      <w:proofErr w:type="gramEnd"/>
      <w:r w:rsidRPr="00E6041B">
        <w:rPr>
          <w:rFonts w:ascii="T" w:hAnsi="T" w:cs="Simplified Arabic"/>
          <w:sz w:val="24"/>
          <w:szCs w:val="24"/>
        </w:rPr>
        <w:t xml:space="preserve"> al ,2020)</w:t>
      </w:r>
    </w:p>
    <w:p w14:paraId="21B44B2E"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مخاطر الطلب: وتعبر عن حالة عدم اليقين بشأن الحجم الفعلي للطلب على الخدمة أو المنتج في السوق</w:t>
      </w:r>
      <w:r w:rsidRPr="00E6041B">
        <w:rPr>
          <w:rFonts w:ascii="T" w:hAnsi="T" w:cs="Simplified Arabic"/>
          <w:sz w:val="24"/>
          <w:szCs w:val="24"/>
        </w:rPr>
        <w:t>.</w:t>
      </w:r>
    </w:p>
    <w:p w14:paraId="1CB4FA55"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مخاطر القيمة المتبقية: وتنشأ في نهاية العقد، وتتعلق بالقيمة الفعلية للأصل بعد انتهاء فترة التشغيل</w:t>
      </w:r>
      <w:r w:rsidRPr="00E6041B">
        <w:rPr>
          <w:rFonts w:ascii="T" w:hAnsi="T" w:cs="Simplified Arabic"/>
          <w:sz w:val="24"/>
          <w:szCs w:val="24"/>
        </w:rPr>
        <w:t>. (</w:t>
      </w:r>
      <w:proofErr w:type="spellStart"/>
      <w:proofErr w:type="gramStart"/>
      <w:r w:rsidRPr="00E6041B">
        <w:rPr>
          <w:rFonts w:ascii="T" w:hAnsi="T" w:cs="Simplified Arabic"/>
          <w:sz w:val="24"/>
          <w:szCs w:val="24"/>
        </w:rPr>
        <w:t>Akhtar,et</w:t>
      </w:r>
      <w:proofErr w:type="spellEnd"/>
      <w:proofErr w:type="gramEnd"/>
      <w:r w:rsidRPr="00E6041B">
        <w:rPr>
          <w:rFonts w:ascii="T" w:hAnsi="T" w:cs="Simplified Arabic"/>
          <w:sz w:val="24"/>
          <w:szCs w:val="24"/>
        </w:rPr>
        <w:t xml:space="preserve"> al,2023) </w:t>
      </w:r>
      <w:r w:rsidRPr="00E6041B">
        <w:rPr>
          <w:rFonts w:ascii="T" w:hAnsi="T" w:cs="Simplified Arabic"/>
          <w:sz w:val="24"/>
          <w:szCs w:val="24"/>
          <w:rtl/>
        </w:rPr>
        <w:t>‏</w:t>
      </w:r>
    </w:p>
    <w:p w14:paraId="65F44174"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الشراكة كحل أمثل للبنية التحتية: في ظل محدودية الموارد العامة وتعقيدات التحديات التشغيلية، تبرز الشراكات بين القطاعين العام والخاص كحل استراتيجي متكامل لتوفير البنية التحتية والخدمات العامة، بجودة وكفاءة وتكلفة مجدية</w:t>
      </w:r>
      <w:r w:rsidRPr="00E6041B">
        <w:rPr>
          <w:rFonts w:ascii="T" w:hAnsi="T" w:cs="Simplified Arabic"/>
          <w:sz w:val="24"/>
          <w:szCs w:val="24"/>
        </w:rPr>
        <w:t xml:space="preserve"> (</w:t>
      </w:r>
      <w:proofErr w:type="spellStart"/>
      <w:r w:rsidRPr="00E6041B">
        <w:rPr>
          <w:rFonts w:ascii="T" w:hAnsi="T" w:cs="Simplified Arabic"/>
          <w:sz w:val="24"/>
          <w:szCs w:val="24"/>
        </w:rPr>
        <w:t>LawTeacher</w:t>
      </w:r>
      <w:proofErr w:type="spellEnd"/>
      <w:r w:rsidRPr="00E6041B">
        <w:rPr>
          <w:rFonts w:ascii="T" w:hAnsi="T" w:cs="Simplified Arabic"/>
          <w:sz w:val="24"/>
          <w:szCs w:val="24"/>
        </w:rPr>
        <w:t>, 2018).</w:t>
      </w:r>
    </w:p>
    <w:p w14:paraId="667FF048" w14:textId="6FA446B2" w:rsidR="00AE0CA0" w:rsidRPr="00E6041B" w:rsidRDefault="00AE0CA0" w:rsidP="00E6041B">
      <w:pPr>
        <w:pStyle w:val="ListParagraph"/>
        <w:numPr>
          <w:ilvl w:val="0"/>
          <w:numId w:val="36"/>
        </w:numPr>
        <w:shd w:val="clear" w:color="auto" w:fill="FFFFFF"/>
        <w:bidi/>
        <w:spacing w:before="240" w:after="240" w:line="360" w:lineRule="auto"/>
        <w:jc w:val="both"/>
        <w:rPr>
          <w:rtl/>
        </w:rPr>
      </w:pPr>
      <w:r w:rsidRPr="00E6041B">
        <w:rPr>
          <w:rFonts w:ascii="T" w:hAnsi="T" w:cs="Simplified Arabic"/>
          <w:b/>
          <w:bCs/>
          <w:sz w:val="24"/>
          <w:szCs w:val="24"/>
          <w:rtl/>
        </w:rPr>
        <w:t>الهيكل المؤسسي لنموذج الشراكة</w:t>
      </w:r>
      <w:r w:rsidRPr="00E6041B">
        <w:rPr>
          <w:rFonts w:ascii="T" w:hAnsi="T" w:cs="Simplified Arabic"/>
          <w:b/>
          <w:bCs/>
          <w:sz w:val="24"/>
          <w:szCs w:val="24"/>
        </w:rPr>
        <w:t xml:space="preserve"> </w:t>
      </w:r>
    </w:p>
    <w:p w14:paraId="5531DEA2"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lastRenderedPageBreak/>
        <w:t>يعتمد تنفيذ نموذج الشراكة على إنشاء كيان قانوني مستقل يُعرف بالشركة ذات الغرض الخاص، تتولى هذه</w:t>
      </w:r>
      <w:r w:rsidRPr="00AE0CA0">
        <w:rPr>
          <w:rFonts w:cs="Arial"/>
          <w:color w:val="FF0000"/>
          <w:rtl/>
        </w:rPr>
        <w:t xml:space="preserve"> </w:t>
      </w:r>
      <w:r w:rsidRPr="00E6041B">
        <w:rPr>
          <w:rFonts w:ascii="T" w:hAnsi="T" w:cs="Simplified Arabic"/>
          <w:sz w:val="24"/>
          <w:szCs w:val="24"/>
          <w:rtl/>
        </w:rPr>
        <w:t>الشركة مسؤولية توقيع العقد الإطاري مع الحكومة، وتتحمل المسؤولية الكاملة عن إدارة المشروع وتنفيذه. ويتألف هيكل هذه الشركة غالبًا من تحالف يضم</w:t>
      </w:r>
      <w:r w:rsidRPr="00E6041B">
        <w:rPr>
          <w:rFonts w:ascii="T" w:hAnsi="T" w:cs="Simplified Arabic"/>
          <w:sz w:val="24"/>
          <w:szCs w:val="24"/>
        </w:rPr>
        <w:t>:</w:t>
      </w:r>
    </w:p>
    <w:p w14:paraId="7536DCF1" w14:textId="77777777" w:rsidR="00AE0CA0" w:rsidRPr="00E6041B" w:rsidRDefault="00AE0CA0" w:rsidP="00E6041B">
      <w:pPr>
        <w:pStyle w:val="ListParagraph"/>
        <w:numPr>
          <w:ilvl w:val="0"/>
          <w:numId w:val="37"/>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مقاول البناء: المسؤول عن تنفيذ الأعمال الهندسية والإنشائية</w:t>
      </w:r>
      <w:r w:rsidRPr="00E6041B">
        <w:rPr>
          <w:rFonts w:ascii="T" w:hAnsi="T" w:cs="Simplified Arabic"/>
          <w:sz w:val="24"/>
          <w:szCs w:val="24"/>
        </w:rPr>
        <w:t>.</w:t>
      </w:r>
    </w:p>
    <w:p w14:paraId="54C6FF90" w14:textId="77777777" w:rsidR="00AE0CA0" w:rsidRPr="00E6041B" w:rsidRDefault="00AE0CA0" w:rsidP="00E6041B">
      <w:pPr>
        <w:pStyle w:val="ListParagraph"/>
        <w:numPr>
          <w:ilvl w:val="0"/>
          <w:numId w:val="37"/>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شركة الصيانة والتشغيل: المسؤولة عن إدارة الأصل وضمان استمرارية الخدمة وجودتها</w:t>
      </w:r>
      <w:r w:rsidRPr="00E6041B">
        <w:rPr>
          <w:rFonts w:ascii="T" w:hAnsi="T" w:cs="Simplified Arabic"/>
          <w:sz w:val="24"/>
          <w:szCs w:val="24"/>
        </w:rPr>
        <w:t>. (Quan &amp; Solheim, 2023)</w:t>
      </w:r>
    </w:p>
    <w:p w14:paraId="4EE85126" w14:textId="77777777" w:rsidR="00AE0CA0" w:rsidRPr="00E6041B" w:rsidRDefault="00AE0CA0" w:rsidP="00E6041B">
      <w:pPr>
        <w:pStyle w:val="ListParagraph"/>
        <w:numPr>
          <w:ilvl w:val="0"/>
          <w:numId w:val="37"/>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الممولون البنكيون: وهم المؤسسات المالية التي توفر التمويل اللازم، غالبًا بنظام الدين طويل الأجل</w:t>
      </w:r>
      <w:r w:rsidRPr="00E6041B">
        <w:rPr>
          <w:rFonts w:ascii="T" w:hAnsi="T" w:cs="Simplified Arabic"/>
          <w:sz w:val="24"/>
          <w:szCs w:val="24"/>
        </w:rPr>
        <w:t>.</w:t>
      </w:r>
    </w:p>
    <w:p w14:paraId="417E02D6"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وتقوم الشركة ذات الغرض الخاص بدور الوسيط والمدير التعاقدي، حيث تتعاقد مع مقاولين من الباطن، وتشرف على الأداء، وتضمن الالتزام بالشروط والمواصفات المتفق عليها. ويمتد نطاق تطبيق هذا النموذج ليشمل قطاعات متعددة، أبرزها: البنية التحتية، الإسكان، النقل، الصحة، التعليم، الطاقة، والدفاع</w:t>
      </w:r>
      <w:r w:rsidRPr="00E6041B">
        <w:rPr>
          <w:rFonts w:ascii="T" w:hAnsi="T" w:cs="Simplified Arabic"/>
          <w:sz w:val="24"/>
          <w:szCs w:val="24"/>
        </w:rPr>
        <w:t xml:space="preserve"> (</w:t>
      </w:r>
      <w:proofErr w:type="spellStart"/>
      <w:r w:rsidRPr="00E6041B">
        <w:rPr>
          <w:rFonts w:ascii="T" w:hAnsi="T" w:cs="Simplified Arabic"/>
          <w:sz w:val="24"/>
          <w:szCs w:val="24"/>
        </w:rPr>
        <w:t>Ramolobe</w:t>
      </w:r>
      <w:proofErr w:type="spellEnd"/>
      <w:r w:rsidRPr="00E6041B">
        <w:rPr>
          <w:rFonts w:ascii="T" w:hAnsi="T" w:cs="Simplified Arabic"/>
          <w:sz w:val="24"/>
          <w:szCs w:val="24"/>
        </w:rPr>
        <w:t xml:space="preserve"> &amp; </w:t>
      </w:r>
      <w:proofErr w:type="spellStart"/>
      <w:r w:rsidRPr="00E6041B">
        <w:rPr>
          <w:rFonts w:ascii="T" w:hAnsi="T" w:cs="Simplified Arabic"/>
          <w:sz w:val="24"/>
          <w:szCs w:val="24"/>
        </w:rPr>
        <w:t>Khandanisa</w:t>
      </w:r>
      <w:proofErr w:type="spellEnd"/>
      <w:r w:rsidRPr="00E6041B">
        <w:rPr>
          <w:rFonts w:ascii="T" w:hAnsi="T" w:cs="Simplified Arabic"/>
          <w:sz w:val="24"/>
          <w:szCs w:val="24"/>
        </w:rPr>
        <w:t>, 2024).</w:t>
      </w:r>
    </w:p>
    <w:p w14:paraId="1A3F9207" w14:textId="22CB5DEE" w:rsidR="00AE0CA0" w:rsidRPr="00E6041B" w:rsidRDefault="00AE0CA0" w:rsidP="00E6041B">
      <w:pPr>
        <w:pStyle w:val="Heading2"/>
        <w:numPr>
          <w:ilvl w:val="2"/>
          <w:numId w:val="3"/>
        </w:numPr>
        <w:bidi/>
        <w:spacing w:line="360" w:lineRule="auto"/>
        <w:ind w:firstLine="720"/>
        <w:rPr>
          <w:rFonts w:ascii="T" w:hAnsi="T" w:cs="Simplified Arabic"/>
          <w:b/>
          <w:bCs/>
          <w:color w:val="auto"/>
          <w:sz w:val="24"/>
          <w:szCs w:val="24"/>
          <w:rtl/>
        </w:rPr>
      </w:pPr>
      <w:bookmarkStart w:id="46" w:name="_Toc234607880"/>
      <w:r w:rsidRPr="00E6041B">
        <w:rPr>
          <w:rFonts w:ascii="T" w:hAnsi="T" w:cs="Simplified Arabic"/>
          <w:b/>
          <w:bCs/>
          <w:color w:val="auto"/>
          <w:sz w:val="24"/>
          <w:szCs w:val="24"/>
          <w:rtl/>
        </w:rPr>
        <w:t>منافع وفوائد الشراكة مع القطاع الخاص</w:t>
      </w:r>
      <w:bookmarkEnd w:id="46"/>
    </w:p>
    <w:p w14:paraId="13D1D88F"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تختلف أسباب الشراكات بين القطاعين العام والخاص من بلد إلى آخر. ومع ذلك، فيما يلي بعض الأسباب العامة الموجزة التي تدفع الحكومات إلى تبني هذه الشراكات</w:t>
      </w:r>
      <w:r w:rsidRPr="00E6041B">
        <w:rPr>
          <w:rFonts w:ascii="T" w:hAnsi="T" w:cs="Simplified Arabic"/>
          <w:sz w:val="24"/>
          <w:szCs w:val="24"/>
        </w:rPr>
        <w:t>.</w:t>
      </w:r>
    </w:p>
    <w:p w14:paraId="746D9A65" w14:textId="77777777" w:rsidR="00AE0CA0" w:rsidRPr="00E6041B"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E6041B">
        <w:rPr>
          <w:rFonts w:ascii="T" w:hAnsi="T" w:cs="Simplified Arabic"/>
          <w:b/>
          <w:bCs/>
          <w:sz w:val="24"/>
          <w:szCs w:val="24"/>
          <w:rtl/>
        </w:rPr>
        <w:t>أولاً: للسماح للقطاع الخاص بالتأثير على تقديم الخدمات العامة</w:t>
      </w:r>
      <w:r w:rsidRPr="00E6041B">
        <w:rPr>
          <w:rFonts w:ascii="T" w:hAnsi="T" w:cs="Simplified Arabic"/>
          <w:b/>
          <w:bCs/>
          <w:sz w:val="24"/>
          <w:szCs w:val="24"/>
        </w:rPr>
        <w:t xml:space="preserve">: </w:t>
      </w:r>
    </w:p>
    <w:p w14:paraId="2BC91A97"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فقد تمكن القطاع الخاص على مر السنين من الحفاظ على مستوى متميز في الإدارة والتنفيذ، إلا أن الوضع عادةً ما يكون عكس ذلك في معظم القطاعات العامة، التي تعاني من الديون وسوء الإدارة وانعدام الرقابة الفعالة. يُنظر إلى الشراكة بين القطاعين العام والخاص على أنها أداة فعالة لتوجيه تقديم الخدمات العامة بكفاءة، وقد كانت النتائج إيجابية في العديد من الحالات</w:t>
      </w:r>
      <w:r w:rsidRPr="00E6041B">
        <w:rPr>
          <w:rFonts w:ascii="T" w:hAnsi="T" w:cs="Simplified Arabic"/>
          <w:sz w:val="24"/>
          <w:szCs w:val="24"/>
        </w:rPr>
        <w:t>. (</w:t>
      </w:r>
      <w:proofErr w:type="spellStart"/>
      <w:proofErr w:type="gramStart"/>
      <w:r w:rsidRPr="00E6041B">
        <w:rPr>
          <w:rFonts w:ascii="T" w:hAnsi="T" w:cs="Simplified Arabic"/>
          <w:sz w:val="24"/>
          <w:szCs w:val="24"/>
        </w:rPr>
        <w:t>Verweij,et</w:t>
      </w:r>
      <w:proofErr w:type="spellEnd"/>
      <w:proofErr w:type="gramEnd"/>
      <w:r w:rsidRPr="00E6041B">
        <w:rPr>
          <w:rFonts w:ascii="T" w:hAnsi="T" w:cs="Simplified Arabic"/>
          <w:sz w:val="24"/>
          <w:szCs w:val="24"/>
        </w:rPr>
        <w:t xml:space="preserve"> al,2022)</w:t>
      </w:r>
    </w:p>
    <w:p w14:paraId="5D0DDD1C" w14:textId="77777777" w:rsidR="00AE0CA0" w:rsidRPr="00E6041B"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E6041B">
        <w:rPr>
          <w:rFonts w:ascii="T" w:hAnsi="T" w:cs="Simplified Arabic"/>
          <w:b/>
          <w:bCs/>
          <w:sz w:val="24"/>
          <w:szCs w:val="24"/>
          <w:rtl/>
        </w:rPr>
        <w:t>ثانيًا: قيود الميزانية</w:t>
      </w:r>
      <w:r w:rsidRPr="00E6041B">
        <w:rPr>
          <w:rFonts w:ascii="T" w:hAnsi="T" w:cs="Simplified Arabic"/>
          <w:b/>
          <w:bCs/>
          <w:sz w:val="24"/>
          <w:szCs w:val="24"/>
        </w:rPr>
        <w:t>:</w:t>
      </w:r>
    </w:p>
    <w:p w14:paraId="77E8553C"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Pr>
        <w:lastRenderedPageBreak/>
        <w:t xml:space="preserve"> </w:t>
      </w:r>
      <w:r w:rsidRPr="00E6041B">
        <w:rPr>
          <w:rFonts w:ascii="T" w:hAnsi="T" w:cs="Simplified Arabic"/>
          <w:sz w:val="24"/>
          <w:szCs w:val="24"/>
          <w:rtl/>
        </w:rPr>
        <w:t>ترى معظم الدول المثقلة بالديون أن الشراكة بين القطاعين العام والخاص خيارٌ مجدٍ لتوفير الخدمات العامة مع القدرة على توجيه ميزانيتها المحدودة إلى مشاريع أخرى. وقد حقق هذا السبب تحديدًا نجاحًا كبيرًا</w:t>
      </w:r>
      <w:r w:rsidRPr="00E6041B">
        <w:rPr>
          <w:rFonts w:ascii="T" w:hAnsi="T" w:cs="Simplified Arabic"/>
          <w:sz w:val="24"/>
          <w:szCs w:val="24"/>
        </w:rPr>
        <w:t>.</w:t>
      </w:r>
    </w:p>
    <w:p w14:paraId="271AC560" w14:textId="77777777" w:rsidR="00AE0CA0" w:rsidRPr="00E6041B"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E6041B">
        <w:rPr>
          <w:rFonts w:ascii="T" w:hAnsi="T" w:cs="Simplified Arabic"/>
          <w:b/>
          <w:bCs/>
          <w:sz w:val="24"/>
          <w:szCs w:val="24"/>
          <w:rtl/>
        </w:rPr>
        <w:t>ثالثًا: تطور القطاع الخاص</w:t>
      </w:r>
      <w:r w:rsidRPr="00E6041B">
        <w:rPr>
          <w:rFonts w:ascii="T" w:hAnsi="T" w:cs="Simplified Arabic"/>
          <w:b/>
          <w:bCs/>
          <w:sz w:val="24"/>
          <w:szCs w:val="24"/>
        </w:rPr>
        <w:t>:</w:t>
      </w:r>
    </w:p>
    <w:p w14:paraId="4912C0FA"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Pr>
        <w:t xml:space="preserve"> </w:t>
      </w:r>
      <w:r w:rsidRPr="00E6041B">
        <w:rPr>
          <w:rFonts w:ascii="T" w:hAnsi="T" w:cs="Simplified Arabic"/>
          <w:sz w:val="24"/>
          <w:szCs w:val="24"/>
          <w:rtl/>
        </w:rPr>
        <w:t>يتمتع القطاع الخاص بمستوى متقدم للغاية مقارنة بالقطاع العام، حيث أنه على اطلاع دائم بأحدث المعارف والخبرات التقنية لتعظيم إمكانات أي قطاع يشارك فيه. يحضر معظم موظفي القطاع الخاص ندوات وورش عمل، مما يزودهم بالمهارات الفكرية، وهي ميزة يفتقر إليها القطاع العام</w:t>
      </w:r>
      <w:r w:rsidRPr="00E6041B">
        <w:rPr>
          <w:rFonts w:ascii="T" w:hAnsi="T" w:cs="Simplified Arabic"/>
          <w:sz w:val="24"/>
          <w:szCs w:val="24"/>
        </w:rPr>
        <w:t>. (</w:t>
      </w:r>
      <w:proofErr w:type="spellStart"/>
      <w:proofErr w:type="gramStart"/>
      <w:r w:rsidRPr="00E6041B">
        <w:rPr>
          <w:rFonts w:ascii="T" w:hAnsi="T" w:cs="Simplified Arabic"/>
          <w:sz w:val="24"/>
          <w:szCs w:val="24"/>
        </w:rPr>
        <w:t>Verweij,et</w:t>
      </w:r>
      <w:proofErr w:type="spellEnd"/>
      <w:proofErr w:type="gramEnd"/>
      <w:r w:rsidRPr="00E6041B">
        <w:rPr>
          <w:rFonts w:ascii="T" w:hAnsi="T" w:cs="Simplified Arabic"/>
          <w:sz w:val="24"/>
          <w:szCs w:val="24"/>
        </w:rPr>
        <w:t xml:space="preserve"> al,2022)</w:t>
      </w:r>
      <w:r w:rsidRPr="00E6041B">
        <w:rPr>
          <w:rFonts w:ascii="T" w:hAnsi="T" w:cs="Simplified Arabic"/>
          <w:sz w:val="24"/>
          <w:szCs w:val="24"/>
          <w:rtl/>
        </w:rPr>
        <w:t>‏</w:t>
      </w:r>
    </w:p>
    <w:p w14:paraId="6F820D23" w14:textId="77777777" w:rsidR="00AE0CA0" w:rsidRPr="00E6041B"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E6041B">
        <w:rPr>
          <w:rFonts w:ascii="T" w:hAnsi="T" w:cs="Simplified Arabic"/>
          <w:b/>
          <w:bCs/>
          <w:sz w:val="24"/>
          <w:szCs w:val="24"/>
          <w:rtl/>
        </w:rPr>
        <w:t>رابعًا: المعالجة المحاسبية للشراكات بين القطاعين العام والخاص خارج الميزانية العمومية</w:t>
      </w:r>
      <w:r w:rsidRPr="00E6041B">
        <w:rPr>
          <w:rFonts w:ascii="T" w:hAnsi="T" w:cs="Simplified Arabic"/>
          <w:b/>
          <w:bCs/>
          <w:sz w:val="24"/>
          <w:szCs w:val="24"/>
        </w:rPr>
        <w:t xml:space="preserve">: </w:t>
      </w:r>
    </w:p>
    <w:p w14:paraId="6B3EDB24"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غالبًا ما تعاني القطاعات العامة من سوء إدارة سجلاتها المالية، مما يعيقها عن تحقيق أقصى إمكاناتها وضمان دوران فعال للأموال. وهنا يأتي دور القطاع الخاص لإنشاء وكالة مربحة لتقديم الخدمات العامة</w:t>
      </w:r>
      <w:r w:rsidRPr="00E6041B">
        <w:rPr>
          <w:rFonts w:ascii="T" w:hAnsi="T" w:cs="Simplified Arabic"/>
          <w:sz w:val="24"/>
          <w:szCs w:val="24"/>
        </w:rPr>
        <w:t>. (Verweij &amp; Satheesh, 2023)</w:t>
      </w:r>
    </w:p>
    <w:p w14:paraId="6569F5C7" w14:textId="77777777" w:rsidR="00AE0CA0" w:rsidRPr="00E6041B"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E6041B">
        <w:rPr>
          <w:rFonts w:ascii="T" w:hAnsi="T" w:cs="Simplified Arabic"/>
          <w:b/>
          <w:bCs/>
          <w:sz w:val="24"/>
          <w:szCs w:val="24"/>
          <w:rtl/>
        </w:rPr>
        <w:t>خامسا: الابتكار</w:t>
      </w:r>
      <w:r w:rsidRPr="00E6041B">
        <w:rPr>
          <w:rFonts w:ascii="T" w:hAnsi="T" w:cs="Simplified Arabic"/>
          <w:b/>
          <w:bCs/>
          <w:sz w:val="24"/>
          <w:szCs w:val="24"/>
        </w:rPr>
        <w:t xml:space="preserve">: </w:t>
      </w:r>
    </w:p>
    <w:p w14:paraId="2D06BD51"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يعني الابتكار إدخال شيء جديد. يقوم القطاع الخاص بإعادة ابتكار وتقديم تقنيات جديدة للمساعدة في تقديم خدمات عامة فعالة</w:t>
      </w:r>
      <w:r w:rsidRPr="00E6041B">
        <w:rPr>
          <w:rFonts w:ascii="T" w:hAnsi="T" w:cs="Simplified Arabic"/>
          <w:sz w:val="24"/>
          <w:szCs w:val="24"/>
        </w:rPr>
        <w:t>.</w:t>
      </w:r>
    </w:p>
    <w:p w14:paraId="7699A716"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يتمتع القطاع الخاص بمستوى أعلى من التقدم التكنولوجي ويواكب أحدث التقنيات، ولهذا السبب يحقق مشاركته في معظم الحالات نجاحًا كبيرًا في تقديم الخدمات العامة</w:t>
      </w:r>
      <w:r w:rsidRPr="00E6041B">
        <w:rPr>
          <w:rFonts w:ascii="T" w:hAnsi="T" w:cs="Simplified Arabic"/>
          <w:sz w:val="24"/>
          <w:szCs w:val="24"/>
        </w:rPr>
        <w:t>.</w:t>
      </w:r>
    </w:p>
    <w:p w14:paraId="7FABEEF3"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إدارة المخاطر - لا تقع المخاطر على عاتق طرف واحد فقط، بل يتم تقاسمها بين القطاعين الخاص والعام، وهو أمرٌ سليمٌ ومُستحسنٌ اقتصاديًا. وفي حال وقوع أي خسارة، تقع المسؤولية على عاتق الطرفين معًا بشكلٍ قاطع</w:t>
      </w:r>
      <w:r w:rsidRPr="00E6041B">
        <w:rPr>
          <w:rFonts w:ascii="T" w:hAnsi="T" w:cs="Simplified Arabic"/>
          <w:sz w:val="24"/>
          <w:szCs w:val="24"/>
        </w:rPr>
        <w:t xml:space="preserve"> (Law Teacher, 2018). </w:t>
      </w:r>
    </w:p>
    <w:p w14:paraId="01FAD924"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وتعد من أهم أسباب ودوافع الشراكات مع القطاع الخاص على الأصعدة الدولية الأسباب الآتية</w:t>
      </w:r>
      <w:r w:rsidRPr="00E6041B">
        <w:rPr>
          <w:rFonts w:ascii="T" w:hAnsi="T" w:cs="Simplified Arabic"/>
          <w:sz w:val="24"/>
          <w:szCs w:val="24"/>
        </w:rPr>
        <w:t xml:space="preserve">: </w:t>
      </w:r>
    </w:p>
    <w:p w14:paraId="0F68ED1C"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Pr>
        <w:lastRenderedPageBreak/>
        <w:t>•</w:t>
      </w:r>
      <w:r w:rsidRPr="00E6041B">
        <w:rPr>
          <w:rFonts w:ascii="T" w:hAnsi="T" w:cs="Simplified Arabic"/>
          <w:sz w:val="24"/>
          <w:szCs w:val="24"/>
        </w:rPr>
        <w:tab/>
      </w:r>
      <w:r w:rsidRPr="00E6041B">
        <w:rPr>
          <w:rFonts w:ascii="T" w:hAnsi="T" w:cs="Simplified Arabic"/>
          <w:sz w:val="24"/>
          <w:szCs w:val="24"/>
          <w:rtl/>
        </w:rPr>
        <w:t>القيود المالية: تواجه العديد من الحكومات ميزانيات محدودة أو ديوناً مرتفعة، مما يجعل الاستثمار العام المباشر أمراً صعباً. توفر الشراكات بين القطاعين العام والخاص وسيلةً لسد فجوة الميزانية عن طريق تحويل المدفوعات إلى ميزانيات مستقبلية. وبفضل تأجيل النفقات الفورية، بدت هذه الشراكات جذابة في ظل القواعد المالية الصارمة</w:t>
      </w:r>
      <w:r w:rsidRPr="00E6041B">
        <w:rPr>
          <w:rFonts w:ascii="T" w:hAnsi="T" w:cs="Simplified Arabic"/>
          <w:sz w:val="24"/>
          <w:szCs w:val="24"/>
        </w:rPr>
        <w:t>. (Verweij &amp; Satheesh, 2023)</w:t>
      </w:r>
      <w:r w:rsidRPr="00E6041B">
        <w:rPr>
          <w:rFonts w:ascii="T" w:hAnsi="T" w:cs="Simplified Arabic"/>
          <w:sz w:val="24"/>
          <w:szCs w:val="24"/>
          <w:rtl/>
        </w:rPr>
        <w:t>‏</w:t>
      </w:r>
    </w:p>
    <w:p w14:paraId="475CF309"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Pr>
        <w:t>•</w:t>
      </w:r>
      <w:r w:rsidRPr="00E6041B">
        <w:rPr>
          <w:rFonts w:ascii="T" w:hAnsi="T" w:cs="Simplified Arabic"/>
          <w:sz w:val="24"/>
          <w:szCs w:val="24"/>
        </w:rPr>
        <w:tab/>
      </w:r>
      <w:r w:rsidRPr="00E6041B">
        <w:rPr>
          <w:rFonts w:ascii="T" w:hAnsi="T" w:cs="Simplified Arabic"/>
          <w:sz w:val="24"/>
          <w:szCs w:val="24"/>
          <w:rtl/>
        </w:rPr>
        <w:t>فجوات الاستثمار في البنية التحتية: تشير التحليلات الدولية إلى أن احتياجات العالم من البنية التحتية ستبلغ حوالي 100 تريليون دولار بحلول عام 2040 (خاصة في قطاعات الطاقة والمياه والنقل). ومع ذلك، غالبًا ما يكون الاستثمار العام غير كافٍ (على سبيل المثال، تواجه الولايات المتحدة فجوة تبلغ عدة تريليونات من الدولارات). ويتم الترويج للشراكات بين القطاعين العام والخاص كوسيلة للاستفادة من رأس المال الخاص للمساعدة في سد هذه الفجوات. وكما يشير أحد محللي البنك الدولي، فإن التوسع الحضري الهائل وأهداف المناخ تخلق طلبًا ضخمًا "يجب تمويله" جزئيًا من خلال أدوات جديدة</w:t>
      </w:r>
      <w:r w:rsidRPr="00E6041B">
        <w:rPr>
          <w:rFonts w:ascii="T" w:hAnsi="T" w:cs="Simplified Arabic"/>
          <w:sz w:val="24"/>
          <w:szCs w:val="24"/>
        </w:rPr>
        <w:t xml:space="preserve"> (Heathcote, 2017).</w:t>
      </w:r>
    </w:p>
    <w:p w14:paraId="53E48306"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Pr>
        <w:t>•</w:t>
      </w:r>
      <w:r w:rsidRPr="00E6041B">
        <w:rPr>
          <w:rFonts w:ascii="T" w:hAnsi="T" w:cs="Simplified Arabic"/>
          <w:sz w:val="24"/>
          <w:szCs w:val="24"/>
        </w:rPr>
        <w:tab/>
      </w:r>
      <w:r w:rsidRPr="00E6041B">
        <w:rPr>
          <w:rFonts w:ascii="T" w:hAnsi="T" w:cs="Simplified Arabic"/>
          <w:sz w:val="24"/>
          <w:szCs w:val="24"/>
          <w:rtl/>
        </w:rPr>
        <w:t>توافر رأس المال الخاص: يسعى المستثمرون المؤسسيون (صناديق التقاعد، وشركات التأمين، ومديرو الأصول) حاليًا إلى تحقيق عوائد طويلة الأجل مرتبطة بالتضخم. ويمكن لمشاريع البنية التحتية القائمة على الشراكة بين القطاعين العام والخاص أن تلبي احتياجاتهم. ولذلك، تستثمر صناديق التقاعد أو صناديق الثروة السيادية الكبيرة بنشاط في مشاريع الطرق السريعة أو مشاريع الطاقة القائمة على الشراكة بين القطاعين العام والخاص، مما يزيد من تدفق رأس المال إلى هذه المشاريع</w:t>
      </w:r>
      <w:r w:rsidRPr="00E6041B">
        <w:rPr>
          <w:rFonts w:ascii="T" w:hAnsi="T" w:cs="Simplified Arabic"/>
          <w:sz w:val="24"/>
          <w:szCs w:val="24"/>
        </w:rPr>
        <w:t>. (Rodrigues, 2023).</w:t>
      </w:r>
      <w:r w:rsidRPr="00E6041B">
        <w:rPr>
          <w:rFonts w:ascii="T" w:hAnsi="T" w:cs="Simplified Arabic"/>
          <w:sz w:val="24"/>
          <w:szCs w:val="24"/>
          <w:rtl/>
        </w:rPr>
        <w:t>‏</w:t>
      </w:r>
    </w:p>
    <w:p w14:paraId="00836675"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بالإضافة، فإن للشراكات بين القطاعين العام والخاص منافع وفوائد كثيرة للقطاع الخاص نفسه حيث تتيح الشراكات بين القطاعين العام والخاص للقطاع الخاص الوصول إلى فرص استثمارية طويلة الأجل. ويمكن تأسيس الشركات بثقة وأمان من خلال ضمان الحصول على عقود حكومية. ويتم الدفع إما عن طريق رسوم متفق عليها مقابل الخدمة، أو من خلال تحصيل رسوم المستخدمين. وتبقى الإيرادات مضمونة لمدة تتراوح بين 15 و20 عامًا. وبفضل كفاءتها العالية، وقدراتها الإدارية والفنية والمالية، تستطيع الشركات الشريكة في القطاع الخاص توسيع نطاق خبراتها لتشمل فرصًا تجارية أخرى، وحتى مناطق أخرى، نظرًا لسجلها الحافل بالإنجازات</w:t>
      </w:r>
      <w:r w:rsidRPr="00E6041B">
        <w:rPr>
          <w:rFonts w:ascii="T" w:hAnsi="T" w:cs="Simplified Arabic"/>
          <w:sz w:val="24"/>
          <w:szCs w:val="24"/>
        </w:rPr>
        <w:t>. (Batjargal &amp; Zhang,2022)</w:t>
      </w:r>
    </w:p>
    <w:p w14:paraId="4BFE51D9" w14:textId="2AFB9A26" w:rsidR="00AE0CA0" w:rsidRPr="001625B8" w:rsidRDefault="00AE0CA0" w:rsidP="001625B8">
      <w:pPr>
        <w:pStyle w:val="Heading2"/>
        <w:numPr>
          <w:ilvl w:val="2"/>
          <w:numId w:val="3"/>
        </w:numPr>
        <w:bidi/>
        <w:spacing w:line="360" w:lineRule="auto"/>
        <w:ind w:firstLine="720"/>
        <w:rPr>
          <w:rFonts w:ascii="T" w:hAnsi="T" w:cs="Simplified Arabic"/>
          <w:b/>
          <w:bCs/>
          <w:color w:val="auto"/>
          <w:sz w:val="24"/>
          <w:szCs w:val="24"/>
          <w:rtl/>
        </w:rPr>
      </w:pPr>
      <w:bookmarkStart w:id="47" w:name="_Toc234607881"/>
      <w:r w:rsidRPr="001625B8">
        <w:rPr>
          <w:rFonts w:ascii="T" w:hAnsi="T" w:cs="Simplified Arabic"/>
          <w:b/>
          <w:bCs/>
          <w:color w:val="auto"/>
          <w:sz w:val="24"/>
          <w:szCs w:val="24"/>
          <w:rtl/>
        </w:rPr>
        <w:lastRenderedPageBreak/>
        <w:t>أنواع العقود وطرق التعاقد بين القطاعين العام والخاص</w:t>
      </w:r>
      <w:bookmarkEnd w:id="47"/>
    </w:p>
    <w:p w14:paraId="7696C646"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توجد أنواع ونماذج تنفيذ عديدة للشراكات بين القطاعين العام والخاص، وفيما يلي قائمة غير شاملة لبعض التصاميم</w:t>
      </w:r>
      <w:r w:rsidRPr="00E6041B">
        <w:rPr>
          <w:rFonts w:ascii="T" w:hAnsi="T" w:cs="Simplified Arabic"/>
          <w:sz w:val="24"/>
          <w:szCs w:val="24"/>
        </w:rPr>
        <w:t>:</w:t>
      </w:r>
    </w:p>
    <w:p w14:paraId="11416BEF"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عقد التشغيل والصيانة: يتولى وكيل اقتصادي خاص، بموجب عقد حكومي، تشغيل أصل مملوك للدولة لفترة زمنية محددة. وتبقى ملكية الأصل، من الناحية الرسمية، للجهة العامة. وفيما يتعلق بمخاطر القطاع الخاص ومشاركته، يُعد هذا النموذج منخفضاً نسبياً من حيث كلٍ من المشاركة والمخاطر</w:t>
      </w:r>
      <w:r w:rsidRPr="00E6041B">
        <w:rPr>
          <w:rFonts w:ascii="T" w:hAnsi="T" w:cs="Simplified Arabic"/>
          <w:sz w:val="24"/>
          <w:szCs w:val="24"/>
        </w:rPr>
        <w:t xml:space="preserve"> (</w:t>
      </w:r>
      <w:proofErr w:type="spellStart"/>
      <w:r w:rsidRPr="00E6041B">
        <w:rPr>
          <w:rFonts w:ascii="T" w:hAnsi="T" w:cs="Simplified Arabic"/>
          <w:sz w:val="24"/>
          <w:szCs w:val="24"/>
        </w:rPr>
        <w:t>Aboelazm,et</w:t>
      </w:r>
      <w:proofErr w:type="spellEnd"/>
      <w:r w:rsidRPr="00E6041B">
        <w:rPr>
          <w:rFonts w:ascii="T" w:hAnsi="T" w:cs="Simplified Arabic"/>
          <w:sz w:val="24"/>
          <w:szCs w:val="24"/>
        </w:rPr>
        <w:t xml:space="preserve"> al , 2025) </w:t>
      </w:r>
    </w:p>
    <w:p w14:paraId="15D67715"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البناء والتمويل: يقوم القطاع الخاص ببناء المشروع وتمويل تكلفته خلال فترة الإنشاء، ثم تُنقل المسؤولية إلى الجهة الحكومية. وفيما يتعلق بمخاطر القطاع الخاص ومشاركته، يُعد هذا النموذج منخفضًا نسبيًا في كلا المعيارين</w:t>
      </w:r>
      <w:r w:rsidRPr="00E6041B">
        <w:rPr>
          <w:rFonts w:ascii="T" w:hAnsi="T" w:cs="Simplified Arabic"/>
          <w:sz w:val="24"/>
          <w:szCs w:val="24"/>
        </w:rPr>
        <w:t xml:space="preserve"> (</w:t>
      </w:r>
      <w:proofErr w:type="spellStart"/>
      <w:r w:rsidRPr="00E6041B">
        <w:rPr>
          <w:rFonts w:ascii="T" w:hAnsi="T" w:cs="Simplified Arabic"/>
          <w:sz w:val="24"/>
          <w:szCs w:val="24"/>
        </w:rPr>
        <w:t>Raina,et</w:t>
      </w:r>
      <w:proofErr w:type="spellEnd"/>
      <w:r w:rsidRPr="00E6041B">
        <w:rPr>
          <w:rFonts w:ascii="T" w:hAnsi="T" w:cs="Simplified Arabic"/>
          <w:sz w:val="24"/>
          <w:szCs w:val="24"/>
        </w:rPr>
        <w:t xml:space="preserve"> al ,2024). </w:t>
      </w:r>
    </w:p>
    <w:p w14:paraId="5FA33080"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البناء والتشغيل والتحويل: يمثل نموذج البناء والتشغيل والتحويل تكاملاً كاملاً لتنفيذ المشروع: إذ ينظم العقد نفسه تصميم المشروع وبنائه وتشغيله وصيانته وتمويله. وبعد فترة امتياز معينة، يُعاد تسليم المنشأة إلى مالكها</w:t>
      </w:r>
      <w:r w:rsidRPr="00E6041B">
        <w:rPr>
          <w:rFonts w:ascii="T" w:hAnsi="T" w:cs="Simplified Arabic"/>
          <w:sz w:val="24"/>
          <w:szCs w:val="24"/>
        </w:rPr>
        <w:t>.</w:t>
      </w:r>
    </w:p>
    <w:p w14:paraId="12889078"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البناء - التملك - التشغيل - النقل: يختلف هيكل البناء والتشغيل والتحويل عن هيكل البناء والتشغيل والتحويل في أن الكيان الخاص يمتلك الأعمال. خلال فترة الامتياز، تمتلك الشركة الخاصة المنشأة وتديرها بهدف رئيسي هو استرداد تكاليف الاستثمار والصيانة مع السعي لتحقيق هامش ربح أعلى على المشروع. وقد تم استخدام هيكل البناء والتشغيل والتحويل في مشاريع مثل الطرق السريعة، وشبكات النقل الجماعي، والنقل بالسكك الحديدية، وتوليد الطاقة</w:t>
      </w:r>
      <w:r w:rsidRPr="00E6041B">
        <w:rPr>
          <w:rFonts w:ascii="T" w:hAnsi="T" w:cs="Simplified Arabic"/>
          <w:sz w:val="24"/>
          <w:szCs w:val="24"/>
        </w:rPr>
        <w:t xml:space="preserve"> (</w:t>
      </w:r>
      <w:proofErr w:type="spellStart"/>
      <w:r w:rsidRPr="00E6041B">
        <w:rPr>
          <w:rFonts w:ascii="T" w:hAnsi="T" w:cs="Simplified Arabic"/>
          <w:sz w:val="24"/>
          <w:szCs w:val="24"/>
        </w:rPr>
        <w:t>Stafano</w:t>
      </w:r>
      <w:proofErr w:type="spellEnd"/>
      <w:r w:rsidRPr="00E6041B">
        <w:rPr>
          <w:rFonts w:ascii="T" w:hAnsi="T" w:cs="Simplified Arabic"/>
          <w:sz w:val="24"/>
          <w:szCs w:val="24"/>
        </w:rPr>
        <w:t>, 2007).</w:t>
      </w:r>
    </w:p>
    <w:p w14:paraId="1C1B09A3"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 xml:space="preserve">البناء والتملك والتشغيل: في مشاريع البناء والتشغيل والتملك، تبقى ملكية المشروع عادةً للشركة المنفذة، مثل شبكات الهاتف المحمول. وبالتالي، تستفيد الشركة الخاصة من أي قيمة متبقية للمشروع. يُستخدم هذا الإطار عندما يتزامن العمر الافتراضي للمشروع مع فترة الامتياز. يتطلب نظام البناء والتشغيل والتملك مبالغ مالية ضخمة </w:t>
      </w:r>
      <w:r w:rsidRPr="00E6041B">
        <w:rPr>
          <w:rFonts w:ascii="T" w:hAnsi="T" w:cs="Simplified Arabic"/>
          <w:sz w:val="24"/>
          <w:szCs w:val="24"/>
          <w:rtl/>
        </w:rPr>
        <w:lastRenderedPageBreak/>
        <w:t>وفترة استرداد طويلة. ومن أمثلة مشاريع البناء والتشغيل والتملك محطات معالجة المياه</w:t>
      </w:r>
      <w:r w:rsidRPr="00E6041B">
        <w:rPr>
          <w:rFonts w:ascii="T" w:hAnsi="T" w:cs="Simplified Arabic"/>
          <w:sz w:val="24"/>
          <w:szCs w:val="24"/>
        </w:rPr>
        <w:t xml:space="preserve"> (.</w:t>
      </w:r>
      <w:proofErr w:type="spellStart"/>
      <w:r w:rsidRPr="00E6041B">
        <w:rPr>
          <w:rFonts w:ascii="T" w:hAnsi="T" w:cs="Simplified Arabic"/>
          <w:sz w:val="24"/>
          <w:szCs w:val="24"/>
        </w:rPr>
        <w:t>Grimsy</w:t>
      </w:r>
      <w:proofErr w:type="spellEnd"/>
      <w:r w:rsidRPr="00E6041B">
        <w:rPr>
          <w:rFonts w:ascii="T" w:hAnsi="T" w:cs="Simplified Arabic"/>
          <w:sz w:val="24"/>
          <w:szCs w:val="24"/>
        </w:rPr>
        <w:t xml:space="preserve">,.Darrin, 2007). </w:t>
      </w:r>
    </w:p>
    <w:p w14:paraId="544D74FA"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البناء والتأجير والتحويل: بموجب اتفاقية البناء والتأجير، تقوم جهة خاصة ببناء مشروع متكامل وتأجيره للحكومة. وبهذه الطريقة، تنتقل السيطرة على المشروع من مالكه إلى المستأجر. بعبارة أخرى، تبقى الملكية للمساهمين، بينما تُؤجَّر أغراض التشغيل. بعد انتهاء مدة الإيجار، تنتقل ملكية الأصل ومسؤولية التشغيل إلى الحكومة بسعر متفق عليه مسبقاً</w:t>
      </w:r>
      <w:r w:rsidRPr="00E6041B">
        <w:rPr>
          <w:rFonts w:ascii="T" w:hAnsi="T" w:cs="Simplified Arabic"/>
          <w:sz w:val="24"/>
          <w:szCs w:val="24"/>
        </w:rPr>
        <w:t>.</w:t>
      </w:r>
    </w:p>
    <w:p w14:paraId="3A8D6E97"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التصميم والبناء والتمويل والصيانة: يقوم القطاع الخاص بتصميم وبناء وتمويل الأصول، ويقدم خدمات إدارة وصيانة المرافق بموجب اتفاقية طويلة الأجل. ويتولى المالك (عادةً القطاع العام) تشغيل المنشأة. ويُعدّ هذا النموذج متوسطًا من حيث مستوى المخاطرة والمشاركة من جانب القطاع الخاص</w:t>
      </w:r>
      <w:r w:rsidRPr="00E6041B">
        <w:rPr>
          <w:rFonts w:ascii="T" w:hAnsi="T" w:cs="Simplified Arabic"/>
          <w:sz w:val="24"/>
          <w:szCs w:val="24"/>
        </w:rPr>
        <w:t xml:space="preserve"> (</w:t>
      </w:r>
      <w:proofErr w:type="spellStart"/>
      <w:r w:rsidRPr="00E6041B">
        <w:rPr>
          <w:rFonts w:ascii="T" w:hAnsi="T" w:cs="Simplified Arabic"/>
          <w:sz w:val="24"/>
          <w:szCs w:val="24"/>
        </w:rPr>
        <w:t>Akinsulire</w:t>
      </w:r>
      <w:proofErr w:type="spellEnd"/>
      <w:r w:rsidRPr="00E6041B">
        <w:rPr>
          <w:rFonts w:ascii="T" w:hAnsi="T" w:cs="Simplified Arabic"/>
          <w:sz w:val="24"/>
          <w:szCs w:val="24"/>
        </w:rPr>
        <w:t xml:space="preserve">, et al,2024). </w:t>
      </w:r>
    </w:p>
    <w:p w14:paraId="5ED8738A"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التصميم والبناء والتمويل والصيانة والتشغيل: يُعدّ نموذج التصميم والبناء والتمويل والتشغيل أسلوبًا لتنفيذ المشاريع مشابهًا جدًا لنموذج البناء والتشغيل والتحويل، باستثناء عدم وجود نقل فعلي للملكية. علاوة على ذلك، يتحمل المقاول مخاطر التمويل حتى نهاية مدة العقد، ثم يتولى المالك مسؤولية الصيانة والتشغيل</w:t>
      </w:r>
      <w:r w:rsidRPr="00E6041B">
        <w:rPr>
          <w:rFonts w:ascii="T" w:hAnsi="T" w:cs="Simplified Arabic"/>
          <w:sz w:val="24"/>
          <w:szCs w:val="24"/>
        </w:rPr>
        <w:t xml:space="preserve">. </w:t>
      </w:r>
    </w:p>
    <w:p w14:paraId="30D5696C"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يُستخدم هذا النموذج على نطاق واسع في مشاريع بنية تحتية محددة، مثل الطرق السريعة ذات الرسوم. تتولى شركة الإنشاءات الخاصة مسؤولية تصميم وبناء جزء من البنية التحتية لصالح الحكومة، وهي المالك الحقيقي. كما تتحمل الجهة الخاصة مسؤولية توفير التمويل خلال مرحلتي الإنشاء والتشغيل. عادةً، يبدأ القطاع العام في سداد المدفوعات للقطاع الخاص مقابل استخدام الأصل بعد اكتمال الإنشاء. يُعدّ هذا النموذج الأكثر شيوعًا في الاتحاد الأوروبي، وفقًا لمحكمة المدققين الأوروبية</w:t>
      </w:r>
      <w:r w:rsidRPr="00E6041B">
        <w:rPr>
          <w:rFonts w:ascii="T" w:hAnsi="T" w:cs="Simplified Arabic"/>
          <w:sz w:val="24"/>
          <w:szCs w:val="24"/>
        </w:rPr>
        <w:t xml:space="preserve"> (</w:t>
      </w:r>
      <w:proofErr w:type="spellStart"/>
      <w:r w:rsidRPr="00E6041B">
        <w:rPr>
          <w:rFonts w:ascii="T" w:hAnsi="T" w:cs="Simplified Arabic"/>
          <w:sz w:val="24"/>
          <w:szCs w:val="24"/>
        </w:rPr>
        <w:t>Raina,et</w:t>
      </w:r>
      <w:proofErr w:type="spellEnd"/>
      <w:r w:rsidRPr="00E6041B">
        <w:rPr>
          <w:rFonts w:ascii="T" w:hAnsi="T" w:cs="Simplified Arabic"/>
          <w:sz w:val="24"/>
          <w:szCs w:val="24"/>
        </w:rPr>
        <w:t xml:space="preserve"> al ,2024). </w:t>
      </w:r>
    </w:p>
    <w:p w14:paraId="063A2A7B"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التصميم والبناء والتشغيل والتحويل: يُعدّ هذا الخيار التمويلي شائعًا عندما لا يكون لدى العميل أي فكرة عن تفاصيل المشروع. ولذلك، يُسند المشروع إلى شركة لتصميمه وبنائه وتشغيله، ثم نقله إلى شركة أخرى. ومن أمثلة هذه المشاريع إنشاء مصافي النفط</w:t>
      </w:r>
      <w:r w:rsidRPr="00E6041B">
        <w:rPr>
          <w:rFonts w:ascii="T" w:hAnsi="T" w:cs="Simplified Arabic"/>
          <w:sz w:val="24"/>
          <w:szCs w:val="24"/>
        </w:rPr>
        <w:t xml:space="preserve"> (Ninad, 2010). </w:t>
      </w:r>
    </w:p>
    <w:p w14:paraId="007C66C9"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lastRenderedPageBreak/>
        <w:t>التصميم - البناء - الإدارة - التمويل: تُعهد إلى جهة خاصة بتصميم وبناء وإدارة وتمويل منشأة، وفقًا لمواصفات الحكومة. وتنتج التدفقات النقدية للمشروع من مدفوعات الحكومة مقابل إيجار المنشأة. ومن أمثلة نموذج التمويل المشترك بين القطاعين العام والخاص السجون والمستشفيات العامة</w:t>
      </w:r>
      <w:r w:rsidRPr="00E6041B">
        <w:rPr>
          <w:rFonts w:ascii="T" w:hAnsi="T" w:cs="Simplified Arabic"/>
          <w:sz w:val="24"/>
          <w:szCs w:val="24"/>
        </w:rPr>
        <w:t>.</w:t>
      </w:r>
    </w:p>
    <w:p w14:paraId="3F7FE60A"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امتياز: الامتياز هو منح حقوق أو أراضٍ أو ممتلكات من قبل حكومة أو سلطة محلية أو شركة أو فرد أو أي كيان قانوني آخر. ويمكن تشغيل الخدمات العامة، مثل إمدادات المياه، بموجب امتياز. في حالة امتياز الخدمة العامة، تُبرم شركة خاصة اتفاقية مع الحكومة للحصول على الحق الحصري في تشغيل وصيانة واستثمار مرفق عام (مثل خصخصة المياه) لعدد محدد من السنوات</w:t>
      </w:r>
      <w:r w:rsidRPr="00E6041B">
        <w:rPr>
          <w:rFonts w:ascii="T" w:hAnsi="T" w:cs="Simplified Arabic"/>
          <w:sz w:val="24"/>
          <w:szCs w:val="24"/>
        </w:rPr>
        <w:t xml:space="preserve"> (</w:t>
      </w:r>
      <w:proofErr w:type="spellStart"/>
      <w:r w:rsidRPr="00E6041B">
        <w:rPr>
          <w:rFonts w:ascii="T" w:hAnsi="T" w:cs="Simplified Arabic"/>
          <w:sz w:val="24"/>
          <w:szCs w:val="24"/>
        </w:rPr>
        <w:t>Alshboul</w:t>
      </w:r>
      <w:proofErr w:type="spellEnd"/>
      <w:r w:rsidRPr="00E6041B">
        <w:rPr>
          <w:rFonts w:ascii="T" w:hAnsi="T" w:cs="Simplified Arabic"/>
          <w:sz w:val="24"/>
          <w:szCs w:val="24"/>
        </w:rPr>
        <w:t xml:space="preserve"> &amp; Shehadeh, 2026).</w:t>
      </w:r>
    </w:p>
    <w:p w14:paraId="28A8F03E"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في حين أن مشاريع البنية التحتية طويلة الأجل تشكل الجزء الأكبر من الشراكات بين القطاعين العام والخاص في جميع أنحاء العالم، إلا أن هناك أنواعًا أخرى من الشراكات بين القطاعين العام والخاص تناسب أغراضًا وجهات فاعلة مختلفة</w:t>
      </w:r>
      <w:r w:rsidRPr="00E6041B">
        <w:rPr>
          <w:rFonts w:ascii="T" w:hAnsi="T" w:cs="Simplified Arabic"/>
          <w:sz w:val="24"/>
          <w:szCs w:val="24"/>
        </w:rPr>
        <w:t>.</w:t>
      </w:r>
    </w:p>
    <w:p w14:paraId="74153AF5"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تسييل الأصول: من أشكال الشراكة بين القطاعين العام والخاص التي شاعت في المدن الأمريكية خلال القرن الحادي والعشرين، اتفاقيات تسييل الأصول. وتتعلق هذه الاتفاقيات بأصول المدينة المدرة للدخل (مثل مواقف السيارات، والمرائب، والعدادات، والإضاءة العامة، والطرق ذات الرسوم، وغيرها) وتحويلها إلى أصول مالية يمكن للمدينة تأجيرها لشركة خاصة مقابل تغطية تكاليف التشغيل والصيانة. وعادةً ما تُبرم هذه الصفقات خلال فترات الضائقة المالية التي تمر بها المدينة، وتُستخدم الإيرادات الفورية التي تحصل عليها البلديات لسداد الديون أو سد العجز في الميزانية. وقد تضمنت اتفاقية إفلاس ديترويت عام 2014 العديد من اتفاقيات تسييل الأصول</w:t>
      </w:r>
      <w:r w:rsidRPr="00E6041B">
        <w:rPr>
          <w:rFonts w:ascii="T" w:hAnsi="T" w:cs="Simplified Arabic"/>
          <w:sz w:val="24"/>
          <w:szCs w:val="24"/>
        </w:rPr>
        <w:t xml:space="preserve"> (Heather, 2016).</w:t>
      </w:r>
    </w:p>
    <w:p w14:paraId="6D83D14C"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شراكة عالمية بين القطاعين العام والخاص: الشراكة العالمية بين القطاعين العام والخاص هي آلية حوكمة تهدف إلى تعزيز التعاون بين القطاعين العام والخاص، وتحديداً بين منظمة حكومية دولية كالأمم المتحدة والشركات الخاصة. وتسعى هذه الشراكات، من بين أمور أخرى، إلى زيادة إمكانية الحصول على الأدوية واللقاحات الأساسية وغيرها</w:t>
      </w:r>
      <w:r w:rsidRPr="00E6041B">
        <w:rPr>
          <w:rFonts w:ascii="T" w:hAnsi="T" w:cs="Simplified Arabic"/>
          <w:sz w:val="24"/>
          <w:szCs w:val="24"/>
        </w:rPr>
        <w:t xml:space="preserve"> (Kevin, 2016). </w:t>
      </w:r>
    </w:p>
    <w:p w14:paraId="75013A08" w14:textId="69F1942C" w:rsidR="00AE0CA0" w:rsidRPr="001625B8" w:rsidRDefault="00AE0CA0" w:rsidP="001625B8">
      <w:pPr>
        <w:pStyle w:val="Heading2"/>
        <w:numPr>
          <w:ilvl w:val="2"/>
          <w:numId w:val="3"/>
        </w:numPr>
        <w:bidi/>
        <w:spacing w:line="360" w:lineRule="auto"/>
        <w:ind w:firstLine="720"/>
        <w:rPr>
          <w:rFonts w:ascii="T" w:hAnsi="T" w:cs="Simplified Arabic"/>
          <w:b/>
          <w:bCs/>
          <w:color w:val="auto"/>
          <w:sz w:val="24"/>
          <w:szCs w:val="24"/>
          <w:rtl/>
        </w:rPr>
      </w:pPr>
      <w:bookmarkStart w:id="48" w:name="_Toc234607882"/>
      <w:r w:rsidRPr="001625B8">
        <w:rPr>
          <w:rFonts w:ascii="T" w:hAnsi="T" w:cs="Simplified Arabic"/>
          <w:b/>
          <w:bCs/>
          <w:color w:val="auto"/>
          <w:sz w:val="24"/>
          <w:szCs w:val="24"/>
          <w:rtl/>
        </w:rPr>
        <w:lastRenderedPageBreak/>
        <w:t>الحوكمة البيئية</w:t>
      </w:r>
      <w:bookmarkEnd w:id="48"/>
    </w:p>
    <w:p w14:paraId="4B1C34A0" w14:textId="77777777" w:rsidR="00AE0CA0" w:rsidRPr="001625B8" w:rsidRDefault="00AE0CA0" w:rsidP="001625B8">
      <w:pPr>
        <w:pStyle w:val="ListParagraph"/>
        <w:numPr>
          <w:ilvl w:val="0"/>
          <w:numId w:val="39"/>
        </w:numPr>
        <w:shd w:val="clear" w:color="auto" w:fill="FFFFFF"/>
        <w:bidi/>
        <w:spacing w:before="240" w:after="240" w:line="360" w:lineRule="auto"/>
        <w:jc w:val="both"/>
        <w:rPr>
          <w:rFonts w:ascii="T" w:hAnsi="T" w:cs="Simplified Arabic"/>
          <w:b/>
          <w:bCs/>
          <w:sz w:val="24"/>
          <w:szCs w:val="24"/>
          <w:rtl/>
        </w:rPr>
      </w:pPr>
      <w:r w:rsidRPr="001625B8">
        <w:rPr>
          <w:rFonts w:ascii="T" w:hAnsi="T" w:cs="Simplified Arabic"/>
          <w:b/>
          <w:bCs/>
          <w:sz w:val="24"/>
          <w:szCs w:val="24"/>
          <w:rtl/>
        </w:rPr>
        <w:t>مفهوم الحوكمة البيئية وتطورها</w:t>
      </w:r>
    </w:p>
    <w:p w14:paraId="141BB160"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تشير الحوكمة البيئية إلى منظومة متكاملة من الآليات والمؤسسات والسياسات التي تنظم كيفية إدارة الموارد الطبيعية والتفاعل مع النظم البيئية، بهدف تحقيق توازن ديناميكي بين متطلبات التنمية الاقتصادية وضرورات الحفاظ على البيئة للأجيال الحالية والمستقبلية. يتسع مفهوم الحوكمة البيئية ليشمل أكثر من مجرد الإدارة التقليدية للموارد، إذ يركز على عمليات صنع القرار، وتوزيع السلطات والمسؤوليات، وآليات المساءلة، وأطر إشراك مختلف الأطراف المعنية</w:t>
      </w:r>
      <w:r w:rsidRPr="00E6041B">
        <w:rPr>
          <w:rFonts w:ascii="T" w:hAnsi="T" w:cs="Simplified Arabic"/>
          <w:sz w:val="24"/>
          <w:szCs w:val="24"/>
        </w:rPr>
        <w:t>. (</w:t>
      </w:r>
      <w:proofErr w:type="spellStart"/>
      <w:proofErr w:type="gramStart"/>
      <w:r w:rsidRPr="00E6041B">
        <w:rPr>
          <w:rFonts w:ascii="T" w:hAnsi="T" w:cs="Simplified Arabic"/>
          <w:sz w:val="24"/>
          <w:szCs w:val="24"/>
        </w:rPr>
        <w:t>Newig,et</w:t>
      </w:r>
      <w:proofErr w:type="spellEnd"/>
      <w:proofErr w:type="gramEnd"/>
      <w:r w:rsidRPr="00E6041B">
        <w:rPr>
          <w:rFonts w:ascii="T" w:hAnsi="T" w:cs="Simplified Arabic"/>
          <w:sz w:val="24"/>
          <w:szCs w:val="24"/>
        </w:rPr>
        <w:t xml:space="preserve"> al,2023)</w:t>
      </w:r>
    </w:p>
    <w:p w14:paraId="05705BC9"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تتأسس الحوكمة البيئية على أربع مكونات تشغيلية رئيسة، أولها التشريعات البيئية التي تضم مجموعة القوانين واللوائح والمعايير التي تحدد الإطار القانوني للسلوك البيئي المسموح به والممنوع، مثل أنظمة حماية البيئة ولوائح تقييم الأثر البيئي. وثانيها الرقابة والامتثال، وهي الآليات المخصصة لمتابعة الالتزام بالمعايير البيئية وفرض الجزاءات على المخالفين، وتشمل التفتيش الميداني وأنظمة الرصد المستمر. أما ثالثها فهو مشاركة أصحاب المصلحة، أي إدماج جميع الأطراف ذات العلاقة (حكومة، قطاع خاص، مجتمع مدني، مواطنين) في عمليات صنع القرار البيئي عبر المشاورات العامة ولجان الأطراف المعنية. ورابعها الشفافية والمساءلة، وهي ضمان تدفق المعلومات البيئية بحرية، وإتاحة آليات لمحاسبة الجهات العامة والخاصة عن أفعالها وقراراتها ذات البعد البيئي</w:t>
      </w:r>
      <w:r w:rsidRPr="00E6041B">
        <w:rPr>
          <w:rFonts w:ascii="T" w:hAnsi="T" w:cs="Simplified Arabic"/>
          <w:sz w:val="24"/>
          <w:szCs w:val="24"/>
        </w:rPr>
        <w:t>. (</w:t>
      </w:r>
      <w:proofErr w:type="spellStart"/>
      <w:proofErr w:type="gramStart"/>
      <w:r w:rsidRPr="00E6041B">
        <w:rPr>
          <w:rFonts w:ascii="T" w:hAnsi="T" w:cs="Simplified Arabic"/>
          <w:sz w:val="24"/>
          <w:szCs w:val="24"/>
        </w:rPr>
        <w:t>Soussi,et</w:t>
      </w:r>
      <w:proofErr w:type="spellEnd"/>
      <w:proofErr w:type="gramEnd"/>
      <w:r w:rsidRPr="00E6041B">
        <w:rPr>
          <w:rFonts w:ascii="T" w:hAnsi="T" w:cs="Simplified Arabic"/>
          <w:sz w:val="24"/>
          <w:szCs w:val="24"/>
        </w:rPr>
        <w:t xml:space="preserve"> al,2025)</w:t>
      </w:r>
    </w:p>
    <w:p w14:paraId="427DF26E" w14:textId="77777777" w:rsidR="00AE0CA0" w:rsidRPr="001625B8" w:rsidRDefault="00AE0CA0" w:rsidP="001625B8">
      <w:pPr>
        <w:pStyle w:val="ListParagraph"/>
        <w:numPr>
          <w:ilvl w:val="0"/>
          <w:numId w:val="39"/>
        </w:numPr>
        <w:shd w:val="clear" w:color="auto" w:fill="FFFFFF"/>
        <w:bidi/>
        <w:spacing w:before="240" w:after="240" w:line="360" w:lineRule="auto"/>
        <w:jc w:val="both"/>
        <w:rPr>
          <w:rFonts w:ascii="T" w:hAnsi="T" w:cs="Simplified Arabic"/>
          <w:b/>
          <w:bCs/>
          <w:sz w:val="24"/>
          <w:szCs w:val="24"/>
          <w:rtl/>
        </w:rPr>
      </w:pPr>
      <w:r w:rsidRPr="001625B8">
        <w:rPr>
          <w:rFonts w:ascii="T" w:hAnsi="T" w:cs="Simplified Arabic"/>
          <w:b/>
          <w:bCs/>
          <w:sz w:val="24"/>
          <w:szCs w:val="24"/>
          <w:rtl/>
        </w:rPr>
        <w:t>أبعاد الحوكمة البيئية</w:t>
      </w:r>
    </w:p>
    <w:p w14:paraId="74CA3994"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تتكون الحوكمة البيئية من عدة أبعاد رئيسية متداخلة، يُشكل فهمها ضرورة أساسية لتصميم أي نموذج شراكة ناجح في القطاع البيئي</w:t>
      </w:r>
      <w:r w:rsidRPr="00E6041B">
        <w:rPr>
          <w:rFonts w:ascii="T" w:hAnsi="T" w:cs="Simplified Arabic"/>
          <w:sz w:val="24"/>
          <w:szCs w:val="24"/>
        </w:rPr>
        <w:t>.</w:t>
      </w:r>
    </w:p>
    <w:p w14:paraId="33D9A8FB" w14:textId="77777777" w:rsidR="00AE0CA0" w:rsidRPr="001625B8"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1625B8">
        <w:rPr>
          <w:rFonts w:ascii="T" w:hAnsi="T" w:cs="Simplified Arabic"/>
          <w:b/>
          <w:bCs/>
          <w:sz w:val="24"/>
          <w:szCs w:val="24"/>
          <w:rtl/>
        </w:rPr>
        <w:t>أولاً: البعد المؤسسي</w:t>
      </w:r>
    </w:p>
    <w:p w14:paraId="403481A5"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 xml:space="preserve">يركز هذا البعد على هيكلة الجهات المعنية بإدارة الشؤون البيئية وتوزيع الاختصاصات فيما بينها. في المملكة العربية السعودية، يبرز في هذا السياق المركز الوطني للرقابة على الالتزام البيئي، إلى جانب وزارة البيئة </w:t>
      </w:r>
      <w:r w:rsidRPr="00E6041B">
        <w:rPr>
          <w:rFonts w:ascii="T" w:hAnsi="T" w:cs="Simplified Arabic"/>
          <w:sz w:val="24"/>
          <w:szCs w:val="24"/>
          <w:rtl/>
        </w:rPr>
        <w:lastRenderedPageBreak/>
        <w:t>والمياه والزراعة، كجهات تنظيمية محورية. وقد اتجهت المملكة في السنوات الأخيرة إلى تعزيز هذه المؤسسات ورفع قدراتها بهدف تحقيق رقابة بيئية فعالة، خاصة في ظل التوسع في مشاريع الشراكة مع القطاع الخاص التي تتطلب أطراً رقابية قوية ومتخصصة</w:t>
      </w:r>
      <w:r w:rsidRPr="00E6041B">
        <w:rPr>
          <w:rFonts w:ascii="T" w:hAnsi="T" w:cs="Simplified Arabic"/>
          <w:sz w:val="24"/>
          <w:szCs w:val="24"/>
        </w:rPr>
        <w:t>. (</w:t>
      </w:r>
      <w:proofErr w:type="spellStart"/>
      <w:proofErr w:type="gramStart"/>
      <w:r w:rsidRPr="00E6041B">
        <w:rPr>
          <w:rFonts w:ascii="T" w:hAnsi="T" w:cs="Simplified Arabic"/>
          <w:sz w:val="24"/>
          <w:szCs w:val="24"/>
        </w:rPr>
        <w:t>Alwadani,et</w:t>
      </w:r>
      <w:proofErr w:type="spellEnd"/>
      <w:proofErr w:type="gramEnd"/>
      <w:r w:rsidRPr="00E6041B">
        <w:rPr>
          <w:rFonts w:ascii="T" w:hAnsi="T" w:cs="Simplified Arabic"/>
          <w:sz w:val="24"/>
          <w:szCs w:val="24"/>
        </w:rPr>
        <w:t xml:space="preserve"> al,2024)</w:t>
      </w:r>
      <w:r w:rsidRPr="00E6041B">
        <w:rPr>
          <w:rFonts w:ascii="T" w:hAnsi="T" w:cs="Simplified Arabic"/>
          <w:sz w:val="24"/>
          <w:szCs w:val="24"/>
          <w:rtl/>
        </w:rPr>
        <w:t>‏</w:t>
      </w:r>
    </w:p>
    <w:p w14:paraId="395E7653" w14:textId="77777777" w:rsidR="00AE0CA0" w:rsidRPr="001625B8"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1625B8">
        <w:rPr>
          <w:rFonts w:ascii="T" w:hAnsi="T" w:cs="Simplified Arabic"/>
          <w:b/>
          <w:bCs/>
          <w:sz w:val="24"/>
          <w:szCs w:val="24"/>
          <w:rtl/>
        </w:rPr>
        <w:t>ثانياً: البعد التنظيمي والتشريعي</w:t>
      </w:r>
    </w:p>
    <w:p w14:paraId="77EE30C1"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Pr>
      </w:pPr>
      <w:r w:rsidRPr="00E6041B">
        <w:rPr>
          <w:rFonts w:ascii="T" w:hAnsi="T" w:cs="Simplified Arabic"/>
          <w:sz w:val="24"/>
          <w:szCs w:val="24"/>
          <w:rtl/>
        </w:rPr>
        <w:t>يتعلق هذا البعد بالقوانين والأنظمة والسياسات التي تحكم السلوك البيئي وتنظم العلاقة بين مختلف الفاعلين. وتشير الأدبيات الأكاديمية إلى أن العوائق القانونية والتنظيمية تمثل أحد أبرز التحديات التي تواجه تطبيق مشاريع الشراكة بين القطاعين العام والخاص بشكل عام</w:t>
      </w:r>
      <w:r w:rsidRPr="00E6041B">
        <w:rPr>
          <w:rFonts w:ascii="T" w:hAnsi="T" w:cs="Simplified Arabic"/>
          <w:sz w:val="24"/>
          <w:szCs w:val="24"/>
        </w:rPr>
        <w:t>. (</w:t>
      </w:r>
      <w:proofErr w:type="spellStart"/>
      <w:proofErr w:type="gramStart"/>
      <w:r w:rsidRPr="00E6041B">
        <w:rPr>
          <w:rFonts w:ascii="T" w:hAnsi="T" w:cs="Simplified Arabic"/>
          <w:sz w:val="24"/>
          <w:szCs w:val="24"/>
        </w:rPr>
        <w:t>Hashed,et</w:t>
      </w:r>
      <w:proofErr w:type="spellEnd"/>
      <w:proofErr w:type="gramEnd"/>
      <w:r w:rsidRPr="00E6041B">
        <w:rPr>
          <w:rFonts w:ascii="T" w:hAnsi="T" w:cs="Simplified Arabic"/>
          <w:sz w:val="24"/>
          <w:szCs w:val="24"/>
        </w:rPr>
        <w:t xml:space="preserve"> al ,2025)</w:t>
      </w:r>
      <w:r w:rsidRPr="00E6041B">
        <w:rPr>
          <w:rFonts w:ascii="T" w:hAnsi="T" w:cs="Simplified Arabic"/>
          <w:sz w:val="24"/>
          <w:szCs w:val="24"/>
          <w:rtl/>
        </w:rPr>
        <w:t>‏</w:t>
      </w:r>
    </w:p>
    <w:p w14:paraId="07D15DD1" w14:textId="77777777" w:rsidR="00AE0CA0" w:rsidRPr="001625B8"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1625B8">
        <w:rPr>
          <w:rFonts w:ascii="T" w:hAnsi="T" w:cs="Simplified Arabic"/>
          <w:b/>
          <w:bCs/>
          <w:sz w:val="24"/>
          <w:szCs w:val="24"/>
          <w:rtl/>
        </w:rPr>
        <w:t>ثالثاً: البعد التشاركي</w:t>
      </w:r>
    </w:p>
    <w:p w14:paraId="0608DE97"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يركز هذا البعد على آليات إشراك مختلف الأطراف المعنية في عمليات صنع القرار البيئي وتنفيذ السياسات. ولا يقتصر الأمر على إشراك القطاع الخاص بصفته شريكاً تعاقدياً، بل يمتد ليشمل المجتمع المدني والمنظمات غير الربحية والجمعيات الأهلية</w:t>
      </w:r>
      <w:r w:rsidRPr="00E6041B">
        <w:rPr>
          <w:rFonts w:ascii="T" w:hAnsi="T" w:cs="Simplified Arabic"/>
          <w:sz w:val="24"/>
          <w:szCs w:val="24"/>
        </w:rPr>
        <w:t>. (Alnor, 2024)</w:t>
      </w:r>
      <w:r w:rsidRPr="00E6041B">
        <w:rPr>
          <w:rFonts w:ascii="T" w:hAnsi="T" w:cs="Simplified Arabic"/>
          <w:sz w:val="24"/>
          <w:szCs w:val="24"/>
          <w:rtl/>
        </w:rPr>
        <w:t>‏ ومن الأمثلة البارزة في المملكة العربية السعودية "الجمعية السعودية للبيئة</w:t>
      </w:r>
      <w:r w:rsidRPr="00E6041B">
        <w:rPr>
          <w:rFonts w:ascii="T" w:hAnsi="T" w:cs="Simplified Arabic"/>
          <w:sz w:val="24"/>
          <w:szCs w:val="24"/>
        </w:rPr>
        <w:t>" (Saudi Environmental Society - SENS)</w:t>
      </w:r>
      <w:r w:rsidRPr="00E6041B">
        <w:rPr>
          <w:rFonts w:ascii="T" w:hAnsi="T" w:cs="Simplified Arabic"/>
          <w:sz w:val="24"/>
          <w:szCs w:val="24"/>
          <w:rtl/>
        </w:rPr>
        <w:t>، وهي جمعية وطنية غير ربحية تأسست عام 2006 بموجب قرار من وزارة الشؤون الاجتماعية، وتهدف إلى تطوير البيئة السعودية وتحسين أوضاع السكان في المناطق التي تعاني مشكلات بيئية، وذلك من خلال العمل على تطوير برامج التنمية المستدامة، وتعزيز العمل التطوعي، والمساهمة في تقوية دور القطاع الخاص لخدمة القضايا البيئية في مجالات حماية البيئة والمحافظة على الموارد الطبيعية والحياة الفطرية. ويُظهر وجود مثل هذه الجمعيات إدراكاً متزايداً لأهمية البعد التشاركي في الحوكمة البيئية السعودية</w:t>
      </w:r>
      <w:r w:rsidRPr="00E6041B">
        <w:rPr>
          <w:rFonts w:ascii="T" w:hAnsi="T" w:cs="Simplified Arabic"/>
          <w:sz w:val="24"/>
          <w:szCs w:val="24"/>
        </w:rPr>
        <w:t>. (</w:t>
      </w:r>
      <w:proofErr w:type="spellStart"/>
      <w:proofErr w:type="gramStart"/>
      <w:r w:rsidRPr="00E6041B">
        <w:rPr>
          <w:rFonts w:ascii="T" w:hAnsi="T" w:cs="Simplified Arabic"/>
          <w:sz w:val="24"/>
          <w:szCs w:val="24"/>
        </w:rPr>
        <w:t>Hashed,et</w:t>
      </w:r>
      <w:proofErr w:type="spellEnd"/>
      <w:proofErr w:type="gramEnd"/>
      <w:r w:rsidRPr="00E6041B">
        <w:rPr>
          <w:rFonts w:ascii="T" w:hAnsi="T" w:cs="Simplified Arabic"/>
          <w:sz w:val="24"/>
          <w:szCs w:val="24"/>
        </w:rPr>
        <w:t xml:space="preserve"> al ,2025)</w:t>
      </w:r>
      <w:r w:rsidRPr="00E6041B">
        <w:rPr>
          <w:rFonts w:ascii="T" w:hAnsi="T" w:cs="Simplified Arabic"/>
          <w:sz w:val="24"/>
          <w:szCs w:val="24"/>
          <w:rtl/>
        </w:rPr>
        <w:t>‏</w:t>
      </w:r>
    </w:p>
    <w:p w14:paraId="1D4FFB28" w14:textId="77777777" w:rsidR="00AE0CA0" w:rsidRPr="001625B8" w:rsidRDefault="00AE0CA0" w:rsidP="001625B8">
      <w:pPr>
        <w:pStyle w:val="ListParagraph"/>
        <w:numPr>
          <w:ilvl w:val="0"/>
          <w:numId w:val="39"/>
        </w:numPr>
        <w:shd w:val="clear" w:color="auto" w:fill="FFFFFF"/>
        <w:bidi/>
        <w:spacing w:before="240" w:after="240" w:line="360" w:lineRule="auto"/>
        <w:jc w:val="both"/>
        <w:rPr>
          <w:rFonts w:ascii="T" w:hAnsi="T" w:cs="Simplified Arabic"/>
          <w:b/>
          <w:bCs/>
          <w:sz w:val="24"/>
          <w:szCs w:val="24"/>
          <w:rtl/>
        </w:rPr>
      </w:pPr>
      <w:r w:rsidRPr="001625B8">
        <w:rPr>
          <w:rFonts w:ascii="T" w:hAnsi="T" w:cs="Simplified Arabic"/>
          <w:b/>
          <w:bCs/>
          <w:sz w:val="24"/>
          <w:szCs w:val="24"/>
          <w:rtl/>
        </w:rPr>
        <w:t>أهمية الحوكمة البيئية في سياق شراكات القطاعين العام والخاص</w:t>
      </w:r>
    </w:p>
    <w:p w14:paraId="2062FF21"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 xml:space="preserve">تكمن أهمية الحوكمة البيئية في سياق الشراكات بين القطاعين العام والخاص في قدرتها على معالجة التحديات الفريدة التي يفرضها هذا النموذج التعاقدي في القطاع البيئي. فهي توفر الإطار المؤسسي والقانوني الذي </w:t>
      </w:r>
      <w:r w:rsidRPr="00E6041B">
        <w:rPr>
          <w:rFonts w:ascii="T" w:hAnsi="T" w:cs="Simplified Arabic"/>
          <w:sz w:val="24"/>
          <w:szCs w:val="24"/>
          <w:rtl/>
        </w:rPr>
        <w:lastRenderedPageBreak/>
        <w:t>يُمكن القطاع العام من مراقبة أداء الشريك الخاص وضمان التزامه بالمعايير البيئية طوال مدة العقد التي قد تمتد لعقود</w:t>
      </w:r>
      <w:r w:rsidRPr="00E6041B">
        <w:rPr>
          <w:rFonts w:ascii="T" w:hAnsi="T" w:cs="Simplified Arabic"/>
          <w:sz w:val="24"/>
          <w:szCs w:val="24"/>
        </w:rPr>
        <w:t>. (</w:t>
      </w:r>
      <w:proofErr w:type="spellStart"/>
      <w:r w:rsidRPr="00E6041B">
        <w:rPr>
          <w:rFonts w:ascii="T" w:hAnsi="T" w:cs="Simplified Arabic"/>
          <w:sz w:val="24"/>
          <w:szCs w:val="24"/>
        </w:rPr>
        <w:t>Alregab</w:t>
      </w:r>
      <w:proofErr w:type="spellEnd"/>
      <w:r w:rsidRPr="00E6041B">
        <w:rPr>
          <w:rFonts w:ascii="T" w:hAnsi="T" w:cs="Simplified Arabic"/>
          <w:sz w:val="24"/>
          <w:szCs w:val="24"/>
        </w:rPr>
        <w:t>, 2022)</w:t>
      </w:r>
      <w:r w:rsidRPr="00E6041B">
        <w:rPr>
          <w:rFonts w:ascii="T" w:hAnsi="T" w:cs="Simplified Arabic"/>
          <w:sz w:val="24"/>
          <w:szCs w:val="24"/>
          <w:rtl/>
        </w:rPr>
        <w:t>‏</w:t>
      </w:r>
    </w:p>
    <w:p w14:paraId="47838C3F" w14:textId="10E2676A"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كما تعمل آليات الشفافية والمشاركة على بناء الثقة بين الأطراف المختلفة وتقليل مخاطر النزاعات والمقاومة المجتمعية. وفي المقابل، فإن ضعف الحوكمة البيئية - كما توثق الأدبيات - يؤدي إلى تفاقم المعوقات التي تحول دون نجاح مشاريع الشراكة، مثل غياب المساءلة، وتأخر المفاوضات، وعدم وضوح الأدوار والمسؤوليات. لذلك، يُعتبر تطوير نموذج متكامل للحوكمة البيئية شرطاً أساسياً لتعظيم فوائد الشراكات وتقليل مخاطرها في القطاع البيئي السعودي. (</w:t>
      </w:r>
      <w:r w:rsidRPr="00E6041B">
        <w:rPr>
          <w:rFonts w:ascii="T" w:hAnsi="T" w:cs="Simplified Arabic"/>
          <w:sz w:val="24"/>
          <w:szCs w:val="24"/>
        </w:rPr>
        <w:t>Umar, et al,2024</w:t>
      </w:r>
      <w:r w:rsidRPr="00E6041B">
        <w:rPr>
          <w:rFonts w:ascii="T" w:hAnsi="T" w:cs="Simplified Arabic"/>
          <w:sz w:val="24"/>
          <w:szCs w:val="24"/>
          <w:rtl/>
        </w:rPr>
        <w:t>)‏</w:t>
      </w:r>
    </w:p>
    <w:p w14:paraId="4F662256" w14:textId="77777777" w:rsidR="00745C19" w:rsidRPr="005D59A7" w:rsidRDefault="00CB3FA0" w:rsidP="001625B8">
      <w:pPr>
        <w:pStyle w:val="Heading2"/>
        <w:numPr>
          <w:ilvl w:val="2"/>
          <w:numId w:val="3"/>
        </w:numPr>
        <w:bidi/>
        <w:spacing w:line="360" w:lineRule="auto"/>
        <w:ind w:firstLine="720"/>
        <w:rPr>
          <w:rFonts w:ascii="T" w:hAnsi="T" w:cs="Simplified Arabic"/>
          <w:b/>
          <w:bCs/>
          <w:color w:val="auto"/>
          <w:sz w:val="24"/>
          <w:szCs w:val="24"/>
          <w:rtl/>
        </w:rPr>
      </w:pPr>
      <w:bookmarkStart w:id="49" w:name="_Toc234607883"/>
      <w:r w:rsidRPr="005D59A7">
        <w:rPr>
          <w:rFonts w:ascii="T" w:hAnsi="T" w:cs="Simplified Arabic"/>
          <w:b/>
          <w:bCs/>
          <w:color w:val="auto"/>
          <w:sz w:val="24"/>
          <w:szCs w:val="24"/>
          <w:rtl/>
        </w:rPr>
        <w:t>رؤية المملكة 2030</w:t>
      </w:r>
      <w:bookmarkEnd w:id="49"/>
      <w:r w:rsidRPr="005D59A7">
        <w:rPr>
          <w:rFonts w:ascii="T" w:hAnsi="T" w:cs="Simplified Arabic"/>
          <w:b/>
          <w:bCs/>
          <w:color w:val="auto"/>
          <w:sz w:val="24"/>
          <w:szCs w:val="24"/>
          <w:rtl/>
        </w:rPr>
        <w:t xml:space="preserve"> </w:t>
      </w:r>
    </w:p>
    <w:p w14:paraId="1C401EE0" w14:textId="77777777" w:rsidR="00CB3FA0" w:rsidRPr="005D59A7" w:rsidRDefault="00057791" w:rsidP="0045581D">
      <w:pPr>
        <w:pStyle w:val="Heading3"/>
        <w:numPr>
          <w:ilvl w:val="0"/>
          <w:numId w:val="7"/>
        </w:numPr>
        <w:bidi/>
        <w:spacing w:line="360" w:lineRule="auto"/>
        <w:ind w:firstLine="720"/>
        <w:rPr>
          <w:rFonts w:ascii="T" w:hAnsi="T" w:cs="Simplified Arabic"/>
          <w:color w:val="auto"/>
          <w:sz w:val="24"/>
          <w:szCs w:val="24"/>
          <w:rtl/>
        </w:rPr>
      </w:pPr>
      <w:bookmarkStart w:id="50" w:name="_Toc234607884"/>
      <w:r w:rsidRPr="005D59A7">
        <w:rPr>
          <w:rFonts w:ascii="T" w:hAnsi="T" w:cs="Simplified Arabic"/>
          <w:color w:val="auto"/>
          <w:sz w:val="24"/>
          <w:szCs w:val="24"/>
          <w:rtl/>
        </w:rPr>
        <w:t>أهداف التنمية المستدامة</w:t>
      </w:r>
      <w:bookmarkEnd w:id="50"/>
    </w:p>
    <w:p w14:paraId="62ED44D9" w14:textId="189C94CB" w:rsidR="00057791" w:rsidRPr="005D59A7" w:rsidRDefault="00057791"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تُقدّم خطة التنمية المستدامة لعام 2030، التي اعتمدتها جميع الدول الأعضاء في الأمم المتحدة عام 2015، خارطة طريق مشتركة لتحقيق السلام والازدهار للبشرية وكوكب الأرض، حاضراً ومستقبلاً. وتتمحور هذه الخطة حول 17 هدفاً للتنمية المستدامة، تُشكّل دعوة ملحة للعمل من قِبل جميع الدول، المتقدمة والنامية، في إطار شراكة عالمية. وتُقرّ هذه الأهداف بأنّ القضاء على الفقر والحرمان يتطلب استراتيجيات تُحسّن الصحة والتعليم، وتُقلّل من عدم المساواة، وتُحفّز النمو الاقتصادي، مع العمل في الوقت نفسه على معالجة تغيّر المناخ والحفاظ على محيطاتنا وغاباتنا (</w:t>
      </w:r>
      <w:r w:rsidRPr="005D59A7">
        <w:rPr>
          <w:rFonts w:ascii="T" w:hAnsi="T" w:cs="Simplified Arabic"/>
          <w:sz w:val="24"/>
          <w:szCs w:val="24"/>
        </w:rPr>
        <w:t>UN-DESA, 2026</w:t>
      </w:r>
      <w:r w:rsidRPr="005D59A7">
        <w:rPr>
          <w:rFonts w:ascii="T" w:hAnsi="T" w:cs="Simplified Arabic"/>
          <w:sz w:val="24"/>
          <w:szCs w:val="24"/>
          <w:rtl/>
        </w:rPr>
        <w:t>). وتستند أهداف التنمية المستدامة إلى عقود من العمل الذي قامت به الدول والأمم المتحدة، بما في ذلك إدارة الشؤون الاقتصادية والاجتماعية التابعة للأمم المتحدة.</w:t>
      </w:r>
      <w:r w:rsidR="0072501F" w:rsidRPr="005D59A7">
        <w:rPr>
          <w:rFonts w:ascii="T" w:hAnsi="T" w:cs="Simplified Arabic"/>
          <w:sz w:val="24"/>
          <w:szCs w:val="24"/>
          <w:rtl/>
        </w:rPr>
        <w:t>(النعمى ,2022)</w:t>
      </w:r>
    </w:p>
    <w:p w14:paraId="437731FE" w14:textId="77777777" w:rsidR="00057791" w:rsidRPr="005D59A7" w:rsidRDefault="00057791"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في يونيو/حزيران 1992، وخلال قمة الأرض في ريو دي جانيرو، البرازيل، تبنت أكثر من 178 دولة جدول أعمال القرن الحادي والعشرين، وهو خطة عمل شاملة لبناء شراكة عالمية من أجل التنمية المستدامة لتحسين حياة الإنسان وحماية البيئة. وتبنت الدول الأعضاء بالإجماع إعلان الألفية في قمة الألفية التي عُقدت في سبتمبر/أيلول 2000 في مقر الأمم المتحدة بنيويورك. وأسفرت القمة عن وضع ثمانية أهداف إنمائية للألفية للحد من الفقر المدقع بحلول عام 2015 (</w:t>
      </w:r>
      <w:r w:rsidRPr="005D59A7">
        <w:rPr>
          <w:rFonts w:ascii="T" w:hAnsi="T" w:cs="Simplified Arabic"/>
          <w:sz w:val="24"/>
          <w:szCs w:val="24"/>
        </w:rPr>
        <w:t>UN-DESA, 2026</w:t>
      </w:r>
      <w:r w:rsidRPr="005D59A7">
        <w:rPr>
          <w:rFonts w:ascii="T" w:hAnsi="T" w:cs="Simplified Arabic"/>
          <w:sz w:val="24"/>
          <w:szCs w:val="24"/>
          <w:rtl/>
        </w:rPr>
        <w:t>).</w:t>
      </w:r>
    </w:p>
    <w:p w14:paraId="56F8C4AB" w14:textId="77777777" w:rsidR="0072501F" w:rsidRPr="005D59A7" w:rsidRDefault="0072501F"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lastRenderedPageBreak/>
        <w:t>شهدت الجهود الدولية لتحقيق التنمية المستدامة تطوراً كبيراً على مدار العقود الماضية. ففي عام 1992، تبنت أكثر من 178 دولة جدول أعمال القرن الحادي والعشرين في قمة الأرض بريو دي جانيرو، كخطة عمل شاملة لبناء شراكة عالمية من أجل التنمية المستدامة</w:t>
      </w:r>
      <w:r w:rsidRPr="005D59A7">
        <w:rPr>
          <w:rFonts w:ascii="T" w:hAnsi="T" w:cs="Simplified Arabic"/>
          <w:sz w:val="24"/>
          <w:szCs w:val="24"/>
        </w:rPr>
        <w:t xml:space="preserve"> (UN-DESA, 2026). </w:t>
      </w:r>
      <w:r w:rsidRPr="005D59A7">
        <w:rPr>
          <w:rFonts w:ascii="T" w:hAnsi="T" w:cs="Simplified Arabic"/>
          <w:sz w:val="24"/>
          <w:szCs w:val="24"/>
          <w:rtl/>
        </w:rPr>
        <w:t>وفي عام 2000، تبنت الدول الأعضاء إعلان الألفية، الذي أسفر عن وضع ثمانية أهداف إنمائية للألفية للحد من الفقر المدقع بحلول عام 2015</w:t>
      </w:r>
      <w:r w:rsidRPr="005D59A7">
        <w:rPr>
          <w:rFonts w:ascii="T" w:hAnsi="T" w:cs="Simplified Arabic"/>
          <w:sz w:val="24"/>
          <w:szCs w:val="24"/>
        </w:rPr>
        <w:t>.</w:t>
      </w:r>
    </w:p>
    <w:p w14:paraId="5FC23E86" w14:textId="77777777" w:rsidR="0072501F" w:rsidRPr="005D59A7" w:rsidRDefault="0072501F"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أعاد إعلان جوهانسبرج بشأن التنمية المستدامة وخطة تنفيذه (2002) تأكيد التزامات المجتمع الدولي بالقضاء على الفقر وحماية البيئة، مع التركيز بشكل أكبر على الشراكات متعددة الأطراف</w:t>
      </w:r>
      <w:r w:rsidRPr="005D59A7">
        <w:rPr>
          <w:rFonts w:ascii="T" w:hAnsi="T" w:cs="Simplified Arabic"/>
          <w:sz w:val="24"/>
          <w:szCs w:val="24"/>
        </w:rPr>
        <w:t xml:space="preserve"> (UN-DESA, 2026). </w:t>
      </w:r>
      <w:r w:rsidRPr="005D59A7">
        <w:rPr>
          <w:rFonts w:ascii="T" w:hAnsi="T" w:cs="Simplified Arabic"/>
          <w:sz w:val="24"/>
          <w:szCs w:val="24"/>
          <w:rtl/>
        </w:rPr>
        <w:t>وفي مؤتمر الأمم المتحدة للتنمية المستدامة (ريو+20) عام 2012، اعتمدت الدول الأعضاء الوثيقة الختامية "المستقبل الذي نريده"، والتي قررت إطلاق عملية لوضع مجموعة من أهداف التنمية المستدامة للبناء على الأهداف الإنمائية للألفية، وإنشاء المنتدى السياسي رفيع المستوى المعني بالتنمية المستدامة</w:t>
      </w:r>
      <w:r w:rsidRPr="005D59A7">
        <w:rPr>
          <w:rFonts w:ascii="T" w:hAnsi="T" w:cs="Simplified Arabic"/>
          <w:sz w:val="24"/>
          <w:szCs w:val="24"/>
        </w:rPr>
        <w:t>.</w:t>
      </w:r>
    </w:p>
    <w:p w14:paraId="359C627E" w14:textId="77777777" w:rsidR="0072501F" w:rsidRPr="005D59A7" w:rsidRDefault="0072501F"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في عام 2013، شكلت الجمعية العامة فريق عمل مفتوحًا لوضع مقترح بشأن أهداف التنمية المستدامة، وفي عام 2015 بدأت عملية التفاوض بشأن خطة التنمية لما بعد عام 2015. تُوِّجت هذه العملية باعتماد خطة التنمية المستدامة لعام 2030، التي تتضمن 17 هدفًا، في قمة الأمم المتحدة للتنمية المستدامة في سبتمبر 2015. وكان عام 2015 عامًا مفصليًا، حيث تم اعتماد إطار سنداي للحد من مخاطر الكوارث (مارس 2015)، وخطة عمل أديس أبابا بشأن تمويل التنمية (يوليو 2015)، واتفاقية باريس بشأن تغير المناخ (ديسمبر 2015)</w:t>
      </w:r>
      <w:r w:rsidRPr="005D59A7">
        <w:rPr>
          <w:rFonts w:ascii="T" w:hAnsi="T" w:cs="Simplified Arabic"/>
          <w:sz w:val="24"/>
          <w:szCs w:val="24"/>
        </w:rPr>
        <w:t xml:space="preserve"> (UN-DESA, 2026).</w:t>
      </w:r>
    </w:p>
    <w:p w14:paraId="0F380150" w14:textId="77777777" w:rsidR="00FC55F4" w:rsidRPr="005D59A7" w:rsidRDefault="00FC55F4" w:rsidP="00335E83">
      <w:pPr>
        <w:bidi/>
        <w:spacing w:line="360" w:lineRule="auto"/>
        <w:ind w:hanging="58"/>
        <w:jc w:val="center"/>
        <w:rPr>
          <w:rFonts w:ascii="T" w:hAnsi="T" w:cs="Simplified Arabic"/>
          <w:sz w:val="24"/>
          <w:szCs w:val="24"/>
          <w:rtl/>
        </w:rPr>
      </w:pPr>
      <w:r w:rsidRPr="005D59A7">
        <w:rPr>
          <w:rFonts w:ascii="T" w:hAnsi="T" w:cs="Simplified Arabic"/>
          <w:noProof/>
          <w:sz w:val="24"/>
          <w:szCs w:val="24"/>
          <w:rtl/>
        </w:rPr>
        <w:lastRenderedPageBreak/>
        <w:drawing>
          <wp:inline distT="0" distB="0" distL="0" distR="0" wp14:anchorId="2CE5CA3E" wp14:editId="746D1067">
            <wp:extent cx="5274086" cy="3534508"/>
            <wp:effectExtent l="0" t="0" r="0" b="0"/>
            <wp:docPr id="1" name="صورة 3" descr="C:\Users\PC\Desktop\Cga1FaAW4AAnq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Cga1FaAW4AAnquc.jpg"/>
                    <pic:cNvPicPr>
                      <a:picLocks noChangeAspect="1" noChangeArrowheads="1"/>
                    </pic:cNvPicPr>
                  </pic:nvPicPr>
                  <pic:blipFill>
                    <a:blip r:embed="rId12"/>
                    <a:srcRect/>
                    <a:stretch>
                      <a:fillRect/>
                    </a:stretch>
                  </pic:blipFill>
                  <pic:spPr bwMode="auto">
                    <a:xfrm>
                      <a:off x="0" y="0"/>
                      <a:ext cx="5280498" cy="3538805"/>
                    </a:xfrm>
                    <a:prstGeom prst="rect">
                      <a:avLst/>
                    </a:prstGeom>
                    <a:noFill/>
                    <a:ln w="9525">
                      <a:noFill/>
                      <a:miter lim="800000"/>
                      <a:headEnd/>
                      <a:tailEnd/>
                    </a:ln>
                  </pic:spPr>
                </pic:pic>
              </a:graphicData>
            </a:graphic>
          </wp:inline>
        </w:drawing>
      </w:r>
    </w:p>
    <w:p w14:paraId="7297207E" w14:textId="6500CE7B" w:rsidR="00FC55F4" w:rsidRPr="005D59A7" w:rsidRDefault="00FC55F4" w:rsidP="00861DC2">
      <w:pPr>
        <w:pStyle w:val="Caption"/>
        <w:bidi/>
        <w:spacing w:line="360" w:lineRule="auto"/>
        <w:ind w:firstLine="720"/>
        <w:jc w:val="center"/>
        <w:rPr>
          <w:rFonts w:ascii="T" w:hAnsi="T" w:cs="Simplified Arabic"/>
          <w:color w:val="auto"/>
          <w:sz w:val="24"/>
          <w:szCs w:val="24"/>
          <w:rtl/>
        </w:rPr>
      </w:pPr>
      <w:bookmarkStart w:id="51" w:name="_Toc225991166"/>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2</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xml:space="preserve">: أهداف التنمية المستدامة </w:t>
      </w:r>
      <w:r w:rsidRPr="005D59A7">
        <w:rPr>
          <w:rFonts w:ascii="T" w:hAnsi="T" w:cs="Simplified Arabic"/>
          <w:color w:val="auto"/>
          <w:sz w:val="24"/>
          <w:szCs w:val="24"/>
        </w:rPr>
        <w:t>UNDP Egypt</w:t>
      </w:r>
      <w:bookmarkEnd w:id="51"/>
    </w:p>
    <w:p w14:paraId="1AF9B6A4" w14:textId="77777777" w:rsidR="00FC55F4" w:rsidRPr="005D59A7" w:rsidRDefault="00C11E95" w:rsidP="0045581D">
      <w:pPr>
        <w:pStyle w:val="Heading3"/>
        <w:numPr>
          <w:ilvl w:val="0"/>
          <w:numId w:val="7"/>
        </w:numPr>
        <w:bidi/>
        <w:spacing w:line="360" w:lineRule="auto"/>
        <w:ind w:firstLine="720"/>
        <w:rPr>
          <w:rFonts w:ascii="T" w:hAnsi="T" w:cs="Simplified Arabic"/>
          <w:color w:val="auto"/>
          <w:sz w:val="24"/>
          <w:szCs w:val="24"/>
        </w:rPr>
      </w:pPr>
      <w:bookmarkStart w:id="52" w:name="_Toc234607885"/>
      <w:r w:rsidRPr="005D59A7">
        <w:rPr>
          <w:rFonts w:ascii="T" w:hAnsi="T" w:cs="Simplified Arabic"/>
          <w:color w:val="auto"/>
          <w:sz w:val="24"/>
          <w:szCs w:val="24"/>
          <w:rtl/>
        </w:rPr>
        <w:t xml:space="preserve">انطلاق </w:t>
      </w:r>
      <w:r w:rsidR="00FC55F4" w:rsidRPr="005D59A7">
        <w:rPr>
          <w:rFonts w:ascii="T" w:hAnsi="T" w:cs="Simplified Arabic"/>
          <w:color w:val="auto"/>
          <w:sz w:val="24"/>
          <w:szCs w:val="24"/>
          <w:rtl/>
        </w:rPr>
        <w:t>رؤية المملكة 2030</w:t>
      </w:r>
      <w:bookmarkEnd w:id="52"/>
    </w:p>
    <w:p w14:paraId="78E07276" w14:textId="77777777" w:rsidR="00FC55F4" w:rsidRPr="005D59A7" w:rsidRDefault="007A0C68" w:rsidP="00453B38">
      <w:pPr>
        <w:bidi/>
        <w:spacing w:line="360" w:lineRule="auto"/>
        <w:ind w:left="84" w:firstLine="720"/>
        <w:rPr>
          <w:rFonts w:ascii="T" w:hAnsi="T" w:cs="Simplified Arabic"/>
          <w:sz w:val="24"/>
          <w:szCs w:val="24"/>
          <w:rtl/>
        </w:rPr>
      </w:pPr>
      <w:r w:rsidRPr="005D59A7">
        <w:rPr>
          <w:rFonts w:ascii="T" w:hAnsi="T" w:cs="Simplified Arabic"/>
          <w:sz w:val="24"/>
          <w:szCs w:val="24"/>
          <w:rtl/>
        </w:rPr>
        <w:t>ب</w:t>
      </w:r>
      <w:r w:rsidR="00875D32" w:rsidRPr="005D59A7">
        <w:rPr>
          <w:rFonts w:ascii="T" w:hAnsi="T" w:cs="Simplified Arabic"/>
          <w:sz w:val="24"/>
          <w:szCs w:val="24"/>
          <w:rtl/>
        </w:rPr>
        <w:t>توجيه من خادم الحرمين الشريفين الملك سلمان بن عبدالعزيز آل سعود، انطلقت المملكة العربية السعودية في رحلة تحوّل نحو مستقبل واعد ومشرق، مع رؤية السعودية 2030 التي وضعها ولي العهد صاحب السمو الملكي الأمير محمد بن سلمان، رئيس مجلس الوزراء، في عام 2016 ميلاديًا</w:t>
      </w:r>
      <w:r w:rsidR="00875D32" w:rsidRPr="005D59A7">
        <w:rPr>
          <w:rFonts w:ascii="T" w:hAnsi="T" w:cs="Simplified Arabic"/>
          <w:sz w:val="24"/>
          <w:szCs w:val="24"/>
        </w:rPr>
        <w:t>.</w:t>
      </w:r>
      <w:r w:rsidR="00875D32" w:rsidRPr="005D59A7">
        <w:rPr>
          <w:rFonts w:ascii="T" w:hAnsi="T" w:cs="Simplified Arabic"/>
          <w:sz w:val="24"/>
          <w:szCs w:val="24"/>
        </w:rPr>
        <w:br/>
      </w:r>
      <w:r w:rsidR="00875D32" w:rsidRPr="005D59A7">
        <w:rPr>
          <w:rFonts w:ascii="T" w:hAnsi="T" w:cs="Simplified Arabic"/>
          <w:sz w:val="24"/>
          <w:szCs w:val="24"/>
          <w:rtl/>
        </w:rPr>
        <w:t>تمثل رؤية السعودية 2030 خارطة طريق طموحة ترتكّز على مكامن القوة التي وهبها الله لهذه الأرض، وهي: العمق العربي والإسلامي، والقوة الاستثمارية، والموقع الاستراتيجي بين ثلاث قارات</w:t>
      </w:r>
      <w:r w:rsidR="00875D32" w:rsidRPr="005D59A7">
        <w:rPr>
          <w:rFonts w:ascii="T" w:hAnsi="T" w:cs="Simplified Arabic"/>
          <w:sz w:val="24"/>
          <w:szCs w:val="24"/>
        </w:rPr>
        <w:t>.</w:t>
      </w:r>
      <w:r w:rsidR="00875D32" w:rsidRPr="005D59A7">
        <w:rPr>
          <w:rFonts w:ascii="T" w:hAnsi="T" w:cs="Simplified Arabic"/>
          <w:sz w:val="24"/>
          <w:szCs w:val="24"/>
        </w:rPr>
        <w:br/>
      </w:r>
      <w:r w:rsidR="00875D32" w:rsidRPr="005D59A7">
        <w:rPr>
          <w:rFonts w:ascii="T" w:hAnsi="T" w:cs="Simplified Arabic"/>
          <w:sz w:val="24"/>
          <w:szCs w:val="24"/>
          <w:rtl/>
        </w:rPr>
        <w:t>وإذ وضعت الرؤية في صميم أولوياتها تمكين المواطنين، وتنويع الاقتصاد، وتعزيز ريادة المملكة العالمية، كانت محاورها الثلاث هي بناء مجتمع حيوي، واقتصاد مزدهر ووطن طموح</w:t>
      </w:r>
      <w:r w:rsidR="00875D32" w:rsidRPr="005D59A7">
        <w:rPr>
          <w:rFonts w:ascii="T" w:hAnsi="T" w:cs="Simplified Arabic"/>
          <w:sz w:val="24"/>
          <w:szCs w:val="24"/>
        </w:rPr>
        <w:t>.</w:t>
      </w:r>
      <w:r w:rsidR="00875D32" w:rsidRPr="005D59A7">
        <w:rPr>
          <w:rFonts w:ascii="T" w:hAnsi="T" w:cs="Simplified Arabic"/>
          <w:sz w:val="24"/>
          <w:szCs w:val="24"/>
        </w:rPr>
        <w:br/>
      </w:r>
      <w:r w:rsidR="00875D32" w:rsidRPr="005D59A7">
        <w:rPr>
          <w:rFonts w:ascii="T" w:hAnsi="T" w:cs="Simplified Arabic"/>
          <w:sz w:val="24"/>
          <w:szCs w:val="24"/>
          <w:rtl/>
        </w:rPr>
        <w:t xml:space="preserve">صُمّمت الرؤية ليتم تنفيذها وفق ثلاثة مراحل رئيسية، تمتد كل مرحلة منها لخمسة سنوات، وتبنى على نجاحات المرحلة التي تسبقها؛ بدأت بإرساء أسس التحول عبر إصلاحات هيكلية واقتصادية ومالية واجتماعية واسعة النطاق، واستمرت في مرحلتها الثانية بدفع عجلة الإنجاز، والتركيز على تعظيم الفائدة من القطاعات ذات الأولوية، عبر استراتيجيات تنموية، فيما ستعزز المرحلة الثالثة من استدامة أثر التحول والاستفادة من فرص </w:t>
      </w:r>
      <w:r w:rsidR="00875D32" w:rsidRPr="005D59A7">
        <w:rPr>
          <w:rFonts w:ascii="T" w:hAnsi="T" w:cs="Simplified Arabic"/>
          <w:sz w:val="24"/>
          <w:szCs w:val="24"/>
          <w:rtl/>
        </w:rPr>
        <w:lastRenderedPageBreak/>
        <w:t>النمو الجديدة. بفضل ما حققته الرؤية حتى اليوم، تشهد المملكة أثر التحول على كافة الأصعدة، وتتولد فيها فرص النمو والفرص الاقتصادية بتسارع لا مثيل له، ويستمر التقدم في تحقيق أهداف رؤية السعودية 2030، من خلال برامج تحقيق الرؤية والاستراتيجيات الوطنية المتكاملة، والمشاريع الطموحة، لترسيخ أثرٍ دائمٍ يستمر إلى ما بعدها، ويدفع بالمزيد من التطورات والمنافع للمملكة العربية السعودية وشعبها. تشكل رؤية السعودية 2030 مستقبلًا تسير فيه الثقافة والابتكار جنبًا إلى جنب، يواكب التغيرات العالمية السريعة، ويستفيد منها، لتفتح المملكة آفاقًا أرحب لمواطنيها، والمقيمين على أراضيها، وزائريها من العالم أجمع</w:t>
      </w:r>
      <w:r w:rsidRPr="005D59A7">
        <w:rPr>
          <w:rFonts w:ascii="T" w:hAnsi="T" w:cs="Simplified Arabic"/>
          <w:sz w:val="24"/>
          <w:szCs w:val="24"/>
          <w:rtl/>
        </w:rPr>
        <w:t xml:space="preserve"> (</w:t>
      </w:r>
      <w:r w:rsidRPr="005D59A7">
        <w:rPr>
          <w:rFonts w:ascii="T" w:hAnsi="T" w:cs="Simplified Arabic"/>
          <w:sz w:val="24"/>
          <w:szCs w:val="24"/>
        </w:rPr>
        <w:t>Vision 2030, 2025</w:t>
      </w:r>
      <w:r w:rsidRPr="005D59A7">
        <w:rPr>
          <w:rFonts w:ascii="T" w:hAnsi="T" w:cs="Simplified Arabic"/>
          <w:sz w:val="24"/>
          <w:szCs w:val="24"/>
          <w:rtl/>
        </w:rPr>
        <w:t>).</w:t>
      </w:r>
    </w:p>
    <w:p w14:paraId="5594249C" w14:textId="77777777" w:rsidR="009E0C57" w:rsidRPr="005D59A7" w:rsidRDefault="008D7382" w:rsidP="0045581D">
      <w:pPr>
        <w:pStyle w:val="ListParagraph"/>
        <w:numPr>
          <w:ilvl w:val="0"/>
          <w:numId w:val="8"/>
        </w:numPr>
        <w:bidi/>
        <w:spacing w:line="360" w:lineRule="auto"/>
        <w:ind w:left="84" w:firstLine="0"/>
        <w:jc w:val="both"/>
        <w:rPr>
          <w:rFonts w:ascii="T" w:hAnsi="T" w:cs="Simplified Arabic"/>
          <w:sz w:val="24"/>
          <w:szCs w:val="24"/>
        </w:rPr>
      </w:pPr>
      <w:r w:rsidRPr="005D59A7">
        <w:rPr>
          <w:rStyle w:val="Heading4Char"/>
          <w:rFonts w:ascii="T" w:hAnsi="T" w:cs="Simplified Arabic"/>
          <w:b w:val="0"/>
          <w:bCs w:val="0"/>
          <w:color w:val="auto"/>
          <w:sz w:val="24"/>
          <w:szCs w:val="24"/>
          <w:rtl/>
        </w:rPr>
        <w:t>المحور الأول, مجتمع حيوي</w:t>
      </w:r>
      <w:r w:rsidRPr="005D59A7">
        <w:rPr>
          <w:rFonts w:ascii="T" w:hAnsi="T" w:cs="Simplified Arabic"/>
          <w:sz w:val="24"/>
          <w:szCs w:val="24"/>
          <w:rtl/>
        </w:rPr>
        <w:t xml:space="preserve">: </w:t>
      </w:r>
    </w:p>
    <w:p w14:paraId="2F4D455F" w14:textId="77777777" w:rsidR="007A0C68" w:rsidRPr="005D59A7" w:rsidRDefault="008D7382"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تتحول رؤية السعودية 2030 إلى واقع في مجتمع نابض بالحياة. فالمجتمع المتماسك السعيد هو أهم أسس الازدهار الاقتصادي لمجتمع مواطنه مسؤول، وجذوره راسخة، تستند على قيم الإسلام السمحة والفخر بالوطن، مع الاعتزاز بالتراث والثقافة السعودية. في بيئة توفير خيارات ترفيه على مستوى عالمي، ونمط حياة مستدام، وأنظمة رعاية صحية واجتماعية فعالة، حيث تتميز المملكة بثقافتها الغنية، ووحدتها الوطنية وعقيدتها الإسلامية، كما تفخر المملكة على مدار العصور بضيافة الحجاج وإبراز قيمها للعالم (</w:t>
      </w:r>
      <w:r w:rsidRPr="005D59A7">
        <w:rPr>
          <w:rFonts w:ascii="T" w:hAnsi="T" w:cs="Simplified Arabic"/>
          <w:sz w:val="24"/>
          <w:szCs w:val="24"/>
        </w:rPr>
        <w:t>Vision 2030, 2025</w:t>
      </w:r>
      <w:r w:rsidRPr="005D59A7">
        <w:rPr>
          <w:rFonts w:ascii="T" w:hAnsi="T" w:cs="Simplified Arabic"/>
          <w:sz w:val="24"/>
          <w:szCs w:val="24"/>
          <w:rtl/>
        </w:rPr>
        <w:t xml:space="preserve">). </w:t>
      </w:r>
    </w:p>
    <w:p w14:paraId="0A4179A2" w14:textId="77777777" w:rsidR="009E0C57" w:rsidRPr="005D59A7" w:rsidRDefault="008D7382" w:rsidP="0045581D">
      <w:pPr>
        <w:pStyle w:val="ListParagraph"/>
        <w:numPr>
          <w:ilvl w:val="0"/>
          <w:numId w:val="8"/>
        </w:numPr>
        <w:bidi/>
        <w:spacing w:line="360" w:lineRule="auto"/>
        <w:ind w:left="84" w:firstLine="0"/>
        <w:jc w:val="both"/>
        <w:rPr>
          <w:rFonts w:ascii="T" w:hAnsi="T" w:cs="Simplified Arabic"/>
          <w:sz w:val="24"/>
          <w:szCs w:val="24"/>
        </w:rPr>
      </w:pPr>
      <w:r w:rsidRPr="005D59A7">
        <w:rPr>
          <w:rStyle w:val="Heading4Char"/>
          <w:rFonts w:ascii="T" w:hAnsi="T" w:cs="Simplified Arabic"/>
          <w:b w:val="0"/>
          <w:bCs w:val="0"/>
          <w:color w:val="auto"/>
          <w:sz w:val="24"/>
          <w:szCs w:val="24"/>
          <w:rtl/>
        </w:rPr>
        <w:t xml:space="preserve">المحور الثاني، </w:t>
      </w:r>
      <w:r w:rsidR="00D35465" w:rsidRPr="005D59A7">
        <w:rPr>
          <w:rStyle w:val="Heading4Char"/>
          <w:rFonts w:ascii="T" w:hAnsi="T" w:cs="Simplified Arabic"/>
          <w:b w:val="0"/>
          <w:bCs w:val="0"/>
          <w:color w:val="auto"/>
          <w:sz w:val="24"/>
          <w:szCs w:val="24"/>
          <w:rtl/>
        </w:rPr>
        <w:t>اقتصاد مزدهر</w:t>
      </w:r>
      <w:r w:rsidR="00D35465" w:rsidRPr="005D59A7">
        <w:rPr>
          <w:rFonts w:ascii="T" w:hAnsi="T" w:cs="Simplified Arabic"/>
          <w:sz w:val="24"/>
          <w:szCs w:val="24"/>
          <w:rtl/>
        </w:rPr>
        <w:t>:</w:t>
      </w:r>
    </w:p>
    <w:p w14:paraId="0CE3F5C6" w14:textId="77777777" w:rsidR="00D35465" w:rsidRPr="005D59A7" w:rsidRDefault="00D35465"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 xml:space="preserve">مكنت الرؤية شباب الوطن من المشاركة الفاعلة في جميع القطاعات، ورسمت مستقبلاً واعداً يصنعونه بأيديهم، بعدما أعطت الأولوية للمبدعين، والموهوبين، ودعمت ثقافة الابتكار والمثابرة، ووفرت فرصأ مميزة للنمو، وعملت على توليد وظائف نوعية، مع استقطاب أفضل الخبرات العالمية. وفرت المملكة بيئة تنافسية جاذبة مفتوحة للأعمال، لبناء اقتصاد عالمي رائد، يعزز ريادة الأعمال، ويعيد هيكلة المدن الاقتصادية، ويسهم في إنشاء مناطق خاصة، ويطلق إمكانات سوق الطاقة، لجعله أكثر تنافسية، كما تستثمر المملكة من أجل مستقبل مشرق، بإطلاق العنان لقطاعات جديدة واعدة، وتخصيص المزيد من الخدمات الحكومية، </w:t>
      </w:r>
      <w:r w:rsidR="00717B72" w:rsidRPr="005D59A7">
        <w:rPr>
          <w:rFonts w:ascii="T" w:hAnsi="T" w:cs="Simplified Arabic"/>
          <w:sz w:val="24"/>
          <w:szCs w:val="24"/>
          <w:rtl/>
        </w:rPr>
        <w:t>لتنويع الاقتصاد وضمان استدامته</w:t>
      </w:r>
      <w:r w:rsidR="00717B72" w:rsidRPr="005D59A7">
        <w:rPr>
          <w:rFonts w:ascii="T" w:hAnsi="T" w:cs="Simplified Arabic"/>
          <w:sz w:val="24"/>
          <w:szCs w:val="24"/>
        </w:rPr>
        <w:t xml:space="preserve"> </w:t>
      </w:r>
      <w:r w:rsidR="00717B72" w:rsidRPr="005D59A7">
        <w:rPr>
          <w:rFonts w:ascii="T" w:hAnsi="T" w:cs="Simplified Arabic"/>
          <w:sz w:val="24"/>
          <w:szCs w:val="24"/>
          <w:rtl/>
        </w:rPr>
        <w:t>(</w:t>
      </w:r>
      <w:r w:rsidR="00717B72" w:rsidRPr="005D59A7">
        <w:rPr>
          <w:rFonts w:ascii="T" w:hAnsi="T" w:cs="Simplified Arabic"/>
          <w:sz w:val="24"/>
          <w:szCs w:val="24"/>
        </w:rPr>
        <w:t>Vision 2030, 2025</w:t>
      </w:r>
      <w:r w:rsidR="00717B72" w:rsidRPr="005D59A7">
        <w:rPr>
          <w:rFonts w:ascii="T" w:hAnsi="T" w:cs="Simplified Arabic"/>
          <w:sz w:val="24"/>
          <w:szCs w:val="24"/>
          <w:rtl/>
        </w:rPr>
        <w:t>).</w:t>
      </w:r>
    </w:p>
    <w:p w14:paraId="20587011" w14:textId="77777777" w:rsidR="00D35465" w:rsidRPr="005D59A7" w:rsidRDefault="00D35465"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lastRenderedPageBreak/>
        <w:t xml:space="preserve">تقع المملكة في ملتقى الطرق بين ثلاث قارات، وتسهم الرؤية في أن يكون موقعها فاعلاً لتصبح مركزاُ رئيسياً للتجارة الدولية، وتطلق شراكات جديدة لتنمية الاقتصاد ودعم الشركات المحلية في تنمية الصادرات. </w:t>
      </w:r>
    </w:p>
    <w:p w14:paraId="7BD00C6C" w14:textId="77777777" w:rsidR="00D35465" w:rsidRPr="005D59A7" w:rsidRDefault="00D35465" w:rsidP="0072501F">
      <w:pPr>
        <w:pStyle w:val="ListParagraph"/>
        <w:bidi/>
        <w:spacing w:line="360" w:lineRule="auto"/>
        <w:ind w:left="84"/>
        <w:jc w:val="both"/>
        <w:rPr>
          <w:rFonts w:ascii="T" w:hAnsi="T" w:cs="Simplified Arabic"/>
          <w:sz w:val="24"/>
          <w:szCs w:val="24"/>
          <w:rtl/>
        </w:rPr>
      </w:pPr>
      <w:r w:rsidRPr="005D59A7">
        <w:rPr>
          <w:rFonts w:ascii="T" w:hAnsi="T" w:cs="Simplified Arabic"/>
          <w:sz w:val="24"/>
          <w:szCs w:val="24"/>
          <w:rtl/>
        </w:rPr>
        <w:t xml:space="preserve">تسعى رؤية السعودية 2030 عبر جهود عديدة ومتنوعة، للوصول إلى اقتصاد مزدهر، يقود نحو وطن طموح، ومجتمع حيوي. </w:t>
      </w:r>
    </w:p>
    <w:p w14:paraId="1CB5E863" w14:textId="77777777" w:rsidR="009E0C57" w:rsidRPr="005D59A7" w:rsidRDefault="001846BB" w:rsidP="0045581D">
      <w:pPr>
        <w:pStyle w:val="ListParagraph"/>
        <w:numPr>
          <w:ilvl w:val="0"/>
          <w:numId w:val="8"/>
        </w:numPr>
        <w:bidi/>
        <w:spacing w:line="360" w:lineRule="auto"/>
        <w:ind w:left="84" w:firstLine="0"/>
        <w:jc w:val="both"/>
        <w:rPr>
          <w:rFonts w:ascii="T" w:hAnsi="T" w:cs="Simplified Arabic"/>
          <w:sz w:val="24"/>
          <w:szCs w:val="24"/>
        </w:rPr>
      </w:pPr>
      <w:r w:rsidRPr="005D59A7">
        <w:rPr>
          <w:rStyle w:val="Heading4Char"/>
          <w:rFonts w:ascii="T" w:hAnsi="T" w:cs="Simplified Arabic"/>
          <w:b w:val="0"/>
          <w:bCs w:val="0"/>
          <w:color w:val="auto"/>
          <w:sz w:val="24"/>
          <w:szCs w:val="24"/>
          <w:rtl/>
        </w:rPr>
        <w:t>المحور الثالث، وطن طموح</w:t>
      </w:r>
      <w:r w:rsidRPr="005D59A7">
        <w:rPr>
          <w:rFonts w:ascii="T" w:hAnsi="T" w:cs="Simplified Arabic"/>
          <w:sz w:val="24"/>
          <w:szCs w:val="24"/>
          <w:rtl/>
        </w:rPr>
        <w:t xml:space="preserve">: </w:t>
      </w:r>
    </w:p>
    <w:p w14:paraId="09A0DCFC" w14:textId="77777777" w:rsidR="001846BB" w:rsidRPr="005D59A7" w:rsidRDefault="001846BB"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تعزز رؤية السعودية 2030 الطموحة من وجود حكومة فاعلة، تعمل بشفافية ومسؤولية، وتحفز على المواطنة، وتشجع المجتمع بجميع فئاته، من مواطنين وقطاع خاص وقطاع غير ربحي على القيام بدورهم، وأخذ زمام المبادرة لاستكشاف الفرص واستثمارها للنهوض بالوط</w:t>
      </w:r>
      <w:r w:rsidR="00717B72" w:rsidRPr="005D59A7">
        <w:rPr>
          <w:rFonts w:ascii="T" w:hAnsi="T" w:cs="Simplified Arabic"/>
          <w:sz w:val="24"/>
          <w:szCs w:val="24"/>
          <w:rtl/>
        </w:rPr>
        <w:t>ن، والمساهمة في تشكيل المستقبل</w:t>
      </w:r>
      <w:r w:rsidR="00717B72" w:rsidRPr="005D59A7">
        <w:rPr>
          <w:rFonts w:ascii="T" w:hAnsi="T" w:cs="Simplified Arabic"/>
          <w:sz w:val="24"/>
          <w:szCs w:val="24"/>
        </w:rPr>
        <w:t xml:space="preserve"> </w:t>
      </w:r>
      <w:r w:rsidR="00717B72" w:rsidRPr="005D59A7">
        <w:rPr>
          <w:rFonts w:ascii="T" w:hAnsi="T" w:cs="Simplified Arabic"/>
          <w:sz w:val="24"/>
          <w:szCs w:val="24"/>
          <w:rtl/>
        </w:rPr>
        <w:t>(</w:t>
      </w:r>
      <w:r w:rsidR="00717B72" w:rsidRPr="005D59A7">
        <w:rPr>
          <w:rFonts w:ascii="T" w:hAnsi="T" w:cs="Simplified Arabic"/>
          <w:sz w:val="24"/>
          <w:szCs w:val="24"/>
        </w:rPr>
        <w:t>Vision 2030, 2025</w:t>
      </w:r>
      <w:r w:rsidR="00717B72" w:rsidRPr="005D59A7">
        <w:rPr>
          <w:rFonts w:ascii="T" w:hAnsi="T" w:cs="Simplified Arabic"/>
          <w:sz w:val="24"/>
          <w:szCs w:val="24"/>
          <w:rtl/>
        </w:rPr>
        <w:t>).</w:t>
      </w:r>
    </w:p>
    <w:p w14:paraId="7B4A654E" w14:textId="258BC4F3" w:rsidR="001846BB" w:rsidRPr="005D59A7" w:rsidRDefault="001846BB"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تتولى الحكومة مسؤوليات كبيرة تحتم المرونة في التعامل مع المتغيرات الحديثة والتحديات الجديدة، وتلتزم بالشفافية والخضوع </w:t>
      </w:r>
      <w:r w:rsidR="00E54263" w:rsidRPr="005D59A7">
        <w:rPr>
          <w:rFonts w:ascii="T" w:hAnsi="T" w:cs="Simplified Arabic"/>
          <w:sz w:val="24"/>
          <w:szCs w:val="24"/>
          <w:rtl/>
        </w:rPr>
        <w:t>للمسألة</w:t>
      </w:r>
      <w:r w:rsidRPr="005D59A7">
        <w:rPr>
          <w:rFonts w:ascii="T" w:hAnsi="T" w:cs="Simplified Arabic"/>
          <w:sz w:val="24"/>
          <w:szCs w:val="24"/>
          <w:rtl/>
        </w:rPr>
        <w:t>، وتعمل على إدارة مواردها المالية بكفاءة وفعالية، مع سرعة في الإنجاز ومراقبة للأداء. مهما كان القطاع الذي تعمل به، سيكون لديك دور مهم تؤديه للمساهمة في بناء وطنك، إذا كنت صاحب عمل أو تعمل في مؤسسة غير ربحية، أو في أي قطاع آخر، فأنت مدعو للمساهمة في تنمية هذا الوطن، وسيبقى القطاع غير الربحي جزءاً مهماً من مجتمعنا، يؤدي دوراً حاسماً في تلبية الاحت</w:t>
      </w:r>
      <w:r w:rsidR="00717B72" w:rsidRPr="005D59A7">
        <w:rPr>
          <w:rFonts w:ascii="T" w:hAnsi="T" w:cs="Simplified Arabic"/>
          <w:sz w:val="24"/>
          <w:szCs w:val="24"/>
          <w:rtl/>
        </w:rPr>
        <w:t>ياجات المجتمعية والرقي بالمجتمع</w:t>
      </w:r>
      <w:r w:rsidR="00717B72" w:rsidRPr="005D59A7">
        <w:rPr>
          <w:rFonts w:ascii="T" w:hAnsi="T" w:cs="Simplified Arabic"/>
          <w:sz w:val="24"/>
          <w:szCs w:val="24"/>
        </w:rPr>
        <w:t xml:space="preserve"> </w:t>
      </w:r>
      <w:r w:rsidR="00717B72" w:rsidRPr="005D59A7">
        <w:rPr>
          <w:rFonts w:ascii="T" w:hAnsi="T" w:cs="Simplified Arabic"/>
          <w:sz w:val="24"/>
          <w:szCs w:val="24"/>
          <w:rtl/>
        </w:rPr>
        <w:t>(</w:t>
      </w:r>
      <w:r w:rsidR="00717B72" w:rsidRPr="005D59A7">
        <w:rPr>
          <w:rFonts w:ascii="T" w:hAnsi="T" w:cs="Simplified Arabic"/>
          <w:sz w:val="24"/>
          <w:szCs w:val="24"/>
        </w:rPr>
        <w:t>Vision 2030, 2025</w:t>
      </w:r>
      <w:r w:rsidR="00717B72" w:rsidRPr="005D59A7">
        <w:rPr>
          <w:rFonts w:ascii="T" w:hAnsi="T" w:cs="Simplified Arabic"/>
          <w:sz w:val="24"/>
          <w:szCs w:val="24"/>
          <w:rtl/>
        </w:rPr>
        <w:t xml:space="preserve">). </w:t>
      </w:r>
      <w:r w:rsidRPr="005D59A7">
        <w:rPr>
          <w:rFonts w:ascii="T" w:hAnsi="T" w:cs="Simplified Arabic"/>
          <w:sz w:val="24"/>
          <w:szCs w:val="24"/>
          <w:rtl/>
        </w:rPr>
        <w:t xml:space="preserve"> </w:t>
      </w:r>
    </w:p>
    <w:p w14:paraId="668BB8C8" w14:textId="77777777" w:rsidR="00863EE1" w:rsidRPr="005D59A7" w:rsidRDefault="00717B72"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وقد انبثقت من هذه الرؤية ومحاورها الثلاث أحد عشر برنامجاً تكاملية من شأنها تحقيق الرؤية ومستهدفاتها. حيث تعد برامج تحقيق الرؤية القوة الدافعة لتحقيق رؤية السعودية 2030، وتعمل على ترجمتها </w:t>
      </w:r>
      <w:r w:rsidR="00863EE1" w:rsidRPr="005D59A7">
        <w:rPr>
          <w:rFonts w:ascii="T" w:hAnsi="T" w:cs="Simplified Arabic"/>
          <w:sz w:val="24"/>
          <w:szCs w:val="24"/>
          <w:rtl/>
        </w:rPr>
        <w:t>وتحويلها إلى واقع ملموس، يمثل كل برنامج خارطة طريق محددة، تتم موائمتها من خلال خطط التنفيذ المعتمدة، التي تسترشد بالأهداف المحددة مسبقاً ومؤشرات الأداء الرئيسية في غضون خمس سنوات. ومع تطور رؤية السعودية 2030، أعيدت هيكلة بعض برامج تحقيق الرؤية لتلبية الاحتياجات المتغيرة وعكس طموحات وقدرات المملكة وضمان تحقيق رؤية 2030 على أكمل وجه (</w:t>
      </w:r>
      <w:r w:rsidR="00863EE1" w:rsidRPr="005D59A7">
        <w:rPr>
          <w:rFonts w:ascii="T" w:hAnsi="T" w:cs="Simplified Arabic"/>
          <w:sz w:val="24"/>
          <w:szCs w:val="24"/>
        </w:rPr>
        <w:t>Vision 2030, 2025</w:t>
      </w:r>
      <w:r w:rsidR="00863EE1" w:rsidRPr="005D59A7">
        <w:rPr>
          <w:rFonts w:ascii="T" w:hAnsi="T" w:cs="Simplified Arabic"/>
          <w:sz w:val="24"/>
          <w:szCs w:val="24"/>
          <w:rtl/>
        </w:rPr>
        <w:t>).</w:t>
      </w:r>
    </w:p>
    <w:p w14:paraId="0B38766A" w14:textId="77777777" w:rsidR="00F87DA7" w:rsidRPr="005D59A7" w:rsidRDefault="00F87DA7" w:rsidP="0045581D">
      <w:pPr>
        <w:pStyle w:val="Heading2"/>
        <w:numPr>
          <w:ilvl w:val="2"/>
          <w:numId w:val="3"/>
        </w:numPr>
        <w:bidi/>
        <w:spacing w:line="360" w:lineRule="auto"/>
        <w:ind w:left="84" w:firstLine="0"/>
        <w:rPr>
          <w:rFonts w:ascii="T" w:hAnsi="T" w:cs="Simplified Arabic"/>
          <w:color w:val="auto"/>
          <w:sz w:val="24"/>
          <w:szCs w:val="24"/>
          <w:rtl/>
        </w:rPr>
      </w:pPr>
      <w:bookmarkStart w:id="53" w:name="_Toc234607886"/>
      <w:r w:rsidRPr="005D59A7">
        <w:rPr>
          <w:rFonts w:ascii="T" w:hAnsi="T" w:cs="Simplified Arabic"/>
          <w:color w:val="auto"/>
          <w:sz w:val="24"/>
          <w:szCs w:val="24"/>
          <w:rtl/>
        </w:rPr>
        <w:lastRenderedPageBreak/>
        <w:t>قطاع البيئة</w:t>
      </w:r>
      <w:r w:rsidR="0083758C" w:rsidRPr="005D59A7">
        <w:rPr>
          <w:rFonts w:ascii="T" w:hAnsi="T" w:cs="Simplified Arabic"/>
          <w:color w:val="auto"/>
          <w:sz w:val="24"/>
          <w:szCs w:val="24"/>
          <w:rtl/>
        </w:rPr>
        <w:t xml:space="preserve"> في المملكة العربية السعودية</w:t>
      </w:r>
      <w:bookmarkEnd w:id="53"/>
    </w:p>
    <w:p w14:paraId="10238669" w14:textId="77777777" w:rsidR="00F87DA7" w:rsidRPr="005D59A7" w:rsidRDefault="00F87DA7" w:rsidP="0045581D">
      <w:pPr>
        <w:pStyle w:val="Heading3"/>
        <w:numPr>
          <w:ilvl w:val="0"/>
          <w:numId w:val="9"/>
        </w:numPr>
        <w:bidi/>
        <w:spacing w:line="360" w:lineRule="auto"/>
        <w:ind w:left="84" w:firstLine="0"/>
        <w:rPr>
          <w:rFonts w:ascii="T" w:hAnsi="T" w:cs="Simplified Arabic"/>
          <w:color w:val="auto"/>
          <w:sz w:val="24"/>
          <w:szCs w:val="24"/>
          <w:rtl/>
        </w:rPr>
      </w:pPr>
      <w:bookmarkStart w:id="54" w:name="_Toc234607887"/>
      <w:r w:rsidRPr="005D59A7">
        <w:rPr>
          <w:rFonts w:ascii="T" w:hAnsi="T" w:cs="Simplified Arabic"/>
          <w:color w:val="auto"/>
          <w:sz w:val="24"/>
          <w:szCs w:val="24"/>
          <w:rtl/>
        </w:rPr>
        <w:t>علاقة الرؤية بالتحول بالقطاع في البيئي</w:t>
      </w:r>
      <w:bookmarkEnd w:id="54"/>
    </w:p>
    <w:p w14:paraId="63DB90A0"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البرامج المرتبطة بالتحول في القطاع البيئي</w:t>
      </w:r>
    </w:p>
    <w:p w14:paraId="79482BC1"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تعد البرامج التي لها ارتباط مباشر أو غير مباشر بالتحول في القطاع البيئي هي: برنامج التحول الوطني، وبرنامج التخصيص، وبرنامج صندوق الاستثمارات العامة.</w:t>
      </w:r>
    </w:p>
    <w:p w14:paraId="46EA2996"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أولاً: برنامج التحول الوطني</w:t>
      </w:r>
    </w:p>
    <w:p w14:paraId="5AF65E81"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يعد برنامج التحول الوطني البرنامج الرئيسي لإحداث تحول في القطاعات الحكومية بالمملكة من حيث الهيكلة المؤسسية والارتقاء بجودة الخدمات وتفعيل الحكومة الرقمية وغيرها. تشمل أهداف البرنامج ذات العلاقة بالقطاع البيئي: الحد من التلوث بمختلف أنواعه، وحماية البيئة من الأخطار الطبيعية، وحماية وتهيئة المناطق الطبيعية، وضمان استفادة مستدامة من الموارد المائية. كما يرتبط هدف جذب الاستثمارات الأجنبية والمحلية بشكل غير مباشر بتحسين القطاع ومشاركة القطاع الخاص (</w:t>
      </w:r>
      <w:r w:rsidRPr="005D59A7">
        <w:rPr>
          <w:rFonts w:ascii="T" w:hAnsi="T" w:cs="Simplified Arabic"/>
          <w:sz w:val="24"/>
          <w:szCs w:val="24"/>
        </w:rPr>
        <w:t>Vision 2030, 2025</w:t>
      </w:r>
      <w:r w:rsidRPr="005D59A7">
        <w:rPr>
          <w:rFonts w:ascii="T" w:hAnsi="T" w:cs="Simplified Arabic"/>
          <w:sz w:val="24"/>
          <w:szCs w:val="24"/>
          <w:rtl/>
        </w:rPr>
        <w:t>).</w:t>
      </w:r>
    </w:p>
    <w:p w14:paraId="3219FA2B"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ثانياً: برنامج التخصيص</w:t>
      </w:r>
    </w:p>
    <w:p w14:paraId="5887A60C"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يعد برنامج التخصيص ركيزة أساسية في تطوير القطاعات الحكومية وجذب الاستثمارات لتعزيز مشاركة القطاع الخاص ورفع كفاءة الخدمات الحكومية المقدمة وتقليل التكاليف التشغيلية لها، وهو عامل مساند رئيسي لبرنامج التحول الوطني في تحقيق أهدافه.</w:t>
      </w:r>
    </w:p>
    <w:p w14:paraId="1E9B7462"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تشمل أبرز إنجازات البرنامج تأسيس المركز الوطني للتخصيص (</w:t>
      </w:r>
      <w:r w:rsidRPr="005D59A7">
        <w:rPr>
          <w:rFonts w:ascii="T" w:hAnsi="T" w:cs="Simplified Arabic"/>
          <w:sz w:val="24"/>
          <w:szCs w:val="24"/>
        </w:rPr>
        <w:t>NCP</w:t>
      </w:r>
      <w:r w:rsidRPr="005D59A7">
        <w:rPr>
          <w:rFonts w:ascii="T" w:hAnsi="T" w:cs="Simplified Arabic"/>
          <w:sz w:val="24"/>
          <w:szCs w:val="24"/>
          <w:rtl/>
        </w:rPr>
        <w:t xml:space="preserve">)، وهو الجهة المسؤولة عن وضع الأطر والتشريعات لكافة الجهات الحكومية في مشاركة القطاع الخاص. وقد قام المركز بإنشاء دليل مشاريع التخصيص الذي يشمل كافة الإجراءات التنظيمية والخطوات التنفيذية للجهات في طرح خدماتها للشراكة مع القطاع الخاص. ومن إنجازات البرنامج أيضاً تهيئة وفتح قطاعات حيوية أمام التخصيص، واعتماد نظام التخصيص، وإعداد الأطر والأدوات النظامية له. أما أبرز مبادراته فتتمثل في تطوير الأطر التشريعية العامة </w:t>
      </w:r>
      <w:r w:rsidRPr="005D59A7">
        <w:rPr>
          <w:rFonts w:ascii="T" w:hAnsi="T" w:cs="Simplified Arabic"/>
          <w:sz w:val="24"/>
          <w:szCs w:val="24"/>
          <w:rtl/>
        </w:rPr>
        <w:lastRenderedPageBreak/>
        <w:t>للتخصيص، وتمكين المركز الوطني للتخصيص، ومبادرات استراتيجيات القطاعات المستهدفة بالتخصيص وتهيئة المشاريع (</w:t>
      </w:r>
      <w:r w:rsidRPr="005D59A7">
        <w:rPr>
          <w:rFonts w:ascii="T" w:hAnsi="T" w:cs="Simplified Arabic"/>
          <w:sz w:val="24"/>
          <w:szCs w:val="24"/>
        </w:rPr>
        <w:t>Vision 2030, 2025</w:t>
      </w:r>
      <w:r w:rsidRPr="005D59A7">
        <w:rPr>
          <w:rFonts w:ascii="T" w:hAnsi="T" w:cs="Simplified Arabic"/>
          <w:sz w:val="24"/>
          <w:szCs w:val="24"/>
          <w:rtl/>
        </w:rPr>
        <w:t>).</w:t>
      </w:r>
    </w:p>
    <w:p w14:paraId="5E49F1B8"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ثالثاً: برنامج صندوق الاستثمارات العامة</w:t>
      </w:r>
    </w:p>
    <w:p w14:paraId="69BC3F02"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يعد صندوق الاستثمارات العامة ركيزة أساسية لاقتصاد المملكة، حيث يعنى بجذب وخلق وتمكين الاستثمارات المتنوعة لتحقيق عوائد مالية تدعم اقتصاد الدولة. تشمل أهدافه الاستراتيجية: تعظيم أصول الصندوق، وإطلاق قطاعات جديدة من خلاله، وتوطين التقنيات والمعرفة، وبناء شراكات اقتصادية استراتيجية (</w:t>
      </w:r>
      <w:r w:rsidRPr="005D59A7">
        <w:rPr>
          <w:rFonts w:ascii="T" w:hAnsi="T" w:cs="Simplified Arabic"/>
          <w:sz w:val="24"/>
          <w:szCs w:val="24"/>
        </w:rPr>
        <w:t>Vision 2030, 2025</w:t>
      </w:r>
      <w:r w:rsidRPr="005D59A7">
        <w:rPr>
          <w:rFonts w:ascii="T" w:hAnsi="T" w:cs="Simplified Arabic"/>
          <w:sz w:val="24"/>
          <w:szCs w:val="24"/>
          <w:rtl/>
        </w:rPr>
        <w:t>). وقد استثمر الصندوق في القطاع البيئي من خلال إنشاء والاستحواذ على شركات بيئية مثل الشركة السعودية لإعادة التدوير (</w:t>
      </w:r>
      <w:r w:rsidRPr="005D59A7">
        <w:rPr>
          <w:rFonts w:ascii="T" w:hAnsi="T" w:cs="Simplified Arabic"/>
          <w:sz w:val="24"/>
          <w:szCs w:val="24"/>
        </w:rPr>
        <w:t>SIRC</w:t>
      </w:r>
      <w:r w:rsidRPr="005D59A7">
        <w:rPr>
          <w:rFonts w:ascii="T" w:hAnsi="T" w:cs="Simplified Arabic"/>
          <w:sz w:val="24"/>
          <w:szCs w:val="24"/>
          <w:rtl/>
        </w:rPr>
        <w:t>)، مما يعكس التوجه نحو دعم الاستدامة البيئية عبر آليات الاستثمار والشراكة مع القطاع الخاص.</w:t>
      </w:r>
    </w:p>
    <w:p w14:paraId="5A592309" w14:textId="77777777" w:rsidR="00C31B82" w:rsidRPr="005D59A7" w:rsidRDefault="00917142" w:rsidP="0045581D">
      <w:pPr>
        <w:pStyle w:val="Heading3"/>
        <w:numPr>
          <w:ilvl w:val="0"/>
          <w:numId w:val="9"/>
        </w:numPr>
        <w:bidi/>
        <w:spacing w:line="360" w:lineRule="auto"/>
        <w:ind w:firstLine="720"/>
        <w:rPr>
          <w:rFonts w:ascii="T" w:hAnsi="T" w:cs="Simplified Arabic"/>
          <w:color w:val="auto"/>
          <w:sz w:val="24"/>
          <w:szCs w:val="24"/>
          <w:rtl/>
        </w:rPr>
      </w:pPr>
      <w:bookmarkStart w:id="55" w:name="_Toc234607888"/>
      <w:r w:rsidRPr="005D59A7">
        <w:rPr>
          <w:rFonts w:ascii="T" w:hAnsi="T" w:cs="Simplified Arabic"/>
          <w:color w:val="auto"/>
          <w:sz w:val="24"/>
          <w:szCs w:val="24"/>
          <w:rtl/>
        </w:rPr>
        <w:t>لمحة تاريخية عن قطاع البيئة في المملكة</w:t>
      </w:r>
      <w:bookmarkEnd w:id="55"/>
    </w:p>
    <w:p w14:paraId="28A208C2" w14:textId="1AFE1EFF" w:rsidR="00222118" w:rsidRPr="005D59A7" w:rsidRDefault="00222118" w:rsidP="00453B38">
      <w:pPr>
        <w:bidi/>
        <w:spacing w:line="360" w:lineRule="auto"/>
        <w:ind w:left="84" w:firstLine="720"/>
        <w:jc w:val="both"/>
        <w:rPr>
          <w:rFonts w:ascii="T" w:hAnsi="T" w:cs="Simplified Arabic"/>
          <w:sz w:val="24"/>
          <w:szCs w:val="24"/>
          <w:rtl/>
          <w:lang w:bidi="ar-EG"/>
        </w:rPr>
      </w:pPr>
      <w:r w:rsidRPr="005D59A7">
        <w:rPr>
          <w:rFonts w:ascii="T" w:hAnsi="T" w:cs="Simplified Arabic"/>
          <w:sz w:val="24"/>
          <w:szCs w:val="24"/>
          <w:rtl/>
        </w:rPr>
        <w:t xml:space="preserve">منذ القدم ومن قبل انطلاق رؤية المملكة 2030، كان النشاط البيئي في المملكة محدوداً نوعاً ما وذلك لعدة أساب منها الطبيعة الجغرافية للمملكة وبيئتها وتضاريسها الصحراوية، اعتماد اقتصاد المملكة على النفط، ندرة مصادر المياه الطبيعية ومياه الأمطار، المناخ الجاف والعواصف الرملية، قلة وجود القطاع الخاص وبالتحديد في القطاع، وغيرها من الأسباب والتي أدت إلى غياب وجود جهة مؤسسية رئيسية للقطاع. </w:t>
      </w:r>
      <w:r w:rsidR="00453B38" w:rsidRPr="005D59A7">
        <w:rPr>
          <w:rFonts w:ascii="T" w:hAnsi="T" w:cs="Simplified Arabic"/>
          <w:sz w:val="24"/>
          <w:szCs w:val="24"/>
          <w:rtl/>
          <w:lang w:bidi="ar-EG"/>
        </w:rPr>
        <w:t>(</w:t>
      </w:r>
      <w:r w:rsidR="00453B38" w:rsidRPr="005D59A7">
        <w:rPr>
          <w:rFonts w:ascii="T" w:hAnsi="T" w:cs="Simplified Arabic"/>
          <w:sz w:val="24"/>
          <w:szCs w:val="24"/>
          <w:lang w:bidi="ar-EG"/>
        </w:rPr>
        <w:t>Ghanem,  Alamri, 2023</w:t>
      </w:r>
      <w:r w:rsidR="00453B38" w:rsidRPr="005D59A7">
        <w:rPr>
          <w:rFonts w:ascii="T" w:hAnsi="T" w:cs="Simplified Arabic"/>
          <w:sz w:val="24"/>
          <w:szCs w:val="24"/>
          <w:rtl/>
          <w:lang w:bidi="ar-EG"/>
        </w:rPr>
        <w:t>)</w:t>
      </w:r>
    </w:p>
    <w:p w14:paraId="6B36B0F2" w14:textId="77777777" w:rsidR="00351607" w:rsidRPr="005D59A7" w:rsidRDefault="0022211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 xml:space="preserve">كانت الجهة الرئيسية </w:t>
      </w:r>
      <w:r w:rsidR="007C62EE" w:rsidRPr="005D59A7">
        <w:rPr>
          <w:rFonts w:ascii="T" w:hAnsi="T" w:cs="Simplified Arabic"/>
          <w:sz w:val="24"/>
          <w:szCs w:val="24"/>
          <w:rtl/>
        </w:rPr>
        <w:t xml:space="preserve">المسؤولة هي مديرية الزراعة بوزارة المالية، وفي عام 1953م تم انشاء </w:t>
      </w:r>
      <w:r w:rsidRPr="005D59A7">
        <w:rPr>
          <w:rFonts w:ascii="T" w:hAnsi="T" w:cs="Simplified Arabic"/>
          <w:sz w:val="24"/>
          <w:szCs w:val="24"/>
          <w:rtl/>
        </w:rPr>
        <w:t xml:space="preserve">وزارة الزراعة </w:t>
      </w:r>
      <w:r w:rsidR="00351607" w:rsidRPr="005D59A7">
        <w:rPr>
          <w:rFonts w:ascii="T" w:hAnsi="T" w:cs="Simplified Arabic"/>
          <w:sz w:val="24"/>
          <w:szCs w:val="24"/>
          <w:rtl/>
        </w:rPr>
        <w:t>لتعنى لتهتم بالشؤون الزراعية والتنمية الريفية في المملكة. تلعب الوزارة دورًا أساسيًا في ضمان تطوير قطاع الزراعة بما يتناسب مع احتياجات المملكة في ظل تحديات مثل قلة المياه ومحدودية الأراضي الزراعية</w:t>
      </w:r>
      <w:r w:rsidR="00351607" w:rsidRPr="005D59A7">
        <w:rPr>
          <w:rFonts w:ascii="T" w:hAnsi="T" w:cs="Simplified Arabic"/>
          <w:sz w:val="24"/>
          <w:szCs w:val="24"/>
        </w:rPr>
        <w:t>.</w:t>
      </w:r>
      <w:r w:rsidR="00AF6F2B" w:rsidRPr="005D59A7">
        <w:rPr>
          <w:rFonts w:ascii="T" w:hAnsi="T" w:cs="Simplified Arabic"/>
          <w:sz w:val="24"/>
          <w:szCs w:val="24"/>
          <w:rtl/>
        </w:rPr>
        <w:t xml:space="preserve"> </w:t>
      </w:r>
      <w:r w:rsidR="00351607" w:rsidRPr="005D59A7">
        <w:rPr>
          <w:rFonts w:ascii="T" w:hAnsi="T" w:cs="Simplified Arabic"/>
          <w:sz w:val="24"/>
          <w:szCs w:val="24"/>
          <w:rtl/>
        </w:rPr>
        <w:t>وكانت مهامها متنوعة تشمل مجموعة من الأنشطة المتعلقة بتطوير القطاع الزراعي والموارد الطبيعية في المملكة. من أبرزها:</w:t>
      </w:r>
    </w:p>
    <w:p w14:paraId="2C2F3624" w14:textId="77777777" w:rsidR="00351607" w:rsidRPr="005D59A7" w:rsidRDefault="00351607" w:rsidP="0045581D">
      <w:pPr>
        <w:pStyle w:val="NormalWeb"/>
        <w:numPr>
          <w:ilvl w:val="0"/>
          <w:numId w:val="11"/>
        </w:numPr>
        <w:tabs>
          <w:tab w:val="clear" w:pos="1080"/>
        </w:tabs>
        <w:bidi/>
        <w:spacing w:line="360" w:lineRule="auto"/>
        <w:ind w:left="84" w:firstLine="0"/>
        <w:rPr>
          <w:rFonts w:ascii="T" w:hAnsi="T" w:cs="Simplified Arabic"/>
        </w:rPr>
      </w:pPr>
      <w:r w:rsidRPr="005D59A7">
        <w:rPr>
          <w:rStyle w:val="Strong"/>
          <w:rFonts w:ascii="T" w:hAnsi="T" w:cs="Simplified Arabic"/>
          <w:rtl/>
        </w:rPr>
        <w:t>تنمية القطاع الزراعي</w:t>
      </w:r>
      <w:r w:rsidRPr="005D59A7">
        <w:rPr>
          <w:rFonts w:ascii="T" w:hAnsi="T" w:cs="Simplified Arabic"/>
        </w:rPr>
        <w:t>:</w:t>
      </w:r>
    </w:p>
    <w:p w14:paraId="2A3CD13B" w14:textId="77777777" w:rsidR="00351607" w:rsidRPr="005D59A7" w:rsidRDefault="00351607" w:rsidP="0045581D">
      <w:pPr>
        <w:pStyle w:val="NormalWeb"/>
        <w:numPr>
          <w:ilvl w:val="1"/>
          <w:numId w:val="11"/>
        </w:numPr>
        <w:tabs>
          <w:tab w:val="clear" w:pos="1800"/>
          <w:tab w:val="num" w:pos="84"/>
        </w:tabs>
        <w:bidi/>
        <w:spacing w:line="360" w:lineRule="auto"/>
        <w:ind w:left="84" w:firstLine="0"/>
        <w:jc w:val="both"/>
        <w:rPr>
          <w:rFonts w:ascii="T" w:hAnsi="T" w:cs="Simplified Arabic"/>
        </w:rPr>
      </w:pPr>
      <w:r w:rsidRPr="005D59A7">
        <w:rPr>
          <w:rFonts w:ascii="T" w:hAnsi="T" w:cs="Simplified Arabic"/>
          <w:rtl/>
        </w:rPr>
        <w:t>العمل على تطوير الزراعة وتوفير البيئة المناسبة لتشجيع الإنتاج الزراعي</w:t>
      </w:r>
      <w:r w:rsidRPr="005D59A7">
        <w:rPr>
          <w:rFonts w:ascii="T" w:hAnsi="T" w:cs="Simplified Arabic"/>
        </w:rPr>
        <w:t>.</w:t>
      </w:r>
    </w:p>
    <w:p w14:paraId="7A338937" w14:textId="77777777" w:rsidR="00351607" w:rsidRPr="005D59A7" w:rsidRDefault="00351607" w:rsidP="0045581D">
      <w:pPr>
        <w:pStyle w:val="NormalWeb"/>
        <w:numPr>
          <w:ilvl w:val="1"/>
          <w:numId w:val="11"/>
        </w:numPr>
        <w:tabs>
          <w:tab w:val="clear" w:pos="1800"/>
          <w:tab w:val="num" w:pos="84"/>
        </w:tabs>
        <w:bidi/>
        <w:spacing w:line="360" w:lineRule="auto"/>
        <w:ind w:left="84" w:firstLine="0"/>
        <w:jc w:val="both"/>
        <w:rPr>
          <w:rFonts w:ascii="T" w:hAnsi="T" w:cs="Simplified Arabic"/>
        </w:rPr>
      </w:pPr>
      <w:r w:rsidRPr="005D59A7">
        <w:rPr>
          <w:rFonts w:ascii="T" w:hAnsi="T" w:cs="Simplified Arabic"/>
          <w:rtl/>
        </w:rPr>
        <w:lastRenderedPageBreak/>
        <w:t>تعزيز الإنتاج المحلي والمحافظة على الأمن الغذائي</w:t>
      </w:r>
      <w:r w:rsidRPr="005D59A7">
        <w:rPr>
          <w:rFonts w:ascii="T" w:hAnsi="T" w:cs="Simplified Arabic"/>
        </w:rPr>
        <w:t>.</w:t>
      </w:r>
    </w:p>
    <w:p w14:paraId="2623F972"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تحقيق الأمن الغذائي</w:t>
      </w:r>
      <w:r w:rsidRPr="005D59A7">
        <w:rPr>
          <w:rFonts w:ascii="T" w:hAnsi="T" w:cs="Simplified Arabic"/>
        </w:rPr>
        <w:t>:</w:t>
      </w:r>
    </w:p>
    <w:p w14:paraId="4D2544A2"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دعم الأمن الغذائي من خلال تطوير مشاريع زراعية متنوعة</w:t>
      </w:r>
      <w:r w:rsidRPr="005D59A7">
        <w:rPr>
          <w:rFonts w:ascii="T" w:hAnsi="T" w:cs="Simplified Arabic"/>
        </w:rPr>
        <w:t>.</w:t>
      </w:r>
    </w:p>
    <w:p w14:paraId="29C6D9DD"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تشجيع الزراعة المستدامة وتوفير المنتجات الزراعية بأسعار مناسبة</w:t>
      </w:r>
      <w:r w:rsidRPr="005D59A7">
        <w:rPr>
          <w:rFonts w:ascii="T" w:hAnsi="T" w:cs="Simplified Arabic"/>
        </w:rPr>
        <w:t>.</w:t>
      </w:r>
    </w:p>
    <w:p w14:paraId="4CA0B30C"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إصدار السياسات والتشريعات</w:t>
      </w:r>
      <w:r w:rsidRPr="005D59A7">
        <w:rPr>
          <w:rFonts w:ascii="T" w:hAnsi="T" w:cs="Simplified Arabic"/>
        </w:rPr>
        <w:t>:</w:t>
      </w:r>
    </w:p>
    <w:p w14:paraId="4C01C34D"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وضع السياسات الزراعية والبيئية التي تدعم القطاع الزراعي وتوجهه نحو التنمية المستدامة</w:t>
      </w:r>
      <w:r w:rsidRPr="005D59A7">
        <w:rPr>
          <w:rFonts w:ascii="T" w:hAnsi="T" w:cs="Simplified Arabic"/>
        </w:rPr>
        <w:t>.</w:t>
      </w:r>
    </w:p>
    <w:p w14:paraId="7AAE490B"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وضع التشريعات والأنظمة التي تساعد على تحسين الإنتاج الزراعي</w:t>
      </w:r>
      <w:r w:rsidRPr="005D59A7">
        <w:rPr>
          <w:rFonts w:ascii="T" w:hAnsi="T" w:cs="Simplified Arabic"/>
        </w:rPr>
        <w:t>.</w:t>
      </w:r>
    </w:p>
    <w:p w14:paraId="0B3536AA"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البحث والتطوير الزراعي</w:t>
      </w:r>
      <w:r w:rsidRPr="005D59A7">
        <w:rPr>
          <w:rFonts w:ascii="T" w:hAnsi="T" w:cs="Simplified Arabic"/>
        </w:rPr>
        <w:t>:</w:t>
      </w:r>
    </w:p>
    <w:p w14:paraId="137EE16A" w14:textId="77777777" w:rsidR="00351607" w:rsidRPr="005D59A7" w:rsidRDefault="00351607" w:rsidP="0045581D">
      <w:pPr>
        <w:pStyle w:val="NormalWeb"/>
        <w:numPr>
          <w:ilvl w:val="1"/>
          <w:numId w:val="11"/>
        </w:numPr>
        <w:tabs>
          <w:tab w:val="clear" w:pos="1800"/>
          <w:tab w:val="num" w:pos="84"/>
        </w:tabs>
        <w:bidi/>
        <w:spacing w:line="360" w:lineRule="auto"/>
        <w:ind w:left="84" w:firstLine="0"/>
        <w:jc w:val="both"/>
        <w:rPr>
          <w:rFonts w:ascii="T" w:hAnsi="T" w:cs="Simplified Arabic"/>
        </w:rPr>
      </w:pPr>
      <w:r w:rsidRPr="005D59A7">
        <w:rPr>
          <w:rFonts w:ascii="T" w:hAnsi="T" w:cs="Simplified Arabic"/>
          <w:rtl/>
        </w:rPr>
        <w:t>دعم البحوث العلمية في المجال الزراعي لاكتشاف سبل جديدة لزيادة الإنتاج وتحسين الجودة</w:t>
      </w:r>
      <w:r w:rsidRPr="005D59A7">
        <w:rPr>
          <w:rFonts w:ascii="T" w:hAnsi="T" w:cs="Simplified Arabic"/>
        </w:rPr>
        <w:t>.</w:t>
      </w:r>
    </w:p>
    <w:p w14:paraId="059A6831" w14:textId="77777777" w:rsidR="00351607" w:rsidRPr="005D59A7" w:rsidRDefault="00351607" w:rsidP="0045581D">
      <w:pPr>
        <w:pStyle w:val="NormalWeb"/>
        <w:numPr>
          <w:ilvl w:val="1"/>
          <w:numId w:val="11"/>
        </w:numPr>
        <w:tabs>
          <w:tab w:val="clear" w:pos="1800"/>
          <w:tab w:val="num" w:pos="84"/>
        </w:tabs>
        <w:bidi/>
        <w:spacing w:line="360" w:lineRule="auto"/>
        <w:ind w:left="84" w:firstLine="0"/>
        <w:jc w:val="both"/>
        <w:rPr>
          <w:rFonts w:ascii="T" w:hAnsi="T" w:cs="Simplified Arabic"/>
        </w:rPr>
      </w:pPr>
      <w:r w:rsidRPr="005D59A7">
        <w:rPr>
          <w:rFonts w:ascii="T" w:hAnsi="T" w:cs="Simplified Arabic"/>
          <w:rtl/>
        </w:rPr>
        <w:t>تطوير تقنيات الزراعة الحديثة مثل الزراعة المائية والذكاء الاصطناعي في الزراعة</w:t>
      </w:r>
      <w:r w:rsidRPr="005D59A7">
        <w:rPr>
          <w:rFonts w:ascii="T" w:hAnsi="T" w:cs="Simplified Arabic"/>
        </w:rPr>
        <w:t>.</w:t>
      </w:r>
    </w:p>
    <w:p w14:paraId="0F9BDA9F"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تطوير الثروة الحيوانية</w:t>
      </w:r>
      <w:r w:rsidRPr="005D59A7">
        <w:rPr>
          <w:rFonts w:ascii="T" w:hAnsi="T" w:cs="Simplified Arabic"/>
        </w:rPr>
        <w:t>:</w:t>
      </w:r>
    </w:p>
    <w:p w14:paraId="691ECFCA"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العناية بتطوير وتربية المواشي والماشية من خلال تحسين السلالات ورعايتها</w:t>
      </w:r>
      <w:r w:rsidRPr="005D59A7">
        <w:rPr>
          <w:rFonts w:ascii="T" w:hAnsi="T" w:cs="Simplified Arabic"/>
        </w:rPr>
        <w:t>.</w:t>
      </w:r>
    </w:p>
    <w:p w14:paraId="5E1663E7" w14:textId="054F6E32"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تنفيذ برامج للحد من الأمراض الحيوانية وتحسين صحة الحيوان</w:t>
      </w:r>
      <w:r w:rsidRPr="005D59A7">
        <w:rPr>
          <w:rFonts w:ascii="T" w:hAnsi="T" w:cs="Simplified Arabic"/>
        </w:rPr>
        <w:t>.</w:t>
      </w:r>
      <w:r w:rsidR="00453B38" w:rsidRPr="005D59A7">
        <w:rPr>
          <w:rFonts w:ascii="T" w:hAnsi="T" w:cs="Simplified Arabic"/>
        </w:rPr>
        <w:t xml:space="preserve"> (Al-Otaibi &amp; Elimam,2024</w:t>
      </w:r>
      <w:r w:rsidR="00453B38" w:rsidRPr="005D59A7">
        <w:rPr>
          <w:rFonts w:ascii="T" w:hAnsi="T" w:cs="Simplified Arabic"/>
          <w:rtl/>
        </w:rPr>
        <w:t>)</w:t>
      </w:r>
    </w:p>
    <w:p w14:paraId="1C0387DC"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إدارة الموارد الطبيعية</w:t>
      </w:r>
      <w:r w:rsidRPr="005D59A7">
        <w:rPr>
          <w:rFonts w:ascii="T" w:hAnsi="T" w:cs="Simplified Arabic"/>
        </w:rPr>
        <w:t>:</w:t>
      </w:r>
    </w:p>
    <w:p w14:paraId="4E7FCED3"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الحفاظ على الموارد المائية والاهتمام بالري الزراعي</w:t>
      </w:r>
      <w:r w:rsidRPr="005D59A7">
        <w:rPr>
          <w:rFonts w:ascii="T" w:hAnsi="T" w:cs="Simplified Arabic"/>
        </w:rPr>
        <w:t>.</w:t>
      </w:r>
    </w:p>
    <w:p w14:paraId="182E4E92"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تشجيع استخدام أساليب ري حديثة مثل الري بالتنقيط للحفاظ على المياه</w:t>
      </w:r>
      <w:r w:rsidRPr="005D59A7">
        <w:rPr>
          <w:rFonts w:ascii="T" w:hAnsi="T" w:cs="Simplified Arabic"/>
        </w:rPr>
        <w:t>.</w:t>
      </w:r>
    </w:p>
    <w:p w14:paraId="4388E951"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التعاون مع المنظمات الدولية</w:t>
      </w:r>
      <w:r w:rsidRPr="005D59A7">
        <w:rPr>
          <w:rFonts w:ascii="T" w:hAnsi="T" w:cs="Simplified Arabic"/>
        </w:rPr>
        <w:t>:</w:t>
      </w:r>
    </w:p>
    <w:p w14:paraId="766B9DB1"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التعاون مع المنظمات الدولية والإقليمية المعنية بالزراعة والبيئة</w:t>
      </w:r>
      <w:r w:rsidRPr="005D59A7">
        <w:rPr>
          <w:rFonts w:ascii="T" w:hAnsi="T" w:cs="Simplified Arabic"/>
        </w:rPr>
        <w:t>.</w:t>
      </w:r>
    </w:p>
    <w:p w14:paraId="198D8444"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المشاركة في الفعاليات الزراعية العالمية لعرض التطورات الزراعية في المملكة</w:t>
      </w:r>
      <w:r w:rsidRPr="005D59A7">
        <w:rPr>
          <w:rFonts w:ascii="T" w:hAnsi="T" w:cs="Simplified Arabic"/>
        </w:rPr>
        <w:t>.</w:t>
      </w:r>
    </w:p>
    <w:p w14:paraId="6517ED02"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تشجيع الاستثمار الزراعي</w:t>
      </w:r>
      <w:r w:rsidRPr="005D59A7">
        <w:rPr>
          <w:rFonts w:ascii="T" w:hAnsi="T" w:cs="Simplified Arabic"/>
        </w:rPr>
        <w:t>:</w:t>
      </w:r>
    </w:p>
    <w:p w14:paraId="61EC4A6E"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تقديم الدعم والتسهيلات للمستثمرين في القطاع الزراعي</w:t>
      </w:r>
      <w:r w:rsidRPr="005D59A7">
        <w:rPr>
          <w:rFonts w:ascii="T" w:hAnsi="T" w:cs="Simplified Arabic"/>
        </w:rPr>
        <w:t>.</w:t>
      </w:r>
    </w:p>
    <w:p w14:paraId="40F03C98"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تشجيع الاستثمار في التقنيات الحديثة والمشاريع الزراعية الكبيرة</w:t>
      </w:r>
      <w:r w:rsidRPr="005D59A7">
        <w:rPr>
          <w:rFonts w:ascii="T" w:hAnsi="T" w:cs="Simplified Arabic"/>
        </w:rPr>
        <w:t>.</w:t>
      </w:r>
    </w:p>
    <w:p w14:paraId="5B517CDE"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التوعية والتعليم الزراعي</w:t>
      </w:r>
      <w:r w:rsidRPr="005D59A7">
        <w:rPr>
          <w:rFonts w:ascii="T" w:hAnsi="T" w:cs="Simplified Arabic"/>
        </w:rPr>
        <w:t>:</w:t>
      </w:r>
    </w:p>
    <w:p w14:paraId="60302ED5"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lastRenderedPageBreak/>
        <w:t>نشر الوعي بين الفلاحين والمزارعين حول أفضل أساليب الزراعة والتقنيات الحديثة</w:t>
      </w:r>
      <w:r w:rsidRPr="005D59A7">
        <w:rPr>
          <w:rFonts w:ascii="T" w:hAnsi="T" w:cs="Simplified Arabic"/>
        </w:rPr>
        <w:t>.</w:t>
      </w:r>
    </w:p>
    <w:p w14:paraId="33818795" w14:textId="275B68D4"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تنظيم دورات تدريبية لتأهيل العاملين في القطاع الزراعي</w:t>
      </w:r>
      <w:r w:rsidRPr="005D59A7">
        <w:rPr>
          <w:rFonts w:ascii="T" w:hAnsi="T" w:cs="Simplified Arabic"/>
        </w:rPr>
        <w:t>.</w:t>
      </w:r>
      <w:r w:rsidR="00453B38" w:rsidRPr="005D59A7">
        <w:rPr>
          <w:rFonts w:ascii="T" w:hAnsi="T" w:cs="Simplified Arabic"/>
          <w:rtl/>
          <w:lang w:bidi="ar-EG"/>
        </w:rPr>
        <w:t xml:space="preserve"> </w:t>
      </w:r>
      <w:r w:rsidR="00453B38" w:rsidRPr="005D59A7">
        <w:rPr>
          <w:rFonts w:ascii="T" w:hAnsi="T" w:cs="Simplified Arabic"/>
          <w:rtl/>
        </w:rPr>
        <w:t>(</w:t>
      </w:r>
      <w:r w:rsidR="00453B38" w:rsidRPr="005D59A7">
        <w:rPr>
          <w:rFonts w:ascii="T" w:hAnsi="T" w:cs="Simplified Arabic"/>
        </w:rPr>
        <w:t>Emam, 2022</w:t>
      </w:r>
      <w:r w:rsidR="00453B38" w:rsidRPr="005D59A7">
        <w:rPr>
          <w:rFonts w:ascii="T" w:hAnsi="T" w:cs="Simplified Arabic"/>
          <w:rtl/>
        </w:rPr>
        <w:t>)</w:t>
      </w:r>
    </w:p>
    <w:p w14:paraId="0B3B2FAE"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مراقبة الإنتاج الزراعي</w:t>
      </w:r>
      <w:r w:rsidRPr="005D59A7">
        <w:rPr>
          <w:rFonts w:ascii="T" w:hAnsi="T" w:cs="Simplified Arabic"/>
        </w:rPr>
        <w:t>:</w:t>
      </w:r>
    </w:p>
    <w:p w14:paraId="78A0E3CD"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متابعة الإنتاج الزراعي المحلي وتقديم الدعم عند الحاجة</w:t>
      </w:r>
      <w:r w:rsidRPr="005D59A7">
        <w:rPr>
          <w:rFonts w:ascii="T" w:hAnsi="T" w:cs="Simplified Arabic"/>
        </w:rPr>
        <w:t>.</w:t>
      </w:r>
    </w:p>
    <w:p w14:paraId="4F501526"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مراقبة جودة المنتجات الزراعية وتوفير الدعم للمزارعين لتسويق منتجاتهم</w:t>
      </w:r>
      <w:r w:rsidRPr="005D59A7">
        <w:rPr>
          <w:rFonts w:ascii="T" w:hAnsi="T" w:cs="Simplified Arabic"/>
        </w:rPr>
        <w:t>.</w:t>
      </w:r>
    </w:p>
    <w:p w14:paraId="4E483F60" w14:textId="77777777" w:rsidR="00917142" w:rsidRPr="005D59A7" w:rsidRDefault="00AF6F2B"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وفي عام </w:t>
      </w:r>
      <w:r w:rsidR="0083758C" w:rsidRPr="005D59A7">
        <w:rPr>
          <w:rFonts w:ascii="T" w:hAnsi="T" w:cs="Simplified Arabic"/>
          <w:sz w:val="24"/>
          <w:szCs w:val="24"/>
          <w:rtl/>
        </w:rPr>
        <w:t>1980</w:t>
      </w:r>
      <w:r w:rsidRPr="005D59A7">
        <w:rPr>
          <w:rFonts w:ascii="T" w:hAnsi="T" w:cs="Simplified Arabic"/>
          <w:sz w:val="24"/>
          <w:szCs w:val="24"/>
          <w:rtl/>
        </w:rPr>
        <w:t xml:space="preserve">، تم </w:t>
      </w:r>
      <w:r w:rsidR="0083758C" w:rsidRPr="005D59A7">
        <w:rPr>
          <w:rFonts w:ascii="T" w:hAnsi="T" w:cs="Simplified Arabic"/>
          <w:sz w:val="24"/>
          <w:szCs w:val="24"/>
          <w:rtl/>
        </w:rPr>
        <w:t>تأسيس الهيئة العامة لحماية البيئة كأول جهة حكومية تُعنى بحماية البيئة في المملكة هدفها التركيز على الحفاظ على البيئة ومكافحة التلوث وذلك مع ازدياد النشاطات الصناعية والاقتصادية بالإضافة إلى أنشطة التنقيب عن النفط ومعالجته</w:t>
      </w:r>
      <w:r w:rsidR="00601B8A" w:rsidRPr="005D59A7">
        <w:rPr>
          <w:rFonts w:ascii="T" w:hAnsi="T" w:cs="Simplified Arabic"/>
          <w:sz w:val="24"/>
          <w:szCs w:val="24"/>
          <w:rtl/>
        </w:rPr>
        <w:t xml:space="preserve"> (</w:t>
      </w:r>
      <w:r w:rsidR="00601B8A" w:rsidRPr="005D59A7">
        <w:rPr>
          <w:rFonts w:ascii="T" w:hAnsi="T" w:cs="Simplified Arabic"/>
          <w:sz w:val="24"/>
          <w:szCs w:val="24"/>
        </w:rPr>
        <w:t>MEWA, 2026</w:t>
      </w:r>
      <w:r w:rsidR="00601B8A" w:rsidRPr="005D59A7">
        <w:rPr>
          <w:rFonts w:ascii="T" w:hAnsi="T" w:cs="Simplified Arabic"/>
          <w:sz w:val="24"/>
          <w:szCs w:val="24"/>
          <w:rtl/>
        </w:rPr>
        <w:t>)</w:t>
      </w:r>
      <w:r w:rsidR="0083758C" w:rsidRPr="005D59A7">
        <w:rPr>
          <w:rFonts w:ascii="T" w:hAnsi="T" w:cs="Simplified Arabic"/>
          <w:sz w:val="24"/>
          <w:szCs w:val="24"/>
          <w:rtl/>
        </w:rPr>
        <w:t>.</w:t>
      </w:r>
    </w:p>
    <w:p w14:paraId="44B42748" w14:textId="77777777" w:rsidR="00D50377" w:rsidRPr="005D59A7" w:rsidRDefault="00D50377"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وفي عام 2001،</w:t>
      </w:r>
      <w:r w:rsidR="0069634B" w:rsidRPr="005D59A7">
        <w:rPr>
          <w:rFonts w:ascii="T" w:hAnsi="T" w:cs="Simplified Arabic"/>
          <w:sz w:val="24"/>
          <w:szCs w:val="24"/>
          <w:rtl/>
        </w:rPr>
        <w:t xml:space="preserve"> تم إطلاق النظام العام للبيئة بموجب المرسوم الملكي رقم: م/34 وتاريخ 28/7/1422 وقرار مجلس الوزراء رقم 193 وتاريخ 7/7/1422 (</w:t>
      </w:r>
      <w:r w:rsidR="0069634B" w:rsidRPr="005D59A7">
        <w:rPr>
          <w:rFonts w:ascii="T" w:hAnsi="T" w:cs="Simplified Arabic"/>
          <w:sz w:val="24"/>
          <w:szCs w:val="24"/>
        </w:rPr>
        <w:t>Bureau of Experts, 2001</w:t>
      </w:r>
      <w:r w:rsidR="0069634B" w:rsidRPr="005D59A7">
        <w:rPr>
          <w:rFonts w:ascii="T" w:hAnsi="T" w:cs="Simplified Arabic"/>
          <w:sz w:val="24"/>
          <w:szCs w:val="24"/>
          <w:rtl/>
        </w:rPr>
        <w:t xml:space="preserve">). </w:t>
      </w:r>
      <w:r w:rsidR="00687FAF" w:rsidRPr="005D59A7">
        <w:rPr>
          <w:rFonts w:ascii="T" w:hAnsi="T" w:cs="Simplified Arabic"/>
          <w:sz w:val="24"/>
          <w:szCs w:val="24"/>
          <w:rtl/>
        </w:rPr>
        <w:t>ويقصد بـه الإطار القانوني والتنظيمي الذي يهدف إلى حماية البيئة، ومنع التلوث، وتحقيق التنمية المستدامة بما يوازن بين التنمية الاقتصادية والمحافظة على الموارد الطبيعية</w:t>
      </w:r>
      <w:r w:rsidR="00687FAF" w:rsidRPr="005D59A7">
        <w:rPr>
          <w:rFonts w:ascii="T" w:hAnsi="T" w:cs="Simplified Arabic"/>
          <w:sz w:val="24"/>
          <w:szCs w:val="24"/>
        </w:rPr>
        <w:t>.</w:t>
      </w:r>
      <w:r w:rsidR="00687FAF" w:rsidRPr="005D59A7">
        <w:rPr>
          <w:rFonts w:ascii="T" w:hAnsi="T" w:cs="Simplified Arabic"/>
          <w:sz w:val="24"/>
          <w:szCs w:val="24"/>
          <w:rtl/>
        </w:rPr>
        <w:t xml:space="preserve"> ويهدف النظام إلى حماية البيئة من التلوث بجميع أنواعه (هواء، ماء، تربة)، الحفاظ على الموارد الطبيعية، ضمان استخدام الموارد بشكل مستدام، حماية صحة الإنسان والكائنات الحية، إلزام الأفراد والمنشئات بالمعايير البيئية</w:t>
      </w:r>
      <w:r w:rsidR="00601B8A" w:rsidRPr="005D59A7">
        <w:rPr>
          <w:rFonts w:ascii="T" w:hAnsi="T" w:cs="Simplified Arabic"/>
          <w:sz w:val="24"/>
          <w:szCs w:val="24"/>
          <w:rtl/>
        </w:rPr>
        <w:t xml:space="preserve"> (</w:t>
      </w:r>
      <w:r w:rsidR="00601B8A" w:rsidRPr="005D59A7">
        <w:rPr>
          <w:rFonts w:ascii="T" w:hAnsi="T" w:cs="Simplified Arabic"/>
          <w:sz w:val="24"/>
          <w:szCs w:val="24"/>
        </w:rPr>
        <w:t>MEWA, 2026</w:t>
      </w:r>
      <w:r w:rsidR="00601B8A" w:rsidRPr="005D59A7">
        <w:rPr>
          <w:rFonts w:ascii="T" w:hAnsi="T" w:cs="Simplified Arabic"/>
          <w:sz w:val="24"/>
          <w:szCs w:val="24"/>
          <w:rtl/>
        </w:rPr>
        <w:t>)</w:t>
      </w:r>
      <w:r w:rsidR="00687FAF" w:rsidRPr="005D59A7">
        <w:rPr>
          <w:rFonts w:ascii="T" w:hAnsi="T" w:cs="Simplified Arabic"/>
          <w:sz w:val="24"/>
          <w:szCs w:val="24"/>
          <w:rtl/>
        </w:rPr>
        <w:t xml:space="preserve">. </w:t>
      </w:r>
    </w:p>
    <w:p w14:paraId="4E53D417" w14:textId="77777777" w:rsidR="00687FAF" w:rsidRPr="005D59A7" w:rsidRDefault="00687FAF"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يلزم النظام جميع الأفراد والمنشئات بالحصول على تصاريح بيئية قبل ممارسة أي نشاط مؤثر على البيئة، الالتزام بالمعايير البيئية المعتمدة، إجراء تقييم الأثر البيئي للمشاريع الكبرى، عدم تصريف الملوثات في الهواء أو المياه أو التربة، التعامل الآمن مع النفايات الخطرة، وغيرها من الأنظمة والقوانين والتشريعات التي تلزم المخالفين بغرامات مالية والتعرض لإيقاف النشاط مؤقتاً أو بشكل دائم وإلزام المخالف بإزالة الضرر البيئي المحدث على نفقته الخاصة</w:t>
      </w:r>
      <w:r w:rsidR="00601B8A" w:rsidRPr="005D59A7">
        <w:rPr>
          <w:rFonts w:ascii="T" w:hAnsi="T" w:cs="Simplified Arabic"/>
          <w:sz w:val="24"/>
          <w:szCs w:val="24"/>
          <w:rtl/>
        </w:rPr>
        <w:t xml:space="preserve"> (</w:t>
      </w:r>
      <w:r w:rsidR="00601B8A" w:rsidRPr="005D59A7">
        <w:rPr>
          <w:rFonts w:ascii="T" w:hAnsi="T" w:cs="Simplified Arabic"/>
          <w:sz w:val="24"/>
          <w:szCs w:val="24"/>
        </w:rPr>
        <w:t>MEWA, 2026</w:t>
      </w:r>
      <w:r w:rsidR="00601B8A" w:rsidRPr="005D59A7">
        <w:rPr>
          <w:rFonts w:ascii="T" w:hAnsi="T" w:cs="Simplified Arabic"/>
          <w:sz w:val="24"/>
          <w:szCs w:val="24"/>
          <w:rtl/>
        </w:rPr>
        <w:t>)</w:t>
      </w:r>
      <w:r w:rsidRPr="005D59A7">
        <w:rPr>
          <w:rFonts w:ascii="T" w:hAnsi="T" w:cs="Simplified Arabic"/>
          <w:sz w:val="24"/>
          <w:szCs w:val="24"/>
          <w:rtl/>
        </w:rPr>
        <w:t xml:space="preserve">. </w:t>
      </w:r>
    </w:p>
    <w:p w14:paraId="00FC5585" w14:textId="77777777" w:rsidR="00687FAF" w:rsidRPr="005D59A7" w:rsidRDefault="001F441A"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وفي عام 2016، تم دمج عدد من الخدمات المدنية الأساسية وإعادة تسمية وزارة البيئة بمسمى وزارة البيئة والمياه والزراعة وتم من خلال ذلك التوسع في القطاع البيئي ونطاق تطبيقه. تم بعدها إعادة تحديث النظام العام للبيئة وإعادة تسمية الجهات المعنية مثل تحول الرئاسة العامة للأرصاد وحماية البيئة إلى الهيئة العامة </w:t>
      </w:r>
      <w:r w:rsidRPr="005D59A7">
        <w:rPr>
          <w:rFonts w:ascii="T" w:hAnsi="T" w:cs="Simplified Arabic"/>
          <w:sz w:val="24"/>
          <w:szCs w:val="24"/>
          <w:rtl/>
        </w:rPr>
        <w:lastRenderedPageBreak/>
        <w:t xml:space="preserve">للأرصاد وحماية البيئة، وصولاً إلى إطلاق الإستراتيجية الوطنية للبيئة التي اقتضت إلغاء الهيئة وإنشاء خمسة مراكز بيئية متخصصة إضافةً إلى صندوق البيئة وإطلاق مشروع خصخصة القطاع ومشاركة القطاع الخاص من قبل الوزارة وغيرها من الإجراءات التنظيمية والمؤسسية التي من شأنها إحداث نقلة نوعية في القطاع تواكب التطور والنمو الصناعي والسكاني والتجاري الذي تحذو نحوه الدولة </w:t>
      </w:r>
      <w:r w:rsidR="00313D83" w:rsidRPr="005D59A7">
        <w:rPr>
          <w:rFonts w:ascii="T" w:hAnsi="T" w:cs="Simplified Arabic"/>
          <w:sz w:val="24"/>
          <w:szCs w:val="24"/>
          <w:rtl/>
        </w:rPr>
        <w:t xml:space="preserve">تماشياً مع رؤيتها 2030. </w:t>
      </w:r>
    </w:p>
    <w:p w14:paraId="6B6976A7" w14:textId="77777777" w:rsidR="00313D83" w:rsidRPr="005D59A7" w:rsidRDefault="00A40B26" w:rsidP="0045581D">
      <w:pPr>
        <w:pStyle w:val="Heading3"/>
        <w:numPr>
          <w:ilvl w:val="0"/>
          <w:numId w:val="9"/>
        </w:numPr>
        <w:bidi/>
        <w:spacing w:line="360" w:lineRule="auto"/>
        <w:ind w:left="84" w:firstLine="720"/>
        <w:rPr>
          <w:rFonts w:ascii="T" w:hAnsi="T" w:cs="Simplified Arabic"/>
          <w:color w:val="auto"/>
          <w:sz w:val="24"/>
          <w:szCs w:val="24"/>
          <w:rtl/>
        </w:rPr>
      </w:pPr>
      <w:bookmarkStart w:id="56" w:name="_Toc234607889"/>
      <w:r w:rsidRPr="005D59A7">
        <w:rPr>
          <w:rFonts w:ascii="T" w:hAnsi="T" w:cs="Simplified Arabic"/>
          <w:color w:val="auto"/>
          <w:sz w:val="24"/>
          <w:szCs w:val="24"/>
          <w:rtl/>
        </w:rPr>
        <w:t>نبذة عن الجهات المتخصصة</w:t>
      </w:r>
      <w:bookmarkEnd w:id="56"/>
    </w:p>
    <w:p w14:paraId="47F9CC5F" w14:textId="77777777" w:rsidR="00A40B26" w:rsidRPr="005D59A7" w:rsidRDefault="00601B8A" w:rsidP="0045581D">
      <w:pPr>
        <w:pStyle w:val="Heading4"/>
        <w:numPr>
          <w:ilvl w:val="0"/>
          <w:numId w:val="12"/>
        </w:numPr>
        <w:bidi/>
        <w:spacing w:line="360" w:lineRule="auto"/>
        <w:ind w:left="84"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وزارة البيئة والمياه والزراعة</w:t>
      </w:r>
      <w:r w:rsidR="008E342C" w:rsidRPr="005D59A7">
        <w:rPr>
          <w:rFonts w:ascii="T" w:hAnsi="T" w:cs="Simplified Arabic"/>
          <w:b w:val="0"/>
          <w:bCs w:val="0"/>
          <w:color w:val="auto"/>
          <w:sz w:val="24"/>
          <w:szCs w:val="24"/>
        </w:rPr>
        <w:t xml:space="preserve"> </w:t>
      </w:r>
      <w:r w:rsidR="008E342C" w:rsidRPr="005D59A7">
        <w:rPr>
          <w:rFonts w:ascii="T" w:hAnsi="T" w:cs="Simplified Arabic"/>
          <w:b w:val="0"/>
          <w:bCs w:val="0"/>
          <w:i w:val="0"/>
          <w:iCs w:val="0"/>
          <w:color w:val="auto"/>
          <w:sz w:val="24"/>
          <w:szCs w:val="24"/>
        </w:rPr>
        <w:t xml:space="preserve">  </w:t>
      </w:r>
      <w:r w:rsidR="00AE1FA7" w:rsidRPr="005D59A7">
        <w:rPr>
          <w:rFonts w:ascii="T" w:hAnsi="T" w:cs="Simplified Arabic"/>
          <w:b w:val="0"/>
          <w:bCs w:val="0"/>
          <w:i w:val="0"/>
          <w:iCs w:val="0"/>
          <w:color w:val="auto"/>
          <w:sz w:val="24"/>
          <w:szCs w:val="24"/>
        </w:rPr>
        <w:t xml:space="preserve">  </w:t>
      </w:r>
    </w:p>
    <w:p w14:paraId="55222683" w14:textId="77777777" w:rsidR="00601B8A" w:rsidRPr="005D59A7" w:rsidRDefault="00601B8A" w:rsidP="004D5CF5">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المهام الرئيسية تشمل: </w:t>
      </w:r>
    </w:p>
    <w:p w14:paraId="1A2C4CCE"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الإشراف على شئون البيئة والمياه والزراعة في المملكة وتطويرها نحو الأفضل</w:t>
      </w:r>
      <w:r w:rsidR="00D27F89" w:rsidRPr="005D59A7">
        <w:rPr>
          <w:rFonts w:ascii="T" w:hAnsi="T" w:cs="Simplified Arabic"/>
          <w:sz w:val="24"/>
          <w:szCs w:val="24"/>
          <w:rtl/>
        </w:rPr>
        <w:t>.</w:t>
      </w:r>
    </w:p>
    <w:p w14:paraId="308B2CD0" w14:textId="77777777" w:rsidR="00601B8A" w:rsidRPr="005D59A7" w:rsidRDefault="00601B8A" w:rsidP="0045581D">
      <w:pPr>
        <w:pStyle w:val="ListParagraph"/>
        <w:numPr>
          <w:ilvl w:val="0"/>
          <w:numId w:val="10"/>
        </w:numPr>
        <w:bidi/>
        <w:spacing w:line="360" w:lineRule="auto"/>
        <w:ind w:left="84" w:firstLine="720"/>
        <w:rPr>
          <w:rFonts w:ascii="T" w:hAnsi="T" w:cs="Simplified Arabic"/>
          <w:sz w:val="24"/>
          <w:szCs w:val="24"/>
        </w:rPr>
      </w:pPr>
      <w:r w:rsidRPr="005D59A7">
        <w:rPr>
          <w:rFonts w:ascii="T" w:hAnsi="T" w:cs="Simplified Arabic"/>
          <w:sz w:val="24"/>
          <w:szCs w:val="24"/>
          <w:rtl/>
        </w:rPr>
        <w:t>إرشاد المزارعين لأساليب الزراعة الحديثة</w:t>
      </w:r>
      <w:r w:rsidR="00D27F89" w:rsidRPr="005D59A7">
        <w:rPr>
          <w:rFonts w:ascii="T" w:hAnsi="T" w:cs="Simplified Arabic"/>
          <w:sz w:val="24"/>
          <w:szCs w:val="24"/>
          <w:rtl/>
        </w:rPr>
        <w:t>.</w:t>
      </w:r>
    </w:p>
    <w:p w14:paraId="66430752"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المحافظة على الغطاء النباتي من مراعي طبيعية أو مروية وغابات وتنميتها وتشجيره</w:t>
      </w:r>
      <w:r w:rsidR="00D27F89" w:rsidRPr="005D59A7">
        <w:rPr>
          <w:rFonts w:ascii="T" w:hAnsi="T" w:cs="Simplified Arabic"/>
          <w:sz w:val="24"/>
          <w:szCs w:val="24"/>
          <w:rtl/>
        </w:rPr>
        <w:t>.</w:t>
      </w:r>
    </w:p>
    <w:p w14:paraId="347CB3E0"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توفير مياه الري الصالحة للزراعة عن طريق الآبار والسدود والعقوم</w:t>
      </w:r>
      <w:r w:rsidR="00D27F89" w:rsidRPr="005D59A7">
        <w:rPr>
          <w:rFonts w:ascii="T" w:hAnsi="T" w:cs="Simplified Arabic"/>
          <w:sz w:val="24"/>
          <w:szCs w:val="24"/>
          <w:rtl/>
        </w:rPr>
        <w:t>.</w:t>
      </w:r>
    </w:p>
    <w:p w14:paraId="2F0D5F1C" w14:textId="77777777" w:rsidR="00601B8A" w:rsidRPr="005D59A7" w:rsidRDefault="00601B8A" w:rsidP="0045581D">
      <w:pPr>
        <w:pStyle w:val="ListParagraph"/>
        <w:numPr>
          <w:ilvl w:val="0"/>
          <w:numId w:val="10"/>
        </w:numPr>
        <w:bidi/>
        <w:spacing w:line="360" w:lineRule="auto"/>
        <w:ind w:left="84" w:firstLine="720"/>
        <w:rPr>
          <w:rFonts w:ascii="T" w:hAnsi="T" w:cs="Simplified Arabic"/>
          <w:sz w:val="24"/>
          <w:szCs w:val="24"/>
        </w:rPr>
      </w:pPr>
      <w:r w:rsidRPr="005D59A7">
        <w:rPr>
          <w:rFonts w:ascii="T" w:hAnsi="T" w:cs="Simplified Arabic"/>
          <w:sz w:val="24"/>
          <w:szCs w:val="24"/>
          <w:rtl/>
        </w:rPr>
        <w:t>زيادة إمكانية إنتاج الأغذية محلياً</w:t>
      </w:r>
      <w:r w:rsidR="00D27F89" w:rsidRPr="005D59A7">
        <w:rPr>
          <w:rFonts w:ascii="T" w:hAnsi="T" w:cs="Simplified Arabic"/>
          <w:sz w:val="24"/>
          <w:szCs w:val="24"/>
          <w:rtl/>
        </w:rPr>
        <w:t>.</w:t>
      </w:r>
    </w:p>
    <w:p w14:paraId="2F067AA2" w14:textId="77777777" w:rsidR="00601B8A" w:rsidRPr="005D59A7" w:rsidRDefault="00601B8A" w:rsidP="0045581D">
      <w:pPr>
        <w:pStyle w:val="ListParagraph"/>
        <w:numPr>
          <w:ilvl w:val="0"/>
          <w:numId w:val="10"/>
        </w:numPr>
        <w:bidi/>
        <w:spacing w:line="360" w:lineRule="auto"/>
        <w:ind w:left="84" w:firstLine="720"/>
        <w:rPr>
          <w:rFonts w:ascii="T" w:hAnsi="T" w:cs="Simplified Arabic"/>
          <w:sz w:val="24"/>
          <w:szCs w:val="24"/>
        </w:rPr>
      </w:pPr>
      <w:r w:rsidRPr="005D59A7">
        <w:rPr>
          <w:rFonts w:ascii="T" w:hAnsi="T" w:cs="Simplified Arabic"/>
          <w:sz w:val="24"/>
          <w:szCs w:val="24"/>
          <w:rtl/>
        </w:rPr>
        <w:t>تنمية موارد الأراضي والقوى العاملة الزراعية</w:t>
      </w:r>
      <w:r w:rsidR="00D27F89" w:rsidRPr="005D59A7">
        <w:rPr>
          <w:rFonts w:ascii="T" w:hAnsi="T" w:cs="Simplified Arabic"/>
          <w:sz w:val="24"/>
          <w:szCs w:val="24"/>
          <w:rtl/>
        </w:rPr>
        <w:t>.</w:t>
      </w:r>
    </w:p>
    <w:p w14:paraId="269B5AF1"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إجراء الأبحاث التطبيقية التي تستهدف إدخال الأساليب المتطورة في الحقل الزراعي والحيواني والسمكي</w:t>
      </w:r>
      <w:r w:rsidR="00D27F89" w:rsidRPr="005D59A7">
        <w:rPr>
          <w:rFonts w:ascii="T" w:hAnsi="T" w:cs="Simplified Arabic"/>
          <w:sz w:val="24"/>
          <w:szCs w:val="24"/>
          <w:rtl/>
        </w:rPr>
        <w:t>.</w:t>
      </w:r>
    </w:p>
    <w:p w14:paraId="30FC8AF8"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حماية واستثمار وتطوير الثروات المائية الحية (الصيد في البحار، الإستزراع السمكي) إجراء مسح استطلاعي لمناطق تجمعات الأسماك في البحار وكمياتها ونشر هذه المعلومات للمستفيدين والصيادين وتشجيع استخدام التقنية الحديثة لصيد الأسماك</w:t>
      </w:r>
      <w:r w:rsidR="00D27F89" w:rsidRPr="005D59A7">
        <w:rPr>
          <w:rFonts w:ascii="T" w:hAnsi="T" w:cs="Simplified Arabic"/>
          <w:sz w:val="24"/>
          <w:szCs w:val="24"/>
          <w:rtl/>
        </w:rPr>
        <w:t>.</w:t>
      </w:r>
    </w:p>
    <w:p w14:paraId="636C2781"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تقديم الإعانات المادية للمزارعين ومنح المعدات والقروض بالتنسيق مع صندوق التنمية الزراعية</w:t>
      </w:r>
      <w:r w:rsidR="00D27F89" w:rsidRPr="005D59A7">
        <w:rPr>
          <w:rFonts w:ascii="T" w:hAnsi="T" w:cs="Simplified Arabic"/>
          <w:sz w:val="24"/>
          <w:szCs w:val="24"/>
          <w:rtl/>
        </w:rPr>
        <w:t>.</w:t>
      </w:r>
    </w:p>
    <w:p w14:paraId="473470C8"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تهيئة الأراضي البور الصالحة للزراعة ومنحها للمواطنين لزراعتها</w:t>
      </w:r>
      <w:r w:rsidR="00D27F89" w:rsidRPr="005D59A7">
        <w:rPr>
          <w:rFonts w:ascii="T" w:hAnsi="T" w:cs="Simplified Arabic"/>
          <w:sz w:val="24"/>
          <w:szCs w:val="24"/>
          <w:rtl/>
        </w:rPr>
        <w:t>.</w:t>
      </w:r>
    </w:p>
    <w:p w14:paraId="41D7783B"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المحافظة على البيئة الزراعية البرية والبيئة المائية للثروة السمكية</w:t>
      </w:r>
      <w:r w:rsidR="00D27F89" w:rsidRPr="005D59A7">
        <w:rPr>
          <w:rFonts w:ascii="T" w:hAnsi="T" w:cs="Simplified Arabic"/>
          <w:sz w:val="24"/>
          <w:szCs w:val="24"/>
          <w:rtl/>
        </w:rPr>
        <w:t>.</w:t>
      </w:r>
    </w:p>
    <w:p w14:paraId="022C4588"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lastRenderedPageBreak/>
        <w:t>التشجيع على تصدير الفائض من الإنتاج الزراعي والحيواني والسمكي لخارج المملكة</w:t>
      </w:r>
      <w:r w:rsidR="00D27F89" w:rsidRPr="005D59A7">
        <w:rPr>
          <w:rFonts w:ascii="T" w:hAnsi="T" w:cs="Simplified Arabic"/>
          <w:sz w:val="24"/>
          <w:szCs w:val="24"/>
          <w:rtl/>
        </w:rPr>
        <w:t>.</w:t>
      </w:r>
    </w:p>
    <w:p w14:paraId="77741A91"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العمل على تنمية الزراعة والثروة الحيوانية والسمكية والصناعات المتعلقة بها</w:t>
      </w:r>
      <w:r w:rsidR="00D27F89" w:rsidRPr="005D59A7">
        <w:rPr>
          <w:rFonts w:ascii="T" w:hAnsi="T" w:cs="Simplified Arabic"/>
          <w:sz w:val="24"/>
          <w:szCs w:val="24"/>
          <w:rtl/>
        </w:rPr>
        <w:t>.</w:t>
      </w:r>
    </w:p>
    <w:p w14:paraId="3C2C144E"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تحقيق الاكتفاء الذاتي من المنتجات الغذائية والنباتية والحيوانية ومشتقاتها</w:t>
      </w:r>
    </w:p>
    <w:p w14:paraId="0213C6D6"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تصميم وتنفيذ مشروعات الري والصرف وتشغيلها وصيانتها وتوزيع مياه الري لتشجيع كفاءة استخدام هذه الموارد</w:t>
      </w:r>
      <w:r w:rsidR="00D27F89" w:rsidRPr="005D59A7">
        <w:rPr>
          <w:rFonts w:ascii="T" w:hAnsi="T" w:cs="Simplified Arabic"/>
          <w:sz w:val="24"/>
          <w:szCs w:val="24"/>
          <w:rtl/>
        </w:rPr>
        <w:t>.</w:t>
      </w:r>
    </w:p>
    <w:p w14:paraId="4BBFB2B1"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حماية الثروات الزراعية والحيوانية عن طريق تطبيق أنظمة الحجر الحيواني والنباتي على منافذ المملكة البرية والجوية والبحرية</w:t>
      </w:r>
      <w:r w:rsidR="00D27F89" w:rsidRPr="005D59A7">
        <w:rPr>
          <w:rFonts w:ascii="T" w:hAnsi="T" w:cs="Simplified Arabic"/>
          <w:sz w:val="24"/>
          <w:szCs w:val="24"/>
          <w:rtl/>
        </w:rPr>
        <w:t>.</w:t>
      </w:r>
    </w:p>
    <w:p w14:paraId="14371DED" w14:textId="77777777" w:rsidR="00D27F89" w:rsidRPr="005D59A7" w:rsidRDefault="00D27F89" w:rsidP="004D5CF5">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الرؤية: بيئة وموارد طبيعية مستدامة تحقق الأمن المائي، وتسهم في الأمن الغذائي، وتحسين جودة الحياة. </w:t>
      </w:r>
    </w:p>
    <w:p w14:paraId="2183CD9D" w14:textId="77777777" w:rsidR="00D27F89" w:rsidRPr="005D59A7" w:rsidRDefault="00D27F89" w:rsidP="004D5CF5">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الرسالة: السعي للتميز في تطوير وتطبيق السياسات الشاملة والاستراتيجيات الفعالة والارتقاء بالخدمات بمشاركة القطاع الخاص والجهات ذات العلاقة لازدهار واستدامة البيئة والمياه والزراعة. </w:t>
      </w:r>
    </w:p>
    <w:p w14:paraId="5873C292" w14:textId="77777777" w:rsidR="00D27F89" w:rsidRPr="005D59A7" w:rsidRDefault="00D27F89" w:rsidP="00861DC2">
      <w:pPr>
        <w:bidi/>
        <w:spacing w:line="360" w:lineRule="auto"/>
        <w:ind w:left="1440" w:firstLine="720"/>
        <w:rPr>
          <w:rFonts w:ascii="T" w:hAnsi="T" w:cs="Simplified Arabic"/>
          <w:sz w:val="24"/>
          <w:szCs w:val="24"/>
          <w:rtl/>
        </w:rPr>
      </w:pPr>
      <w:r w:rsidRPr="005D59A7">
        <w:rPr>
          <w:rFonts w:ascii="T" w:hAnsi="T" w:cs="Simplified Arabic"/>
          <w:noProof/>
          <w:sz w:val="24"/>
          <w:szCs w:val="24"/>
        </w:rPr>
        <w:drawing>
          <wp:inline distT="0" distB="0" distL="0" distR="0" wp14:anchorId="6EF310C3" wp14:editId="7DD706DE">
            <wp:extent cx="3590925" cy="3162300"/>
            <wp:effectExtent l="19050" t="0" r="9525" b="0"/>
            <wp:docPr id="2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3590925" cy="3162300"/>
                    </a:xfrm>
                    <a:prstGeom prst="rect">
                      <a:avLst/>
                    </a:prstGeom>
                    <a:noFill/>
                    <a:ln w="9525">
                      <a:noFill/>
                      <a:miter lim="800000"/>
                      <a:headEnd/>
                      <a:tailEnd/>
                    </a:ln>
                  </pic:spPr>
                </pic:pic>
              </a:graphicData>
            </a:graphic>
          </wp:inline>
        </w:drawing>
      </w:r>
    </w:p>
    <w:p w14:paraId="6BFC4044" w14:textId="02C9C497" w:rsidR="00D27F89" w:rsidRPr="005D59A7" w:rsidRDefault="00D27F89" w:rsidP="00861DC2">
      <w:pPr>
        <w:pStyle w:val="Caption"/>
        <w:bidi/>
        <w:spacing w:line="360" w:lineRule="auto"/>
        <w:ind w:firstLine="720"/>
        <w:jc w:val="center"/>
        <w:rPr>
          <w:rFonts w:ascii="T" w:hAnsi="T" w:cs="Simplified Arabic"/>
          <w:color w:val="auto"/>
          <w:sz w:val="24"/>
          <w:szCs w:val="24"/>
          <w:rtl/>
        </w:rPr>
      </w:pPr>
      <w:bookmarkStart w:id="57" w:name="_Toc225991167"/>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3</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الرؤية والرسالة (وزارة البيئة والمياه والزراعة، 2026)</w:t>
      </w:r>
      <w:bookmarkEnd w:id="57"/>
    </w:p>
    <w:p w14:paraId="4006ECE4" w14:textId="77777777" w:rsidR="002D33E8" w:rsidRDefault="002D33E8" w:rsidP="00861DC2">
      <w:pPr>
        <w:bidi/>
        <w:spacing w:line="360" w:lineRule="auto"/>
        <w:ind w:firstLine="720"/>
        <w:rPr>
          <w:rFonts w:ascii="T" w:hAnsi="T" w:cs="Simplified Arabic"/>
          <w:sz w:val="24"/>
          <w:szCs w:val="24"/>
        </w:rPr>
      </w:pPr>
    </w:p>
    <w:p w14:paraId="473A59C1" w14:textId="2310367C" w:rsidR="00D27F89" w:rsidRPr="005D59A7" w:rsidRDefault="00D27F89" w:rsidP="002D33E8">
      <w:pPr>
        <w:bidi/>
        <w:spacing w:line="360" w:lineRule="auto"/>
        <w:ind w:firstLine="720"/>
        <w:rPr>
          <w:rFonts w:ascii="T" w:hAnsi="T" w:cs="Simplified Arabic"/>
          <w:sz w:val="24"/>
          <w:szCs w:val="24"/>
          <w:rtl/>
        </w:rPr>
      </w:pPr>
      <w:r w:rsidRPr="005D59A7">
        <w:rPr>
          <w:rFonts w:ascii="T" w:hAnsi="T" w:cs="Simplified Arabic"/>
          <w:sz w:val="24"/>
          <w:szCs w:val="24"/>
          <w:rtl/>
        </w:rPr>
        <w:lastRenderedPageBreak/>
        <w:t xml:space="preserve">أهداف الوزارة: </w:t>
      </w:r>
    </w:p>
    <w:p w14:paraId="24920E11"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المحافظة على البيئة والموارد الطبيعية وتنميتها المستدامة</w:t>
      </w:r>
      <w:r w:rsidRPr="005D59A7">
        <w:rPr>
          <w:rFonts w:ascii="T" w:hAnsi="T" w:cs="Simplified Arabic"/>
          <w:sz w:val="24"/>
          <w:szCs w:val="24"/>
        </w:rPr>
        <w:t>.</w:t>
      </w:r>
    </w:p>
    <w:p w14:paraId="12326A8F"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المساهمة في تحقيق الأمن الغذائي المستدام</w:t>
      </w:r>
      <w:r w:rsidRPr="005D59A7">
        <w:rPr>
          <w:rFonts w:ascii="T" w:hAnsi="T" w:cs="Simplified Arabic"/>
          <w:sz w:val="24"/>
          <w:szCs w:val="24"/>
        </w:rPr>
        <w:t>.</w:t>
      </w:r>
    </w:p>
    <w:p w14:paraId="332EB542"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خدمات ومنتجات مستدامة ذات جودة عالية</w:t>
      </w:r>
      <w:r w:rsidRPr="005D59A7">
        <w:rPr>
          <w:rFonts w:ascii="T" w:hAnsi="T" w:cs="Simplified Arabic"/>
          <w:sz w:val="24"/>
          <w:szCs w:val="24"/>
        </w:rPr>
        <w:t>.</w:t>
      </w:r>
    </w:p>
    <w:p w14:paraId="21EC7F7E"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تحقيق الأمن المائي</w:t>
      </w:r>
      <w:r w:rsidRPr="005D59A7">
        <w:rPr>
          <w:rFonts w:ascii="T" w:hAnsi="T" w:cs="Simplified Arabic"/>
          <w:sz w:val="24"/>
          <w:szCs w:val="24"/>
        </w:rPr>
        <w:t>.</w:t>
      </w:r>
    </w:p>
    <w:p w14:paraId="08E3C870"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التنمية المستدامة للقطاعات ذات الميز النسبية</w:t>
      </w:r>
      <w:r w:rsidRPr="005D59A7">
        <w:rPr>
          <w:rFonts w:ascii="T" w:hAnsi="T" w:cs="Simplified Arabic"/>
          <w:sz w:val="24"/>
          <w:szCs w:val="24"/>
        </w:rPr>
        <w:t>.</w:t>
      </w:r>
    </w:p>
    <w:p w14:paraId="258D24FD"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تفعيل مشاركة القطاع الخاص ودور الجمعيات والمؤسسات غير الربحية.</w:t>
      </w:r>
    </w:p>
    <w:p w14:paraId="32D0CF82" w14:textId="77777777" w:rsidR="00D27F89" w:rsidRPr="005D59A7" w:rsidRDefault="00D27F89" w:rsidP="008239B0">
      <w:pPr>
        <w:pStyle w:val="ListParagraph"/>
        <w:bidi/>
        <w:spacing w:line="360" w:lineRule="auto"/>
        <w:ind w:left="84" w:firstLine="720"/>
        <w:rPr>
          <w:rFonts w:ascii="T" w:hAnsi="T" w:cs="Simplified Arabic"/>
          <w:sz w:val="24"/>
          <w:szCs w:val="24"/>
          <w:rtl/>
        </w:rPr>
      </w:pPr>
      <w:r w:rsidRPr="005D59A7">
        <w:rPr>
          <w:rFonts w:ascii="T" w:hAnsi="T" w:cs="Simplified Arabic"/>
          <w:noProof/>
          <w:sz w:val="24"/>
          <w:szCs w:val="24"/>
        </w:rPr>
        <w:drawing>
          <wp:inline distT="0" distB="0" distL="0" distR="0" wp14:anchorId="3D2F6092" wp14:editId="51E82DEB">
            <wp:extent cx="3902075" cy="2250831"/>
            <wp:effectExtent l="0" t="0" r="0" b="0"/>
            <wp:docPr id="3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3909073" cy="2254868"/>
                    </a:xfrm>
                    <a:prstGeom prst="rect">
                      <a:avLst/>
                    </a:prstGeom>
                    <a:noFill/>
                    <a:ln w="9525">
                      <a:noFill/>
                      <a:miter lim="800000"/>
                      <a:headEnd/>
                      <a:tailEnd/>
                    </a:ln>
                  </pic:spPr>
                </pic:pic>
              </a:graphicData>
            </a:graphic>
          </wp:inline>
        </w:drawing>
      </w:r>
    </w:p>
    <w:p w14:paraId="0FB580A7" w14:textId="785BEE12" w:rsidR="00D27F89" w:rsidRPr="005D59A7" w:rsidRDefault="00D27F89" w:rsidP="00861DC2">
      <w:pPr>
        <w:pStyle w:val="Caption"/>
        <w:bidi/>
        <w:spacing w:line="360" w:lineRule="auto"/>
        <w:ind w:firstLine="720"/>
        <w:jc w:val="center"/>
        <w:rPr>
          <w:rFonts w:ascii="T" w:hAnsi="T" w:cs="Simplified Arabic"/>
          <w:color w:val="auto"/>
          <w:sz w:val="24"/>
          <w:szCs w:val="24"/>
          <w:rtl/>
        </w:rPr>
      </w:pPr>
      <w:r w:rsidRPr="005D59A7">
        <w:rPr>
          <w:rFonts w:ascii="T" w:hAnsi="T" w:cs="Simplified Arabic"/>
          <w:color w:val="auto"/>
          <w:sz w:val="24"/>
          <w:szCs w:val="24"/>
          <w:rtl/>
        </w:rPr>
        <w:t xml:space="preserve">                      </w:t>
      </w:r>
      <w:bookmarkStart w:id="58" w:name="_Toc225991168"/>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4</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أهداف الوزارة (وزارة البيئة والمياه والزراعة، 2026)</w:t>
      </w:r>
      <w:bookmarkEnd w:id="58"/>
    </w:p>
    <w:p w14:paraId="6544FC0B" w14:textId="1D67D658" w:rsidR="00D27F89" w:rsidRPr="005D59A7" w:rsidRDefault="0050288C" w:rsidP="00861DC2">
      <w:pPr>
        <w:bidi/>
        <w:spacing w:line="360" w:lineRule="auto"/>
        <w:ind w:firstLine="720"/>
        <w:rPr>
          <w:rFonts w:ascii="T" w:hAnsi="T" w:cs="Simplified Arabic"/>
          <w:sz w:val="24"/>
          <w:szCs w:val="24"/>
          <w:rtl/>
        </w:rPr>
      </w:pPr>
      <w:r w:rsidRPr="005D59A7">
        <w:rPr>
          <w:rFonts w:ascii="T" w:hAnsi="T" w:cs="Simplified Arabic"/>
          <w:sz w:val="24"/>
          <w:szCs w:val="24"/>
          <w:rtl/>
        </w:rPr>
        <w:t xml:space="preserve">وكالات الوزارة: </w:t>
      </w:r>
    </w:p>
    <w:p w14:paraId="228627DC"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البيئة.</w:t>
      </w:r>
    </w:p>
    <w:p w14:paraId="0FB3F20D"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المياه.</w:t>
      </w:r>
    </w:p>
    <w:p w14:paraId="05598902"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الزراعة.</w:t>
      </w:r>
    </w:p>
    <w:p w14:paraId="56E9D29D"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وكالة الأراضي والمعلومات الجيو مكانية. </w:t>
      </w:r>
    </w:p>
    <w:p w14:paraId="6341B669"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وكالة تقنية المعلومات والتحول الرقمي. </w:t>
      </w:r>
    </w:p>
    <w:p w14:paraId="6AFFD121"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البحث والابتكار.</w:t>
      </w:r>
    </w:p>
    <w:p w14:paraId="7306C9E8"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التخطيط والتميز المؤسسي.</w:t>
      </w:r>
    </w:p>
    <w:p w14:paraId="667CD146"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 xml:space="preserve">وكالة الخدمات المشتركة. </w:t>
      </w:r>
    </w:p>
    <w:p w14:paraId="5D755E58"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الشؤون الاقتصادية والتخطيط.</w:t>
      </w:r>
    </w:p>
    <w:p w14:paraId="7AB12FBB"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الوزارة لخدمات المستفيدين وشؤون الفروع.</w:t>
      </w:r>
    </w:p>
    <w:p w14:paraId="7A8109FF"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مهام وكالة البيئة: </w:t>
      </w:r>
    </w:p>
    <w:p w14:paraId="43697F96"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الإشراف على حماية البيئة والتنوع الأحيائي والحفاظ عليهما وتنميتهما. </w:t>
      </w:r>
    </w:p>
    <w:p w14:paraId="41507263"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الإشراف على الاتفاقيات الدولية ومتابعة تنفيذ الاستراتيجيات والمبادرات في قطاع البيئة وتعزيز قدرات التكيف المناخي. </w:t>
      </w:r>
    </w:p>
    <w:p w14:paraId="46411216"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إجراء الدراسات الإستراتيجية وإعداد مشاريع الأنظمة والتشريعات واللوائح التنفيذية لمجالات البيئة والأرصاد ومراجعتها بشكل دوري</w:t>
      </w:r>
      <w:r w:rsidRPr="005D59A7">
        <w:rPr>
          <w:rFonts w:ascii="T" w:hAnsi="T" w:cs="Simplified Arabic"/>
          <w:sz w:val="24"/>
          <w:szCs w:val="24"/>
        </w:rPr>
        <w:t>.</w:t>
      </w:r>
    </w:p>
    <w:p w14:paraId="495FB2D4"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رفع مستوى الوعي البيئي وتنمية ثقافة المحافظة على البيئة</w:t>
      </w:r>
      <w:r w:rsidRPr="005D59A7">
        <w:rPr>
          <w:rFonts w:ascii="T" w:hAnsi="T" w:cs="Simplified Arabic"/>
          <w:sz w:val="24"/>
          <w:szCs w:val="24"/>
        </w:rPr>
        <w:t>.</w:t>
      </w:r>
    </w:p>
    <w:p w14:paraId="775C4AE0"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تعزيز قدرات التأهب والاستجابة للطوارئ البيئية</w:t>
      </w:r>
      <w:r w:rsidRPr="005D59A7">
        <w:rPr>
          <w:rFonts w:ascii="T" w:hAnsi="T" w:cs="Simplified Arabic"/>
          <w:sz w:val="24"/>
          <w:szCs w:val="24"/>
        </w:rPr>
        <w:t>.</w:t>
      </w:r>
    </w:p>
    <w:p w14:paraId="2AB167BE"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الإشراف على آليات التنسيق بين الوزارة والمراكز البيئية لضمان التكامل بين مكونات الإطار المؤسسي لقطاع البيئة</w:t>
      </w:r>
      <w:r w:rsidRPr="005D59A7">
        <w:rPr>
          <w:rFonts w:ascii="T" w:hAnsi="T" w:cs="Simplified Arabic"/>
          <w:sz w:val="24"/>
          <w:szCs w:val="24"/>
        </w:rPr>
        <w:t>.</w:t>
      </w:r>
    </w:p>
    <w:p w14:paraId="72E59AF1"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الجهات التابعة للوزارة: </w:t>
      </w:r>
    </w:p>
    <w:tbl>
      <w:tblPr>
        <w:tblStyle w:val="TableGrid"/>
        <w:bidiVisual/>
        <w:tblW w:w="0" w:type="auto"/>
        <w:tblInd w:w="720" w:type="dxa"/>
        <w:tblLook w:val="04A0" w:firstRow="1" w:lastRow="0" w:firstColumn="1" w:lastColumn="0" w:noHBand="0" w:noVBand="1"/>
      </w:tblPr>
      <w:tblGrid>
        <w:gridCol w:w="4476"/>
        <w:gridCol w:w="3100"/>
      </w:tblGrid>
      <w:tr w:rsidR="0048002A" w:rsidRPr="005D59A7" w14:paraId="693B9A80" w14:textId="77777777" w:rsidTr="008E342C">
        <w:tc>
          <w:tcPr>
            <w:tcW w:w="4261" w:type="dxa"/>
            <w:vAlign w:val="center"/>
          </w:tcPr>
          <w:p w14:paraId="6D761538" w14:textId="77777777" w:rsidR="00FF1690" w:rsidRPr="005D59A7" w:rsidRDefault="00FF1690" w:rsidP="00A40353">
            <w:pPr>
              <w:bidi/>
              <w:spacing w:after="0" w:line="360" w:lineRule="auto"/>
              <w:ind w:firstLine="720"/>
              <w:jc w:val="center"/>
              <w:rPr>
                <w:rFonts w:ascii="T" w:hAnsi="T" w:cs="Simplified Arabic"/>
                <w:noProof/>
                <w:sz w:val="24"/>
                <w:szCs w:val="24"/>
              </w:rPr>
            </w:pPr>
            <w:r w:rsidRPr="005D59A7">
              <w:rPr>
                <w:rFonts w:ascii="T" w:hAnsi="T" w:cs="Simplified Arabic"/>
                <w:noProof/>
                <w:sz w:val="24"/>
                <w:szCs w:val="24"/>
                <w:rtl/>
              </w:rPr>
              <w:t>الشعار</w:t>
            </w:r>
          </w:p>
        </w:tc>
        <w:tc>
          <w:tcPr>
            <w:tcW w:w="4261" w:type="dxa"/>
            <w:vAlign w:val="center"/>
          </w:tcPr>
          <w:p w14:paraId="66190758" w14:textId="77777777" w:rsidR="00FF1690" w:rsidRPr="005D59A7" w:rsidRDefault="00FF1690"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الاسم</w:t>
            </w:r>
          </w:p>
        </w:tc>
      </w:tr>
      <w:tr w:rsidR="0048002A" w:rsidRPr="005D59A7" w14:paraId="45DDAB0E" w14:textId="77777777" w:rsidTr="008E342C">
        <w:tc>
          <w:tcPr>
            <w:tcW w:w="4261" w:type="dxa"/>
            <w:vAlign w:val="center"/>
          </w:tcPr>
          <w:p w14:paraId="2EA3110B"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3F6C9E96" wp14:editId="450CC246">
                  <wp:extent cx="1943100" cy="1400175"/>
                  <wp:effectExtent l="19050" t="0" r="0" b="0"/>
                  <wp:docPr id="34"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1943100" cy="1400175"/>
                          </a:xfrm>
                          <a:prstGeom prst="rect">
                            <a:avLst/>
                          </a:prstGeom>
                          <a:noFill/>
                          <a:ln w="9525">
                            <a:noFill/>
                            <a:miter lim="800000"/>
                            <a:headEnd/>
                            <a:tailEnd/>
                          </a:ln>
                        </pic:spPr>
                      </pic:pic>
                    </a:graphicData>
                  </a:graphic>
                </wp:inline>
              </w:drawing>
            </w:r>
          </w:p>
        </w:tc>
        <w:tc>
          <w:tcPr>
            <w:tcW w:w="4261" w:type="dxa"/>
            <w:vAlign w:val="center"/>
          </w:tcPr>
          <w:p w14:paraId="40D1A618"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المركز الوطني لكفاءة وترشيد المياه</w:t>
            </w:r>
          </w:p>
        </w:tc>
      </w:tr>
      <w:tr w:rsidR="0048002A" w:rsidRPr="005D59A7" w14:paraId="2940CC33" w14:textId="77777777" w:rsidTr="008E342C">
        <w:tc>
          <w:tcPr>
            <w:tcW w:w="4261" w:type="dxa"/>
            <w:vAlign w:val="center"/>
          </w:tcPr>
          <w:p w14:paraId="63F804BC"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1585D2D8" wp14:editId="49F67306">
                  <wp:extent cx="1724025" cy="1343025"/>
                  <wp:effectExtent l="19050" t="0" r="9525" b="0"/>
                  <wp:docPr id="37"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rcRect/>
                          <a:stretch>
                            <a:fillRect/>
                          </a:stretch>
                        </pic:blipFill>
                        <pic:spPr bwMode="auto">
                          <a:xfrm>
                            <a:off x="0" y="0"/>
                            <a:ext cx="1724025" cy="1343025"/>
                          </a:xfrm>
                          <a:prstGeom prst="rect">
                            <a:avLst/>
                          </a:prstGeom>
                          <a:noFill/>
                          <a:ln w="9525">
                            <a:noFill/>
                            <a:miter lim="800000"/>
                            <a:headEnd/>
                            <a:tailEnd/>
                          </a:ln>
                        </pic:spPr>
                      </pic:pic>
                    </a:graphicData>
                  </a:graphic>
                </wp:inline>
              </w:drawing>
            </w:r>
          </w:p>
        </w:tc>
        <w:tc>
          <w:tcPr>
            <w:tcW w:w="4261" w:type="dxa"/>
            <w:vAlign w:val="center"/>
          </w:tcPr>
          <w:p w14:paraId="3CDA9988"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سالك</w:t>
            </w:r>
          </w:p>
        </w:tc>
      </w:tr>
      <w:tr w:rsidR="0048002A" w:rsidRPr="005D59A7" w14:paraId="2CF699E2" w14:textId="77777777" w:rsidTr="008E342C">
        <w:tc>
          <w:tcPr>
            <w:tcW w:w="4261" w:type="dxa"/>
            <w:vAlign w:val="center"/>
          </w:tcPr>
          <w:p w14:paraId="35E6998B"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lastRenderedPageBreak/>
              <w:drawing>
                <wp:inline distT="0" distB="0" distL="0" distR="0" wp14:anchorId="0EA77CC2" wp14:editId="4A69CE35">
                  <wp:extent cx="1576834" cy="1219200"/>
                  <wp:effectExtent l="19050" t="0" r="4316" b="0"/>
                  <wp:docPr id="39"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srcRect/>
                          <a:stretch>
                            <a:fillRect/>
                          </a:stretch>
                        </pic:blipFill>
                        <pic:spPr bwMode="auto">
                          <a:xfrm>
                            <a:off x="0" y="0"/>
                            <a:ext cx="1581150" cy="1222537"/>
                          </a:xfrm>
                          <a:prstGeom prst="rect">
                            <a:avLst/>
                          </a:prstGeom>
                          <a:noFill/>
                          <a:ln w="9525">
                            <a:noFill/>
                            <a:miter lim="800000"/>
                            <a:headEnd/>
                            <a:tailEnd/>
                          </a:ln>
                        </pic:spPr>
                      </pic:pic>
                    </a:graphicData>
                  </a:graphic>
                </wp:inline>
              </w:drawing>
            </w:r>
          </w:p>
        </w:tc>
        <w:tc>
          <w:tcPr>
            <w:tcW w:w="4261" w:type="dxa"/>
            <w:vAlign w:val="center"/>
          </w:tcPr>
          <w:p w14:paraId="6A9D3B3E"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المركز الوطني للرقابة على الالتزام البيئي</w:t>
            </w:r>
          </w:p>
        </w:tc>
      </w:tr>
      <w:tr w:rsidR="0048002A" w:rsidRPr="005D59A7" w14:paraId="4AB5060F" w14:textId="77777777" w:rsidTr="008E342C">
        <w:tc>
          <w:tcPr>
            <w:tcW w:w="4261" w:type="dxa"/>
            <w:vAlign w:val="center"/>
          </w:tcPr>
          <w:p w14:paraId="0B7A3D36"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581895C7" wp14:editId="4236DAEB">
                  <wp:extent cx="2228850" cy="1600200"/>
                  <wp:effectExtent l="19050" t="0" r="0" b="0"/>
                  <wp:docPr id="42"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srcRect/>
                          <a:stretch>
                            <a:fillRect/>
                          </a:stretch>
                        </pic:blipFill>
                        <pic:spPr bwMode="auto">
                          <a:xfrm>
                            <a:off x="0" y="0"/>
                            <a:ext cx="2228850" cy="1600200"/>
                          </a:xfrm>
                          <a:prstGeom prst="rect">
                            <a:avLst/>
                          </a:prstGeom>
                          <a:noFill/>
                          <a:ln w="9525">
                            <a:noFill/>
                            <a:miter lim="800000"/>
                            <a:headEnd/>
                            <a:tailEnd/>
                          </a:ln>
                        </pic:spPr>
                      </pic:pic>
                    </a:graphicData>
                  </a:graphic>
                </wp:inline>
              </w:drawing>
            </w:r>
          </w:p>
        </w:tc>
        <w:tc>
          <w:tcPr>
            <w:tcW w:w="4261" w:type="dxa"/>
            <w:vAlign w:val="center"/>
          </w:tcPr>
          <w:p w14:paraId="6B8AE661"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مركز الملك عبد العزيز للخيل العربية الأصيلة</w:t>
            </w:r>
          </w:p>
        </w:tc>
      </w:tr>
      <w:tr w:rsidR="0048002A" w:rsidRPr="005D59A7" w14:paraId="5547B3A8" w14:textId="77777777" w:rsidTr="008E342C">
        <w:tc>
          <w:tcPr>
            <w:tcW w:w="4261" w:type="dxa"/>
            <w:vAlign w:val="center"/>
          </w:tcPr>
          <w:p w14:paraId="1DB639CE"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4D794B3A" wp14:editId="4147D274">
                  <wp:extent cx="1409700" cy="1306163"/>
                  <wp:effectExtent l="19050" t="0" r="0" b="0"/>
                  <wp:docPr id="44"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srcRect/>
                          <a:stretch>
                            <a:fillRect/>
                          </a:stretch>
                        </pic:blipFill>
                        <pic:spPr bwMode="auto">
                          <a:xfrm>
                            <a:off x="0" y="0"/>
                            <a:ext cx="1409700" cy="1306163"/>
                          </a:xfrm>
                          <a:prstGeom prst="rect">
                            <a:avLst/>
                          </a:prstGeom>
                          <a:noFill/>
                          <a:ln w="9525">
                            <a:noFill/>
                            <a:miter lim="800000"/>
                            <a:headEnd/>
                            <a:tailEnd/>
                          </a:ln>
                        </pic:spPr>
                      </pic:pic>
                    </a:graphicData>
                  </a:graphic>
                </wp:inline>
              </w:drawing>
            </w:r>
          </w:p>
        </w:tc>
        <w:tc>
          <w:tcPr>
            <w:tcW w:w="4261" w:type="dxa"/>
            <w:vAlign w:val="center"/>
          </w:tcPr>
          <w:p w14:paraId="72D44AD5"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المركز الوطني لتنمية الحياة الفطرية</w:t>
            </w:r>
          </w:p>
        </w:tc>
      </w:tr>
      <w:tr w:rsidR="0048002A" w:rsidRPr="005D59A7" w14:paraId="0021AB3F" w14:textId="77777777" w:rsidTr="008E342C">
        <w:tc>
          <w:tcPr>
            <w:tcW w:w="4261" w:type="dxa"/>
            <w:vAlign w:val="center"/>
          </w:tcPr>
          <w:p w14:paraId="3AC40BA0"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7B617292" wp14:editId="64754159">
                  <wp:extent cx="1514475" cy="1363028"/>
                  <wp:effectExtent l="19050" t="0" r="9525" b="0"/>
                  <wp:docPr id="47"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srcRect/>
                          <a:stretch>
                            <a:fillRect/>
                          </a:stretch>
                        </pic:blipFill>
                        <pic:spPr bwMode="auto">
                          <a:xfrm>
                            <a:off x="0" y="0"/>
                            <a:ext cx="1514475" cy="1363028"/>
                          </a:xfrm>
                          <a:prstGeom prst="rect">
                            <a:avLst/>
                          </a:prstGeom>
                          <a:noFill/>
                          <a:ln w="9525">
                            <a:noFill/>
                            <a:miter lim="800000"/>
                            <a:headEnd/>
                            <a:tailEnd/>
                          </a:ln>
                        </pic:spPr>
                      </pic:pic>
                    </a:graphicData>
                  </a:graphic>
                </wp:inline>
              </w:drawing>
            </w:r>
          </w:p>
        </w:tc>
        <w:tc>
          <w:tcPr>
            <w:tcW w:w="4261" w:type="dxa"/>
            <w:vAlign w:val="center"/>
          </w:tcPr>
          <w:p w14:paraId="0DFEB991"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الشركة السعودية لشراكات المياه</w:t>
            </w:r>
          </w:p>
        </w:tc>
      </w:tr>
      <w:tr w:rsidR="0048002A" w:rsidRPr="005D59A7" w14:paraId="4FA2C7A5" w14:textId="77777777" w:rsidTr="008E342C">
        <w:tc>
          <w:tcPr>
            <w:tcW w:w="4261" w:type="dxa"/>
            <w:vAlign w:val="center"/>
          </w:tcPr>
          <w:p w14:paraId="26B352E0"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0158EC58" wp14:editId="4B6FACDB">
                  <wp:extent cx="1409700" cy="1316165"/>
                  <wp:effectExtent l="19050" t="0" r="0" b="0"/>
                  <wp:docPr id="50"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srcRect/>
                          <a:stretch>
                            <a:fillRect/>
                          </a:stretch>
                        </pic:blipFill>
                        <pic:spPr bwMode="auto">
                          <a:xfrm>
                            <a:off x="0" y="0"/>
                            <a:ext cx="1409700" cy="1316165"/>
                          </a:xfrm>
                          <a:prstGeom prst="rect">
                            <a:avLst/>
                          </a:prstGeom>
                          <a:noFill/>
                          <a:ln w="9525">
                            <a:noFill/>
                            <a:miter lim="800000"/>
                            <a:headEnd/>
                            <a:tailEnd/>
                          </a:ln>
                        </pic:spPr>
                      </pic:pic>
                    </a:graphicData>
                  </a:graphic>
                </wp:inline>
              </w:drawing>
            </w:r>
          </w:p>
        </w:tc>
        <w:tc>
          <w:tcPr>
            <w:tcW w:w="4261" w:type="dxa"/>
            <w:vAlign w:val="center"/>
          </w:tcPr>
          <w:p w14:paraId="487F1DB0"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الهيئة العامة للأمن الغذائي</w:t>
            </w:r>
          </w:p>
        </w:tc>
      </w:tr>
      <w:tr w:rsidR="0048002A" w:rsidRPr="005D59A7" w14:paraId="40EBDEAB" w14:textId="77777777" w:rsidTr="008E342C">
        <w:tc>
          <w:tcPr>
            <w:tcW w:w="4261" w:type="dxa"/>
            <w:vAlign w:val="center"/>
          </w:tcPr>
          <w:p w14:paraId="32D1F58F"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164732F1" wp14:editId="4479FD46">
                  <wp:extent cx="1272565" cy="1247775"/>
                  <wp:effectExtent l="19050" t="0" r="3785" b="0"/>
                  <wp:docPr id="52"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srcRect/>
                          <a:stretch>
                            <a:fillRect/>
                          </a:stretch>
                        </pic:blipFill>
                        <pic:spPr bwMode="auto">
                          <a:xfrm>
                            <a:off x="0" y="0"/>
                            <a:ext cx="1277099" cy="1252221"/>
                          </a:xfrm>
                          <a:prstGeom prst="rect">
                            <a:avLst/>
                          </a:prstGeom>
                          <a:noFill/>
                          <a:ln w="9525">
                            <a:noFill/>
                            <a:miter lim="800000"/>
                            <a:headEnd/>
                            <a:tailEnd/>
                          </a:ln>
                        </pic:spPr>
                      </pic:pic>
                    </a:graphicData>
                  </a:graphic>
                </wp:inline>
              </w:drawing>
            </w:r>
          </w:p>
        </w:tc>
        <w:tc>
          <w:tcPr>
            <w:tcW w:w="4261" w:type="dxa"/>
            <w:vAlign w:val="center"/>
          </w:tcPr>
          <w:p w14:paraId="3BC64903"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المؤسسة العامة لتحلية المياه المالحة</w:t>
            </w:r>
          </w:p>
        </w:tc>
      </w:tr>
      <w:tr w:rsidR="0048002A" w:rsidRPr="005D59A7" w14:paraId="36A187B8" w14:textId="77777777" w:rsidTr="008E342C">
        <w:tc>
          <w:tcPr>
            <w:tcW w:w="4261" w:type="dxa"/>
            <w:vAlign w:val="center"/>
          </w:tcPr>
          <w:p w14:paraId="33CA1326" w14:textId="77777777" w:rsidR="008E342C" w:rsidRPr="005D59A7" w:rsidRDefault="008E342C" w:rsidP="00A40353">
            <w:pPr>
              <w:bidi/>
              <w:spacing w:after="0" w:line="360" w:lineRule="auto"/>
              <w:ind w:firstLine="720"/>
              <w:jc w:val="center"/>
              <w:rPr>
                <w:rFonts w:ascii="T" w:hAnsi="T" w:cs="Simplified Arabic"/>
                <w:noProof/>
                <w:sz w:val="24"/>
                <w:szCs w:val="24"/>
              </w:rPr>
            </w:pPr>
            <w:r w:rsidRPr="005D59A7">
              <w:rPr>
                <w:rFonts w:ascii="T" w:hAnsi="T" w:cs="Simplified Arabic"/>
                <w:noProof/>
                <w:sz w:val="24"/>
                <w:szCs w:val="24"/>
              </w:rPr>
              <w:lastRenderedPageBreak/>
              <w:drawing>
                <wp:inline distT="0" distB="0" distL="0" distR="0" wp14:anchorId="16F64956" wp14:editId="01683918">
                  <wp:extent cx="1374140" cy="1304563"/>
                  <wp:effectExtent l="19050" t="0" r="0" b="0"/>
                  <wp:docPr id="53"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srcRect/>
                          <a:stretch>
                            <a:fillRect/>
                          </a:stretch>
                        </pic:blipFill>
                        <pic:spPr bwMode="auto">
                          <a:xfrm>
                            <a:off x="0" y="0"/>
                            <a:ext cx="1374140" cy="1304563"/>
                          </a:xfrm>
                          <a:prstGeom prst="rect">
                            <a:avLst/>
                          </a:prstGeom>
                          <a:noFill/>
                          <a:ln w="9525">
                            <a:noFill/>
                            <a:miter lim="800000"/>
                            <a:headEnd/>
                            <a:tailEnd/>
                          </a:ln>
                        </pic:spPr>
                      </pic:pic>
                    </a:graphicData>
                  </a:graphic>
                </wp:inline>
              </w:drawing>
            </w:r>
          </w:p>
        </w:tc>
        <w:tc>
          <w:tcPr>
            <w:tcW w:w="4261" w:type="dxa"/>
            <w:vAlign w:val="center"/>
          </w:tcPr>
          <w:p w14:paraId="6A4D6827"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شركة المياه الوطنية</w:t>
            </w:r>
          </w:p>
        </w:tc>
      </w:tr>
      <w:tr w:rsidR="0048002A" w:rsidRPr="005D59A7" w14:paraId="11D982C0" w14:textId="77777777" w:rsidTr="008E342C">
        <w:tc>
          <w:tcPr>
            <w:tcW w:w="4261" w:type="dxa"/>
            <w:vAlign w:val="center"/>
          </w:tcPr>
          <w:p w14:paraId="6DE078BB" w14:textId="77777777" w:rsidR="008E342C" w:rsidRPr="005D59A7" w:rsidRDefault="008E342C" w:rsidP="00A40353">
            <w:pPr>
              <w:bidi/>
              <w:spacing w:after="0" w:line="360" w:lineRule="auto"/>
              <w:ind w:firstLine="720"/>
              <w:jc w:val="center"/>
              <w:rPr>
                <w:rFonts w:ascii="T" w:hAnsi="T" w:cs="Simplified Arabic"/>
                <w:noProof/>
                <w:sz w:val="24"/>
                <w:szCs w:val="24"/>
              </w:rPr>
            </w:pPr>
            <w:r w:rsidRPr="005D59A7">
              <w:rPr>
                <w:rFonts w:ascii="T" w:hAnsi="T" w:cs="Simplified Arabic"/>
                <w:noProof/>
                <w:sz w:val="24"/>
                <w:szCs w:val="24"/>
              </w:rPr>
              <w:drawing>
                <wp:inline distT="0" distB="0" distL="0" distR="0" wp14:anchorId="166300D3" wp14:editId="6F234D7B">
                  <wp:extent cx="1276350" cy="1293368"/>
                  <wp:effectExtent l="19050" t="0" r="0" b="0"/>
                  <wp:docPr id="54"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a:srcRect/>
                          <a:stretch>
                            <a:fillRect/>
                          </a:stretch>
                        </pic:blipFill>
                        <pic:spPr bwMode="auto">
                          <a:xfrm>
                            <a:off x="0" y="0"/>
                            <a:ext cx="1276350" cy="1293368"/>
                          </a:xfrm>
                          <a:prstGeom prst="rect">
                            <a:avLst/>
                          </a:prstGeom>
                          <a:noFill/>
                          <a:ln w="9525">
                            <a:noFill/>
                            <a:miter lim="800000"/>
                            <a:headEnd/>
                            <a:tailEnd/>
                          </a:ln>
                        </pic:spPr>
                      </pic:pic>
                    </a:graphicData>
                  </a:graphic>
                </wp:inline>
              </w:drawing>
            </w:r>
          </w:p>
        </w:tc>
        <w:tc>
          <w:tcPr>
            <w:tcW w:w="4261" w:type="dxa"/>
            <w:vAlign w:val="center"/>
          </w:tcPr>
          <w:p w14:paraId="5784846F"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المؤسسة العامة للري</w:t>
            </w:r>
          </w:p>
        </w:tc>
      </w:tr>
      <w:tr w:rsidR="0048002A" w:rsidRPr="005D59A7" w14:paraId="2B98EEB5" w14:textId="77777777" w:rsidTr="008E342C">
        <w:tc>
          <w:tcPr>
            <w:tcW w:w="4261" w:type="dxa"/>
            <w:vAlign w:val="center"/>
          </w:tcPr>
          <w:p w14:paraId="6079ACDB" w14:textId="77777777" w:rsidR="008E342C" w:rsidRPr="005D59A7" w:rsidRDefault="008E342C" w:rsidP="00A40353">
            <w:pPr>
              <w:bidi/>
              <w:spacing w:after="0" w:line="360" w:lineRule="auto"/>
              <w:ind w:firstLine="720"/>
              <w:jc w:val="center"/>
              <w:rPr>
                <w:rFonts w:ascii="T" w:hAnsi="T" w:cs="Simplified Arabic"/>
                <w:noProof/>
                <w:sz w:val="24"/>
                <w:szCs w:val="24"/>
              </w:rPr>
            </w:pPr>
            <w:r w:rsidRPr="005D59A7">
              <w:rPr>
                <w:rFonts w:ascii="T" w:hAnsi="T" w:cs="Simplified Arabic"/>
                <w:noProof/>
                <w:sz w:val="24"/>
                <w:szCs w:val="24"/>
              </w:rPr>
              <w:drawing>
                <wp:inline distT="0" distB="0" distL="0" distR="0" wp14:anchorId="3860612E" wp14:editId="647CFCBF">
                  <wp:extent cx="1249821" cy="1266825"/>
                  <wp:effectExtent l="19050" t="0" r="7479" b="0"/>
                  <wp:docPr id="55"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5"/>
                          <a:srcRect/>
                          <a:stretch>
                            <a:fillRect/>
                          </a:stretch>
                        </pic:blipFill>
                        <pic:spPr bwMode="auto">
                          <a:xfrm>
                            <a:off x="0" y="0"/>
                            <a:ext cx="1249821" cy="1266825"/>
                          </a:xfrm>
                          <a:prstGeom prst="rect">
                            <a:avLst/>
                          </a:prstGeom>
                          <a:noFill/>
                          <a:ln w="9525">
                            <a:noFill/>
                            <a:miter lim="800000"/>
                            <a:headEnd/>
                            <a:tailEnd/>
                          </a:ln>
                        </pic:spPr>
                      </pic:pic>
                    </a:graphicData>
                  </a:graphic>
                </wp:inline>
              </w:drawing>
            </w:r>
          </w:p>
        </w:tc>
        <w:tc>
          <w:tcPr>
            <w:tcW w:w="4261" w:type="dxa"/>
            <w:vAlign w:val="center"/>
          </w:tcPr>
          <w:p w14:paraId="36E934BC"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صندوق التنمية الزراعية</w:t>
            </w:r>
          </w:p>
        </w:tc>
      </w:tr>
    </w:tbl>
    <w:p w14:paraId="250A6A80" w14:textId="07D8124D" w:rsidR="0050288C" w:rsidRPr="005D59A7" w:rsidRDefault="008E342C" w:rsidP="00861DC2">
      <w:pPr>
        <w:pStyle w:val="Caption"/>
        <w:bidi/>
        <w:spacing w:line="360" w:lineRule="auto"/>
        <w:ind w:firstLine="720"/>
        <w:jc w:val="center"/>
        <w:rPr>
          <w:rFonts w:ascii="T" w:hAnsi="T" w:cs="Simplified Arabic"/>
          <w:noProof/>
          <w:color w:val="auto"/>
          <w:sz w:val="24"/>
          <w:szCs w:val="24"/>
          <w:rtl/>
        </w:rPr>
      </w:pPr>
      <w:bookmarkStart w:id="59" w:name="_Toc225991175"/>
      <w:r w:rsidRPr="005D59A7">
        <w:rPr>
          <w:rFonts w:ascii="T" w:hAnsi="T" w:cs="Simplified Arabic"/>
          <w:color w:val="auto"/>
          <w:sz w:val="24"/>
          <w:szCs w:val="24"/>
        </w:rPr>
        <w:t>Table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Table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3</w:t>
      </w:r>
      <w:r w:rsidR="00FD30BF" w:rsidRPr="005D59A7">
        <w:rPr>
          <w:rFonts w:ascii="T" w:hAnsi="T" w:cs="Simplified Arabic"/>
          <w:color w:val="auto"/>
          <w:sz w:val="24"/>
          <w:szCs w:val="24"/>
          <w:rtl/>
        </w:rPr>
        <w:fldChar w:fldCharType="end"/>
      </w:r>
      <w:r w:rsidRPr="005D59A7">
        <w:rPr>
          <w:rFonts w:ascii="T" w:hAnsi="T" w:cs="Simplified Arabic"/>
          <w:noProof/>
          <w:color w:val="auto"/>
          <w:sz w:val="24"/>
          <w:szCs w:val="24"/>
          <w:rtl/>
        </w:rPr>
        <w:t>: الجهات التابعة لوزارة البيئة والمياه والزراعة</w:t>
      </w:r>
      <w:bookmarkEnd w:id="59"/>
    </w:p>
    <w:p w14:paraId="0F1D42A8" w14:textId="77777777" w:rsidR="00DF6065" w:rsidRPr="005D59A7" w:rsidRDefault="00AA6140" w:rsidP="0045581D">
      <w:pPr>
        <w:pStyle w:val="Heading4"/>
        <w:numPr>
          <w:ilvl w:val="0"/>
          <w:numId w:val="12"/>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المركز الوطني لتنمية الغطاء النباتي ومكافحة التصحر</w:t>
      </w:r>
    </w:p>
    <w:p w14:paraId="7092DBC7" w14:textId="77777777" w:rsidR="00AA6140" w:rsidRPr="005D59A7" w:rsidRDefault="00AA6140" w:rsidP="00A40353">
      <w:pPr>
        <w:bidi/>
        <w:spacing w:line="360" w:lineRule="auto"/>
        <w:ind w:left="84"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صدر قرار مجلس الوزراء رقم (٤١٧) بتاريخ ١٤٤٠/٠٧/١٩هـ بإنشاء المركز الوطني لتنمية الغطاء النباتي، ويأتي إنشاء المركز بهدف الإشراف على إدارة أراضي المراعي والغابات والمتنزهات الوطنية واستثمارها، والمحافظة على الموارد الوراثية النباتية والغطاء النباتي خارج المناطق المحمية في المملكة بجميع بيئاته، ومكافحة التصحر (</w:t>
      </w:r>
      <w:r w:rsidRPr="005D59A7">
        <w:rPr>
          <w:rFonts w:ascii="T" w:hAnsi="T" w:cs="Simplified Arabic"/>
          <w:sz w:val="24"/>
          <w:szCs w:val="24"/>
          <w:shd w:val="clear" w:color="auto" w:fill="FFFFFF"/>
        </w:rPr>
        <w:t>NCVC, 2026</w:t>
      </w:r>
      <w:r w:rsidRPr="005D59A7">
        <w:rPr>
          <w:rFonts w:ascii="T" w:hAnsi="T" w:cs="Simplified Arabic"/>
          <w:sz w:val="24"/>
          <w:szCs w:val="24"/>
          <w:shd w:val="clear" w:color="auto" w:fill="FFFFFF"/>
          <w:rtl/>
        </w:rPr>
        <w:t xml:space="preserve">). </w:t>
      </w:r>
    </w:p>
    <w:p w14:paraId="4D065CB3"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rtl/>
        </w:rPr>
      </w:pPr>
      <w:r w:rsidRPr="005D59A7">
        <w:rPr>
          <w:rFonts w:ascii="T" w:hAnsi="T" w:cs="Simplified Arabic"/>
          <w:shd w:val="clear" w:color="auto" w:fill="FFFFFF"/>
          <w:rtl/>
        </w:rPr>
        <w:t>و</w:t>
      </w:r>
      <w:r w:rsidRPr="005D59A7">
        <w:rPr>
          <w:rFonts w:ascii="T" w:hAnsi="T" w:cs="Simplified Arabic"/>
          <w:rtl/>
        </w:rPr>
        <w:t xml:space="preserve">يسعى المركز الوطني لتنمية الغطاء النباتي ومكافحة التصحر لتنفيذ الأهداف </w:t>
      </w:r>
      <w:r w:rsidR="00C44F90" w:rsidRPr="005D59A7">
        <w:rPr>
          <w:rFonts w:ascii="T" w:hAnsi="T" w:cs="Simplified Arabic"/>
          <w:rtl/>
        </w:rPr>
        <w:t>الإستراتيجية</w:t>
      </w:r>
      <w:r w:rsidRPr="005D59A7">
        <w:rPr>
          <w:rFonts w:ascii="T" w:hAnsi="T" w:cs="Simplified Arabic"/>
          <w:rtl/>
        </w:rPr>
        <w:t xml:space="preserve"> للمملكة التي تجسدها رؤية 2030، ويساهم في الارتقاء بمستوى المعيشة من خلال تخفيض المناطق الملوثة بيئيًا وإعادة تأهيلها، كما يحرص على تطوير حماية البيئة من الأخطار الطبيعية وتعزيز الوقاية من الحشرات والآفات المضرة بالغطاء النباتي، وتنمية القدرات الوطنية لتحقيق الحماية، وتنمية موارد المملكة الحيوية وضمان الاستفادة المستدامة منها</w:t>
      </w:r>
      <w:r w:rsidRPr="005D59A7">
        <w:rPr>
          <w:rFonts w:ascii="T" w:hAnsi="T" w:cs="Simplified Arabic"/>
        </w:rPr>
        <w:t>.</w:t>
      </w:r>
    </w:p>
    <w:p w14:paraId="081F1F2A" w14:textId="77777777" w:rsidR="00AA6140" w:rsidRPr="005D59A7" w:rsidRDefault="00AA6140" w:rsidP="00A40353">
      <w:pPr>
        <w:bidi/>
        <w:spacing w:line="360" w:lineRule="auto"/>
        <w:ind w:left="84" w:firstLine="720"/>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 xml:space="preserve">المسؤوليات الرئيسية: </w:t>
      </w:r>
    </w:p>
    <w:p w14:paraId="2CFB4375"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ضمان تطبيق الأنظمة والمعايير ذات الصلة.</w:t>
      </w:r>
    </w:p>
    <w:p w14:paraId="3E57B7FF"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حماية وتنمية الغابات واستدامتها.</w:t>
      </w:r>
    </w:p>
    <w:p w14:paraId="463A78F8"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الإدارة المستدامة للمراعي والمنتزهات الوطنية.</w:t>
      </w:r>
    </w:p>
    <w:p w14:paraId="4C3F98EF"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 xml:space="preserve">إعادة تأهيل الغطاء النباتي والتشجير. </w:t>
      </w:r>
    </w:p>
    <w:p w14:paraId="3EDAF6AB"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 xml:space="preserve">إشراك القطاع الخاص لأداء المهام ذات الصلة. </w:t>
      </w:r>
    </w:p>
    <w:p w14:paraId="7135E2E6"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الالتزام بالاتفاقيات الدولية ذات الصلة.</w:t>
      </w:r>
    </w:p>
    <w:p w14:paraId="3B4E7728" w14:textId="77777777" w:rsidR="00D27F89" w:rsidRPr="005D59A7" w:rsidRDefault="00AA6140" w:rsidP="0045581D">
      <w:pPr>
        <w:pStyle w:val="ListParagraph"/>
        <w:numPr>
          <w:ilvl w:val="0"/>
          <w:numId w:val="15"/>
        </w:numPr>
        <w:bidi/>
        <w:spacing w:line="360" w:lineRule="auto"/>
        <w:ind w:left="84" w:firstLine="425"/>
        <w:rPr>
          <w:rFonts w:ascii="T" w:hAnsi="T" w:cs="Simplified Arabic"/>
          <w:sz w:val="24"/>
          <w:szCs w:val="24"/>
          <w:rtl/>
        </w:rPr>
      </w:pPr>
      <w:r w:rsidRPr="005D59A7">
        <w:rPr>
          <w:rFonts w:ascii="T" w:hAnsi="T" w:cs="Simplified Arabic"/>
          <w:sz w:val="24"/>
          <w:szCs w:val="24"/>
          <w:rtl/>
        </w:rPr>
        <w:t>رفع تقارير الأداء.</w:t>
      </w:r>
    </w:p>
    <w:p w14:paraId="4C3E1F0F" w14:textId="77777777" w:rsidR="001F441A" w:rsidRPr="005D59A7" w:rsidRDefault="00AA6140" w:rsidP="0045581D">
      <w:pPr>
        <w:pStyle w:val="Heading4"/>
        <w:numPr>
          <w:ilvl w:val="0"/>
          <w:numId w:val="12"/>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المركز الوطني لتنمية الحياة الفطرية</w:t>
      </w:r>
    </w:p>
    <w:p w14:paraId="063A6103"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shd w:val="clear" w:color="auto" w:fill="FFFFFF"/>
          <w:rtl/>
        </w:rPr>
      </w:pPr>
      <w:r w:rsidRPr="005D59A7">
        <w:rPr>
          <w:rFonts w:ascii="T" w:hAnsi="T" w:cs="Simplified Arabic"/>
          <w:shd w:val="clear" w:color="auto" w:fill="FFFFFF"/>
          <w:rtl/>
        </w:rPr>
        <w:t>تتحقق جودة الحياة في رؤية 2030 بتكامل منظومة البيئة ولتحقيق الأمن الغذائي والمائي ورفاهية الحياة، ويعتبر المركز الوطني لتنمية الحياة الفطرية أحد مراكز المنظومة والذي يعمل على حماية النظم البيئية والتنوع الأحيائي وتنميته وإعادة توطينه، إضافة إلى هذا علاج المخاطر المتعلقة بالحياة الفطرية. وشهد العام 2022م تقدماً في حماية وتنمية البيئة البرية والبحرية ومجالات الإكثار للأنواع الحيوانية المهددة بالانقراض وإعادة التوطين وإدارة المناطق المحمية، ويولي المركز اهتمامًا في توطين واستقطاب الكفاءات السعودية لتحقيق الاعتماد الوطني على الكفاءات المحلية في مجال إدارة وتطوير المحميات الطبيعية من خلال التدريب والعمل الميداني مع خبراء عالميين متخصصين (</w:t>
      </w:r>
      <w:r w:rsidRPr="005D59A7">
        <w:rPr>
          <w:rFonts w:ascii="T" w:hAnsi="T" w:cs="Simplified Arabic"/>
          <w:shd w:val="clear" w:color="auto" w:fill="FFFFFF"/>
        </w:rPr>
        <w:t>NCW, 2026</w:t>
      </w:r>
      <w:r w:rsidRPr="005D59A7">
        <w:rPr>
          <w:rFonts w:ascii="T" w:hAnsi="T" w:cs="Simplified Arabic"/>
          <w:shd w:val="clear" w:color="auto" w:fill="FFFFFF"/>
          <w:rtl/>
        </w:rPr>
        <w:t>)</w:t>
      </w:r>
      <w:r w:rsidR="00C44F90" w:rsidRPr="005D59A7">
        <w:rPr>
          <w:rFonts w:ascii="T" w:hAnsi="T" w:cs="Simplified Arabic"/>
          <w:shd w:val="clear" w:color="auto" w:fill="FFFFFF"/>
          <w:rtl/>
        </w:rPr>
        <w:t>.</w:t>
      </w:r>
    </w:p>
    <w:p w14:paraId="08A86C69"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shd w:val="clear" w:color="auto" w:fill="FFFFFF"/>
          <w:rtl/>
        </w:rPr>
      </w:pPr>
      <w:r w:rsidRPr="005D59A7">
        <w:rPr>
          <w:rFonts w:ascii="T" w:hAnsi="T" w:cs="Simplified Arabic"/>
          <w:shd w:val="clear" w:color="auto" w:fill="FFFFFF"/>
          <w:rtl/>
        </w:rPr>
        <w:t xml:space="preserve">حقق المركز إنجازات غير مسبوقة في عدة مشاريع واكتشافات بيئية بمشاركة كفاءات وطنية بالاستعانة بخبراء عالميين من أهمها مشروع استكشاف التنوع الأحيائي في البحر الأحمر، واكتشاف مومياوات الفهد الصياد والعمل على برنامج إكثاره، و العمل على زيادة مساحة المحميات إلى ٣٠٪ ، وتسجيل مشروع محمية جزر فرسان في اليونسكو ، كما حرص المركز على توظيف أفضل التقنيات الحديثة لخدمة الحياة الفطرية وحمايتها وتنمينها وإعداد الأنظمة المساعدة في جمع البيانات والخرائط الرقمية. تترجم مؤشرات الأداء تقدم المركز الوطني </w:t>
      </w:r>
      <w:r w:rsidRPr="005D59A7">
        <w:rPr>
          <w:rFonts w:ascii="T" w:hAnsi="T" w:cs="Simplified Arabic"/>
          <w:shd w:val="clear" w:color="auto" w:fill="FFFFFF"/>
          <w:rtl/>
        </w:rPr>
        <w:lastRenderedPageBreak/>
        <w:t>لتنمية الحياة الفطرية نحو الريادة الإقليمية وتحقيق الأهداف ا</w:t>
      </w:r>
      <w:r w:rsidR="00C44F90" w:rsidRPr="005D59A7">
        <w:rPr>
          <w:rFonts w:ascii="T" w:hAnsi="T" w:cs="Simplified Arabic"/>
          <w:shd w:val="clear" w:color="auto" w:fill="FFFFFF"/>
          <w:rtl/>
        </w:rPr>
        <w:t>لوطنية والتحول إلى منظومة حضارية (</w:t>
      </w:r>
      <w:r w:rsidR="00C44F90" w:rsidRPr="005D59A7">
        <w:rPr>
          <w:rFonts w:ascii="T" w:hAnsi="T" w:cs="Simplified Arabic"/>
          <w:shd w:val="clear" w:color="auto" w:fill="FFFFFF"/>
        </w:rPr>
        <w:t>NCW, 2026</w:t>
      </w:r>
      <w:r w:rsidR="00C44F90" w:rsidRPr="005D59A7">
        <w:rPr>
          <w:rFonts w:ascii="T" w:hAnsi="T" w:cs="Simplified Arabic"/>
          <w:shd w:val="clear" w:color="auto" w:fill="FFFFFF"/>
          <w:rtl/>
        </w:rPr>
        <w:t>).</w:t>
      </w:r>
    </w:p>
    <w:p w14:paraId="4053B416"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shd w:val="clear" w:color="auto" w:fill="FFFFFF"/>
          <w:rtl/>
        </w:rPr>
      </w:pPr>
      <w:r w:rsidRPr="005D59A7">
        <w:rPr>
          <w:rFonts w:ascii="T" w:hAnsi="T" w:cs="Simplified Arabic"/>
          <w:shd w:val="clear" w:color="auto" w:fill="FFFFFF"/>
          <w:rtl/>
        </w:rPr>
        <w:t xml:space="preserve">رؤية المركز: ﺣﻴﺎة </w:t>
      </w:r>
      <w:r w:rsidR="00C44F90" w:rsidRPr="005D59A7">
        <w:rPr>
          <w:rFonts w:ascii="T" w:hAnsi="T" w:cs="Simplified Arabic"/>
          <w:shd w:val="clear" w:color="auto" w:fill="FFFFFF"/>
          <w:rtl/>
        </w:rPr>
        <w:t>فطرية</w:t>
      </w:r>
      <w:r w:rsidRPr="005D59A7">
        <w:rPr>
          <w:rFonts w:ascii="T" w:hAnsi="T" w:cs="Simplified Arabic"/>
          <w:shd w:val="clear" w:color="auto" w:fill="FFFFFF"/>
          <w:rtl/>
        </w:rPr>
        <w:t xml:space="preserve"> </w:t>
      </w:r>
      <w:r w:rsidR="00C44F90" w:rsidRPr="005D59A7">
        <w:rPr>
          <w:rFonts w:ascii="T" w:hAnsi="T" w:cs="Simplified Arabic"/>
          <w:shd w:val="clear" w:color="auto" w:fill="FFFFFF"/>
          <w:rtl/>
        </w:rPr>
        <w:t>وتنوع</w:t>
      </w:r>
      <w:r w:rsidRPr="005D59A7">
        <w:rPr>
          <w:rFonts w:ascii="T" w:hAnsi="T" w:cs="Simplified Arabic"/>
          <w:shd w:val="clear" w:color="auto" w:fill="FFFFFF"/>
          <w:rtl/>
        </w:rPr>
        <w:t xml:space="preserve"> أﺣﻴﺎﺋﻲ </w:t>
      </w:r>
      <w:r w:rsidR="00C44F90" w:rsidRPr="005D59A7">
        <w:rPr>
          <w:rFonts w:ascii="T" w:hAnsi="T" w:cs="Simplified Arabic"/>
          <w:shd w:val="clear" w:color="auto" w:fill="FFFFFF"/>
          <w:rtl/>
        </w:rPr>
        <w:t>ونظم</w:t>
      </w:r>
      <w:r w:rsidRPr="005D59A7">
        <w:rPr>
          <w:rFonts w:ascii="T" w:hAnsi="T" w:cs="Simplified Arabic"/>
          <w:shd w:val="clear" w:color="auto" w:fill="FFFFFF"/>
          <w:rtl/>
        </w:rPr>
        <w:t xml:space="preserve"> ﺑﻴﺌﻴﺔ ﺑ</w:t>
      </w:r>
      <w:r w:rsidRPr="005D59A7">
        <w:rPr>
          <w:rFonts w:ascii="T" w:hAnsi="T"/>
          <w:shd w:val="clear" w:color="auto" w:fill="FFFFFF"/>
          <w:rtl/>
        </w:rPr>
        <w:t>ﺮ</w:t>
      </w:r>
      <w:r w:rsidRPr="005D59A7">
        <w:rPr>
          <w:rFonts w:ascii="T" w:hAnsi="T" w:cs="Simplified Arabic"/>
          <w:shd w:val="clear" w:color="auto" w:fill="FFFFFF"/>
          <w:rtl/>
        </w:rPr>
        <w:t>ﻳﺔ وﺑﺤ</w:t>
      </w:r>
      <w:r w:rsidRPr="005D59A7">
        <w:rPr>
          <w:rFonts w:ascii="T" w:hAnsi="T"/>
          <w:shd w:val="clear" w:color="auto" w:fill="FFFFFF"/>
          <w:rtl/>
        </w:rPr>
        <w:t>ﺮ</w:t>
      </w:r>
      <w:r w:rsidRPr="005D59A7">
        <w:rPr>
          <w:rFonts w:ascii="T" w:hAnsi="T" w:cs="Simplified Arabic"/>
          <w:shd w:val="clear" w:color="auto" w:fill="FFFFFF"/>
          <w:rtl/>
        </w:rPr>
        <w:t xml:space="preserve">ﻳﺔ </w:t>
      </w:r>
      <w:r w:rsidR="00C44F90" w:rsidRPr="005D59A7">
        <w:rPr>
          <w:rFonts w:ascii="T" w:hAnsi="T" w:cs="Simplified Arabic"/>
          <w:shd w:val="clear" w:color="auto" w:fill="FFFFFF"/>
          <w:rtl/>
        </w:rPr>
        <w:t>مزدهرة</w:t>
      </w:r>
      <w:r w:rsidRPr="005D59A7">
        <w:rPr>
          <w:rFonts w:ascii="T" w:hAnsi="T" w:cs="Simplified Arabic"/>
          <w:shd w:val="clear" w:color="auto" w:fill="FFFFFF"/>
          <w:rtl/>
        </w:rPr>
        <w:t xml:space="preserve"> </w:t>
      </w:r>
      <w:r w:rsidR="00C44F90" w:rsidRPr="005D59A7">
        <w:rPr>
          <w:rFonts w:ascii="T" w:hAnsi="T" w:cs="Simplified Arabic"/>
          <w:shd w:val="clear" w:color="auto" w:fill="FFFFFF"/>
          <w:rtl/>
        </w:rPr>
        <w:t>ومستدامة</w:t>
      </w:r>
      <w:r w:rsidRPr="005D59A7">
        <w:rPr>
          <w:rFonts w:ascii="T" w:hAnsi="T" w:cs="Simplified Arabic"/>
          <w:shd w:val="clear" w:color="auto" w:fill="FFFFFF"/>
        </w:rPr>
        <w:t>.</w:t>
      </w:r>
    </w:p>
    <w:p w14:paraId="663095D1"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shd w:val="clear" w:color="auto" w:fill="FFFFFF"/>
          <w:rtl/>
        </w:rPr>
      </w:pPr>
      <w:r w:rsidRPr="005D59A7">
        <w:rPr>
          <w:rFonts w:ascii="T" w:hAnsi="T" w:cs="Simplified Arabic"/>
          <w:shd w:val="clear" w:color="auto" w:fill="FFFFFF"/>
          <w:rtl/>
        </w:rPr>
        <w:t>رسالة المركز: الحفـاظ علـى الحياة الفطرية والتنـوع الأحيائي والنظـــم البيئيـــة وتنميتهـــ مـــن خلال تعزيـــز المشاركة المجتمعية في برامج شاملة وفعالة لتحقيق الاستدامة البيئية وتعظيم الفوائد الاجتماعية والاقتصادية</w:t>
      </w:r>
      <w:r w:rsidRPr="005D59A7">
        <w:rPr>
          <w:rFonts w:ascii="T" w:hAnsi="T" w:cs="Simplified Arabic"/>
          <w:shd w:val="clear" w:color="auto" w:fill="FFFFFF"/>
        </w:rPr>
        <w:t>.</w:t>
      </w:r>
    </w:p>
    <w:p w14:paraId="70F06D5B" w14:textId="77777777" w:rsidR="00AA6140" w:rsidRPr="005D59A7" w:rsidRDefault="00AA6140" w:rsidP="00861DC2">
      <w:pPr>
        <w:bidi/>
        <w:spacing w:line="360" w:lineRule="auto"/>
        <w:ind w:left="360" w:firstLine="720"/>
        <w:rPr>
          <w:rFonts w:ascii="T" w:hAnsi="T" w:cs="Simplified Arabic"/>
          <w:sz w:val="24"/>
          <w:szCs w:val="24"/>
          <w:rtl/>
        </w:rPr>
      </w:pPr>
      <w:r w:rsidRPr="005D59A7">
        <w:rPr>
          <w:rFonts w:ascii="T" w:hAnsi="T" w:cs="Simplified Arabic"/>
          <w:sz w:val="24"/>
          <w:szCs w:val="24"/>
          <w:rtl/>
        </w:rPr>
        <w:t xml:space="preserve">أهداف المركز: </w:t>
      </w:r>
    </w:p>
    <w:p w14:paraId="52A0349E"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حماية وتنمية الحياة الفطرية والتنوع الأحيائي في البيئات البرية والساحلية والبحرية بشكل مستدام</w:t>
      </w:r>
      <w:r w:rsidRPr="005D59A7">
        <w:rPr>
          <w:rFonts w:ascii="T" w:hAnsi="T" w:cs="Simplified Arabic"/>
          <w:sz w:val="24"/>
          <w:szCs w:val="24"/>
        </w:rPr>
        <w:t>.</w:t>
      </w:r>
    </w:p>
    <w:p w14:paraId="670F7547"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 xml:space="preserve">إنشاء وإدارة المناطق المحمية ومراكز </w:t>
      </w:r>
      <w:r w:rsidR="00C44F90" w:rsidRPr="005D59A7">
        <w:rPr>
          <w:rFonts w:ascii="T" w:hAnsi="T" w:cs="Simplified Arabic"/>
          <w:sz w:val="24"/>
          <w:szCs w:val="24"/>
          <w:rtl/>
        </w:rPr>
        <w:t>إكثار</w:t>
      </w:r>
      <w:r w:rsidRPr="005D59A7">
        <w:rPr>
          <w:rFonts w:ascii="T" w:hAnsi="T" w:cs="Simplified Arabic"/>
          <w:sz w:val="24"/>
          <w:szCs w:val="24"/>
          <w:rtl/>
        </w:rPr>
        <w:t xml:space="preserve"> الأنواع الفطرية المهددة بالانقراض وإعادة توطينها في بيئتها الطبيعية</w:t>
      </w:r>
      <w:r w:rsidRPr="005D59A7">
        <w:rPr>
          <w:rFonts w:ascii="T" w:hAnsi="T" w:cs="Simplified Arabic"/>
          <w:sz w:val="24"/>
          <w:szCs w:val="24"/>
        </w:rPr>
        <w:t>.</w:t>
      </w:r>
    </w:p>
    <w:p w14:paraId="57130380"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بناء القاعدة المعرف</w:t>
      </w:r>
      <w:r w:rsidR="00C44F90" w:rsidRPr="005D59A7">
        <w:rPr>
          <w:rFonts w:ascii="T" w:hAnsi="T" w:cs="Simplified Arabic"/>
          <w:sz w:val="24"/>
          <w:szCs w:val="24"/>
          <w:rtl/>
        </w:rPr>
        <w:t>ية عن الحياة الفطرية والتنوع الأ</w:t>
      </w:r>
      <w:r w:rsidRPr="005D59A7">
        <w:rPr>
          <w:rFonts w:ascii="T" w:hAnsi="T" w:cs="Simplified Arabic"/>
          <w:sz w:val="24"/>
          <w:szCs w:val="24"/>
          <w:rtl/>
        </w:rPr>
        <w:t>حيائي في المملكة من خلال عمل المسوحات الميدانية والدراسات المتخصصة وبناء قواعد البيانات واتاحتها لذوي العلاقة</w:t>
      </w:r>
      <w:r w:rsidRPr="005D59A7">
        <w:rPr>
          <w:rFonts w:ascii="T" w:hAnsi="T" w:cs="Simplified Arabic"/>
          <w:sz w:val="24"/>
          <w:szCs w:val="24"/>
        </w:rPr>
        <w:t>.</w:t>
      </w:r>
    </w:p>
    <w:p w14:paraId="0F7A361F"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تعزيز الوعي المجتمعي في مجال الحياة الفطرية من خلال البرامج الارشادية والثقافية والإعلامية</w:t>
      </w:r>
      <w:r w:rsidRPr="005D59A7">
        <w:rPr>
          <w:rFonts w:ascii="T" w:hAnsi="T" w:cs="Simplified Arabic"/>
          <w:sz w:val="24"/>
          <w:szCs w:val="24"/>
        </w:rPr>
        <w:t>.</w:t>
      </w:r>
    </w:p>
    <w:p w14:paraId="5E7AF6F6"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تعزيز التنوع الاقتصادي من خلال المساهمة في تطوير السياحة البيئية المستدامة والاستفادة من الموارد الوراثية وخدمات النظم البيئية</w:t>
      </w:r>
      <w:r w:rsidRPr="005D59A7">
        <w:rPr>
          <w:rFonts w:ascii="T" w:hAnsi="T" w:cs="Simplified Arabic"/>
          <w:sz w:val="24"/>
          <w:szCs w:val="24"/>
        </w:rPr>
        <w:t>.</w:t>
      </w:r>
    </w:p>
    <w:p w14:paraId="2E6121F2"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tl/>
        </w:rPr>
      </w:pPr>
      <w:r w:rsidRPr="005D59A7">
        <w:rPr>
          <w:rFonts w:ascii="T" w:hAnsi="T" w:cs="Simplified Arabic"/>
          <w:sz w:val="24"/>
          <w:szCs w:val="24"/>
          <w:rtl/>
        </w:rPr>
        <w:t>تشجيع البحث والابتكار في مجال المحافظة على الحياة الفطرية وتنميتها من خلال التعاون مع الجامعات ومراكز الأبحاث المحلية والعالمية</w:t>
      </w:r>
      <w:r w:rsidRPr="005D59A7">
        <w:rPr>
          <w:rFonts w:ascii="T" w:hAnsi="T" w:cs="Simplified Arabic"/>
          <w:sz w:val="24"/>
          <w:szCs w:val="24"/>
        </w:rPr>
        <w:t>.</w:t>
      </w:r>
    </w:p>
    <w:p w14:paraId="5F600DF0" w14:textId="77777777" w:rsidR="00AA6140" w:rsidRPr="005D59A7" w:rsidRDefault="002F1457" w:rsidP="0045581D">
      <w:pPr>
        <w:pStyle w:val="Heading4"/>
        <w:numPr>
          <w:ilvl w:val="0"/>
          <w:numId w:val="12"/>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المركز الوطني لإدارة النفايات</w:t>
      </w:r>
    </w:p>
    <w:p w14:paraId="0303A5E7" w14:textId="77777777" w:rsidR="002F1457" w:rsidRPr="005D59A7" w:rsidRDefault="002F1457" w:rsidP="00A40353">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رؤية المركز: الريادة في تنظيم قطاع إدارة النفايات بتبني مبادئ الاقتصاد الدائري لتحقيق الاستدامة وتعزيز حماية البيئة وجودة الحياة</w:t>
      </w:r>
      <w:r w:rsidR="00A37197" w:rsidRPr="005D59A7">
        <w:rPr>
          <w:rFonts w:ascii="T" w:hAnsi="T" w:cs="Simplified Arabic"/>
          <w:sz w:val="24"/>
          <w:szCs w:val="24"/>
          <w:rtl/>
        </w:rPr>
        <w:t>.</w:t>
      </w:r>
    </w:p>
    <w:p w14:paraId="3E00501B" w14:textId="77777777" w:rsidR="002F1457" w:rsidRPr="005D59A7" w:rsidRDefault="002F1457" w:rsidP="00A40353">
      <w:p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رسالة المركز: تنظيم قطاع جاذب من خلال تطبيق أفضل الممارسات والتقنيات والمعايير وتعزيز الشفافية والفعالية والامتثال والرقمنة والابتكار</w:t>
      </w:r>
      <w:r w:rsidR="00A37197" w:rsidRPr="005D59A7">
        <w:rPr>
          <w:rFonts w:ascii="T" w:hAnsi="T" w:cs="Simplified Arabic"/>
          <w:sz w:val="24"/>
          <w:szCs w:val="24"/>
          <w:rtl/>
        </w:rPr>
        <w:t>.</w:t>
      </w:r>
    </w:p>
    <w:p w14:paraId="2D0DF6B3"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أهداف المركز: </w:t>
      </w:r>
    </w:p>
    <w:p w14:paraId="0BBE082C"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تنظيم قطاع غدارة النفايات</w:t>
      </w:r>
      <w:r w:rsidR="00A37197" w:rsidRPr="005D59A7">
        <w:rPr>
          <w:rFonts w:ascii="T" w:hAnsi="T" w:cs="Simplified Arabic"/>
          <w:sz w:val="24"/>
          <w:szCs w:val="24"/>
          <w:rtl/>
        </w:rPr>
        <w:t>.</w:t>
      </w:r>
    </w:p>
    <w:p w14:paraId="144C3CFB"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تعزيز الجاذبية الاستثمارية والأداء الاقتصادي للقطاع</w:t>
      </w:r>
      <w:r w:rsidR="00A37197" w:rsidRPr="005D59A7">
        <w:rPr>
          <w:rFonts w:ascii="T" w:hAnsi="T" w:cs="Simplified Arabic"/>
          <w:sz w:val="24"/>
          <w:szCs w:val="24"/>
          <w:rtl/>
        </w:rPr>
        <w:t>.</w:t>
      </w:r>
    </w:p>
    <w:p w14:paraId="4BCC171D"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رفع مستويات الامتثال في القطاع.</w:t>
      </w:r>
    </w:p>
    <w:p w14:paraId="6F9F9AA2"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تعزيز السلوكيات السليمة والممارسات المبتكرة لإدارة النفايات.</w:t>
      </w:r>
    </w:p>
    <w:p w14:paraId="58FC36A8"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تحقيق التحول الرقمي في القطاع وتعظيم الفائدة من البيانات.</w:t>
      </w:r>
    </w:p>
    <w:p w14:paraId="5EC9A3F8" w14:textId="77777777" w:rsidR="002F1457" w:rsidRPr="005D59A7" w:rsidRDefault="002F1457" w:rsidP="0045581D">
      <w:pPr>
        <w:pStyle w:val="Heading4"/>
        <w:numPr>
          <w:ilvl w:val="0"/>
          <w:numId w:val="12"/>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صندوق البيئة</w:t>
      </w:r>
    </w:p>
    <w:p w14:paraId="78A4523B"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سعى صندوق البيئة لتحقيق أهداف رؤية المملكة 2030 من خلال دعم الاستدامة المالية لقطاع البيئة وتحفيز التقنيات الصديقة للبيئة، ودعم البرامج والمبادرات البيئية</w:t>
      </w:r>
      <w:r w:rsidRPr="005D59A7">
        <w:rPr>
          <w:rFonts w:ascii="T" w:hAnsi="T" w:cs="Simplified Arabic"/>
          <w:sz w:val="24"/>
          <w:szCs w:val="24"/>
        </w:rPr>
        <w:t>.</w:t>
      </w:r>
    </w:p>
    <w:p w14:paraId="52F3AC46" w14:textId="77777777" w:rsidR="00B05050" w:rsidRPr="005D59A7" w:rsidRDefault="00B05050"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تأسس "صندوق البيئة" بموجب قرار مجلس الوزراء رقم [416] وتاريخ 19/7/1440 هـ، ويتمتع بالشخصية الاعتبارية والاستقلال المالي والإداري. وبوصفه مؤسسة وطنية للتمويل، يهدف الصندوق إلى تعزيز الاستدامة البيئية في المملكة، تماشيًا مع رؤية السعودية 2030 والاستراتيجية الوطنية للبيئة (</w:t>
      </w:r>
      <w:r w:rsidRPr="005D59A7">
        <w:rPr>
          <w:rFonts w:ascii="T" w:hAnsi="T" w:cs="Simplified Arabic"/>
          <w:sz w:val="24"/>
          <w:szCs w:val="24"/>
        </w:rPr>
        <w:t>EF, 2026</w:t>
      </w:r>
      <w:r w:rsidRPr="005D59A7">
        <w:rPr>
          <w:rFonts w:ascii="T" w:hAnsi="T" w:cs="Simplified Arabic"/>
          <w:sz w:val="24"/>
          <w:szCs w:val="24"/>
          <w:rtl/>
        </w:rPr>
        <w:t>).</w:t>
      </w:r>
    </w:p>
    <w:p w14:paraId="6924E998"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الرؤية: صندوق رائد لتمكين بيئة مستدامة.</w:t>
      </w:r>
    </w:p>
    <w:p w14:paraId="48226933"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الرسالة: تعظيم الموارد المالية وتبني أفضل الممارسات والتقنيات لتحقيق الاستدامة المالية وتعزيز الاستثمار والابتكار في مجالات البيئة</w:t>
      </w:r>
      <w:r w:rsidRPr="005D59A7">
        <w:rPr>
          <w:rFonts w:ascii="T" w:hAnsi="T" w:cs="Simplified Arabic"/>
          <w:sz w:val="24"/>
          <w:szCs w:val="24"/>
        </w:rPr>
        <w:t>.</w:t>
      </w:r>
    </w:p>
    <w:p w14:paraId="6B2AA277"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دور الصندوق: يهدف "صندوق البيئة" إلى تمكين قطاع البيئة، لتعزيز الاستدامة والابتكار الأخضر في مختلف الأنظمة البيئية في المملكة العربية السعودية</w:t>
      </w:r>
      <w:r w:rsidRPr="005D59A7">
        <w:rPr>
          <w:rFonts w:ascii="T" w:hAnsi="T" w:cs="Simplified Arabic"/>
          <w:sz w:val="24"/>
          <w:szCs w:val="24"/>
        </w:rPr>
        <w:t>.</w:t>
      </w:r>
    </w:p>
    <w:p w14:paraId="5DA7A05F" w14:textId="77777777" w:rsidR="002F1457" w:rsidRPr="005D59A7" w:rsidRDefault="002F1457" w:rsidP="0045581D">
      <w:pPr>
        <w:pStyle w:val="ListParagraph"/>
        <w:numPr>
          <w:ilvl w:val="0"/>
          <w:numId w:val="17"/>
        </w:numPr>
        <w:bidi/>
        <w:spacing w:line="360" w:lineRule="auto"/>
        <w:ind w:left="84" w:firstLine="720"/>
        <w:rPr>
          <w:rFonts w:ascii="T" w:hAnsi="T" w:cs="Simplified Arabic"/>
          <w:sz w:val="24"/>
          <w:szCs w:val="24"/>
        </w:rPr>
      </w:pPr>
      <w:r w:rsidRPr="005D59A7">
        <w:rPr>
          <w:rFonts w:ascii="T" w:hAnsi="T" w:cs="Simplified Arabic"/>
          <w:sz w:val="24"/>
          <w:szCs w:val="24"/>
          <w:rtl/>
        </w:rPr>
        <w:t>تمويل الميزانيات التشغيلية المعتمدة للمراكز الوطنية لقطاع البيئة.</w:t>
      </w:r>
    </w:p>
    <w:p w14:paraId="02C04125" w14:textId="77777777" w:rsidR="002F1457" w:rsidRPr="005D59A7" w:rsidRDefault="002F1457" w:rsidP="0045581D">
      <w:pPr>
        <w:pStyle w:val="ListParagraph"/>
        <w:numPr>
          <w:ilvl w:val="0"/>
          <w:numId w:val="17"/>
        </w:numPr>
        <w:bidi/>
        <w:spacing w:line="360" w:lineRule="auto"/>
        <w:ind w:left="84" w:firstLine="720"/>
        <w:rPr>
          <w:rFonts w:ascii="T" w:hAnsi="T" w:cs="Simplified Arabic"/>
          <w:sz w:val="24"/>
          <w:szCs w:val="24"/>
        </w:rPr>
      </w:pPr>
      <w:r w:rsidRPr="005D59A7">
        <w:rPr>
          <w:rFonts w:ascii="T" w:hAnsi="T" w:cs="Simplified Arabic"/>
          <w:sz w:val="24"/>
          <w:szCs w:val="24"/>
          <w:rtl/>
        </w:rPr>
        <w:t>تحفيز خطط حماية البيئة في المملكة وأنشطتها ومبادراتها والإسهام في تمويلها</w:t>
      </w:r>
      <w:r w:rsidR="00B05050" w:rsidRPr="005D59A7">
        <w:rPr>
          <w:rFonts w:ascii="T" w:hAnsi="T" w:cs="Simplified Arabic"/>
          <w:sz w:val="24"/>
          <w:szCs w:val="24"/>
          <w:rtl/>
        </w:rPr>
        <w:t>.</w:t>
      </w:r>
    </w:p>
    <w:p w14:paraId="248FD9BF" w14:textId="77777777" w:rsidR="002F1457" w:rsidRPr="005D59A7" w:rsidRDefault="002F1457" w:rsidP="0045581D">
      <w:pPr>
        <w:pStyle w:val="ListParagraph"/>
        <w:numPr>
          <w:ilvl w:val="0"/>
          <w:numId w:val="17"/>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تحفيز قطاع البيئة والدراسات والبحوث المتعلقة بها، والإسهام في تمويلها</w:t>
      </w:r>
      <w:r w:rsidR="00B05050" w:rsidRPr="005D59A7">
        <w:rPr>
          <w:rFonts w:ascii="T" w:hAnsi="T" w:cs="Simplified Arabic"/>
          <w:sz w:val="24"/>
          <w:szCs w:val="24"/>
          <w:rtl/>
        </w:rPr>
        <w:t>.</w:t>
      </w:r>
    </w:p>
    <w:p w14:paraId="3DA13BCC" w14:textId="77777777" w:rsidR="00B05050" w:rsidRPr="005D59A7" w:rsidRDefault="00B05050" w:rsidP="0045581D">
      <w:pPr>
        <w:pStyle w:val="ListParagraph"/>
        <w:numPr>
          <w:ilvl w:val="0"/>
          <w:numId w:val="17"/>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استثمار أمواله بما يحقق أهدافه وفقاً للأحكام المنظمة لذلك. </w:t>
      </w:r>
    </w:p>
    <w:p w14:paraId="6D7FCF8F" w14:textId="77777777" w:rsidR="00B05050" w:rsidRPr="005D59A7" w:rsidRDefault="00B05050"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القطاعات التي يدعمها الصندوق: </w:t>
      </w:r>
    </w:p>
    <w:p w14:paraId="5B4A819B"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الأرصاد</w:t>
      </w:r>
      <w:r w:rsidR="00837A68" w:rsidRPr="005D59A7">
        <w:rPr>
          <w:rFonts w:ascii="T" w:hAnsi="T" w:cs="Simplified Arabic"/>
          <w:sz w:val="24"/>
          <w:szCs w:val="24"/>
          <w:rtl/>
        </w:rPr>
        <w:t>.</w:t>
      </w:r>
    </w:p>
    <w:p w14:paraId="545AFD6F"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الحياة الفطرية والبحرية</w:t>
      </w:r>
      <w:r w:rsidR="00837A68" w:rsidRPr="005D59A7">
        <w:rPr>
          <w:rFonts w:ascii="T" w:hAnsi="T" w:cs="Simplified Arabic"/>
          <w:sz w:val="24"/>
          <w:szCs w:val="24"/>
          <w:rtl/>
        </w:rPr>
        <w:t>.</w:t>
      </w:r>
    </w:p>
    <w:p w14:paraId="41B97B44"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الغطاء النباتي</w:t>
      </w:r>
      <w:r w:rsidR="00837A68" w:rsidRPr="005D59A7">
        <w:rPr>
          <w:rFonts w:ascii="T" w:hAnsi="T" w:cs="Simplified Arabic"/>
          <w:sz w:val="24"/>
          <w:szCs w:val="24"/>
          <w:rtl/>
        </w:rPr>
        <w:t>.</w:t>
      </w:r>
    </w:p>
    <w:p w14:paraId="03BAC7C8"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الالتزام البيئي</w:t>
      </w:r>
      <w:r w:rsidR="00837A68" w:rsidRPr="005D59A7">
        <w:rPr>
          <w:rFonts w:ascii="T" w:hAnsi="T" w:cs="Simplified Arabic"/>
          <w:sz w:val="24"/>
          <w:szCs w:val="24"/>
          <w:rtl/>
        </w:rPr>
        <w:t>.</w:t>
      </w:r>
    </w:p>
    <w:p w14:paraId="2F8F0299"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معالجة النفايات</w:t>
      </w:r>
      <w:r w:rsidR="00837A68" w:rsidRPr="005D59A7">
        <w:rPr>
          <w:rFonts w:ascii="T" w:hAnsi="T" w:cs="Simplified Arabic"/>
          <w:sz w:val="24"/>
          <w:szCs w:val="24"/>
          <w:rtl/>
        </w:rPr>
        <w:t>.</w:t>
      </w:r>
    </w:p>
    <w:p w14:paraId="1C63713D" w14:textId="77777777" w:rsidR="00222118"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حماية الشعاب المرجانية والسلاحف البحرية.</w:t>
      </w:r>
    </w:p>
    <w:p w14:paraId="36AC8E4A" w14:textId="77777777" w:rsidR="000D4BE5" w:rsidRPr="005D59A7" w:rsidRDefault="000D4BE5" w:rsidP="00335E83">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يوجد كذلك المركز الوطني للرقابة على الالتزام البيئي ويعد الجهة الرقابية والتنفيذية البيئية الأولى في المملكة تحت إشراف وزارة البيئة والمياه والزراعة. ولكن، بحكم اعتماد الرسالة وخصوصاً الجزء الفني منها على دراسة حالة لمشاركة القطاع الخاص في خدمة التفتيش البيئي والتي يتم تنفيذها من قبل المركز الوطني للرقابة على الالتزام البيئي، سيتم تخصيص فقرة مستقلة لدراسة المركز وتأسيسه وأهدافه وخدماته وغيرها من البنود في الفصل الثالث للحفاظ على التسلسل الفني تدرجاً لخدمة التفتيش البيئي. وفيما يلي جدول يلخص الجهات البيئية بالمملكة والتعريف الأساسي لها. </w:t>
      </w:r>
    </w:p>
    <w:tbl>
      <w:tblPr>
        <w:tblStyle w:val="TableGrid"/>
        <w:bidiVisual/>
        <w:tblW w:w="0" w:type="auto"/>
        <w:tblInd w:w="720" w:type="dxa"/>
        <w:tblLook w:val="04A0" w:firstRow="1" w:lastRow="0" w:firstColumn="1" w:lastColumn="0" w:noHBand="0" w:noVBand="1"/>
      </w:tblPr>
      <w:tblGrid>
        <w:gridCol w:w="2894"/>
        <w:gridCol w:w="2329"/>
        <w:gridCol w:w="2353"/>
      </w:tblGrid>
      <w:tr w:rsidR="0048002A" w:rsidRPr="005D59A7" w14:paraId="3E4C4A6E" w14:textId="77777777" w:rsidTr="000D4BE5">
        <w:tc>
          <w:tcPr>
            <w:tcW w:w="2952" w:type="dxa"/>
          </w:tcPr>
          <w:p w14:paraId="14DB76EA"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البرنامج/الجهة</w:t>
            </w:r>
          </w:p>
        </w:tc>
        <w:tc>
          <w:tcPr>
            <w:tcW w:w="2420" w:type="dxa"/>
          </w:tcPr>
          <w:p w14:paraId="426DB42B"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المسمى</w:t>
            </w:r>
          </w:p>
        </w:tc>
        <w:tc>
          <w:tcPr>
            <w:tcW w:w="2430" w:type="dxa"/>
          </w:tcPr>
          <w:p w14:paraId="05A5A234"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الهدف</w:t>
            </w:r>
          </w:p>
        </w:tc>
      </w:tr>
      <w:tr w:rsidR="0048002A" w:rsidRPr="005D59A7" w14:paraId="6E19CACE" w14:textId="77777777" w:rsidTr="000D4BE5">
        <w:tc>
          <w:tcPr>
            <w:tcW w:w="2952" w:type="dxa"/>
            <w:vAlign w:val="center"/>
          </w:tcPr>
          <w:p w14:paraId="0FD037E1"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noProof/>
                <w:sz w:val="24"/>
                <w:szCs w:val="24"/>
                <w:rtl/>
              </w:rPr>
              <w:drawing>
                <wp:inline distT="0" distB="0" distL="0" distR="0" wp14:anchorId="29F91FD4" wp14:editId="5546C5D5">
                  <wp:extent cx="1047750" cy="1047750"/>
                  <wp:effectExtent l="19050" t="0" r="0" b="0"/>
                  <wp:docPr id="61" name="صورة 6" descr="C:\Users\PC\Desktop\Adel's PHD\Thesis\Proposal\مجلد جديد\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Desktop\Adel's PHD\Thesis\Proposal\مجلد جديد\images.jpg"/>
                          <pic:cNvPicPr>
                            <a:picLocks noChangeAspect="1" noChangeArrowheads="1"/>
                          </pic:cNvPicPr>
                        </pic:nvPicPr>
                        <pic:blipFill>
                          <a:blip r:embed="rId26"/>
                          <a:srcRect/>
                          <a:stretch>
                            <a:fillRect/>
                          </a:stretch>
                        </pic:blipFill>
                        <pic:spPr bwMode="auto">
                          <a:xfrm>
                            <a:off x="0" y="0"/>
                            <a:ext cx="1047750" cy="1047750"/>
                          </a:xfrm>
                          <a:prstGeom prst="rect">
                            <a:avLst/>
                          </a:prstGeom>
                          <a:noFill/>
                          <a:ln w="9525">
                            <a:noFill/>
                            <a:miter lim="800000"/>
                            <a:headEnd/>
                            <a:tailEnd/>
                          </a:ln>
                        </pic:spPr>
                      </pic:pic>
                    </a:graphicData>
                  </a:graphic>
                </wp:inline>
              </w:drawing>
            </w:r>
          </w:p>
        </w:tc>
        <w:tc>
          <w:tcPr>
            <w:tcW w:w="2420" w:type="dxa"/>
            <w:vAlign w:val="center"/>
          </w:tcPr>
          <w:p w14:paraId="41FC6504"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وزارة البيئة والمياه والزراعة</w:t>
            </w:r>
          </w:p>
        </w:tc>
        <w:tc>
          <w:tcPr>
            <w:tcW w:w="2430" w:type="dxa"/>
          </w:tcPr>
          <w:p w14:paraId="0ABC1FBA"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 xml:space="preserve">الجهة المشرعة والمسؤولة عن القطاع البيئي والتي قامت بتبني الهدف 2.4.1 الحد من التلوث بمختلف أنواعه وإطلاق الاستراتيجية الوطنية للبيئة والتي تم من خلالها إطلاق المراكز البيئية الخمسة وصندوق البيئة. </w:t>
            </w:r>
          </w:p>
        </w:tc>
      </w:tr>
      <w:tr w:rsidR="0048002A" w:rsidRPr="005D59A7" w14:paraId="6DCF9103" w14:textId="77777777" w:rsidTr="000D4BE5">
        <w:tc>
          <w:tcPr>
            <w:tcW w:w="2952" w:type="dxa"/>
            <w:vAlign w:val="center"/>
          </w:tcPr>
          <w:p w14:paraId="6E862F6D"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noProof/>
                <w:sz w:val="24"/>
                <w:szCs w:val="24"/>
                <w:rtl/>
              </w:rPr>
              <w:lastRenderedPageBreak/>
              <w:drawing>
                <wp:inline distT="0" distB="0" distL="0" distR="0" wp14:anchorId="1720509A" wp14:editId="4DC0DDB7">
                  <wp:extent cx="1019175" cy="1019175"/>
                  <wp:effectExtent l="19050" t="0" r="9525" b="0"/>
                  <wp:docPr id="62" name="صورة 7" descr="C:\Users\PC\Desktop\Adel's PHD\Thesis\Proposal\مجلد جديد\ncecks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C\Desktop\Adel's PHD\Thesis\Proposal\مجلد جديد\ncecksa_logo.jpg"/>
                          <pic:cNvPicPr>
                            <a:picLocks noChangeAspect="1" noChangeArrowheads="1"/>
                          </pic:cNvPicPr>
                        </pic:nvPicPr>
                        <pic:blipFill>
                          <a:blip r:embed="rId27"/>
                          <a:srcRect/>
                          <a:stretch>
                            <a:fillRect/>
                          </a:stretch>
                        </pic:blipFill>
                        <pic:spPr bwMode="auto">
                          <a:xfrm>
                            <a:off x="0" y="0"/>
                            <a:ext cx="1019175" cy="1019175"/>
                          </a:xfrm>
                          <a:prstGeom prst="rect">
                            <a:avLst/>
                          </a:prstGeom>
                          <a:noFill/>
                          <a:ln w="9525">
                            <a:noFill/>
                            <a:miter lim="800000"/>
                            <a:headEnd/>
                            <a:tailEnd/>
                          </a:ln>
                        </pic:spPr>
                      </pic:pic>
                    </a:graphicData>
                  </a:graphic>
                </wp:inline>
              </w:drawing>
            </w:r>
          </w:p>
        </w:tc>
        <w:tc>
          <w:tcPr>
            <w:tcW w:w="2420" w:type="dxa"/>
            <w:vAlign w:val="center"/>
          </w:tcPr>
          <w:p w14:paraId="2CD66CB3"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للرقابة على الالتزام البيئي</w:t>
            </w:r>
          </w:p>
        </w:tc>
        <w:tc>
          <w:tcPr>
            <w:tcW w:w="2430" w:type="dxa"/>
          </w:tcPr>
          <w:p w14:paraId="3914CB7F"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الرقابة والإشراف على الالتزام البيئي في المملكة من خلال التفتيش البيئي وإصدار التراخيص وغيرها.</w:t>
            </w:r>
          </w:p>
        </w:tc>
      </w:tr>
      <w:tr w:rsidR="0048002A" w:rsidRPr="005D59A7" w14:paraId="474E8918" w14:textId="77777777" w:rsidTr="000D4BE5">
        <w:tc>
          <w:tcPr>
            <w:tcW w:w="2952" w:type="dxa"/>
            <w:vAlign w:val="center"/>
          </w:tcPr>
          <w:p w14:paraId="4EFB240A"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noProof/>
                <w:sz w:val="24"/>
                <w:szCs w:val="24"/>
                <w:rtl/>
              </w:rPr>
              <w:drawing>
                <wp:inline distT="0" distB="0" distL="0" distR="0" wp14:anchorId="7B06910A" wp14:editId="45F72B7D">
                  <wp:extent cx="904875" cy="904875"/>
                  <wp:effectExtent l="19050" t="0" r="9525" b="0"/>
                  <wp:docPr id="63" name="صورة 8" descr="C:\Users\PC\Desktop\Adel's PHD\Thesis\Proposal\مجلد جديد\_K51anlO_4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C\Desktop\Adel's PHD\Thesis\Proposal\مجلد جديد\_K51anlO_400x400.jpg"/>
                          <pic:cNvPicPr>
                            <a:picLocks noChangeAspect="1" noChangeArrowheads="1"/>
                          </pic:cNvPicPr>
                        </pic:nvPicPr>
                        <pic:blipFill>
                          <a:blip r:embed="rId28" cstate="print"/>
                          <a:srcRect/>
                          <a:stretch>
                            <a:fillRect/>
                          </a:stretch>
                        </pic:blipFill>
                        <pic:spPr bwMode="auto">
                          <a:xfrm>
                            <a:off x="0" y="0"/>
                            <a:ext cx="904875" cy="904875"/>
                          </a:xfrm>
                          <a:prstGeom prst="rect">
                            <a:avLst/>
                          </a:prstGeom>
                          <a:noFill/>
                          <a:ln w="9525">
                            <a:noFill/>
                            <a:miter lim="800000"/>
                            <a:headEnd/>
                            <a:tailEnd/>
                          </a:ln>
                        </pic:spPr>
                      </pic:pic>
                    </a:graphicData>
                  </a:graphic>
                </wp:inline>
              </w:drawing>
            </w:r>
          </w:p>
        </w:tc>
        <w:tc>
          <w:tcPr>
            <w:tcW w:w="2420" w:type="dxa"/>
            <w:vAlign w:val="center"/>
          </w:tcPr>
          <w:p w14:paraId="13A26888"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لتنمية الغطاء النباتي ومكافحة التصحر</w:t>
            </w:r>
          </w:p>
        </w:tc>
        <w:tc>
          <w:tcPr>
            <w:tcW w:w="2430" w:type="dxa"/>
          </w:tcPr>
          <w:p w14:paraId="5890D52A"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تنيمة الغطاء النباتي في المملكة وزيادة الغطاء الأخضر ومبادرات التشجير وغيرها.</w:t>
            </w:r>
          </w:p>
        </w:tc>
      </w:tr>
      <w:tr w:rsidR="0048002A" w:rsidRPr="005D59A7" w14:paraId="20257EDF" w14:textId="77777777" w:rsidTr="000D4BE5">
        <w:tc>
          <w:tcPr>
            <w:tcW w:w="2952" w:type="dxa"/>
            <w:vAlign w:val="center"/>
          </w:tcPr>
          <w:p w14:paraId="2AEE3995" w14:textId="77777777" w:rsidR="000D4BE5" w:rsidRPr="005D59A7" w:rsidRDefault="000D4BE5" w:rsidP="00A40353">
            <w:pPr>
              <w:pStyle w:val="ListParagraph"/>
              <w:bidi/>
              <w:spacing w:line="240" w:lineRule="auto"/>
              <w:ind w:left="0"/>
              <w:jc w:val="center"/>
              <w:rPr>
                <w:rFonts w:ascii="T" w:hAnsi="T" w:cs="Simplified Arabic"/>
                <w:noProof/>
                <w:sz w:val="24"/>
                <w:szCs w:val="24"/>
                <w:rtl/>
              </w:rPr>
            </w:pPr>
            <w:r w:rsidRPr="005D59A7">
              <w:rPr>
                <w:rFonts w:ascii="T" w:hAnsi="T" w:cs="Simplified Arabic"/>
                <w:noProof/>
                <w:sz w:val="24"/>
                <w:szCs w:val="24"/>
                <w:rtl/>
              </w:rPr>
              <w:drawing>
                <wp:inline distT="0" distB="0" distL="0" distR="0" wp14:anchorId="364C21D1" wp14:editId="21BA2CBD">
                  <wp:extent cx="1076325" cy="1009650"/>
                  <wp:effectExtent l="19050" t="0" r="9525" b="0"/>
                  <wp:docPr id="64" name="صورة 9" descr="C:\Users\PC\Desktop\Adel's PHD\Thesis\Proposal\مجلد جديد\uZQQOFMW_200x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C\Desktop\Adel's PHD\Thesis\Proposal\مجلد جديد\uZQQOFMW_200x200.jpg"/>
                          <pic:cNvPicPr>
                            <a:picLocks noChangeAspect="1" noChangeArrowheads="1"/>
                          </pic:cNvPicPr>
                        </pic:nvPicPr>
                        <pic:blipFill>
                          <a:blip r:embed="rId29"/>
                          <a:srcRect/>
                          <a:stretch>
                            <a:fillRect/>
                          </a:stretch>
                        </pic:blipFill>
                        <pic:spPr bwMode="auto">
                          <a:xfrm>
                            <a:off x="0" y="0"/>
                            <a:ext cx="1076325" cy="1009650"/>
                          </a:xfrm>
                          <a:prstGeom prst="rect">
                            <a:avLst/>
                          </a:prstGeom>
                          <a:noFill/>
                          <a:ln w="9525">
                            <a:noFill/>
                            <a:miter lim="800000"/>
                            <a:headEnd/>
                            <a:tailEnd/>
                          </a:ln>
                        </pic:spPr>
                      </pic:pic>
                    </a:graphicData>
                  </a:graphic>
                </wp:inline>
              </w:drawing>
            </w:r>
          </w:p>
        </w:tc>
        <w:tc>
          <w:tcPr>
            <w:tcW w:w="2420" w:type="dxa"/>
            <w:vAlign w:val="center"/>
          </w:tcPr>
          <w:p w14:paraId="1023D722"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لتمنية الحياة الفطرية</w:t>
            </w:r>
          </w:p>
        </w:tc>
        <w:tc>
          <w:tcPr>
            <w:tcW w:w="2430" w:type="dxa"/>
          </w:tcPr>
          <w:p w14:paraId="4A00EA33"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حماية الحياة الفطرية في المملكة والتنوع الأحيائي والمحميات الطبيعية والكائنات الحية النادرة وغيرها.</w:t>
            </w:r>
          </w:p>
        </w:tc>
      </w:tr>
      <w:tr w:rsidR="0048002A" w:rsidRPr="005D59A7" w14:paraId="7BC71A0F" w14:textId="77777777" w:rsidTr="000D4BE5">
        <w:tc>
          <w:tcPr>
            <w:tcW w:w="2952" w:type="dxa"/>
            <w:vAlign w:val="center"/>
          </w:tcPr>
          <w:p w14:paraId="5980EA68" w14:textId="77777777" w:rsidR="000D4BE5" w:rsidRPr="005D59A7" w:rsidRDefault="000D4BE5" w:rsidP="00A40353">
            <w:pPr>
              <w:pStyle w:val="ListParagraph"/>
              <w:bidi/>
              <w:spacing w:line="240" w:lineRule="auto"/>
              <w:ind w:left="0"/>
              <w:jc w:val="center"/>
              <w:rPr>
                <w:rFonts w:ascii="T" w:hAnsi="T" w:cs="Simplified Arabic"/>
                <w:noProof/>
                <w:sz w:val="24"/>
                <w:szCs w:val="24"/>
                <w:rtl/>
              </w:rPr>
            </w:pPr>
            <w:r w:rsidRPr="005D59A7">
              <w:rPr>
                <w:rFonts w:ascii="T" w:hAnsi="T" w:cs="Simplified Arabic"/>
                <w:noProof/>
                <w:sz w:val="24"/>
                <w:szCs w:val="24"/>
                <w:rtl/>
              </w:rPr>
              <w:drawing>
                <wp:inline distT="0" distB="0" distL="0" distR="0" wp14:anchorId="7E531204" wp14:editId="53E72EF8">
                  <wp:extent cx="882585" cy="876300"/>
                  <wp:effectExtent l="19050" t="0" r="0" b="0"/>
                  <wp:docPr id="65" name="صورة 10" descr="C:\Users\PC\Desktop\Adel's PHD\Thesis\Proposal\مجلد جديد\ncm-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C\Desktop\Adel's PHD\Thesis\Proposal\مجلد جديد\ncm-logo.jpg"/>
                          <pic:cNvPicPr>
                            <a:picLocks noChangeAspect="1" noChangeArrowheads="1"/>
                          </pic:cNvPicPr>
                        </pic:nvPicPr>
                        <pic:blipFill>
                          <a:blip r:embed="rId30"/>
                          <a:srcRect/>
                          <a:stretch>
                            <a:fillRect/>
                          </a:stretch>
                        </pic:blipFill>
                        <pic:spPr bwMode="auto">
                          <a:xfrm>
                            <a:off x="0" y="0"/>
                            <a:ext cx="882585" cy="876300"/>
                          </a:xfrm>
                          <a:prstGeom prst="rect">
                            <a:avLst/>
                          </a:prstGeom>
                          <a:noFill/>
                          <a:ln w="9525">
                            <a:noFill/>
                            <a:miter lim="800000"/>
                            <a:headEnd/>
                            <a:tailEnd/>
                          </a:ln>
                        </pic:spPr>
                      </pic:pic>
                    </a:graphicData>
                  </a:graphic>
                </wp:inline>
              </w:drawing>
            </w:r>
          </w:p>
        </w:tc>
        <w:tc>
          <w:tcPr>
            <w:tcW w:w="2420" w:type="dxa"/>
            <w:vAlign w:val="center"/>
          </w:tcPr>
          <w:p w14:paraId="41AD76DE"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للأرصاد</w:t>
            </w:r>
          </w:p>
        </w:tc>
        <w:tc>
          <w:tcPr>
            <w:tcW w:w="2430" w:type="dxa"/>
          </w:tcPr>
          <w:p w14:paraId="36B5E962"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الأرصاد الجوية وتنبيهات الأمطار والأتربة والإنذارت والتوقعات.</w:t>
            </w:r>
          </w:p>
        </w:tc>
      </w:tr>
      <w:tr w:rsidR="0048002A" w:rsidRPr="005D59A7" w14:paraId="41E8AF5E" w14:textId="77777777" w:rsidTr="000D4BE5">
        <w:tc>
          <w:tcPr>
            <w:tcW w:w="2952" w:type="dxa"/>
            <w:vAlign w:val="center"/>
          </w:tcPr>
          <w:p w14:paraId="203F99E7" w14:textId="77777777" w:rsidR="000D4BE5" w:rsidRPr="005D59A7" w:rsidRDefault="000D4BE5" w:rsidP="00A40353">
            <w:pPr>
              <w:pStyle w:val="ListParagraph"/>
              <w:bidi/>
              <w:spacing w:line="240" w:lineRule="auto"/>
              <w:ind w:left="0"/>
              <w:jc w:val="center"/>
              <w:rPr>
                <w:rFonts w:ascii="T" w:hAnsi="T" w:cs="Simplified Arabic"/>
                <w:noProof/>
                <w:sz w:val="24"/>
                <w:szCs w:val="24"/>
                <w:rtl/>
              </w:rPr>
            </w:pPr>
            <w:r w:rsidRPr="005D59A7">
              <w:rPr>
                <w:rFonts w:ascii="T" w:hAnsi="T" w:cs="Simplified Arabic"/>
                <w:noProof/>
                <w:sz w:val="24"/>
                <w:szCs w:val="24"/>
                <w:rtl/>
              </w:rPr>
              <w:drawing>
                <wp:inline distT="0" distB="0" distL="0" distR="0" wp14:anchorId="6701C253" wp14:editId="4988C903">
                  <wp:extent cx="1009650" cy="904875"/>
                  <wp:effectExtent l="19050" t="0" r="0" b="0"/>
                  <wp:docPr id="66" name="صورة 11" descr="C:\Users\PC\Desktop\Adel's PHD\Thesis\Proposal\مجلد جديد\amo0sQOV_4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C\Desktop\Adel's PHD\Thesis\Proposal\مجلد جديد\amo0sQOV_400x400.jpg"/>
                          <pic:cNvPicPr>
                            <a:picLocks noChangeAspect="1" noChangeArrowheads="1"/>
                          </pic:cNvPicPr>
                        </pic:nvPicPr>
                        <pic:blipFill>
                          <a:blip r:embed="rId31" cstate="print"/>
                          <a:srcRect/>
                          <a:stretch>
                            <a:fillRect/>
                          </a:stretch>
                        </pic:blipFill>
                        <pic:spPr bwMode="auto">
                          <a:xfrm>
                            <a:off x="0" y="0"/>
                            <a:ext cx="1009650" cy="904875"/>
                          </a:xfrm>
                          <a:prstGeom prst="rect">
                            <a:avLst/>
                          </a:prstGeom>
                          <a:noFill/>
                          <a:ln w="9525">
                            <a:noFill/>
                            <a:miter lim="800000"/>
                            <a:headEnd/>
                            <a:tailEnd/>
                          </a:ln>
                        </pic:spPr>
                      </pic:pic>
                    </a:graphicData>
                  </a:graphic>
                </wp:inline>
              </w:drawing>
            </w:r>
          </w:p>
        </w:tc>
        <w:tc>
          <w:tcPr>
            <w:tcW w:w="2420" w:type="dxa"/>
            <w:vAlign w:val="center"/>
          </w:tcPr>
          <w:p w14:paraId="42FFEE7C"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لإدارة النفايات</w:t>
            </w:r>
          </w:p>
        </w:tc>
        <w:tc>
          <w:tcPr>
            <w:tcW w:w="2430" w:type="dxa"/>
          </w:tcPr>
          <w:p w14:paraId="6F6CF465"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إدارة النفايات والبرامج الخاصة بها مثل إعادة التدوير والمدافن والرقابة على الآثار البيئية المصاحبة.</w:t>
            </w:r>
          </w:p>
        </w:tc>
      </w:tr>
      <w:tr w:rsidR="0048002A" w:rsidRPr="005D59A7" w14:paraId="4088F8FE" w14:textId="77777777" w:rsidTr="000D4BE5">
        <w:tc>
          <w:tcPr>
            <w:tcW w:w="2952" w:type="dxa"/>
            <w:vAlign w:val="center"/>
          </w:tcPr>
          <w:p w14:paraId="169C798D" w14:textId="77777777" w:rsidR="000D4BE5" w:rsidRPr="005D59A7" w:rsidRDefault="000D4BE5" w:rsidP="00A40353">
            <w:pPr>
              <w:pStyle w:val="ListParagraph"/>
              <w:bidi/>
              <w:spacing w:line="240" w:lineRule="auto"/>
              <w:ind w:left="0"/>
              <w:jc w:val="center"/>
              <w:rPr>
                <w:rFonts w:ascii="T" w:hAnsi="T" w:cs="Simplified Arabic"/>
                <w:noProof/>
                <w:sz w:val="24"/>
                <w:szCs w:val="24"/>
                <w:rtl/>
              </w:rPr>
            </w:pPr>
            <w:r w:rsidRPr="005D59A7">
              <w:rPr>
                <w:rFonts w:ascii="T" w:hAnsi="T" w:cs="Simplified Arabic"/>
                <w:noProof/>
                <w:sz w:val="24"/>
                <w:szCs w:val="24"/>
                <w:rtl/>
              </w:rPr>
              <w:drawing>
                <wp:inline distT="0" distB="0" distL="0" distR="0" wp14:anchorId="1F945048" wp14:editId="17D8ABFB">
                  <wp:extent cx="962025" cy="857250"/>
                  <wp:effectExtent l="19050" t="0" r="9525" b="0"/>
                  <wp:docPr id="67" name="صورة 12" descr="C:\Users\PC\Desktop\Adel's PHD\Thesis\Proposal\مجلد جديد\6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C\Desktop\Adel's PHD\Thesis\Proposal\مجلد جديد\6174.jpg"/>
                          <pic:cNvPicPr>
                            <a:picLocks noChangeAspect="1" noChangeArrowheads="1"/>
                          </pic:cNvPicPr>
                        </pic:nvPicPr>
                        <pic:blipFill>
                          <a:blip r:embed="rId32" cstate="print"/>
                          <a:srcRect/>
                          <a:stretch>
                            <a:fillRect/>
                          </a:stretch>
                        </pic:blipFill>
                        <pic:spPr bwMode="auto">
                          <a:xfrm>
                            <a:off x="0" y="0"/>
                            <a:ext cx="962025" cy="857250"/>
                          </a:xfrm>
                          <a:prstGeom prst="rect">
                            <a:avLst/>
                          </a:prstGeom>
                          <a:noFill/>
                          <a:ln w="9525">
                            <a:noFill/>
                            <a:miter lim="800000"/>
                            <a:headEnd/>
                            <a:tailEnd/>
                          </a:ln>
                        </pic:spPr>
                      </pic:pic>
                    </a:graphicData>
                  </a:graphic>
                </wp:inline>
              </w:drawing>
            </w:r>
          </w:p>
        </w:tc>
        <w:tc>
          <w:tcPr>
            <w:tcW w:w="2420" w:type="dxa"/>
            <w:vAlign w:val="center"/>
          </w:tcPr>
          <w:p w14:paraId="0BEFC5E1"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صندوق البيئة</w:t>
            </w:r>
          </w:p>
        </w:tc>
        <w:tc>
          <w:tcPr>
            <w:tcW w:w="2430" w:type="dxa"/>
          </w:tcPr>
          <w:p w14:paraId="0887104C"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تنسيق التمويل للمراكز الخمسة من خلال الوزارة والإشراف على تمويل كافة البرامج والمبادرات الخاصة بهم.</w:t>
            </w:r>
          </w:p>
        </w:tc>
      </w:tr>
    </w:tbl>
    <w:p w14:paraId="61C509C1" w14:textId="4D1AD6D1" w:rsidR="000D4BE5" w:rsidRPr="005D59A7" w:rsidRDefault="000D4BE5" w:rsidP="00861DC2">
      <w:pPr>
        <w:pStyle w:val="Caption"/>
        <w:bidi/>
        <w:spacing w:line="360" w:lineRule="auto"/>
        <w:ind w:firstLine="720"/>
        <w:jc w:val="center"/>
        <w:rPr>
          <w:rFonts w:ascii="T" w:hAnsi="T" w:cs="Simplified Arabic"/>
          <w:color w:val="auto"/>
          <w:sz w:val="24"/>
          <w:szCs w:val="24"/>
          <w:rtl/>
        </w:rPr>
      </w:pPr>
      <w:bookmarkStart w:id="60" w:name="_Toc225991176"/>
      <w:r w:rsidRPr="005D59A7">
        <w:rPr>
          <w:rFonts w:ascii="T" w:hAnsi="T" w:cs="Simplified Arabic"/>
          <w:color w:val="auto"/>
          <w:sz w:val="24"/>
          <w:szCs w:val="24"/>
        </w:rPr>
        <w:t>Table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Table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4</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الجهات البيئية بالمملكة العربية السعودية</w:t>
      </w:r>
      <w:bookmarkEnd w:id="60"/>
    </w:p>
    <w:p w14:paraId="20C3CF7E" w14:textId="77777777" w:rsidR="00FF1690" w:rsidRPr="005D59A7" w:rsidRDefault="00616CCD" w:rsidP="0045581D">
      <w:pPr>
        <w:pStyle w:val="Heading3"/>
        <w:numPr>
          <w:ilvl w:val="0"/>
          <w:numId w:val="9"/>
        </w:numPr>
        <w:bidi/>
        <w:spacing w:line="360" w:lineRule="auto"/>
        <w:ind w:firstLine="720"/>
        <w:rPr>
          <w:rFonts w:ascii="T" w:hAnsi="T" w:cs="Simplified Arabic"/>
          <w:color w:val="auto"/>
          <w:sz w:val="24"/>
          <w:szCs w:val="24"/>
          <w:rtl/>
        </w:rPr>
      </w:pPr>
      <w:bookmarkStart w:id="61" w:name="_Toc234607890"/>
      <w:r w:rsidRPr="005D59A7">
        <w:rPr>
          <w:rFonts w:ascii="T" w:hAnsi="T" w:cs="Simplified Arabic"/>
          <w:color w:val="auto"/>
          <w:sz w:val="24"/>
          <w:szCs w:val="24"/>
          <w:rtl/>
        </w:rPr>
        <w:lastRenderedPageBreak/>
        <w:t xml:space="preserve">تقرير دراسة </w:t>
      </w:r>
      <w:r w:rsidR="00A6181A" w:rsidRPr="005D59A7">
        <w:rPr>
          <w:rFonts w:ascii="T" w:hAnsi="T" w:cs="Simplified Arabic"/>
          <w:color w:val="auto"/>
          <w:sz w:val="24"/>
          <w:szCs w:val="24"/>
          <w:rtl/>
        </w:rPr>
        <w:t>الإستراتيجية</w:t>
      </w:r>
      <w:r w:rsidR="00FF1690" w:rsidRPr="005D59A7">
        <w:rPr>
          <w:rFonts w:ascii="T" w:hAnsi="T" w:cs="Simplified Arabic"/>
          <w:color w:val="auto"/>
          <w:sz w:val="24"/>
          <w:szCs w:val="24"/>
          <w:rtl/>
        </w:rPr>
        <w:t xml:space="preserve"> الوطنية للبيئة</w:t>
      </w:r>
      <w:r w:rsidRPr="005D59A7">
        <w:rPr>
          <w:rFonts w:ascii="T" w:hAnsi="T" w:cs="Simplified Arabic"/>
          <w:color w:val="auto"/>
          <w:sz w:val="24"/>
          <w:szCs w:val="24"/>
          <w:rtl/>
        </w:rPr>
        <w:t xml:space="preserve"> (وزارة البيئة والمياه والزراعة، 2018).</w:t>
      </w:r>
      <w:bookmarkEnd w:id="61"/>
    </w:p>
    <w:p w14:paraId="12FBE2DA" w14:textId="77777777" w:rsidR="00FF1690" w:rsidRPr="005D59A7" w:rsidRDefault="008C391A" w:rsidP="00A40353">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جاءت الحاجة إلى وجود إستراتيجية بيئية وطنية</w:t>
      </w:r>
      <w:r w:rsidRPr="005D59A7">
        <w:rPr>
          <w:rFonts w:ascii="T" w:hAnsi="T" w:cs="Simplified Arabic"/>
          <w:sz w:val="24"/>
          <w:szCs w:val="24"/>
        </w:rPr>
        <w:t xml:space="preserve"> </w:t>
      </w:r>
      <w:r w:rsidRPr="005D59A7">
        <w:rPr>
          <w:rFonts w:ascii="T" w:hAnsi="T" w:cs="Simplified Arabic"/>
          <w:sz w:val="24"/>
          <w:szCs w:val="24"/>
          <w:rtl/>
        </w:rPr>
        <w:t>على مدى العقود الماضية، حيث تفاقمت الضغوط على البيئة والموارد الطبيعية نتيجة الزيادة المطردة في عدد سكان المملكة (+136% على مدى السنوات الثلاثين الماضية)</w:t>
      </w:r>
    </w:p>
    <w:p w14:paraId="643A8302" w14:textId="77777777" w:rsidR="008C391A" w:rsidRPr="005D59A7" w:rsidRDefault="008C391A" w:rsidP="00A40353">
      <w:pPr>
        <w:bidi/>
        <w:spacing w:line="360" w:lineRule="auto"/>
        <w:ind w:left="84"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6E4A7D25" wp14:editId="3AAFE0CA">
            <wp:extent cx="3524250" cy="1047750"/>
            <wp:effectExtent l="19050" t="0" r="0" b="0"/>
            <wp:docPr id="5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srcRect/>
                    <a:stretch>
                      <a:fillRect/>
                    </a:stretch>
                  </pic:blipFill>
                  <pic:spPr bwMode="auto">
                    <a:xfrm>
                      <a:off x="0" y="0"/>
                      <a:ext cx="3524250" cy="1047750"/>
                    </a:xfrm>
                    <a:prstGeom prst="rect">
                      <a:avLst/>
                    </a:prstGeom>
                    <a:noFill/>
                    <a:ln w="9525">
                      <a:noFill/>
                      <a:miter lim="800000"/>
                      <a:headEnd/>
                      <a:tailEnd/>
                    </a:ln>
                  </pic:spPr>
                </pic:pic>
              </a:graphicData>
            </a:graphic>
          </wp:inline>
        </w:drawing>
      </w:r>
    </w:p>
    <w:p w14:paraId="33C0DE4F" w14:textId="43DA459C" w:rsidR="008C391A" w:rsidRPr="005D59A7" w:rsidRDefault="008C391A" w:rsidP="00A40353">
      <w:pPr>
        <w:pStyle w:val="Caption"/>
        <w:bidi/>
        <w:spacing w:line="360" w:lineRule="auto"/>
        <w:ind w:left="84" w:firstLine="720"/>
        <w:jc w:val="center"/>
        <w:rPr>
          <w:rFonts w:ascii="T" w:hAnsi="T" w:cs="Simplified Arabic"/>
          <w:color w:val="auto"/>
          <w:sz w:val="24"/>
          <w:szCs w:val="24"/>
          <w:rtl/>
        </w:rPr>
      </w:pPr>
      <w:bookmarkStart w:id="62" w:name="_Toc225991169"/>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5</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النمو السكاني خلال الثلاثين عاماً الماضية (بالملايين)</w:t>
      </w:r>
      <w:bookmarkEnd w:id="62"/>
    </w:p>
    <w:p w14:paraId="091D5CD6" w14:textId="77777777" w:rsidR="008C391A" w:rsidRPr="005D59A7" w:rsidRDefault="008C391A"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كما شهدت جميع القطاعات نمواً ملحوظاً (التصنيع، والطاقة، والنقل، والتعدين، والزراعة).</w:t>
      </w:r>
    </w:p>
    <w:p w14:paraId="467F32F1" w14:textId="77777777" w:rsidR="008C391A" w:rsidRPr="005D59A7" w:rsidRDefault="008C391A" w:rsidP="00A40353">
      <w:pPr>
        <w:bidi/>
        <w:spacing w:line="360" w:lineRule="auto"/>
        <w:ind w:left="84"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084F720A" wp14:editId="6AD69623">
            <wp:extent cx="3600450" cy="1123950"/>
            <wp:effectExtent l="19050" t="0" r="0" b="0"/>
            <wp:docPr id="5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srcRect/>
                    <a:stretch>
                      <a:fillRect/>
                    </a:stretch>
                  </pic:blipFill>
                  <pic:spPr bwMode="auto">
                    <a:xfrm>
                      <a:off x="0" y="0"/>
                      <a:ext cx="3600450" cy="1123950"/>
                    </a:xfrm>
                    <a:prstGeom prst="rect">
                      <a:avLst/>
                    </a:prstGeom>
                    <a:noFill/>
                    <a:ln w="9525">
                      <a:noFill/>
                      <a:miter lim="800000"/>
                      <a:headEnd/>
                      <a:tailEnd/>
                    </a:ln>
                  </pic:spPr>
                </pic:pic>
              </a:graphicData>
            </a:graphic>
          </wp:inline>
        </w:drawing>
      </w:r>
    </w:p>
    <w:p w14:paraId="18D2200B" w14:textId="33C652CD" w:rsidR="008C391A" w:rsidRPr="005D59A7" w:rsidRDefault="008C391A" w:rsidP="00A40353">
      <w:pPr>
        <w:pStyle w:val="Caption"/>
        <w:bidi/>
        <w:spacing w:line="360" w:lineRule="auto"/>
        <w:ind w:left="84" w:firstLine="720"/>
        <w:jc w:val="center"/>
        <w:rPr>
          <w:rFonts w:ascii="T" w:hAnsi="T" w:cs="Simplified Arabic"/>
          <w:color w:val="auto"/>
          <w:sz w:val="24"/>
          <w:szCs w:val="24"/>
          <w:rtl/>
        </w:rPr>
      </w:pPr>
      <w:bookmarkStart w:id="63" w:name="_Toc225991170"/>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6</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نمو الناتج المحلي الإجمالي على مدار الثلاثين عاماً الماضية (بالمليارات من الريال السعودي بأسعار ثابتة/سنوياً)</w:t>
      </w:r>
      <w:bookmarkEnd w:id="63"/>
    </w:p>
    <w:p w14:paraId="50240D54" w14:textId="77777777" w:rsidR="00E71504" w:rsidRPr="005D59A7" w:rsidRDefault="00E71504" w:rsidP="00A40353">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إلا أن جهاز حماية البيئة لم يتكيف مع هذا النمو الكبير من خلال ضعف الالتزام بالضوابط والمعايير البيئية، ضعف الوعي البيئي وانتشار الممارسات الضارة، التدهور البيئي العام (مصادر الملوثات، والنفايات، وتدهور الغطاء النباتي والحياة البرية)، واحتلال المملكة مرتبة متدنية وفقًا لمؤشر الأداء البيئي (</w:t>
      </w:r>
      <w:r w:rsidRPr="005D59A7">
        <w:rPr>
          <w:rFonts w:ascii="T" w:hAnsi="T" w:cs="Simplified Arabic"/>
          <w:sz w:val="24"/>
          <w:szCs w:val="24"/>
        </w:rPr>
        <w:t>EPI</w:t>
      </w:r>
      <w:r w:rsidRPr="005D59A7">
        <w:rPr>
          <w:rFonts w:ascii="T" w:hAnsi="T" w:cs="Simplified Arabic"/>
          <w:sz w:val="24"/>
          <w:szCs w:val="24"/>
          <w:rtl/>
        </w:rPr>
        <w:t>) (المرتبة "86" لعام 2017 من بين 180 دولة). وقد استلزم هذا الوضع وضع استراتيجية بيئية وطنية تحدد إطاراً شاملاً لتنفيذ حلول جذرية معينة لتحسين أداء القطاع وحماية البيئة واستدامتها</w:t>
      </w:r>
      <w:r w:rsidR="000C74D1" w:rsidRPr="005D59A7">
        <w:rPr>
          <w:rFonts w:ascii="T" w:hAnsi="T" w:cs="Simplified Arabic"/>
          <w:sz w:val="24"/>
          <w:szCs w:val="24"/>
          <w:rtl/>
        </w:rPr>
        <w:t xml:space="preserve"> (</w:t>
      </w:r>
      <w:r w:rsidR="000C74D1" w:rsidRPr="005D59A7">
        <w:rPr>
          <w:rFonts w:ascii="T" w:hAnsi="T" w:cs="Simplified Arabic"/>
          <w:sz w:val="24"/>
          <w:szCs w:val="24"/>
        </w:rPr>
        <w:t>NES, 2018</w:t>
      </w:r>
      <w:r w:rsidR="000C74D1" w:rsidRPr="005D59A7">
        <w:rPr>
          <w:rFonts w:ascii="T" w:hAnsi="T" w:cs="Simplified Arabic"/>
          <w:sz w:val="24"/>
          <w:szCs w:val="24"/>
          <w:rtl/>
        </w:rPr>
        <w:t>)</w:t>
      </w:r>
      <w:r w:rsidRPr="005D59A7">
        <w:rPr>
          <w:rFonts w:ascii="T" w:hAnsi="T" w:cs="Simplified Arabic"/>
          <w:sz w:val="24"/>
          <w:szCs w:val="24"/>
          <w:rtl/>
        </w:rPr>
        <w:t>.</w:t>
      </w:r>
    </w:p>
    <w:p w14:paraId="1220265C" w14:textId="77777777" w:rsidR="00E71504" w:rsidRPr="005D59A7" w:rsidRDefault="00E71504"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تطمح </w:t>
      </w:r>
      <w:r w:rsidR="000C74D1" w:rsidRPr="005D59A7">
        <w:rPr>
          <w:rFonts w:ascii="T" w:hAnsi="T" w:cs="Simplified Arabic"/>
          <w:sz w:val="24"/>
          <w:szCs w:val="24"/>
          <w:rtl/>
        </w:rPr>
        <w:t>الإستراتيجية</w:t>
      </w:r>
      <w:r w:rsidRPr="005D59A7">
        <w:rPr>
          <w:rFonts w:ascii="T" w:hAnsi="T" w:cs="Simplified Arabic"/>
          <w:sz w:val="24"/>
          <w:szCs w:val="24"/>
          <w:rtl/>
        </w:rPr>
        <w:t xml:space="preserve"> الوطنية للبيئة إلى:</w:t>
      </w:r>
    </w:p>
    <w:p w14:paraId="766C5EE7"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تعزيز فعالية القطاع (الإطار المؤسسي، والحوكمة، ونموذج التشغيل، واللوائح البيئية، والاستدامة المالية للقطاع).</w:t>
      </w:r>
    </w:p>
    <w:p w14:paraId="3681A8B3"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زيادة الالتزام بالمعايير البيئية في جميع قطاعات التنمية والحد من التلوث والآثار السلبية على البيئة.</w:t>
      </w:r>
    </w:p>
    <w:p w14:paraId="27319A58"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تطوير الغطاء النباتي الطبيعي ومكافحة التصحر.</w:t>
      </w:r>
    </w:p>
    <w:p w14:paraId="34FAE81A"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حماية الحياة البرية والحفاظ على التنوع البيولوجي.</w:t>
      </w:r>
    </w:p>
    <w:p w14:paraId="18A707E3"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تشجيع مشاركة القطاع الخاص لتحسين جودة الخدمات، وتعزيز الاقتصاد، وتحفيز الابتكار.</w:t>
      </w:r>
    </w:p>
    <w:p w14:paraId="5AE64C28"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تعزيز القدرة الوطنية على التكيف مع تغير المناخ.</w:t>
      </w:r>
    </w:p>
    <w:p w14:paraId="50047951"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رفع مستوى الوعي البيئي وتعزيز دور المنظمات غير الحكومية والعمل التطوعي.</w:t>
      </w:r>
    </w:p>
    <w:p w14:paraId="56AEE9A6"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تحسين جودة ونطاق تغطية خدمات الأرصاد الجوية.</w:t>
      </w:r>
    </w:p>
    <w:p w14:paraId="0F465B40" w14:textId="77777777" w:rsidR="00125FDB" w:rsidRPr="005D59A7" w:rsidRDefault="00E71504"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تطلب إعداد الإستراتيجية الإشراف والحوكمة من قبل عدد من الجهات بمختلف التخصصات</w:t>
      </w:r>
      <w:r w:rsidR="00125FDB" w:rsidRPr="005D59A7">
        <w:rPr>
          <w:rFonts w:ascii="T" w:hAnsi="T" w:cs="Simplified Arabic"/>
          <w:sz w:val="24"/>
          <w:szCs w:val="24"/>
          <w:rtl/>
        </w:rPr>
        <w:t xml:space="preserve"> والهيكلة المؤسسية:</w:t>
      </w:r>
    </w:p>
    <w:p w14:paraId="192766D7" w14:textId="77777777" w:rsidR="00125FDB" w:rsidRPr="005D59A7" w:rsidRDefault="00125FDB" w:rsidP="0045581D">
      <w:pPr>
        <w:pStyle w:val="ListParagraph"/>
        <w:numPr>
          <w:ilvl w:val="0"/>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اللجنة التوجيهية، برئاسة معالي وزير البيئة والمياه والزراعة، وعضوية 20 عضواً يمثلون جميع القطاعات ذات الصلة:</w:t>
      </w:r>
    </w:p>
    <w:p w14:paraId="17A10F9D"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البيئة والمياه والزراعة.</w:t>
      </w:r>
    </w:p>
    <w:p w14:paraId="18E0B4C8"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الاقتصاد والتخطيط.</w:t>
      </w:r>
    </w:p>
    <w:p w14:paraId="7F841FB7"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الطاقة والصناعة والموارد المعدنية.</w:t>
      </w:r>
    </w:p>
    <w:p w14:paraId="0AC19F21"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الصحة.</w:t>
      </w:r>
    </w:p>
    <w:p w14:paraId="41025AFA"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النقل.</w:t>
      </w:r>
    </w:p>
    <w:p w14:paraId="1269062F"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الشؤون البلدية والريفية.</w:t>
      </w:r>
    </w:p>
    <w:p w14:paraId="621EF8FC"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العامة للأرصاد الجوية وحماية البيئة.</w:t>
      </w:r>
    </w:p>
    <w:p w14:paraId="5942D96D"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السعودية للحياة البرية.</w:t>
      </w:r>
    </w:p>
    <w:p w14:paraId="749C0A6E"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الملكية بالجبيل وينبع.</w:t>
      </w:r>
    </w:p>
    <w:p w14:paraId="21490404"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الهيئة الملكية للجبيل و</w:t>
      </w:r>
    </w:p>
    <w:p w14:paraId="092BD038"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السعودية للسياحة والتراث الوطني.</w:t>
      </w:r>
    </w:p>
    <w:p w14:paraId="70DFA1BF"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المركز السعودي لكفاءة الطاقة.</w:t>
      </w:r>
    </w:p>
    <w:p w14:paraId="4E4D1F70"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اللجنة الوطنية لآلية التنمية النظيفة.</w:t>
      </w:r>
    </w:p>
    <w:p w14:paraId="7FBBD9AF"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عبد الله للعلوم والتكنولوجيا.</w:t>
      </w:r>
    </w:p>
    <w:p w14:paraId="649B1225"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فهد البترول والمعادن.</w:t>
      </w:r>
    </w:p>
    <w:p w14:paraId="2C141426"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سعود.</w:t>
      </w:r>
    </w:p>
    <w:p w14:paraId="1955AF34" w14:textId="77777777" w:rsidR="00125FDB" w:rsidRPr="005D59A7" w:rsidRDefault="00957F3D" w:rsidP="0045581D">
      <w:pPr>
        <w:pStyle w:val="ListParagraph"/>
        <w:numPr>
          <w:ilvl w:val="0"/>
          <w:numId w:val="21"/>
        </w:numPr>
        <w:bidi/>
        <w:spacing w:line="360" w:lineRule="auto"/>
        <w:ind w:left="84" w:firstLine="720"/>
        <w:rPr>
          <w:rFonts w:ascii="T" w:hAnsi="T" w:cs="Simplified Arabic"/>
          <w:sz w:val="24"/>
          <w:szCs w:val="24"/>
        </w:rPr>
      </w:pPr>
      <w:r w:rsidRPr="005D59A7">
        <w:rPr>
          <w:rFonts w:ascii="T" w:hAnsi="T" w:cs="Simplified Arabic"/>
          <w:sz w:val="24"/>
          <w:szCs w:val="24"/>
          <w:rtl/>
        </w:rPr>
        <w:t>لجنة علمية تتألف من 19 عضواً:</w:t>
      </w:r>
    </w:p>
    <w:p w14:paraId="072F169D"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البيئة والمياه والزراعة (إدارات البيئة، المياه، الزراعة، التخطيط، الخصخصة، ومكتب تحقيق الرؤية).</w:t>
      </w:r>
    </w:p>
    <w:p w14:paraId="34834BC5"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السعودية للحياة البرية.</w:t>
      </w:r>
    </w:p>
    <w:p w14:paraId="2BFE8A07"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العامة للأرصاد الجوية وحماية البيئة.</w:t>
      </w:r>
    </w:p>
    <w:p w14:paraId="5F01F0A1"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عبد الله للعلوم والتكنولوجيا.</w:t>
      </w:r>
    </w:p>
    <w:p w14:paraId="68793244"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فهد البترول والمعادن.</w:t>
      </w:r>
    </w:p>
    <w:p w14:paraId="0C8A5C7B"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سعود.</w:t>
      </w:r>
    </w:p>
    <w:p w14:paraId="330AA53D"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منظمة الأغذية والزراعة (الفاو).</w:t>
      </w:r>
    </w:p>
    <w:p w14:paraId="3A71E4BC"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خبراء البيئة السعوديون.</w:t>
      </w:r>
    </w:p>
    <w:p w14:paraId="3E60D664" w14:textId="77777777" w:rsidR="00957F3D" w:rsidRPr="005D59A7" w:rsidRDefault="00957F3D" w:rsidP="0045581D">
      <w:pPr>
        <w:pStyle w:val="ListParagraph"/>
        <w:numPr>
          <w:ilvl w:val="0"/>
          <w:numId w:val="21"/>
        </w:numPr>
        <w:bidi/>
        <w:spacing w:line="360" w:lineRule="auto"/>
        <w:ind w:left="84" w:firstLine="720"/>
        <w:rPr>
          <w:rFonts w:ascii="T" w:hAnsi="T" w:cs="Simplified Arabic"/>
          <w:sz w:val="24"/>
          <w:szCs w:val="24"/>
        </w:rPr>
      </w:pPr>
      <w:r w:rsidRPr="005D59A7">
        <w:rPr>
          <w:rFonts w:ascii="T" w:hAnsi="T" w:cs="Simplified Arabic"/>
          <w:sz w:val="24"/>
          <w:szCs w:val="24"/>
          <w:rtl/>
        </w:rPr>
        <w:t>فريق دراسة يتألف من 18 عضواً:</w:t>
      </w:r>
    </w:p>
    <w:p w14:paraId="240D88DB"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فريق من وزارة البيئة والمياه والزراعة يتألف من 8 أشخاص.</w:t>
      </w:r>
    </w:p>
    <w:p w14:paraId="3647FAD2"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فريق مكتب استشاري يتألف من "10" أشخاص.</w:t>
      </w:r>
    </w:p>
    <w:p w14:paraId="026E2C26"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خبراء دوليون.</w:t>
      </w:r>
    </w:p>
    <w:p w14:paraId="57A069D2" w14:textId="77777777" w:rsidR="00957F3D" w:rsidRPr="005D59A7" w:rsidRDefault="00957F3D" w:rsidP="0045581D">
      <w:pPr>
        <w:pStyle w:val="ListParagraph"/>
        <w:numPr>
          <w:ilvl w:val="0"/>
          <w:numId w:val="21"/>
        </w:numPr>
        <w:bidi/>
        <w:spacing w:line="360" w:lineRule="auto"/>
        <w:ind w:left="84" w:firstLine="720"/>
        <w:rPr>
          <w:rFonts w:ascii="T" w:hAnsi="T" w:cs="Simplified Arabic"/>
          <w:sz w:val="24"/>
          <w:szCs w:val="24"/>
        </w:rPr>
      </w:pPr>
      <w:r w:rsidRPr="005D59A7">
        <w:rPr>
          <w:rFonts w:ascii="T" w:hAnsi="T" w:cs="Simplified Arabic"/>
          <w:sz w:val="24"/>
          <w:szCs w:val="24"/>
          <w:rtl/>
        </w:rPr>
        <w:t>"25" خبيرًا في "17" مجالًا:</w:t>
      </w:r>
    </w:p>
    <w:p w14:paraId="40088A16"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الاستراتيجيات البيئية.</w:t>
      </w:r>
    </w:p>
    <w:p w14:paraId="22A654F2"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التنوع البيولوجي والحياة البرية الصحراوية.</w:t>
      </w:r>
    </w:p>
    <w:p w14:paraId="6215916B"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البيئة البحرية.</w:t>
      </w:r>
    </w:p>
    <w:p w14:paraId="707896FA"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التربة والتصحر.</w:t>
      </w:r>
    </w:p>
    <w:p w14:paraId="5D44DE3E"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جودة الهواء.</w:t>
      </w:r>
    </w:p>
    <w:p w14:paraId="360EE03E"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تغير المناخ.</w:t>
      </w:r>
    </w:p>
    <w:p w14:paraId="73BD7DB1"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الموارد المائية والمياه الجوفية الحماية من التلوث.</w:t>
      </w:r>
    </w:p>
    <w:p w14:paraId="478BE0F8"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النفايات الصلبة والخطرة.</w:t>
      </w:r>
    </w:p>
    <w:p w14:paraId="5C4252B3"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علم الأرصاد الجوية.</w:t>
      </w:r>
    </w:p>
    <w:p w14:paraId="776B773D"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الحوكمة البيئية والإطار المؤسسي.</w:t>
      </w:r>
    </w:p>
    <w:p w14:paraId="70CA53AC"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الخصخصة والاستثمار في قطاع البيئة.</w:t>
      </w:r>
    </w:p>
    <w:p w14:paraId="1CF8D8B6" w14:textId="77777777" w:rsidR="00957F3D"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الاقتصاد البيئي والاجتماعي.</w:t>
      </w:r>
    </w:p>
    <w:p w14:paraId="119E6EE6" w14:textId="77777777" w:rsidR="000C74D1"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إعادة التأهيل والاستدامة وإعادة التدوير.</w:t>
      </w:r>
    </w:p>
    <w:p w14:paraId="06112A8D" w14:textId="77777777" w:rsidR="000C74D1"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الاستجابة لحالات الطوارئ وحوادث انسكاب النفط.</w:t>
      </w:r>
    </w:p>
    <w:p w14:paraId="5B9A1127" w14:textId="77777777" w:rsidR="000C74D1"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رأس المال البشري في قطاع البيئة.</w:t>
      </w:r>
    </w:p>
    <w:p w14:paraId="4090EC45" w14:textId="77777777" w:rsidR="000C74D1"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المعلومات والتكنولوجيا في قطاع البيئة.</w:t>
      </w:r>
    </w:p>
    <w:p w14:paraId="12C4EA83" w14:textId="77777777" w:rsidR="00297342" w:rsidRPr="005D59A7" w:rsidRDefault="00297342" w:rsidP="00861DC2">
      <w:pPr>
        <w:pStyle w:val="Heading4"/>
        <w:bidi/>
        <w:spacing w:line="360" w:lineRule="auto"/>
        <w:ind w:firstLine="720"/>
        <w:rPr>
          <w:rFonts w:ascii="T" w:hAnsi="T" w:cs="Simplified Arabic"/>
          <w:b w:val="0"/>
          <w:bCs w:val="0"/>
          <w:color w:val="auto"/>
          <w:sz w:val="24"/>
          <w:szCs w:val="24"/>
        </w:rPr>
      </w:pPr>
      <w:r w:rsidRPr="005D59A7">
        <w:rPr>
          <w:rFonts w:ascii="T" w:hAnsi="T" w:cs="Simplified Arabic"/>
          <w:b w:val="0"/>
          <w:bCs w:val="0"/>
          <w:color w:val="auto"/>
          <w:sz w:val="24"/>
          <w:szCs w:val="24"/>
          <w:rtl/>
        </w:rPr>
        <w:t>الإطار العام للإستراتيجية الوطنية للبيئة:</w:t>
      </w:r>
    </w:p>
    <w:p w14:paraId="26AF19D3" w14:textId="77777777" w:rsidR="000B0864" w:rsidRPr="005D59A7" w:rsidRDefault="000B0864" w:rsidP="000B086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تتوزع طموحات الإستراتيجية الوطنية للبيئة على أربعة أبعاد رئيسية: الاستدامة البيئية (الحفاظ على الموارد الطبيعية، الاستهلاك والإنتاج المستدام، إعادة تأهيل النظم البيئية المتدهورة)، والاستدامة الاقتصادية (بيئة مستدامة اقتصادياً، النمو الاقتصادي المستدام، تعزيز الشراكة بين القطاعين العام والخاص)، والرعاية الاجتماعية (الحد من التلوث، تحسين جودة الحياة، الترويج للسياحة البيئية)، والمشاركة البيئية (مساهمة المجتمع المدني، المشاركة الإقليمية والدولية الفعالة)</w:t>
      </w:r>
      <w:r w:rsidRPr="005D59A7">
        <w:rPr>
          <w:rFonts w:ascii="T" w:hAnsi="T" w:cs="Simplified Arabic"/>
          <w:sz w:val="24"/>
          <w:szCs w:val="24"/>
        </w:rPr>
        <w:t>.</w:t>
      </w:r>
    </w:p>
    <w:p w14:paraId="5FADD074" w14:textId="77777777" w:rsidR="000B0864" w:rsidRPr="005D59A7" w:rsidRDefault="000B0864" w:rsidP="000B086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تتوزع مجالات الاستدامة البيئية عبر خمسة قطاعات: النظم البيئية الأرضية (مواجهة تهديدات التنوع البيولوجي، حماية الموائل، مبادرات الحفاظ)، والنظم البيئية البحرية والساحلية (معالجة تهديدات البيئات البحرية، </w:t>
      </w:r>
      <w:r w:rsidRPr="005D59A7">
        <w:rPr>
          <w:rFonts w:ascii="T" w:hAnsi="T" w:cs="Simplified Arabic"/>
          <w:sz w:val="24"/>
          <w:szCs w:val="24"/>
          <w:rtl/>
        </w:rPr>
        <w:lastRenderedPageBreak/>
        <w:t>الحفاظ على الموائل، مبادرات الحفاظ)، والأرض والتصحر (مواجهة الإفراط في الاستهلاك، إدارة الموارد الطبيعية، إدارة الأراضي المستدامة)، وعلم الأرصاد الجوية (تحسين نطاق الخدمة، تطوير آليات التوريد، رفع جودة التقديم). كما تشمل جودة الهواء وتغير المناخ (مصادر التلوث، تحسين جودة الهواء، استراتيجيات التخفيف)، وموارد المياه (إدارة الطلب، ضمان الجودة والتوافر، الإدارة المتكاملة)، وإدارة النفايات والسلامة الكيميائية (تحديد مصادر النفايات، تطوير البنية التحتية، الإدارة المتكاملة)</w:t>
      </w:r>
      <w:r w:rsidRPr="005D59A7">
        <w:rPr>
          <w:rFonts w:ascii="T" w:hAnsi="T" w:cs="Simplified Arabic"/>
          <w:sz w:val="24"/>
          <w:szCs w:val="24"/>
        </w:rPr>
        <w:t xml:space="preserve"> (NES, 2018).</w:t>
      </w:r>
    </w:p>
    <w:p w14:paraId="0AE79EE9" w14:textId="62F654D5" w:rsidR="00377C52" w:rsidRPr="005D59A7" w:rsidRDefault="00031138" w:rsidP="000B0864">
      <w:pPr>
        <w:bidi/>
        <w:spacing w:line="360" w:lineRule="auto"/>
        <w:ind w:left="84" w:firstLine="720"/>
        <w:jc w:val="both"/>
        <w:rPr>
          <w:rFonts w:ascii="T" w:hAnsi="T" w:cs="Simplified Arabic"/>
          <w:b/>
          <w:bCs/>
          <w:sz w:val="24"/>
          <w:szCs w:val="24"/>
          <w:rtl/>
        </w:rPr>
      </w:pPr>
      <w:r w:rsidRPr="005D59A7">
        <w:rPr>
          <w:rFonts w:ascii="T" w:hAnsi="T" w:cs="Simplified Arabic"/>
          <w:b/>
          <w:bCs/>
          <w:sz w:val="24"/>
          <w:szCs w:val="24"/>
          <w:rtl/>
        </w:rPr>
        <w:t>عوامل تمكين الإستراتيجية الوطنية للبيئة</w:t>
      </w:r>
    </w:p>
    <w:p w14:paraId="6416E33C" w14:textId="77777777" w:rsidR="000B0864" w:rsidRPr="005D59A7" w:rsidRDefault="000B0864" w:rsidP="000B086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تتوزع عوامل تمكين تنفيذ الإستراتيجية الوطنية للبيئة على خمسة محاور رئيسية. المحور الأول: الإطار المؤسسي، ويشمل الهيكل القطاعي، وتحديد مسؤوليات أصحاب المصلحة، وتعزيز مشاركة القطاع الخاص، وإشراك المجتمع المدني، والتعاون الدولي والإقليمي. المحور الثاني: السياسات واللوائح، ويشمل تطوير اللوائح الفنية والاقتصادية (كالرسوم والمخالفات والتعريفات الجمركية)، وأنظمة الترخيص، وآليات المراقبة والامتثال البيئي والإنفاذ والعقوبات. المحور الثالث: العوامل الاقتصادية المساعدة، ويشمل تعزيز مصادر إيرادات القطاع، وتفعيل مشاركة القطاع الخاص، ودور صندوق البيئة، وتوفير حوافز للقطاعات التنموية. المحور الرابع: القدرات المطلوبة، ويشمل تطوير الموارد البشرية والتعليم، وتوطين التقنيات والأنظمة، وتعزيز التخطيط وإدارة المخاطر والتأهب للطوارئ، ودعم البحث والتطوير والابتكار، ونشر الوعي وتغيير السلوك. المحور الخامس: برامج التنفيذ وإدارة الأداء، ويشمل وضع برامج تنفيذية واضحة، وتطوير آليات الإشراف والتنسيق وإدارة الأداء، وخطط وآليات الرصد والتحكم (</w:t>
      </w:r>
      <w:r w:rsidRPr="005D59A7">
        <w:rPr>
          <w:rFonts w:ascii="T" w:hAnsi="T" w:cs="Simplified Arabic"/>
          <w:sz w:val="24"/>
          <w:szCs w:val="24"/>
        </w:rPr>
        <w:t>NES, 2018</w:t>
      </w:r>
      <w:r w:rsidRPr="005D59A7">
        <w:rPr>
          <w:rFonts w:ascii="T" w:hAnsi="T" w:cs="Simplified Arabic"/>
          <w:sz w:val="24"/>
          <w:szCs w:val="24"/>
          <w:rtl/>
        </w:rPr>
        <w:t>).</w:t>
      </w:r>
    </w:p>
    <w:p w14:paraId="072553EE" w14:textId="77777777" w:rsidR="00031138" w:rsidRPr="005D59A7" w:rsidRDefault="00205F80" w:rsidP="0045581D">
      <w:pPr>
        <w:pStyle w:val="Heading4"/>
        <w:numPr>
          <w:ilvl w:val="0"/>
          <w:numId w:val="23"/>
        </w:numPr>
        <w:bidi/>
        <w:spacing w:line="360" w:lineRule="auto"/>
        <w:ind w:left="84" w:firstLine="720"/>
        <w:rPr>
          <w:rFonts w:ascii="T" w:hAnsi="T" w:cs="Simplified Arabic"/>
          <w:b w:val="0"/>
          <w:bCs w:val="0"/>
          <w:color w:val="auto"/>
          <w:sz w:val="24"/>
          <w:szCs w:val="24"/>
        </w:rPr>
      </w:pPr>
      <w:r w:rsidRPr="005D59A7">
        <w:rPr>
          <w:rFonts w:ascii="T" w:hAnsi="T" w:cs="Simplified Arabic"/>
          <w:b w:val="0"/>
          <w:bCs w:val="0"/>
          <w:color w:val="auto"/>
          <w:sz w:val="24"/>
          <w:szCs w:val="24"/>
          <w:rtl/>
        </w:rPr>
        <w:t xml:space="preserve">بعض المختارات من دراسات تقييم الوضع البيئي الحالي: </w:t>
      </w:r>
    </w:p>
    <w:p w14:paraId="3E1188D5" w14:textId="642E0A81" w:rsidR="00205F80" w:rsidRPr="005D59A7" w:rsidRDefault="00205F80" w:rsidP="000B0864">
      <w:pPr>
        <w:bidi/>
        <w:spacing w:line="360" w:lineRule="auto"/>
        <w:ind w:left="804"/>
        <w:rPr>
          <w:rFonts w:ascii="T" w:hAnsi="T" w:cs="Simplified Arabic"/>
          <w:b/>
          <w:bCs/>
          <w:sz w:val="24"/>
          <w:szCs w:val="24"/>
        </w:rPr>
      </w:pPr>
      <w:r w:rsidRPr="005D59A7">
        <w:rPr>
          <w:rFonts w:ascii="T" w:hAnsi="T" w:cs="Simplified Arabic"/>
          <w:b/>
          <w:bCs/>
          <w:sz w:val="24"/>
          <w:szCs w:val="24"/>
          <w:rtl/>
        </w:rPr>
        <w:t>تقييم الوضع الحالي للحياة البرية البحرية والساحلية:</w:t>
      </w:r>
    </w:p>
    <w:p w14:paraId="41DE9EDF" w14:textId="77777777" w:rsidR="000B0864" w:rsidRPr="005D59A7" w:rsidRDefault="000B0864" w:rsidP="000B086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تواجه النظم البيئية البحرية والساحلية في المملكة العربية السعودية ضغوطاً متعددة، أبرزها استصلاح الأراضي والتجريف بسبب التوسع العمراني، وبناء منشآت النقل البحري والصناعية على السواحل، وتراكم النفايات السائلة والصلبة، وممارسات الصيد غير المشروعة، ونمو صناعة الاستزراع المائي. وقد أدت هذه الضغوط إلى تدهور كبير في هذه النظم البيئية، حيث سجلت أشجار المانغروف انخفاضاً بنسبة 75% خلال الفترة من 1985 </w:t>
      </w:r>
      <w:r w:rsidRPr="005D59A7">
        <w:rPr>
          <w:rFonts w:ascii="T" w:hAnsi="T" w:cs="Simplified Arabic"/>
          <w:sz w:val="24"/>
          <w:szCs w:val="24"/>
          <w:rtl/>
        </w:rPr>
        <w:lastRenderedPageBreak/>
        <w:t>إلى 2013، كما ساهمت عمليات الردم والتجريف والممارسات الخاطئة في الصيد في تدمير مساحات واسعة من الشعاب المرجانية، وتسببت حوادث التلوث النفطي خلال حرب الخليج في أضرار بالغة بأشجار المانغروف والمستنقعات المالحة والأعشاب البحرية. كما يعاني التنوع البيولوجي البحري من تهديدات خطيرة، حيث أصبحت أسماك القرش مهددة بالانقراض بسبب التهريب، وأدى الصيد الجائر إلى تعريض ثلاثة أنواع على الأقل من مجموعات الأسماك التجارية للخطر، كما أن أسماك الزينة مثل أسماك الفراشة وأسماك الملائكة مهددة بالانقراض بسبب زيادة الطلب العالمي عليها (</w:t>
      </w:r>
      <w:r w:rsidRPr="005D59A7">
        <w:rPr>
          <w:rFonts w:ascii="T" w:hAnsi="T" w:cs="Simplified Arabic"/>
          <w:sz w:val="24"/>
          <w:szCs w:val="24"/>
        </w:rPr>
        <w:t>NES, 2018</w:t>
      </w:r>
      <w:r w:rsidRPr="005D59A7">
        <w:rPr>
          <w:rFonts w:ascii="T" w:hAnsi="T" w:cs="Simplified Arabic"/>
          <w:sz w:val="24"/>
          <w:szCs w:val="24"/>
          <w:rtl/>
        </w:rPr>
        <w:t>).</w:t>
      </w:r>
    </w:p>
    <w:p w14:paraId="2AB9E893" w14:textId="77777777" w:rsidR="00A564F0" w:rsidRPr="005D59A7" w:rsidRDefault="00E70BD4" w:rsidP="00B3377E">
      <w:pPr>
        <w:bidi/>
        <w:spacing w:line="360" w:lineRule="auto"/>
        <w:ind w:left="226"/>
        <w:rPr>
          <w:rFonts w:ascii="T" w:hAnsi="T" w:cs="Simplified Arabic"/>
          <w:b/>
          <w:bCs/>
          <w:sz w:val="24"/>
          <w:szCs w:val="24"/>
        </w:rPr>
      </w:pPr>
      <w:r w:rsidRPr="005D59A7">
        <w:rPr>
          <w:rFonts w:ascii="T" w:hAnsi="T" w:cs="Simplified Arabic"/>
          <w:b/>
          <w:bCs/>
          <w:sz w:val="24"/>
          <w:szCs w:val="24"/>
          <w:rtl/>
        </w:rPr>
        <w:t>تقييم الوضع الحالي للغطاء النباتي:</w:t>
      </w:r>
    </w:p>
    <w:p w14:paraId="39CBCBB7" w14:textId="77777777" w:rsidR="00B3377E" w:rsidRPr="005D59A7" w:rsidRDefault="00B3377E" w:rsidP="00B3377E">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يواجه الغطاء النباتي في المملكة العربية السعودية ضغوطاً متعددة، أبرزها الرعي الجائر وجمع الحطب، والتعدين واستخراج المحاجر، والأنشطة الترفيهية العشوائية والتوسع العمراني، والممارسات الزراعية الخاطئة، وفترات الجفاف المتكررة. تشكل المراعي نحو 37% من إجمالي مساحة المملكة (146 مليون هكتار)، ويعاني 70% منها من التصحر والتدهور، مع تآكل واسع للتربة يتفاقم بسبب الجفاف. أما الأراضي الحرجية فتشكل 1.1% من المساحة الإجمالية (2.1 مليون هكتار)، وتتأثر أكثر من 6,000 هكتار سنوياً بالآفات والأمراض، مع تزايد ظاهرة موت الأشجار في غابات العرعر، حيث فقدت محافظة الباحة 10% من غابات العرعر خلال الفترة 1984-2014. كما يعاني الغطاء النباتي من فقدان التنوع البيولوجي، حيث أصبح 656 نوعاً من النباتات مهددة بالانقراض، وتتزايد أعداد الأنواع الغازية الغريبة لتصل إلى 52 نوعاً. أما الأراضي الصالحة للزراعة فتشكل 1.7% من المساحة الإجمالية (3.42 مليون هكتار)، ويُستخدم منها فعلياً 1.18 مليون هكتار، وتُعاني 40% من هذه الأراضي من الملوحة بسبب أساليب الري غير السليمة، و67% منها من تآكل التربة بفعل الرياح (</w:t>
      </w:r>
      <w:r w:rsidRPr="005D59A7">
        <w:rPr>
          <w:rFonts w:ascii="T" w:hAnsi="T" w:cs="Simplified Arabic"/>
          <w:sz w:val="24"/>
          <w:szCs w:val="24"/>
        </w:rPr>
        <w:t>NES, 2018</w:t>
      </w:r>
      <w:r w:rsidRPr="005D59A7">
        <w:rPr>
          <w:rFonts w:ascii="T" w:hAnsi="T" w:cs="Simplified Arabic"/>
          <w:sz w:val="24"/>
          <w:szCs w:val="24"/>
          <w:rtl/>
        </w:rPr>
        <w:t>).</w:t>
      </w:r>
    </w:p>
    <w:p w14:paraId="496834EC" w14:textId="77777777" w:rsidR="00450B96" w:rsidRPr="005D59A7" w:rsidRDefault="00450B96" w:rsidP="0045581D">
      <w:pPr>
        <w:pStyle w:val="ListParagraph"/>
        <w:numPr>
          <w:ilvl w:val="0"/>
          <w:numId w:val="22"/>
        </w:numPr>
        <w:bidi/>
        <w:spacing w:line="360" w:lineRule="auto"/>
        <w:ind w:left="84" w:firstLine="720"/>
        <w:rPr>
          <w:rFonts w:ascii="T" w:hAnsi="T" w:cs="Simplified Arabic"/>
          <w:sz w:val="24"/>
          <w:szCs w:val="24"/>
        </w:rPr>
      </w:pPr>
      <w:r w:rsidRPr="005D59A7">
        <w:rPr>
          <w:rFonts w:ascii="T" w:hAnsi="T" w:cs="Simplified Arabic"/>
          <w:sz w:val="24"/>
          <w:szCs w:val="24"/>
          <w:rtl/>
        </w:rPr>
        <w:t>تقييم الأداء البيئي من حيث جودة الهواء:</w:t>
      </w:r>
    </w:p>
    <w:p w14:paraId="3E9FE258" w14:textId="3B5BBE98" w:rsidR="00B3377E" w:rsidRPr="005D59A7" w:rsidRDefault="00B3377E" w:rsidP="00B3377E">
      <w:pPr>
        <w:bidi/>
        <w:spacing w:line="360" w:lineRule="auto"/>
        <w:ind w:left="84" w:firstLine="720"/>
        <w:jc w:val="both"/>
        <w:rPr>
          <w:rFonts w:ascii="T" w:hAnsi="T" w:cs="Simplified Arabic"/>
          <w:sz w:val="24"/>
          <w:szCs w:val="24"/>
          <w:rtl/>
          <w:lang w:bidi="ar-EG"/>
        </w:rPr>
      </w:pPr>
      <w:r w:rsidRPr="005D59A7">
        <w:rPr>
          <w:rFonts w:ascii="T" w:hAnsi="T" w:cs="Simplified Arabic"/>
          <w:sz w:val="24"/>
          <w:szCs w:val="24"/>
          <w:rtl/>
        </w:rPr>
        <w:t xml:space="preserve">تواجه جودة الهواء في المملكة العربية السعودية ضغوطاً متعددة، أبرزها زيادة الانبعاثات من قطاعي الطاقة والتصنيع، إلى جانب الانبعاثات من المصادر الثانوية والعواصف الترابية. ويعاني القطاع البيئي من ضعف السيطرة على مصادر التلوث وضعف أنظمة الرصد، حيث أن البيانات المتاحة عن جودة الهواء غير </w:t>
      </w:r>
      <w:r w:rsidRPr="005D59A7">
        <w:rPr>
          <w:rFonts w:ascii="T" w:hAnsi="T" w:cs="Simplified Arabic"/>
          <w:sz w:val="24"/>
          <w:szCs w:val="24"/>
          <w:rtl/>
        </w:rPr>
        <w:lastRenderedPageBreak/>
        <w:t xml:space="preserve">مكتملة وغير موثوقة بدرجة عالية، ولا يوجد نظام لرصد وحصر انبعاثات المصادر. تشير المؤشرات إلى أن متوسط تركيز ثاني أكسيد النيتروجين يقل عن معيار الهيئة العامة للأرصاد الجوية وحماية البيئة (95 ميكروغرام/م³ مقابل 100)، لكنه يتجاوز الحد المسموح به من منظمة الصحة العالمية (40 ميكروغرام/م³). كما تتجاوز متوسطات التركيزات السنوية للأوزون المعايير في مدن مثل الرياض (160 ميكروغرام/م³)، بينما تقع معدلات التعرض لثاني أكسيد الكبريت في المدن الكبرى ضمن الحدود المقبولة بسبب انخفاض محتوى الكبريت في الديزل. أما بالنسبة للجسيمات الدقيقة </w:t>
      </w:r>
      <w:r w:rsidRPr="005D59A7">
        <w:rPr>
          <w:rFonts w:ascii="T" w:hAnsi="T" w:cs="Simplified Arabic"/>
          <w:sz w:val="24"/>
          <w:szCs w:val="24"/>
        </w:rPr>
        <w:t>PM2.5</w:t>
      </w:r>
      <w:r w:rsidRPr="005D59A7">
        <w:rPr>
          <w:rFonts w:ascii="T" w:hAnsi="T" w:cs="Simplified Arabic"/>
          <w:sz w:val="24"/>
          <w:szCs w:val="24"/>
          <w:rtl/>
        </w:rPr>
        <w:t xml:space="preserve">، فتبلغ مستوياتها المرتفعة في المدن الكبرى (71 ميكروغرام/م³ في الرياض)، متجاوزة بذلك معيار الهيئة العامة للأرصاد وحماية البيئة (15 ميكروغرام/م³) ومعيار البنك الدولي (10 ميكروغرام/م³). تجدر الإشارة إلى أن المصادر غير الطبيعية تساهم بشكل كبير في تركيز </w:t>
      </w:r>
      <w:r w:rsidRPr="005D59A7">
        <w:rPr>
          <w:rFonts w:ascii="T" w:hAnsi="T" w:cs="Simplified Arabic"/>
          <w:sz w:val="24"/>
          <w:szCs w:val="24"/>
        </w:rPr>
        <w:t>PM2.5</w:t>
      </w:r>
      <w:r w:rsidRPr="005D59A7">
        <w:rPr>
          <w:rFonts w:ascii="T" w:hAnsi="T" w:cs="Simplified Arabic"/>
          <w:sz w:val="24"/>
          <w:szCs w:val="24"/>
          <w:rtl/>
        </w:rPr>
        <w:t xml:space="preserve">، على عكس </w:t>
      </w:r>
      <w:r w:rsidRPr="005D59A7">
        <w:rPr>
          <w:rFonts w:ascii="T" w:hAnsi="T" w:cs="Simplified Arabic"/>
          <w:sz w:val="24"/>
          <w:szCs w:val="24"/>
        </w:rPr>
        <w:t>PM10</w:t>
      </w:r>
      <w:r w:rsidRPr="005D59A7">
        <w:rPr>
          <w:rFonts w:ascii="T" w:hAnsi="T" w:cs="Simplified Arabic"/>
          <w:sz w:val="24"/>
          <w:szCs w:val="24"/>
          <w:rtl/>
        </w:rPr>
        <w:t xml:space="preserve"> الذي تساهم فيه مصادر طبيعية مثل الغبار (</w:t>
      </w:r>
      <w:r w:rsidRPr="005D59A7">
        <w:rPr>
          <w:rFonts w:ascii="T" w:hAnsi="T" w:cs="Simplified Arabic"/>
          <w:sz w:val="24"/>
          <w:szCs w:val="24"/>
        </w:rPr>
        <w:t>NES, 2018</w:t>
      </w:r>
      <w:r w:rsidRPr="005D59A7">
        <w:rPr>
          <w:rFonts w:ascii="T" w:hAnsi="T" w:cs="Simplified Arabic"/>
          <w:sz w:val="24"/>
          <w:szCs w:val="24"/>
          <w:rtl/>
        </w:rPr>
        <w:t>).</w:t>
      </w:r>
    </w:p>
    <w:p w14:paraId="760CF8BF" w14:textId="77777777" w:rsidR="00B3377E" w:rsidRPr="005D59A7" w:rsidRDefault="00B3377E" w:rsidP="00B3377E">
      <w:pPr>
        <w:bidi/>
        <w:spacing w:line="360" w:lineRule="auto"/>
        <w:ind w:left="84" w:firstLine="720"/>
        <w:jc w:val="both"/>
        <w:rPr>
          <w:rFonts w:ascii="T" w:hAnsi="T" w:cs="Simplified Arabic"/>
          <w:b/>
          <w:bCs/>
          <w:sz w:val="24"/>
          <w:szCs w:val="24"/>
          <w:rtl/>
        </w:rPr>
      </w:pPr>
      <w:r w:rsidRPr="005D59A7">
        <w:rPr>
          <w:rFonts w:ascii="T" w:hAnsi="T" w:cs="Simplified Arabic"/>
          <w:b/>
          <w:bCs/>
          <w:sz w:val="24"/>
          <w:szCs w:val="24"/>
          <w:rtl/>
          <w:lang w:bidi="ar-EG"/>
        </w:rPr>
        <w:t>التحديات التي تواجه الإطار المؤسسي الحالي والدروس المستفادة</w:t>
      </w:r>
    </w:p>
    <w:p w14:paraId="6AAFB5CA" w14:textId="77777777" w:rsidR="00B3377E" w:rsidRPr="005D59A7" w:rsidRDefault="00B3377E" w:rsidP="00B3377E">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أولاً: التحديات التي تواجه الإطار المؤسسي الحالي</w:t>
      </w:r>
    </w:p>
    <w:p w14:paraId="6A681FED"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تشتت المسؤوليات وتداخل الأدوار وانعدام المساءلة</w:t>
      </w:r>
    </w:p>
    <w:p w14:paraId="3744D110"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تراكم وتداخل المهام داخل الهيئات ذات الصلة</w:t>
      </w:r>
    </w:p>
    <w:p w14:paraId="56A68598"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غياب الهيئات المسؤولة عن الأدوار الرئيسية</w:t>
      </w:r>
    </w:p>
    <w:p w14:paraId="791A49F9"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انعدام التنسيق بين الجهات المصدرة للوائح التنظيمية</w:t>
      </w:r>
    </w:p>
    <w:p w14:paraId="69CCBB04"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عدم الفعالية بسبب ازدواجية المبادرات</w:t>
      </w:r>
    </w:p>
    <w:p w14:paraId="3035D6B2"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غياب شبه تام لمراقبة الأداء وتركيز محدود عليها</w:t>
      </w:r>
    </w:p>
    <w:p w14:paraId="16FC790F"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تضارب محتمل في المصالح</w:t>
      </w:r>
    </w:p>
    <w:p w14:paraId="620E6A44"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تشتيت الانتباه عن الأنشطة الأساسية (التركيز على الأرصاد على حساب حماية البيئة)</w:t>
      </w:r>
    </w:p>
    <w:p w14:paraId="17446E83"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ضعف التركيز على تنفيذ الاستراتيجيات والخطط</w:t>
      </w:r>
    </w:p>
    <w:p w14:paraId="22283123"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ضعف التمثيل الدولي وتنسيق المفاوضات</w:t>
      </w:r>
    </w:p>
    <w:p w14:paraId="2B28DF78"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ضعف متابعة الالتزام بالمعاهدات الدولية</w:t>
      </w:r>
    </w:p>
    <w:p w14:paraId="776A05DC" w14:textId="77777777" w:rsidR="00B3377E" w:rsidRPr="005D59A7" w:rsidRDefault="00B3377E" w:rsidP="00B3377E">
      <w:pPr>
        <w:bidi/>
        <w:spacing w:line="360" w:lineRule="auto"/>
        <w:ind w:left="368" w:firstLine="720"/>
        <w:jc w:val="both"/>
        <w:rPr>
          <w:rFonts w:ascii="T" w:hAnsi="T" w:cs="Simplified Arabic"/>
          <w:sz w:val="24"/>
          <w:szCs w:val="24"/>
          <w:rtl/>
        </w:rPr>
      </w:pPr>
      <w:r w:rsidRPr="005D59A7">
        <w:rPr>
          <w:rFonts w:ascii="T" w:hAnsi="T" w:cs="Simplified Arabic"/>
          <w:sz w:val="24"/>
          <w:szCs w:val="24"/>
          <w:rtl/>
        </w:rPr>
        <w:lastRenderedPageBreak/>
        <w:t>ثانياً: الدروس المستفادة من أفضل الممارسات العالمية</w:t>
      </w:r>
    </w:p>
    <w:p w14:paraId="0D7B854B" w14:textId="77777777" w:rsidR="00B3377E" w:rsidRPr="005D59A7" w:rsidRDefault="00B3377E" w:rsidP="0045581D">
      <w:pPr>
        <w:pStyle w:val="ListParagraph"/>
        <w:numPr>
          <w:ilvl w:val="0"/>
          <w:numId w:val="34"/>
        </w:numPr>
        <w:bidi/>
        <w:spacing w:line="360" w:lineRule="auto"/>
        <w:ind w:left="368"/>
        <w:jc w:val="both"/>
        <w:rPr>
          <w:rFonts w:ascii="T" w:hAnsi="T" w:cs="Simplified Arabic"/>
          <w:sz w:val="24"/>
          <w:szCs w:val="24"/>
          <w:rtl/>
        </w:rPr>
      </w:pPr>
      <w:r w:rsidRPr="005D59A7">
        <w:rPr>
          <w:rFonts w:ascii="T" w:hAnsi="T" w:cs="Simplified Arabic"/>
          <w:sz w:val="24"/>
          <w:szCs w:val="24"/>
          <w:rtl/>
        </w:rPr>
        <w:t>اقتصار وضع السياسات والاستراتيجيات على الوزارة</w:t>
      </w:r>
    </w:p>
    <w:p w14:paraId="03A6FC5F" w14:textId="77777777" w:rsidR="00B3377E" w:rsidRPr="005D59A7" w:rsidRDefault="00B3377E" w:rsidP="0045581D">
      <w:pPr>
        <w:pStyle w:val="ListParagraph"/>
        <w:numPr>
          <w:ilvl w:val="0"/>
          <w:numId w:val="34"/>
        </w:numPr>
        <w:bidi/>
        <w:spacing w:line="360" w:lineRule="auto"/>
        <w:ind w:left="368"/>
        <w:jc w:val="both"/>
        <w:rPr>
          <w:rFonts w:ascii="T" w:hAnsi="T" w:cs="Simplified Arabic"/>
          <w:sz w:val="24"/>
          <w:szCs w:val="24"/>
          <w:rtl/>
        </w:rPr>
      </w:pPr>
      <w:r w:rsidRPr="005D59A7">
        <w:rPr>
          <w:rFonts w:ascii="T" w:hAnsi="T" w:cs="Simplified Arabic"/>
          <w:sz w:val="24"/>
          <w:szCs w:val="24"/>
          <w:rtl/>
        </w:rPr>
        <w:t>إسناد الوظائف التشغيلية (التنبؤات الجوية، التراخيص البيئية، المراقبة، إدارة الغابات والمحميات والمراعي) إلى وكالات حكومية متخصصة تتبع الوزارة</w:t>
      </w:r>
    </w:p>
    <w:p w14:paraId="2012EE43" w14:textId="77777777" w:rsidR="00B3377E" w:rsidRPr="005D59A7" w:rsidRDefault="00B3377E" w:rsidP="0045581D">
      <w:pPr>
        <w:pStyle w:val="ListParagraph"/>
        <w:numPr>
          <w:ilvl w:val="0"/>
          <w:numId w:val="34"/>
        </w:numPr>
        <w:bidi/>
        <w:spacing w:line="360" w:lineRule="auto"/>
        <w:ind w:left="368"/>
        <w:jc w:val="both"/>
        <w:rPr>
          <w:rFonts w:ascii="T" w:hAnsi="T" w:cs="Simplified Arabic"/>
          <w:sz w:val="24"/>
          <w:szCs w:val="24"/>
          <w:rtl/>
        </w:rPr>
      </w:pPr>
      <w:r w:rsidRPr="005D59A7">
        <w:rPr>
          <w:rFonts w:ascii="T" w:hAnsi="T" w:cs="Simplified Arabic"/>
          <w:sz w:val="24"/>
          <w:szCs w:val="24"/>
          <w:rtl/>
        </w:rPr>
        <w:t>تولي الوزارة مهام التنسيق الداخلي ومراقبة أداء القطاع</w:t>
      </w:r>
    </w:p>
    <w:p w14:paraId="0FB8EBF3" w14:textId="77777777" w:rsidR="00B3377E" w:rsidRPr="005D59A7" w:rsidRDefault="00B3377E" w:rsidP="0045581D">
      <w:pPr>
        <w:pStyle w:val="ListParagraph"/>
        <w:numPr>
          <w:ilvl w:val="0"/>
          <w:numId w:val="34"/>
        </w:numPr>
        <w:bidi/>
        <w:spacing w:line="360" w:lineRule="auto"/>
        <w:ind w:left="368"/>
        <w:jc w:val="both"/>
        <w:rPr>
          <w:rFonts w:ascii="T" w:hAnsi="T" w:cs="Simplified Arabic"/>
          <w:sz w:val="24"/>
          <w:szCs w:val="24"/>
          <w:rtl/>
        </w:rPr>
      </w:pPr>
      <w:r w:rsidRPr="005D59A7">
        <w:rPr>
          <w:rFonts w:ascii="T" w:hAnsi="T" w:cs="Simplified Arabic"/>
          <w:sz w:val="24"/>
          <w:szCs w:val="24"/>
          <w:rtl/>
        </w:rPr>
        <w:t>جعل التعاون الدولي من مسؤولية الوزارة مع الاستعانة بالخبرات المناسبة</w:t>
      </w:r>
    </w:p>
    <w:p w14:paraId="7C09C6BC" w14:textId="77777777" w:rsidR="00B3377E" w:rsidRPr="005D59A7" w:rsidRDefault="00B3377E" w:rsidP="00B3377E">
      <w:pPr>
        <w:bidi/>
        <w:spacing w:line="360" w:lineRule="auto"/>
        <w:ind w:left="368" w:firstLine="720"/>
        <w:jc w:val="both"/>
        <w:rPr>
          <w:rFonts w:ascii="T" w:hAnsi="T" w:cs="Simplified Arabic"/>
          <w:b/>
          <w:bCs/>
          <w:sz w:val="24"/>
          <w:szCs w:val="24"/>
          <w:rtl/>
        </w:rPr>
      </w:pPr>
      <w:r w:rsidRPr="005D59A7">
        <w:rPr>
          <w:rFonts w:ascii="T" w:hAnsi="T" w:cs="Simplified Arabic"/>
          <w:b/>
          <w:bCs/>
          <w:sz w:val="24"/>
          <w:szCs w:val="24"/>
          <w:rtl/>
        </w:rPr>
        <w:t>تحليل اللوائح الحالية والدروس المستفادة</w:t>
      </w:r>
    </w:p>
    <w:p w14:paraId="1E1A15C8" w14:textId="77777777" w:rsidR="00B3377E" w:rsidRPr="005D59A7" w:rsidRDefault="00B3377E" w:rsidP="00B3377E">
      <w:pPr>
        <w:bidi/>
        <w:spacing w:line="360" w:lineRule="auto"/>
        <w:ind w:left="368" w:firstLine="720"/>
        <w:jc w:val="both"/>
        <w:rPr>
          <w:rFonts w:ascii="T" w:hAnsi="T" w:cs="Simplified Arabic"/>
          <w:b/>
          <w:bCs/>
          <w:sz w:val="24"/>
          <w:szCs w:val="24"/>
          <w:rtl/>
        </w:rPr>
      </w:pPr>
      <w:r w:rsidRPr="005D59A7">
        <w:rPr>
          <w:rFonts w:ascii="T" w:hAnsi="T" w:cs="Simplified Arabic"/>
          <w:b/>
          <w:bCs/>
          <w:sz w:val="24"/>
          <w:szCs w:val="24"/>
          <w:rtl/>
        </w:rPr>
        <w:t>أولاً: التحديات في اللوائح الحالية (استناداً إلى تحليل 106 لائحة)</w:t>
      </w:r>
    </w:p>
    <w:p w14:paraId="600FCC43"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تعدد الجهات المصدرة للوائح وضعف التنسيق</w:t>
      </w:r>
    </w:p>
    <w:p w14:paraId="22B870F4"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تعقيد وصعوبة تطبيق اللوائح</w:t>
      </w:r>
    </w:p>
    <w:p w14:paraId="4C4C5504"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العقوبات ضعيفة وغير رادعة</w:t>
      </w:r>
    </w:p>
    <w:p w14:paraId="1A74E1AA"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غموض بعض مواد القوانين (مثل المناطق المحيطة بالمحميات غير محددة بوضوح)</w:t>
      </w:r>
    </w:p>
    <w:p w14:paraId="12DCC1F4"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إغفال بعض الأنشطة (الأنشطة على الطرق الوعرة، إدارة الموارد المائية، مصادرة منتجات الأنواع المهددة، أنشطة التعدين، معالجة النفايات الإلكترونية والإطارات)</w:t>
      </w:r>
    </w:p>
    <w:p w14:paraId="156F471B"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تناول القوانين طريقة التفاعل مع المدن الصناعية والمنشآت الكبيرة</w:t>
      </w:r>
    </w:p>
    <w:p w14:paraId="64DD3B53"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تفصيل الإجراءات الأساسية (الترخيص، التفتيش البيئي، العقوبات)</w:t>
      </w:r>
    </w:p>
    <w:p w14:paraId="3FB9F71A"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تناول مشاركة القطاع الخاص</w:t>
      </w:r>
    </w:p>
    <w:p w14:paraId="07BD2D07"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ضعف الالتزام بالتعهدات الدولية باستثناء قضايا تغير المناخ</w:t>
      </w:r>
    </w:p>
    <w:p w14:paraId="48148018" w14:textId="77777777" w:rsidR="00B3377E" w:rsidRPr="005D59A7" w:rsidRDefault="00B3377E" w:rsidP="00B3377E">
      <w:pPr>
        <w:bidi/>
        <w:spacing w:line="360" w:lineRule="auto"/>
        <w:ind w:left="84" w:firstLine="720"/>
        <w:jc w:val="both"/>
        <w:rPr>
          <w:rFonts w:ascii="T" w:hAnsi="T" w:cs="Simplified Arabic"/>
          <w:b/>
          <w:bCs/>
          <w:sz w:val="24"/>
          <w:szCs w:val="24"/>
          <w:rtl/>
        </w:rPr>
      </w:pPr>
      <w:r w:rsidRPr="005D59A7">
        <w:rPr>
          <w:rFonts w:ascii="T" w:hAnsi="T" w:cs="Simplified Arabic"/>
          <w:b/>
          <w:bCs/>
          <w:sz w:val="24"/>
          <w:szCs w:val="24"/>
          <w:rtl/>
        </w:rPr>
        <w:t>ثانياً: الحلول من أفضل الممارسات العالمية</w:t>
      </w:r>
    </w:p>
    <w:p w14:paraId="1D1B988D"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اعتماد جهة واحدة لإصدار القوانين واللوائح البيئية</w:t>
      </w:r>
    </w:p>
    <w:p w14:paraId="22720B29"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وضع قانون بيئي شامل لضمان اتساق اللوائح</w:t>
      </w:r>
    </w:p>
    <w:p w14:paraId="32A4070B"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تنظيم مشاركة القطاع الخاص</w:t>
      </w:r>
    </w:p>
    <w:p w14:paraId="291D5DFD"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lastRenderedPageBreak/>
        <w:t>تحديد حقوق وواجبات الجهات الفاعلة في القطاع</w:t>
      </w:r>
    </w:p>
    <w:p w14:paraId="5ACE1B41"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تحديد تفاصيل الإجراءات الرئيسية (الترخيص، التفتيش، كشف المخالفات)</w:t>
      </w:r>
    </w:p>
    <w:p w14:paraId="67EC7CE5"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تطوير معايير شاملة مع مبادئ توجيهية للمراجعة الدورية</w:t>
      </w:r>
    </w:p>
    <w:p w14:paraId="3501C392"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اعتماد عقوبات رادعة وصارمة</w:t>
      </w:r>
    </w:p>
    <w:p w14:paraId="079BAC96" w14:textId="77777777" w:rsidR="00B3377E" w:rsidRPr="005D59A7" w:rsidRDefault="00B3377E" w:rsidP="00922FF0">
      <w:pPr>
        <w:bidi/>
        <w:spacing w:line="360" w:lineRule="auto"/>
        <w:jc w:val="both"/>
        <w:rPr>
          <w:rFonts w:ascii="T" w:hAnsi="T" w:cs="Simplified Arabic"/>
          <w:b/>
          <w:bCs/>
          <w:sz w:val="24"/>
          <w:szCs w:val="24"/>
          <w:rtl/>
        </w:rPr>
      </w:pPr>
      <w:r w:rsidRPr="005D59A7">
        <w:rPr>
          <w:rFonts w:ascii="T" w:hAnsi="T" w:cs="Simplified Arabic"/>
          <w:b/>
          <w:bCs/>
          <w:sz w:val="24"/>
          <w:szCs w:val="24"/>
          <w:rtl/>
        </w:rPr>
        <w:t>العوامل الاقتصادية المساعدة لقطاع البيئة</w:t>
      </w:r>
    </w:p>
    <w:p w14:paraId="7A38A339" w14:textId="77777777" w:rsidR="00B3377E" w:rsidRPr="005D59A7" w:rsidRDefault="00B3377E" w:rsidP="00B3377E">
      <w:pPr>
        <w:bidi/>
        <w:spacing w:line="360" w:lineRule="auto"/>
        <w:ind w:left="84" w:firstLine="720"/>
        <w:jc w:val="both"/>
        <w:rPr>
          <w:rFonts w:ascii="T" w:hAnsi="T" w:cs="Simplified Arabic"/>
          <w:b/>
          <w:bCs/>
          <w:sz w:val="24"/>
          <w:szCs w:val="24"/>
          <w:rtl/>
        </w:rPr>
      </w:pPr>
      <w:r w:rsidRPr="005D59A7">
        <w:rPr>
          <w:rFonts w:ascii="T" w:hAnsi="T" w:cs="Simplified Arabic"/>
          <w:b/>
          <w:bCs/>
          <w:sz w:val="24"/>
          <w:szCs w:val="24"/>
          <w:rtl/>
        </w:rPr>
        <w:t>أولاً: التحديات الاقتصادية التي تواجه قطاع البيئة</w:t>
      </w:r>
    </w:p>
    <w:p w14:paraId="0514DE70"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ميزانية منخفضة لقطاع البيئة</w:t>
      </w:r>
    </w:p>
    <w:p w14:paraId="5B6E22F5"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قدرة القطاع على جمع الموارد المالية اللازمة لتطويره</w:t>
      </w:r>
    </w:p>
    <w:p w14:paraId="4E019390"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فرض رسوم بيئية على الأنشطة القطاعية</w:t>
      </w:r>
    </w:p>
    <w:p w14:paraId="29A61F97"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غياب الحوافز لالتزام القطاعات التنموية بالمعايير البيئية (قروض ميسرة للمشاريع البيئية)</w:t>
      </w:r>
    </w:p>
    <w:p w14:paraId="326A1F01"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غياب إطار عمل لتشجيع مشاركة القطاع الخاص (إدارة النفايات، رصد الامتثال البيئي)</w:t>
      </w:r>
    </w:p>
    <w:p w14:paraId="69FAAAF8"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توافر الدعم للقطاعات المؤثرة على البيئة (المياه، الكهرباء، البنزين، الزراعة)</w:t>
      </w:r>
    </w:p>
    <w:p w14:paraId="069A76EB" w14:textId="77777777" w:rsidR="00B3377E" w:rsidRPr="005D59A7" w:rsidRDefault="00B3377E" w:rsidP="00B3377E">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ثانياً: الحلول من أفضل الممارسات العالمية</w:t>
      </w:r>
    </w:p>
    <w:p w14:paraId="5C230E14"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تمويل قطاع البيئة من خلال الغرامات والرسوم على التراخيص والمنتجات والخدمات</w:t>
      </w:r>
    </w:p>
    <w:p w14:paraId="76E45975"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تقديم إعانات مالية حكومية لسد الفجوة بين احتياجات القطاع ودخله</w:t>
      </w:r>
    </w:p>
    <w:p w14:paraId="52AAC34B"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توفير حوافز وتسهيلات مالية للقطاعات التنموية (تخفيض الرسوم الجمركية، قروض بفائدة منخفضة، تخفيض الضرائب على الاستثمارات البيئية)</w:t>
      </w:r>
    </w:p>
    <w:p w14:paraId="7FFF143C"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زيادة الحوافز لتشجيع مشاركة القطاع الخاص في خدمات البيئة والأرصاد</w:t>
      </w:r>
    </w:p>
    <w:p w14:paraId="7222133F"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خفض الدعم الحكومي للقطاعات ذات التأثير السلبي على البيئة</w:t>
      </w:r>
      <w:r w:rsidRPr="005D59A7">
        <w:rPr>
          <w:rFonts w:ascii="T" w:hAnsi="T" w:cs="Simplified Arabic"/>
          <w:sz w:val="24"/>
          <w:szCs w:val="24"/>
        </w:rPr>
        <w:t xml:space="preserve"> (NES, 2018)</w:t>
      </w:r>
    </w:p>
    <w:p w14:paraId="654BD2D8" w14:textId="28E49DBC" w:rsidR="00B3377E" w:rsidRPr="005D59A7" w:rsidRDefault="00B3377E" w:rsidP="00B3377E">
      <w:pPr>
        <w:bidi/>
        <w:spacing w:line="360" w:lineRule="auto"/>
        <w:ind w:left="84" w:firstLine="720"/>
        <w:jc w:val="both"/>
        <w:rPr>
          <w:rFonts w:ascii="T" w:hAnsi="T" w:cs="Simplified Arabic"/>
          <w:sz w:val="24"/>
          <w:szCs w:val="24"/>
          <w:rtl/>
        </w:rPr>
      </w:pPr>
    </w:p>
    <w:p w14:paraId="6583F309" w14:textId="77777777" w:rsidR="00B3377E" w:rsidRPr="005D59A7" w:rsidRDefault="00B3377E" w:rsidP="00B3377E">
      <w:pPr>
        <w:bidi/>
        <w:spacing w:line="360" w:lineRule="auto"/>
        <w:ind w:left="84" w:firstLine="720"/>
        <w:jc w:val="both"/>
        <w:rPr>
          <w:rFonts w:ascii="T" w:hAnsi="T" w:cs="Simplified Arabic"/>
          <w:sz w:val="24"/>
          <w:szCs w:val="24"/>
          <w:rtl/>
        </w:rPr>
      </w:pPr>
    </w:p>
    <w:p w14:paraId="343C162E" w14:textId="77777777" w:rsidR="00910B36" w:rsidRPr="005D59A7" w:rsidRDefault="00910B36" w:rsidP="00861DC2">
      <w:pPr>
        <w:bidi/>
        <w:spacing w:line="360" w:lineRule="auto"/>
        <w:ind w:firstLine="720"/>
        <w:jc w:val="center"/>
        <w:rPr>
          <w:rFonts w:ascii="T" w:hAnsi="T" w:cs="Simplified Arabic"/>
          <w:sz w:val="24"/>
          <w:szCs w:val="24"/>
          <w:rtl/>
        </w:rPr>
      </w:pPr>
      <w:r w:rsidRPr="005D59A7">
        <w:rPr>
          <w:rFonts w:ascii="T" w:hAnsi="T" w:cs="Simplified Arabic"/>
          <w:noProof/>
          <w:sz w:val="24"/>
          <w:szCs w:val="24"/>
        </w:rPr>
        <w:lastRenderedPageBreak/>
        <w:drawing>
          <wp:inline distT="0" distB="0" distL="0" distR="0" wp14:anchorId="454AB8DF" wp14:editId="5EA31C1A">
            <wp:extent cx="4029075" cy="1949553"/>
            <wp:effectExtent l="19050" t="0" r="9525" b="0"/>
            <wp:docPr id="5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srcRect/>
                    <a:stretch>
                      <a:fillRect/>
                    </a:stretch>
                  </pic:blipFill>
                  <pic:spPr bwMode="auto">
                    <a:xfrm>
                      <a:off x="0" y="0"/>
                      <a:ext cx="4032637" cy="1951276"/>
                    </a:xfrm>
                    <a:prstGeom prst="rect">
                      <a:avLst/>
                    </a:prstGeom>
                    <a:noFill/>
                    <a:ln w="9525">
                      <a:noFill/>
                      <a:miter lim="800000"/>
                      <a:headEnd/>
                      <a:tailEnd/>
                    </a:ln>
                  </pic:spPr>
                </pic:pic>
              </a:graphicData>
            </a:graphic>
          </wp:inline>
        </w:drawing>
      </w:r>
    </w:p>
    <w:p w14:paraId="002BAC85" w14:textId="33FEFC26" w:rsidR="00910B36" w:rsidRPr="005D59A7" w:rsidRDefault="00910B36" w:rsidP="00861DC2">
      <w:pPr>
        <w:pStyle w:val="Caption"/>
        <w:bidi/>
        <w:spacing w:line="360" w:lineRule="auto"/>
        <w:ind w:firstLine="720"/>
        <w:jc w:val="center"/>
        <w:rPr>
          <w:rFonts w:ascii="T" w:hAnsi="T" w:cs="Simplified Arabic"/>
          <w:color w:val="auto"/>
          <w:sz w:val="24"/>
          <w:szCs w:val="24"/>
          <w:rtl/>
        </w:rPr>
      </w:pPr>
      <w:bookmarkStart w:id="64" w:name="_Toc225991171"/>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7</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الميزانية السنوية للموارد الطبيعية (الإستراتيجية الوطنية للبيئة)</w:t>
      </w:r>
      <w:bookmarkEnd w:id="64"/>
    </w:p>
    <w:p w14:paraId="26861A92" w14:textId="77777777" w:rsidR="00910B36" w:rsidRPr="005D59A7" w:rsidRDefault="00286DE0" w:rsidP="0045581D">
      <w:pPr>
        <w:pStyle w:val="Heading4"/>
        <w:numPr>
          <w:ilvl w:val="0"/>
          <w:numId w:val="24"/>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تحليل القدرات المختلفة في قطاع البيئة والدروس المستفادة من أفضل الممارسات:</w:t>
      </w:r>
    </w:p>
    <w:tbl>
      <w:tblPr>
        <w:tblStyle w:val="TableGrid"/>
        <w:bidiVisual/>
        <w:tblW w:w="0" w:type="auto"/>
        <w:tblInd w:w="720" w:type="dxa"/>
        <w:tblLook w:val="04A0" w:firstRow="1" w:lastRow="0" w:firstColumn="1" w:lastColumn="0" w:noHBand="0" w:noVBand="1"/>
      </w:tblPr>
      <w:tblGrid>
        <w:gridCol w:w="3782"/>
        <w:gridCol w:w="3794"/>
      </w:tblGrid>
      <w:tr w:rsidR="0048002A" w:rsidRPr="005D59A7" w14:paraId="64B9D704" w14:textId="77777777" w:rsidTr="00286DE0">
        <w:tc>
          <w:tcPr>
            <w:tcW w:w="4261" w:type="dxa"/>
            <w:vAlign w:val="center"/>
          </w:tcPr>
          <w:p w14:paraId="01B62BFC" w14:textId="77777777" w:rsidR="00286DE0" w:rsidRPr="005D59A7" w:rsidRDefault="00286DE0" w:rsidP="00922FF0">
            <w:pPr>
              <w:bidi/>
              <w:spacing w:line="240" w:lineRule="auto"/>
              <w:ind w:firstLine="720"/>
              <w:jc w:val="center"/>
              <w:rPr>
                <w:rFonts w:ascii="T" w:hAnsi="T" w:cs="Simplified Arabic"/>
                <w:sz w:val="24"/>
                <w:szCs w:val="24"/>
                <w:rtl/>
              </w:rPr>
            </w:pPr>
            <w:r w:rsidRPr="005D59A7">
              <w:rPr>
                <w:rFonts w:ascii="T" w:hAnsi="T" w:cs="Simplified Arabic"/>
                <w:sz w:val="24"/>
                <w:szCs w:val="24"/>
                <w:rtl/>
              </w:rPr>
              <w:t>تحليل القدرات البشرية والتقنية الحالية وقدرات البحث والتطوير القدرات الحالية في مجال البحث والتطوير.</w:t>
            </w:r>
          </w:p>
        </w:tc>
        <w:tc>
          <w:tcPr>
            <w:tcW w:w="4261" w:type="dxa"/>
            <w:vAlign w:val="center"/>
          </w:tcPr>
          <w:p w14:paraId="44C21559" w14:textId="77777777" w:rsidR="00286DE0" w:rsidRPr="005D59A7" w:rsidRDefault="00286DE0" w:rsidP="00922FF0">
            <w:pPr>
              <w:bidi/>
              <w:spacing w:line="240" w:lineRule="auto"/>
              <w:ind w:firstLine="720"/>
              <w:jc w:val="center"/>
              <w:rPr>
                <w:rFonts w:ascii="T" w:hAnsi="T" w:cs="Simplified Arabic"/>
                <w:sz w:val="24"/>
                <w:szCs w:val="24"/>
                <w:rtl/>
              </w:rPr>
            </w:pPr>
            <w:r w:rsidRPr="005D59A7">
              <w:rPr>
                <w:rFonts w:ascii="T" w:hAnsi="T" w:cs="Simplified Arabic"/>
                <w:sz w:val="24"/>
                <w:szCs w:val="24"/>
                <w:rtl/>
              </w:rPr>
              <w:t>الحلول المتاحة بناءً على الدروس المستفادة من أفضل الممارسات العالمية.</w:t>
            </w:r>
          </w:p>
        </w:tc>
      </w:tr>
      <w:tr w:rsidR="0048002A" w:rsidRPr="005D59A7" w14:paraId="51819090" w14:textId="77777777" w:rsidTr="00286DE0">
        <w:tc>
          <w:tcPr>
            <w:tcW w:w="4261" w:type="dxa"/>
            <w:vAlign w:val="center"/>
          </w:tcPr>
          <w:p w14:paraId="487AA392"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نقص في عدد العاملين في قطاع البيئة: على سبيل المثال، يبلغ إجمالي عدد موظفي "الهيئة العامة للأرصاد الجوية وحماية البيئة" 241 موظفًا فقط، بينما يُقدّر عدد الجهات التي يجب مراقبتها بعشرات الآلاف.</w:t>
            </w:r>
          </w:p>
          <w:p w14:paraId="23E20031"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عدد محدود من الموارد البشرية المتخصصة في الأنشطة البيئية الأنشطة البيئية.</w:t>
            </w:r>
          </w:p>
          <w:p w14:paraId="302E1DB6"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ضعف القدرة على استقطاب الكفاءات البشرية.</w:t>
            </w:r>
          </w:p>
          <w:p w14:paraId="743694A6" w14:textId="77777777" w:rsidR="00286DE0" w:rsidRPr="005D59A7" w:rsidRDefault="00286DE0" w:rsidP="00922FF0">
            <w:pPr>
              <w:bidi/>
              <w:spacing w:line="240" w:lineRule="auto"/>
              <w:ind w:left="74"/>
              <w:jc w:val="center"/>
              <w:rPr>
                <w:rFonts w:ascii="T" w:hAnsi="T" w:cs="Simplified Arabic"/>
                <w:sz w:val="24"/>
                <w:szCs w:val="24"/>
                <w:rtl/>
              </w:rPr>
            </w:pPr>
            <w:r w:rsidRPr="005D59A7">
              <w:rPr>
                <w:rFonts w:ascii="T" w:hAnsi="T" w:cs="Simplified Arabic"/>
                <w:sz w:val="24"/>
                <w:szCs w:val="24"/>
                <w:rtl/>
              </w:rPr>
              <w:t>تقنيات محدودة لرصد الامتثال البيئي غياب إجراءات عمل منهجية وموثقة محدودية أنشطة البحث البيئي بسبب حصرية المملكة فيما يتعلق بقضايا الجسيمات الدقيقة (</w:t>
            </w:r>
            <w:r w:rsidRPr="005D59A7">
              <w:rPr>
                <w:rFonts w:ascii="T" w:hAnsi="T" w:cs="Simplified Arabic"/>
                <w:sz w:val="24"/>
                <w:szCs w:val="24"/>
              </w:rPr>
              <w:t>PM10</w:t>
            </w:r>
            <w:r w:rsidRPr="005D59A7">
              <w:rPr>
                <w:rFonts w:ascii="T" w:hAnsi="T" w:cs="Simplified Arabic"/>
                <w:sz w:val="24"/>
                <w:szCs w:val="24"/>
                <w:rtl/>
              </w:rPr>
              <w:t xml:space="preserve"> و</w:t>
            </w:r>
            <w:r w:rsidRPr="005D59A7">
              <w:rPr>
                <w:rFonts w:ascii="T" w:hAnsi="T" w:cs="Simplified Arabic"/>
                <w:sz w:val="24"/>
                <w:szCs w:val="24"/>
              </w:rPr>
              <w:t>PM2.5</w:t>
            </w:r>
            <w:r w:rsidRPr="005D59A7">
              <w:rPr>
                <w:rFonts w:ascii="T" w:hAnsi="T" w:cs="Simplified Arabic"/>
                <w:sz w:val="24"/>
                <w:szCs w:val="24"/>
                <w:rtl/>
              </w:rPr>
              <w:t>)، والتصحر، وتغير المناخ.</w:t>
            </w:r>
          </w:p>
        </w:tc>
        <w:tc>
          <w:tcPr>
            <w:tcW w:w="4261" w:type="dxa"/>
            <w:vAlign w:val="center"/>
          </w:tcPr>
          <w:p w14:paraId="6CF193B8"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للقطاع تعيين كفاءات بشرية متنوعة تشمل: المهندسين، والعلماء، والفنيين، وخبراء الاتصالات، والاقتصاديين.</w:t>
            </w:r>
          </w:p>
          <w:p w14:paraId="0ABCFDF2"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اعتماد تقنيات المراقبة في الوقت الفعلي وإدارة البيانات وتحليلها.</w:t>
            </w:r>
          </w:p>
          <w:p w14:paraId="0F66E962"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اعتماد معدات ميدانية ومختبرات لرصد الامتثال البيئي.</w:t>
            </w:r>
          </w:p>
          <w:p w14:paraId="7A141E7A"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اعتماد التقنيات الخاصة بحفظ الموارد الطبيعية.</w:t>
            </w:r>
          </w:p>
          <w:p w14:paraId="70E23244"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تقديم الدعم لأنشطة البحث والتطوير من أجل تحسين أداء القطاع.</w:t>
            </w:r>
          </w:p>
          <w:p w14:paraId="30AF55F6" w14:textId="77777777" w:rsidR="00286DE0" w:rsidRPr="005D59A7" w:rsidRDefault="00286DE0" w:rsidP="00922FF0">
            <w:pPr>
              <w:bidi/>
              <w:spacing w:line="240" w:lineRule="auto"/>
              <w:ind w:left="74"/>
              <w:jc w:val="center"/>
              <w:rPr>
                <w:rFonts w:ascii="T" w:hAnsi="T" w:cs="Simplified Arabic"/>
                <w:sz w:val="24"/>
                <w:szCs w:val="24"/>
                <w:rtl/>
              </w:rPr>
            </w:pPr>
            <w:r w:rsidRPr="005D59A7">
              <w:rPr>
                <w:rFonts w:ascii="T" w:hAnsi="T" w:cs="Simplified Arabic"/>
                <w:sz w:val="24"/>
                <w:szCs w:val="24"/>
                <w:rtl/>
              </w:rPr>
              <w:t>ينبغي تصميم إجراءات عمل تحقق المرونة والفعالية في العمل.</w:t>
            </w:r>
          </w:p>
        </w:tc>
      </w:tr>
    </w:tbl>
    <w:p w14:paraId="7293C81D" w14:textId="54941B72" w:rsidR="00286DE0" w:rsidRPr="005D59A7" w:rsidRDefault="00AC74FF" w:rsidP="00861DC2">
      <w:pPr>
        <w:pStyle w:val="Caption"/>
        <w:bidi/>
        <w:spacing w:line="360" w:lineRule="auto"/>
        <w:ind w:firstLine="720"/>
        <w:jc w:val="center"/>
        <w:rPr>
          <w:rFonts w:ascii="T" w:hAnsi="T" w:cs="Simplified Arabic"/>
          <w:noProof/>
          <w:color w:val="auto"/>
          <w:sz w:val="24"/>
          <w:szCs w:val="24"/>
          <w:rtl/>
        </w:rPr>
      </w:pPr>
      <w:r w:rsidRPr="005D59A7">
        <w:rPr>
          <w:rFonts w:ascii="T" w:hAnsi="T" w:cs="Simplified Arabic"/>
          <w:color w:val="auto"/>
          <w:sz w:val="24"/>
          <w:szCs w:val="24"/>
          <w:rtl/>
        </w:rPr>
        <w:t xml:space="preserve">            </w:t>
      </w:r>
      <w:bookmarkStart w:id="65" w:name="_Toc225991177"/>
      <w:r w:rsidRPr="005D59A7">
        <w:rPr>
          <w:rFonts w:ascii="T" w:hAnsi="T" w:cs="Simplified Arabic"/>
          <w:color w:val="auto"/>
          <w:sz w:val="24"/>
          <w:szCs w:val="24"/>
        </w:rPr>
        <w:t>Table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Table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5</w:t>
      </w:r>
      <w:r w:rsidR="00FD30BF" w:rsidRPr="005D59A7">
        <w:rPr>
          <w:rFonts w:ascii="T" w:hAnsi="T" w:cs="Simplified Arabic"/>
          <w:color w:val="auto"/>
          <w:sz w:val="24"/>
          <w:szCs w:val="24"/>
          <w:rtl/>
        </w:rPr>
        <w:fldChar w:fldCharType="end"/>
      </w:r>
      <w:r w:rsidRPr="005D59A7">
        <w:rPr>
          <w:rFonts w:ascii="T" w:hAnsi="T" w:cs="Simplified Arabic"/>
          <w:noProof/>
          <w:color w:val="auto"/>
          <w:sz w:val="24"/>
          <w:szCs w:val="24"/>
          <w:rtl/>
        </w:rPr>
        <w:t>: تحليل القدرات المختلفة في قطاع البيئة والدروس المستفادة من أفضل الممارسات (الإستراتيجية الوطنية للبيئة)</w:t>
      </w:r>
      <w:bookmarkEnd w:id="65"/>
    </w:p>
    <w:p w14:paraId="4BE5A807" w14:textId="77777777" w:rsidR="00AC74FF" w:rsidRPr="005D59A7" w:rsidRDefault="00AC74FF" w:rsidP="00861DC2">
      <w:pPr>
        <w:pStyle w:val="Heading4"/>
        <w:bidi/>
        <w:spacing w:line="360" w:lineRule="auto"/>
        <w:ind w:firstLine="720"/>
        <w:rPr>
          <w:rFonts w:ascii="T" w:hAnsi="T" w:cs="Simplified Arabic"/>
          <w:color w:val="auto"/>
          <w:sz w:val="24"/>
          <w:szCs w:val="24"/>
          <w:rtl/>
        </w:rPr>
      </w:pPr>
      <w:r w:rsidRPr="005D59A7">
        <w:rPr>
          <w:rFonts w:ascii="T" w:hAnsi="T" w:cs="Simplified Arabic"/>
          <w:color w:val="auto"/>
          <w:sz w:val="24"/>
          <w:szCs w:val="24"/>
          <w:rtl/>
        </w:rPr>
        <w:lastRenderedPageBreak/>
        <w:t>التكلفة السنوية الإجمالية للتدهور البيئي:</w:t>
      </w:r>
    </w:p>
    <w:p w14:paraId="446BF533" w14:textId="77777777" w:rsidR="0089176E" w:rsidRPr="005D59A7" w:rsidRDefault="0089176E" w:rsidP="00861DC2">
      <w:pPr>
        <w:bidi/>
        <w:spacing w:line="360" w:lineRule="auto"/>
        <w:ind w:firstLine="720"/>
        <w:rPr>
          <w:rFonts w:ascii="T" w:hAnsi="T" w:cs="Simplified Arabic"/>
          <w:sz w:val="24"/>
          <w:szCs w:val="24"/>
          <w:rtl/>
        </w:rPr>
      </w:pPr>
      <w:r w:rsidRPr="005D59A7">
        <w:rPr>
          <w:rFonts w:ascii="T" w:hAnsi="T" w:cs="Simplified Arabic"/>
          <w:sz w:val="24"/>
          <w:szCs w:val="24"/>
          <w:rtl/>
        </w:rPr>
        <w:t>بلغت التكلفة السنوية الإجمالية للتدهور البيئي 86 مليار ريال سعودي في عام 2014، أي ما يعادل 3% من الناتج المحلي الإجمالي (</w:t>
      </w:r>
      <w:r w:rsidRPr="005D59A7">
        <w:rPr>
          <w:rFonts w:ascii="T" w:hAnsi="T" w:cs="Simplified Arabic"/>
          <w:sz w:val="24"/>
          <w:szCs w:val="24"/>
        </w:rPr>
        <w:t>NES, 2018</w:t>
      </w:r>
      <w:r w:rsidRPr="005D59A7">
        <w:rPr>
          <w:rFonts w:ascii="T" w:hAnsi="T" w:cs="Simplified Arabic"/>
          <w:sz w:val="24"/>
          <w:szCs w:val="24"/>
          <w:rtl/>
        </w:rPr>
        <w:t>).</w:t>
      </w:r>
    </w:p>
    <w:p w14:paraId="1D4D6638" w14:textId="77777777" w:rsidR="0089176E" w:rsidRPr="005D59A7" w:rsidRDefault="0089176E" w:rsidP="00861DC2">
      <w:pPr>
        <w:bidi/>
        <w:spacing w:line="360" w:lineRule="auto"/>
        <w:ind w:firstLine="720"/>
        <w:rPr>
          <w:rFonts w:ascii="T" w:hAnsi="T" w:cs="Simplified Arabic"/>
          <w:sz w:val="24"/>
          <w:szCs w:val="24"/>
          <w:rtl/>
        </w:rPr>
      </w:pPr>
      <w:r w:rsidRPr="005D59A7">
        <w:rPr>
          <w:rFonts w:ascii="T" w:hAnsi="T" w:cs="Simplified Arabic"/>
          <w:sz w:val="24"/>
          <w:szCs w:val="24"/>
          <w:rtl/>
        </w:rPr>
        <w:t>من أهم مصادر التدهور البيئي ما يلي:</w:t>
      </w:r>
    </w:p>
    <w:p w14:paraId="3D573DF2"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تلوث الهواء.</w:t>
      </w:r>
    </w:p>
    <w:p w14:paraId="56F05151"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الضغوط على موارد المياه وتلوثها.</w:t>
      </w:r>
    </w:p>
    <w:p w14:paraId="5C6C798C"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الضغوط على موارد الأرض.</w:t>
      </w:r>
    </w:p>
    <w:p w14:paraId="487FE9FE"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إدارة النفايات بطريقة غير مستدامة.</w:t>
      </w:r>
    </w:p>
    <w:p w14:paraId="6E4091F5"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عدم كفاية الحفاظ على الموارد الساحلية.</w:t>
      </w:r>
    </w:p>
    <w:p w14:paraId="3E2C584B"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الأضرار الناجمة عن الكوارث الطبيعية.</w:t>
      </w:r>
    </w:p>
    <w:p w14:paraId="46440B7D"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عدم كفاءة الطاقة والاعتماد المحدود على مصادر الطاقة المتجددة.</w:t>
      </w:r>
    </w:p>
    <w:p w14:paraId="3B7996DF" w14:textId="77777777" w:rsidR="0089176E" w:rsidRPr="005D59A7" w:rsidRDefault="0089176E" w:rsidP="00861DC2">
      <w:pPr>
        <w:pStyle w:val="ListParagraph"/>
        <w:bidi/>
        <w:spacing w:line="360" w:lineRule="auto"/>
        <w:ind w:firstLine="720"/>
        <w:rPr>
          <w:rFonts w:ascii="T" w:hAnsi="T" w:cs="Simplified Arabic"/>
          <w:sz w:val="24"/>
          <w:szCs w:val="24"/>
          <w:rtl/>
        </w:rPr>
      </w:pPr>
    </w:p>
    <w:p w14:paraId="429DC865" w14:textId="77777777" w:rsidR="0089176E" w:rsidRPr="005D59A7" w:rsidRDefault="0089176E" w:rsidP="00861DC2">
      <w:pPr>
        <w:bidi/>
        <w:spacing w:line="360" w:lineRule="auto"/>
        <w:ind w:firstLine="720"/>
        <w:rPr>
          <w:rFonts w:ascii="T" w:hAnsi="T" w:cs="Simplified Arabic"/>
          <w:sz w:val="24"/>
          <w:szCs w:val="24"/>
          <w:rtl/>
        </w:rPr>
      </w:pPr>
      <w:r w:rsidRPr="005D59A7">
        <w:rPr>
          <w:rFonts w:ascii="T" w:hAnsi="T" w:cs="Simplified Arabic"/>
          <w:noProof/>
          <w:sz w:val="24"/>
          <w:szCs w:val="24"/>
        </w:rPr>
        <w:drawing>
          <wp:inline distT="0" distB="0" distL="0" distR="0" wp14:anchorId="3279EA29" wp14:editId="0A190323">
            <wp:extent cx="5219700" cy="3457575"/>
            <wp:effectExtent l="19050" t="0" r="0" b="0"/>
            <wp:docPr id="60"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srcRect/>
                    <a:stretch>
                      <a:fillRect/>
                    </a:stretch>
                  </pic:blipFill>
                  <pic:spPr bwMode="auto">
                    <a:xfrm>
                      <a:off x="0" y="0"/>
                      <a:ext cx="5219700" cy="3457575"/>
                    </a:xfrm>
                    <a:prstGeom prst="rect">
                      <a:avLst/>
                    </a:prstGeom>
                    <a:noFill/>
                    <a:ln w="9525">
                      <a:noFill/>
                      <a:miter lim="800000"/>
                      <a:headEnd/>
                      <a:tailEnd/>
                    </a:ln>
                  </pic:spPr>
                </pic:pic>
              </a:graphicData>
            </a:graphic>
          </wp:inline>
        </w:drawing>
      </w:r>
    </w:p>
    <w:p w14:paraId="3A1DAD4C" w14:textId="57877053" w:rsidR="0089176E" w:rsidRPr="005D59A7" w:rsidRDefault="0089176E" w:rsidP="00861DC2">
      <w:pPr>
        <w:pStyle w:val="Caption"/>
        <w:bidi/>
        <w:spacing w:line="360" w:lineRule="auto"/>
        <w:ind w:firstLine="720"/>
        <w:jc w:val="center"/>
        <w:rPr>
          <w:rFonts w:ascii="T" w:hAnsi="T" w:cs="Simplified Arabic"/>
          <w:noProof/>
          <w:color w:val="auto"/>
          <w:sz w:val="24"/>
          <w:szCs w:val="24"/>
          <w:rtl/>
        </w:rPr>
      </w:pPr>
      <w:bookmarkStart w:id="66" w:name="_Toc225991172"/>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8</w:t>
      </w:r>
      <w:r w:rsidR="00FD30BF" w:rsidRPr="005D59A7">
        <w:rPr>
          <w:rFonts w:ascii="T" w:hAnsi="T" w:cs="Simplified Arabic"/>
          <w:color w:val="auto"/>
          <w:sz w:val="24"/>
          <w:szCs w:val="24"/>
          <w:rtl/>
        </w:rPr>
        <w:fldChar w:fldCharType="end"/>
      </w:r>
      <w:r w:rsidRPr="005D59A7">
        <w:rPr>
          <w:rFonts w:ascii="T" w:hAnsi="T" w:cs="Simplified Arabic"/>
          <w:noProof/>
          <w:color w:val="auto"/>
          <w:sz w:val="24"/>
          <w:szCs w:val="24"/>
          <w:rtl/>
        </w:rPr>
        <w:t>: تكلفة التدهور البيئي في المملكة (2014)</w:t>
      </w:r>
      <w:bookmarkEnd w:id="66"/>
    </w:p>
    <w:p w14:paraId="2EDC6982" w14:textId="77777777" w:rsidR="00581D5D" w:rsidRPr="005D59A7" w:rsidRDefault="00BF0DB3" w:rsidP="00861DC2">
      <w:pPr>
        <w:pStyle w:val="Heading4"/>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lastRenderedPageBreak/>
        <w:t>الأهداف البيئية الإستراتيجية</w:t>
      </w:r>
    </w:p>
    <w:p w14:paraId="58C85E58" w14:textId="77777777" w:rsidR="00BF0DB3" w:rsidRPr="005D59A7" w:rsidRDefault="00BF0DB3" w:rsidP="0045581D">
      <w:pPr>
        <w:pStyle w:val="ListParagraph"/>
        <w:numPr>
          <w:ilvl w:val="0"/>
          <w:numId w:val="26"/>
        </w:numPr>
        <w:bidi/>
        <w:spacing w:line="360" w:lineRule="auto"/>
        <w:ind w:firstLine="720"/>
        <w:jc w:val="both"/>
        <w:rPr>
          <w:rFonts w:ascii="T" w:hAnsi="T" w:cs="Simplified Arabic"/>
          <w:sz w:val="24"/>
          <w:szCs w:val="24"/>
        </w:rPr>
      </w:pPr>
      <w:r w:rsidRPr="005D59A7">
        <w:rPr>
          <w:rFonts w:ascii="T" w:hAnsi="T" w:cs="Simplified Arabic"/>
          <w:sz w:val="24"/>
          <w:szCs w:val="24"/>
          <w:rtl/>
        </w:rPr>
        <w:t>دعم الاستدامة البيئية من خلال الحفاظ على الموارد الطبيعية، والحد من التلوث، ومكافحة التصحر، وإدراج الأجندة البيئية في صلب التخطيط الوطني، وإعادة تأهيل النظم البيئية المتدهورة.</w:t>
      </w:r>
    </w:p>
    <w:p w14:paraId="19D82B34" w14:textId="77777777" w:rsidR="00BF0DB3" w:rsidRPr="005D59A7" w:rsidRDefault="00BF0DB3" w:rsidP="0045581D">
      <w:pPr>
        <w:pStyle w:val="ListParagraph"/>
        <w:numPr>
          <w:ilvl w:val="0"/>
          <w:numId w:val="26"/>
        </w:numPr>
        <w:bidi/>
        <w:spacing w:line="360" w:lineRule="auto"/>
        <w:ind w:firstLine="720"/>
        <w:jc w:val="both"/>
        <w:rPr>
          <w:rFonts w:ascii="T" w:hAnsi="T" w:cs="Simplified Arabic"/>
          <w:sz w:val="24"/>
          <w:szCs w:val="24"/>
        </w:rPr>
      </w:pPr>
      <w:r w:rsidRPr="005D59A7">
        <w:rPr>
          <w:rFonts w:ascii="T" w:hAnsi="T" w:cs="Simplified Arabic"/>
          <w:sz w:val="24"/>
          <w:szCs w:val="24"/>
          <w:rtl/>
        </w:rPr>
        <w:t>تحقيق حوكمة قوية لقطاعي البيئة والأرصاد الجوية، وتعزيز التنسيق بين الكيانات المرنة والفعالة والمستدامة مالياً، وإشراك القطاع الخاص لتقديم خدمات بيئية متميزة وعالية الجودة.</w:t>
      </w:r>
    </w:p>
    <w:p w14:paraId="14FE21CA" w14:textId="77777777" w:rsidR="008F4D56" w:rsidRPr="005D59A7" w:rsidRDefault="008F4D56" w:rsidP="0045581D">
      <w:pPr>
        <w:pStyle w:val="ListParagraph"/>
        <w:numPr>
          <w:ilvl w:val="0"/>
          <w:numId w:val="26"/>
        </w:numPr>
        <w:bidi/>
        <w:spacing w:line="360" w:lineRule="auto"/>
        <w:ind w:firstLine="720"/>
        <w:jc w:val="both"/>
        <w:rPr>
          <w:rFonts w:ascii="T" w:hAnsi="T" w:cs="Simplified Arabic"/>
          <w:sz w:val="24"/>
          <w:szCs w:val="24"/>
        </w:rPr>
      </w:pPr>
      <w:r w:rsidRPr="005D59A7">
        <w:rPr>
          <w:rFonts w:ascii="T" w:hAnsi="T" w:cs="Simplified Arabic"/>
          <w:sz w:val="24"/>
          <w:szCs w:val="24"/>
          <w:rtl/>
        </w:rPr>
        <w:t>تحسين نوعية الحياة للجميع وتحقيق أقصى قدر من التكيف مع تغير المناخ.</w:t>
      </w:r>
    </w:p>
    <w:p w14:paraId="74630930" w14:textId="77777777" w:rsidR="008F4D56" w:rsidRPr="005D59A7" w:rsidRDefault="008F4D56" w:rsidP="0045581D">
      <w:pPr>
        <w:pStyle w:val="ListParagraph"/>
        <w:numPr>
          <w:ilvl w:val="0"/>
          <w:numId w:val="26"/>
        </w:numPr>
        <w:bidi/>
        <w:spacing w:line="360" w:lineRule="auto"/>
        <w:ind w:firstLine="720"/>
        <w:jc w:val="both"/>
        <w:rPr>
          <w:rFonts w:ascii="T" w:hAnsi="T" w:cs="Simplified Arabic"/>
          <w:sz w:val="24"/>
          <w:szCs w:val="24"/>
        </w:rPr>
      </w:pPr>
      <w:r w:rsidRPr="005D59A7">
        <w:rPr>
          <w:rFonts w:ascii="T" w:hAnsi="T" w:cs="Simplified Arabic"/>
          <w:sz w:val="24"/>
          <w:szCs w:val="24"/>
          <w:rtl/>
        </w:rPr>
        <w:t>اعتماد أعلى المعايير المهنية والأخلاقية عند إدارة وتشغيل قطاعي البيئة والأرصاد الجوية، وإشراك المجتمع المدني في القضايا البيئية، ورفع مستوى الوعي البيئي داخل المملكة، والالتزام بالمعاهدات الدولية.</w:t>
      </w:r>
    </w:p>
    <w:p w14:paraId="6E0DFBCA" w14:textId="235D1352" w:rsidR="00843CD6" w:rsidRPr="005D59A7" w:rsidRDefault="00843CD6" w:rsidP="00922FF0">
      <w:pPr>
        <w:pStyle w:val="Heading1"/>
        <w:bidi/>
        <w:rPr>
          <w:rFonts w:ascii="T" w:hAnsi="T" w:cs="Simplified Arabic"/>
          <w:b/>
          <w:bCs/>
          <w:color w:val="auto"/>
          <w:sz w:val="24"/>
          <w:szCs w:val="24"/>
          <w:rtl/>
          <w:lang w:bidi="ar-EG"/>
        </w:rPr>
      </w:pPr>
      <w:bookmarkStart w:id="67" w:name="_Toc234607891"/>
      <w:r w:rsidRPr="00693289">
        <w:rPr>
          <w:rFonts w:ascii="T" w:hAnsi="T" w:cs="Simplified Arabic"/>
          <w:b/>
          <w:bCs/>
          <w:color w:val="auto"/>
          <w:sz w:val="24"/>
          <w:szCs w:val="24"/>
          <w:rtl/>
          <w:lang w:bidi="ar-EG"/>
        </w:rPr>
        <w:t>الدراسات السابقة</w:t>
      </w:r>
      <w:bookmarkEnd w:id="67"/>
    </w:p>
    <w:p w14:paraId="29AF6AAE" w14:textId="77777777" w:rsidR="00C57CC8" w:rsidRPr="005D59A7" w:rsidRDefault="00C57CC8" w:rsidP="00922FF0">
      <w:pPr>
        <w:pStyle w:val="Heading2"/>
        <w:bidi/>
        <w:rPr>
          <w:rFonts w:ascii="T" w:hAnsi="T" w:cs="Simplified Arabic"/>
          <w:color w:val="auto"/>
          <w:sz w:val="24"/>
          <w:szCs w:val="24"/>
          <w:rtl/>
          <w:lang w:bidi="ar-EG"/>
        </w:rPr>
      </w:pPr>
      <w:bookmarkStart w:id="68" w:name="_Toc234607892"/>
      <w:r w:rsidRPr="005D59A7">
        <w:rPr>
          <w:rFonts w:ascii="T" w:hAnsi="T" w:cs="Simplified Arabic"/>
          <w:color w:val="auto"/>
          <w:sz w:val="24"/>
          <w:szCs w:val="24"/>
          <w:rtl/>
          <w:lang w:bidi="ar-EG"/>
        </w:rPr>
        <w:t>المحور الأول: دراسات الشراكات بين القطاعين العام والخاص</w:t>
      </w:r>
      <w:r w:rsidRPr="005D59A7">
        <w:rPr>
          <w:rFonts w:ascii="T" w:hAnsi="T" w:cs="Simplified Arabic"/>
          <w:color w:val="auto"/>
          <w:sz w:val="24"/>
          <w:szCs w:val="24"/>
          <w:lang w:bidi="ar-EG"/>
        </w:rPr>
        <w:t xml:space="preserve"> (PPP)</w:t>
      </w:r>
      <w:bookmarkEnd w:id="68"/>
    </w:p>
    <w:p w14:paraId="117C8EA2"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lang w:bidi="ar-EG"/>
        </w:rPr>
        <w:t>أولاً: تطور مفهوم الشراكات بين القطاعين العام والخاص</w:t>
      </w:r>
    </w:p>
    <w:p w14:paraId="727891F9"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 مفهوم الشراكات بين القطاعين العام والخاص تطوراً كبيراً على مدى العقود الماضية، حيث انتقل من كونه مجرد آلية تمويلية بديلة إلى إطار استراتيجي متكامل لإدارة وتنفيذ مشاريع البنية التحتية والخدمات العامة. في البداية، ركزت الأدبيات على تعريف</w:t>
      </w:r>
      <w:r w:rsidRPr="005D59A7">
        <w:rPr>
          <w:rFonts w:ascii="T" w:hAnsi="T" w:cs="Simplified Arabic"/>
          <w:sz w:val="24"/>
          <w:szCs w:val="24"/>
        </w:rPr>
        <w:t xml:space="preserve"> PPP </w:t>
      </w:r>
      <w:r w:rsidRPr="005D59A7">
        <w:rPr>
          <w:rFonts w:ascii="T" w:hAnsi="T" w:cs="Simplified Arabic"/>
          <w:sz w:val="24"/>
          <w:szCs w:val="24"/>
          <w:rtl/>
        </w:rPr>
        <w:t>كعلاقة تعاقدية بين جهة حكومية وكيان خاص لتوفير أصول أو خدمات كانت تقليدياً من مسؤولية القطاع العام، مع تقاسم المخاطر والموارد. تطور المفهوم ليشمل أبعاداً أوسع، حيث أصبح ينظر إلى</w:t>
      </w:r>
      <w:r w:rsidRPr="005D59A7">
        <w:rPr>
          <w:rFonts w:ascii="T" w:hAnsi="T" w:cs="Simplified Arabic"/>
          <w:sz w:val="24"/>
          <w:szCs w:val="24"/>
        </w:rPr>
        <w:t xml:space="preserve"> PPP </w:t>
      </w:r>
      <w:r w:rsidRPr="005D59A7">
        <w:rPr>
          <w:rFonts w:ascii="T" w:hAnsi="T" w:cs="Simplified Arabic"/>
          <w:sz w:val="24"/>
          <w:szCs w:val="24"/>
          <w:rtl/>
        </w:rPr>
        <w:t>كأداة لتحقيق التنمية المستدامة والابتكار في تقديم الخدمات العامة، خاصة في ظل التحديات البيئية والمناخية المتزايدة</w:t>
      </w:r>
      <w:r w:rsidRPr="005D59A7">
        <w:rPr>
          <w:rFonts w:ascii="T" w:hAnsi="T" w:cs="Simplified Arabic"/>
          <w:sz w:val="24"/>
          <w:szCs w:val="24"/>
        </w:rPr>
        <w:t>.</w:t>
      </w:r>
    </w:p>
    <w:p w14:paraId="05C4FC6D" w14:textId="0A55A9BF"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هذا السياق، أجرت دراسة</w:t>
      </w:r>
      <w:r w:rsidRPr="005D59A7">
        <w:rPr>
          <w:rFonts w:ascii="T" w:hAnsi="T" w:cs="Simplified Arabic"/>
          <w:sz w:val="24"/>
          <w:szCs w:val="24"/>
        </w:rPr>
        <w:t xml:space="preserve"> Casady, </w:t>
      </w:r>
      <w:proofErr w:type="spellStart"/>
      <w:r w:rsidRPr="005D59A7">
        <w:rPr>
          <w:rFonts w:ascii="T" w:hAnsi="T" w:cs="Simplified Arabic"/>
          <w:sz w:val="24"/>
          <w:szCs w:val="24"/>
        </w:rPr>
        <w:t>Cepparulo</w:t>
      </w:r>
      <w:proofErr w:type="spellEnd"/>
      <w:r w:rsidRPr="005D59A7">
        <w:rPr>
          <w:rFonts w:ascii="T" w:hAnsi="T" w:cs="Simplified Arabic"/>
          <w:sz w:val="24"/>
          <w:szCs w:val="24"/>
        </w:rPr>
        <w:t xml:space="preserve">,(2024) </w:t>
      </w:r>
      <w:r w:rsidRPr="005D59A7">
        <w:rPr>
          <w:rFonts w:ascii="T" w:hAnsi="T" w:cs="Simplified Arabic"/>
          <w:sz w:val="24"/>
          <w:szCs w:val="24"/>
          <w:rtl/>
        </w:rPr>
        <w:t>هدفت الدراسة إلى تحليل الأدبيات المتعلقة باستخدام</w:t>
      </w:r>
      <w:r w:rsidRPr="005D59A7">
        <w:rPr>
          <w:rFonts w:ascii="T" w:hAnsi="T" w:cs="Simplified Arabic"/>
          <w:sz w:val="24"/>
          <w:szCs w:val="24"/>
        </w:rPr>
        <w:t xml:space="preserve"> PPP </w:t>
      </w:r>
      <w:r w:rsidRPr="005D59A7">
        <w:rPr>
          <w:rFonts w:ascii="T" w:hAnsi="T" w:cs="Simplified Arabic"/>
          <w:sz w:val="24"/>
          <w:szCs w:val="24"/>
          <w:rtl/>
        </w:rPr>
        <w:t>في تطوير البنية التحتية منخفضة الكربون والقادرة على التكيف مع المناخ. اعتمد الباحثون على مراجعة منهجية للأدبيات المنشورة خلال العقد الماضي، مع التركيز على الدراسات التي تناولت دمج اعتبارات الاستدامة البيئية في أطر</w:t>
      </w:r>
      <w:r w:rsidRPr="005D59A7">
        <w:rPr>
          <w:rFonts w:ascii="T" w:hAnsi="T" w:cs="Simplified Arabic"/>
          <w:sz w:val="24"/>
          <w:szCs w:val="24"/>
        </w:rPr>
        <w:t xml:space="preserve"> PPP. </w:t>
      </w:r>
      <w:r w:rsidRPr="005D59A7">
        <w:rPr>
          <w:rFonts w:ascii="T" w:hAnsi="T" w:cs="Simplified Arabic"/>
          <w:sz w:val="24"/>
          <w:szCs w:val="24"/>
          <w:rtl/>
        </w:rPr>
        <w:t>توصلت الدراسة إلى أن الأدبيات الحديثة حول</w:t>
      </w:r>
      <w:r w:rsidRPr="005D59A7">
        <w:rPr>
          <w:rFonts w:ascii="T" w:hAnsi="T" w:cs="Simplified Arabic"/>
          <w:sz w:val="24"/>
          <w:szCs w:val="24"/>
        </w:rPr>
        <w:t xml:space="preserve"> PPP </w:t>
      </w:r>
      <w:r w:rsidRPr="005D59A7">
        <w:rPr>
          <w:rFonts w:ascii="T" w:hAnsi="T" w:cs="Simplified Arabic"/>
          <w:sz w:val="24"/>
          <w:szCs w:val="24"/>
          <w:rtl/>
        </w:rPr>
        <w:t xml:space="preserve">للبنية التحتية منخفضة </w:t>
      </w:r>
      <w:r w:rsidRPr="005D59A7">
        <w:rPr>
          <w:rFonts w:ascii="T" w:hAnsi="T" w:cs="Simplified Arabic"/>
          <w:sz w:val="24"/>
          <w:szCs w:val="24"/>
          <w:rtl/>
        </w:rPr>
        <w:lastRenderedPageBreak/>
        <w:t>الكربون تظهر اتجاهاً متزايداً نحو دمج أهداف الاستدامة في أطر الشراكة، مما يعكس تحولاً من التركيز الضيق على الكفاءة المالية إلى اعتبارات بيئية واجتماعية أوسع. كما أشارت الدراسة إلى أن تصميم آليات تقاسم المخاطر المناسبة يشكل تحدياً رئيسياً في مشاريع</w:t>
      </w:r>
      <w:r w:rsidRPr="005D59A7">
        <w:rPr>
          <w:rFonts w:ascii="T" w:hAnsi="T" w:cs="Simplified Arabic"/>
          <w:sz w:val="24"/>
          <w:szCs w:val="24"/>
        </w:rPr>
        <w:t xml:space="preserve"> PPP </w:t>
      </w:r>
      <w:r w:rsidRPr="005D59A7">
        <w:rPr>
          <w:rFonts w:ascii="T" w:hAnsi="T" w:cs="Simplified Arabic"/>
          <w:sz w:val="24"/>
          <w:szCs w:val="24"/>
          <w:rtl/>
        </w:rPr>
        <w:t>الخضراء، نظراً لارتفاع درجة عدم اليقين المرتبطة بالتقنيات الجديدة والسياسات البيئية المتغيرة. أوصت الدراسة بضرورة تطوير أطر تنظيمية مرنة تدعم الابتكار في قطاع البنية التحتية المستدامة، مع تعزيز قدرات القطاع العام على إدارة عقود</w:t>
      </w:r>
      <w:r w:rsidRPr="005D59A7">
        <w:rPr>
          <w:rFonts w:ascii="T" w:hAnsi="T" w:cs="Simplified Arabic"/>
          <w:sz w:val="24"/>
          <w:szCs w:val="24"/>
        </w:rPr>
        <w:t xml:space="preserve"> PPP </w:t>
      </w:r>
      <w:r w:rsidRPr="005D59A7">
        <w:rPr>
          <w:rFonts w:ascii="T" w:hAnsi="T" w:cs="Simplified Arabic"/>
          <w:sz w:val="24"/>
          <w:szCs w:val="24"/>
          <w:rtl/>
        </w:rPr>
        <w:t>المعقدة في هذا المجال</w:t>
      </w:r>
      <w:r w:rsidRPr="005D59A7">
        <w:rPr>
          <w:rFonts w:ascii="T" w:hAnsi="T" w:cs="Simplified Arabic"/>
          <w:sz w:val="24"/>
          <w:szCs w:val="24"/>
        </w:rPr>
        <w:t>.</w:t>
      </w:r>
    </w:p>
    <w:p w14:paraId="3D267165" w14:textId="135DAE93"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من جهة أخرى، تناولت دراسة</w:t>
      </w:r>
      <w:r w:rsidRPr="005D59A7">
        <w:rPr>
          <w:rFonts w:ascii="T" w:hAnsi="T" w:cs="Simplified Arabic"/>
          <w:sz w:val="24"/>
          <w:szCs w:val="24"/>
        </w:rPr>
        <w:t xml:space="preserve"> Quan </w:t>
      </w:r>
      <w:r w:rsidRPr="005D59A7">
        <w:rPr>
          <w:rFonts w:ascii="T" w:hAnsi="T" w:cs="Simplified Arabic"/>
          <w:sz w:val="24"/>
          <w:szCs w:val="24"/>
          <w:rtl/>
        </w:rPr>
        <w:t>و</w:t>
      </w:r>
      <w:r w:rsidRPr="005D59A7">
        <w:rPr>
          <w:rFonts w:ascii="T" w:hAnsi="T" w:cs="Simplified Arabic"/>
          <w:sz w:val="24"/>
          <w:szCs w:val="24"/>
        </w:rPr>
        <w:t xml:space="preserve"> Solheim (2023) </w:t>
      </w:r>
      <w:r w:rsidRPr="005D59A7">
        <w:rPr>
          <w:rFonts w:ascii="T" w:hAnsi="T" w:cs="Simplified Arabic"/>
          <w:sz w:val="24"/>
          <w:szCs w:val="24"/>
          <w:rtl/>
        </w:rPr>
        <w:t>تطور مفهوم</w:t>
      </w:r>
      <w:r w:rsidRPr="005D59A7">
        <w:rPr>
          <w:rFonts w:ascii="T" w:hAnsi="T" w:cs="Simplified Arabic"/>
          <w:sz w:val="24"/>
          <w:szCs w:val="24"/>
        </w:rPr>
        <w:t xml:space="preserve"> PPP </w:t>
      </w:r>
      <w:r w:rsidRPr="005D59A7">
        <w:rPr>
          <w:rFonts w:ascii="T" w:hAnsi="T" w:cs="Simplified Arabic"/>
          <w:sz w:val="24"/>
          <w:szCs w:val="24"/>
          <w:rtl/>
        </w:rPr>
        <w:t>في سياق المدن الذكية. هدفت الدراسة إلى إجراء مسح نقدي للأدبيات المتعلقة بـ</w:t>
      </w:r>
      <w:r w:rsidRPr="005D59A7">
        <w:rPr>
          <w:rFonts w:ascii="T" w:hAnsi="T" w:cs="Simplified Arabic"/>
          <w:sz w:val="24"/>
          <w:szCs w:val="24"/>
        </w:rPr>
        <w:t xml:space="preserve"> PPP </w:t>
      </w:r>
      <w:r w:rsidRPr="005D59A7">
        <w:rPr>
          <w:rFonts w:ascii="T" w:hAnsi="T" w:cs="Simplified Arabic"/>
          <w:sz w:val="24"/>
          <w:szCs w:val="24"/>
          <w:rtl/>
        </w:rPr>
        <w:t>في المدن الذكية، وتحديد الفجوات البحثية واقتراح أجندة بحثية مستقبلية. اعتمد الباحثون على مراجعة منهجية شاملة للأدبيات المنشورة خلال الفترة 2010-2022، مع تحليل نقدي للمفاهيم والنماذج والتحديات. توصلت الدراسة إلى أن مفهوم</w:t>
      </w:r>
      <w:r w:rsidRPr="005D59A7">
        <w:rPr>
          <w:rFonts w:ascii="T" w:hAnsi="T" w:cs="Simplified Arabic"/>
          <w:sz w:val="24"/>
          <w:szCs w:val="24"/>
        </w:rPr>
        <w:t xml:space="preserve"> PPP </w:t>
      </w:r>
      <w:r w:rsidRPr="005D59A7">
        <w:rPr>
          <w:rFonts w:ascii="T" w:hAnsi="T" w:cs="Simplified Arabic"/>
          <w:sz w:val="24"/>
          <w:szCs w:val="24"/>
          <w:rtl/>
        </w:rPr>
        <w:t>تطور ليشمل شراكات متعددة الأطراف تجمع بين القطاع العام والخاص والمجتمع المدني والأوساط الأكاديمية، مما يعكس تعقيداً متزايداً في هيكل الشراكة وأهدافها. كما أشارت الدراسة إلى أن مشاريع المدن الذكية تواجه تحديات فريدة تتعلق بخصوصية البيانات والأمن السيبراني والملكية الفكرية، مما يتطلب تطوير أطر حوكمة مبتكرة. أوصت الدراسة بضرورة إجراء المزيد من البحوث حول آليات قياس أداء</w:t>
      </w:r>
      <w:r w:rsidRPr="005D59A7">
        <w:rPr>
          <w:rFonts w:ascii="T" w:hAnsi="T" w:cs="Simplified Arabic"/>
          <w:sz w:val="24"/>
          <w:szCs w:val="24"/>
        </w:rPr>
        <w:t xml:space="preserve"> PPP </w:t>
      </w:r>
      <w:r w:rsidRPr="005D59A7">
        <w:rPr>
          <w:rFonts w:ascii="T" w:hAnsi="T" w:cs="Simplified Arabic"/>
          <w:sz w:val="24"/>
          <w:szCs w:val="24"/>
          <w:rtl/>
        </w:rPr>
        <w:t>في المدن الذكية، وتطوير نماذج تقاسم المخاطر المناسبة لهذا السياق الجديد</w:t>
      </w:r>
      <w:r w:rsidRPr="005D59A7">
        <w:rPr>
          <w:rFonts w:ascii="T" w:hAnsi="T" w:cs="Simplified Arabic"/>
          <w:sz w:val="24"/>
          <w:szCs w:val="24"/>
        </w:rPr>
        <w:t>.</w:t>
      </w:r>
    </w:p>
    <w:p w14:paraId="4E4CC3B8" w14:textId="521E8E3C"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كما أجرى</w:t>
      </w:r>
      <w:r w:rsidRPr="005D59A7">
        <w:rPr>
          <w:rFonts w:ascii="T" w:hAnsi="T" w:cs="Simplified Arabic"/>
          <w:sz w:val="24"/>
          <w:szCs w:val="24"/>
        </w:rPr>
        <w:t xml:space="preserve"> </w:t>
      </w:r>
      <w:proofErr w:type="spellStart"/>
      <w:r w:rsidRPr="005D59A7">
        <w:rPr>
          <w:rFonts w:ascii="T" w:hAnsi="T" w:cs="Simplified Arabic"/>
          <w:sz w:val="24"/>
          <w:szCs w:val="24"/>
        </w:rPr>
        <w:t>Khandanisa</w:t>
      </w:r>
      <w:proofErr w:type="spellEnd"/>
      <w:r w:rsidRPr="005D59A7">
        <w:rPr>
          <w:rFonts w:ascii="T" w:hAnsi="T" w:cs="Simplified Arabic"/>
          <w:sz w:val="24"/>
          <w:szCs w:val="24"/>
        </w:rPr>
        <w:t xml:space="preserve">, </w:t>
      </w:r>
      <w:proofErr w:type="spellStart"/>
      <w:r w:rsidRPr="005D59A7">
        <w:rPr>
          <w:rFonts w:ascii="T" w:hAnsi="T" w:cs="Simplified Arabic"/>
          <w:sz w:val="24"/>
          <w:szCs w:val="24"/>
        </w:rPr>
        <w:t>Ramolobe</w:t>
      </w:r>
      <w:proofErr w:type="spellEnd"/>
      <w:r w:rsidRPr="005D59A7">
        <w:rPr>
          <w:rFonts w:ascii="T" w:hAnsi="T" w:cs="Simplified Arabic"/>
          <w:sz w:val="24"/>
          <w:szCs w:val="24"/>
        </w:rPr>
        <w:t xml:space="preserve"> (2024) </w:t>
      </w:r>
      <w:r w:rsidRPr="005D59A7">
        <w:rPr>
          <w:rFonts w:ascii="T" w:hAnsi="T" w:cs="Simplified Arabic"/>
          <w:sz w:val="24"/>
          <w:szCs w:val="24"/>
          <w:rtl/>
        </w:rPr>
        <w:t>دراسة هدفت إلى تحليل دور</w:t>
      </w:r>
      <w:r w:rsidRPr="005D59A7">
        <w:rPr>
          <w:rFonts w:ascii="T" w:hAnsi="T" w:cs="Simplified Arabic"/>
          <w:sz w:val="24"/>
          <w:szCs w:val="24"/>
        </w:rPr>
        <w:t xml:space="preserve"> PPP </w:t>
      </w:r>
      <w:r w:rsidRPr="005D59A7">
        <w:rPr>
          <w:rFonts w:ascii="T" w:hAnsi="T" w:cs="Simplified Arabic"/>
          <w:sz w:val="24"/>
          <w:szCs w:val="24"/>
          <w:rtl/>
        </w:rPr>
        <w:t>في تحقيق التنمية المستدامة على المستوى المحلي في جنوب أفريقيا. اعتمد الباحثون على منهجية دراسة حالة، مع تحليل بيانات من مشاريع</w:t>
      </w:r>
      <w:r w:rsidRPr="005D59A7">
        <w:rPr>
          <w:rFonts w:ascii="T" w:hAnsi="T" w:cs="Simplified Arabic"/>
          <w:sz w:val="24"/>
          <w:szCs w:val="24"/>
        </w:rPr>
        <w:t xml:space="preserve"> PPP </w:t>
      </w:r>
      <w:r w:rsidRPr="005D59A7">
        <w:rPr>
          <w:rFonts w:ascii="T" w:hAnsi="T" w:cs="Simplified Arabic"/>
          <w:sz w:val="24"/>
          <w:szCs w:val="24"/>
          <w:rtl/>
        </w:rPr>
        <w:t>منفذة في عدة بلديات. توصلت الدراسة إلى أن</w:t>
      </w:r>
      <w:r w:rsidRPr="005D59A7">
        <w:rPr>
          <w:rFonts w:ascii="T" w:hAnsi="T" w:cs="Simplified Arabic"/>
          <w:sz w:val="24"/>
          <w:szCs w:val="24"/>
        </w:rPr>
        <w:t xml:space="preserve"> PPP </w:t>
      </w:r>
      <w:r w:rsidRPr="005D59A7">
        <w:rPr>
          <w:rFonts w:ascii="T" w:hAnsi="T" w:cs="Simplified Arabic"/>
          <w:sz w:val="24"/>
          <w:szCs w:val="24"/>
          <w:rtl/>
        </w:rPr>
        <w:t>أصبح أداة محورية لتحقيق أهداف التنمية المستدامة للحكومات المحلية، خاصة في سياق الدول النامية حيث تتزايد الحاجة إلى البنية التحتية مع محدودية الموارد العامة. كما أشارت الدراسة إلى أن نجاح</w:t>
      </w:r>
      <w:r w:rsidRPr="005D59A7">
        <w:rPr>
          <w:rFonts w:ascii="T" w:hAnsi="T" w:cs="Simplified Arabic"/>
          <w:sz w:val="24"/>
          <w:szCs w:val="24"/>
        </w:rPr>
        <w:t xml:space="preserve"> PPP </w:t>
      </w:r>
      <w:r w:rsidRPr="005D59A7">
        <w:rPr>
          <w:rFonts w:ascii="T" w:hAnsi="T" w:cs="Simplified Arabic"/>
          <w:sz w:val="24"/>
          <w:szCs w:val="24"/>
          <w:rtl/>
        </w:rPr>
        <w:t>على المستوى المحلي يتطلب بناء قدرات مؤسسية متطورة، وتعزيز الشفافية والمشاركة المجتمعية. أوصت الدراسة بضرورة تطوير أطر تنظيمية مرنة تتناسب مع احتياجات الحكومات المحلية، مع توفير الدعم الفني والمالي لتعزيز قدراتها على إدارة عقود</w:t>
      </w:r>
      <w:r w:rsidRPr="005D59A7">
        <w:rPr>
          <w:rFonts w:ascii="T" w:hAnsi="T" w:cs="Simplified Arabic"/>
          <w:sz w:val="24"/>
          <w:szCs w:val="24"/>
        </w:rPr>
        <w:t xml:space="preserve"> PPP.</w:t>
      </w:r>
    </w:p>
    <w:p w14:paraId="1A207903"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دوافع تبني الشراكات بين القطاعين العام والخاص</w:t>
      </w:r>
    </w:p>
    <w:p w14:paraId="6ACF17AB"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تتنوع دوافع تبني الحكومات لنماذج الشراكة مع القطاع الخاص، ويمكن تصنيفها إلى عدة فئات رئيسية تشمل دوافع الكفاءة والابتكار، دوافع التمويل وسد الفجوات المالية، دوافع نقل وتوزيع المخاطر، ودوافع تحسين جودة الخدمات وتحقيق التنمية المستدامة</w:t>
      </w:r>
      <w:r w:rsidRPr="005D59A7">
        <w:rPr>
          <w:rFonts w:ascii="T" w:hAnsi="T" w:cs="Simplified Arabic"/>
          <w:sz w:val="24"/>
          <w:szCs w:val="24"/>
        </w:rPr>
        <w:t>.</w:t>
      </w:r>
    </w:p>
    <w:p w14:paraId="19ACBC8F" w14:textId="4D266459"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في مجال الابتكار، أجرى </w:t>
      </w:r>
      <w:r w:rsidRPr="005D59A7">
        <w:rPr>
          <w:rFonts w:ascii="T" w:hAnsi="T" w:cs="Simplified Arabic"/>
          <w:sz w:val="24"/>
          <w:szCs w:val="24"/>
        </w:rPr>
        <w:t xml:space="preserve">Liu, et al  (2024) </w:t>
      </w:r>
      <w:r w:rsidRPr="005D59A7">
        <w:rPr>
          <w:rFonts w:ascii="T" w:hAnsi="T" w:cs="Simplified Arabic"/>
          <w:sz w:val="24"/>
          <w:szCs w:val="24"/>
          <w:rtl/>
        </w:rPr>
        <w:t xml:space="preserve"> دراسة هدفت إلى تحليل تأثير</w:t>
      </w:r>
      <w:r w:rsidRPr="005D59A7">
        <w:rPr>
          <w:rFonts w:ascii="T" w:hAnsi="T" w:cs="Simplified Arabic"/>
          <w:sz w:val="24"/>
          <w:szCs w:val="24"/>
        </w:rPr>
        <w:t xml:space="preserve"> PPP </w:t>
      </w:r>
      <w:r w:rsidRPr="005D59A7">
        <w:rPr>
          <w:rFonts w:ascii="T" w:hAnsi="T" w:cs="Simplified Arabic"/>
          <w:sz w:val="24"/>
          <w:szCs w:val="24"/>
          <w:rtl/>
        </w:rPr>
        <w:t>على الابتكار في تسليم مشاريع البنية التحتية. اعتمد الباحثون على منهجية مختلطة جمعت بين تحليل بيانات كمية من 120 مشروع بنية تحتية ودراسات حالة نوعية لثمانية مشاريع</w:t>
      </w:r>
      <w:r w:rsidRPr="005D59A7">
        <w:rPr>
          <w:rFonts w:ascii="T" w:hAnsi="T" w:cs="Simplified Arabic"/>
          <w:sz w:val="24"/>
          <w:szCs w:val="24"/>
        </w:rPr>
        <w:t xml:space="preserve"> PPP. </w:t>
      </w:r>
      <w:r w:rsidRPr="005D59A7">
        <w:rPr>
          <w:rFonts w:ascii="T" w:hAnsi="T" w:cs="Simplified Arabic"/>
          <w:sz w:val="24"/>
          <w:szCs w:val="24"/>
          <w:rtl/>
        </w:rPr>
        <w:t>توصلت الدراسة إلى أن</w:t>
      </w:r>
      <w:r w:rsidRPr="005D59A7">
        <w:rPr>
          <w:rFonts w:ascii="T" w:hAnsi="T" w:cs="Simplified Arabic"/>
          <w:sz w:val="24"/>
          <w:szCs w:val="24"/>
        </w:rPr>
        <w:t xml:space="preserve"> PPP </w:t>
      </w:r>
      <w:r w:rsidRPr="005D59A7">
        <w:rPr>
          <w:rFonts w:ascii="T" w:hAnsi="T" w:cs="Simplified Arabic"/>
          <w:sz w:val="24"/>
          <w:szCs w:val="24"/>
          <w:rtl/>
        </w:rPr>
        <w:t>لها تأثير إيجابي كبير على الابتكار، حيث تعمل آليات السوق والمنافسة على تحفيز الشركاء من القطاع الخاص لتطوير حلول مبتكرة تقلل التكاليف وتحسن الجودة. وجدت الدراسة أن مشاريع</w:t>
      </w:r>
      <w:r w:rsidRPr="005D59A7">
        <w:rPr>
          <w:rFonts w:ascii="T" w:hAnsi="T" w:cs="Simplified Arabic"/>
          <w:sz w:val="24"/>
          <w:szCs w:val="24"/>
        </w:rPr>
        <w:t xml:space="preserve"> PPP </w:t>
      </w:r>
      <w:r w:rsidRPr="005D59A7">
        <w:rPr>
          <w:rFonts w:ascii="T" w:hAnsi="T" w:cs="Simplified Arabic"/>
          <w:sz w:val="24"/>
          <w:szCs w:val="24"/>
          <w:rtl/>
        </w:rPr>
        <w:t>تميل إلى تبني تقنيات وأساليب إدارة أكثر تقدماً مقارنة بالمشاريع التقليدية، مما يسهم في تسريع الإنجاز وتحسين الأداء بنسبة تتراوح بين 15-25%. كما أشارت الدراسة إلى أن التعاقد القائم على الأداء</w:t>
      </w:r>
      <w:r w:rsidRPr="005D59A7">
        <w:rPr>
          <w:rFonts w:ascii="T" w:hAnsi="T" w:cs="Simplified Arabic"/>
          <w:sz w:val="24"/>
          <w:szCs w:val="24"/>
        </w:rPr>
        <w:t xml:space="preserve"> (Performance-Based Contracting) </w:t>
      </w:r>
      <w:r w:rsidRPr="005D59A7">
        <w:rPr>
          <w:rFonts w:ascii="T" w:hAnsi="T" w:cs="Simplified Arabic"/>
          <w:sz w:val="24"/>
          <w:szCs w:val="24"/>
          <w:rtl/>
        </w:rPr>
        <w:t>يعزز الابتكار بشكل أكبر من العقود التقليدية، لأنه يربط تعويض القطاع الخاص بتحقيق نتائج محددة بدلاً من مجرد تنفيذ مهام محددة. أوصت الدراسة بضرورة تصميم عقود</w:t>
      </w:r>
      <w:r w:rsidRPr="005D59A7">
        <w:rPr>
          <w:rFonts w:ascii="T" w:hAnsi="T" w:cs="Simplified Arabic"/>
          <w:sz w:val="24"/>
          <w:szCs w:val="24"/>
        </w:rPr>
        <w:t xml:space="preserve"> PPP </w:t>
      </w:r>
      <w:r w:rsidRPr="005D59A7">
        <w:rPr>
          <w:rFonts w:ascii="T" w:hAnsi="T" w:cs="Simplified Arabic"/>
          <w:sz w:val="24"/>
          <w:szCs w:val="24"/>
          <w:rtl/>
        </w:rPr>
        <w:t>بشكل يحفز الابتكار، مع توفير المرونة اللازمة للتكيف مع التطورات التقنية خلال فترة العقد الطويلة</w:t>
      </w:r>
      <w:r w:rsidRPr="005D59A7">
        <w:rPr>
          <w:rFonts w:ascii="T" w:hAnsi="T" w:cs="Simplified Arabic"/>
          <w:sz w:val="24"/>
          <w:szCs w:val="24"/>
        </w:rPr>
        <w:t>.</w:t>
      </w:r>
    </w:p>
    <w:p w14:paraId="7E023BAB" w14:textId="5575CC15"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قطاع الإسكان، أجرى</w:t>
      </w:r>
      <w:r w:rsidRPr="005D59A7">
        <w:rPr>
          <w:rFonts w:ascii="T" w:hAnsi="T" w:cs="Simplified Arabic"/>
          <w:sz w:val="24"/>
          <w:szCs w:val="24"/>
        </w:rPr>
        <w:t xml:space="preserve"> </w:t>
      </w:r>
      <w:proofErr w:type="spellStart"/>
      <w:r w:rsidRPr="005D59A7">
        <w:rPr>
          <w:rFonts w:ascii="T" w:hAnsi="T" w:cs="Simplified Arabic"/>
          <w:sz w:val="24"/>
          <w:szCs w:val="24"/>
        </w:rPr>
        <w:t>Iwuanyanwu,et</w:t>
      </w:r>
      <w:proofErr w:type="spellEnd"/>
      <w:r w:rsidRPr="005D59A7">
        <w:rPr>
          <w:rFonts w:ascii="T" w:hAnsi="T" w:cs="Simplified Arabic"/>
          <w:sz w:val="24"/>
          <w:szCs w:val="24"/>
        </w:rPr>
        <w:t xml:space="preserve"> al (2024) </w:t>
      </w:r>
      <w:r w:rsidRPr="005D59A7">
        <w:rPr>
          <w:rFonts w:ascii="T" w:hAnsi="T" w:cs="Simplified Arabic"/>
          <w:sz w:val="24"/>
          <w:szCs w:val="24"/>
          <w:rtl/>
        </w:rPr>
        <w:t>دراسة هدفت إلى استعراض وتحليل أطر</w:t>
      </w:r>
      <w:r w:rsidRPr="005D59A7">
        <w:rPr>
          <w:rFonts w:ascii="T" w:hAnsi="T" w:cs="Simplified Arabic"/>
          <w:sz w:val="24"/>
          <w:szCs w:val="24"/>
        </w:rPr>
        <w:t xml:space="preserve"> PPP </w:t>
      </w:r>
      <w:r w:rsidRPr="005D59A7">
        <w:rPr>
          <w:rFonts w:ascii="T" w:hAnsi="T" w:cs="Simplified Arabic"/>
          <w:sz w:val="24"/>
          <w:szCs w:val="24"/>
          <w:rtl/>
        </w:rPr>
        <w:t>المستخدمة في تمويل الإسكان الميسر، واستخلاص الدروس والنماذج الناجحة من مختلف دول العالم. اعتمد الباحثون على مراجعة منهجية للأدبيات وتحليل مقارن لنماذج</w:t>
      </w:r>
      <w:r w:rsidRPr="005D59A7">
        <w:rPr>
          <w:rFonts w:ascii="T" w:hAnsi="T" w:cs="Simplified Arabic"/>
          <w:sz w:val="24"/>
          <w:szCs w:val="24"/>
        </w:rPr>
        <w:t xml:space="preserve"> PPP </w:t>
      </w:r>
      <w:r w:rsidRPr="005D59A7">
        <w:rPr>
          <w:rFonts w:ascii="T" w:hAnsi="T" w:cs="Simplified Arabic"/>
          <w:sz w:val="24"/>
          <w:szCs w:val="24"/>
          <w:rtl/>
        </w:rPr>
        <w:t>في الولايات المتحدة والمملكة المتحدة والهند والبرازيل. توصلت الدراسة إلى أن دوافع الكفاءة في قطاع الإسكان تشمل الاستفادة من قدرات القطاع الخاص في التصميم والبناء والإدارة، مما يؤدي إلى تحسين جودة المساكن وتقليل زمن التسليم بنسبة تصل إلى 30-40%. كما أشارت الدراسة إلى أن المنافسة بين الشركات الخاصة تحفز على الابتكار في مواد البناء وتقنيات البناء، مما يسهم في خفض التكاليف بنسبة 15-20% وزيادة الاستدامة البيئية للمشاريع السكنية. أوضحت الدراسة أن نجاح</w:t>
      </w:r>
      <w:r w:rsidRPr="005D59A7">
        <w:rPr>
          <w:rFonts w:ascii="T" w:hAnsi="T" w:cs="Simplified Arabic"/>
          <w:sz w:val="24"/>
          <w:szCs w:val="24"/>
        </w:rPr>
        <w:t xml:space="preserve"> PPP </w:t>
      </w:r>
      <w:r w:rsidRPr="005D59A7">
        <w:rPr>
          <w:rFonts w:ascii="T" w:hAnsi="T" w:cs="Simplified Arabic"/>
          <w:sz w:val="24"/>
          <w:szCs w:val="24"/>
          <w:rtl/>
        </w:rPr>
        <w:t>في قطاع الإسكان يعتمد بشكل كبير على دعم الحكومة من خلال توفير الأراضي بأسعار مخفضة، والإعفاءات الضريبية، وضمانات القروض. أوصت الدراسة بضرورة تطوير أطر تنظيمية واضحة تحمي حقوق المستفيدين وتضمن جودة المساكن، مع تصميم آليات تمويل مبتكرة تجمع بين رأس المال الخاص والمنح الحكومية</w:t>
      </w:r>
      <w:r w:rsidRPr="005D59A7">
        <w:rPr>
          <w:rFonts w:ascii="T" w:hAnsi="T" w:cs="Simplified Arabic"/>
          <w:sz w:val="24"/>
          <w:szCs w:val="24"/>
        </w:rPr>
        <w:t>.</w:t>
      </w:r>
    </w:p>
    <w:p w14:paraId="4BD2301D" w14:textId="0172F092"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في مجال التعليم، أجرى</w:t>
      </w:r>
      <w:r w:rsidRPr="005D59A7">
        <w:rPr>
          <w:rFonts w:ascii="T" w:hAnsi="T" w:cs="Simplified Arabic"/>
          <w:sz w:val="24"/>
          <w:szCs w:val="24"/>
        </w:rPr>
        <w:t xml:space="preserve"> </w:t>
      </w:r>
      <w:proofErr w:type="spellStart"/>
      <w:r w:rsidRPr="005D59A7">
        <w:rPr>
          <w:rFonts w:ascii="T" w:hAnsi="T" w:cs="Simplified Arabic"/>
          <w:sz w:val="24"/>
          <w:szCs w:val="24"/>
        </w:rPr>
        <w:t>Okolie,et</w:t>
      </w:r>
      <w:proofErr w:type="spellEnd"/>
      <w:r w:rsidRPr="005D59A7">
        <w:rPr>
          <w:rFonts w:ascii="T" w:hAnsi="T" w:cs="Simplified Arabic"/>
          <w:sz w:val="24"/>
          <w:szCs w:val="24"/>
        </w:rPr>
        <w:t xml:space="preserve"> al (2023) </w:t>
      </w:r>
      <w:r w:rsidRPr="005D59A7">
        <w:rPr>
          <w:rFonts w:ascii="T" w:hAnsi="T" w:cs="Simplified Arabic"/>
          <w:sz w:val="24"/>
          <w:szCs w:val="24"/>
          <w:rtl/>
        </w:rPr>
        <w:t>دراسة هدفت إلى تحليل تطبيق نموذج</w:t>
      </w:r>
      <w:r w:rsidRPr="005D59A7">
        <w:rPr>
          <w:rFonts w:ascii="T" w:hAnsi="T" w:cs="Simplified Arabic"/>
          <w:sz w:val="24"/>
          <w:szCs w:val="24"/>
        </w:rPr>
        <w:t xml:space="preserve"> PPP </w:t>
      </w:r>
      <w:r w:rsidRPr="005D59A7">
        <w:rPr>
          <w:rFonts w:ascii="T" w:hAnsi="T" w:cs="Simplified Arabic"/>
          <w:sz w:val="24"/>
          <w:szCs w:val="24"/>
          <w:rtl/>
        </w:rPr>
        <w:t>في تنفيذ برامج التعليم العالي في نيجيريا، وتحديد التحديات والفرص المرتبطة به. اعتمد الباحثون على منهجية المسح والتحليل الوصفي، مع توزيع استبيانات على 250 من القيادات الأكاديمية والإدارية في الجامعات النيجيرية. توصلت الدراسة إلى أن دوافع التمويل كانت العامل الأكثر أهمية في تبني</w:t>
      </w:r>
      <w:r w:rsidRPr="005D59A7">
        <w:rPr>
          <w:rFonts w:ascii="T" w:hAnsi="T" w:cs="Simplified Arabic"/>
          <w:sz w:val="24"/>
          <w:szCs w:val="24"/>
        </w:rPr>
        <w:t xml:space="preserve"> PPP </w:t>
      </w:r>
      <w:r w:rsidRPr="005D59A7">
        <w:rPr>
          <w:rFonts w:ascii="T" w:hAnsi="T" w:cs="Simplified Arabic"/>
          <w:sz w:val="24"/>
          <w:szCs w:val="24"/>
          <w:rtl/>
        </w:rPr>
        <w:t>في التعليم العالي النيجيري، حيث ساعدت الشراكة في سد الفجوة التمويلية الكبيرة التي تعاني منها الجامعات الحكومية. وجدت الدراسة أن</w:t>
      </w:r>
      <w:r w:rsidRPr="005D59A7">
        <w:rPr>
          <w:rFonts w:ascii="T" w:hAnsi="T" w:cs="Simplified Arabic"/>
          <w:sz w:val="24"/>
          <w:szCs w:val="24"/>
        </w:rPr>
        <w:t xml:space="preserve"> PPP </w:t>
      </w:r>
      <w:r w:rsidRPr="005D59A7">
        <w:rPr>
          <w:rFonts w:ascii="T" w:hAnsi="T" w:cs="Simplified Arabic"/>
          <w:sz w:val="24"/>
          <w:szCs w:val="24"/>
          <w:rtl/>
        </w:rPr>
        <w:t>مكن من تطوير البنية التحتية وتحسين جودة التعليم في 70% من الجامعات التي طبقت هذا النموذج، رغم محدودية الموارد العامة. كما أشارت الدراسة إلى أن الشراكات ساهمت في تحسين فرص توظيف الخريجين من خلال ربط مخرجات التعليم باحتياجات سوق العمل، مما زاد من نسبة التوظيف بنحو 25%. أوصت الدراسة بضرورة تطوير أطر قانونية واضحة تنظم علاقة الجامعات بالقطاع الخاص، مع بناء قدرات الكوادر الإدارية في الجامعات لإدارة عقود</w:t>
      </w:r>
      <w:r w:rsidRPr="005D59A7">
        <w:rPr>
          <w:rFonts w:ascii="T" w:hAnsi="T" w:cs="Simplified Arabic"/>
          <w:sz w:val="24"/>
          <w:szCs w:val="24"/>
        </w:rPr>
        <w:t xml:space="preserve"> PPP </w:t>
      </w:r>
      <w:r w:rsidRPr="005D59A7">
        <w:rPr>
          <w:rFonts w:ascii="T" w:hAnsi="T" w:cs="Simplified Arabic"/>
          <w:sz w:val="24"/>
          <w:szCs w:val="24"/>
          <w:rtl/>
        </w:rPr>
        <w:t>بكفاءة</w:t>
      </w:r>
      <w:r w:rsidRPr="005D59A7">
        <w:rPr>
          <w:rFonts w:ascii="T" w:hAnsi="T" w:cs="Simplified Arabic"/>
          <w:sz w:val="24"/>
          <w:szCs w:val="24"/>
        </w:rPr>
        <w:t>.</w:t>
      </w:r>
    </w:p>
    <w:p w14:paraId="01414571"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نماذج الشراكات بين القطاعين العام والخاص</w:t>
      </w:r>
    </w:p>
    <w:p w14:paraId="4011B39A"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تتنوع نماذج</w:t>
      </w:r>
      <w:r w:rsidRPr="005D59A7">
        <w:rPr>
          <w:rFonts w:ascii="T" w:hAnsi="T" w:cs="Simplified Arabic"/>
          <w:sz w:val="24"/>
          <w:szCs w:val="24"/>
        </w:rPr>
        <w:t xml:space="preserve"> PPP </w:t>
      </w:r>
      <w:r w:rsidRPr="005D59A7">
        <w:rPr>
          <w:rFonts w:ascii="T" w:hAnsi="T" w:cs="Simplified Arabic"/>
          <w:sz w:val="24"/>
          <w:szCs w:val="24"/>
          <w:rtl/>
        </w:rPr>
        <w:t>وفقاً لنطاق مسؤوليات القطاع الخاص ودرجة تحمله للمخاطر. من أهم هذه النماذج نموذج التشغيل والصيانة</w:t>
      </w:r>
      <w:r w:rsidRPr="005D59A7">
        <w:rPr>
          <w:rFonts w:ascii="T" w:hAnsi="T" w:cs="Simplified Arabic"/>
          <w:sz w:val="24"/>
          <w:szCs w:val="24"/>
        </w:rPr>
        <w:t xml:space="preserve"> (O&amp;M)</w:t>
      </w:r>
      <w:r w:rsidRPr="005D59A7">
        <w:rPr>
          <w:rFonts w:ascii="T" w:hAnsi="T" w:cs="Simplified Arabic"/>
          <w:sz w:val="24"/>
          <w:szCs w:val="24"/>
          <w:rtl/>
        </w:rPr>
        <w:t>، نموذج البناء والتشغيل والتحويل</w:t>
      </w:r>
      <w:r w:rsidRPr="005D59A7">
        <w:rPr>
          <w:rFonts w:ascii="T" w:hAnsi="T" w:cs="Simplified Arabic"/>
          <w:sz w:val="24"/>
          <w:szCs w:val="24"/>
        </w:rPr>
        <w:t xml:space="preserve"> (BOT)</w:t>
      </w:r>
      <w:r w:rsidRPr="005D59A7">
        <w:rPr>
          <w:rFonts w:ascii="T" w:hAnsi="T" w:cs="Simplified Arabic"/>
          <w:sz w:val="24"/>
          <w:szCs w:val="24"/>
          <w:rtl/>
        </w:rPr>
        <w:t>، نموذج البناء والتملك والتشغيل والتحويل</w:t>
      </w:r>
      <w:r w:rsidRPr="005D59A7">
        <w:rPr>
          <w:rFonts w:ascii="T" w:hAnsi="T" w:cs="Simplified Arabic"/>
          <w:sz w:val="24"/>
          <w:szCs w:val="24"/>
        </w:rPr>
        <w:t xml:space="preserve"> (BOOT)</w:t>
      </w:r>
      <w:r w:rsidRPr="005D59A7">
        <w:rPr>
          <w:rFonts w:ascii="T" w:hAnsi="T" w:cs="Simplified Arabic"/>
          <w:sz w:val="24"/>
          <w:szCs w:val="24"/>
          <w:rtl/>
        </w:rPr>
        <w:t>، نموذج التصميم والبناء والتمويل والصيانة</w:t>
      </w:r>
      <w:r w:rsidRPr="005D59A7">
        <w:rPr>
          <w:rFonts w:ascii="T" w:hAnsi="T" w:cs="Simplified Arabic"/>
          <w:sz w:val="24"/>
          <w:szCs w:val="24"/>
        </w:rPr>
        <w:t xml:space="preserve"> (DBFM)</w:t>
      </w:r>
      <w:r w:rsidRPr="005D59A7">
        <w:rPr>
          <w:rFonts w:ascii="T" w:hAnsi="T" w:cs="Simplified Arabic"/>
          <w:sz w:val="24"/>
          <w:szCs w:val="24"/>
          <w:rtl/>
        </w:rPr>
        <w:t>، نموذج الامتياز</w:t>
      </w:r>
      <w:r w:rsidRPr="005D59A7">
        <w:rPr>
          <w:rFonts w:ascii="T" w:hAnsi="T" w:cs="Simplified Arabic"/>
          <w:sz w:val="24"/>
          <w:szCs w:val="24"/>
        </w:rPr>
        <w:t xml:space="preserve"> (Concession)</w:t>
      </w:r>
      <w:r w:rsidRPr="005D59A7">
        <w:rPr>
          <w:rFonts w:ascii="T" w:hAnsi="T" w:cs="Simplified Arabic"/>
          <w:sz w:val="24"/>
          <w:szCs w:val="24"/>
          <w:rtl/>
        </w:rPr>
        <w:t>، ونموذج الشراكة المؤسسية</w:t>
      </w:r>
      <w:r w:rsidRPr="005D59A7">
        <w:rPr>
          <w:rFonts w:ascii="T" w:hAnsi="T" w:cs="Simplified Arabic"/>
          <w:sz w:val="24"/>
          <w:szCs w:val="24"/>
        </w:rPr>
        <w:t xml:space="preserve"> (Institutional PPP).</w:t>
      </w:r>
    </w:p>
    <w:p w14:paraId="3844A23A" w14:textId="70AE3189"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هذا السياق، أجرت دراسة</w:t>
      </w:r>
      <w:r w:rsidRPr="005D59A7">
        <w:rPr>
          <w:rFonts w:ascii="T" w:hAnsi="T" w:cs="Simplified Arabic"/>
          <w:sz w:val="24"/>
          <w:szCs w:val="24"/>
        </w:rPr>
        <w:t xml:space="preserve"> Casady, et al (2024) </w:t>
      </w:r>
      <w:r w:rsidRPr="005D59A7">
        <w:rPr>
          <w:rFonts w:ascii="T" w:hAnsi="T" w:cs="Simplified Arabic"/>
          <w:sz w:val="24"/>
          <w:szCs w:val="24"/>
          <w:rtl/>
        </w:rPr>
        <w:t>تحليلاً مقارناً لنماذج</w:t>
      </w:r>
      <w:r w:rsidRPr="005D59A7">
        <w:rPr>
          <w:rFonts w:ascii="T" w:hAnsi="T" w:cs="Simplified Arabic"/>
          <w:sz w:val="24"/>
          <w:szCs w:val="24"/>
        </w:rPr>
        <w:t xml:space="preserve"> PPP </w:t>
      </w:r>
      <w:r w:rsidRPr="005D59A7">
        <w:rPr>
          <w:rFonts w:ascii="T" w:hAnsi="T" w:cs="Simplified Arabic"/>
          <w:sz w:val="24"/>
          <w:szCs w:val="24"/>
          <w:rtl/>
        </w:rPr>
        <w:t>المستخدمة في مشاريع البنية التحتية الخضراء. توصلت الدراسة إلى أن نموذج</w:t>
      </w:r>
      <w:r w:rsidRPr="005D59A7">
        <w:rPr>
          <w:rFonts w:ascii="T" w:hAnsi="T" w:cs="Simplified Arabic"/>
          <w:sz w:val="24"/>
          <w:szCs w:val="24"/>
        </w:rPr>
        <w:t xml:space="preserve"> BOOT </w:t>
      </w:r>
      <w:r w:rsidRPr="005D59A7">
        <w:rPr>
          <w:rFonts w:ascii="T" w:hAnsi="T" w:cs="Simplified Arabic"/>
          <w:sz w:val="24"/>
          <w:szCs w:val="24"/>
          <w:rtl/>
        </w:rPr>
        <w:t>يوفر حوافز أقوى للقطاع الخاص للاستثمار في الجودة والصيانة، حيث يستفيد من قيمة الأصول المتبقية بعد انتهاء فترة التشغيل. كما أشارت الدراسة إلى أن هذا النموذج مناسب بشكل خاص لمشاريع الطاقة المتجددة ومحطات معالجة المياه، التي تتطلب استثمارات أولية كبيرة وتقنيات متخصصة. وجدت الدراسة أن مشاريع</w:t>
      </w:r>
      <w:r w:rsidRPr="005D59A7">
        <w:rPr>
          <w:rFonts w:ascii="T" w:hAnsi="T" w:cs="Simplified Arabic"/>
          <w:sz w:val="24"/>
          <w:szCs w:val="24"/>
        </w:rPr>
        <w:t xml:space="preserve"> BOOT </w:t>
      </w:r>
      <w:r w:rsidRPr="005D59A7">
        <w:rPr>
          <w:rFonts w:ascii="T" w:hAnsi="T" w:cs="Simplified Arabic"/>
          <w:sz w:val="24"/>
          <w:szCs w:val="24"/>
          <w:rtl/>
        </w:rPr>
        <w:t>في قطاع الطاقة المتجددة حققت معدلات نجاح أعلى من مشاريع</w:t>
      </w:r>
      <w:r w:rsidRPr="005D59A7">
        <w:rPr>
          <w:rFonts w:ascii="T" w:hAnsi="T" w:cs="Simplified Arabic"/>
          <w:sz w:val="24"/>
          <w:szCs w:val="24"/>
        </w:rPr>
        <w:t xml:space="preserve"> BOT</w:t>
      </w:r>
      <w:r w:rsidRPr="005D59A7">
        <w:rPr>
          <w:rFonts w:ascii="T" w:hAnsi="T" w:cs="Simplified Arabic"/>
          <w:sz w:val="24"/>
          <w:szCs w:val="24"/>
          <w:rtl/>
        </w:rPr>
        <w:t>، حيث بلغت نسبة نجاحها 85% مقابل 70% لمشاريع</w:t>
      </w:r>
      <w:r w:rsidRPr="005D59A7">
        <w:rPr>
          <w:rFonts w:ascii="T" w:hAnsi="T" w:cs="Simplified Arabic"/>
          <w:sz w:val="24"/>
          <w:szCs w:val="24"/>
        </w:rPr>
        <w:t xml:space="preserve"> BOT. </w:t>
      </w:r>
      <w:r w:rsidRPr="005D59A7">
        <w:rPr>
          <w:rFonts w:ascii="T" w:hAnsi="T" w:cs="Simplified Arabic"/>
          <w:sz w:val="24"/>
          <w:szCs w:val="24"/>
          <w:rtl/>
        </w:rPr>
        <w:t xml:space="preserve">أوصت الدراسة بضرورة </w:t>
      </w:r>
      <w:r w:rsidRPr="005D59A7">
        <w:rPr>
          <w:rFonts w:ascii="T" w:hAnsi="T" w:cs="Simplified Arabic"/>
          <w:sz w:val="24"/>
          <w:szCs w:val="24"/>
          <w:rtl/>
        </w:rPr>
        <w:lastRenderedPageBreak/>
        <w:t>تصميم عقود</w:t>
      </w:r>
      <w:r w:rsidRPr="005D59A7">
        <w:rPr>
          <w:rFonts w:ascii="T" w:hAnsi="T" w:cs="Simplified Arabic"/>
          <w:sz w:val="24"/>
          <w:szCs w:val="24"/>
        </w:rPr>
        <w:t xml:space="preserve"> BOOT </w:t>
      </w:r>
      <w:r w:rsidRPr="005D59A7">
        <w:rPr>
          <w:rFonts w:ascii="T" w:hAnsi="T" w:cs="Simplified Arabic"/>
          <w:sz w:val="24"/>
          <w:szCs w:val="24"/>
          <w:rtl/>
        </w:rPr>
        <w:t>بشكل يوازن بين حاجة القطاع الخاص لتحقيق عوائد معقولة وحماية المصلحة العامة، مع تضمين آليات مراجعة دورية للأسعار والتكاليف</w:t>
      </w:r>
      <w:r w:rsidRPr="005D59A7">
        <w:rPr>
          <w:rFonts w:ascii="T" w:hAnsi="T" w:cs="Simplified Arabic"/>
          <w:sz w:val="24"/>
          <w:szCs w:val="24"/>
        </w:rPr>
        <w:t>.</w:t>
      </w:r>
    </w:p>
    <w:p w14:paraId="5919688E" w14:textId="2F500EEE"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من جهة أخرى، تناولت دراسة</w:t>
      </w:r>
      <w:r w:rsidRPr="005D59A7">
        <w:rPr>
          <w:rFonts w:ascii="T" w:hAnsi="T" w:cs="Simplified Arabic"/>
          <w:sz w:val="24"/>
          <w:szCs w:val="24"/>
        </w:rPr>
        <w:t xml:space="preserve"> Quan, Solheim (2023) </w:t>
      </w:r>
      <w:r w:rsidRPr="005D59A7">
        <w:rPr>
          <w:rFonts w:ascii="T" w:hAnsi="T" w:cs="Simplified Arabic"/>
          <w:sz w:val="24"/>
          <w:szCs w:val="24"/>
          <w:rtl/>
        </w:rPr>
        <w:t>تحليل نماذج</w:t>
      </w:r>
      <w:r w:rsidRPr="005D59A7">
        <w:rPr>
          <w:rFonts w:ascii="T" w:hAnsi="T" w:cs="Simplified Arabic"/>
          <w:sz w:val="24"/>
          <w:szCs w:val="24"/>
        </w:rPr>
        <w:t xml:space="preserve"> PPP </w:t>
      </w:r>
      <w:r w:rsidRPr="005D59A7">
        <w:rPr>
          <w:rFonts w:ascii="T" w:hAnsi="T" w:cs="Simplified Arabic"/>
          <w:sz w:val="24"/>
          <w:szCs w:val="24"/>
          <w:rtl/>
        </w:rPr>
        <w:t>المناسبة لمشاريع المدن الذكية. توصلت الدراسة إلى أن نموذج</w:t>
      </w:r>
      <w:r w:rsidRPr="005D59A7">
        <w:rPr>
          <w:rFonts w:ascii="T" w:hAnsi="T" w:cs="Simplified Arabic"/>
          <w:sz w:val="24"/>
          <w:szCs w:val="24"/>
        </w:rPr>
        <w:t xml:space="preserve"> DBFM </w:t>
      </w:r>
      <w:r w:rsidRPr="005D59A7">
        <w:rPr>
          <w:rFonts w:ascii="T" w:hAnsi="T" w:cs="Simplified Arabic"/>
          <w:sz w:val="24"/>
          <w:szCs w:val="24"/>
          <w:rtl/>
        </w:rPr>
        <w:t>هو الأكثر شيوعاً في مشاريع المدن الذكية، حيث يتطلب التصميم والبناء خبرات تقنية متخصصة، بينما تبقى عمليات التشغيل اليومية ضمن مسؤولية البلدية. كما أشارت الدراسة إلى أن هذا النموذج يتيح للقطاع العام الاستفادة من خبرات القطاع الخاص في التصميم والبناء، مع الحفاظ على السيطرة على عمليات التشغيل الحيوية. أوضحت الدراسة أن مشاريع</w:t>
      </w:r>
      <w:r w:rsidRPr="005D59A7">
        <w:rPr>
          <w:rFonts w:ascii="T" w:hAnsi="T" w:cs="Simplified Arabic"/>
          <w:sz w:val="24"/>
          <w:szCs w:val="24"/>
        </w:rPr>
        <w:t xml:space="preserve"> DBFM </w:t>
      </w:r>
      <w:r w:rsidRPr="005D59A7">
        <w:rPr>
          <w:rFonts w:ascii="T" w:hAnsi="T" w:cs="Simplified Arabic"/>
          <w:sz w:val="24"/>
          <w:szCs w:val="24"/>
          <w:rtl/>
        </w:rPr>
        <w:t>في المدن الذكية حققت نتائج أفضل في مجالات كفاءة الطاقة وإدارة المرور وتحسين جودة الحياة، مقارنة بالمشاريع المنفذة بالطرق التقليدية. أوصت الدراسة بضرورة تطوير مؤشرات أداء خاصة بالمدن الذكية لقياس نجاح</w:t>
      </w:r>
      <w:r w:rsidRPr="005D59A7">
        <w:rPr>
          <w:rFonts w:ascii="T" w:hAnsi="T" w:cs="Simplified Arabic"/>
          <w:sz w:val="24"/>
          <w:szCs w:val="24"/>
        </w:rPr>
        <w:t xml:space="preserve"> PPP</w:t>
      </w:r>
      <w:r w:rsidRPr="005D59A7">
        <w:rPr>
          <w:rFonts w:ascii="T" w:hAnsi="T" w:cs="Simplified Arabic"/>
          <w:sz w:val="24"/>
          <w:szCs w:val="24"/>
          <w:rtl/>
        </w:rPr>
        <w:t>، مع التركيز على مؤشرات الابتكار والاستدامة والمرونة</w:t>
      </w:r>
      <w:r w:rsidRPr="005D59A7">
        <w:rPr>
          <w:rFonts w:ascii="T" w:hAnsi="T" w:cs="Simplified Arabic"/>
          <w:sz w:val="24"/>
          <w:szCs w:val="24"/>
        </w:rPr>
        <w:t>.</w:t>
      </w:r>
    </w:p>
    <w:p w14:paraId="5834B479"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كما أجرى</w:t>
      </w:r>
      <w:r w:rsidRPr="005D59A7">
        <w:rPr>
          <w:rFonts w:ascii="T" w:hAnsi="T" w:cs="Simplified Arabic"/>
          <w:sz w:val="24"/>
          <w:szCs w:val="24"/>
        </w:rPr>
        <w:t xml:space="preserve"> </w:t>
      </w:r>
      <w:proofErr w:type="spellStart"/>
      <w:r w:rsidRPr="005D59A7">
        <w:rPr>
          <w:rFonts w:ascii="T" w:hAnsi="T" w:cs="Simplified Arabic"/>
          <w:sz w:val="24"/>
          <w:szCs w:val="24"/>
        </w:rPr>
        <w:t>Akinsulire</w:t>
      </w:r>
      <w:proofErr w:type="spellEnd"/>
      <w:r w:rsidRPr="005D59A7">
        <w:rPr>
          <w:rFonts w:ascii="T" w:hAnsi="T" w:cs="Simplified Arabic"/>
          <w:sz w:val="24"/>
          <w:szCs w:val="24"/>
        </w:rPr>
        <w:t xml:space="preserve"> et al. (2024) </w:t>
      </w:r>
      <w:r w:rsidRPr="005D59A7">
        <w:rPr>
          <w:rFonts w:ascii="T" w:hAnsi="T" w:cs="Simplified Arabic"/>
          <w:sz w:val="24"/>
          <w:szCs w:val="24"/>
          <w:rtl/>
        </w:rPr>
        <w:t>تحليلاً مقارناً لنماذج</w:t>
      </w:r>
      <w:r w:rsidRPr="005D59A7">
        <w:rPr>
          <w:rFonts w:ascii="T" w:hAnsi="T" w:cs="Simplified Arabic"/>
          <w:sz w:val="24"/>
          <w:szCs w:val="24"/>
        </w:rPr>
        <w:t xml:space="preserve"> PPP </w:t>
      </w:r>
      <w:r w:rsidRPr="005D59A7">
        <w:rPr>
          <w:rFonts w:ascii="T" w:hAnsi="T" w:cs="Simplified Arabic"/>
          <w:sz w:val="24"/>
          <w:szCs w:val="24"/>
          <w:rtl/>
        </w:rPr>
        <w:t>في قطاع الإسكان الميسر. توصلت الدراسة إلى أن نموذج الامتياز</w:t>
      </w:r>
      <w:r w:rsidRPr="005D59A7">
        <w:rPr>
          <w:rFonts w:ascii="T" w:hAnsi="T" w:cs="Simplified Arabic"/>
          <w:sz w:val="24"/>
          <w:szCs w:val="24"/>
        </w:rPr>
        <w:t xml:space="preserve"> (Concession) </w:t>
      </w:r>
      <w:r w:rsidRPr="005D59A7">
        <w:rPr>
          <w:rFonts w:ascii="T" w:hAnsi="T" w:cs="Simplified Arabic"/>
          <w:sz w:val="24"/>
          <w:szCs w:val="24"/>
          <w:rtl/>
        </w:rPr>
        <w:t>هو الأكثر استخداماً في هذا القطاع، حيث يسمح للقطاع الخاص بتشغيل واستثمار المشاريع السكنية لفترة طويلة (عادة 30-50 سنة) مقابل دفع رسوم للحكومة. وجدت الدراسة أن هذا النموذج نجح في توفير ملايين الوحدات السكنية الميسرة في دول مثل الهند والبرازيل، حيث بلغ عدد الوحدات المنفذة عبر هذا النموذج أكثر من 5 ملايين وحدة خلال العقد الماضي. كما أشارت الدراسة إلى أن نجاح نموذج الامتياز في قطاع الإسكان يعتمد على توفير الحكومة للأراضي بأسعار مخفضة، وتقديم حوافز ضريبية للمطورين، وضمان استقرار السياسات السكنية. أوصت الدراسة بضرورة تطوير أطر تنظيمية تحمي حقوق المستأجرين وتضمن جودة المساكن، مع تصميم آليات رقابة مستقلة لمراقبة أداء الشركاء الخاصين</w:t>
      </w:r>
      <w:r w:rsidRPr="005D59A7">
        <w:rPr>
          <w:rFonts w:ascii="T" w:hAnsi="T" w:cs="Simplified Arabic"/>
          <w:sz w:val="24"/>
          <w:szCs w:val="24"/>
        </w:rPr>
        <w:t>.</w:t>
      </w:r>
    </w:p>
    <w:p w14:paraId="063B980B"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رابعاً: عوامل نجاح وفشل الشراكات بين القطاعين العام والخاص</w:t>
      </w:r>
    </w:p>
    <w:p w14:paraId="37448795"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استخلصت الدراسات التحليلية مجموعة من العوامل الحاسمة لنجاح أو فشل مشاريع</w:t>
      </w:r>
      <w:r w:rsidRPr="005D59A7">
        <w:rPr>
          <w:rFonts w:ascii="T" w:hAnsi="T" w:cs="Simplified Arabic"/>
          <w:sz w:val="24"/>
          <w:szCs w:val="24"/>
        </w:rPr>
        <w:t xml:space="preserve"> PPP</w:t>
      </w:r>
      <w:r w:rsidRPr="005D59A7">
        <w:rPr>
          <w:rFonts w:ascii="T" w:hAnsi="T" w:cs="Simplified Arabic"/>
          <w:sz w:val="24"/>
          <w:szCs w:val="24"/>
          <w:rtl/>
        </w:rPr>
        <w:t>، تتعلق بالإطار القانوني والتنظيمي، والشفافية والمساءلة، وتوزيع المخاطر، والقدرات المؤسسية، والالتزام طويل الأجل، وتصميم حوافز فعالة</w:t>
      </w:r>
      <w:r w:rsidRPr="005D59A7">
        <w:rPr>
          <w:rFonts w:ascii="T" w:hAnsi="T" w:cs="Simplified Arabic"/>
          <w:sz w:val="24"/>
          <w:szCs w:val="24"/>
        </w:rPr>
        <w:t>.</w:t>
      </w:r>
    </w:p>
    <w:p w14:paraId="6409804F" w14:textId="42A29C6B"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في مجال تسوية المنازعات، أجرى جراح (2025) دراسة هدفت إلى تحليل دور التحكيم في تسوية المنازعات الناشئة عن عقود</w:t>
      </w:r>
      <w:r w:rsidRPr="005D59A7">
        <w:rPr>
          <w:rFonts w:ascii="T" w:hAnsi="T" w:cs="Simplified Arabic"/>
          <w:sz w:val="24"/>
          <w:szCs w:val="24"/>
        </w:rPr>
        <w:t xml:space="preserve"> PPP </w:t>
      </w:r>
      <w:r w:rsidRPr="005D59A7">
        <w:rPr>
          <w:rFonts w:ascii="T" w:hAnsi="T" w:cs="Simplified Arabic"/>
          <w:sz w:val="24"/>
          <w:szCs w:val="24"/>
          <w:rtl/>
        </w:rPr>
        <w:t>في الأردن، وتقييم فعالية الإطار القانوني الحالي. اعتمد الباحثون على المنهج التحليلي المقارن، مع تحليل نصوص القوانين الأردنية والمقارنة مع القوانين الدولية والنماذج الاسترشادية. توصلت الدراسة إلى أن وضوح قواعد التحكيم وتسوية المنازعات في عقود</w:t>
      </w:r>
      <w:r w:rsidRPr="005D59A7">
        <w:rPr>
          <w:rFonts w:ascii="T" w:hAnsi="T" w:cs="Simplified Arabic"/>
          <w:sz w:val="24"/>
          <w:szCs w:val="24"/>
        </w:rPr>
        <w:t xml:space="preserve"> PPP </w:t>
      </w:r>
      <w:r w:rsidRPr="005D59A7">
        <w:rPr>
          <w:rFonts w:ascii="T" w:hAnsi="T" w:cs="Simplified Arabic"/>
          <w:sz w:val="24"/>
          <w:szCs w:val="24"/>
          <w:rtl/>
        </w:rPr>
        <w:t>يعد من أهم عوامل نجاح الشراكة، حيث يطمئن المستثمرين ويشجعهم على الاستثمار. كما أشارت الدراسة إلى أن غياب آليات فعالة لتسوية المنازعات كان سبباً رئيسياً في فشل العديد من مشاريع</w:t>
      </w:r>
      <w:r w:rsidRPr="005D59A7">
        <w:rPr>
          <w:rFonts w:ascii="T" w:hAnsi="T" w:cs="Simplified Arabic"/>
          <w:sz w:val="24"/>
          <w:szCs w:val="24"/>
        </w:rPr>
        <w:t xml:space="preserve"> PPP</w:t>
      </w:r>
      <w:r w:rsidRPr="005D59A7">
        <w:rPr>
          <w:rFonts w:ascii="T" w:hAnsi="T" w:cs="Simplified Arabic"/>
          <w:sz w:val="24"/>
          <w:szCs w:val="24"/>
          <w:rtl/>
        </w:rPr>
        <w:t>، حيث بلغت نسبة المشاريع التي واجهت نزاعات تعاقدية 35% من إجمالي المشاريع المنفذة في المنطقة العربية خلال العقد الماضي. أوصت الدراسة بضرورة تضمين عقود</w:t>
      </w:r>
      <w:r w:rsidRPr="005D59A7">
        <w:rPr>
          <w:rFonts w:ascii="T" w:hAnsi="T" w:cs="Simplified Arabic"/>
          <w:sz w:val="24"/>
          <w:szCs w:val="24"/>
        </w:rPr>
        <w:t xml:space="preserve"> PPP </w:t>
      </w:r>
      <w:r w:rsidRPr="005D59A7">
        <w:rPr>
          <w:rFonts w:ascii="T" w:hAnsi="T" w:cs="Simplified Arabic"/>
          <w:sz w:val="24"/>
          <w:szCs w:val="24"/>
          <w:rtl/>
        </w:rPr>
        <w:t>بنوداً واضحة للتحكيم، مع اعتماد قواعد إجرائية مرنة تسمح بحل النزاعات بشكل سريع ومنخفض التكلفة</w:t>
      </w:r>
      <w:r w:rsidRPr="005D59A7">
        <w:rPr>
          <w:rFonts w:ascii="T" w:hAnsi="T" w:cs="Simplified Arabic"/>
          <w:sz w:val="24"/>
          <w:szCs w:val="24"/>
        </w:rPr>
        <w:t>.</w:t>
      </w:r>
    </w:p>
    <w:p w14:paraId="2E87B4C7" w14:textId="7A735083"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من جهة أخرى، أجرى القطان (2026) دراسة </w:t>
      </w:r>
      <w:r w:rsidR="00BD0DA0" w:rsidRPr="005D59A7">
        <w:rPr>
          <w:rFonts w:ascii="T" w:hAnsi="T" w:cs="Simplified Arabic"/>
          <w:sz w:val="24"/>
          <w:szCs w:val="24"/>
          <w:rtl/>
        </w:rPr>
        <w:t>هدفت</w:t>
      </w:r>
      <w:r w:rsidRPr="005D59A7">
        <w:rPr>
          <w:rFonts w:ascii="T" w:hAnsi="T" w:cs="Simplified Arabic"/>
          <w:sz w:val="24"/>
          <w:szCs w:val="24"/>
          <w:rtl/>
        </w:rPr>
        <w:t xml:space="preserve"> إلى تحليل مفهوم التوازن المالي في عقود</w:t>
      </w:r>
      <w:r w:rsidRPr="005D59A7">
        <w:rPr>
          <w:rFonts w:ascii="T" w:hAnsi="T" w:cs="Simplified Arabic"/>
          <w:sz w:val="24"/>
          <w:szCs w:val="24"/>
        </w:rPr>
        <w:t xml:space="preserve"> PPP</w:t>
      </w:r>
      <w:r w:rsidRPr="005D59A7">
        <w:rPr>
          <w:rFonts w:ascii="T" w:hAnsi="T" w:cs="Simplified Arabic"/>
          <w:sz w:val="24"/>
          <w:szCs w:val="24"/>
          <w:rtl/>
        </w:rPr>
        <w:t>، وتحديد المبادئ الحاكمة لتحقيقه في ضوء التطبيقات المصرية والكويتية. اعتمد الباحثون على المنهج التحليلي المقارن، مع دراسة نماذج عقود</w:t>
      </w:r>
      <w:r w:rsidRPr="005D59A7">
        <w:rPr>
          <w:rFonts w:ascii="T" w:hAnsi="T" w:cs="Simplified Arabic"/>
          <w:sz w:val="24"/>
          <w:szCs w:val="24"/>
        </w:rPr>
        <w:t xml:space="preserve"> PPP </w:t>
      </w:r>
      <w:r w:rsidRPr="005D59A7">
        <w:rPr>
          <w:rFonts w:ascii="T" w:hAnsi="T" w:cs="Simplified Arabic"/>
          <w:sz w:val="24"/>
          <w:szCs w:val="24"/>
          <w:rtl/>
        </w:rPr>
        <w:t>في مصر والكويت وتحليل أحكام القضاء والإفتاء المتعلقة بها. توصلت الدراسة إلى أن تحقيق التوازن المالي في عقود</w:t>
      </w:r>
      <w:r w:rsidRPr="005D59A7">
        <w:rPr>
          <w:rFonts w:ascii="T" w:hAnsi="T" w:cs="Simplified Arabic"/>
          <w:sz w:val="24"/>
          <w:szCs w:val="24"/>
        </w:rPr>
        <w:t xml:space="preserve"> PPP </w:t>
      </w:r>
      <w:r w:rsidRPr="005D59A7">
        <w:rPr>
          <w:rFonts w:ascii="T" w:hAnsi="T" w:cs="Simplified Arabic"/>
          <w:sz w:val="24"/>
          <w:szCs w:val="24"/>
          <w:rtl/>
        </w:rPr>
        <w:t>يتطلب توزيعاً دقيقاً للمخاطر المالية والتشغيلية بين القطاعين العام والخاص، مع وضع آليات واضحة لإعادة التفاوض في حالة حدوث تغييرات غير متوقعة. كما أشارت الدراسة إلى أن غياب آليات إعادة التفاوض المنظمة كان سبباً في 40% من حالات فشل مشاريع</w:t>
      </w:r>
      <w:r w:rsidRPr="005D59A7">
        <w:rPr>
          <w:rFonts w:ascii="T" w:hAnsi="T" w:cs="Simplified Arabic"/>
          <w:sz w:val="24"/>
          <w:szCs w:val="24"/>
        </w:rPr>
        <w:t xml:space="preserve"> PPP </w:t>
      </w:r>
      <w:r w:rsidRPr="005D59A7">
        <w:rPr>
          <w:rFonts w:ascii="T" w:hAnsi="T" w:cs="Simplified Arabic"/>
          <w:sz w:val="24"/>
          <w:szCs w:val="24"/>
          <w:rtl/>
        </w:rPr>
        <w:t>أو إعادة هيكلتها. أوصت الدراسة بضرورة تضمين عقود</w:t>
      </w:r>
      <w:r w:rsidRPr="005D59A7">
        <w:rPr>
          <w:rFonts w:ascii="T" w:hAnsi="T" w:cs="Simplified Arabic"/>
          <w:sz w:val="24"/>
          <w:szCs w:val="24"/>
        </w:rPr>
        <w:t xml:space="preserve"> PPP </w:t>
      </w:r>
      <w:r w:rsidRPr="005D59A7">
        <w:rPr>
          <w:rFonts w:ascii="T" w:hAnsi="T" w:cs="Simplified Arabic"/>
          <w:sz w:val="24"/>
          <w:szCs w:val="24"/>
          <w:rtl/>
        </w:rPr>
        <w:t>بنوداً تحدد بوضوح حالات إعادة التفاوض والإجراءات المتبعة، مع اعتماد مبدأ "الظروف الطارئة</w:t>
      </w:r>
      <w:r w:rsidRPr="005D59A7">
        <w:rPr>
          <w:rFonts w:ascii="T" w:hAnsi="T" w:cs="Simplified Arabic"/>
          <w:sz w:val="24"/>
          <w:szCs w:val="24"/>
        </w:rPr>
        <w:t xml:space="preserve">" (Hardship) </w:t>
      </w:r>
      <w:r w:rsidRPr="005D59A7">
        <w:rPr>
          <w:rFonts w:ascii="T" w:hAnsi="T" w:cs="Simplified Arabic"/>
          <w:sz w:val="24"/>
          <w:szCs w:val="24"/>
          <w:rtl/>
        </w:rPr>
        <w:t>كأساس لتعديل شروط العقد</w:t>
      </w:r>
      <w:r w:rsidRPr="005D59A7">
        <w:rPr>
          <w:rFonts w:ascii="T" w:hAnsi="T" w:cs="Simplified Arabic"/>
          <w:sz w:val="24"/>
          <w:szCs w:val="24"/>
        </w:rPr>
        <w:t>.</w:t>
      </w:r>
    </w:p>
    <w:p w14:paraId="50E178AC" w14:textId="1256762A"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كما أجرى الجعافره (2023) </w:t>
      </w:r>
      <w:r w:rsidR="00BD0DA0" w:rsidRPr="005D59A7">
        <w:rPr>
          <w:rFonts w:ascii="T" w:hAnsi="T" w:cs="Simplified Arabic"/>
          <w:sz w:val="24"/>
          <w:szCs w:val="24"/>
          <w:rtl/>
        </w:rPr>
        <w:t>دراسة</w:t>
      </w:r>
      <w:r w:rsidRPr="005D59A7">
        <w:rPr>
          <w:rFonts w:ascii="T" w:hAnsi="T" w:cs="Simplified Arabic"/>
          <w:sz w:val="24"/>
          <w:szCs w:val="24"/>
          <w:rtl/>
        </w:rPr>
        <w:t xml:space="preserve"> هدفت</w:t>
      </w:r>
      <w:r w:rsidR="00BD0DA0" w:rsidRPr="005D59A7">
        <w:rPr>
          <w:rFonts w:ascii="T" w:hAnsi="T" w:cs="Simplified Arabic"/>
          <w:sz w:val="24"/>
          <w:szCs w:val="24"/>
          <w:rtl/>
        </w:rPr>
        <w:t xml:space="preserve"> </w:t>
      </w:r>
      <w:r w:rsidRPr="005D59A7">
        <w:rPr>
          <w:rFonts w:ascii="T" w:hAnsi="T" w:cs="Simplified Arabic"/>
          <w:sz w:val="24"/>
          <w:szCs w:val="24"/>
          <w:rtl/>
        </w:rPr>
        <w:t>إلى تحليل واقع</w:t>
      </w:r>
      <w:r w:rsidRPr="005D59A7">
        <w:rPr>
          <w:rFonts w:ascii="T" w:hAnsi="T" w:cs="Simplified Arabic"/>
          <w:sz w:val="24"/>
          <w:szCs w:val="24"/>
        </w:rPr>
        <w:t xml:space="preserve"> PPP </w:t>
      </w:r>
      <w:r w:rsidRPr="005D59A7">
        <w:rPr>
          <w:rFonts w:ascii="T" w:hAnsi="T" w:cs="Simplified Arabic"/>
          <w:sz w:val="24"/>
          <w:szCs w:val="24"/>
          <w:rtl/>
        </w:rPr>
        <w:t>في البلديات الأردنية من منظور تحصيل الضرائب والإيرادات. اعتمد الباحثون على منهجية دراسة الحالة، مع تحليل بيانات من 15 بلدية أردنية طبقت نماذج</w:t>
      </w:r>
      <w:r w:rsidRPr="005D59A7">
        <w:rPr>
          <w:rFonts w:ascii="T" w:hAnsi="T" w:cs="Simplified Arabic"/>
          <w:sz w:val="24"/>
          <w:szCs w:val="24"/>
        </w:rPr>
        <w:t xml:space="preserve"> PPP </w:t>
      </w:r>
      <w:r w:rsidRPr="005D59A7">
        <w:rPr>
          <w:rFonts w:ascii="T" w:hAnsi="T" w:cs="Simplified Arabic"/>
          <w:sz w:val="24"/>
          <w:szCs w:val="24"/>
          <w:rtl/>
        </w:rPr>
        <w:t>في تحصيل الضرائب العقارية ورسوم الخدمات. توصلت الدراسة إلى أن الشفافية في تحصيل الإيرادات وتوزيعها تعزز ثقة المستثمرين والجمهور في نموذج الشراكة، حيث ساهمت</w:t>
      </w:r>
      <w:r w:rsidRPr="005D59A7">
        <w:rPr>
          <w:rFonts w:ascii="T" w:hAnsi="T" w:cs="Simplified Arabic"/>
          <w:sz w:val="24"/>
          <w:szCs w:val="24"/>
        </w:rPr>
        <w:t xml:space="preserve"> PPP </w:t>
      </w:r>
      <w:r w:rsidRPr="005D59A7">
        <w:rPr>
          <w:rFonts w:ascii="T" w:hAnsi="T" w:cs="Simplified Arabic"/>
          <w:sz w:val="24"/>
          <w:szCs w:val="24"/>
          <w:rtl/>
        </w:rPr>
        <w:t xml:space="preserve">في زيادة كفاءة التحصيل الضريبي بنسبة 25-35% في البلديات التي طبقت هذا النموذج. كما أشارت الدراسة إلى أن ضعف الرقابة والإشراف على أداء الشركاء الخاصين أدى في بعض الحالات إلى تدهور جودة الخدمة وزيادة شكاوى المواطنين. </w:t>
      </w:r>
      <w:r w:rsidRPr="005D59A7">
        <w:rPr>
          <w:rFonts w:ascii="T" w:hAnsi="T" w:cs="Simplified Arabic"/>
          <w:sz w:val="24"/>
          <w:szCs w:val="24"/>
          <w:rtl/>
        </w:rPr>
        <w:lastRenderedPageBreak/>
        <w:t>أوصت الدراسة بضرورة تطوير أنظمة رقابة مستقلة لمراقبة أداء الشركاء الخاصين في تحصيل الإيرادات البلدية، مع إنشاء آليات شفافة للإبلاغ عن الأداء المالي للشراكة</w:t>
      </w:r>
      <w:r w:rsidRPr="005D59A7">
        <w:rPr>
          <w:rFonts w:ascii="T" w:hAnsi="T" w:cs="Simplified Arabic"/>
          <w:sz w:val="24"/>
          <w:szCs w:val="24"/>
        </w:rPr>
        <w:t>.</w:t>
      </w:r>
    </w:p>
    <w:p w14:paraId="3512DC36"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خامساً: التحديات التي تواجه الشراكات بين القطاعين العام والخاص</w:t>
      </w:r>
    </w:p>
    <w:p w14:paraId="2F96C614"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تواجه مشاريع</w:t>
      </w:r>
      <w:r w:rsidRPr="005D59A7">
        <w:rPr>
          <w:rFonts w:ascii="T" w:hAnsi="T" w:cs="Simplified Arabic"/>
          <w:sz w:val="24"/>
          <w:szCs w:val="24"/>
        </w:rPr>
        <w:t xml:space="preserve"> PPP </w:t>
      </w:r>
      <w:r w:rsidRPr="005D59A7">
        <w:rPr>
          <w:rFonts w:ascii="T" w:hAnsi="T" w:cs="Simplified Arabic"/>
          <w:sz w:val="24"/>
          <w:szCs w:val="24"/>
          <w:rtl/>
        </w:rPr>
        <w:t>تحديات متعددة تتعلق بالمخاطر المختلفة، والحوكمة، وتعارض المصالح، والتكاليف المرتفعة، وعدم كفاية المرونة في العقود</w:t>
      </w:r>
      <w:r w:rsidRPr="005D59A7">
        <w:rPr>
          <w:rFonts w:ascii="T" w:hAnsi="T" w:cs="Simplified Arabic"/>
          <w:sz w:val="24"/>
          <w:szCs w:val="24"/>
        </w:rPr>
        <w:t>.</w:t>
      </w:r>
    </w:p>
    <w:p w14:paraId="3241C0DA" w14:textId="3396599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في هذا السياق، أجرى شاهين ووحيد (2025) دراسة </w:t>
      </w:r>
      <w:r w:rsidR="00BD0DA0" w:rsidRPr="005D59A7">
        <w:rPr>
          <w:rFonts w:ascii="T" w:hAnsi="T" w:cs="Simplified Arabic"/>
          <w:sz w:val="24"/>
          <w:szCs w:val="24"/>
          <w:rtl/>
        </w:rPr>
        <w:t>ه</w:t>
      </w:r>
      <w:r w:rsidRPr="005D59A7">
        <w:rPr>
          <w:rFonts w:ascii="T" w:hAnsi="T" w:cs="Simplified Arabic"/>
          <w:sz w:val="24"/>
          <w:szCs w:val="24"/>
          <w:rtl/>
        </w:rPr>
        <w:t>دفت إلى تحليل جدوى استخدام</w:t>
      </w:r>
      <w:r w:rsidRPr="005D59A7">
        <w:rPr>
          <w:rFonts w:ascii="T" w:hAnsi="T" w:cs="Simplified Arabic"/>
          <w:sz w:val="24"/>
          <w:szCs w:val="24"/>
        </w:rPr>
        <w:t xml:space="preserve"> PPP </w:t>
      </w:r>
      <w:r w:rsidRPr="005D59A7">
        <w:rPr>
          <w:rFonts w:ascii="T" w:hAnsi="T" w:cs="Simplified Arabic"/>
          <w:sz w:val="24"/>
          <w:szCs w:val="24"/>
          <w:rtl/>
        </w:rPr>
        <w:t>في تطوير مشروعات الهيدروجين الأخضر في المنطقة الاقتصادية لقناة السويس. اعتمد الباحثون على منهجية دراسة الحالة والتحليل المالي، مع تطوير نموذج مالي لتقييم جدوى المشروع في ظل سيناريوهات مختلفة. توصلت الدراسة إلى أن ارتفاع درجة عدم اليقين التقني والسياسي يمثل التحدي الأكبر أمام</w:t>
      </w:r>
      <w:r w:rsidRPr="005D59A7">
        <w:rPr>
          <w:rFonts w:ascii="T" w:hAnsi="T" w:cs="Simplified Arabic"/>
          <w:sz w:val="24"/>
          <w:szCs w:val="24"/>
        </w:rPr>
        <w:t xml:space="preserve"> PPP </w:t>
      </w:r>
      <w:r w:rsidRPr="005D59A7">
        <w:rPr>
          <w:rFonts w:ascii="T" w:hAnsi="T" w:cs="Simplified Arabic"/>
          <w:sz w:val="24"/>
          <w:szCs w:val="24"/>
          <w:rtl/>
        </w:rPr>
        <w:t>في مشروعات الهيدروجين الأخضر، حيث تتغير التقنيات والأسعار بسرعة كبيرة مما يصعب تقدير الجدوى المالية للمشروع على المدى الطويل. كما أشارت الدراسة إلى أن عدم تضمين آليات مرنة للتكيف مع التغيرات المستقبلية يعد من أهم أسباب فشل مشاريع</w:t>
      </w:r>
      <w:r w:rsidRPr="005D59A7">
        <w:rPr>
          <w:rFonts w:ascii="T" w:hAnsi="T" w:cs="Simplified Arabic"/>
          <w:sz w:val="24"/>
          <w:szCs w:val="24"/>
        </w:rPr>
        <w:t xml:space="preserve"> PPP </w:t>
      </w:r>
      <w:r w:rsidRPr="005D59A7">
        <w:rPr>
          <w:rFonts w:ascii="T" w:hAnsi="T" w:cs="Simplified Arabic"/>
          <w:sz w:val="24"/>
          <w:szCs w:val="24"/>
          <w:rtl/>
        </w:rPr>
        <w:t>في القطاعات سريعة التغير. أوصت الدراسة بضرورة تطوير عقود</w:t>
      </w:r>
      <w:r w:rsidRPr="005D59A7">
        <w:rPr>
          <w:rFonts w:ascii="T" w:hAnsi="T" w:cs="Simplified Arabic"/>
          <w:sz w:val="24"/>
          <w:szCs w:val="24"/>
        </w:rPr>
        <w:t xml:space="preserve"> PPP </w:t>
      </w:r>
      <w:r w:rsidRPr="005D59A7">
        <w:rPr>
          <w:rFonts w:ascii="T" w:hAnsi="T" w:cs="Simplified Arabic"/>
          <w:sz w:val="24"/>
          <w:szCs w:val="24"/>
          <w:rtl/>
        </w:rPr>
        <w:t>مرنة تتضمن آليات لمراجعة الأسعار والتكاليف بشكل دوري، مع اعتماد هيكل تمويل يجمع بين رأس المال الخاص والمنح الحكومية لتقليل المخاطر المالية على القطاع الخاص</w:t>
      </w:r>
      <w:r w:rsidRPr="005D59A7">
        <w:rPr>
          <w:rFonts w:ascii="T" w:hAnsi="T" w:cs="Simplified Arabic"/>
          <w:sz w:val="24"/>
          <w:szCs w:val="24"/>
        </w:rPr>
        <w:t>.</w:t>
      </w:r>
    </w:p>
    <w:p w14:paraId="7AB2B316" w14:textId="20D6C922"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من جهة أخرى، أجرى بوعنان وليندة (2025) دراسة هدفت إلى تحليل دور</w:t>
      </w:r>
      <w:r w:rsidRPr="005D59A7">
        <w:rPr>
          <w:rFonts w:ascii="T" w:hAnsi="T" w:cs="Simplified Arabic"/>
          <w:sz w:val="24"/>
          <w:szCs w:val="24"/>
        </w:rPr>
        <w:t xml:space="preserve"> PPP </w:t>
      </w:r>
      <w:r w:rsidRPr="005D59A7">
        <w:rPr>
          <w:rFonts w:ascii="T" w:hAnsi="T" w:cs="Simplified Arabic"/>
          <w:sz w:val="24"/>
          <w:szCs w:val="24"/>
          <w:rtl/>
        </w:rPr>
        <w:t>في تحفيز الاستثمار في الجزائر، وتحديد التحديات التي تواجه تطبيق هذا النموذج. اعتمد الباحثون على المنهج الوصفي التحليلي، مع مراجعة الأدبيات وتحليل التجارب الدولية المقارنة. توصلت الدراسة إلى أن ضعف أنظمة الرقابة والإشراف من قبل القطاع العام يعد من أهم التحديات التي تواجه</w:t>
      </w:r>
      <w:r w:rsidRPr="005D59A7">
        <w:rPr>
          <w:rFonts w:ascii="T" w:hAnsi="T" w:cs="Simplified Arabic"/>
          <w:sz w:val="24"/>
          <w:szCs w:val="24"/>
        </w:rPr>
        <w:t xml:space="preserve"> PPP</w:t>
      </w:r>
      <w:r w:rsidRPr="005D59A7">
        <w:rPr>
          <w:rFonts w:ascii="T" w:hAnsi="T" w:cs="Simplified Arabic"/>
          <w:sz w:val="24"/>
          <w:szCs w:val="24"/>
          <w:rtl/>
        </w:rPr>
        <w:t>، حيث يمكن أن يؤدي إلى تدهور جودة الخدمة وزيادة التكاليف دون أن تلاحظها الجهة الحكومية في الوقت المناسب. كما أشارت الدراسة إلى أن تكاليف إعداد عقود</w:t>
      </w:r>
      <w:r w:rsidRPr="005D59A7">
        <w:rPr>
          <w:rFonts w:ascii="T" w:hAnsi="T" w:cs="Simplified Arabic"/>
          <w:sz w:val="24"/>
          <w:szCs w:val="24"/>
        </w:rPr>
        <w:t xml:space="preserve"> PPP </w:t>
      </w:r>
      <w:r w:rsidRPr="005D59A7">
        <w:rPr>
          <w:rFonts w:ascii="T" w:hAnsi="T" w:cs="Simplified Arabic"/>
          <w:sz w:val="24"/>
          <w:szCs w:val="24"/>
          <w:rtl/>
        </w:rPr>
        <w:t>المرتفعة (تصل إلى 5-10% من قيمة المشروع) تشكل عائقاً أمام تطبيق هذا النموذج في المشاريع الصغيرة والمتوسطة. أوصت الدراسة بضرورة تطوير وحدات</w:t>
      </w:r>
      <w:r w:rsidRPr="005D59A7">
        <w:rPr>
          <w:rFonts w:ascii="T" w:hAnsi="T" w:cs="Simplified Arabic"/>
          <w:sz w:val="24"/>
          <w:szCs w:val="24"/>
        </w:rPr>
        <w:t xml:space="preserve"> PPP </w:t>
      </w:r>
      <w:r w:rsidRPr="005D59A7">
        <w:rPr>
          <w:rFonts w:ascii="T" w:hAnsi="T" w:cs="Simplified Arabic"/>
          <w:sz w:val="24"/>
          <w:szCs w:val="24"/>
          <w:rtl/>
        </w:rPr>
        <w:t>متخصصة في الجهات الحكومية لبناء القدرات المؤسسية، وتوحيد الإجراءات والنماذج التعاقدية لتقليل تكاليف الإعداد</w:t>
      </w:r>
      <w:r w:rsidRPr="005D59A7">
        <w:rPr>
          <w:rFonts w:ascii="T" w:hAnsi="T" w:cs="Simplified Arabic"/>
          <w:sz w:val="24"/>
          <w:szCs w:val="24"/>
        </w:rPr>
        <w:t>.</w:t>
      </w:r>
    </w:p>
    <w:p w14:paraId="348D5B83" w14:textId="77777777" w:rsidR="00ED0828" w:rsidRPr="005D59A7" w:rsidRDefault="00ED0828" w:rsidP="00861DC2">
      <w:pPr>
        <w:bidi/>
        <w:spacing w:line="360" w:lineRule="auto"/>
        <w:ind w:firstLine="720"/>
        <w:jc w:val="both"/>
        <w:rPr>
          <w:rFonts w:ascii="T" w:hAnsi="T" w:cs="Simplified Arabic"/>
          <w:sz w:val="24"/>
          <w:szCs w:val="24"/>
          <w:rtl/>
        </w:rPr>
      </w:pPr>
    </w:p>
    <w:p w14:paraId="2DFC88A2" w14:textId="789BBA9E"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كما أجرى كحيط، </w:t>
      </w:r>
      <w:r w:rsidR="00BD0DA0" w:rsidRPr="005D59A7">
        <w:rPr>
          <w:rFonts w:ascii="T" w:hAnsi="T" w:cs="Simplified Arabic"/>
          <w:sz w:val="24"/>
          <w:szCs w:val="24"/>
          <w:rtl/>
        </w:rPr>
        <w:t>اخرون</w:t>
      </w:r>
      <w:r w:rsidRPr="005D59A7">
        <w:rPr>
          <w:rFonts w:ascii="T" w:hAnsi="T" w:cs="Simplified Arabic"/>
          <w:sz w:val="24"/>
          <w:szCs w:val="24"/>
          <w:rtl/>
        </w:rPr>
        <w:t xml:space="preserve"> (2025) دراسة هدفت إلى تحليل واقع تطبيق</w:t>
      </w:r>
      <w:r w:rsidRPr="005D59A7">
        <w:rPr>
          <w:rFonts w:ascii="T" w:hAnsi="T" w:cs="Simplified Arabic"/>
          <w:sz w:val="24"/>
          <w:szCs w:val="24"/>
        </w:rPr>
        <w:t xml:space="preserve"> PPP </w:t>
      </w:r>
      <w:r w:rsidRPr="005D59A7">
        <w:rPr>
          <w:rFonts w:ascii="T" w:hAnsi="T" w:cs="Simplified Arabic"/>
          <w:sz w:val="24"/>
          <w:szCs w:val="24"/>
          <w:rtl/>
        </w:rPr>
        <w:t>في جامعة المستقبل العراقية، وتحديد التحديات والفرص المرتبطة به. اعتمد الباحثون على منهجية المسح الميداني، مع توزيع استبيانات على 200 من أعضاء الهيئة التدريسية والإدارية في الجامعة. توصلت الدراسة إلى أن تعارض المصالح بين الأهداف الأكاديمية للجامعة (الجودة العلمية، البحث الحر) والأهداف التجارية للقطاع الخاص (الربحية، الكفاءة) يمثل تحدياً رئيسياً في تطبيق</w:t>
      </w:r>
      <w:r w:rsidRPr="005D59A7">
        <w:rPr>
          <w:rFonts w:ascii="T" w:hAnsi="T" w:cs="Simplified Arabic"/>
          <w:sz w:val="24"/>
          <w:szCs w:val="24"/>
        </w:rPr>
        <w:t xml:space="preserve"> PPP </w:t>
      </w:r>
      <w:r w:rsidRPr="005D59A7">
        <w:rPr>
          <w:rFonts w:ascii="T" w:hAnsi="T" w:cs="Simplified Arabic"/>
          <w:sz w:val="24"/>
          <w:szCs w:val="24"/>
          <w:rtl/>
        </w:rPr>
        <w:t>في قطاع التعليم العالي. كما أشارت الدراسة إلى أن بناء الثقة بين الأطراف وتبادل المعرفة يعتبران عاملين حاسمين لنجاح الشراكة، حيث تتطلب العلاقة التعاقدية تجاوز النماذج التقليدية نحو علاقات أكثر تعاوناً وشفافية. أوصت الدراسة بضرورة تطوير آليات حوكمة تضمن تحقيق التوازن بين الأهداف الأكاديمية والتجارية، مع إنشاء لجان مشتركة للإشراف على تنفيذ الشراكة وحل النزاعات</w:t>
      </w:r>
      <w:r w:rsidRPr="005D59A7">
        <w:rPr>
          <w:rFonts w:ascii="T" w:hAnsi="T" w:cs="Simplified Arabic"/>
          <w:sz w:val="24"/>
          <w:szCs w:val="24"/>
        </w:rPr>
        <w:t>.</w:t>
      </w:r>
    </w:p>
    <w:p w14:paraId="1D964B48" w14:textId="77777777" w:rsidR="00C57CC8" w:rsidRPr="005D59A7" w:rsidRDefault="00C57CC8" w:rsidP="00C476D6">
      <w:pPr>
        <w:pStyle w:val="Heading2"/>
        <w:bidi/>
        <w:rPr>
          <w:rFonts w:ascii="T" w:hAnsi="T" w:cs="Simplified Arabic"/>
          <w:color w:val="auto"/>
          <w:sz w:val="24"/>
          <w:szCs w:val="24"/>
          <w:rtl/>
        </w:rPr>
      </w:pPr>
      <w:bookmarkStart w:id="69" w:name="_Toc234607893"/>
      <w:r w:rsidRPr="005D59A7">
        <w:rPr>
          <w:rFonts w:ascii="T" w:hAnsi="T" w:cs="Simplified Arabic"/>
          <w:color w:val="auto"/>
          <w:sz w:val="24"/>
          <w:szCs w:val="24"/>
          <w:rtl/>
        </w:rPr>
        <w:t>المحور الثاني: دراسات الحوكمة البيئية</w:t>
      </w:r>
      <w:bookmarkEnd w:id="69"/>
    </w:p>
    <w:p w14:paraId="3681114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مفهوم الحوكمة البيئية وتطورها</w:t>
      </w:r>
    </w:p>
    <w:p w14:paraId="1080D87E"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 مفهوم الحوكمة البيئية تطوراً كبيراً خلال العقود الأخيرة، حيث انتقل من التركيز الضيق على الأنظمة والقوانين البيئية إلى إطار أوسع يشمل المؤسسات والعمليات والسلوكيات التي تتفاعل لتشكيل القرارات والنتائج البيئية. يعكس هذا التطور إدراكاً متزايداً بأن حماية البيئة تتطلب أكثر من مجرد وضع لوائح وعقوبات، بل تحتاج إلى نظم حوكمة متكاملة تشرك جميع أصحاب المصلحة وتعزز الشفافية والمساءلة</w:t>
      </w:r>
      <w:r w:rsidRPr="005D59A7">
        <w:rPr>
          <w:rFonts w:ascii="T" w:hAnsi="T" w:cs="Simplified Arabic"/>
          <w:sz w:val="24"/>
          <w:szCs w:val="24"/>
        </w:rPr>
        <w:t>.</w:t>
      </w:r>
    </w:p>
    <w:p w14:paraId="62074527" w14:textId="2E9AF257" w:rsidR="00354F1D" w:rsidRPr="005D59A7" w:rsidRDefault="00C476D6"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w:t>
      </w:r>
      <w:r w:rsidR="00354F1D" w:rsidRPr="005D59A7">
        <w:rPr>
          <w:rFonts w:ascii="T" w:hAnsi="T" w:cs="Simplified Arabic"/>
          <w:sz w:val="24"/>
          <w:szCs w:val="24"/>
          <w:rtl/>
        </w:rPr>
        <w:t>: التحول من الحوكمة البيئية إلى حوكمة الاستدامة</w:t>
      </w:r>
    </w:p>
    <w:p w14:paraId="0BC9A8C9"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Agrawal </w:t>
      </w:r>
      <w:r w:rsidRPr="005D59A7">
        <w:rPr>
          <w:rFonts w:ascii="T" w:hAnsi="T" w:cs="Simplified Arabic"/>
          <w:sz w:val="24"/>
          <w:szCs w:val="24"/>
          <w:rtl/>
        </w:rPr>
        <w:t>وآخرون (2022) إلى أن الحوكمة البيئية التقليدية ركزت بشكل أساسي على حل مشكلات بيئية محددة مثل تلوث الهواء وتدهور الغابات من خلال آليات تنظيمية مركزية تعتمد على سلطة الدولة في وضع القواعد وفرض العقوبات. غير أن هذه المقاربة أثبتت محدوديتها في مواجهة التحديات البيئية المعاصرة المعقدة والمتداخلة، مثل تغير المناخ وفقدان التنوع البيولوجي واستنزاف الموارد الطبيعية. أوضح الباحثون أن هذه التحديات تتسم بدرجة عالية من عدم اليقين والترابط عبر المكان والزمان، مما يجعل الحلول القطاعية والمركزية غير كافية</w:t>
      </w:r>
      <w:r w:rsidRPr="005D59A7">
        <w:rPr>
          <w:rFonts w:ascii="T" w:hAnsi="T" w:cs="Simplified Arabic"/>
          <w:sz w:val="24"/>
          <w:szCs w:val="24"/>
        </w:rPr>
        <w:t>.</w:t>
      </w:r>
    </w:p>
    <w:p w14:paraId="4ECCB09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أشار الباحثون إلى أن هناك تحولاً عالمياً نحو "حوكمة من أجل الاستدامة</w:t>
      </w:r>
      <w:r w:rsidRPr="005D59A7">
        <w:rPr>
          <w:rFonts w:ascii="T" w:hAnsi="T" w:cs="Simplified Arabic"/>
          <w:sz w:val="24"/>
          <w:szCs w:val="24"/>
        </w:rPr>
        <w:t xml:space="preserve">" (Governance for Sustainability) </w:t>
      </w:r>
      <w:r w:rsidRPr="005D59A7">
        <w:rPr>
          <w:rFonts w:ascii="T" w:hAnsi="T" w:cs="Simplified Arabic"/>
          <w:sz w:val="24"/>
          <w:szCs w:val="24"/>
          <w:rtl/>
        </w:rPr>
        <w:t>تتجاوز النماذج التقليدية لتشمل أبعاداً اجتماعية واقتصادية وسياسية مترابطة. فبدلاً من التركيز على حل مشكلات بيئية معزولة، تركز حوكمة الاستدامة على تحقيق التوازن بين الأهداف البيئية والاقتصادية والاجتماعية. كما تتطلب هذه المقاربة الجديدة تكامل مستويات متعددة من الحوكمة (المحلية، الوطنية، الإقليمية، العالمية) وإشراك جهات فاعلة متنوعة (الحكومات، القطاع الخاص، المجتمع المدني، المؤسسات الأكاديمية، المجتمعات المحلية). أوضح الباحثون أن التحول نحو حوكمة الاستدامة يمثل تحدياً مؤسسياً كبيراً، لأنه يتطلب إعادة تصميم هياكل الحوكمة التقليدية وآلياتها، وتطوير قدرات جديدة للتنسيق والتعلم والتكيف</w:t>
      </w:r>
      <w:r w:rsidRPr="005D59A7">
        <w:rPr>
          <w:rFonts w:ascii="T" w:hAnsi="T" w:cs="Simplified Arabic"/>
          <w:sz w:val="24"/>
          <w:szCs w:val="24"/>
        </w:rPr>
        <w:t>.</w:t>
      </w:r>
    </w:p>
    <w:p w14:paraId="0D562095" w14:textId="51ACFC22"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w:t>
      </w:r>
      <w:r w:rsidR="00C476D6" w:rsidRPr="005D59A7">
        <w:rPr>
          <w:rFonts w:ascii="T" w:hAnsi="T" w:cs="Simplified Arabic"/>
          <w:sz w:val="24"/>
          <w:szCs w:val="24"/>
          <w:rtl/>
        </w:rPr>
        <w:t>لثا</w:t>
      </w:r>
      <w:r w:rsidRPr="005D59A7">
        <w:rPr>
          <w:rFonts w:ascii="T" w:hAnsi="T" w:cs="Simplified Arabic"/>
          <w:sz w:val="24"/>
          <w:szCs w:val="24"/>
          <w:rtl/>
        </w:rPr>
        <w:t>: تطور الحوكمة البيئية العالمية</w:t>
      </w:r>
    </w:p>
    <w:p w14:paraId="1851D50B"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قدم</w:t>
      </w:r>
      <w:r w:rsidRPr="005D59A7">
        <w:rPr>
          <w:rFonts w:ascii="T" w:hAnsi="T" w:cs="Simplified Arabic"/>
          <w:sz w:val="24"/>
          <w:szCs w:val="24"/>
        </w:rPr>
        <w:t xml:space="preserve"> </w:t>
      </w:r>
      <w:proofErr w:type="spellStart"/>
      <w:r w:rsidRPr="005D59A7">
        <w:rPr>
          <w:rFonts w:ascii="T" w:hAnsi="T" w:cs="Simplified Arabic"/>
          <w:sz w:val="24"/>
          <w:szCs w:val="24"/>
        </w:rPr>
        <w:t>Sörlin</w:t>
      </w:r>
      <w:proofErr w:type="spellEnd"/>
      <w:r w:rsidRPr="005D59A7">
        <w:rPr>
          <w:rFonts w:ascii="T" w:hAnsi="T" w:cs="Simplified Arabic"/>
          <w:sz w:val="24"/>
          <w:szCs w:val="24"/>
        </w:rPr>
        <w:t xml:space="preserve"> </w:t>
      </w:r>
      <w:r w:rsidRPr="005D59A7">
        <w:rPr>
          <w:rFonts w:ascii="T" w:hAnsi="T" w:cs="Simplified Arabic"/>
          <w:sz w:val="24"/>
          <w:szCs w:val="24"/>
          <w:rtl/>
        </w:rPr>
        <w:t>وآخرون (2025) تحليلاً تاريخياً معمقاً لتطور الحوكمة البيئية العالمية، مشيرين إلى أنها شهدت "تشتتاً كبيراً</w:t>
      </w:r>
      <w:r w:rsidRPr="005D59A7">
        <w:rPr>
          <w:rFonts w:ascii="T" w:hAnsi="T" w:cs="Simplified Arabic"/>
          <w:sz w:val="24"/>
          <w:szCs w:val="24"/>
        </w:rPr>
        <w:t xml:space="preserve">" (great dispersal) </w:t>
      </w:r>
      <w:r w:rsidRPr="005D59A7">
        <w:rPr>
          <w:rFonts w:ascii="T" w:hAnsi="T" w:cs="Simplified Arabic"/>
          <w:sz w:val="24"/>
          <w:szCs w:val="24"/>
          <w:rtl/>
        </w:rPr>
        <w:t>منذ مؤتمر الأمم المتحدة للبيئة والتنمية (قمة ريو) في عام 1992. قبل هذا التاريخ، كانت الحوكمة البيئية العالمية تتركز بشكل أساسي حول الاتفاقيات الدولية الكبرى التي تفاوضت عليها الحكومات الوطنية، مثل اتفاقية التنوع البيولوجي واتفاقية الأمم المتحدة الإطارية بشأن تغير المناخ. هذه الاتفاقيات أنشأت أطراً مؤسسية وقانونية عالمية تهدف إلى تنسيق الجهود الوطنية لحماية البيئة</w:t>
      </w:r>
      <w:r w:rsidRPr="005D59A7">
        <w:rPr>
          <w:rFonts w:ascii="T" w:hAnsi="T" w:cs="Simplified Arabic"/>
          <w:sz w:val="24"/>
          <w:szCs w:val="24"/>
        </w:rPr>
        <w:t>.</w:t>
      </w:r>
    </w:p>
    <w:p w14:paraId="00374CAC"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الباحثون أن العقود الثلاثة الماضية شهدت تحولاً جذرياً في مشهد الحوكمة البيئية العالمية، حيث انتقلت من نموذج مركزي يركز على الاتفاقيات الدولية إلى مشهد أكثر تشتتاً وتنوعاً. هذا المشهد الجديد يشمل مبادرات متعددة الأطراف (مثل أهداف التنمية المستدامة)، وتحالفات إقليمية (مثل الاتحاد الأوروبي)، واتفاقيات ثنائية بين الدول، وقوانين وطنية، ومبادرات محلية، وحتى مبادرات خاصة من القطاع الخاص والمجتمع المدني. أشار الباحثون إلى أن هذا التشتت يعكس كلاً من نقاط القوة ونقاط الضعف. من ناحية القوة، يزيد التشتت من مرونة الحوكمة وقدرتها على التكيف مع الظروف والسياقات المحلية المختلفة. كما يتيح تجريب نماذج مبتكرة على نطاق صغير قبل تعميمها. من ناحية الضعف، يؤدي التشتت إلى فقدان التنسيق والاتساق بين المبادرات المختلفة، وازدواجية الجهود، وتضارب السياسات، وفجوات في التغطية</w:t>
      </w:r>
      <w:r w:rsidRPr="005D59A7">
        <w:rPr>
          <w:rFonts w:ascii="T" w:hAnsi="T" w:cs="Simplified Arabic"/>
          <w:sz w:val="24"/>
          <w:szCs w:val="24"/>
        </w:rPr>
        <w:t>.</w:t>
      </w:r>
    </w:p>
    <w:p w14:paraId="6220DF19"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أوصى الباحثون بضرورة تطوير آليات جديدة لتعزيز التكامل بين مختلف مستويات ومبادرات الحوكمة البيئية. هذه الآليات قد تشمل منصات للتنسيق وتبادل المعلومات، ومعايير مشتركة للرصد والإبلاغ، وآليات لبناء الثقة والتعاون بين الجهات الفاعلة المختلفة. كما أشاروا إلى أهمية تعزيز دور المؤسسات العلمية في توفير المعرفة والتحليلات اللازمة لدعم التكامل والتنسيق</w:t>
      </w:r>
      <w:r w:rsidRPr="005D59A7">
        <w:rPr>
          <w:rFonts w:ascii="T" w:hAnsi="T" w:cs="Simplified Arabic"/>
          <w:sz w:val="24"/>
          <w:szCs w:val="24"/>
        </w:rPr>
        <w:t>.</w:t>
      </w:r>
    </w:p>
    <w:p w14:paraId="19E5CB24" w14:textId="51181087" w:rsidR="00354F1D" w:rsidRPr="005D59A7" w:rsidRDefault="00C476D6"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رابعا</w:t>
      </w:r>
      <w:r w:rsidR="00354F1D" w:rsidRPr="005D59A7">
        <w:rPr>
          <w:rFonts w:ascii="T" w:hAnsi="T" w:cs="Simplified Arabic"/>
          <w:sz w:val="24"/>
          <w:szCs w:val="24"/>
          <w:rtl/>
        </w:rPr>
        <w:t>ً: الأسس النظرية للحوكمة البيئية</w:t>
      </w:r>
    </w:p>
    <w:p w14:paraId="1176556D"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مرزاق (2023) أن مفهوم الحوكمة البيئية ظهر كإطار نظري وتطبيقي يهدف إلى تحسين إدارة الموارد الطبيعية وحماية البيئة من خلال تعزيز المشاركة والشفافية والمساءلة. أشار الباحث إلى أن الحوكمة البيئية تختلف عن الإدارة البيئية التقليدية في عدة جوانب جوهرية. أولاً، الإدارة البيئية التقليدية تركز بشكل أساسي على دور الحكومة كجهة تنظيمية ورقابية، بينما تشمل الحوكمة البيئية جميع أصحاب المصلحة (القطاع الخاص، المجتمع المدني، المواطنين، المؤسسات الأكاديمية) في عمليات صنع القرار والتنفيذ والمراقبة. ثانياً، الإدارة التقليدية تعتمد على آليات هرمية وأوامر من أعلى إلى أسفل، بينما تعتمد الحوكمة البيئية على آليات أكثر مرونة وتشاركية، تشمل التفاوض والشراكة والتنسيق الأفقي</w:t>
      </w:r>
      <w:r w:rsidRPr="005D59A7">
        <w:rPr>
          <w:rFonts w:ascii="T" w:hAnsi="T" w:cs="Simplified Arabic"/>
          <w:sz w:val="24"/>
          <w:szCs w:val="24"/>
        </w:rPr>
        <w:t>.</w:t>
      </w:r>
    </w:p>
    <w:p w14:paraId="41598F8D" w14:textId="54381772"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 إلى أن الحوكمة البيئية تستند إلى عدة أسس نظرية، منها نظرية الاختيار العام</w:t>
      </w:r>
      <w:r w:rsidRPr="005D59A7">
        <w:rPr>
          <w:rFonts w:ascii="T" w:hAnsi="T" w:cs="Simplified Arabic"/>
          <w:sz w:val="24"/>
          <w:szCs w:val="24"/>
        </w:rPr>
        <w:t xml:space="preserve"> </w:t>
      </w:r>
      <w:r w:rsidRPr="005D59A7">
        <w:rPr>
          <w:rFonts w:ascii="T" w:hAnsi="T" w:cs="Simplified Arabic"/>
          <w:sz w:val="24"/>
          <w:szCs w:val="24"/>
          <w:rtl/>
        </w:rPr>
        <w:t>التي تركز على دور الحوافز والمصالح الفردية في تشكيل السلوك البيئي، ونظرية الاعتماد على الموارد</w:t>
      </w:r>
      <w:r w:rsidRPr="005D59A7">
        <w:rPr>
          <w:rFonts w:ascii="T" w:hAnsi="T" w:cs="Simplified Arabic"/>
          <w:sz w:val="24"/>
          <w:szCs w:val="24"/>
        </w:rPr>
        <w:t xml:space="preserve"> (</w:t>
      </w:r>
      <w:r w:rsidRPr="005D59A7">
        <w:rPr>
          <w:rFonts w:ascii="T" w:hAnsi="T" w:cs="Simplified Arabic"/>
          <w:sz w:val="24"/>
          <w:szCs w:val="24"/>
          <w:rtl/>
        </w:rPr>
        <w:t>التي تشرح كيف تعتمد المنظمات على موارد من بيئتها الخارجية، ونظرية شبكات السياسات</w:t>
      </w:r>
      <w:r w:rsidRPr="005D59A7">
        <w:rPr>
          <w:rFonts w:ascii="T" w:hAnsi="T" w:cs="Simplified Arabic"/>
          <w:sz w:val="24"/>
          <w:szCs w:val="24"/>
        </w:rPr>
        <w:t xml:space="preserve"> </w:t>
      </w:r>
      <w:r w:rsidRPr="005D59A7">
        <w:rPr>
          <w:rFonts w:ascii="T" w:hAnsi="T" w:cs="Simplified Arabic"/>
          <w:sz w:val="24"/>
          <w:szCs w:val="24"/>
          <w:rtl/>
        </w:rPr>
        <w:t>التي تحلل التفاعلات بين الجهات الفاعلة المختلفة في صنع السياسات البيئية. كما أوضح أن الحوكمة البيئية تعتمد على مبدأ اللامركزية، الذي ينص على نقل السلطة والموارد من المستوى المركزي إلى المستويات المحلية، حيث تكون المعرفة المحلية أكثر دقة والقدرة على الاستجابة أكثر سرعة</w:t>
      </w:r>
      <w:r w:rsidRPr="005D59A7">
        <w:rPr>
          <w:rFonts w:ascii="T" w:hAnsi="T" w:cs="Simplified Arabic"/>
          <w:sz w:val="24"/>
          <w:szCs w:val="24"/>
        </w:rPr>
        <w:t>.</w:t>
      </w:r>
    </w:p>
    <w:p w14:paraId="1D71714F"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أشار الباحث إلى أن تطبيق الحوكمة البيئية يواجه عدة تحديات نظرية وعملية. من أهم هذه التحديات: صعوبة تحقيق التوازن بين المشاركة الموسعة والكفاءة في اتخاذ القرار، وخطر استيلاء النخب أو المجموعات ذات المصالح الخاصة على عمليات الحوكمة، وضعف قدرات المؤسسات المحلية على ممارسة مهام الحوكمة، وتعارض </w:t>
      </w:r>
      <w:r w:rsidRPr="005D59A7">
        <w:rPr>
          <w:rFonts w:ascii="T" w:hAnsi="T" w:cs="Simplified Arabic"/>
          <w:sz w:val="24"/>
          <w:szCs w:val="24"/>
          <w:rtl/>
        </w:rPr>
        <w:lastRenderedPageBreak/>
        <w:t>المصالح بين مختلف أصحاب المصلحة. كما أشار إلى أن الحوكمة البيئية تتطلب تغييراً ثقافياً عميقاً في طريقة فهم العلاقة بين المجتمع والبيئة، وفي طريقة ممارسة السلطة واتخاذ القرارات</w:t>
      </w:r>
      <w:r w:rsidRPr="005D59A7">
        <w:rPr>
          <w:rFonts w:ascii="T" w:hAnsi="T" w:cs="Simplified Arabic"/>
          <w:sz w:val="24"/>
          <w:szCs w:val="24"/>
        </w:rPr>
        <w:t>.</w:t>
      </w:r>
    </w:p>
    <w:p w14:paraId="493F99BF" w14:textId="30403216" w:rsidR="00354F1D" w:rsidRPr="005D59A7" w:rsidRDefault="00C476D6"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خامسا</w:t>
      </w:r>
      <w:r w:rsidR="00354F1D" w:rsidRPr="005D59A7">
        <w:rPr>
          <w:rFonts w:ascii="T" w:hAnsi="T" w:cs="Simplified Arabic"/>
          <w:sz w:val="24"/>
          <w:szCs w:val="24"/>
          <w:rtl/>
        </w:rPr>
        <w:t>: مبادئ الحوكمة البيئية</w:t>
      </w:r>
    </w:p>
    <w:p w14:paraId="27FA108D"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تقوم الحوكمة البيئية على مجموعة من المبادئ الأساسية التي تشكل الإطار المؤسسي والإجرائي لتطبيقها. من أهم هذه المبادئ: الشفافية، المساءلة، الامتثال، المشاركة، سيادة القانون، والفعالية. هذه المبادئ مترابطة ومتكاملة، وتطبيقها يتطلب توافر ظروف مؤسسية وسياسية وثقافية مناسبة</w:t>
      </w:r>
      <w:r w:rsidRPr="005D59A7">
        <w:rPr>
          <w:rFonts w:ascii="T" w:hAnsi="T" w:cs="Simplified Arabic"/>
          <w:sz w:val="24"/>
          <w:szCs w:val="24"/>
        </w:rPr>
        <w:t>.</w:t>
      </w:r>
    </w:p>
    <w:p w14:paraId="6F775D05" w14:textId="29CE4AD0"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الشفافية والوصول إلى المعلومات</w:t>
      </w:r>
    </w:p>
    <w:p w14:paraId="00ED5691"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تعد الشفافية من أهم مبادئ الحوكمة البيئية، حيث تعني إتاحة المعلومات البيئية للجمهور بشكل واضح ومفهوم وفي الوقت المناسب. تشمل المعلومات البيئية التي ينبغي إتاحتها: البيانات عن حالة البيئة، ومصادر التلوث، والتراخيص البيئية، ونتائج التفتيش والرصد، وعمليات صنع القرار البيئي. تتيح الشفافية للمواطنين والمجتمع المدني مراقبة أداء الجهات المعنية والمشاركة الفعالة في حماية البيئة</w:t>
      </w:r>
      <w:r w:rsidRPr="005D59A7">
        <w:rPr>
          <w:rFonts w:ascii="T" w:hAnsi="T" w:cs="Simplified Arabic"/>
          <w:sz w:val="24"/>
          <w:szCs w:val="24"/>
        </w:rPr>
        <w:t>.</w:t>
      </w:r>
    </w:p>
    <w:p w14:paraId="30B93A97" w14:textId="45240161"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سياق التحول الرقمي، أشار</w:t>
      </w:r>
      <w:r w:rsidRPr="005D59A7">
        <w:rPr>
          <w:rFonts w:ascii="T" w:hAnsi="T" w:cs="Simplified Arabic"/>
          <w:sz w:val="24"/>
          <w:szCs w:val="24"/>
        </w:rPr>
        <w:t xml:space="preserve"> </w:t>
      </w:r>
      <w:proofErr w:type="spellStart"/>
      <w:r w:rsidRPr="005D59A7">
        <w:rPr>
          <w:rFonts w:ascii="T" w:hAnsi="T" w:cs="Simplified Arabic"/>
          <w:sz w:val="24"/>
          <w:szCs w:val="24"/>
        </w:rPr>
        <w:t>Krogstie</w:t>
      </w:r>
      <w:r w:rsidR="0091720A" w:rsidRPr="005D59A7">
        <w:rPr>
          <w:rFonts w:ascii="T" w:hAnsi="T" w:cs="Simplified Arabic"/>
          <w:sz w:val="24"/>
          <w:szCs w:val="24"/>
        </w:rPr>
        <w:t>,et</w:t>
      </w:r>
      <w:proofErr w:type="spellEnd"/>
      <w:r w:rsidR="0091720A" w:rsidRPr="005D59A7">
        <w:rPr>
          <w:rFonts w:ascii="T" w:hAnsi="T" w:cs="Simplified Arabic"/>
          <w:sz w:val="24"/>
          <w:szCs w:val="24"/>
        </w:rPr>
        <w:t xml:space="preserve"> al</w:t>
      </w:r>
      <w:r w:rsidRPr="005D59A7">
        <w:rPr>
          <w:rFonts w:ascii="T" w:hAnsi="T" w:cs="Simplified Arabic"/>
          <w:sz w:val="24"/>
          <w:szCs w:val="24"/>
        </w:rPr>
        <w:t xml:space="preserve"> (2024) </w:t>
      </w:r>
      <w:r w:rsidRPr="005D59A7">
        <w:rPr>
          <w:rFonts w:ascii="T" w:hAnsi="T" w:cs="Simplified Arabic"/>
          <w:sz w:val="24"/>
          <w:szCs w:val="24"/>
          <w:rtl/>
        </w:rPr>
        <w:t>إلى أن تقنيات إنترنت الأشياء والذكاء الاصطناعي تتيح جمع وتحليل كميات هائلة من البيانات البيئية في الوقت الفعلي، مما يعزز الشفافية بشكل غير مسبوق. أوضح الباحثون أن شبكات الاستشعار الذكية يمكنها قياس جودة الهواء والمياه ومستويات التلوث واستهلاك الطاقة والانبعاثات بشكل مستمر وآلي. يمكن لهذه البيانات أن تُتاح للجمهور عبر منصات رقمية مفتوحة، مما يمكن المواطنين من متابعة حالة البيئة في مناطقهم والمقارنة بين المناطق المختلفة. كما يمكن للصحفيين والباحثين ومنظمات المجتمع المدني استخدام هذه البيانات لمراقبة أداء الجهات المعنية ومحاسبتها</w:t>
      </w:r>
      <w:r w:rsidRPr="005D59A7">
        <w:rPr>
          <w:rFonts w:ascii="T" w:hAnsi="T" w:cs="Simplified Arabic"/>
          <w:sz w:val="24"/>
          <w:szCs w:val="24"/>
        </w:rPr>
        <w:t>.</w:t>
      </w:r>
    </w:p>
    <w:p w14:paraId="02128E2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الذكاء الاصطناعي يمكن أن يساهم في تحليل هذه البيانات الضخمة واستخراج الأنماط والاتجاهات التي قد لا تظهر بالطرق التقليدية. على سبيل المثال، يمكن لخوارزميات التعلم الآلي تحديد العلاقات بين الأنشطة الاقتصادية والتلوث، أو التنبؤ بالانبعاثات المستقبلية بناءً على البيانات التاريخية. هذه التحليلات يمكن أن تعزز الشفافية من خلال كشف العلاقات الخفية والعوامل المؤثرة في الأداء البيئي</w:t>
      </w:r>
      <w:r w:rsidRPr="005D59A7">
        <w:rPr>
          <w:rFonts w:ascii="T" w:hAnsi="T" w:cs="Simplified Arabic"/>
          <w:sz w:val="24"/>
          <w:szCs w:val="24"/>
        </w:rPr>
        <w:t>.</w:t>
      </w:r>
    </w:p>
    <w:p w14:paraId="7AB43D0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غير أن الباحثين أشاروا إلى أن التحول الرقمي يثير تحديات جديدة للشفافية، منها: ضمان دقة وموثوقية البيانات المجمعة، وحماية خصوصية الأفراد والمؤسسات، ومنع التلاعب بالبيانات أو تحريفها، وضمان أن تكون المنصات الرقمية في متناول جميع المواطنين بغض النظر عن قدراتهم التقنية. كما أشاروا إلى أن تركيز السلطة والمعلومات في أيدي عدد قليل من الشركات التقنية الكبرى قد يخلق تحديات جديدة للشفافية والمساءلة</w:t>
      </w:r>
      <w:r w:rsidRPr="005D59A7">
        <w:rPr>
          <w:rFonts w:ascii="T" w:hAnsi="T" w:cs="Simplified Arabic"/>
          <w:sz w:val="24"/>
          <w:szCs w:val="24"/>
        </w:rPr>
        <w:t>.</w:t>
      </w:r>
    </w:p>
    <w:p w14:paraId="72D1D886" w14:textId="6A18D8B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المساءلة والرقابة</w:t>
      </w:r>
    </w:p>
    <w:p w14:paraId="19D5D251"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تعد المساءلة</w:t>
      </w:r>
      <w:r w:rsidRPr="005D59A7">
        <w:rPr>
          <w:rFonts w:ascii="T" w:hAnsi="T" w:cs="Simplified Arabic"/>
          <w:sz w:val="24"/>
          <w:szCs w:val="24"/>
        </w:rPr>
        <w:t xml:space="preserve"> (Accountability) </w:t>
      </w:r>
      <w:r w:rsidRPr="005D59A7">
        <w:rPr>
          <w:rFonts w:ascii="T" w:hAnsi="T" w:cs="Simplified Arabic"/>
          <w:sz w:val="24"/>
          <w:szCs w:val="24"/>
          <w:rtl/>
        </w:rPr>
        <w:t>من المبادئ الأساسية للحوكمة البيئية، حيث تعني أن الجهات المعنية (الحكومات، الشركات، المؤسسات) يجب أن تتحمل مسؤولية أفعالها وقراراتها البيئية، وأن تخضع للمراقبة والمحاسبة من قبل الجهات المعنية (المواطنين، المجتمع المدني، السلطة القضائية، وسائل الإعلام). تشمل آليات المساءلة البيئية: أنظمة التقارير الدورية، والمراجعة المستقلة، وحق الوصول إلى العدالة، وآليات تظلم المواطنين</w:t>
      </w:r>
      <w:r w:rsidRPr="005D59A7">
        <w:rPr>
          <w:rFonts w:ascii="T" w:hAnsi="T" w:cs="Simplified Arabic"/>
          <w:sz w:val="24"/>
          <w:szCs w:val="24"/>
        </w:rPr>
        <w:t>.</w:t>
      </w:r>
    </w:p>
    <w:p w14:paraId="79042BA2"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Kloppenburg </w:t>
      </w:r>
      <w:r w:rsidRPr="005D59A7">
        <w:rPr>
          <w:rFonts w:ascii="T" w:hAnsi="T" w:cs="Simplified Arabic"/>
          <w:sz w:val="24"/>
          <w:szCs w:val="24"/>
          <w:rtl/>
        </w:rPr>
        <w:t>وآخرون (2022) إلى أن التحول الرقمي في الحوكمة البيئية يخلق فرصاً وتحديات جديدة للمساءلة. من ناحية الفرص، تتيح الأدوات الرقمية طرقاً جديدة للرصد والإبلاغ والمشاركة، مما يعزز شفافية العمليات البيئية ويسهل محاسبة الأطراف المعنية. على سبيل المثال، يمكن للمواطنين استخدام تطبيقات الهواتف الذكية للإبلاغ عن المخالفات البيئية، أو تتبع تنفيذ المشاريع البيئية، أو تقديم ملاحظاتهم على السياسات البيئية. كما يمكن لمنظمات المجتمع المدني استخدام تحليلات البيانات الضخمة لمراقبة أداء الشركات والجهات الحكومية وكشف الانتهاكات البيئية</w:t>
      </w:r>
      <w:r w:rsidRPr="005D59A7">
        <w:rPr>
          <w:rFonts w:ascii="T" w:hAnsi="T" w:cs="Simplified Arabic"/>
          <w:sz w:val="24"/>
          <w:szCs w:val="24"/>
        </w:rPr>
        <w:t>.</w:t>
      </w:r>
    </w:p>
    <w:p w14:paraId="2DE0708F"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من ناحية التحديات، أشار الباحثون إلى أن الأدوات الرقمية قد تخلق تحديات جديدة للمساءلة، منها: خصوصية وأمن البيانات البيئية، حيث قد يكشف جمع وتحليل البيانات البيئية معلومات حساسة عن الأفراد أو الشركات. كما أن تعقيد الخوارزميات والتقنيات الرقمية قد يجعل من الصعب على المواطنين العاديين فهم كيفية عملها وتقييم نزاهتها وموثوقيتها. بالإضافة إلى ذلك، قد تصبح الجهات التي تمتلك البيانات والتقنيات الرقمية (مثل شركات التكنولوجيا الكبرى) أكثر قدرة على التأثير في القرارات البيئية، مما قد يخلق تحديات جديدة للمساءلة الديمقراطية</w:t>
      </w:r>
      <w:r w:rsidRPr="005D59A7">
        <w:rPr>
          <w:rFonts w:ascii="T" w:hAnsi="T" w:cs="Simplified Arabic"/>
          <w:sz w:val="24"/>
          <w:szCs w:val="24"/>
        </w:rPr>
        <w:t>.</w:t>
      </w:r>
    </w:p>
    <w:p w14:paraId="510320BE"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أوصى الباحثون بضرورة تطوير أطر حوكمة رقمية تضم مبادئ الشفافية والمساءلة والإنصاف. هذه الأطر يجب أن تشمل آليات لضمان خصوصية وأمن البيانات، ومعايير واضحة لاستخدام الخوارزميات في اتخاذ القرارات البيئية، وآليات للمراجعة المستقلة والتظلم، وضمان وصول جميع المواطنين إلى المعلومات والأدوات الرقمية</w:t>
      </w:r>
      <w:r w:rsidRPr="005D59A7">
        <w:rPr>
          <w:rFonts w:ascii="T" w:hAnsi="T" w:cs="Simplified Arabic"/>
          <w:sz w:val="24"/>
          <w:szCs w:val="24"/>
        </w:rPr>
        <w:t>.</w:t>
      </w:r>
    </w:p>
    <w:p w14:paraId="641AC958" w14:textId="563EC570"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المشاركة والمواطنة البيئية</w:t>
      </w:r>
    </w:p>
    <w:p w14:paraId="2BD3676D"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تعد مشاركة المواطنين والمجتمع المدني من المبادئ الأساسية للحوكمة البيئية الفعالة. المشاركة تعني إشراك غير الحكومة (المواطنين، المنظمات غير الحكومية، القطاع الخاص، المؤسسات الأكاديمية) في عمليات صنع القرار البيئي وتنفيذ السياسات ومراقبة الأداء. يمكن أن تتخذ المشاركة أشكالاً متنوعة، من التشاور العام والإطلاع على المعلومات، إلى المشاركة في اللجان الاستشارية، إلى الحق في تقديم الالتماسات والطعون القانونية</w:t>
      </w:r>
      <w:r w:rsidRPr="005D59A7">
        <w:rPr>
          <w:rFonts w:ascii="T" w:hAnsi="T" w:cs="Simplified Arabic"/>
          <w:sz w:val="24"/>
          <w:szCs w:val="24"/>
        </w:rPr>
        <w:t>.</w:t>
      </w:r>
    </w:p>
    <w:p w14:paraId="1C8525B6"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w:t>
      </w:r>
      <w:proofErr w:type="spellStart"/>
      <w:r w:rsidRPr="005D59A7">
        <w:rPr>
          <w:rFonts w:ascii="T" w:hAnsi="T" w:cs="Simplified Arabic"/>
          <w:sz w:val="24"/>
          <w:szCs w:val="24"/>
        </w:rPr>
        <w:t>Newig</w:t>
      </w:r>
      <w:proofErr w:type="spellEnd"/>
      <w:r w:rsidRPr="005D59A7">
        <w:rPr>
          <w:rFonts w:ascii="T" w:hAnsi="T" w:cs="Simplified Arabic"/>
          <w:sz w:val="24"/>
          <w:szCs w:val="24"/>
        </w:rPr>
        <w:t xml:space="preserve"> </w:t>
      </w:r>
      <w:r w:rsidRPr="005D59A7">
        <w:rPr>
          <w:rFonts w:ascii="T" w:hAnsi="T" w:cs="Simplified Arabic"/>
          <w:sz w:val="24"/>
          <w:szCs w:val="24"/>
          <w:rtl/>
        </w:rPr>
        <w:t>وآخرون (2023) إلى أن مشاركة أصحاب المصلحة تعد أحد المبادئ الأساسية للحوكمة البيئية الفعالة، حيث تساهم في تحسين جودة القرارات وزيادة قبولها وتنفيذها. أوضح الباحثون، من خلال تحليل 305 دراسة حالة من مختلف دول العالم، أن مشاركة أصحاب المصلحة تؤدي إلى تحسين النتائج البيئية في حوالي 65% من الحالات. هذا التحسن يشمل جوانب متعددة: تحسين جودة القرارات البيئية (من خلال إدخال معارف وخبرات متنوعة)، وزيادة قبول القرارات (مما يسهل تنفيذها ويقلل الصراعات)، وبناء الثقة بين الأطراف المختلفة، وتعزيز التعلم والابتكار</w:t>
      </w:r>
      <w:r w:rsidRPr="005D59A7">
        <w:rPr>
          <w:rFonts w:ascii="T" w:hAnsi="T" w:cs="Simplified Arabic"/>
          <w:sz w:val="24"/>
          <w:szCs w:val="24"/>
        </w:rPr>
        <w:t>.</w:t>
      </w:r>
    </w:p>
    <w:p w14:paraId="33B9580C"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فعالية المشاركة تعتمد بشكل كبير على سياقها، حيث تكون أكثر نجاحاً عندما تتوفر عدة شروط: أن تكون المشاركة مبكرة (في مراحل صنع القرار الأولى، وليس بعد اتخاذ القرارات الرئيسية)، وأن تكون مستمرة (وليس حدثاً لمرة واحدة)، وأن تشمل جميع الأطراف ذات الصلة (وليس فقط الأطراف القوية أو ذات المصالح الواضحة). كما أن المشاركة تكون أكثر فعالية في البيئات الديمقراطية المستقرة ذات المؤسسات القوية والقدرات العالية، حيث تتوفر قنوات وآليات للمشاركة وحماية للمشاركين</w:t>
      </w:r>
      <w:r w:rsidRPr="005D59A7">
        <w:rPr>
          <w:rFonts w:ascii="T" w:hAnsi="T" w:cs="Simplified Arabic"/>
          <w:sz w:val="24"/>
          <w:szCs w:val="24"/>
        </w:rPr>
        <w:t>.</w:t>
      </w:r>
    </w:p>
    <w:p w14:paraId="3460F50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أشار الباحثون إلى أن المشاركة قد تواجه تحديات، منها: اختلاف القوى والمصالح بين الأطراف المشاركة، وصعوبة تحقيق التوازن بين الكفاءة (سرعة اتخاذ القرار) والشمولية (مشاركة الجميع)، وخطر استيلاء النخب أو </w:t>
      </w:r>
      <w:r w:rsidRPr="005D59A7">
        <w:rPr>
          <w:rFonts w:ascii="T" w:hAnsi="T" w:cs="Simplified Arabic"/>
          <w:sz w:val="24"/>
          <w:szCs w:val="24"/>
          <w:rtl/>
        </w:rPr>
        <w:lastRenderedPageBreak/>
        <w:t>المجموعات ذات المصالح الخاصة على العملية. كما أن بعض الدراسات أظهرت نتائج سلبية أو مختلطة للمشاركة، خاصة عندما تكون المشاركة شكلية (للمظهر فقط) أو متأخرة (بعد اتخاذ القرارات الرئيسية) أو تقتصر على فئات معينة (دون تمثيل مناسب لجميع الأطراف)</w:t>
      </w:r>
      <w:r w:rsidRPr="005D59A7">
        <w:rPr>
          <w:rFonts w:ascii="T" w:hAnsi="T" w:cs="Simplified Arabic"/>
          <w:sz w:val="24"/>
          <w:szCs w:val="24"/>
        </w:rPr>
        <w:t>.</w:t>
      </w:r>
    </w:p>
    <w:p w14:paraId="02D403AB"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أوصى الباحثون بضرورة تصميم عمليات مشاركة مصممة خصيصاً لكل سياق، مع التركيز على بناء الثقة وتبادل المعرفة بين الأطراف المختلفة، وتوفير الدعم الفني والمالي للمشاركين، وضمان أن تكون المشاركة حقيقية وليست شكلية. كما أوصوا بإجراء مزيد من البحوث حول آليات المشاركة الأكثر فعالية في السياقات المختلفة، وحول كيفية قياس تأثير المشاركة على النتائج البيئية</w:t>
      </w:r>
      <w:r w:rsidRPr="005D59A7">
        <w:rPr>
          <w:rFonts w:ascii="T" w:hAnsi="T" w:cs="Simplified Arabic"/>
          <w:sz w:val="24"/>
          <w:szCs w:val="24"/>
        </w:rPr>
        <w:t>.</w:t>
      </w:r>
    </w:p>
    <w:p w14:paraId="258AB03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دور الحوكمة في تحسين الأداء البيئي</w:t>
      </w:r>
    </w:p>
    <w:p w14:paraId="5495E493"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تساهم الحوكمة البيئية في تحسين الأداء البيئي من خلال عدة آليات مترابطة، منها: تعزيز الابتكار البيئي، وتحسين كفاءة استخدام الموارد، وتقليل التلوث، وتشجيع الانتقال نحو الطاقة المستدامة، وتعزيز الامتثال البيئي، وتحسين الرصد والتقييم</w:t>
      </w:r>
      <w:r w:rsidRPr="005D59A7">
        <w:rPr>
          <w:rFonts w:ascii="T" w:hAnsi="T" w:cs="Simplified Arabic"/>
          <w:sz w:val="24"/>
          <w:szCs w:val="24"/>
        </w:rPr>
        <w:t>.</w:t>
      </w:r>
    </w:p>
    <w:p w14:paraId="156EABA7" w14:textId="77777777" w:rsidR="00354F1D" w:rsidRPr="005D59A7" w:rsidRDefault="00354F1D" w:rsidP="00861DC2">
      <w:pPr>
        <w:bidi/>
        <w:spacing w:line="360" w:lineRule="auto"/>
        <w:ind w:firstLine="720"/>
        <w:jc w:val="both"/>
        <w:rPr>
          <w:rFonts w:ascii="T" w:hAnsi="T" w:cs="Simplified Arabic"/>
          <w:sz w:val="24"/>
          <w:szCs w:val="24"/>
          <w:rtl/>
        </w:rPr>
      </w:pPr>
    </w:p>
    <w:p w14:paraId="51BBEDC0" w14:textId="4129352D"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الحوكمة البيئية والابتكار الأخضر</w:t>
      </w:r>
    </w:p>
    <w:p w14:paraId="62E11BDB"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w:t>
      </w:r>
      <w:proofErr w:type="spellStart"/>
      <w:r w:rsidRPr="005D59A7">
        <w:rPr>
          <w:rFonts w:ascii="T" w:hAnsi="T" w:cs="Simplified Arabic"/>
          <w:sz w:val="24"/>
          <w:szCs w:val="24"/>
        </w:rPr>
        <w:t>Albitar</w:t>
      </w:r>
      <w:proofErr w:type="spellEnd"/>
      <w:r w:rsidRPr="005D59A7">
        <w:rPr>
          <w:rFonts w:ascii="T" w:hAnsi="T" w:cs="Simplified Arabic"/>
          <w:sz w:val="24"/>
          <w:szCs w:val="24"/>
        </w:rPr>
        <w:t xml:space="preserve"> </w:t>
      </w:r>
      <w:r w:rsidRPr="005D59A7">
        <w:rPr>
          <w:rFonts w:ascii="T" w:hAnsi="T" w:cs="Simplified Arabic"/>
          <w:sz w:val="24"/>
          <w:szCs w:val="24"/>
          <w:rtl/>
        </w:rPr>
        <w:t>وآخرون (2023) إلى أن الحوكمة البيئية تلعب دوراً تعديلياً مهماً في العلاقة بين الابتكار البيئي للأعمال وانبعاثات الكربون. أوضح الباحثون، من خلال تحليل بيانات من شركات في قطاعات متنوعة، أن أنظمة الحوكمة البيئية القوية (التي تتسم بالشفافية، والمساءلة، والامتثال، والمشاركة) تعزز من تأثير الابتكار البيئي في خفض الانبعاثات. بعبارة أخرى، الاستثمار في الابتكار البيئي (مثل تطوير تقنيات أنظف أو منتجات صديقة للبيئة) يكون أكثر فعالية في تحسين الأداء البيئي عندما تعمل الشركات في بيئات حوكمة قوية</w:t>
      </w:r>
      <w:r w:rsidRPr="005D59A7">
        <w:rPr>
          <w:rFonts w:ascii="T" w:hAnsi="T" w:cs="Simplified Arabic"/>
          <w:sz w:val="24"/>
          <w:szCs w:val="24"/>
        </w:rPr>
        <w:t>.</w:t>
      </w:r>
    </w:p>
    <w:p w14:paraId="3CF5D361"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أوضح الباحثون الآليات التي تفسر هذا التأثير المعدل. أولاً، أنظمة الحوكمة القوية تخلق ضغوطاً على الشركات للالتزام بالمعايير البيئية والشفافية في الإبلاغ عن أدائها، مما يحفزها على تحويل استثماراتها في الابتكار إلى تحسينات فعلية. ثانياً، الشفافية والمساءلة تسهل على المستثمرين والجهات التنظيمية والمجتمع المدني مراقبة </w:t>
      </w:r>
      <w:r w:rsidRPr="005D59A7">
        <w:rPr>
          <w:rFonts w:ascii="T" w:hAnsi="T" w:cs="Simplified Arabic"/>
          <w:sz w:val="24"/>
          <w:szCs w:val="24"/>
          <w:rtl/>
        </w:rPr>
        <w:lastRenderedPageBreak/>
        <w:t>أداء الشركات ومحاسبتها، مما يزيد من فعالية الابتكار البيئي. ثالثاً، المشاركة وتبادل المعرفة بين الشركات والجهات التنظيمية والجامعات تعزز من قدرة الشركات على تطوير وتطبيق ابتكارات بيئية فعالة</w:t>
      </w:r>
      <w:r w:rsidRPr="005D59A7">
        <w:rPr>
          <w:rFonts w:ascii="T" w:hAnsi="T" w:cs="Simplified Arabic"/>
          <w:sz w:val="24"/>
          <w:szCs w:val="24"/>
        </w:rPr>
        <w:t>.</w:t>
      </w:r>
    </w:p>
    <w:p w14:paraId="4B227713"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الشركات التي تعمل في بيئات حوكمة ضعيفة قد تستثمر في الابتكار البيئي بشكل رمزي أو تسويقي دون تحقيق تحسينات حقيقية في الأداء البيئي. على سبيل المثال، قد تعلن الشركة عن تطوير منتج صديق للبيئة دون تغيير عملياتها الأساسية الملوثة، أو قد تبالغ في فوائدها البيئية دون تقديم أدلة قابلة للتحقق. في غياب الشفافية والمساءلة، يصعب كشف هذه الممارسات ومحاسبة الشركات عليها</w:t>
      </w:r>
      <w:r w:rsidRPr="005D59A7">
        <w:rPr>
          <w:rFonts w:ascii="T" w:hAnsi="T" w:cs="Simplified Arabic"/>
          <w:sz w:val="24"/>
          <w:szCs w:val="24"/>
        </w:rPr>
        <w:t>.</w:t>
      </w:r>
    </w:p>
    <w:p w14:paraId="7FA6078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أوصى الباحثون بضرورة تعزيز أنظمة الحوكمة البيئية لتحقيق أقصى استفادة من الابتكار البيئي في خفض الانبعاثات وتحسين الأداء البيئي. هذه الأنظمة يجب أن تشمل معايير واضحة للإبلاغ البيئي، وآليات مستقلة للتحقق من صحة المعلومات البيئية، وعقوبات رادعة للتضليل البيئي، وحوافز للشركات التي تحقق تحسينات حقيقية في أدائها البيئي</w:t>
      </w:r>
      <w:r w:rsidRPr="005D59A7">
        <w:rPr>
          <w:rFonts w:ascii="T" w:hAnsi="T" w:cs="Simplified Arabic"/>
          <w:sz w:val="24"/>
          <w:szCs w:val="24"/>
        </w:rPr>
        <w:t>.</w:t>
      </w:r>
    </w:p>
    <w:p w14:paraId="3FBA9C97" w14:textId="64E9D0DE"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الحوكمة البيئية والانتقال الطاقي</w:t>
      </w:r>
    </w:p>
    <w:p w14:paraId="6CB4F965"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Bakhsh </w:t>
      </w:r>
      <w:r w:rsidRPr="005D59A7">
        <w:rPr>
          <w:rFonts w:ascii="T" w:hAnsi="T" w:cs="Simplified Arabic"/>
          <w:sz w:val="24"/>
          <w:szCs w:val="24"/>
          <w:rtl/>
        </w:rPr>
        <w:t>وآخرون (2024) إلى أن الحوكمة البيئية تعد عاملاً رئيسياً في تسريع الانتقال نحو الطاقة المستدامة. أوضح الباحثون، من خلال تحليل بيانات من مجموعة واسعة من الدول، أن الحوكمة البيئية الفعالة تساهم في تعزيز تأثير الاستثمار في الطاقة المتجددة على خفض الانبعاثات الكربونية. بعبارة أخرى، الاستثمار في الطاقة المتجددة (مثل طاقة الرياح والطاقة الشمسية) يكون أكثر فعالية في خفض الانبعاثات عندما يكون مصحوباً بأنظمة حوكمة بيئية قوية</w:t>
      </w:r>
      <w:r w:rsidRPr="005D59A7">
        <w:rPr>
          <w:rFonts w:ascii="T" w:hAnsi="T" w:cs="Simplified Arabic"/>
          <w:sz w:val="24"/>
          <w:szCs w:val="24"/>
        </w:rPr>
        <w:t>.</w:t>
      </w:r>
    </w:p>
    <w:p w14:paraId="5D74488B"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أوضح الباحثون أن الحوكمة البيئية تعزز الانتقال الطاقي من خلال عدة آليات. أولاً، أنظمة الحوكمة القوية توفر الاستقرار واليقين للمستثمرين في قطاع الطاقة المتجددة، من خلال وضع قواعد واضحة وطويلة الأجل، وآليات مستقلة لتسوية النزاعات، وحماية حقوق المستثمرين. هذا الاستقرار يشجع على الاستثمار في مشاريع الطاقة المتجددة الكبيرة والمكلفة التي تحتاج إلى عوائد على مدى عقود. ثانياً، الشفافية والمشاركة تسهلان بناء القبول الاجتماعي لمشاريع الطاقة المتجددة، من خلال إشراك المجتمعات المحلية في التخطيط واتخاذ القرار، وتوفير المعلومات حول الفوائد والمخاطر. ثالثاً، المساءلة والرقابة تضمن أن مشاريع الطاقة المتجددة تلتزم بالمعايير البيئية </w:t>
      </w:r>
      <w:r w:rsidRPr="005D59A7">
        <w:rPr>
          <w:rFonts w:ascii="T" w:hAnsi="T" w:cs="Simplified Arabic"/>
          <w:sz w:val="24"/>
          <w:szCs w:val="24"/>
          <w:rtl/>
        </w:rPr>
        <w:lastRenderedPageBreak/>
        <w:t>والاجتماعية، وتحد من الآثار السلبية المحتملة (مثل تأثير مزارع الرياح على الطيور أو تأثير السدود على النظم البيئية المائية)</w:t>
      </w:r>
      <w:r w:rsidRPr="005D59A7">
        <w:rPr>
          <w:rFonts w:ascii="T" w:hAnsi="T" w:cs="Simplified Arabic"/>
          <w:sz w:val="24"/>
          <w:szCs w:val="24"/>
        </w:rPr>
        <w:t>.</w:t>
      </w:r>
    </w:p>
    <w:p w14:paraId="6781B435"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العوامل الجيوسياسية والتعقيد الاقتصادي يمكن أن تعزز أو تضعف من تأثير الحوكمة البيئية. في الدول ذات التعقيد الاقتصادي المرتفع (اقتصادات متنوعة ومتقدمة)، تكون الحوكمة البيئية أكثر فعالية لأنها تتفاعل مع مؤسسات اقتصادية قوية وكوادر بشرية مؤهلة. في المقابل، في الدول ذات التعقيد الاقتصادي المنخفض (التي تعتمد على تصدير المواد الخام)، قد تكون الحوكمة البيئية أقل فعالية بسبب ضعف المؤسسات وقلة الموارد. أما العوامل الجيوسياسية، فالتوترات والصراعات قد تضعف الحوكمة البيئية من خلال تحويل الانتباه والموارد بعيداً عن البيئة، وتقويض التعاون الدولي، وزيادة عدم اليقين للمستثمرين</w:t>
      </w:r>
      <w:r w:rsidRPr="005D59A7">
        <w:rPr>
          <w:rFonts w:ascii="T" w:hAnsi="T" w:cs="Simplified Arabic"/>
          <w:sz w:val="24"/>
          <w:szCs w:val="24"/>
        </w:rPr>
        <w:t>.</w:t>
      </w:r>
    </w:p>
    <w:p w14:paraId="5AD6794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أوصى الباحثون بضرورة تعزيز أنظمة الحوكمة البيئية كجزء أساسي من استراتيجيات الانتقال الطاقي، خاصة في الدول ذات التعقيد الاقتصادي المرتفع والتوترات الجيوسياسية. كما أوصوا بضرورة التعاون الدولي لدعم بناء القدرات المؤسسية في مجال الحوكمة البيئية في الدول النامية</w:t>
      </w:r>
      <w:r w:rsidRPr="005D59A7">
        <w:rPr>
          <w:rFonts w:ascii="T" w:hAnsi="T" w:cs="Simplified Arabic"/>
          <w:sz w:val="24"/>
          <w:szCs w:val="24"/>
        </w:rPr>
        <w:t>.</w:t>
      </w:r>
    </w:p>
    <w:p w14:paraId="3AE7AD4D" w14:textId="78FEC676"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الحوكمة البيئية وكفاءة الموارد</w:t>
      </w:r>
    </w:p>
    <w:p w14:paraId="6C62EB60" w14:textId="1155C32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صالح (2024) إلى أن الحوكمة البيئية تلعب دوراً حيوياً في تحسين كفاءة استخدام الموارد الطبيعية، من خلال تعزيز الشفافية والمساءلة والمشاركة في إدارة الموارد. أوضح الباحثون أن أنظمة الحوكمة البيئية القوية تساهم في تحسين كفاءة استخدام المياه والطاقة والأراضي، وتقليل الفاقد والهدر، وزيادة إعادة التدوير والاستفادة من المخلفات</w:t>
      </w:r>
      <w:r w:rsidRPr="005D59A7">
        <w:rPr>
          <w:rFonts w:ascii="T" w:hAnsi="T" w:cs="Simplified Arabic"/>
          <w:sz w:val="24"/>
          <w:szCs w:val="24"/>
        </w:rPr>
        <w:t>.</w:t>
      </w:r>
    </w:p>
    <w:p w14:paraId="771E3634" w14:textId="222C6BA3"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 أن الحوكمة البيئية تحسن كفاءة الموارد من خلال عدة آليات. أولاً، الشفافية في الإبلاغ عن استخدام الموارد وتكاليفها تسمح بتحديد أوجه الهدر والاستخدام غير الفعال. ثانياً، المساءلة تحفز الجهات المعنية على تحسين كفاءة استخدام الموارد، حيث يمكن محاسبتها على الأداء الضعيف. ثالثاً، المشاركة تتيح تبادل المعرفة والخبرات حول أفضل الممارسات في كفاءة الموارد بين مختلف الأطراف. رابعاً، الامتثال للمعايير واللوائح يفرض حداً أدنى من كفاءة الموارد على جميع الجهات الفاعلة</w:t>
      </w:r>
      <w:r w:rsidRPr="005D59A7">
        <w:rPr>
          <w:rFonts w:ascii="T" w:hAnsi="T" w:cs="Simplified Arabic"/>
          <w:sz w:val="24"/>
          <w:szCs w:val="24"/>
        </w:rPr>
        <w:t>.</w:t>
      </w:r>
    </w:p>
    <w:p w14:paraId="269E6C29" w14:textId="1D2A1619"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أشار الباحث إلى أن تحسين كفاءة الموارد من خلال الحوكمة البيئية يساهم في تحقيق فوائد اقتصادية وبيئية متعددة. اقتصادياً، تقليل استهلاك الموارد يخفض التكاليف التشغيلية ويزيد التنافسية. بيئياً، تقليل استهلاك الموارد يقلل من الضغط على النظم البيئية ويخفض التلوث والانبعاثات. اجتماعياً، كفاءة الموارد تساهم في تحقيق الأمن المائي والغذائي والطاقي، وتحسين جودة الحياة</w:t>
      </w:r>
      <w:r w:rsidRPr="005D59A7">
        <w:rPr>
          <w:rFonts w:ascii="T" w:hAnsi="T" w:cs="Simplified Arabic"/>
          <w:sz w:val="24"/>
          <w:szCs w:val="24"/>
        </w:rPr>
        <w:t>.</w:t>
      </w:r>
    </w:p>
    <w:p w14:paraId="24E168E3"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رابعاً: التحديات التي تواجه تطبيق الحوكمة البيئية</w:t>
      </w:r>
    </w:p>
    <w:p w14:paraId="76818F73"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تواجه تطبيق الحوكمة البيئية تحديات متعددة على المستويات المحلية والوطنية والدولية، تتعلق بالتعقيد المؤسسي، وعدم اليقين، والصراعات بين المصالح، والفجوات في القدرات والموارد، والتحولات التكنولوجية السريعة، والسياقات السياسية والاقتصادية غير المستقرة</w:t>
      </w:r>
      <w:r w:rsidRPr="005D59A7">
        <w:rPr>
          <w:rFonts w:ascii="T" w:hAnsi="T" w:cs="Simplified Arabic"/>
          <w:sz w:val="24"/>
          <w:szCs w:val="24"/>
        </w:rPr>
        <w:t>.</w:t>
      </w:r>
    </w:p>
    <w:p w14:paraId="51B58D8A"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عدم اليقين والحوكمة التكيفية</w:t>
      </w:r>
    </w:p>
    <w:p w14:paraId="537C48B9" w14:textId="49708EF1"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w:t>
      </w:r>
      <w:proofErr w:type="spellStart"/>
      <w:r w:rsidR="0091720A" w:rsidRPr="005D59A7">
        <w:rPr>
          <w:rFonts w:ascii="T" w:hAnsi="T" w:cs="Simplified Arabic"/>
          <w:sz w:val="24"/>
          <w:szCs w:val="24"/>
        </w:rPr>
        <w:t>Mehta,</w:t>
      </w:r>
      <w:r w:rsidRPr="005D59A7">
        <w:rPr>
          <w:rFonts w:ascii="T" w:hAnsi="T" w:cs="Simplified Arabic"/>
          <w:sz w:val="24"/>
          <w:szCs w:val="24"/>
        </w:rPr>
        <w:t>Scoones</w:t>
      </w:r>
      <w:proofErr w:type="spellEnd"/>
      <w:r w:rsidRPr="005D59A7">
        <w:rPr>
          <w:rFonts w:ascii="T" w:hAnsi="T" w:cs="Simplified Arabic"/>
          <w:sz w:val="24"/>
          <w:szCs w:val="24"/>
        </w:rPr>
        <w:t xml:space="preserve"> (2025) </w:t>
      </w:r>
      <w:r w:rsidRPr="005D59A7">
        <w:rPr>
          <w:rFonts w:ascii="T" w:hAnsi="T" w:cs="Simplified Arabic"/>
          <w:sz w:val="24"/>
          <w:szCs w:val="24"/>
          <w:rtl/>
        </w:rPr>
        <w:t>إلى أن الحوكمة البيئية في عالم غير مؤكد تواجه تحديات كبيرة تتعلق بتغير المناخ، والأزمات الاقتصادية، والصراعات السياسية، والتحولات التكنولوجية السريعة، والجوائح الصحية. أوضح الباحثون أن هذه التحديات تتسم بدرجة عالية من عدم اليقين، حيث يصعب التنبؤ بمسارها وتوقيتها وتأثيراتها. كما أنها مترابطة، حيث يمكن لأزمة في مجال واحد (مثل جائحة صحية) أن تؤثر على مجالات أخرى (مثل الاقتصاد والبيئة)، مما يزيد من تعقيد إدارتها</w:t>
      </w:r>
      <w:r w:rsidRPr="005D59A7">
        <w:rPr>
          <w:rFonts w:ascii="T" w:hAnsi="T" w:cs="Simplified Arabic"/>
          <w:sz w:val="24"/>
          <w:szCs w:val="24"/>
        </w:rPr>
        <w:t>.</w:t>
      </w:r>
    </w:p>
    <w:p w14:paraId="07098E20" w14:textId="75BC3BE0"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عدم اليقين هذا يتطلب أنظمة حوكمة مرنة وقادرة على التكيف، تتسم بالقدرة على التعلم والتجريب والمراجعة المستمرة. الحوكمة التقليدية التي تعتمد على التخطيط طويل الأجل والتنبؤ تفترض عالماً مستقراً يمكن التنبؤ به، وهو ما لم يعد واقعياً في ظل التغيرات السريعة وغير المتوقعة. بدلاً من ذلك، هناك حاجة إلى مقاربات حوكمة تكيفية</w:t>
      </w:r>
      <w:r w:rsidR="0091720A" w:rsidRPr="005D59A7">
        <w:rPr>
          <w:rFonts w:ascii="T" w:hAnsi="T" w:cs="Simplified Arabic"/>
          <w:sz w:val="24"/>
          <w:szCs w:val="24"/>
          <w:rtl/>
        </w:rPr>
        <w:t xml:space="preserve"> </w:t>
      </w:r>
      <w:r w:rsidRPr="005D59A7">
        <w:rPr>
          <w:rFonts w:ascii="T" w:hAnsi="T" w:cs="Simplified Arabic"/>
          <w:sz w:val="24"/>
          <w:szCs w:val="24"/>
          <w:rtl/>
        </w:rPr>
        <w:t>تركز على المرونة والقدرة على التكيف والتعلم من التجارب</w:t>
      </w:r>
      <w:r w:rsidRPr="005D59A7">
        <w:rPr>
          <w:rFonts w:ascii="T" w:hAnsi="T" w:cs="Simplified Arabic"/>
          <w:sz w:val="24"/>
          <w:szCs w:val="24"/>
        </w:rPr>
        <w:t>.</w:t>
      </w:r>
    </w:p>
    <w:p w14:paraId="116B234D"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أوضح الباحثون أن الحوكمة التكيفية تتسم بعدة خصائص: أولاً، اللامركزية وتفويض السلطة إلى المستويات الأدنى التي تتمتع بمعلومات أكثر حداثة وقدرة على الاستجابة السريعة. ثانياً، التعلم المستمر من خلال المراقبة والتقييم المنتظمين، والتعديل المستمر للسياسات بناءً على ما يتم تعلمه. ثالثاً، التجريب والابتكار، من خلال اختبار حلول جديدة على نطاق صغير قبل تعميمها. رابعاً، المشاركة الواسعة، من خلال إشراك جميع </w:t>
      </w:r>
      <w:r w:rsidRPr="005D59A7">
        <w:rPr>
          <w:rFonts w:ascii="T" w:hAnsi="T" w:cs="Simplified Arabic"/>
          <w:sz w:val="24"/>
          <w:szCs w:val="24"/>
          <w:rtl/>
        </w:rPr>
        <w:lastRenderedPageBreak/>
        <w:t>أصحاب المصلحة في عمليات التعلم والتكيف. خامساً، بناء المرونة</w:t>
      </w:r>
      <w:r w:rsidRPr="005D59A7">
        <w:rPr>
          <w:rFonts w:ascii="T" w:hAnsi="T" w:cs="Simplified Arabic"/>
          <w:sz w:val="24"/>
          <w:szCs w:val="24"/>
        </w:rPr>
        <w:t xml:space="preserve"> (resilience)</w:t>
      </w:r>
      <w:r w:rsidRPr="005D59A7">
        <w:rPr>
          <w:rFonts w:ascii="T" w:hAnsi="T" w:cs="Simplified Arabic"/>
          <w:sz w:val="24"/>
          <w:szCs w:val="24"/>
          <w:rtl/>
        </w:rPr>
        <w:t>، أي القدرة على الصمود والنهوض بعد الصدمات والأزمات</w:t>
      </w:r>
      <w:r w:rsidRPr="005D59A7">
        <w:rPr>
          <w:rFonts w:ascii="T" w:hAnsi="T" w:cs="Simplified Arabic"/>
          <w:sz w:val="24"/>
          <w:szCs w:val="24"/>
        </w:rPr>
        <w:t>.</w:t>
      </w:r>
    </w:p>
    <w:p w14:paraId="6D2C65C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أوصى الباحثون بضرورة تبني مقاربات حوكمة تكيفية في مواجهة عدم اليقين، مع التركيز على بناء القدرات المؤسسية والبشرية اللازمة للتكيف والتعلم، وتعزيز المشاركة والشفافية لبناء الثقة في مواجهة عدم اليقين، وتطوير أنظمة مراقبة وتقييم تسمح بالتعلم المستمر والتعديل السريع للسياسات</w:t>
      </w:r>
      <w:r w:rsidRPr="005D59A7">
        <w:rPr>
          <w:rFonts w:ascii="T" w:hAnsi="T" w:cs="Simplified Arabic"/>
          <w:sz w:val="24"/>
          <w:szCs w:val="24"/>
        </w:rPr>
        <w:t>.</w:t>
      </w:r>
    </w:p>
    <w:p w14:paraId="0530AA04"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الفجوات في القدرات والموارد</w:t>
      </w:r>
    </w:p>
    <w:p w14:paraId="3F46AF29" w14:textId="2ACA915E"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أشار بن نواعي، </w:t>
      </w:r>
      <w:r w:rsidR="0091720A" w:rsidRPr="005D59A7">
        <w:rPr>
          <w:rFonts w:ascii="T" w:hAnsi="T" w:cs="Simplified Arabic"/>
          <w:sz w:val="24"/>
          <w:szCs w:val="24"/>
          <w:rtl/>
        </w:rPr>
        <w:t>اخرون</w:t>
      </w:r>
      <w:r w:rsidRPr="005D59A7">
        <w:rPr>
          <w:rFonts w:ascii="T" w:hAnsi="T" w:cs="Simplified Arabic"/>
          <w:sz w:val="24"/>
          <w:szCs w:val="24"/>
          <w:rtl/>
        </w:rPr>
        <w:t xml:space="preserve"> (2025) إلى أن تطبيق الحوكمة البيئية يواجه تحديات كبيرة تتعلق بضعف القدرات المؤسسية والبشرية، ومحدودية الموارد المالية والتقنية. أوضح الباحثون أن أنظمة الحوكمة البيئية تتطلب مؤسسات قوية قادرة على وضع السياسات، وتنفيذها، ومراقبة الالتزام، ومحاسبة المخالفين. كما تتطلب كوادر بشرية مؤهلة في مجالات متعددة: القانون البيئي، والاقتصاد البيئي، والهندسة البيئية، والإدارة البيئية، والاتصال والمشاركة</w:t>
      </w:r>
      <w:r w:rsidRPr="005D59A7">
        <w:rPr>
          <w:rFonts w:ascii="T" w:hAnsi="T" w:cs="Simplified Arabic"/>
          <w:sz w:val="24"/>
          <w:szCs w:val="24"/>
        </w:rPr>
        <w:t>.</w:t>
      </w:r>
    </w:p>
    <w:p w14:paraId="2EAFAAEA"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الفجوات في القدرات والموارد تؤدي إلى عدة مشكلات في تطبيق الحوكمة البيئية. أولاً، ضعف وضع السياسات البيئية: قد تكون السياسات غير واضحة أو غير قابلة للتنفيذ أو غير متسقة مع السياسات في القطاعات الأخرى. ثانياً، ضعف التنفيذ: قد لا تُنفذ السياسات بشكل فعال بسبب نقص الموارد أو الكوادر أو الإرادة السياسية. ثالثاً، ضعف المراقبة والرصد: قد لا تتم مراقبة الأداء البيئي بشكل كافٍ، مما يسمح باستمرار المخالفات دون اكتشافها. رابعاً، ضعف المحاسبة: قد لا تتم محاسبة المخالفين بسبب ضعف النظام القضائي أو الفساد أو نقص الموارد</w:t>
      </w:r>
      <w:r w:rsidRPr="005D59A7">
        <w:rPr>
          <w:rFonts w:ascii="T" w:hAnsi="T" w:cs="Simplified Arabic"/>
          <w:sz w:val="24"/>
          <w:szCs w:val="24"/>
        </w:rPr>
        <w:t>.</w:t>
      </w:r>
    </w:p>
    <w:p w14:paraId="43FF923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الباحثون أن هذه الفجوات تتفاقم في ظل التحولات السريعة والتحديات المتزايدة، حيث تزداد الحاجة إلى قدرات وموارد أكبر لمواكبة التغيرات. كما أن الفجوات في القدرات والموارد تؤدي إلى تفاوت في تطبيق الحوكمة البيئية بين المناطق والقطاعات المختلفة، حيث تتوفر القدرات والموارد بشكل أفضل في المناطق الحضرية والقطاعات الكبيرة عنها في المناطق الريفية والقطاعات الصغيرة</w:t>
      </w:r>
      <w:r w:rsidRPr="005D59A7">
        <w:rPr>
          <w:rFonts w:ascii="T" w:hAnsi="T" w:cs="Simplified Arabic"/>
          <w:sz w:val="24"/>
          <w:szCs w:val="24"/>
        </w:rPr>
        <w:t>.</w:t>
      </w:r>
    </w:p>
    <w:p w14:paraId="6D386229"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أوصى الباحثون بضرورة الاستثمار في بناء القدرات المؤسسية والبشرية لتعزيز الحوكمة البيئية. هذا يشمل تطوير برامج تدريبية للكوادر العاملة في المجال البيئي، وإنشاء وحدات متخصصة للحوكمة البيئية في المؤسسات المعنية، وتطوير أنظمة معلومات بيئية متكاملة، وتوفير التمويل الكافي لأنشطة الرصد والمراقبة والتقييم. كما أوصوا بضرورة التعاون الدولي لدعم بناء القدرات في الدول ذات الموارد المحدودة</w:t>
      </w:r>
      <w:r w:rsidRPr="005D59A7">
        <w:rPr>
          <w:rFonts w:ascii="T" w:hAnsi="T" w:cs="Simplified Arabic"/>
          <w:sz w:val="24"/>
          <w:szCs w:val="24"/>
        </w:rPr>
        <w:t>.</w:t>
      </w:r>
    </w:p>
    <w:p w14:paraId="43174DF9"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تعارض المصالح والصراعات</w:t>
      </w:r>
    </w:p>
    <w:p w14:paraId="404DA7D4" w14:textId="383785E9"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القروى (2024) إلى أن تطبيق الحوكمة البيئية في المؤسسات يواجه تحديات تتعلق بتعارض المصالح بين مختلف الأطراف المعنية. أوضح الباحثون أن هناك غالباً تعارضاً بين الأهداف الاقتصادية (الربحية، النمو، خفض التكاليف) والأهداف البيئية (حماية البيئة، خفض التلوث، الاستدامة). هذا التعارض يخلق صراعات داخل المؤسسات (بين الإدارات المختلفة) وبين المؤسسات والمجتمع المحلي والجهات التنظيمية</w:t>
      </w:r>
      <w:r w:rsidRPr="005D59A7">
        <w:rPr>
          <w:rFonts w:ascii="T" w:hAnsi="T" w:cs="Simplified Arabic"/>
          <w:sz w:val="24"/>
          <w:szCs w:val="24"/>
        </w:rPr>
        <w:t>.</w:t>
      </w:r>
    </w:p>
    <w:p w14:paraId="035C70C5" w14:textId="45190F6A"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 إلى أن تعارض المصالح يمكن أن يؤدي إلى عدة مشكلات في تطبيق الحوكمة البيئية. أولاً، ضعف الالتزام بالسياسات البيئية: قد تتردد المؤسسات في تبني سياسات بيئية صارمة خوفاً من تأثيرها السلبي على أرباحها أو قدرتها التنافسية. ثانياً، ضعف الشفافية: قد تخفي المؤسسات معلومات عن أدائها البيئي خوفاً من العقوبات أو الإضرار بسمعتها. ثالثاً، ضعف المشاركة: قد تهمش المؤسسات أصحاب المصلحة المعنيين بالبيئة (مثل المجتمعات المحلية أو المنظمات البيئية) خوفاً من أن يعيقوا أهدافها الاقتصادية</w:t>
      </w:r>
      <w:r w:rsidRPr="005D59A7">
        <w:rPr>
          <w:rFonts w:ascii="T" w:hAnsi="T" w:cs="Simplified Arabic"/>
          <w:sz w:val="24"/>
          <w:szCs w:val="24"/>
        </w:rPr>
        <w:t>.</w:t>
      </w:r>
    </w:p>
    <w:p w14:paraId="3092177F" w14:textId="6D713231"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 أن معالجة تعارض المصالح تتطلب آليات حوكمة قوية تضمن تحقيق التوازن بين الأهداف الاقتصادية والبيئية. من أهم هذه الآليات: وضع معايير واضحة لاتخاذ القرارات التي تمس البيئة، وإشراك جميع أصحاب المصلحة في عمليات صنع القرار، وإنشاء آليات مستقلة للرقابة والتظلم، وتطوير أنظمة حوافز تشجع على الالتزام البيئي، وفرض عقوبات رادعة على المخالفين</w:t>
      </w:r>
      <w:r w:rsidRPr="005D59A7">
        <w:rPr>
          <w:rFonts w:ascii="T" w:hAnsi="T" w:cs="Simplified Arabic"/>
          <w:sz w:val="24"/>
          <w:szCs w:val="24"/>
        </w:rPr>
        <w:t>.</w:t>
      </w:r>
    </w:p>
    <w:p w14:paraId="5A071F92" w14:textId="6B49B359" w:rsidR="00C57CC8" w:rsidRPr="005D59A7" w:rsidRDefault="00C57CC8" w:rsidP="00C476D6">
      <w:pPr>
        <w:pStyle w:val="Heading2"/>
        <w:bidi/>
        <w:rPr>
          <w:rFonts w:ascii="T" w:hAnsi="T" w:cs="Simplified Arabic"/>
          <w:color w:val="auto"/>
          <w:sz w:val="24"/>
          <w:szCs w:val="24"/>
          <w:rtl/>
        </w:rPr>
      </w:pPr>
      <w:bookmarkStart w:id="70" w:name="_Toc234607894"/>
      <w:r w:rsidRPr="005D59A7">
        <w:rPr>
          <w:rFonts w:ascii="T" w:hAnsi="T" w:cs="Simplified Arabic"/>
          <w:color w:val="auto"/>
          <w:sz w:val="24"/>
          <w:szCs w:val="24"/>
          <w:rtl/>
        </w:rPr>
        <w:t xml:space="preserve">المحور </w:t>
      </w:r>
      <w:r w:rsidR="0091720A" w:rsidRPr="005D59A7">
        <w:rPr>
          <w:rFonts w:ascii="T" w:hAnsi="T" w:cs="Simplified Arabic"/>
          <w:color w:val="auto"/>
          <w:sz w:val="24"/>
          <w:szCs w:val="24"/>
          <w:rtl/>
        </w:rPr>
        <w:t>الثالث</w:t>
      </w:r>
      <w:r w:rsidRPr="005D59A7">
        <w:rPr>
          <w:rFonts w:ascii="T" w:hAnsi="T" w:cs="Simplified Arabic"/>
          <w:color w:val="auto"/>
          <w:sz w:val="24"/>
          <w:szCs w:val="24"/>
          <w:rtl/>
        </w:rPr>
        <w:t>: دراسات العلاقة بين الشراكات والحوكمة</w:t>
      </w:r>
      <w:bookmarkEnd w:id="70"/>
    </w:p>
    <w:p w14:paraId="3092098C"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دراسات حول تأثير الشراكات على أنظمة الحوكمة</w:t>
      </w:r>
    </w:p>
    <w:p w14:paraId="6D851281"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تشير الأدبيات إلى أن الشراكات بين القطاعين العام والخاص تمثل تحولاً جوهرياً في طريقة إدارة وتقديم الخدمات العامة، مما يخلق تحديات جديدة لأنظمة الحوكمة التقليدية التي صممت أساساً للتعامل مع القطاع العام وحده</w:t>
      </w:r>
      <w:r w:rsidRPr="005D59A7">
        <w:rPr>
          <w:rFonts w:ascii="T" w:hAnsi="T" w:cs="Simplified Arabic"/>
          <w:sz w:val="24"/>
          <w:szCs w:val="24"/>
        </w:rPr>
        <w:t>.</w:t>
      </w:r>
    </w:p>
    <w:p w14:paraId="4F715F31" w14:textId="0D0DD609"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سعت دراسة (</w:t>
      </w:r>
      <w:r w:rsidRPr="005D59A7">
        <w:rPr>
          <w:rFonts w:ascii="T" w:hAnsi="T" w:cs="Simplified Arabic"/>
          <w:sz w:val="24"/>
          <w:szCs w:val="24"/>
        </w:rPr>
        <w:t xml:space="preserve">Hodge, Greve, &amp; </w:t>
      </w:r>
      <w:proofErr w:type="spellStart"/>
      <w:r w:rsidRPr="005D59A7">
        <w:rPr>
          <w:rFonts w:ascii="T" w:hAnsi="T" w:cs="Simplified Arabic"/>
          <w:sz w:val="24"/>
          <w:szCs w:val="24"/>
        </w:rPr>
        <w:t>Biygautane</w:t>
      </w:r>
      <w:proofErr w:type="spellEnd"/>
      <w:r w:rsidRPr="005D59A7">
        <w:rPr>
          <w:rFonts w:ascii="T" w:hAnsi="T" w:cs="Simplified Arabic"/>
          <w:sz w:val="24"/>
          <w:szCs w:val="24"/>
        </w:rPr>
        <w:t xml:space="preserve"> (2018</w:t>
      </w:r>
      <w:r w:rsidRPr="005D59A7">
        <w:rPr>
          <w:rFonts w:ascii="T" w:hAnsi="T" w:cs="Simplified Arabic"/>
          <w:sz w:val="24"/>
          <w:szCs w:val="24"/>
          <w:rtl/>
        </w:rPr>
        <w:t xml:space="preserve"> إلى تقديم إجابة شاملة على سؤال محوري: هل تنجح الشراكات بين القطاعين العام والخاص فعلاً؟ اعتمدوا على منهجية المراجعة المنهجية للأدبيات، محللين عقوداً من الدراسات النظرية والتطبيقية حول أداء الشراكات في مختلف دول العالم. توصلوا إلى أن الإجابة على هذا السؤال ليست بسيطة أو مطلقة، بل تعتمد بشكل كبير على السياق المؤسسي والسياسي والاقتصادي الذي تنفذ فيه الشراكة. أشار الباحثون إلى أن النجاح غالباً ما يُقاس بمقاييس محدودة مثل توفير التكاليف أو نقل المخاطر، بينما تُهمل أبعاد أخرى مثل الشفافية والمساءلة والقيمة الاجتماعية طويلة الأجل. كما لاحظ الباحثون وجود فجوة معرفية فيما يتعلق بكيفية تعلم المنظمات من تجاربها في الشراكات. أوصت الدراسة بضرورة تطوير أطر تقييم أكثر شمولاً تأخذ في الاعتبار الأبعاد المتعددة لأداء الشراكات، وإجراء المزيد من البحوث المقارنة بين الدول لتحديد العوامل المؤسسية والثقافية التي تؤثر على نجاح الشراكات</w:t>
      </w:r>
      <w:r w:rsidRPr="005D59A7">
        <w:rPr>
          <w:rFonts w:ascii="T" w:hAnsi="T" w:cs="Simplified Arabic"/>
          <w:sz w:val="24"/>
          <w:szCs w:val="24"/>
        </w:rPr>
        <w:t>.</w:t>
      </w:r>
    </w:p>
    <w:p w14:paraId="0BFD49B8" w14:textId="36106F6C"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ركزت دراسة </w:t>
      </w:r>
      <w:r w:rsidRPr="005D59A7">
        <w:rPr>
          <w:rFonts w:ascii="T" w:hAnsi="T" w:cs="Simplified Arabic"/>
          <w:sz w:val="24"/>
          <w:szCs w:val="24"/>
        </w:rPr>
        <w:t>Hodge &amp; Greve (2018)</w:t>
      </w:r>
      <w:r w:rsidRPr="005D59A7">
        <w:rPr>
          <w:rFonts w:ascii="T" w:hAnsi="T" w:cs="Simplified Arabic"/>
          <w:sz w:val="24"/>
          <w:szCs w:val="24"/>
          <w:rtl/>
        </w:rPr>
        <w:t xml:space="preserve"> على تطوير أجندة بحثية عالمية للشراكات بين القطاعين العام والخاص المعاصرة. اعتمدوا على مراجعة نقدية للأدبيات الحالية وتحليل للاتجاهات الناشئة في مجال أبحاث الشراكة. توصلوا إلى أن أبحاث الشراكة تحتاج إلى تجاوز الأسئلة التقليدية حول "هل تعمل الشراكة؟" إلى أسئلة أكثر تعقيداً حول "كيف ومتى ولماذا تعمل الشراكة في سياقات مختلفة؟". أشار الباحثون إلى أن أنظمة الحوكمة المؤثرة على أداء الشراكة تشمل ثلاثة مستويات مترابطة: مستوى السياسات الكلية (التي تحدد الإطار القانوني والمؤسسي العام)، ومستوى تنظيم القطاع (الذي يحدد قواعد المنافسة وحماية المستهلك)، ومستوى إدارة المشروع (الذي يشمل العقود وآليات المراقبة اليومية). كما أشاروا إلى أن نجاح الشراكات يتطلب توافقاً بين هذه المستويات الثلاثة. أوصى الباحثون بتوجيه البحوث المستقبلية نحو فهم التفاعلات بين هذه المستويات، ودور الجهات الفاعلة غير الحكومية (مثل المجتمع المدني ووسائل الإعلام) في تشكيل أداء الشراكات</w:t>
      </w:r>
      <w:r w:rsidRPr="005D59A7">
        <w:rPr>
          <w:rFonts w:ascii="T" w:hAnsi="T" w:cs="Simplified Arabic"/>
          <w:sz w:val="24"/>
          <w:szCs w:val="24"/>
        </w:rPr>
        <w:t>.</w:t>
      </w:r>
    </w:p>
    <w:p w14:paraId="2B49EF2C" w14:textId="6CC4DAC8"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أجرى </w:t>
      </w:r>
      <w:r w:rsidRPr="005D59A7">
        <w:rPr>
          <w:rFonts w:ascii="T" w:hAnsi="T" w:cs="Simplified Arabic"/>
          <w:sz w:val="24"/>
          <w:szCs w:val="24"/>
        </w:rPr>
        <w:t>Xiong, et al (2019)</w:t>
      </w:r>
      <w:r w:rsidRPr="005D59A7">
        <w:rPr>
          <w:rFonts w:ascii="T" w:hAnsi="T" w:cs="Simplified Arabic"/>
          <w:sz w:val="24"/>
          <w:szCs w:val="24"/>
          <w:rtl/>
        </w:rPr>
        <w:t xml:space="preserve"> مراجعة منهجية لأدبيات دراسات الحالة حول حوكمة الشراكات بين القطاعين العام والخاص. اعتمدوا على تحليل 87 دراسة حالة منشورة في مجلات محكمة، بهدف تحديد الأنماط المشتركة والفجوات المعرفية في هذا المجال. توصلوا إلى أن معظم دراسات الحالة ركزت على مرحلة توقيع العقد وما بعده، بينما أهملت مرحلة الإعداد والتخطيط التي تشكل الأساس لنجاح الشراكة. كما وجدوا أن الدراسات ركزت بشكل غير متناسب على مشاريع البنية التحتية الكبيرة في الدول المتقدمة، مع إهمال المشاريع الصغيرة والمتوسطة في الدول النامية. أشار الباحثون إلى أن حوكمة الشراكات تتأثر بعوامل سياقية متعددة، منها الاستقرار السياسي، وجودة المؤسسات القانونية، ومستوى الفساد، ودرجة تطور الأسواق المالية. أوصى الباحثون بضرورة إجراء المزيد من دراسات الحالة المقارنة التي تأخذ في الاعتبار هذه العوامل السياقية، وتطوير أطر نظرية أكثر حساسية للسياق في تحليل حوكمة الشراكات</w:t>
      </w:r>
      <w:r w:rsidRPr="005D59A7">
        <w:rPr>
          <w:rFonts w:ascii="T" w:hAnsi="T" w:cs="Simplified Arabic"/>
          <w:sz w:val="24"/>
          <w:szCs w:val="24"/>
        </w:rPr>
        <w:t>.</w:t>
      </w:r>
    </w:p>
    <w:p w14:paraId="34322A7A"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دراسات حول تأثير الحوكمة على تنظيم وأداء الشراكات</w:t>
      </w:r>
    </w:p>
    <w:p w14:paraId="039457CD"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تلعب الحوكمة دوراً حاسماً في تنظيم الشراكات وضمان نجاحها، من خلال وضع القواعد والمعايير التي تحكم العلاقة بين الشركاء، وتحديد آليات اتخاذ القرار، وضمان الالتزام بأهداف المصلحة العامة</w:t>
      </w:r>
      <w:r w:rsidRPr="005D59A7">
        <w:rPr>
          <w:rFonts w:ascii="T" w:hAnsi="T" w:cs="Simplified Arabic"/>
          <w:sz w:val="24"/>
          <w:szCs w:val="24"/>
        </w:rPr>
        <w:t>.</w:t>
      </w:r>
    </w:p>
    <w:p w14:paraId="6CBBC349" w14:textId="40ADE1A2"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سعى </w:t>
      </w:r>
      <w:r w:rsidRPr="005D59A7">
        <w:rPr>
          <w:rFonts w:ascii="T" w:hAnsi="T" w:cs="Simplified Arabic"/>
          <w:sz w:val="24"/>
          <w:szCs w:val="24"/>
        </w:rPr>
        <w:t>Wang ,et al (2020)</w:t>
      </w:r>
      <w:r w:rsidRPr="005D59A7">
        <w:rPr>
          <w:rFonts w:ascii="T" w:hAnsi="T" w:cs="Simplified Arabic"/>
          <w:sz w:val="24"/>
          <w:szCs w:val="24"/>
          <w:rtl/>
        </w:rPr>
        <w:t xml:space="preserve"> إلى فهم تأثير الحوكمة على تنفيذ الشراكات بين القطاعين العام والخاص من خلال مقارنة منهجية بين المملكة المتحدة والصين. اعتمدوا على تحليل مقارن لحالتين دراسيتين بارزتين من كل دولة، مع التركيز على الاختلافات في الأطر المؤسسية والقانونية والثقافية بين السياقين. توصلوا إلى أن الاختلافات في أنظمة الحوكمة بين البلدين أدت إلى اختلافات جوهرية في أداء الشراكات. ففي المملكة المتحدة، حيث النظام القانوني أكثر تطوراً وشفافية، كانت الشراكات تميل إلى تحقيق توازن أفضل بين الكفاءة الاقتصادية والمساءلة العامة. في المقابل، في الصين، حيث الدولة تلعب دوراً أكثر مركزية وتوجيهاً، كانت الشراكات تميل إلى تحقيق كفاءة أعلى في التنفيذ ولكن مع تحديات أكبر في مجال الشفافية والمساءلة. أوصى الباحثون بضرورة تصميم أطر حوكمة الشراكات بما يتناسب مع السياق المؤسسي والثقافي لكل دولة، بدلاً من محاولة نقل النماذج الناجحة من سياق إلى آخر دون تعديل</w:t>
      </w:r>
      <w:r w:rsidRPr="005D59A7">
        <w:rPr>
          <w:rFonts w:ascii="T" w:hAnsi="T" w:cs="Simplified Arabic"/>
          <w:sz w:val="24"/>
          <w:szCs w:val="24"/>
        </w:rPr>
        <w:t>.</w:t>
      </w:r>
    </w:p>
    <w:p w14:paraId="668A8767" w14:textId="49FE7252"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ركز </w:t>
      </w:r>
      <w:r w:rsidR="00852494" w:rsidRPr="005D59A7">
        <w:rPr>
          <w:rFonts w:ascii="T" w:hAnsi="T" w:cs="Simplified Arabic"/>
          <w:sz w:val="24"/>
          <w:szCs w:val="24"/>
        </w:rPr>
        <w:t>Song &amp; Hao (2023)</w:t>
      </w:r>
      <w:r w:rsidR="00852494" w:rsidRPr="005D59A7">
        <w:rPr>
          <w:rFonts w:ascii="T" w:hAnsi="T" w:cs="Simplified Arabic"/>
          <w:sz w:val="24"/>
          <w:szCs w:val="24"/>
          <w:rtl/>
        </w:rPr>
        <w:t xml:space="preserve"> </w:t>
      </w:r>
      <w:r w:rsidRPr="005D59A7">
        <w:rPr>
          <w:rFonts w:ascii="T" w:hAnsi="T" w:cs="Simplified Arabic"/>
          <w:sz w:val="24"/>
          <w:szCs w:val="24"/>
          <w:rtl/>
        </w:rPr>
        <w:t>على تأثير آليات حوكمة المشروع على التنمية المستدامة لمشاريع الشراكات بين القطاعين العام والخاص. اعتمدوا على منهجية كمية، حيث قاموا بتحليل بيانات من 312 مشروع شراكة باستخدام نمذجة المعادلات الهيكلية</w:t>
      </w:r>
      <w:r w:rsidRPr="005D59A7">
        <w:rPr>
          <w:rFonts w:ascii="T" w:hAnsi="T" w:cs="Simplified Arabic"/>
          <w:sz w:val="24"/>
          <w:szCs w:val="24"/>
        </w:rPr>
        <w:t xml:space="preserve"> (SEM). </w:t>
      </w:r>
      <w:r w:rsidRPr="005D59A7">
        <w:rPr>
          <w:rFonts w:ascii="T" w:hAnsi="T" w:cs="Simplified Arabic"/>
          <w:sz w:val="24"/>
          <w:szCs w:val="24"/>
          <w:rtl/>
        </w:rPr>
        <w:t>توصلوا إلى أن آليات حوكمة المشروع تؤثر بشكل إيجابي على الاستدامة الاقتصادية (من خلال خفض التكاليف وزيادة الكفاءة)، والاستدامة البيئية (من خلال الالتزام بالمعايير البيئية)، والاستدامة الاجتماعية (من خلال إشراك المجتمع المحلي ومراعاة احتياجاته). أشار الباحثون إلى أن آليات الحوكمة الأكثر فعالية تشمل: وضوح الأدوار والمسؤوليات، وآليات الرصد والتقييم المستمر، وإشراك أصحاب المصلحة في اتخاذ القرار، وآليات حل النزاعات السريعة والشفافة. كما وجدوا أن فعالية هذه الآليات تعتمد على قدرة أطراف الشراكة على بناء الثقة والتعاون المستدام. أوصى الباحثون بضرورة إدراج أهداف الاستدامة كأساس لتصميم آليات حوكمة مشاريع الشراكة، وليس كأهداف إضافية أو ثانوية</w:t>
      </w:r>
      <w:r w:rsidRPr="005D59A7">
        <w:rPr>
          <w:rFonts w:ascii="T" w:hAnsi="T" w:cs="Simplified Arabic"/>
          <w:sz w:val="24"/>
          <w:szCs w:val="24"/>
        </w:rPr>
        <w:t>.</w:t>
      </w:r>
    </w:p>
    <w:p w14:paraId="02470BF4" w14:textId="29333846"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بحث </w:t>
      </w:r>
      <w:r w:rsidR="00852494" w:rsidRPr="005D59A7">
        <w:rPr>
          <w:rFonts w:ascii="T" w:hAnsi="T" w:cs="Simplified Arabic"/>
          <w:sz w:val="24"/>
          <w:szCs w:val="24"/>
        </w:rPr>
        <w:t xml:space="preserve"> Zhang et al. (</w:t>
      </w:r>
      <w:proofErr w:type="gramStart"/>
      <w:r w:rsidR="00852494" w:rsidRPr="005D59A7">
        <w:rPr>
          <w:rFonts w:ascii="T" w:hAnsi="T" w:cs="Simplified Arabic"/>
          <w:sz w:val="24"/>
          <w:szCs w:val="24"/>
        </w:rPr>
        <w:t>2020)</w:t>
      </w:r>
      <w:r w:rsidRPr="005D59A7">
        <w:rPr>
          <w:rFonts w:ascii="T" w:hAnsi="T" w:cs="Simplified Arabic"/>
          <w:sz w:val="24"/>
          <w:szCs w:val="24"/>
          <w:rtl/>
        </w:rPr>
        <w:t>في</w:t>
      </w:r>
      <w:proofErr w:type="gramEnd"/>
      <w:r w:rsidRPr="005D59A7">
        <w:rPr>
          <w:rFonts w:ascii="T" w:hAnsi="T" w:cs="Simplified Arabic"/>
          <w:sz w:val="24"/>
          <w:szCs w:val="24"/>
          <w:rtl/>
        </w:rPr>
        <w:t xml:space="preserve"> دور الشراكات بين القطاعين العام والخاص كاستجابة حوكمة للتوسع الحضري المستدام، مستخلصين الدروس من التجارب الصينية. اعتمدوا على منهجية دراسة الحالة المتعددة، محللين خمسة مشاريع شراكة في قطاعات مختلفة (النقل، الطاقة، معالجة المياه، والإسكان) في مدن صينية كبرى. توصلوا إلى أن الشراكات ساهمت بشكل كبير في تسريع وتيرة التوسع الحضري وتحسين جودة البنية التحتية، لكنها واجهت تحديات في تحقيق الاستدامة الاجتماعية والبيئية. أشار الباحثون إلى أن هذه التحديات تعود أساساً إلى ضعف آليات المشاركة المجتمعية والشفافية في بعض المشاريع، مما أدى إلى نزاعات مع المجتمعات المحلية وتأثيرات بيئية سلبية لم تؤخذ في الاعتبار بشكل كافٍ في مرحلة التخطيط. أوصى الباحثون بضرورة تعزيز أطر الحوكمة التي تضمن إشراك المجتمع المحلي في مراحل التخطيط والتنفيذ والتشغيل، وإجراء تقييمات أثر بيئي واجتماعي شفافة ومستقلة قبل الموافقة على مشاريع الشراكة</w:t>
      </w:r>
      <w:r w:rsidRPr="005D59A7">
        <w:rPr>
          <w:rFonts w:ascii="T" w:hAnsi="T" w:cs="Simplified Arabic"/>
          <w:sz w:val="24"/>
          <w:szCs w:val="24"/>
        </w:rPr>
        <w:t>.</w:t>
      </w:r>
    </w:p>
    <w:p w14:paraId="0C50B20A"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تساهم الحوكمة الفعالة بشكل كبير في تحديد وتقييم وتوزيع ومراقبة المخاطر المرتبطة بالشراكات بين القطاعين العام والخاص. تتنوع هذه المخاطر بين المالية والتشغيلية والقانونية والسياسية والبيئية، وإدارتها بشكل فعال تعد شرطاً أساسياً لنجاح الشراكة</w:t>
      </w:r>
      <w:r w:rsidRPr="005D59A7">
        <w:rPr>
          <w:rFonts w:ascii="T" w:hAnsi="T" w:cs="Simplified Arabic"/>
          <w:sz w:val="24"/>
          <w:szCs w:val="24"/>
        </w:rPr>
        <w:t>.</w:t>
      </w:r>
    </w:p>
    <w:p w14:paraId="012A91AB" w14:textId="7E44417C"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ركز </w:t>
      </w:r>
      <w:r w:rsidR="00875F77" w:rsidRPr="005D59A7">
        <w:rPr>
          <w:rFonts w:ascii="T" w:hAnsi="T" w:cs="Simplified Arabic"/>
          <w:sz w:val="24"/>
          <w:szCs w:val="24"/>
        </w:rPr>
        <w:t>Flyvbjerg (2014)</w:t>
      </w:r>
      <w:r w:rsidRPr="005D59A7">
        <w:rPr>
          <w:rFonts w:ascii="T" w:hAnsi="T" w:cs="Simplified Arabic"/>
          <w:sz w:val="24"/>
          <w:szCs w:val="24"/>
          <w:rtl/>
        </w:rPr>
        <w:t>على تحليل المخاطر المرتبطة بالمشاريع الكبرى، والتي تشكل جزءاً كبيراً من مشاريع الشراكة بين القطاعين العام والخاص. اعتمد على تحليل بيانات من أكثر من 2,000 مشروع كبير حول العالم، مستخدماً أساليب إحصائية لقياس الفجوة بين التقديرات الأولية والتكاليف الفعلية والفوائد المحققة. توصل الباحث إلى أن المشاريع الكبرى تعاني بشكل منهجي من ثلاث مشكلات مترابطة: تفاؤل غير واقعي في تقدير التكاليف والفوائد</w:t>
      </w:r>
      <w:r w:rsidRPr="005D59A7">
        <w:rPr>
          <w:rFonts w:ascii="T" w:hAnsi="T" w:cs="Simplified Arabic"/>
          <w:sz w:val="24"/>
          <w:szCs w:val="24"/>
        </w:rPr>
        <w:t xml:space="preserve"> (Optimism Bias)</w:t>
      </w:r>
      <w:r w:rsidRPr="005D59A7">
        <w:rPr>
          <w:rFonts w:ascii="T" w:hAnsi="T" w:cs="Simplified Arabic"/>
          <w:sz w:val="24"/>
          <w:szCs w:val="24"/>
          <w:rtl/>
        </w:rPr>
        <w:t>، وتلاعب استراتيجي بالمعلومات من قبل أصحاب المصلحة</w:t>
      </w:r>
      <w:r w:rsidRPr="005D59A7">
        <w:rPr>
          <w:rFonts w:ascii="T" w:hAnsi="T" w:cs="Simplified Arabic"/>
          <w:sz w:val="24"/>
          <w:szCs w:val="24"/>
        </w:rPr>
        <w:t xml:space="preserve"> (Strategic Misrepresentation)</w:t>
      </w:r>
      <w:r w:rsidRPr="005D59A7">
        <w:rPr>
          <w:rFonts w:ascii="T" w:hAnsi="T" w:cs="Simplified Arabic"/>
          <w:sz w:val="24"/>
          <w:szCs w:val="24"/>
          <w:rtl/>
        </w:rPr>
        <w:t>، وضعف آليات الرقابة والمساءلة. أشار الباحث إلى أن هذه المشكلات تؤدي إلى تجاوز التكاليف بنسبة تتراوح بين 50-100% في المتوسط، وتأخير التسليم بنسبة 30-50%، وضعف العوائد بشكل كبير عن التوقعات. أوصى الباحث بضرورة اعتماد آليات حوكمة رادعة، منها: المراجعة المستقلة لتقديرات التكاليف والفوائد قبل الموافقة على المشاريع، والشفافية الكاملة في عملية اتخاذ القرار، ومحاسبة المسؤولين عن التقديرات غير الواقعية</w:t>
      </w:r>
      <w:r w:rsidRPr="005D59A7">
        <w:rPr>
          <w:rFonts w:ascii="T" w:hAnsi="T" w:cs="Simplified Arabic"/>
          <w:sz w:val="24"/>
          <w:szCs w:val="24"/>
        </w:rPr>
        <w:t>.</w:t>
      </w:r>
    </w:p>
    <w:p w14:paraId="3E6EA8B4" w14:textId="7DE6D48B"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أجرى</w:t>
      </w:r>
      <w:r w:rsidR="00875F77" w:rsidRPr="005D59A7">
        <w:rPr>
          <w:rFonts w:ascii="T" w:hAnsi="T" w:cs="Simplified Arabic"/>
          <w:sz w:val="24"/>
          <w:szCs w:val="24"/>
        </w:rPr>
        <w:t xml:space="preserve"> Roehrich, et al (2014)</w:t>
      </w:r>
      <w:r w:rsidRPr="005D59A7">
        <w:rPr>
          <w:rFonts w:ascii="T" w:hAnsi="T" w:cs="Simplified Arabic"/>
          <w:sz w:val="24"/>
          <w:szCs w:val="24"/>
          <w:rtl/>
        </w:rPr>
        <w:t xml:space="preserve">مراجعة منهجية للأدبيات حول الشراكات بين القطاعين العام والخاص في قطاع الصحة، بهدف تقييم ما إذا كانت هذه الشراكات خياراً صحياً فعلاً. اعتمدوا على تحليل 129 دراسة منشورة في مجلات محكمة، مع التركيز على أربعة محاور: الأداء، والحوكمة، والشفافية، والمساءلة. توصلوا إلى أن الشراكات في قطاع الصحة حققت نجاحاً في تسريع بناء وتجهيز المرافق الصحية، لكنها واجهت تحديات في الحفاظ على جودة الخدمات الصحية وتكاليفها على المدى الطويل. أشار الباحثون إلى أن الشفافية المحدودة في عقود الشراكة (خاصة </w:t>
      </w:r>
      <w:r w:rsidR="005E42AD" w:rsidRPr="005D59A7">
        <w:rPr>
          <w:rFonts w:ascii="T" w:hAnsi="T" w:cs="Simplified Arabic"/>
          <w:sz w:val="24"/>
          <w:szCs w:val="24"/>
          <w:rtl/>
        </w:rPr>
        <w:t>فيما</w:t>
      </w:r>
      <w:r w:rsidRPr="005D59A7">
        <w:rPr>
          <w:rFonts w:ascii="T" w:hAnsi="T" w:cs="Simplified Arabic"/>
          <w:sz w:val="24"/>
          <w:szCs w:val="24"/>
          <w:rtl/>
        </w:rPr>
        <w:t xml:space="preserve"> يتعلق بتكاليف التشغيل والصيانة طويلة الأجل) كانت من أهم أسباب هذه التحديات. كما وجدوا أن ضعف آليات المساءلة أدى في بعض الحالات إلى تفضيل المصالح التجارية للشركاء الخاصين على حساب المصلحة العامة. أوصى الباحثون بضرورة تعزيز متطلبات الشفافية في عقود الشراكة في قطاع الصحة، بما يشمل نشر بنود العقود المتعلقة بالتكاليف ومعايير الجودة وآليات مراجعة الأسعار، وإنشاء آليات مستقلة لمراقبة أداء الشركاء الخاصين وحماية حقوق المرضى والمستفيدين</w:t>
      </w:r>
      <w:r w:rsidRPr="005D59A7">
        <w:rPr>
          <w:rFonts w:ascii="T" w:hAnsi="T" w:cs="Simplified Arabic"/>
          <w:sz w:val="24"/>
          <w:szCs w:val="24"/>
        </w:rPr>
        <w:t>.</w:t>
      </w:r>
    </w:p>
    <w:p w14:paraId="6F61B56D" w14:textId="439D8CDC" w:rsidR="00C57CC8" w:rsidRPr="005D59A7" w:rsidRDefault="00C57CC8" w:rsidP="00C476D6">
      <w:pPr>
        <w:pStyle w:val="Heading2"/>
        <w:bidi/>
        <w:rPr>
          <w:rFonts w:ascii="T" w:hAnsi="T" w:cs="Simplified Arabic"/>
          <w:color w:val="auto"/>
          <w:sz w:val="24"/>
          <w:szCs w:val="24"/>
          <w:rtl/>
        </w:rPr>
      </w:pPr>
      <w:bookmarkStart w:id="71" w:name="_Toc234607895"/>
      <w:r w:rsidRPr="005D59A7">
        <w:rPr>
          <w:rFonts w:ascii="T" w:hAnsi="T" w:cs="Simplified Arabic"/>
          <w:color w:val="auto"/>
          <w:sz w:val="24"/>
          <w:szCs w:val="24"/>
          <w:rtl/>
        </w:rPr>
        <w:t>المحور ال</w:t>
      </w:r>
      <w:r w:rsidR="00795AA3" w:rsidRPr="005D59A7">
        <w:rPr>
          <w:rFonts w:ascii="T" w:hAnsi="T" w:cs="Simplified Arabic"/>
          <w:color w:val="auto"/>
          <w:sz w:val="24"/>
          <w:szCs w:val="24"/>
          <w:rtl/>
        </w:rPr>
        <w:t>رابع</w:t>
      </w:r>
      <w:r w:rsidRPr="005D59A7">
        <w:rPr>
          <w:rFonts w:ascii="T" w:hAnsi="T" w:cs="Simplified Arabic"/>
          <w:color w:val="auto"/>
          <w:sz w:val="24"/>
          <w:szCs w:val="24"/>
          <w:rtl/>
        </w:rPr>
        <w:t>: دراسات العلاقة بين الحوكمة وإدارة الأداء</w:t>
      </w:r>
      <w:bookmarkEnd w:id="71"/>
    </w:p>
    <w:p w14:paraId="0459104F"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دراسات حول تأثير الحوكمة على تحسين الأداء المؤسسي</w:t>
      </w:r>
    </w:p>
    <w:p w14:paraId="67D36BB5"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تعتبر العلاقة بين الحوكمة وإدارة الأداء من المحاور الأساسية في الأدبيات الإدارية المعاصرة، حيث تشير الدراسات إلى أن تطبيق مبادئ الحوكمة الجيدة (الشفافية، المساءلة، المشاركة، سيادة القانون) يساهم بشكل كبير في تحسين الأداء المؤسسي على المستويات المالية والتشغيلية والاستراتيجية</w:t>
      </w:r>
      <w:r w:rsidRPr="005D59A7">
        <w:rPr>
          <w:rFonts w:ascii="T" w:hAnsi="T" w:cs="Simplified Arabic"/>
          <w:sz w:val="24"/>
          <w:szCs w:val="24"/>
        </w:rPr>
        <w:t>.</w:t>
      </w:r>
    </w:p>
    <w:p w14:paraId="104DE4C9" w14:textId="7EA5C526"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سعى </w:t>
      </w:r>
      <w:r w:rsidRPr="005D59A7">
        <w:rPr>
          <w:rFonts w:ascii="T" w:hAnsi="T" w:cs="Simplified Arabic"/>
          <w:sz w:val="24"/>
          <w:szCs w:val="24"/>
        </w:rPr>
        <w:t xml:space="preserve">  Waardenburg, et al (2025)</w:t>
      </w:r>
      <w:r w:rsidRPr="005D59A7">
        <w:rPr>
          <w:rFonts w:ascii="T" w:hAnsi="T" w:cs="Simplified Arabic"/>
          <w:sz w:val="24"/>
          <w:szCs w:val="24"/>
          <w:rtl/>
        </w:rPr>
        <w:t>إلى تقديم مراجعة شاملة للأدبيات حول إدارة الأداء في الحوكمة التعاونية، وتوليف التحديات الرئيسية التي تواجه تطبيقها. اعتمدوا على مراجعة منهجية لـ 150 دراسة منشورة في مجلات محكمة خلال العقدين الماضيين، مع التركيز على السياقات التي تجمع بين قطاعات متعددة (حكومية، خاصة، غير ربحية). توصلوا إلى أن إدارة الأداء في الحوكمة التعاونية تواجه ثلاثة تحديات رئيسية: أولاً، تحديات القياس</w:t>
      </w:r>
      <w:r w:rsidRPr="005D59A7">
        <w:rPr>
          <w:rFonts w:ascii="T" w:hAnsi="T" w:cs="Simplified Arabic"/>
          <w:sz w:val="24"/>
          <w:szCs w:val="24"/>
        </w:rPr>
        <w:t xml:space="preserve"> (Measurement Challenges)</w:t>
      </w:r>
      <w:r w:rsidRPr="005D59A7">
        <w:rPr>
          <w:rFonts w:ascii="T" w:hAnsi="T" w:cs="Simplified Arabic"/>
          <w:sz w:val="24"/>
          <w:szCs w:val="24"/>
          <w:rtl/>
        </w:rPr>
        <w:t>، حيث يصعب قياس أداء الشراكات بسبب تعدد الأهداف وتضاربها أحياناً، وعدم توافق أنظمة القياس بين الشركاء. ثانياً، تحديات المساءلة</w:t>
      </w:r>
      <w:r w:rsidRPr="005D59A7">
        <w:rPr>
          <w:rFonts w:ascii="T" w:hAnsi="T" w:cs="Simplified Arabic"/>
          <w:sz w:val="24"/>
          <w:szCs w:val="24"/>
        </w:rPr>
        <w:t xml:space="preserve"> (Accountability Challenges)</w:t>
      </w:r>
      <w:r w:rsidRPr="005D59A7">
        <w:rPr>
          <w:rFonts w:ascii="T" w:hAnsi="T" w:cs="Simplified Arabic"/>
          <w:sz w:val="24"/>
          <w:szCs w:val="24"/>
          <w:rtl/>
        </w:rPr>
        <w:t>، حيث يصعب تحديد من المسؤول عن ماذا في ظل توزيع المسؤوليات بين شركاء متعددين. ثالثاً، تحديات التعلم</w:t>
      </w:r>
      <w:r w:rsidRPr="005D59A7">
        <w:rPr>
          <w:rFonts w:ascii="T" w:hAnsi="T" w:cs="Simplified Arabic"/>
          <w:sz w:val="24"/>
          <w:szCs w:val="24"/>
        </w:rPr>
        <w:t xml:space="preserve"> (Learning Challenges)</w:t>
      </w:r>
      <w:r w:rsidRPr="005D59A7">
        <w:rPr>
          <w:rFonts w:ascii="T" w:hAnsi="T" w:cs="Simplified Arabic"/>
          <w:sz w:val="24"/>
          <w:szCs w:val="24"/>
          <w:rtl/>
        </w:rPr>
        <w:t>، حيث يصعب تحويل نتائج تقييم الأداء إلى تحسينات فعلية في الأداء بسبب تعقيد العلاقات وتباين قدرات الشركاء على التعلم والتكيف. أوصى الباحثون بضرورة تطوير أنظمة إدارة أداء مصممة خصيصاً للحوكمة التعاونية، تتسم بالمرونة الكافية لاستيعاب تعدد الأهداف والشركاء، وتشمل آليات للمساءلة المتبادلة والتعلم الجماعي</w:t>
      </w:r>
      <w:r w:rsidRPr="005D59A7">
        <w:rPr>
          <w:rFonts w:ascii="T" w:hAnsi="T" w:cs="Simplified Arabic"/>
          <w:sz w:val="24"/>
          <w:szCs w:val="24"/>
        </w:rPr>
        <w:t>.</w:t>
      </w:r>
    </w:p>
    <w:p w14:paraId="22E7CF9F" w14:textId="427ED8D3"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Biondi &amp; Russo (2022)</w:t>
      </w:r>
      <w:r w:rsidRPr="005D59A7">
        <w:rPr>
          <w:rFonts w:ascii="T" w:hAnsi="T" w:cs="Simplified Arabic"/>
          <w:sz w:val="24"/>
          <w:szCs w:val="24"/>
          <w:rtl/>
        </w:rPr>
        <w:t>كيفية دمج التخطيط الاستراتيجي وإدارة الأداء في الجامعات، من خلال دراسة حالات متعددة. اعتمدوا على منهجية دراسة الحالة المقارنة، محللين أربع جامعات أوروبية طبقت أنظمة متكاملة للتخطيط الاستراتيجي وإدارة الأداء. توصلوا إلى أن دمج التخطيط الاستراتيجي مع إدارة الأداء يحقق فوائد كبيرة، منها: تحسين تخصيص الموارد بناءً على الأولويات الاستراتيجية، وزيادة الشفافية في تقييم الأداء، وتعزيز المساءلة على جميع المستويات. كما وجدوا أن نجاح هذا الدمج يعتمد على عدة عوامل: دعم القيادة العليا، وإشراك جميع أصحاب المصلحة في تصميم النظام، وتوفير التدريب اللازم للكوادر، وربط نتائج تقييم الأداء بالمكافآت والتطوير المهني. أشار الباحثون إلى أن غياب هذه العوامل يؤدي إلى فشل أنظمة إدارة الأداء، حيث تصبح شكلية أو موسمية دون تأثير حقيقي على الأداء. أوصى الباحثون بضرورة تصميم أنظمة إدارة أداء متكاملة تبدأ من التخطيط الاستراتيجي وتنتهي بتقييم النتائج وربطها بالتطوير المؤسسي</w:t>
      </w:r>
      <w:r w:rsidRPr="005D59A7">
        <w:rPr>
          <w:rFonts w:ascii="T" w:hAnsi="T" w:cs="Simplified Arabic"/>
          <w:sz w:val="24"/>
          <w:szCs w:val="24"/>
        </w:rPr>
        <w:t>.</w:t>
      </w:r>
    </w:p>
    <w:p w14:paraId="3284CAEC" w14:textId="18492E53"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بحث </w:t>
      </w:r>
      <w:r w:rsidRPr="005D59A7">
        <w:rPr>
          <w:rFonts w:ascii="T" w:hAnsi="T" w:cs="Simplified Arabic"/>
          <w:sz w:val="24"/>
          <w:szCs w:val="24"/>
        </w:rPr>
        <w:t xml:space="preserve"> Kaunda &amp; Pelser (2023)</w:t>
      </w:r>
      <w:r w:rsidRPr="005D59A7">
        <w:rPr>
          <w:rFonts w:ascii="T" w:hAnsi="T" w:cs="Simplified Arabic"/>
          <w:sz w:val="24"/>
          <w:szCs w:val="24"/>
          <w:rtl/>
        </w:rPr>
        <w:t>في العلاقة بين حوكمة الشركات وأداء المؤسسات المملوكة للدولة في اقتصاد نامٍ. اعتمدوا على منهجية كمية، حيث قاموا بتحليل بيانات من 45 مؤسسة مملوكة للدولة، باستخدام تحليل الانحدار المتعدد. توصلوا إلى أن هناك علاقة إيجابية قوية بين تطبيق مبادئ الحوكمة الجيدة (شفافية، مساءلة، استقلالية مجلس الإدارة) وأداء المؤسسات (مقاسة بالعائد على الأصول، والعائد على حقوق الملكية، والكفاءة التشغيلية). كما وجدوا أن أبعاد الحوكمة الأكثر تأثيراً على الأداء هي استقلالية مجلس الإدارة ووجود لجان تدقيق فعالة وشفافية الإفصاح المالي. أشار الباحثون إلى أن ضعف الحوكمة في المؤسسات المملوكة للدولة كان سبباً رئيسياً في ضعف أدائها، وارتفاع تكاليفها، وهدر الموارد العامة. أوصى الباحثون بضرورة تطبيق مبادئ الحوكمة الجيدة في المؤسسات المملوكة للدولة بنفس الصرامة المطبقة في الشركات الخاصة، مع تعزيز استقلالية مجالس الإدارة وآليات الرقابة الداخلية والخارجية</w:t>
      </w:r>
      <w:r w:rsidRPr="005D59A7">
        <w:rPr>
          <w:rFonts w:ascii="T" w:hAnsi="T" w:cs="Simplified Arabic"/>
          <w:sz w:val="24"/>
          <w:szCs w:val="24"/>
        </w:rPr>
        <w:t>.</w:t>
      </w:r>
    </w:p>
    <w:p w14:paraId="0BFEFC0B"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دراسات حول العلاقة بين الرقابة والنتائج المؤسسية</w:t>
      </w:r>
    </w:p>
    <w:p w14:paraId="5017FC19"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تشير الأدبيات إلى وجود علاقة قوية بين فعالية أنظمة الرقابة الداخلية والخارجية وجودة النتائج المؤسسية. فالرقابة ليست غاية في حد ذاتها، بل وسيلة لتحسين الأداء وضمان الامتثال وتحقيق الأهداف الاستراتيجية</w:t>
      </w:r>
      <w:r w:rsidRPr="005D59A7">
        <w:rPr>
          <w:rFonts w:ascii="T" w:hAnsi="T" w:cs="Simplified Arabic"/>
          <w:sz w:val="24"/>
          <w:szCs w:val="24"/>
        </w:rPr>
        <w:t>.</w:t>
      </w:r>
    </w:p>
    <w:p w14:paraId="368866EC" w14:textId="2974FF3A"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xml:space="preserve"> Atmaja, et al. (</w:t>
      </w:r>
      <w:proofErr w:type="gramStart"/>
      <w:r w:rsidRPr="005D59A7">
        <w:rPr>
          <w:rFonts w:ascii="T" w:hAnsi="T" w:cs="Simplified Arabic"/>
          <w:sz w:val="24"/>
          <w:szCs w:val="24"/>
        </w:rPr>
        <w:t>2022)</w:t>
      </w:r>
      <w:r w:rsidRPr="005D59A7">
        <w:rPr>
          <w:rFonts w:ascii="T" w:hAnsi="T" w:cs="Simplified Arabic"/>
          <w:sz w:val="24"/>
          <w:szCs w:val="24"/>
          <w:rtl/>
        </w:rPr>
        <w:t>تفعيل</w:t>
      </w:r>
      <w:proofErr w:type="gramEnd"/>
      <w:r w:rsidRPr="005D59A7">
        <w:rPr>
          <w:rFonts w:ascii="T" w:hAnsi="T" w:cs="Simplified Arabic"/>
          <w:sz w:val="24"/>
          <w:szCs w:val="24"/>
          <w:rtl/>
        </w:rPr>
        <w:t xml:space="preserve"> نماذج إدارة الأداء لتطوير جودة الموارد البشرية والإمكانات الاقتصادية وسياسات الحوكمة المالية. اعتمدوا على منهجية بحث إجرائي</w:t>
      </w:r>
      <w:r w:rsidRPr="005D59A7">
        <w:rPr>
          <w:rFonts w:ascii="T" w:hAnsi="T" w:cs="Simplified Arabic"/>
          <w:sz w:val="24"/>
          <w:szCs w:val="24"/>
        </w:rPr>
        <w:t xml:space="preserve"> (Action Research) </w:t>
      </w:r>
      <w:r w:rsidRPr="005D59A7">
        <w:rPr>
          <w:rFonts w:ascii="T" w:hAnsi="T" w:cs="Simplified Arabic"/>
          <w:sz w:val="24"/>
          <w:szCs w:val="24"/>
          <w:rtl/>
        </w:rPr>
        <w:t>في وزارة التعليم، حيث قاموا بتطبيق نموذج مقترح لإدارة الأداء على مدى 18 شهراً وتقييم نتائجه. توصلوا إلى أن تطبيق نموذج منظم لإدارة الأداء أدى إلى تحسينات ملموسة في جودة الموارد البشرية (من خلال ربط التدريب والتطوير بفجوات الأداء)، وفي الإمكانات الاقتصادية (من خلال تحسين كفاءة استخدام الموارد)، وفي سياسات الحوكمة المالية (من خلال تعزيز الشفافية والمساءلة في الإنفاق). أشار الباحثون إلى أن نجاح تطبيق نموذج إدارة الأداء يعتمد على: وضوح الأهداف والمؤشرات، ومشاركة جميع المستويات في التصميم والتنفيذ، وتوفير أنظمة معلومات متكاملة لدعم عملية التقييم، وربط نتائج التقييم بالقرارات (مكافآت، ترقيات، تطوير). أوصى الباحثون بضرورة اعتماد نماذج إدارة أداء متكاملة تشمل الأبعاد المالية والتشغيلية والبشرية، مع التركيز على التحسين المستمر وليس فقط على الرقابة والمحاسبة</w:t>
      </w:r>
      <w:r w:rsidRPr="005D59A7">
        <w:rPr>
          <w:rFonts w:ascii="T" w:hAnsi="T" w:cs="Simplified Arabic"/>
          <w:sz w:val="24"/>
          <w:szCs w:val="24"/>
        </w:rPr>
        <w:t>.</w:t>
      </w:r>
    </w:p>
    <w:p w14:paraId="22584478" w14:textId="79404CA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بحث </w:t>
      </w:r>
      <w:r w:rsidRPr="005D59A7">
        <w:rPr>
          <w:rFonts w:ascii="T" w:hAnsi="T" w:cs="Simplified Arabic"/>
          <w:sz w:val="24"/>
          <w:szCs w:val="24"/>
        </w:rPr>
        <w:t xml:space="preserve"> Yadav &amp; Prashar (2023)</w:t>
      </w:r>
      <w:r w:rsidRPr="005D59A7">
        <w:rPr>
          <w:rFonts w:ascii="T" w:hAnsi="T" w:cs="Simplified Arabic"/>
          <w:sz w:val="24"/>
          <w:szCs w:val="24"/>
          <w:rtl/>
        </w:rPr>
        <w:t>في تأثير التنوع بين الجنسين في مجالس الإدارة على أداء الشركات في المجالات البيئية والاجتماعية والحوكمة</w:t>
      </w:r>
      <w:r w:rsidRPr="005D59A7">
        <w:rPr>
          <w:rFonts w:ascii="T" w:hAnsi="T" w:cs="Simplified Arabic"/>
          <w:sz w:val="24"/>
          <w:szCs w:val="24"/>
        </w:rPr>
        <w:t xml:space="preserve"> (ESG). </w:t>
      </w:r>
      <w:r w:rsidRPr="005D59A7">
        <w:rPr>
          <w:rFonts w:ascii="T" w:hAnsi="T" w:cs="Simplified Arabic"/>
          <w:sz w:val="24"/>
          <w:szCs w:val="24"/>
          <w:rtl/>
        </w:rPr>
        <w:t>اعتمدوا على منهجية كمية، حيث قاموا بتحليل بيانات من 200 شركة هندية خلال الفترة 2015-2020، باستخدام نماذج تحليل الانحدار. توصلوا إلى أن وجود نساء في مجالس الإدارة يرتبط بشكل إيجابي بتحسين أداء الشركات في المجالات البيئية والاجتماعية والحوكمة. كما وجدوا أن هذا التأثير يكون أقوى عندما تشغل النساء مناصب قيادية في لجان الحوكمة والتدقيق، وعندما يكون هناك ثلاث نساء أو أكثر في مجلس الإدارة (كتلة حرجة). أشار الباحثون إلى أن تفسير هذه النتيجة يعود إلى أن النساء تميل إلى أن تكون أكثر حساسية للقضايا البيئية والاجتماعية، وأكثر التزاماً بالشفافية والمساءلة، وأكثر قدرة على إحداث توازن في قرارات مجلس الإدارة. أوصى الباحثون بضرورة تعزيز تمثيل النساء في مجالس الإدارة، ليس فقط كإجراء رمزي، بل كآلية لتحسين أداء الشركات في المجالات البيئية والاجتماعية والحوكمة</w:t>
      </w:r>
      <w:r w:rsidRPr="005D59A7">
        <w:rPr>
          <w:rFonts w:ascii="T" w:hAnsi="T" w:cs="Simplified Arabic"/>
          <w:sz w:val="24"/>
          <w:szCs w:val="24"/>
        </w:rPr>
        <w:t>.</w:t>
      </w:r>
    </w:p>
    <w:p w14:paraId="52DDFF0B" w14:textId="56A42028"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أجرى </w:t>
      </w:r>
      <w:r w:rsidRPr="005D59A7">
        <w:rPr>
          <w:rFonts w:ascii="T" w:hAnsi="T" w:cs="Simplified Arabic"/>
          <w:sz w:val="24"/>
          <w:szCs w:val="24"/>
        </w:rPr>
        <w:t>Martiny, et al. (2024)</w:t>
      </w:r>
      <w:r w:rsidRPr="005D59A7">
        <w:rPr>
          <w:rFonts w:ascii="T" w:hAnsi="T" w:cs="Simplified Arabic"/>
          <w:sz w:val="24"/>
          <w:szCs w:val="24"/>
          <w:rtl/>
        </w:rPr>
        <w:t xml:space="preserve"> مراجعة منهجية للأدبيات حول محددات أداء الشركات في المجالات البيئية والاجتماعية والحوكمة</w:t>
      </w:r>
      <w:r w:rsidRPr="005D59A7">
        <w:rPr>
          <w:rFonts w:ascii="T" w:hAnsi="T" w:cs="Simplified Arabic"/>
          <w:sz w:val="24"/>
          <w:szCs w:val="24"/>
        </w:rPr>
        <w:t xml:space="preserve"> (ESG). </w:t>
      </w:r>
      <w:r w:rsidRPr="005D59A7">
        <w:rPr>
          <w:rFonts w:ascii="T" w:hAnsi="T" w:cs="Simplified Arabic"/>
          <w:sz w:val="24"/>
          <w:szCs w:val="24"/>
          <w:rtl/>
        </w:rPr>
        <w:t>اعتمدوا على تحليل 210 دراسة منشورة في مجلات محكمة خلال الفترة 2010-2023، باستخدام منهجية مراجعة منهجية مقننة</w:t>
      </w:r>
      <w:r w:rsidRPr="005D59A7">
        <w:rPr>
          <w:rFonts w:ascii="T" w:hAnsi="T" w:cs="Simplified Arabic"/>
          <w:sz w:val="24"/>
          <w:szCs w:val="24"/>
        </w:rPr>
        <w:t xml:space="preserve"> (PRISMA). </w:t>
      </w:r>
      <w:r w:rsidRPr="005D59A7">
        <w:rPr>
          <w:rFonts w:ascii="T" w:hAnsi="T" w:cs="Simplified Arabic"/>
          <w:sz w:val="24"/>
          <w:szCs w:val="24"/>
          <w:rtl/>
        </w:rPr>
        <w:t>توصلوا إلى أن محددات أداء</w:t>
      </w:r>
      <w:r w:rsidRPr="005D59A7">
        <w:rPr>
          <w:rFonts w:ascii="T" w:hAnsi="T" w:cs="Simplified Arabic"/>
          <w:sz w:val="24"/>
          <w:szCs w:val="24"/>
        </w:rPr>
        <w:t xml:space="preserve"> ESG </w:t>
      </w:r>
      <w:r w:rsidRPr="005D59A7">
        <w:rPr>
          <w:rFonts w:ascii="T" w:hAnsi="T" w:cs="Simplified Arabic"/>
          <w:sz w:val="24"/>
          <w:szCs w:val="24"/>
          <w:rtl/>
        </w:rPr>
        <w:t>تتوزع على ثلاثة مستويات: مستوى البيئة الخارجية (السياسات الحكومية، الضغوط المجتمعية، المعايير الدولية)، ومستوى خصائص الشركة (الحجم، القطاع، هيكل الملكية، عمر الشركة)، ومستوى آليات الحوكمة الداخلية (استقلالية مجلس الإدارة، تنوع المجلس، وجود لجان متخصصة للاستدامة، جودة أنظمة الرقابة الداخلية). أشار الباحثون إلى أن آليات الحوكمة الداخلية هي المحدد الأكثر تأثيراً على أداء</w:t>
      </w:r>
      <w:r w:rsidRPr="005D59A7">
        <w:rPr>
          <w:rFonts w:ascii="T" w:hAnsi="T" w:cs="Simplified Arabic"/>
          <w:sz w:val="24"/>
          <w:szCs w:val="24"/>
        </w:rPr>
        <w:t xml:space="preserve"> ESG</w:t>
      </w:r>
      <w:r w:rsidRPr="005D59A7">
        <w:rPr>
          <w:rFonts w:ascii="T" w:hAnsi="T" w:cs="Simplified Arabic"/>
          <w:sz w:val="24"/>
          <w:szCs w:val="24"/>
          <w:rtl/>
        </w:rPr>
        <w:t>، حيث تفسر وحدها حوالي 40% من التباين في الأداء بين الشركات. كما وجدوا أن الشركات ذات أنظمة الحوكمة القوية تحقق أداء أفضل في</w:t>
      </w:r>
      <w:r w:rsidRPr="005D59A7">
        <w:rPr>
          <w:rFonts w:ascii="T" w:hAnsi="T" w:cs="Simplified Arabic"/>
          <w:sz w:val="24"/>
          <w:szCs w:val="24"/>
        </w:rPr>
        <w:t xml:space="preserve"> ESG</w:t>
      </w:r>
      <w:r w:rsidRPr="005D59A7">
        <w:rPr>
          <w:rFonts w:ascii="T" w:hAnsi="T" w:cs="Simplified Arabic"/>
          <w:sz w:val="24"/>
          <w:szCs w:val="24"/>
          <w:rtl/>
        </w:rPr>
        <w:t>، حتى في ظل بيئات خارجية غير مواتية</w:t>
      </w:r>
      <w:r w:rsidRPr="005D59A7">
        <w:rPr>
          <w:rFonts w:ascii="T" w:hAnsi="T" w:cs="Simplified Arabic"/>
          <w:sz w:val="24"/>
          <w:szCs w:val="24"/>
        </w:rPr>
        <w:t xml:space="preserve"> (</w:t>
      </w:r>
      <w:r w:rsidRPr="005D59A7">
        <w:rPr>
          <w:rFonts w:ascii="T" w:hAnsi="T" w:cs="Simplified Arabic"/>
          <w:sz w:val="24"/>
          <w:szCs w:val="24"/>
          <w:rtl/>
        </w:rPr>
        <w:t>مثل ضعف</w:t>
      </w:r>
      <w:r w:rsidRPr="005D59A7">
        <w:rPr>
          <w:rFonts w:ascii="T" w:hAnsi="T" w:cs="Simplified Arabic"/>
          <w:sz w:val="24"/>
          <w:szCs w:val="24"/>
        </w:rPr>
        <w:t xml:space="preserve"> enforcement </w:t>
      </w:r>
      <w:r w:rsidRPr="005D59A7">
        <w:rPr>
          <w:rFonts w:ascii="T" w:hAnsi="T" w:cs="Simplified Arabic"/>
          <w:sz w:val="24"/>
          <w:szCs w:val="24"/>
          <w:rtl/>
        </w:rPr>
        <w:t>الحكومي</w:t>
      </w:r>
      <w:r w:rsidRPr="005D59A7">
        <w:rPr>
          <w:rFonts w:ascii="T" w:hAnsi="T" w:cs="Simplified Arabic"/>
          <w:sz w:val="24"/>
          <w:szCs w:val="24"/>
        </w:rPr>
        <w:t xml:space="preserve">). </w:t>
      </w:r>
      <w:r w:rsidRPr="005D59A7">
        <w:rPr>
          <w:rFonts w:ascii="T" w:hAnsi="T" w:cs="Simplified Arabic"/>
          <w:sz w:val="24"/>
          <w:szCs w:val="24"/>
          <w:rtl/>
        </w:rPr>
        <w:t>أوصى الباحثون بضرورة تعزيز آليات الحوكمة الداخلية كأولوية لتحسين أداء</w:t>
      </w:r>
      <w:r w:rsidRPr="005D59A7">
        <w:rPr>
          <w:rFonts w:ascii="T" w:hAnsi="T" w:cs="Simplified Arabic"/>
          <w:sz w:val="24"/>
          <w:szCs w:val="24"/>
        </w:rPr>
        <w:t xml:space="preserve"> ESG</w:t>
      </w:r>
      <w:r w:rsidRPr="005D59A7">
        <w:rPr>
          <w:rFonts w:ascii="T" w:hAnsi="T" w:cs="Simplified Arabic"/>
          <w:sz w:val="24"/>
          <w:szCs w:val="24"/>
          <w:rtl/>
        </w:rPr>
        <w:t>، وليس الاعتماد فقط على الضغوط الخارجية أو المبادرات التطوعية</w:t>
      </w:r>
      <w:r w:rsidRPr="005D59A7">
        <w:rPr>
          <w:rFonts w:ascii="T" w:hAnsi="T" w:cs="Simplified Arabic"/>
          <w:sz w:val="24"/>
          <w:szCs w:val="24"/>
        </w:rPr>
        <w:t>.</w:t>
      </w:r>
    </w:p>
    <w:p w14:paraId="4E8A6A04"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دراسات حول الحوكمة كآلية لضبط جودة الخدمات</w:t>
      </w:r>
    </w:p>
    <w:p w14:paraId="2F11F080"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تعتبر الحوكمة آلية أساسية لضبط جودة الخدمات، خاصة في قطاعات الخدمات العامة التي تفتقر إلى آليات السوق التقليدية (المنافسة، اختيار المستهلك). فمن خلال وضع معايير واضحة، وآليات رقابة فعالة، ومساءلة صارمة، تساهم الحوكمة في تحسين جودة الخدمات وضمان اتساقها واستدامتها</w:t>
      </w:r>
      <w:r w:rsidRPr="005D59A7">
        <w:rPr>
          <w:rFonts w:ascii="T" w:hAnsi="T" w:cs="Simplified Arabic"/>
          <w:sz w:val="24"/>
          <w:szCs w:val="24"/>
        </w:rPr>
        <w:t>.</w:t>
      </w:r>
    </w:p>
    <w:p w14:paraId="7658E64F" w14:textId="409AAA51"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حلل عبد الرزاق (2025) إعادة ابتكار نماذج تقييم الأداء في المؤسسات العامة، مع التركيز على استراتيجيات مبتكرة لتعزيز الفاعلية المؤسسية من خلال الحوكمة والإدارة الحديثة. اعتمدوا على منهجية مراجعة الأدبيات وتحليل نماذج تقييم الأداء المستخدمة في مؤسسات عامة في عدة دول عربية. توصلوا إلى أن نماذج تقييم الأداء التقليدية (التي تركز على المدخلات والعمليات) غير كافية لقياس الفاعلية المؤسسية في ظل التحولات السريعة في البيئة الخارجية. أشار الباحثون إلى أن الحوكمة تساهم في ضبط جودة الخدمات من خلال: وضع معايير جودة واضحة وقابلة للقياس، وإنشاء آليات رقابة داخلية وخارجية لمراقبة الالتزام بهذه المعايير، وربط نتائج تقييم الأداء بالمكافآت والعقوبات، وإشراك المستفيدين من الخدمات في تقييم الجودة. كما أشاروا إلى أن تطبيق مبادئ الحوكمة الجيدة (الشفافية، المساءلة، المشاركة) يؤدي إلى تحسين جودة الخدمات بنسبة تتراوح بين 20-30% حسب الدراسات الميدانية. أوصى الباحثون بضرورة تبني نماذج تقييم أداء متطورة تجمع بين المقاييس الكمية (مؤشرات الأداء) والنوعية (رضا المستفيدين)، مع التركيز على النتائج وليس فقط على العمليات</w:t>
      </w:r>
      <w:r w:rsidRPr="005D59A7">
        <w:rPr>
          <w:rFonts w:ascii="T" w:hAnsi="T" w:cs="Simplified Arabic"/>
          <w:sz w:val="24"/>
          <w:szCs w:val="24"/>
        </w:rPr>
        <w:t>.</w:t>
      </w:r>
    </w:p>
    <w:p w14:paraId="50B3B150" w14:textId="590DAAA0"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بحث سعد (2025) في أثر تطبيق مبادئ الحوكمة في تحسين الأداء الوظيفي للعاملين في المنظمات، مع التركيز على الدور الوسيط لأنماط القيادة. اعتمدوا على منهجية كمية، حيث قاموا بتوزيع استبيانات على 350 موظفاً في منظمات عامة وخاصة، واستخدموا نمذجة المعادلات الهيكلية</w:t>
      </w:r>
      <w:r w:rsidRPr="005D59A7">
        <w:rPr>
          <w:rFonts w:ascii="T" w:hAnsi="T" w:cs="Simplified Arabic"/>
          <w:sz w:val="24"/>
          <w:szCs w:val="24"/>
        </w:rPr>
        <w:t xml:space="preserve"> (SEM) </w:t>
      </w:r>
      <w:r w:rsidRPr="005D59A7">
        <w:rPr>
          <w:rFonts w:ascii="T" w:hAnsi="T" w:cs="Simplified Arabic"/>
          <w:sz w:val="24"/>
          <w:szCs w:val="24"/>
          <w:rtl/>
        </w:rPr>
        <w:t>لتحليل البيانات. توصلوا إلى أن تطبيق مبادئ الحوكمة (الشفافية، المساءلة، العدالة، المشاركة) يؤثر إيجاباً على الأداء الوظيفي للعاملين، وهذا التأثير يتم بشكل مباشر وغير مباشر عبر أنماط القيادة. أشار الباحثون إلى أن أنماط القيادة التحويلية</w:t>
      </w:r>
      <w:r w:rsidRPr="005D59A7">
        <w:rPr>
          <w:rFonts w:ascii="T" w:hAnsi="T" w:cs="Simplified Arabic"/>
          <w:sz w:val="24"/>
          <w:szCs w:val="24"/>
        </w:rPr>
        <w:t xml:space="preserve"> (Transformational Leadership) </w:t>
      </w:r>
      <w:r w:rsidRPr="005D59A7">
        <w:rPr>
          <w:rFonts w:ascii="T" w:hAnsi="T" w:cs="Simplified Arabic"/>
          <w:sz w:val="24"/>
          <w:szCs w:val="24"/>
          <w:rtl/>
        </w:rPr>
        <w:t>تعزز من تأثير الحوكمة على الأداء الوظيفي، بينما أنماط القيادة التبادلية</w:t>
      </w:r>
      <w:r w:rsidRPr="005D59A7">
        <w:rPr>
          <w:rFonts w:ascii="T" w:hAnsi="T" w:cs="Simplified Arabic"/>
          <w:sz w:val="24"/>
          <w:szCs w:val="24"/>
        </w:rPr>
        <w:t xml:space="preserve"> (Transactional Leadership) </w:t>
      </w:r>
      <w:r w:rsidRPr="005D59A7">
        <w:rPr>
          <w:rFonts w:ascii="T" w:hAnsi="T" w:cs="Simplified Arabic"/>
          <w:sz w:val="24"/>
          <w:szCs w:val="24"/>
          <w:rtl/>
        </w:rPr>
        <w:t>تضعف هذا التأثير. كما وجدوا أن الشفافية في تقييم الأداء وربطه بالمكافآت كان العامل الأكثر تأثيراً على تحفيز العاملين وتحسين أدائهم. أوصى الباحثون بضرورة تبني أنماط قيادة تحويلية في المؤسسات التي تطبق مبادئ الحوكمة، مع التركيز على تمكين العاملين وإشراكهم في اتخاذ القرار، وليس فقط على الرقابة والمحاسبة</w:t>
      </w:r>
      <w:r w:rsidRPr="005D59A7">
        <w:rPr>
          <w:rFonts w:ascii="T" w:hAnsi="T" w:cs="Simplified Arabic"/>
          <w:sz w:val="24"/>
          <w:szCs w:val="24"/>
        </w:rPr>
        <w:t>.</w:t>
      </w:r>
    </w:p>
    <w:p w14:paraId="195AF821" w14:textId="74FE5100"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حلل </w:t>
      </w:r>
      <w:r w:rsidR="00CC7BCA" w:rsidRPr="005D59A7">
        <w:rPr>
          <w:rFonts w:ascii="T" w:hAnsi="T" w:cs="Simplified Arabic"/>
          <w:sz w:val="24"/>
          <w:szCs w:val="24"/>
          <w:rtl/>
        </w:rPr>
        <w:t>محضر،</w:t>
      </w:r>
      <w:r w:rsidRPr="005D59A7">
        <w:rPr>
          <w:rFonts w:ascii="T" w:hAnsi="T" w:cs="Simplified Arabic"/>
          <w:sz w:val="24"/>
          <w:szCs w:val="24"/>
          <w:rtl/>
        </w:rPr>
        <w:t xml:space="preserve"> اخرون (2024) أثر تطبيق الحوكمة على كفاءة الأداء المؤسسي في مستشفيات القطاع الحكومي. اعتمدوا على منهجية كمية، حيث قاموا بتوزيع استبيانات على 250 من القيادات الإدارية والطبية في 5 مستشفيات حكومية، واستخدموا تحليل الانحدار المتعدد لاختبار الفرضيات. توصلوا إلى أن تطبيق مبادئ الحوكمة (الشفافية في الإفصاح المالي والإداري، المساءلة عن النتائج، المشاركة في اتخاذ القرار، سيادة القانون واللوائح) يرتبط بشكل إيجابي بتحسين كفاءة الأداء المؤسسي (مقاسة بمعدلات الإشغال، متوسط فترة الإقامة، نسب العدوى، رضا المرضى). كما وجدوا أن المستشفيات التي طبقت الحوكمة بشكل أكثر صرامة حققت نتائج أفضل في مؤشرات الجودة والكفاءة. أشار الباحثون إلى أن الحوكمة تساهم في تحسين جودة الخدمات الصحية من خلال: تقليل الهدر والتكاليف غير الضرورية، وتحسين تخصيص الموارد، وتعزيز الامتثال لبروتوكولات العلاج، وزيادة رضا المرضى. أوصى الباحثون بضرورة تعميم تطبيق مبادئ الحوكمة في جميع مستشفيات القطاع الحكومي، مع تطوير مؤشرات أداء خاصة بجودة الخدمات الصحية، وإنشاء آليات مستقلة لرصد وتقييم الأداء بشكل دوري</w:t>
      </w:r>
      <w:r w:rsidRPr="005D59A7">
        <w:rPr>
          <w:rFonts w:ascii="T" w:hAnsi="T" w:cs="Simplified Arabic"/>
          <w:sz w:val="24"/>
          <w:szCs w:val="24"/>
        </w:rPr>
        <w:t>.</w:t>
      </w:r>
    </w:p>
    <w:p w14:paraId="3B5A0208" w14:textId="53D246F4" w:rsidR="00C57CC8" w:rsidRPr="005D59A7" w:rsidRDefault="00C57CC8" w:rsidP="00C476D6">
      <w:pPr>
        <w:pStyle w:val="Heading2"/>
        <w:bidi/>
        <w:rPr>
          <w:rFonts w:ascii="T" w:hAnsi="T" w:cs="Simplified Arabic"/>
          <w:color w:val="auto"/>
          <w:sz w:val="24"/>
          <w:szCs w:val="24"/>
          <w:rtl/>
        </w:rPr>
      </w:pPr>
      <w:bookmarkStart w:id="72" w:name="_Toc234607896"/>
      <w:r w:rsidRPr="005D59A7">
        <w:rPr>
          <w:rFonts w:ascii="T" w:hAnsi="T" w:cs="Simplified Arabic"/>
          <w:color w:val="auto"/>
          <w:sz w:val="24"/>
          <w:szCs w:val="24"/>
          <w:rtl/>
        </w:rPr>
        <w:t>المحور ا</w:t>
      </w:r>
      <w:r w:rsidR="00C476D6" w:rsidRPr="005D59A7">
        <w:rPr>
          <w:rFonts w:ascii="T" w:hAnsi="T" w:cs="Simplified Arabic"/>
          <w:color w:val="auto"/>
          <w:sz w:val="24"/>
          <w:szCs w:val="24"/>
          <w:rtl/>
        </w:rPr>
        <w:t>لخامس</w:t>
      </w:r>
      <w:r w:rsidRPr="005D59A7">
        <w:rPr>
          <w:rFonts w:ascii="T" w:hAnsi="T" w:cs="Simplified Arabic"/>
          <w:color w:val="auto"/>
          <w:sz w:val="24"/>
          <w:szCs w:val="24"/>
          <w:rtl/>
        </w:rPr>
        <w:t>: دراسات في السياق العربي والسعودي</w:t>
      </w:r>
      <w:bookmarkEnd w:id="72"/>
    </w:p>
    <w:p w14:paraId="4FB4F2D4"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دراسات تطبيق الشراكات بين القطاعين العام والخاص في السعودية</w:t>
      </w:r>
    </w:p>
    <w:p w14:paraId="6BD482A2"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شهدت المملكة العربية السعودية خلال السنوات الأخيرة تحولاً كبيراً في تبني نموذج الشراكات بين القطاعين العام والخاص، خاصة في قطاعات البنية التحتية والخدمات العامة والبيئة. تأتي هذه التطورات في إطار رؤية السعودية 2030 التي تهدف إلى تنويع الاقتصاد وتعزيز دور القطاع الخاص في التنمية</w:t>
      </w:r>
      <w:r w:rsidRPr="005D59A7">
        <w:rPr>
          <w:rFonts w:ascii="T" w:hAnsi="T" w:cs="Simplified Arabic"/>
          <w:sz w:val="24"/>
          <w:szCs w:val="24"/>
        </w:rPr>
        <w:t>.</w:t>
      </w:r>
    </w:p>
    <w:p w14:paraId="04E8BCC2" w14:textId="55A7FF55"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سعى </w:t>
      </w:r>
      <w:r w:rsidRPr="005D59A7">
        <w:rPr>
          <w:rFonts w:ascii="T" w:hAnsi="T" w:cs="Simplified Arabic"/>
          <w:sz w:val="24"/>
          <w:szCs w:val="24"/>
        </w:rPr>
        <w:t xml:space="preserve"> Jubair &amp; Singh (2022)</w:t>
      </w:r>
      <w:r w:rsidRPr="005D59A7">
        <w:rPr>
          <w:rFonts w:ascii="T" w:hAnsi="T" w:cs="Simplified Arabic"/>
          <w:sz w:val="24"/>
          <w:szCs w:val="24"/>
          <w:rtl/>
        </w:rPr>
        <w:t xml:space="preserve">إلى تحديد عوامل النجاح الحرجة لمشاريع الشراكة بين القطاعين العام والخاص في المملكة العربية السعودية. اعتمدوا على منهجية كمية، حيث قاموا بتوزيع استبيانات على 150 خبيراً وممارساً في مجال الشراكات في القطاعات المختلفة (النقل، المياه، الطاقة، البيئة). توصلوا إلى أن أهم عوامل النجاح الحرجة للشراكات في السياق السعودي تشمل: الاستقرار السياسي والدعم الحكومي القوي، ووضوح الإطار القانوني والتنظيمي، وتوفر الكوادر البشرية المؤهلة، والشفافية في عمليات الطرح والتعاقد، والتوزيع العادل للمخاطر بين الشركاء. أشار الباحثون إلى أن هذه العوامل تتفق إلى حد كبير مع الأدبيات العالمية، لكن هناك عوامل خاصة بالسياق السعودي مثل التوافق مع الشريعة الإسلامية ومراعاة البعد الثقافي في تصميم العقود وإدارة </w:t>
      </w:r>
      <w:r w:rsidRPr="005D59A7">
        <w:rPr>
          <w:rFonts w:ascii="T" w:hAnsi="T" w:cs="Simplified Arabic"/>
          <w:sz w:val="24"/>
          <w:szCs w:val="24"/>
          <w:rtl/>
        </w:rPr>
        <w:lastRenderedPageBreak/>
        <w:t>العلاقات مع الشركاء. أوصى الباحثون بضرورة بناء قدرات الكوادر الوطنية في مجال إدارة عقود الشراكة، وتطوير دليل وطني موحد لإجراءات الطرح والتعاقد، وإنشاء قاعدة بيانات وطنية لمشاريع الشراكة لتوثيق الدروس المستفادة</w:t>
      </w:r>
      <w:r w:rsidRPr="005D59A7">
        <w:rPr>
          <w:rFonts w:ascii="T" w:hAnsi="T" w:cs="Simplified Arabic"/>
          <w:sz w:val="24"/>
          <w:szCs w:val="24"/>
        </w:rPr>
        <w:t>.</w:t>
      </w:r>
    </w:p>
    <w:p w14:paraId="43932D4B" w14:textId="5B9C0661"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Hidalgo (2024)</w:t>
      </w:r>
      <w:r w:rsidRPr="005D59A7">
        <w:rPr>
          <w:rFonts w:ascii="T" w:hAnsi="T" w:cs="Simplified Arabic"/>
          <w:sz w:val="24"/>
          <w:szCs w:val="24"/>
          <w:rtl/>
        </w:rPr>
        <w:t xml:space="preserve"> تطوير البنية التحتية في المملكة العربية السعودية من خلال نظام الشراكة بين القطاعين العام والخاص في إطار رؤية 2030. اعتمد على منهجية دراسة الحالة، محللاً ثلاث مشاريع شراكة كبرى في قطاعات النقل والمياه والطاقة. توصل الباحث إلى أن مشاريع الشراكة في السعودية حققت نجاحاً ملحوظاً في تسريع وتيرة تطوير البنية التحتية وتحسين جودتها، لكنها واجهت تحديات تتعلق بطول فترة الإعداد والتفاوض (بسبب تعقيد الإجراءات)، وصعوبة التنبؤ بالطلب المستقبلي (خاصة في المشاريع الجديدة)، والحاجة إلى تطوير قدرات القطاع العام في إدارة العقود طويلة الأجل. أشار الباحث إلى أن الإطار المؤسسي للشراكات في السعودية تطور بشكل كبير مع إنشاء المركز الوطني للتخصيص</w:t>
      </w:r>
      <w:r w:rsidRPr="005D59A7">
        <w:rPr>
          <w:rFonts w:ascii="T" w:hAnsi="T" w:cs="Simplified Arabic"/>
          <w:sz w:val="24"/>
          <w:szCs w:val="24"/>
        </w:rPr>
        <w:t xml:space="preserve"> (NCP) </w:t>
      </w:r>
      <w:r w:rsidRPr="005D59A7">
        <w:rPr>
          <w:rFonts w:ascii="T" w:hAnsi="T" w:cs="Simplified Arabic"/>
          <w:sz w:val="24"/>
          <w:szCs w:val="24"/>
          <w:rtl/>
        </w:rPr>
        <w:t>كجهة مركزية للإشراف على مشاريع الشراكة، مما ساهم في توحيد الإجراءات وزيادة الشفافية. أوصى الباحث بضرورة تبسيط إجراءات الموافقة على مشاريع الشراكة، وتطوير نماذج عقود موحدة تسرع عملية الإعداد، وتعزيز التعاون بين المركز الوطني للتخصيص والجهات القطاعية لبناء قدراتها</w:t>
      </w:r>
      <w:r w:rsidRPr="005D59A7">
        <w:rPr>
          <w:rFonts w:ascii="T" w:hAnsi="T" w:cs="Simplified Arabic"/>
          <w:sz w:val="24"/>
          <w:szCs w:val="24"/>
        </w:rPr>
        <w:t>.</w:t>
      </w:r>
    </w:p>
    <w:p w14:paraId="70ABB5BB" w14:textId="3E634E8A"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xml:space="preserve"> Guerrero, et al. (</w:t>
      </w:r>
      <w:proofErr w:type="gramStart"/>
      <w:r w:rsidRPr="005D59A7">
        <w:rPr>
          <w:rFonts w:ascii="T" w:hAnsi="T" w:cs="Simplified Arabic"/>
          <w:sz w:val="24"/>
          <w:szCs w:val="24"/>
        </w:rPr>
        <w:t>2024)</w:t>
      </w:r>
      <w:r w:rsidRPr="005D59A7">
        <w:rPr>
          <w:rFonts w:ascii="T" w:hAnsi="T" w:cs="Simplified Arabic"/>
          <w:sz w:val="24"/>
          <w:szCs w:val="24"/>
          <w:rtl/>
        </w:rPr>
        <w:t>السمات</w:t>
      </w:r>
      <w:proofErr w:type="gramEnd"/>
      <w:r w:rsidRPr="005D59A7">
        <w:rPr>
          <w:rFonts w:ascii="T" w:hAnsi="T" w:cs="Simplified Arabic"/>
          <w:sz w:val="24"/>
          <w:szCs w:val="24"/>
          <w:rtl/>
        </w:rPr>
        <w:t xml:space="preserve"> المحددة لتقليل الفجوة في البنية التحتية في المملكة العربية السعودية في إطار نظام الشراكة بين القطاعين العام والخاص. اعتمدوا على منهجية تحليل العوامل متعددة المعايير</w:t>
      </w:r>
      <w:r w:rsidRPr="005D59A7">
        <w:rPr>
          <w:rFonts w:ascii="T" w:hAnsi="T" w:cs="Simplified Arabic"/>
          <w:sz w:val="24"/>
          <w:szCs w:val="24"/>
        </w:rPr>
        <w:t xml:space="preserve"> (Multi-Criteria Analysis)</w:t>
      </w:r>
      <w:r w:rsidRPr="005D59A7">
        <w:rPr>
          <w:rFonts w:ascii="T" w:hAnsi="T" w:cs="Simplified Arabic"/>
          <w:sz w:val="24"/>
          <w:szCs w:val="24"/>
          <w:rtl/>
        </w:rPr>
        <w:t>، بالتعاون مع خبراء من القطاعين العام والخاص. توصلوا إلى أن السمات الأكثر تأثيراً في تقليل فجوة البنية التحتية تشمل: الاستقرار الاقتصادي والسياسي طويل الأجل، ووضوح الإطار القانوني والتنظيمي للشراكات، وتوفر خيارات تمويلية مناسبة (مثل صناديق البنية التحتية والتمويل الإسلامي)، والشفافية في تخصيص المخاطر بين الشركاء. أشار الباحثون إلى أن السعودية تتمتع بدرجة عالية من الاستقرار الاقتصادي والسياسي، وهو ما يشجع المستثمرين المحليين والدوليين على المشاركة في مشاريع الشراكة. كما أشاروا إلى أن تطوير سوق مالية متطورة وتوفر التمويل الإسلامي (الصكوك) يخلق بيئة جاذبة للاستثمار في مشاريع البنية التحتية. أوصى الباحثون بضرورة الاستمرار في تطوير الإطار القانوني والتنظيمي للشراكات، مع التركيز على توحيد العقود وتقليل التعقيد الإداري، وتوسيع نطاق استخدام أدوات التمويل الإسلامي في مشاريع الشراكة</w:t>
      </w:r>
      <w:r w:rsidRPr="005D59A7">
        <w:rPr>
          <w:rFonts w:ascii="T" w:hAnsi="T" w:cs="Simplified Arabic"/>
          <w:sz w:val="24"/>
          <w:szCs w:val="24"/>
        </w:rPr>
        <w:t>.</w:t>
      </w:r>
    </w:p>
    <w:p w14:paraId="5591B262"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ثانياً: دراسات الحوكمة والتحول المؤسسي في القطاع الحكومي السعودي</w:t>
      </w:r>
    </w:p>
    <w:p w14:paraId="5175389C"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 القطاع الحكومي السعودي تحولاً مؤسسياً كبيراً في ظل رؤية 2030، مع التركيز على تعزيز الحوكمة والشفافية والمساءلة، وتبني التقنيات الحديثة، وتطوير القيادة المؤسسية</w:t>
      </w:r>
      <w:r w:rsidRPr="005D59A7">
        <w:rPr>
          <w:rFonts w:ascii="T" w:hAnsi="T" w:cs="Simplified Arabic"/>
          <w:sz w:val="24"/>
          <w:szCs w:val="24"/>
        </w:rPr>
        <w:t>.</w:t>
      </w:r>
    </w:p>
    <w:p w14:paraId="50AFD169" w14:textId="6D84991B"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proofErr w:type="spellStart"/>
      <w:r w:rsidRPr="005D59A7">
        <w:rPr>
          <w:rFonts w:ascii="T" w:hAnsi="T" w:cs="Simplified Arabic"/>
          <w:sz w:val="24"/>
          <w:szCs w:val="24"/>
        </w:rPr>
        <w:t>Alruwaili</w:t>
      </w:r>
      <w:proofErr w:type="spellEnd"/>
      <w:r w:rsidRPr="005D59A7">
        <w:rPr>
          <w:rFonts w:ascii="T" w:hAnsi="T" w:cs="Simplified Arabic"/>
          <w:sz w:val="24"/>
          <w:szCs w:val="24"/>
        </w:rPr>
        <w:t xml:space="preserve"> et al. (2024)</w:t>
      </w:r>
      <w:r w:rsidRPr="005D59A7">
        <w:rPr>
          <w:rFonts w:ascii="T" w:hAnsi="T" w:cs="Simplified Arabic"/>
          <w:sz w:val="24"/>
          <w:szCs w:val="24"/>
          <w:rtl/>
        </w:rPr>
        <w:t xml:space="preserve"> التفاعل بين إدارة المعرفة، والحوكمة الإلكترونية، وكفاءة أداء الأعمال في مؤسسات القطاع العام السعودي. اعتمدوا على منهجية كمية، حيث قاموا بتوزيع استبيانات على 300 موظف في 10 مؤسسات حكومية، واستخدموا نمذجة المعادلات الهيكلية</w:t>
      </w:r>
      <w:r w:rsidRPr="005D59A7">
        <w:rPr>
          <w:rFonts w:ascii="T" w:hAnsi="T" w:cs="Simplified Arabic"/>
          <w:sz w:val="24"/>
          <w:szCs w:val="24"/>
        </w:rPr>
        <w:t xml:space="preserve"> (SEM) </w:t>
      </w:r>
      <w:r w:rsidRPr="005D59A7">
        <w:rPr>
          <w:rFonts w:ascii="T" w:hAnsi="T" w:cs="Simplified Arabic"/>
          <w:sz w:val="24"/>
          <w:szCs w:val="24"/>
          <w:rtl/>
        </w:rPr>
        <w:t>لتحليل البيانات. توصلوا إلى وجود علاقة إيجابية قوية بين إدارة المعرفة والحوكمة الإلكترونية وكفاءة الأداء، حيث أن تطبيق الحوكمة الإلكترونية يعزز من فعالية إدارة المعرفة، وكلاهما يساهم في تحسين كفاءة الأداء المؤسسي. أشار الباحثون إلى أن التحول الرقمي في القطاع العام السعودي (بما في ذلك منصات الخدمات الإلكترونية، وأنظمة إدارة الوثائق، وقواعد البيانات المتكاملة) أسهم في تحسين الشفافية وتقليل الفساد وتسريع الإجراءات. كما أشاروا إلى أن تحديات تطبيق الحوكمة الإلكترونية تشمل: مقاومة التغيير من بعض الموظفين، وعدم كفاية البنية التحتية التقنية، ومخاطر الأمن السيبراني. أوصى الباحثون بضرورة الاستثمار في تدريب الكوادر البشرية على استخدام أنظمة الحوكمة الإلكترونية، وتطوير سياسات واضحة لحماية البيانات والخصوصية، وتعزيز ثقافة المشاركة وتبادل المعرفة بين المؤسسات الحكومية</w:t>
      </w:r>
      <w:r w:rsidRPr="005D59A7">
        <w:rPr>
          <w:rFonts w:ascii="T" w:hAnsi="T" w:cs="Simplified Arabic"/>
          <w:sz w:val="24"/>
          <w:szCs w:val="24"/>
        </w:rPr>
        <w:t>.</w:t>
      </w:r>
    </w:p>
    <w:p w14:paraId="2E7A668B" w14:textId="0F8CCA3F"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xml:space="preserve"> </w:t>
      </w:r>
      <w:proofErr w:type="spellStart"/>
      <w:r w:rsidRPr="005D59A7">
        <w:rPr>
          <w:rFonts w:ascii="T" w:hAnsi="T" w:cs="Simplified Arabic"/>
          <w:sz w:val="24"/>
          <w:szCs w:val="24"/>
        </w:rPr>
        <w:t>Bendary</w:t>
      </w:r>
      <w:proofErr w:type="spellEnd"/>
      <w:r w:rsidRPr="005D59A7">
        <w:rPr>
          <w:rFonts w:ascii="T" w:hAnsi="T" w:cs="Simplified Arabic"/>
          <w:sz w:val="24"/>
          <w:szCs w:val="24"/>
        </w:rPr>
        <w:t xml:space="preserve"> &amp; Rajadurai (2024)</w:t>
      </w:r>
      <w:r w:rsidRPr="005D59A7">
        <w:rPr>
          <w:rFonts w:ascii="T" w:hAnsi="T" w:cs="Simplified Arabic"/>
          <w:sz w:val="24"/>
          <w:szCs w:val="24"/>
          <w:rtl/>
        </w:rPr>
        <w:t xml:space="preserve">تبني التقنيات الناشئة والابتكار العام في القطاع العام السعودي، مع التركيز على تحديات التبني في ظل رؤية 2030. اعتمدوا على منهجية نوعية، حيث أجروا مقابلات معمقة مع 25 من صانعي القرار والخبراء في مجال التحول الرقمي في القطاع العام. توصلوا إلى أن التقنيات الناشئة (مثل الذكاء الاصطناعي، وإنترنت الأشياء، وسلسلة الكتل، وتحليل البيانات الضخمة) توفر فرصاً كبيرة لتحسين الحوكمة وزيادة الكفاءة في القطاع العام، لكن تبنيها يواجه تحديات تتعلق بالاستثمار المالي الكبير المطلوب، وندرة الكوادر البشرية المؤهلة، وعدم نضج الأطر التنظيمية لاستخدام هذه التقنيات. أشار الباحثون إلى أن السعودية قطعت خطوات كبيرة في تبني الابتكار العام، من خلال مبادرات مثل منصة "تطويرة" للحلول الابتكارية، وبرامج التسريع الحكومية، والشراكات مع شركات التقنية العالمية. كما أشاروا إلى أن تطبيق الذكاء الاصطناعي في تحليل البيانات وتحسين اتخاذ القرار يعد من أبرز مجالات الابتكار الواعدة في القطاع العام. </w:t>
      </w:r>
      <w:r w:rsidRPr="005D59A7">
        <w:rPr>
          <w:rFonts w:ascii="T" w:hAnsi="T" w:cs="Simplified Arabic"/>
          <w:sz w:val="24"/>
          <w:szCs w:val="24"/>
          <w:rtl/>
        </w:rPr>
        <w:lastRenderedPageBreak/>
        <w:t>أوصى الباحثون بضرورة تطوير استراتيجية وطنية لتبني التقنيات الناشئة في القطاع العام، مع التركيز على بناء القدرات البشرية وتطوير الأطر التنظيمية والحوكمة الرقمية</w:t>
      </w:r>
      <w:r w:rsidRPr="005D59A7">
        <w:rPr>
          <w:rFonts w:ascii="T" w:hAnsi="T" w:cs="Simplified Arabic"/>
          <w:sz w:val="24"/>
          <w:szCs w:val="24"/>
        </w:rPr>
        <w:t>.</w:t>
      </w:r>
    </w:p>
    <w:p w14:paraId="499BA151" w14:textId="78A76BBD"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xml:space="preserve"> Bodrick ,et al. (</w:t>
      </w:r>
      <w:proofErr w:type="gramStart"/>
      <w:r w:rsidRPr="005D59A7">
        <w:rPr>
          <w:rFonts w:ascii="T" w:hAnsi="T" w:cs="Simplified Arabic"/>
          <w:sz w:val="24"/>
          <w:szCs w:val="24"/>
        </w:rPr>
        <w:t>2025)</w:t>
      </w:r>
      <w:r w:rsidRPr="005D59A7">
        <w:rPr>
          <w:rFonts w:ascii="T" w:hAnsi="T" w:cs="Simplified Arabic"/>
          <w:sz w:val="24"/>
          <w:szCs w:val="24"/>
          <w:rtl/>
        </w:rPr>
        <w:t>الديناميكية</w:t>
      </w:r>
      <w:proofErr w:type="gramEnd"/>
      <w:r w:rsidRPr="005D59A7">
        <w:rPr>
          <w:rFonts w:ascii="T" w:hAnsi="T" w:cs="Simplified Arabic"/>
          <w:sz w:val="24"/>
          <w:szCs w:val="24"/>
          <w:rtl/>
        </w:rPr>
        <w:t xml:space="preserve"> السياقية للقيادة التنظيمية في السعودية، مع التركيز على ما هو قادم بعد التغيير والتحول والانتقال. اعتمدوا على منهجية نوعية، حيث أجروا مقابلات معمقة مع 40 من القيادات التنفيذية في مؤسسات القطاعين العام والخاص، إلى جانب تحليل وثائقي لتقارير التحول المؤسسي. توصلوا إلى أن القيادة في السياق السعودي تمر بمرحلة تحول عميقة، تتطلب تجاوز النماذج القيادية التقليدية نحو نماذج أكثر مرونة وتشاركية وقدرة على التكيف مع التغيرات السريعة. أشار الباحثون إلى أن نجاح التحول المؤسسي في ظل رؤية 2030 يعتمد بشكل كبير على قدرة القيادات على التعامل مع تعقيدات التغيير، وإشراك جميع المستويات في عملية التحول، وبناء ثقافة مؤسسية داعمة للابتكار والتجريب. كما أشاروا إلى أن تحديات القيادة في السياق السعودي تشمل: الحاجة إلى تحقيق توازن بين الحفاظ على القيم الثقافية والانفتاح على الممارسات العالمية، وتطوير مسارات واعدة للقيادات الشابة، وبناء القدرات القيادية على إدارة الشراكات مع القطاع الخاص. أوصى الباحثون بضرورة الاستثمار في برامج تطوير القيادات الواعدة، وتبني نماذج قيادة موزعة</w:t>
      </w:r>
      <w:r w:rsidRPr="005D59A7">
        <w:rPr>
          <w:rFonts w:ascii="T" w:hAnsi="T" w:cs="Simplified Arabic"/>
          <w:sz w:val="24"/>
          <w:szCs w:val="24"/>
        </w:rPr>
        <w:t xml:space="preserve"> (Distributed Leadership) </w:t>
      </w:r>
      <w:r w:rsidRPr="005D59A7">
        <w:rPr>
          <w:rFonts w:ascii="T" w:hAnsi="T" w:cs="Simplified Arabic"/>
          <w:sz w:val="24"/>
          <w:szCs w:val="24"/>
          <w:rtl/>
        </w:rPr>
        <w:t>تشرك جميع المستويات في صنع القرار، وتطوير آليات لتقييم أداء القيادات وربطه بنتائج التحول المؤسسي</w:t>
      </w:r>
      <w:r w:rsidRPr="005D59A7">
        <w:rPr>
          <w:rFonts w:ascii="T" w:hAnsi="T" w:cs="Simplified Arabic"/>
          <w:sz w:val="24"/>
          <w:szCs w:val="24"/>
        </w:rPr>
        <w:t>.</w:t>
      </w:r>
    </w:p>
    <w:p w14:paraId="78995671"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دراسات التحول المؤسسي في القطاع البيئي السعودي</w:t>
      </w:r>
    </w:p>
    <w:p w14:paraId="2D96222A"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 القطاع البيئي السعودي تحولاً مؤسسياً كبيراً في السنوات الأخيرة، تمثل في إعادة الهيكلة، وإنشاء مراكز بيئية متخصصة، وإطلاق الإستراتيجية الوطنية للبيئة، وتعزيز الشراكات مع القطاع الخاص</w:t>
      </w:r>
      <w:r w:rsidRPr="005D59A7">
        <w:rPr>
          <w:rFonts w:ascii="T" w:hAnsi="T" w:cs="Simplified Arabic"/>
          <w:sz w:val="24"/>
          <w:szCs w:val="24"/>
        </w:rPr>
        <w:t>.</w:t>
      </w:r>
    </w:p>
    <w:p w14:paraId="5319F519" w14:textId="01EA6A51"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Elkebti &amp; Khalifa (2025)</w:t>
      </w:r>
      <w:r w:rsidRPr="005D59A7">
        <w:rPr>
          <w:rFonts w:ascii="T" w:hAnsi="T" w:cs="Simplified Arabic"/>
          <w:sz w:val="24"/>
          <w:szCs w:val="24"/>
          <w:rtl/>
        </w:rPr>
        <w:t xml:space="preserve"> المبادرات الخضراء السعودية والشرق أوسطية، مع التركيز على دور الحوكمة البيئية، والتحول في مجال الطاقة المتجددة، والابتكار في تحقيق مستقبل أخضر إقليمي. اعتمدوا على منهجية تحليل البيانات الثانوية، حيث قاموا بتحليل تقارير دولية ووطنية حول أداء الدول في المؤشرات البيئية، ومبادرات الطاقة المتجددة، والابتكار الأخضر. توصلوا إلى أن المبادرة السعودية الخضراء</w:t>
      </w:r>
      <w:r w:rsidRPr="005D59A7">
        <w:rPr>
          <w:rFonts w:ascii="T" w:hAnsi="T" w:cs="Simplified Arabic"/>
          <w:sz w:val="24"/>
          <w:szCs w:val="24"/>
        </w:rPr>
        <w:t xml:space="preserve"> (SGI) </w:t>
      </w:r>
      <w:r w:rsidRPr="005D59A7">
        <w:rPr>
          <w:rFonts w:ascii="T" w:hAnsi="T" w:cs="Simplified Arabic"/>
          <w:sz w:val="24"/>
          <w:szCs w:val="24"/>
          <w:rtl/>
        </w:rPr>
        <w:t>ومبادرة الشرق الأوسط الأخضر</w:t>
      </w:r>
      <w:r w:rsidRPr="005D59A7">
        <w:rPr>
          <w:rFonts w:ascii="T" w:hAnsi="T" w:cs="Simplified Arabic"/>
          <w:sz w:val="24"/>
          <w:szCs w:val="24"/>
        </w:rPr>
        <w:t xml:space="preserve"> (MGI) </w:t>
      </w:r>
      <w:r w:rsidRPr="005D59A7">
        <w:rPr>
          <w:rFonts w:ascii="T" w:hAnsi="T" w:cs="Simplified Arabic"/>
          <w:sz w:val="24"/>
          <w:szCs w:val="24"/>
          <w:rtl/>
        </w:rPr>
        <w:t xml:space="preserve">تمثلان نقلة نوعية في الالتزام الإقليمي بالعمل البيئي، حيث تستهدفان خفض الانبعاثات، </w:t>
      </w:r>
      <w:r w:rsidRPr="005D59A7">
        <w:rPr>
          <w:rFonts w:ascii="T" w:hAnsi="T" w:cs="Simplified Arabic"/>
          <w:sz w:val="24"/>
          <w:szCs w:val="24"/>
          <w:rtl/>
        </w:rPr>
        <w:lastRenderedPageBreak/>
        <w:t>وزيادة الغطاء النباتي، وحماية الحياة الفطرية. أشار الباحثون إلى أن نجاح هذه المبادرات يعتمد بشكل كبير على تعزيز الحوكمة البيئية (بما يشمل الشفافية والمساءلة والمشاركة)، وتسريع التحول نحو الطاقة المتجددة، ودعم الابتكار في التقنيات الخضراء. كما أشاروا إلى أن المملكة قطعت خطوات كبيرة في مجال الطاقة المتجددة، من خلال مشاريع مثل سدير والسكة، والاستثمار في الهيدروجين الأخضر. أوصى الباحثون بضرورة تعزيز التعاون الإقليمي في مجال الحوكمة البيئية، وتبادل الخبرات في مجال الابتكار الأخضر، وتطوير آليات تمويل مبتكرة لدعم مشاريع الطاقة المتجددة والتكيف مع تغير المناخ</w:t>
      </w:r>
      <w:r w:rsidRPr="005D59A7">
        <w:rPr>
          <w:rFonts w:ascii="T" w:hAnsi="T" w:cs="Simplified Arabic"/>
          <w:sz w:val="24"/>
          <w:szCs w:val="24"/>
        </w:rPr>
        <w:t>.</w:t>
      </w:r>
    </w:p>
    <w:p w14:paraId="37050B5E" w14:textId="727F1149"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بحث </w:t>
      </w:r>
      <w:proofErr w:type="spellStart"/>
      <w:r w:rsidRPr="005D59A7">
        <w:rPr>
          <w:rFonts w:ascii="T" w:hAnsi="T" w:cs="Simplified Arabic"/>
          <w:sz w:val="24"/>
          <w:szCs w:val="24"/>
        </w:rPr>
        <w:t>Almeflh</w:t>
      </w:r>
      <w:proofErr w:type="spellEnd"/>
      <w:r w:rsidRPr="005D59A7">
        <w:rPr>
          <w:rFonts w:ascii="T" w:hAnsi="T" w:cs="Simplified Arabic"/>
          <w:sz w:val="24"/>
          <w:szCs w:val="24"/>
        </w:rPr>
        <w:t xml:space="preserve"> &amp; </w:t>
      </w:r>
      <w:proofErr w:type="spellStart"/>
      <w:r w:rsidRPr="005D59A7">
        <w:rPr>
          <w:rFonts w:ascii="T" w:hAnsi="T" w:cs="Simplified Arabic"/>
          <w:sz w:val="24"/>
          <w:szCs w:val="24"/>
        </w:rPr>
        <w:t>Almofleh</w:t>
      </w:r>
      <w:proofErr w:type="spellEnd"/>
      <w:r w:rsidRPr="005D59A7">
        <w:rPr>
          <w:rFonts w:ascii="T" w:hAnsi="T" w:cs="Simplified Arabic"/>
          <w:sz w:val="24"/>
          <w:szCs w:val="24"/>
        </w:rPr>
        <w:t xml:space="preserve"> (2025)</w:t>
      </w:r>
      <w:r w:rsidRPr="005D59A7">
        <w:rPr>
          <w:rFonts w:ascii="T" w:hAnsi="T" w:cs="Simplified Arabic"/>
          <w:sz w:val="24"/>
          <w:szCs w:val="24"/>
          <w:rtl/>
        </w:rPr>
        <w:t xml:space="preserve"> في المحفزات المؤسسية للمحاسبة البيئية واستجابات المنظمات في السياق السعودي. اعتمدوا على منهجية كمية، حيث قاموا بتوزيع استبيانات على 200 من المديرين الماليين والبيئيين في الشركات السعودية الكبرى. توصلوا إلى أن المحفزات المؤسسية للمحاسبة البيئية تشمل: الضغوط التنظيمية (قوانين وأنظمة بيئية أكثر صرامة)، والضغوط الاجتماعية (توقعات المجتمع والرأي العام)، والضغوط الاقتصادية (حوافز السوق وتكاليف الالتزام)، والضغوط المؤسسية الداخلية (التزام القيادة وثقافة المنظمة). أشار الباحثون إلى أن استجابات المنظمات لهذه المحفزات تتنوع بين الامتثال الأدنى (اتباع الحد الأدنى من المتطلبات القانونية)، والاستباقية (تجاوز المتطلبات القانونية طوعاً)، والريادة (دمج الاعتبارات البيئية في الاستراتيجية الأساسية للشركة). كما وجدوا أن الشركات التي تتبنى استجابات استباقية تحقق أداءً بيئياً ومالياً أفضل. أوصى الباحثون بضرورة تعزيز الأطر التنظيمية للمحاسبة البيئية والإفصاح عنها، وتطوير حوافز للشركات التي تتبنى ممارسات بيئية استباقية، وبناء قدرات المديرين الماليين والبيئيين في مجال المحاسبة البيئية</w:t>
      </w:r>
      <w:r w:rsidRPr="005D59A7">
        <w:rPr>
          <w:rFonts w:ascii="T" w:hAnsi="T" w:cs="Simplified Arabic"/>
          <w:sz w:val="24"/>
          <w:szCs w:val="24"/>
        </w:rPr>
        <w:t>.</w:t>
      </w:r>
    </w:p>
    <w:p w14:paraId="7D253087" w14:textId="271B1F48" w:rsidR="003C54ED"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ركز </w:t>
      </w:r>
      <w:r w:rsidRPr="005D59A7">
        <w:rPr>
          <w:rFonts w:ascii="T" w:hAnsi="T" w:cs="Simplified Arabic"/>
          <w:sz w:val="24"/>
          <w:szCs w:val="24"/>
        </w:rPr>
        <w:t xml:space="preserve"> </w:t>
      </w:r>
      <w:proofErr w:type="spellStart"/>
      <w:r w:rsidRPr="005D59A7">
        <w:rPr>
          <w:rFonts w:ascii="T" w:hAnsi="T" w:cs="Simplified Arabic"/>
          <w:sz w:val="24"/>
          <w:szCs w:val="24"/>
        </w:rPr>
        <w:t>Alhosani</w:t>
      </w:r>
      <w:proofErr w:type="spellEnd"/>
      <w:r w:rsidRPr="005D59A7">
        <w:rPr>
          <w:rFonts w:ascii="T" w:hAnsi="T" w:cs="Simplified Arabic"/>
          <w:sz w:val="24"/>
          <w:szCs w:val="24"/>
        </w:rPr>
        <w:t xml:space="preserve"> (2025) </w:t>
      </w:r>
      <w:r w:rsidRPr="005D59A7">
        <w:rPr>
          <w:rFonts w:ascii="T" w:hAnsi="T" w:cs="Simplified Arabic"/>
          <w:sz w:val="24"/>
          <w:szCs w:val="24"/>
          <w:rtl/>
        </w:rPr>
        <w:t xml:space="preserve">على الاستفادة من الشراكات بين القطاعين العام والخاص لتعزيز الاقتصاد الدائري، من خلال دراسة حالة في إمارة عجمان. اعتمد على منهجية دراسة الحالة، حيث حلل تجربة إمارة عجمان في تطبيق الشراكات مع القطاع الخاص لإدارة النفايات الصناعية وتحقيق الاستدامة الاقتصادية. توصل الباحث إلى أن تطبيق نموذج الشراكة مع القطاع الخاص ساهم بشكل كبير في تحسين إدارة النفايات الصناعية، وزيادة نسب إعادة التدوير، وتقليل النفايات المرسلة إلى المطامر. أشار الباحث إلى أن عوامل نجاح هذه الشراكات تشمل: الإرادة السياسية القوية، والإطار القانوني الواضح، والشفافية في عمليات الطرح والتعاقد، وتوزيع المخاطر بشكل عادل بين الشركاء، وإشراك القطاع الخاص في تصميم الحلول المبتكرة. كما أشار إلى أن تطبيق مبادئ الاقتصاد </w:t>
      </w:r>
      <w:r w:rsidRPr="005D59A7">
        <w:rPr>
          <w:rFonts w:ascii="T" w:hAnsi="T" w:cs="Simplified Arabic"/>
          <w:sz w:val="24"/>
          <w:szCs w:val="24"/>
          <w:rtl/>
        </w:rPr>
        <w:lastRenderedPageBreak/>
        <w:t>الدائري من خلال الشراكات يحقق فوائد اقتصادية (توفير التكاليف، خلق فرص عمل، جذب استثمارات) وبيئية (تقليل التلوث، الحفاظ على الموارد) واجتماعية (تحسين جودة الحياة، رفع الوعي البيئي). أوصى الباحث بضرورة تعميم تجربة عجمان على مستوى الإمارات الأخرى ودول المنطقة، مع التركيز على تطوير أطر حوكمة مناسبة للاقتصاد الدائري، وتحفيز القطاع الخاص على الاستثمار في مشاريع إعادة التدوير والتدوير</w:t>
      </w:r>
      <w:r w:rsidRPr="005D59A7">
        <w:rPr>
          <w:rFonts w:ascii="T" w:hAnsi="T" w:cs="Simplified Arabic"/>
          <w:sz w:val="24"/>
          <w:szCs w:val="24"/>
        </w:rPr>
        <w:t>.</w:t>
      </w:r>
    </w:p>
    <w:p w14:paraId="3EB3576F" w14:textId="77777777" w:rsidR="00F1481D" w:rsidRPr="005D59A7" w:rsidRDefault="00F1481D" w:rsidP="00F1481D">
      <w:pPr>
        <w:bidi/>
        <w:spacing w:line="360" w:lineRule="auto"/>
        <w:ind w:firstLine="720"/>
        <w:jc w:val="both"/>
        <w:rPr>
          <w:rFonts w:ascii="T" w:hAnsi="T" w:cs="Simplified Arabic"/>
          <w:sz w:val="24"/>
          <w:szCs w:val="24"/>
          <w:rtl/>
        </w:rPr>
      </w:pPr>
    </w:p>
    <w:p w14:paraId="17954E9E" w14:textId="77777777" w:rsidR="003C54ED" w:rsidRPr="00F4693E" w:rsidRDefault="003C54ED" w:rsidP="00861DC2">
      <w:pPr>
        <w:bidi/>
        <w:spacing w:line="360" w:lineRule="auto"/>
        <w:ind w:firstLine="720"/>
        <w:jc w:val="both"/>
        <w:rPr>
          <w:rFonts w:ascii="T" w:hAnsi="T" w:cs="Simplified Arabic"/>
          <w:b/>
          <w:bCs/>
          <w:sz w:val="24"/>
          <w:szCs w:val="24"/>
          <w:rtl/>
        </w:rPr>
      </w:pPr>
      <w:r w:rsidRPr="00693289">
        <w:rPr>
          <w:rFonts w:ascii="T" w:hAnsi="T" w:cs="Simplified Arabic"/>
          <w:b/>
          <w:bCs/>
          <w:sz w:val="24"/>
          <w:szCs w:val="24"/>
          <w:rtl/>
        </w:rPr>
        <w:t>الفجوة البحثية للدراسة</w:t>
      </w:r>
    </w:p>
    <w:p w14:paraId="4F47579B"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تتمثل الفجوة البحثية في وجود تباين واضح بين التطور المؤسسي والسياسي الكبير الذي يشهده قطاع البيئة في المملكة العربية السعودية - خاصة في مجال التفتيش البيئي - وبين محدودية المعرفة العلمية والتطبيقية حول آليات تصميم وتنفيذ الشراكات بين القطاعين العام والخاص في هذا القطاع الحيوي. فبينما شهدت السنوات الأخيرة إصلاحات هيكلية جذرية تمثلت في إعادة هيكلة القطاع البيئي، وإنشاء المراكز الوطنية المتخصصة، وإطلاق الإستراتيجية الوطنية للبيئة، وطرح أول مشاريع الشراكة في التفتيش البيئي، نجد أن الأدبيات الأكاديمية والدراسات السابقة لم تواكب هذه التطورات، ولم تقدم نماذج متكاملة يمكن أن توجه عملية التحول من نموذج التوريد التقليدي إلى نموذج الشراكة القائم على الأداء</w:t>
      </w:r>
      <w:r w:rsidRPr="005D59A7">
        <w:rPr>
          <w:rFonts w:ascii="T" w:hAnsi="T" w:cs="Simplified Arabic"/>
          <w:sz w:val="24"/>
          <w:szCs w:val="24"/>
        </w:rPr>
        <w:t>.</w:t>
      </w:r>
    </w:p>
    <w:p w14:paraId="263BACC7" w14:textId="77777777" w:rsidR="003C54ED" w:rsidRPr="00693289" w:rsidRDefault="003C54ED" w:rsidP="00861DC2">
      <w:pPr>
        <w:bidi/>
        <w:spacing w:line="360" w:lineRule="auto"/>
        <w:ind w:firstLine="720"/>
        <w:jc w:val="both"/>
        <w:rPr>
          <w:rFonts w:ascii="T" w:hAnsi="T" w:cs="Simplified Arabic"/>
          <w:sz w:val="24"/>
          <w:szCs w:val="24"/>
          <w:rtl/>
        </w:rPr>
      </w:pPr>
      <w:r w:rsidRPr="00693289">
        <w:rPr>
          <w:rFonts w:ascii="T" w:hAnsi="T" w:cs="Simplified Arabic"/>
          <w:sz w:val="24"/>
          <w:szCs w:val="24"/>
          <w:rtl/>
        </w:rPr>
        <w:t>يمكن تفصيل هذه الفجوة البحثية عبر أربعة مستويات مترابطة: الفجوة النظرية، الفجوة المنهجية، الفجوة التطبيقية، والفجوة السياقية</w:t>
      </w:r>
      <w:r w:rsidRPr="00693289">
        <w:rPr>
          <w:rFonts w:ascii="T" w:hAnsi="T" w:cs="Simplified Arabic"/>
          <w:sz w:val="24"/>
          <w:szCs w:val="24"/>
        </w:rPr>
        <w:t>.</w:t>
      </w:r>
    </w:p>
    <w:p w14:paraId="358EB66C" w14:textId="36098D6E" w:rsidR="003C54ED" w:rsidRPr="008769F3" w:rsidRDefault="003C54ED" w:rsidP="00861DC2">
      <w:pPr>
        <w:bidi/>
        <w:spacing w:line="360" w:lineRule="auto"/>
        <w:ind w:firstLine="720"/>
        <w:jc w:val="both"/>
        <w:rPr>
          <w:rFonts w:ascii="T" w:hAnsi="T" w:cs="Simplified Arabic"/>
          <w:b/>
          <w:bCs/>
          <w:sz w:val="24"/>
          <w:szCs w:val="24"/>
          <w:rtl/>
        </w:rPr>
      </w:pPr>
      <w:r w:rsidRPr="00693289">
        <w:rPr>
          <w:rFonts w:ascii="T" w:hAnsi="T" w:cs="Simplified Arabic"/>
          <w:b/>
          <w:bCs/>
          <w:sz w:val="24"/>
          <w:szCs w:val="24"/>
          <w:rtl/>
        </w:rPr>
        <w:t>الفجوة النظرية</w:t>
      </w:r>
    </w:p>
    <w:p w14:paraId="3EF91949"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تعاني الأدبيات الحالية من غياب إطار نظري متكامل يفسر كيفية تحقيق التوازن بين الكفاءة الاقتصادية والحياد التنظيمي والشفافية والمساءلة في خدمات التفتيش البيئي عند تطبيق نموذج الشراكة بين القطاعين العام والخاص</w:t>
      </w:r>
      <w:r w:rsidRPr="005D59A7">
        <w:rPr>
          <w:rFonts w:ascii="T" w:hAnsi="T" w:cs="Simplified Arabic"/>
          <w:sz w:val="24"/>
          <w:szCs w:val="24"/>
        </w:rPr>
        <w:t>.</w:t>
      </w:r>
    </w:p>
    <w:p w14:paraId="7CDE25E8"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على الرغم من أن نظريتي الوكالة وتكاليف المعاملات تقدم أدوات تحليلية قوية لفهم العلاقات التعاقدية وتصميم آليات الحوافز، إلا أن تطبيقهما على الخدمات الرقابية عالية الحساسية</w:t>
      </w:r>
      <w:r w:rsidRPr="005D59A7">
        <w:rPr>
          <w:rFonts w:ascii="T" w:hAnsi="T" w:cs="Simplified Arabic"/>
          <w:sz w:val="24"/>
          <w:szCs w:val="24"/>
        </w:rPr>
        <w:t xml:space="preserve"> (High-Sensitivity </w:t>
      </w:r>
      <w:r w:rsidRPr="005D59A7">
        <w:rPr>
          <w:rFonts w:ascii="T" w:hAnsi="T" w:cs="Simplified Arabic"/>
          <w:sz w:val="24"/>
          <w:szCs w:val="24"/>
        </w:rPr>
        <w:lastRenderedPageBreak/>
        <w:t xml:space="preserve">Regulatory Services) </w:t>
      </w:r>
      <w:r w:rsidRPr="005D59A7">
        <w:rPr>
          <w:rFonts w:ascii="T" w:hAnsi="T" w:cs="Simplified Arabic"/>
          <w:sz w:val="24"/>
          <w:szCs w:val="24"/>
          <w:rtl/>
        </w:rPr>
        <w:t>مثل التفتيش البيئي لا يزال محدوداً. فمعظم الدراسات التي تناولت الشراكات في قطاع البيئة ركزت على مشاريع البنية التحتية البيئية (مثل محطات معالجة المياه، ومحطات الطاقة المتجددة، وإدارة النفايات)، وهي مشاريع تختلف اختلافاً جوهرياً عن خدمات التفتيش البيئي التي تتطلب موازنة دقيقة بين الكفاءة التشغيلية والحفاظ على سلطة اتخاذ القرارات التنظيمية في يد الجهات الحكومية</w:t>
      </w:r>
      <w:r w:rsidRPr="005D59A7">
        <w:rPr>
          <w:rFonts w:ascii="T" w:hAnsi="T" w:cs="Simplified Arabic"/>
          <w:sz w:val="24"/>
          <w:szCs w:val="24"/>
        </w:rPr>
        <w:t>.</w:t>
      </w:r>
    </w:p>
    <w:p w14:paraId="38BDEE43"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علاوة على ذلك، تشير الدراسات إلى أن العقود الطويلة الأجل في مشاريع الشراكة تواجه تحديات تتعلق بعدم اكتمال العقود</w:t>
      </w:r>
      <w:r w:rsidRPr="005D59A7">
        <w:rPr>
          <w:rFonts w:ascii="T" w:hAnsi="T" w:cs="Simplified Arabic"/>
          <w:sz w:val="24"/>
          <w:szCs w:val="24"/>
        </w:rPr>
        <w:t xml:space="preserve"> (Incomplete Contracts) </w:t>
      </w:r>
      <w:r w:rsidRPr="005D59A7">
        <w:rPr>
          <w:rFonts w:ascii="T" w:hAnsi="T" w:cs="Simplified Arabic"/>
          <w:sz w:val="24"/>
          <w:szCs w:val="24"/>
          <w:rtl/>
        </w:rPr>
        <w:t>والحاجة إلى آليات تكيف وتعديل خلال فترة العقد. وفي سياق التفتيش البيئي، حيث تتغير اللوائح البيئية باستمرار وتظهر أنواع جديدة من التلوث، تصبح الحاجة إلى أطر حوكمة مرنة وقادرة على التكيف أكثر إلحاحاً. غير أن الأدبيات الحالية لا تقدم نماذج واضحة لتصميم آليات التكيف هذه في عقود شراكة خدمات التفتيش البيئي</w:t>
      </w:r>
      <w:r w:rsidRPr="005D59A7">
        <w:rPr>
          <w:rFonts w:ascii="T" w:hAnsi="T" w:cs="Simplified Arabic"/>
          <w:sz w:val="24"/>
          <w:szCs w:val="24"/>
        </w:rPr>
        <w:t>.</w:t>
      </w:r>
    </w:p>
    <w:p w14:paraId="2D71C6A6"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كما أن هناك فجوة نظرية تتعلق بفهم العلاقة بين الحوكمة البيئية وإدارة الأداء في سياق الشراكات. فبينما أشارت دراسة</w:t>
      </w:r>
      <w:r w:rsidRPr="005D59A7">
        <w:rPr>
          <w:rFonts w:ascii="T" w:hAnsi="T" w:cs="Simplified Arabic"/>
          <w:sz w:val="24"/>
          <w:szCs w:val="24"/>
        </w:rPr>
        <w:t xml:space="preserve"> Waardenburg, </w:t>
      </w:r>
      <w:proofErr w:type="spellStart"/>
      <w:r w:rsidRPr="005D59A7">
        <w:rPr>
          <w:rFonts w:ascii="T" w:hAnsi="T" w:cs="Simplified Arabic"/>
          <w:sz w:val="24"/>
          <w:szCs w:val="24"/>
        </w:rPr>
        <w:t>Groenleer</w:t>
      </w:r>
      <w:proofErr w:type="spellEnd"/>
      <w:r w:rsidRPr="005D59A7">
        <w:rPr>
          <w:rFonts w:ascii="T" w:hAnsi="T" w:cs="Simplified Arabic"/>
          <w:sz w:val="24"/>
          <w:szCs w:val="24"/>
        </w:rPr>
        <w:t xml:space="preserve">, &amp; de Jong (2025) </w:t>
      </w:r>
      <w:r w:rsidRPr="005D59A7">
        <w:rPr>
          <w:rFonts w:ascii="T" w:hAnsi="T" w:cs="Simplified Arabic"/>
          <w:sz w:val="24"/>
          <w:szCs w:val="24"/>
          <w:rtl/>
        </w:rPr>
        <w:t>إلى تحديات قياس الأداء والمساءلة في الحوكمة التعاونية، ودراسة</w:t>
      </w:r>
      <w:r w:rsidRPr="005D59A7">
        <w:rPr>
          <w:rFonts w:ascii="T" w:hAnsi="T" w:cs="Simplified Arabic"/>
          <w:sz w:val="24"/>
          <w:szCs w:val="24"/>
        </w:rPr>
        <w:t xml:space="preserve"> Martiny et al. (2024) </w:t>
      </w:r>
      <w:r w:rsidRPr="005D59A7">
        <w:rPr>
          <w:rFonts w:ascii="T" w:hAnsi="T" w:cs="Simplified Arabic"/>
          <w:sz w:val="24"/>
          <w:szCs w:val="24"/>
          <w:rtl/>
        </w:rPr>
        <w:t>إلى محددات أداء</w:t>
      </w:r>
      <w:r w:rsidRPr="005D59A7">
        <w:rPr>
          <w:rFonts w:ascii="T" w:hAnsi="T" w:cs="Simplified Arabic"/>
          <w:sz w:val="24"/>
          <w:szCs w:val="24"/>
        </w:rPr>
        <w:t xml:space="preserve"> ESG</w:t>
      </w:r>
      <w:r w:rsidRPr="005D59A7">
        <w:rPr>
          <w:rFonts w:ascii="T" w:hAnsi="T" w:cs="Simplified Arabic"/>
          <w:sz w:val="24"/>
          <w:szCs w:val="24"/>
          <w:rtl/>
        </w:rPr>
        <w:t>، ودراسة</w:t>
      </w:r>
      <w:r w:rsidRPr="005D59A7">
        <w:rPr>
          <w:rFonts w:ascii="T" w:hAnsi="T" w:cs="Simplified Arabic"/>
          <w:sz w:val="24"/>
          <w:szCs w:val="24"/>
        </w:rPr>
        <w:t xml:space="preserve"> Biondi &amp; Russo (2022) </w:t>
      </w:r>
      <w:r w:rsidRPr="005D59A7">
        <w:rPr>
          <w:rFonts w:ascii="T" w:hAnsi="T" w:cs="Simplified Arabic"/>
          <w:sz w:val="24"/>
          <w:szCs w:val="24"/>
          <w:rtl/>
        </w:rPr>
        <w:t>إلى دمج التخطيط الاستراتيجي وإدارة الأداء، فإن هذه الدراسات لم تتناول بشكل خاص كيفية تصميم أنظمة إدارة أداء تناسب طبيعة خدمات التفتيش البيئي في إطار الشراكة مع القطاع الخاص</w:t>
      </w:r>
      <w:r w:rsidRPr="005D59A7">
        <w:rPr>
          <w:rFonts w:ascii="T" w:hAnsi="T" w:cs="Simplified Arabic"/>
          <w:sz w:val="24"/>
          <w:szCs w:val="24"/>
        </w:rPr>
        <w:t>.</w:t>
      </w:r>
    </w:p>
    <w:p w14:paraId="73DD9F0C" w14:textId="40EC5A16" w:rsidR="003C54ED" w:rsidRPr="008769F3" w:rsidRDefault="003C54ED" w:rsidP="00861DC2">
      <w:pPr>
        <w:bidi/>
        <w:spacing w:line="360" w:lineRule="auto"/>
        <w:ind w:firstLine="720"/>
        <w:jc w:val="both"/>
        <w:rPr>
          <w:rFonts w:ascii="T" w:hAnsi="T" w:cs="Simplified Arabic"/>
          <w:b/>
          <w:bCs/>
          <w:sz w:val="24"/>
          <w:szCs w:val="24"/>
          <w:rtl/>
        </w:rPr>
      </w:pPr>
      <w:r w:rsidRPr="00693289">
        <w:rPr>
          <w:rFonts w:ascii="T" w:hAnsi="T" w:cs="Simplified Arabic"/>
          <w:b/>
          <w:bCs/>
          <w:sz w:val="24"/>
          <w:szCs w:val="24"/>
          <w:rtl/>
        </w:rPr>
        <w:t>الفجوة المنهجية</w:t>
      </w:r>
    </w:p>
    <w:p w14:paraId="182B93E9"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تعاني الدراسات السابقة من قيود منهجية واضحة تحد من قدرتها على تقديم إجابات قاطعة حول فعالية الشراكات في تحسين أداء خدمات التفتيش البيئي</w:t>
      </w:r>
      <w:r w:rsidRPr="005D59A7">
        <w:rPr>
          <w:rFonts w:ascii="T" w:hAnsi="T" w:cs="Simplified Arabic"/>
          <w:sz w:val="24"/>
          <w:szCs w:val="24"/>
        </w:rPr>
        <w:t>.</w:t>
      </w:r>
    </w:p>
    <w:p w14:paraId="63271E8C"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غلبة الدراسات النوعية والنظرية على حساب الدراسات الكمية. معظم الدراسات التي تناولت الشراكات في قطاع البيئة اعتمدت على منهجيات نوعية مثل دراسات الحالة والمقابلات، مما يجعل من الصعب تعميم نتائجها أو قياس حجم تأثير المتغيرات المختلفة على أداء الشراكة. كما أن ندرة الدراسات الكمية التي تستخدم نماذج إحصائية لاختبار الفرضيات تحول دون الوصول إلى استنتاجات قاطعة حول العلاقات السببية بين متغيرات الحوكمة وأداء الشراكات</w:t>
      </w:r>
      <w:r w:rsidRPr="005D59A7">
        <w:rPr>
          <w:rFonts w:ascii="T" w:hAnsi="T" w:cs="Simplified Arabic"/>
          <w:sz w:val="24"/>
          <w:szCs w:val="24"/>
        </w:rPr>
        <w:t>.</w:t>
      </w:r>
    </w:p>
    <w:p w14:paraId="1C4CCE18"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ثانياً: غياب نماذج قياس أداء كمية خاصة بالتفتيش البيئي. في الوقت الذي تشير فيه دراسة</w:t>
      </w:r>
      <w:r w:rsidRPr="005D59A7">
        <w:rPr>
          <w:rFonts w:ascii="T" w:hAnsi="T" w:cs="Simplified Arabic"/>
          <w:sz w:val="24"/>
          <w:szCs w:val="24"/>
        </w:rPr>
        <w:t xml:space="preserve"> </w:t>
      </w:r>
      <w:proofErr w:type="spellStart"/>
      <w:r w:rsidRPr="005D59A7">
        <w:rPr>
          <w:rFonts w:ascii="T" w:hAnsi="T" w:cs="Simplified Arabic"/>
          <w:sz w:val="24"/>
          <w:szCs w:val="24"/>
        </w:rPr>
        <w:t>Alruwaili</w:t>
      </w:r>
      <w:proofErr w:type="spellEnd"/>
      <w:r w:rsidRPr="005D59A7">
        <w:rPr>
          <w:rFonts w:ascii="T" w:hAnsi="T" w:cs="Simplified Arabic"/>
          <w:sz w:val="24"/>
          <w:szCs w:val="24"/>
        </w:rPr>
        <w:t xml:space="preserve"> et al. (2024) </w:t>
      </w:r>
      <w:r w:rsidRPr="005D59A7">
        <w:rPr>
          <w:rFonts w:ascii="T" w:hAnsi="T" w:cs="Simplified Arabic"/>
          <w:sz w:val="24"/>
          <w:szCs w:val="24"/>
          <w:rtl/>
        </w:rPr>
        <w:t>إلى أهمية الحوكمة الإلكترونية وإدارة المعرفة في تحسين أداء القطاع العام، ودراسة</w:t>
      </w:r>
      <w:r w:rsidRPr="005D59A7">
        <w:rPr>
          <w:rFonts w:ascii="T" w:hAnsi="T" w:cs="Simplified Arabic"/>
          <w:sz w:val="24"/>
          <w:szCs w:val="24"/>
        </w:rPr>
        <w:t xml:space="preserve"> Yadav &amp; Prashar (2023) </w:t>
      </w:r>
      <w:r w:rsidRPr="005D59A7">
        <w:rPr>
          <w:rFonts w:ascii="T" w:hAnsi="T" w:cs="Simplified Arabic"/>
          <w:sz w:val="24"/>
          <w:szCs w:val="24"/>
          <w:rtl/>
        </w:rPr>
        <w:t>إلى تأثير تنوع مجلس الإدارة على أداء</w:t>
      </w:r>
      <w:r w:rsidRPr="005D59A7">
        <w:rPr>
          <w:rFonts w:ascii="T" w:hAnsi="T" w:cs="Simplified Arabic"/>
          <w:sz w:val="24"/>
          <w:szCs w:val="24"/>
        </w:rPr>
        <w:t xml:space="preserve"> ESG</w:t>
      </w:r>
      <w:r w:rsidRPr="005D59A7">
        <w:rPr>
          <w:rFonts w:ascii="T" w:hAnsi="T" w:cs="Simplified Arabic"/>
          <w:sz w:val="24"/>
          <w:szCs w:val="24"/>
          <w:rtl/>
        </w:rPr>
        <w:t>، فإن هذه الدراسات لم تقدم نماذج قياس كمية محددة لخدمة التفتيش البيئي، تشمل مؤشرات مثل التكلفة التشغيلية للزيارة التفتيشية، ونسبة المخالفات المرفوضة، ونسبة تغطية المنشآت، وزمن إغلاق المخالفات</w:t>
      </w:r>
      <w:r w:rsidRPr="005D59A7">
        <w:rPr>
          <w:rFonts w:ascii="T" w:hAnsi="T" w:cs="Simplified Arabic"/>
          <w:sz w:val="24"/>
          <w:szCs w:val="24"/>
        </w:rPr>
        <w:t>.</w:t>
      </w:r>
    </w:p>
    <w:p w14:paraId="7B2718C3"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محدودية استخدام تحليل البيانات الثانوية الرسمية. رغم توفر بيانات كمية رسمية من المركز الوطني للرقابة على الالتزام البيئي عن أداء خدمة التفتيش البيئي خلال الفترة 2017-2019، إلا أن هذه البيانات لم تخضع لتحليل إحصائي معمق في الدراسات السابقة، مما يمثل فرصة بحثية ثمينة يمكن استغلالها في هذه الدراسة. تشمل هذه البيانات مؤشرات مالية (تكاليف المشروع، عوائد المخالفات، العجز)، ومؤشرات تشغيلية (عدد المفتشين، عدد الزيارات، عدد المنشآت، نسبة التغطية)، ومؤشرات جودة (نسبة المخالفات المرفوضة، المخالفات لكل زيارة)</w:t>
      </w:r>
      <w:r w:rsidRPr="005D59A7">
        <w:rPr>
          <w:rFonts w:ascii="T" w:hAnsi="T" w:cs="Simplified Arabic"/>
          <w:sz w:val="24"/>
          <w:szCs w:val="24"/>
        </w:rPr>
        <w:t>.</w:t>
      </w:r>
    </w:p>
    <w:p w14:paraId="332B516B" w14:textId="4648CF97" w:rsidR="003C54ED" w:rsidRPr="008769F3" w:rsidRDefault="003C54ED" w:rsidP="00861DC2">
      <w:pPr>
        <w:bidi/>
        <w:spacing w:line="360" w:lineRule="auto"/>
        <w:ind w:firstLine="720"/>
        <w:jc w:val="both"/>
        <w:rPr>
          <w:rFonts w:ascii="T" w:hAnsi="T" w:cs="Simplified Arabic"/>
          <w:b/>
          <w:bCs/>
          <w:sz w:val="24"/>
          <w:szCs w:val="24"/>
          <w:rtl/>
        </w:rPr>
      </w:pPr>
      <w:r w:rsidRPr="00693289">
        <w:rPr>
          <w:rFonts w:ascii="T" w:hAnsi="T" w:cs="Simplified Arabic"/>
          <w:b/>
          <w:bCs/>
          <w:sz w:val="24"/>
          <w:szCs w:val="24"/>
          <w:rtl/>
        </w:rPr>
        <w:t>الفجوة التطبيقية</w:t>
      </w:r>
    </w:p>
    <w:p w14:paraId="1FDF4419"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رغم الإصلاحات المؤسسية الكبيرة التي شهدها قطاع البيئة السعودي، والتوجه الواضح نحو تعزيز الشراكات مع القطاع الخاص، إلا أن التطبيق الفعلي لنماذج الشراكة في خدمات التفتيش البيئي لا يزال محدوداً، مما يخلق فجوة بين النظرية والتطبيق وبين السياسات والتنفيذ</w:t>
      </w:r>
      <w:r w:rsidRPr="005D59A7">
        <w:rPr>
          <w:rFonts w:ascii="T" w:hAnsi="T" w:cs="Simplified Arabic"/>
          <w:sz w:val="24"/>
          <w:szCs w:val="24"/>
        </w:rPr>
        <w:t>.</w:t>
      </w:r>
    </w:p>
    <w:p w14:paraId="7C2B63B7"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محدودية التطبيق الميداني لنماذج الشراكة في قطاع البيئة السعودي. على الرغم من الإعلان عن أول مشروع تفتيش بيئي بنظام الشراكة بين القطاعين العام والخاص في عام 2025، والذي يستهدف تغطية 250,000 منشأة، فإن التطبيق الفعلي لا يزال في مراحله الأولى، ولم تتوفر بعد دراسات تقييمية حول أداء هذا المشروع أو الدروس المستفادة منه. كما أن مشاريع التفتيش في قطاع الحياة الفطرية لا تزال في مرحلة الطرح المحدود لتغطية 14 منفذاً حدودياً و50,000 منفذ بيع</w:t>
      </w:r>
      <w:r w:rsidRPr="005D59A7">
        <w:rPr>
          <w:rFonts w:ascii="T" w:hAnsi="T" w:cs="Simplified Arabic"/>
          <w:sz w:val="24"/>
          <w:szCs w:val="24"/>
        </w:rPr>
        <w:t>.</w:t>
      </w:r>
    </w:p>
    <w:p w14:paraId="5D14362A"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ثانياً: غياب نموذج موحد لهيكلة عقود شراكة التفتيش البيئي. تشير الدراسات إلى أن نجاح الشراكات يعتمد بشكل كبير على تصميم العقد وتوزيع المخاطر بين الشركاء. غير أن الأدبيات الحالية لا تقدم نموذجاً موحداً لهيكلة عقود شراكة التفتيش البيئي، يشمل تحديد نطاق الخدمة، وآليات الدفع، ومؤشرات الأداء، وعقوبات التقصير، </w:t>
      </w:r>
      <w:r w:rsidRPr="005D59A7">
        <w:rPr>
          <w:rFonts w:ascii="T" w:hAnsi="T" w:cs="Simplified Arabic"/>
          <w:sz w:val="24"/>
          <w:szCs w:val="24"/>
          <w:rtl/>
        </w:rPr>
        <w:lastRenderedPageBreak/>
        <w:t>وآليات التكيف مع تغير اللوائح، وحقوق والتزامات كل طرف. كما أن تجارب دول أخرى في هذا المجال (مثل المملكة المتحدة واسكتلندا) تحتاج إلى تقييم دقيق لمدى قابلية نقلها إلى السياق السعودي، مع مراعاة الاختلافات في الأطر القانونية والمؤسسية والثقافية</w:t>
      </w:r>
      <w:r w:rsidRPr="005D59A7">
        <w:rPr>
          <w:rFonts w:ascii="T" w:hAnsi="T" w:cs="Simplified Arabic"/>
          <w:sz w:val="24"/>
          <w:szCs w:val="24"/>
        </w:rPr>
        <w:t>.</w:t>
      </w:r>
    </w:p>
    <w:p w14:paraId="13A9C2F9"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غياب آليات واضحة لربط المقابل المالي بمؤشرات الأداء. من أهم تحديات تصميم عقود شراكة التفتيش البيئي هو تحديد آلية مناسبة لربط المقابل المالي الذي يحصل عليه القطاع الخاص بمؤشرات أداء قابلة للقياس. في النموذج التقليدي، كان الدفع مقابل المدخلات (عدد المفتشين، ساعات العمل)، مما أدى إلى ضعف الحوافز وضعف جودة المخرجات. في النموذج المقترح، يجب الانتقال إلى الدفع مقابل المخرجات أو النتائج، مع تصميم آليات لقياس الأداء بشكل دوري ومستقل. غير أن الأدبيات الحالية لا تقدم نماذج واضحة لتصميم هذه الآليات في سياق التفتيش البيئي</w:t>
      </w:r>
      <w:r w:rsidRPr="005D59A7">
        <w:rPr>
          <w:rFonts w:ascii="T" w:hAnsi="T" w:cs="Simplified Arabic"/>
          <w:sz w:val="24"/>
          <w:szCs w:val="24"/>
        </w:rPr>
        <w:t>.</w:t>
      </w:r>
    </w:p>
    <w:p w14:paraId="6B680A76" w14:textId="7250A646" w:rsidR="003C54ED" w:rsidRPr="008769F3" w:rsidRDefault="003C54ED" w:rsidP="00861DC2">
      <w:pPr>
        <w:bidi/>
        <w:spacing w:line="360" w:lineRule="auto"/>
        <w:ind w:firstLine="720"/>
        <w:jc w:val="both"/>
        <w:rPr>
          <w:rFonts w:ascii="T" w:hAnsi="T" w:cs="Simplified Arabic"/>
          <w:b/>
          <w:bCs/>
          <w:sz w:val="24"/>
          <w:szCs w:val="24"/>
          <w:rtl/>
        </w:rPr>
      </w:pPr>
      <w:r w:rsidRPr="00693289">
        <w:rPr>
          <w:rFonts w:ascii="T" w:hAnsi="T" w:cs="Simplified Arabic"/>
          <w:b/>
          <w:bCs/>
          <w:sz w:val="24"/>
          <w:szCs w:val="24"/>
          <w:rtl/>
        </w:rPr>
        <w:t>الفجوة السياقية</w:t>
      </w:r>
    </w:p>
    <w:p w14:paraId="11662FCE"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تتمثل الفجوة السياقية في ندرة الدراسات التي تناولت تطبيق الشراكات بين القطاعين العام والخاص في قطاع البيئة السعودي بشكل عام، وفي خدمة التفتيش البيئي بشكل خاص، خاصة في ضوء الهيكلة المؤسسية الجديدة (المراكز البيئية الخمسة، صندوق البيئة) والإستراتيجية الوطنية للبيئة</w:t>
      </w:r>
      <w:r w:rsidRPr="005D59A7">
        <w:rPr>
          <w:rFonts w:ascii="T" w:hAnsi="T" w:cs="Simplified Arabic"/>
          <w:sz w:val="24"/>
          <w:szCs w:val="24"/>
        </w:rPr>
        <w:t>.</w:t>
      </w:r>
    </w:p>
    <w:p w14:paraId="1D55B66D"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w:t>
      </w:r>
      <w:r w:rsidRPr="00693289">
        <w:rPr>
          <w:rFonts w:ascii="T" w:hAnsi="T" w:cs="Simplified Arabic"/>
          <w:sz w:val="24"/>
          <w:szCs w:val="24"/>
          <w:rtl/>
        </w:rPr>
        <w:t>: ندرة الدراسات حول الشراكات في القطاع البيئي السعودي.</w:t>
      </w:r>
      <w:r w:rsidRPr="005D59A7">
        <w:rPr>
          <w:rFonts w:ascii="T" w:hAnsi="T" w:cs="Simplified Arabic"/>
          <w:sz w:val="24"/>
          <w:szCs w:val="24"/>
          <w:rtl/>
        </w:rPr>
        <w:t xml:space="preserve"> على الرغم من وجود دراسات تناولت عوامل النجاح الحرجة للشراكات في السعودية مثل دراسة</w:t>
      </w:r>
      <w:r w:rsidRPr="005D59A7">
        <w:rPr>
          <w:rFonts w:ascii="T" w:hAnsi="T" w:cs="Simplified Arabic"/>
          <w:sz w:val="24"/>
          <w:szCs w:val="24"/>
        </w:rPr>
        <w:t xml:space="preserve"> Jubair &amp; Singh (2022) </w:t>
      </w:r>
      <w:r w:rsidRPr="005D59A7">
        <w:rPr>
          <w:rFonts w:ascii="T" w:hAnsi="T" w:cs="Simplified Arabic"/>
          <w:sz w:val="24"/>
          <w:szCs w:val="24"/>
          <w:rtl/>
        </w:rPr>
        <w:t>ودراسة</w:t>
      </w:r>
      <w:r w:rsidRPr="005D59A7">
        <w:rPr>
          <w:rFonts w:ascii="T" w:hAnsi="T" w:cs="Simplified Arabic"/>
          <w:sz w:val="24"/>
          <w:szCs w:val="24"/>
        </w:rPr>
        <w:t xml:space="preserve"> Hidalgo (2024) </w:t>
      </w:r>
      <w:r w:rsidRPr="005D59A7">
        <w:rPr>
          <w:rFonts w:ascii="T" w:hAnsi="T" w:cs="Simplified Arabic"/>
          <w:sz w:val="24"/>
          <w:szCs w:val="24"/>
          <w:rtl/>
        </w:rPr>
        <w:t>ودراسة</w:t>
      </w:r>
      <w:r w:rsidRPr="005D59A7">
        <w:rPr>
          <w:rFonts w:ascii="T" w:hAnsi="T" w:cs="Simplified Arabic"/>
          <w:sz w:val="24"/>
          <w:szCs w:val="24"/>
        </w:rPr>
        <w:t xml:space="preserve"> Guerrero et al. (</w:t>
      </w:r>
      <w:proofErr w:type="gramStart"/>
      <w:r w:rsidRPr="005D59A7">
        <w:rPr>
          <w:rFonts w:ascii="T" w:hAnsi="T" w:cs="Simplified Arabic"/>
          <w:sz w:val="24"/>
          <w:szCs w:val="24"/>
        </w:rPr>
        <w:t>2024)</w:t>
      </w:r>
      <w:r w:rsidRPr="005D59A7">
        <w:rPr>
          <w:rFonts w:ascii="T" w:hAnsi="T" w:cs="Simplified Arabic"/>
          <w:sz w:val="24"/>
          <w:szCs w:val="24"/>
          <w:rtl/>
        </w:rPr>
        <w:t>،</w:t>
      </w:r>
      <w:proofErr w:type="gramEnd"/>
      <w:r w:rsidRPr="005D59A7">
        <w:rPr>
          <w:rFonts w:ascii="T" w:hAnsi="T" w:cs="Simplified Arabic"/>
          <w:sz w:val="24"/>
          <w:szCs w:val="24"/>
          <w:rtl/>
        </w:rPr>
        <w:t xml:space="preserve"> فإن هذه الدراسات تناولت قطاعات متعددة (النقل، المياه، الطاقة) دون تركيز خاص على قطاع البيئة. كما أن هذه الدراسات لم تتناول بالتحليل المؤشرات التشغيلية والمالية التفصيلية لخدمة التفتيش البيئي، مما يمثل فجوة بحثية واضحة</w:t>
      </w:r>
      <w:r w:rsidRPr="005D59A7">
        <w:rPr>
          <w:rFonts w:ascii="T" w:hAnsi="T" w:cs="Simplified Arabic"/>
          <w:sz w:val="24"/>
          <w:szCs w:val="24"/>
        </w:rPr>
        <w:t>.</w:t>
      </w:r>
    </w:p>
    <w:p w14:paraId="5F1184C3"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ثانياً: </w:t>
      </w:r>
      <w:r w:rsidRPr="00693289">
        <w:rPr>
          <w:rFonts w:ascii="T" w:hAnsi="T" w:cs="Simplified Arabic"/>
          <w:sz w:val="24"/>
          <w:szCs w:val="24"/>
          <w:rtl/>
        </w:rPr>
        <w:t>ندرة الدراسات حول الحوكمة البيئية في السعودية.</w:t>
      </w:r>
      <w:r w:rsidRPr="005D59A7">
        <w:rPr>
          <w:rFonts w:ascii="T" w:hAnsi="T" w:cs="Simplified Arabic"/>
          <w:sz w:val="24"/>
          <w:szCs w:val="24"/>
          <w:rtl/>
        </w:rPr>
        <w:t xml:space="preserve"> أشارت دراسة</w:t>
      </w:r>
      <w:r w:rsidRPr="005D59A7">
        <w:rPr>
          <w:rFonts w:ascii="T" w:hAnsi="T" w:cs="Simplified Arabic"/>
          <w:sz w:val="24"/>
          <w:szCs w:val="24"/>
        </w:rPr>
        <w:t xml:space="preserve"> Elkebti &amp; Khalifa (2025) </w:t>
      </w:r>
      <w:r w:rsidRPr="005D59A7">
        <w:rPr>
          <w:rFonts w:ascii="T" w:hAnsi="T" w:cs="Simplified Arabic"/>
          <w:sz w:val="24"/>
          <w:szCs w:val="24"/>
          <w:rtl/>
        </w:rPr>
        <w:t>إلى أهمية الحوكمة البيئية في تحقيق مستقبل أخضر، ودراسة</w:t>
      </w:r>
      <w:r w:rsidRPr="005D59A7">
        <w:rPr>
          <w:rFonts w:ascii="T" w:hAnsi="T" w:cs="Simplified Arabic"/>
          <w:sz w:val="24"/>
          <w:szCs w:val="24"/>
        </w:rPr>
        <w:t xml:space="preserve"> </w:t>
      </w:r>
      <w:proofErr w:type="spellStart"/>
      <w:r w:rsidRPr="005D59A7">
        <w:rPr>
          <w:rFonts w:ascii="T" w:hAnsi="T" w:cs="Simplified Arabic"/>
          <w:sz w:val="24"/>
          <w:szCs w:val="24"/>
        </w:rPr>
        <w:t>Almeflh</w:t>
      </w:r>
      <w:proofErr w:type="spellEnd"/>
      <w:r w:rsidRPr="005D59A7">
        <w:rPr>
          <w:rFonts w:ascii="T" w:hAnsi="T" w:cs="Simplified Arabic"/>
          <w:sz w:val="24"/>
          <w:szCs w:val="24"/>
        </w:rPr>
        <w:t xml:space="preserve"> &amp; </w:t>
      </w:r>
      <w:proofErr w:type="spellStart"/>
      <w:r w:rsidRPr="005D59A7">
        <w:rPr>
          <w:rFonts w:ascii="T" w:hAnsi="T" w:cs="Simplified Arabic"/>
          <w:sz w:val="24"/>
          <w:szCs w:val="24"/>
        </w:rPr>
        <w:t>Almofleh</w:t>
      </w:r>
      <w:proofErr w:type="spellEnd"/>
      <w:r w:rsidRPr="005D59A7">
        <w:rPr>
          <w:rFonts w:ascii="T" w:hAnsi="T" w:cs="Simplified Arabic"/>
          <w:sz w:val="24"/>
          <w:szCs w:val="24"/>
        </w:rPr>
        <w:t xml:space="preserve"> (2025) </w:t>
      </w:r>
      <w:r w:rsidRPr="005D59A7">
        <w:rPr>
          <w:rFonts w:ascii="T" w:hAnsi="T" w:cs="Simplified Arabic"/>
          <w:sz w:val="24"/>
          <w:szCs w:val="24"/>
          <w:rtl/>
        </w:rPr>
        <w:t>إلى المحفزات المؤسسية للمحاسبة البيئية، ودراسة</w:t>
      </w:r>
      <w:r w:rsidRPr="005D59A7">
        <w:rPr>
          <w:rFonts w:ascii="T" w:hAnsi="T" w:cs="Simplified Arabic"/>
          <w:sz w:val="24"/>
          <w:szCs w:val="24"/>
        </w:rPr>
        <w:t xml:space="preserve"> Bodrick et al. (2025) </w:t>
      </w:r>
      <w:r w:rsidRPr="005D59A7">
        <w:rPr>
          <w:rFonts w:ascii="T" w:hAnsi="T" w:cs="Simplified Arabic"/>
          <w:sz w:val="24"/>
          <w:szCs w:val="24"/>
          <w:rtl/>
        </w:rPr>
        <w:t xml:space="preserve">إلى القيادة التنظيمية في سياق التحول. غير أن هذه الدراسات لم تتناول بشكل متخصص آليات الحوكمة المناسبة لخدمة التفتيش البيئي في إطار الشراكة مع </w:t>
      </w:r>
      <w:r w:rsidRPr="005D59A7">
        <w:rPr>
          <w:rFonts w:ascii="T" w:hAnsi="T" w:cs="Simplified Arabic"/>
          <w:sz w:val="24"/>
          <w:szCs w:val="24"/>
          <w:rtl/>
        </w:rPr>
        <w:lastRenderedPageBreak/>
        <w:t>القطاع الخاص، ولا كيفية ضمان الحياد التنظيمي والشفافية والمساءلة عند إشراك القطاع الخاص في الخدمات الرقابية</w:t>
      </w:r>
      <w:r w:rsidRPr="005D59A7">
        <w:rPr>
          <w:rFonts w:ascii="T" w:hAnsi="T" w:cs="Simplified Arabic"/>
          <w:sz w:val="24"/>
          <w:szCs w:val="24"/>
        </w:rPr>
        <w:t>.</w:t>
      </w:r>
    </w:p>
    <w:p w14:paraId="47729155"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ثالثاً: </w:t>
      </w:r>
      <w:r w:rsidRPr="00693289">
        <w:rPr>
          <w:rFonts w:ascii="T" w:hAnsi="T" w:cs="Simplified Arabic"/>
          <w:sz w:val="24"/>
          <w:szCs w:val="24"/>
          <w:rtl/>
        </w:rPr>
        <w:t>غياب دراسات تقييمية لمرحلة ما بعد إعادة الهيكلة</w:t>
      </w:r>
      <w:r w:rsidRPr="005D59A7">
        <w:rPr>
          <w:rFonts w:ascii="T" w:hAnsi="T" w:cs="Simplified Arabic"/>
          <w:sz w:val="24"/>
          <w:szCs w:val="24"/>
          <w:rtl/>
        </w:rPr>
        <w:t>. تم إعادة هيكلة القطاع البيئي السعودي في عام 2020، مع إنشاء المراكز الوطنية الخمسة وصندوق البيئة. غير أنه لا توجد دراسات تقييمية كافية حول أداء هذه الهيكلة الجديدة، وحول مدى نجاحها في تحقيق أهدافها (زيادة الكفاءة، تعزيز الشفافية، تفعيل مشاركة القطاع الخاص). كما لا توجد دراسات حول التحديات التي واجهت تنفيذ هذه الهيكلة، والدروس المستفادة التي يمكن تطبيقها في المراحل القادمة</w:t>
      </w:r>
      <w:r w:rsidRPr="005D59A7">
        <w:rPr>
          <w:rFonts w:ascii="T" w:hAnsi="T" w:cs="Simplified Arabic"/>
          <w:sz w:val="24"/>
          <w:szCs w:val="24"/>
        </w:rPr>
        <w:t>.</w:t>
      </w:r>
    </w:p>
    <w:p w14:paraId="4262A876" w14:textId="77777777" w:rsidR="00A63F47" w:rsidRPr="00693289" w:rsidRDefault="00A63F47" w:rsidP="00861DC2">
      <w:pPr>
        <w:bidi/>
        <w:spacing w:line="360" w:lineRule="auto"/>
        <w:ind w:firstLine="720"/>
        <w:jc w:val="both"/>
        <w:rPr>
          <w:rFonts w:ascii="T" w:hAnsi="T" w:cs="Simplified Arabic"/>
          <w:sz w:val="24"/>
          <w:szCs w:val="24"/>
          <w:rtl/>
        </w:rPr>
      </w:pPr>
      <w:r w:rsidRPr="00693289">
        <w:rPr>
          <w:rFonts w:ascii="T" w:hAnsi="T" w:cs="Simplified Arabic"/>
          <w:sz w:val="24"/>
          <w:szCs w:val="24"/>
          <w:rtl/>
        </w:rPr>
        <w:t>ترتبط هذه الفجوات مباشرة بأسئلة الدراسة الأربعة: حيث يسد السؤال الأول الفجوة المنهجية والسياقية من خلال تحليل مؤشرات الأداء الحالية، ويسد السؤال الثاني الفجوة المنهجية والتطبيقية من خلال تقدير الجدوى المالية للنموذج المقترح، ويسد السؤال الثالث الفجوة النظرية والتطبيقية من خلال تقييم ملاءمة النماذج التعاقدية، ويسد السؤال الرابع الفجوة النظرية والسياقية من خلال تصميم إطار متكامل لتوزيع المخاطر وربط الدفع بمؤشرات الأداء</w:t>
      </w:r>
      <w:r w:rsidRPr="00693289">
        <w:rPr>
          <w:rFonts w:ascii="T" w:hAnsi="T" w:cs="Simplified Arabic"/>
          <w:sz w:val="24"/>
          <w:szCs w:val="24"/>
        </w:rPr>
        <w:t>.</w:t>
      </w:r>
    </w:p>
    <w:p w14:paraId="483B6077" w14:textId="77777777" w:rsidR="00A63F47" w:rsidRPr="005D59A7" w:rsidRDefault="00A63F47" w:rsidP="00861DC2">
      <w:pPr>
        <w:bidi/>
        <w:spacing w:line="360" w:lineRule="auto"/>
        <w:ind w:firstLine="720"/>
        <w:jc w:val="both"/>
        <w:rPr>
          <w:rFonts w:ascii="T" w:hAnsi="T" w:cs="Simplified Arabic"/>
          <w:sz w:val="24"/>
          <w:szCs w:val="24"/>
          <w:rtl/>
        </w:rPr>
      </w:pPr>
      <w:r w:rsidRPr="00693289">
        <w:rPr>
          <w:rFonts w:ascii="T" w:hAnsi="T" w:cs="Simplified Arabic"/>
          <w:sz w:val="24"/>
          <w:szCs w:val="24"/>
          <w:rtl/>
        </w:rPr>
        <w:t>كما ترتبط الفجوات البحثية ارتباطاً وثيقاً بفرضيات الدراسة الأربع. فالفرضية الأولى (انخفاض الكفاءة التشغيلية للنموذج الحالي) والفرضية الثانية (عدم تحقيق الكفاءة المالية المستدامة) تسدان الفجوة المنهجية من خلال اختبار الفروق ذات الدلالة الإحصائية في مؤشرات الأداء والعلاقة بين التكاليف والعوائد. أما الفرضية الثالثة (تحسن الكفاءة التشغيلية وجودة المخرجات عند تطبيق نموذج الشراكة) والفرضية الرابعة</w:t>
      </w:r>
      <w:r w:rsidRPr="00693289">
        <w:rPr>
          <w:rFonts w:ascii="T" w:hAnsi="T" w:cs="Simplified Arabic"/>
          <w:sz w:val="24"/>
          <w:szCs w:val="24"/>
        </w:rPr>
        <w:t xml:space="preserve"> (</w:t>
      </w:r>
      <w:r w:rsidRPr="00693289">
        <w:rPr>
          <w:rFonts w:ascii="T" w:hAnsi="T" w:cs="Simplified Arabic"/>
          <w:sz w:val="24"/>
          <w:szCs w:val="24"/>
          <w:rtl/>
        </w:rPr>
        <w:t>تحسن الاستدامة المالية وجودة الأداء عند تطبيق آليات توزيع المخاطر وربط الدفع بـ</w:t>
      </w:r>
      <w:r w:rsidRPr="00693289">
        <w:rPr>
          <w:rFonts w:ascii="T" w:hAnsi="T" w:cs="Simplified Arabic"/>
          <w:sz w:val="24"/>
          <w:szCs w:val="24"/>
        </w:rPr>
        <w:t xml:space="preserve"> KPIs) </w:t>
      </w:r>
      <w:r w:rsidRPr="00693289">
        <w:rPr>
          <w:rFonts w:ascii="T" w:hAnsi="T" w:cs="Simplified Arabic"/>
          <w:sz w:val="24"/>
          <w:szCs w:val="24"/>
          <w:rtl/>
        </w:rPr>
        <w:t>فتسدان الفجوة النظرية والتطبيقية من خلال اختبار تأثير آليات الحوكمة والشراكة على الأداء. بهذا الشكل، تشكل الفجوات البحثية وأسئلة الدراسة وفرضياتها إطاراً متماسكاً يوجه الدراسة نحو أهدافها ويضمن اتساق منهجيتها مع طبيعة المشكلة المدروسة</w:t>
      </w:r>
      <w:r w:rsidRPr="00693289">
        <w:rPr>
          <w:rFonts w:ascii="T" w:hAnsi="T" w:cs="Simplified Arabic"/>
          <w:sz w:val="24"/>
          <w:szCs w:val="24"/>
        </w:rPr>
        <w:t>.</w:t>
      </w:r>
    </w:p>
    <w:p w14:paraId="4D93CDC8" w14:textId="3A4A4A99" w:rsidR="00A63F47" w:rsidRPr="005D59A7" w:rsidRDefault="00A63F4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تسعى هذه الدراسة إلى سد الفجوات البحثية المذكورة أعلاه من خلال منهجية متكاملة تعالج الأبعاد الأربعة للفجوة في آن واحد. فلسد الفجوة النظرية، تعتمد الدراسة إطاراً نظرياً متكاملاً يجمع بين نظريتي الوكالة (لتفسير علاقة الأصيل-الوكيل وتصميم آليات الحوافز والرقابة) ونظرية تكاليف المعاملات (لتفسير اختيار هيكل الحوكمة المناسب لخدمة التفتيش البيئي)، مع ربط هاتين النظريتين بفرضيات الدراسة الأربع لتوجيه تصميم النموذج </w:t>
      </w:r>
      <w:r w:rsidRPr="005D59A7">
        <w:rPr>
          <w:rFonts w:ascii="T" w:hAnsi="T" w:cs="Simplified Arabic"/>
          <w:sz w:val="24"/>
          <w:szCs w:val="24"/>
          <w:rtl/>
        </w:rPr>
        <w:lastRenderedPageBreak/>
        <w:t>المقترح وتحليل العلاقات بين المتغيرات. ولسد الفجوة المنهجية، تقوم الدراسة ببناء نموذج كمي قابل للاختبار لقياس تأثير الشراكة على مؤشرات أداء التفتيش البيئي (التكلفة التشغيلية للزيارة، نسبة المخالفات المرفوضة، نسبة التغطية، زمن إغلاق المخالفات)، مع إجراء تحليل إحصائي معمق للبيانات الكمية الرسمية الصادرة عن المركز الوطني للرقابة على الالتزام البيئي خلال الفترة 2017-2019، وتحليل الحساسية والسيناريوهات المتوقعة (الأساسي، المتفائل، المتشائم). ولسد الفجوة التطبيقية، تقوم الدراسة بتطوير نموذج مقترح متكامل لهيكلة عقود شراكة التفتيش البيئي يشمل تحديد نطاق الخدمة، وآليات الدفع القائمة على الأداء، ومؤشرات الأداء الرئيسية (</w:t>
      </w:r>
      <w:r w:rsidRPr="005D59A7">
        <w:rPr>
          <w:rFonts w:ascii="T" w:hAnsi="T" w:cs="Simplified Arabic"/>
          <w:sz w:val="24"/>
          <w:szCs w:val="24"/>
        </w:rPr>
        <w:t>KPIs</w:t>
      </w:r>
      <w:r w:rsidRPr="005D59A7">
        <w:rPr>
          <w:rFonts w:ascii="T" w:hAnsi="T" w:cs="Simplified Arabic"/>
          <w:sz w:val="24"/>
          <w:szCs w:val="24"/>
          <w:rtl/>
        </w:rPr>
        <w:t>)، وعقوبات التقصير، وآليات التكيف مع تغير اللوائح، وتوزيع المخاطر بين القطاعين العام والخاص وفق مبدأ "الطرف الأكثر قدرة على الإدارة". ولسد الفجوة السياقية، تصمم الدراسة نموذجها المقترح ليتوافق مع الهيكلة المؤسسية الحديثة لقطاع البيئة السعودي (المراكز البيئية الخمسة، صندوق البيئة، الإستراتيجية الوطنية للبيئة) ومع مستهدفات رؤية السعودية 2030، مستفيدة من تحليل البيانات المحلية والتجارب الدولية المقارنة مع تقييم دقيق لمدى قابلية نقلها إلى السياق السعودي.</w:t>
      </w:r>
    </w:p>
    <w:p w14:paraId="455D2BD6" w14:textId="22679825" w:rsidR="004F7ABA" w:rsidRPr="005D59A7" w:rsidRDefault="004F7ABA" w:rsidP="00861DC2">
      <w:pPr>
        <w:bidi/>
        <w:spacing w:line="360" w:lineRule="auto"/>
        <w:ind w:firstLine="720"/>
        <w:jc w:val="both"/>
        <w:rPr>
          <w:rFonts w:ascii="T" w:hAnsi="T" w:cs="Simplified Arabic"/>
          <w:sz w:val="24"/>
          <w:szCs w:val="24"/>
          <w:rtl/>
        </w:rPr>
      </w:pPr>
    </w:p>
    <w:p w14:paraId="7B449064" w14:textId="691F8479" w:rsidR="004F7ABA" w:rsidRDefault="004F7ABA" w:rsidP="00861DC2">
      <w:pPr>
        <w:bidi/>
        <w:spacing w:line="360" w:lineRule="auto"/>
        <w:ind w:firstLine="720"/>
        <w:rPr>
          <w:rFonts w:ascii="T" w:hAnsi="T" w:cs="Simplified Arabic"/>
          <w:sz w:val="24"/>
          <w:szCs w:val="24"/>
        </w:rPr>
      </w:pPr>
    </w:p>
    <w:p w14:paraId="7929FD94" w14:textId="51719CCE" w:rsidR="00C43A02" w:rsidRDefault="00C43A02" w:rsidP="00C43A02">
      <w:pPr>
        <w:bidi/>
        <w:spacing w:line="360" w:lineRule="auto"/>
        <w:ind w:firstLine="720"/>
        <w:rPr>
          <w:rFonts w:ascii="T" w:hAnsi="T" w:cs="Simplified Arabic"/>
          <w:sz w:val="24"/>
          <w:szCs w:val="24"/>
        </w:rPr>
      </w:pPr>
    </w:p>
    <w:p w14:paraId="0E995ED5" w14:textId="60CE6DE1" w:rsidR="00C43A02" w:rsidRDefault="00C43A02" w:rsidP="00C43A02">
      <w:pPr>
        <w:bidi/>
        <w:spacing w:line="360" w:lineRule="auto"/>
        <w:ind w:firstLine="720"/>
        <w:rPr>
          <w:rFonts w:ascii="T" w:hAnsi="T" w:cs="Simplified Arabic"/>
          <w:sz w:val="24"/>
          <w:szCs w:val="24"/>
        </w:rPr>
      </w:pPr>
    </w:p>
    <w:p w14:paraId="6A5A2E9F" w14:textId="39C7D165" w:rsidR="00C43A02" w:rsidRDefault="00C43A02" w:rsidP="00C43A02">
      <w:pPr>
        <w:bidi/>
        <w:spacing w:line="360" w:lineRule="auto"/>
        <w:ind w:firstLine="720"/>
        <w:rPr>
          <w:rFonts w:ascii="T" w:hAnsi="T" w:cs="Simplified Arabic"/>
          <w:sz w:val="24"/>
          <w:szCs w:val="24"/>
        </w:rPr>
      </w:pPr>
    </w:p>
    <w:p w14:paraId="41B8E496" w14:textId="06C29003" w:rsidR="00C43A02" w:rsidRDefault="00C43A02" w:rsidP="00C43A02">
      <w:pPr>
        <w:bidi/>
        <w:spacing w:line="360" w:lineRule="auto"/>
        <w:ind w:firstLine="720"/>
        <w:rPr>
          <w:rFonts w:ascii="T" w:hAnsi="T" w:cs="Simplified Arabic"/>
          <w:sz w:val="24"/>
          <w:szCs w:val="24"/>
        </w:rPr>
      </w:pPr>
    </w:p>
    <w:p w14:paraId="711B6734" w14:textId="49206FF8" w:rsidR="00C43A02" w:rsidRDefault="00C43A02" w:rsidP="00C43A02">
      <w:pPr>
        <w:bidi/>
        <w:spacing w:line="360" w:lineRule="auto"/>
        <w:ind w:firstLine="720"/>
        <w:rPr>
          <w:rFonts w:ascii="T" w:hAnsi="T" w:cs="Simplified Arabic"/>
          <w:sz w:val="24"/>
          <w:szCs w:val="24"/>
        </w:rPr>
      </w:pPr>
    </w:p>
    <w:p w14:paraId="7C746936" w14:textId="508C6710" w:rsidR="00C43A02" w:rsidRDefault="00C43A02" w:rsidP="00C43A02">
      <w:pPr>
        <w:bidi/>
        <w:spacing w:line="360" w:lineRule="auto"/>
        <w:ind w:firstLine="720"/>
        <w:rPr>
          <w:rFonts w:ascii="T" w:hAnsi="T" w:cs="Simplified Arabic"/>
          <w:sz w:val="24"/>
          <w:szCs w:val="24"/>
        </w:rPr>
      </w:pPr>
    </w:p>
    <w:p w14:paraId="355A9FB7" w14:textId="19DDF31E" w:rsidR="00C43A02" w:rsidRDefault="00C43A02" w:rsidP="00C43A02">
      <w:pPr>
        <w:bidi/>
        <w:spacing w:line="360" w:lineRule="auto"/>
        <w:ind w:firstLine="720"/>
        <w:rPr>
          <w:rFonts w:ascii="T" w:hAnsi="T" w:cs="Simplified Arabic"/>
          <w:sz w:val="24"/>
          <w:szCs w:val="24"/>
        </w:rPr>
      </w:pPr>
    </w:p>
    <w:p w14:paraId="72C4782C" w14:textId="29E6AA1C" w:rsidR="00C43A02" w:rsidRDefault="00C43A02" w:rsidP="00C43A02">
      <w:pPr>
        <w:bidi/>
        <w:spacing w:line="360" w:lineRule="auto"/>
        <w:ind w:firstLine="720"/>
        <w:rPr>
          <w:rFonts w:ascii="T" w:hAnsi="T" w:cs="Simplified Arabic"/>
          <w:sz w:val="24"/>
          <w:szCs w:val="24"/>
        </w:rPr>
      </w:pPr>
    </w:p>
    <w:p w14:paraId="1118CF70" w14:textId="2F02E137" w:rsidR="00C43A02" w:rsidRDefault="00C43A02" w:rsidP="00C43A02">
      <w:pPr>
        <w:bidi/>
        <w:spacing w:line="360" w:lineRule="auto"/>
        <w:ind w:firstLine="720"/>
        <w:rPr>
          <w:rFonts w:ascii="T" w:hAnsi="T" w:cs="Simplified Arabic"/>
          <w:sz w:val="24"/>
          <w:szCs w:val="24"/>
          <w:rtl/>
        </w:rPr>
      </w:pPr>
    </w:p>
    <w:p w14:paraId="082E2259" w14:textId="19064185" w:rsidR="00C43A02" w:rsidRDefault="00C43A02" w:rsidP="008769F3">
      <w:pPr>
        <w:bidi/>
        <w:spacing w:line="360" w:lineRule="auto"/>
        <w:rPr>
          <w:rFonts w:ascii="T" w:hAnsi="T" w:cs="Simplified Arabic"/>
          <w:sz w:val="24"/>
          <w:szCs w:val="24"/>
        </w:rPr>
      </w:pPr>
    </w:p>
    <w:p w14:paraId="595A76A8" w14:textId="5B0EA462" w:rsidR="00C43A02" w:rsidRPr="008769F3" w:rsidRDefault="00C43A02" w:rsidP="002C6EAC">
      <w:pPr>
        <w:pStyle w:val="Heading1"/>
        <w:bidi/>
        <w:jc w:val="center"/>
        <w:rPr>
          <w:rFonts w:ascii="Simplified Arabic" w:hAnsi="Simplified Arabic" w:cs="Simplified Arabic"/>
          <w:b/>
          <w:bCs/>
          <w:color w:val="000000" w:themeColor="text1"/>
          <w:sz w:val="28"/>
          <w:szCs w:val="28"/>
          <w:u w:val="single"/>
          <w:rtl/>
          <w:lang w:bidi="ar-EG"/>
        </w:rPr>
      </w:pPr>
      <w:bookmarkStart w:id="73" w:name="_Toc234607897"/>
      <w:r w:rsidRPr="00693289">
        <w:rPr>
          <w:rFonts w:ascii="Simplified Arabic" w:hAnsi="Simplified Arabic" w:cs="Simplified Arabic"/>
          <w:b/>
          <w:bCs/>
          <w:color w:val="000000" w:themeColor="text1"/>
          <w:sz w:val="28"/>
          <w:szCs w:val="28"/>
          <w:highlight w:val="yellow"/>
          <w:u w:val="single"/>
          <w:rtl/>
          <w:lang w:bidi="ar-EG"/>
        </w:rPr>
        <w:lastRenderedPageBreak/>
        <w:t>الفصل الثالث: منهجية الدراسة</w:t>
      </w:r>
      <w:bookmarkEnd w:id="73"/>
    </w:p>
    <w:p w14:paraId="463CF450" w14:textId="77777777" w:rsidR="001A3ABE" w:rsidRPr="003C40F2" w:rsidRDefault="001A3ABE" w:rsidP="001A3ABE">
      <w:pPr>
        <w:bidi/>
        <w:spacing w:before="100" w:beforeAutospacing="1" w:after="100" w:afterAutospacing="1" w:line="240" w:lineRule="auto"/>
        <w:jc w:val="lowKashida"/>
        <w:outlineLvl w:val="1"/>
        <w:rPr>
          <w:rFonts w:ascii="Simplified Arabic" w:eastAsia="Times New Roman" w:hAnsi="Simplified Arabic" w:cs="Simplified Arabic"/>
          <w:b/>
          <w:bCs/>
          <w:sz w:val="24"/>
          <w:szCs w:val="24"/>
        </w:rPr>
      </w:pPr>
      <w:bookmarkStart w:id="74" w:name="_Toc234607898"/>
      <w:r w:rsidRPr="003C40F2">
        <w:rPr>
          <w:rFonts w:ascii="Simplified Arabic" w:eastAsia="Times New Roman" w:hAnsi="Simplified Arabic" w:cs="Simplified Arabic"/>
          <w:b/>
          <w:bCs/>
          <w:sz w:val="24"/>
          <w:szCs w:val="24"/>
          <w:rtl/>
        </w:rPr>
        <w:t>تمهيد</w:t>
      </w:r>
      <w:bookmarkEnd w:id="74"/>
    </w:p>
    <w:p w14:paraId="2B756ACB" w14:textId="77777777" w:rsidR="001A3ABE" w:rsidRPr="003C40F2"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يتناول هذا الفصل المنهجية العلمية التي اعتمدت عليها الدراسة لتحقيق أهدافها والإجابة عن تساؤلاتها واختبار فرضياتها، وذلك من خلال توضيح منهج البحث وتصميم الدراسة، ومجتمع الدراسة وعينتها، ومصادر البيانات، وأدوات جمع البيانات، ومتغيرات الدراسة، وإجراءات تنفيذها، بالإضافة إلى الأساليب الإحصائية المستخدمة في تحليل البيانات، وإجراءات التحقق من صدق الأداة وثباتها، والاعتبارات الأخلاقية التي روعيت أثناء تنفيذ الدراسة. ويهدف هذا الفصل إلى بيان الإجراءات العلمية التي اتبعها الباحث بما يضمن الوصول إلى نتائج دقيقة وموضوعية يمكن الاستفادة منها في تطوير نموذج مقترح للحوكمة البيئية وإدارة الأداء في مجال التفتيش البيئي بالمملكة العربية السعودية</w:t>
      </w:r>
      <w:r w:rsidRPr="003C40F2">
        <w:rPr>
          <w:rFonts w:ascii="Simplified Arabic" w:eastAsia="Times New Roman" w:hAnsi="Simplified Arabic" w:cs="Simplified Arabic"/>
          <w:sz w:val="24"/>
          <w:szCs w:val="24"/>
        </w:rPr>
        <w:t>.</w:t>
      </w:r>
    </w:p>
    <w:p w14:paraId="528EBD65"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75" w:name="_Toc234607899"/>
      <w:r w:rsidRPr="003C40F2">
        <w:rPr>
          <w:rFonts w:ascii="Simplified Arabic" w:eastAsia="Times New Roman" w:hAnsi="Simplified Arabic" w:cs="Simplified Arabic"/>
          <w:b/>
          <w:bCs/>
          <w:kern w:val="36"/>
          <w:sz w:val="24"/>
          <w:szCs w:val="24"/>
        </w:rPr>
        <w:t xml:space="preserve">3.1 </w:t>
      </w:r>
      <w:r w:rsidRPr="003C40F2">
        <w:rPr>
          <w:rFonts w:ascii="Simplified Arabic" w:eastAsia="Times New Roman" w:hAnsi="Simplified Arabic" w:cs="Simplified Arabic"/>
          <w:b/>
          <w:bCs/>
          <w:kern w:val="36"/>
          <w:sz w:val="24"/>
          <w:szCs w:val="24"/>
          <w:rtl/>
        </w:rPr>
        <w:t>منهج البحث</w:t>
      </w:r>
      <w:bookmarkEnd w:id="75"/>
    </w:p>
    <w:p w14:paraId="4904A8C1" w14:textId="77777777" w:rsidR="001A3ABE" w:rsidRPr="003C40F2"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اعتمدت الدراسة على المنهج الوصفي التحليلي؛ لملاءمته لدراسة الظواهر الإدارية والتنظيمية وتحليل العلاقات بين متغيراتها، حيث يسهم في وصف واقع الشراكات بين القطاعين العام والخاص في قطاع البيئة، وتحليل أثرها في الحوكمة البيئية وإدارة الأداء في مجال التفتيش البيئي بالمملكة العربية السعودية. كما استفادت الدراسة من المنهج الاستنباطي من خلال مراجعة الأدبيات العلمية والدراسات السابقة والنماذج العالمية ذات العلاقة، بهدف بناء الإطار النظري للدراسة وتطوير النموذج المقترح</w:t>
      </w:r>
      <w:r w:rsidRPr="003C40F2">
        <w:rPr>
          <w:rFonts w:ascii="Simplified Arabic" w:eastAsia="Times New Roman" w:hAnsi="Simplified Arabic" w:cs="Simplified Arabic"/>
          <w:sz w:val="24"/>
          <w:szCs w:val="24"/>
        </w:rPr>
        <w:t>.</w:t>
      </w:r>
    </w:p>
    <w:p w14:paraId="52CABE84"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76" w:name="_Toc234607900"/>
      <w:r w:rsidRPr="003C40F2">
        <w:rPr>
          <w:rFonts w:ascii="Simplified Arabic" w:eastAsia="Times New Roman" w:hAnsi="Simplified Arabic" w:cs="Simplified Arabic"/>
          <w:b/>
          <w:bCs/>
          <w:kern w:val="36"/>
          <w:sz w:val="24"/>
          <w:szCs w:val="24"/>
        </w:rPr>
        <w:t xml:space="preserve">3.2 </w:t>
      </w:r>
      <w:r w:rsidRPr="003C40F2">
        <w:rPr>
          <w:rFonts w:ascii="Simplified Arabic" w:eastAsia="Times New Roman" w:hAnsi="Simplified Arabic" w:cs="Simplified Arabic"/>
          <w:b/>
          <w:bCs/>
          <w:kern w:val="36"/>
          <w:sz w:val="24"/>
          <w:szCs w:val="24"/>
          <w:rtl/>
        </w:rPr>
        <w:t>تصميم الدراسة</w:t>
      </w:r>
      <w:bookmarkEnd w:id="76"/>
    </w:p>
    <w:p w14:paraId="41802FFA" w14:textId="229D272A" w:rsidR="001A3ABE" w:rsidRPr="003C40F2" w:rsidRDefault="001A3ABE" w:rsidP="000C616D">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تعتمد الدراسة على التصميم الكمي المسحي</w:t>
      </w:r>
      <w:r w:rsidRPr="003C40F2">
        <w:rPr>
          <w:rFonts w:ascii="Simplified Arabic" w:eastAsia="Times New Roman" w:hAnsi="Simplified Arabic" w:cs="Simplified Arabic"/>
          <w:sz w:val="24"/>
          <w:szCs w:val="24"/>
        </w:rPr>
        <w:t xml:space="preserve"> (Quantitative Cross-sectional Survey Design)</w:t>
      </w:r>
      <w:r w:rsidRPr="003C40F2">
        <w:rPr>
          <w:rFonts w:ascii="Simplified Arabic" w:eastAsia="Times New Roman" w:hAnsi="Simplified Arabic" w:cs="Simplified Arabic"/>
          <w:sz w:val="24"/>
          <w:szCs w:val="24"/>
          <w:rtl/>
        </w:rPr>
        <w:t>، إذ يتم جمع البيانات من أفراد الدراسة خلال فترة زمنية محددة باستخدام الاستبانة، ومن ثم تحليلها إحصائياً لاختبار فرضيات الدراسة. كما تتخذ الدراسة من التفتيش البيئي في المملكة العربية السعودية دراسة حالة تطبيقية لتفسير النتائج وربطها بالواقع العملي، مع الاستفادة من البيانات والوثائق الرسمية ذات العلاقة لدعم النموذج المقترح وتعد الدراسة مقطعية</w:t>
      </w:r>
      <w:r w:rsidRPr="003C40F2">
        <w:rPr>
          <w:rFonts w:ascii="Simplified Arabic" w:eastAsia="Times New Roman" w:hAnsi="Simplified Arabic" w:cs="Simplified Arabic"/>
          <w:sz w:val="24"/>
          <w:szCs w:val="24"/>
        </w:rPr>
        <w:t xml:space="preserve"> (Cross-sectional Study)</w:t>
      </w:r>
      <w:r w:rsidRPr="003C40F2">
        <w:rPr>
          <w:rFonts w:ascii="Simplified Arabic" w:eastAsia="Times New Roman" w:hAnsi="Simplified Arabic" w:cs="Simplified Arabic"/>
          <w:sz w:val="24"/>
          <w:szCs w:val="24"/>
          <w:rtl/>
        </w:rPr>
        <w:t>؛ لأنها تعتمد على جمع البيانات في فترة زمنية واحدة دون متابعة أفراد الدراسة عبر فترات زمنية متعددة</w:t>
      </w:r>
      <w:r w:rsidRPr="003C40F2">
        <w:rPr>
          <w:rFonts w:ascii="Simplified Arabic" w:eastAsia="Times New Roman" w:hAnsi="Simplified Arabic" w:cs="Simplified Arabic"/>
          <w:sz w:val="24"/>
          <w:szCs w:val="24"/>
        </w:rPr>
        <w:t>.</w:t>
      </w:r>
    </w:p>
    <w:p w14:paraId="6DBD5798"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77" w:name="_Toc234607901"/>
      <w:r w:rsidRPr="003C40F2">
        <w:rPr>
          <w:rFonts w:ascii="Simplified Arabic" w:eastAsia="Times New Roman" w:hAnsi="Simplified Arabic" w:cs="Simplified Arabic"/>
          <w:b/>
          <w:bCs/>
          <w:kern w:val="36"/>
          <w:sz w:val="24"/>
          <w:szCs w:val="24"/>
        </w:rPr>
        <w:t xml:space="preserve">3.3 </w:t>
      </w:r>
      <w:r w:rsidRPr="003C40F2">
        <w:rPr>
          <w:rFonts w:ascii="Simplified Arabic" w:eastAsia="Times New Roman" w:hAnsi="Simplified Arabic" w:cs="Simplified Arabic"/>
          <w:b/>
          <w:bCs/>
          <w:kern w:val="36"/>
          <w:sz w:val="24"/>
          <w:szCs w:val="24"/>
          <w:rtl/>
        </w:rPr>
        <w:t>النموذج المفاهيمي للدراسة</w:t>
      </w:r>
      <w:bookmarkEnd w:id="77"/>
    </w:p>
    <w:p w14:paraId="13D650E4" w14:textId="77777777" w:rsidR="001A3ABE"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يرتكز النموذج المفاهيمي للدراسة على قياس أثر الشراكات بين القطاعين العام والخاص في قطاع البيئة على فاعلية الحوكمة البيئية وإدارة الأداء في مجال التفتيش البيئي، وذلك من خلال مجموعة من الأبعاد التي تم استخلاصها من الأدبيات العلمية والدراسات السابقة</w:t>
      </w:r>
      <w:r w:rsidRPr="003C40F2">
        <w:rPr>
          <w:rFonts w:ascii="Simplified Arabic" w:eastAsia="Times New Roman" w:hAnsi="Simplified Arabic" w:cs="Simplified Arabic"/>
          <w:sz w:val="24"/>
          <w:szCs w:val="24"/>
        </w:rPr>
        <w:t>.</w:t>
      </w:r>
    </w:p>
    <w:p w14:paraId="6FABA816" w14:textId="77777777" w:rsidR="00FD5A98" w:rsidRPr="003C40F2" w:rsidRDefault="00FD5A98" w:rsidP="00FD5A98">
      <w:pPr>
        <w:bidi/>
        <w:spacing w:before="100" w:beforeAutospacing="1" w:after="100" w:afterAutospacing="1" w:line="240" w:lineRule="auto"/>
        <w:jc w:val="lowKashida"/>
        <w:rPr>
          <w:rFonts w:ascii="Simplified Arabic" w:eastAsia="Times New Roman" w:hAnsi="Simplified Arabic" w:cs="Simplified Arabic"/>
          <w:sz w:val="24"/>
          <w:szCs w:val="24"/>
        </w:rPr>
      </w:pPr>
    </w:p>
    <w:p w14:paraId="1FE9F93F"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78" w:name="_Toc234607902"/>
      <w:r w:rsidRPr="003C40F2">
        <w:rPr>
          <w:rFonts w:ascii="Simplified Arabic" w:eastAsia="Times New Roman" w:hAnsi="Simplified Arabic" w:cs="Simplified Arabic"/>
          <w:b/>
          <w:bCs/>
          <w:sz w:val="24"/>
          <w:szCs w:val="24"/>
          <w:rtl/>
        </w:rPr>
        <w:lastRenderedPageBreak/>
        <w:t>جدول</w:t>
      </w:r>
      <w:r>
        <w:rPr>
          <w:rFonts w:ascii="Simplified Arabic" w:eastAsia="Times New Roman" w:hAnsi="Simplified Arabic" w:cs="Simplified Arabic"/>
          <w:b/>
          <w:bCs/>
          <w:sz w:val="24"/>
          <w:szCs w:val="24"/>
        </w:rPr>
        <w:t xml:space="preserve"> </w:t>
      </w:r>
      <w:r w:rsidRPr="003C40F2">
        <w:rPr>
          <w:rFonts w:ascii="Simplified Arabic" w:eastAsia="Times New Roman" w:hAnsi="Simplified Arabic" w:cs="Simplified Arabic"/>
          <w:b/>
          <w:bCs/>
          <w:sz w:val="24"/>
          <w:szCs w:val="24"/>
        </w:rPr>
        <w:t xml:space="preserve"> (3-1)</w:t>
      </w:r>
      <w:bookmarkEnd w:id="78"/>
    </w:p>
    <w:p w14:paraId="6E0BA520"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79" w:name="_Toc234607903"/>
      <w:r w:rsidRPr="003C40F2">
        <w:rPr>
          <w:rFonts w:ascii="Simplified Arabic" w:eastAsia="Times New Roman" w:hAnsi="Simplified Arabic" w:cs="Simplified Arabic"/>
          <w:b/>
          <w:bCs/>
          <w:sz w:val="24"/>
          <w:szCs w:val="24"/>
          <w:rtl/>
        </w:rPr>
        <w:t>النموذج المفاهيمي للدراسة</w:t>
      </w:r>
      <w:bookmarkEnd w:id="79"/>
    </w:p>
    <w:tbl>
      <w:tblPr>
        <w:tblStyle w:val="TableGridLight"/>
        <w:bidiVisual/>
        <w:tblW w:w="0" w:type="auto"/>
        <w:jc w:val="center"/>
        <w:tblLook w:val="04A0" w:firstRow="1" w:lastRow="0" w:firstColumn="1" w:lastColumn="0" w:noHBand="0" w:noVBand="1"/>
      </w:tblPr>
      <w:tblGrid>
        <w:gridCol w:w="1426"/>
        <w:gridCol w:w="2237"/>
        <w:gridCol w:w="2315"/>
      </w:tblGrid>
      <w:tr w:rsidR="001A3ABE" w:rsidRPr="003C40F2" w14:paraId="338B6D73" w14:textId="77777777" w:rsidTr="002A28C6">
        <w:trPr>
          <w:jc w:val="center"/>
        </w:trPr>
        <w:tc>
          <w:tcPr>
            <w:tcW w:w="0" w:type="auto"/>
            <w:vAlign w:val="center"/>
            <w:hideMark/>
          </w:tcPr>
          <w:p w14:paraId="4FCAA227" w14:textId="77777777" w:rsidR="001A3ABE" w:rsidRPr="003C40F2" w:rsidRDefault="001A3ABE" w:rsidP="002A28C6">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المتغير</w:t>
            </w:r>
          </w:p>
        </w:tc>
        <w:tc>
          <w:tcPr>
            <w:tcW w:w="0" w:type="auto"/>
            <w:vAlign w:val="center"/>
            <w:hideMark/>
          </w:tcPr>
          <w:p w14:paraId="2BBB90CE" w14:textId="77777777" w:rsidR="001A3ABE" w:rsidRPr="003C40F2" w:rsidRDefault="001A3ABE" w:rsidP="002A28C6">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الأبعاد</w:t>
            </w:r>
          </w:p>
        </w:tc>
        <w:tc>
          <w:tcPr>
            <w:tcW w:w="0" w:type="auto"/>
            <w:vAlign w:val="center"/>
            <w:hideMark/>
          </w:tcPr>
          <w:p w14:paraId="55AEF21F" w14:textId="77777777" w:rsidR="001A3ABE" w:rsidRPr="003C40F2" w:rsidRDefault="001A3ABE" w:rsidP="002A28C6">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المؤشرات</w:t>
            </w:r>
          </w:p>
        </w:tc>
      </w:tr>
      <w:tr w:rsidR="001A3ABE" w:rsidRPr="003C40F2" w14:paraId="6D1F5E53" w14:textId="77777777" w:rsidTr="002A28C6">
        <w:trPr>
          <w:jc w:val="center"/>
        </w:trPr>
        <w:tc>
          <w:tcPr>
            <w:tcW w:w="0" w:type="auto"/>
            <w:vMerge w:val="restart"/>
            <w:vAlign w:val="center"/>
            <w:hideMark/>
          </w:tcPr>
          <w:p w14:paraId="06F2949F"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tl/>
              </w:rPr>
              <w:t>المتغير المستقل</w:t>
            </w:r>
          </w:p>
        </w:tc>
        <w:tc>
          <w:tcPr>
            <w:tcW w:w="0" w:type="auto"/>
            <w:vAlign w:val="center"/>
            <w:hideMark/>
          </w:tcPr>
          <w:p w14:paraId="233C41F3"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الإطار التشريعي والتنظيمي</w:t>
            </w:r>
          </w:p>
        </w:tc>
        <w:tc>
          <w:tcPr>
            <w:tcW w:w="0" w:type="auto"/>
            <w:vAlign w:val="center"/>
            <w:hideMark/>
          </w:tcPr>
          <w:p w14:paraId="59BAC4DE"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وضوح الأنظمة واللوائح</w:t>
            </w:r>
          </w:p>
        </w:tc>
      </w:tr>
      <w:tr w:rsidR="001A3ABE" w:rsidRPr="003C40F2" w14:paraId="2E7BDE0D" w14:textId="77777777" w:rsidTr="002A28C6">
        <w:trPr>
          <w:jc w:val="center"/>
        </w:trPr>
        <w:tc>
          <w:tcPr>
            <w:tcW w:w="0" w:type="auto"/>
            <w:vMerge/>
            <w:vAlign w:val="center"/>
            <w:hideMark/>
          </w:tcPr>
          <w:p w14:paraId="677282A5" w14:textId="77777777" w:rsidR="001A3ABE" w:rsidRPr="003C40F2" w:rsidRDefault="001A3ABE" w:rsidP="002A28C6">
            <w:pPr>
              <w:bidi/>
              <w:jc w:val="center"/>
              <w:rPr>
                <w:rFonts w:ascii="Simplified Arabic" w:eastAsia="Times New Roman" w:hAnsi="Simplified Arabic" w:cs="Simplified Arabic"/>
                <w:sz w:val="24"/>
                <w:szCs w:val="24"/>
              </w:rPr>
            </w:pPr>
          </w:p>
        </w:tc>
        <w:tc>
          <w:tcPr>
            <w:tcW w:w="0" w:type="auto"/>
            <w:vAlign w:val="center"/>
            <w:hideMark/>
          </w:tcPr>
          <w:p w14:paraId="2F0AF4BF"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توزيع الأدوار والمسؤوليات</w:t>
            </w:r>
          </w:p>
        </w:tc>
        <w:tc>
          <w:tcPr>
            <w:tcW w:w="0" w:type="auto"/>
            <w:vAlign w:val="center"/>
            <w:hideMark/>
          </w:tcPr>
          <w:p w14:paraId="525C0014"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وضوح المسؤوليات</w:t>
            </w:r>
          </w:p>
        </w:tc>
      </w:tr>
      <w:tr w:rsidR="001A3ABE" w:rsidRPr="003C40F2" w14:paraId="5621F118" w14:textId="77777777" w:rsidTr="002A28C6">
        <w:trPr>
          <w:jc w:val="center"/>
        </w:trPr>
        <w:tc>
          <w:tcPr>
            <w:tcW w:w="0" w:type="auto"/>
            <w:vMerge/>
            <w:vAlign w:val="center"/>
            <w:hideMark/>
          </w:tcPr>
          <w:p w14:paraId="610269F1" w14:textId="77777777" w:rsidR="001A3ABE" w:rsidRPr="003C40F2" w:rsidRDefault="001A3ABE" w:rsidP="002A28C6">
            <w:pPr>
              <w:bidi/>
              <w:jc w:val="center"/>
              <w:rPr>
                <w:rFonts w:ascii="Simplified Arabic" w:eastAsia="Times New Roman" w:hAnsi="Simplified Arabic" w:cs="Simplified Arabic"/>
                <w:sz w:val="24"/>
                <w:szCs w:val="24"/>
              </w:rPr>
            </w:pPr>
          </w:p>
        </w:tc>
        <w:tc>
          <w:tcPr>
            <w:tcW w:w="0" w:type="auto"/>
            <w:vAlign w:val="center"/>
            <w:hideMark/>
          </w:tcPr>
          <w:p w14:paraId="34A73EDC"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التنسيق وتبادل المعلومات</w:t>
            </w:r>
          </w:p>
        </w:tc>
        <w:tc>
          <w:tcPr>
            <w:tcW w:w="0" w:type="auto"/>
            <w:vAlign w:val="center"/>
            <w:hideMark/>
          </w:tcPr>
          <w:p w14:paraId="0F233E83"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سرعة تبادل المعلومات</w:t>
            </w:r>
          </w:p>
        </w:tc>
      </w:tr>
      <w:tr w:rsidR="001A3ABE" w:rsidRPr="003C40F2" w14:paraId="307634EF" w14:textId="77777777" w:rsidTr="002A28C6">
        <w:trPr>
          <w:jc w:val="center"/>
        </w:trPr>
        <w:tc>
          <w:tcPr>
            <w:tcW w:w="0" w:type="auto"/>
            <w:vMerge/>
            <w:vAlign w:val="center"/>
            <w:hideMark/>
          </w:tcPr>
          <w:p w14:paraId="6F2B06D3" w14:textId="77777777" w:rsidR="001A3ABE" w:rsidRPr="003C40F2" w:rsidRDefault="001A3ABE" w:rsidP="002A28C6">
            <w:pPr>
              <w:bidi/>
              <w:jc w:val="center"/>
              <w:rPr>
                <w:rFonts w:ascii="Simplified Arabic" w:eastAsia="Times New Roman" w:hAnsi="Simplified Arabic" w:cs="Simplified Arabic"/>
                <w:sz w:val="24"/>
                <w:szCs w:val="24"/>
              </w:rPr>
            </w:pPr>
          </w:p>
        </w:tc>
        <w:tc>
          <w:tcPr>
            <w:tcW w:w="0" w:type="auto"/>
            <w:vAlign w:val="center"/>
            <w:hideMark/>
          </w:tcPr>
          <w:p w14:paraId="60B1B613"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إدارة الموارد والتمويل</w:t>
            </w:r>
          </w:p>
        </w:tc>
        <w:tc>
          <w:tcPr>
            <w:tcW w:w="0" w:type="auto"/>
            <w:vAlign w:val="center"/>
            <w:hideMark/>
          </w:tcPr>
          <w:p w14:paraId="1CA2E69F"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كفاءة استغلال الموارد</w:t>
            </w:r>
          </w:p>
        </w:tc>
      </w:tr>
      <w:tr w:rsidR="001A3ABE" w:rsidRPr="003C40F2" w14:paraId="252B0D96" w14:textId="77777777" w:rsidTr="002A28C6">
        <w:trPr>
          <w:jc w:val="center"/>
        </w:trPr>
        <w:tc>
          <w:tcPr>
            <w:tcW w:w="0" w:type="auto"/>
            <w:vMerge/>
            <w:vAlign w:val="center"/>
            <w:hideMark/>
          </w:tcPr>
          <w:p w14:paraId="41D98021" w14:textId="77777777" w:rsidR="001A3ABE" w:rsidRPr="003C40F2" w:rsidRDefault="001A3ABE" w:rsidP="002A28C6">
            <w:pPr>
              <w:bidi/>
              <w:jc w:val="center"/>
              <w:rPr>
                <w:rFonts w:ascii="Simplified Arabic" w:eastAsia="Times New Roman" w:hAnsi="Simplified Arabic" w:cs="Simplified Arabic"/>
                <w:sz w:val="24"/>
                <w:szCs w:val="24"/>
              </w:rPr>
            </w:pPr>
          </w:p>
        </w:tc>
        <w:tc>
          <w:tcPr>
            <w:tcW w:w="0" w:type="auto"/>
            <w:vAlign w:val="center"/>
            <w:hideMark/>
          </w:tcPr>
          <w:p w14:paraId="50153A85"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الرقابة وإدارة المخاطر</w:t>
            </w:r>
          </w:p>
        </w:tc>
        <w:tc>
          <w:tcPr>
            <w:tcW w:w="0" w:type="auto"/>
            <w:vAlign w:val="center"/>
            <w:hideMark/>
          </w:tcPr>
          <w:p w14:paraId="5972D38F"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متابعة الأداء وإدارة المخاطر</w:t>
            </w:r>
          </w:p>
        </w:tc>
      </w:tr>
      <w:tr w:rsidR="001A3ABE" w:rsidRPr="003C40F2" w14:paraId="10EE4C46" w14:textId="77777777" w:rsidTr="002A28C6">
        <w:trPr>
          <w:jc w:val="center"/>
        </w:trPr>
        <w:tc>
          <w:tcPr>
            <w:tcW w:w="0" w:type="auto"/>
            <w:vMerge w:val="restart"/>
            <w:vAlign w:val="center"/>
            <w:hideMark/>
          </w:tcPr>
          <w:p w14:paraId="7FB4F7E6"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tl/>
              </w:rPr>
              <w:t>المتغير التابع</w:t>
            </w:r>
          </w:p>
        </w:tc>
        <w:tc>
          <w:tcPr>
            <w:tcW w:w="0" w:type="auto"/>
            <w:vAlign w:val="center"/>
            <w:hideMark/>
          </w:tcPr>
          <w:p w14:paraId="5C972C89"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الكفاءة التشغيلية</w:t>
            </w:r>
          </w:p>
        </w:tc>
        <w:tc>
          <w:tcPr>
            <w:tcW w:w="0" w:type="auto"/>
            <w:vAlign w:val="center"/>
            <w:hideMark/>
          </w:tcPr>
          <w:p w14:paraId="2E9478E2"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سرعة إنجاز أعمال التفتيش</w:t>
            </w:r>
          </w:p>
        </w:tc>
      </w:tr>
      <w:tr w:rsidR="001A3ABE" w:rsidRPr="003C40F2" w14:paraId="1EE45060" w14:textId="77777777" w:rsidTr="002A28C6">
        <w:trPr>
          <w:jc w:val="center"/>
        </w:trPr>
        <w:tc>
          <w:tcPr>
            <w:tcW w:w="0" w:type="auto"/>
            <w:vMerge/>
            <w:vAlign w:val="center"/>
            <w:hideMark/>
          </w:tcPr>
          <w:p w14:paraId="20F0C890" w14:textId="77777777" w:rsidR="001A3ABE" w:rsidRPr="003C40F2" w:rsidRDefault="001A3ABE" w:rsidP="002A28C6">
            <w:pPr>
              <w:bidi/>
              <w:jc w:val="center"/>
              <w:rPr>
                <w:rFonts w:ascii="Simplified Arabic" w:eastAsia="Times New Roman" w:hAnsi="Simplified Arabic" w:cs="Simplified Arabic"/>
                <w:sz w:val="24"/>
                <w:szCs w:val="24"/>
              </w:rPr>
            </w:pPr>
          </w:p>
        </w:tc>
        <w:tc>
          <w:tcPr>
            <w:tcW w:w="0" w:type="auto"/>
            <w:vAlign w:val="center"/>
            <w:hideMark/>
          </w:tcPr>
          <w:p w14:paraId="504AF974"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جودة الرقابة والامتثال</w:t>
            </w:r>
          </w:p>
        </w:tc>
        <w:tc>
          <w:tcPr>
            <w:tcW w:w="0" w:type="auto"/>
            <w:vAlign w:val="center"/>
            <w:hideMark/>
          </w:tcPr>
          <w:p w14:paraId="6750B95F"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مستوى الالتزام البيئي</w:t>
            </w:r>
          </w:p>
        </w:tc>
      </w:tr>
      <w:tr w:rsidR="001A3ABE" w:rsidRPr="003C40F2" w14:paraId="775F66F8" w14:textId="77777777" w:rsidTr="002A28C6">
        <w:trPr>
          <w:jc w:val="center"/>
        </w:trPr>
        <w:tc>
          <w:tcPr>
            <w:tcW w:w="0" w:type="auto"/>
            <w:vMerge/>
            <w:vAlign w:val="center"/>
            <w:hideMark/>
          </w:tcPr>
          <w:p w14:paraId="37EC24B4" w14:textId="77777777" w:rsidR="001A3ABE" w:rsidRPr="003C40F2" w:rsidRDefault="001A3ABE" w:rsidP="002A28C6">
            <w:pPr>
              <w:bidi/>
              <w:jc w:val="center"/>
              <w:rPr>
                <w:rFonts w:ascii="Simplified Arabic" w:eastAsia="Times New Roman" w:hAnsi="Simplified Arabic" w:cs="Simplified Arabic"/>
                <w:sz w:val="24"/>
                <w:szCs w:val="24"/>
              </w:rPr>
            </w:pPr>
          </w:p>
        </w:tc>
        <w:tc>
          <w:tcPr>
            <w:tcW w:w="0" w:type="auto"/>
            <w:vAlign w:val="center"/>
            <w:hideMark/>
          </w:tcPr>
          <w:p w14:paraId="7948DF36"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الشفافية والمساءلة</w:t>
            </w:r>
          </w:p>
        </w:tc>
        <w:tc>
          <w:tcPr>
            <w:tcW w:w="0" w:type="auto"/>
            <w:vAlign w:val="center"/>
            <w:hideMark/>
          </w:tcPr>
          <w:p w14:paraId="7BA801F1"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وضوح الإجراءات والإفصاح</w:t>
            </w:r>
          </w:p>
        </w:tc>
      </w:tr>
      <w:tr w:rsidR="001A3ABE" w:rsidRPr="003C40F2" w14:paraId="6BFFCDF1" w14:textId="77777777" w:rsidTr="002A28C6">
        <w:trPr>
          <w:jc w:val="center"/>
        </w:trPr>
        <w:tc>
          <w:tcPr>
            <w:tcW w:w="0" w:type="auto"/>
            <w:vMerge/>
            <w:vAlign w:val="center"/>
            <w:hideMark/>
          </w:tcPr>
          <w:p w14:paraId="21FE3201" w14:textId="77777777" w:rsidR="001A3ABE" w:rsidRPr="003C40F2" w:rsidRDefault="001A3ABE" w:rsidP="002A28C6">
            <w:pPr>
              <w:bidi/>
              <w:jc w:val="center"/>
              <w:rPr>
                <w:rFonts w:ascii="Simplified Arabic" w:eastAsia="Times New Roman" w:hAnsi="Simplified Arabic" w:cs="Simplified Arabic"/>
                <w:sz w:val="24"/>
                <w:szCs w:val="24"/>
              </w:rPr>
            </w:pPr>
          </w:p>
        </w:tc>
        <w:tc>
          <w:tcPr>
            <w:tcW w:w="0" w:type="auto"/>
            <w:vAlign w:val="center"/>
            <w:hideMark/>
          </w:tcPr>
          <w:p w14:paraId="2FD11839"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تحسين الأداء البيئي</w:t>
            </w:r>
          </w:p>
        </w:tc>
        <w:tc>
          <w:tcPr>
            <w:tcW w:w="0" w:type="auto"/>
            <w:vAlign w:val="center"/>
            <w:hideMark/>
          </w:tcPr>
          <w:p w14:paraId="039AFD9B"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تحسين مؤشرات الأداء</w:t>
            </w:r>
          </w:p>
        </w:tc>
      </w:tr>
      <w:tr w:rsidR="001A3ABE" w:rsidRPr="003C40F2" w14:paraId="431A4241" w14:textId="77777777" w:rsidTr="002A28C6">
        <w:trPr>
          <w:jc w:val="center"/>
        </w:trPr>
        <w:tc>
          <w:tcPr>
            <w:tcW w:w="0" w:type="auto"/>
            <w:vMerge/>
            <w:vAlign w:val="center"/>
            <w:hideMark/>
          </w:tcPr>
          <w:p w14:paraId="4F8C7DF4" w14:textId="77777777" w:rsidR="001A3ABE" w:rsidRPr="003C40F2" w:rsidRDefault="001A3ABE" w:rsidP="002A28C6">
            <w:pPr>
              <w:bidi/>
              <w:jc w:val="center"/>
              <w:rPr>
                <w:rFonts w:ascii="Simplified Arabic" w:eastAsia="Times New Roman" w:hAnsi="Simplified Arabic" w:cs="Simplified Arabic"/>
                <w:sz w:val="24"/>
                <w:szCs w:val="24"/>
              </w:rPr>
            </w:pPr>
          </w:p>
        </w:tc>
        <w:tc>
          <w:tcPr>
            <w:tcW w:w="0" w:type="auto"/>
            <w:vAlign w:val="center"/>
            <w:hideMark/>
          </w:tcPr>
          <w:p w14:paraId="5BC8C697"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الاستدامة المؤسسية</w:t>
            </w:r>
          </w:p>
        </w:tc>
        <w:tc>
          <w:tcPr>
            <w:tcW w:w="0" w:type="auto"/>
            <w:vAlign w:val="center"/>
            <w:hideMark/>
          </w:tcPr>
          <w:p w14:paraId="40777D9A"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استمرارية التطوير والتحسين</w:t>
            </w:r>
          </w:p>
        </w:tc>
      </w:tr>
    </w:tbl>
    <w:p w14:paraId="616C9220"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80" w:name="_Toc234607904"/>
      <w:r w:rsidRPr="003C40F2">
        <w:rPr>
          <w:rFonts w:ascii="Simplified Arabic" w:eastAsia="Times New Roman" w:hAnsi="Simplified Arabic" w:cs="Simplified Arabic"/>
          <w:b/>
          <w:bCs/>
          <w:kern w:val="36"/>
          <w:sz w:val="24"/>
          <w:szCs w:val="24"/>
        </w:rPr>
        <w:t xml:space="preserve">3.4 </w:t>
      </w:r>
      <w:r w:rsidRPr="003C40F2">
        <w:rPr>
          <w:rFonts w:ascii="Simplified Arabic" w:eastAsia="Times New Roman" w:hAnsi="Simplified Arabic" w:cs="Simplified Arabic"/>
          <w:b/>
          <w:bCs/>
          <w:kern w:val="36"/>
          <w:sz w:val="24"/>
          <w:szCs w:val="24"/>
          <w:rtl/>
        </w:rPr>
        <w:t>التعريفات الإجرائية لمتغيرات الدراسة</w:t>
      </w:r>
      <w:bookmarkEnd w:id="80"/>
    </w:p>
    <w:p w14:paraId="5CA44CB8" w14:textId="4FDA80F5" w:rsidR="001A3ABE" w:rsidRPr="003C40F2" w:rsidRDefault="001A3ABE" w:rsidP="00E71187">
      <w:pPr>
        <w:bidi/>
        <w:spacing w:before="100" w:beforeAutospacing="1" w:after="100" w:afterAutospacing="1" w:line="240" w:lineRule="auto"/>
        <w:jc w:val="both"/>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تعتمد الدراسة على تعريف المتغيرات بصورة إجرائية بما يتناسب مع أهداف الدراسة وطبيعة أداة القياس المستخدمة</w:t>
      </w:r>
      <w:r w:rsidRPr="003C40F2">
        <w:rPr>
          <w:rFonts w:ascii="Simplified Arabic" w:eastAsia="Times New Roman" w:hAnsi="Simplified Arabic" w:cs="Simplified Arabic"/>
          <w:sz w:val="24"/>
          <w:szCs w:val="24"/>
        </w:rPr>
        <w:t>.</w:t>
      </w:r>
    </w:p>
    <w:p w14:paraId="2620278E"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81" w:name="_Toc234607905"/>
      <w:r w:rsidRPr="003C40F2">
        <w:rPr>
          <w:rFonts w:ascii="Simplified Arabic" w:eastAsia="Times New Roman" w:hAnsi="Simplified Arabic" w:cs="Simplified Arabic"/>
          <w:b/>
          <w:bCs/>
          <w:sz w:val="24"/>
          <w:szCs w:val="24"/>
          <w:rtl/>
        </w:rPr>
        <w:t>جدول</w:t>
      </w:r>
      <w:r w:rsidRPr="003C40F2">
        <w:rPr>
          <w:rFonts w:ascii="Simplified Arabic" w:eastAsia="Times New Roman" w:hAnsi="Simplified Arabic" w:cs="Simplified Arabic"/>
          <w:b/>
          <w:bCs/>
          <w:sz w:val="24"/>
          <w:szCs w:val="24"/>
        </w:rPr>
        <w:t xml:space="preserve"> (3-2)</w:t>
      </w:r>
      <w:bookmarkEnd w:id="81"/>
    </w:p>
    <w:p w14:paraId="3A9A3DF7"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82" w:name="_Toc234607906"/>
      <w:r w:rsidRPr="003C40F2">
        <w:rPr>
          <w:rFonts w:ascii="Simplified Arabic" w:eastAsia="Times New Roman" w:hAnsi="Simplified Arabic" w:cs="Simplified Arabic"/>
          <w:b/>
          <w:bCs/>
          <w:sz w:val="24"/>
          <w:szCs w:val="24"/>
          <w:rtl/>
        </w:rPr>
        <w:t>التعريفات الإجرائية لمتغيرات الدراسة</w:t>
      </w:r>
      <w:bookmarkEnd w:id="82"/>
    </w:p>
    <w:tbl>
      <w:tblPr>
        <w:tblStyle w:val="TableGridLight"/>
        <w:bidiVisual/>
        <w:tblW w:w="0" w:type="auto"/>
        <w:jc w:val="center"/>
        <w:tblLook w:val="04A0" w:firstRow="1" w:lastRow="0" w:firstColumn="1" w:lastColumn="0" w:noHBand="0" w:noVBand="1"/>
      </w:tblPr>
      <w:tblGrid>
        <w:gridCol w:w="2157"/>
        <w:gridCol w:w="3667"/>
        <w:gridCol w:w="1096"/>
        <w:gridCol w:w="1376"/>
      </w:tblGrid>
      <w:tr w:rsidR="001A3ABE" w:rsidRPr="00A204CB" w14:paraId="785250F8" w14:textId="77777777" w:rsidTr="002A28C6">
        <w:trPr>
          <w:jc w:val="center"/>
        </w:trPr>
        <w:tc>
          <w:tcPr>
            <w:tcW w:w="0" w:type="auto"/>
            <w:vAlign w:val="center"/>
            <w:hideMark/>
          </w:tcPr>
          <w:p w14:paraId="4A47FC3B" w14:textId="77777777" w:rsidR="001A3ABE" w:rsidRPr="00A204CB" w:rsidRDefault="001A3ABE" w:rsidP="002A28C6">
            <w:pPr>
              <w:bidi/>
              <w:jc w:val="center"/>
              <w:rPr>
                <w:rFonts w:ascii="Simplified Arabic" w:eastAsia="Times New Roman" w:hAnsi="Simplified Arabic" w:cs="Simplified Arabic"/>
                <w:b/>
                <w:bCs/>
              </w:rPr>
            </w:pPr>
            <w:r w:rsidRPr="00A204CB">
              <w:rPr>
                <w:rFonts w:ascii="Simplified Arabic" w:eastAsia="Times New Roman" w:hAnsi="Simplified Arabic" w:cs="Simplified Arabic"/>
                <w:b/>
                <w:bCs/>
                <w:rtl/>
              </w:rPr>
              <w:t>المتغير</w:t>
            </w:r>
          </w:p>
        </w:tc>
        <w:tc>
          <w:tcPr>
            <w:tcW w:w="0" w:type="auto"/>
            <w:vAlign w:val="center"/>
            <w:hideMark/>
          </w:tcPr>
          <w:p w14:paraId="46A4328F" w14:textId="77777777" w:rsidR="001A3ABE" w:rsidRPr="00A204CB" w:rsidRDefault="001A3ABE" w:rsidP="002A28C6">
            <w:pPr>
              <w:bidi/>
              <w:jc w:val="center"/>
              <w:rPr>
                <w:rFonts w:ascii="Simplified Arabic" w:eastAsia="Times New Roman" w:hAnsi="Simplified Arabic" w:cs="Simplified Arabic"/>
                <w:b/>
                <w:bCs/>
              </w:rPr>
            </w:pPr>
            <w:r w:rsidRPr="00A204CB">
              <w:rPr>
                <w:rFonts w:ascii="Simplified Arabic" w:eastAsia="Times New Roman" w:hAnsi="Simplified Arabic" w:cs="Simplified Arabic"/>
                <w:b/>
                <w:bCs/>
                <w:rtl/>
              </w:rPr>
              <w:t>التعريف الإجرائي</w:t>
            </w:r>
          </w:p>
        </w:tc>
        <w:tc>
          <w:tcPr>
            <w:tcW w:w="0" w:type="auto"/>
            <w:vAlign w:val="center"/>
            <w:hideMark/>
          </w:tcPr>
          <w:p w14:paraId="24346A99" w14:textId="77777777" w:rsidR="001A3ABE" w:rsidRPr="00A204CB" w:rsidRDefault="001A3ABE" w:rsidP="002A28C6">
            <w:pPr>
              <w:bidi/>
              <w:jc w:val="center"/>
              <w:rPr>
                <w:rFonts w:ascii="Simplified Arabic" w:eastAsia="Times New Roman" w:hAnsi="Simplified Arabic" w:cs="Simplified Arabic"/>
                <w:b/>
                <w:bCs/>
              </w:rPr>
            </w:pPr>
            <w:r w:rsidRPr="00A204CB">
              <w:rPr>
                <w:rFonts w:ascii="Simplified Arabic" w:eastAsia="Times New Roman" w:hAnsi="Simplified Arabic" w:cs="Simplified Arabic"/>
                <w:b/>
                <w:bCs/>
                <w:rtl/>
              </w:rPr>
              <w:t>مصدر البيانات</w:t>
            </w:r>
          </w:p>
        </w:tc>
        <w:tc>
          <w:tcPr>
            <w:tcW w:w="0" w:type="auto"/>
            <w:vAlign w:val="center"/>
            <w:hideMark/>
          </w:tcPr>
          <w:p w14:paraId="09EA3079" w14:textId="77777777" w:rsidR="001A3ABE" w:rsidRPr="00A204CB" w:rsidRDefault="001A3ABE" w:rsidP="002A28C6">
            <w:pPr>
              <w:bidi/>
              <w:jc w:val="center"/>
              <w:rPr>
                <w:rFonts w:ascii="Simplified Arabic" w:eastAsia="Times New Roman" w:hAnsi="Simplified Arabic" w:cs="Simplified Arabic"/>
                <w:b/>
                <w:bCs/>
              </w:rPr>
            </w:pPr>
            <w:r w:rsidRPr="00A204CB">
              <w:rPr>
                <w:rFonts w:ascii="Simplified Arabic" w:eastAsia="Times New Roman" w:hAnsi="Simplified Arabic" w:cs="Simplified Arabic"/>
                <w:b/>
                <w:bCs/>
                <w:rtl/>
              </w:rPr>
              <w:t>وحدة القياس</w:t>
            </w:r>
          </w:p>
        </w:tc>
      </w:tr>
      <w:tr w:rsidR="001A3ABE" w:rsidRPr="00A204CB" w14:paraId="1A7A005C" w14:textId="77777777" w:rsidTr="002A28C6">
        <w:trPr>
          <w:jc w:val="center"/>
        </w:trPr>
        <w:tc>
          <w:tcPr>
            <w:tcW w:w="0" w:type="auto"/>
            <w:vAlign w:val="center"/>
            <w:hideMark/>
          </w:tcPr>
          <w:p w14:paraId="08F93115" w14:textId="77777777" w:rsidR="001A3ABE" w:rsidRPr="00A204CB" w:rsidRDefault="001A3ABE" w:rsidP="002A28C6">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الشراكات بين القطاعين العام والخاص</w:t>
            </w:r>
          </w:p>
        </w:tc>
        <w:tc>
          <w:tcPr>
            <w:tcW w:w="0" w:type="auto"/>
            <w:vAlign w:val="center"/>
            <w:hideMark/>
          </w:tcPr>
          <w:p w14:paraId="5ADCB730" w14:textId="77777777" w:rsidR="001A3ABE" w:rsidRPr="00A204CB" w:rsidRDefault="001A3ABE" w:rsidP="002A28C6">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درجة تطبيق ممارسات الشراكة في قطاع البيئة كما يدركها أفراد الدراسة</w:t>
            </w:r>
          </w:p>
        </w:tc>
        <w:tc>
          <w:tcPr>
            <w:tcW w:w="0" w:type="auto"/>
            <w:vAlign w:val="center"/>
            <w:hideMark/>
          </w:tcPr>
          <w:p w14:paraId="606C8DFE" w14:textId="77777777" w:rsidR="001A3ABE" w:rsidRPr="00A204CB" w:rsidRDefault="001A3ABE" w:rsidP="002A28C6">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الاستبانة</w:t>
            </w:r>
          </w:p>
        </w:tc>
        <w:tc>
          <w:tcPr>
            <w:tcW w:w="0" w:type="auto"/>
            <w:vAlign w:val="center"/>
            <w:hideMark/>
          </w:tcPr>
          <w:p w14:paraId="3F903625" w14:textId="77777777" w:rsidR="001A3ABE" w:rsidRPr="00A204CB" w:rsidRDefault="001A3ABE" w:rsidP="002A28C6">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متوسط درجات ليكرت</w:t>
            </w:r>
          </w:p>
        </w:tc>
      </w:tr>
      <w:tr w:rsidR="001A3ABE" w:rsidRPr="00A204CB" w14:paraId="7615AD4F" w14:textId="77777777" w:rsidTr="002A28C6">
        <w:trPr>
          <w:jc w:val="center"/>
        </w:trPr>
        <w:tc>
          <w:tcPr>
            <w:tcW w:w="0" w:type="auto"/>
            <w:vAlign w:val="center"/>
            <w:hideMark/>
          </w:tcPr>
          <w:p w14:paraId="556C97DF" w14:textId="77777777" w:rsidR="001A3ABE" w:rsidRPr="00A204CB" w:rsidRDefault="001A3ABE" w:rsidP="002A28C6">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الحوكمة البيئية وإدارة الأداء</w:t>
            </w:r>
          </w:p>
        </w:tc>
        <w:tc>
          <w:tcPr>
            <w:tcW w:w="0" w:type="auto"/>
            <w:vAlign w:val="center"/>
            <w:hideMark/>
          </w:tcPr>
          <w:p w14:paraId="420B26AB" w14:textId="77777777" w:rsidR="001A3ABE" w:rsidRPr="00A204CB" w:rsidRDefault="001A3ABE" w:rsidP="002A28C6">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مستوى فاعلية الحوكمة وإدارة الأداء في التفتيش البيئي</w:t>
            </w:r>
          </w:p>
        </w:tc>
        <w:tc>
          <w:tcPr>
            <w:tcW w:w="0" w:type="auto"/>
            <w:vAlign w:val="center"/>
            <w:hideMark/>
          </w:tcPr>
          <w:p w14:paraId="40D75419" w14:textId="77777777" w:rsidR="001A3ABE" w:rsidRPr="00A204CB" w:rsidRDefault="001A3ABE" w:rsidP="002A28C6">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الاستبانة</w:t>
            </w:r>
          </w:p>
        </w:tc>
        <w:tc>
          <w:tcPr>
            <w:tcW w:w="0" w:type="auto"/>
            <w:vAlign w:val="center"/>
            <w:hideMark/>
          </w:tcPr>
          <w:p w14:paraId="1FC22517" w14:textId="77777777" w:rsidR="001A3ABE" w:rsidRPr="00A204CB" w:rsidRDefault="001A3ABE" w:rsidP="002A28C6">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متوسط درجات ليكرت</w:t>
            </w:r>
          </w:p>
        </w:tc>
      </w:tr>
    </w:tbl>
    <w:p w14:paraId="38A69441"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lastRenderedPageBreak/>
        <w:t xml:space="preserve"> </w:t>
      </w:r>
      <w:bookmarkStart w:id="83" w:name="_Toc234607907"/>
      <w:r w:rsidRPr="003C40F2">
        <w:rPr>
          <w:rFonts w:ascii="Simplified Arabic" w:eastAsia="Times New Roman" w:hAnsi="Simplified Arabic" w:cs="Simplified Arabic"/>
          <w:b/>
          <w:bCs/>
          <w:kern w:val="36"/>
          <w:sz w:val="24"/>
          <w:szCs w:val="24"/>
        </w:rPr>
        <w:t xml:space="preserve">3.5 </w:t>
      </w:r>
      <w:r w:rsidRPr="003C40F2">
        <w:rPr>
          <w:rFonts w:ascii="Simplified Arabic" w:eastAsia="Times New Roman" w:hAnsi="Simplified Arabic" w:cs="Simplified Arabic"/>
          <w:b/>
          <w:bCs/>
          <w:kern w:val="36"/>
          <w:sz w:val="24"/>
          <w:szCs w:val="24"/>
          <w:rtl/>
        </w:rPr>
        <w:t>مجتمع الدراسة</w:t>
      </w:r>
      <w:bookmarkEnd w:id="83"/>
    </w:p>
    <w:p w14:paraId="69925275" w14:textId="77777777" w:rsidR="001A3ABE" w:rsidRPr="003C40F2"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يتكون مجتمع الدراسة من جميع العاملين والمسؤولين والخبراء في الجهات الحكومية ذات العلاقة بالبيئة والتفتيش البيئي، إضافة إلى العاملين في الشركات والمؤسسات الخاصة المشاركة في تنفيذ الخدمات البيئية بالمملكة العربية السعودية، ممن لديهم خبرة أو علاقة مباشرة بالشراكات بين القطاعين العام والخاص أما المجتمع المستهدف فيقتصر على العاملين في الجهات الحكومية والقطاع الخاص الذين يشاركون بصورة مباشرة في التخطيط أو التنفيذ أو الإشراف أو الرقابة على أعمال التفتيش البيئي والشراكات البيئية</w:t>
      </w:r>
      <w:r w:rsidRPr="003C40F2">
        <w:rPr>
          <w:rFonts w:ascii="Simplified Arabic" w:eastAsia="Times New Roman" w:hAnsi="Simplified Arabic" w:cs="Simplified Arabic"/>
          <w:sz w:val="24"/>
          <w:szCs w:val="24"/>
        </w:rPr>
        <w:t>.</w:t>
      </w:r>
    </w:p>
    <w:p w14:paraId="2D725255"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84" w:name="_Toc234607908"/>
      <w:r w:rsidRPr="003C40F2">
        <w:rPr>
          <w:rFonts w:ascii="Simplified Arabic" w:eastAsia="Times New Roman" w:hAnsi="Simplified Arabic" w:cs="Simplified Arabic"/>
          <w:b/>
          <w:bCs/>
          <w:kern w:val="36"/>
          <w:sz w:val="24"/>
          <w:szCs w:val="24"/>
        </w:rPr>
        <w:t xml:space="preserve">3.6 </w:t>
      </w:r>
      <w:r w:rsidRPr="003C40F2">
        <w:rPr>
          <w:rFonts w:ascii="Simplified Arabic" w:eastAsia="Times New Roman" w:hAnsi="Simplified Arabic" w:cs="Simplified Arabic"/>
          <w:b/>
          <w:bCs/>
          <w:kern w:val="36"/>
          <w:sz w:val="24"/>
          <w:szCs w:val="24"/>
          <w:rtl/>
        </w:rPr>
        <w:t>وحدة التحليل</w:t>
      </w:r>
      <w:bookmarkEnd w:id="84"/>
    </w:p>
    <w:p w14:paraId="15CD5C13" w14:textId="77777777" w:rsidR="001A3ABE" w:rsidRPr="003C40F2"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tl/>
        </w:rPr>
      </w:pPr>
      <w:r w:rsidRPr="003C40F2">
        <w:rPr>
          <w:rFonts w:ascii="Simplified Arabic" w:eastAsia="Times New Roman" w:hAnsi="Simplified Arabic" w:cs="Simplified Arabic"/>
          <w:sz w:val="24"/>
          <w:szCs w:val="24"/>
          <w:rtl/>
        </w:rPr>
        <w:t>تتمثل وحدة التحليل في الفرد، حيث تعتمد الدراسة على آراء العاملين والمسؤولين والخبراء بوصفهم المصدر الرئيس للمعلومات المتعلقة بمتغيرات الدراسة، ويتم جمع البيانات من خلال الاستبانة</w:t>
      </w:r>
      <w:r w:rsidRPr="003C40F2">
        <w:rPr>
          <w:rFonts w:ascii="Simplified Arabic" w:eastAsia="Times New Roman" w:hAnsi="Simplified Arabic" w:cs="Simplified Arabic"/>
          <w:sz w:val="24"/>
          <w:szCs w:val="24"/>
        </w:rPr>
        <w:t>.</w:t>
      </w:r>
    </w:p>
    <w:p w14:paraId="02520C8A"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85" w:name="_Toc234607909"/>
      <w:r w:rsidRPr="003C40F2">
        <w:rPr>
          <w:rFonts w:ascii="Simplified Arabic" w:eastAsia="Times New Roman" w:hAnsi="Simplified Arabic" w:cs="Simplified Arabic"/>
          <w:b/>
          <w:bCs/>
          <w:kern w:val="36"/>
          <w:sz w:val="24"/>
          <w:szCs w:val="24"/>
        </w:rPr>
        <w:t xml:space="preserve">3.7 </w:t>
      </w:r>
      <w:r w:rsidRPr="003C40F2">
        <w:rPr>
          <w:rFonts w:ascii="Simplified Arabic" w:eastAsia="Times New Roman" w:hAnsi="Simplified Arabic" w:cs="Simplified Arabic"/>
          <w:b/>
          <w:bCs/>
          <w:kern w:val="36"/>
          <w:sz w:val="24"/>
          <w:szCs w:val="24"/>
          <w:rtl/>
        </w:rPr>
        <w:t>عينة الدراسة</w:t>
      </w:r>
      <w:bookmarkEnd w:id="85"/>
    </w:p>
    <w:p w14:paraId="20B7B020" w14:textId="77777777" w:rsidR="001A3ABE" w:rsidRPr="003C40F2"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 xml:space="preserve">تم اختيار عينة الدراسة باستخدام العينة الطبقية العشوائية، وذلك لضمان تمثيل الفئات المختلفة داخل المجتمع الأصلي للدراسة. وقد بلغ حجم العينة (260) مفردة، وهو حجم مناسب لإجراء التحليلات الإحصائية واختبار فرضيات الدراسة، ويتوافق مع المعايير الإحصائية المقترحة في الأدبيات المنهجية للدراسات المسحية واعتمد الباحث في تحديد حجم العينة على جدول </w:t>
      </w:r>
      <w:proofErr w:type="spellStart"/>
      <w:r w:rsidRPr="003C40F2">
        <w:rPr>
          <w:rFonts w:ascii="Simplified Arabic" w:eastAsia="Times New Roman" w:hAnsi="Simplified Arabic" w:cs="Simplified Arabic"/>
          <w:sz w:val="24"/>
          <w:szCs w:val="24"/>
        </w:rPr>
        <w:t>Krejcie</w:t>
      </w:r>
      <w:proofErr w:type="spellEnd"/>
      <w:r w:rsidRPr="003C40F2">
        <w:rPr>
          <w:rFonts w:ascii="Simplified Arabic" w:eastAsia="Times New Roman" w:hAnsi="Simplified Arabic" w:cs="Simplified Arabic"/>
          <w:sz w:val="24"/>
          <w:szCs w:val="24"/>
        </w:rPr>
        <w:t xml:space="preserve"> &amp; Morgan (1970)</w:t>
      </w:r>
      <w:r w:rsidRPr="003C40F2">
        <w:rPr>
          <w:rFonts w:ascii="Simplified Arabic" w:eastAsia="Times New Roman" w:hAnsi="Simplified Arabic" w:cs="Simplified Arabic"/>
          <w:sz w:val="24"/>
          <w:szCs w:val="24"/>
          <w:rtl/>
        </w:rPr>
        <w:t>، الذي يعد من أكثر المراجع استخداماً في تحديد أحجام العينات في الدراسات الاجتماعية والإدارية</w:t>
      </w:r>
      <w:r w:rsidRPr="003C40F2">
        <w:rPr>
          <w:rFonts w:ascii="Simplified Arabic" w:eastAsia="Times New Roman" w:hAnsi="Simplified Arabic" w:cs="Simplified Arabic"/>
          <w:sz w:val="24"/>
          <w:szCs w:val="24"/>
        </w:rPr>
        <w:t>.</w:t>
      </w:r>
    </w:p>
    <w:p w14:paraId="41EC72A0"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86" w:name="_Toc234607910"/>
      <w:r w:rsidRPr="003C40F2">
        <w:rPr>
          <w:rFonts w:ascii="Simplified Arabic" w:eastAsia="Times New Roman" w:hAnsi="Simplified Arabic" w:cs="Simplified Arabic"/>
          <w:b/>
          <w:bCs/>
          <w:sz w:val="24"/>
          <w:szCs w:val="24"/>
          <w:rtl/>
        </w:rPr>
        <w:t>جدول</w:t>
      </w:r>
      <w:r w:rsidRPr="003C40F2">
        <w:rPr>
          <w:rFonts w:ascii="Simplified Arabic" w:eastAsia="Times New Roman" w:hAnsi="Simplified Arabic" w:cs="Simplified Arabic"/>
          <w:b/>
          <w:bCs/>
          <w:sz w:val="24"/>
          <w:szCs w:val="24"/>
        </w:rPr>
        <w:t xml:space="preserve"> (3-3)</w:t>
      </w:r>
      <w:bookmarkEnd w:id="86"/>
    </w:p>
    <w:p w14:paraId="26F63B0B"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87" w:name="_Toc234607911"/>
      <w:r w:rsidRPr="003C40F2">
        <w:rPr>
          <w:rFonts w:ascii="Simplified Arabic" w:eastAsia="Times New Roman" w:hAnsi="Simplified Arabic" w:cs="Simplified Arabic"/>
          <w:b/>
          <w:bCs/>
          <w:sz w:val="24"/>
          <w:szCs w:val="24"/>
          <w:rtl/>
        </w:rPr>
        <w:t>التوزيع المقترح لعينة الدراسة</w:t>
      </w:r>
      <w:bookmarkEnd w:id="87"/>
    </w:p>
    <w:tbl>
      <w:tblPr>
        <w:tblStyle w:val="TableGridLight"/>
        <w:bidiVisual/>
        <w:tblW w:w="0" w:type="auto"/>
        <w:jc w:val="center"/>
        <w:tblLook w:val="04A0" w:firstRow="1" w:lastRow="0" w:firstColumn="1" w:lastColumn="0" w:noHBand="0" w:noVBand="1"/>
      </w:tblPr>
      <w:tblGrid>
        <w:gridCol w:w="1491"/>
        <w:gridCol w:w="621"/>
        <w:gridCol w:w="864"/>
      </w:tblGrid>
      <w:tr w:rsidR="001A3ABE" w:rsidRPr="003C40F2" w14:paraId="622A7708" w14:textId="77777777" w:rsidTr="002A28C6">
        <w:trPr>
          <w:jc w:val="center"/>
        </w:trPr>
        <w:tc>
          <w:tcPr>
            <w:tcW w:w="0" w:type="auto"/>
            <w:vAlign w:val="center"/>
            <w:hideMark/>
          </w:tcPr>
          <w:p w14:paraId="4F43E372" w14:textId="77777777" w:rsidR="001A3ABE" w:rsidRPr="003C40F2" w:rsidRDefault="001A3ABE" w:rsidP="002A28C6">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الفئة</w:t>
            </w:r>
          </w:p>
        </w:tc>
        <w:tc>
          <w:tcPr>
            <w:tcW w:w="0" w:type="auto"/>
            <w:vAlign w:val="center"/>
            <w:hideMark/>
          </w:tcPr>
          <w:p w14:paraId="7A796D11" w14:textId="77777777" w:rsidR="001A3ABE" w:rsidRPr="003C40F2" w:rsidRDefault="001A3ABE" w:rsidP="002A28C6">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العدد</w:t>
            </w:r>
          </w:p>
        </w:tc>
        <w:tc>
          <w:tcPr>
            <w:tcW w:w="0" w:type="auto"/>
            <w:vAlign w:val="center"/>
            <w:hideMark/>
          </w:tcPr>
          <w:p w14:paraId="1F5A3185" w14:textId="77777777" w:rsidR="001A3ABE" w:rsidRPr="003C40F2" w:rsidRDefault="001A3ABE" w:rsidP="002A28C6">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النسبة</w:t>
            </w:r>
          </w:p>
        </w:tc>
      </w:tr>
      <w:tr w:rsidR="001A3ABE" w:rsidRPr="003C40F2" w14:paraId="7788FA04" w14:textId="77777777" w:rsidTr="002A28C6">
        <w:trPr>
          <w:jc w:val="center"/>
        </w:trPr>
        <w:tc>
          <w:tcPr>
            <w:tcW w:w="0" w:type="auto"/>
            <w:vAlign w:val="center"/>
            <w:hideMark/>
          </w:tcPr>
          <w:p w14:paraId="12256532"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الجهات الحكومية</w:t>
            </w:r>
          </w:p>
        </w:tc>
        <w:tc>
          <w:tcPr>
            <w:tcW w:w="0" w:type="auto"/>
            <w:vAlign w:val="center"/>
            <w:hideMark/>
          </w:tcPr>
          <w:p w14:paraId="3FA7E93C"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Pr>
              <w:t>170</w:t>
            </w:r>
          </w:p>
        </w:tc>
        <w:tc>
          <w:tcPr>
            <w:tcW w:w="0" w:type="auto"/>
            <w:vAlign w:val="center"/>
            <w:hideMark/>
          </w:tcPr>
          <w:p w14:paraId="27AB73DF"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Pr>
              <w:t>65.4%</w:t>
            </w:r>
          </w:p>
        </w:tc>
      </w:tr>
      <w:tr w:rsidR="001A3ABE" w:rsidRPr="003C40F2" w14:paraId="09B37802" w14:textId="77777777" w:rsidTr="002A28C6">
        <w:trPr>
          <w:jc w:val="center"/>
        </w:trPr>
        <w:tc>
          <w:tcPr>
            <w:tcW w:w="0" w:type="auto"/>
            <w:vAlign w:val="center"/>
            <w:hideMark/>
          </w:tcPr>
          <w:p w14:paraId="5CEC5AA5"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القطاع الخاص</w:t>
            </w:r>
          </w:p>
        </w:tc>
        <w:tc>
          <w:tcPr>
            <w:tcW w:w="0" w:type="auto"/>
            <w:vAlign w:val="center"/>
            <w:hideMark/>
          </w:tcPr>
          <w:p w14:paraId="725E5B0F"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Pr>
              <w:t>90</w:t>
            </w:r>
          </w:p>
        </w:tc>
        <w:tc>
          <w:tcPr>
            <w:tcW w:w="0" w:type="auto"/>
            <w:vAlign w:val="center"/>
            <w:hideMark/>
          </w:tcPr>
          <w:p w14:paraId="28D8369A"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Pr>
              <w:t>34.6%</w:t>
            </w:r>
          </w:p>
        </w:tc>
      </w:tr>
      <w:tr w:rsidR="001A3ABE" w:rsidRPr="003C40F2" w14:paraId="28E93362" w14:textId="77777777" w:rsidTr="002A28C6">
        <w:trPr>
          <w:jc w:val="center"/>
        </w:trPr>
        <w:tc>
          <w:tcPr>
            <w:tcW w:w="0" w:type="auto"/>
            <w:vAlign w:val="center"/>
            <w:hideMark/>
          </w:tcPr>
          <w:p w14:paraId="450F91D5" w14:textId="5A420149" w:rsidR="001A3ABE" w:rsidRPr="003C40F2" w:rsidRDefault="001A3ABE" w:rsidP="00681DDF">
            <w:pPr>
              <w:bidi/>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tl/>
              </w:rPr>
              <w:t>الإجمالي</w:t>
            </w:r>
          </w:p>
        </w:tc>
        <w:tc>
          <w:tcPr>
            <w:tcW w:w="0" w:type="auto"/>
            <w:vAlign w:val="center"/>
            <w:hideMark/>
          </w:tcPr>
          <w:p w14:paraId="015A7F8F"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Pr>
              <w:t>260</w:t>
            </w:r>
          </w:p>
        </w:tc>
        <w:tc>
          <w:tcPr>
            <w:tcW w:w="0" w:type="auto"/>
            <w:vAlign w:val="center"/>
            <w:hideMark/>
          </w:tcPr>
          <w:p w14:paraId="07DC4900"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Pr>
              <w:t>100%</w:t>
            </w:r>
          </w:p>
        </w:tc>
      </w:tr>
    </w:tbl>
    <w:p w14:paraId="78A36947" w14:textId="77777777" w:rsidR="00FD5A98" w:rsidRDefault="00FD5A98" w:rsidP="00681DDF">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p>
    <w:p w14:paraId="257AD6AA" w14:textId="77777777" w:rsidR="00FD5A98" w:rsidRDefault="00FD5A98" w:rsidP="00FD5A98">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p>
    <w:p w14:paraId="6FA10E73" w14:textId="77777777" w:rsidR="00FD5A98" w:rsidRDefault="00FD5A98" w:rsidP="00FD5A98">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p>
    <w:p w14:paraId="5A8ACE8A" w14:textId="748A1052" w:rsidR="00681DDF" w:rsidRPr="003C40F2" w:rsidRDefault="001A3ABE" w:rsidP="00FD5A98">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lastRenderedPageBreak/>
        <w:t xml:space="preserve"> </w:t>
      </w:r>
      <w:bookmarkStart w:id="88" w:name="_Toc234607912"/>
      <w:r w:rsidRPr="003C40F2">
        <w:rPr>
          <w:rFonts w:ascii="Simplified Arabic" w:eastAsia="Times New Roman" w:hAnsi="Simplified Arabic" w:cs="Simplified Arabic"/>
          <w:b/>
          <w:bCs/>
          <w:kern w:val="36"/>
          <w:sz w:val="24"/>
          <w:szCs w:val="24"/>
        </w:rPr>
        <w:t xml:space="preserve">3.8 </w:t>
      </w:r>
      <w:r w:rsidRPr="003C40F2">
        <w:rPr>
          <w:rFonts w:ascii="Simplified Arabic" w:eastAsia="Times New Roman" w:hAnsi="Simplified Arabic" w:cs="Simplified Arabic"/>
          <w:b/>
          <w:bCs/>
          <w:kern w:val="36"/>
          <w:sz w:val="24"/>
          <w:szCs w:val="24"/>
          <w:rtl/>
        </w:rPr>
        <w:t>مصادر البيانات</w:t>
      </w:r>
      <w:bookmarkEnd w:id="88"/>
    </w:p>
    <w:p w14:paraId="5FAF123F" w14:textId="77777777" w:rsidR="001A3ABE" w:rsidRPr="003C40F2"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اعتمدت الدراسة على مصدرين رئيسين للبيانات هما</w:t>
      </w:r>
      <w:r w:rsidRPr="003C40F2">
        <w:rPr>
          <w:rFonts w:ascii="Simplified Arabic" w:eastAsia="Times New Roman" w:hAnsi="Simplified Arabic" w:cs="Simplified Arabic"/>
          <w:sz w:val="24"/>
          <w:szCs w:val="24"/>
        </w:rPr>
        <w:t>:</w:t>
      </w:r>
    </w:p>
    <w:p w14:paraId="5A5BD669" w14:textId="77777777" w:rsidR="001A3ABE" w:rsidRPr="003C40F2" w:rsidRDefault="001A3ABE" w:rsidP="001A3ABE">
      <w:pPr>
        <w:numPr>
          <w:ilvl w:val="0"/>
          <w:numId w:val="42"/>
        </w:num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tl/>
        </w:rPr>
        <w:t>البيانات الأولية</w:t>
      </w:r>
      <w:r w:rsidRPr="003C40F2">
        <w:rPr>
          <w:rFonts w:ascii="Simplified Arabic" w:eastAsia="Times New Roman" w:hAnsi="Simplified Arabic" w:cs="Simplified Arabic"/>
          <w:sz w:val="24"/>
          <w:szCs w:val="24"/>
          <w:rtl/>
        </w:rPr>
        <w:t>، والتي سيتم جمعها من خلال الاستبانة الموجهة إلى أفراد عينة الدراسة</w:t>
      </w:r>
      <w:r w:rsidRPr="003C40F2">
        <w:rPr>
          <w:rFonts w:ascii="Simplified Arabic" w:eastAsia="Times New Roman" w:hAnsi="Simplified Arabic" w:cs="Simplified Arabic"/>
          <w:sz w:val="24"/>
          <w:szCs w:val="24"/>
        </w:rPr>
        <w:t>.</w:t>
      </w:r>
    </w:p>
    <w:p w14:paraId="103D624C" w14:textId="77777777" w:rsidR="001A3ABE" w:rsidRPr="003C40F2" w:rsidRDefault="001A3ABE" w:rsidP="001A3ABE">
      <w:pPr>
        <w:numPr>
          <w:ilvl w:val="0"/>
          <w:numId w:val="42"/>
        </w:num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tl/>
        </w:rPr>
        <w:t>البيانات الثانوية</w:t>
      </w:r>
      <w:r w:rsidRPr="003C40F2">
        <w:rPr>
          <w:rFonts w:ascii="Simplified Arabic" w:eastAsia="Times New Roman" w:hAnsi="Simplified Arabic" w:cs="Simplified Arabic"/>
          <w:sz w:val="24"/>
          <w:szCs w:val="24"/>
          <w:rtl/>
        </w:rPr>
        <w:t>، والتي تشمل الكتب العلمية، والرسائل الجامعية، والدوريات المحكمة، والتقارير الرسمية، والأنظمة والتشريعات، والوثائق الصادرة عن الجهات الحكومية ذات العلاقة، بهدف بناء الإطار النظري، وتفسير النتائج، ودعم النموذج المقترح</w:t>
      </w:r>
      <w:r w:rsidRPr="003C40F2">
        <w:rPr>
          <w:rFonts w:ascii="Simplified Arabic" w:eastAsia="Times New Roman" w:hAnsi="Simplified Arabic" w:cs="Simplified Arabic"/>
          <w:sz w:val="24"/>
          <w:szCs w:val="24"/>
        </w:rPr>
        <w:t>.</w:t>
      </w:r>
    </w:p>
    <w:p w14:paraId="1DF0C385"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89" w:name="_Toc234607913"/>
      <w:r w:rsidRPr="003C40F2">
        <w:rPr>
          <w:rFonts w:ascii="Simplified Arabic" w:eastAsia="Times New Roman" w:hAnsi="Simplified Arabic" w:cs="Simplified Arabic"/>
          <w:b/>
          <w:bCs/>
          <w:kern w:val="36"/>
          <w:sz w:val="24"/>
          <w:szCs w:val="24"/>
        </w:rPr>
        <w:t xml:space="preserve">3.9 </w:t>
      </w:r>
      <w:r w:rsidRPr="003C40F2">
        <w:rPr>
          <w:rFonts w:ascii="Simplified Arabic" w:eastAsia="Times New Roman" w:hAnsi="Simplified Arabic" w:cs="Simplified Arabic"/>
          <w:b/>
          <w:bCs/>
          <w:kern w:val="36"/>
          <w:sz w:val="24"/>
          <w:szCs w:val="24"/>
          <w:rtl/>
        </w:rPr>
        <w:t>أدوات جمع البيانات</w:t>
      </w:r>
      <w:bookmarkEnd w:id="89"/>
    </w:p>
    <w:p w14:paraId="38898ADA" w14:textId="77777777" w:rsidR="001A3ABE" w:rsidRPr="003C40F2"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اعتمدت الدراسة على الاستبانة باعتبارها الأداة الرئيسة لجمع البيانات، نظراً لقدرتها على جمع البيانات من عدد كبير من المبحوثين بطريقة موحدة ومنظمة، كما اعتمدت على تحليل الوثائق والتقارير الرسمية بوصفها أداة مساندة للاستفادة من البيانات التنظيمية والمؤشرات الرسمية المتعلقة بقطاع البيئة والتفتيش البيئي</w:t>
      </w:r>
      <w:r w:rsidRPr="003C40F2">
        <w:rPr>
          <w:rFonts w:ascii="Simplified Arabic" w:eastAsia="Times New Roman" w:hAnsi="Simplified Arabic" w:cs="Simplified Arabic"/>
          <w:sz w:val="24"/>
          <w:szCs w:val="24"/>
        </w:rPr>
        <w:t>.</w:t>
      </w:r>
    </w:p>
    <w:p w14:paraId="0FA09641"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90" w:name="_Toc234607914"/>
      <w:r w:rsidRPr="003C40F2">
        <w:rPr>
          <w:rFonts w:ascii="Simplified Arabic" w:eastAsia="Times New Roman" w:hAnsi="Simplified Arabic" w:cs="Simplified Arabic"/>
          <w:b/>
          <w:bCs/>
          <w:sz w:val="24"/>
          <w:szCs w:val="24"/>
          <w:rtl/>
        </w:rPr>
        <w:t>جدول</w:t>
      </w:r>
      <w:r w:rsidRPr="003C40F2">
        <w:rPr>
          <w:rFonts w:ascii="Simplified Arabic" w:eastAsia="Times New Roman" w:hAnsi="Simplified Arabic" w:cs="Simplified Arabic"/>
          <w:b/>
          <w:bCs/>
          <w:sz w:val="24"/>
          <w:szCs w:val="24"/>
        </w:rPr>
        <w:t xml:space="preserve"> (3-4)</w:t>
      </w:r>
      <w:bookmarkEnd w:id="90"/>
    </w:p>
    <w:p w14:paraId="1EB0F2EA"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91" w:name="_Toc234607915"/>
      <w:r w:rsidRPr="003C40F2">
        <w:rPr>
          <w:rFonts w:ascii="Simplified Arabic" w:eastAsia="Times New Roman" w:hAnsi="Simplified Arabic" w:cs="Simplified Arabic"/>
          <w:b/>
          <w:bCs/>
          <w:sz w:val="24"/>
          <w:szCs w:val="24"/>
          <w:rtl/>
        </w:rPr>
        <w:t>أدوات جمع البيانات ودور كل أداة</w:t>
      </w:r>
      <w:bookmarkEnd w:id="91"/>
    </w:p>
    <w:tbl>
      <w:tblPr>
        <w:tblStyle w:val="TableGridLight"/>
        <w:bidiVisual/>
        <w:tblW w:w="0" w:type="auto"/>
        <w:jc w:val="center"/>
        <w:tblLook w:val="04A0" w:firstRow="1" w:lastRow="0" w:firstColumn="1" w:lastColumn="0" w:noHBand="0" w:noVBand="1"/>
      </w:tblPr>
      <w:tblGrid>
        <w:gridCol w:w="1429"/>
        <w:gridCol w:w="3256"/>
      </w:tblGrid>
      <w:tr w:rsidR="001A3ABE" w:rsidRPr="003C40F2" w14:paraId="7694D963" w14:textId="77777777" w:rsidTr="002A28C6">
        <w:trPr>
          <w:jc w:val="center"/>
        </w:trPr>
        <w:tc>
          <w:tcPr>
            <w:tcW w:w="0" w:type="auto"/>
            <w:vAlign w:val="center"/>
            <w:hideMark/>
          </w:tcPr>
          <w:p w14:paraId="0563B070" w14:textId="77777777" w:rsidR="001A3ABE" w:rsidRPr="003C40F2" w:rsidRDefault="001A3ABE" w:rsidP="002A28C6">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الأداة</w:t>
            </w:r>
          </w:p>
        </w:tc>
        <w:tc>
          <w:tcPr>
            <w:tcW w:w="0" w:type="auto"/>
            <w:vAlign w:val="center"/>
            <w:hideMark/>
          </w:tcPr>
          <w:p w14:paraId="5C74595B" w14:textId="77777777" w:rsidR="001A3ABE" w:rsidRPr="003C40F2" w:rsidRDefault="001A3ABE" w:rsidP="002A28C6">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الغرض من استخدامها</w:t>
            </w:r>
          </w:p>
        </w:tc>
      </w:tr>
      <w:tr w:rsidR="001A3ABE" w:rsidRPr="003C40F2" w14:paraId="7D78191B" w14:textId="77777777" w:rsidTr="002A28C6">
        <w:trPr>
          <w:jc w:val="center"/>
        </w:trPr>
        <w:tc>
          <w:tcPr>
            <w:tcW w:w="0" w:type="auto"/>
            <w:vAlign w:val="center"/>
            <w:hideMark/>
          </w:tcPr>
          <w:p w14:paraId="4764A94B"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الاستبانة</w:t>
            </w:r>
          </w:p>
        </w:tc>
        <w:tc>
          <w:tcPr>
            <w:tcW w:w="0" w:type="auto"/>
            <w:vAlign w:val="center"/>
            <w:hideMark/>
          </w:tcPr>
          <w:p w14:paraId="7BBF85AC"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قياس متغيرات الدراسة واختبار الفرضيات</w:t>
            </w:r>
          </w:p>
        </w:tc>
      </w:tr>
      <w:tr w:rsidR="001A3ABE" w:rsidRPr="003C40F2" w14:paraId="7D50D98A" w14:textId="77777777" w:rsidTr="002A28C6">
        <w:trPr>
          <w:jc w:val="center"/>
        </w:trPr>
        <w:tc>
          <w:tcPr>
            <w:tcW w:w="0" w:type="auto"/>
            <w:vAlign w:val="center"/>
            <w:hideMark/>
          </w:tcPr>
          <w:p w14:paraId="03682A4E"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الوثائق الرسمية</w:t>
            </w:r>
          </w:p>
        </w:tc>
        <w:tc>
          <w:tcPr>
            <w:tcW w:w="0" w:type="auto"/>
            <w:vAlign w:val="center"/>
            <w:hideMark/>
          </w:tcPr>
          <w:p w14:paraId="4E2BB1CD"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دعم الإطار النظري وتفسير النتائج</w:t>
            </w:r>
          </w:p>
        </w:tc>
      </w:tr>
      <w:tr w:rsidR="001A3ABE" w:rsidRPr="003C40F2" w14:paraId="4836D86C" w14:textId="77777777" w:rsidTr="002A28C6">
        <w:trPr>
          <w:jc w:val="center"/>
        </w:trPr>
        <w:tc>
          <w:tcPr>
            <w:tcW w:w="0" w:type="auto"/>
            <w:vAlign w:val="center"/>
            <w:hideMark/>
          </w:tcPr>
          <w:p w14:paraId="21B67BB2"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الدراسات السابقة</w:t>
            </w:r>
          </w:p>
        </w:tc>
        <w:tc>
          <w:tcPr>
            <w:tcW w:w="0" w:type="auto"/>
            <w:vAlign w:val="center"/>
            <w:hideMark/>
          </w:tcPr>
          <w:p w14:paraId="70B4192D"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بناء النموذج المفاهيمي وتطوير الأداة</w:t>
            </w:r>
          </w:p>
        </w:tc>
      </w:tr>
    </w:tbl>
    <w:p w14:paraId="7B19717C"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3.10 </w:t>
      </w:r>
      <w:r w:rsidRPr="003C40F2">
        <w:rPr>
          <w:rFonts w:ascii="Simplified Arabic" w:hAnsi="Simplified Arabic" w:cs="Simplified Arabic"/>
          <w:b/>
          <w:bCs/>
          <w:sz w:val="24"/>
          <w:szCs w:val="24"/>
          <w:rtl/>
        </w:rPr>
        <w:t>أداة الدراسة</w:t>
      </w:r>
    </w:p>
    <w:p w14:paraId="1A23A27A" w14:textId="77777777" w:rsidR="001A3ABE"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اعتمدت الدراسة على الاستبانة باعتبارها الأداة الرئيسة لجمع البيانات، وذلك لملاءمتها لطبيعة الدراسة وأهدافها، وقدرتها على جمع البيانات من عدد كبير من المبحوثين بطريقة منظمة وموحدة. وقد تم إعداد الاستبانة بالاعتماد على الأدبيات العلمية والدراسات السابقة ذات العلاقة بالشراكات بين القطاعين العام والخاص والحوكمة البيئية وإدارة الأداء، مع مراعاة ارتباط جميع الفقرات بمتغيرات الدراسة وأبعادها</w:t>
      </w:r>
      <w:r w:rsidRPr="003C40F2">
        <w:rPr>
          <w:rFonts w:ascii="Simplified Arabic" w:eastAsia="Times New Roman" w:hAnsi="Simplified Arabic" w:cs="Simplified Arabic"/>
          <w:sz w:val="24"/>
          <w:szCs w:val="24"/>
        </w:rPr>
        <w:t>.</w:t>
      </w:r>
    </w:p>
    <w:p w14:paraId="7E4E299A" w14:textId="77777777" w:rsidR="00A204CB" w:rsidRDefault="00A204CB" w:rsidP="00A204CB">
      <w:pPr>
        <w:bidi/>
        <w:spacing w:before="100" w:beforeAutospacing="1" w:after="100" w:afterAutospacing="1" w:line="240" w:lineRule="auto"/>
        <w:jc w:val="lowKashida"/>
        <w:rPr>
          <w:rFonts w:ascii="Simplified Arabic" w:eastAsia="Times New Roman" w:hAnsi="Simplified Arabic" w:cs="Simplified Arabic"/>
          <w:sz w:val="24"/>
          <w:szCs w:val="24"/>
        </w:rPr>
      </w:pPr>
    </w:p>
    <w:p w14:paraId="4564DF9C" w14:textId="77777777" w:rsidR="00A204CB" w:rsidRDefault="00A204CB" w:rsidP="00A204CB">
      <w:pPr>
        <w:bidi/>
        <w:spacing w:before="100" w:beforeAutospacing="1" w:after="100" w:afterAutospacing="1" w:line="240" w:lineRule="auto"/>
        <w:jc w:val="lowKashida"/>
        <w:rPr>
          <w:rFonts w:ascii="Simplified Arabic" w:eastAsia="Times New Roman" w:hAnsi="Simplified Arabic" w:cs="Simplified Arabic"/>
          <w:sz w:val="24"/>
          <w:szCs w:val="24"/>
        </w:rPr>
      </w:pPr>
    </w:p>
    <w:p w14:paraId="2B7F9600" w14:textId="77777777" w:rsidR="00A204CB" w:rsidRPr="003C40F2" w:rsidRDefault="00A204CB" w:rsidP="00A204CB">
      <w:pPr>
        <w:bidi/>
        <w:spacing w:before="100" w:beforeAutospacing="1" w:after="100" w:afterAutospacing="1" w:line="240" w:lineRule="auto"/>
        <w:jc w:val="lowKashida"/>
        <w:rPr>
          <w:rFonts w:ascii="Simplified Arabic" w:eastAsia="Times New Roman" w:hAnsi="Simplified Arabic" w:cs="Simplified Arabic"/>
          <w:sz w:val="24"/>
          <w:szCs w:val="24"/>
        </w:rPr>
      </w:pPr>
    </w:p>
    <w:p w14:paraId="641CE2AF"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lastRenderedPageBreak/>
        <w:t>جدول</w:t>
      </w:r>
      <w:r w:rsidRPr="003C40F2">
        <w:rPr>
          <w:rFonts w:ascii="Simplified Arabic" w:hAnsi="Simplified Arabic" w:cs="Simplified Arabic"/>
          <w:b/>
          <w:bCs/>
          <w:sz w:val="24"/>
          <w:szCs w:val="24"/>
        </w:rPr>
        <w:t xml:space="preserve"> (3-5)</w:t>
      </w:r>
    </w:p>
    <w:p w14:paraId="43312E8A"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محاور الاستبانة</w:t>
      </w:r>
    </w:p>
    <w:tbl>
      <w:tblPr>
        <w:tblStyle w:val="TableGridLight"/>
        <w:bidiVisual/>
        <w:tblW w:w="0" w:type="auto"/>
        <w:jc w:val="center"/>
        <w:tblLook w:val="04A0" w:firstRow="1" w:lastRow="0" w:firstColumn="1" w:lastColumn="0" w:noHBand="0" w:noVBand="1"/>
      </w:tblPr>
      <w:tblGrid>
        <w:gridCol w:w="1181"/>
        <w:gridCol w:w="2305"/>
        <w:gridCol w:w="1777"/>
        <w:gridCol w:w="1429"/>
      </w:tblGrid>
      <w:tr w:rsidR="001A3ABE" w:rsidRPr="003C40F2" w14:paraId="3546C3BC" w14:textId="77777777" w:rsidTr="002A28C6">
        <w:trPr>
          <w:jc w:val="center"/>
        </w:trPr>
        <w:tc>
          <w:tcPr>
            <w:tcW w:w="0" w:type="auto"/>
            <w:vAlign w:val="center"/>
            <w:hideMark/>
          </w:tcPr>
          <w:p w14:paraId="50D32B3D"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المحور</w:t>
            </w:r>
          </w:p>
        </w:tc>
        <w:tc>
          <w:tcPr>
            <w:tcW w:w="0" w:type="auto"/>
            <w:vAlign w:val="center"/>
            <w:hideMark/>
          </w:tcPr>
          <w:p w14:paraId="502EAB76"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البعد</w:t>
            </w:r>
          </w:p>
        </w:tc>
        <w:tc>
          <w:tcPr>
            <w:tcW w:w="0" w:type="auto"/>
            <w:vAlign w:val="center"/>
            <w:hideMark/>
          </w:tcPr>
          <w:p w14:paraId="2974A1B7"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عدد الفقرات (مقترح)</w:t>
            </w:r>
          </w:p>
        </w:tc>
        <w:tc>
          <w:tcPr>
            <w:tcW w:w="0" w:type="auto"/>
            <w:vAlign w:val="center"/>
            <w:hideMark/>
          </w:tcPr>
          <w:p w14:paraId="7A6CA6C5"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المصدر</w:t>
            </w:r>
          </w:p>
        </w:tc>
      </w:tr>
      <w:tr w:rsidR="001A3ABE" w:rsidRPr="003C40F2" w14:paraId="297D97C7" w14:textId="77777777" w:rsidTr="002A28C6">
        <w:trPr>
          <w:jc w:val="center"/>
        </w:trPr>
        <w:tc>
          <w:tcPr>
            <w:tcW w:w="0" w:type="auto"/>
            <w:vAlign w:val="center"/>
            <w:hideMark/>
          </w:tcPr>
          <w:p w14:paraId="76CFD9FC"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الأول</w:t>
            </w:r>
          </w:p>
        </w:tc>
        <w:tc>
          <w:tcPr>
            <w:tcW w:w="0" w:type="auto"/>
            <w:vAlign w:val="center"/>
            <w:hideMark/>
          </w:tcPr>
          <w:p w14:paraId="1EEA9ED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البيانات الديموغرافية</w:t>
            </w:r>
          </w:p>
        </w:tc>
        <w:tc>
          <w:tcPr>
            <w:tcW w:w="0" w:type="auto"/>
            <w:vAlign w:val="center"/>
            <w:hideMark/>
          </w:tcPr>
          <w:p w14:paraId="29DBA4F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6</w:t>
            </w:r>
          </w:p>
        </w:tc>
        <w:tc>
          <w:tcPr>
            <w:tcW w:w="0" w:type="auto"/>
            <w:vAlign w:val="center"/>
            <w:hideMark/>
          </w:tcPr>
          <w:p w14:paraId="6A53BCC4"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إعداد الباحث</w:t>
            </w:r>
          </w:p>
        </w:tc>
      </w:tr>
      <w:tr w:rsidR="001A3ABE" w:rsidRPr="003C40F2" w14:paraId="609B8ACC" w14:textId="77777777" w:rsidTr="002A28C6">
        <w:trPr>
          <w:jc w:val="center"/>
        </w:trPr>
        <w:tc>
          <w:tcPr>
            <w:tcW w:w="0" w:type="auto"/>
            <w:vAlign w:val="center"/>
            <w:hideMark/>
          </w:tcPr>
          <w:p w14:paraId="5234685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الثاني</w:t>
            </w:r>
          </w:p>
        </w:tc>
        <w:tc>
          <w:tcPr>
            <w:tcW w:w="0" w:type="auto"/>
            <w:vAlign w:val="center"/>
            <w:hideMark/>
          </w:tcPr>
          <w:p w14:paraId="3F938A2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الإطار التشريعي والتنظيمي</w:t>
            </w:r>
          </w:p>
        </w:tc>
        <w:tc>
          <w:tcPr>
            <w:tcW w:w="0" w:type="auto"/>
            <w:vAlign w:val="center"/>
            <w:hideMark/>
          </w:tcPr>
          <w:p w14:paraId="1A28BF8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2847ABEE"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2A1538E3" w14:textId="77777777" w:rsidTr="002A28C6">
        <w:trPr>
          <w:jc w:val="center"/>
        </w:trPr>
        <w:tc>
          <w:tcPr>
            <w:tcW w:w="0" w:type="auto"/>
            <w:vAlign w:val="center"/>
            <w:hideMark/>
          </w:tcPr>
          <w:p w14:paraId="4A289CE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الثالث</w:t>
            </w:r>
          </w:p>
        </w:tc>
        <w:tc>
          <w:tcPr>
            <w:tcW w:w="0" w:type="auto"/>
            <w:vAlign w:val="center"/>
            <w:hideMark/>
          </w:tcPr>
          <w:p w14:paraId="13195B1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توزيع الأدوار والمسؤوليات</w:t>
            </w:r>
          </w:p>
        </w:tc>
        <w:tc>
          <w:tcPr>
            <w:tcW w:w="0" w:type="auto"/>
            <w:vAlign w:val="center"/>
            <w:hideMark/>
          </w:tcPr>
          <w:p w14:paraId="4EC821C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6EC581E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2D3D82C8" w14:textId="77777777" w:rsidTr="002A28C6">
        <w:trPr>
          <w:jc w:val="center"/>
        </w:trPr>
        <w:tc>
          <w:tcPr>
            <w:tcW w:w="0" w:type="auto"/>
            <w:vAlign w:val="center"/>
            <w:hideMark/>
          </w:tcPr>
          <w:p w14:paraId="0B34185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الرابع</w:t>
            </w:r>
          </w:p>
        </w:tc>
        <w:tc>
          <w:tcPr>
            <w:tcW w:w="0" w:type="auto"/>
            <w:vAlign w:val="center"/>
            <w:hideMark/>
          </w:tcPr>
          <w:p w14:paraId="689653BC"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التنسيق وتبادل المعلومات</w:t>
            </w:r>
          </w:p>
        </w:tc>
        <w:tc>
          <w:tcPr>
            <w:tcW w:w="0" w:type="auto"/>
            <w:vAlign w:val="center"/>
            <w:hideMark/>
          </w:tcPr>
          <w:p w14:paraId="6A1751D9"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1BABEA0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0D45AA9A" w14:textId="77777777" w:rsidTr="002A28C6">
        <w:trPr>
          <w:jc w:val="center"/>
        </w:trPr>
        <w:tc>
          <w:tcPr>
            <w:tcW w:w="0" w:type="auto"/>
            <w:vAlign w:val="center"/>
            <w:hideMark/>
          </w:tcPr>
          <w:p w14:paraId="2BCEF8A4"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الخامس</w:t>
            </w:r>
          </w:p>
        </w:tc>
        <w:tc>
          <w:tcPr>
            <w:tcW w:w="0" w:type="auto"/>
            <w:vAlign w:val="center"/>
            <w:hideMark/>
          </w:tcPr>
          <w:p w14:paraId="3E25781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إدارة الموارد والتمويل</w:t>
            </w:r>
          </w:p>
        </w:tc>
        <w:tc>
          <w:tcPr>
            <w:tcW w:w="0" w:type="auto"/>
            <w:vAlign w:val="center"/>
            <w:hideMark/>
          </w:tcPr>
          <w:p w14:paraId="3E7C8290"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49A9AC59"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12D40C94" w14:textId="77777777" w:rsidTr="002A28C6">
        <w:trPr>
          <w:jc w:val="center"/>
        </w:trPr>
        <w:tc>
          <w:tcPr>
            <w:tcW w:w="0" w:type="auto"/>
            <w:vAlign w:val="center"/>
            <w:hideMark/>
          </w:tcPr>
          <w:p w14:paraId="44AE885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السادس</w:t>
            </w:r>
          </w:p>
        </w:tc>
        <w:tc>
          <w:tcPr>
            <w:tcW w:w="0" w:type="auto"/>
            <w:vAlign w:val="center"/>
            <w:hideMark/>
          </w:tcPr>
          <w:p w14:paraId="76B287B7"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الرقابة وإدارة المخاطر</w:t>
            </w:r>
          </w:p>
        </w:tc>
        <w:tc>
          <w:tcPr>
            <w:tcW w:w="0" w:type="auto"/>
            <w:vAlign w:val="center"/>
            <w:hideMark/>
          </w:tcPr>
          <w:p w14:paraId="3A0D6434"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2EC9E7F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62A5FFC7" w14:textId="77777777" w:rsidTr="002A28C6">
        <w:trPr>
          <w:jc w:val="center"/>
        </w:trPr>
        <w:tc>
          <w:tcPr>
            <w:tcW w:w="0" w:type="auto"/>
            <w:vAlign w:val="center"/>
            <w:hideMark/>
          </w:tcPr>
          <w:p w14:paraId="6BF33F30"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السابع</w:t>
            </w:r>
          </w:p>
        </w:tc>
        <w:tc>
          <w:tcPr>
            <w:tcW w:w="0" w:type="auto"/>
            <w:vAlign w:val="center"/>
            <w:hideMark/>
          </w:tcPr>
          <w:p w14:paraId="6DCC01D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الكفاءة التشغيلية</w:t>
            </w:r>
          </w:p>
        </w:tc>
        <w:tc>
          <w:tcPr>
            <w:tcW w:w="0" w:type="auto"/>
            <w:vAlign w:val="center"/>
            <w:hideMark/>
          </w:tcPr>
          <w:p w14:paraId="466F29B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31A00329"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4DD1909D" w14:textId="77777777" w:rsidTr="002A28C6">
        <w:trPr>
          <w:jc w:val="center"/>
        </w:trPr>
        <w:tc>
          <w:tcPr>
            <w:tcW w:w="0" w:type="auto"/>
            <w:vAlign w:val="center"/>
            <w:hideMark/>
          </w:tcPr>
          <w:p w14:paraId="155264D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الثامن</w:t>
            </w:r>
          </w:p>
        </w:tc>
        <w:tc>
          <w:tcPr>
            <w:tcW w:w="0" w:type="auto"/>
            <w:vAlign w:val="center"/>
            <w:hideMark/>
          </w:tcPr>
          <w:p w14:paraId="14F4378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جودة الرقابة والامتثال البيئي</w:t>
            </w:r>
          </w:p>
        </w:tc>
        <w:tc>
          <w:tcPr>
            <w:tcW w:w="0" w:type="auto"/>
            <w:vAlign w:val="center"/>
            <w:hideMark/>
          </w:tcPr>
          <w:p w14:paraId="7802BCDC"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1C14321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6651B9D9" w14:textId="77777777" w:rsidTr="002A28C6">
        <w:trPr>
          <w:jc w:val="center"/>
        </w:trPr>
        <w:tc>
          <w:tcPr>
            <w:tcW w:w="0" w:type="auto"/>
            <w:vAlign w:val="center"/>
            <w:hideMark/>
          </w:tcPr>
          <w:p w14:paraId="7BA5BA1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التاسع</w:t>
            </w:r>
          </w:p>
        </w:tc>
        <w:tc>
          <w:tcPr>
            <w:tcW w:w="0" w:type="auto"/>
            <w:vAlign w:val="center"/>
            <w:hideMark/>
          </w:tcPr>
          <w:p w14:paraId="1FE0E324"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الشفافية والمساءلة</w:t>
            </w:r>
          </w:p>
        </w:tc>
        <w:tc>
          <w:tcPr>
            <w:tcW w:w="0" w:type="auto"/>
            <w:vAlign w:val="center"/>
            <w:hideMark/>
          </w:tcPr>
          <w:p w14:paraId="1176AD61"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10E618CA"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16559D74" w14:textId="77777777" w:rsidTr="002A28C6">
        <w:trPr>
          <w:jc w:val="center"/>
        </w:trPr>
        <w:tc>
          <w:tcPr>
            <w:tcW w:w="0" w:type="auto"/>
            <w:vAlign w:val="center"/>
            <w:hideMark/>
          </w:tcPr>
          <w:p w14:paraId="6853AA1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العاشر</w:t>
            </w:r>
          </w:p>
        </w:tc>
        <w:tc>
          <w:tcPr>
            <w:tcW w:w="0" w:type="auto"/>
            <w:vAlign w:val="center"/>
            <w:hideMark/>
          </w:tcPr>
          <w:p w14:paraId="6CB0787C"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تحسين الأداء البيئي</w:t>
            </w:r>
          </w:p>
        </w:tc>
        <w:tc>
          <w:tcPr>
            <w:tcW w:w="0" w:type="auto"/>
            <w:vAlign w:val="center"/>
            <w:hideMark/>
          </w:tcPr>
          <w:p w14:paraId="490B283B"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4C132A9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05B761D0" w14:textId="77777777" w:rsidTr="002A28C6">
        <w:trPr>
          <w:jc w:val="center"/>
        </w:trPr>
        <w:tc>
          <w:tcPr>
            <w:tcW w:w="0" w:type="auto"/>
            <w:vAlign w:val="center"/>
            <w:hideMark/>
          </w:tcPr>
          <w:p w14:paraId="6D86204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الحادي عشر</w:t>
            </w:r>
          </w:p>
        </w:tc>
        <w:tc>
          <w:tcPr>
            <w:tcW w:w="0" w:type="auto"/>
            <w:vAlign w:val="center"/>
            <w:hideMark/>
          </w:tcPr>
          <w:p w14:paraId="4D90A239"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الاستدامة المؤسسية</w:t>
            </w:r>
          </w:p>
        </w:tc>
        <w:tc>
          <w:tcPr>
            <w:tcW w:w="0" w:type="auto"/>
            <w:vAlign w:val="center"/>
            <w:hideMark/>
          </w:tcPr>
          <w:p w14:paraId="40AC568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2E80292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bl>
    <w:p w14:paraId="3AAAE913" w14:textId="77777777" w:rsidR="001A3ABE" w:rsidRPr="003C40F2" w:rsidRDefault="001A3ABE" w:rsidP="001A3ABE">
      <w:pPr>
        <w:bidi/>
        <w:spacing w:line="240" w:lineRule="auto"/>
        <w:jc w:val="lowKashida"/>
        <w:rPr>
          <w:rFonts w:ascii="Simplified Arabic" w:hAnsi="Simplified Arabic" w:cs="Simplified Arabic"/>
          <w:b/>
          <w:bCs/>
          <w:sz w:val="24"/>
          <w:szCs w:val="24"/>
        </w:rPr>
      </w:pPr>
    </w:p>
    <w:p w14:paraId="49BC4EAD" w14:textId="77777777" w:rsidR="001A3ABE" w:rsidRPr="003C40F2" w:rsidRDefault="001A3ABE" w:rsidP="001A3ABE">
      <w:pPr>
        <w:bidi/>
        <w:spacing w:before="100" w:beforeAutospacing="1" w:after="100" w:afterAutospacing="1" w:line="240" w:lineRule="auto"/>
        <w:jc w:val="lowKashida"/>
        <w:rPr>
          <w:rFonts w:ascii="Simplified Arabic" w:eastAsia="Times New Roman" w:hAnsi="Simplified Arabic" w:cs="Simplified Arabic"/>
          <w:b/>
          <w:bCs/>
          <w:sz w:val="24"/>
          <w:szCs w:val="24"/>
          <w:rtl/>
        </w:rPr>
      </w:pPr>
      <w:r>
        <w:rPr>
          <w:rFonts w:ascii="Simplified Arabic" w:eastAsia="Times New Roman" w:hAnsi="Simplified Arabic" w:cs="Simplified Arabic"/>
          <w:b/>
          <w:bCs/>
          <w:sz w:val="24"/>
          <w:szCs w:val="24"/>
        </w:rPr>
        <w:t xml:space="preserve"> </w:t>
      </w:r>
      <w:r w:rsidRPr="003C40F2">
        <w:rPr>
          <w:rFonts w:ascii="Simplified Arabic" w:eastAsia="Times New Roman" w:hAnsi="Simplified Arabic" w:cs="Simplified Arabic"/>
          <w:b/>
          <w:bCs/>
          <w:sz w:val="24"/>
          <w:szCs w:val="24"/>
        </w:rPr>
        <w:t xml:space="preserve">3.11 </w:t>
      </w:r>
      <w:r w:rsidRPr="003C40F2">
        <w:rPr>
          <w:rFonts w:ascii="Simplified Arabic" w:eastAsia="Times New Roman" w:hAnsi="Simplified Arabic" w:cs="Simplified Arabic"/>
          <w:b/>
          <w:bCs/>
          <w:sz w:val="24"/>
          <w:szCs w:val="24"/>
          <w:rtl/>
        </w:rPr>
        <w:t>مقياس الدراسة</w:t>
      </w:r>
    </w:p>
    <w:p w14:paraId="58231558" w14:textId="77777777" w:rsidR="001A3ABE"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استخدمت الدراسة مقياس ليكرت الخماسي</w:t>
      </w:r>
      <w:r w:rsidRPr="003C40F2">
        <w:rPr>
          <w:rFonts w:ascii="Simplified Arabic" w:eastAsia="Times New Roman" w:hAnsi="Simplified Arabic" w:cs="Simplified Arabic"/>
          <w:sz w:val="24"/>
          <w:szCs w:val="24"/>
        </w:rPr>
        <w:t xml:space="preserve"> (Five-Point Likert Scale) </w:t>
      </w:r>
      <w:r w:rsidRPr="003C40F2">
        <w:rPr>
          <w:rFonts w:ascii="Simplified Arabic" w:eastAsia="Times New Roman" w:hAnsi="Simplified Arabic" w:cs="Simplified Arabic"/>
          <w:sz w:val="24"/>
          <w:szCs w:val="24"/>
          <w:rtl/>
        </w:rPr>
        <w:t>لقياس درجة استجابة أفراد العينة، حيث يُعد من أكثر المقاييس استخدامًا في الدراسات الإدارية لما يتميز به من سهولة التطبيق والتحليل الإحصائي</w:t>
      </w:r>
      <w:r w:rsidRPr="003C40F2">
        <w:rPr>
          <w:rFonts w:ascii="Simplified Arabic" w:eastAsia="Times New Roman" w:hAnsi="Simplified Arabic" w:cs="Simplified Arabic"/>
          <w:sz w:val="24"/>
          <w:szCs w:val="24"/>
        </w:rPr>
        <w:t>.</w:t>
      </w:r>
    </w:p>
    <w:p w14:paraId="707418E6" w14:textId="77777777" w:rsidR="00A204CB" w:rsidRDefault="00A204CB" w:rsidP="00A204CB">
      <w:pPr>
        <w:bidi/>
        <w:spacing w:before="100" w:beforeAutospacing="1" w:after="100" w:afterAutospacing="1" w:line="240" w:lineRule="auto"/>
        <w:jc w:val="lowKashida"/>
        <w:rPr>
          <w:rFonts w:ascii="Simplified Arabic" w:eastAsia="Times New Roman" w:hAnsi="Simplified Arabic" w:cs="Simplified Arabic"/>
          <w:sz w:val="24"/>
          <w:szCs w:val="24"/>
        </w:rPr>
      </w:pPr>
    </w:p>
    <w:p w14:paraId="6CE31A66" w14:textId="77777777" w:rsidR="00A204CB" w:rsidRDefault="00A204CB" w:rsidP="00A204CB">
      <w:pPr>
        <w:bidi/>
        <w:spacing w:before="100" w:beforeAutospacing="1" w:after="100" w:afterAutospacing="1" w:line="240" w:lineRule="auto"/>
        <w:jc w:val="lowKashida"/>
        <w:rPr>
          <w:rFonts w:ascii="Simplified Arabic" w:eastAsia="Times New Roman" w:hAnsi="Simplified Arabic" w:cs="Simplified Arabic"/>
          <w:sz w:val="24"/>
          <w:szCs w:val="24"/>
        </w:rPr>
      </w:pPr>
    </w:p>
    <w:p w14:paraId="3230ED47" w14:textId="77777777" w:rsidR="00A204CB" w:rsidRDefault="00A204CB" w:rsidP="00A204CB">
      <w:pPr>
        <w:bidi/>
        <w:spacing w:before="100" w:beforeAutospacing="1" w:after="100" w:afterAutospacing="1" w:line="240" w:lineRule="auto"/>
        <w:jc w:val="lowKashida"/>
        <w:rPr>
          <w:rFonts w:ascii="Simplified Arabic" w:eastAsia="Times New Roman" w:hAnsi="Simplified Arabic" w:cs="Simplified Arabic"/>
          <w:sz w:val="24"/>
          <w:szCs w:val="24"/>
        </w:rPr>
      </w:pPr>
    </w:p>
    <w:p w14:paraId="49793834" w14:textId="77777777" w:rsidR="00A204CB" w:rsidRPr="003C40F2" w:rsidRDefault="00A204CB" w:rsidP="00A204CB">
      <w:pPr>
        <w:bidi/>
        <w:spacing w:before="100" w:beforeAutospacing="1" w:after="100" w:afterAutospacing="1" w:line="240" w:lineRule="auto"/>
        <w:jc w:val="lowKashida"/>
        <w:rPr>
          <w:rFonts w:ascii="Simplified Arabic" w:eastAsia="Times New Roman" w:hAnsi="Simplified Arabic" w:cs="Simplified Arabic"/>
          <w:sz w:val="24"/>
          <w:szCs w:val="24"/>
        </w:rPr>
      </w:pPr>
    </w:p>
    <w:p w14:paraId="54F6AA48"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lastRenderedPageBreak/>
        <w:t>جدول</w:t>
      </w:r>
      <w:r w:rsidRPr="003C40F2">
        <w:rPr>
          <w:rFonts w:ascii="Simplified Arabic" w:hAnsi="Simplified Arabic" w:cs="Simplified Arabic"/>
          <w:b/>
          <w:bCs/>
          <w:sz w:val="24"/>
          <w:szCs w:val="24"/>
        </w:rPr>
        <w:t xml:space="preserve"> (3-6)</w:t>
      </w:r>
    </w:p>
    <w:p w14:paraId="15EF79C7"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ترميز مقياس ليكرت الخماسي</w:t>
      </w:r>
    </w:p>
    <w:tbl>
      <w:tblPr>
        <w:tblStyle w:val="TableGridLight"/>
        <w:bidiVisual/>
        <w:tblW w:w="0" w:type="auto"/>
        <w:jc w:val="center"/>
        <w:tblLook w:val="04A0" w:firstRow="1" w:lastRow="0" w:firstColumn="1" w:lastColumn="0" w:noHBand="0" w:noVBand="1"/>
      </w:tblPr>
      <w:tblGrid>
        <w:gridCol w:w="5214"/>
        <w:gridCol w:w="599"/>
        <w:gridCol w:w="701"/>
      </w:tblGrid>
      <w:tr w:rsidR="001A3ABE" w:rsidRPr="003C40F2" w14:paraId="580E464C" w14:textId="77777777" w:rsidTr="002A28C6">
        <w:trPr>
          <w:jc w:val="center"/>
        </w:trPr>
        <w:tc>
          <w:tcPr>
            <w:tcW w:w="5214" w:type="dxa"/>
            <w:vAlign w:val="center"/>
            <w:hideMark/>
          </w:tcPr>
          <w:p w14:paraId="1F1F972B"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درجة الموافقة</w:t>
            </w:r>
          </w:p>
        </w:tc>
        <w:tc>
          <w:tcPr>
            <w:tcW w:w="0" w:type="auto"/>
            <w:vAlign w:val="center"/>
            <w:hideMark/>
          </w:tcPr>
          <w:p w14:paraId="19F7183A"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الرمز</w:t>
            </w:r>
          </w:p>
        </w:tc>
        <w:tc>
          <w:tcPr>
            <w:tcW w:w="0" w:type="auto"/>
            <w:vAlign w:val="center"/>
            <w:hideMark/>
          </w:tcPr>
          <w:p w14:paraId="3769271D"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الدرجة</w:t>
            </w:r>
          </w:p>
        </w:tc>
      </w:tr>
      <w:tr w:rsidR="001A3ABE" w:rsidRPr="003C40F2" w14:paraId="2E1D0C6C" w14:textId="77777777" w:rsidTr="002A28C6">
        <w:trPr>
          <w:jc w:val="center"/>
        </w:trPr>
        <w:tc>
          <w:tcPr>
            <w:tcW w:w="5214" w:type="dxa"/>
            <w:vAlign w:val="center"/>
            <w:hideMark/>
          </w:tcPr>
          <w:p w14:paraId="36ABA561"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غير موافق بشدة</w:t>
            </w:r>
          </w:p>
        </w:tc>
        <w:tc>
          <w:tcPr>
            <w:tcW w:w="0" w:type="auto"/>
            <w:vAlign w:val="center"/>
            <w:hideMark/>
          </w:tcPr>
          <w:p w14:paraId="71F456EC"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SD</w:t>
            </w:r>
          </w:p>
        </w:tc>
        <w:tc>
          <w:tcPr>
            <w:tcW w:w="0" w:type="auto"/>
            <w:vAlign w:val="center"/>
            <w:hideMark/>
          </w:tcPr>
          <w:p w14:paraId="45B7900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1</w:t>
            </w:r>
          </w:p>
        </w:tc>
      </w:tr>
      <w:tr w:rsidR="001A3ABE" w:rsidRPr="003C40F2" w14:paraId="34780412" w14:textId="77777777" w:rsidTr="002A28C6">
        <w:trPr>
          <w:jc w:val="center"/>
        </w:trPr>
        <w:tc>
          <w:tcPr>
            <w:tcW w:w="5214" w:type="dxa"/>
            <w:vAlign w:val="center"/>
            <w:hideMark/>
          </w:tcPr>
          <w:p w14:paraId="2B7267B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غير موافق</w:t>
            </w:r>
          </w:p>
        </w:tc>
        <w:tc>
          <w:tcPr>
            <w:tcW w:w="0" w:type="auto"/>
            <w:vAlign w:val="center"/>
            <w:hideMark/>
          </w:tcPr>
          <w:p w14:paraId="5F00F70C"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D</w:t>
            </w:r>
          </w:p>
        </w:tc>
        <w:tc>
          <w:tcPr>
            <w:tcW w:w="0" w:type="auto"/>
            <w:vAlign w:val="center"/>
            <w:hideMark/>
          </w:tcPr>
          <w:p w14:paraId="431269F7"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2</w:t>
            </w:r>
          </w:p>
        </w:tc>
      </w:tr>
      <w:tr w:rsidR="001A3ABE" w:rsidRPr="003C40F2" w14:paraId="0F2AD926" w14:textId="77777777" w:rsidTr="002A28C6">
        <w:trPr>
          <w:jc w:val="center"/>
        </w:trPr>
        <w:tc>
          <w:tcPr>
            <w:tcW w:w="5214" w:type="dxa"/>
            <w:vAlign w:val="center"/>
            <w:hideMark/>
          </w:tcPr>
          <w:p w14:paraId="7B40EA1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محايد</w:t>
            </w:r>
          </w:p>
        </w:tc>
        <w:tc>
          <w:tcPr>
            <w:tcW w:w="0" w:type="auto"/>
            <w:vAlign w:val="center"/>
            <w:hideMark/>
          </w:tcPr>
          <w:p w14:paraId="0462A15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N</w:t>
            </w:r>
          </w:p>
        </w:tc>
        <w:tc>
          <w:tcPr>
            <w:tcW w:w="0" w:type="auto"/>
            <w:vAlign w:val="center"/>
            <w:hideMark/>
          </w:tcPr>
          <w:p w14:paraId="56D39C9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3</w:t>
            </w:r>
          </w:p>
        </w:tc>
      </w:tr>
      <w:tr w:rsidR="001A3ABE" w:rsidRPr="003C40F2" w14:paraId="721F88D9" w14:textId="77777777" w:rsidTr="002A28C6">
        <w:trPr>
          <w:jc w:val="center"/>
        </w:trPr>
        <w:tc>
          <w:tcPr>
            <w:tcW w:w="5214" w:type="dxa"/>
            <w:vAlign w:val="center"/>
            <w:hideMark/>
          </w:tcPr>
          <w:p w14:paraId="79D9322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موافق</w:t>
            </w:r>
          </w:p>
        </w:tc>
        <w:tc>
          <w:tcPr>
            <w:tcW w:w="0" w:type="auto"/>
            <w:vAlign w:val="center"/>
            <w:hideMark/>
          </w:tcPr>
          <w:p w14:paraId="1C673BCC"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A</w:t>
            </w:r>
          </w:p>
        </w:tc>
        <w:tc>
          <w:tcPr>
            <w:tcW w:w="0" w:type="auto"/>
            <w:vAlign w:val="center"/>
            <w:hideMark/>
          </w:tcPr>
          <w:p w14:paraId="3F6DCB5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4</w:t>
            </w:r>
          </w:p>
        </w:tc>
      </w:tr>
      <w:tr w:rsidR="001A3ABE" w:rsidRPr="003C40F2" w14:paraId="62342952" w14:textId="77777777" w:rsidTr="002A28C6">
        <w:trPr>
          <w:jc w:val="center"/>
        </w:trPr>
        <w:tc>
          <w:tcPr>
            <w:tcW w:w="5214" w:type="dxa"/>
            <w:vAlign w:val="center"/>
            <w:hideMark/>
          </w:tcPr>
          <w:p w14:paraId="3ED1D369"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موافق بشدة</w:t>
            </w:r>
          </w:p>
        </w:tc>
        <w:tc>
          <w:tcPr>
            <w:tcW w:w="0" w:type="auto"/>
            <w:vAlign w:val="center"/>
            <w:hideMark/>
          </w:tcPr>
          <w:p w14:paraId="12A83040"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SA</w:t>
            </w:r>
          </w:p>
        </w:tc>
        <w:tc>
          <w:tcPr>
            <w:tcW w:w="0" w:type="auto"/>
            <w:vAlign w:val="center"/>
            <w:hideMark/>
          </w:tcPr>
          <w:p w14:paraId="594FB734"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r>
    </w:tbl>
    <w:p w14:paraId="06220A0E" w14:textId="77777777" w:rsidR="001A3ABE" w:rsidRPr="003C40F2" w:rsidRDefault="001A3ABE" w:rsidP="001A3ABE">
      <w:pPr>
        <w:bidi/>
        <w:spacing w:line="240" w:lineRule="auto"/>
        <w:jc w:val="lowKashida"/>
        <w:rPr>
          <w:rFonts w:ascii="Simplified Arabic" w:hAnsi="Simplified Arabic" w:cs="Simplified Arabic"/>
          <w:sz w:val="24"/>
          <w:szCs w:val="24"/>
          <w:rtl/>
        </w:rPr>
      </w:pPr>
      <w:r w:rsidRPr="003C40F2">
        <w:rPr>
          <w:rFonts w:ascii="Simplified Arabic" w:hAnsi="Simplified Arabic" w:cs="Simplified Arabic"/>
          <w:sz w:val="24"/>
          <w:szCs w:val="24"/>
          <w:rtl/>
        </w:rPr>
        <w:t>وسيتم تفسير المتوسطات الحسابية وفقًا للجدول الآتي</w:t>
      </w:r>
      <w:r w:rsidRPr="003C40F2">
        <w:rPr>
          <w:rFonts w:ascii="Simplified Arabic" w:hAnsi="Simplified Arabic" w:cs="Simplified Arabic"/>
          <w:sz w:val="24"/>
          <w:szCs w:val="24"/>
        </w:rPr>
        <w:t>:</w:t>
      </w:r>
    </w:p>
    <w:p w14:paraId="62E877B3"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جدول</w:t>
      </w:r>
      <w:r w:rsidRPr="003C40F2">
        <w:rPr>
          <w:rFonts w:ascii="Simplified Arabic" w:hAnsi="Simplified Arabic" w:cs="Simplified Arabic"/>
          <w:b/>
          <w:bCs/>
          <w:sz w:val="24"/>
          <w:szCs w:val="24"/>
        </w:rPr>
        <w:t xml:space="preserve"> (3-7)</w:t>
      </w:r>
    </w:p>
    <w:p w14:paraId="0B450C36"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تفسير المتوسطات الحسابية</w:t>
      </w:r>
    </w:p>
    <w:tbl>
      <w:tblPr>
        <w:tblStyle w:val="TableGridLight"/>
        <w:bidiVisual/>
        <w:tblW w:w="0" w:type="auto"/>
        <w:jc w:val="center"/>
        <w:tblLook w:val="04A0" w:firstRow="1" w:lastRow="0" w:firstColumn="1" w:lastColumn="0" w:noHBand="0" w:noVBand="1"/>
      </w:tblPr>
      <w:tblGrid>
        <w:gridCol w:w="1568"/>
        <w:gridCol w:w="1558"/>
      </w:tblGrid>
      <w:tr w:rsidR="001A3ABE" w:rsidRPr="003C40F2" w14:paraId="2739256E" w14:textId="77777777" w:rsidTr="002A28C6">
        <w:trPr>
          <w:jc w:val="center"/>
        </w:trPr>
        <w:tc>
          <w:tcPr>
            <w:tcW w:w="0" w:type="auto"/>
            <w:vAlign w:val="center"/>
            <w:hideMark/>
          </w:tcPr>
          <w:p w14:paraId="72F22298"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المتوسط الحسابي</w:t>
            </w:r>
          </w:p>
        </w:tc>
        <w:tc>
          <w:tcPr>
            <w:tcW w:w="0" w:type="auto"/>
            <w:vAlign w:val="center"/>
            <w:hideMark/>
          </w:tcPr>
          <w:p w14:paraId="4E261D26"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مستوى الاستجابة</w:t>
            </w:r>
          </w:p>
        </w:tc>
      </w:tr>
      <w:tr w:rsidR="001A3ABE" w:rsidRPr="003C40F2" w14:paraId="5530B83E" w14:textId="77777777" w:rsidTr="002A28C6">
        <w:trPr>
          <w:jc w:val="center"/>
        </w:trPr>
        <w:tc>
          <w:tcPr>
            <w:tcW w:w="0" w:type="auto"/>
            <w:vAlign w:val="center"/>
            <w:hideMark/>
          </w:tcPr>
          <w:p w14:paraId="565DB2A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1.00 – 1.80</w:t>
            </w:r>
          </w:p>
        </w:tc>
        <w:tc>
          <w:tcPr>
            <w:tcW w:w="0" w:type="auto"/>
            <w:vAlign w:val="center"/>
            <w:hideMark/>
          </w:tcPr>
          <w:p w14:paraId="639B3AEE"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منخفض جدًا</w:t>
            </w:r>
          </w:p>
        </w:tc>
      </w:tr>
      <w:tr w:rsidR="001A3ABE" w:rsidRPr="003C40F2" w14:paraId="490D3EF5" w14:textId="77777777" w:rsidTr="002A28C6">
        <w:trPr>
          <w:jc w:val="center"/>
        </w:trPr>
        <w:tc>
          <w:tcPr>
            <w:tcW w:w="0" w:type="auto"/>
            <w:vAlign w:val="center"/>
            <w:hideMark/>
          </w:tcPr>
          <w:p w14:paraId="4918FF0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1.81 – 2.60</w:t>
            </w:r>
          </w:p>
        </w:tc>
        <w:tc>
          <w:tcPr>
            <w:tcW w:w="0" w:type="auto"/>
            <w:vAlign w:val="center"/>
            <w:hideMark/>
          </w:tcPr>
          <w:p w14:paraId="5EFDC8C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منخفض</w:t>
            </w:r>
          </w:p>
        </w:tc>
      </w:tr>
      <w:tr w:rsidR="001A3ABE" w:rsidRPr="003C40F2" w14:paraId="35694BBC" w14:textId="77777777" w:rsidTr="002A28C6">
        <w:trPr>
          <w:jc w:val="center"/>
        </w:trPr>
        <w:tc>
          <w:tcPr>
            <w:tcW w:w="0" w:type="auto"/>
            <w:vAlign w:val="center"/>
            <w:hideMark/>
          </w:tcPr>
          <w:p w14:paraId="1C3518B8"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2.61 – 3.40</w:t>
            </w:r>
          </w:p>
        </w:tc>
        <w:tc>
          <w:tcPr>
            <w:tcW w:w="0" w:type="auto"/>
            <w:vAlign w:val="center"/>
            <w:hideMark/>
          </w:tcPr>
          <w:p w14:paraId="3C020AE8"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متوسط</w:t>
            </w:r>
          </w:p>
        </w:tc>
      </w:tr>
      <w:tr w:rsidR="001A3ABE" w:rsidRPr="003C40F2" w14:paraId="681543A2" w14:textId="77777777" w:rsidTr="002A28C6">
        <w:trPr>
          <w:jc w:val="center"/>
        </w:trPr>
        <w:tc>
          <w:tcPr>
            <w:tcW w:w="0" w:type="auto"/>
            <w:vAlign w:val="center"/>
            <w:hideMark/>
          </w:tcPr>
          <w:p w14:paraId="238B42E4"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3.41 – 4.20</w:t>
            </w:r>
          </w:p>
        </w:tc>
        <w:tc>
          <w:tcPr>
            <w:tcW w:w="0" w:type="auto"/>
            <w:vAlign w:val="center"/>
            <w:hideMark/>
          </w:tcPr>
          <w:p w14:paraId="3091E54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مرتفع</w:t>
            </w:r>
          </w:p>
        </w:tc>
      </w:tr>
      <w:tr w:rsidR="001A3ABE" w:rsidRPr="003C40F2" w14:paraId="70DED336" w14:textId="77777777" w:rsidTr="002A28C6">
        <w:trPr>
          <w:jc w:val="center"/>
        </w:trPr>
        <w:tc>
          <w:tcPr>
            <w:tcW w:w="0" w:type="auto"/>
            <w:vAlign w:val="center"/>
            <w:hideMark/>
          </w:tcPr>
          <w:p w14:paraId="12D08734"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4.21 – 5.00</w:t>
            </w:r>
          </w:p>
        </w:tc>
        <w:tc>
          <w:tcPr>
            <w:tcW w:w="0" w:type="auto"/>
            <w:vAlign w:val="center"/>
            <w:hideMark/>
          </w:tcPr>
          <w:p w14:paraId="64DF983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مرتفع جدًا</w:t>
            </w:r>
          </w:p>
        </w:tc>
      </w:tr>
    </w:tbl>
    <w:p w14:paraId="2F59B408"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3.12 </w:t>
      </w:r>
      <w:r w:rsidRPr="003C40F2">
        <w:rPr>
          <w:rFonts w:ascii="Simplified Arabic" w:hAnsi="Simplified Arabic" w:cs="Simplified Arabic"/>
          <w:b/>
          <w:bCs/>
          <w:sz w:val="24"/>
          <w:szCs w:val="24"/>
          <w:rtl/>
        </w:rPr>
        <w:t>صدق أداة الدراسة</w:t>
      </w:r>
    </w:p>
    <w:p w14:paraId="1F5C62A9" w14:textId="77777777" w:rsidR="001A3ABE"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 xml:space="preserve">سيتم التحقق من صدق أداة الدراسة من خلال عرضها على مجموعة من المحكمين المتخصصين في الإدارة العامة، والإدارة البيئية، والإدارة الاستراتيجية، ومناهج البحث العلمي، والإحصاء، وذلك للتأكد من سلامة الصياغة اللغوية، ووضوح الفقرات، ومدى ارتباطها بمتغيرات الدراسة، وشمولها لجميع الأبعاد المطلوب قياسها. وسيتم إجراء التعديلات اللازمة في ضوء ملاحظات المحكمين قبل اعتماد الصورة النهائية للاستبانة ومن المقترح عرض الأداة على </w:t>
      </w:r>
      <w:r w:rsidRPr="003C40F2">
        <w:rPr>
          <w:rFonts w:ascii="Simplified Arabic" w:hAnsi="Simplified Arabic" w:cs="Simplified Arabic"/>
          <w:sz w:val="24"/>
          <w:szCs w:val="24"/>
        </w:rPr>
        <w:t xml:space="preserve">(7–10) </w:t>
      </w:r>
      <w:r w:rsidRPr="003C40F2">
        <w:rPr>
          <w:rFonts w:ascii="Simplified Arabic" w:hAnsi="Simplified Arabic" w:cs="Simplified Arabic"/>
          <w:sz w:val="24"/>
          <w:szCs w:val="24"/>
          <w:rtl/>
        </w:rPr>
        <w:t>محكمين من أعضاء هيئة التدريس والمتخصصين في المجالات ذات العلاقة</w:t>
      </w:r>
      <w:r w:rsidRPr="003C40F2">
        <w:rPr>
          <w:rFonts w:ascii="Simplified Arabic" w:hAnsi="Simplified Arabic" w:cs="Simplified Arabic"/>
          <w:sz w:val="24"/>
          <w:szCs w:val="24"/>
        </w:rPr>
        <w:t>.</w:t>
      </w:r>
    </w:p>
    <w:p w14:paraId="7ABBAA20" w14:textId="77777777" w:rsidR="00A204CB" w:rsidRDefault="00A204CB" w:rsidP="00A204CB">
      <w:pPr>
        <w:bidi/>
        <w:spacing w:line="240" w:lineRule="auto"/>
        <w:jc w:val="lowKashida"/>
        <w:rPr>
          <w:rFonts w:ascii="Simplified Arabic" w:hAnsi="Simplified Arabic" w:cs="Simplified Arabic"/>
          <w:sz w:val="24"/>
          <w:szCs w:val="24"/>
        </w:rPr>
      </w:pPr>
    </w:p>
    <w:p w14:paraId="539FFB59" w14:textId="77777777" w:rsidR="00A204CB" w:rsidRPr="003C40F2" w:rsidRDefault="00A204CB" w:rsidP="00A204CB">
      <w:pPr>
        <w:bidi/>
        <w:spacing w:line="240" w:lineRule="auto"/>
        <w:jc w:val="lowKashida"/>
        <w:rPr>
          <w:rFonts w:ascii="Simplified Arabic" w:hAnsi="Simplified Arabic" w:cs="Simplified Arabic"/>
          <w:sz w:val="24"/>
          <w:szCs w:val="24"/>
        </w:rPr>
      </w:pPr>
    </w:p>
    <w:p w14:paraId="3641B95F"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lastRenderedPageBreak/>
        <w:t>جدول</w:t>
      </w:r>
      <w:r w:rsidRPr="003C40F2">
        <w:rPr>
          <w:rFonts w:ascii="Simplified Arabic" w:hAnsi="Simplified Arabic" w:cs="Simplified Arabic"/>
          <w:b/>
          <w:bCs/>
          <w:sz w:val="24"/>
          <w:szCs w:val="24"/>
        </w:rPr>
        <w:t xml:space="preserve"> (3-8)</w:t>
      </w:r>
    </w:p>
    <w:p w14:paraId="12715266"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مصفوفة صدق المحتوى</w:t>
      </w:r>
    </w:p>
    <w:tbl>
      <w:tblPr>
        <w:tblStyle w:val="TableGridLight"/>
        <w:bidiVisual/>
        <w:tblW w:w="0" w:type="auto"/>
        <w:jc w:val="center"/>
        <w:tblLook w:val="04A0" w:firstRow="1" w:lastRow="0" w:firstColumn="1" w:lastColumn="0" w:noHBand="0" w:noVBand="1"/>
      </w:tblPr>
      <w:tblGrid>
        <w:gridCol w:w="2237"/>
        <w:gridCol w:w="1153"/>
      </w:tblGrid>
      <w:tr w:rsidR="001A3ABE" w:rsidRPr="003C40F2" w14:paraId="3E75776B" w14:textId="77777777" w:rsidTr="002A28C6">
        <w:trPr>
          <w:jc w:val="center"/>
        </w:trPr>
        <w:tc>
          <w:tcPr>
            <w:tcW w:w="0" w:type="auto"/>
            <w:vAlign w:val="center"/>
            <w:hideMark/>
          </w:tcPr>
          <w:p w14:paraId="2072C136"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البعد</w:t>
            </w:r>
          </w:p>
        </w:tc>
        <w:tc>
          <w:tcPr>
            <w:tcW w:w="0" w:type="auto"/>
            <w:vAlign w:val="center"/>
            <w:hideMark/>
          </w:tcPr>
          <w:p w14:paraId="6D6B0A42"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أرقام الفقرات</w:t>
            </w:r>
          </w:p>
        </w:tc>
      </w:tr>
      <w:tr w:rsidR="001A3ABE" w:rsidRPr="003C40F2" w14:paraId="7209E655" w14:textId="77777777" w:rsidTr="002A28C6">
        <w:trPr>
          <w:jc w:val="center"/>
        </w:trPr>
        <w:tc>
          <w:tcPr>
            <w:tcW w:w="0" w:type="auto"/>
            <w:vAlign w:val="center"/>
            <w:hideMark/>
          </w:tcPr>
          <w:p w14:paraId="3B731E0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الإطار التشريعي والتنظيمي</w:t>
            </w:r>
          </w:p>
        </w:tc>
        <w:tc>
          <w:tcPr>
            <w:tcW w:w="0" w:type="auto"/>
            <w:vAlign w:val="center"/>
            <w:hideMark/>
          </w:tcPr>
          <w:p w14:paraId="4A53204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1–5</w:t>
            </w:r>
          </w:p>
        </w:tc>
      </w:tr>
      <w:tr w:rsidR="001A3ABE" w:rsidRPr="003C40F2" w14:paraId="7A0D2A1F" w14:textId="77777777" w:rsidTr="002A28C6">
        <w:trPr>
          <w:jc w:val="center"/>
        </w:trPr>
        <w:tc>
          <w:tcPr>
            <w:tcW w:w="0" w:type="auto"/>
            <w:vAlign w:val="center"/>
            <w:hideMark/>
          </w:tcPr>
          <w:p w14:paraId="00D640F8"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توزيع الأدوار والمسؤوليات</w:t>
            </w:r>
          </w:p>
        </w:tc>
        <w:tc>
          <w:tcPr>
            <w:tcW w:w="0" w:type="auto"/>
            <w:vAlign w:val="center"/>
            <w:hideMark/>
          </w:tcPr>
          <w:p w14:paraId="368727C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6–10</w:t>
            </w:r>
          </w:p>
        </w:tc>
      </w:tr>
      <w:tr w:rsidR="001A3ABE" w:rsidRPr="003C40F2" w14:paraId="1A56A418" w14:textId="77777777" w:rsidTr="002A28C6">
        <w:trPr>
          <w:jc w:val="center"/>
        </w:trPr>
        <w:tc>
          <w:tcPr>
            <w:tcW w:w="0" w:type="auto"/>
            <w:vAlign w:val="center"/>
            <w:hideMark/>
          </w:tcPr>
          <w:p w14:paraId="6615DB19"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التنسيق وتبادل المعلومات</w:t>
            </w:r>
          </w:p>
        </w:tc>
        <w:tc>
          <w:tcPr>
            <w:tcW w:w="0" w:type="auto"/>
            <w:vAlign w:val="center"/>
            <w:hideMark/>
          </w:tcPr>
          <w:p w14:paraId="6F83476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11–15</w:t>
            </w:r>
          </w:p>
        </w:tc>
      </w:tr>
      <w:tr w:rsidR="001A3ABE" w:rsidRPr="003C40F2" w14:paraId="3F660521" w14:textId="77777777" w:rsidTr="002A28C6">
        <w:trPr>
          <w:jc w:val="center"/>
        </w:trPr>
        <w:tc>
          <w:tcPr>
            <w:tcW w:w="0" w:type="auto"/>
            <w:vAlign w:val="center"/>
            <w:hideMark/>
          </w:tcPr>
          <w:p w14:paraId="08E1DB67"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إدارة الموارد والتمويل</w:t>
            </w:r>
          </w:p>
        </w:tc>
        <w:tc>
          <w:tcPr>
            <w:tcW w:w="0" w:type="auto"/>
            <w:vAlign w:val="center"/>
            <w:hideMark/>
          </w:tcPr>
          <w:p w14:paraId="5BAAB81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16–20</w:t>
            </w:r>
          </w:p>
        </w:tc>
      </w:tr>
      <w:tr w:rsidR="001A3ABE" w:rsidRPr="003C40F2" w14:paraId="71888147" w14:textId="77777777" w:rsidTr="002A28C6">
        <w:trPr>
          <w:jc w:val="center"/>
        </w:trPr>
        <w:tc>
          <w:tcPr>
            <w:tcW w:w="0" w:type="auto"/>
            <w:vAlign w:val="center"/>
            <w:hideMark/>
          </w:tcPr>
          <w:p w14:paraId="47DF9F99"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الرقابة وإدارة المخاطر</w:t>
            </w:r>
          </w:p>
        </w:tc>
        <w:tc>
          <w:tcPr>
            <w:tcW w:w="0" w:type="auto"/>
            <w:vAlign w:val="center"/>
            <w:hideMark/>
          </w:tcPr>
          <w:p w14:paraId="68FA9DE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21–25</w:t>
            </w:r>
          </w:p>
        </w:tc>
      </w:tr>
      <w:tr w:rsidR="001A3ABE" w:rsidRPr="003C40F2" w14:paraId="016E60AF" w14:textId="77777777" w:rsidTr="002A28C6">
        <w:trPr>
          <w:jc w:val="center"/>
        </w:trPr>
        <w:tc>
          <w:tcPr>
            <w:tcW w:w="0" w:type="auto"/>
            <w:vAlign w:val="center"/>
            <w:hideMark/>
          </w:tcPr>
          <w:p w14:paraId="1CD4833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الكفاءة التشغيلية</w:t>
            </w:r>
          </w:p>
        </w:tc>
        <w:tc>
          <w:tcPr>
            <w:tcW w:w="0" w:type="auto"/>
            <w:vAlign w:val="center"/>
            <w:hideMark/>
          </w:tcPr>
          <w:p w14:paraId="1FBBC48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26–30</w:t>
            </w:r>
          </w:p>
        </w:tc>
      </w:tr>
      <w:tr w:rsidR="001A3ABE" w:rsidRPr="003C40F2" w14:paraId="0BC15F25" w14:textId="77777777" w:rsidTr="002A28C6">
        <w:trPr>
          <w:jc w:val="center"/>
        </w:trPr>
        <w:tc>
          <w:tcPr>
            <w:tcW w:w="0" w:type="auto"/>
            <w:vAlign w:val="center"/>
            <w:hideMark/>
          </w:tcPr>
          <w:p w14:paraId="027FC88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جودة الرقابة والامتثال</w:t>
            </w:r>
          </w:p>
        </w:tc>
        <w:tc>
          <w:tcPr>
            <w:tcW w:w="0" w:type="auto"/>
            <w:vAlign w:val="center"/>
            <w:hideMark/>
          </w:tcPr>
          <w:p w14:paraId="7B3DC527"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31–35</w:t>
            </w:r>
          </w:p>
        </w:tc>
      </w:tr>
      <w:tr w:rsidR="001A3ABE" w:rsidRPr="003C40F2" w14:paraId="6F14F74A" w14:textId="77777777" w:rsidTr="002A28C6">
        <w:trPr>
          <w:jc w:val="center"/>
        </w:trPr>
        <w:tc>
          <w:tcPr>
            <w:tcW w:w="0" w:type="auto"/>
            <w:vAlign w:val="center"/>
            <w:hideMark/>
          </w:tcPr>
          <w:p w14:paraId="146BBDE0"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الشفافية والمساءلة</w:t>
            </w:r>
          </w:p>
        </w:tc>
        <w:tc>
          <w:tcPr>
            <w:tcW w:w="0" w:type="auto"/>
            <w:vAlign w:val="center"/>
            <w:hideMark/>
          </w:tcPr>
          <w:p w14:paraId="045FED08"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36–40</w:t>
            </w:r>
          </w:p>
        </w:tc>
      </w:tr>
      <w:tr w:rsidR="001A3ABE" w:rsidRPr="003C40F2" w14:paraId="1AB4B25C" w14:textId="77777777" w:rsidTr="002A28C6">
        <w:trPr>
          <w:jc w:val="center"/>
        </w:trPr>
        <w:tc>
          <w:tcPr>
            <w:tcW w:w="0" w:type="auto"/>
            <w:vAlign w:val="center"/>
            <w:hideMark/>
          </w:tcPr>
          <w:p w14:paraId="125FB23E"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تحسين الأداء البيئي</w:t>
            </w:r>
          </w:p>
        </w:tc>
        <w:tc>
          <w:tcPr>
            <w:tcW w:w="0" w:type="auto"/>
            <w:vAlign w:val="center"/>
            <w:hideMark/>
          </w:tcPr>
          <w:p w14:paraId="7C45BEC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41–45</w:t>
            </w:r>
          </w:p>
        </w:tc>
      </w:tr>
      <w:tr w:rsidR="001A3ABE" w:rsidRPr="003C40F2" w14:paraId="57570AA7" w14:textId="77777777" w:rsidTr="002A28C6">
        <w:trPr>
          <w:jc w:val="center"/>
        </w:trPr>
        <w:tc>
          <w:tcPr>
            <w:tcW w:w="0" w:type="auto"/>
            <w:vAlign w:val="center"/>
            <w:hideMark/>
          </w:tcPr>
          <w:p w14:paraId="212B33CA"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الاستدامة المؤسسية</w:t>
            </w:r>
          </w:p>
        </w:tc>
        <w:tc>
          <w:tcPr>
            <w:tcW w:w="0" w:type="auto"/>
            <w:vAlign w:val="center"/>
            <w:hideMark/>
          </w:tcPr>
          <w:p w14:paraId="116E80FC"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46–50</w:t>
            </w:r>
          </w:p>
        </w:tc>
      </w:tr>
    </w:tbl>
    <w:p w14:paraId="414090F8" w14:textId="77777777" w:rsidR="001A3ABE" w:rsidRPr="003C40F2" w:rsidRDefault="001A3ABE" w:rsidP="001A3ABE">
      <w:pPr>
        <w:bidi/>
        <w:spacing w:line="240" w:lineRule="auto"/>
        <w:jc w:val="lowKashida"/>
        <w:rPr>
          <w:rFonts w:ascii="Simplified Arabic" w:hAnsi="Simplified Arabic" w:cs="Simplified Arabic"/>
          <w:sz w:val="24"/>
          <w:szCs w:val="24"/>
          <w:rtl/>
        </w:rPr>
      </w:pPr>
    </w:p>
    <w:p w14:paraId="65064DF0" w14:textId="77777777" w:rsidR="001A3ABE" w:rsidRPr="003C40F2" w:rsidRDefault="001A3ABE" w:rsidP="001A3ABE">
      <w:pPr>
        <w:bidi/>
        <w:spacing w:line="240" w:lineRule="auto"/>
        <w:jc w:val="lowKashida"/>
        <w:rPr>
          <w:rFonts w:ascii="Simplified Arabic" w:hAnsi="Simplified Arabic" w:cs="Simplified Arabic"/>
          <w:sz w:val="24"/>
          <w:szCs w:val="24"/>
        </w:rPr>
      </w:pPr>
    </w:p>
    <w:p w14:paraId="3DE8D3D8"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3.13 </w:t>
      </w:r>
      <w:r w:rsidRPr="003C40F2">
        <w:rPr>
          <w:rFonts w:ascii="Simplified Arabic" w:hAnsi="Simplified Arabic" w:cs="Simplified Arabic"/>
          <w:b/>
          <w:bCs/>
          <w:sz w:val="24"/>
          <w:szCs w:val="24"/>
          <w:rtl/>
        </w:rPr>
        <w:t>ثبات أداة الدراسة</w:t>
      </w:r>
    </w:p>
    <w:p w14:paraId="2813CF46" w14:textId="77777777" w:rsidR="001A3ABE"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سيتم التحقق من ثبات أداة الدراسة باستخدام معامل ألفا كرونباخ</w:t>
      </w:r>
      <w:r w:rsidRPr="003C40F2">
        <w:rPr>
          <w:rFonts w:ascii="Simplified Arabic" w:hAnsi="Simplified Arabic" w:cs="Simplified Arabic"/>
          <w:sz w:val="24"/>
          <w:szCs w:val="24"/>
        </w:rPr>
        <w:t xml:space="preserve"> (Cronbach's Alpha) </w:t>
      </w:r>
      <w:r w:rsidRPr="003C40F2">
        <w:rPr>
          <w:rFonts w:ascii="Simplified Arabic" w:hAnsi="Simplified Arabic" w:cs="Simplified Arabic"/>
          <w:sz w:val="24"/>
          <w:szCs w:val="24"/>
          <w:rtl/>
        </w:rPr>
        <w:t>لقياس الاتساق الداخلي لفقرات الاستبانة، ويعد من أكثر الأساليب استخدامًا في الدراسات الإدارية. وسيتم قبول قيم الثبات التي لا تقل عن (0.70) باعتبارها مؤشرًا على تمتع الأداة بدرجة مناسبة من الثبات</w:t>
      </w:r>
      <w:r w:rsidRPr="003C40F2">
        <w:rPr>
          <w:rFonts w:ascii="Simplified Arabic" w:hAnsi="Simplified Arabic" w:cs="Simplified Arabic"/>
          <w:sz w:val="24"/>
          <w:szCs w:val="24"/>
        </w:rPr>
        <w:t>.</w:t>
      </w:r>
    </w:p>
    <w:p w14:paraId="60209279" w14:textId="77777777" w:rsidR="00A204CB" w:rsidRPr="003C40F2" w:rsidRDefault="00A204CB" w:rsidP="00A204CB">
      <w:pPr>
        <w:bidi/>
        <w:spacing w:line="240" w:lineRule="auto"/>
        <w:jc w:val="lowKashida"/>
        <w:rPr>
          <w:rFonts w:ascii="Simplified Arabic" w:hAnsi="Simplified Arabic" w:cs="Simplified Arabic"/>
          <w:sz w:val="24"/>
          <w:szCs w:val="24"/>
        </w:rPr>
      </w:pPr>
    </w:p>
    <w:p w14:paraId="1B03870D"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3.14 </w:t>
      </w:r>
      <w:r w:rsidRPr="003C40F2">
        <w:rPr>
          <w:rFonts w:ascii="Simplified Arabic" w:hAnsi="Simplified Arabic" w:cs="Simplified Arabic"/>
          <w:b/>
          <w:bCs/>
          <w:sz w:val="24"/>
          <w:szCs w:val="24"/>
          <w:rtl/>
        </w:rPr>
        <w:t>الدراسة الاستطلاعية</w:t>
      </w:r>
      <w:r w:rsidRPr="003C40F2">
        <w:rPr>
          <w:rFonts w:ascii="Simplified Arabic" w:hAnsi="Simplified Arabic" w:cs="Simplified Arabic"/>
          <w:b/>
          <w:bCs/>
          <w:sz w:val="24"/>
          <w:szCs w:val="24"/>
        </w:rPr>
        <w:t xml:space="preserve"> (Pilot Study)</w:t>
      </w:r>
    </w:p>
    <w:p w14:paraId="7160B04C" w14:textId="77777777" w:rsidR="001A3ABE" w:rsidRPr="003C40F2"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 xml:space="preserve">قبل التطبيق الفعلي للاستبانة، سيتم تنفيذ دراسة استطلاعية على عينة تتراوح بين </w:t>
      </w:r>
      <w:r w:rsidRPr="003C40F2">
        <w:rPr>
          <w:rFonts w:ascii="Simplified Arabic" w:hAnsi="Simplified Arabic" w:cs="Simplified Arabic"/>
          <w:sz w:val="24"/>
          <w:szCs w:val="24"/>
        </w:rPr>
        <w:t xml:space="preserve">20–30 </w:t>
      </w:r>
      <w:r w:rsidRPr="003C40F2">
        <w:rPr>
          <w:rFonts w:ascii="Simplified Arabic" w:hAnsi="Simplified Arabic" w:cs="Simplified Arabic"/>
          <w:sz w:val="24"/>
          <w:szCs w:val="24"/>
          <w:rtl/>
        </w:rPr>
        <w:t>مفردة من مجتمع الدراسة، بهدف التأكد من وضوح الفقرات، وسهولة الإجابة عنها، وقياس الزمن اللازم للإجابة، واكتشاف أي ملاحظات قد تؤثر في جودة البيانات. كما سيتم استخدام نتائج الدراسة الاستطلاعية في حساب معامل الثبات وإجراء التعديلات اللازمة قبل التطبيق النهائي</w:t>
      </w:r>
      <w:r w:rsidRPr="003C40F2">
        <w:rPr>
          <w:rFonts w:ascii="Simplified Arabic" w:hAnsi="Simplified Arabic" w:cs="Simplified Arabic"/>
          <w:sz w:val="24"/>
          <w:szCs w:val="24"/>
        </w:rPr>
        <w:t>.</w:t>
      </w:r>
    </w:p>
    <w:p w14:paraId="255844C1"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lastRenderedPageBreak/>
        <w:t xml:space="preserve"> </w:t>
      </w:r>
      <w:r w:rsidRPr="003C40F2">
        <w:rPr>
          <w:rFonts w:ascii="Simplified Arabic" w:hAnsi="Simplified Arabic" w:cs="Simplified Arabic"/>
          <w:b/>
          <w:bCs/>
          <w:sz w:val="24"/>
          <w:szCs w:val="24"/>
        </w:rPr>
        <w:t xml:space="preserve">3.15 </w:t>
      </w:r>
      <w:r w:rsidRPr="003C40F2">
        <w:rPr>
          <w:rFonts w:ascii="Simplified Arabic" w:hAnsi="Simplified Arabic" w:cs="Simplified Arabic"/>
          <w:b/>
          <w:bCs/>
          <w:sz w:val="24"/>
          <w:szCs w:val="24"/>
          <w:rtl/>
        </w:rPr>
        <w:t>إجراءات جمع البيانات</w:t>
      </w:r>
    </w:p>
    <w:p w14:paraId="46525E61" w14:textId="77777777" w:rsidR="001A3ABE"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سيتم الحصول على الموافقات الرسمية من الجهات ذات العلاقة قبل البدء في جمع البيانات، ثم توزيع الاستبانة إلكترونيًا وورقيًا – حسب ما تتيحه الجهات المشاركة – على أفراد العينة خلال فترة تتراوح بين أربعة وستة أسابيع، مع متابعة المشاركين وتقديم التذكيرات اللازمة لزيادة معدل الاستجابة. وبعد استلام الاستبانات، سيتم مراجعتها واستبعاد الاستبانات غير المكتملة أو التي تحتوي على نمط إجابة غير منطقي، ثم ترميز البيانات وإدخالها إلى برنامج التحليل الإحصائي</w:t>
      </w:r>
      <w:r w:rsidRPr="003C40F2">
        <w:rPr>
          <w:rFonts w:ascii="Simplified Arabic" w:hAnsi="Simplified Arabic" w:cs="Simplified Arabic"/>
          <w:sz w:val="24"/>
          <w:szCs w:val="24"/>
        </w:rPr>
        <w:t>.</w:t>
      </w:r>
    </w:p>
    <w:p w14:paraId="06C55E57" w14:textId="77777777" w:rsidR="00A204CB" w:rsidRPr="003C40F2" w:rsidRDefault="00A204CB" w:rsidP="00A204CB">
      <w:pPr>
        <w:bidi/>
        <w:spacing w:line="240" w:lineRule="auto"/>
        <w:jc w:val="lowKashida"/>
        <w:rPr>
          <w:rFonts w:ascii="Simplified Arabic" w:hAnsi="Simplified Arabic" w:cs="Simplified Arabic"/>
          <w:sz w:val="24"/>
          <w:szCs w:val="24"/>
        </w:rPr>
      </w:pPr>
    </w:p>
    <w:p w14:paraId="60FB86E7"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3.16 </w:t>
      </w:r>
      <w:r w:rsidRPr="003C40F2">
        <w:rPr>
          <w:rFonts w:ascii="Simplified Arabic" w:hAnsi="Simplified Arabic" w:cs="Simplified Arabic"/>
          <w:b/>
          <w:bCs/>
          <w:sz w:val="24"/>
          <w:szCs w:val="24"/>
          <w:rtl/>
        </w:rPr>
        <w:t>معالجة البيانات المفقودة وحدود تعميم النتائج</w:t>
      </w:r>
    </w:p>
    <w:p w14:paraId="2C7339B0" w14:textId="77777777" w:rsidR="001A3ABE" w:rsidRPr="003C40F2"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سيتم فحص البيانات بعد إدخالها إلى البرنامج الإحصائي للتأكد من خلوها من الأخطاء والقيم المتطرفة والبيانات المفقودة. وسيتم استبعاد الاستبانات التي تتضمن نسبة مرتفعة من البيانات غير المكتملة، في حين ستتم معالجة الحالات البسيطة وفق الإجراءات الإحصائية المناسبة</w:t>
      </w:r>
      <w:r w:rsidRPr="003C40F2">
        <w:rPr>
          <w:rFonts w:ascii="Simplified Arabic" w:hAnsi="Simplified Arabic" w:cs="Simplified Arabic"/>
          <w:sz w:val="24"/>
          <w:szCs w:val="24"/>
        </w:rPr>
        <w:t>.</w:t>
      </w:r>
    </w:p>
    <w:p w14:paraId="5B78F2BF" w14:textId="77777777" w:rsidR="001A3ABE" w:rsidRPr="003C40F2" w:rsidRDefault="001A3ABE" w:rsidP="001A3ABE">
      <w:pPr>
        <w:bidi/>
        <w:spacing w:line="240" w:lineRule="auto"/>
        <w:jc w:val="lowKashida"/>
        <w:rPr>
          <w:rFonts w:ascii="Simplified Arabic" w:hAnsi="Simplified Arabic" w:cs="Simplified Arabic"/>
          <w:sz w:val="24"/>
          <w:szCs w:val="24"/>
          <w:rtl/>
        </w:rPr>
      </w:pPr>
      <w:r w:rsidRPr="003C40F2">
        <w:rPr>
          <w:rFonts w:ascii="Simplified Arabic" w:hAnsi="Simplified Arabic" w:cs="Simplified Arabic"/>
          <w:sz w:val="24"/>
          <w:szCs w:val="24"/>
          <w:rtl/>
        </w:rPr>
        <w:t>وتقتصر إمكانية تعميم نتائج الدراسة على الجهات الحكومية والقطاع الخاص العاملة في مجال البيئة والتفتيش البيئي بالمملكة العربية السعودية، وفي حدود خصائص العينة وأسلوب المعاينة المستخدم، مع مراعاة أن النتائج تعكس الفترة الزمنية التي تم خلالها جمع البيانات</w:t>
      </w:r>
      <w:r w:rsidRPr="003C40F2">
        <w:rPr>
          <w:rFonts w:ascii="Simplified Arabic" w:hAnsi="Simplified Arabic" w:cs="Simplified Arabic"/>
          <w:sz w:val="24"/>
          <w:szCs w:val="24"/>
        </w:rPr>
        <w:t>.</w:t>
      </w:r>
    </w:p>
    <w:p w14:paraId="6AE6F83B" w14:textId="77777777" w:rsidR="001A3ABE" w:rsidRPr="003C40F2" w:rsidRDefault="001A3ABE" w:rsidP="001A3ABE">
      <w:pPr>
        <w:bidi/>
        <w:spacing w:line="240" w:lineRule="auto"/>
        <w:jc w:val="lowKashida"/>
        <w:rPr>
          <w:rFonts w:ascii="Simplified Arabic" w:hAnsi="Simplified Arabic" w:cs="Simplified Arabic"/>
          <w:sz w:val="24"/>
          <w:szCs w:val="24"/>
        </w:rPr>
      </w:pPr>
    </w:p>
    <w:p w14:paraId="39CDE6B8"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3.17 </w:t>
      </w:r>
      <w:r w:rsidRPr="003C40F2">
        <w:rPr>
          <w:rFonts w:ascii="Simplified Arabic" w:hAnsi="Simplified Arabic" w:cs="Simplified Arabic"/>
          <w:b/>
          <w:bCs/>
          <w:sz w:val="24"/>
          <w:szCs w:val="24"/>
          <w:rtl/>
        </w:rPr>
        <w:t>متغيرات الدراسة</w:t>
      </w:r>
    </w:p>
    <w:p w14:paraId="2B190147" w14:textId="77777777" w:rsidR="001A3ABE" w:rsidRPr="003C40F2" w:rsidRDefault="001A3ABE" w:rsidP="001A3ABE">
      <w:pPr>
        <w:bidi/>
        <w:spacing w:line="240" w:lineRule="auto"/>
        <w:jc w:val="lowKashida"/>
        <w:rPr>
          <w:rFonts w:ascii="Simplified Arabic" w:hAnsi="Simplified Arabic" w:cs="Simplified Arabic"/>
          <w:sz w:val="24"/>
          <w:szCs w:val="24"/>
          <w:rtl/>
        </w:rPr>
      </w:pPr>
      <w:r w:rsidRPr="003C40F2">
        <w:rPr>
          <w:rFonts w:ascii="Simplified Arabic" w:hAnsi="Simplified Arabic" w:cs="Simplified Arabic"/>
          <w:sz w:val="24"/>
          <w:szCs w:val="24"/>
          <w:rtl/>
        </w:rPr>
        <w:t>تشتمل الدراسة على متغير مستقل يتمثل في الشراكات بين القطاعين العام والخاص في قطاع البيئة، ومتغير تابع يتمثل في فاعلية الحوكمة البيئية وإدارة الأداء في مجال التفتيش البيئي</w:t>
      </w:r>
      <w:r w:rsidRPr="003C40F2">
        <w:rPr>
          <w:rFonts w:ascii="Simplified Arabic" w:hAnsi="Simplified Arabic" w:cs="Simplified Arabic"/>
          <w:sz w:val="24"/>
          <w:szCs w:val="24"/>
        </w:rPr>
        <w:t xml:space="preserve">. </w:t>
      </w:r>
      <w:r w:rsidRPr="003C40F2">
        <w:rPr>
          <w:rFonts w:ascii="Simplified Arabic" w:hAnsi="Simplified Arabic" w:cs="Simplified Arabic"/>
          <w:sz w:val="24"/>
          <w:szCs w:val="24"/>
          <w:rtl/>
        </w:rPr>
        <w:t>وقد تم تحديد أبعاد كل متغير بالاستناد إلى الأدبيات العلمية والدراسات السابقة، بما يتوافق مع أهداف الدراسة وفرضياتها</w:t>
      </w:r>
    </w:p>
    <w:p w14:paraId="7952D1DD"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جدول</w:t>
      </w:r>
      <w:r w:rsidRPr="003C40F2">
        <w:rPr>
          <w:rFonts w:ascii="Simplified Arabic" w:hAnsi="Simplified Arabic" w:cs="Simplified Arabic"/>
          <w:b/>
          <w:bCs/>
          <w:sz w:val="24"/>
          <w:szCs w:val="24"/>
        </w:rPr>
        <w:t xml:space="preserve"> (3-9)</w:t>
      </w:r>
    </w:p>
    <w:p w14:paraId="7949F9A7"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متغيرات الدراسة وأبعادها</w:t>
      </w:r>
    </w:p>
    <w:tbl>
      <w:tblPr>
        <w:tblStyle w:val="TableGridLight"/>
        <w:bidiVisual/>
        <w:tblW w:w="0" w:type="auto"/>
        <w:jc w:val="center"/>
        <w:tblLook w:val="04A0" w:firstRow="1" w:lastRow="0" w:firstColumn="1" w:lastColumn="0" w:noHBand="0" w:noVBand="1"/>
      </w:tblPr>
      <w:tblGrid>
        <w:gridCol w:w="2793"/>
        <w:gridCol w:w="5503"/>
      </w:tblGrid>
      <w:tr w:rsidR="001A3ABE" w:rsidRPr="003C40F2" w14:paraId="3EF6D68B" w14:textId="77777777" w:rsidTr="002A28C6">
        <w:trPr>
          <w:jc w:val="center"/>
        </w:trPr>
        <w:tc>
          <w:tcPr>
            <w:tcW w:w="0" w:type="auto"/>
            <w:vAlign w:val="center"/>
            <w:hideMark/>
          </w:tcPr>
          <w:p w14:paraId="25FB6AF0"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المتغير</w:t>
            </w:r>
          </w:p>
        </w:tc>
        <w:tc>
          <w:tcPr>
            <w:tcW w:w="0" w:type="auto"/>
            <w:vAlign w:val="center"/>
            <w:hideMark/>
          </w:tcPr>
          <w:p w14:paraId="394248F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الأبعاد</w:t>
            </w:r>
          </w:p>
        </w:tc>
      </w:tr>
      <w:tr w:rsidR="001A3ABE" w:rsidRPr="003C40F2" w14:paraId="23112CF8" w14:textId="77777777" w:rsidTr="002A28C6">
        <w:trPr>
          <w:jc w:val="center"/>
        </w:trPr>
        <w:tc>
          <w:tcPr>
            <w:tcW w:w="0" w:type="auto"/>
            <w:vAlign w:val="center"/>
            <w:hideMark/>
          </w:tcPr>
          <w:p w14:paraId="1E917B0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المتغير المستقلالشراكات بين القطاعين العام والخاص</w:t>
            </w:r>
          </w:p>
        </w:tc>
        <w:tc>
          <w:tcPr>
            <w:tcW w:w="0" w:type="auto"/>
            <w:vAlign w:val="center"/>
            <w:hideMark/>
          </w:tcPr>
          <w:p w14:paraId="4E295791"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الإطار التشريعي والتنظيمي، توزيع الأدوار والمسؤوليات، التنسيق وتبادل المعلومات، إدارة الموارد والتمويل، الرقابة وإدارة المخاطر</w:t>
            </w:r>
          </w:p>
        </w:tc>
      </w:tr>
      <w:tr w:rsidR="001A3ABE" w:rsidRPr="003C40F2" w14:paraId="5C4BA248" w14:textId="77777777" w:rsidTr="002A28C6">
        <w:trPr>
          <w:jc w:val="center"/>
        </w:trPr>
        <w:tc>
          <w:tcPr>
            <w:tcW w:w="0" w:type="auto"/>
            <w:vAlign w:val="center"/>
            <w:hideMark/>
          </w:tcPr>
          <w:p w14:paraId="64F6F10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المتغير التابعفاعلية الحوكمة البيئية وإدارة الأداء</w:t>
            </w:r>
          </w:p>
        </w:tc>
        <w:tc>
          <w:tcPr>
            <w:tcW w:w="0" w:type="auto"/>
            <w:vAlign w:val="center"/>
            <w:hideMark/>
          </w:tcPr>
          <w:p w14:paraId="70893F3B"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الكفاءة التشغيلية، جودة الرقابة والامتثال البيئي، الشفافية والمساءلة، تحسين الأداء البيئي، الاستدامة المؤسسية</w:t>
            </w:r>
          </w:p>
        </w:tc>
      </w:tr>
    </w:tbl>
    <w:p w14:paraId="57A1FBEA" w14:textId="77777777" w:rsidR="00A204CB" w:rsidRDefault="00A204CB" w:rsidP="001A3ABE">
      <w:pPr>
        <w:bidi/>
        <w:spacing w:line="240" w:lineRule="auto"/>
        <w:jc w:val="lowKashida"/>
        <w:rPr>
          <w:rFonts w:ascii="Simplified Arabic" w:hAnsi="Simplified Arabic" w:cs="Simplified Arabic"/>
          <w:b/>
          <w:bCs/>
          <w:sz w:val="24"/>
          <w:szCs w:val="24"/>
        </w:rPr>
      </w:pPr>
    </w:p>
    <w:p w14:paraId="457A6137" w14:textId="77777777" w:rsidR="00A204CB" w:rsidRDefault="00A204CB" w:rsidP="00A204CB">
      <w:pPr>
        <w:bidi/>
        <w:spacing w:line="240" w:lineRule="auto"/>
        <w:jc w:val="lowKashida"/>
        <w:rPr>
          <w:rFonts w:ascii="Simplified Arabic" w:hAnsi="Simplified Arabic" w:cs="Simplified Arabic"/>
          <w:b/>
          <w:bCs/>
          <w:sz w:val="24"/>
          <w:szCs w:val="24"/>
        </w:rPr>
      </w:pPr>
    </w:p>
    <w:p w14:paraId="5C9D9B11" w14:textId="7C4A3258" w:rsidR="001A3ABE" w:rsidRPr="003C40F2" w:rsidRDefault="001A3ABE" w:rsidP="00A204CB">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lastRenderedPageBreak/>
        <w:t>جدول</w:t>
      </w:r>
      <w:r w:rsidRPr="003C40F2">
        <w:rPr>
          <w:rFonts w:ascii="Simplified Arabic" w:hAnsi="Simplified Arabic" w:cs="Simplified Arabic"/>
          <w:b/>
          <w:bCs/>
          <w:sz w:val="24"/>
          <w:szCs w:val="24"/>
        </w:rPr>
        <w:t xml:space="preserve"> (3-10)</w:t>
      </w:r>
    </w:p>
    <w:p w14:paraId="2552BF22"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مؤشرات قياس متغيرات الدراسة</w:t>
      </w:r>
    </w:p>
    <w:tbl>
      <w:tblPr>
        <w:tblStyle w:val="TableGridLight"/>
        <w:bidiVisual/>
        <w:tblW w:w="0" w:type="auto"/>
        <w:jc w:val="center"/>
        <w:tblLook w:val="04A0" w:firstRow="1" w:lastRow="0" w:firstColumn="1" w:lastColumn="0" w:noHBand="0" w:noVBand="1"/>
      </w:tblPr>
      <w:tblGrid>
        <w:gridCol w:w="2970"/>
        <w:gridCol w:w="1794"/>
        <w:gridCol w:w="3532"/>
      </w:tblGrid>
      <w:tr w:rsidR="001A3ABE" w:rsidRPr="003C40F2" w14:paraId="610045DA" w14:textId="77777777" w:rsidTr="002A28C6">
        <w:trPr>
          <w:jc w:val="center"/>
        </w:trPr>
        <w:tc>
          <w:tcPr>
            <w:tcW w:w="0" w:type="auto"/>
            <w:vAlign w:val="center"/>
            <w:hideMark/>
          </w:tcPr>
          <w:p w14:paraId="727B3AAA"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المتغير</w:t>
            </w:r>
          </w:p>
        </w:tc>
        <w:tc>
          <w:tcPr>
            <w:tcW w:w="0" w:type="auto"/>
            <w:vAlign w:val="center"/>
            <w:hideMark/>
          </w:tcPr>
          <w:p w14:paraId="7C867840"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البعد</w:t>
            </w:r>
          </w:p>
        </w:tc>
        <w:tc>
          <w:tcPr>
            <w:tcW w:w="0" w:type="auto"/>
            <w:vAlign w:val="center"/>
            <w:hideMark/>
          </w:tcPr>
          <w:p w14:paraId="4DC0300D"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أمثلة على مؤشرات القياس</w:t>
            </w:r>
          </w:p>
        </w:tc>
      </w:tr>
      <w:tr w:rsidR="001A3ABE" w:rsidRPr="003C40F2" w14:paraId="79CC0203" w14:textId="77777777" w:rsidTr="002A28C6">
        <w:trPr>
          <w:jc w:val="center"/>
        </w:trPr>
        <w:tc>
          <w:tcPr>
            <w:tcW w:w="0" w:type="auto"/>
            <w:vMerge w:val="restart"/>
            <w:vAlign w:val="center"/>
            <w:hideMark/>
          </w:tcPr>
          <w:p w14:paraId="6284A1F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الشراكات بين القطاعين العام والخاص</w:t>
            </w:r>
          </w:p>
        </w:tc>
        <w:tc>
          <w:tcPr>
            <w:tcW w:w="0" w:type="auto"/>
            <w:vAlign w:val="center"/>
            <w:hideMark/>
          </w:tcPr>
          <w:p w14:paraId="1545B46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ا-لإطار التشريعي</w:t>
            </w:r>
          </w:p>
        </w:tc>
        <w:tc>
          <w:tcPr>
            <w:tcW w:w="0" w:type="auto"/>
            <w:vAlign w:val="center"/>
            <w:hideMark/>
          </w:tcPr>
          <w:p w14:paraId="2E25C38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وضوح الأنظمة والتشريعات المنظمة للشراكات</w:t>
            </w:r>
          </w:p>
        </w:tc>
      </w:tr>
      <w:tr w:rsidR="001A3ABE" w:rsidRPr="003C40F2" w14:paraId="49E67DB3" w14:textId="77777777" w:rsidTr="002A28C6">
        <w:trPr>
          <w:jc w:val="center"/>
        </w:trPr>
        <w:tc>
          <w:tcPr>
            <w:tcW w:w="0" w:type="auto"/>
            <w:vMerge/>
            <w:vAlign w:val="center"/>
            <w:hideMark/>
          </w:tcPr>
          <w:p w14:paraId="22762EB8" w14:textId="77777777" w:rsidR="001A3ABE" w:rsidRPr="003C40F2" w:rsidRDefault="001A3ABE" w:rsidP="002A28C6">
            <w:pPr>
              <w:bidi/>
              <w:jc w:val="center"/>
              <w:rPr>
                <w:rFonts w:ascii="Simplified Arabic" w:hAnsi="Simplified Arabic" w:cs="Simplified Arabic"/>
                <w:sz w:val="24"/>
                <w:szCs w:val="24"/>
              </w:rPr>
            </w:pPr>
          </w:p>
        </w:tc>
        <w:tc>
          <w:tcPr>
            <w:tcW w:w="0" w:type="auto"/>
            <w:vAlign w:val="center"/>
            <w:hideMark/>
          </w:tcPr>
          <w:p w14:paraId="2AEB059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توزيع الأدوار</w:t>
            </w:r>
          </w:p>
        </w:tc>
        <w:tc>
          <w:tcPr>
            <w:tcW w:w="0" w:type="auto"/>
            <w:vAlign w:val="center"/>
            <w:hideMark/>
          </w:tcPr>
          <w:p w14:paraId="1543176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وضوح المسؤوليات بين الشركاء</w:t>
            </w:r>
          </w:p>
        </w:tc>
      </w:tr>
      <w:tr w:rsidR="001A3ABE" w:rsidRPr="003C40F2" w14:paraId="566F5F68" w14:textId="77777777" w:rsidTr="002A28C6">
        <w:trPr>
          <w:jc w:val="center"/>
        </w:trPr>
        <w:tc>
          <w:tcPr>
            <w:tcW w:w="0" w:type="auto"/>
            <w:vMerge/>
            <w:vAlign w:val="center"/>
            <w:hideMark/>
          </w:tcPr>
          <w:p w14:paraId="2A711259" w14:textId="77777777" w:rsidR="001A3ABE" w:rsidRPr="003C40F2" w:rsidRDefault="001A3ABE" w:rsidP="002A28C6">
            <w:pPr>
              <w:bidi/>
              <w:jc w:val="center"/>
              <w:rPr>
                <w:rFonts w:ascii="Simplified Arabic" w:hAnsi="Simplified Arabic" w:cs="Simplified Arabic"/>
                <w:sz w:val="24"/>
                <w:szCs w:val="24"/>
              </w:rPr>
            </w:pPr>
          </w:p>
        </w:tc>
        <w:tc>
          <w:tcPr>
            <w:tcW w:w="0" w:type="auto"/>
            <w:vAlign w:val="center"/>
            <w:hideMark/>
          </w:tcPr>
          <w:p w14:paraId="4ED99D6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التنسيق</w:t>
            </w:r>
          </w:p>
        </w:tc>
        <w:tc>
          <w:tcPr>
            <w:tcW w:w="0" w:type="auto"/>
            <w:vAlign w:val="center"/>
            <w:hideMark/>
          </w:tcPr>
          <w:p w14:paraId="0D782D5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سرعة تبادل المعلومات بين الجهات</w:t>
            </w:r>
          </w:p>
        </w:tc>
      </w:tr>
      <w:tr w:rsidR="001A3ABE" w:rsidRPr="003C40F2" w14:paraId="7015BB3A" w14:textId="77777777" w:rsidTr="002A28C6">
        <w:trPr>
          <w:jc w:val="center"/>
        </w:trPr>
        <w:tc>
          <w:tcPr>
            <w:tcW w:w="0" w:type="auto"/>
            <w:vMerge/>
            <w:vAlign w:val="center"/>
            <w:hideMark/>
          </w:tcPr>
          <w:p w14:paraId="09ABF09A" w14:textId="77777777" w:rsidR="001A3ABE" w:rsidRPr="003C40F2" w:rsidRDefault="001A3ABE" w:rsidP="002A28C6">
            <w:pPr>
              <w:bidi/>
              <w:jc w:val="center"/>
              <w:rPr>
                <w:rFonts w:ascii="Simplified Arabic" w:hAnsi="Simplified Arabic" w:cs="Simplified Arabic"/>
                <w:sz w:val="24"/>
                <w:szCs w:val="24"/>
              </w:rPr>
            </w:pPr>
          </w:p>
        </w:tc>
        <w:tc>
          <w:tcPr>
            <w:tcW w:w="0" w:type="auto"/>
            <w:vAlign w:val="center"/>
            <w:hideMark/>
          </w:tcPr>
          <w:p w14:paraId="2439F2E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إدارة الموارد</w:t>
            </w:r>
          </w:p>
        </w:tc>
        <w:tc>
          <w:tcPr>
            <w:tcW w:w="0" w:type="auto"/>
            <w:vAlign w:val="center"/>
            <w:hideMark/>
          </w:tcPr>
          <w:p w14:paraId="5E2943AA"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كفاءة استغلال الموارد المالية والبشرية</w:t>
            </w:r>
          </w:p>
        </w:tc>
      </w:tr>
      <w:tr w:rsidR="001A3ABE" w:rsidRPr="003C40F2" w14:paraId="10C2E887" w14:textId="77777777" w:rsidTr="002A28C6">
        <w:trPr>
          <w:jc w:val="center"/>
        </w:trPr>
        <w:tc>
          <w:tcPr>
            <w:tcW w:w="0" w:type="auto"/>
            <w:vMerge/>
            <w:vAlign w:val="center"/>
            <w:hideMark/>
          </w:tcPr>
          <w:p w14:paraId="0CBCA48C" w14:textId="77777777" w:rsidR="001A3ABE" w:rsidRPr="003C40F2" w:rsidRDefault="001A3ABE" w:rsidP="002A28C6">
            <w:pPr>
              <w:bidi/>
              <w:jc w:val="center"/>
              <w:rPr>
                <w:rFonts w:ascii="Simplified Arabic" w:hAnsi="Simplified Arabic" w:cs="Simplified Arabic"/>
                <w:sz w:val="24"/>
                <w:szCs w:val="24"/>
              </w:rPr>
            </w:pPr>
          </w:p>
        </w:tc>
        <w:tc>
          <w:tcPr>
            <w:tcW w:w="0" w:type="auto"/>
            <w:vAlign w:val="center"/>
            <w:hideMark/>
          </w:tcPr>
          <w:p w14:paraId="3C0147BB"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الرقابة وإدارة المخاطر</w:t>
            </w:r>
          </w:p>
        </w:tc>
        <w:tc>
          <w:tcPr>
            <w:tcW w:w="0" w:type="auto"/>
            <w:vAlign w:val="center"/>
            <w:hideMark/>
          </w:tcPr>
          <w:p w14:paraId="1829A59B"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فعالية الرقابة وإدارة المخاطر المشتركة</w:t>
            </w:r>
          </w:p>
        </w:tc>
      </w:tr>
      <w:tr w:rsidR="001A3ABE" w:rsidRPr="003C40F2" w14:paraId="2A5C6DC5" w14:textId="77777777" w:rsidTr="002A28C6">
        <w:trPr>
          <w:jc w:val="center"/>
        </w:trPr>
        <w:tc>
          <w:tcPr>
            <w:tcW w:w="0" w:type="auto"/>
            <w:vMerge w:val="restart"/>
            <w:vAlign w:val="center"/>
            <w:hideMark/>
          </w:tcPr>
          <w:p w14:paraId="205F45E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الحوكمة البيئية وإدارة الأداء</w:t>
            </w:r>
          </w:p>
        </w:tc>
        <w:tc>
          <w:tcPr>
            <w:tcW w:w="0" w:type="auto"/>
            <w:vAlign w:val="center"/>
            <w:hideMark/>
          </w:tcPr>
          <w:p w14:paraId="0208A37B"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الكفاءة التشغيلية</w:t>
            </w:r>
          </w:p>
        </w:tc>
        <w:tc>
          <w:tcPr>
            <w:tcW w:w="0" w:type="auto"/>
            <w:vAlign w:val="center"/>
            <w:hideMark/>
          </w:tcPr>
          <w:p w14:paraId="207457E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سرعة تنفيذ أعمال التفتيش البيئي</w:t>
            </w:r>
          </w:p>
        </w:tc>
      </w:tr>
      <w:tr w:rsidR="001A3ABE" w:rsidRPr="003C40F2" w14:paraId="032458CE" w14:textId="77777777" w:rsidTr="002A28C6">
        <w:trPr>
          <w:jc w:val="center"/>
        </w:trPr>
        <w:tc>
          <w:tcPr>
            <w:tcW w:w="0" w:type="auto"/>
            <w:vMerge/>
            <w:vAlign w:val="center"/>
            <w:hideMark/>
          </w:tcPr>
          <w:p w14:paraId="36EBE1EE" w14:textId="77777777" w:rsidR="001A3ABE" w:rsidRPr="003C40F2" w:rsidRDefault="001A3ABE" w:rsidP="002A28C6">
            <w:pPr>
              <w:bidi/>
              <w:jc w:val="center"/>
              <w:rPr>
                <w:rFonts w:ascii="Simplified Arabic" w:hAnsi="Simplified Arabic" w:cs="Simplified Arabic"/>
                <w:sz w:val="24"/>
                <w:szCs w:val="24"/>
              </w:rPr>
            </w:pPr>
          </w:p>
        </w:tc>
        <w:tc>
          <w:tcPr>
            <w:tcW w:w="0" w:type="auto"/>
            <w:vAlign w:val="center"/>
            <w:hideMark/>
          </w:tcPr>
          <w:p w14:paraId="12472641"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جودة الرقابة</w:t>
            </w:r>
          </w:p>
        </w:tc>
        <w:tc>
          <w:tcPr>
            <w:tcW w:w="0" w:type="auto"/>
            <w:vAlign w:val="center"/>
            <w:hideMark/>
          </w:tcPr>
          <w:p w14:paraId="4E93475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الالتزام بالاشتراطات البيئية</w:t>
            </w:r>
          </w:p>
        </w:tc>
      </w:tr>
      <w:tr w:rsidR="001A3ABE" w:rsidRPr="003C40F2" w14:paraId="1607794E" w14:textId="77777777" w:rsidTr="002A28C6">
        <w:trPr>
          <w:jc w:val="center"/>
        </w:trPr>
        <w:tc>
          <w:tcPr>
            <w:tcW w:w="0" w:type="auto"/>
            <w:vMerge/>
            <w:vAlign w:val="center"/>
            <w:hideMark/>
          </w:tcPr>
          <w:p w14:paraId="246F90E8" w14:textId="77777777" w:rsidR="001A3ABE" w:rsidRPr="003C40F2" w:rsidRDefault="001A3ABE" w:rsidP="002A28C6">
            <w:pPr>
              <w:bidi/>
              <w:jc w:val="center"/>
              <w:rPr>
                <w:rFonts w:ascii="Simplified Arabic" w:hAnsi="Simplified Arabic" w:cs="Simplified Arabic"/>
                <w:sz w:val="24"/>
                <w:szCs w:val="24"/>
              </w:rPr>
            </w:pPr>
          </w:p>
        </w:tc>
        <w:tc>
          <w:tcPr>
            <w:tcW w:w="0" w:type="auto"/>
            <w:vAlign w:val="center"/>
            <w:hideMark/>
          </w:tcPr>
          <w:p w14:paraId="6716E55B"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الشفافية</w:t>
            </w:r>
          </w:p>
        </w:tc>
        <w:tc>
          <w:tcPr>
            <w:tcW w:w="0" w:type="auto"/>
            <w:vAlign w:val="center"/>
            <w:hideMark/>
          </w:tcPr>
          <w:p w14:paraId="7469B311"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وضوح إجراءات التفتيش والإفصاح</w:t>
            </w:r>
          </w:p>
        </w:tc>
      </w:tr>
      <w:tr w:rsidR="001A3ABE" w:rsidRPr="003C40F2" w14:paraId="5E1733AE" w14:textId="77777777" w:rsidTr="002A28C6">
        <w:trPr>
          <w:jc w:val="center"/>
        </w:trPr>
        <w:tc>
          <w:tcPr>
            <w:tcW w:w="0" w:type="auto"/>
            <w:vMerge/>
            <w:vAlign w:val="center"/>
            <w:hideMark/>
          </w:tcPr>
          <w:p w14:paraId="37C56EFE" w14:textId="77777777" w:rsidR="001A3ABE" w:rsidRPr="003C40F2" w:rsidRDefault="001A3ABE" w:rsidP="002A28C6">
            <w:pPr>
              <w:bidi/>
              <w:jc w:val="center"/>
              <w:rPr>
                <w:rFonts w:ascii="Simplified Arabic" w:hAnsi="Simplified Arabic" w:cs="Simplified Arabic"/>
                <w:sz w:val="24"/>
                <w:szCs w:val="24"/>
              </w:rPr>
            </w:pPr>
          </w:p>
        </w:tc>
        <w:tc>
          <w:tcPr>
            <w:tcW w:w="0" w:type="auto"/>
            <w:vAlign w:val="center"/>
            <w:hideMark/>
          </w:tcPr>
          <w:p w14:paraId="2C3FCEF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تحسين الأداء</w:t>
            </w:r>
          </w:p>
        </w:tc>
        <w:tc>
          <w:tcPr>
            <w:tcW w:w="0" w:type="auto"/>
            <w:vAlign w:val="center"/>
            <w:hideMark/>
          </w:tcPr>
          <w:p w14:paraId="26F347D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التحسين المستمر للأداء البيئي</w:t>
            </w:r>
          </w:p>
        </w:tc>
      </w:tr>
      <w:tr w:rsidR="001A3ABE" w:rsidRPr="003C40F2" w14:paraId="55A897B5" w14:textId="77777777" w:rsidTr="002A28C6">
        <w:trPr>
          <w:jc w:val="center"/>
        </w:trPr>
        <w:tc>
          <w:tcPr>
            <w:tcW w:w="0" w:type="auto"/>
            <w:vMerge/>
            <w:vAlign w:val="center"/>
            <w:hideMark/>
          </w:tcPr>
          <w:p w14:paraId="3B2685BC" w14:textId="77777777" w:rsidR="001A3ABE" w:rsidRPr="003C40F2" w:rsidRDefault="001A3ABE" w:rsidP="002A28C6">
            <w:pPr>
              <w:bidi/>
              <w:jc w:val="center"/>
              <w:rPr>
                <w:rFonts w:ascii="Simplified Arabic" w:hAnsi="Simplified Arabic" w:cs="Simplified Arabic"/>
                <w:sz w:val="24"/>
                <w:szCs w:val="24"/>
              </w:rPr>
            </w:pPr>
          </w:p>
        </w:tc>
        <w:tc>
          <w:tcPr>
            <w:tcW w:w="0" w:type="auto"/>
            <w:vAlign w:val="center"/>
            <w:hideMark/>
          </w:tcPr>
          <w:p w14:paraId="4FE549D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الاستدامة</w:t>
            </w:r>
          </w:p>
        </w:tc>
        <w:tc>
          <w:tcPr>
            <w:tcW w:w="0" w:type="auto"/>
            <w:vAlign w:val="center"/>
            <w:hideMark/>
          </w:tcPr>
          <w:p w14:paraId="2A4FE247"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استدامة عمليات التطوير والتحسين</w:t>
            </w:r>
          </w:p>
        </w:tc>
      </w:tr>
    </w:tbl>
    <w:p w14:paraId="0B06ED1A" w14:textId="0CA6914E" w:rsidR="00434F06" w:rsidRDefault="001A3ABE" w:rsidP="00434F06">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p>
    <w:p w14:paraId="1A1E9772" w14:textId="54A7E7D0" w:rsidR="00A204CB" w:rsidRPr="003C40F2" w:rsidRDefault="00434F06" w:rsidP="00434F06">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001A3ABE" w:rsidRPr="003C40F2">
        <w:rPr>
          <w:rFonts w:ascii="Simplified Arabic" w:hAnsi="Simplified Arabic" w:cs="Simplified Arabic"/>
          <w:b/>
          <w:bCs/>
          <w:sz w:val="24"/>
          <w:szCs w:val="24"/>
        </w:rPr>
        <w:t xml:space="preserve">3.18 </w:t>
      </w:r>
      <w:r w:rsidR="001A3ABE" w:rsidRPr="003C40F2">
        <w:rPr>
          <w:rFonts w:ascii="Simplified Arabic" w:hAnsi="Simplified Arabic" w:cs="Simplified Arabic"/>
          <w:b/>
          <w:bCs/>
          <w:sz w:val="24"/>
          <w:szCs w:val="24"/>
          <w:rtl/>
        </w:rPr>
        <w:t>خطة تحليل البيانات</w:t>
      </w:r>
    </w:p>
    <w:p w14:paraId="494A9EF6" w14:textId="77777777" w:rsidR="001A3ABE"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بعد الانتهاء من جمع البيانات، سيتم مراجعة الاستبانات وترميزها وإدخالها إلى برنامج التحليل الإحصائي، ثم إجراء التحليلات المناسبة للإجابة عن أسئلة الدراسة واختبار فرضياتها. كما سيتم تحليل البيانات الثانوية الواردة في التقارير والوثائق الرسمية من خلال التحليل الوصفي والمقارنة بينها وبين نتائج الدراسة الميدانية، بما يسهم في تفسير النتائج وبناء النموذج المقترح</w:t>
      </w:r>
      <w:r w:rsidRPr="003C40F2">
        <w:rPr>
          <w:rFonts w:ascii="Simplified Arabic" w:hAnsi="Simplified Arabic" w:cs="Simplified Arabic"/>
          <w:sz w:val="24"/>
          <w:szCs w:val="24"/>
        </w:rPr>
        <w:t>.</w:t>
      </w:r>
    </w:p>
    <w:p w14:paraId="267DE508" w14:textId="77777777" w:rsidR="00434F06" w:rsidRDefault="00434F06" w:rsidP="00434F06">
      <w:pPr>
        <w:bidi/>
        <w:spacing w:line="240" w:lineRule="auto"/>
        <w:jc w:val="lowKashida"/>
        <w:rPr>
          <w:rFonts w:ascii="Simplified Arabic" w:hAnsi="Simplified Arabic" w:cs="Simplified Arabic"/>
          <w:sz w:val="24"/>
          <w:szCs w:val="24"/>
        </w:rPr>
      </w:pPr>
    </w:p>
    <w:p w14:paraId="09912A19" w14:textId="77777777" w:rsidR="00434F06" w:rsidRDefault="00434F06" w:rsidP="00434F06">
      <w:pPr>
        <w:bidi/>
        <w:spacing w:line="240" w:lineRule="auto"/>
        <w:jc w:val="lowKashida"/>
        <w:rPr>
          <w:rFonts w:ascii="Simplified Arabic" w:hAnsi="Simplified Arabic" w:cs="Simplified Arabic"/>
          <w:sz w:val="24"/>
          <w:szCs w:val="24"/>
        </w:rPr>
      </w:pPr>
    </w:p>
    <w:p w14:paraId="67C9CF2F" w14:textId="77777777" w:rsidR="00434F06" w:rsidRDefault="00434F06" w:rsidP="00434F06">
      <w:pPr>
        <w:bidi/>
        <w:spacing w:line="240" w:lineRule="auto"/>
        <w:jc w:val="lowKashida"/>
        <w:rPr>
          <w:rFonts w:ascii="Simplified Arabic" w:hAnsi="Simplified Arabic" w:cs="Simplified Arabic"/>
          <w:sz w:val="24"/>
          <w:szCs w:val="24"/>
        </w:rPr>
      </w:pPr>
    </w:p>
    <w:p w14:paraId="575EFA6E" w14:textId="77777777" w:rsidR="00434F06" w:rsidRPr="003C40F2" w:rsidRDefault="00434F06" w:rsidP="00434F06">
      <w:pPr>
        <w:bidi/>
        <w:spacing w:line="240" w:lineRule="auto"/>
        <w:jc w:val="lowKashida"/>
        <w:rPr>
          <w:rFonts w:ascii="Simplified Arabic" w:hAnsi="Simplified Arabic" w:cs="Simplified Arabic"/>
          <w:sz w:val="24"/>
          <w:szCs w:val="24"/>
        </w:rPr>
      </w:pPr>
    </w:p>
    <w:p w14:paraId="4EC111F7"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lastRenderedPageBreak/>
        <w:t>جدول</w:t>
      </w:r>
      <w:r w:rsidRPr="003C40F2">
        <w:rPr>
          <w:rFonts w:ascii="Simplified Arabic" w:hAnsi="Simplified Arabic" w:cs="Simplified Arabic"/>
          <w:b/>
          <w:bCs/>
          <w:sz w:val="24"/>
          <w:szCs w:val="24"/>
        </w:rPr>
        <w:t xml:space="preserve"> (3-11)</w:t>
      </w:r>
    </w:p>
    <w:p w14:paraId="5FDB1F53"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خطة تحليل البيانات</w:t>
      </w:r>
    </w:p>
    <w:tbl>
      <w:tblPr>
        <w:tblStyle w:val="TableGridLight"/>
        <w:bidiVisual/>
        <w:tblW w:w="0" w:type="auto"/>
        <w:jc w:val="center"/>
        <w:tblLook w:val="04A0" w:firstRow="1" w:lastRow="0" w:firstColumn="1" w:lastColumn="0" w:noHBand="0" w:noVBand="1"/>
      </w:tblPr>
      <w:tblGrid>
        <w:gridCol w:w="3561"/>
        <w:gridCol w:w="4361"/>
      </w:tblGrid>
      <w:tr w:rsidR="001A3ABE" w:rsidRPr="003C40F2" w14:paraId="759F48C4" w14:textId="77777777" w:rsidTr="002A28C6">
        <w:trPr>
          <w:jc w:val="center"/>
        </w:trPr>
        <w:tc>
          <w:tcPr>
            <w:tcW w:w="0" w:type="auto"/>
            <w:vAlign w:val="center"/>
            <w:hideMark/>
          </w:tcPr>
          <w:p w14:paraId="744D90E3"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الهدف أو الفرضية</w:t>
            </w:r>
          </w:p>
        </w:tc>
        <w:tc>
          <w:tcPr>
            <w:tcW w:w="0" w:type="auto"/>
            <w:vAlign w:val="center"/>
            <w:hideMark/>
          </w:tcPr>
          <w:p w14:paraId="5EBC3738"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الأسلوب الإحصائي</w:t>
            </w:r>
          </w:p>
        </w:tc>
      </w:tr>
      <w:tr w:rsidR="001A3ABE" w:rsidRPr="003C40F2" w14:paraId="0AB9FB83" w14:textId="77777777" w:rsidTr="002A28C6">
        <w:trPr>
          <w:jc w:val="center"/>
        </w:trPr>
        <w:tc>
          <w:tcPr>
            <w:tcW w:w="0" w:type="auto"/>
            <w:vAlign w:val="center"/>
            <w:hideMark/>
          </w:tcPr>
          <w:p w14:paraId="7AB776D8"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وصف خصائص أفراد العينة</w:t>
            </w:r>
          </w:p>
        </w:tc>
        <w:tc>
          <w:tcPr>
            <w:tcW w:w="0" w:type="auto"/>
            <w:vAlign w:val="center"/>
            <w:hideMark/>
          </w:tcPr>
          <w:p w14:paraId="6B572F2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التكرارات والنسب المئوية</w:t>
            </w:r>
          </w:p>
        </w:tc>
      </w:tr>
      <w:tr w:rsidR="001A3ABE" w:rsidRPr="003C40F2" w14:paraId="2FF156CC" w14:textId="77777777" w:rsidTr="002A28C6">
        <w:trPr>
          <w:jc w:val="center"/>
        </w:trPr>
        <w:tc>
          <w:tcPr>
            <w:tcW w:w="0" w:type="auto"/>
            <w:vAlign w:val="center"/>
            <w:hideMark/>
          </w:tcPr>
          <w:p w14:paraId="1BF2978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تحديد مستوى استجابات أفراد العينة</w:t>
            </w:r>
          </w:p>
        </w:tc>
        <w:tc>
          <w:tcPr>
            <w:tcW w:w="0" w:type="auto"/>
            <w:vAlign w:val="center"/>
            <w:hideMark/>
          </w:tcPr>
          <w:p w14:paraId="44ACB039"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المتوسطات الحسابية والانحرافات المعيارية</w:t>
            </w:r>
          </w:p>
        </w:tc>
      </w:tr>
      <w:tr w:rsidR="001A3ABE" w:rsidRPr="003C40F2" w14:paraId="7246A86A" w14:textId="77777777" w:rsidTr="002A28C6">
        <w:trPr>
          <w:jc w:val="center"/>
        </w:trPr>
        <w:tc>
          <w:tcPr>
            <w:tcW w:w="0" w:type="auto"/>
            <w:vAlign w:val="center"/>
            <w:hideMark/>
          </w:tcPr>
          <w:p w14:paraId="589B8CA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التحقق من ثبات الأداة</w:t>
            </w:r>
          </w:p>
        </w:tc>
        <w:tc>
          <w:tcPr>
            <w:tcW w:w="0" w:type="auto"/>
            <w:vAlign w:val="center"/>
            <w:hideMark/>
          </w:tcPr>
          <w:p w14:paraId="626FB384"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معامل ألفا كرونباخ</w:t>
            </w:r>
          </w:p>
        </w:tc>
      </w:tr>
      <w:tr w:rsidR="001A3ABE" w:rsidRPr="003C40F2" w14:paraId="58436E6C" w14:textId="77777777" w:rsidTr="002A28C6">
        <w:trPr>
          <w:jc w:val="center"/>
        </w:trPr>
        <w:tc>
          <w:tcPr>
            <w:tcW w:w="0" w:type="auto"/>
            <w:vAlign w:val="center"/>
            <w:hideMark/>
          </w:tcPr>
          <w:p w14:paraId="1BB7E611"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دراسة العلاقة بين المتغيرات</w:t>
            </w:r>
          </w:p>
        </w:tc>
        <w:tc>
          <w:tcPr>
            <w:tcW w:w="0" w:type="auto"/>
            <w:vAlign w:val="center"/>
            <w:hideMark/>
          </w:tcPr>
          <w:p w14:paraId="7901E1E1"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معامل ارتباط بيرسون</w:t>
            </w:r>
          </w:p>
        </w:tc>
      </w:tr>
      <w:tr w:rsidR="001A3ABE" w:rsidRPr="003C40F2" w14:paraId="528E8AAA" w14:textId="77777777" w:rsidTr="002A28C6">
        <w:trPr>
          <w:jc w:val="center"/>
        </w:trPr>
        <w:tc>
          <w:tcPr>
            <w:tcW w:w="0" w:type="auto"/>
            <w:vAlign w:val="center"/>
            <w:hideMark/>
          </w:tcPr>
          <w:p w14:paraId="2DEFFE7A"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اختبار أثر المتغير المستقل في المتغير التابع</w:t>
            </w:r>
          </w:p>
        </w:tc>
        <w:tc>
          <w:tcPr>
            <w:tcW w:w="0" w:type="auto"/>
            <w:vAlign w:val="center"/>
            <w:hideMark/>
          </w:tcPr>
          <w:p w14:paraId="6B024E9B"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تحليل الانحدار المتعدد</w:t>
            </w:r>
          </w:p>
        </w:tc>
      </w:tr>
      <w:tr w:rsidR="001A3ABE" w:rsidRPr="003C40F2" w14:paraId="00DB603D" w14:textId="77777777" w:rsidTr="002A28C6">
        <w:trPr>
          <w:jc w:val="center"/>
        </w:trPr>
        <w:tc>
          <w:tcPr>
            <w:tcW w:w="0" w:type="auto"/>
            <w:vAlign w:val="center"/>
            <w:hideMark/>
          </w:tcPr>
          <w:p w14:paraId="416A8D6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دراسة الفروق بين أفراد العينة</w:t>
            </w:r>
          </w:p>
        </w:tc>
        <w:tc>
          <w:tcPr>
            <w:tcW w:w="0" w:type="auto"/>
            <w:vAlign w:val="center"/>
            <w:hideMark/>
          </w:tcPr>
          <w:p w14:paraId="2FC05721"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اختبار</w:t>
            </w:r>
            <w:r w:rsidRPr="003C40F2">
              <w:rPr>
                <w:rFonts w:ascii="Simplified Arabic" w:hAnsi="Simplified Arabic" w:cs="Simplified Arabic"/>
                <w:sz w:val="24"/>
                <w:szCs w:val="24"/>
              </w:rPr>
              <w:t xml:space="preserve"> (T-Test) </w:t>
            </w:r>
            <w:r w:rsidRPr="003C40F2">
              <w:rPr>
                <w:rFonts w:ascii="Simplified Arabic" w:hAnsi="Simplified Arabic" w:cs="Simplified Arabic"/>
                <w:sz w:val="24"/>
                <w:szCs w:val="24"/>
                <w:rtl/>
              </w:rPr>
              <w:t>وتحليل التباين الأحادي</w:t>
            </w:r>
            <w:r w:rsidRPr="003C40F2">
              <w:rPr>
                <w:rFonts w:ascii="Simplified Arabic" w:hAnsi="Simplified Arabic" w:cs="Simplified Arabic"/>
                <w:sz w:val="24"/>
                <w:szCs w:val="24"/>
              </w:rPr>
              <w:t xml:space="preserve"> (ANOVA)</w:t>
            </w:r>
          </w:p>
        </w:tc>
      </w:tr>
      <w:tr w:rsidR="001A3ABE" w:rsidRPr="003C40F2" w14:paraId="514C5783" w14:textId="77777777" w:rsidTr="002A28C6">
        <w:trPr>
          <w:jc w:val="center"/>
        </w:trPr>
        <w:tc>
          <w:tcPr>
            <w:tcW w:w="0" w:type="auto"/>
            <w:vAlign w:val="center"/>
            <w:hideMark/>
          </w:tcPr>
          <w:p w14:paraId="7B07B011"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تفسير البيانات الثانوية</w:t>
            </w:r>
          </w:p>
        </w:tc>
        <w:tc>
          <w:tcPr>
            <w:tcW w:w="0" w:type="auto"/>
            <w:vAlign w:val="center"/>
            <w:hideMark/>
          </w:tcPr>
          <w:p w14:paraId="70FA66F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التحليل الوصفي والمقارنة</w:t>
            </w:r>
          </w:p>
        </w:tc>
      </w:tr>
    </w:tbl>
    <w:p w14:paraId="7F493ED2" w14:textId="77777777" w:rsidR="001A3ABE" w:rsidRPr="003C40F2" w:rsidRDefault="001A3ABE" w:rsidP="001A3ABE">
      <w:pPr>
        <w:bidi/>
        <w:spacing w:line="240" w:lineRule="auto"/>
        <w:jc w:val="lowKashida"/>
        <w:rPr>
          <w:rFonts w:ascii="Simplified Arabic" w:hAnsi="Simplified Arabic" w:cs="Simplified Arabic"/>
          <w:sz w:val="24"/>
          <w:szCs w:val="24"/>
        </w:rPr>
      </w:pPr>
    </w:p>
    <w:p w14:paraId="37FC0DB4"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جدول</w:t>
      </w:r>
      <w:r w:rsidRPr="003C40F2">
        <w:rPr>
          <w:rFonts w:ascii="Simplified Arabic" w:hAnsi="Simplified Arabic" w:cs="Simplified Arabic"/>
          <w:b/>
          <w:bCs/>
          <w:sz w:val="24"/>
          <w:szCs w:val="24"/>
        </w:rPr>
        <w:t xml:space="preserve"> (3-12)</w:t>
      </w:r>
    </w:p>
    <w:p w14:paraId="5BA67F57"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مصفوفة الفرضيات والاختبارات الإحصائية</w:t>
      </w:r>
    </w:p>
    <w:tbl>
      <w:tblPr>
        <w:tblStyle w:val="TableGridLight"/>
        <w:tblW w:w="0" w:type="auto"/>
        <w:jc w:val="center"/>
        <w:tblLook w:val="04A0" w:firstRow="1" w:lastRow="0" w:firstColumn="1" w:lastColumn="0" w:noHBand="0" w:noVBand="1"/>
      </w:tblPr>
      <w:tblGrid>
        <w:gridCol w:w="1904"/>
        <w:gridCol w:w="2798"/>
        <w:gridCol w:w="2077"/>
        <w:gridCol w:w="1500"/>
      </w:tblGrid>
      <w:tr w:rsidR="001A3ABE" w:rsidRPr="00434F06" w14:paraId="2BEC27B8" w14:textId="77777777" w:rsidTr="002A28C6">
        <w:trPr>
          <w:jc w:val="center"/>
        </w:trPr>
        <w:tc>
          <w:tcPr>
            <w:tcW w:w="0" w:type="auto"/>
            <w:vAlign w:val="center"/>
            <w:hideMark/>
          </w:tcPr>
          <w:p w14:paraId="1D701B5A" w14:textId="77777777" w:rsidR="001A3ABE" w:rsidRPr="00434F06" w:rsidRDefault="001A3ABE" w:rsidP="002A28C6">
            <w:pPr>
              <w:bidi/>
              <w:jc w:val="center"/>
              <w:rPr>
                <w:rFonts w:ascii="Simplified Arabic" w:hAnsi="Simplified Arabic" w:cs="Simplified Arabic"/>
                <w:b/>
                <w:bCs/>
              </w:rPr>
            </w:pPr>
            <w:r w:rsidRPr="00434F06">
              <w:rPr>
                <w:rFonts w:ascii="Simplified Arabic" w:hAnsi="Simplified Arabic" w:cs="Simplified Arabic"/>
                <w:b/>
                <w:bCs/>
                <w:rtl/>
              </w:rPr>
              <w:t>الفرضية</w:t>
            </w:r>
          </w:p>
        </w:tc>
        <w:tc>
          <w:tcPr>
            <w:tcW w:w="0" w:type="auto"/>
            <w:vAlign w:val="center"/>
            <w:hideMark/>
          </w:tcPr>
          <w:p w14:paraId="70D61100" w14:textId="77777777" w:rsidR="001A3ABE" w:rsidRPr="00434F06" w:rsidRDefault="001A3ABE" w:rsidP="002A28C6">
            <w:pPr>
              <w:bidi/>
              <w:jc w:val="center"/>
              <w:rPr>
                <w:rFonts w:ascii="Simplified Arabic" w:hAnsi="Simplified Arabic" w:cs="Simplified Arabic"/>
                <w:b/>
                <w:bCs/>
              </w:rPr>
            </w:pPr>
            <w:r w:rsidRPr="00434F06">
              <w:rPr>
                <w:rFonts w:ascii="Simplified Arabic" w:hAnsi="Simplified Arabic" w:cs="Simplified Arabic"/>
                <w:b/>
                <w:bCs/>
                <w:rtl/>
              </w:rPr>
              <w:t>المتغير المستقل</w:t>
            </w:r>
          </w:p>
        </w:tc>
        <w:tc>
          <w:tcPr>
            <w:tcW w:w="0" w:type="auto"/>
            <w:vAlign w:val="center"/>
            <w:hideMark/>
          </w:tcPr>
          <w:p w14:paraId="5F572DE0" w14:textId="77777777" w:rsidR="001A3ABE" w:rsidRPr="00434F06" w:rsidRDefault="001A3ABE" w:rsidP="002A28C6">
            <w:pPr>
              <w:bidi/>
              <w:jc w:val="center"/>
              <w:rPr>
                <w:rFonts w:ascii="Simplified Arabic" w:hAnsi="Simplified Arabic" w:cs="Simplified Arabic"/>
                <w:b/>
                <w:bCs/>
              </w:rPr>
            </w:pPr>
            <w:r w:rsidRPr="00434F06">
              <w:rPr>
                <w:rFonts w:ascii="Simplified Arabic" w:hAnsi="Simplified Arabic" w:cs="Simplified Arabic"/>
                <w:b/>
                <w:bCs/>
                <w:rtl/>
              </w:rPr>
              <w:t>المتغير التابع</w:t>
            </w:r>
          </w:p>
        </w:tc>
        <w:tc>
          <w:tcPr>
            <w:tcW w:w="0" w:type="auto"/>
            <w:vAlign w:val="center"/>
            <w:hideMark/>
          </w:tcPr>
          <w:p w14:paraId="2E87D466" w14:textId="77777777" w:rsidR="001A3ABE" w:rsidRPr="00434F06" w:rsidRDefault="001A3ABE" w:rsidP="002A28C6">
            <w:pPr>
              <w:bidi/>
              <w:jc w:val="center"/>
              <w:rPr>
                <w:rFonts w:ascii="Simplified Arabic" w:hAnsi="Simplified Arabic" w:cs="Simplified Arabic"/>
                <w:b/>
                <w:bCs/>
              </w:rPr>
            </w:pPr>
            <w:r w:rsidRPr="00434F06">
              <w:rPr>
                <w:rFonts w:ascii="Simplified Arabic" w:hAnsi="Simplified Arabic" w:cs="Simplified Arabic"/>
                <w:b/>
                <w:bCs/>
                <w:rtl/>
              </w:rPr>
              <w:t>الاختبار الإحصائي</w:t>
            </w:r>
          </w:p>
        </w:tc>
      </w:tr>
      <w:tr w:rsidR="001A3ABE" w:rsidRPr="00434F06" w14:paraId="249702FB" w14:textId="77777777" w:rsidTr="002A28C6">
        <w:trPr>
          <w:jc w:val="center"/>
        </w:trPr>
        <w:tc>
          <w:tcPr>
            <w:tcW w:w="0" w:type="auto"/>
            <w:vAlign w:val="center"/>
            <w:hideMark/>
          </w:tcPr>
          <w:p w14:paraId="1DBC8F71"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الفرضية الرئيسة</w:t>
            </w:r>
          </w:p>
        </w:tc>
        <w:tc>
          <w:tcPr>
            <w:tcW w:w="0" w:type="auto"/>
            <w:vAlign w:val="center"/>
            <w:hideMark/>
          </w:tcPr>
          <w:p w14:paraId="65D7B478"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الشراكات بين القطاعين العام والخاص</w:t>
            </w:r>
          </w:p>
        </w:tc>
        <w:tc>
          <w:tcPr>
            <w:tcW w:w="0" w:type="auto"/>
            <w:vAlign w:val="center"/>
            <w:hideMark/>
          </w:tcPr>
          <w:p w14:paraId="1F33584E"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0FCF73B8"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r w:rsidR="001A3ABE" w:rsidRPr="00434F06" w14:paraId="039770D5" w14:textId="77777777" w:rsidTr="002A28C6">
        <w:trPr>
          <w:jc w:val="center"/>
        </w:trPr>
        <w:tc>
          <w:tcPr>
            <w:tcW w:w="0" w:type="auto"/>
            <w:vAlign w:val="center"/>
            <w:hideMark/>
          </w:tcPr>
          <w:p w14:paraId="505A264F"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الفرضية الفرعية الأولى</w:t>
            </w:r>
          </w:p>
        </w:tc>
        <w:tc>
          <w:tcPr>
            <w:tcW w:w="0" w:type="auto"/>
            <w:vAlign w:val="center"/>
            <w:hideMark/>
          </w:tcPr>
          <w:p w14:paraId="2D7C7759"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الإطار التشريعي</w:t>
            </w:r>
          </w:p>
        </w:tc>
        <w:tc>
          <w:tcPr>
            <w:tcW w:w="0" w:type="auto"/>
            <w:vAlign w:val="center"/>
            <w:hideMark/>
          </w:tcPr>
          <w:p w14:paraId="1AFB5239"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368E13B9"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r w:rsidR="001A3ABE" w:rsidRPr="00434F06" w14:paraId="253E9CA0" w14:textId="77777777" w:rsidTr="002A28C6">
        <w:trPr>
          <w:jc w:val="center"/>
        </w:trPr>
        <w:tc>
          <w:tcPr>
            <w:tcW w:w="0" w:type="auto"/>
            <w:vAlign w:val="center"/>
            <w:hideMark/>
          </w:tcPr>
          <w:p w14:paraId="63D05FF0"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الفرضية الفرعية الثانية</w:t>
            </w:r>
          </w:p>
        </w:tc>
        <w:tc>
          <w:tcPr>
            <w:tcW w:w="0" w:type="auto"/>
            <w:vAlign w:val="center"/>
            <w:hideMark/>
          </w:tcPr>
          <w:p w14:paraId="4BFD5BBE"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توزيع الأدوار</w:t>
            </w:r>
          </w:p>
        </w:tc>
        <w:tc>
          <w:tcPr>
            <w:tcW w:w="0" w:type="auto"/>
            <w:vAlign w:val="center"/>
            <w:hideMark/>
          </w:tcPr>
          <w:p w14:paraId="51B574E5"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39524C1C"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r w:rsidR="001A3ABE" w:rsidRPr="00434F06" w14:paraId="425863E5" w14:textId="77777777" w:rsidTr="002A28C6">
        <w:trPr>
          <w:jc w:val="center"/>
        </w:trPr>
        <w:tc>
          <w:tcPr>
            <w:tcW w:w="0" w:type="auto"/>
            <w:vAlign w:val="center"/>
            <w:hideMark/>
          </w:tcPr>
          <w:p w14:paraId="6E0B606B"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الفرضية الفرعية الثالثة</w:t>
            </w:r>
          </w:p>
        </w:tc>
        <w:tc>
          <w:tcPr>
            <w:tcW w:w="0" w:type="auto"/>
            <w:vAlign w:val="center"/>
            <w:hideMark/>
          </w:tcPr>
          <w:p w14:paraId="457ECED9"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التنسيق وتبادل المعلومات</w:t>
            </w:r>
          </w:p>
        </w:tc>
        <w:tc>
          <w:tcPr>
            <w:tcW w:w="0" w:type="auto"/>
            <w:vAlign w:val="center"/>
            <w:hideMark/>
          </w:tcPr>
          <w:p w14:paraId="2CD23CEA"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1877ADEF"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r w:rsidR="001A3ABE" w:rsidRPr="00434F06" w14:paraId="082BE10F" w14:textId="77777777" w:rsidTr="002A28C6">
        <w:trPr>
          <w:jc w:val="center"/>
        </w:trPr>
        <w:tc>
          <w:tcPr>
            <w:tcW w:w="0" w:type="auto"/>
            <w:vAlign w:val="center"/>
            <w:hideMark/>
          </w:tcPr>
          <w:p w14:paraId="53FD1943"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الفرضية الفرعية الرابعة</w:t>
            </w:r>
          </w:p>
        </w:tc>
        <w:tc>
          <w:tcPr>
            <w:tcW w:w="0" w:type="auto"/>
            <w:vAlign w:val="center"/>
            <w:hideMark/>
          </w:tcPr>
          <w:p w14:paraId="2FBF0DB6"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إدارة الموارد والتمويل</w:t>
            </w:r>
          </w:p>
        </w:tc>
        <w:tc>
          <w:tcPr>
            <w:tcW w:w="0" w:type="auto"/>
            <w:vAlign w:val="center"/>
            <w:hideMark/>
          </w:tcPr>
          <w:p w14:paraId="4F7DC7F2"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276C7E09"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r w:rsidR="001A3ABE" w:rsidRPr="00434F06" w14:paraId="5DD03EF5" w14:textId="77777777" w:rsidTr="002A28C6">
        <w:trPr>
          <w:jc w:val="center"/>
        </w:trPr>
        <w:tc>
          <w:tcPr>
            <w:tcW w:w="0" w:type="auto"/>
            <w:vAlign w:val="center"/>
            <w:hideMark/>
          </w:tcPr>
          <w:p w14:paraId="1665C25C"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الفرضية الفرعية الخامسة</w:t>
            </w:r>
          </w:p>
        </w:tc>
        <w:tc>
          <w:tcPr>
            <w:tcW w:w="0" w:type="auto"/>
            <w:vAlign w:val="center"/>
            <w:hideMark/>
          </w:tcPr>
          <w:p w14:paraId="58DE08F4"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الرقابة وإدارة المخاطر</w:t>
            </w:r>
          </w:p>
        </w:tc>
        <w:tc>
          <w:tcPr>
            <w:tcW w:w="0" w:type="auto"/>
            <w:vAlign w:val="center"/>
            <w:hideMark/>
          </w:tcPr>
          <w:p w14:paraId="590A680F"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7F46E51B"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bl>
    <w:p w14:paraId="7DBA2752" w14:textId="77777777" w:rsidR="00434F06" w:rsidRDefault="00434F06" w:rsidP="00434F06">
      <w:pPr>
        <w:bidi/>
        <w:spacing w:line="240" w:lineRule="auto"/>
        <w:jc w:val="lowKashida"/>
        <w:rPr>
          <w:rFonts w:ascii="Simplified Arabic" w:hAnsi="Simplified Arabic" w:cs="Simplified Arabic"/>
          <w:b/>
          <w:bCs/>
          <w:sz w:val="24"/>
          <w:szCs w:val="24"/>
        </w:rPr>
      </w:pPr>
    </w:p>
    <w:p w14:paraId="72B62B65" w14:textId="77777777" w:rsidR="00434F06" w:rsidRDefault="00434F06" w:rsidP="00434F06">
      <w:pPr>
        <w:bidi/>
        <w:spacing w:line="240" w:lineRule="auto"/>
        <w:jc w:val="lowKashida"/>
        <w:rPr>
          <w:rFonts w:ascii="Simplified Arabic" w:hAnsi="Simplified Arabic" w:cs="Simplified Arabic"/>
          <w:b/>
          <w:bCs/>
          <w:sz w:val="24"/>
          <w:szCs w:val="24"/>
        </w:rPr>
      </w:pPr>
    </w:p>
    <w:p w14:paraId="43D2F02E" w14:textId="77777777" w:rsidR="00434F06" w:rsidRDefault="00434F06" w:rsidP="00434F06">
      <w:pPr>
        <w:bidi/>
        <w:spacing w:line="240" w:lineRule="auto"/>
        <w:jc w:val="lowKashida"/>
        <w:rPr>
          <w:rFonts w:ascii="Simplified Arabic" w:hAnsi="Simplified Arabic" w:cs="Simplified Arabic"/>
          <w:b/>
          <w:bCs/>
          <w:sz w:val="24"/>
          <w:szCs w:val="24"/>
        </w:rPr>
      </w:pPr>
    </w:p>
    <w:p w14:paraId="6A0B9782" w14:textId="77777777" w:rsidR="00434F06" w:rsidRDefault="00434F06" w:rsidP="00434F06">
      <w:pPr>
        <w:bidi/>
        <w:spacing w:line="240" w:lineRule="auto"/>
        <w:jc w:val="lowKashida"/>
        <w:rPr>
          <w:rFonts w:ascii="Simplified Arabic" w:hAnsi="Simplified Arabic" w:cs="Simplified Arabic"/>
          <w:b/>
          <w:bCs/>
          <w:sz w:val="24"/>
          <w:szCs w:val="24"/>
        </w:rPr>
      </w:pPr>
    </w:p>
    <w:p w14:paraId="190C2A7A" w14:textId="0E54E616" w:rsidR="001A3ABE" w:rsidRPr="003C40F2" w:rsidRDefault="001A3ABE" w:rsidP="00434F06">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lastRenderedPageBreak/>
        <w:t xml:space="preserve"> </w:t>
      </w:r>
      <w:r w:rsidRPr="003C40F2">
        <w:rPr>
          <w:rFonts w:ascii="Simplified Arabic" w:hAnsi="Simplified Arabic" w:cs="Simplified Arabic"/>
          <w:b/>
          <w:bCs/>
          <w:sz w:val="24"/>
          <w:szCs w:val="24"/>
        </w:rPr>
        <w:t xml:space="preserve">3.19 </w:t>
      </w:r>
      <w:r w:rsidRPr="003C40F2">
        <w:rPr>
          <w:rFonts w:ascii="Simplified Arabic" w:hAnsi="Simplified Arabic" w:cs="Simplified Arabic"/>
          <w:b/>
          <w:bCs/>
          <w:sz w:val="24"/>
          <w:szCs w:val="24"/>
          <w:rtl/>
        </w:rPr>
        <w:t>البرامج الإحصائية المستخدمة</w:t>
      </w:r>
    </w:p>
    <w:p w14:paraId="02C64C43" w14:textId="2C7F13FF" w:rsidR="001A3ABE"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سيتم استخدام برنامج الحزم الإحصائية للعلوم الاجتماعية</w:t>
      </w:r>
      <w:r w:rsidRPr="003C40F2">
        <w:rPr>
          <w:rFonts w:ascii="Simplified Arabic" w:hAnsi="Simplified Arabic" w:cs="Simplified Arabic"/>
          <w:sz w:val="24"/>
          <w:szCs w:val="24"/>
        </w:rPr>
        <w:t xml:space="preserve"> (SPSS) </w:t>
      </w:r>
      <w:r w:rsidRPr="003C40F2">
        <w:rPr>
          <w:rFonts w:ascii="Simplified Arabic" w:hAnsi="Simplified Arabic" w:cs="Simplified Arabic"/>
          <w:sz w:val="24"/>
          <w:szCs w:val="24"/>
          <w:rtl/>
        </w:rPr>
        <w:t xml:space="preserve">لإجراء جميع التحليلات الإحصائية الخاصة بالدراسة، بما يشمل الإحصاء الوصفي، واختبارات الثبات، وتحليل الارتباط، وتحليل الانحدار، واختبارات الفروق. كما سيتم استخدام برنامج </w:t>
      </w:r>
      <w:r w:rsidRPr="003C40F2">
        <w:rPr>
          <w:rFonts w:ascii="Simplified Arabic" w:hAnsi="Simplified Arabic" w:cs="Simplified Arabic"/>
          <w:sz w:val="24"/>
          <w:szCs w:val="24"/>
        </w:rPr>
        <w:t>Microsoft Excel</w:t>
      </w:r>
      <w:r w:rsidR="006066E7">
        <w:rPr>
          <w:rFonts w:ascii="Simplified Arabic" w:hAnsi="Simplified Arabic" w:cs="Simplified Arabic" w:hint="cs"/>
          <w:sz w:val="24"/>
          <w:szCs w:val="24"/>
          <w:rtl/>
        </w:rPr>
        <w:t xml:space="preserve"> </w:t>
      </w:r>
      <w:r w:rsidRPr="003C40F2">
        <w:rPr>
          <w:rFonts w:ascii="Simplified Arabic" w:hAnsi="Simplified Arabic" w:cs="Simplified Arabic"/>
          <w:sz w:val="24"/>
          <w:szCs w:val="24"/>
          <w:rtl/>
        </w:rPr>
        <w:t>في تنظيم البيانات الأولية وإعداد الجداول والرسوم البيانية المساندة عند الحاجة</w:t>
      </w:r>
      <w:r w:rsidRPr="003C40F2">
        <w:rPr>
          <w:rFonts w:ascii="Simplified Arabic" w:hAnsi="Simplified Arabic" w:cs="Simplified Arabic"/>
          <w:sz w:val="24"/>
          <w:szCs w:val="24"/>
        </w:rPr>
        <w:t>.</w:t>
      </w:r>
    </w:p>
    <w:p w14:paraId="3A527103" w14:textId="77777777" w:rsidR="001C485C" w:rsidRPr="003C40F2" w:rsidRDefault="001C485C" w:rsidP="001C485C">
      <w:pPr>
        <w:bidi/>
        <w:spacing w:line="240" w:lineRule="auto"/>
        <w:jc w:val="lowKashida"/>
        <w:rPr>
          <w:rFonts w:ascii="Simplified Arabic" w:hAnsi="Simplified Arabic" w:cs="Simplified Arabic"/>
          <w:sz w:val="24"/>
          <w:szCs w:val="24"/>
        </w:rPr>
      </w:pPr>
    </w:p>
    <w:p w14:paraId="0C6853D3"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3.20 </w:t>
      </w:r>
      <w:r w:rsidRPr="003C40F2">
        <w:rPr>
          <w:rFonts w:ascii="Simplified Arabic" w:hAnsi="Simplified Arabic" w:cs="Simplified Arabic"/>
          <w:b/>
          <w:bCs/>
          <w:sz w:val="24"/>
          <w:szCs w:val="24"/>
          <w:rtl/>
        </w:rPr>
        <w:t>الاعتبارات الأخلاقية للدراسة</w:t>
      </w:r>
    </w:p>
    <w:p w14:paraId="196482F3" w14:textId="77777777" w:rsidR="001A3ABE" w:rsidRPr="003C40F2"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التزم الباحث بمجموعة من المبادئ الأخلاقية التي تحكم البحوث العلمية، وذلك لضمان حماية المشاركين والحفاظ على جودة البحث. وسيتم الحصول على الموافقة المستنيرة من جميع المشاركين بعد توضيح أهداف الدراسة وطبيعة المشاركة، مع التأكيد على أن المشاركة اختيارية، وأن للمشارك الحق في الانسحاب في أي وقت دون أي تبعات</w:t>
      </w:r>
      <w:r w:rsidRPr="003C40F2">
        <w:rPr>
          <w:rFonts w:ascii="Simplified Arabic" w:hAnsi="Simplified Arabic" w:cs="Simplified Arabic"/>
          <w:sz w:val="24"/>
          <w:szCs w:val="24"/>
        </w:rPr>
        <w:t>.</w:t>
      </w:r>
    </w:p>
    <w:p w14:paraId="40005EB6" w14:textId="77777777" w:rsidR="001A3ABE"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كما سيتم الحفاظ على سرية البيانات وعدم استخدامها إلا لأغراض البحث العلمي، مع عدم الإفصاح عن أسماء المشاركين أو الجهات التي يعملون بها، واستخدام البيانات في صورة مجمعة فقط. وسيتم اتخاذ الإجراءات اللازمة لحماية خصوصية المشاركين وإخفاء أي بيانات حساسة قد تؤدي إلى التعرف عليهم أو على الجهات المشاركة، مع الالتزام بالحصول على الموافقات الرسمية اللازمة من الجهات المختصة قبل البدء في جمع البيانات</w:t>
      </w:r>
      <w:r w:rsidRPr="003C40F2">
        <w:rPr>
          <w:rFonts w:ascii="Simplified Arabic" w:hAnsi="Simplified Arabic" w:cs="Simplified Arabic"/>
          <w:sz w:val="24"/>
          <w:szCs w:val="24"/>
        </w:rPr>
        <w:t>.</w:t>
      </w:r>
    </w:p>
    <w:p w14:paraId="1A57EF69" w14:textId="77777777" w:rsidR="001C485C" w:rsidRPr="003C40F2" w:rsidRDefault="001C485C" w:rsidP="001C485C">
      <w:pPr>
        <w:bidi/>
        <w:spacing w:line="240" w:lineRule="auto"/>
        <w:jc w:val="lowKashida"/>
        <w:rPr>
          <w:rFonts w:ascii="Simplified Arabic" w:hAnsi="Simplified Arabic" w:cs="Simplified Arabic"/>
          <w:sz w:val="24"/>
          <w:szCs w:val="24"/>
        </w:rPr>
      </w:pPr>
    </w:p>
    <w:p w14:paraId="5F60B209" w14:textId="1DCC986C" w:rsidR="001C485C" w:rsidRPr="003C40F2" w:rsidRDefault="001A3ABE" w:rsidP="001C485C">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3.21 </w:t>
      </w:r>
      <w:r w:rsidRPr="003C40F2">
        <w:rPr>
          <w:rFonts w:ascii="Simplified Arabic" w:hAnsi="Simplified Arabic" w:cs="Simplified Arabic"/>
          <w:b/>
          <w:bCs/>
          <w:sz w:val="24"/>
          <w:szCs w:val="24"/>
          <w:rtl/>
        </w:rPr>
        <w:t>ملخص الفصل</w:t>
      </w:r>
    </w:p>
    <w:p w14:paraId="16ADF6F4" w14:textId="77777777" w:rsidR="001A3ABE" w:rsidRPr="003C40F2"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تناول هذا الفصل المنهجية العلمية التي اعتمدت عليها الدراسة، حيث تم توضيح منهج البحث وتصميم الدراسة، ومجتمع الدراسة وعينتها، ومصادر البيانات، وأداة الدراسة، وإجراءات التحقق من صدقها وثباتها، وإجراءات جمع البيانات، ومتغيرات الدراسة، وخطة التحليل الإحصائي، والاعتبارات الأخلاقية. وتمثل هذه الإجراءات الأساس العلمي الذي سيتم الاعتماد عليه في تحليل البيانات واختبار فرضيات الدراسة في الفصل الرابع، وصولًا إلى بناء نموذج مقترح يسهم في تعزيز الحوكمة البيئية وإدارة الأداء في مجال التفتيش البيئي بالمملكة العربية السعودية</w:t>
      </w:r>
      <w:r w:rsidRPr="003C40F2">
        <w:rPr>
          <w:rFonts w:ascii="Simplified Arabic" w:hAnsi="Simplified Arabic" w:cs="Simplified Arabic"/>
          <w:sz w:val="24"/>
          <w:szCs w:val="24"/>
        </w:rPr>
        <w:t>.</w:t>
      </w:r>
    </w:p>
    <w:p w14:paraId="48E4663E" w14:textId="77777777" w:rsidR="00EE25C0" w:rsidRPr="001A3ABE" w:rsidRDefault="00EE25C0" w:rsidP="00EE25C0">
      <w:pPr>
        <w:pStyle w:val="NormalWeb"/>
        <w:bidi/>
        <w:spacing w:after="240" w:afterAutospacing="0" w:line="360" w:lineRule="auto"/>
        <w:jc w:val="both"/>
        <w:rPr>
          <w:rFonts w:ascii="Simplified Arabic" w:hAnsi="Simplified Arabic" w:cs="Simplified Arabic"/>
          <w:color w:val="000000" w:themeColor="text1"/>
          <w:rtl/>
          <w:lang w:bidi="ar-EG"/>
        </w:rPr>
      </w:pPr>
    </w:p>
    <w:p w14:paraId="53D8038D" w14:textId="77777777" w:rsidR="00EE25C0" w:rsidRDefault="00EE25C0" w:rsidP="00EE25C0">
      <w:pPr>
        <w:pStyle w:val="NormalWeb"/>
        <w:bidi/>
        <w:spacing w:after="240" w:afterAutospacing="0" w:line="360" w:lineRule="auto"/>
        <w:jc w:val="both"/>
        <w:rPr>
          <w:rFonts w:ascii="Simplified Arabic" w:hAnsi="Simplified Arabic" w:cs="Simplified Arabic"/>
          <w:color w:val="000000" w:themeColor="text1"/>
          <w:rtl/>
        </w:rPr>
      </w:pPr>
    </w:p>
    <w:p w14:paraId="7EF5FE5F" w14:textId="77777777" w:rsidR="001C485C" w:rsidRDefault="001C485C" w:rsidP="001C485C">
      <w:pPr>
        <w:bidi/>
        <w:rPr>
          <w:lang w:bidi="ar-EG"/>
        </w:rPr>
      </w:pPr>
      <w:bookmarkStart w:id="92" w:name="_Hlk225644657"/>
      <w:bookmarkEnd w:id="0"/>
      <w:bookmarkEnd w:id="36"/>
    </w:p>
    <w:p w14:paraId="37EA9E61" w14:textId="77777777" w:rsidR="001C485C" w:rsidRPr="001C485C" w:rsidRDefault="001C485C" w:rsidP="001C485C">
      <w:pPr>
        <w:bidi/>
        <w:rPr>
          <w:lang w:bidi="ar-EG"/>
        </w:rPr>
      </w:pPr>
    </w:p>
    <w:p w14:paraId="2F850BC5" w14:textId="351737D8" w:rsidR="00A63F47" w:rsidRPr="002D33E8" w:rsidRDefault="00A63F47" w:rsidP="00DD48D8">
      <w:pPr>
        <w:pStyle w:val="Heading1"/>
        <w:bidi/>
        <w:rPr>
          <w:rFonts w:ascii="T" w:eastAsia="Calibri" w:hAnsi="T" w:cs="Simplified Arabic"/>
          <w:b/>
          <w:bCs/>
          <w:color w:val="auto"/>
          <w:sz w:val="24"/>
          <w:szCs w:val="24"/>
          <w:rtl/>
          <w:lang w:bidi="ar-EG"/>
        </w:rPr>
      </w:pPr>
      <w:bookmarkStart w:id="93" w:name="_Toc234607916"/>
      <w:r w:rsidRPr="002D33E8">
        <w:rPr>
          <w:rFonts w:ascii="T" w:eastAsia="Calibri" w:hAnsi="T" w:cs="Simplified Arabic"/>
          <w:b/>
          <w:bCs/>
          <w:color w:val="auto"/>
          <w:sz w:val="24"/>
          <w:szCs w:val="24"/>
          <w:rtl/>
          <w:lang w:bidi="ar-EG"/>
        </w:rPr>
        <w:lastRenderedPageBreak/>
        <w:t>قائمة المراجع</w:t>
      </w:r>
      <w:bookmarkEnd w:id="93"/>
    </w:p>
    <w:p w14:paraId="1E2141A3" w14:textId="77777777" w:rsidR="00A63F47" w:rsidRPr="002D33E8" w:rsidRDefault="00A63F47" w:rsidP="00A63F47">
      <w:pPr>
        <w:bidi/>
        <w:rPr>
          <w:rFonts w:ascii="T" w:eastAsia="Calibri" w:hAnsi="T" w:cs="Simplified Arabic"/>
          <w:b/>
          <w:bCs/>
          <w:sz w:val="24"/>
          <w:szCs w:val="24"/>
          <w:rtl/>
          <w:lang w:bidi="ar-EG"/>
        </w:rPr>
      </w:pPr>
      <w:r w:rsidRPr="002D33E8">
        <w:rPr>
          <w:rFonts w:ascii="T" w:eastAsia="Calibri" w:hAnsi="T" w:cs="Simplified Arabic"/>
          <w:b/>
          <w:bCs/>
          <w:sz w:val="24"/>
          <w:szCs w:val="24"/>
          <w:rtl/>
          <w:lang w:bidi="ar-EG"/>
        </w:rPr>
        <w:t>أولا :المراجع العربية</w:t>
      </w:r>
    </w:p>
    <w:p w14:paraId="7CDFBF1C"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ابراهيم عبد الله التويجري. (2024). المستحدث في نظام البيئة السعودي 2020. المجلة الأردنية في القانون والعلوم السياسية, 16</w:t>
      </w:r>
      <w:r w:rsidRPr="005D59A7">
        <w:rPr>
          <w:rFonts w:ascii="T" w:eastAsia="Calibri" w:hAnsi="T" w:cs="Simplified Arabic"/>
          <w:sz w:val="24"/>
          <w:szCs w:val="24"/>
          <w:lang w:bidi="ar-EG"/>
        </w:rPr>
        <w:t>(1).</w:t>
      </w:r>
    </w:p>
    <w:p w14:paraId="2EB39E8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شيماء عادل فاضل. (2024). الجهود الدولية الخضراء تجاه التلوث البيئي في بلدان الخليج العربي–الانجازات وضرورات التفعيل-السعودية وقطر أنموذجا</w:t>
      </w:r>
      <w:r w:rsidRPr="005D59A7">
        <w:rPr>
          <w:rFonts w:ascii="T" w:eastAsia="Calibri" w:hAnsi="T" w:cs="Simplified Arabic"/>
          <w:sz w:val="24"/>
          <w:szCs w:val="24"/>
          <w:lang w:bidi="ar-EG"/>
        </w:rPr>
        <w:t>. Political Issues, (79), 1-26.</w:t>
      </w:r>
      <w:r w:rsidRPr="005D59A7">
        <w:rPr>
          <w:rFonts w:ascii="T" w:eastAsia="Calibri" w:hAnsi="T" w:cs="Simplified Arabic"/>
          <w:sz w:val="24"/>
          <w:szCs w:val="24"/>
          <w:rtl/>
          <w:lang w:bidi="ar-EG"/>
        </w:rPr>
        <w:t>‏</w:t>
      </w:r>
    </w:p>
    <w:p w14:paraId="3BD505D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للتخصيص. (2022). دليل تخطيط وتطوير قطاع الشراكة بين القطاعين العام والخاص</w:t>
      </w:r>
      <w:r w:rsidRPr="005D59A7">
        <w:rPr>
          <w:rFonts w:ascii="T" w:eastAsia="Calibri" w:hAnsi="T" w:cs="Simplified Arabic"/>
          <w:sz w:val="24"/>
          <w:szCs w:val="24"/>
          <w:lang w:bidi="ar-EG"/>
        </w:rPr>
        <w:t>. https://www.ncp.gov.sa</w:t>
      </w:r>
    </w:p>
    <w:p w14:paraId="764E0BC7"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للتخصيص. (2025). المركز الوطني للرقابة على الالتزام البيئي يطلق مشروع التفتيش البيئي بالتعاون مع وزارة البيئة والمياه والزراعة والمركز الوطني للتخصيص</w:t>
      </w:r>
      <w:r w:rsidRPr="005D59A7">
        <w:rPr>
          <w:rFonts w:ascii="T" w:eastAsia="Calibri" w:hAnsi="T" w:cs="Simplified Arabic"/>
          <w:sz w:val="24"/>
          <w:szCs w:val="24"/>
          <w:lang w:bidi="ar-EG"/>
        </w:rPr>
        <w:t>. https://www.ncp.gov.sa</w:t>
      </w:r>
    </w:p>
    <w:p w14:paraId="2B26C91B"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للرقابة على الالتزام البيئي. (2020). بيانات خدمة التفتيش البيئي 2017-2019</w:t>
      </w:r>
      <w:r w:rsidRPr="005D59A7">
        <w:rPr>
          <w:rFonts w:ascii="T" w:eastAsia="Calibri" w:hAnsi="T" w:cs="Simplified Arabic"/>
          <w:sz w:val="24"/>
          <w:szCs w:val="24"/>
          <w:lang w:bidi="ar-EG"/>
        </w:rPr>
        <w:t xml:space="preserve"> https://www.ncec.gov.sa</w:t>
      </w:r>
    </w:p>
    <w:p w14:paraId="09FDD55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لتنمية الحياة الفطرية. (2020). عن المركز</w:t>
      </w:r>
      <w:r w:rsidRPr="005D59A7">
        <w:rPr>
          <w:rFonts w:ascii="T" w:eastAsia="Calibri" w:hAnsi="T" w:cs="Simplified Arabic"/>
          <w:sz w:val="24"/>
          <w:szCs w:val="24"/>
          <w:lang w:bidi="ar-EG"/>
        </w:rPr>
        <w:t>. https://www.ncw.gov.sa</w:t>
      </w:r>
    </w:p>
    <w:p w14:paraId="69EF58B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لتنمية الغطاء النباتي ومكافحة التصحر. (2020). عن المركز</w:t>
      </w:r>
      <w:r w:rsidRPr="005D59A7">
        <w:rPr>
          <w:rFonts w:ascii="T" w:eastAsia="Calibri" w:hAnsi="T" w:cs="Simplified Arabic"/>
          <w:sz w:val="24"/>
          <w:szCs w:val="24"/>
          <w:lang w:bidi="ar-EG"/>
        </w:rPr>
        <w:t>. https://www.ncvc.gov.sa</w:t>
      </w:r>
    </w:p>
    <w:p w14:paraId="1E2ADE4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لإدارة النفايات. (2020). عن المركز</w:t>
      </w:r>
      <w:r w:rsidRPr="005D59A7">
        <w:rPr>
          <w:rFonts w:ascii="T" w:eastAsia="Calibri" w:hAnsi="T" w:cs="Simplified Arabic"/>
          <w:sz w:val="24"/>
          <w:szCs w:val="24"/>
          <w:lang w:bidi="ar-EG"/>
        </w:rPr>
        <w:t>. https://www.mwan.gov.sa</w:t>
      </w:r>
    </w:p>
    <w:p w14:paraId="6D9D874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للأرصاد. (2020). عن المركز</w:t>
      </w:r>
      <w:r w:rsidRPr="005D59A7">
        <w:rPr>
          <w:rFonts w:ascii="T" w:eastAsia="Calibri" w:hAnsi="T" w:cs="Simplified Arabic"/>
          <w:sz w:val="24"/>
          <w:szCs w:val="24"/>
          <w:lang w:bidi="ar-EG"/>
        </w:rPr>
        <w:t>. https://www.ncm.gov.sa</w:t>
      </w:r>
    </w:p>
    <w:p w14:paraId="4F5ABD6D"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رؤية السعودية 2030. (2025). مبادرات الاستدامة البيئية</w:t>
      </w:r>
      <w:r w:rsidRPr="005D59A7">
        <w:rPr>
          <w:rFonts w:ascii="T" w:eastAsia="Calibri" w:hAnsi="T" w:cs="Simplified Arabic"/>
          <w:sz w:val="24"/>
          <w:szCs w:val="24"/>
          <w:lang w:bidi="ar-EG"/>
        </w:rPr>
        <w:t xml:space="preserve">. </w:t>
      </w:r>
      <w:hyperlink r:id="rId37" w:history="1">
        <w:r w:rsidRPr="005D59A7">
          <w:rPr>
            <w:rFonts w:ascii="T" w:eastAsia="Calibri" w:hAnsi="T" w:cs="Simplified Arabic"/>
            <w:sz w:val="24"/>
            <w:szCs w:val="24"/>
            <w:u w:val="single"/>
            <w:lang w:bidi="ar-EG"/>
          </w:rPr>
          <w:t>https://www.vision2030.gov.sa</w:t>
        </w:r>
      </w:hyperlink>
    </w:p>
    <w:p w14:paraId="6721DF5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بتول، محمد نوري، علي، &amp; خلف سلمان. (2011). حوكمة الشركات ودورها في تخفيض مشاكل نظرية الوكالة. مجلة الاقتصاد و التنمية البشرية, 2(2), 25-51.</w:t>
      </w:r>
    </w:p>
    <w:p w14:paraId="19818677"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خيري، محمد علي، &amp; يسري. (2022). أثر التحصين الإداري على السلوك غير المتماثل للتكلفة في إطار نظرية الوكالة: دراسة تطبيقية. المجلة المصرية للدراسات التجارية, 46(4), 336-396.</w:t>
      </w:r>
    </w:p>
    <w:p w14:paraId="19103AC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 xml:space="preserve">سالم، نبيل جعفر، زبين، حيدر عبد، &amp; عبدالله، نضال هاشم. (2021). استعمال آليات حوكمة الشركات للحد من ادارة الارباح في ظل نظرية الوكالة. </w:t>
      </w:r>
      <w:r w:rsidRPr="005D59A7">
        <w:rPr>
          <w:rFonts w:ascii="T" w:eastAsia="Calibri" w:hAnsi="T" w:cs="Simplified Arabic"/>
          <w:sz w:val="24"/>
          <w:szCs w:val="24"/>
          <w:lang w:bidi="ar-EG"/>
        </w:rPr>
        <w:t xml:space="preserve">Journal of </w:t>
      </w:r>
      <w:proofErr w:type="spellStart"/>
      <w:r w:rsidRPr="005D59A7">
        <w:rPr>
          <w:rFonts w:ascii="T" w:eastAsia="Calibri" w:hAnsi="T" w:cs="Simplified Arabic"/>
          <w:sz w:val="24"/>
          <w:szCs w:val="24"/>
          <w:lang w:bidi="ar-EG"/>
        </w:rPr>
        <w:t>Madenat</w:t>
      </w:r>
      <w:proofErr w:type="spellEnd"/>
      <w:r w:rsidRPr="005D59A7">
        <w:rPr>
          <w:rFonts w:ascii="T" w:eastAsia="Calibri" w:hAnsi="T" w:cs="Simplified Arabic"/>
          <w:sz w:val="24"/>
          <w:szCs w:val="24"/>
          <w:lang w:bidi="ar-EG"/>
        </w:rPr>
        <w:t xml:space="preserve"> </w:t>
      </w:r>
      <w:proofErr w:type="spellStart"/>
      <w:r w:rsidRPr="005D59A7">
        <w:rPr>
          <w:rFonts w:ascii="T" w:eastAsia="Calibri" w:hAnsi="T" w:cs="Simplified Arabic"/>
          <w:sz w:val="24"/>
          <w:szCs w:val="24"/>
          <w:lang w:bidi="ar-EG"/>
        </w:rPr>
        <w:t>Alelem</w:t>
      </w:r>
      <w:proofErr w:type="spellEnd"/>
      <w:r w:rsidRPr="005D59A7">
        <w:rPr>
          <w:rFonts w:ascii="T" w:eastAsia="Calibri" w:hAnsi="T" w:cs="Simplified Arabic"/>
          <w:sz w:val="24"/>
          <w:szCs w:val="24"/>
          <w:lang w:bidi="ar-EG"/>
        </w:rPr>
        <w:t xml:space="preserve"> University College, 13(1), 202-218</w:t>
      </w:r>
      <w:r w:rsidRPr="005D59A7">
        <w:rPr>
          <w:rFonts w:ascii="T" w:eastAsia="Calibri" w:hAnsi="T" w:cs="Simplified Arabic"/>
          <w:sz w:val="24"/>
          <w:szCs w:val="24"/>
          <w:rtl/>
          <w:lang w:bidi="ar-EG"/>
        </w:rPr>
        <w:t>.</w:t>
      </w:r>
    </w:p>
    <w:p w14:paraId="1EAAC872"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 xml:space="preserve">عبدالرزاق محمد عثمان، أسامه عبدالمنعم علي، &amp; احمد يوسف دودين. (2015). نظام الحاكمية المؤسسية الحل السليم للأطراف المتعارضة في ظل نظريه الوكالة. </w:t>
      </w:r>
      <w:r w:rsidRPr="005D59A7">
        <w:rPr>
          <w:rFonts w:ascii="T" w:eastAsia="Calibri" w:hAnsi="T" w:cs="Simplified Arabic"/>
          <w:sz w:val="24"/>
          <w:szCs w:val="24"/>
          <w:lang w:bidi="ar-EG"/>
        </w:rPr>
        <w:t>Queen Arwa University Journal, 14(14), 209-234</w:t>
      </w:r>
      <w:r w:rsidRPr="005D59A7">
        <w:rPr>
          <w:rFonts w:ascii="T" w:eastAsia="Calibri" w:hAnsi="T" w:cs="Simplified Arabic"/>
          <w:sz w:val="24"/>
          <w:szCs w:val="24"/>
          <w:rtl/>
          <w:lang w:bidi="ar-EG"/>
        </w:rPr>
        <w:t>.</w:t>
      </w:r>
    </w:p>
    <w:p w14:paraId="18D8781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lastRenderedPageBreak/>
        <w:t>عبدو، مجدي عبد اللطيف. (2024). نظريــة الوكالة الرابعة (تضارب المصالح بين العاملين بالشركة كأصحاب مصالح والشركة). مجلة الاصالة, 1(10).</w:t>
      </w:r>
    </w:p>
    <w:p w14:paraId="4383A01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عفيفى، أشرف السعيد أحمد السيد، عبدالرحمن، &amp; وليد محمد محمد السيد. (2023). العلاقة بين آليات التحصين الإداري وكفاءة الاستثمار في إطار نظرية الوكالة: دراسة اختبارية على الشركات المساهمة المصرية. مجلة البحوث الإدارية, 41(3).</w:t>
      </w:r>
    </w:p>
    <w:p w14:paraId="2BA13965"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 xml:space="preserve">احمد كحيط, علي علوان, البتول عبد المهدي, &amp; سما موسى. (2025). الشراكات بين القطاعين العام والخاص من أجل التنمية المستدامة: دراسة ميدانية في جامعة المستقبل. </w:t>
      </w:r>
      <w:proofErr w:type="spellStart"/>
      <w:r w:rsidRPr="005D59A7">
        <w:rPr>
          <w:rFonts w:ascii="T" w:eastAsia="Calibri" w:hAnsi="T" w:cs="Simplified Arabic"/>
          <w:sz w:val="24"/>
          <w:szCs w:val="24"/>
          <w:lang w:bidi="ar-EG"/>
        </w:rPr>
        <w:t>Enterprenuership</w:t>
      </w:r>
      <w:proofErr w:type="spellEnd"/>
      <w:r w:rsidRPr="005D59A7">
        <w:rPr>
          <w:rFonts w:ascii="T" w:eastAsia="Calibri" w:hAnsi="T" w:cs="Simplified Arabic"/>
          <w:sz w:val="24"/>
          <w:szCs w:val="24"/>
          <w:lang w:bidi="ar-EG"/>
        </w:rPr>
        <w:t xml:space="preserve"> Journal </w:t>
      </w:r>
      <w:proofErr w:type="gramStart"/>
      <w:r w:rsidRPr="005D59A7">
        <w:rPr>
          <w:rFonts w:ascii="T" w:eastAsia="Calibri" w:hAnsi="T" w:cs="Simplified Arabic"/>
          <w:sz w:val="24"/>
          <w:szCs w:val="24"/>
          <w:lang w:bidi="ar-EG"/>
        </w:rPr>
        <w:t>For</w:t>
      </w:r>
      <w:proofErr w:type="gramEnd"/>
      <w:r w:rsidRPr="005D59A7">
        <w:rPr>
          <w:rFonts w:ascii="T" w:eastAsia="Calibri" w:hAnsi="T" w:cs="Simplified Arabic"/>
          <w:sz w:val="24"/>
          <w:szCs w:val="24"/>
          <w:lang w:bidi="ar-EG"/>
        </w:rPr>
        <w:t xml:space="preserve"> Finance and </w:t>
      </w:r>
      <w:proofErr w:type="spellStart"/>
      <w:r w:rsidRPr="005D59A7">
        <w:rPr>
          <w:rFonts w:ascii="T" w:eastAsia="Calibri" w:hAnsi="T" w:cs="Simplified Arabic"/>
          <w:sz w:val="24"/>
          <w:szCs w:val="24"/>
          <w:lang w:bidi="ar-EG"/>
        </w:rPr>
        <w:t>Bussiness</w:t>
      </w:r>
      <w:proofErr w:type="spellEnd"/>
      <w:r w:rsidRPr="005D59A7">
        <w:rPr>
          <w:rFonts w:ascii="T" w:eastAsia="Calibri" w:hAnsi="T" w:cs="Simplified Arabic"/>
          <w:sz w:val="24"/>
          <w:szCs w:val="24"/>
          <w:lang w:bidi="ar-EG"/>
        </w:rPr>
        <w:t>, 140-147</w:t>
      </w:r>
      <w:r w:rsidRPr="005D59A7">
        <w:rPr>
          <w:rFonts w:ascii="T" w:eastAsia="Calibri" w:hAnsi="T" w:cs="Simplified Arabic"/>
          <w:sz w:val="24"/>
          <w:szCs w:val="24"/>
          <w:rtl/>
          <w:lang w:bidi="ar-EG"/>
        </w:rPr>
        <w:t>.‏</w:t>
      </w:r>
    </w:p>
    <w:p w14:paraId="6323A38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جراح, &amp; محمد شريف علي محمد. (2025). تسوية منازعات عقود الشراكة بين القطاعين العام والخاص من خلال التحكيم في القانون الأردني. مجلة البحوث القانونية والإقتصادية (المنصورة), 15(94.), 1-42.</w:t>
      </w:r>
    </w:p>
    <w:p w14:paraId="6944F843"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عصام عبد الرحمن الجعافره. (2023). التحصيل الضريبي في البلديات وواقع الشراكات بين القطاعين العام والخاص. مجلة العلوم الإنسانية والطبيعية, 4(12), 465-479.</w:t>
      </w:r>
    </w:p>
    <w:p w14:paraId="15F4FF1B"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بوعنان, &amp; ليندة. (2025). الشراكة بين القطاعين العام والخاص كآلية لدفع عملية الاستثمار. مجلة الاستاذ الباحث للدراسات القانونية والسياسية, 10(2), 547-572.</w:t>
      </w:r>
    </w:p>
    <w:p w14:paraId="72EB5D5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القطان, إسراء عبد العزيز خليل, أمين, محمد سعيد حسين, سليم, &amp; محمد محمود. (2026). المبادئ الحاكمة لفكرة التوازن المالي في عقود الشراكة بين القطاعين العام والخاص (دراسة تطبيقية مقارنة في مصر والكويت). المجلة القانونية, 27(3), 1115-1140.</w:t>
      </w:r>
    </w:p>
    <w:p w14:paraId="4A68A4BA"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شاهين, &amp; وحيد. (2025). جدوى الشراكة بين القطاعين العام والخاص في تعزيز استدامة مشروعات الهيدروجين الأخضر بالمواني البحرية: دراسة حالة مقترحة للمنطقة الاقتصادية لقناة السويس. افاق الطاقة, 3(7), 113-148.</w:t>
      </w:r>
    </w:p>
    <w:p w14:paraId="2B84506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منار, &amp; جمال الدين حافظ. (2024). دور الحوكمة البيئية لنشر الوعى وتعزيز ثقافة الاستدامة البيئية في القطاعات الصناعية. آفاق آسيوية, 9(15), 65-78.</w:t>
      </w:r>
    </w:p>
    <w:p w14:paraId="0E0D81A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قراس, مرزاقة, &amp; دمدوم. (2024). الحوكمة البيئية في السياسات الدولية (</w:t>
      </w:r>
      <w:r w:rsidRPr="005D59A7">
        <w:rPr>
          <w:rFonts w:ascii="T" w:eastAsia="Calibri" w:hAnsi="T" w:cs="Simplified Arabic"/>
          <w:sz w:val="24"/>
          <w:szCs w:val="24"/>
          <w:lang w:bidi="ar-EG"/>
        </w:rPr>
        <w:t>Doctoral dissertation</w:t>
      </w:r>
      <w:r w:rsidRPr="005D59A7">
        <w:rPr>
          <w:rFonts w:ascii="T" w:eastAsia="Calibri" w:hAnsi="T" w:cs="Simplified Arabic"/>
          <w:sz w:val="24"/>
          <w:szCs w:val="24"/>
          <w:rtl/>
          <w:lang w:bidi="ar-EG"/>
        </w:rPr>
        <w:t>, جامعة قسنطينة 3 صالح بوبنيدر، كلية العلوم السياسية).</w:t>
      </w:r>
    </w:p>
    <w:p w14:paraId="373364F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صالح, ه. ع. ا. إ., &amp; هدى عبد الغفار إبراهيم. (2024). دور الحوكمة البيئية فى التصدي للتغير المناخي. المجلة المصرية لبحوث الأعلام, 2024(89), 1393-1425.</w:t>
      </w:r>
    </w:p>
    <w:p w14:paraId="49B44EC3"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مرزاق, &amp; فايزة. (2023). مفهوم الحوكمة البيئية ومبادئها. مجلة البيئة والتنمية المستدامة وصحة الإنسان, 1(2), 255-266.</w:t>
      </w:r>
    </w:p>
    <w:p w14:paraId="253E672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lastRenderedPageBreak/>
        <w:t>بن نواعي, هواري, لواتي, خاتمة, منقوري, &amp; منال ابتسام. (2025). الحوكمة البيئية في الجزائر–تحديات وآفاق. المشكاة في الاقتصاد التنمية و القانون, 8(1), 63-78.</w:t>
      </w:r>
    </w:p>
    <w:p w14:paraId="66092F7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القروى, ش. إ. ع., &amp; شذى إسماعيل عبده. (2024). دور الحوكمة البيئية فى تعزيز تبنى إستراتيجية التحول للإبتكار الأخضر وخلق قيمة للمنشآت المصرية (دراسة تطبيقية). المجلة العلمية للبحوث التجارية (جامعة المنوفية), 55(4), 743-784.</w:t>
      </w:r>
    </w:p>
    <w:p w14:paraId="096EEDAE"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علاء الدين, يوسفي, هني, &amp; عامر. (2024). الحوكمة البيئية ودورها في تعزيز التنمية الزراعية المستدامة. مجلة الدراسات القانونية والاقتصادية, 6(2), 649-668.</w:t>
      </w:r>
    </w:p>
    <w:p w14:paraId="7FA0F2F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اعبيد, زينب, الهيري, &amp; عبد الرزاق. (2025). إعادة ابتكار نماذج تقييم الأداء في المؤسسات العامة: استراتيجيات مبتكرة لتعزيز الفاعلية المؤسسية من خلال الحوكمة والإدارة الحديثة. المجلة العربية للإدارة, 81-96.</w:t>
      </w:r>
    </w:p>
    <w:p w14:paraId="5C94F35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صلاح عزمى, &amp; سعد. (2025). أثر تطبيق مبادئ الحوكمة فى تحسين الأداء الوظيفى للعاملين بالمنظمات: الدور الوسيط لأنماط القيادة. المجلة العلمية للدراسات التجارية والبيئية, 16(3), 2178-2214.</w:t>
      </w:r>
    </w:p>
    <w:p w14:paraId="59496C09" w14:textId="5A7188C1"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حسان حسين محضر, أحمد سيد بدوي, إيمان, فؤاد سليمان, &amp; أمل. (2024). أثر تطبيق الحوكمة على كفاءة الأداء المؤسسي في مستشفيات القطاع الحكومي بمكة المكرمة. المجلة العلمية للدراسات التجارية والبيئية, 15(4), 3925-3955.</w:t>
      </w:r>
    </w:p>
    <w:p w14:paraId="50982DA7" w14:textId="41CF08E3" w:rsidR="00C476D6" w:rsidRDefault="00C476D6" w:rsidP="00C476D6">
      <w:pPr>
        <w:bidi/>
        <w:jc w:val="both"/>
        <w:rPr>
          <w:rFonts w:ascii="T" w:eastAsia="Calibri" w:hAnsi="T" w:cs="Simplified Arabic"/>
          <w:sz w:val="24"/>
          <w:szCs w:val="24"/>
          <w:lang w:bidi="ar-EG"/>
        </w:rPr>
      </w:pPr>
      <w:r w:rsidRPr="005D59A7">
        <w:rPr>
          <w:rFonts w:ascii="T" w:eastAsia="Calibri" w:hAnsi="T" w:cs="Simplified Arabic"/>
          <w:sz w:val="24"/>
          <w:szCs w:val="24"/>
          <w:rtl/>
          <w:lang w:bidi="ar-EG"/>
        </w:rPr>
        <w:t>امتنان حسن النعمي. (2022). دور ريادة الأعمال في تحقيق أهداف التنمية المستدامة في ضوء رؤية المملكة 2030: دراسة تطبيقية على أمانة منطقة عسير. مجلة العلوم الإقتصادية و الإدارية و القانونية, 6(25), 71-93.</w:t>
      </w:r>
    </w:p>
    <w:p w14:paraId="5F94A259" w14:textId="77777777" w:rsidR="002D33E8" w:rsidRDefault="002D33E8" w:rsidP="002D33E8">
      <w:pPr>
        <w:bidi/>
        <w:jc w:val="both"/>
        <w:rPr>
          <w:rFonts w:ascii="T" w:eastAsia="Calibri" w:hAnsi="T" w:cs="Simplified Arabic"/>
          <w:sz w:val="24"/>
          <w:szCs w:val="24"/>
          <w:lang w:bidi="ar-EG"/>
        </w:rPr>
      </w:pPr>
    </w:p>
    <w:p w14:paraId="1CAABC35" w14:textId="77777777" w:rsidR="002D33E8" w:rsidRDefault="002D33E8" w:rsidP="002D33E8">
      <w:pPr>
        <w:bidi/>
        <w:jc w:val="both"/>
        <w:rPr>
          <w:rFonts w:ascii="T" w:eastAsia="Calibri" w:hAnsi="T" w:cs="Simplified Arabic"/>
          <w:sz w:val="24"/>
          <w:szCs w:val="24"/>
          <w:lang w:bidi="ar-EG"/>
        </w:rPr>
      </w:pPr>
    </w:p>
    <w:p w14:paraId="5607DA06" w14:textId="77777777" w:rsidR="002D33E8" w:rsidRDefault="002D33E8" w:rsidP="002D33E8">
      <w:pPr>
        <w:bidi/>
        <w:jc w:val="both"/>
        <w:rPr>
          <w:rFonts w:ascii="T" w:eastAsia="Calibri" w:hAnsi="T" w:cs="Simplified Arabic"/>
          <w:sz w:val="24"/>
          <w:szCs w:val="24"/>
          <w:lang w:bidi="ar-EG"/>
        </w:rPr>
      </w:pPr>
    </w:p>
    <w:p w14:paraId="7BBBEC8A" w14:textId="77777777" w:rsidR="002D33E8" w:rsidRDefault="002D33E8" w:rsidP="002D33E8">
      <w:pPr>
        <w:bidi/>
        <w:jc w:val="both"/>
        <w:rPr>
          <w:rFonts w:ascii="T" w:eastAsia="Calibri" w:hAnsi="T" w:cs="Simplified Arabic"/>
          <w:sz w:val="24"/>
          <w:szCs w:val="24"/>
          <w:lang w:bidi="ar-EG"/>
        </w:rPr>
      </w:pPr>
    </w:p>
    <w:p w14:paraId="6DE9974D" w14:textId="77777777" w:rsidR="002D33E8" w:rsidRDefault="002D33E8" w:rsidP="002D33E8">
      <w:pPr>
        <w:bidi/>
        <w:jc w:val="both"/>
        <w:rPr>
          <w:rFonts w:ascii="T" w:eastAsia="Calibri" w:hAnsi="T" w:cs="Simplified Arabic"/>
          <w:sz w:val="24"/>
          <w:szCs w:val="24"/>
          <w:lang w:bidi="ar-EG"/>
        </w:rPr>
      </w:pPr>
    </w:p>
    <w:p w14:paraId="7D686E9D" w14:textId="77777777" w:rsidR="002D33E8" w:rsidRDefault="002D33E8" w:rsidP="002D33E8">
      <w:pPr>
        <w:bidi/>
        <w:jc w:val="both"/>
        <w:rPr>
          <w:rFonts w:ascii="T" w:eastAsia="Calibri" w:hAnsi="T" w:cs="Simplified Arabic"/>
          <w:sz w:val="24"/>
          <w:szCs w:val="24"/>
          <w:lang w:bidi="ar-EG"/>
        </w:rPr>
      </w:pPr>
    </w:p>
    <w:p w14:paraId="6A88E20D" w14:textId="77777777" w:rsidR="00097C13" w:rsidRDefault="00097C13" w:rsidP="00097C13">
      <w:pPr>
        <w:bidi/>
        <w:jc w:val="both"/>
        <w:rPr>
          <w:rFonts w:ascii="T" w:eastAsia="Calibri" w:hAnsi="T" w:cs="Simplified Arabic"/>
          <w:sz w:val="24"/>
          <w:szCs w:val="24"/>
          <w:lang w:bidi="ar-EG"/>
        </w:rPr>
      </w:pPr>
    </w:p>
    <w:p w14:paraId="7F9F565B" w14:textId="77777777" w:rsidR="001C485C" w:rsidRDefault="001C485C" w:rsidP="001C485C">
      <w:pPr>
        <w:bidi/>
        <w:jc w:val="both"/>
        <w:rPr>
          <w:rFonts w:ascii="T" w:eastAsia="Calibri" w:hAnsi="T" w:cs="Simplified Arabic"/>
          <w:sz w:val="24"/>
          <w:szCs w:val="24"/>
          <w:lang w:bidi="ar-EG"/>
        </w:rPr>
      </w:pPr>
    </w:p>
    <w:p w14:paraId="242F88E9" w14:textId="77777777" w:rsidR="001C485C" w:rsidRDefault="001C485C" w:rsidP="001C485C">
      <w:pPr>
        <w:bidi/>
        <w:jc w:val="both"/>
        <w:rPr>
          <w:rFonts w:ascii="T" w:eastAsia="Calibri" w:hAnsi="T" w:cs="Simplified Arabic"/>
          <w:sz w:val="24"/>
          <w:szCs w:val="24"/>
          <w:lang w:bidi="ar-EG"/>
        </w:rPr>
      </w:pPr>
    </w:p>
    <w:p w14:paraId="0ACA088B" w14:textId="77777777" w:rsidR="001C485C" w:rsidRDefault="001C485C" w:rsidP="001C485C">
      <w:pPr>
        <w:bidi/>
        <w:jc w:val="both"/>
        <w:rPr>
          <w:rFonts w:ascii="T" w:eastAsia="Calibri" w:hAnsi="T" w:cs="Simplified Arabic"/>
          <w:sz w:val="24"/>
          <w:szCs w:val="24"/>
          <w:lang w:bidi="ar-EG"/>
        </w:rPr>
      </w:pPr>
    </w:p>
    <w:p w14:paraId="07ECE0E7" w14:textId="77777777" w:rsidR="001C485C" w:rsidRPr="005D59A7" w:rsidRDefault="001C485C" w:rsidP="001C485C">
      <w:pPr>
        <w:bidi/>
        <w:jc w:val="both"/>
        <w:rPr>
          <w:rFonts w:ascii="T" w:eastAsia="Calibri" w:hAnsi="T" w:cs="Simplified Arabic"/>
          <w:sz w:val="24"/>
          <w:szCs w:val="24"/>
          <w:rtl/>
          <w:lang w:bidi="ar-EG"/>
        </w:rPr>
      </w:pPr>
    </w:p>
    <w:p w14:paraId="70C27E04" w14:textId="77777777" w:rsidR="00A63F47" w:rsidRPr="002D33E8" w:rsidRDefault="00A63F47" w:rsidP="00A63F47">
      <w:pPr>
        <w:bidi/>
        <w:rPr>
          <w:rFonts w:ascii="T" w:eastAsia="Calibri" w:hAnsi="T" w:cs="Simplified Arabic"/>
          <w:b/>
          <w:bCs/>
          <w:sz w:val="24"/>
          <w:szCs w:val="24"/>
          <w:rtl/>
          <w:lang w:bidi="ar-EG"/>
        </w:rPr>
      </w:pPr>
      <w:r w:rsidRPr="002D33E8">
        <w:rPr>
          <w:rFonts w:ascii="T" w:eastAsia="Calibri" w:hAnsi="T" w:cs="Simplified Arabic"/>
          <w:b/>
          <w:bCs/>
          <w:sz w:val="24"/>
          <w:szCs w:val="24"/>
          <w:rtl/>
          <w:lang w:bidi="ar-EG"/>
        </w:rPr>
        <w:lastRenderedPageBreak/>
        <w:t>ثانيا المراجع الأجنبية</w:t>
      </w:r>
    </w:p>
    <w:p w14:paraId="70695D1B" w14:textId="77777777" w:rsidR="00A63F47" w:rsidRPr="005D59A7" w:rsidRDefault="00A63F47" w:rsidP="00A63F47">
      <w:pPr>
        <w:rPr>
          <w:rFonts w:ascii="T" w:eastAsia="Calibri" w:hAnsi="T" w:cs="Arial"/>
          <w:lang w:bidi="ar-EG"/>
        </w:rPr>
      </w:pPr>
      <w:hyperlink r:id="rId38" w:history="1">
        <w:r w:rsidRPr="005D59A7">
          <w:rPr>
            <w:rFonts w:ascii="T" w:eastAsia="Calibri" w:hAnsi="T" w:cs="Arial"/>
            <w:u w:val="single"/>
            <w:lang w:bidi="ar-EG"/>
          </w:rPr>
          <w:t>https://documents1.worldbank.org/curated/en/381221644297502516/pdf/Overview.pdf</w:t>
        </w:r>
      </w:hyperlink>
    </w:p>
    <w:p w14:paraId="1525C62E"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Tahat</w:t>
      </w:r>
      <w:proofErr w:type="spellEnd"/>
      <w:r w:rsidRPr="005D59A7">
        <w:rPr>
          <w:rFonts w:ascii="T" w:eastAsia="Calibri" w:hAnsi="T" w:cs="Arial"/>
          <w:lang w:bidi="ar-EG"/>
        </w:rPr>
        <w:t>, K. (2014). Knowledge management: public private participation (</w:t>
      </w:r>
      <w:proofErr w:type="spellStart"/>
      <w:r w:rsidRPr="005D59A7">
        <w:rPr>
          <w:rFonts w:ascii="T" w:eastAsia="Calibri" w:hAnsi="T" w:cs="Arial"/>
          <w:lang w:bidi="ar-EG"/>
        </w:rPr>
        <w:t>Ppps</w:t>
      </w:r>
      <w:proofErr w:type="spellEnd"/>
      <w:r w:rsidRPr="005D59A7">
        <w:rPr>
          <w:rFonts w:ascii="T" w:eastAsia="Calibri" w:hAnsi="T" w:cs="Arial"/>
          <w:lang w:bidi="ar-EG"/>
        </w:rPr>
        <w:t xml:space="preserve">) in the Kingdom of Saudi </w:t>
      </w:r>
      <w:proofErr w:type="spellStart"/>
      <w:proofErr w:type="gramStart"/>
      <w:r w:rsidRPr="005D59A7">
        <w:rPr>
          <w:rFonts w:ascii="T" w:eastAsia="Calibri" w:hAnsi="T" w:cs="Arial"/>
          <w:lang w:bidi="ar-EG"/>
        </w:rPr>
        <w:t>Arabia:“</w:t>
      </w:r>
      <w:proofErr w:type="gramEnd"/>
      <w:r w:rsidRPr="005D59A7">
        <w:rPr>
          <w:rFonts w:ascii="T" w:eastAsia="Calibri" w:hAnsi="T" w:cs="Arial"/>
          <w:lang w:bidi="ar-EG"/>
        </w:rPr>
        <w:t>a</w:t>
      </w:r>
      <w:proofErr w:type="spellEnd"/>
      <w:r w:rsidRPr="005D59A7">
        <w:rPr>
          <w:rFonts w:ascii="T" w:eastAsia="Calibri" w:hAnsi="T" w:cs="Arial"/>
          <w:lang w:bidi="ar-EG"/>
        </w:rPr>
        <w:t xml:space="preserve"> case study in water sector”. Procedia-Social and Behavioral Sciences, 147, 527-534.</w:t>
      </w:r>
      <w:r w:rsidRPr="005D59A7">
        <w:rPr>
          <w:rFonts w:ascii="T" w:eastAsia="Calibri" w:hAnsi="T" w:cs="Arial"/>
          <w:rtl/>
          <w:lang w:bidi="ar-EG"/>
        </w:rPr>
        <w:t>‏</w:t>
      </w:r>
    </w:p>
    <w:p w14:paraId="65307F7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Alomari, M. A. N. (2018). Applying Good Governance Practices in the Middle East in the Case of Environmental Protection: A Saudi Arabian Case Study (Doctoral dissertation, University of Leeds).</w:t>
      </w:r>
      <w:r w:rsidRPr="005D59A7">
        <w:rPr>
          <w:rFonts w:ascii="T" w:eastAsia="Calibri" w:hAnsi="T" w:cs="Arial"/>
          <w:rtl/>
          <w:lang w:bidi="ar-EG"/>
        </w:rPr>
        <w:t>‏</w:t>
      </w:r>
    </w:p>
    <w:p w14:paraId="1095FCC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Liu, T., Mostafa, S., Mohamed, S., &amp; Nguyen, T. S. (2021). Emerging themes of public-private partnership application in developing smart city projects: a conceptual framework. Built Environment Project and Asset Management, 11(1), 138-156.</w:t>
      </w:r>
      <w:r w:rsidRPr="005D59A7">
        <w:rPr>
          <w:rFonts w:ascii="T" w:eastAsia="Calibri" w:hAnsi="T" w:cs="Arial"/>
          <w:rtl/>
          <w:lang w:bidi="ar-EG"/>
        </w:rPr>
        <w:t>‏</w:t>
      </w:r>
    </w:p>
    <w:p w14:paraId="650E1E6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Dawoud, M. A., Ewea, H. A., &amp; </w:t>
      </w:r>
      <w:proofErr w:type="spellStart"/>
      <w:r w:rsidRPr="005D59A7">
        <w:rPr>
          <w:rFonts w:ascii="T" w:eastAsia="Calibri" w:hAnsi="T" w:cs="Arial"/>
          <w:lang w:bidi="ar-EG"/>
        </w:rPr>
        <w:t>Alaswad</w:t>
      </w:r>
      <w:proofErr w:type="spellEnd"/>
      <w:r w:rsidRPr="005D59A7">
        <w:rPr>
          <w:rFonts w:ascii="T" w:eastAsia="Calibri" w:hAnsi="T" w:cs="Arial"/>
          <w:lang w:bidi="ar-EG"/>
        </w:rPr>
        <w:t>, S. O. (2022). The future of wastewater treatment and reuse in Kingdom of Saudi Arabia. Desalination and Water Treatment, 263, 127-138.</w:t>
      </w:r>
      <w:r w:rsidRPr="005D59A7">
        <w:rPr>
          <w:rFonts w:ascii="T" w:eastAsia="Calibri" w:hAnsi="T" w:cs="Arial"/>
          <w:rtl/>
          <w:lang w:bidi="ar-EG"/>
        </w:rPr>
        <w:t>‏</w:t>
      </w:r>
    </w:p>
    <w:p w14:paraId="69B1284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Alkhurayji, K., Alzahrani, H. A., Alotaibi, A. S., Alharbi, A. G., </w:t>
      </w:r>
      <w:proofErr w:type="spellStart"/>
      <w:r w:rsidRPr="005D59A7">
        <w:rPr>
          <w:rFonts w:ascii="T" w:eastAsia="Calibri" w:hAnsi="T" w:cs="Arial"/>
          <w:lang w:bidi="ar-EG"/>
        </w:rPr>
        <w:t>Zandan</w:t>
      </w:r>
      <w:proofErr w:type="spellEnd"/>
      <w:r w:rsidRPr="005D59A7">
        <w:rPr>
          <w:rFonts w:ascii="T" w:eastAsia="Calibri" w:hAnsi="T" w:cs="Arial"/>
          <w:lang w:bidi="ar-EG"/>
        </w:rPr>
        <w:t xml:space="preserve">, A. A., </w:t>
      </w:r>
      <w:proofErr w:type="spellStart"/>
      <w:r w:rsidRPr="005D59A7">
        <w:rPr>
          <w:rFonts w:ascii="T" w:eastAsia="Calibri" w:hAnsi="T" w:cs="Arial"/>
          <w:lang w:bidi="ar-EG"/>
        </w:rPr>
        <w:t>Alsheikhi</w:t>
      </w:r>
      <w:proofErr w:type="spellEnd"/>
      <w:r w:rsidRPr="005D59A7">
        <w:rPr>
          <w:rFonts w:ascii="T" w:eastAsia="Calibri" w:hAnsi="T" w:cs="Arial"/>
          <w:lang w:bidi="ar-EG"/>
        </w:rPr>
        <w:t xml:space="preserve">, H., ... &amp; </w:t>
      </w:r>
      <w:proofErr w:type="spellStart"/>
      <w:r w:rsidRPr="005D59A7">
        <w:rPr>
          <w:rFonts w:ascii="T" w:eastAsia="Calibri" w:hAnsi="T" w:cs="Arial"/>
          <w:lang w:bidi="ar-EG"/>
        </w:rPr>
        <w:t>Alsheikhi</w:t>
      </w:r>
      <w:proofErr w:type="spellEnd"/>
      <w:r w:rsidRPr="005D59A7">
        <w:rPr>
          <w:rFonts w:ascii="T" w:eastAsia="Calibri" w:hAnsi="T" w:cs="Arial"/>
          <w:lang w:bidi="ar-EG"/>
        </w:rPr>
        <w:t>, H. (2024). Potential and risks behind the national transformation program in Saudi Arabia. Cureus, 16(7).</w:t>
      </w:r>
      <w:r w:rsidRPr="005D59A7">
        <w:rPr>
          <w:rFonts w:ascii="T" w:eastAsia="Calibri" w:hAnsi="T" w:cs="Arial"/>
          <w:rtl/>
          <w:lang w:bidi="ar-EG"/>
        </w:rPr>
        <w:t>‏</w:t>
      </w:r>
    </w:p>
    <w:p w14:paraId="4C6374AD"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Alshuwaikhat</w:t>
      </w:r>
      <w:proofErr w:type="spellEnd"/>
      <w:r w:rsidRPr="005D59A7">
        <w:rPr>
          <w:rFonts w:ascii="T" w:eastAsia="Calibri" w:hAnsi="T" w:cs="Arial"/>
          <w:lang w:bidi="ar-EG"/>
        </w:rPr>
        <w:t xml:space="preserve">, H. M., Adenle, Y. A., &amp; </w:t>
      </w:r>
      <w:proofErr w:type="spellStart"/>
      <w:r w:rsidRPr="005D59A7">
        <w:rPr>
          <w:rFonts w:ascii="T" w:eastAsia="Calibri" w:hAnsi="T" w:cs="Arial"/>
          <w:lang w:bidi="ar-EG"/>
        </w:rPr>
        <w:t>Alotaishan</w:t>
      </w:r>
      <w:proofErr w:type="spellEnd"/>
      <w:r w:rsidRPr="005D59A7">
        <w:rPr>
          <w:rFonts w:ascii="T" w:eastAsia="Calibri" w:hAnsi="T" w:cs="Arial"/>
          <w:lang w:bidi="ar-EG"/>
        </w:rPr>
        <w:t xml:space="preserve">, T. N. (2023). The development of a grey relational analysis-based composite index for environmental sustainability assessment: Towards a net-zero emissions strategy in Saudi Arabia. </w:t>
      </w:r>
      <w:proofErr w:type="spellStart"/>
      <w:r w:rsidRPr="005D59A7">
        <w:rPr>
          <w:rFonts w:ascii="T" w:eastAsia="Calibri" w:hAnsi="T" w:cs="Arial"/>
          <w:lang w:bidi="ar-EG"/>
        </w:rPr>
        <w:t>Heliyon</w:t>
      </w:r>
      <w:proofErr w:type="spellEnd"/>
      <w:r w:rsidRPr="005D59A7">
        <w:rPr>
          <w:rFonts w:ascii="T" w:eastAsia="Calibri" w:hAnsi="T" w:cs="Arial"/>
          <w:lang w:bidi="ar-EG"/>
        </w:rPr>
        <w:t>, 9(7).</w:t>
      </w:r>
    </w:p>
    <w:p w14:paraId="1E7FE9DD"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Odnoletkova</w:t>
      </w:r>
      <w:proofErr w:type="spellEnd"/>
      <w:r w:rsidRPr="005D59A7">
        <w:rPr>
          <w:rFonts w:ascii="T" w:eastAsia="Calibri" w:hAnsi="T" w:cs="Arial"/>
          <w:lang w:bidi="ar-EG"/>
        </w:rPr>
        <w:t xml:space="preserve">, N., &amp; </w:t>
      </w:r>
      <w:proofErr w:type="spellStart"/>
      <w:r w:rsidRPr="005D59A7">
        <w:rPr>
          <w:rFonts w:ascii="T" w:eastAsia="Calibri" w:hAnsi="T" w:cs="Arial"/>
          <w:lang w:bidi="ar-EG"/>
        </w:rPr>
        <w:t>Patzek</w:t>
      </w:r>
      <w:proofErr w:type="spellEnd"/>
      <w:r w:rsidRPr="005D59A7">
        <w:rPr>
          <w:rFonts w:ascii="T" w:eastAsia="Calibri" w:hAnsi="T" w:cs="Arial"/>
          <w:lang w:bidi="ar-EG"/>
        </w:rPr>
        <w:t xml:space="preserve">, T. W. (2023). Water resources in Saudi Arabia: trends in rainfall, water consumption, and analysis of agricultural water footprint. </w:t>
      </w:r>
      <w:proofErr w:type="spellStart"/>
      <w:r w:rsidRPr="005D59A7">
        <w:rPr>
          <w:rFonts w:ascii="T" w:eastAsia="Calibri" w:hAnsi="T" w:cs="Arial"/>
          <w:lang w:bidi="ar-EG"/>
        </w:rPr>
        <w:t>npj</w:t>
      </w:r>
      <w:proofErr w:type="spellEnd"/>
      <w:r w:rsidRPr="005D59A7">
        <w:rPr>
          <w:rFonts w:ascii="T" w:eastAsia="Calibri" w:hAnsi="T" w:cs="Arial"/>
          <w:lang w:bidi="ar-EG"/>
        </w:rPr>
        <w:t xml:space="preserve"> Sustainable Agriculture, 1(1), 7.</w:t>
      </w:r>
      <w:r w:rsidRPr="005D59A7">
        <w:rPr>
          <w:rFonts w:ascii="T" w:eastAsia="Calibri" w:hAnsi="T" w:cs="Arial"/>
          <w:rtl/>
          <w:lang w:bidi="ar-EG"/>
        </w:rPr>
        <w:t>‏</w:t>
      </w:r>
    </w:p>
    <w:p w14:paraId="2C3B9509"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Algamdy</w:t>
      </w:r>
      <w:proofErr w:type="spellEnd"/>
      <w:r w:rsidRPr="005D59A7">
        <w:rPr>
          <w:rFonts w:ascii="T" w:eastAsia="Calibri" w:hAnsi="T" w:cs="Arial"/>
          <w:lang w:bidi="ar-EG"/>
        </w:rPr>
        <w:t xml:space="preserve">, N. G. (2022). Regulation weakness and lack of public awareness </w:t>
      </w:r>
      <w:proofErr w:type="gramStart"/>
      <w:r w:rsidRPr="005D59A7">
        <w:rPr>
          <w:rFonts w:ascii="T" w:eastAsia="Calibri" w:hAnsi="T" w:cs="Arial"/>
          <w:lang w:bidi="ar-EG"/>
        </w:rPr>
        <w:t>has</w:t>
      </w:r>
      <w:proofErr w:type="gramEnd"/>
      <w:r w:rsidRPr="005D59A7">
        <w:rPr>
          <w:rFonts w:ascii="T" w:eastAsia="Calibri" w:hAnsi="T" w:cs="Arial"/>
          <w:lang w:bidi="ar-EG"/>
        </w:rPr>
        <w:t xml:space="preserve"> impeded the implementation of environmental policies in Saudi Arabia</w:t>
      </w:r>
      <w:bookmarkEnd w:id="92"/>
    </w:p>
    <w:p w14:paraId="04D13445"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Eisenhardt, K. M. (1989). Agency theory: An assessment and review. Academy of Management Review, 14(1), 57-74.</w:t>
      </w:r>
    </w:p>
    <w:p w14:paraId="68CEDECE"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Jensen, M. C., &amp; Meckling, W. H. (1976). Theory of the firm: Managerial behavior, agency costs and ownership structure. Journal of Financial Economics, 3(4), 305-360.</w:t>
      </w:r>
    </w:p>
    <w:p w14:paraId="63467753"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Ross, S. A. (1973). The economic theory of agency: The principal's problem. The American Economic Review, 63(2), 134-139.</w:t>
      </w:r>
    </w:p>
    <w:p w14:paraId="215C99F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Williamson, O. E. (1975). Markets and hierarchies: Analysis and antitrust implications. Free Press.</w:t>
      </w:r>
    </w:p>
    <w:p w14:paraId="788BB1B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Williamson, O. E. (1985). The economic institutions of capitalism. Free Press.</w:t>
      </w:r>
    </w:p>
    <w:p w14:paraId="222E4FB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Casady, C. B., </w:t>
      </w:r>
      <w:proofErr w:type="spellStart"/>
      <w:r w:rsidRPr="005D59A7">
        <w:rPr>
          <w:rFonts w:ascii="T" w:eastAsia="Calibri" w:hAnsi="T" w:cs="Arial"/>
          <w:lang w:bidi="ar-EG"/>
        </w:rPr>
        <w:t>Cepparulo</w:t>
      </w:r>
      <w:proofErr w:type="spellEnd"/>
      <w:r w:rsidRPr="005D59A7">
        <w:rPr>
          <w:rFonts w:ascii="T" w:eastAsia="Calibri" w:hAnsi="T" w:cs="Arial"/>
          <w:lang w:bidi="ar-EG"/>
        </w:rPr>
        <w:t xml:space="preserve">, A., &amp; Giuriato, L. (2024). Public-private partnerships for low-carbon, climate-resilient infrastructure: Insights from </w:t>
      </w:r>
      <w:proofErr w:type="gramStart"/>
      <w:r w:rsidRPr="005D59A7">
        <w:rPr>
          <w:rFonts w:ascii="T" w:eastAsia="Calibri" w:hAnsi="T" w:cs="Arial"/>
          <w:lang w:bidi="ar-EG"/>
        </w:rPr>
        <w:t>the literature</w:t>
      </w:r>
      <w:proofErr w:type="gramEnd"/>
      <w:r w:rsidRPr="005D59A7">
        <w:rPr>
          <w:rFonts w:ascii="T" w:eastAsia="Calibri" w:hAnsi="T" w:cs="Arial"/>
          <w:lang w:bidi="ar-EG"/>
        </w:rPr>
        <w:t>. Journal of Cleaner Production, 470, 143338.</w:t>
      </w:r>
      <w:r w:rsidRPr="005D59A7">
        <w:rPr>
          <w:rFonts w:ascii="T" w:eastAsia="Calibri" w:hAnsi="T" w:cs="Arial"/>
          <w:rtl/>
          <w:lang w:bidi="ar-EG"/>
        </w:rPr>
        <w:t>‏</w:t>
      </w:r>
    </w:p>
    <w:p w14:paraId="65B3FD6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Quan, X., &amp; Solheim, M. C. (2023). Public-private partnerships in smart cities: A critical survey and research agenda. City, Culture and Society, 32, 100491.</w:t>
      </w:r>
      <w:r w:rsidRPr="005D59A7">
        <w:rPr>
          <w:rFonts w:ascii="T" w:eastAsia="Calibri" w:hAnsi="T" w:cs="Arial"/>
          <w:rtl/>
          <w:lang w:bidi="ar-EG"/>
        </w:rPr>
        <w:t>‏</w:t>
      </w:r>
    </w:p>
    <w:p w14:paraId="450D8341"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lastRenderedPageBreak/>
        <w:t>Ramolobe</w:t>
      </w:r>
      <w:proofErr w:type="spellEnd"/>
      <w:r w:rsidRPr="005D59A7">
        <w:rPr>
          <w:rFonts w:ascii="T" w:eastAsia="Calibri" w:hAnsi="T" w:cs="Arial"/>
          <w:lang w:bidi="ar-EG"/>
        </w:rPr>
        <w:t xml:space="preserve">, K. S., &amp; </w:t>
      </w:r>
      <w:proofErr w:type="spellStart"/>
      <w:r w:rsidRPr="005D59A7">
        <w:rPr>
          <w:rFonts w:ascii="T" w:eastAsia="Calibri" w:hAnsi="T" w:cs="Arial"/>
          <w:lang w:bidi="ar-EG"/>
        </w:rPr>
        <w:t>Khandanisa</w:t>
      </w:r>
      <w:proofErr w:type="spellEnd"/>
      <w:r w:rsidRPr="005D59A7">
        <w:rPr>
          <w:rFonts w:ascii="T" w:eastAsia="Calibri" w:hAnsi="T" w:cs="Arial"/>
          <w:lang w:bidi="ar-EG"/>
        </w:rPr>
        <w:t>, U. (2024). The role of public–private partnership in achieving local government sustainable development. Africa’s public service delivery and performance review, 12(1), 816.</w:t>
      </w:r>
      <w:r w:rsidRPr="005D59A7">
        <w:rPr>
          <w:rFonts w:ascii="T" w:eastAsia="Calibri" w:hAnsi="T" w:cs="Arial"/>
          <w:rtl/>
          <w:lang w:bidi="ar-EG"/>
        </w:rPr>
        <w:t>‏</w:t>
      </w:r>
    </w:p>
    <w:p w14:paraId="327133D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Abdul, S., </w:t>
      </w:r>
      <w:proofErr w:type="spellStart"/>
      <w:r w:rsidRPr="005D59A7">
        <w:rPr>
          <w:rFonts w:ascii="T" w:eastAsia="Calibri" w:hAnsi="T" w:cs="Arial"/>
          <w:lang w:bidi="ar-EG"/>
        </w:rPr>
        <w:t>Adeghe</w:t>
      </w:r>
      <w:proofErr w:type="spellEnd"/>
      <w:r w:rsidRPr="005D59A7">
        <w:rPr>
          <w:rFonts w:ascii="T" w:eastAsia="Calibri" w:hAnsi="T" w:cs="Arial"/>
          <w:lang w:bidi="ar-EG"/>
        </w:rPr>
        <w:t>, E. P., Adegoke, B. O., Adegoke, A. A., &amp; Udedeh, E. H. (2024). Public-private partnerships in health sector innovation: Lessons from around the world. Magna Scientia Advanced Biology and Pharmacy, 12(1), 045-059.</w:t>
      </w:r>
      <w:r w:rsidRPr="005D59A7">
        <w:rPr>
          <w:rFonts w:ascii="T" w:eastAsia="Calibri" w:hAnsi="T" w:cs="Arial"/>
          <w:rtl/>
          <w:lang w:bidi="ar-EG"/>
        </w:rPr>
        <w:t>‏</w:t>
      </w:r>
    </w:p>
    <w:p w14:paraId="3BDEE08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Liu, L. X., Clegg, S., &amp; Pollack, J. (2024). The effect of public–private partnerships on innovation in infrastructure delivery. Project Management Journal, 55(1), 31-49.</w:t>
      </w:r>
      <w:r w:rsidRPr="005D59A7">
        <w:rPr>
          <w:rFonts w:ascii="T" w:eastAsia="Calibri" w:hAnsi="T" w:cs="Arial"/>
          <w:rtl/>
          <w:lang w:bidi="ar-EG"/>
        </w:rPr>
        <w:t>‏</w:t>
      </w:r>
    </w:p>
    <w:p w14:paraId="70577214"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Akinsulire</w:t>
      </w:r>
      <w:proofErr w:type="spellEnd"/>
      <w:r w:rsidRPr="005D59A7">
        <w:rPr>
          <w:rFonts w:ascii="T" w:eastAsia="Calibri" w:hAnsi="T" w:cs="Arial"/>
          <w:lang w:bidi="ar-EG"/>
        </w:rPr>
        <w:t xml:space="preserve">, A. A., Idemudia, C., </w:t>
      </w:r>
      <w:proofErr w:type="spellStart"/>
      <w:r w:rsidRPr="005D59A7">
        <w:rPr>
          <w:rFonts w:ascii="T" w:eastAsia="Calibri" w:hAnsi="T" w:cs="Arial"/>
          <w:lang w:bidi="ar-EG"/>
        </w:rPr>
        <w:t>Okwandu</w:t>
      </w:r>
      <w:proofErr w:type="spellEnd"/>
      <w:r w:rsidRPr="005D59A7">
        <w:rPr>
          <w:rFonts w:ascii="T" w:eastAsia="Calibri" w:hAnsi="T" w:cs="Arial"/>
          <w:lang w:bidi="ar-EG"/>
        </w:rPr>
        <w:t xml:space="preserve">, A. C., &amp; </w:t>
      </w:r>
      <w:proofErr w:type="spellStart"/>
      <w:r w:rsidRPr="005D59A7">
        <w:rPr>
          <w:rFonts w:ascii="T" w:eastAsia="Calibri" w:hAnsi="T" w:cs="Arial"/>
          <w:lang w:bidi="ar-EG"/>
        </w:rPr>
        <w:t>Iwuanyanwu</w:t>
      </w:r>
      <w:proofErr w:type="spellEnd"/>
      <w:r w:rsidRPr="005D59A7">
        <w:rPr>
          <w:rFonts w:ascii="T" w:eastAsia="Calibri" w:hAnsi="T" w:cs="Arial"/>
          <w:lang w:bidi="ar-EG"/>
        </w:rPr>
        <w:t>, O. (2024). Public-Private partnership frameworks for financing affordable housing: Lessons and models. International Journal of Management &amp; Entrepreneurship Research, 6(7), 2314-2331.</w:t>
      </w:r>
      <w:r w:rsidRPr="005D59A7">
        <w:rPr>
          <w:rFonts w:ascii="T" w:eastAsia="Calibri" w:hAnsi="T" w:cs="Arial"/>
          <w:rtl/>
          <w:lang w:bidi="ar-EG"/>
        </w:rPr>
        <w:t>‏</w:t>
      </w:r>
    </w:p>
    <w:p w14:paraId="65C05277"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Ogunode</w:t>
      </w:r>
      <w:proofErr w:type="spellEnd"/>
      <w:r w:rsidRPr="005D59A7">
        <w:rPr>
          <w:rFonts w:ascii="T" w:eastAsia="Calibri" w:hAnsi="T" w:cs="Arial"/>
          <w:lang w:bidi="ar-EG"/>
        </w:rPr>
        <w:t xml:space="preserve">, N. J., </w:t>
      </w:r>
      <w:proofErr w:type="spellStart"/>
      <w:r w:rsidRPr="005D59A7">
        <w:rPr>
          <w:rFonts w:ascii="T" w:eastAsia="Calibri" w:hAnsi="T" w:cs="Arial"/>
          <w:lang w:bidi="ar-EG"/>
        </w:rPr>
        <w:t>Edinoh</w:t>
      </w:r>
      <w:proofErr w:type="spellEnd"/>
      <w:r w:rsidRPr="005D59A7">
        <w:rPr>
          <w:rFonts w:ascii="T" w:eastAsia="Calibri" w:hAnsi="T" w:cs="Arial"/>
          <w:lang w:bidi="ar-EG"/>
        </w:rPr>
        <w:t>, K., &amp; Okolie, R. C. (2023). Public private partnership model and implementation of tertiary education program in Nigeria. AMERICAN Journal of Science on Integration and Human Development, 1(06), 1-12.</w:t>
      </w:r>
      <w:r w:rsidRPr="005D59A7">
        <w:rPr>
          <w:rFonts w:ascii="T" w:eastAsia="Calibri" w:hAnsi="T" w:cs="Arial"/>
          <w:rtl/>
          <w:lang w:bidi="ar-EG"/>
        </w:rPr>
        <w:t>‏</w:t>
      </w:r>
    </w:p>
    <w:p w14:paraId="1E2879F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Agrawal, A., Brandhorst, S., Jain, M., Liao, C., Pradhan, N., &amp; Solomon, D. (2022). From environmental governance to governance for sustainability. One Earth, 5(6), 615-621.</w:t>
      </w:r>
      <w:r w:rsidRPr="005D59A7">
        <w:rPr>
          <w:rFonts w:ascii="T" w:eastAsia="Calibri" w:hAnsi="T" w:cs="Arial"/>
          <w:rtl/>
          <w:lang w:bidi="ar-EG"/>
        </w:rPr>
        <w:t>‏</w:t>
      </w:r>
    </w:p>
    <w:p w14:paraId="11DBF7AA"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Newig</w:t>
      </w:r>
      <w:proofErr w:type="spellEnd"/>
      <w:r w:rsidRPr="005D59A7">
        <w:rPr>
          <w:rFonts w:ascii="T" w:eastAsia="Calibri" w:hAnsi="T" w:cs="Arial"/>
          <w:lang w:bidi="ar-EG"/>
        </w:rPr>
        <w:t xml:space="preserve">, J., Jager, N. W., </w:t>
      </w:r>
      <w:proofErr w:type="spellStart"/>
      <w:r w:rsidRPr="005D59A7">
        <w:rPr>
          <w:rFonts w:ascii="T" w:eastAsia="Calibri" w:hAnsi="T" w:cs="Arial"/>
          <w:lang w:bidi="ar-EG"/>
        </w:rPr>
        <w:t>Challies</w:t>
      </w:r>
      <w:proofErr w:type="spellEnd"/>
      <w:r w:rsidRPr="005D59A7">
        <w:rPr>
          <w:rFonts w:ascii="T" w:eastAsia="Calibri" w:hAnsi="T" w:cs="Arial"/>
          <w:lang w:bidi="ar-EG"/>
        </w:rPr>
        <w:t xml:space="preserve">, E., &amp; </w:t>
      </w:r>
      <w:proofErr w:type="spellStart"/>
      <w:r w:rsidRPr="005D59A7">
        <w:rPr>
          <w:rFonts w:ascii="T" w:eastAsia="Calibri" w:hAnsi="T" w:cs="Arial"/>
          <w:lang w:bidi="ar-EG"/>
        </w:rPr>
        <w:t>Kochskämper</w:t>
      </w:r>
      <w:proofErr w:type="spellEnd"/>
      <w:r w:rsidRPr="005D59A7">
        <w:rPr>
          <w:rFonts w:ascii="T" w:eastAsia="Calibri" w:hAnsi="T" w:cs="Arial"/>
          <w:lang w:bidi="ar-EG"/>
        </w:rPr>
        <w:t>, E. (2023). Does stakeholder participation improve environmental governance? Evidence from a meta-analysis of 305 case studies. Global Environmental Change, 82, 102705.</w:t>
      </w:r>
      <w:r w:rsidRPr="005D59A7">
        <w:rPr>
          <w:rFonts w:ascii="T" w:eastAsia="Calibri" w:hAnsi="T" w:cs="Arial"/>
          <w:rtl/>
          <w:lang w:bidi="ar-EG"/>
        </w:rPr>
        <w:t>‏</w:t>
      </w:r>
    </w:p>
    <w:p w14:paraId="3EB8DCB2"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Sörlin</w:t>
      </w:r>
      <w:proofErr w:type="spellEnd"/>
      <w:r w:rsidRPr="005D59A7">
        <w:rPr>
          <w:rFonts w:ascii="T" w:eastAsia="Calibri" w:hAnsi="T" w:cs="Arial"/>
          <w:lang w:bidi="ar-EG"/>
        </w:rPr>
        <w:t xml:space="preserve">, S., Warde, P., Akerman, I., Höglund Hellgren, J., </w:t>
      </w:r>
      <w:proofErr w:type="spellStart"/>
      <w:r w:rsidRPr="005D59A7">
        <w:rPr>
          <w:rFonts w:ascii="T" w:eastAsia="Calibri" w:hAnsi="T" w:cs="Arial"/>
          <w:lang w:bidi="ar-EG"/>
        </w:rPr>
        <w:t>Höhler</w:t>
      </w:r>
      <w:proofErr w:type="spellEnd"/>
      <w:r w:rsidRPr="005D59A7">
        <w:rPr>
          <w:rFonts w:ascii="T" w:eastAsia="Calibri" w:hAnsi="T" w:cs="Arial"/>
          <w:lang w:bidi="ar-EG"/>
        </w:rPr>
        <w:t xml:space="preserve">, S., Isberg, E., ... &amp; Schrøder, T. H. (2025). The great dispersal: The fall and rise of global environmental governance. </w:t>
      </w:r>
      <w:proofErr w:type="spellStart"/>
      <w:r w:rsidRPr="005D59A7">
        <w:rPr>
          <w:rFonts w:ascii="T" w:eastAsia="Calibri" w:hAnsi="T" w:cs="Arial"/>
          <w:lang w:bidi="ar-EG"/>
        </w:rPr>
        <w:t>Ambio</w:t>
      </w:r>
      <w:proofErr w:type="spellEnd"/>
      <w:r w:rsidRPr="005D59A7">
        <w:rPr>
          <w:rFonts w:ascii="T" w:eastAsia="Calibri" w:hAnsi="T" w:cs="Arial"/>
          <w:lang w:bidi="ar-EG"/>
        </w:rPr>
        <w:t>, 54(8), 1267-1288.</w:t>
      </w:r>
      <w:r w:rsidRPr="005D59A7">
        <w:rPr>
          <w:rFonts w:ascii="T" w:eastAsia="Calibri" w:hAnsi="T" w:cs="Arial"/>
          <w:rtl/>
          <w:lang w:bidi="ar-EG"/>
        </w:rPr>
        <w:t>‏</w:t>
      </w:r>
    </w:p>
    <w:p w14:paraId="54F76B62"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Bibri</w:t>
      </w:r>
      <w:proofErr w:type="spellEnd"/>
      <w:r w:rsidRPr="005D59A7">
        <w:rPr>
          <w:rFonts w:ascii="T" w:eastAsia="Calibri" w:hAnsi="T" w:cs="Arial"/>
          <w:lang w:bidi="ar-EG"/>
        </w:rPr>
        <w:t xml:space="preserve">, S. E., Huang, J., &amp; </w:t>
      </w:r>
      <w:proofErr w:type="spellStart"/>
      <w:r w:rsidRPr="005D59A7">
        <w:rPr>
          <w:rFonts w:ascii="T" w:eastAsia="Calibri" w:hAnsi="T" w:cs="Arial"/>
          <w:lang w:bidi="ar-EG"/>
        </w:rPr>
        <w:t>Krogstie</w:t>
      </w:r>
      <w:proofErr w:type="spellEnd"/>
      <w:r w:rsidRPr="005D59A7">
        <w:rPr>
          <w:rFonts w:ascii="T" w:eastAsia="Calibri" w:hAnsi="T" w:cs="Arial"/>
          <w:lang w:bidi="ar-EG"/>
        </w:rPr>
        <w:t>, J. (2024). Artificial intelligence of things for synergizing smarter eco-city brain, metabolism, and platform: Pioneering data-driven environmental governance. Sustainable Cities and Society, 108, 105516.</w:t>
      </w:r>
      <w:r w:rsidRPr="005D59A7">
        <w:rPr>
          <w:rFonts w:ascii="T" w:eastAsia="Calibri" w:hAnsi="T" w:cs="Arial"/>
          <w:rtl/>
          <w:lang w:bidi="ar-EG"/>
        </w:rPr>
        <w:t>‏</w:t>
      </w:r>
    </w:p>
    <w:p w14:paraId="32DF7CD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Bakhsh, S., Zhang, W., Ali, K., &amp; Oláh, J. (2024). Strategy towards sustainable energy transition: The effect of environmental governance, economic complexity and geopolitics. Energy Strategy Reviews, 52, 101330.</w:t>
      </w:r>
      <w:r w:rsidRPr="005D59A7">
        <w:rPr>
          <w:rFonts w:ascii="T" w:eastAsia="Calibri" w:hAnsi="T" w:cs="Arial"/>
          <w:rtl/>
          <w:lang w:bidi="ar-EG"/>
        </w:rPr>
        <w:t>‏</w:t>
      </w:r>
    </w:p>
    <w:p w14:paraId="42C4658C"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Albitar</w:t>
      </w:r>
      <w:proofErr w:type="spellEnd"/>
      <w:r w:rsidRPr="005D59A7">
        <w:rPr>
          <w:rFonts w:ascii="T" w:eastAsia="Calibri" w:hAnsi="T" w:cs="Arial"/>
          <w:lang w:bidi="ar-EG"/>
        </w:rPr>
        <w:t>, K., Borgi, H., Khan, M., &amp; Zahra, A. (2023). Business environmental innovation and CO2 emissions: The moderating role of environmental governance. Business strategy and the environment, 32(4), 1996-2007.</w:t>
      </w:r>
      <w:r w:rsidRPr="005D59A7">
        <w:rPr>
          <w:rFonts w:ascii="T" w:eastAsia="Calibri" w:hAnsi="T" w:cs="Arial"/>
          <w:rtl/>
          <w:lang w:bidi="ar-EG"/>
        </w:rPr>
        <w:t>‏</w:t>
      </w:r>
    </w:p>
    <w:p w14:paraId="03787CD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Kloppenburg, S., Gupta, A., Kruk, S. R., Makris, S., Bergsvik, R., </w:t>
      </w:r>
      <w:proofErr w:type="spellStart"/>
      <w:r w:rsidRPr="005D59A7">
        <w:rPr>
          <w:rFonts w:ascii="T" w:eastAsia="Calibri" w:hAnsi="T" w:cs="Arial"/>
          <w:lang w:bidi="ar-EG"/>
        </w:rPr>
        <w:t>Korenhof</w:t>
      </w:r>
      <w:proofErr w:type="spellEnd"/>
      <w:r w:rsidRPr="005D59A7">
        <w:rPr>
          <w:rFonts w:ascii="T" w:eastAsia="Calibri" w:hAnsi="T" w:cs="Arial"/>
          <w:lang w:bidi="ar-EG"/>
        </w:rPr>
        <w:t xml:space="preserve">, P., ... &amp; Toonen, H. M. (2022). Scrutinizing environmental governance in a digital age: </w:t>
      </w:r>
      <w:proofErr w:type="gramStart"/>
      <w:r w:rsidRPr="005D59A7">
        <w:rPr>
          <w:rFonts w:ascii="T" w:eastAsia="Calibri" w:hAnsi="T" w:cs="Arial"/>
          <w:lang w:bidi="ar-EG"/>
        </w:rPr>
        <w:t>New</w:t>
      </w:r>
      <w:proofErr w:type="gramEnd"/>
      <w:r w:rsidRPr="005D59A7">
        <w:rPr>
          <w:rFonts w:ascii="T" w:eastAsia="Calibri" w:hAnsi="T" w:cs="Arial"/>
          <w:lang w:bidi="ar-EG"/>
        </w:rPr>
        <w:t xml:space="preserve"> ways of seeing, participating, and intervening. One Earth, 5(3), 232-241.</w:t>
      </w:r>
      <w:r w:rsidRPr="005D59A7">
        <w:rPr>
          <w:rFonts w:ascii="T" w:eastAsia="Calibri" w:hAnsi="T" w:cs="Arial"/>
          <w:rtl/>
          <w:lang w:bidi="ar-EG"/>
        </w:rPr>
        <w:t>‏</w:t>
      </w:r>
    </w:p>
    <w:p w14:paraId="405AC4F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Mehta, L., Leach, M., &amp; Scoones, I. (2025). Environmental governance in an uncertain world. IDS bulletin, 56(1A).</w:t>
      </w:r>
      <w:r w:rsidRPr="005D59A7">
        <w:rPr>
          <w:rFonts w:ascii="T" w:eastAsia="Calibri" w:hAnsi="T" w:cs="Arial"/>
          <w:rtl/>
          <w:lang w:bidi="ar-EG"/>
        </w:rPr>
        <w:t>‏</w:t>
      </w:r>
    </w:p>
    <w:p w14:paraId="7542DE5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Flyvbjerg, B. (2014). What you should know about megaprojects and why: An overview.</w:t>
      </w:r>
    </w:p>
    <w:p w14:paraId="2157B82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Hodge, G. A., &amp; Greve, C. (2018). Contemporary public-private partnership: Towards a global research agenda.</w:t>
      </w:r>
    </w:p>
    <w:p w14:paraId="3D413572" w14:textId="77777777" w:rsidR="00A63F47" w:rsidRPr="005D59A7" w:rsidRDefault="00A63F47" w:rsidP="00A63F47">
      <w:pPr>
        <w:jc w:val="both"/>
        <w:rPr>
          <w:rFonts w:ascii="T" w:eastAsia="Calibri" w:hAnsi="T" w:cs="Arial"/>
          <w:rtl/>
          <w:lang w:bidi="ar-EG"/>
        </w:rPr>
      </w:pPr>
    </w:p>
    <w:p w14:paraId="09AC188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lastRenderedPageBreak/>
        <w:t xml:space="preserve">Hodge, G. A., Greve, C., &amp; </w:t>
      </w:r>
      <w:proofErr w:type="spellStart"/>
      <w:r w:rsidRPr="005D59A7">
        <w:rPr>
          <w:rFonts w:ascii="T" w:eastAsia="Calibri" w:hAnsi="T" w:cs="Arial"/>
          <w:lang w:bidi="ar-EG"/>
        </w:rPr>
        <w:t>Biygautane</w:t>
      </w:r>
      <w:proofErr w:type="spellEnd"/>
      <w:r w:rsidRPr="005D59A7">
        <w:rPr>
          <w:rFonts w:ascii="T" w:eastAsia="Calibri" w:hAnsi="T" w:cs="Arial"/>
          <w:lang w:bidi="ar-EG"/>
        </w:rPr>
        <w:t>, M. (2018). Do public–private partnerships work? What and how have we been learning so far?</w:t>
      </w:r>
    </w:p>
    <w:p w14:paraId="2A34C848"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Roehrich, J. K., Lewis, M. A., &amp; George, G. (2014). Are public–private partnerships a healthy option? A systematic literature review.</w:t>
      </w:r>
    </w:p>
    <w:p w14:paraId="45F44D9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Song, Y., &amp; Hao, S. (2023). Influence of project governance mechanisms on the sustainable development of public-private partnership projects.</w:t>
      </w:r>
    </w:p>
    <w:p w14:paraId="4850A498" w14:textId="77777777" w:rsidR="00A63F47" w:rsidRPr="005D59A7" w:rsidRDefault="00A63F47" w:rsidP="00A63F47">
      <w:pPr>
        <w:jc w:val="both"/>
        <w:rPr>
          <w:rFonts w:ascii="T" w:eastAsia="Calibri" w:hAnsi="T" w:cs="Arial"/>
          <w:rtl/>
          <w:lang w:bidi="ar-EG"/>
        </w:rPr>
      </w:pPr>
    </w:p>
    <w:p w14:paraId="58C72AC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Wang, Y., et al. (2020). The influence of governance on the implementation of public–private partnerships in the United Kingdom and China: A systematic comparison.</w:t>
      </w:r>
    </w:p>
    <w:p w14:paraId="6BC183D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Xiong, W., Chen, B., Wang, H., &amp; Zhu, D. (2019). Governing public–private partnerships: A systematic review of case study literature.</w:t>
      </w:r>
    </w:p>
    <w:p w14:paraId="79EB9DA1" w14:textId="77777777" w:rsidR="00A63F47" w:rsidRPr="005D59A7" w:rsidRDefault="00A63F47" w:rsidP="00A63F47">
      <w:pPr>
        <w:jc w:val="both"/>
        <w:rPr>
          <w:rFonts w:ascii="T" w:eastAsia="Calibri" w:hAnsi="T" w:cs="Arial"/>
          <w:rtl/>
          <w:lang w:bidi="ar-EG"/>
        </w:rPr>
      </w:pPr>
    </w:p>
    <w:p w14:paraId="5F0B111D"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Zhang, X., et al. (2020). Public–private partnerships as a governance response to sustainable urbanization: Lessons from China.</w:t>
      </w:r>
    </w:p>
    <w:p w14:paraId="469C6777"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Waardenburg, M., </w:t>
      </w:r>
      <w:proofErr w:type="spellStart"/>
      <w:r w:rsidRPr="005D59A7">
        <w:rPr>
          <w:rFonts w:ascii="T" w:eastAsia="Calibri" w:hAnsi="T" w:cs="Arial"/>
          <w:lang w:bidi="ar-EG"/>
        </w:rPr>
        <w:t>Groenleer</w:t>
      </w:r>
      <w:proofErr w:type="spellEnd"/>
      <w:r w:rsidRPr="005D59A7">
        <w:rPr>
          <w:rFonts w:ascii="T" w:eastAsia="Calibri" w:hAnsi="T" w:cs="Arial"/>
          <w:lang w:bidi="ar-EG"/>
        </w:rPr>
        <w:t>, M., &amp; de Jong, J. (2025). Performance management in collaborative governance: a review of the literature and synthesis of the challenges. Public Performance &amp; Management Review, 48(4), 735-767.</w:t>
      </w:r>
      <w:r w:rsidRPr="005D59A7">
        <w:rPr>
          <w:rFonts w:ascii="T" w:eastAsia="Calibri" w:hAnsi="T" w:cs="Arial"/>
          <w:rtl/>
          <w:lang w:bidi="ar-EG"/>
        </w:rPr>
        <w:t>‏</w:t>
      </w:r>
    </w:p>
    <w:p w14:paraId="793A2994"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Atmaja, D. S., </w:t>
      </w:r>
      <w:proofErr w:type="spellStart"/>
      <w:r w:rsidRPr="005D59A7">
        <w:rPr>
          <w:rFonts w:ascii="T" w:eastAsia="Calibri" w:hAnsi="T" w:cs="Arial"/>
          <w:lang w:bidi="ar-EG"/>
        </w:rPr>
        <w:t>Fachrurazi</w:t>
      </w:r>
      <w:proofErr w:type="spellEnd"/>
      <w:r w:rsidRPr="005D59A7">
        <w:rPr>
          <w:rFonts w:ascii="T" w:eastAsia="Calibri" w:hAnsi="T" w:cs="Arial"/>
          <w:lang w:bidi="ar-EG"/>
        </w:rPr>
        <w:t>, F., Abdullah, A., Fauziah, F., Zaroni, A. N., &amp; Yusuf, M. (2022). Actualization of performance management models for the development of human resources quality, economic potential, and financial governance policy in Indonesia Ministry of Education.</w:t>
      </w:r>
      <w:r w:rsidRPr="005D59A7">
        <w:rPr>
          <w:rFonts w:ascii="T" w:eastAsia="Calibri" w:hAnsi="T" w:cs="Arial"/>
          <w:rtl/>
          <w:lang w:bidi="ar-EG"/>
        </w:rPr>
        <w:t>‏</w:t>
      </w:r>
    </w:p>
    <w:p w14:paraId="4759FB7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Biondi, L., &amp; Russo, S. (2022). Integrating strategic planning and performance management in universities: a multiple case-study analysis. journal of management and governance, 26(2), 417-448.</w:t>
      </w:r>
      <w:r w:rsidRPr="005D59A7">
        <w:rPr>
          <w:rFonts w:ascii="T" w:eastAsia="Calibri" w:hAnsi="T" w:cs="Arial"/>
          <w:rtl/>
          <w:lang w:bidi="ar-EG"/>
        </w:rPr>
        <w:t>‏</w:t>
      </w:r>
    </w:p>
    <w:p w14:paraId="620FEE7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Yadav, P., &amp; Prashar, A. (2023). Board gender diversity: implications for environment, social, and governance (ESG) performance of Indian firms. International Journal of Productivity and Performance Management, 72(9), 2654-2673.</w:t>
      </w:r>
      <w:r w:rsidRPr="005D59A7">
        <w:rPr>
          <w:rFonts w:ascii="T" w:eastAsia="Calibri" w:hAnsi="T" w:cs="Arial"/>
          <w:rtl/>
          <w:lang w:bidi="ar-EG"/>
        </w:rPr>
        <w:t>‏</w:t>
      </w:r>
    </w:p>
    <w:p w14:paraId="183B87C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Martiny, A., Taglialatela, J., Testa, F., &amp; </w:t>
      </w:r>
      <w:proofErr w:type="spellStart"/>
      <w:r w:rsidRPr="005D59A7">
        <w:rPr>
          <w:rFonts w:ascii="T" w:eastAsia="Calibri" w:hAnsi="T" w:cs="Arial"/>
          <w:lang w:bidi="ar-EG"/>
        </w:rPr>
        <w:t>Iraldo</w:t>
      </w:r>
      <w:proofErr w:type="spellEnd"/>
      <w:r w:rsidRPr="005D59A7">
        <w:rPr>
          <w:rFonts w:ascii="T" w:eastAsia="Calibri" w:hAnsi="T" w:cs="Arial"/>
          <w:lang w:bidi="ar-EG"/>
        </w:rPr>
        <w:t>, F. (2024). Determinants of environmental social and governance (ESG) performance: A systematic literature review. Journal of Cleaner Production, 456, 142213.</w:t>
      </w:r>
      <w:r w:rsidRPr="005D59A7">
        <w:rPr>
          <w:rFonts w:ascii="T" w:eastAsia="Calibri" w:hAnsi="T" w:cs="Arial"/>
          <w:rtl/>
          <w:lang w:bidi="ar-EG"/>
        </w:rPr>
        <w:t>‏</w:t>
      </w:r>
    </w:p>
    <w:p w14:paraId="3ED564A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Kaunda, E., &amp; Pelser, T. (2023). Corporate governance and performance of state-owned enterprises in a least developed economy. South African Journal of Business Management, 54(1), 3827.</w:t>
      </w:r>
      <w:r w:rsidRPr="005D59A7">
        <w:rPr>
          <w:rFonts w:ascii="T" w:eastAsia="Calibri" w:hAnsi="T" w:cs="Arial"/>
          <w:rtl/>
          <w:lang w:bidi="ar-EG"/>
        </w:rPr>
        <w:t>‏</w:t>
      </w:r>
    </w:p>
    <w:p w14:paraId="1B83B98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Jubair, S. M. B., &amp; Singh, J. S. K. (2022). Critical success factors of Public-private Partnership (PPP) projects in the Kingdom of Saudi Arabia. </w:t>
      </w:r>
      <w:proofErr w:type="spellStart"/>
      <w:r w:rsidRPr="005D59A7">
        <w:rPr>
          <w:rFonts w:ascii="T" w:eastAsia="Calibri" w:hAnsi="T" w:cs="Arial"/>
          <w:lang w:bidi="ar-EG"/>
        </w:rPr>
        <w:t>Webology</w:t>
      </w:r>
      <w:proofErr w:type="spellEnd"/>
      <w:r w:rsidRPr="005D59A7">
        <w:rPr>
          <w:rFonts w:ascii="T" w:eastAsia="Calibri" w:hAnsi="T" w:cs="Arial"/>
          <w:lang w:bidi="ar-EG"/>
        </w:rPr>
        <w:t>, 19(1), 1521-1540.</w:t>
      </w:r>
      <w:r w:rsidRPr="005D59A7">
        <w:rPr>
          <w:rFonts w:ascii="T" w:eastAsia="Calibri" w:hAnsi="T" w:cs="Arial"/>
          <w:rtl/>
          <w:lang w:bidi="ar-EG"/>
        </w:rPr>
        <w:t>‏</w:t>
      </w:r>
    </w:p>
    <w:p w14:paraId="27706B5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Hidalgo, A. J. G. (2024). Infrastructure Development in Saudi Arabia Through the Public-Private Partnership Scheme Within the Saudi Vision 2030 (Doctoral dissertation, Doctoral dissertation, UNIVERSIDAD POLITÉCNICA DE MADRID).</w:t>
      </w:r>
      <w:r w:rsidRPr="005D59A7">
        <w:rPr>
          <w:rFonts w:ascii="T" w:eastAsia="Calibri" w:hAnsi="T" w:cs="Arial"/>
          <w:rtl/>
          <w:lang w:bidi="ar-EG"/>
        </w:rPr>
        <w:t>‏</w:t>
      </w:r>
    </w:p>
    <w:p w14:paraId="1ED2F4E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Guerrero, A., Lara-Galera, A., Alcaraz Carrillo de Albornoz, V., &amp; Arévalo </w:t>
      </w:r>
      <w:proofErr w:type="spellStart"/>
      <w:r w:rsidRPr="005D59A7">
        <w:rPr>
          <w:rFonts w:ascii="T" w:eastAsia="Calibri" w:hAnsi="T" w:cs="Arial"/>
          <w:lang w:bidi="ar-EG"/>
        </w:rPr>
        <w:t>Sarrate</w:t>
      </w:r>
      <w:proofErr w:type="spellEnd"/>
      <w:r w:rsidRPr="005D59A7">
        <w:rPr>
          <w:rFonts w:ascii="T" w:eastAsia="Calibri" w:hAnsi="T" w:cs="Arial"/>
          <w:lang w:bidi="ar-EG"/>
        </w:rPr>
        <w:t>, C. (2024). Determinant features to reduce the infrastructure gap in Saudi Arabia under a public–private partnership scheme. Buildings, 14(3), 699.</w:t>
      </w:r>
      <w:r w:rsidRPr="005D59A7">
        <w:rPr>
          <w:rFonts w:ascii="T" w:eastAsia="Calibri" w:hAnsi="T" w:cs="Arial"/>
          <w:rtl/>
          <w:lang w:bidi="ar-EG"/>
        </w:rPr>
        <w:t>‏</w:t>
      </w:r>
    </w:p>
    <w:p w14:paraId="1E08EA0D" w14:textId="77777777" w:rsidR="00A63F47" w:rsidRPr="005D59A7" w:rsidRDefault="00A63F47" w:rsidP="00A63F47">
      <w:pPr>
        <w:jc w:val="both"/>
        <w:rPr>
          <w:rFonts w:ascii="T" w:eastAsia="Calibri" w:hAnsi="T" w:cs="Arial"/>
          <w:rtl/>
          <w:lang w:bidi="ar-EG"/>
        </w:rPr>
      </w:pPr>
    </w:p>
    <w:p w14:paraId="5707C2CC"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Alruwaili</w:t>
      </w:r>
      <w:proofErr w:type="spellEnd"/>
      <w:r w:rsidRPr="005D59A7">
        <w:rPr>
          <w:rFonts w:ascii="T" w:eastAsia="Calibri" w:hAnsi="T" w:cs="Arial"/>
          <w:lang w:bidi="ar-EG"/>
        </w:rPr>
        <w:t xml:space="preserve">, R., Al-Anzi, S., </w:t>
      </w:r>
      <w:proofErr w:type="spellStart"/>
      <w:r w:rsidRPr="005D59A7">
        <w:rPr>
          <w:rFonts w:ascii="T" w:eastAsia="Calibri" w:hAnsi="T" w:cs="Arial"/>
          <w:lang w:bidi="ar-EG"/>
        </w:rPr>
        <w:t>Alkhasha</w:t>
      </w:r>
      <w:proofErr w:type="spellEnd"/>
      <w:r w:rsidRPr="005D59A7">
        <w:rPr>
          <w:rFonts w:ascii="T" w:eastAsia="Calibri" w:hAnsi="T" w:cs="Arial"/>
          <w:lang w:bidi="ar-EG"/>
        </w:rPr>
        <w:t xml:space="preserve">, A., &amp; </w:t>
      </w:r>
      <w:proofErr w:type="spellStart"/>
      <w:r w:rsidRPr="005D59A7">
        <w:rPr>
          <w:rFonts w:ascii="T" w:eastAsia="Calibri" w:hAnsi="T" w:cs="Arial"/>
          <w:lang w:bidi="ar-EG"/>
        </w:rPr>
        <w:t>Benlaria</w:t>
      </w:r>
      <w:proofErr w:type="spellEnd"/>
      <w:r w:rsidRPr="005D59A7">
        <w:rPr>
          <w:rFonts w:ascii="T" w:eastAsia="Calibri" w:hAnsi="T" w:cs="Arial"/>
          <w:lang w:bidi="ar-EG"/>
        </w:rPr>
        <w:t>, H. O. U. C. I. N. E. (2024). The Interplay of Knowledge Management, E-Governance, and Business Performance Efficiency: Insights from Saudi Public Sector Institutions. WSEAS Transactions on Business and Economics, 21, 2026-2041.</w:t>
      </w:r>
      <w:r w:rsidRPr="005D59A7">
        <w:rPr>
          <w:rFonts w:ascii="T" w:eastAsia="Calibri" w:hAnsi="T" w:cs="Arial"/>
          <w:rtl/>
          <w:lang w:bidi="ar-EG"/>
        </w:rPr>
        <w:t>‏</w:t>
      </w:r>
    </w:p>
    <w:p w14:paraId="5FC8F049"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Bendary</w:t>
      </w:r>
      <w:proofErr w:type="spellEnd"/>
      <w:r w:rsidRPr="005D59A7">
        <w:rPr>
          <w:rFonts w:ascii="T" w:eastAsia="Calibri" w:hAnsi="T" w:cs="Arial"/>
          <w:lang w:bidi="ar-EG"/>
        </w:rPr>
        <w:t>, M. G., &amp; Rajadurai, J. (2024). Emerging Technologies and Public Innovation in the Saudi Public Sector: an analysis of Adoption and challenges amidst Vision 2030. The Innovation Journal, 29(1), 1-42.</w:t>
      </w:r>
      <w:r w:rsidRPr="005D59A7">
        <w:rPr>
          <w:rFonts w:ascii="T" w:eastAsia="Calibri" w:hAnsi="T" w:cs="Arial"/>
          <w:rtl/>
          <w:lang w:bidi="ar-EG"/>
        </w:rPr>
        <w:t>‏</w:t>
      </w:r>
    </w:p>
    <w:p w14:paraId="3AB71B1A"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Bodrick, M. M., Alkindi, E. T., </w:t>
      </w:r>
      <w:proofErr w:type="spellStart"/>
      <w:r w:rsidRPr="005D59A7">
        <w:rPr>
          <w:rFonts w:ascii="T" w:eastAsia="Calibri" w:hAnsi="T" w:cs="Arial"/>
          <w:lang w:bidi="ar-EG"/>
        </w:rPr>
        <w:t>Alassaf</w:t>
      </w:r>
      <w:proofErr w:type="spellEnd"/>
      <w:r w:rsidRPr="005D59A7">
        <w:rPr>
          <w:rFonts w:ascii="T" w:eastAsia="Calibri" w:hAnsi="T" w:cs="Arial"/>
          <w:lang w:bidi="ar-EG"/>
        </w:rPr>
        <w:t xml:space="preserve">, M. I., </w:t>
      </w:r>
      <w:proofErr w:type="spellStart"/>
      <w:r w:rsidRPr="005D59A7">
        <w:rPr>
          <w:rFonts w:ascii="T" w:eastAsia="Calibri" w:hAnsi="T" w:cs="Arial"/>
          <w:lang w:bidi="ar-EG"/>
        </w:rPr>
        <w:t>Alrasi</w:t>
      </w:r>
      <w:proofErr w:type="spellEnd"/>
      <w:r w:rsidRPr="005D59A7">
        <w:rPr>
          <w:rFonts w:ascii="T" w:eastAsia="Calibri" w:hAnsi="T" w:cs="Arial"/>
          <w:lang w:bidi="ar-EG"/>
        </w:rPr>
        <w:t xml:space="preserve">, M. Y., </w:t>
      </w:r>
      <w:proofErr w:type="spellStart"/>
      <w:r w:rsidRPr="005D59A7">
        <w:rPr>
          <w:rFonts w:ascii="T" w:eastAsia="Calibri" w:hAnsi="T" w:cs="Arial"/>
          <w:lang w:bidi="ar-EG"/>
        </w:rPr>
        <w:t>Aljuffali</w:t>
      </w:r>
      <w:proofErr w:type="spellEnd"/>
      <w:r w:rsidRPr="005D59A7">
        <w:rPr>
          <w:rFonts w:ascii="T" w:eastAsia="Calibri" w:hAnsi="T" w:cs="Arial"/>
          <w:lang w:bidi="ar-EG"/>
        </w:rPr>
        <w:t xml:space="preserve">, L., </w:t>
      </w:r>
      <w:proofErr w:type="spellStart"/>
      <w:r w:rsidRPr="005D59A7">
        <w:rPr>
          <w:rFonts w:ascii="T" w:eastAsia="Calibri" w:hAnsi="T" w:cs="Arial"/>
          <w:lang w:bidi="ar-EG"/>
        </w:rPr>
        <w:t>Alhawas</w:t>
      </w:r>
      <w:proofErr w:type="spellEnd"/>
      <w:r w:rsidRPr="005D59A7">
        <w:rPr>
          <w:rFonts w:ascii="T" w:eastAsia="Calibri" w:hAnsi="T" w:cs="Arial"/>
          <w:lang w:bidi="ar-EG"/>
        </w:rPr>
        <w:t xml:space="preserve">, A. A., ... &amp; Alsuhaim, M. I. (2025). The Contextual Dynamism of Organizational Leadership in Saudi Arabia: What is Next After Change, Transition, and Transformation-Is it </w:t>
      </w:r>
      <w:proofErr w:type="gramStart"/>
      <w:r w:rsidRPr="005D59A7">
        <w:rPr>
          <w:rFonts w:ascii="T" w:eastAsia="Calibri" w:hAnsi="T" w:cs="Arial"/>
          <w:lang w:bidi="ar-EG"/>
        </w:rPr>
        <w:t>Transmogrification?.</w:t>
      </w:r>
      <w:proofErr w:type="gramEnd"/>
      <w:r w:rsidRPr="005D59A7">
        <w:rPr>
          <w:rFonts w:ascii="T" w:eastAsia="Calibri" w:hAnsi="T" w:cs="Arial"/>
          <w:lang w:bidi="ar-EG"/>
        </w:rPr>
        <w:t xml:space="preserve"> Journal of Business and Management Studies, 7(3), 355-363.</w:t>
      </w:r>
      <w:r w:rsidRPr="005D59A7">
        <w:rPr>
          <w:rFonts w:ascii="T" w:eastAsia="Calibri" w:hAnsi="T" w:cs="Arial"/>
          <w:rtl/>
          <w:lang w:bidi="ar-EG"/>
        </w:rPr>
        <w:t>‏</w:t>
      </w:r>
    </w:p>
    <w:p w14:paraId="1D979495"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Elkebti, O. A. M., &amp; Khalifa, W. M. (2025). Assessing the </w:t>
      </w:r>
      <w:proofErr w:type="spellStart"/>
      <w:r w:rsidRPr="005D59A7">
        <w:rPr>
          <w:rFonts w:ascii="T" w:eastAsia="Calibri" w:hAnsi="T" w:cs="Arial"/>
          <w:lang w:bidi="ar-EG"/>
        </w:rPr>
        <w:t>saudi</w:t>
      </w:r>
      <w:proofErr w:type="spellEnd"/>
      <w:r w:rsidRPr="005D59A7">
        <w:rPr>
          <w:rFonts w:ascii="T" w:eastAsia="Calibri" w:hAnsi="T" w:cs="Arial"/>
          <w:lang w:bidi="ar-EG"/>
        </w:rPr>
        <w:t xml:space="preserve"> and middle east green initiatives: the role of environmental governance, renewable energy transition, and innovation in achieving a regional green future. Sustainability, 17(12), 5307.</w:t>
      </w:r>
      <w:r w:rsidRPr="005D59A7">
        <w:rPr>
          <w:rFonts w:ascii="T" w:eastAsia="Calibri" w:hAnsi="T" w:cs="Arial"/>
          <w:rtl/>
          <w:lang w:bidi="ar-EG"/>
        </w:rPr>
        <w:t>‏</w:t>
      </w:r>
    </w:p>
    <w:p w14:paraId="5B2BCD54"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Almeflh, A. A., &amp; </w:t>
      </w:r>
      <w:proofErr w:type="spellStart"/>
      <w:r w:rsidRPr="005D59A7">
        <w:rPr>
          <w:rFonts w:ascii="T" w:eastAsia="Calibri" w:hAnsi="T" w:cs="Arial"/>
          <w:lang w:bidi="ar-EG"/>
        </w:rPr>
        <w:t>Almofleh</w:t>
      </w:r>
      <w:proofErr w:type="spellEnd"/>
      <w:r w:rsidRPr="005D59A7">
        <w:rPr>
          <w:rFonts w:ascii="T" w:eastAsia="Calibri" w:hAnsi="T" w:cs="Arial"/>
          <w:lang w:bidi="ar-EG"/>
        </w:rPr>
        <w:t>, M. I. (2025). Institutional drivers of environmental accounting and responses of organizations. Discover Sustainability.</w:t>
      </w:r>
      <w:r w:rsidRPr="005D59A7">
        <w:rPr>
          <w:rFonts w:ascii="T" w:eastAsia="Calibri" w:hAnsi="T" w:cs="Arial"/>
          <w:rtl/>
          <w:lang w:bidi="ar-EG"/>
        </w:rPr>
        <w:t>‏</w:t>
      </w:r>
    </w:p>
    <w:p w14:paraId="3A70E80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Jan, D., Nigar, M., Ullah, F., Nizar, A., Fatima, N., Hussain, I., &amp; Rahman, S. U. (2025). Impact of public-private partnership and technology transfer on environmental sustainability. Social Science Review Archives, 3(1), 2569-2589.</w:t>
      </w:r>
      <w:r w:rsidRPr="005D59A7">
        <w:rPr>
          <w:rFonts w:ascii="T" w:eastAsia="Calibri" w:hAnsi="T" w:cs="Arial"/>
          <w:rtl/>
          <w:lang w:bidi="ar-EG"/>
        </w:rPr>
        <w:t>‏</w:t>
      </w:r>
    </w:p>
    <w:p w14:paraId="18815C1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Alhosani, K. (2025). Leveraging public–private partnerships for a circular industry economy: Advancing economic sustainability in industrial waste management in the Emirate of Ajman, UAE. Challenges, 16(3), 31.</w:t>
      </w:r>
      <w:r w:rsidRPr="005D59A7">
        <w:rPr>
          <w:rFonts w:ascii="T" w:eastAsia="Calibri" w:hAnsi="T" w:cs="Arial"/>
          <w:rtl/>
          <w:lang w:bidi="ar-EG"/>
        </w:rPr>
        <w:t>‏</w:t>
      </w:r>
    </w:p>
    <w:p w14:paraId="35B5824B" w14:textId="3E94D404"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Sampieri, S., &amp; </w:t>
      </w:r>
      <w:proofErr w:type="spellStart"/>
      <w:r w:rsidRPr="005D59A7">
        <w:rPr>
          <w:rFonts w:ascii="T" w:eastAsia="Calibri" w:hAnsi="T" w:cs="Arial"/>
          <w:lang w:bidi="ar-EG"/>
        </w:rPr>
        <w:t>Mazzetto</w:t>
      </w:r>
      <w:proofErr w:type="spellEnd"/>
      <w:r w:rsidRPr="005D59A7">
        <w:rPr>
          <w:rFonts w:ascii="T" w:eastAsia="Calibri" w:hAnsi="T" w:cs="Arial"/>
          <w:lang w:bidi="ar-EG"/>
        </w:rPr>
        <w:t>, S. (2025). Public–Private Partnership for the Sustainable Development of Tourism Hospitality: Comparisons Between Italy and Saudi Arabia. Sustainability, 17(15), 6662.</w:t>
      </w:r>
      <w:r w:rsidRPr="005D59A7">
        <w:rPr>
          <w:rFonts w:ascii="T" w:eastAsia="Calibri" w:hAnsi="T" w:cs="Arial"/>
          <w:rtl/>
          <w:lang w:bidi="ar-EG"/>
        </w:rPr>
        <w:t>‏</w:t>
      </w:r>
    </w:p>
    <w:p w14:paraId="074B6D6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Casady, C. B., </w:t>
      </w:r>
      <w:proofErr w:type="spellStart"/>
      <w:r w:rsidRPr="005D59A7">
        <w:rPr>
          <w:rFonts w:ascii="T" w:eastAsia="Calibri" w:hAnsi="T" w:cs="Arial"/>
          <w:lang w:bidi="ar-EG"/>
        </w:rPr>
        <w:t>Cepparulo</w:t>
      </w:r>
      <w:proofErr w:type="spellEnd"/>
      <w:r w:rsidRPr="005D59A7">
        <w:rPr>
          <w:rFonts w:ascii="T" w:eastAsia="Calibri" w:hAnsi="T" w:cs="Arial"/>
          <w:lang w:bidi="ar-EG"/>
        </w:rPr>
        <w:t xml:space="preserve">, A., &amp; Giuriato, L. (2024). Public-private partnerships for low-carbon, climate-resilient infrastructure: Insights from </w:t>
      </w:r>
      <w:proofErr w:type="gramStart"/>
      <w:r w:rsidRPr="005D59A7">
        <w:rPr>
          <w:rFonts w:ascii="T" w:eastAsia="Calibri" w:hAnsi="T" w:cs="Arial"/>
          <w:lang w:bidi="ar-EG"/>
        </w:rPr>
        <w:t>the literature</w:t>
      </w:r>
      <w:proofErr w:type="gramEnd"/>
      <w:r w:rsidRPr="005D59A7">
        <w:rPr>
          <w:rFonts w:ascii="T" w:eastAsia="Calibri" w:hAnsi="T" w:cs="Arial"/>
          <w:lang w:bidi="ar-EG"/>
        </w:rPr>
        <w:t>. Journal of Cleaner Production, 470, 143338.</w:t>
      </w:r>
      <w:r w:rsidRPr="005D59A7">
        <w:rPr>
          <w:rFonts w:ascii="T" w:eastAsia="Calibri" w:hAnsi="T" w:cs="Arial"/>
          <w:rtl/>
          <w:lang w:bidi="ar-EG"/>
        </w:rPr>
        <w:t>‏</w:t>
      </w:r>
    </w:p>
    <w:p w14:paraId="73AFE0CD"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Ramolobe</w:t>
      </w:r>
      <w:proofErr w:type="spellEnd"/>
      <w:r w:rsidRPr="005D59A7">
        <w:rPr>
          <w:rFonts w:ascii="T" w:eastAsia="Calibri" w:hAnsi="T" w:cs="Arial"/>
          <w:lang w:bidi="ar-EG"/>
        </w:rPr>
        <w:t xml:space="preserve">, K. S., &amp; </w:t>
      </w:r>
      <w:proofErr w:type="spellStart"/>
      <w:r w:rsidRPr="005D59A7">
        <w:rPr>
          <w:rFonts w:ascii="T" w:eastAsia="Calibri" w:hAnsi="T" w:cs="Arial"/>
          <w:lang w:bidi="ar-EG"/>
        </w:rPr>
        <w:t>Khandanisa</w:t>
      </w:r>
      <w:proofErr w:type="spellEnd"/>
      <w:r w:rsidRPr="005D59A7">
        <w:rPr>
          <w:rFonts w:ascii="T" w:eastAsia="Calibri" w:hAnsi="T" w:cs="Arial"/>
          <w:lang w:bidi="ar-EG"/>
        </w:rPr>
        <w:t>, U. (2024). The role of public–private partnership in achieving local government sustainable development. Africa’s public service delivery and performance review, 12(1), 816.</w:t>
      </w:r>
      <w:r w:rsidRPr="005D59A7">
        <w:rPr>
          <w:rFonts w:ascii="T" w:eastAsia="Calibri" w:hAnsi="T" w:cs="Arial"/>
          <w:rtl/>
          <w:lang w:bidi="ar-EG"/>
        </w:rPr>
        <w:t>‏</w:t>
      </w:r>
    </w:p>
    <w:p w14:paraId="3D501784"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Azarian, M., Shiferaw, A. T., Stevik, T. K., </w:t>
      </w:r>
      <w:proofErr w:type="spellStart"/>
      <w:r w:rsidRPr="005D59A7">
        <w:rPr>
          <w:rFonts w:ascii="T" w:eastAsia="Calibri" w:hAnsi="T" w:cs="Arial"/>
          <w:lang w:bidi="ar-EG"/>
        </w:rPr>
        <w:t>Lædre</w:t>
      </w:r>
      <w:proofErr w:type="spellEnd"/>
      <w:r w:rsidRPr="005D59A7">
        <w:rPr>
          <w:rFonts w:ascii="T" w:eastAsia="Calibri" w:hAnsi="T" w:cs="Arial"/>
          <w:lang w:bidi="ar-EG"/>
        </w:rPr>
        <w:t>, O., &amp; Wondimu, P. A. (2023). Public-private partnership: A bibliometric analysis and historical evolution. Buildings, 13(8), 2035.</w:t>
      </w:r>
      <w:r w:rsidRPr="005D59A7">
        <w:rPr>
          <w:rFonts w:ascii="T" w:eastAsia="Calibri" w:hAnsi="T" w:cs="Arial"/>
          <w:rtl/>
          <w:lang w:bidi="ar-EG"/>
        </w:rPr>
        <w:t>‏</w:t>
      </w:r>
    </w:p>
    <w:p w14:paraId="44A2E890"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Oyegbade</w:t>
      </w:r>
      <w:proofErr w:type="spellEnd"/>
      <w:r w:rsidRPr="005D59A7">
        <w:rPr>
          <w:rFonts w:ascii="T" w:eastAsia="Calibri" w:hAnsi="T" w:cs="Arial"/>
          <w:lang w:bidi="ar-EG"/>
        </w:rPr>
        <w:t xml:space="preserve">, I. K., Igwe, A. N., </w:t>
      </w:r>
      <w:proofErr w:type="spellStart"/>
      <w:r w:rsidRPr="005D59A7">
        <w:rPr>
          <w:rFonts w:ascii="T" w:eastAsia="Calibri" w:hAnsi="T" w:cs="Arial"/>
          <w:lang w:bidi="ar-EG"/>
        </w:rPr>
        <w:t>Ofodile</w:t>
      </w:r>
      <w:proofErr w:type="spellEnd"/>
      <w:r w:rsidRPr="005D59A7">
        <w:rPr>
          <w:rFonts w:ascii="T" w:eastAsia="Calibri" w:hAnsi="T" w:cs="Arial"/>
          <w:lang w:bidi="ar-EG"/>
        </w:rPr>
        <w:t>, O. C., &amp; Azubuike, C. (2022). Advancing SME financing through public-private partnerships and low-cost lending: A framework for inclusive growth. Iconic Research and Engineering Journals, 6(2), 289-302.</w:t>
      </w:r>
      <w:r w:rsidRPr="005D59A7">
        <w:rPr>
          <w:rFonts w:ascii="T" w:eastAsia="Calibri" w:hAnsi="T" w:cs="Arial"/>
          <w:rtl/>
          <w:lang w:bidi="ar-EG"/>
        </w:rPr>
        <w:t>‏</w:t>
      </w:r>
    </w:p>
    <w:p w14:paraId="38C0AC56"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Verweij, S., van </w:t>
      </w:r>
      <w:proofErr w:type="spellStart"/>
      <w:r w:rsidRPr="005D59A7">
        <w:rPr>
          <w:rFonts w:ascii="T" w:eastAsia="Calibri" w:hAnsi="T" w:cs="Arial"/>
          <w:lang w:bidi="ar-EG"/>
        </w:rPr>
        <w:t>Meerkerk</w:t>
      </w:r>
      <w:proofErr w:type="spellEnd"/>
      <w:r w:rsidRPr="005D59A7">
        <w:rPr>
          <w:rFonts w:ascii="T" w:eastAsia="Calibri" w:hAnsi="T" w:cs="Arial"/>
          <w:lang w:bidi="ar-EG"/>
        </w:rPr>
        <w:t xml:space="preserve">, I., &amp; Casady, C. B. (2022). The performance advantage of public-private partnerships: does it exist or </w:t>
      </w:r>
      <w:proofErr w:type="gramStart"/>
      <w:r w:rsidRPr="005D59A7">
        <w:rPr>
          <w:rFonts w:ascii="T" w:eastAsia="Calibri" w:hAnsi="T" w:cs="Arial"/>
          <w:lang w:bidi="ar-EG"/>
        </w:rPr>
        <w:t>not?.</w:t>
      </w:r>
      <w:proofErr w:type="gramEnd"/>
      <w:r w:rsidRPr="005D59A7">
        <w:rPr>
          <w:rFonts w:ascii="T" w:eastAsia="Calibri" w:hAnsi="T" w:cs="Arial"/>
          <w:lang w:bidi="ar-EG"/>
        </w:rPr>
        <w:t xml:space="preserve"> In Assessing the Performance Advantage of Public-Private Partnerships (pp. 1-26). Edward Elgar Publishing.</w:t>
      </w:r>
      <w:r w:rsidRPr="005D59A7">
        <w:rPr>
          <w:rFonts w:ascii="T" w:eastAsia="Calibri" w:hAnsi="T" w:cs="Arial"/>
          <w:rtl/>
          <w:lang w:bidi="ar-EG"/>
        </w:rPr>
        <w:t>‏</w:t>
      </w:r>
    </w:p>
    <w:p w14:paraId="52A038C8"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lastRenderedPageBreak/>
        <w:t>Verweij, S., &amp; Satheesh, S. A. (2023). In search of the collaborative advantage of public‐private partnerships: A comparative analysis of Dutch transport infrastructure projects. Public Administration Review, 83(3), 679-690.</w:t>
      </w:r>
      <w:r w:rsidRPr="005D59A7">
        <w:rPr>
          <w:rFonts w:ascii="T" w:eastAsia="Calibri" w:hAnsi="T" w:cs="Arial"/>
          <w:rtl/>
          <w:lang w:bidi="ar-EG"/>
        </w:rPr>
        <w:t>‏</w:t>
      </w:r>
    </w:p>
    <w:p w14:paraId="67AF2CD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Rodrigues, N. J. (2023, June). Public–private partnerships model applied to hospitals—a critical review. In Healthcare (Vol. 11, No. 12, p. 1723). MDPI.</w:t>
      </w:r>
      <w:r w:rsidRPr="005D59A7">
        <w:rPr>
          <w:rFonts w:ascii="T" w:eastAsia="Calibri" w:hAnsi="T" w:cs="Arial"/>
          <w:rtl/>
          <w:lang w:bidi="ar-EG"/>
        </w:rPr>
        <w:t>‏</w:t>
      </w:r>
    </w:p>
    <w:p w14:paraId="465737CD"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Batjargal, T., &amp; Zhang, M. (2022). Review on the public-private partnership. Management Studies, 10(1), 1-11.</w:t>
      </w:r>
      <w:r w:rsidRPr="005D59A7">
        <w:rPr>
          <w:rFonts w:ascii="T" w:eastAsia="Calibri" w:hAnsi="T" w:cs="Arial"/>
          <w:rtl/>
          <w:lang w:bidi="ar-EG"/>
        </w:rPr>
        <w:t>‏</w:t>
      </w:r>
    </w:p>
    <w:p w14:paraId="1B048034"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Aboelazm</w:t>
      </w:r>
      <w:proofErr w:type="spellEnd"/>
      <w:r w:rsidRPr="005D59A7">
        <w:rPr>
          <w:rFonts w:ascii="T" w:eastAsia="Calibri" w:hAnsi="T" w:cs="Arial"/>
          <w:lang w:bidi="ar-EG"/>
        </w:rPr>
        <w:t xml:space="preserve">, K. S., </w:t>
      </w:r>
      <w:proofErr w:type="spellStart"/>
      <w:r w:rsidRPr="005D59A7">
        <w:rPr>
          <w:rFonts w:ascii="T" w:eastAsia="Calibri" w:hAnsi="T" w:cs="Arial"/>
          <w:lang w:bidi="ar-EG"/>
        </w:rPr>
        <w:t>Tawakol</w:t>
      </w:r>
      <w:proofErr w:type="spellEnd"/>
      <w:r w:rsidRPr="005D59A7">
        <w:rPr>
          <w:rFonts w:ascii="T" w:eastAsia="Calibri" w:hAnsi="T" w:cs="Arial"/>
          <w:lang w:bidi="ar-EG"/>
        </w:rPr>
        <w:t>, F., Ibrahim, E., &amp; Ramadan, S. A. (2025). The legal framework for BOT contracts in Egypt and the United Arab Emirates. Journal of Lifestyle and SDGs Review, 5(2), e03286-e03286.</w:t>
      </w:r>
      <w:r w:rsidRPr="005D59A7">
        <w:rPr>
          <w:rFonts w:ascii="T" w:eastAsia="Calibri" w:hAnsi="T" w:cs="Arial"/>
          <w:rtl/>
          <w:lang w:bidi="ar-EG"/>
        </w:rPr>
        <w:t>‏</w:t>
      </w:r>
    </w:p>
    <w:p w14:paraId="16B6FE5F"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Raina, N., Zavalloni, M., &amp; </w:t>
      </w:r>
      <w:proofErr w:type="spellStart"/>
      <w:r w:rsidRPr="005D59A7">
        <w:rPr>
          <w:rFonts w:ascii="T" w:eastAsia="Calibri" w:hAnsi="T" w:cs="Arial"/>
          <w:lang w:bidi="ar-EG"/>
        </w:rPr>
        <w:t>Viaggi</w:t>
      </w:r>
      <w:proofErr w:type="spellEnd"/>
      <w:r w:rsidRPr="005D59A7">
        <w:rPr>
          <w:rFonts w:ascii="T" w:eastAsia="Calibri" w:hAnsi="T" w:cs="Arial"/>
          <w:lang w:bidi="ar-EG"/>
        </w:rPr>
        <w:t>, D. (2024). Incentive mechanisms of carbon farming contracts: A systematic mapping study. Journal of Environmental Management, 352, 120126.</w:t>
      </w:r>
      <w:r w:rsidRPr="005D59A7">
        <w:rPr>
          <w:rFonts w:ascii="T" w:eastAsia="Calibri" w:hAnsi="T" w:cs="Arial"/>
          <w:rtl/>
          <w:lang w:bidi="ar-EG"/>
        </w:rPr>
        <w:t>‏</w:t>
      </w:r>
    </w:p>
    <w:p w14:paraId="05492DD3"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Akinsulire</w:t>
      </w:r>
      <w:proofErr w:type="spellEnd"/>
      <w:r w:rsidRPr="005D59A7">
        <w:rPr>
          <w:rFonts w:ascii="T" w:eastAsia="Calibri" w:hAnsi="T" w:cs="Arial"/>
          <w:lang w:bidi="ar-EG"/>
        </w:rPr>
        <w:t xml:space="preserve">, A. A., Idemudia, C., </w:t>
      </w:r>
      <w:proofErr w:type="spellStart"/>
      <w:r w:rsidRPr="005D59A7">
        <w:rPr>
          <w:rFonts w:ascii="T" w:eastAsia="Calibri" w:hAnsi="T" w:cs="Arial"/>
          <w:lang w:bidi="ar-EG"/>
        </w:rPr>
        <w:t>Okwandu</w:t>
      </w:r>
      <w:proofErr w:type="spellEnd"/>
      <w:r w:rsidRPr="005D59A7">
        <w:rPr>
          <w:rFonts w:ascii="T" w:eastAsia="Calibri" w:hAnsi="T" w:cs="Arial"/>
          <w:lang w:bidi="ar-EG"/>
        </w:rPr>
        <w:t xml:space="preserve">, A. C., &amp; </w:t>
      </w:r>
      <w:proofErr w:type="spellStart"/>
      <w:r w:rsidRPr="005D59A7">
        <w:rPr>
          <w:rFonts w:ascii="T" w:eastAsia="Calibri" w:hAnsi="T" w:cs="Arial"/>
          <w:lang w:bidi="ar-EG"/>
        </w:rPr>
        <w:t>Iwuanyanwu</w:t>
      </w:r>
      <w:proofErr w:type="spellEnd"/>
      <w:r w:rsidRPr="005D59A7">
        <w:rPr>
          <w:rFonts w:ascii="T" w:eastAsia="Calibri" w:hAnsi="T" w:cs="Arial"/>
          <w:lang w:bidi="ar-EG"/>
        </w:rPr>
        <w:t>, O. (2024). Public-Private partnership frameworks for financing affordable housing: Lessons and models. International Journal of Management &amp; Entrepreneurship Research, 6(7), 2314-2331.</w:t>
      </w:r>
      <w:r w:rsidRPr="005D59A7">
        <w:rPr>
          <w:rFonts w:ascii="T" w:eastAsia="Calibri" w:hAnsi="T" w:cs="Arial"/>
          <w:rtl/>
          <w:lang w:bidi="ar-EG"/>
        </w:rPr>
        <w:t>‏</w:t>
      </w:r>
    </w:p>
    <w:p w14:paraId="636FAAAD"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Alshboul</w:t>
      </w:r>
      <w:proofErr w:type="spellEnd"/>
      <w:r w:rsidRPr="005D59A7">
        <w:rPr>
          <w:rFonts w:ascii="T" w:eastAsia="Calibri" w:hAnsi="T" w:cs="Arial"/>
          <w:lang w:bidi="ar-EG"/>
        </w:rPr>
        <w:t>, O., &amp; Shehadeh, A. (2026). Enhancing infrastructure project outcomes through optimized contractual structures and long-term warranties. Engineering, Construction and Architectural Management, 33(3), 2220-2242.</w:t>
      </w:r>
      <w:r w:rsidRPr="005D59A7">
        <w:rPr>
          <w:rFonts w:ascii="T" w:eastAsia="Calibri" w:hAnsi="T" w:cs="Arial"/>
          <w:rtl/>
          <w:lang w:bidi="ar-EG"/>
        </w:rPr>
        <w:t>‏</w:t>
      </w:r>
    </w:p>
    <w:p w14:paraId="4DF3A370"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Ghanem, A. M., &amp; Alamri, Y. A. (2023). The impact of the green Middle East initiative on sustainable development in the Kingdom of Saudi Arabia. Journal of the Saudi Society of Agricultural Sciences, 22(1), 35-46.</w:t>
      </w:r>
      <w:r w:rsidRPr="005D59A7">
        <w:rPr>
          <w:rFonts w:ascii="T" w:eastAsia="Calibri" w:hAnsi="T" w:cs="Arial"/>
          <w:rtl/>
          <w:lang w:bidi="ar-EG"/>
        </w:rPr>
        <w:t>‏</w:t>
      </w:r>
    </w:p>
    <w:p w14:paraId="16D1CB7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Al-Otaibi, A., &amp; </w:t>
      </w:r>
      <w:proofErr w:type="spellStart"/>
      <w:r w:rsidRPr="005D59A7">
        <w:rPr>
          <w:rFonts w:ascii="T" w:eastAsia="Calibri" w:hAnsi="T" w:cs="Arial"/>
          <w:lang w:bidi="ar-EG"/>
        </w:rPr>
        <w:t>Elimam</w:t>
      </w:r>
      <w:proofErr w:type="spellEnd"/>
      <w:r w:rsidRPr="005D59A7">
        <w:rPr>
          <w:rFonts w:ascii="T" w:eastAsia="Calibri" w:hAnsi="T" w:cs="Arial"/>
          <w:lang w:bidi="ar-EG"/>
        </w:rPr>
        <w:t>, H. (2024). Impact of Interrelationships among the Economic Sectors on Achieving Sustainable Development in the Kingdom of Saudi Arabia. European Journal of Sustainable Development, 13(1), 87-87.</w:t>
      </w:r>
      <w:r w:rsidRPr="005D59A7">
        <w:rPr>
          <w:rFonts w:ascii="T" w:eastAsia="Calibri" w:hAnsi="T" w:cs="Arial"/>
          <w:rtl/>
          <w:lang w:bidi="ar-EG"/>
        </w:rPr>
        <w:t>‏</w:t>
      </w:r>
    </w:p>
    <w:p w14:paraId="6E967857" w14:textId="09767A08"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Emam, A. (2022). Present and future: Does agriculture affect economic growth and the environment in the Kingdom of Saudi </w:t>
      </w:r>
      <w:proofErr w:type="gramStart"/>
      <w:r w:rsidRPr="005D59A7">
        <w:rPr>
          <w:rFonts w:ascii="T" w:eastAsia="Calibri" w:hAnsi="T" w:cs="Arial"/>
          <w:lang w:bidi="ar-EG"/>
        </w:rPr>
        <w:t>Arabia?.</w:t>
      </w:r>
      <w:proofErr w:type="gramEnd"/>
      <w:r w:rsidRPr="005D59A7">
        <w:rPr>
          <w:rFonts w:ascii="T" w:eastAsia="Calibri" w:hAnsi="T" w:cs="Arial"/>
          <w:lang w:bidi="ar-EG"/>
        </w:rPr>
        <w:t xml:space="preserve"> Agricultural Economics/</w:t>
      </w:r>
      <w:proofErr w:type="spellStart"/>
      <w:r w:rsidRPr="005D59A7">
        <w:rPr>
          <w:rFonts w:ascii="T" w:eastAsia="Calibri" w:hAnsi="T" w:cs="Arial"/>
          <w:lang w:bidi="ar-EG"/>
        </w:rPr>
        <w:t>Zemědělská</w:t>
      </w:r>
      <w:proofErr w:type="spellEnd"/>
      <w:r w:rsidRPr="005D59A7">
        <w:rPr>
          <w:rFonts w:ascii="T" w:eastAsia="Calibri" w:hAnsi="T" w:cs="Arial"/>
          <w:lang w:bidi="ar-EG"/>
        </w:rPr>
        <w:t xml:space="preserve"> </w:t>
      </w:r>
      <w:proofErr w:type="spellStart"/>
      <w:r w:rsidRPr="005D59A7">
        <w:rPr>
          <w:rFonts w:ascii="T" w:eastAsia="Calibri" w:hAnsi="T" w:cs="Arial"/>
          <w:lang w:bidi="ar-EG"/>
        </w:rPr>
        <w:t>Ekonomika</w:t>
      </w:r>
      <w:proofErr w:type="spellEnd"/>
      <w:r w:rsidRPr="005D59A7">
        <w:rPr>
          <w:rFonts w:ascii="T" w:eastAsia="Calibri" w:hAnsi="T" w:cs="Arial"/>
          <w:lang w:bidi="ar-EG"/>
        </w:rPr>
        <w:t>, 68(10).</w:t>
      </w:r>
      <w:r w:rsidRPr="005D59A7">
        <w:rPr>
          <w:rFonts w:ascii="T" w:eastAsia="Calibri" w:hAnsi="T" w:cs="Arial"/>
          <w:rtl/>
          <w:lang w:bidi="ar-EG"/>
        </w:rPr>
        <w:t>‏</w:t>
      </w:r>
    </w:p>
    <w:p w14:paraId="4304B7F3" w14:textId="7D187D1F" w:rsidR="003F5C18" w:rsidRPr="005D59A7" w:rsidRDefault="003F5C18" w:rsidP="00C476D6">
      <w:pPr>
        <w:jc w:val="both"/>
        <w:rPr>
          <w:rFonts w:ascii="T" w:eastAsia="Calibri" w:hAnsi="T" w:cs="Arial"/>
          <w:lang w:bidi="ar-EG"/>
        </w:rPr>
      </w:pPr>
    </w:p>
    <w:sectPr w:rsidR="003F5C18" w:rsidRPr="005D59A7" w:rsidSect="00395E1F">
      <w:headerReference w:type="even" r:id="rId39"/>
      <w:headerReference w:type="default" r:id="rId40"/>
      <w:footerReference w:type="default" r:id="rId41"/>
      <w:headerReference w:type="first" r:id="rId42"/>
      <w:footerReference w:type="first" r:id="rId4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1C6CE" w14:textId="77777777" w:rsidR="00A002E4" w:rsidRDefault="00A002E4" w:rsidP="00F628F0">
      <w:pPr>
        <w:spacing w:after="0" w:line="240" w:lineRule="auto"/>
      </w:pPr>
      <w:r>
        <w:separator/>
      </w:r>
    </w:p>
  </w:endnote>
  <w:endnote w:type="continuationSeparator" w:id="0">
    <w:p w14:paraId="4F31936F" w14:textId="77777777" w:rsidR="00A002E4" w:rsidRDefault="00A002E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 w:name="T">
    <w:altName w:val="Cambria"/>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1DDEAF7B" w14:textId="65439C84" w:rsidR="004B53E2" w:rsidRDefault="00EE7CFA">
        <w:pPr>
          <w:pStyle w:val="Footer"/>
          <w:jc w:val="center"/>
        </w:pPr>
        <w:r>
          <w:fldChar w:fldCharType="begin"/>
        </w:r>
        <w:r>
          <w:instrText xml:space="preserve"> PAGE   \* MERGEFORMAT </w:instrText>
        </w:r>
        <w:r>
          <w:fldChar w:fldCharType="separate"/>
        </w:r>
        <w:r w:rsidR="007E2852">
          <w:rPr>
            <w:noProof/>
          </w:rPr>
          <w:t>13</w:t>
        </w:r>
        <w:r>
          <w:rPr>
            <w:noProof/>
          </w:rPr>
          <w:fldChar w:fldCharType="end"/>
        </w:r>
      </w:p>
    </w:sdtContent>
  </w:sdt>
  <w:p w14:paraId="02FECB92" w14:textId="77777777" w:rsidR="004B53E2" w:rsidRDefault="004B53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382BF" w14:textId="77777777" w:rsidR="004B53E2" w:rsidRPr="00883E09" w:rsidRDefault="004B53E2"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10ED3024" wp14:editId="765C8F72">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sidRPr="004B1E9E">
      <w:rPr>
        <w:rFonts w:hint="cs"/>
        <w:b/>
        <w:bCs/>
        <w:color w:val="C45911"/>
        <w:sz w:val="24"/>
        <w:szCs w:val="24"/>
        <w:rtl/>
        <w:lang w:bidi="ar-EG"/>
      </w:rPr>
      <w:t>مشروع خطة بحث علمى لتسجيل درجة الدكتوراه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72982" w14:textId="77777777" w:rsidR="00A002E4" w:rsidRDefault="00A002E4" w:rsidP="00F628F0">
      <w:pPr>
        <w:spacing w:after="0" w:line="240" w:lineRule="auto"/>
      </w:pPr>
      <w:r>
        <w:separator/>
      </w:r>
    </w:p>
  </w:footnote>
  <w:footnote w:type="continuationSeparator" w:id="0">
    <w:p w14:paraId="0C6CAE3A" w14:textId="77777777" w:rsidR="00A002E4" w:rsidRDefault="00A002E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59FD7" w14:textId="77777777" w:rsidR="004B53E2" w:rsidRDefault="00A002E4">
    <w:pPr>
      <w:pStyle w:val="Header"/>
    </w:pPr>
    <w:r>
      <w:rPr>
        <w:noProof/>
      </w:rPr>
      <w:pict w14:anchorId="122CAD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13279" w14:textId="77777777" w:rsidR="004B53E2" w:rsidRDefault="00A002E4">
    <w:pPr>
      <w:pStyle w:val="Header"/>
    </w:pPr>
    <w:r>
      <w:rPr>
        <w:noProof/>
      </w:rPr>
      <w:pict w14:anchorId="57026B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008CA38D" w14:textId="77777777" w:rsidR="004B53E2" w:rsidRDefault="00A002E4">
        <w:pPr>
          <w:pStyle w:val="Header"/>
        </w:pPr>
        <w:r>
          <w:rPr>
            <w:noProof/>
          </w:rPr>
          <w:pict w14:anchorId="12EC5E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5721"/>
    <w:multiLevelType w:val="hybridMultilevel"/>
    <w:tmpl w:val="D1927EFE"/>
    <w:lvl w:ilvl="0" w:tplc="04090001">
      <w:start w:val="1"/>
      <w:numFmt w:val="bullet"/>
      <w:lvlText w:val=""/>
      <w:lvlJc w:val="left"/>
      <w:pPr>
        <w:ind w:left="1440" w:hanging="360"/>
      </w:pPr>
      <w:rPr>
        <w:rFonts w:ascii="Symbol" w:hAnsi="Symbol" w:hint="default"/>
        <w:b/>
        <w:bCs/>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 w15:restartNumberingAfterBreak="0">
    <w:nsid w:val="01902BED"/>
    <w:multiLevelType w:val="hybridMultilevel"/>
    <w:tmpl w:val="D2464B22"/>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2" w15:restartNumberingAfterBreak="0">
    <w:nsid w:val="06CD1AF4"/>
    <w:multiLevelType w:val="hybridMultilevel"/>
    <w:tmpl w:val="55366C4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C460252"/>
    <w:multiLevelType w:val="hybridMultilevel"/>
    <w:tmpl w:val="62BE7F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CA36A07"/>
    <w:multiLevelType w:val="hybridMultilevel"/>
    <w:tmpl w:val="AD7CDCC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DA1C99"/>
    <w:multiLevelType w:val="hybridMultilevel"/>
    <w:tmpl w:val="620E26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EE8201B"/>
    <w:multiLevelType w:val="hybridMultilevel"/>
    <w:tmpl w:val="A664B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5319AD"/>
    <w:multiLevelType w:val="hybridMultilevel"/>
    <w:tmpl w:val="799492A0"/>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60A3693"/>
    <w:multiLevelType w:val="hybridMultilevel"/>
    <w:tmpl w:val="F71C7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2705ED"/>
    <w:multiLevelType w:val="hybridMultilevel"/>
    <w:tmpl w:val="17404E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7DF7FB5"/>
    <w:multiLevelType w:val="hybridMultilevel"/>
    <w:tmpl w:val="D6D2C710"/>
    <w:lvl w:ilvl="0" w:tplc="70840F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733FD9"/>
    <w:multiLevelType w:val="hybridMultilevel"/>
    <w:tmpl w:val="4E2E98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C471018"/>
    <w:multiLevelType w:val="hybridMultilevel"/>
    <w:tmpl w:val="5D169F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1D7E1E76"/>
    <w:multiLevelType w:val="multilevel"/>
    <w:tmpl w:val="8FDED1D8"/>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4" w15:restartNumberingAfterBreak="0">
    <w:nsid w:val="221C3706"/>
    <w:multiLevelType w:val="hybridMultilevel"/>
    <w:tmpl w:val="508A19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2A97696"/>
    <w:multiLevelType w:val="hybridMultilevel"/>
    <w:tmpl w:val="0B9A97CA"/>
    <w:lvl w:ilvl="0" w:tplc="4EE89E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87236C"/>
    <w:multiLevelType w:val="hybridMultilevel"/>
    <w:tmpl w:val="D42EA8C8"/>
    <w:lvl w:ilvl="0" w:tplc="5C082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A361DFF"/>
    <w:multiLevelType w:val="hybridMultilevel"/>
    <w:tmpl w:val="A906C32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15:restartNumberingAfterBreak="0">
    <w:nsid w:val="2D194B17"/>
    <w:multiLevelType w:val="multilevel"/>
    <w:tmpl w:val="D28E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AD3AD2"/>
    <w:multiLevelType w:val="hybridMultilevel"/>
    <w:tmpl w:val="7AD6CF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0FB5883"/>
    <w:multiLevelType w:val="hybridMultilevel"/>
    <w:tmpl w:val="E44E0AC4"/>
    <w:lvl w:ilvl="0" w:tplc="231A24D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B01568"/>
    <w:multiLevelType w:val="hybridMultilevel"/>
    <w:tmpl w:val="494EA5FE"/>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FFA2455"/>
    <w:multiLevelType w:val="hybridMultilevel"/>
    <w:tmpl w:val="3760B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552321"/>
    <w:multiLevelType w:val="hybridMultilevel"/>
    <w:tmpl w:val="CF880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601EFA"/>
    <w:multiLevelType w:val="hybridMultilevel"/>
    <w:tmpl w:val="F71C7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C03B0B"/>
    <w:multiLevelType w:val="hybridMultilevel"/>
    <w:tmpl w:val="A14C67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5500353E"/>
    <w:multiLevelType w:val="hybridMultilevel"/>
    <w:tmpl w:val="9F9483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65677BD"/>
    <w:multiLevelType w:val="hybridMultilevel"/>
    <w:tmpl w:val="D2883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BF31AA"/>
    <w:multiLevelType w:val="hybridMultilevel"/>
    <w:tmpl w:val="F51605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5CAE4284"/>
    <w:multiLevelType w:val="hybridMultilevel"/>
    <w:tmpl w:val="1134729E"/>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30" w15:restartNumberingAfterBreak="0">
    <w:nsid w:val="5F0D4A18"/>
    <w:multiLevelType w:val="hybridMultilevel"/>
    <w:tmpl w:val="263E8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FF1234"/>
    <w:multiLevelType w:val="hybridMultilevel"/>
    <w:tmpl w:val="CACED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224D8A"/>
    <w:multiLevelType w:val="hybridMultilevel"/>
    <w:tmpl w:val="EFFE8A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B660426"/>
    <w:multiLevelType w:val="hybridMultilevel"/>
    <w:tmpl w:val="94B094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FC5A3F"/>
    <w:multiLevelType w:val="hybridMultilevel"/>
    <w:tmpl w:val="A2285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745FCE"/>
    <w:multiLevelType w:val="hybridMultilevel"/>
    <w:tmpl w:val="3AE4BA0A"/>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36" w15:restartNumberingAfterBreak="0">
    <w:nsid w:val="74E96EE0"/>
    <w:multiLevelType w:val="hybridMultilevel"/>
    <w:tmpl w:val="A162A4F2"/>
    <w:lvl w:ilvl="0" w:tplc="0604119C">
      <w:start w:val="1"/>
      <w:numFmt w:val="arabicAlpha"/>
      <w:lvlText w:val="%1."/>
      <w:lvlJc w:val="left"/>
      <w:pPr>
        <w:ind w:left="1500" w:hanging="360"/>
      </w:pPr>
      <w:rPr>
        <w:rFonts w:asciiTheme="majorHAnsi" w:eastAsiaTheme="majorEastAsia" w:hAnsiTheme="majorHAnsi" w:cstheme="majorBidi"/>
        <w:sz w:val="24"/>
        <w:szCs w:val="24"/>
      </w:rPr>
    </w:lvl>
    <w:lvl w:ilvl="1" w:tplc="A4F020F4">
      <w:start w:val="1"/>
      <w:numFmt w:val="arabicAlpha"/>
      <w:lvlText w:val="%2."/>
      <w:lvlJc w:val="left"/>
      <w:pPr>
        <w:ind w:left="2220" w:hanging="360"/>
      </w:pPr>
      <w:rPr>
        <w:rFonts w:asciiTheme="majorBidi" w:eastAsiaTheme="minorHAnsi" w:hAnsiTheme="majorBidi" w:cstheme="majorBidi"/>
        <w:sz w:val="24"/>
        <w:szCs w:val="24"/>
      </w:rPr>
    </w:lvl>
    <w:lvl w:ilvl="2" w:tplc="781424A4">
      <w:start w:val="1"/>
      <w:numFmt w:val="decimal"/>
      <w:lvlText w:val="%3."/>
      <w:lvlJc w:val="left"/>
      <w:pPr>
        <w:ind w:left="360" w:hanging="360"/>
      </w:pPr>
      <w:rPr>
        <w:rFonts w:hint="default"/>
      </w:r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7" w15:restartNumberingAfterBreak="0">
    <w:nsid w:val="75690AFB"/>
    <w:multiLevelType w:val="hybridMultilevel"/>
    <w:tmpl w:val="DEE6B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C263C8"/>
    <w:multiLevelType w:val="hybridMultilevel"/>
    <w:tmpl w:val="65B8A5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77AB1F4F"/>
    <w:multiLevelType w:val="hybridMultilevel"/>
    <w:tmpl w:val="B87600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B262C5E"/>
    <w:multiLevelType w:val="hybridMultilevel"/>
    <w:tmpl w:val="5840F7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D0E65C1"/>
    <w:multiLevelType w:val="hybridMultilevel"/>
    <w:tmpl w:val="C76AA8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433739297">
    <w:abstractNumId w:val="0"/>
  </w:num>
  <w:num w:numId="2" w16cid:durableId="1325430988">
    <w:abstractNumId w:val="26"/>
  </w:num>
  <w:num w:numId="3" w16cid:durableId="787163584">
    <w:abstractNumId w:val="36"/>
  </w:num>
  <w:num w:numId="4" w16cid:durableId="1521579129">
    <w:abstractNumId w:val="10"/>
  </w:num>
  <w:num w:numId="5" w16cid:durableId="1572041592">
    <w:abstractNumId w:val="41"/>
  </w:num>
  <w:num w:numId="6" w16cid:durableId="10035481">
    <w:abstractNumId w:val="38"/>
  </w:num>
  <w:num w:numId="7" w16cid:durableId="240063526">
    <w:abstractNumId w:val="15"/>
  </w:num>
  <w:num w:numId="8" w16cid:durableId="1233419838">
    <w:abstractNumId w:val="5"/>
  </w:num>
  <w:num w:numId="9" w16cid:durableId="681785210">
    <w:abstractNumId w:val="20"/>
  </w:num>
  <w:num w:numId="10" w16cid:durableId="935526687">
    <w:abstractNumId w:val="17"/>
  </w:num>
  <w:num w:numId="11" w16cid:durableId="137965743">
    <w:abstractNumId w:val="13"/>
  </w:num>
  <w:num w:numId="12" w16cid:durableId="1753818434">
    <w:abstractNumId w:val="16"/>
  </w:num>
  <w:num w:numId="13" w16cid:durableId="1508448776">
    <w:abstractNumId w:val="14"/>
  </w:num>
  <w:num w:numId="14" w16cid:durableId="338429430">
    <w:abstractNumId w:val="3"/>
  </w:num>
  <w:num w:numId="15" w16cid:durableId="138617301">
    <w:abstractNumId w:val="28"/>
  </w:num>
  <w:num w:numId="16" w16cid:durableId="1868593171">
    <w:abstractNumId w:val="12"/>
  </w:num>
  <w:num w:numId="17" w16cid:durableId="1755664628">
    <w:abstractNumId w:val="25"/>
  </w:num>
  <w:num w:numId="18" w16cid:durableId="1048916747">
    <w:abstractNumId w:val="2"/>
  </w:num>
  <w:num w:numId="19" w16cid:durableId="1605769565">
    <w:abstractNumId w:val="11"/>
  </w:num>
  <w:num w:numId="20" w16cid:durableId="109130372">
    <w:abstractNumId w:val="23"/>
  </w:num>
  <w:num w:numId="21" w16cid:durableId="1715537981">
    <w:abstractNumId w:val="34"/>
  </w:num>
  <w:num w:numId="22" w16cid:durableId="1460764604">
    <w:abstractNumId w:val="40"/>
  </w:num>
  <w:num w:numId="23" w16cid:durableId="1729304421">
    <w:abstractNumId w:val="33"/>
  </w:num>
  <w:num w:numId="24" w16cid:durableId="884218011">
    <w:abstractNumId w:val="37"/>
  </w:num>
  <w:num w:numId="25" w16cid:durableId="1952544025">
    <w:abstractNumId w:val="30"/>
  </w:num>
  <w:num w:numId="26" w16cid:durableId="467170326">
    <w:abstractNumId w:val="27"/>
  </w:num>
  <w:num w:numId="27" w16cid:durableId="1854568358">
    <w:abstractNumId w:val="24"/>
  </w:num>
  <w:num w:numId="28" w16cid:durableId="1505625112">
    <w:abstractNumId w:val="6"/>
  </w:num>
  <w:num w:numId="29" w16cid:durableId="1873230796">
    <w:abstractNumId w:val="31"/>
  </w:num>
  <w:num w:numId="30" w16cid:durableId="15540632">
    <w:abstractNumId w:val="9"/>
  </w:num>
  <w:num w:numId="31" w16cid:durableId="1066761895">
    <w:abstractNumId w:val="8"/>
  </w:num>
  <w:num w:numId="32" w16cid:durableId="1909263081">
    <w:abstractNumId w:val="1"/>
  </w:num>
  <w:num w:numId="33" w16cid:durableId="719399887">
    <w:abstractNumId w:val="4"/>
  </w:num>
  <w:num w:numId="34" w16cid:durableId="1370302828">
    <w:abstractNumId w:val="29"/>
  </w:num>
  <w:num w:numId="35" w16cid:durableId="873926646">
    <w:abstractNumId w:val="35"/>
  </w:num>
  <w:num w:numId="36" w16cid:durableId="576986223">
    <w:abstractNumId w:val="21"/>
  </w:num>
  <w:num w:numId="37" w16cid:durableId="725959339">
    <w:abstractNumId w:val="19"/>
  </w:num>
  <w:num w:numId="38" w16cid:durableId="682518316">
    <w:abstractNumId w:val="32"/>
  </w:num>
  <w:num w:numId="39" w16cid:durableId="1228108988">
    <w:abstractNumId w:val="7"/>
  </w:num>
  <w:num w:numId="40" w16cid:durableId="915015270">
    <w:abstractNumId w:val="22"/>
  </w:num>
  <w:num w:numId="41" w16cid:durableId="18169604">
    <w:abstractNumId w:val="39"/>
  </w:num>
  <w:num w:numId="42" w16cid:durableId="1997806141">
    <w:abstractNumId w:val="1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73C4"/>
    <w:rsid w:val="00012C1E"/>
    <w:rsid w:val="000136AC"/>
    <w:rsid w:val="00015F0D"/>
    <w:rsid w:val="00017326"/>
    <w:rsid w:val="00020023"/>
    <w:rsid w:val="00027A34"/>
    <w:rsid w:val="00031138"/>
    <w:rsid w:val="000322E7"/>
    <w:rsid w:val="000322FF"/>
    <w:rsid w:val="00036454"/>
    <w:rsid w:val="00040783"/>
    <w:rsid w:val="00044CFD"/>
    <w:rsid w:val="00045246"/>
    <w:rsid w:val="00050B89"/>
    <w:rsid w:val="000536A3"/>
    <w:rsid w:val="00057791"/>
    <w:rsid w:val="000577B4"/>
    <w:rsid w:val="00057CFC"/>
    <w:rsid w:val="00057D71"/>
    <w:rsid w:val="00060EF4"/>
    <w:rsid w:val="00061A09"/>
    <w:rsid w:val="0007466E"/>
    <w:rsid w:val="00074A1B"/>
    <w:rsid w:val="00075095"/>
    <w:rsid w:val="00077001"/>
    <w:rsid w:val="0008247C"/>
    <w:rsid w:val="000824DD"/>
    <w:rsid w:val="000832EB"/>
    <w:rsid w:val="00083409"/>
    <w:rsid w:val="00083C08"/>
    <w:rsid w:val="00085801"/>
    <w:rsid w:val="00086462"/>
    <w:rsid w:val="00087E4F"/>
    <w:rsid w:val="00090A9C"/>
    <w:rsid w:val="000914EC"/>
    <w:rsid w:val="0009151C"/>
    <w:rsid w:val="00092C24"/>
    <w:rsid w:val="00093DC3"/>
    <w:rsid w:val="000940A0"/>
    <w:rsid w:val="00097C13"/>
    <w:rsid w:val="00097FAE"/>
    <w:rsid w:val="000A1D3E"/>
    <w:rsid w:val="000A1E46"/>
    <w:rsid w:val="000A310D"/>
    <w:rsid w:val="000A3759"/>
    <w:rsid w:val="000A49ED"/>
    <w:rsid w:val="000A6578"/>
    <w:rsid w:val="000A749C"/>
    <w:rsid w:val="000B0864"/>
    <w:rsid w:val="000B0B32"/>
    <w:rsid w:val="000B0E21"/>
    <w:rsid w:val="000B18BD"/>
    <w:rsid w:val="000B480B"/>
    <w:rsid w:val="000B4A59"/>
    <w:rsid w:val="000B706D"/>
    <w:rsid w:val="000B7FF8"/>
    <w:rsid w:val="000C616D"/>
    <w:rsid w:val="000C6F91"/>
    <w:rsid w:val="000C74D1"/>
    <w:rsid w:val="000C7BC3"/>
    <w:rsid w:val="000D0869"/>
    <w:rsid w:val="000D16AD"/>
    <w:rsid w:val="000D1D88"/>
    <w:rsid w:val="000D35AF"/>
    <w:rsid w:val="000D3EAE"/>
    <w:rsid w:val="000D4BE5"/>
    <w:rsid w:val="000D5131"/>
    <w:rsid w:val="000D6FF2"/>
    <w:rsid w:val="000E23AB"/>
    <w:rsid w:val="000E5E9A"/>
    <w:rsid w:val="000E6887"/>
    <w:rsid w:val="000F0A0D"/>
    <w:rsid w:val="000F1437"/>
    <w:rsid w:val="000F25C9"/>
    <w:rsid w:val="000F2BFC"/>
    <w:rsid w:val="000F797A"/>
    <w:rsid w:val="000F7F04"/>
    <w:rsid w:val="0010375B"/>
    <w:rsid w:val="001041E7"/>
    <w:rsid w:val="00110419"/>
    <w:rsid w:val="00110665"/>
    <w:rsid w:val="0011126E"/>
    <w:rsid w:val="00116AE4"/>
    <w:rsid w:val="00117CA1"/>
    <w:rsid w:val="00124F46"/>
    <w:rsid w:val="00125FDB"/>
    <w:rsid w:val="00134C25"/>
    <w:rsid w:val="0013659B"/>
    <w:rsid w:val="001378AD"/>
    <w:rsid w:val="001418CD"/>
    <w:rsid w:val="001421FE"/>
    <w:rsid w:val="00152104"/>
    <w:rsid w:val="0015279C"/>
    <w:rsid w:val="00152B1C"/>
    <w:rsid w:val="00160349"/>
    <w:rsid w:val="001603EF"/>
    <w:rsid w:val="001618EF"/>
    <w:rsid w:val="001624C4"/>
    <w:rsid w:val="001625B8"/>
    <w:rsid w:val="001641DC"/>
    <w:rsid w:val="00164370"/>
    <w:rsid w:val="001654CD"/>
    <w:rsid w:val="001656CC"/>
    <w:rsid w:val="00167548"/>
    <w:rsid w:val="00167E73"/>
    <w:rsid w:val="00171756"/>
    <w:rsid w:val="001723AA"/>
    <w:rsid w:val="00172951"/>
    <w:rsid w:val="00172A48"/>
    <w:rsid w:val="00175636"/>
    <w:rsid w:val="001762F4"/>
    <w:rsid w:val="00177E64"/>
    <w:rsid w:val="00180799"/>
    <w:rsid w:val="00180A9B"/>
    <w:rsid w:val="001846BB"/>
    <w:rsid w:val="00185F71"/>
    <w:rsid w:val="00194D56"/>
    <w:rsid w:val="00195226"/>
    <w:rsid w:val="001A3911"/>
    <w:rsid w:val="001A3ABE"/>
    <w:rsid w:val="001A5804"/>
    <w:rsid w:val="001A680C"/>
    <w:rsid w:val="001A7C13"/>
    <w:rsid w:val="001B5421"/>
    <w:rsid w:val="001B5B53"/>
    <w:rsid w:val="001B7B64"/>
    <w:rsid w:val="001C01BE"/>
    <w:rsid w:val="001C1B15"/>
    <w:rsid w:val="001C2D09"/>
    <w:rsid w:val="001C2E98"/>
    <w:rsid w:val="001C2FF0"/>
    <w:rsid w:val="001C3DA0"/>
    <w:rsid w:val="001C426A"/>
    <w:rsid w:val="001C482F"/>
    <w:rsid w:val="001C485C"/>
    <w:rsid w:val="001C7DB2"/>
    <w:rsid w:val="001D038E"/>
    <w:rsid w:val="001D47AD"/>
    <w:rsid w:val="001D55C5"/>
    <w:rsid w:val="001D5668"/>
    <w:rsid w:val="001E252D"/>
    <w:rsid w:val="001E2F2A"/>
    <w:rsid w:val="001E32DF"/>
    <w:rsid w:val="001E3406"/>
    <w:rsid w:val="001F38D7"/>
    <w:rsid w:val="001F3B56"/>
    <w:rsid w:val="001F441A"/>
    <w:rsid w:val="0020239B"/>
    <w:rsid w:val="002059BA"/>
    <w:rsid w:val="00205F80"/>
    <w:rsid w:val="00210FA3"/>
    <w:rsid w:val="0021305C"/>
    <w:rsid w:val="00213EAB"/>
    <w:rsid w:val="00217271"/>
    <w:rsid w:val="0022051E"/>
    <w:rsid w:val="00220CE6"/>
    <w:rsid w:val="00222118"/>
    <w:rsid w:val="00222468"/>
    <w:rsid w:val="002267E3"/>
    <w:rsid w:val="00231AB1"/>
    <w:rsid w:val="00232A16"/>
    <w:rsid w:val="00233335"/>
    <w:rsid w:val="00240338"/>
    <w:rsid w:val="0024045F"/>
    <w:rsid w:val="00240A75"/>
    <w:rsid w:val="0024189A"/>
    <w:rsid w:val="00242A04"/>
    <w:rsid w:val="00247876"/>
    <w:rsid w:val="00247FF4"/>
    <w:rsid w:val="00250CC6"/>
    <w:rsid w:val="00251580"/>
    <w:rsid w:val="00257F01"/>
    <w:rsid w:val="002616CF"/>
    <w:rsid w:val="00263733"/>
    <w:rsid w:val="00264677"/>
    <w:rsid w:val="00265C31"/>
    <w:rsid w:val="002664D5"/>
    <w:rsid w:val="00266F9C"/>
    <w:rsid w:val="00271AB6"/>
    <w:rsid w:val="00274C5B"/>
    <w:rsid w:val="002752CD"/>
    <w:rsid w:val="00280FF6"/>
    <w:rsid w:val="00285330"/>
    <w:rsid w:val="00286DE0"/>
    <w:rsid w:val="00291499"/>
    <w:rsid w:val="002917E3"/>
    <w:rsid w:val="00291C72"/>
    <w:rsid w:val="00292D05"/>
    <w:rsid w:val="00294C02"/>
    <w:rsid w:val="00297342"/>
    <w:rsid w:val="002A06BA"/>
    <w:rsid w:val="002A113E"/>
    <w:rsid w:val="002A2235"/>
    <w:rsid w:val="002A64F2"/>
    <w:rsid w:val="002B25AB"/>
    <w:rsid w:val="002B338E"/>
    <w:rsid w:val="002B6766"/>
    <w:rsid w:val="002C2285"/>
    <w:rsid w:val="002C3A90"/>
    <w:rsid w:val="002C6EAC"/>
    <w:rsid w:val="002D019D"/>
    <w:rsid w:val="002D11A9"/>
    <w:rsid w:val="002D1A48"/>
    <w:rsid w:val="002D1C95"/>
    <w:rsid w:val="002D3349"/>
    <w:rsid w:val="002D33E8"/>
    <w:rsid w:val="002D4E65"/>
    <w:rsid w:val="002D638C"/>
    <w:rsid w:val="002D6703"/>
    <w:rsid w:val="002D68BB"/>
    <w:rsid w:val="002E03CF"/>
    <w:rsid w:val="002E0EA6"/>
    <w:rsid w:val="002E38A7"/>
    <w:rsid w:val="002E539B"/>
    <w:rsid w:val="002E59F5"/>
    <w:rsid w:val="002F0EEA"/>
    <w:rsid w:val="002F1419"/>
    <w:rsid w:val="002F1457"/>
    <w:rsid w:val="002F20A7"/>
    <w:rsid w:val="002F20B5"/>
    <w:rsid w:val="002F608A"/>
    <w:rsid w:val="003004F3"/>
    <w:rsid w:val="00313D83"/>
    <w:rsid w:val="00316776"/>
    <w:rsid w:val="003223F2"/>
    <w:rsid w:val="00322A0D"/>
    <w:rsid w:val="00322CDE"/>
    <w:rsid w:val="003235C8"/>
    <w:rsid w:val="00327C8D"/>
    <w:rsid w:val="00333980"/>
    <w:rsid w:val="00333C4D"/>
    <w:rsid w:val="00333FF1"/>
    <w:rsid w:val="00334002"/>
    <w:rsid w:val="00335E83"/>
    <w:rsid w:val="00343773"/>
    <w:rsid w:val="00344BDC"/>
    <w:rsid w:val="00344EDD"/>
    <w:rsid w:val="00345A4A"/>
    <w:rsid w:val="00345D80"/>
    <w:rsid w:val="00351607"/>
    <w:rsid w:val="003530A3"/>
    <w:rsid w:val="003543E8"/>
    <w:rsid w:val="00354F1D"/>
    <w:rsid w:val="00355B45"/>
    <w:rsid w:val="00356156"/>
    <w:rsid w:val="00360A3F"/>
    <w:rsid w:val="00362333"/>
    <w:rsid w:val="00362920"/>
    <w:rsid w:val="0036440D"/>
    <w:rsid w:val="00364C07"/>
    <w:rsid w:val="00364FDC"/>
    <w:rsid w:val="0036731C"/>
    <w:rsid w:val="003709B2"/>
    <w:rsid w:val="00372E00"/>
    <w:rsid w:val="00377C52"/>
    <w:rsid w:val="00377CB0"/>
    <w:rsid w:val="00381E03"/>
    <w:rsid w:val="00381E67"/>
    <w:rsid w:val="00382750"/>
    <w:rsid w:val="00384B6D"/>
    <w:rsid w:val="0038743B"/>
    <w:rsid w:val="003924E8"/>
    <w:rsid w:val="00395E1F"/>
    <w:rsid w:val="0039652C"/>
    <w:rsid w:val="00397058"/>
    <w:rsid w:val="003A34C1"/>
    <w:rsid w:val="003A4334"/>
    <w:rsid w:val="003A7450"/>
    <w:rsid w:val="003A7CBD"/>
    <w:rsid w:val="003B0F00"/>
    <w:rsid w:val="003B1418"/>
    <w:rsid w:val="003B2291"/>
    <w:rsid w:val="003B4A9A"/>
    <w:rsid w:val="003B6969"/>
    <w:rsid w:val="003C05E1"/>
    <w:rsid w:val="003C54ED"/>
    <w:rsid w:val="003C5564"/>
    <w:rsid w:val="003D1456"/>
    <w:rsid w:val="003D3563"/>
    <w:rsid w:val="003D5F89"/>
    <w:rsid w:val="003D6483"/>
    <w:rsid w:val="003D7E7F"/>
    <w:rsid w:val="003E1E60"/>
    <w:rsid w:val="003E7520"/>
    <w:rsid w:val="003F5C18"/>
    <w:rsid w:val="003F6189"/>
    <w:rsid w:val="003F69BC"/>
    <w:rsid w:val="003F7572"/>
    <w:rsid w:val="00402760"/>
    <w:rsid w:val="00403930"/>
    <w:rsid w:val="004040B9"/>
    <w:rsid w:val="0040510D"/>
    <w:rsid w:val="00410D73"/>
    <w:rsid w:val="004121EE"/>
    <w:rsid w:val="0041471D"/>
    <w:rsid w:val="004158D6"/>
    <w:rsid w:val="0042564C"/>
    <w:rsid w:val="004277F3"/>
    <w:rsid w:val="0043343C"/>
    <w:rsid w:val="0043372F"/>
    <w:rsid w:val="0043449E"/>
    <w:rsid w:val="00434F06"/>
    <w:rsid w:val="004352D2"/>
    <w:rsid w:val="00436B59"/>
    <w:rsid w:val="00436F3A"/>
    <w:rsid w:val="00440E40"/>
    <w:rsid w:val="004413CD"/>
    <w:rsid w:val="0044258D"/>
    <w:rsid w:val="00443A60"/>
    <w:rsid w:val="00444B1D"/>
    <w:rsid w:val="00444B3C"/>
    <w:rsid w:val="00444E8E"/>
    <w:rsid w:val="00450B96"/>
    <w:rsid w:val="0045350D"/>
    <w:rsid w:val="00453B38"/>
    <w:rsid w:val="00454201"/>
    <w:rsid w:val="0045581D"/>
    <w:rsid w:val="00457F37"/>
    <w:rsid w:val="00463130"/>
    <w:rsid w:val="00464365"/>
    <w:rsid w:val="004655B7"/>
    <w:rsid w:val="00466097"/>
    <w:rsid w:val="00466C60"/>
    <w:rsid w:val="0046701C"/>
    <w:rsid w:val="004670FD"/>
    <w:rsid w:val="0047238C"/>
    <w:rsid w:val="00473F99"/>
    <w:rsid w:val="0047515D"/>
    <w:rsid w:val="0048002A"/>
    <w:rsid w:val="00481A79"/>
    <w:rsid w:val="0048364F"/>
    <w:rsid w:val="0048465E"/>
    <w:rsid w:val="004848D1"/>
    <w:rsid w:val="00485BD0"/>
    <w:rsid w:val="004862B9"/>
    <w:rsid w:val="00486B51"/>
    <w:rsid w:val="00487152"/>
    <w:rsid w:val="00487A44"/>
    <w:rsid w:val="0049045F"/>
    <w:rsid w:val="00491DEB"/>
    <w:rsid w:val="00492E40"/>
    <w:rsid w:val="00493731"/>
    <w:rsid w:val="00497758"/>
    <w:rsid w:val="004A10BC"/>
    <w:rsid w:val="004B0549"/>
    <w:rsid w:val="004B1E9E"/>
    <w:rsid w:val="004B250F"/>
    <w:rsid w:val="004B28F9"/>
    <w:rsid w:val="004B484B"/>
    <w:rsid w:val="004B4D60"/>
    <w:rsid w:val="004B53E2"/>
    <w:rsid w:val="004B59DA"/>
    <w:rsid w:val="004B78C6"/>
    <w:rsid w:val="004B7E79"/>
    <w:rsid w:val="004C0D1E"/>
    <w:rsid w:val="004C1CC5"/>
    <w:rsid w:val="004C27F9"/>
    <w:rsid w:val="004C6B2B"/>
    <w:rsid w:val="004C7503"/>
    <w:rsid w:val="004C7B52"/>
    <w:rsid w:val="004C7E01"/>
    <w:rsid w:val="004D075E"/>
    <w:rsid w:val="004D0A3E"/>
    <w:rsid w:val="004D2A39"/>
    <w:rsid w:val="004D3152"/>
    <w:rsid w:val="004D5AC1"/>
    <w:rsid w:val="004D5CF5"/>
    <w:rsid w:val="004D6DB2"/>
    <w:rsid w:val="004D7783"/>
    <w:rsid w:val="004D7E25"/>
    <w:rsid w:val="004D7F28"/>
    <w:rsid w:val="004E01F6"/>
    <w:rsid w:val="004E0E5B"/>
    <w:rsid w:val="004E29E3"/>
    <w:rsid w:val="004E7BDE"/>
    <w:rsid w:val="004F154C"/>
    <w:rsid w:val="004F1607"/>
    <w:rsid w:val="004F16E5"/>
    <w:rsid w:val="004F1964"/>
    <w:rsid w:val="004F1CF1"/>
    <w:rsid w:val="004F25C0"/>
    <w:rsid w:val="004F7270"/>
    <w:rsid w:val="004F7ABA"/>
    <w:rsid w:val="0050023D"/>
    <w:rsid w:val="0050288C"/>
    <w:rsid w:val="0050451B"/>
    <w:rsid w:val="0050470E"/>
    <w:rsid w:val="00506D21"/>
    <w:rsid w:val="0050709D"/>
    <w:rsid w:val="005144E3"/>
    <w:rsid w:val="00515088"/>
    <w:rsid w:val="0052019E"/>
    <w:rsid w:val="005206BA"/>
    <w:rsid w:val="00520EA9"/>
    <w:rsid w:val="0053336F"/>
    <w:rsid w:val="00533AA9"/>
    <w:rsid w:val="005346ED"/>
    <w:rsid w:val="00534C6E"/>
    <w:rsid w:val="00535ED5"/>
    <w:rsid w:val="0053681E"/>
    <w:rsid w:val="005426F5"/>
    <w:rsid w:val="005433BE"/>
    <w:rsid w:val="00545742"/>
    <w:rsid w:val="00545FDC"/>
    <w:rsid w:val="00546BB3"/>
    <w:rsid w:val="005532E5"/>
    <w:rsid w:val="00555689"/>
    <w:rsid w:val="00556639"/>
    <w:rsid w:val="00560CC1"/>
    <w:rsid w:val="0056155E"/>
    <w:rsid w:val="00563091"/>
    <w:rsid w:val="00570C03"/>
    <w:rsid w:val="00574384"/>
    <w:rsid w:val="00581170"/>
    <w:rsid w:val="00581D5D"/>
    <w:rsid w:val="00584C41"/>
    <w:rsid w:val="00584F2C"/>
    <w:rsid w:val="0059257E"/>
    <w:rsid w:val="00594D10"/>
    <w:rsid w:val="00595574"/>
    <w:rsid w:val="005956AA"/>
    <w:rsid w:val="00597208"/>
    <w:rsid w:val="005A249E"/>
    <w:rsid w:val="005A3266"/>
    <w:rsid w:val="005A3959"/>
    <w:rsid w:val="005A3D0B"/>
    <w:rsid w:val="005A400D"/>
    <w:rsid w:val="005A4F66"/>
    <w:rsid w:val="005A5496"/>
    <w:rsid w:val="005A76D0"/>
    <w:rsid w:val="005A7EB2"/>
    <w:rsid w:val="005B076E"/>
    <w:rsid w:val="005B19BB"/>
    <w:rsid w:val="005B1B89"/>
    <w:rsid w:val="005B2344"/>
    <w:rsid w:val="005B25B6"/>
    <w:rsid w:val="005B2E32"/>
    <w:rsid w:val="005B51DA"/>
    <w:rsid w:val="005B65AE"/>
    <w:rsid w:val="005B7779"/>
    <w:rsid w:val="005C1223"/>
    <w:rsid w:val="005C13D3"/>
    <w:rsid w:val="005C3DA2"/>
    <w:rsid w:val="005C4EB2"/>
    <w:rsid w:val="005D1768"/>
    <w:rsid w:val="005D2492"/>
    <w:rsid w:val="005D3D19"/>
    <w:rsid w:val="005D59A7"/>
    <w:rsid w:val="005E1B7D"/>
    <w:rsid w:val="005E24FB"/>
    <w:rsid w:val="005E3641"/>
    <w:rsid w:val="005E42AD"/>
    <w:rsid w:val="005E4CDF"/>
    <w:rsid w:val="005E5F72"/>
    <w:rsid w:val="005E6A87"/>
    <w:rsid w:val="005F2661"/>
    <w:rsid w:val="005F4381"/>
    <w:rsid w:val="005F48DB"/>
    <w:rsid w:val="005F5AF5"/>
    <w:rsid w:val="005F70FC"/>
    <w:rsid w:val="005F7345"/>
    <w:rsid w:val="00601B8A"/>
    <w:rsid w:val="00602907"/>
    <w:rsid w:val="00602C77"/>
    <w:rsid w:val="006052B6"/>
    <w:rsid w:val="006066E7"/>
    <w:rsid w:val="0061026F"/>
    <w:rsid w:val="00616CCD"/>
    <w:rsid w:val="00621F2E"/>
    <w:rsid w:val="0062589E"/>
    <w:rsid w:val="00625A3C"/>
    <w:rsid w:val="00625E98"/>
    <w:rsid w:val="00626E7A"/>
    <w:rsid w:val="006272BA"/>
    <w:rsid w:val="00633F98"/>
    <w:rsid w:val="00634932"/>
    <w:rsid w:val="006447D8"/>
    <w:rsid w:val="00644F28"/>
    <w:rsid w:val="00646FBB"/>
    <w:rsid w:val="0065187E"/>
    <w:rsid w:val="00655684"/>
    <w:rsid w:val="00655E8D"/>
    <w:rsid w:val="00660743"/>
    <w:rsid w:val="00661A1D"/>
    <w:rsid w:val="00663189"/>
    <w:rsid w:val="00664639"/>
    <w:rsid w:val="00665475"/>
    <w:rsid w:val="00667BBF"/>
    <w:rsid w:val="006731F3"/>
    <w:rsid w:val="00676B85"/>
    <w:rsid w:val="006770DE"/>
    <w:rsid w:val="0068067D"/>
    <w:rsid w:val="00681DDF"/>
    <w:rsid w:val="00681E12"/>
    <w:rsid w:val="00685A20"/>
    <w:rsid w:val="00686195"/>
    <w:rsid w:val="00687F77"/>
    <w:rsid w:val="00687FAF"/>
    <w:rsid w:val="00693289"/>
    <w:rsid w:val="00694E3F"/>
    <w:rsid w:val="0069634B"/>
    <w:rsid w:val="0069637E"/>
    <w:rsid w:val="006A1FAE"/>
    <w:rsid w:val="006A2752"/>
    <w:rsid w:val="006A2AF0"/>
    <w:rsid w:val="006A6532"/>
    <w:rsid w:val="006A7DC3"/>
    <w:rsid w:val="006B1075"/>
    <w:rsid w:val="006B366F"/>
    <w:rsid w:val="006B4D08"/>
    <w:rsid w:val="006B51C2"/>
    <w:rsid w:val="006C0B2D"/>
    <w:rsid w:val="006C10F3"/>
    <w:rsid w:val="006C2E76"/>
    <w:rsid w:val="006C41A4"/>
    <w:rsid w:val="006C4D98"/>
    <w:rsid w:val="006C54C9"/>
    <w:rsid w:val="006C74C3"/>
    <w:rsid w:val="006C74D7"/>
    <w:rsid w:val="006D2973"/>
    <w:rsid w:val="006D38FF"/>
    <w:rsid w:val="006D5422"/>
    <w:rsid w:val="006E35DF"/>
    <w:rsid w:val="006E5511"/>
    <w:rsid w:val="006E6AA3"/>
    <w:rsid w:val="006E7C5B"/>
    <w:rsid w:val="006F1837"/>
    <w:rsid w:val="006F3CD1"/>
    <w:rsid w:val="006F4E00"/>
    <w:rsid w:val="00701E8F"/>
    <w:rsid w:val="0070272D"/>
    <w:rsid w:val="00703A9A"/>
    <w:rsid w:val="00703D81"/>
    <w:rsid w:val="00704C25"/>
    <w:rsid w:val="00705F1D"/>
    <w:rsid w:val="00706AC7"/>
    <w:rsid w:val="00707214"/>
    <w:rsid w:val="00711248"/>
    <w:rsid w:val="00713A6D"/>
    <w:rsid w:val="00714B91"/>
    <w:rsid w:val="0071759B"/>
    <w:rsid w:val="00717602"/>
    <w:rsid w:val="00717B72"/>
    <w:rsid w:val="007203EA"/>
    <w:rsid w:val="007239AC"/>
    <w:rsid w:val="00723E95"/>
    <w:rsid w:val="0072501F"/>
    <w:rsid w:val="00725275"/>
    <w:rsid w:val="00725411"/>
    <w:rsid w:val="007270C8"/>
    <w:rsid w:val="00730F61"/>
    <w:rsid w:val="00733953"/>
    <w:rsid w:val="00736364"/>
    <w:rsid w:val="0073642B"/>
    <w:rsid w:val="007365C5"/>
    <w:rsid w:val="0073682E"/>
    <w:rsid w:val="00740AB1"/>
    <w:rsid w:val="00745357"/>
    <w:rsid w:val="0074573E"/>
    <w:rsid w:val="00745C19"/>
    <w:rsid w:val="00747729"/>
    <w:rsid w:val="007507AF"/>
    <w:rsid w:val="00750F2F"/>
    <w:rsid w:val="00754496"/>
    <w:rsid w:val="00764F11"/>
    <w:rsid w:val="00765675"/>
    <w:rsid w:val="0076684E"/>
    <w:rsid w:val="00766937"/>
    <w:rsid w:val="00766A58"/>
    <w:rsid w:val="00773957"/>
    <w:rsid w:val="00773B98"/>
    <w:rsid w:val="007745B7"/>
    <w:rsid w:val="007764F4"/>
    <w:rsid w:val="00776AB8"/>
    <w:rsid w:val="00781550"/>
    <w:rsid w:val="007822A3"/>
    <w:rsid w:val="0078346F"/>
    <w:rsid w:val="00784FE2"/>
    <w:rsid w:val="00785011"/>
    <w:rsid w:val="00785B37"/>
    <w:rsid w:val="00790119"/>
    <w:rsid w:val="007905CF"/>
    <w:rsid w:val="00790B4E"/>
    <w:rsid w:val="00793616"/>
    <w:rsid w:val="00794183"/>
    <w:rsid w:val="00795AA3"/>
    <w:rsid w:val="007969DC"/>
    <w:rsid w:val="00797AF9"/>
    <w:rsid w:val="00797DEA"/>
    <w:rsid w:val="007A0C68"/>
    <w:rsid w:val="007A31DC"/>
    <w:rsid w:val="007A55D4"/>
    <w:rsid w:val="007B0E69"/>
    <w:rsid w:val="007B1E8D"/>
    <w:rsid w:val="007B29E4"/>
    <w:rsid w:val="007B3A5C"/>
    <w:rsid w:val="007B5C56"/>
    <w:rsid w:val="007C1F01"/>
    <w:rsid w:val="007C22B7"/>
    <w:rsid w:val="007C29B8"/>
    <w:rsid w:val="007C428F"/>
    <w:rsid w:val="007C62EE"/>
    <w:rsid w:val="007D39B9"/>
    <w:rsid w:val="007D58CE"/>
    <w:rsid w:val="007D7D94"/>
    <w:rsid w:val="007E2852"/>
    <w:rsid w:val="007E3985"/>
    <w:rsid w:val="007E4447"/>
    <w:rsid w:val="007F4183"/>
    <w:rsid w:val="007F4785"/>
    <w:rsid w:val="007F604F"/>
    <w:rsid w:val="007F7F8F"/>
    <w:rsid w:val="007F7FF6"/>
    <w:rsid w:val="008022F1"/>
    <w:rsid w:val="00802902"/>
    <w:rsid w:val="00802EEF"/>
    <w:rsid w:val="00806D31"/>
    <w:rsid w:val="00810AE7"/>
    <w:rsid w:val="008120F4"/>
    <w:rsid w:val="00812521"/>
    <w:rsid w:val="00816A01"/>
    <w:rsid w:val="008173B3"/>
    <w:rsid w:val="00817E2A"/>
    <w:rsid w:val="008200D7"/>
    <w:rsid w:val="008239B0"/>
    <w:rsid w:val="00824BD7"/>
    <w:rsid w:val="00831B04"/>
    <w:rsid w:val="008323F4"/>
    <w:rsid w:val="008357E5"/>
    <w:rsid w:val="008364C6"/>
    <w:rsid w:val="00836D37"/>
    <w:rsid w:val="0083758C"/>
    <w:rsid w:val="00837A68"/>
    <w:rsid w:val="00840269"/>
    <w:rsid w:val="00840C1E"/>
    <w:rsid w:val="008432FD"/>
    <w:rsid w:val="00843CD6"/>
    <w:rsid w:val="00844D37"/>
    <w:rsid w:val="00847EE2"/>
    <w:rsid w:val="00852494"/>
    <w:rsid w:val="00854E14"/>
    <w:rsid w:val="00855C53"/>
    <w:rsid w:val="00856201"/>
    <w:rsid w:val="00861DC2"/>
    <w:rsid w:val="0086333D"/>
    <w:rsid w:val="00863EE1"/>
    <w:rsid w:val="00864B2B"/>
    <w:rsid w:val="00866982"/>
    <w:rsid w:val="00875A9F"/>
    <w:rsid w:val="00875CA4"/>
    <w:rsid w:val="00875D32"/>
    <w:rsid w:val="00875F77"/>
    <w:rsid w:val="008769F3"/>
    <w:rsid w:val="008804AB"/>
    <w:rsid w:val="008806D9"/>
    <w:rsid w:val="0088301D"/>
    <w:rsid w:val="00883E09"/>
    <w:rsid w:val="008849D8"/>
    <w:rsid w:val="00886510"/>
    <w:rsid w:val="00887763"/>
    <w:rsid w:val="00890400"/>
    <w:rsid w:val="0089176E"/>
    <w:rsid w:val="00892D95"/>
    <w:rsid w:val="00894F92"/>
    <w:rsid w:val="0089666A"/>
    <w:rsid w:val="008A09DC"/>
    <w:rsid w:val="008A2025"/>
    <w:rsid w:val="008A2744"/>
    <w:rsid w:val="008A2AD6"/>
    <w:rsid w:val="008A2AF8"/>
    <w:rsid w:val="008A3CF5"/>
    <w:rsid w:val="008A4734"/>
    <w:rsid w:val="008A5ED9"/>
    <w:rsid w:val="008A6100"/>
    <w:rsid w:val="008A69EA"/>
    <w:rsid w:val="008A7D25"/>
    <w:rsid w:val="008B04DC"/>
    <w:rsid w:val="008B0F36"/>
    <w:rsid w:val="008B2727"/>
    <w:rsid w:val="008B4C77"/>
    <w:rsid w:val="008B5953"/>
    <w:rsid w:val="008C140C"/>
    <w:rsid w:val="008C2AA8"/>
    <w:rsid w:val="008C391A"/>
    <w:rsid w:val="008D036F"/>
    <w:rsid w:val="008D1B67"/>
    <w:rsid w:val="008D26C5"/>
    <w:rsid w:val="008D5F2C"/>
    <w:rsid w:val="008D6BF2"/>
    <w:rsid w:val="008D7382"/>
    <w:rsid w:val="008E18C4"/>
    <w:rsid w:val="008E1DF8"/>
    <w:rsid w:val="008E25FD"/>
    <w:rsid w:val="008E2625"/>
    <w:rsid w:val="008E342C"/>
    <w:rsid w:val="008E7947"/>
    <w:rsid w:val="008F160E"/>
    <w:rsid w:val="008F16AD"/>
    <w:rsid w:val="008F2772"/>
    <w:rsid w:val="008F29D2"/>
    <w:rsid w:val="008F4D56"/>
    <w:rsid w:val="0090098E"/>
    <w:rsid w:val="0090102E"/>
    <w:rsid w:val="009031D3"/>
    <w:rsid w:val="00905EA2"/>
    <w:rsid w:val="009071FF"/>
    <w:rsid w:val="00910B36"/>
    <w:rsid w:val="00911494"/>
    <w:rsid w:val="0091232D"/>
    <w:rsid w:val="00912E0A"/>
    <w:rsid w:val="009139AE"/>
    <w:rsid w:val="00914DEE"/>
    <w:rsid w:val="009157BC"/>
    <w:rsid w:val="00916122"/>
    <w:rsid w:val="00916986"/>
    <w:rsid w:val="00917142"/>
    <w:rsid w:val="0091720A"/>
    <w:rsid w:val="009173BC"/>
    <w:rsid w:val="00917C97"/>
    <w:rsid w:val="00920785"/>
    <w:rsid w:val="00921E2A"/>
    <w:rsid w:val="00922314"/>
    <w:rsid w:val="00922FF0"/>
    <w:rsid w:val="00931406"/>
    <w:rsid w:val="0093756B"/>
    <w:rsid w:val="009400C2"/>
    <w:rsid w:val="009434F8"/>
    <w:rsid w:val="009438BE"/>
    <w:rsid w:val="009462FA"/>
    <w:rsid w:val="009505DD"/>
    <w:rsid w:val="009554E8"/>
    <w:rsid w:val="00955905"/>
    <w:rsid w:val="00955EBF"/>
    <w:rsid w:val="00957F3D"/>
    <w:rsid w:val="00962E14"/>
    <w:rsid w:val="0096761A"/>
    <w:rsid w:val="009705B3"/>
    <w:rsid w:val="00971016"/>
    <w:rsid w:val="00972BEC"/>
    <w:rsid w:val="009737DA"/>
    <w:rsid w:val="009748C1"/>
    <w:rsid w:val="00975E1E"/>
    <w:rsid w:val="00977E98"/>
    <w:rsid w:val="0098045D"/>
    <w:rsid w:val="009813A6"/>
    <w:rsid w:val="00985460"/>
    <w:rsid w:val="00986198"/>
    <w:rsid w:val="0099046D"/>
    <w:rsid w:val="00996AB0"/>
    <w:rsid w:val="009A3B11"/>
    <w:rsid w:val="009A6165"/>
    <w:rsid w:val="009B170B"/>
    <w:rsid w:val="009B52FF"/>
    <w:rsid w:val="009B69C0"/>
    <w:rsid w:val="009B7B1F"/>
    <w:rsid w:val="009C1F6C"/>
    <w:rsid w:val="009C2244"/>
    <w:rsid w:val="009C3C7B"/>
    <w:rsid w:val="009C43E5"/>
    <w:rsid w:val="009D1181"/>
    <w:rsid w:val="009D1585"/>
    <w:rsid w:val="009D1C20"/>
    <w:rsid w:val="009D1D31"/>
    <w:rsid w:val="009D6C7E"/>
    <w:rsid w:val="009E0C57"/>
    <w:rsid w:val="009E1886"/>
    <w:rsid w:val="009E2CE9"/>
    <w:rsid w:val="009E4604"/>
    <w:rsid w:val="009E468F"/>
    <w:rsid w:val="009F1183"/>
    <w:rsid w:val="009F1514"/>
    <w:rsid w:val="009F2AB3"/>
    <w:rsid w:val="009F2F7B"/>
    <w:rsid w:val="009F44B4"/>
    <w:rsid w:val="009F4758"/>
    <w:rsid w:val="009F535E"/>
    <w:rsid w:val="009F589F"/>
    <w:rsid w:val="009F7119"/>
    <w:rsid w:val="009F73D2"/>
    <w:rsid w:val="009F7C4D"/>
    <w:rsid w:val="00A002E4"/>
    <w:rsid w:val="00A00401"/>
    <w:rsid w:val="00A043DE"/>
    <w:rsid w:val="00A05BAE"/>
    <w:rsid w:val="00A11618"/>
    <w:rsid w:val="00A12ADA"/>
    <w:rsid w:val="00A1327B"/>
    <w:rsid w:val="00A1431A"/>
    <w:rsid w:val="00A145E1"/>
    <w:rsid w:val="00A14CF4"/>
    <w:rsid w:val="00A1570C"/>
    <w:rsid w:val="00A15C4F"/>
    <w:rsid w:val="00A16E60"/>
    <w:rsid w:val="00A204CB"/>
    <w:rsid w:val="00A23560"/>
    <w:rsid w:val="00A23D85"/>
    <w:rsid w:val="00A2674F"/>
    <w:rsid w:val="00A2724A"/>
    <w:rsid w:val="00A27924"/>
    <w:rsid w:val="00A36121"/>
    <w:rsid w:val="00A37197"/>
    <w:rsid w:val="00A37539"/>
    <w:rsid w:val="00A40353"/>
    <w:rsid w:val="00A40B26"/>
    <w:rsid w:val="00A40B4C"/>
    <w:rsid w:val="00A40E05"/>
    <w:rsid w:val="00A41647"/>
    <w:rsid w:val="00A42286"/>
    <w:rsid w:val="00A42786"/>
    <w:rsid w:val="00A432F8"/>
    <w:rsid w:val="00A45E81"/>
    <w:rsid w:val="00A51842"/>
    <w:rsid w:val="00A52B66"/>
    <w:rsid w:val="00A564F0"/>
    <w:rsid w:val="00A60347"/>
    <w:rsid w:val="00A6181A"/>
    <w:rsid w:val="00A62487"/>
    <w:rsid w:val="00A63AF0"/>
    <w:rsid w:val="00A63F47"/>
    <w:rsid w:val="00A646EC"/>
    <w:rsid w:val="00A65000"/>
    <w:rsid w:val="00A66488"/>
    <w:rsid w:val="00A67E70"/>
    <w:rsid w:val="00A70534"/>
    <w:rsid w:val="00A71888"/>
    <w:rsid w:val="00A73A46"/>
    <w:rsid w:val="00A74A2B"/>
    <w:rsid w:val="00A7525C"/>
    <w:rsid w:val="00A76C20"/>
    <w:rsid w:val="00A77B25"/>
    <w:rsid w:val="00A82431"/>
    <w:rsid w:val="00A83153"/>
    <w:rsid w:val="00A8785A"/>
    <w:rsid w:val="00A90432"/>
    <w:rsid w:val="00A90611"/>
    <w:rsid w:val="00A9090D"/>
    <w:rsid w:val="00A91782"/>
    <w:rsid w:val="00A92D32"/>
    <w:rsid w:val="00A92EC2"/>
    <w:rsid w:val="00AA10FE"/>
    <w:rsid w:val="00AA4673"/>
    <w:rsid w:val="00AA4970"/>
    <w:rsid w:val="00AA6140"/>
    <w:rsid w:val="00AA6E91"/>
    <w:rsid w:val="00AA774F"/>
    <w:rsid w:val="00AB045E"/>
    <w:rsid w:val="00AB0DB7"/>
    <w:rsid w:val="00AB0E27"/>
    <w:rsid w:val="00AB2EFD"/>
    <w:rsid w:val="00AB3EFD"/>
    <w:rsid w:val="00AB4755"/>
    <w:rsid w:val="00AB4F83"/>
    <w:rsid w:val="00AB7439"/>
    <w:rsid w:val="00AC0351"/>
    <w:rsid w:val="00AC24D4"/>
    <w:rsid w:val="00AC3C9E"/>
    <w:rsid w:val="00AC3F5D"/>
    <w:rsid w:val="00AC44CC"/>
    <w:rsid w:val="00AC46F5"/>
    <w:rsid w:val="00AC4F32"/>
    <w:rsid w:val="00AC74FF"/>
    <w:rsid w:val="00AC7D37"/>
    <w:rsid w:val="00AD0603"/>
    <w:rsid w:val="00AD11DA"/>
    <w:rsid w:val="00AD191A"/>
    <w:rsid w:val="00AD2996"/>
    <w:rsid w:val="00AD4B04"/>
    <w:rsid w:val="00AD5DDB"/>
    <w:rsid w:val="00AD71FF"/>
    <w:rsid w:val="00AD783C"/>
    <w:rsid w:val="00AD7BAB"/>
    <w:rsid w:val="00AE0CA0"/>
    <w:rsid w:val="00AE1FA7"/>
    <w:rsid w:val="00AE6B9C"/>
    <w:rsid w:val="00AF62C2"/>
    <w:rsid w:val="00AF6F2B"/>
    <w:rsid w:val="00B00D76"/>
    <w:rsid w:val="00B0235B"/>
    <w:rsid w:val="00B03D10"/>
    <w:rsid w:val="00B05050"/>
    <w:rsid w:val="00B05FDA"/>
    <w:rsid w:val="00B102D0"/>
    <w:rsid w:val="00B10506"/>
    <w:rsid w:val="00B146C0"/>
    <w:rsid w:val="00B15810"/>
    <w:rsid w:val="00B16420"/>
    <w:rsid w:val="00B254CA"/>
    <w:rsid w:val="00B32BC6"/>
    <w:rsid w:val="00B32E4E"/>
    <w:rsid w:val="00B3377E"/>
    <w:rsid w:val="00B34014"/>
    <w:rsid w:val="00B344E2"/>
    <w:rsid w:val="00B4152E"/>
    <w:rsid w:val="00B43F32"/>
    <w:rsid w:val="00B4456F"/>
    <w:rsid w:val="00B477A9"/>
    <w:rsid w:val="00B53190"/>
    <w:rsid w:val="00B5432A"/>
    <w:rsid w:val="00B554E2"/>
    <w:rsid w:val="00B601A0"/>
    <w:rsid w:val="00B60659"/>
    <w:rsid w:val="00B61F61"/>
    <w:rsid w:val="00B627EA"/>
    <w:rsid w:val="00B62EC9"/>
    <w:rsid w:val="00B63BBC"/>
    <w:rsid w:val="00B64D6C"/>
    <w:rsid w:val="00B71861"/>
    <w:rsid w:val="00B74CCD"/>
    <w:rsid w:val="00B802A8"/>
    <w:rsid w:val="00B828C8"/>
    <w:rsid w:val="00B90CF8"/>
    <w:rsid w:val="00B91290"/>
    <w:rsid w:val="00B91986"/>
    <w:rsid w:val="00B91DC7"/>
    <w:rsid w:val="00B94AD1"/>
    <w:rsid w:val="00B96E4F"/>
    <w:rsid w:val="00BA6451"/>
    <w:rsid w:val="00BA688E"/>
    <w:rsid w:val="00BA68CA"/>
    <w:rsid w:val="00BB3408"/>
    <w:rsid w:val="00BB4052"/>
    <w:rsid w:val="00BB46BB"/>
    <w:rsid w:val="00BB5045"/>
    <w:rsid w:val="00BB5DCC"/>
    <w:rsid w:val="00BB7979"/>
    <w:rsid w:val="00BB7B8C"/>
    <w:rsid w:val="00BC5AEB"/>
    <w:rsid w:val="00BC6A9A"/>
    <w:rsid w:val="00BC7341"/>
    <w:rsid w:val="00BC78DA"/>
    <w:rsid w:val="00BD0DA0"/>
    <w:rsid w:val="00BD17E4"/>
    <w:rsid w:val="00BD4333"/>
    <w:rsid w:val="00BD507A"/>
    <w:rsid w:val="00BD624D"/>
    <w:rsid w:val="00BE07E2"/>
    <w:rsid w:val="00BE0E69"/>
    <w:rsid w:val="00BE2447"/>
    <w:rsid w:val="00BE2AD6"/>
    <w:rsid w:val="00BE5146"/>
    <w:rsid w:val="00BE609B"/>
    <w:rsid w:val="00BE6123"/>
    <w:rsid w:val="00BF00BC"/>
    <w:rsid w:val="00BF0DB3"/>
    <w:rsid w:val="00BF10E4"/>
    <w:rsid w:val="00BF1C82"/>
    <w:rsid w:val="00BF20DB"/>
    <w:rsid w:val="00BF2A76"/>
    <w:rsid w:val="00BF2F3B"/>
    <w:rsid w:val="00BF4225"/>
    <w:rsid w:val="00BF5F2F"/>
    <w:rsid w:val="00C00BB4"/>
    <w:rsid w:val="00C05DEE"/>
    <w:rsid w:val="00C11026"/>
    <w:rsid w:val="00C1168C"/>
    <w:rsid w:val="00C11E95"/>
    <w:rsid w:val="00C1324B"/>
    <w:rsid w:val="00C144E4"/>
    <w:rsid w:val="00C146B6"/>
    <w:rsid w:val="00C14A6F"/>
    <w:rsid w:val="00C15312"/>
    <w:rsid w:val="00C20C02"/>
    <w:rsid w:val="00C2122A"/>
    <w:rsid w:val="00C2376A"/>
    <w:rsid w:val="00C23A5B"/>
    <w:rsid w:val="00C25807"/>
    <w:rsid w:val="00C26FE5"/>
    <w:rsid w:val="00C31B82"/>
    <w:rsid w:val="00C335F7"/>
    <w:rsid w:val="00C343A2"/>
    <w:rsid w:val="00C34D41"/>
    <w:rsid w:val="00C35EB8"/>
    <w:rsid w:val="00C37D5D"/>
    <w:rsid w:val="00C41994"/>
    <w:rsid w:val="00C42F03"/>
    <w:rsid w:val="00C43A02"/>
    <w:rsid w:val="00C44E75"/>
    <w:rsid w:val="00C44F90"/>
    <w:rsid w:val="00C45804"/>
    <w:rsid w:val="00C472D8"/>
    <w:rsid w:val="00C476D6"/>
    <w:rsid w:val="00C476E1"/>
    <w:rsid w:val="00C47CF9"/>
    <w:rsid w:val="00C54779"/>
    <w:rsid w:val="00C5525B"/>
    <w:rsid w:val="00C56B6D"/>
    <w:rsid w:val="00C57CC8"/>
    <w:rsid w:val="00C61182"/>
    <w:rsid w:val="00C61A9B"/>
    <w:rsid w:val="00C62DC1"/>
    <w:rsid w:val="00C63E7E"/>
    <w:rsid w:val="00C64343"/>
    <w:rsid w:val="00C711EB"/>
    <w:rsid w:val="00C74AAF"/>
    <w:rsid w:val="00C74C76"/>
    <w:rsid w:val="00C761FF"/>
    <w:rsid w:val="00C76706"/>
    <w:rsid w:val="00C76A6D"/>
    <w:rsid w:val="00C7708D"/>
    <w:rsid w:val="00C77C57"/>
    <w:rsid w:val="00C80BC2"/>
    <w:rsid w:val="00C81765"/>
    <w:rsid w:val="00C83842"/>
    <w:rsid w:val="00C838F5"/>
    <w:rsid w:val="00C83C24"/>
    <w:rsid w:val="00C84462"/>
    <w:rsid w:val="00C84FED"/>
    <w:rsid w:val="00C8560F"/>
    <w:rsid w:val="00C859D7"/>
    <w:rsid w:val="00C8705F"/>
    <w:rsid w:val="00C87AB5"/>
    <w:rsid w:val="00C93ED6"/>
    <w:rsid w:val="00C9578D"/>
    <w:rsid w:val="00C974FB"/>
    <w:rsid w:val="00CA1B14"/>
    <w:rsid w:val="00CA1F19"/>
    <w:rsid w:val="00CA2707"/>
    <w:rsid w:val="00CA3B5F"/>
    <w:rsid w:val="00CA5042"/>
    <w:rsid w:val="00CA5CF6"/>
    <w:rsid w:val="00CB09E2"/>
    <w:rsid w:val="00CB0A76"/>
    <w:rsid w:val="00CB0E67"/>
    <w:rsid w:val="00CB0EF4"/>
    <w:rsid w:val="00CB3FA0"/>
    <w:rsid w:val="00CC081F"/>
    <w:rsid w:val="00CC208F"/>
    <w:rsid w:val="00CC365B"/>
    <w:rsid w:val="00CC3C32"/>
    <w:rsid w:val="00CC7BCA"/>
    <w:rsid w:val="00CD67C0"/>
    <w:rsid w:val="00CD7C8F"/>
    <w:rsid w:val="00CE13A5"/>
    <w:rsid w:val="00CE39F0"/>
    <w:rsid w:val="00CE45FE"/>
    <w:rsid w:val="00CF0EE2"/>
    <w:rsid w:val="00CF3854"/>
    <w:rsid w:val="00CF38E8"/>
    <w:rsid w:val="00CF6A3F"/>
    <w:rsid w:val="00CF782C"/>
    <w:rsid w:val="00D0035F"/>
    <w:rsid w:val="00D012B5"/>
    <w:rsid w:val="00D046CC"/>
    <w:rsid w:val="00D05EDF"/>
    <w:rsid w:val="00D068B9"/>
    <w:rsid w:val="00D07515"/>
    <w:rsid w:val="00D11980"/>
    <w:rsid w:val="00D1286C"/>
    <w:rsid w:val="00D20E96"/>
    <w:rsid w:val="00D235C5"/>
    <w:rsid w:val="00D23CA7"/>
    <w:rsid w:val="00D2769A"/>
    <w:rsid w:val="00D27F89"/>
    <w:rsid w:val="00D31072"/>
    <w:rsid w:val="00D31D7E"/>
    <w:rsid w:val="00D35465"/>
    <w:rsid w:val="00D41982"/>
    <w:rsid w:val="00D42EAD"/>
    <w:rsid w:val="00D454FB"/>
    <w:rsid w:val="00D47F4C"/>
    <w:rsid w:val="00D50377"/>
    <w:rsid w:val="00D52BB9"/>
    <w:rsid w:val="00D52E56"/>
    <w:rsid w:val="00D550B1"/>
    <w:rsid w:val="00D56B5E"/>
    <w:rsid w:val="00D635F7"/>
    <w:rsid w:val="00D64645"/>
    <w:rsid w:val="00D65A22"/>
    <w:rsid w:val="00D66F8C"/>
    <w:rsid w:val="00D67D0F"/>
    <w:rsid w:val="00D70797"/>
    <w:rsid w:val="00D725A6"/>
    <w:rsid w:val="00D73094"/>
    <w:rsid w:val="00D734B0"/>
    <w:rsid w:val="00D73F64"/>
    <w:rsid w:val="00D76071"/>
    <w:rsid w:val="00D826CC"/>
    <w:rsid w:val="00D82B05"/>
    <w:rsid w:val="00D83327"/>
    <w:rsid w:val="00D83A0C"/>
    <w:rsid w:val="00D9144F"/>
    <w:rsid w:val="00D91DE7"/>
    <w:rsid w:val="00D91ED1"/>
    <w:rsid w:val="00D9445D"/>
    <w:rsid w:val="00D97C4E"/>
    <w:rsid w:val="00DA01BA"/>
    <w:rsid w:val="00DA1963"/>
    <w:rsid w:val="00DA2BD7"/>
    <w:rsid w:val="00DA33BD"/>
    <w:rsid w:val="00DA4ACF"/>
    <w:rsid w:val="00DA5FAE"/>
    <w:rsid w:val="00DA6097"/>
    <w:rsid w:val="00DA624F"/>
    <w:rsid w:val="00DA6668"/>
    <w:rsid w:val="00DA70E5"/>
    <w:rsid w:val="00DA7252"/>
    <w:rsid w:val="00DB05E2"/>
    <w:rsid w:val="00DB16F3"/>
    <w:rsid w:val="00DB67ED"/>
    <w:rsid w:val="00DB7493"/>
    <w:rsid w:val="00DC034B"/>
    <w:rsid w:val="00DC1CF7"/>
    <w:rsid w:val="00DC2C32"/>
    <w:rsid w:val="00DC7903"/>
    <w:rsid w:val="00DD48D8"/>
    <w:rsid w:val="00DD4E9D"/>
    <w:rsid w:val="00DE47EC"/>
    <w:rsid w:val="00DE4849"/>
    <w:rsid w:val="00DF083A"/>
    <w:rsid w:val="00DF0990"/>
    <w:rsid w:val="00DF0F3B"/>
    <w:rsid w:val="00DF131B"/>
    <w:rsid w:val="00DF30DF"/>
    <w:rsid w:val="00DF3BE2"/>
    <w:rsid w:val="00DF4B48"/>
    <w:rsid w:val="00DF52A6"/>
    <w:rsid w:val="00DF6065"/>
    <w:rsid w:val="00DF6DD4"/>
    <w:rsid w:val="00E01563"/>
    <w:rsid w:val="00E01A48"/>
    <w:rsid w:val="00E02281"/>
    <w:rsid w:val="00E02D99"/>
    <w:rsid w:val="00E031FB"/>
    <w:rsid w:val="00E05C68"/>
    <w:rsid w:val="00E110F9"/>
    <w:rsid w:val="00E1181E"/>
    <w:rsid w:val="00E11EF3"/>
    <w:rsid w:val="00E12EB0"/>
    <w:rsid w:val="00E132BC"/>
    <w:rsid w:val="00E1626D"/>
    <w:rsid w:val="00E1712F"/>
    <w:rsid w:val="00E20214"/>
    <w:rsid w:val="00E234C5"/>
    <w:rsid w:val="00E25EBC"/>
    <w:rsid w:val="00E26F2B"/>
    <w:rsid w:val="00E31E98"/>
    <w:rsid w:val="00E3299D"/>
    <w:rsid w:val="00E34F6D"/>
    <w:rsid w:val="00E3576C"/>
    <w:rsid w:val="00E36535"/>
    <w:rsid w:val="00E37AA8"/>
    <w:rsid w:val="00E4150D"/>
    <w:rsid w:val="00E415CF"/>
    <w:rsid w:val="00E424FA"/>
    <w:rsid w:val="00E45FD8"/>
    <w:rsid w:val="00E501DC"/>
    <w:rsid w:val="00E51F55"/>
    <w:rsid w:val="00E54263"/>
    <w:rsid w:val="00E57E7F"/>
    <w:rsid w:val="00E6041B"/>
    <w:rsid w:val="00E6351B"/>
    <w:rsid w:val="00E638A6"/>
    <w:rsid w:val="00E667FB"/>
    <w:rsid w:val="00E70A28"/>
    <w:rsid w:val="00E70BD4"/>
    <w:rsid w:val="00E70E4C"/>
    <w:rsid w:val="00E71187"/>
    <w:rsid w:val="00E71504"/>
    <w:rsid w:val="00E73C9E"/>
    <w:rsid w:val="00E74D61"/>
    <w:rsid w:val="00E77C52"/>
    <w:rsid w:val="00E8068C"/>
    <w:rsid w:val="00E84470"/>
    <w:rsid w:val="00E85F1D"/>
    <w:rsid w:val="00E86871"/>
    <w:rsid w:val="00E872CF"/>
    <w:rsid w:val="00E932FF"/>
    <w:rsid w:val="00E954F5"/>
    <w:rsid w:val="00E95A7C"/>
    <w:rsid w:val="00E9655D"/>
    <w:rsid w:val="00E965A0"/>
    <w:rsid w:val="00E96C3E"/>
    <w:rsid w:val="00EA0044"/>
    <w:rsid w:val="00EA0711"/>
    <w:rsid w:val="00EA12C8"/>
    <w:rsid w:val="00EA148A"/>
    <w:rsid w:val="00EA1DF9"/>
    <w:rsid w:val="00EA21E0"/>
    <w:rsid w:val="00EA2B10"/>
    <w:rsid w:val="00EA2C08"/>
    <w:rsid w:val="00EA3D95"/>
    <w:rsid w:val="00EA4291"/>
    <w:rsid w:val="00EA69AC"/>
    <w:rsid w:val="00EA6F99"/>
    <w:rsid w:val="00EB0482"/>
    <w:rsid w:val="00EB1549"/>
    <w:rsid w:val="00EB4354"/>
    <w:rsid w:val="00EB684E"/>
    <w:rsid w:val="00EB726A"/>
    <w:rsid w:val="00EB7436"/>
    <w:rsid w:val="00EC1B1C"/>
    <w:rsid w:val="00EC25CF"/>
    <w:rsid w:val="00EC4694"/>
    <w:rsid w:val="00ED0828"/>
    <w:rsid w:val="00ED0BDF"/>
    <w:rsid w:val="00ED35FF"/>
    <w:rsid w:val="00ED6028"/>
    <w:rsid w:val="00ED77A3"/>
    <w:rsid w:val="00EE25C0"/>
    <w:rsid w:val="00EE7CFA"/>
    <w:rsid w:val="00EE7D55"/>
    <w:rsid w:val="00EF040F"/>
    <w:rsid w:val="00EF1678"/>
    <w:rsid w:val="00EF1685"/>
    <w:rsid w:val="00EF1DEE"/>
    <w:rsid w:val="00EF3337"/>
    <w:rsid w:val="00F0083C"/>
    <w:rsid w:val="00F014A5"/>
    <w:rsid w:val="00F05002"/>
    <w:rsid w:val="00F053D4"/>
    <w:rsid w:val="00F07039"/>
    <w:rsid w:val="00F11C14"/>
    <w:rsid w:val="00F1353B"/>
    <w:rsid w:val="00F1481D"/>
    <w:rsid w:val="00F1554E"/>
    <w:rsid w:val="00F16AB7"/>
    <w:rsid w:val="00F17A30"/>
    <w:rsid w:val="00F20D35"/>
    <w:rsid w:val="00F23CD5"/>
    <w:rsid w:val="00F24293"/>
    <w:rsid w:val="00F24CAC"/>
    <w:rsid w:val="00F26752"/>
    <w:rsid w:val="00F27D48"/>
    <w:rsid w:val="00F31D55"/>
    <w:rsid w:val="00F32247"/>
    <w:rsid w:val="00F32504"/>
    <w:rsid w:val="00F32747"/>
    <w:rsid w:val="00F336DC"/>
    <w:rsid w:val="00F33CA6"/>
    <w:rsid w:val="00F37362"/>
    <w:rsid w:val="00F41E95"/>
    <w:rsid w:val="00F43227"/>
    <w:rsid w:val="00F43BA7"/>
    <w:rsid w:val="00F4536C"/>
    <w:rsid w:val="00F45432"/>
    <w:rsid w:val="00F4693E"/>
    <w:rsid w:val="00F46A8B"/>
    <w:rsid w:val="00F522E0"/>
    <w:rsid w:val="00F55531"/>
    <w:rsid w:val="00F5781A"/>
    <w:rsid w:val="00F6047E"/>
    <w:rsid w:val="00F624E5"/>
    <w:rsid w:val="00F628F0"/>
    <w:rsid w:val="00F635B4"/>
    <w:rsid w:val="00F63970"/>
    <w:rsid w:val="00F64E3B"/>
    <w:rsid w:val="00F71C4B"/>
    <w:rsid w:val="00F73EE4"/>
    <w:rsid w:val="00F74068"/>
    <w:rsid w:val="00F77CC4"/>
    <w:rsid w:val="00F77E17"/>
    <w:rsid w:val="00F800B0"/>
    <w:rsid w:val="00F81045"/>
    <w:rsid w:val="00F81CEC"/>
    <w:rsid w:val="00F85E9A"/>
    <w:rsid w:val="00F86AAD"/>
    <w:rsid w:val="00F873FA"/>
    <w:rsid w:val="00F87DA7"/>
    <w:rsid w:val="00F909EF"/>
    <w:rsid w:val="00F92126"/>
    <w:rsid w:val="00F92EA4"/>
    <w:rsid w:val="00F93DE0"/>
    <w:rsid w:val="00F97E66"/>
    <w:rsid w:val="00FA28F4"/>
    <w:rsid w:val="00FA2BA7"/>
    <w:rsid w:val="00FA2E9F"/>
    <w:rsid w:val="00FA4160"/>
    <w:rsid w:val="00FA7C41"/>
    <w:rsid w:val="00FA7D4D"/>
    <w:rsid w:val="00FB1A85"/>
    <w:rsid w:val="00FB340F"/>
    <w:rsid w:val="00FB3FFD"/>
    <w:rsid w:val="00FB40CE"/>
    <w:rsid w:val="00FB4EC1"/>
    <w:rsid w:val="00FB5943"/>
    <w:rsid w:val="00FB599B"/>
    <w:rsid w:val="00FB67F2"/>
    <w:rsid w:val="00FB7749"/>
    <w:rsid w:val="00FB7B59"/>
    <w:rsid w:val="00FC1345"/>
    <w:rsid w:val="00FC38DA"/>
    <w:rsid w:val="00FC3BCE"/>
    <w:rsid w:val="00FC4060"/>
    <w:rsid w:val="00FC4679"/>
    <w:rsid w:val="00FC55F4"/>
    <w:rsid w:val="00FC5AB7"/>
    <w:rsid w:val="00FC6C09"/>
    <w:rsid w:val="00FC7BDD"/>
    <w:rsid w:val="00FD0199"/>
    <w:rsid w:val="00FD131E"/>
    <w:rsid w:val="00FD224B"/>
    <w:rsid w:val="00FD30BF"/>
    <w:rsid w:val="00FD53D0"/>
    <w:rsid w:val="00FD5A98"/>
    <w:rsid w:val="00FD6092"/>
    <w:rsid w:val="00FD65D4"/>
    <w:rsid w:val="00FD7DB5"/>
    <w:rsid w:val="00FE497A"/>
    <w:rsid w:val="00FE4B4E"/>
    <w:rsid w:val="00FE5AC1"/>
    <w:rsid w:val="00FE6577"/>
    <w:rsid w:val="00FE78E3"/>
    <w:rsid w:val="00FF0AED"/>
    <w:rsid w:val="00FF1690"/>
    <w:rsid w:val="00FF2D1F"/>
    <w:rsid w:val="00FF793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CA875"/>
  <w15:docId w15:val="{73C3A9DC-B64B-4185-B8C3-F1BC158B5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AA3"/>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A21E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C3A9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citation-32">
    <w:name w:val="citation-32"/>
    <w:basedOn w:val="DefaultParagraphFont"/>
    <w:rsid w:val="00914DEE"/>
  </w:style>
  <w:style w:type="character" w:customStyle="1" w:styleId="citation-31">
    <w:name w:val="citation-31"/>
    <w:basedOn w:val="DefaultParagraphFont"/>
    <w:rsid w:val="00914DEE"/>
  </w:style>
  <w:style w:type="character" w:customStyle="1" w:styleId="citation-30">
    <w:name w:val="citation-30"/>
    <w:basedOn w:val="DefaultParagraphFont"/>
    <w:rsid w:val="00914DEE"/>
  </w:style>
  <w:style w:type="character" w:customStyle="1" w:styleId="citation-29">
    <w:name w:val="citation-29"/>
    <w:basedOn w:val="DefaultParagraphFont"/>
    <w:rsid w:val="00914DEE"/>
  </w:style>
  <w:style w:type="character" w:customStyle="1" w:styleId="citation-28">
    <w:name w:val="citation-28"/>
    <w:basedOn w:val="DefaultParagraphFont"/>
    <w:rsid w:val="00914DEE"/>
  </w:style>
  <w:style w:type="character" w:customStyle="1" w:styleId="citation-27">
    <w:name w:val="citation-27"/>
    <w:basedOn w:val="DefaultParagraphFont"/>
    <w:rsid w:val="00914DEE"/>
  </w:style>
  <w:style w:type="character" w:customStyle="1" w:styleId="citation-26">
    <w:name w:val="citation-26"/>
    <w:basedOn w:val="DefaultParagraphFont"/>
    <w:rsid w:val="00914DEE"/>
  </w:style>
  <w:style w:type="character" w:customStyle="1" w:styleId="citation-25">
    <w:name w:val="citation-25"/>
    <w:basedOn w:val="DefaultParagraphFont"/>
    <w:rsid w:val="00914DEE"/>
  </w:style>
  <w:style w:type="character" w:customStyle="1" w:styleId="citation-24">
    <w:name w:val="citation-24"/>
    <w:basedOn w:val="DefaultParagraphFont"/>
    <w:rsid w:val="00914DEE"/>
  </w:style>
  <w:style w:type="character" w:customStyle="1" w:styleId="citation-23">
    <w:name w:val="citation-23"/>
    <w:basedOn w:val="DefaultParagraphFont"/>
    <w:rsid w:val="00914DEE"/>
  </w:style>
  <w:style w:type="character" w:customStyle="1" w:styleId="citation-22">
    <w:name w:val="citation-22"/>
    <w:basedOn w:val="DefaultParagraphFont"/>
    <w:rsid w:val="00914DEE"/>
  </w:style>
  <w:style w:type="character" w:customStyle="1" w:styleId="citation-21">
    <w:name w:val="citation-21"/>
    <w:basedOn w:val="DefaultParagraphFont"/>
    <w:rsid w:val="00914DEE"/>
  </w:style>
  <w:style w:type="character" w:customStyle="1" w:styleId="citation-20">
    <w:name w:val="citation-20"/>
    <w:basedOn w:val="DefaultParagraphFont"/>
    <w:rsid w:val="00914DEE"/>
  </w:style>
  <w:style w:type="character" w:customStyle="1" w:styleId="citation-19">
    <w:name w:val="citation-19"/>
    <w:basedOn w:val="DefaultParagraphFont"/>
    <w:rsid w:val="00914DEE"/>
  </w:style>
  <w:style w:type="character" w:customStyle="1" w:styleId="citation-18">
    <w:name w:val="citation-18"/>
    <w:basedOn w:val="DefaultParagraphFont"/>
    <w:rsid w:val="00914DEE"/>
  </w:style>
  <w:style w:type="character" w:customStyle="1" w:styleId="citation-17">
    <w:name w:val="citation-17"/>
    <w:basedOn w:val="DefaultParagraphFont"/>
    <w:rsid w:val="00914DEE"/>
  </w:style>
  <w:style w:type="character" w:customStyle="1" w:styleId="citation-16">
    <w:name w:val="citation-16"/>
    <w:basedOn w:val="DefaultParagraphFont"/>
    <w:rsid w:val="00914DEE"/>
  </w:style>
  <w:style w:type="character" w:customStyle="1" w:styleId="citation-15">
    <w:name w:val="citation-15"/>
    <w:basedOn w:val="DefaultParagraphFont"/>
    <w:rsid w:val="00914DEE"/>
  </w:style>
  <w:style w:type="character" w:customStyle="1" w:styleId="citation-14">
    <w:name w:val="citation-14"/>
    <w:basedOn w:val="DefaultParagraphFont"/>
    <w:rsid w:val="00914DEE"/>
  </w:style>
  <w:style w:type="character" w:customStyle="1" w:styleId="citation-13">
    <w:name w:val="citation-13"/>
    <w:basedOn w:val="DefaultParagraphFont"/>
    <w:rsid w:val="00914DEE"/>
  </w:style>
  <w:style w:type="character" w:customStyle="1" w:styleId="citation-12">
    <w:name w:val="citation-12"/>
    <w:basedOn w:val="DefaultParagraphFont"/>
    <w:rsid w:val="00914DEE"/>
  </w:style>
  <w:style w:type="character" w:customStyle="1" w:styleId="citation-11">
    <w:name w:val="citation-11"/>
    <w:basedOn w:val="DefaultParagraphFont"/>
    <w:rsid w:val="00914DEE"/>
  </w:style>
  <w:style w:type="character" w:customStyle="1" w:styleId="citation-10">
    <w:name w:val="citation-10"/>
    <w:basedOn w:val="DefaultParagraphFont"/>
    <w:rsid w:val="00914DEE"/>
  </w:style>
  <w:style w:type="character" w:customStyle="1" w:styleId="citation-9">
    <w:name w:val="citation-9"/>
    <w:basedOn w:val="DefaultParagraphFont"/>
    <w:rsid w:val="00914DEE"/>
  </w:style>
  <w:style w:type="character" w:customStyle="1" w:styleId="citation-8">
    <w:name w:val="citation-8"/>
    <w:basedOn w:val="DefaultParagraphFont"/>
    <w:rsid w:val="00914DEE"/>
  </w:style>
  <w:style w:type="character" w:customStyle="1" w:styleId="citation-7">
    <w:name w:val="citation-7"/>
    <w:basedOn w:val="DefaultParagraphFont"/>
    <w:rsid w:val="00914DEE"/>
  </w:style>
  <w:style w:type="character" w:customStyle="1" w:styleId="citation-6">
    <w:name w:val="citation-6"/>
    <w:basedOn w:val="DefaultParagraphFont"/>
    <w:rsid w:val="00914DEE"/>
  </w:style>
  <w:style w:type="character" w:customStyle="1" w:styleId="citation-5">
    <w:name w:val="citation-5"/>
    <w:basedOn w:val="DefaultParagraphFont"/>
    <w:rsid w:val="00914DEE"/>
  </w:style>
  <w:style w:type="character" w:customStyle="1" w:styleId="citation-4">
    <w:name w:val="citation-4"/>
    <w:basedOn w:val="DefaultParagraphFont"/>
    <w:rsid w:val="00914DEE"/>
  </w:style>
  <w:style w:type="character" w:customStyle="1" w:styleId="citation-3">
    <w:name w:val="citation-3"/>
    <w:basedOn w:val="DefaultParagraphFont"/>
    <w:rsid w:val="00914DEE"/>
  </w:style>
  <w:style w:type="character" w:customStyle="1" w:styleId="citation-2">
    <w:name w:val="citation-2"/>
    <w:basedOn w:val="DefaultParagraphFont"/>
    <w:rsid w:val="00914DEE"/>
  </w:style>
  <w:style w:type="character" w:customStyle="1" w:styleId="citation-1">
    <w:name w:val="citation-1"/>
    <w:basedOn w:val="DefaultParagraphFont"/>
    <w:rsid w:val="00914DEE"/>
  </w:style>
  <w:style w:type="character" w:customStyle="1" w:styleId="citation-0">
    <w:name w:val="citation-0"/>
    <w:basedOn w:val="DefaultParagraphFont"/>
    <w:rsid w:val="00D41982"/>
  </w:style>
  <w:style w:type="character" w:customStyle="1" w:styleId="uv3um">
    <w:name w:val="uv3um"/>
    <w:basedOn w:val="DefaultParagraphFont"/>
    <w:rsid w:val="00210FA3"/>
  </w:style>
  <w:style w:type="character" w:styleId="Hyperlink">
    <w:name w:val="Hyperlink"/>
    <w:basedOn w:val="DefaultParagraphFont"/>
    <w:uiPriority w:val="99"/>
    <w:unhideWhenUsed/>
    <w:rsid w:val="00210FA3"/>
    <w:rPr>
      <w:color w:val="0000FF" w:themeColor="hyperlink"/>
      <w:u w:val="single"/>
    </w:rPr>
  </w:style>
  <w:style w:type="character" w:customStyle="1" w:styleId="Heading3Char">
    <w:name w:val="Heading 3 Char"/>
    <w:basedOn w:val="DefaultParagraphFont"/>
    <w:link w:val="Heading3"/>
    <w:uiPriority w:val="9"/>
    <w:rsid w:val="00EA21E0"/>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EA21E0"/>
    <w:pPr>
      <w:spacing w:before="480" w:line="276" w:lineRule="auto"/>
      <w:outlineLvl w:val="9"/>
    </w:pPr>
    <w:rPr>
      <w:b/>
      <w:bCs/>
      <w:sz w:val="28"/>
      <w:szCs w:val="28"/>
    </w:rPr>
  </w:style>
  <w:style w:type="paragraph" w:styleId="TOC1">
    <w:name w:val="toc 1"/>
    <w:basedOn w:val="Normal"/>
    <w:next w:val="Normal"/>
    <w:autoRedefine/>
    <w:uiPriority w:val="39"/>
    <w:unhideWhenUsed/>
    <w:rsid w:val="00B53190"/>
    <w:pPr>
      <w:tabs>
        <w:tab w:val="right" w:leader="dot" w:pos="8296"/>
      </w:tabs>
      <w:bidi/>
      <w:spacing w:after="100"/>
    </w:pPr>
  </w:style>
  <w:style w:type="paragraph" w:styleId="TOC2">
    <w:name w:val="toc 2"/>
    <w:basedOn w:val="Normal"/>
    <w:next w:val="Normal"/>
    <w:autoRedefine/>
    <w:uiPriority w:val="39"/>
    <w:unhideWhenUsed/>
    <w:rsid w:val="00685A20"/>
    <w:pPr>
      <w:tabs>
        <w:tab w:val="left" w:pos="440"/>
        <w:tab w:val="right" w:leader="dot" w:pos="8296"/>
      </w:tabs>
      <w:bidi/>
      <w:spacing w:after="100"/>
      <w:ind w:left="220"/>
    </w:pPr>
  </w:style>
  <w:style w:type="paragraph" w:styleId="TOC3">
    <w:name w:val="toc 3"/>
    <w:basedOn w:val="Normal"/>
    <w:next w:val="Normal"/>
    <w:autoRedefine/>
    <w:uiPriority w:val="39"/>
    <w:unhideWhenUsed/>
    <w:rsid w:val="00EA21E0"/>
    <w:pPr>
      <w:spacing w:after="100"/>
      <w:ind w:left="440"/>
    </w:pPr>
  </w:style>
  <w:style w:type="paragraph" w:styleId="Quote">
    <w:name w:val="Quote"/>
    <w:basedOn w:val="Normal"/>
    <w:next w:val="Normal"/>
    <w:link w:val="QuoteChar"/>
    <w:uiPriority w:val="29"/>
    <w:qFormat/>
    <w:rsid w:val="00C8560F"/>
    <w:rPr>
      <w:i/>
      <w:iCs/>
      <w:color w:val="000000" w:themeColor="text1"/>
    </w:rPr>
  </w:style>
  <w:style w:type="character" w:customStyle="1" w:styleId="QuoteChar">
    <w:name w:val="Quote Char"/>
    <w:basedOn w:val="DefaultParagraphFont"/>
    <w:link w:val="Quote"/>
    <w:uiPriority w:val="29"/>
    <w:rsid w:val="00C8560F"/>
    <w:rPr>
      <w:i/>
      <w:iCs/>
      <w:color w:val="000000" w:themeColor="text1"/>
    </w:rPr>
  </w:style>
  <w:style w:type="paragraph" w:styleId="IntenseQuote">
    <w:name w:val="Intense Quote"/>
    <w:basedOn w:val="Normal"/>
    <w:next w:val="Normal"/>
    <w:link w:val="IntenseQuoteChar"/>
    <w:uiPriority w:val="30"/>
    <w:qFormat/>
    <w:rsid w:val="00C8560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8560F"/>
    <w:rPr>
      <w:b/>
      <w:bCs/>
      <w:i/>
      <w:iCs/>
      <w:color w:val="4F81BD" w:themeColor="accent1"/>
    </w:rPr>
  </w:style>
  <w:style w:type="character" w:customStyle="1" w:styleId="fontstyle01">
    <w:name w:val="fontstyle01"/>
    <w:basedOn w:val="DefaultParagraphFont"/>
    <w:rsid w:val="0013659B"/>
    <w:rPr>
      <w:rFonts w:ascii="ArialMT" w:hAnsi="ArialMT" w:hint="default"/>
      <w:b w:val="0"/>
      <w:bCs w:val="0"/>
      <w:i w:val="0"/>
      <w:iCs w:val="0"/>
      <w:color w:val="000000"/>
      <w:sz w:val="24"/>
      <w:szCs w:val="24"/>
    </w:rPr>
  </w:style>
  <w:style w:type="character" w:customStyle="1" w:styleId="fontstyle21">
    <w:name w:val="fontstyle21"/>
    <w:basedOn w:val="DefaultParagraphFont"/>
    <w:rsid w:val="0013659B"/>
    <w:rPr>
      <w:rFonts w:ascii="Wingdings-Regular" w:hAnsi="Wingdings-Regular" w:hint="default"/>
      <w:b w:val="0"/>
      <w:bCs w:val="0"/>
      <w:i w:val="0"/>
      <w:iCs w:val="0"/>
      <w:color w:val="000000"/>
      <w:sz w:val="24"/>
      <w:szCs w:val="24"/>
    </w:rPr>
  </w:style>
  <w:style w:type="character" w:customStyle="1" w:styleId="Heading4Char">
    <w:name w:val="Heading 4 Char"/>
    <w:basedOn w:val="DefaultParagraphFont"/>
    <w:link w:val="Heading4"/>
    <w:uiPriority w:val="9"/>
    <w:rsid w:val="002C3A90"/>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F81045"/>
    <w:rPr>
      <w:i/>
      <w:iCs/>
    </w:rPr>
  </w:style>
  <w:style w:type="paragraph" w:styleId="Caption">
    <w:name w:val="caption"/>
    <w:basedOn w:val="Normal"/>
    <w:next w:val="Normal"/>
    <w:uiPriority w:val="35"/>
    <w:unhideWhenUsed/>
    <w:qFormat/>
    <w:rsid w:val="00E234C5"/>
    <w:pPr>
      <w:spacing w:after="200" w:line="240" w:lineRule="auto"/>
    </w:pPr>
    <w:rPr>
      <w:b/>
      <w:bCs/>
      <w:color w:val="4F81BD" w:themeColor="accent1"/>
      <w:sz w:val="18"/>
      <w:szCs w:val="18"/>
    </w:rPr>
  </w:style>
  <w:style w:type="paragraph" w:styleId="FootnoteText">
    <w:name w:val="footnote text"/>
    <w:basedOn w:val="Normal"/>
    <w:link w:val="FootnoteTextChar"/>
    <w:uiPriority w:val="99"/>
    <w:semiHidden/>
    <w:unhideWhenUsed/>
    <w:rsid w:val="007F47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4785"/>
    <w:rPr>
      <w:sz w:val="20"/>
      <w:szCs w:val="20"/>
    </w:rPr>
  </w:style>
  <w:style w:type="character" w:styleId="FootnoteReference">
    <w:name w:val="footnote reference"/>
    <w:basedOn w:val="DefaultParagraphFont"/>
    <w:uiPriority w:val="99"/>
    <w:semiHidden/>
    <w:unhideWhenUsed/>
    <w:rsid w:val="007F4785"/>
    <w:rPr>
      <w:vertAlign w:val="superscript"/>
    </w:rPr>
  </w:style>
  <w:style w:type="paragraph" w:styleId="TableofFigures">
    <w:name w:val="table of figures"/>
    <w:basedOn w:val="Normal"/>
    <w:next w:val="Normal"/>
    <w:uiPriority w:val="99"/>
    <w:unhideWhenUsed/>
    <w:rsid w:val="00920785"/>
    <w:pPr>
      <w:spacing w:after="0"/>
    </w:pPr>
  </w:style>
  <w:style w:type="character" w:customStyle="1" w:styleId="sar-symbol">
    <w:name w:val="sar-symbol"/>
    <w:basedOn w:val="DefaultParagraphFont"/>
    <w:rsid w:val="00EB7436"/>
  </w:style>
  <w:style w:type="character" w:customStyle="1" w:styleId="UnresolvedMention1">
    <w:name w:val="Unresolved Mention1"/>
    <w:basedOn w:val="DefaultParagraphFont"/>
    <w:uiPriority w:val="99"/>
    <w:semiHidden/>
    <w:unhideWhenUsed/>
    <w:rsid w:val="003F5C18"/>
    <w:rPr>
      <w:color w:val="605E5C"/>
      <w:shd w:val="clear" w:color="auto" w:fill="E1DFDD"/>
    </w:rPr>
  </w:style>
  <w:style w:type="paragraph" w:customStyle="1" w:styleId="ds-markdown-paragraph">
    <w:name w:val="ds-markdown-paragraph"/>
    <w:basedOn w:val="Normal"/>
    <w:rsid w:val="00843CD6"/>
    <w:pPr>
      <w:spacing w:before="100" w:beforeAutospacing="1" w:after="100" w:afterAutospacing="1" w:line="240" w:lineRule="auto"/>
    </w:pPr>
    <w:rPr>
      <w:rFonts w:ascii="Times New Roman" w:eastAsia="Times New Roman" w:hAnsi="Times New Roman" w:cs="Times New Roman"/>
      <w:sz w:val="24"/>
      <w:szCs w:val="24"/>
    </w:rPr>
  </w:style>
  <w:style w:type="table" w:styleId="TableGridLight">
    <w:name w:val="Grid Table Light"/>
    <w:basedOn w:val="TableNormal"/>
    <w:uiPriority w:val="40"/>
    <w:rsid w:val="001A3A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4">
    <w:name w:val="toc 4"/>
    <w:basedOn w:val="Normal"/>
    <w:next w:val="Normal"/>
    <w:autoRedefine/>
    <w:uiPriority w:val="39"/>
    <w:unhideWhenUsed/>
    <w:rsid w:val="00977E98"/>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977E98"/>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977E98"/>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977E98"/>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977E98"/>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977E98"/>
    <w:pPr>
      <w:spacing w:after="100" w:line="278" w:lineRule="auto"/>
      <w:ind w:left="1920"/>
    </w:pPr>
    <w:rPr>
      <w:rFonts w:eastAsiaTheme="minorEastAsia"/>
      <w:kern w:val="2"/>
      <w:sz w:val="24"/>
      <w:szCs w:val="24"/>
      <w14:ligatures w14:val="standardContextual"/>
    </w:rPr>
  </w:style>
  <w:style w:type="character" w:styleId="UnresolvedMention">
    <w:name w:val="Unresolved Mention"/>
    <w:basedOn w:val="DefaultParagraphFont"/>
    <w:uiPriority w:val="99"/>
    <w:semiHidden/>
    <w:unhideWhenUsed/>
    <w:rsid w:val="00977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4769">
      <w:bodyDiv w:val="1"/>
      <w:marLeft w:val="0"/>
      <w:marRight w:val="0"/>
      <w:marTop w:val="0"/>
      <w:marBottom w:val="0"/>
      <w:divBdr>
        <w:top w:val="none" w:sz="0" w:space="0" w:color="auto"/>
        <w:left w:val="none" w:sz="0" w:space="0" w:color="auto"/>
        <w:bottom w:val="none" w:sz="0" w:space="0" w:color="auto"/>
        <w:right w:val="none" w:sz="0" w:space="0" w:color="auto"/>
      </w:divBdr>
    </w:div>
    <w:div w:id="56710726">
      <w:bodyDiv w:val="1"/>
      <w:marLeft w:val="0"/>
      <w:marRight w:val="0"/>
      <w:marTop w:val="0"/>
      <w:marBottom w:val="0"/>
      <w:divBdr>
        <w:top w:val="none" w:sz="0" w:space="0" w:color="auto"/>
        <w:left w:val="none" w:sz="0" w:space="0" w:color="auto"/>
        <w:bottom w:val="none" w:sz="0" w:space="0" w:color="auto"/>
        <w:right w:val="none" w:sz="0" w:space="0" w:color="auto"/>
      </w:divBdr>
    </w:div>
    <w:div w:id="63333577">
      <w:bodyDiv w:val="1"/>
      <w:marLeft w:val="0"/>
      <w:marRight w:val="0"/>
      <w:marTop w:val="0"/>
      <w:marBottom w:val="0"/>
      <w:divBdr>
        <w:top w:val="none" w:sz="0" w:space="0" w:color="auto"/>
        <w:left w:val="none" w:sz="0" w:space="0" w:color="auto"/>
        <w:bottom w:val="none" w:sz="0" w:space="0" w:color="auto"/>
        <w:right w:val="none" w:sz="0" w:space="0" w:color="auto"/>
      </w:divBdr>
    </w:div>
    <w:div w:id="109931733">
      <w:bodyDiv w:val="1"/>
      <w:marLeft w:val="0"/>
      <w:marRight w:val="0"/>
      <w:marTop w:val="0"/>
      <w:marBottom w:val="0"/>
      <w:divBdr>
        <w:top w:val="none" w:sz="0" w:space="0" w:color="auto"/>
        <w:left w:val="none" w:sz="0" w:space="0" w:color="auto"/>
        <w:bottom w:val="none" w:sz="0" w:space="0" w:color="auto"/>
        <w:right w:val="none" w:sz="0" w:space="0" w:color="auto"/>
      </w:divBdr>
    </w:div>
    <w:div w:id="119149211">
      <w:bodyDiv w:val="1"/>
      <w:marLeft w:val="0"/>
      <w:marRight w:val="0"/>
      <w:marTop w:val="0"/>
      <w:marBottom w:val="0"/>
      <w:divBdr>
        <w:top w:val="none" w:sz="0" w:space="0" w:color="auto"/>
        <w:left w:val="none" w:sz="0" w:space="0" w:color="auto"/>
        <w:bottom w:val="none" w:sz="0" w:space="0" w:color="auto"/>
        <w:right w:val="none" w:sz="0" w:space="0" w:color="auto"/>
      </w:divBdr>
    </w:div>
    <w:div w:id="120653279">
      <w:bodyDiv w:val="1"/>
      <w:marLeft w:val="0"/>
      <w:marRight w:val="0"/>
      <w:marTop w:val="0"/>
      <w:marBottom w:val="0"/>
      <w:divBdr>
        <w:top w:val="none" w:sz="0" w:space="0" w:color="auto"/>
        <w:left w:val="none" w:sz="0" w:space="0" w:color="auto"/>
        <w:bottom w:val="none" w:sz="0" w:space="0" w:color="auto"/>
        <w:right w:val="none" w:sz="0" w:space="0" w:color="auto"/>
      </w:divBdr>
    </w:div>
    <w:div w:id="122886512">
      <w:bodyDiv w:val="1"/>
      <w:marLeft w:val="0"/>
      <w:marRight w:val="0"/>
      <w:marTop w:val="0"/>
      <w:marBottom w:val="0"/>
      <w:divBdr>
        <w:top w:val="none" w:sz="0" w:space="0" w:color="auto"/>
        <w:left w:val="none" w:sz="0" w:space="0" w:color="auto"/>
        <w:bottom w:val="none" w:sz="0" w:space="0" w:color="auto"/>
        <w:right w:val="none" w:sz="0" w:space="0" w:color="auto"/>
      </w:divBdr>
    </w:div>
    <w:div w:id="139156907">
      <w:bodyDiv w:val="1"/>
      <w:marLeft w:val="0"/>
      <w:marRight w:val="0"/>
      <w:marTop w:val="0"/>
      <w:marBottom w:val="0"/>
      <w:divBdr>
        <w:top w:val="none" w:sz="0" w:space="0" w:color="auto"/>
        <w:left w:val="none" w:sz="0" w:space="0" w:color="auto"/>
        <w:bottom w:val="none" w:sz="0" w:space="0" w:color="auto"/>
        <w:right w:val="none" w:sz="0" w:space="0" w:color="auto"/>
      </w:divBdr>
      <w:divsChild>
        <w:div w:id="1707482685">
          <w:marLeft w:val="0"/>
          <w:marRight w:val="0"/>
          <w:marTop w:val="0"/>
          <w:marBottom w:val="0"/>
          <w:divBdr>
            <w:top w:val="none" w:sz="0" w:space="0" w:color="auto"/>
            <w:left w:val="none" w:sz="0" w:space="0" w:color="auto"/>
            <w:bottom w:val="none" w:sz="0" w:space="0" w:color="auto"/>
            <w:right w:val="none" w:sz="0" w:space="0" w:color="auto"/>
          </w:divBdr>
          <w:divsChild>
            <w:div w:id="749546311">
              <w:marLeft w:val="0"/>
              <w:marRight w:val="0"/>
              <w:marTop w:val="0"/>
              <w:marBottom w:val="0"/>
              <w:divBdr>
                <w:top w:val="none" w:sz="0" w:space="0" w:color="auto"/>
                <w:left w:val="none" w:sz="0" w:space="0" w:color="auto"/>
                <w:bottom w:val="none" w:sz="0" w:space="0" w:color="auto"/>
                <w:right w:val="none" w:sz="0" w:space="0" w:color="auto"/>
              </w:divBdr>
              <w:divsChild>
                <w:div w:id="926500199">
                  <w:marLeft w:val="0"/>
                  <w:marRight w:val="0"/>
                  <w:marTop w:val="0"/>
                  <w:marBottom w:val="0"/>
                  <w:divBdr>
                    <w:top w:val="none" w:sz="0" w:space="0" w:color="auto"/>
                    <w:left w:val="none" w:sz="0" w:space="0" w:color="auto"/>
                    <w:bottom w:val="none" w:sz="0" w:space="0" w:color="auto"/>
                    <w:right w:val="none" w:sz="0" w:space="0" w:color="auto"/>
                  </w:divBdr>
                  <w:divsChild>
                    <w:div w:id="367612258">
                      <w:marLeft w:val="0"/>
                      <w:marRight w:val="0"/>
                      <w:marTop w:val="0"/>
                      <w:marBottom w:val="0"/>
                      <w:divBdr>
                        <w:top w:val="none" w:sz="0" w:space="0" w:color="auto"/>
                        <w:left w:val="none" w:sz="0" w:space="0" w:color="auto"/>
                        <w:bottom w:val="none" w:sz="0" w:space="0" w:color="auto"/>
                        <w:right w:val="none" w:sz="0" w:space="0" w:color="auto"/>
                      </w:divBdr>
                      <w:divsChild>
                        <w:div w:id="800030349">
                          <w:marLeft w:val="0"/>
                          <w:marRight w:val="0"/>
                          <w:marTop w:val="0"/>
                          <w:marBottom w:val="0"/>
                          <w:divBdr>
                            <w:top w:val="none" w:sz="0" w:space="0" w:color="auto"/>
                            <w:left w:val="none" w:sz="0" w:space="0" w:color="auto"/>
                            <w:bottom w:val="none" w:sz="0" w:space="0" w:color="auto"/>
                            <w:right w:val="none" w:sz="0" w:space="0" w:color="auto"/>
                          </w:divBdr>
                          <w:divsChild>
                            <w:div w:id="1742174398">
                              <w:marLeft w:val="0"/>
                              <w:marRight w:val="0"/>
                              <w:marTop w:val="0"/>
                              <w:marBottom w:val="0"/>
                              <w:divBdr>
                                <w:top w:val="none" w:sz="0" w:space="0" w:color="auto"/>
                                <w:left w:val="none" w:sz="0" w:space="0" w:color="auto"/>
                                <w:bottom w:val="none" w:sz="0" w:space="0" w:color="auto"/>
                                <w:right w:val="none" w:sz="0" w:space="0" w:color="auto"/>
                              </w:divBdr>
                              <w:divsChild>
                                <w:div w:id="179143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504589">
      <w:bodyDiv w:val="1"/>
      <w:marLeft w:val="0"/>
      <w:marRight w:val="0"/>
      <w:marTop w:val="0"/>
      <w:marBottom w:val="0"/>
      <w:divBdr>
        <w:top w:val="none" w:sz="0" w:space="0" w:color="auto"/>
        <w:left w:val="none" w:sz="0" w:space="0" w:color="auto"/>
        <w:bottom w:val="none" w:sz="0" w:space="0" w:color="auto"/>
        <w:right w:val="none" w:sz="0" w:space="0" w:color="auto"/>
      </w:divBdr>
    </w:div>
    <w:div w:id="153299848">
      <w:bodyDiv w:val="1"/>
      <w:marLeft w:val="0"/>
      <w:marRight w:val="0"/>
      <w:marTop w:val="0"/>
      <w:marBottom w:val="0"/>
      <w:divBdr>
        <w:top w:val="none" w:sz="0" w:space="0" w:color="auto"/>
        <w:left w:val="none" w:sz="0" w:space="0" w:color="auto"/>
        <w:bottom w:val="none" w:sz="0" w:space="0" w:color="auto"/>
        <w:right w:val="none" w:sz="0" w:space="0" w:color="auto"/>
      </w:divBdr>
    </w:div>
    <w:div w:id="162088229">
      <w:bodyDiv w:val="1"/>
      <w:marLeft w:val="0"/>
      <w:marRight w:val="0"/>
      <w:marTop w:val="0"/>
      <w:marBottom w:val="0"/>
      <w:divBdr>
        <w:top w:val="none" w:sz="0" w:space="0" w:color="auto"/>
        <w:left w:val="none" w:sz="0" w:space="0" w:color="auto"/>
        <w:bottom w:val="none" w:sz="0" w:space="0" w:color="auto"/>
        <w:right w:val="none" w:sz="0" w:space="0" w:color="auto"/>
      </w:divBdr>
    </w:div>
    <w:div w:id="170607193">
      <w:bodyDiv w:val="1"/>
      <w:marLeft w:val="0"/>
      <w:marRight w:val="0"/>
      <w:marTop w:val="0"/>
      <w:marBottom w:val="0"/>
      <w:divBdr>
        <w:top w:val="none" w:sz="0" w:space="0" w:color="auto"/>
        <w:left w:val="none" w:sz="0" w:space="0" w:color="auto"/>
        <w:bottom w:val="none" w:sz="0" w:space="0" w:color="auto"/>
        <w:right w:val="none" w:sz="0" w:space="0" w:color="auto"/>
      </w:divBdr>
      <w:divsChild>
        <w:div w:id="570849225">
          <w:marLeft w:val="0"/>
          <w:marRight w:val="720"/>
          <w:marTop w:val="0"/>
          <w:marBottom w:val="0"/>
          <w:divBdr>
            <w:top w:val="none" w:sz="0" w:space="0" w:color="auto"/>
            <w:left w:val="none" w:sz="0" w:space="0" w:color="auto"/>
            <w:bottom w:val="none" w:sz="0" w:space="0" w:color="auto"/>
            <w:right w:val="none" w:sz="0" w:space="0" w:color="auto"/>
          </w:divBdr>
        </w:div>
      </w:divsChild>
    </w:div>
    <w:div w:id="177550312">
      <w:bodyDiv w:val="1"/>
      <w:marLeft w:val="0"/>
      <w:marRight w:val="0"/>
      <w:marTop w:val="0"/>
      <w:marBottom w:val="0"/>
      <w:divBdr>
        <w:top w:val="none" w:sz="0" w:space="0" w:color="auto"/>
        <w:left w:val="none" w:sz="0" w:space="0" w:color="auto"/>
        <w:bottom w:val="none" w:sz="0" w:space="0" w:color="auto"/>
        <w:right w:val="none" w:sz="0" w:space="0" w:color="auto"/>
      </w:divBdr>
      <w:divsChild>
        <w:div w:id="2015183839">
          <w:marLeft w:val="0"/>
          <w:marRight w:val="0"/>
          <w:marTop w:val="0"/>
          <w:marBottom w:val="0"/>
          <w:divBdr>
            <w:top w:val="none" w:sz="0" w:space="0" w:color="auto"/>
            <w:left w:val="none" w:sz="0" w:space="0" w:color="auto"/>
            <w:bottom w:val="none" w:sz="0" w:space="0" w:color="auto"/>
            <w:right w:val="none" w:sz="0" w:space="0" w:color="auto"/>
          </w:divBdr>
        </w:div>
      </w:divsChild>
    </w:div>
    <w:div w:id="200360377">
      <w:bodyDiv w:val="1"/>
      <w:marLeft w:val="0"/>
      <w:marRight w:val="0"/>
      <w:marTop w:val="0"/>
      <w:marBottom w:val="0"/>
      <w:divBdr>
        <w:top w:val="none" w:sz="0" w:space="0" w:color="auto"/>
        <w:left w:val="none" w:sz="0" w:space="0" w:color="auto"/>
        <w:bottom w:val="none" w:sz="0" w:space="0" w:color="auto"/>
        <w:right w:val="none" w:sz="0" w:space="0" w:color="auto"/>
      </w:divBdr>
    </w:div>
    <w:div w:id="204685130">
      <w:bodyDiv w:val="1"/>
      <w:marLeft w:val="0"/>
      <w:marRight w:val="0"/>
      <w:marTop w:val="0"/>
      <w:marBottom w:val="0"/>
      <w:divBdr>
        <w:top w:val="none" w:sz="0" w:space="0" w:color="auto"/>
        <w:left w:val="none" w:sz="0" w:space="0" w:color="auto"/>
        <w:bottom w:val="none" w:sz="0" w:space="0" w:color="auto"/>
        <w:right w:val="none" w:sz="0" w:space="0" w:color="auto"/>
      </w:divBdr>
    </w:div>
    <w:div w:id="226117153">
      <w:bodyDiv w:val="1"/>
      <w:marLeft w:val="0"/>
      <w:marRight w:val="0"/>
      <w:marTop w:val="0"/>
      <w:marBottom w:val="0"/>
      <w:divBdr>
        <w:top w:val="none" w:sz="0" w:space="0" w:color="auto"/>
        <w:left w:val="none" w:sz="0" w:space="0" w:color="auto"/>
        <w:bottom w:val="none" w:sz="0" w:space="0" w:color="auto"/>
        <w:right w:val="none" w:sz="0" w:space="0" w:color="auto"/>
      </w:divBdr>
    </w:div>
    <w:div w:id="233275003">
      <w:bodyDiv w:val="1"/>
      <w:marLeft w:val="0"/>
      <w:marRight w:val="0"/>
      <w:marTop w:val="0"/>
      <w:marBottom w:val="0"/>
      <w:divBdr>
        <w:top w:val="none" w:sz="0" w:space="0" w:color="auto"/>
        <w:left w:val="none" w:sz="0" w:space="0" w:color="auto"/>
        <w:bottom w:val="none" w:sz="0" w:space="0" w:color="auto"/>
        <w:right w:val="none" w:sz="0" w:space="0" w:color="auto"/>
      </w:divBdr>
    </w:div>
    <w:div w:id="237251979">
      <w:bodyDiv w:val="1"/>
      <w:marLeft w:val="0"/>
      <w:marRight w:val="0"/>
      <w:marTop w:val="0"/>
      <w:marBottom w:val="0"/>
      <w:divBdr>
        <w:top w:val="none" w:sz="0" w:space="0" w:color="auto"/>
        <w:left w:val="none" w:sz="0" w:space="0" w:color="auto"/>
        <w:bottom w:val="none" w:sz="0" w:space="0" w:color="auto"/>
        <w:right w:val="none" w:sz="0" w:space="0" w:color="auto"/>
      </w:divBdr>
    </w:div>
    <w:div w:id="240062365">
      <w:bodyDiv w:val="1"/>
      <w:marLeft w:val="0"/>
      <w:marRight w:val="0"/>
      <w:marTop w:val="0"/>
      <w:marBottom w:val="0"/>
      <w:divBdr>
        <w:top w:val="none" w:sz="0" w:space="0" w:color="auto"/>
        <w:left w:val="none" w:sz="0" w:space="0" w:color="auto"/>
        <w:bottom w:val="none" w:sz="0" w:space="0" w:color="auto"/>
        <w:right w:val="none" w:sz="0" w:space="0" w:color="auto"/>
      </w:divBdr>
    </w:div>
    <w:div w:id="246311375">
      <w:bodyDiv w:val="1"/>
      <w:marLeft w:val="0"/>
      <w:marRight w:val="0"/>
      <w:marTop w:val="0"/>
      <w:marBottom w:val="0"/>
      <w:divBdr>
        <w:top w:val="none" w:sz="0" w:space="0" w:color="auto"/>
        <w:left w:val="none" w:sz="0" w:space="0" w:color="auto"/>
        <w:bottom w:val="none" w:sz="0" w:space="0" w:color="auto"/>
        <w:right w:val="none" w:sz="0" w:space="0" w:color="auto"/>
      </w:divBdr>
    </w:div>
    <w:div w:id="255402438">
      <w:bodyDiv w:val="1"/>
      <w:marLeft w:val="0"/>
      <w:marRight w:val="0"/>
      <w:marTop w:val="0"/>
      <w:marBottom w:val="0"/>
      <w:divBdr>
        <w:top w:val="none" w:sz="0" w:space="0" w:color="auto"/>
        <w:left w:val="none" w:sz="0" w:space="0" w:color="auto"/>
        <w:bottom w:val="none" w:sz="0" w:space="0" w:color="auto"/>
        <w:right w:val="none" w:sz="0" w:space="0" w:color="auto"/>
      </w:divBdr>
    </w:div>
    <w:div w:id="271865022">
      <w:bodyDiv w:val="1"/>
      <w:marLeft w:val="0"/>
      <w:marRight w:val="0"/>
      <w:marTop w:val="0"/>
      <w:marBottom w:val="0"/>
      <w:divBdr>
        <w:top w:val="none" w:sz="0" w:space="0" w:color="auto"/>
        <w:left w:val="none" w:sz="0" w:space="0" w:color="auto"/>
        <w:bottom w:val="none" w:sz="0" w:space="0" w:color="auto"/>
        <w:right w:val="none" w:sz="0" w:space="0" w:color="auto"/>
      </w:divBdr>
    </w:div>
    <w:div w:id="293489229">
      <w:bodyDiv w:val="1"/>
      <w:marLeft w:val="0"/>
      <w:marRight w:val="0"/>
      <w:marTop w:val="0"/>
      <w:marBottom w:val="0"/>
      <w:divBdr>
        <w:top w:val="none" w:sz="0" w:space="0" w:color="auto"/>
        <w:left w:val="none" w:sz="0" w:space="0" w:color="auto"/>
        <w:bottom w:val="none" w:sz="0" w:space="0" w:color="auto"/>
        <w:right w:val="none" w:sz="0" w:space="0" w:color="auto"/>
      </w:divBdr>
    </w:div>
    <w:div w:id="324866508">
      <w:bodyDiv w:val="1"/>
      <w:marLeft w:val="0"/>
      <w:marRight w:val="0"/>
      <w:marTop w:val="0"/>
      <w:marBottom w:val="0"/>
      <w:divBdr>
        <w:top w:val="none" w:sz="0" w:space="0" w:color="auto"/>
        <w:left w:val="none" w:sz="0" w:space="0" w:color="auto"/>
        <w:bottom w:val="none" w:sz="0" w:space="0" w:color="auto"/>
        <w:right w:val="none" w:sz="0" w:space="0" w:color="auto"/>
      </w:divBdr>
    </w:div>
    <w:div w:id="327682731">
      <w:bodyDiv w:val="1"/>
      <w:marLeft w:val="0"/>
      <w:marRight w:val="0"/>
      <w:marTop w:val="0"/>
      <w:marBottom w:val="0"/>
      <w:divBdr>
        <w:top w:val="none" w:sz="0" w:space="0" w:color="auto"/>
        <w:left w:val="none" w:sz="0" w:space="0" w:color="auto"/>
        <w:bottom w:val="none" w:sz="0" w:space="0" w:color="auto"/>
        <w:right w:val="none" w:sz="0" w:space="0" w:color="auto"/>
      </w:divBdr>
    </w:div>
    <w:div w:id="336661074">
      <w:bodyDiv w:val="1"/>
      <w:marLeft w:val="0"/>
      <w:marRight w:val="0"/>
      <w:marTop w:val="0"/>
      <w:marBottom w:val="0"/>
      <w:divBdr>
        <w:top w:val="none" w:sz="0" w:space="0" w:color="auto"/>
        <w:left w:val="none" w:sz="0" w:space="0" w:color="auto"/>
        <w:bottom w:val="none" w:sz="0" w:space="0" w:color="auto"/>
        <w:right w:val="none" w:sz="0" w:space="0" w:color="auto"/>
      </w:divBdr>
    </w:div>
    <w:div w:id="352999222">
      <w:bodyDiv w:val="1"/>
      <w:marLeft w:val="0"/>
      <w:marRight w:val="0"/>
      <w:marTop w:val="0"/>
      <w:marBottom w:val="0"/>
      <w:divBdr>
        <w:top w:val="none" w:sz="0" w:space="0" w:color="auto"/>
        <w:left w:val="none" w:sz="0" w:space="0" w:color="auto"/>
        <w:bottom w:val="none" w:sz="0" w:space="0" w:color="auto"/>
        <w:right w:val="none" w:sz="0" w:space="0" w:color="auto"/>
      </w:divBdr>
    </w:div>
    <w:div w:id="365906174">
      <w:bodyDiv w:val="1"/>
      <w:marLeft w:val="0"/>
      <w:marRight w:val="0"/>
      <w:marTop w:val="0"/>
      <w:marBottom w:val="0"/>
      <w:divBdr>
        <w:top w:val="none" w:sz="0" w:space="0" w:color="auto"/>
        <w:left w:val="none" w:sz="0" w:space="0" w:color="auto"/>
        <w:bottom w:val="none" w:sz="0" w:space="0" w:color="auto"/>
        <w:right w:val="none" w:sz="0" w:space="0" w:color="auto"/>
      </w:divBdr>
    </w:div>
    <w:div w:id="372273725">
      <w:bodyDiv w:val="1"/>
      <w:marLeft w:val="0"/>
      <w:marRight w:val="0"/>
      <w:marTop w:val="0"/>
      <w:marBottom w:val="0"/>
      <w:divBdr>
        <w:top w:val="none" w:sz="0" w:space="0" w:color="auto"/>
        <w:left w:val="none" w:sz="0" w:space="0" w:color="auto"/>
        <w:bottom w:val="none" w:sz="0" w:space="0" w:color="auto"/>
        <w:right w:val="none" w:sz="0" w:space="0" w:color="auto"/>
      </w:divBdr>
    </w:div>
    <w:div w:id="374165390">
      <w:bodyDiv w:val="1"/>
      <w:marLeft w:val="0"/>
      <w:marRight w:val="0"/>
      <w:marTop w:val="0"/>
      <w:marBottom w:val="0"/>
      <w:divBdr>
        <w:top w:val="none" w:sz="0" w:space="0" w:color="auto"/>
        <w:left w:val="none" w:sz="0" w:space="0" w:color="auto"/>
        <w:bottom w:val="none" w:sz="0" w:space="0" w:color="auto"/>
        <w:right w:val="none" w:sz="0" w:space="0" w:color="auto"/>
      </w:divBdr>
    </w:div>
    <w:div w:id="380054508">
      <w:bodyDiv w:val="1"/>
      <w:marLeft w:val="0"/>
      <w:marRight w:val="0"/>
      <w:marTop w:val="0"/>
      <w:marBottom w:val="0"/>
      <w:divBdr>
        <w:top w:val="none" w:sz="0" w:space="0" w:color="auto"/>
        <w:left w:val="none" w:sz="0" w:space="0" w:color="auto"/>
        <w:bottom w:val="none" w:sz="0" w:space="0" w:color="auto"/>
        <w:right w:val="none" w:sz="0" w:space="0" w:color="auto"/>
      </w:divBdr>
      <w:divsChild>
        <w:div w:id="817385328">
          <w:marLeft w:val="0"/>
          <w:marRight w:val="547"/>
          <w:marTop w:val="0"/>
          <w:marBottom w:val="0"/>
          <w:divBdr>
            <w:top w:val="none" w:sz="0" w:space="0" w:color="auto"/>
            <w:left w:val="none" w:sz="0" w:space="0" w:color="auto"/>
            <w:bottom w:val="none" w:sz="0" w:space="0" w:color="auto"/>
            <w:right w:val="none" w:sz="0" w:space="0" w:color="auto"/>
          </w:divBdr>
        </w:div>
      </w:divsChild>
    </w:div>
    <w:div w:id="380986454">
      <w:bodyDiv w:val="1"/>
      <w:marLeft w:val="0"/>
      <w:marRight w:val="0"/>
      <w:marTop w:val="0"/>
      <w:marBottom w:val="0"/>
      <w:divBdr>
        <w:top w:val="none" w:sz="0" w:space="0" w:color="auto"/>
        <w:left w:val="none" w:sz="0" w:space="0" w:color="auto"/>
        <w:bottom w:val="none" w:sz="0" w:space="0" w:color="auto"/>
        <w:right w:val="none" w:sz="0" w:space="0" w:color="auto"/>
      </w:divBdr>
    </w:div>
    <w:div w:id="400181198">
      <w:bodyDiv w:val="1"/>
      <w:marLeft w:val="0"/>
      <w:marRight w:val="0"/>
      <w:marTop w:val="0"/>
      <w:marBottom w:val="0"/>
      <w:divBdr>
        <w:top w:val="none" w:sz="0" w:space="0" w:color="auto"/>
        <w:left w:val="none" w:sz="0" w:space="0" w:color="auto"/>
        <w:bottom w:val="none" w:sz="0" w:space="0" w:color="auto"/>
        <w:right w:val="none" w:sz="0" w:space="0" w:color="auto"/>
      </w:divBdr>
    </w:div>
    <w:div w:id="407187887">
      <w:bodyDiv w:val="1"/>
      <w:marLeft w:val="0"/>
      <w:marRight w:val="0"/>
      <w:marTop w:val="0"/>
      <w:marBottom w:val="0"/>
      <w:divBdr>
        <w:top w:val="none" w:sz="0" w:space="0" w:color="auto"/>
        <w:left w:val="none" w:sz="0" w:space="0" w:color="auto"/>
        <w:bottom w:val="none" w:sz="0" w:space="0" w:color="auto"/>
        <w:right w:val="none" w:sz="0" w:space="0" w:color="auto"/>
      </w:divBdr>
    </w:div>
    <w:div w:id="411464374">
      <w:bodyDiv w:val="1"/>
      <w:marLeft w:val="0"/>
      <w:marRight w:val="0"/>
      <w:marTop w:val="0"/>
      <w:marBottom w:val="0"/>
      <w:divBdr>
        <w:top w:val="none" w:sz="0" w:space="0" w:color="auto"/>
        <w:left w:val="none" w:sz="0" w:space="0" w:color="auto"/>
        <w:bottom w:val="none" w:sz="0" w:space="0" w:color="auto"/>
        <w:right w:val="none" w:sz="0" w:space="0" w:color="auto"/>
      </w:divBdr>
    </w:div>
    <w:div w:id="411900596">
      <w:bodyDiv w:val="1"/>
      <w:marLeft w:val="0"/>
      <w:marRight w:val="0"/>
      <w:marTop w:val="0"/>
      <w:marBottom w:val="0"/>
      <w:divBdr>
        <w:top w:val="none" w:sz="0" w:space="0" w:color="auto"/>
        <w:left w:val="none" w:sz="0" w:space="0" w:color="auto"/>
        <w:bottom w:val="none" w:sz="0" w:space="0" w:color="auto"/>
        <w:right w:val="none" w:sz="0" w:space="0" w:color="auto"/>
      </w:divBdr>
    </w:div>
    <w:div w:id="460341830">
      <w:bodyDiv w:val="1"/>
      <w:marLeft w:val="0"/>
      <w:marRight w:val="0"/>
      <w:marTop w:val="0"/>
      <w:marBottom w:val="0"/>
      <w:divBdr>
        <w:top w:val="none" w:sz="0" w:space="0" w:color="auto"/>
        <w:left w:val="none" w:sz="0" w:space="0" w:color="auto"/>
        <w:bottom w:val="none" w:sz="0" w:space="0" w:color="auto"/>
        <w:right w:val="none" w:sz="0" w:space="0" w:color="auto"/>
      </w:divBdr>
      <w:divsChild>
        <w:div w:id="1091199734">
          <w:marLeft w:val="0"/>
          <w:marRight w:val="547"/>
          <w:marTop w:val="0"/>
          <w:marBottom w:val="0"/>
          <w:divBdr>
            <w:top w:val="none" w:sz="0" w:space="0" w:color="auto"/>
            <w:left w:val="none" w:sz="0" w:space="0" w:color="auto"/>
            <w:bottom w:val="none" w:sz="0" w:space="0" w:color="auto"/>
            <w:right w:val="none" w:sz="0" w:space="0" w:color="auto"/>
          </w:divBdr>
        </w:div>
      </w:divsChild>
    </w:div>
    <w:div w:id="471554954">
      <w:bodyDiv w:val="1"/>
      <w:marLeft w:val="0"/>
      <w:marRight w:val="0"/>
      <w:marTop w:val="0"/>
      <w:marBottom w:val="0"/>
      <w:divBdr>
        <w:top w:val="none" w:sz="0" w:space="0" w:color="auto"/>
        <w:left w:val="none" w:sz="0" w:space="0" w:color="auto"/>
        <w:bottom w:val="none" w:sz="0" w:space="0" w:color="auto"/>
        <w:right w:val="none" w:sz="0" w:space="0" w:color="auto"/>
      </w:divBdr>
      <w:divsChild>
        <w:div w:id="945775323">
          <w:marLeft w:val="0"/>
          <w:marRight w:val="0"/>
          <w:marTop w:val="0"/>
          <w:marBottom w:val="0"/>
          <w:divBdr>
            <w:top w:val="none" w:sz="0" w:space="0" w:color="auto"/>
            <w:left w:val="none" w:sz="0" w:space="0" w:color="auto"/>
            <w:bottom w:val="none" w:sz="0" w:space="0" w:color="auto"/>
            <w:right w:val="none" w:sz="0" w:space="0" w:color="auto"/>
          </w:divBdr>
        </w:div>
      </w:divsChild>
    </w:div>
    <w:div w:id="508059909">
      <w:bodyDiv w:val="1"/>
      <w:marLeft w:val="0"/>
      <w:marRight w:val="0"/>
      <w:marTop w:val="0"/>
      <w:marBottom w:val="0"/>
      <w:divBdr>
        <w:top w:val="none" w:sz="0" w:space="0" w:color="auto"/>
        <w:left w:val="none" w:sz="0" w:space="0" w:color="auto"/>
        <w:bottom w:val="none" w:sz="0" w:space="0" w:color="auto"/>
        <w:right w:val="none" w:sz="0" w:space="0" w:color="auto"/>
      </w:divBdr>
    </w:div>
    <w:div w:id="512574127">
      <w:bodyDiv w:val="1"/>
      <w:marLeft w:val="0"/>
      <w:marRight w:val="0"/>
      <w:marTop w:val="0"/>
      <w:marBottom w:val="0"/>
      <w:divBdr>
        <w:top w:val="none" w:sz="0" w:space="0" w:color="auto"/>
        <w:left w:val="none" w:sz="0" w:space="0" w:color="auto"/>
        <w:bottom w:val="none" w:sz="0" w:space="0" w:color="auto"/>
        <w:right w:val="none" w:sz="0" w:space="0" w:color="auto"/>
      </w:divBdr>
    </w:div>
    <w:div w:id="522784424">
      <w:bodyDiv w:val="1"/>
      <w:marLeft w:val="0"/>
      <w:marRight w:val="0"/>
      <w:marTop w:val="0"/>
      <w:marBottom w:val="0"/>
      <w:divBdr>
        <w:top w:val="none" w:sz="0" w:space="0" w:color="auto"/>
        <w:left w:val="none" w:sz="0" w:space="0" w:color="auto"/>
        <w:bottom w:val="none" w:sz="0" w:space="0" w:color="auto"/>
        <w:right w:val="none" w:sz="0" w:space="0" w:color="auto"/>
      </w:divBdr>
    </w:div>
    <w:div w:id="553658070">
      <w:bodyDiv w:val="1"/>
      <w:marLeft w:val="0"/>
      <w:marRight w:val="0"/>
      <w:marTop w:val="0"/>
      <w:marBottom w:val="0"/>
      <w:divBdr>
        <w:top w:val="none" w:sz="0" w:space="0" w:color="auto"/>
        <w:left w:val="none" w:sz="0" w:space="0" w:color="auto"/>
        <w:bottom w:val="none" w:sz="0" w:space="0" w:color="auto"/>
        <w:right w:val="none" w:sz="0" w:space="0" w:color="auto"/>
      </w:divBdr>
    </w:div>
    <w:div w:id="560556903">
      <w:bodyDiv w:val="1"/>
      <w:marLeft w:val="0"/>
      <w:marRight w:val="0"/>
      <w:marTop w:val="0"/>
      <w:marBottom w:val="0"/>
      <w:divBdr>
        <w:top w:val="none" w:sz="0" w:space="0" w:color="auto"/>
        <w:left w:val="none" w:sz="0" w:space="0" w:color="auto"/>
        <w:bottom w:val="none" w:sz="0" w:space="0" w:color="auto"/>
        <w:right w:val="none" w:sz="0" w:space="0" w:color="auto"/>
      </w:divBdr>
    </w:div>
    <w:div w:id="623077945">
      <w:bodyDiv w:val="1"/>
      <w:marLeft w:val="0"/>
      <w:marRight w:val="0"/>
      <w:marTop w:val="0"/>
      <w:marBottom w:val="0"/>
      <w:divBdr>
        <w:top w:val="none" w:sz="0" w:space="0" w:color="auto"/>
        <w:left w:val="none" w:sz="0" w:space="0" w:color="auto"/>
        <w:bottom w:val="none" w:sz="0" w:space="0" w:color="auto"/>
        <w:right w:val="none" w:sz="0" w:space="0" w:color="auto"/>
      </w:divBdr>
    </w:div>
    <w:div w:id="623803896">
      <w:bodyDiv w:val="1"/>
      <w:marLeft w:val="0"/>
      <w:marRight w:val="0"/>
      <w:marTop w:val="0"/>
      <w:marBottom w:val="0"/>
      <w:divBdr>
        <w:top w:val="none" w:sz="0" w:space="0" w:color="auto"/>
        <w:left w:val="none" w:sz="0" w:space="0" w:color="auto"/>
        <w:bottom w:val="none" w:sz="0" w:space="0" w:color="auto"/>
        <w:right w:val="none" w:sz="0" w:space="0" w:color="auto"/>
      </w:divBdr>
    </w:div>
    <w:div w:id="637108109">
      <w:bodyDiv w:val="1"/>
      <w:marLeft w:val="0"/>
      <w:marRight w:val="0"/>
      <w:marTop w:val="0"/>
      <w:marBottom w:val="0"/>
      <w:divBdr>
        <w:top w:val="none" w:sz="0" w:space="0" w:color="auto"/>
        <w:left w:val="none" w:sz="0" w:space="0" w:color="auto"/>
        <w:bottom w:val="none" w:sz="0" w:space="0" w:color="auto"/>
        <w:right w:val="none" w:sz="0" w:space="0" w:color="auto"/>
      </w:divBdr>
    </w:div>
    <w:div w:id="651522120">
      <w:bodyDiv w:val="1"/>
      <w:marLeft w:val="0"/>
      <w:marRight w:val="0"/>
      <w:marTop w:val="0"/>
      <w:marBottom w:val="0"/>
      <w:divBdr>
        <w:top w:val="none" w:sz="0" w:space="0" w:color="auto"/>
        <w:left w:val="none" w:sz="0" w:space="0" w:color="auto"/>
        <w:bottom w:val="none" w:sz="0" w:space="0" w:color="auto"/>
        <w:right w:val="none" w:sz="0" w:space="0" w:color="auto"/>
      </w:divBdr>
    </w:div>
    <w:div w:id="673605005">
      <w:bodyDiv w:val="1"/>
      <w:marLeft w:val="0"/>
      <w:marRight w:val="0"/>
      <w:marTop w:val="0"/>
      <w:marBottom w:val="0"/>
      <w:divBdr>
        <w:top w:val="none" w:sz="0" w:space="0" w:color="auto"/>
        <w:left w:val="none" w:sz="0" w:space="0" w:color="auto"/>
        <w:bottom w:val="none" w:sz="0" w:space="0" w:color="auto"/>
        <w:right w:val="none" w:sz="0" w:space="0" w:color="auto"/>
      </w:divBdr>
    </w:div>
    <w:div w:id="703023930">
      <w:bodyDiv w:val="1"/>
      <w:marLeft w:val="0"/>
      <w:marRight w:val="0"/>
      <w:marTop w:val="0"/>
      <w:marBottom w:val="0"/>
      <w:divBdr>
        <w:top w:val="none" w:sz="0" w:space="0" w:color="auto"/>
        <w:left w:val="none" w:sz="0" w:space="0" w:color="auto"/>
        <w:bottom w:val="none" w:sz="0" w:space="0" w:color="auto"/>
        <w:right w:val="none" w:sz="0" w:space="0" w:color="auto"/>
      </w:divBdr>
    </w:div>
    <w:div w:id="722754180">
      <w:bodyDiv w:val="1"/>
      <w:marLeft w:val="0"/>
      <w:marRight w:val="0"/>
      <w:marTop w:val="0"/>
      <w:marBottom w:val="0"/>
      <w:divBdr>
        <w:top w:val="none" w:sz="0" w:space="0" w:color="auto"/>
        <w:left w:val="none" w:sz="0" w:space="0" w:color="auto"/>
        <w:bottom w:val="none" w:sz="0" w:space="0" w:color="auto"/>
        <w:right w:val="none" w:sz="0" w:space="0" w:color="auto"/>
      </w:divBdr>
    </w:div>
    <w:div w:id="764424719">
      <w:bodyDiv w:val="1"/>
      <w:marLeft w:val="0"/>
      <w:marRight w:val="0"/>
      <w:marTop w:val="0"/>
      <w:marBottom w:val="0"/>
      <w:divBdr>
        <w:top w:val="none" w:sz="0" w:space="0" w:color="auto"/>
        <w:left w:val="none" w:sz="0" w:space="0" w:color="auto"/>
        <w:bottom w:val="none" w:sz="0" w:space="0" w:color="auto"/>
        <w:right w:val="none" w:sz="0" w:space="0" w:color="auto"/>
      </w:divBdr>
      <w:divsChild>
        <w:div w:id="965697934">
          <w:marLeft w:val="0"/>
          <w:marRight w:val="0"/>
          <w:marTop w:val="0"/>
          <w:marBottom w:val="0"/>
          <w:divBdr>
            <w:top w:val="none" w:sz="0" w:space="0" w:color="auto"/>
            <w:left w:val="none" w:sz="0" w:space="0" w:color="auto"/>
            <w:bottom w:val="none" w:sz="0" w:space="0" w:color="auto"/>
            <w:right w:val="none" w:sz="0" w:space="0" w:color="auto"/>
          </w:divBdr>
        </w:div>
        <w:div w:id="420495679">
          <w:marLeft w:val="0"/>
          <w:marRight w:val="0"/>
          <w:marTop w:val="0"/>
          <w:marBottom w:val="0"/>
          <w:divBdr>
            <w:top w:val="none" w:sz="0" w:space="0" w:color="auto"/>
            <w:left w:val="none" w:sz="0" w:space="0" w:color="auto"/>
            <w:bottom w:val="none" w:sz="0" w:space="0" w:color="auto"/>
            <w:right w:val="none" w:sz="0" w:space="0" w:color="auto"/>
          </w:divBdr>
        </w:div>
      </w:divsChild>
    </w:div>
    <w:div w:id="767694286">
      <w:bodyDiv w:val="1"/>
      <w:marLeft w:val="0"/>
      <w:marRight w:val="0"/>
      <w:marTop w:val="0"/>
      <w:marBottom w:val="0"/>
      <w:divBdr>
        <w:top w:val="none" w:sz="0" w:space="0" w:color="auto"/>
        <w:left w:val="none" w:sz="0" w:space="0" w:color="auto"/>
        <w:bottom w:val="none" w:sz="0" w:space="0" w:color="auto"/>
        <w:right w:val="none" w:sz="0" w:space="0" w:color="auto"/>
      </w:divBdr>
    </w:div>
    <w:div w:id="771586378">
      <w:bodyDiv w:val="1"/>
      <w:marLeft w:val="0"/>
      <w:marRight w:val="0"/>
      <w:marTop w:val="0"/>
      <w:marBottom w:val="0"/>
      <w:divBdr>
        <w:top w:val="none" w:sz="0" w:space="0" w:color="auto"/>
        <w:left w:val="none" w:sz="0" w:space="0" w:color="auto"/>
        <w:bottom w:val="none" w:sz="0" w:space="0" w:color="auto"/>
        <w:right w:val="none" w:sz="0" w:space="0" w:color="auto"/>
      </w:divBdr>
    </w:div>
    <w:div w:id="792675640">
      <w:bodyDiv w:val="1"/>
      <w:marLeft w:val="0"/>
      <w:marRight w:val="0"/>
      <w:marTop w:val="0"/>
      <w:marBottom w:val="0"/>
      <w:divBdr>
        <w:top w:val="none" w:sz="0" w:space="0" w:color="auto"/>
        <w:left w:val="none" w:sz="0" w:space="0" w:color="auto"/>
        <w:bottom w:val="none" w:sz="0" w:space="0" w:color="auto"/>
        <w:right w:val="none" w:sz="0" w:space="0" w:color="auto"/>
      </w:divBdr>
    </w:div>
    <w:div w:id="805657432">
      <w:bodyDiv w:val="1"/>
      <w:marLeft w:val="0"/>
      <w:marRight w:val="0"/>
      <w:marTop w:val="0"/>
      <w:marBottom w:val="0"/>
      <w:divBdr>
        <w:top w:val="none" w:sz="0" w:space="0" w:color="auto"/>
        <w:left w:val="none" w:sz="0" w:space="0" w:color="auto"/>
        <w:bottom w:val="none" w:sz="0" w:space="0" w:color="auto"/>
        <w:right w:val="none" w:sz="0" w:space="0" w:color="auto"/>
      </w:divBdr>
    </w:div>
    <w:div w:id="807480344">
      <w:bodyDiv w:val="1"/>
      <w:marLeft w:val="0"/>
      <w:marRight w:val="0"/>
      <w:marTop w:val="0"/>
      <w:marBottom w:val="0"/>
      <w:divBdr>
        <w:top w:val="none" w:sz="0" w:space="0" w:color="auto"/>
        <w:left w:val="none" w:sz="0" w:space="0" w:color="auto"/>
        <w:bottom w:val="none" w:sz="0" w:space="0" w:color="auto"/>
        <w:right w:val="none" w:sz="0" w:space="0" w:color="auto"/>
      </w:divBdr>
    </w:div>
    <w:div w:id="842474991">
      <w:bodyDiv w:val="1"/>
      <w:marLeft w:val="0"/>
      <w:marRight w:val="0"/>
      <w:marTop w:val="0"/>
      <w:marBottom w:val="0"/>
      <w:divBdr>
        <w:top w:val="none" w:sz="0" w:space="0" w:color="auto"/>
        <w:left w:val="none" w:sz="0" w:space="0" w:color="auto"/>
        <w:bottom w:val="none" w:sz="0" w:space="0" w:color="auto"/>
        <w:right w:val="none" w:sz="0" w:space="0" w:color="auto"/>
      </w:divBdr>
    </w:div>
    <w:div w:id="857037508">
      <w:bodyDiv w:val="1"/>
      <w:marLeft w:val="0"/>
      <w:marRight w:val="0"/>
      <w:marTop w:val="0"/>
      <w:marBottom w:val="0"/>
      <w:divBdr>
        <w:top w:val="none" w:sz="0" w:space="0" w:color="auto"/>
        <w:left w:val="none" w:sz="0" w:space="0" w:color="auto"/>
        <w:bottom w:val="none" w:sz="0" w:space="0" w:color="auto"/>
        <w:right w:val="none" w:sz="0" w:space="0" w:color="auto"/>
      </w:divBdr>
    </w:div>
    <w:div w:id="859129332">
      <w:bodyDiv w:val="1"/>
      <w:marLeft w:val="0"/>
      <w:marRight w:val="0"/>
      <w:marTop w:val="0"/>
      <w:marBottom w:val="0"/>
      <w:divBdr>
        <w:top w:val="none" w:sz="0" w:space="0" w:color="auto"/>
        <w:left w:val="none" w:sz="0" w:space="0" w:color="auto"/>
        <w:bottom w:val="none" w:sz="0" w:space="0" w:color="auto"/>
        <w:right w:val="none" w:sz="0" w:space="0" w:color="auto"/>
      </w:divBdr>
    </w:div>
    <w:div w:id="893270413">
      <w:bodyDiv w:val="1"/>
      <w:marLeft w:val="0"/>
      <w:marRight w:val="0"/>
      <w:marTop w:val="0"/>
      <w:marBottom w:val="0"/>
      <w:divBdr>
        <w:top w:val="none" w:sz="0" w:space="0" w:color="auto"/>
        <w:left w:val="none" w:sz="0" w:space="0" w:color="auto"/>
        <w:bottom w:val="none" w:sz="0" w:space="0" w:color="auto"/>
        <w:right w:val="none" w:sz="0" w:space="0" w:color="auto"/>
      </w:divBdr>
      <w:divsChild>
        <w:div w:id="279843399">
          <w:marLeft w:val="0"/>
          <w:marRight w:val="0"/>
          <w:marTop w:val="0"/>
          <w:marBottom w:val="0"/>
          <w:divBdr>
            <w:top w:val="none" w:sz="0" w:space="0" w:color="auto"/>
            <w:left w:val="none" w:sz="0" w:space="0" w:color="auto"/>
            <w:bottom w:val="none" w:sz="0" w:space="0" w:color="auto"/>
            <w:right w:val="none" w:sz="0" w:space="0" w:color="auto"/>
          </w:divBdr>
        </w:div>
      </w:divsChild>
    </w:div>
    <w:div w:id="913321488">
      <w:bodyDiv w:val="1"/>
      <w:marLeft w:val="0"/>
      <w:marRight w:val="0"/>
      <w:marTop w:val="0"/>
      <w:marBottom w:val="0"/>
      <w:divBdr>
        <w:top w:val="none" w:sz="0" w:space="0" w:color="auto"/>
        <w:left w:val="none" w:sz="0" w:space="0" w:color="auto"/>
        <w:bottom w:val="none" w:sz="0" w:space="0" w:color="auto"/>
        <w:right w:val="none" w:sz="0" w:space="0" w:color="auto"/>
      </w:divBdr>
    </w:div>
    <w:div w:id="920522837">
      <w:bodyDiv w:val="1"/>
      <w:marLeft w:val="0"/>
      <w:marRight w:val="0"/>
      <w:marTop w:val="0"/>
      <w:marBottom w:val="0"/>
      <w:divBdr>
        <w:top w:val="none" w:sz="0" w:space="0" w:color="auto"/>
        <w:left w:val="none" w:sz="0" w:space="0" w:color="auto"/>
        <w:bottom w:val="none" w:sz="0" w:space="0" w:color="auto"/>
        <w:right w:val="none" w:sz="0" w:space="0" w:color="auto"/>
      </w:divBdr>
      <w:divsChild>
        <w:div w:id="1324117882">
          <w:marLeft w:val="0"/>
          <w:marRight w:val="720"/>
          <w:marTop w:val="0"/>
          <w:marBottom w:val="0"/>
          <w:divBdr>
            <w:top w:val="none" w:sz="0" w:space="0" w:color="auto"/>
            <w:left w:val="none" w:sz="0" w:space="0" w:color="auto"/>
            <w:bottom w:val="none" w:sz="0" w:space="0" w:color="auto"/>
            <w:right w:val="none" w:sz="0" w:space="0" w:color="auto"/>
          </w:divBdr>
        </w:div>
      </w:divsChild>
    </w:div>
    <w:div w:id="937175215">
      <w:bodyDiv w:val="1"/>
      <w:marLeft w:val="0"/>
      <w:marRight w:val="0"/>
      <w:marTop w:val="0"/>
      <w:marBottom w:val="0"/>
      <w:divBdr>
        <w:top w:val="none" w:sz="0" w:space="0" w:color="auto"/>
        <w:left w:val="none" w:sz="0" w:space="0" w:color="auto"/>
        <w:bottom w:val="none" w:sz="0" w:space="0" w:color="auto"/>
        <w:right w:val="none" w:sz="0" w:space="0" w:color="auto"/>
      </w:divBdr>
    </w:div>
    <w:div w:id="95632855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5669573">
      <w:bodyDiv w:val="1"/>
      <w:marLeft w:val="0"/>
      <w:marRight w:val="0"/>
      <w:marTop w:val="0"/>
      <w:marBottom w:val="0"/>
      <w:divBdr>
        <w:top w:val="none" w:sz="0" w:space="0" w:color="auto"/>
        <w:left w:val="none" w:sz="0" w:space="0" w:color="auto"/>
        <w:bottom w:val="none" w:sz="0" w:space="0" w:color="auto"/>
        <w:right w:val="none" w:sz="0" w:space="0" w:color="auto"/>
      </w:divBdr>
    </w:div>
    <w:div w:id="993264728">
      <w:bodyDiv w:val="1"/>
      <w:marLeft w:val="0"/>
      <w:marRight w:val="0"/>
      <w:marTop w:val="0"/>
      <w:marBottom w:val="0"/>
      <w:divBdr>
        <w:top w:val="none" w:sz="0" w:space="0" w:color="auto"/>
        <w:left w:val="none" w:sz="0" w:space="0" w:color="auto"/>
        <w:bottom w:val="none" w:sz="0" w:space="0" w:color="auto"/>
        <w:right w:val="none" w:sz="0" w:space="0" w:color="auto"/>
      </w:divBdr>
    </w:div>
    <w:div w:id="993491249">
      <w:bodyDiv w:val="1"/>
      <w:marLeft w:val="0"/>
      <w:marRight w:val="0"/>
      <w:marTop w:val="0"/>
      <w:marBottom w:val="0"/>
      <w:divBdr>
        <w:top w:val="none" w:sz="0" w:space="0" w:color="auto"/>
        <w:left w:val="none" w:sz="0" w:space="0" w:color="auto"/>
        <w:bottom w:val="none" w:sz="0" w:space="0" w:color="auto"/>
        <w:right w:val="none" w:sz="0" w:space="0" w:color="auto"/>
      </w:divBdr>
    </w:div>
    <w:div w:id="1003165299">
      <w:bodyDiv w:val="1"/>
      <w:marLeft w:val="0"/>
      <w:marRight w:val="0"/>
      <w:marTop w:val="0"/>
      <w:marBottom w:val="0"/>
      <w:divBdr>
        <w:top w:val="none" w:sz="0" w:space="0" w:color="auto"/>
        <w:left w:val="none" w:sz="0" w:space="0" w:color="auto"/>
        <w:bottom w:val="none" w:sz="0" w:space="0" w:color="auto"/>
        <w:right w:val="none" w:sz="0" w:space="0" w:color="auto"/>
      </w:divBdr>
    </w:div>
    <w:div w:id="1037047281">
      <w:bodyDiv w:val="1"/>
      <w:marLeft w:val="0"/>
      <w:marRight w:val="0"/>
      <w:marTop w:val="0"/>
      <w:marBottom w:val="0"/>
      <w:divBdr>
        <w:top w:val="none" w:sz="0" w:space="0" w:color="auto"/>
        <w:left w:val="none" w:sz="0" w:space="0" w:color="auto"/>
        <w:bottom w:val="none" w:sz="0" w:space="0" w:color="auto"/>
        <w:right w:val="none" w:sz="0" w:space="0" w:color="auto"/>
      </w:divBdr>
    </w:div>
    <w:div w:id="1039159699">
      <w:bodyDiv w:val="1"/>
      <w:marLeft w:val="0"/>
      <w:marRight w:val="0"/>
      <w:marTop w:val="0"/>
      <w:marBottom w:val="0"/>
      <w:divBdr>
        <w:top w:val="none" w:sz="0" w:space="0" w:color="auto"/>
        <w:left w:val="none" w:sz="0" w:space="0" w:color="auto"/>
        <w:bottom w:val="none" w:sz="0" w:space="0" w:color="auto"/>
        <w:right w:val="none" w:sz="0" w:space="0" w:color="auto"/>
      </w:divBdr>
    </w:div>
    <w:div w:id="1076898509">
      <w:bodyDiv w:val="1"/>
      <w:marLeft w:val="0"/>
      <w:marRight w:val="0"/>
      <w:marTop w:val="0"/>
      <w:marBottom w:val="0"/>
      <w:divBdr>
        <w:top w:val="none" w:sz="0" w:space="0" w:color="auto"/>
        <w:left w:val="none" w:sz="0" w:space="0" w:color="auto"/>
        <w:bottom w:val="none" w:sz="0" w:space="0" w:color="auto"/>
        <w:right w:val="none" w:sz="0" w:space="0" w:color="auto"/>
      </w:divBdr>
    </w:div>
    <w:div w:id="1095899796">
      <w:bodyDiv w:val="1"/>
      <w:marLeft w:val="0"/>
      <w:marRight w:val="0"/>
      <w:marTop w:val="0"/>
      <w:marBottom w:val="0"/>
      <w:divBdr>
        <w:top w:val="none" w:sz="0" w:space="0" w:color="auto"/>
        <w:left w:val="none" w:sz="0" w:space="0" w:color="auto"/>
        <w:bottom w:val="none" w:sz="0" w:space="0" w:color="auto"/>
        <w:right w:val="none" w:sz="0" w:space="0" w:color="auto"/>
      </w:divBdr>
    </w:div>
    <w:div w:id="1104157494">
      <w:bodyDiv w:val="1"/>
      <w:marLeft w:val="0"/>
      <w:marRight w:val="0"/>
      <w:marTop w:val="0"/>
      <w:marBottom w:val="0"/>
      <w:divBdr>
        <w:top w:val="none" w:sz="0" w:space="0" w:color="auto"/>
        <w:left w:val="none" w:sz="0" w:space="0" w:color="auto"/>
        <w:bottom w:val="none" w:sz="0" w:space="0" w:color="auto"/>
        <w:right w:val="none" w:sz="0" w:space="0" w:color="auto"/>
      </w:divBdr>
      <w:divsChild>
        <w:div w:id="1246495576">
          <w:marLeft w:val="0"/>
          <w:marRight w:val="0"/>
          <w:marTop w:val="0"/>
          <w:marBottom w:val="0"/>
          <w:divBdr>
            <w:top w:val="none" w:sz="0" w:space="0" w:color="auto"/>
            <w:left w:val="none" w:sz="0" w:space="0" w:color="auto"/>
            <w:bottom w:val="none" w:sz="0" w:space="0" w:color="auto"/>
            <w:right w:val="none" w:sz="0" w:space="0" w:color="auto"/>
          </w:divBdr>
          <w:divsChild>
            <w:div w:id="1043168213">
              <w:marLeft w:val="0"/>
              <w:marRight w:val="0"/>
              <w:marTop w:val="0"/>
              <w:marBottom w:val="0"/>
              <w:divBdr>
                <w:top w:val="none" w:sz="0" w:space="0" w:color="auto"/>
                <w:left w:val="none" w:sz="0" w:space="0" w:color="auto"/>
                <w:bottom w:val="none" w:sz="0" w:space="0" w:color="auto"/>
                <w:right w:val="none" w:sz="0" w:space="0" w:color="auto"/>
              </w:divBdr>
              <w:divsChild>
                <w:div w:id="401830788">
                  <w:marLeft w:val="0"/>
                  <w:marRight w:val="0"/>
                  <w:marTop w:val="0"/>
                  <w:marBottom w:val="0"/>
                  <w:divBdr>
                    <w:top w:val="none" w:sz="0" w:space="0" w:color="auto"/>
                    <w:left w:val="none" w:sz="0" w:space="0" w:color="auto"/>
                    <w:bottom w:val="none" w:sz="0" w:space="0" w:color="auto"/>
                    <w:right w:val="none" w:sz="0" w:space="0" w:color="auto"/>
                  </w:divBdr>
                  <w:divsChild>
                    <w:div w:id="268970628">
                      <w:marLeft w:val="0"/>
                      <w:marRight w:val="0"/>
                      <w:marTop w:val="0"/>
                      <w:marBottom w:val="0"/>
                      <w:divBdr>
                        <w:top w:val="none" w:sz="0" w:space="0" w:color="auto"/>
                        <w:left w:val="none" w:sz="0" w:space="0" w:color="auto"/>
                        <w:bottom w:val="none" w:sz="0" w:space="0" w:color="auto"/>
                        <w:right w:val="none" w:sz="0" w:space="0" w:color="auto"/>
                      </w:divBdr>
                    </w:div>
                    <w:div w:id="33615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558548">
      <w:bodyDiv w:val="1"/>
      <w:marLeft w:val="0"/>
      <w:marRight w:val="0"/>
      <w:marTop w:val="0"/>
      <w:marBottom w:val="0"/>
      <w:divBdr>
        <w:top w:val="none" w:sz="0" w:space="0" w:color="auto"/>
        <w:left w:val="none" w:sz="0" w:space="0" w:color="auto"/>
        <w:bottom w:val="none" w:sz="0" w:space="0" w:color="auto"/>
        <w:right w:val="none" w:sz="0" w:space="0" w:color="auto"/>
      </w:divBdr>
    </w:div>
    <w:div w:id="1118599713">
      <w:bodyDiv w:val="1"/>
      <w:marLeft w:val="0"/>
      <w:marRight w:val="0"/>
      <w:marTop w:val="0"/>
      <w:marBottom w:val="0"/>
      <w:divBdr>
        <w:top w:val="none" w:sz="0" w:space="0" w:color="auto"/>
        <w:left w:val="none" w:sz="0" w:space="0" w:color="auto"/>
        <w:bottom w:val="none" w:sz="0" w:space="0" w:color="auto"/>
        <w:right w:val="none" w:sz="0" w:space="0" w:color="auto"/>
      </w:divBdr>
    </w:div>
    <w:div w:id="1122574519">
      <w:bodyDiv w:val="1"/>
      <w:marLeft w:val="0"/>
      <w:marRight w:val="0"/>
      <w:marTop w:val="0"/>
      <w:marBottom w:val="0"/>
      <w:divBdr>
        <w:top w:val="none" w:sz="0" w:space="0" w:color="auto"/>
        <w:left w:val="none" w:sz="0" w:space="0" w:color="auto"/>
        <w:bottom w:val="none" w:sz="0" w:space="0" w:color="auto"/>
        <w:right w:val="none" w:sz="0" w:space="0" w:color="auto"/>
      </w:divBdr>
    </w:div>
    <w:div w:id="1139179059">
      <w:bodyDiv w:val="1"/>
      <w:marLeft w:val="0"/>
      <w:marRight w:val="0"/>
      <w:marTop w:val="0"/>
      <w:marBottom w:val="0"/>
      <w:divBdr>
        <w:top w:val="none" w:sz="0" w:space="0" w:color="auto"/>
        <w:left w:val="none" w:sz="0" w:space="0" w:color="auto"/>
        <w:bottom w:val="none" w:sz="0" w:space="0" w:color="auto"/>
        <w:right w:val="none" w:sz="0" w:space="0" w:color="auto"/>
      </w:divBdr>
    </w:div>
    <w:div w:id="1141729716">
      <w:bodyDiv w:val="1"/>
      <w:marLeft w:val="0"/>
      <w:marRight w:val="0"/>
      <w:marTop w:val="0"/>
      <w:marBottom w:val="0"/>
      <w:divBdr>
        <w:top w:val="none" w:sz="0" w:space="0" w:color="auto"/>
        <w:left w:val="none" w:sz="0" w:space="0" w:color="auto"/>
        <w:bottom w:val="none" w:sz="0" w:space="0" w:color="auto"/>
        <w:right w:val="none" w:sz="0" w:space="0" w:color="auto"/>
      </w:divBdr>
    </w:div>
    <w:div w:id="1145123691">
      <w:bodyDiv w:val="1"/>
      <w:marLeft w:val="0"/>
      <w:marRight w:val="0"/>
      <w:marTop w:val="0"/>
      <w:marBottom w:val="0"/>
      <w:divBdr>
        <w:top w:val="none" w:sz="0" w:space="0" w:color="auto"/>
        <w:left w:val="none" w:sz="0" w:space="0" w:color="auto"/>
        <w:bottom w:val="none" w:sz="0" w:space="0" w:color="auto"/>
        <w:right w:val="none" w:sz="0" w:space="0" w:color="auto"/>
      </w:divBdr>
    </w:div>
    <w:div w:id="1161577779">
      <w:bodyDiv w:val="1"/>
      <w:marLeft w:val="0"/>
      <w:marRight w:val="0"/>
      <w:marTop w:val="0"/>
      <w:marBottom w:val="0"/>
      <w:divBdr>
        <w:top w:val="none" w:sz="0" w:space="0" w:color="auto"/>
        <w:left w:val="none" w:sz="0" w:space="0" w:color="auto"/>
        <w:bottom w:val="none" w:sz="0" w:space="0" w:color="auto"/>
        <w:right w:val="none" w:sz="0" w:space="0" w:color="auto"/>
      </w:divBdr>
    </w:div>
    <w:div w:id="1180966922">
      <w:bodyDiv w:val="1"/>
      <w:marLeft w:val="0"/>
      <w:marRight w:val="0"/>
      <w:marTop w:val="0"/>
      <w:marBottom w:val="0"/>
      <w:divBdr>
        <w:top w:val="none" w:sz="0" w:space="0" w:color="auto"/>
        <w:left w:val="none" w:sz="0" w:space="0" w:color="auto"/>
        <w:bottom w:val="none" w:sz="0" w:space="0" w:color="auto"/>
        <w:right w:val="none" w:sz="0" w:space="0" w:color="auto"/>
      </w:divBdr>
    </w:div>
    <w:div w:id="1218130255">
      <w:bodyDiv w:val="1"/>
      <w:marLeft w:val="0"/>
      <w:marRight w:val="0"/>
      <w:marTop w:val="0"/>
      <w:marBottom w:val="0"/>
      <w:divBdr>
        <w:top w:val="none" w:sz="0" w:space="0" w:color="auto"/>
        <w:left w:val="none" w:sz="0" w:space="0" w:color="auto"/>
        <w:bottom w:val="none" w:sz="0" w:space="0" w:color="auto"/>
        <w:right w:val="none" w:sz="0" w:space="0" w:color="auto"/>
      </w:divBdr>
    </w:div>
    <w:div w:id="1230076165">
      <w:bodyDiv w:val="1"/>
      <w:marLeft w:val="0"/>
      <w:marRight w:val="0"/>
      <w:marTop w:val="0"/>
      <w:marBottom w:val="0"/>
      <w:divBdr>
        <w:top w:val="none" w:sz="0" w:space="0" w:color="auto"/>
        <w:left w:val="none" w:sz="0" w:space="0" w:color="auto"/>
        <w:bottom w:val="none" w:sz="0" w:space="0" w:color="auto"/>
        <w:right w:val="none" w:sz="0" w:space="0" w:color="auto"/>
      </w:divBdr>
      <w:divsChild>
        <w:div w:id="2126146950">
          <w:marLeft w:val="0"/>
          <w:marRight w:val="547"/>
          <w:marTop w:val="0"/>
          <w:marBottom w:val="0"/>
          <w:divBdr>
            <w:top w:val="none" w:sz="0" w:space="0" w:color="auto"/>
            <w:left w:val="none" w:sz="0" w:space="0" w:color="auto"/>
            <w:bottom w:val="none" w:sz="0" w:space="0" w:color="auto"/>
            <w:right w:val="none" w:sz="0" w:space="0" w:color="auto"/>
          </w:divBdr>
        </w:div>
      </w:divsChild>
    </w:div>
    <w:div w:id="1239823348">
      <w:bodyDiv w:val="1"/>
      <w:marLeft w:val="0"/>
      <w:marRight w:val="0"/>
      <w:marTop w:val="0"/>
      <w:marBottom w:val="0"/>
      <w:divBdr>
        <w:top w:val="none" w:sz="0" w:space="0" w:color="auto"/>
        <w:left w:val="none" w:sz="0" w:space="0" w:color="auto"/>
        <w:bottom w:val="none" w:sz="0" w:space="0" w:color="auto"/>
        <w:right w:val="none" w:sz="0" w:space="0" w:color="auto"/>
      </w:divBdr>
    </w:div>
    <w:div w:id="1282297420">
      <w:bodyDiv w:val="1"/>
      <w:marLeft w:val="0"/>
      <w:marRight w:val="0"/>
      <w:marTop w:val="0"/>
      <w:marBottom w:val="0"/>
      <w:divBdr>
        <w:top w:val="none" w:sz="0" w:space="0" w:color="auto"/>
        <w:left w:val="none" w:sz="0" w:space="0" w:color="auto"/>
        <w:bottom w:val="none" w:sz="0" w:space="0" w:color="auto"/>
        <w:right w:val="none" w:sz="0" w:space="0" w:color="auto"/>
      </w:divBdr>
    </w:div>
    <w:div w:id="1292247322">
      <w:bodyDiv w:val="1"/>
      <w:marLeft w:val="0"/>
      <w:marRight w:val="0"/>
      <w:marTop w:val="0"/>
      <w:marBottom w:val="0"/>
      <w:divBdr>
        <w:top w:val="none" w:sz="0" w:space="0" w:color="auto"/>
        <w:left w:val="none" w:sz="0" w:space="0" w:color="auto"/>
        <w:bottom w:val="none" w:sz="0" w:space="0" w:color="auto"/>
        <w:right w:val="none" w:sz="0" w:space="0" w:color="auto"/>
      </w:divBdr>
    </w:div>
    <w:div w:id="1295604616">
      <w:bodyDiv w:val="1"/>
      <w:marLeft w:val="0"/>
      <w:marRight w:val="0"/>
      <w:marTop w:val="0"/>
      <w:marBottom w:val="0"/>
      <w:divBdr>
        <w:top w:val="none" w:sz="0" w:space="0" w:color="auto"/>
        <w:left w:val="none" w:sz="0" w:space="0" w:color="auto"/>
        <w:bottom w:val="none" w:sz="0" w:space="0" w:color="auto"/>
        <w:right w:val="none" w:sz="0" w:space="0" w:color="auto"/>
      </w:divBdr>
    </w:div>
    <w:div w:id="1306281441">
      <w:bodyDiv w:val="1"/>
      <w:marLeft w:val="0"/>
      <w:marRight w:val="0"/>
      <w:marTop w:val="0"/>
      <w:marBottom w:val="0"/>
      <w:divBdr>
        <w:top w:val="none" w:sz="0" w:space="0" w:color="auto"/>
        <w:left w:val="none" w:sz="0" w:space="0" w:color="auto"/>
        <w:bottom w:val="none" w:sz="0" w:space="0" w:color="auto"/>
        <w:right w:val="none" w:sz="0" w:space="0" w:color="auto"/>
      </w:divBdr>
      <w:divsChild>
        <w:div w:id="1283993989">
          <w:marLeft w:val="-225"/>
          <w:marRight w:val="-225"/>
          <w:marTop w:val="0"/>
          <w:marBottom w:val="0"/>
          <w:divBdr>
            <w:top w:val="none" w:sz="0" w:space="0" w:color="auto"/>
            <w:left w:val="none" w:sz="0" w:space="0" w:color="auto"/>
            <w:bottom w:val="none" w:sz="0" w:space="0" w:color="auto"/>
            <w:right w:val="none" w:sz="0" w:space="0" w:color="auto"/>
          </w:divBdr>
          <w:divsChild>
            <w:div w:id="156456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931833">
      <w:bodyDiv w:val="1"/>
      <w:marLeft w:val="0"/>
      <w:marRight w:val="0"/>
      <w:marTop w:val="0"/>
      <w:marBottom w:val="0"/>
      <w:divBdr>
        <w:top w:val="none" w:sz="0" w:space="0" w:color="auto"/>
        <w:left w:val="none" w:sz="0" w:space="0" w:color="auto"/>
        <w:bottom w:val="none" w:sz="0" w:space="0" w:color="auto"/>
        <w:right w:val="none" w:sz="0" w:space="0" w:color="auto"/>
      </w:divBdr>
      <w:divsChild>
        <w:div w:id="1107627765">
          <w:marLeft w:val="0"/>
          <w:marRight w:val="720"/>
          <w:marTop w:val="0"/>
          <w:marBottom w:val="0"/>
          <w:divBdr>
            <w:top w:val="none" w:sz="0" w:space="0" w:color="auto"/>
            <w:left w:val="none" w:sz="0" w:space="0" w:color="auto"/>
            <w:bottom w:val="none" w:sz="0" w:space="0" w:color="auto"/>
            <w:right w:val="none" w:sz="0" w:space="0" w:color="auto"/>
          </w:divBdr>
        </w:div>
      </w:divsChild>
    </w:div>
    <w:div w:id="1312446948">
      <w:bodyDiv w:val="1"/>
      <w:marLeft w:val="0"/>
      <w:marRight w:val="0"/>
      <w:marTop w:val="0"/>
      <w:marBottom w:val="0"/>
      <w:divBdr>
        <w:top w:val="none" w:sz="0" w:space="0" w:color="auto"/>
        <w:left w:val="none" w:sz="0" w:space="0" w:color="auto"/>
        <w:bottom w:val="none" w:sz="0" w:space="0" w:color="auto"/>
        <w:right w:val="none" w:sz="0" w:space="0" w:color="auto"/>
      </w:divBdr>
    </w:div>
    <w:div w:id="1385328423">
      <w:bodyDiv w:val="1"/>
      <w:marLeft w:val="0"/>
      <w:marRight w:val="0"/>
      <w:marTop w:val="0"/>
      <w:marBottom w:val="0"/>
      <w:divBdr>
        <w:top w:val="none" w:sz="0" w:space="0" w:color="auto"/>
        <w:left w:val="none" w:sz="0" w:space="0" w:color="auto"/>
        <w:bottom w:val="none" w:sz="0" w:space="0" w:color="auto"/>
        <w:right w:val="none" w:sz="0" w:space="0" w:color="auto"/>
      </w:divBdr>
    </w:div>
    <w:div w:id="1426924425">
      <w:bodyDiv w:val="1"/>
      <w:marLeft w:val="0"/>
      <w:marRight w:val="0"/>
      <w:marTop w:val="0"/>
      <w:marBottom w:val="0"/>
      <w:divBdr>
        <w:top w:val="none" w:sz="0" w:space="0" w:color="auto"/>
        <w:left w:val="none" w:sz="0" w:space="0" w:color="auto"/>
        <w:bottom w:val="none" w:sz="0" w:space="0" w:color="auto"/>
        <w:right w:val="none" w:sz="0" w:space="0" w:color="auto"/>
      </w:divBdr>
    </w:div>
    <w:div w:id="1429734549">
      <w:bodyDiv w:val="1"/>
      <w:marLeft w:val="0"/>
      <w:marRight w:val="0"/>
      <w:marTop w:val="0"/>
      <w:marBottom w:val="0"/>
      <w:divBdr>
        <w:top w:val="none" w:sz="0" w:space="0" w:color="auto"/>
        <w:left w:val="none" w:sz="0" w:space="0" w:color="auto"/>
        <w:bottom w:val="none" w:sz="0" w:space="0" w:color="auto"/>
        <w:right w:val="none" w:sz="0" w:space="0" w:color="auto"/>
      </w:divBdr>
    </w:div>
    <w:div w:id="1493333630">
      <w:bodyDiv w:val="1"/>
      <w:marLeft w:val="0"/>
      <w:marRight w:val="0"/>
      <w:marTop w:val="0"/>
      <w:marBottom w:val="0"/>
      <w:divBdr>
        <w:top w:val="none" w:sz="0" w:space="0" w:color="auto"/>
        <w:left w:val="none" w:sz="0" w:space="0" w:color="auto"/>
        <w:bottom w:val="none" w:sz="0" w:space="0" w:color="auto"/>
        <w:right w:val="none" w:sz="0" w:space="0" w:color="auto"/>
      </w:divBdr>
    </w:div>
    <w:div w:id="1506431123">
      <w:bodyDiv w:val="1"/>
      <w:marLeft w:val="0"/>
      <w:marRight w:val="0"/>
      <w:marTop w:val="0"/>
      <w:marBottom w:val="0"/>
      <w:divBdr>
        <w:top w:val="none" w:sz="0" w:space="0" w:color="auto"/>
        <w:left w:val="none" w:sz="0" w:space="0" w:color="auto"/>
        <w:bottom w:val="none" w:sz="0" w:space="0" w:color="auto"/>
        <w:right w:val="none" w:sz="0" w:space="0" w:color="auto"/>
      </w:divBdr>
    </w:div>
    <w:div w:id="1550071826">
      <w:bodyDiv w:val="1"/>
      <w:marLeft w:val="0"/>
      <w:marRight w:val="0"/>
      <w:marTop w:val="0"/>
      <w:marBottom w:val="0"/>
      <w:divBdr>
        <w:top w:val="none" w:sz="0" w:space="0" w:color="auto"/>
        <w:left w:val="none" w:sz="0" w:space="0" w:color="auto"/>
        <w:bottom w:val="none" w:sz="0" w:space="0" w:color="auto"/>
        <w:right w:val="none" w:sz="0" w:space="0" w:color="auto"/>
      </w:divBdr>
    </w:div>
    <w:div w:id="1582132423">
      <w:bodyDiv w:val="1"/>
      <w:marLeft w:val="0"/>
      <w:marRight w:val="0"/>
      <w:marTop w:val="0"/>
      <w:marBottom w:val="0"/>
      <w:divBdr>
        <w:top w:val="none" w:sz="0" w:space="0" w:color="auto"/>
        <w:left w:val="none" w:sz="0" w:space="0" w:color="auto"/>
        <w:bottom w:val="none" w:sz="0" w:space="0" w:color="auto"/>
        <w:right w:val="none" w:sz="0" w:space="0" w:color="auto"/>
      </w:divBdr>
    </w:div>
    <w:div w:id="1611278792">
      <w:bodyDiv w:val="1"/>
      <w:marLeft w:val="0"/>
      <w:marRight w:val="0"/>
      <w:marTop w:val="0"/>
      <w:marBottom w:val="0"/>
      <w:divBdr>
        <w:top w:val="none" w:sz="0" w:space="0" w:color="auto"/>
        <w:left w:val="none" w:sz="0" w:space="0" w:color="auto"/>
        <w:bottom w:val="none" w:sz="0" w:space="0" w:color="auto"/>
        <w:right w:val="none" w:sz="0" w:space="0" w:color="auto"/>
      </w:divBdr>
    </w:div>
    <w:div w:id="1628730823">
      <w:bodyDiv w:val="1"/>
      <w:marLeft w:val="0"/>
      <w:marRight w:val="0"/>
      <w:marTop w:val="0"/>
      <w:marBottom w:val="0"/>
      <w:divBdr>
        <w:top w:val="none" w:sz="0" w:space="0" w:color="auto"/>
        <w:left w:val="none" w:sz="0" w:space="0" w:color="auto"/>
        <w:bottom w:val="none" w:sz="0" w:space="0" w:color="auto"/>
        <w:right w:val="none" w:sz="0" w:space="0" w:color="auto"/>
      </w:divBdr>
      <w:divsChild>
        <w:div w:id="1197887748">
          <w:marLeft w:val="0"/>
          <w:marRight w:val="0"/>
          <w:marTop w:val="0"/>
          <w:marBottom w:val="0"/>
          <w:divBdr>
            <w:top w:val="none" w:sz="0" w:space="0" w:color="auto"/>
            <w:left w:val="none" w:sz="0" w:space="0" w:color="auto"/>
            <w:bottom w:val="none" w:sz="0" w:space="0" w:color="auto"/>
            <w:right w:val="none" w:sz="0" w:space="0" w:color="auto"/>
          </w:divBdr>
        </w:div>
        <w:div w:id="287324189">
          <w:marLeft w:val="0"/>
          <w:marRight w:val="0"/>
          <w:marTop w:val="0"/>
          <w:marBottom w:val="0"/>
          <w:divBdr>
            <w:top w:val="none" w:sz="0" w:space="0" w:color="auto"/>
            <w:left w:val="none" w:sz="0" w:space="0" w:color="auto"/>
            <w:bottom w:val="none" w:sz="0" w:space="0" w:color="auto"/>
            <w:right w:val="none" w:sz="0" w:space="0" w:color="auto"/>
          </w:divBdr>
        </w:div>
        <w:div w:id="653878299">
          <w:marLeft w:val="0"/>
          <w:marRight w:val="0"/>
          <w:marTop w:val="0"/>
          <w:marBottom w:val="0"/>
          <w:divBdr>
            <w:top w:val="none" w:sz="0" w:space="0" w:color="auto"/>
            <w:left w:val="none" w:sz="0" w:space="0" w:color="auto"/>
            <w:bottom w:val="none" w:sz="0" w:space="0" w:color="auto"/>
            <w:right w:val="none" w:sz="0" w:space="0" w:color="auto"/>
          </w:divBdr>
        </w:div>
        <w:div w:id="1066150090">
          <w:marLeft w:val="0"/>
          <w:marRight w:val="0"/>
          <w:marTop w:val="0"/>
          <w:marBottom w:val="0"/>
          <w:divBdr>
            <w:top w:val="none" w:sz="0" w:space="0" w:color="auto"/>
            <w:left w:val="none" w:sz="0" w:space="0" w:color="auto"/>
            <w:bottom w:val="none" w:sz="0" w:space="0" w:color="auto"/>
            <w:right w:val="none" w:sz="0" w:space="0" w:color="auto"/>
          </w:divBdr>
        </w:div>
      </w:divsChild>
    </w:div>
    <w:div w:id="1641422676">
      <w:bodyDiv w:val="1"/>
      <w:marLeft w:val="0"/>
      <w:marRight w:val="0"/>
      <w:marTop w:val="0"/>
      <w:marBottom w:val="0"/>
      <w:divBdr>
        <w:top w:val="none" w:sz="0" w:space="0" w:color="auto"/>
        <w:left w:val="none" w:sz="0" w:space="0" w:color="auto"/>
        <w:bottom w:val="none" w:sz="0" w:space="0" w:color="auto"/>
        <w:right w:val="none" w:sz="0" w:space="0" w:color="auto"/>
      </w:divBdr>
    </w:div>
    <w:div w:id="1681159667">
      <w:bodyDiv w:val="1"/>
      <w:marLeft w:val="0"/>
      <w:marRight w:val="0"/>
      <w:marTop w:val="0"/>
      <w:marBottom w:val="0"/>
      <w:divBdr>
        <w:top w:val="none" w:sz="0" w:space="0" w:color="auto"/>
        <w:left w:val="none" w:sz="0" w:space="0" w:color="auto"/>
        <w:bottom w:val="none" w:sz="0" w:space="0" w:color="auto"/>
        <w:right w:val="none" w:sz="0" w:space="0" w:color="auto"/>
      </w:divBdr>
    </w:div>
    <w:div w:id="1684435156">
      <w:bodyDiv w:val="1"/>
      <w:marLeft w:val="0"/>
      <w:marRight w:val="0"/>
      <w:marTop w:val="0"/>
      <w:marBottom w:val="0"/>
      <w:divBdr>
        <w:top w:val="none" w:sz="0" w:space="0" w:color="auto"/>
        <w:left w:val="none" w:sz="0" w:space="0" w:color="auto"/>
        <w:bottom w:val="none" w:sz="0" w:space="0" w:color="auto"/>
        <w:right w:val="none" w:sz="0" w:space="0" w:color="auto"/>
      </w:divBdr>
    </w:div>
    <w:div w:id="1700475045">
      <w:bodyDiv w:val="1"/>
      <w:marLeft w:val="0"/>
      <w:marRight w:val="0"/>
      <w:marTop w:val="0"/>
      <w:marBottom w:val="0"/>
      <w:divBdr>
        <w:top w:val="none" w:sz="0" w:space="0" w:color="auto"/>
        <w:left w:val="none" w:sz="0" w:space="0" w:color="auto"/>
        <w:bottom w:val="none" w:sz="0" w:space="0" w:color="auto"/>
        <w:right w:val="none" w:sz="0" w:space="0" w:color="auto"/>
      </w:divBdr>
    </w:div>
    <w:div w:id="1704868986">
      <w:bodyDiv w:val="1"/>
      <w:marLeft w:val="0"/>
      <w:marRight w:val="0"/>
      <w:marTop w:val="0"/>
      <w:marBottom w:val="0"/>
      <w:divBdr>
        <w:top w:val="none" w:sz="0" w:space="0" w:color="auto"/>
        <w:left w:val="none" w:sz="0" w:space="0" w:color="auto"/>
        <w:bottom w:val="none" w:sz="0" w:space="0" w:color="auto"/>
        <w:right w:val="none" w:sz="0" w:space="0" w:color="auto"/>
      </w:divBdr>
      <w:divsChild>
        <w:div w:id="502089213">
          <w:marLeft w:val="0"/>
          <w:marRight w:val="403"/>
          <w:marTop w:val="0"/>
          <w:marBottom w:val="0"/>
          <w:divBdr>
            <w:top w:val="none" w:sz="0" w:space="0" w:color="auto"/>
            <w:left w:val="none" w:sz="0" w:space="0" w:color="auto"/>
            <w:bottom w:val="none" w:sz="0" w:space="0" w:color="auto"/>
            <w:right w:val="none" w:sz="0" w:space="0" w:color="auto"/>
          </w:divBdr>
        </w:div>
        <w:div w:id="531302810">
          <w:marLeft w:val="0"/>
          <w:marRight w:val="403"/>
          <w:marTop w:val="0"/>
          <w:marBottom w:val="0"/>
          <w:divBdr>
            <w:top w:val="none" w:sz="0" w:space="0" w:color="auto"/>
            <w:left w:val="none" w:sz="0" w:space="0" w:color="auto"/>
            <w:bottom w:val="none" w:sz="0" w:space="0" w:color="auto"/>
            <w:right w:val="none" w:sz="0" w:space="0" w:color="auto"/>
          </w:divBdr>
        </w:div>
        <w:div w:id="851264786">
          <w:marLeft w:val="0"/>
          <w:marRight w:val="403"/>
          <w:marTop w:val="0"/>
          <w:marBottom w:val="0"/>
          <w:divBdr>
            <w:top w:val="none" w:sz="0" w:space="0" w:color="auto"/>
            <w:left w:val="none" w:sz="0" w:space="0" w:color="auto"/>
            <w:bottom w:val="none" w:sz="0" w:space="0" w:color="auto"/>
            <w:right w:val="none" w:sz="0" w:space="0" w:color="auto"/>
          </w:divBdr>
        </w:div>
        <w:div w:id="1699045056">
          <w:marLeft w:val="0"/>
          <w:marRight w:val="403"/>
          <w:marTop w:val="0"/>
          <w:marBottom w:val="0"/>
          <w:divBdr>
            <w:top w:val="none" w:sz="0" w:space="0" w:color="auto"/>
            <w:left w:val="none" w:sz="0" w:space="0" w:color="auto"/>
            <w:bottom w:val="none" w:sz="0" w:space="0" w:color="auto"/>
            <w:right w:val="none" w:sz="0" w:space="0" w:color="auto"/>
          </w:divBdr>
        </w:div>
      </w:divsChild>
    </w:div>
    <w:div w:id="1714957922">
      <w:bodyDiv w:val="1"/>
      <w:marLeft w:val="0"/>
      <w:marRight w:val="0"/>
      <w:marTop w:val="0"/>
      <w:marBottom w:val="0"/>
      <w:divBdr>
        <w:top w:val="none" w:sz="0" w:space="0" w:color="auto"/>
        <w:left w:val="none" w:sz="0" w:space="0" w:color="auto"/>
        <w:bottom w:val="none" w:sz="0" w:space="0" w:color="auto"/>
        <w:right w:val="none" w:sz="0" w:space="0" w:color="auto"/>
      </w:divBdr>
    </w:div>
    <w:div w:id="1732579539">
      <w:bodyDiv w:val="1"/>
      <w:marLeft w:val="0"/>
      <w:marRight w:val="0"/>
      <w:marTop w:val="0"/>
      <w:marBottom w:val="0"/>
      <w:divBdr>
        <w:top w:val="none" w:sz="0" w:space="0" w:color="auto"/>
        <w:left w:val="none" w:sz="0" w:space="0" w:color="auto"/>
        <w:bottom w:val="none" w:sz="0" w:space="0" w:color="auto"/>
        <w:right w:val="none" w:sz="0" w:space="0" w:color="auto"/>
      </w:divBdr>
    </w:div>
    <w:div w:id="1748646997">
      <w:bodyDiv w:val="1"/>
      <w:marLeft w:val="0"/>
      <w:marRight w:val="0"/>
      <w:marTop w:val="0"/>
      <w:marBottom w:val="0"/>
      <w:divBdr>
        <w:top w:val="none" w:sz="0" w:space="0" w:color="auto"/>
        <w:left w:val="none" w:sz="0" w:space="0" w:color="auto"/>
        <w:bottom w:val="none" w:sz="0" w:space="0" w:color="auto"/>
        <w:right w:val="none" w:sz="0" w:space="0" w:color="auto"/>
      </w:divBdr>
    </w:div>
    <w:div w:id="1766530959">
      <w:bodyDiv w:val="1"/>
      <w:marLeft w:val="0"/>
      <w:marRight w:val="0"/>
      <w:marTop w:val="0"/>
      <w:marBottom w:val="0"/>
      <w:divBdr>
        <w:top w:val="none" w:sz="0" w:space="0" w:color="auto"/>
        <w:left w:val="none" w:sz="0" w:space="0" w:color="auto"/>
        <w:bottom w:val="none" w:sz="0" w:space="0" w:color="auto"/>
        <w:right w:val="none" w:sz="0" w:space="0" w:color="auto"/>
      </w:divBdr>
    </w:div>
    <w:div w:id="1774980434">
      <w:bodyDiv w:val="1"/>
      <w:marLeft w:val="0"/>
      <w:marRight w:val="0"/>
      <w:marTop w:val="0"/>
      <w:marBottom w:val="0"/>
      <w:divBdr>
        <w:top w:val="none" w:sz="0" w:space="0" w:color="auto"/>
        <w:left w:val="none" w:sz="0" w:space="0" w:color="auto"/>
        <w:bottom w:val="none" w:sz="0" w:space="0" w:color="auto"/>
        <w:right w:val="none" w:sz="0" w:space="0" w:color="auto"/>
      </w:divBdr>
    </w:div>
    <w:div w:id="1789395433">
      <w:bodyDiv w:val="1"/>
      <w:marLeft w:val="0"/>
      <w:marRight w:val="0"/>
      <w:marTop w:val="0"/>
      <w:marBottom w:val="0"/>
      <w:divBdr>
        <w:top w:val="none" w:sz="0" w:space="0" w:color="auto"/>
        <w:left w:val="none" w:sz="0" w:space="0" w:color="auto"/>
        <w:bottom w:val="none" w:sz="0" w:space="0" w:color="auto"/>
        <w:right w:val="none" w:sz="0" w:space="0" w:color="auto"/>
      </w:divBdr>
    </w:div>
    <w:div w:id="1842771944">
      <w:bodyDiv w:val="1"/>
      <w:marLeft w:val="0"/>
      <w:marRight w:val="0"/>
      <w:marTop w:val="0"/>
      <w:marBottom w:val="0"/>
      <w:divBdr>
        <w:top w:val="none" w:sz="0" w:space="0" w:color="auto"/>
        <w:left w:val="none" w:sz="0" w:space="0" w:color="auto"/>
        <w:bottom w:val="none" w:sz="0" w:space="0" w:color="auto"/>
        <w:right w:val="none" w:sz="0" w:space="0" w:color="auto"/>
      </w:divBdr>
    </w:div>
    <w:div w:id="1863203193">
      <w:bodyDiv w:val="1"/>
      <w:marLeft w:val="0"/>
      <w:marRight w:val="0"/>
      <w:marTop w:val="0"/>
      <w:marBottom w:val="0"/>
      <w:divBdr>
        <w:top w:val="none" w:sz="0" w:space="0" w:color="auto"/>
        <w:left w:val="none" w:sz="0" w:space="0" w:color="auto"/>
        <w:bottom w:val="none" w:sz="0" w:space="0" w:color="auto"/>
        <w:right w:val="none" w:sz="0" w:space="0" w:color="auto"/>
      </w:divBdr>
    </w:div>
    <w:div w:id="1876381238">
      <w:bodyDiv w:val="1"/>
      <w:marLeft w:val="0"/>
      <w:marRight w:val="0"/>
      <w:marTop w:val="0"/>
      <w:marBottom w:val="0"/>
      <w:divBdr>
        <w:top w:val="none" w:sz="0" w:space="0" w:color="auto"/>
        <w:left w:val="none" w:sz="0" w:space="0" w:color="auto"/>
        <w:bottom w:val="none" w:sz="0" w:space="0" w:color="auto"/>
        <w:right w:val="none" w:sz="0" w:space="0" w:color="auto"/>
      </w:divBdr>
    </w:div>
    <w:div w:id="1935363078">
      <w:bodyDiv w:val="1"/>
      <w:marLeft w:val="0"/>
      <w:marRight w:val="0"/>
      <w:marTop w:val="0"/>
      <w:marBottom w:val="0"/>
      <w:divBdr>
        <w:top w:val="none" w:sz="0" w:space="0" w:color="auto"/>
        <w:left w:val="none" w:sz="0" w:space="0" w:color="auto"/>
        <w:bottom w:val="none" w:sz="0" w:space="0" w:color="auto"/>
        <w:right w:val="none" w:sz="0" w:space="0" w:color="auto"/>
      </w:divBdr>
    </w:div>
    <w:div w:id="1947687298">
      <w:bodyDiv w:val="1"/>
      <w:marLeft w:val="0"/>
      <w:marRight w:val="0"/>
      <w:marTop w:val="0"/>
      <w:marBottom w:val="0"/>
      <w:divBdr>
        <w:top w:val="none" w:sz="0" w:space="0" w:color="auto"/>
        <w:left w:val="none" w:sz="0" w:space="0" w:color="auto"/>
        <w:bottom w:val="none" w:sz="0" w:space="0" w:color="auto"/>
        <w:right w:val="none" w:sz="0" w:space="0" w:color="auto"/>
      </w:divBdr>
      <w:divsChild>
        <w:div w:id="2137720609">
          <w:marLeft w:val="0"/>
          <w:marRight w:val="547"/>
          <w:marTop w:val="0"/>
          <w:marBottom w:val="0"/>
          <w:divBdr>
            <w:top w:val="none" w:sz="0" w:space="0" w:color="auto"/>
            <w:left w:val="none" w:sz="0" w:space="0" w:color="auto"/>
            <w:bottom w:val="none" w:sz="0" w:space="0" w:color="auto"/>
            <w:right w:val="none" w:sz="0" w:space="0" w:color="auto"/>
          </w:divBdr>
        </w:div>
      </w:divsChild>
    </w:div>
    <w:div w:id="1997492819">
      <w:bodyDiv w:val="1"/>
      <w:marLeft w:val="0"/>
      <w:marRight w:val="0"/>
      <w:marTop w:val="0"/>
      <w:marBottom w:val="0"/>
      <w:divBdr>
        <w:top w:val="none" w:sz="0" w:space="0" w:color="auto"/>
        <w:left w:val="none" w:sz="0" w:space="0" w:color="auto"/>
        <w:bottom w:val="none" w:sz="0" w:space="0" w:color="auto"/>
        <w:right w:val="none" w:sz="0" w:space="0" w:color="auto"/>
      </w:divBdr>
    </w:div>
    <w:div w:id="2022855473">
      <w:bodyDiv w:val="1"/>
      <w:marLeft w:val="0"/>
      <w:marRight w:val="0"/>
      <w:marTop w:val="0"/>
      <w:marBottom w:val="0"/>
      <w:divBdr>
        <w:top w:val="none" w:sz="0" w:space="0" w:color="auto"/>
        <w:left w:val="none" w:sz="0" w:space="0" w:color="auto"/>
        <w:bottom w:val="none" w:sz="0" w:space="0" w:color="auto"/>
        <w:right w:val="none" w:sz="0" w:space="0" w:color="auto"/>
      </w:divBdr>
    </w:div>
    <w:div w:id="2040009240">
      <w:bodyDiv w:val="1"/>
      <w:marLeft w:val="0"/>
      <w:marRight w:val="0"/>
      <w:marTop w:val="0"/>
      <w:marBottom w:val="0"/>
      <w:divBdr>
        <w:top w:val="none" w:sz="0" w:space="0" w:color="auto"/>
        <w:left w:val="none" w:sz="0" w:space="0" w:color="auto"/>
        <w:bottom w:val="none" w:sz="0" w:space="0" w:color="auto"/>
        <w:right w:val="none" w:sz="0" w:space="0" w:color="auto"/>
      </w:divBdr>
    </w:div>
    <w:div w:id="2051876496">
      <w:bodyDiv w:val="1"/>
      <w:marLeft w:val="0"/>
      <w:marRight w:val="0"/>
      <w:marTop w:val="0"/>
      <w:marBottom w:val="0"/>
      <w:divBdr>
        <w:top w:val="none" w:sz="0" w:space="0" w:color="auto"/>
        <w:left w:val="none" w:sz="0" w:space="0" w:color="auto"/>
        <w:bottom w:val="none" w:sz="0" w:space="0" w:color="auto"/>
        <w:right w:val="none" w:sz="0" w:space="0" w:color="auto"/>
      </w:divBdr>
    </w:div>
    <w:div w:id="2061248570">
      <w:bodyDiv w:val="1"/>
      <w:marLeft w:val="0"/>
      <w:marRight w:val="0"/>
      <w:marTop w:val="0"/>
      <w:marBottom w:val="0"/>
      <w:divBdr>
        <w:top w:val="none" w:sz="0" w:space="0" w:color="auto"/>
        <w:left w:val="none" w:sz="0" w:space="0" w:color="auto"/>
        <w:bottom w:val="none" w:sz="0" w:space="0" w:color="auto"/>
        <w:right w:val="none" w:sz="0" w:space="0" w:color="auto"/>
      </w:divBdr>
    </w:div>
    <w:div w:id="206532863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022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header" Target="header1.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hyperlink" Target="https://www.vision2030.gov.sa" TargetMode="External"/><Relationship Id="rId40" Type="http://schemas.openxmlformats.org/officeDocument/2006/relationships/header" Target="header2.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hyperlink" Target="https://documents1.worldbank.org/curated/en/381221644297502516/pdf/Overview.pdf" TargetMode="External"/><Relationship Id="rId20" Type="http://schemas.openxmlformats.org/officeDocument/2006/relationships/image" Target="media/image12.png"/><Relationship Id="rId41"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_rels/header2.xml.rels><?xml version="1.0" encoding="UTF-8" standalone="yes"?>
<Relationships xmlns="http://schemas.openxmlformats.org/package/2006/relationships"><Relationship Id="rId1" Type="http://schemas.openxmlformats.org/officeDocument/2006/relationships/image" Target="media/image29.png"/></Relationships>
</file>

<file path=word/_rels/header3.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56EF6-6A6A-4E60-B143-1D30A09B4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158</Pages>
  <Words>38031</Words>
  <Characters>215258</Characters>
  <Application>Microsoft Office Word</Application>
  <DocSecurity>0</DocSecurity>
  <Lines>4139</Lines>
  <Paragraphs>2042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Grizli777</Company>
  <LinksUpToDate>false</LinksUpToDate>
  <CharactersWithSpaces>251247</CharactersWithSpaces>
  <SharedDoc>false</SharedDoc>
  <HLinks>
    <vt:vector size="204" baseType="variant">
      <vt:variant>
        <vt:i4>1900614</vt:i4>
      </vt:variant>
      <vt:variant>
        <vt:i4>273</vt:i4>
      </vt:variant>
      <vt:variant>
        <vt:i4>0</vt:i4>
      </vt:variant>
      <vt:variant>
        <vt:i4>5</vt:i4>
      </vt:variant>
      <vt:variant>
        <vt:lpwstr>https://www.redseaglobal.com/ar/</vt:lpwstr>
      </vt:variant>
      <vt:variant>
        <vt:lpwstr/>
      </vt:variant>
      <vt:variant>
        <vt:i4>1966136</vt:i4>
      </vt:variant>
      <vt:variant>
        <vt:i4>200</vt:i4>
      </vt:variant>
      <vt:variant>
        <vt:i4>0</vt:i4>
      </vt:variant>
      <vt:variant>
        <vt:i4>5</vt:i4>
      </vt:variant>
      <vt:variant>
        <vt:lpwstr/>
      </vt:variant>
      <vt:variant>
        <vt:lpwstr>_Toc216252988</vt:lpwstr>
      </vt:variant>
      <vt:variant>
        <vt:i4>1966136</vt:i4>
      </vt:variant>
      <vt:variant>
        <vt:i4>194</vt:i4>
      </vt:variant>
      <vt:variant>
        <vt:i4>0</vt:i4>
      </vt:variant>
      <vt:variant>
        <vt:i4>5</vt:i4>
      </vt:variant>
      <vt:variant>
        <vt:lpwstr/>
      </vt:variant>
      <vt:variant>
        <vt:lpwstr>_Toc216252987</vt:lpwstr>
      </vt:variant>
      <vt:variant>
        <vt:i4>1966136</vt:i4>
      </vt:variant>
      <vt:variant>
        <vt:i4>188</vt:i4>
      </vt:variant>
      <vt:variant>
        <vt:i4>0</vt:i4>
      </vt:variant>
      <vt:variant>
        <vt:i4>5</vt:i4>
      </vt:variant>
      <vt:variant>
        <vt:lpwstr/>
      </vt:variant>
      <vt:variant>
        <vt:lpwstr>_Toc216252986</vt:lpwstr>
      </vt:variant>
      <vt:variant>
        <vt:i4>2031672</vt:i4>
      </vt:variant>
      <vt:variant>
        <vt:i4>179</vt:i4>
      </vt:variant>
      <vt:variant>
        <vt:i4>0</vt:i4>
      </vt:variant>
      <vt:variant>
        <vt:i4>5</vt:i4>
      </vt:variant>
      <vt:variant>
        <vt:lpwstr/>
      </vt:variant>
      <vt:variant>
        <vt:lpwstr>_Toc216252996</vt:lpwstr>
      </vt:variant>
      <vt:variant>
        <vt:i4>2031672</vt:i4>
      </vt:variant>
      <vt:variant>
        <vt:i4>173</vt:i4>
      </vt:variant>
      <vt:variant>
        <vt:i4>0</vt:i4>
      </vt:variant>
      <vt:variant>
        <vt:i4>5</vt:i4>
      </vt:variant>
      <vt:variant>
        <vt:lpwstr/>
      </vt:variant>
      <vt:variant>
        <vt:lpwstr>_Toc216252995</vt:lpwstr>
      </vt:variant>
      <vt:variant>
        <vt:i4>2031672</vt:i4>
      </vt:variant>
      <vt:variant>
        <vt:i4>167</vt:i4>
      </vt:variant>
      <vt:variant>
        <vt:i4>0</vt:i4>
      </vt:variant>
      <vt:variant>
        <vt:i4>5</vt:i4>
      </vt:variant>
      <vt:variant>
        <vt:lpwstr/>
      </vt:variant>
      <vt:variant>
        <vt:lpwstr>_Toc216252994</vt:lpwstr>
      </vt:variant>
      <vt:variant>
        <vt:i4>1376312</vt:i4>
      </vt:variant>
      <vt:variant>
        <vt:i4>158</vt:i4>
      </vt:variant>
      <vt:variant>
        <vt:i4>0</vt:i4>
      </vt:variant>
      <vt:variant>
        <vt:i4>5</vt:i4>
      </vt:variant>
      <vt:variant>
        <vt:lpwstr/>
      </vt:variant>
      <vt:variant>
        <vt:lpwstr>_Toc216252934</vt:lpwstr>
      </vt:variant>
      <vt:variant>
        <vt:i4>1376312</vt:i4>
      </vt:variant>
      <vt:variant>
        <vt:i4>152</vt:i4>
      </vt:variant>
      <vt:variant>
        <vt:i4>0</vt:i4>
      </vt:variant>
      <vt:variant>
        <vt:i4>5</vt:i4>
      </vt:variant>
      <vt:variant>
        <vt:lpwstr/>
      </vt:variant>
      <vt:variant>
        <vt:lpwstr>_Toc216252933</vt:lpwstr>
      </vt:variant>
      <vt:variant>
        <vt:i4>1376312</vt:i4>
      </vt:variant>
      <vt:variant>
        <vt:i4>146</vt:i4>
      </vt:variant>
      <vt:variant>
        <vt:i4>0</vt:i4>
      </vt:variant>
      <vt:variant>
        <vt:i4>5</vt:i4>
      </vt:variant>
      <vt:variant>
        <vt:lpwstr/>
      </vt:variant>
      <vt:variant>
        <vt:lpwstr>_Toc216252932</vt:lpwstr>
      </vt:variant>
      <vt:variant>
        <vt:i4>1376312</vt:i4>
      </vt:variant>
      <vt:variant>
        <vt:i4>140</vt:i4>
      </vt:variant>
      <vt:variant>
        <vt:i4>0</vt:i4>
      </vt:variant>
      <vt:variant>
        <vt:i4>5</vt:i4>
      </vt:variant>
      <vt:variant>
        <vt:lpwstr/>
      </vt:variant>
      <vt:variant>
        <vt:lpwstr>_Toc216252931</vt:lpwstr>
      </vt:variant>
      <vt:variant>
        <vt:i4>1376312</vt:i4>
      </vt:variant>
      <vt:variant>
        <vt:i4>134</vt:i4>
      </vt:variant>
      <vt:variant>
        <vt:i4>0</vt:i4>
      </vt:variant>
      <vt:variant>
        <vt:i4>5</vt:i4>
      </vt:variant>
      <vt:variant>
        <vt:lpwstr/>
      </vt:variant>
      <vt:variant>
        <vt:lpwstr>_Toc216252930</vt:lpwstr>
      </vt:variant>
      <vt:variant>
        <vt:i4>1310776</vt:i4>
      </vt:variant>
      <vt:variant>
        <vt:i4>128</vt:i4>
      </vt:variant>
      <vt:variant>
        <vt:i4>0</vt:i4>
      </vt:variant>
      <vt:variant>
        <vt:i4>5</vt:i4>
      </vt:variant>
      <vt:variant>
        <vt:lpwstr/>
      </vt:variant>
      <vt:variant>
        <vt:lpwstr>_Toc216252929</vt:lpwstr>
      </vt:variant>
      <vt:variant>
        <vt:i4>1310776</vt:i4>
      </vt:variant>
      <vt:variant>
        <vt:i4>122</vt:i4>
      </vt:variant>
      <vt:variant>
        <vt:i4>0</vt:i4>
      </vt:variant>
      <vt:variant>
        <vt:i4>5</vt:i4>
      </vt:variant>
      <vt:variant>
        <vt:lpwstr/>
      </vt:variant>
      <vt:variant>
        <vt:lpwstr>_Toc216252928</vt:lpwstr>
      </vt:variant>
      <vt:variant>
        <vt:i4>1310776</vt:i4>
      </vt:variant>
      <vt:variant>
        <vt:i4>116</vt:i4>
      </vt:variant>
      <vt:variant>
        <vt:i4>0</vt:i4>
      </vt:variant>
      <vt:variant>
        <vt:i4>5</vt:i4>
      </vt:variant>
      <vt:variant>
        <vt:lpwstr/>
      </vt:variant>
      <vt:variant>
        <vt:lpwstr>_Toc216252927</vt:lpwstr>
      </vt:variant>
      <vt:variant>
        <vt:i4>1310776</vt:i4>
      </vt:variant>
      <vt:variant>
        <vt:i4>110</vt:i4>
      </vt:variant>
      <vt:variant>
        <vt:i4>0</vt:i4>
      </vt:variant>
      <vt:variant>
        <vt:i4>5</vt:i4>
      </vt:variant>
      <vt:variant>
        <vt:lpwstr/>
      </vt:variant>
      <vt:variant>
        <vt:lpwstr>_Toc216252926</vt:lpwstr>
      </vt:variant>
      <vt:variant>
        <vt:i4>1310776</vt:i4>
      </vt:variant>
      <vt:variant>
        <vt:i4>104</vt:i4>
      </vt:variant>
      <vt:variant>
        <vt:i4>0</vt:i4>
      </vt:variant>
      <vt:variant>
        <vt:i4>5</vt:i4>
      </vt:variant>
      <vt:variant>
        <vt:lpwstr/>
      </vt:variant>
      <vt:variant>
        <vt:lpwstr>_Toc216252925</vt:lpwstr>
      </vt:variant>
      <vt:variant>
        <vt:i4>1310776</vt:i4>
      </vt:variant>
      <vt:variant>
        <vt:i4>98</vt:i4>
      </vt:variant>
      <vt:variant>
        <vt:i4>0</vt:i4>
      </vt:variant>
      <vt:variant>
        <vt:i4>5</vt:i4>
      </vt:variant>
      <vt:variant>
        <vt:lpwstr/>
      </vt:variant>
      <vt:variant>
        <vt:lpwstr>_Toc216252924</vt:lpwstr>
      </vt:variant>
      <vt:variant>
        <vt:i4>1310776</vt:i4>
      </vt:variant>
      <vt:variant>
        <vt:i4>92</vt:i4>
      </vt:variant>
      <vt:variant>
        <vt:i4>0</vt:i4>
      </vt:variant>
      <vt:variant>
        <vt:i4>5</vt:i4>
      </vt:variant>
      <vt:variant>
        <vt:lpwstr/>
      </vt:variant>
      <vt:variant>
        <vt:lpwstr>_Toc216252923</vt:lpwstr>
      </vt:variant>
      <vt:variant>
        <vt:i4>1310776</vt:i4>
      </vt:variant>
      <vt:variant>
        <vt:i4>86</vt:i4>
      </vt:variant>
      <vt:variant>
        <vt:i4>0</vt:i4>
      </vt:variant>
      <vt:variant>
        <vt:i4>5</vt:i4>
      </vt:variant>
      <vt:variant>
        <vt:lpwstr/>
      </vt:variant>
      <vt:variant>
        <vt:lpwstr>_Toc216252922</vt:lpwstr>
      </vt:variant>
      <vt:variant>
        <vt:i4>1310776</vt:i4>
      </vt:variant>
      <vt:variant>
        <vt:i4>80</vt:i4>
      </vt:variant>
      <vt:variant>
        <vt:i4>0</vt:i4>
      </vt:variant>
      <vt:variant>
        <vt:i4>5</vt:i4>
      </vt:variant>
      <vt:variant>
        <vt:lpwstr/>
      </vt:variant>
      <vt:variant>
        <vt:lpwstr>_Toc216252921</vt:lpwstr>
      </vt:variant>
      <vt:variant>
        <vt:i4>1310776</vt:i4>
      </vt:variant>
      <vt:variant>
        <vt:i4>74</vt:i4>
      </vt:variant>
      <vt:variant>
        <vt:i4>0</vt:i4>
      </vt:variant>
      <vt:variant>
        <vt:i4>5</vt:i4>
      </vt:variant>
      <vt:variant>
        <vt:lpwstr/>
      </vt:variant>
      <vt:variant>
        <vt:lpwstr>_Toc216252920</vt:lpwstr>
      </vt:variant>
      <vt:variant>
        <vt:i4>1507384</vt:i4>
      </vt:variant>
      <vt:variant>
        <vt:i4>68</vt:i4>
      </vt:variant>
      <vt:variant>
        <vt:i4>0</vt:i4>
      </vt:variant>
      <vt:variant>
        <vt:i4>5</vt:i4>
      </vt:variant>
      <vt:variant>
        <vt:lpwstr/>
      </vt:variant>
      <vt:variant>
        <vt:lpwstr>_Toc216252919</vt:lpwstr>
      </vt:variant>
      <vt:variant>
        <vt:i4>1507384</vt:i4>
      </vt:variant>
      <vt:variant>
        <vt:i4>62</vt:i4>
      </vt:variant>
      <vt:variant>
        <vt:i4>0</vt:i4>
      </vt:variant>
      <vt:variant>
        <vt:i4>5</vt:i4>
      </vt:variant>
      <vt:variant>
        <vt:lpwstr/>
      </vt:variant>
      <vt:variant>
        <vt:lpwstr>_Toc216252918</vt:lpwstr>
      </vt:variant>
      <vt:variant>
        <vt:i4>1507384</vt:i4>
      </vt:variant>
      <vt:variant>
        <vt:i4>56</vt:i4>
      </vt:variant>
      <vt:variant>
        <vt:i4>0</vt:i4>
      </vt:variant>
      <vt:variant>
        <vt:i4>5</vt:i4>
      </vt:variant>
      <vt:variant>
        <vt:lpwstr/>
      </vt:variant>
      <vt:variant>
        <vt:lpwstr>_Toc216252917</vt:lpwstr>
      </vt:variant>
      <vt:variant>
        <vt:i4>1507384</vt:i4>
      </vt:variant>
      <vt:variant>
        <vt:i4>50</vt:i4>
      </vt:variant>
      <vt:variant>
        <vt:i4>0</vt:i4>
      </vt:variant>
      <vt:variant>
        <vt:i4>5</vt:i4>
      </vt:variant>
      <vt:variant>
        <vt:lpwstr/>
      </vt:variant>
      <vt:variant>
        <vt:lpwstr>_Toc216252916</vt:lpwstr>
      </vt:variant>
      <vt:variant>
        <vt:i4>1507384</vt:i4>
      </vt:variant>
      <vt:variant>
        <vt:i4>44</vt:i4>
      </vt:variant>
      <vt:variant>
        <vt:i4>0</vt:i4>
      </vt:variant>
      <vt:variant>
        <vt:i4>5</vt:i4>
      </vt:variant>
      <vt:variant>
        <vt:lpwstr/>
      </vt:variant>
      <vt:variant>
        <vt:lpwstr>_Toc216252915</vt:lpwstr>
      </vt:variant>
      <vt:variant>
        <vt:i4>1507384</vt:i4>
      </vt:variant>
      <vt:variant>
        <vt:i4>38</vt:i4>
      </vt:variant>
      <vt:variant>
        <vt:i4>0</vt:i4>
      </vt:variant>
      <vt:variant>
        <vt:i4>5</vt:i4>
      </vt:variant>
      <vt:variant>
        <vt:lpwstr/>
      </vt:variant>
      <vt:variant>
        <vt:lpwstr>_Toc216252914</vt:lpwstr>
      </vt:variant>
      <vt:variant>
        <vt:i4>1507384</vt:i4>
      </vt:variant>
      <vt:variant>
        <vt:i4>32</vt:i4>
      </vt:variant>
      <vt:variant>
        <vt:i4>0</vt:i4>
      </vt:variant>
      <vt:variant>
        <vt:i4>5</vt:i4>
      </vt:variant>
      <vt:variant>
        <vt:lpwstr/>
      </vt:variant>
      <vt:variant>
        <vt:lpwstr>_Toc216252913</vt:lpwstr>
      </vt:variant>
      <vt:variant>
        <vt:i4>1507384</vt:i4>
      </vt:variant>
      <vt:variant>
        <vt:i4>26</vt:i4>
      </vt:variant>
      <vt:variant>
        <vt:i4>0</vt:i4>
      </vt:variant>
      <vt:variant>
        <vt:i4>5</vt:i4>
      </vt:variant>
      <vt:variant>
        <vt:lpwstr/>
      </vt:variant>
      <vt:variant>
        <vt:lpwstr>_Toc216252912</vt:lpwstr>
      </vt:variant>
      <vt:variant>
        <vt:i4>1507384</vt:i4>
      </vt:variant>
      <vt:variant>
        <vt:i4>20</vt:i4>
      </vt:variant>
      <vt:variant>
        <vt:i4>0</vt:i4>
      </vt:variant>
      <vt:variant>
        <vt:i4>5</vt:i4>
      </vt:variant>
      <vt:variant>
        <vt:lpwstr/>
      </vt:variant>
      <vt:variant>
        <vt:lpwstr>_Toc216252911</vt:lpwstr>
      </vt:variant>
      <vt:variant>
        <vt:i4>1507384</vt:i4>
      </vt:variant>
      <vt:variant>
        <vt:i4>14</vt:i4>
      </vt:variant>
      <vt:variant>
        <vt:i4>0</vt:i4>
      </vt:variant>
      <vt:variant>
        <vt:i4>5</vt:i4>
      </vt:variant>
      <vt:variant>
        <vt:lpwstr/>
      </vt:variant>
      <vt:variant>
        <vt:lpwstr>_Toc216252910</vt:lpwstr>
      </vt:variant>
      <vt:variant>
        <vt:i4>1441848</vt:i4>
      </vt:variant>
      <vt:variant>
        <vt:i4>8</vt:i4>
      </vt:variant>
      <vt:variant>
        <vt:i4>0</vt:i4>
      </vt:variant>
      <vt:variant>
        <vt:i4>5</vt:i4>
      </vt:variant>
      <vt:variant>
        <vt:lpwstr/>
      </vt:variant>
      <vt:variant>
        <vt:lpwstr>_Toc216252909</vt:lpwstr>
      </vt:variant>
      <vt:variant>
        <vt:i4>1441848</vt:i4>
      </vt:variant>
      <vt:variant>
        <vt:i4>2</vt:i4>
      </vt:variant>
      <vt:variant>
        <vt:i4>0</vt:i4>
      </vt:variant>
      <vt:variant>
        <vt:i4>5</vt:i4>
      </vt:variant>
      <vt:variant>
        <vt:lpwstr/>
      </vt:variant>
      <vt:variant>
        <vt:lpwstr>_Toc216252908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Adel Hammas</cp:lastModifiedBy>
  <cp:revision>28</cp:revision>
  <cp:lastPrinted>2026-06-24T11:05:00Z</cp:lastPrinted>
  <dcterms:created xsi:type="dcterms:W3CDTF">2026-06-24T15:42:00Z</dcterms:created>
  <dcterms:modified xsi:type="dcterms:W3CDTF">2026-07-18T19:42:00Z</dcterms:modified>
</cp:coreProperties>
</file>