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ACA53" w14:textId="77777777" w:rsidR="009F0E3A" w:rsidRPr="002C4D07" w:rsidRDefault="00E63AC9"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1F4E79"/>
          <w:sz w:val="24"/>
          <w:szCs w:val="24"/>
        </w:rPr>
        <w:t>التقرير</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النهائي</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لمراجعة</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الفصل</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الثاني</w:t>
      </w:r>
    </w:p>
    <w:p w14:paraId="4CA0BA27" w14:textId="77777777" w:rsidR="009F0E3A" w:rsidRPr="002C4D07" w:rsidRDefault="00E63AC9"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sz w:val="24"/>
          <w:szCs w:val="24"/>
        </w:rPr>
        <w:t>الإطار</w:t>
      </w:r>
      <w:r w:rsidRPr="002C4D07">
        <w:rPr>
          <w:rFonts w:ascii="Simplified Arabic" w:eastAsia="Noto Sans Arabic" w:hAnsi="Simplified Arabic" w:cs="Simplified Arabic"/>
          <w:b/>
          <w:sz w:val="24"/>
          <w:szCs w:val="24"/>
        </w:rPr>
        <w:t xml:space="preserve"> </w:t>
      </w:r>
      <w:r w:rsidRPr="002C4D07">
        <w:rPr>
          <w:rFonts w:ascii="Simplified Arabic" w:eastAsia="Noto Sans Arabic" w:hAnsi="Simplified Arabic" w:cs="Simplified Arabic"/>
          <w:b/>
          <w:sz w:val="24"/>
          <w:szCs w:val="24"/>
        </w:rPr>
        <w:t>النظري</w:t>
      </w:r>
      <w:r w:rsidRPr="002C4D07">
        <w:rPr>
          <w:rFonts w:ascii="Simplified Arabic" w:eastAsia="Noto Sans Arabic" w:hAnsi="Simplified Arabic" w:cs="Simplified Arabic"/>
          <w:b/>
          <w:sz w:val="24"/>
          <w:szCs w:val="24"/>
        </w:rPr>
        <w:t xml:space="preserve"> </w:t>
      </w:r>
      <w:r w:rsidRPr="002C4D07">
        <w:rPr>
          <w:rFonts w:ascii="Simplified Arabic" w:eastAsia="Noto Sans Arabic" w:hAnsi="Simplified Arabic" w:cs="Simplified Arabic"/>
          <w:b/>
          <w:sz w:val="24"/>
          <w:szCs w:val="24"/>
        </w:rPr>
        <w:t>والدراسات</w:t>
      </w:r>
      <w:r w:rsidRPr="002C4D07">
        <w:rPr>
          <w:rFonts w:ascii="Simplified Arabic" w:eastAsia="Noto Sans Arabic" w:hAnsi="Simplified Arabic" w:cs="Simplified Arabic"/>
          <w:b/>
          <w:sz w:val="24"/>
          <w:szCs w:val="24"/>
        </w:rPr>
        <w:t xml:space="preserve"> </w:t>
      </w:r>
      <w:r w:rsidRPr="002C4D07">
        <w:rPr>
          <w:rFonts w:ascii="Simplified Arabic" w:eastAsia="Noto Sans Arabic" w:hAnsi="Simplified Arabic" w:cs="Simplified Arabic"/>
          <w:b/>
          <w:sz w:val="24"/>
          <w:szCs w:val="24"/>
        </w:rPr>
        <w:t>السابقة</w:t>
      </w:r>
    </w:p>
    <w:tbl>
      <w:tblPr>
        <w:tblStyle w:val="TableGrid"/>
        <w:tblW w:w="0" w:type="auto"/>
        <w:jc w:val="center"/>
        <w:tblLook w:val="04A0" w:firstRow="1" w:lastRow="0" w:firstColumn="1" w:lastColumn="0" w:noHBand="0" w:noVBand="1"/>
      </w:tblPr>
      <w:tblGrid>
        <w:gridCol w:w="6520"/>
        <w:gridCol w:w="2551"/>
      </w:tblGrid>
      <w:tr w:rsidR="002C4D07" w:rsidRPr="002C4D07" w14:paraId="75603DE2" w14:textId="77777777" w:rsidTr="00CB4B47">
        <w:trPr>
          <w:jc w:val="center"/>
        </w:trPr>
        <w:tc>
          <w:tcPr>
            <w:tcW w:w="6520" w:type="dxa"/>
          </w:tcPr>
          <w:p w14:paraId="4D124881" w14:textId="61DDB5A9"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علي الحارثي</w:t>
            </w:r>
          </w:p>
        </w:tc>
        <w:tc>
          <w:tcPr>
            <w:tcW w:w="2551" w:type="dxa"/>
            <w:shd w:val="clear" w:color="auto" w:fill="D9EAF7"/>
            <w:vAlign w:val="center"/>
          </w:tcPr>
          <w:p w14:paraId="51744AA3"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1F1F1F"/>
                <w:sz w:val="24"/>
                <w:szCs w:val="24"/>
              </w:rPr>
              <w:t>اسم الطالب</w:t>
            </w:r>
          </w:p>
        </w:tc>
      </w:tr>
      <w:tr w:rsidR="002C4D07" w:rsidRPr="002C4D07" w14:paraId="548A113E" w14:textId="77777777" w:rsidTr="00CB4B47">
        <w:trPr>
          <w:jc w:val="center"/>
        </w:trPr>
        <w:tc>
          <w:tcPr>
            <w:tcW w:w="6520" w:type="dxa"/>
          </w:tcPr>
          <w:p w14:paraId="0832EBCF" w14:textId="35B1EA50"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أثر استخدام تقنيات الذكاء الاصطناعي في قرارات التوظيف على تحقيق العدالة الوظيفية: دراسة تطبيقية في وزارة الموارد البشرية والتنمية الاجتماعية بالسعودية</w:t>
            </w:r>
          </w:p>
        </w:tc>
        <w:tc>
          <w:tcPr>
            <w:tcW w:w="2551" w:type="dxa"/>
            <w:shd w:val="clear" w:color="auto" w:fill="D9EAF7"/>
            <w:vAlign w:val="center"/>
          </w:tcPr>
          <w:p w14:paraId="248D1C79"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1F1F1F"/>
                <w:sz w:val="24"/>
                <w:szCs w:val="24"/>
              </w:rPr>
              <w:t>موضوع الرسالة</w:t>
            </w:r>
          </w:p>
        </w:tc>
      </w:tr>
      <w:tr w:rsidR="002C4D07" w:rsidRPr="002C4D07" w14:paraId="6861158D" w14:textId="77777777" w:rsidTr="00CB4B47">
        <w:trPr>
          <w:jc w:val="center"/>
        </w:trPr>
        <w:tc>
          <w:tcPr>
            <w:tcW w:w="6520" w:type="dxa"/>
          </w:tcPr>
          <w:p w14:paraId="4FC455B5" w14:textId="38248D5B"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مقارنة بين تقرير المراجعة السابق والنسخة الحالية للفصل الثاني</w:t>
            </w:r>
          </w:p>
        </w:tc>
        <w:tc>
          <w:tcPr>
            <w:tcW w:w="2551" w:type="dxa"/>
            <w:shd w:val="clear" w:color="auto" w:fill="D9EAF7"/>
            <w:vAlign w:val="center"/>
          </w:tcPr>
          <w:p w14:paraId="3A18E6F5"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1F1F1F"/>
                <w:sz w:val="24"/>
                <w:szCs w:val="24"/>
              </w:rPr>
              <w:t>نوع المراجعة</w:t>
            </w:r>
          </w:p>
        </w:tc>
      </w:tr>
      <w:tr w:rsidR="002C4D07" w:rsidRPr="002C4D07" w14:paraId="333CBCC0" w14:textId="77777777" w:rsidTr="00CB4B47">
        <w:trPr>
          <w:jc w:val="center"/>
        </w:trPr>
        <w:tc>
          <w:tcPr>
            <w:tcW w:w="6520" w:type="dxa"/>
          </w:tcPr>
          <w:p w14:paraId="6F84A62D" w14:textId="224D74E8"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مقبول مع تعديلات بسيطة</w:t>
            </w:r>
          </w:p>
        </w:tc>
        <w:tc>
          <w:tcPr>
            <w:tcW w:w="2551" w:type="dxa"/>
            <w:shd w:val="clear" w:color="auto" w:fill="D9EAF7"/>
            <w:vAlign w:val="center"/>
          </w:tcPr>
          <w:p w14:paraId="4EE7F206"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1F1F1F"/>
                <w:sz w:val="24"/>
                <w:szCs w:val="24"/>
              </w:rPr>
              <w:t>قرار المراجعة</w:t>
            </w:r>
          </w:p>
        </w:tc>
      </w:tr>
    </w:tbl>
    <w:p w14:paraId="3C21F328" w14:textId="77777777" w:rsidR="009F0E3A" w:rsidRPr="002C4D07" w:rsidRDefault="009F0E3A" w:rsidP="002C4D07">
      <w:pPr>
        <w:bidi/>
        <w:rPr>
          <w:rFonts w:ascii="Simplified Arabic" w:hAnsi="Simplified Arabic" w:cs="Simplified Arabic"/>
          <w:sz w:val="24"/>
          <w:szCs w:val="24"/>
        </w:rPr>
      </w:pPr>
    </w:p>
    <w:p w14:paraId="7D7A2476" w14:textId="77777777" w:rsidR="009F0E3A" w:rsidRPr="002C4D07" w:rsidRDefault="00E63AC9" w:rsidP="002C4D07">
      <w:pPr>
        <w:bidi/>
        <w:rPr>
          <w:rFonts w:ascii="Simplified Arabic" w:hAnsi="Simplified Arabic" w:cs="Simplified Arabic"/>
          <w:sz w:val="24"/>
          <w:szCs w:val="24"/>
        </w:rPr>
      </w:pPr>
      <w:r w:rsidRPr="002C4D07">
        <w:rPr>
          <w:rFonts w:ascii="Simplified Arabic" w:eastAsia="Noto Sans Arabic" w:hAnsi="Simplified Arabic" w:cs="Simplified Arabic"/>
          <w:b/>
          <w:color w:val="1F4E79"/>
          <w:sz w:val="24"/>
          <w:szCs w:val="24"/>
        </w:rPr>
        <w:t>أولًا</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التقدير</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العام</w:t>
      </w:r>
    </w:p>
    <w:p w14:paraId="12D60947" w14:textId="77777777" w:rsidR="002C4D07" w:rsidRPr="002C4D07" w:rsidRDefault="002C4D07" w:rsidP="002C4D07">
      <w:pPr>
        <w:bidi/>
        <w:jc w:val="both"/>
        <w:rPr>
          <w:rFonts w:ascii="Simplified Arabic" w:eastAsia="Noto Sans Arabic" w:hAnsi="Simplified Arabic" w:cs="Simplified Arabic"/>
          <w:b/>
          <w:color w:val="000000" w:themeColor="text1"/>
          <w:sz w:val="24"/>
          <w:szCs w:val="24"/>
        </w:rPr>
      </w:pPr>
      <w:r w:rsidRPr="002C4D07">
        <w:rPr>
          <w:rFonts w:ascii="Simplified Arabic" w:eastAsia="Noto Sans Arabic" w:hAnsi="Simplified Arabic" w:cs="Simplified Arabic"/>
          <w:b/>
          <w:color w:val="000000" w:themeColor="text1"/>
          <w:sz w:val="24"/>
          <w:szCs w:val="24"/>
          <w:rtl/>
        </w:rPr>
        <w:t>تُظهر النسخة الحالية تحسنًا جوهريًا مقارنة بالمراجعة السابقة؛ إذ أضيف تمهيد ومنهج مراجعة أدبيات وخريطة أوضح للفصل، كما جرى تعزيز التعريفات التشغيلية، وإضافة جداول لمتغيرات الدراسة وأبعادها ومصادر قياسها، وصياغة فجوة بحثية مرتبطة بالفرضيات. وبذلك تكون معظم الملاحظات الجوهرية السابقة قد عولجت، ولم يتبقَّ سوى نقاط محدودة تتعلق بتعميق التكامل النظري والتوليف المقارن النهائي.</w:t>
      </w:r>
    </w:p>
    <w:p w14:paraId="1175722F" w14:textId="0B568FC4" w:rsidR="009F0E3A" w:rsidRPr="002C4D07" w:rsidRDefault="00E63AC9" w:rsidP="002C4D07">
      <w:pPr>
        <w:bidi/>
        <w:rPr>
          <w:rFonts w:ascii="Simplified Arabic" w:hAnsi="Simplified Arabic" w:cs="Simplified Arabic"/>
          <w:sz w:val="24"/>
          <w:szCs w:val="24"/>
        </w:rPr>
      </w:pPr>
      <w:proofErr w:type="spellStart"/>
      <w:r w:rsidRPr="002C4D07">
        <w:rPr>
          <w:rFonts w:ascii="Simplified Arabic" w:eastAsia="Noto Sans Arabic" w:hAnsi="Simplified Arabic" w:cs="Simplified Arabic"/>
          <w:b/>
          <w:color w:val="1F4E79"/>
          <w:sz w:val="24"/>
          <w:szCs w:val="24"/>
        </w:rPr>
        <w:t>ثانيًا</w:t>
      </w:r>
      <w:proofErr w:type="spellEnd"/>
      <w:r w:rsidRPr="002C4D07">
        <w:rPr>
          <w:rFonts w:ascii="Simplified Arabic" w:eastAsia="Noto Sans Arabic" w:hAnsi="Simplified Arabic" w:cs="Simplified Arabic"/>
          <w:b/>
          <w:color w:val="1F4E79"/>
          <w:sz w:val="24"/>
          <w:szCs w:val="24"/>
        </w:rPr>
        <w:t xml:space="preserve">: </w:t>
      </w:r>
      <w:proofErr w:type="spellStart"/>
      <w:r w:rsidRPr="002C4D07">
        <w:rPr>
          <w:rFonts w:ascii="Simplified Arabic" w:eastAsia="Noto Sans Arabic" w:hAnsi="Simplified Arabic" w:cs="Simplified Arabic"/>
          <w:b/>
          <w:color w:val="1F4E79"/>
          <w:sz w:val="24"/>
          <w:szCs w:val="24"/>
        </w:rPr>
        <w:t>الملاحظات</w:t>
      </w:r>
      <w:proofErr w:type="spellEnd"/>
      <w:r w:rsidRPr="002C4D07">
        <w:rPr>
          <w:rFonts w:ascii="Simplified Arabic" w:eastAsia="Noto Sans Arabic" w:hAnsi="Simplified Arabic" w:cs="Simplified Arabic"/>
          <w:b/>
          <w:color w:val="1F4E79"/>
          <w:sz w:val="24"/>
          <w:szCs w:val="24"/>
        </w:rPr>
        <w:t xml:space="preserve"> </w:t>
      </w:r>
      <w:proofErr w:type="spellStart"/>
      <w:r w:rsidRPr="002C4D07">
        <w:rPr>
          <w:rFonts w:ascii="Simplified Arabic" w:eastAsia="Noto Sans Arabic" w:hAnsi="Simplified Arabic" w:cs="Simplified Arabic"/>
          <w:b/>
          <w:color w:val="1F4E79"/>
          <w:sz w:val="24"/>
          <w:szCs w:val="24"/>
        </w:rPr>
        <w:t>الجوهرية</w:t>
      </w:r>
      <w:proofErr w:type="spellEnd"/>
      <w:r w:rsidRPr="002C4D07">
        <w:rPr>
          <w:rFonts w:ascii="Simplified Arabic" w:eastAsia="Noto Sans Arabic" w:hAnsi="Simplified Arabic" w:cs="Simplified Arabic"/>
          <w:b/>
          <w:color w:val="1F4E79"/>
          <w:sz w:val="24"/>
          <w:szCs w:val="24"/>
        </w:rPr>
        <w:t xml:space="preserve"> </w:t>
      </w:r>
      <w:proofErr w:type="spellStart"/>
      <w:r w:rsidRPr="002C4D07">
        <w:rPr>
          <w:rFonts w:ascii="Simplified Arabic" w:eastAsia="Noto Sans Arabic" w:hAnsi="Simplified Arabic" w:cs="Simplified Arabic"/>
          <w:b/>
          <w:color w:val="1F4E79"/>
          <w:sz w:val="24"/>
          <w:szCs w:val="24"/>
        </w:rPr>
        <w:t>التي</w:t>
      </w:r>
      <w:proofErr w:type="spellEnd"/>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ما</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تزال</w:t>
      </w:r>
      <w:r w:rsidRPr="002C4D07">
        <w:rPr>
          <w:rFonts w:ascii="Simplified Arabic" w:eastAsia="Noto Sans Arabic" w:hAnsi="Simplified Arabic" w:cs="Simplified Arabic"/>
          <w:b/>
          <w:color w:val="1F4E79"/>
          <w:sz w:val="24"/>
          <w:szCs w:val="24"/>
        </w:rPr>
        <w:t xml:space="preserve"> </w:t>
      </w:r>
      <w:r w:rsidRPr="002C4D07">
        <w:rPr>
          <w:rFonts w:ascii="Simplified Arabic" w:eastAsia="Noto Sans Arabic" w:hAnsi="Simplified Arabic" w:cs="Simplified Arabic"/>
          <w:b/>
          <w:color w:val="1F4E79"/>
          <w:sz w:val="24"/>
          <w:szCs w:val="24"/>
        </w:rPr>
        <w:t>قائمة</w:t>
      </w:r>
    </w:p>
    <w:tbl>
      <w:tblPr>
        <w:tblStyle w:val="TableGrid"/>
        <w:bidiVisual/>
        <w:tblW w:w="0" w:type="auto"/>
        <w:jc w:val="center"/>
        <w:tblLook w:val="04A0" w:firstRow="1" w:lastRow="0" w:firstColumn="1" w:lastColumn="0" w:noHBand="0" w:noVBand="1"/>
      </w:tblPr>
      <w:tblGrid>
        <w:gridCol w:w="680"/>
        <w:gridCol w:w="3118"/>
        <w:gridCol w:w="5102"/>
      </w:tblGrid>
      <w:tr w:rsidR="009F0E3A" w:rsidRPr="002C4D07" w14:paraId="655D01C3" w14:textId="77777777" w:rsidTr="002C4D07">
        <w:trPr>
          <w:jc w:val="center"/>
        </w:trPr>
        <w:tc>
          <w:tcPr>
            <w:tcW w:w="680" w:type="dxa"/>
            <w:shd w:val="clear" w:color="auto" w:fill="4F81BD"/>
            <w:vAlign w:val="center"/>
          </w:tcPr>
          <w:p w14:paraId="61AA1DFC" w14:textId="77777777" w:rsidR="009F0E3A" w:rsidRPr="002C4D07" w:rsidRDefault="00E63AC9"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FFFFFF"/>
                <w:sz w:val="24"/>
                <w:szCs w:val="24"/>
              </w:rPr>
              <w:t>م</w:t>
            </w:r>
          </w:p>
        </w:tc>
        <w:tc>
          <w:tcPr>
            <w:tcW w:w="3118" w:type="dxa"/>
            <w:shd w:val="clear" w:color="auto" w:fill="4F81BD"/>
            <w:vAlign w:val="center"/>
          </w:tcPr>
          <w:p w14:paraId="564D2D21" w14:textId="77777777" w:rsidR="009F0E3A" w:rsidRPr="002C4D07" w:rsidRDefault="00E63AC9"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FFFFFF"/>
                <w:sz w:val="24"/>
                <w:szCs w:val="24"/>
              </w:rPr>
              <w:t>الملاحظة</w:t>
            </w:r>
            <w:r w:rsidRPr="002C4D07">
              <w:rPr>
                <w:rFonts w:ascii="Simplified Arabic" w:eastAsia="Noto Sans Arabic" w:hAnsi="Simplified Arabic" w:cs="Simplified Arabic"/>
                <w:b/>
                <w:color w:val="FFFFFF"/>
                <w:sz w:val="24"/>
                <w:szCs w:val="24"/>
              </w:rPr>
              <w:t xml:space="preserve"> </w:t>
            </w:r>
            <w:r w:rsidRPr="002C4D07">
              <w:rPr>
                <w:rFonts w:ascii="Simplified Arabic" w:eastAsia="Noto Sans Arabic" w:hAnsi="Simplified Arabic" w:cs="Simplified Arabic"/>
                <w:b/>
                <w:color w:val="FFFFFF"/>
                <w:sz w:val="24"/>
                <w:szCs w:val="24"/>
              </w:rPr>
              <w:t>الجوهرية</w:t>
            </w:r>
          </w:p>
        </w:tc>
        <w:tc>
          <w:tcPr>
            <w:tcW w:w="5102" w:type="dxa"/>
            <w:shd w:val="clear" w:color="auto" w:fill="4F81BD"/>
            <w:vAlign w:val="center"/>
          </w:tcPr>
          <w:p w14:paraId="69C929FF" w14:textId="77777777" w:rsidR="009F0E3A" w:rsidRPr="002C4D07" w:rsidRDefault="00E63AC9"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color w:val="FFFFFF"/>
                <w:sz w:val="24"/>
                <w:szCs w:val="24"/>
              </w:rPr>
              <w:t>الحكم</w:t>
            </w:r>
            <w:r w:rsidRPr="002C4D07">
              <w:rPr>
                <w:rFonts w:ascii="Simplified Arabic" w:eastAsia="Noto Sans Arabic" w:hAnsi="Simplified Arabic" w:cs="Simplified Arabic"/>
                <w:b/>
                <w:color w:val="FFFFFF"/>
                <w:sz w:val="24"/>
                <w:szCs w:val="24"/>
              </w:rPr>
              <w:t xml:space="preserve"> </w:t>
            </w:r>
            <w:r w:rsidRPr="002C4D07">
              <w:rPr>
                <w:rFonts w:ascii="Simplified Arabic" w:eastAsia="Noto Sans Arabic" w:hAnsi="Simplified Arabic" w:cs="Simplified Arabic"/>
                <w:b/>
                <w:color w:val="FFFFFF"/>
                <w:sz w:val="24"/>
                <w:szCs w:val="24"/>
              </w:rPr>
              <w:t>المختصر</w:t>
            </w:r>
          </w:p>
        </w:tc>
      </w:tr>
      <w:tr w:rsidR="002C4D07" w:rsidRPr="002C4D07" w14:paraId="6346C5D0" w14:textId="77777777" w:rsidTr="008C6484">
        <w:trPr>
          <w:jc w:val="center"/>
        </w:trPr>
        <w:tc>
          <w:tcPr>
            <w:tcW w:w="680" w:type="dxa"/>
            <w:vAlign w:val="center"/>
          </w:tcPr>
          <w:p w14:paraId="3C1985C9"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sz w:val="24"/>
                <w:szCs w:val="24"/>
              </w:rPr>
              <w:t>1</w:t>
            </w:r>
          </w:p>
        </w:tc>
        <w:tc>
          <w:tcPr>
            <w:tcW w:w="3118" w:type="dxa"/>
            <w:vAlign w:val="center"/>
          </w:tcPr>
          <w:p w14:paraId="3A2E31BB"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sz w:val="24"/>
                <w:szCs w:val="24"/>
              </w:rPr>
              <w:t>التكامل بين UTAUT ونظرية العدالة التنظيمية</w:t>
            </w:r>
          </w:p>
        </w:tc>
        <w:tc>
          <w:tcPr>
            <w:tcW w:w="5102" w:type="dxa"/>
          </w:tcPr>
          <w:p w14:paraId="1936B83D" w14:textId="776BFB15"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أصبح حضور النظريتين أوضح، إلا أن الفصل يحتاج إلى بيان أكثر مباشرة لكيفية انتقال التحليل من تبني التقنية واستخدامها إلى إدراك العدالة الوظيفية بأبعادها المختلفة، حتى يكتمل المنطق التفسيري للنموذج</w:t>
            </w:r>
            <w:r w:rsidRPr="002C4D07">
              <w:rPr>
                <w:rFonts w:ascii="Simplified Arabic" w:hAnsi="Simplified Arabic" w:cs="Simplified Arabic"/>
                <w:sz w:val="24"/>
                <w:szCs w:val="24"/>
              </w:rPr>
              <w:t>.</w:t>
            </w:r>
          </w:p>
        </w:tc>
      </w:tr>
      <w:tr w:rsidR="002C4D07" w:rsidRPr="002C4D07" w14:paraId="558D4CFE" w14:textId="77777777" w:rsidTr="008C6484">
        <w:trPr>
          <w:jc w:val="center"/>
        </w:trPr>
        <w:tc>
          <w:tcPr>
            <w:tcW w:w="680" w:type="dxa"/>
            <w:vAlign w:val="center"/>
          </w:tcPr>
          <w:p w14:paraId="2D1FAB9C"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sz w:val="24"/>
                <w:szCs w:val="24"/>
              </w:rPr>
              <w:t>2</w:t>
            </w:r>
          </w:p>
        </w:tc>
        <w:tc>
          <w:tcPr>
            <w:tcW w:w="3118" w:type="dxa"/>
            <w:vAlign w:val="center"/>
          </w:tcPr>
          <w:p w14:paraId="33073A7E"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sz w:val="24"/>
                <w:szCs w:val="24"/>
              </w:rPr>
              <w:t>التوليف المقارن للدراسات السابقة</w:t>
            </w:r>
          </w:p>
        </w:tc>
        <w:tc>
          <w:tcPr>
            <w:tcW w:w="5102" w:type="dxa"/>
          </w:tcPr>
          <w:p w14:paraId="375BBDCE" w14:textId="048C41E1"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يوجد تحسن في التصنيف والعرض، لكن ما يزال من المفيد تقوية التوليف النقدي داخل خاتمة كل محور، خصوصًا في ما يتصل بالتحيز الخوارزمي، وقابلية التفسير، وآثار الاستخدام الفعلي على العدالة المدركة</w:t>
            </w:r>
            <w:r w:rsidRPr="002C4D07">
              <w:rPr>
                <w:rFonts w:ascii="Simplified Arabic" w:hAnsi="Simplified Arabic" w:cs="Simplified Arabic"/>
                <w:sz w:val="24"/>
                <w:szCs w:val="24"/>
              </w:rPr>
              <w:t>.</w:t>
            </w:r>
          </w:p>
        </w:tc>
      </w:tr>
      <w:tr w:rsidR="002C4D07" w:rsidRPr="002C4D07" w14:paraId="79C57617" w14:textId="77777777" w:rsidTr="008C6484">
        <w:trPr>
          <w:jc w:val="center"/>
        </w:trPr>
        <w:tc>
          <w:tcPr>
            <w:tcW w:w="680" w:type="dxa"/>
            <w:vAlign w:val="center"/>
          </w:tcPr>
          <w:p w14:paraId="28CF9F37"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sz w:val="24"/>
                <w:szCs w:val="24"/>
              </w:rPr>
              <w:t>3</w:t>
            </w:r>
          </w:p>
        </w:tc>
        <w:tc>
          <w:tcPr>
            <w:tcW w:w="3118" w:type="dxa"/>
            <w:vAlign w:val="center"/>
          </w:tcPr>
          <w:p w14:paraId="401BCCE2"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sz w:val="24"/>
                <w:szCs w:val="24"/>
              </w:rPr>
              <w:t>تدعيم مبرر الحالة التطبيقية</w:t>
            </w:r>
          </w:p>
        </w:tc>
        <w:tc>
          <w:tcPr>
            <w:tcW w:w="5102" w:type="dxa"/>
          </w:tcPr>
          <w:p w14:paraId="058FD405" w14:textId="13C801EC"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الفجوة البحثية أصبحت أوضح، إلا أن الخاتمة ستغدو أقوى إذا أضيفت فقرة قصيرة تشرح بصورة أكثر صراحة لماذا تمثل وزارة الموارد البشرية والتنمية الاجتماعية حالة تفسيرية مهمة داخل السياق السعودي</w:t>
            </w:r>
            <w:r w:rsidRPr="002C4D07">
              <w:rPr>
                <w:rFonts w:ascii="Simplified Arabic" w:hAnsi="Simplified Arabic" w:cs="Simplified Arabic"/>
                <w:sz w:val="24"/>
                <w:szCs w:val="24"/>
              </w:rPr>
              <w:t>.</w:t>
            </w:r>
          </w:p>
        </w:tc>
      </w:tr>
      <w:tr w:rsidR="002C4D07" w:rsidRPr="002C4D07" w14:paraId="06E93DCF" w14:textId="77777777" w:rsidTr="008C6484">
        <w:trPr>
          <w:jc w:val="center"/>
        </w:trPr>
        <w:tc>
          <w:tcPr>
            <w:tcW w:w="680" w:type="dxa"/>
            <w:vAlign w:val="center"/>
          </w:tcPr>
          <w:p w14:paraId="27504BFD"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sz w:val="24"/>
                <w:szCs w:val="24"/>
              </w:rPr>
              <w:t>4</w:t>
            </w:r>
          </w:p>
        </w:tc>
        <w:tc>
          <w:tcPr>
            <w:tcW w:w="3118" w:type="dxa"/>
            <w:vAlign w:val="center"/>
          </w:tcPr>
          <w:p w14:paraId="4E7FF7A9" w14:textId="77777777" w:rsidR="002C4D07" w:rsidRPr="002C4D07" w:rsidRDefault="002C4D07" w:rsidP="002C4D07">
            <w:pPr>
              <w:bidi/>
              <w:jc w:val="center"/>
              <w:rPr>
                <w:rFonts w:ascii="Simplified Arabic" w:hAnsi="Simplified Arabic" w:cs="Simplified Arabic"/>
                <w:sz w:val="24"/>
                <w:szCs w:val="24"/>
              </w:rPr>
            </w:pPr>
            <w:r w:rsidRPr="002C4D07">
              <w:rPr>
                <w:rFonts w:ascii="Simplified Arabic" w:eastAsia="Noto Sans Arabic" w:hAnsi="Simplified Arabic" w:cs="Simplified Arabic"/>
                <w:b/>
                <w:sz w:val="24"/>
                <w:szCs w:val="24"/>
              </w:rPr>
              <w:t>التدقيق التحريري النهائي</w:t>
            </w:r>
          </w:p>
        </w:tc>
        <w:tc>
          <w:tcPr>
            <w:tcW w:w="5102" w:type="dxa"/>
          </w:tcPr>
          <w:p w14:paraId="1E4CE490" w14:textId="7AFE8283" w:rsidR="002C4D07" w:rsidRPr="002C4D07" w:rsidRDefault="002C4D07" w:rsidP="002C4D07">
            <w:pPr>
              <w:bidi/>
              <w:jc w:val="both"/>
              <w:rPr>
                <w:rFonts w:ascii="Simplified Arabic" w:hAnsi="Simplified Arabic" w:cs="Simplified Arabic"/>
                <w:sz w:val="24"/>
                <w:szCs w:val="24"/>
              </w:rPr>
            </w:pPr>
            <w:r w:rsidRPr="002C4D07">
              <w:rPr>
                <w:rFonts w:ascii="Simplified Arabic" w:hAnsi="Simplified Arabic" w:cs="Simplified Arabic"/>
                <w:sz w:val="24"/>
                <w:szCs w:val="24"/>
                <w:rtl/>
              </w:rPr>
              <w:t>الفصل جيد في مجمله، لكنه يستفيد من مراجعة نهائية محدودة لضبط الاقتصاد اللغوي وبعض مواضع التوثيق والعناوين الفرعية</w:t>
            </w:r>
            <w:r w:rsidRPr="002C4D07">
              <w:rPr>
                <w:rFonts w:ascii="Simplified Arabic" w:hAnsi="Simplified Arabic" w:cs="Simplified Arabic"/>
                <w:sz w:val="24"/>
                <w:szCs w:val="24"/>
              </w:rPr>
              <w:t>.</w:t>
            </w:r>
          </w:p>
        </w:tc>
      </w:tr>
    </w:tbl>
    <w:p w14:paraId="3CF4EB57" w14:textId="77777777" w:rsidR="009F0E3A" w:rsidRPr="002C4D07" w:rsidRDefault="009F0E3A" w:rsidP="002C4D07">
      <w:pPr>
        <w:bidi/>
        <w:rPr>
          <w:rFonts w:ascii="Simplified Arabic" w:hAnsi="Simplified Arabic" w:cs="Simplified Arabic"/>
          <w:sz w:val="24"/>
          <w:szCs w:val="24"/>
        </w:rPr>
      </w:pPr>
    </w:p>
    <w:p w14:paraId="2174CB9A" w14:textId="77777777" w:rsidR="002C4D07" w:rsidRPr="002C4D07" w:rsidRDefault="00E63AC9" w:rsidP="002C4D07">
      <w:pPr>
        <w:bidi/>
        <w:rPr>
          <w:rFonts w:ascii="Simplified Arabic" w:eastAsia="Noto Sans Arabic" w:hAnsi="Simplified Arabic" w:cs="Simplified Arabic"/>
          <w:b/>
          <w:color w:val="1F4E79"/>
          <w:sz w:val="24"/>
          <w:szCs w:val="24"/>
        </w:rPr>
      </w:pPr>
      <w:proofErr w:type="spellStart"/>
      <w:r w:rsidRPr="002C4D07">
        <w:rPr>
          <w:rFonts w:ascii="Simplified Arabic" w:eastAsia="Noto Sans Arabic" w:hAnsi="Simplified Arabic" w:cs="Simplified Arabic"/>
          <w:b/>
          <w:color w:val="1F4E79"/>
          <w:sz w:val="24"/>
          <w:szCs w:val="24"/>
        </w:rPr>
        <w:t>ثالثًا</w:t>
      </w:r>
      <w:proofErr w:type="spellEnd"/>
      <w:r w:rsidRPr="002C4D07">
        <w:rPr>
          <w:rFonts w:ascii="Simplified Arabic" w:eastAsia="Noto Sans Arabic" w:hAnsi="Simplified Arabic" w:cs="Simplified Arabic"/>
          <w:b/>
          <w:color w:val="1F4E79"/>
          <w:sz w:val="24"/>
          <w:szCs w:val="24"/>
        </w:rPr>
        <w:t xml:space="preserve">: </w:t>
      </w:r>
      <w:proofErr w:type="spellStart"/>
      <w:r w:rsidRPr="002C4D07">
        <w:rPr>
          <w:rFonts w:ascii="Simplified Arabic" w:eastAsia="Noto Sans Arabic" w:hAnsi="Simplified Arabic" w:cs="Simplified Arabic"/>
          <w:b/>
          <w:color w:val="1F4E79"/>
          <w:sz w:val="24"/>
          <w:szCs w:val="24"/>
        </w:rPr>
        <w:t>إرشادات</w:t>
      </w:r>
      <w:proofErr w:type="spellEnd"/>
      <w:r w:rsidRPr="002C4D07">
        <w:rPr>
          <w:rFonts w:ascii="Simplified Arabic" w:eastAsia="Noto Sans Arabic" w:hAnsi="Simplified Arabic" w:cs="Simplified Arabic"/>
          <w:b/>
          <w:color w:val="1F4E79"/>
          <w:sz w:val="24"/>
          <w:szCs w:val="24"/>
        </w:rPr>
        <w:t xml:space="preserve"> </w:t>
      </w:r>
      <w:proofErr w:type="spellStart"/>
      <w:r w:rsidRPr="002C4D07">
        <w:rPr>
          <w:rFonts w:ascii="Simplified Arabic" w:eastAsia="Noto Sans Arabic" w:hAnsi="Simplified Arabic" w:cs="Simplified Arabic"/>
          <w:b/>
          <w:color w:val="1F4E79"/>
          <w:sz w:val="24"/>
          <w:szCs w:val="24"/>
        </w:rPr>
        <w:t>الإغلاق</w:t>
      </w:r>
      <w:proofErr w:type="spellEnd"/>
    </w:p>
    <w:p w14:paraId="18B3A884" w14:textId="11A886C0" w:rsidR="002C4D07" w:rsidRPr="002C4D07" w:rsidRDefault="002C4D07" w:rsidP="002C4D07">
      <w:pPr>
        <w:pStyle w:val="ListParagraph"/>
        <w:numPr>
          <w:ilvl w:val="0"/>
          <w:numId w:val="11"/>
        </w:numPr>
        <w:bidi/>
        <w:spacing w:after="0"/>
        <w:rPr>
          <w:rFonts w:ascii="Simplified Arabic" w:eastAsia="Noto Sans Arabic" w:hAnsi="Simplified Arabic" w:cs="Simplified Arabic"/>
          <w:b/>
          <w:color w:val="000000" w:themeColor="text1"/>
          <w:sz w:val="24"/>
          <w:szCs w:val="24"/>
        </w:rPr>
      </w:pPr>
      <w:r w:rsidRPr="002C4D07">
        <w:rPr>
          <w:rFonts w:ascii="Simplified Arabic" w:eastAsia="Noto Sans Arabic" w:hAnsi="Simplified Arabic" w:cs="Simplified Arabic"/>
          <w:b/>
          <w:color w:val="000000" w:themeColor="text1"/>
          <w:sz w:val="24"/>
          <w:szCs w:val="24"/>
          <w:rtl/>
        </w:rPr>
        <w:t>إضافة فقرة تفسيرية مختصرة تربط بين تبني التقنية وإدراك العدالة المدركة وفق أبعادها الأربعة.</w:t>
      </w:r>
    </w:p>
    <w:p w14:paraId="3F549410" w14:textId="43A44EB2" w:rsidR="002C4D07" w:rsidRPr="002C4D07" w:rsidRDefault="002C4D07" w:rsidP="002C4D07">
      <w:pPr>
        <w:pStyle w:val="ListParagraph"/>
        <w:numPr>
          <w:ilvl w:val="0"/>
          <w:numId w:val="11"/>
        </w:numPr>
        <w:bidi/>
        <w:spacing w:after="0"/>
        <w:rPr>
          <w:rFonts w:ascii="Simplified Arabic" w:eastAsia="Noto Sans Arabic" w:hAnsi="Simplified Arabic" w:cs="Simplified Arabic"/>
          <w:b/>
          <w:color w:val="000000" w:themeColor="text1"/>
          <w:sz w:val="24"/>
          <w:szCs w:val="24"/>
        </w:rPr>
      </w:pPr>
      <w:r w:rsidRPr="002C4D07">
        <w:rPr>
          <w:rFonts w:ascii="Simplified Arabic" w:eastAsia="Noto Sans Arabic" w:hAnsi="Simplified Arabic" w:cs="Simplified Arabic"/>
          <w:b/>
          <w:color w:val="000000" w:themeColor="text1"/>
          <w:sz w:val="24"/>
          <w:szCs w:val="24"/>
          <w:rtl/>
        </w:rPr>
        <w:t xml:space="preserve">تعزيز التوليف الختامي للدراسات السابقة في محاور </w:t>
      </w:r>
      <w:r w:rsidRPr="002C4D07">
        <w:rPr>
          <w:rFonts w:ascii="Simplified Arabic" w:eastAsia="Noto Sans Arabic" w:hAnsi="Simplified Arabic" w:cs="Simplified Arabic"/>
          <w:b/>
          <w:color w:val="000000" w:themeColor="text1"/>
          <w:sz w:val="24"/>
          <w:szCs w:val="24"/>
        </w:rPr>
        <w:t>explainability</w:t>
      </w:r>
      <w:r w:rsidRPr="002C4D07">
        <w:rPr>
          <w:rFonts w:ascii="Simplified Arabic" w:eastAsia="Noto Sans Arabic" w:hAnsi="Simplified Arabic" w:cs="Simplified Arabic"/>
          <w:b/>
          <w:color w:val="000000" w:themeColor="text1"/>
          <w:sz w:val="24"/>
          <w:szCs w:val="24"/>
          <w:rtl/>
        </w:rPr>
        <w:t xml:space="preserve"> والتحيز الخوارزمي والعدالة في التوظيف الرقمي.</w:t>
      </w:r>
    </w:p>
    <w:p w14:paraId="6DFD04E6" w14:textId="77777777" w:rsidR="002C4D07" w:rsidRPr="002C4D07" w:rsidRDefault="002C4D07" w:rsidP="002C4D07">
      <w:pPr>
        <w:pStyle w:val="ListParagraph"/>
        <w:numPr>
          <w:ilvl w:val="0"/>
          <w:numId w:val="11"/>
        </w:numPr>
        <w:bidi/>
        <w:spacing w:after="0"/>
        <w:rPr>
          <w:rFonts w:ascii="Simplified Arabic" w:eastAsia="Noto Sans Arabic" w:hAnsi="Simplified Arabic" w:cs="Simplified Arabic"/>
          <w:b/>
          <w:color w:val="000000" w:themeColor="text1"/>
          <w:sz w:val="24"/>
          <w:szCs w:val="24"/>
        </w:rPr>
      </w:pPr>
      <w:r w:rsidRPr="002C4D07">
        <w:rPr>
          <w:rFonts w:ascii="Simplified Arabic" w:eastAsia="Noto Sans Arabic" w:hAnsi="Simplified Arabic" w:cs="Simplified Arabic"/>
          <w:b/>
          <w:color w:val="000000" w:themeColor="text1"/>
          <w:sz w:val="24"/>
          <w:szCs w:val="24"/>
          <w:rtl/>
        </w:rPr>
        <w:t>تدعيم خاتمة الفصل بفقرة تبرز القيمة التفسيرية للحالة التطبيقية المختارة.</w:t>
      </w:r>
    </w:p>
    <w:p w14:paraId="1AF54AD7" w14:textId="6F5A15A3" w:rsidR="002C4D07" w:rsidRPr="002C4D07" w:rsidRDefault="002C4D07" w:rsidP="002C4D07">
      <w:pPr>
        <w:pStyle w:val="ListParagraph"/>
        <w:numPr>
          <w:ilvl w:val="0"/>
          <w:numId w:val="11"/>
        </w:numPr>
        <w:bidi/>
        <w:spacing w:after="0"/>
        <w:rPr>
          <w:rFonts w:ascii="Simplified Arabic" w:eastAsia="Noto Sans Arabic" w:hAnsi="Simplified Arabic" w:cs="Simplified Arabic"/>
          <w:b/>
          <w:color w:val="000000" w:themeColor="text1"/>
          <w:sz w:val="24"/>
          <w:szCs w:val="24"/>
        </w:rPr>
      </w:pPr>
      <w:r w:rsidRPr="002C4D07">
        <w:rPr>
          <w:rFonts w:ascii="Simplified Arabic" w:hAnsi="Simplified Arabic" w:cs="Simplified Arabic"/>
          <w:color w:val="000000" w:themeColor="text1"/>
          <w:sz w:val="24"/>
          <w:szCs w:val="24"/>
          <w:rtl/>
        </w:rPr>
        <w:t>إجراء تدقيق نهائي محدود للغة والتوثيق.</w:t>
      </w:r>
    </w:p>
    <w:p w14:paraId="291055D9" w14:textId="77777777" w:rsidR="002C4D07" w:rsidRPr="002C4D07" w:rsidRDefault="002C4D07" w:rsidP="002C4D07">
      <w:pPr>
        <w:bidi/>
        <w:rPr>
          <w:rFonts w:ascii="Simplified Arabic" w:eastAsia="Noto Sans Arabic" w:hAnsi="Simplified Arabic" w:cs="Simplified Arabic"/>
          <w:b/>
          <w:color w:val="1F4E79"/>
          <w:sz w:val="24"/>
          <w:szCs w:val="24"/>
        </w:rPr>
      </w:pPr>
    </w:p>
    <w:p w14:paraId="376F7611" w14:textId="1EB1E0F8" w:rsidR="009F0E3A" w:rsidRPr="002C4D07" w:rsidRDefault="00E63AC9" w:rsidP="002C4D07">
      <w:pPr>
        <w:bidi/>
        <w:rPr>
          <w:rFonts w:ascii="Simplified Arabic" w:hAnsi="Simplified Arabic" w:cs="Simplified Arabic"/>
          <w:sz w:val="24"/>
          <w:szCs w:val="24"/>
        </w:rPr>
      </w:pPr>
      <w:proofErr w:type="spellStart"/>
      <w:r w:rsidRPr="002C4D07">
        <w:rPr>
          <w:rFonts w:ascii="Simplified Arabic" w:eastAsia="Noto Sans Arabic" w:hAnsi="Simplified Arabic" w:cs="Simplified Arabic"/>
          <w:b/>
          <w:color w:val="1F4E79"/>
          <w:sz w:val="24"/>
          <w:szCs w:val="24"/>
        </w:rPr>
        <w:t>رابعًا</w:t>
      </w:r>
      <w:proofErr w:type="spellEnd"/>
      <w:r w:rsidRPr="002C4D07">
        <w:rPr>
          <w:rFonts w:ascii="Simplified Arabic" w:eastAsia="Noto Sans Arabic" w:hAnsi="Simplified Arabic" w:cs="Simplified Arabic"/>
          <w:b/>
          <w:color w:val="1F4E79"/>
          <w:sz w:val="24"/>
          <w:szCs w:val="24"/>
        </w:rPr>
        <w:t xml:space="preserve">: </w:t>
      </w:r>
      <w:proofErr w:type="spellStart"/>
      <w:r w:rsidRPr="002C4D07">
        <w:rPr>
          <w:rFonts w:ascii="Simplified Arabic" w:eastAsia="Noto Sans Arabic" w:hAnsi="Simplified Arabic" w:cs="Simplified Arabic"/>
          <w:b/>
          <w:color w:val="1F4E79"/>
          <w:sz w:val="24"/>
          <w:szCs w:val="24"/>
        </w:rPr>
        <w:t>الخلاصة</w:t>
      </w:r>
      <w:proofErr w:type="spellEnd"/>
      <w:r w:rsidRPr="002C4D07">
        <w:rPr>
          <w:rFonts w:ascii="Simplified Arabic" w:eastAsia="Noto Sans Arabic" w:hAnsi="Simplified Arabic" w:cs="Simplified Arabic"/>
          <w:b/>
          <w:color w:val="1F4E79"/>
          <w:sz w:val="24"/>
          <w:szCs w:val="24"/>
        </w:rPr>
        <w:t xml:space="preserve"> </w:t>
      </w:r>
      <w:proofErr w:type="spellStart"/>
      <w:r w:rsidRPr="002C4D07">
        <w:rPr>
          <w:rFonts w:ascii="Simplified Arabic" w:eastAsia="Noto Sans Arabic" w:hAnsi="Simplified Arabic" w:cs="Simplified Arabic"/>
          <w:b/>
          <w:color w:val="1F4E79"/>
          <w:sz w:val="24"/>
          <w:szCs w:val="24"/>
        </w:rPr>
        <w:t>التقويمية</w:t>
      </w:r>
      <w:proofErr w:type="spellEnd"/>
    </w:p>
    <w:p w14:paraId="29D18B0A" w14:textId="77777777" w:rsidR="002C4D07" w:rsidRPr="002C4D07" w:rsidRDefault="002C4D07" w:rsidP="002C4D07">
      <w:pPr>
        <w:bidi/>
        <w:jc w:val="both"/>
        <w:rPr>
          <w:rFonts w:ascii="Simplified Arabic" w:eastAsia="Noto Sans Arabic" w:hAnsi="Simplified Arabic" w:cs="Simplified Arabic"/>
          <w:b/>
          <w:sz w:val="24"/>
          <w:szCs w:val="24"/>
        </w:rPr>
      </w:pPr>
      <w:r w:rsidRPr="002C4D07">
        <w:rPr>
          <w:rFonts w:ascii="Simplified Arabic" w:eastAsia="Noto Sans Arabic" w:hAnsi="Simplified Arabic" w:cs="Simplified Arabic"/>
          <w:b/>
          <w:sz w:val="24"/>
          <w:szCs w:val="24"/>
          <w:rtl/>
        </w:rPr>
        <w:t>بناءً على المقارنة بين التقرير السابق والنسخة الحالية، يتبين أن الطالب نجح في إغلاق معظم الملاحظات الجوهرية، وأن ما تبقى يندرج ضمن التحسينات المحدودة التي لا تمس سلامة البناء العام للفصل. وعليه، أوصي باعتماد الفصل بعد استكمال التعديلات البسيطة المشار إليها.</w:t>
      </w:r>
    </w:p>
    <w:p w14:paraId="117135E4" w14:textId="050B9EA3" w:rsidR="009F0E3A" w:rsidRPr="002C4D07" w:rsidRDefault="00E63AC9" w:rsidP="002C4D07">
      <w:pPr>
        <w:bidi/>
        <w:jc w:val="center"/>
        <w:rPr>
          <w:rFonts w:ascii="Simplified Arabic" w:hAnsi="Simplified Arabic" w:cs="Simplified Arabic"/>
          <w:sz w:val="24"/>
          <w:szCs w:val="24"/>
        </w:rPr>
      </w:pPr>
      <w:proofErr w:type="spellStart"/>
      <w:r w:rsidRPr="002C4D07">
        <w:rPr>
          <w:rFonts w:ascii="Simplified Arabic" w:eastAsia="Noto Sans Arabic" w:hAnsi="Simplified Arabic" w:cs="Simplified Arabic"/>
          <w:b/>
          <w:sz w:val="24"/>
          <w:szCs w:val="24"/>
        </w:rPr>
        <w:t>انتهى</w:t>
      </w:r>
      <w:proofErr w:type="spellEnd"/>
      <w:r w:rsidRPr="002C4D07">
        <w:rPr>
          <w:rFonts w:ascii="Simplified Arabic" w:eastAsia="Noto Sans Arabic" w:hAnsi="Simplified Arabic" w:cs="Simplified Arabic"/>
          <w:b/>
          <w:sz w:val="24"/>
          <w:szCs w:val="24"/>
        </w:rPr>
        <w:t xml:space="preserve"> </w:t>
      </w:r>
      <w:proofErr w:type="spellStart"/>
      <w:r w:rsidRPr="002C4D07">
        <w:rPr>
          <w:rFonts w:ascii="Simplified Arabic" w:eastAsia="Noto Sans Arabic" w:hAnsi="Simplified Arabic" w:cs="Simplified Arabic"/>
          <w:b/>
          <w:sz w:val="24"/>
          <w:szCs w:val="24"/>
        </w:rPr>
        <w:t>التقرير</w:t>
      </w:r>
      <w:proofErr w:type="spellEnd"/>
    </w:p>
    <w:sectPr w:rsidR="009F0E3A" w:rsidRPr="002C4D07" w:rsidSect="00034616">
      <w:pgSz w:w="12240" w:h="15840"/>
      <w:pgMar w:top="1247"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Noto Sans Arabic">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ACE2358"/>
    <w:multiLevelType w:val="hybridMultilevel"/>
    <w:tmpl w:val="2E8AAC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75F691D"/>
    <w:multiLevelType w:val="hybridMultilevel"/>
    <w:tmpl w:val="667AD81E"/>
    <w:lvl w:ilvl="0" w:tplc="20523F4A">
      <w:numFmt w:val="bullet"/>
      <w:lvlText w:val="•"/>
      <w:lvlJc w:val="left"/>
      <w:pPr>
        <w:ind w:left="1080" w:hanging="720"/>
      </w:pPr>
      <w:rPr>
        <w:rFonts w:ascii="Simplified Arabic" w:eastAsia="Noto Sans Arabic"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045439">
    <w:abstractNumId w:val="8"/>
  </w:num>
  <w:num w:numId="2" w16cid:durableId="743332735">
    <w:abstractNumId w:val="6"/>
  </w:num>
  <w:num w:numId="3" w16cid:durableId="467282164">
    <w:abstractNumId w:val="5"/>
  </w:num>
  <w:num w:numId="4" w16cid:durableId="803544803">
    <w:abstractNumId w:val="4"/>
  </w:num>
  <w:num w:numId="5" w16cid:durableId="1946496063">
    <w:abstractNumId w:val="7"/>
  </w:num>
  <w:num w:numId="6" w16cid:durableId="1219783500">
    <w:abstractNumId w:val="3"/>
  </w:num>
  <w:num w:numId="7" w16cid:durableId="418479105">
    <w:abstractNumId w:val="2"/>
  </w:num>
  <w:num w:numId="8" w16cid:durableId="974990253">
    <w:abstractNumId w:val="1"/>
  </w:num>
  <w:num w:numId="9" w16cid:durableId="1723941615">
    <w:abstractNumId w:val="0"/>
  </w:num>
  <w:num w:numId="10" w16cid:durableId="77405235">
    <w:abstractNumId w:val="10"/>
  </w:num>
  <w:num w:numId="11" w16cid:durableId="2362145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zNrcwMbSwtDQwsDRV0lEKTi0uzszPAykwrAUArtdx/iwAAAA="/>
  </w:docVars>
  <w:rsids>
    <w:rsidRoot w:val="00B47730"/>
    <w:rsid w:val="00034616"/>
    <w:rsid w:val="0006063C"/>
    <w:rsid w:val="0015074B"/>
    <w:rsid w:val="0029639D"/>
    <w:rsid w:val="002C4D07"/>
    <w:rsid w:val="00326F90"/>
    <w:rsid w:val="00512FF3"/>
    <w:rsid w:val="00980FA2"/>
    <w:rsid w:val="009F0E3A"/>
    <w:rsid w:val="00AA1D8D"/>
    <w:rsid w:val="00B47730"/>
    <w:rsid w:val="00CB0664"/>
    <w:rsid w:val="00E63AC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B4DD2D"/>
  <w14:defaultImageDpi w14:val="300"/>
  <w15:docId w15:val="{A1719343-57E7-4BA7-BFBB-C4A98F1CC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348</Words>
  <Characters>1969</Characters>
  <Application>Microsoft Office Word</Application>
  <DocSecurity>0</DocSecurity>
  <Lines>61</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3</cp:revision>
  <dcterms:created xsi:type="dcterms:W3CDTF">2026-04-02T21:13:00Z</dcterms:created>
  <dcterms:modified xsi:type="dcterms:W3CDTF">2026-04-02T21:14:00Z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98a58df0-023c-446d-9305-985c88b6e39e</vt:lpwstr>
  </property>
</Properties>
</file>