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D4F73" w14:textId="77777777" w:rsidR="00C84B4A" w:rsidRDefault="00C84B4A" w:rsidP="00C84B4A">
      <w:pPr>
        <w:bidi/>
        <w:jc w:val="mediumKashida"/>
        <w:rPr>
          <w:rFonts w:ascii="Sakkal Majalla" w:hAnsi="Sakkal Majalla" w:cs="Sakkal Majalla"/>
          <w:rtl/>
        </w:rPr>
      </w:pPr>
    </w:p>
    <w:p w14:paraId="4D64A161" w14:textId="77777777" w:rsidR="00C84B4A" w:rsidRDefault="00C84B4A" w:rsidP="00C84B4A">
      <w:pPr>
        <w:bidi/>
        <w:jc w:val="mediumKashida"/>
        <w:rPr>
          <w:rFonts w:ascii="Sakkal Majalla" w:hAnsi="Sakkal Majalla" w:cs="Sakkal Majalla"/>
          <w:rtl/>
        </w:rPr>
      </w:pPr>
    </w:p>
    <w:p w14:paraId="34155F9C" w14:textId="77777777" w:rsidR="00C84B4A" w:rsidRPr="00C84B4A" w:rsidRDefault="00C84B4A" w:rsidP="00C84B4A">
      <w:pPr>
        <w:bidi/>
        <w:jc w:val="mediumKashida"/>
        <w:rPr>
          <w:rFonts w:ascii="Sakkal Majalla" w:hAnsi="Sakkal Majalla" w:cs="Sakkal Majalla"/>
          <w:rtl/>
        </w:rPr>
      </w:pPr>
    </w:p>
    <w:p w14:paraId="526CE6CA" w14:textId="66999AF9" w:rsidR="000A6451" w:rsidRPr="009F7316" w:rsidRDefault="006D64CD" w:rsidP="00EC1224">
      <w:pPr>
        <w:bidi/>
        <w:spacing w:before="2400"/>
        <w:jc w:val="center"/>
        <w:rPr>
          <w:rFonts w:ascii="Fairwater Script" w:hAnsi="Fairwater Script" w:cs="Sakkal Majalla"/>
          <w:sz w:val="72"/>
          <w:szCs w:val="72"/>
        </w:rPr>
      </w:pPr>
      <w:r w:rsidRPr="009F7316">
        <w:rPr>
          <w:rFonts w:ascii="Fairwater Script" w:eastAsia="Simplified Arabic" w:hAnsi="Fairwater Script" w:cs="Sakkal Majalla"/>
          <w:b/>
          <w:bCs/>
          <w:color w:val="1F4E79"/>
          <w:sz w:val="72"/>
          <w:szCs w:val="72"/>
          <w:rtl/>
        </w:rPr>
        <w:t>الفصل الأول</w:t>
      </w:r>
    </w:p>
    <w:p w14:paraId="36DEAA13" w14:textId="07497FD5" w:rsidR="000A6451" w:rsidRPr="009F7316" w:rsidRDefault="009F7316" w:rsidP="009F7316">
      <w:pPr>
        <w:bidi/>
        <w:jc w:val="center"/>
        <w:rPr>
          <w:rFonts w:ascii="Fairwater Script" w:hAnsi="Fairwater Script" w:cs="Sakkal Majalla"/>
          <w:sz w:val="72"/>
          <w:szCs w:val="72"/>
          <w:lang w:bidi="ar-YE"/>
        </w:rPr>
      </w:pPr>
      <w:proofErr w:type="gramStart"/>
      <w:r>
        <w:rPr>
          <w:rFonts w:ascii="Fairwater Script" w:eastAsia="Simplified Arabic" w:hAnsi="Fairwater Script" w:cs="Sakkal Majalla" w:hint="cs"/>
          <w:b/>
          <w:bCs/>
          <w:color w:val="1F4E79"/>
          <w:sz w:val="72"/>
          <w:szCs w:val="72"/>
          <w:rtl/>
        </w:rPr>
        <w:t>الاطار</w:t>
      </w:r>
      <w:proofErr w:type="gramEnd"/>
      <w:r w:rsidR="006D64CD" w:rsidRPr="009F7316">
        <w:rPr>
          <w:rFonts w:ascii="Fairwater Script" w:eastAsia="Simplified Arabic" w:hAnsi="Fairwater Script" w:cs="Sakkal Majalla"/>
          <w:b/>
          <w:bCs/>
          <w:color w:val="1F4E79"/>
          <w:sz w:val="72"/>
          <w:szCs w:val="72"/>
          <w:rtl/>
        </w:rPr>
        <w:t xml:space="preserve"> العام </w:t>
      </w:r>
      <w:r>
        <w:rPr>
          <w:rFonts w:ascii="Fairwater Script" w:eastAsia="Simplified Arabic" w:hAnsi="Fairwater Script" w:cs="Sakkal Majalla" w:hint="cs"/>
          <w:b/>
          <w:bCs/>
          <w:color w:val="1F4E79"/>
          <w:sz w:val="72"/>
          <w:szCs w:val="72"/>
          <w:rtl/>
        </w:rPr>
        <w:t>للدراسة</w:t>
      </w:r>
    </w:p>
    <w:p w14:paraId="172F7AD0" w14:textId="77777777" w:rsidR="000A6451" w:rsidRPr="00C53259" w:rsidRDefault="006D64CD" w:rsidP="009F7316">
      <w:pPr>
        <w:bidi/>
        <w:jc w:val="center"/>
        <w:rPr>
          <w:rFonts w:ascii="Sakkal Majalla" w:hAnsi="Sakkal Majalla" w:cs="Sakkal Majalla"/>
        </w:rPr>
      </w:pPr>
      <w:r w:rsidRPr="009F7316">
        <w:rPr>
          <w:rFonts w:ascii="Fairwater Script" w:hAnsi="Fairwater Script" w:cs="Sakkal Majalla"/>
          <w:sz w:val="72"/>
          <w:szCs w:val="72"/>
        </w:rPr>
        <w:br/>
      </w:r>
      <w:r w:rsidRPr="00C53259">
        <w:rPr>
          <w:rFonts w:ascii="Sakkal Majalla" w:hAnsi="Sakkal Majalla" w:cs="Sakkal Majalla"/>
        </w:rPr>
        <w:br w:type="page"/>
      </w:r>
    </w:p>
    <w:p w14:paraId="13874439" w14:textId="77777777" w:rsidR="000A6451" w:rsidRPr="009F7316" w:rsidRDefault="006D64CD" w:rsidP="006D64CD">
      <w:pPr>
        <w:pStyle w:val="21"/>
        <w:bidi/>
        <w:spacing w:before="240" w:after="160" w:line="360" w:lineRule="auto"/>
        <w:jc w:val="mediumKashida"/>
        <w:rPr>
          <w:rFonts w:ascii="Sakkal Majalla" w:hAnsi="Sakkal Majalla" w:cs="Sakkal Majalla"/>
        </w:rPr>
      </w:pPr>
      <w:r w:rsidRPr="009F7316">
        <w:rPr>
          <w:rFonts w:ascii="Sakkal Majalla" w:eastAsia="Simplified Arabic" w:hAnsi="Sakkal Majalla" w:cs="Sakkal Majalla"/>
          <w:szCs w:val="32"/>
          <w:rtl/>
        </w:rPr>
        <w:lastRenderedPageBreak/>
        <w:t>المقدمة</w:t>
      </w:r>
    </w:p>
    <w:p w14:paraId="090E53BD" w14:textId="752FCDF1" w:rsidR="000A6451" w:rsidRPr="007A51FD" w:rsidRDefault="006D64CD" w:rsidP="009F7316">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تمثل رؤية المملكة العربية السعودية 2030 نقلة تحويلية شاملة في مسار التنمية الوطنية، إذ تستهدف بناء اقتصاد مزدهر ومجتمع حيوي ووطن طموح. ويحتل القطاع الصحي في هذه الرؤية موقعًا محوريًا باعتباره ركيزة أساسية لتحقيق التنمية المستدامة ورفاهية المجتمع، وقد أولت الرؤية اهتمامًا استثنائيًا بتطوير منظومة صحية متكاملة وفعّالة قائمة على الجودة والكفاءة والابتكار، تتماشى مع أفضل المعايير العالمية. ويتجسد هذا الاهتمام في برنامج التحول الوطني وبرنامج التحول الصحي الذي يستهدف إعادة هيكلة القطاع الصحي بالكامل، وتعزيز الرعاية الصحية الوقائية، ورفع كفاءة الإنفاق الصحي، وتحسين تجربة المريض. غير أن تحقيق هذه الطموحات يرتكز بشكل جوهري على عنصر حاسم هو الموارد البشرية الصحية المؤهلة والمتحفزة والقادرة على قيادة عملية التحول وتقديم خدمات صحية متميزة تلبي تطلعات المجتمع السعودي</w:t>
      </w:r>
      <w:r w:rsidR="009F7316">
        <w:rPr>
          <w:rFonts w:ascii="Sakkal Majalla" w:eastAsia="Simplified Arabic" w:hAnsi="Sakkal Majalla" w:cs="Sakkal Majalla" w:hint="cs"/>
          <w:sz w:val="30"/>
          <w:szCs w:val="30"/>
          <w:rtl/>
        </w:rPr>
        <w:t xml:space="preserve"> </w:t>
      </w:r>
      <w:r w:rsidRPr="007A51FD">
        <w:rPr>
          <w:rFonts w:ascii="Sakkal Majalla" w:eastAsia="Simplified Arabic" w:hAnsi="Sakkal Majalla" w:cs="Sakkal Majalla"/>
          <w:sz w:val="30"/>
          <w:szCs w:val="30"/>
          <w:rtl/>
        </w:rPr>
        <w:t>تواجه المملكة العربية السعودية اليوم تحديات صحية متعددة الأبعاد، تتراوح بين التحول الديموغرافي الذي يشهد زيادة في نسبة كبار السن، وارتفاع معدلات الأمراض المزمنة كالسكري وأمراض القلب والسمنة، وصولًا إلى التوسع الجغرافي الكبير الذي يتطلب تغطية صحية شاملة في مناطق متباعدة. وقد أظهرت جائحة كوفيد-19 بشكل جليّ أهمية الاستعداد والمرونة في المنظومة الصحية، كما كشفت عن الضغوط الهائلة التي يتعرض لها الكادر الصحي في أوقات الأزمات. وفي ظل هذه التحديات المتشابكة، يبرز الاستثمار في رأس المال البشري الصحي كأولوية استراتيجية لا يمكن تأجيلها، إذ إن العاملين الصحيين من أطباء وممرضين وفنيين وإداريين يمثلون العمود الفقري للقطاع الصحي، ولا يمكن لأي تطور تقني أو بنية تحتية متطورة أن تحقق أهدافها بمعزل عن كادر بشري متمكن ومستقر ومتفانٍ في عمله (وزارة الصحة، 2022).</w:t>
      </w:r>
    </w:p>
    <w:p w14:paraId="05AF34B5"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إلا أن الواقع الميداني يشير إلى وجود تهديد صامت يتفاقم تدريجيًا ويهدد استدامة الموارد البشرية الصحية في المملكة، ألا وهو ظاهرة الاحتراق الوظيفي (</w:t>
      </w:r>
      <w:proofErr w:type="spellStart"/>
      <w:r w:rsidRPr="007A51FD">
        <w:rPr>
          <w:rFonts w:ascii="Sakkal Majalla" w:eastAsia="Simplified Arabic" w:hAnsi="Sakkal Majalla" w:cs="Sakkal Majalla"/>
          <w:sz w:val="30"/>
          <w:szCs w:val="30"/>
          <w:rtl/>
        </w:rPr>
        <w:t>Burnout</w:t>
      </w:r>
      <w:proofErr w:type="spellEnd"/>
      <w:r w:rsidRPr="007A51FD">
        <w:rPr>
          <w:rFonts w:ascii="Sakkal Majalla" w:eastAsia="Simplified Arabic" w:hAnsi="Sakkal Majalla" w:cs="Sakkal Majalla"/>
          <w:sz w:val="30"/>
          <w:szCs w:val="30"/>
          <w:rtl/>
        </w:rPr>
        <w:t>). هذه الظاهرة النفسية والجسدية، التي تنشأ عن التعرض المطول للضغوط المهنية الشديدة، والتي تتجلى في الإنهاك العاطفي وتبلد المشاعر تجاه العمل والمرضى وتدني الشعور بالإنجاز الشخصي، باتت تمثل قضية ملحّة تستدعي الاهتمام العاجل من صناع القرار والباحثين والممارسين على حد سواء. ولعل القطاع الصحي السعودي، شأنه شأن نظرائه العالميين، يوفر بيئة خصبة لنمو هذه الظاهرة نظرًا لطبيعة العمل الصحي التي تتسم بالمسؤولية الجسيمة تجاه حياة الآخرين، والتعرض المستمر للمعاناة الإنسانية، وساعات العمل الطويلة وغير المنتظمة، والضغوط الناجمة عن محدودية الموارد في بعض المناطق، فضلًا عن التوقعات المجتمعية العالية والتحديات الخاصة بفترة التحول والإصلاح الجذري الذي يشهده القطاع حاليًا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Leiter</w:t>
      </w:r>
      <w:proofErr w:type="spellEnd"/>
      <w:r w:rsidRPr="007A51FD">
        <w:rPr>
          <w:rFonts w:ascii="Sakkal Majalla" w:eastAsia="Simplified Arabic" w:hAnsi="Sakkal Majalla" w:cs="Sakkal Majalla"/>
          <w:sz w:val="30"/>
          <w:szCs w:val="30"/>
          <w:rtl/>
        </w:rPr>
        <w:t>, 2016).</w:t>
      </w:r>
    </w:p>
    <w:p w14:paraId="7E969B4F" w14:textId="45FC848C" w:rsidR="000A6451" w:rsidRPr="007A51FD" w:rsidRDefault="006D64CD" w:rsidP="009F7316">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تشير الدراسات العالمية إلى أن معدلات الاحتراق الوظيفي بين الكوادر الصحية تتراوح بين مستويات مرتفعة، حيث بينت دراسات منظمة الصحة العالمية أن نسبةً كبيرة من العاملين في المجال الصحي يُظهرون أعراضًا واضحة للإنهاك العاطفي، وقد تصنّف منظمة الصحة العالمية الاحتراق الوظيفي ضمن التصنيف الدولي للأمراض (ICD-11) كظاهرة مهنية ذات تأثيرات صحية محددة (</w:t>
      </w:r>
      <w:proofErr w:type="spellStart"/>
      <w:r w:rsidRPr="007A51FD">
        <w:rPr>
          <w:rFonts w:ascii="Sakkal Majalla" w:eastAsia="Simplified Arabic" w:hAnsi="Sakkal Majalla" w:cs="Sakkal Majalla"/>
          <w:sz w:val="30"/>
          <w:szCs w:val="30"/>
          <w:rtl/>
        </w:rPr>
        <w:t>World</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Health</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Organization</w:t>
      </w:r>
      <w:proofErr w:type="spellEnd"/>
      <w:r w:rsidRPr="007A51FD">
        <w:rPr>
          <w:rFonts w:ascii="Sakkal Majalla" w:eastAsia="Simplified Arabic" w:hAnsi="Sakkal Majalla" w:cs="Sakkal Majalla"/>
          <w:sz w:val="30"/>
          <w:szCs w:val="30"/>
          <w:rtl/>
        </w:rPr>
        <w:t xml:space="preserve">, 2019). وتمتد تداعيات الاحتراق الوظيفي إلى ما هو أبعد من الأبعاد الفردية لتشمل تأثيرات سلبية على المستوى التنظيمي والوطني. فعلى المستوى الفردي، يعاني العاملون المصابون بالاحتراق من مشكلات صحية جسدية ونفسية خطيرة تشمل الاكتئاب والقلق واضطرابات النوم والأمراض القلبية. وعلى المستوى التنظيمي، يترجم الاحتراق إلى ارتفاع معدلات الغياب والتسرب الوظيفي، وتراجع الإنتاجية، وزيادة احتمالية الأخطاء الطبية، وانخفاض جودة الرعاية المقدمة </w:t>
      </w:r>
      <w:r w:rsidRPr="007A51FD">
        <w:rPr>
          <w:rFonts w:ascii="Sakkal Majalla" w:eastAsia="Simplified Arabic" w:hAnsi="Sakkal Majalla" w:cs="Sakkal Majalla"/>
          <w:sz w:val="30"/>
          <w:szCs w:val="30"/>
          <w:rtl/>
        </w:rPr>
        <w:lastRenderedPageBreak/>
        <w:t>للمرضى. وعلى المستوى الوطني، يساهم في تفاقم أزمة النقص في الكوادر الصحية السعودية، ويهدد جهود السعودة، ويعرقل تحقيق أهداف التحول الصحي الطموحة (</w:t>
      </w:r>
      <w:proofErr w:type="spellStart"/>
      <w:r w:rsidRPr="007A51FD">
        <w:rPr>
          <w:rFonts w:ascii="Sakkal Majalla" w:eastAsia="Simplified Arabic" w:hAnsi="Sakkal Majalla" w:cs="Sakkal Majalla"/>
          <w:sz w:val="30"/>
          <w:szCs w:val="30"/>
          <w:rtl/>
        </w:rPr>
        <w:t>Shanafelt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2019</w:t>
      </w:r>
      <w:proofErr w:type="gramStart"/>
      <w:r w:rsidRPr="007A51FD">
        <w:rPr>
          <w:rFonts w:ascii="Sakkal Majalla" w:eastAsia="Simplified Arabic" w:hAnsi="Sakkal Majalla" w:cs="Sakkal Majalla"/>
          <w:sz w:val="30"/>
          <w:szCs w:val="30"/>
          <w:rtl/>
        </w:rPr>
        <w:t>).في</w:t>
      </w:r>
      <w:proofErr w:type="gramEnd"/>
      <w:r w:rsidRPr="007A51FD">
        <w:rPr>
          <w:rFonts w:ascii="Sakkal Majalla" w:eastAsia="Simplified Arabic" w:hAnsi="Sakkal Majalla" w:cs="Sakkal Majalla"/>
          <w:sz w:val="30"/>
          <w:szCs w:val="30"/>
          <w:rtl/>
        </w:rPr>
        <w:t xml:space="preserve"> هذا السياق، تبرز إدارة الموارد البشرية كشريك استراتيجي أساسي في مواجهة هذه الظاهرة، ويتماشى هذا الدور مع رؤية المملكة 2030 التي تؤكد على أهمية الاستثمار في الإنسان وتطوير قدراته وحماية رفاهيته. لم تعد وظيفة إدارة الموارد البشرية في المؤسسات الصحية مقتصرة على المهام الإدارية التقليدية من توظيف ورواتب وتدريب، بل تطورت لتصبح محورًا حيويًا في بناء بيئات عمل صحية وداعمة تحمي صحة الموظفين النفسية والجسدية وتعزز أداءهم وولاءهم المؤسسي. وتتطلب معالجة الاحتراق الوظيفي نهجًا شموليًا متعدد المستويات، يتجاوز التدخلات الفردية التي تركز فقط على تعزيز قدرة الأفراد على التكيف والصمود، ليشمل استراتيجيات تنظيمية جذرية تعالج الأسباب البنيوية للضغوط المهنية (</w:t>
      </w:r>
      <w:proofErr w:type="spellStart"/>
      <w:r w:rsidRPr="007A51FD">
        <w:rPr>
          <w:rFonts w:ascii="Sakkal Majalla" w:eastAsia="Simplified Arabic" w:hAnsi="Sakkal Majalla" w:cs="Sakkal Majalla"/>
          <w:sz w:val="30"/>
          <w:szCs w:val="30"/>
          <w:rtl/>
        </w:rPr>
        <w:t>West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2018).</w:t>
      </w:r>
    </w:p>
    <w:p w14:paraId="72D119C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ومن هنا، يسعى هذا البحث إلى استكشاف وتحليل دور استراتيجيات إدارة الموارد البشرية في مواجهة ظاهرة الاحتراق الوظيفي لدى الكوادر الصحية السعودية، في ضوء متطلبات برنامج التحول الصحي، وذلك من خلال دراسة ميدانية تقييمية تستند إلى أداة استبانة مصممة لقياس مستوى تطبيق هذه الاستراتيجيات ومستوى الاحتراق الوظيفي لدى العاملين، بهدف تقديم فهم معمّق ومسند بالأدلة للآليات التي تعمل من خلالها استراتيجيات إدارة الموارد البشرية على الوقاية من الاحتراق الوظيفي أو الحد من تأثيراته السلبية، وتقديم توصيات عملية قابلة للتطبيق في السياق السعودي.</w:t>
      </w:r>
    </w:p>
    <w:p w14:paraId="5AD6359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وقد أولت المملكة العربية السعودية اهتمامًا متزايدًا بقطاعها الصحي في إطار رؤيتها 2030، حيث أطلقت برنامج التحول الصحي كأحد البرامج التنفيذية الرئيسة لتحقيق نقلة نوعية في منظومة الرعاية الصحية. ويستهدف البرنامج إعادة هيكلة القطاع الصحي بالكامل عبر إنشاء مجموعات </w:t>
      </w:r>
      <w:r w:rsidRPr="007A51FD">
        <w:rPr>
          <w:rFonts w:ascii="Sakkal Majalla" w:eastAsia="Simplified Arabic" w:hAnsi="Sakkal Majalla" w:cs="Sakkal Majalla"/>
          <w:sz w:val="30"/>
          <w:szCs w:val="30"/>
          <w:rtl/>
        </w:rPr>
        <w:lastRenderedPageBreak/>
        <w:t>صحية تتولى إدارة الخدمات الصحية، وتعزيز الرعاية الوقائية، وتحسين تجربة المريض، ورفع كفاءة الإنفاق الصحي. كما يستهدف البرنامج رفع نسبة الكوادر الصحية السعودية وتأهيلها لقيادة المنظومة الصحية. غير أن تحقيق هذه المستهدفات يرتهن بمدى قدرة الكوادر الصحية على الاستمرار في العطاء بكفاءة وحماس، وهو ما يستدعي حمايتها من ظاهرة الاحتراق الوظيفي التي تُهدد استدامتها واستقرارها.</w:t>
      </w:r>
    </w:p>
    <w:p w14:paraId="6342FA06" w14:textId="13CCF5ED" w:rsidR="000A6451" w:rsidRPr="007A51FD" w:rsidRDefault="006D64CD" w:rsidP="009F7316">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ومن الجدير بالذكر أن جائحة كوفيد-19 قد كشفت بصورة جلية هشاشة المنظومات الصحية حول العالم، وأثقلت كواهل الكوادر الصحية بضغوط غير مسبوقة. وقد أظهرت الدراسات الميدانية أن معدلات الاحتراق الوظيفي بين الكوادر الصحية قد ارتفعت بشكل ملحوظ خلال فترة الجائحة وبعدها، نتيجة ساعات العمل الطويلة، والتعرض المستمر للوفيات، والمخاطر البيولوجية، والضغوط النفسية المرتبطة بمواجهة وباء عالمي. وفي السياق السعودي، شكّلت الجائحة تحديًا إضافيًا للكوادر الصحية التي كانت في خضم عملية التحول الصحي، مما استدعى تكاتفًا وطنيًا وتضحيات جسيمة من قبل هذه الكوادر. ومن هنا، باتت الحاجة ملحة إلى تطوير استراتيجيات فعّالة لإدارة الموارد البشرية الصحية تحمي الكوادر من الاحتراق وتُعزّز قدرتها على الاستمرار في تقديم الرعاية في الظروف العادية والاستثنائية على حد </w:t>
      </w:r>
      <w:proofErr w:type="spellStart"/>
      <w:proofErr w:type="gramStart"/>
      <w:r w:rsidRPr="007A51FD">
        <w:rPr>
          <w:rFonts w:ascii="Sakkal Majalla" w:eastAsia="Simplified Arabic" w:hAnsi="Sakkal Majalla" w:cs="Sakkal Majalla"/>
          <w:sz w:val="30"/>
          <w:szCs w:val="30"/>
          <w:rtl/>
        </w:rPr>
        <w:t>سواء.وتنبع</w:t>
      </w:r>
      <w:proofErr w:type="spellEnd"/>
      <w:proofErr w:type="gramEnd"/>
      <w:r w:rsidRPr="007A51FD">
        <w:rPr>
          <w:rFonts w:ascii="Sakkal Majalla" w:eastAsia="Simplified Arabic" w:hAnsi="Sakkal Majalla" w:cs="Sakkal Majalla"/>
          <w:sz w:val="30"/>
          <w:szCs w:val="30"/>
          <w:rtl/>
        </w:rPr>
        <w:t xml:space="preserve"> أهمية دراسة هذه الظاهرة في السياق السعودي تحديدًا من عدة خصوصيات: أولًا، المرحلة الانتقالية الحرجة التي يمر بها القطاع الصحي ضمن رؤية 2030، والتي تتطلب كوادر مستقرة وقادرة على التكيّف. ثانيًا، التحديات المرتبطة بتنفيذ السعودة في القطاع الصحي والاعتماد المتزايد على الكوادر الوطنية. ثالثًا، التنوع الثقافي في بيئة العمل الصحية نتيجة الاعتماد على العمالة الصحية الوافدة في بعض التخصصات. رابعًا، التوزيع الجغرافي غير المتوازن للخدمات الصحية بين المناطق الحضرية والريفية. خامسًا، الطلب المتنامي على الخدمات </w:t>
      </w:r>
      <w:r w:rsidRPr="007A51FD">
        <w:rPr>
          <w:rFonts w:ascii="Sakkal Majalla" w:eastAsia="Simplified Arabic" w:hAnsi="Sakkal Majalla" w:cs="Sakkal Majalla"/>
          <w:sz w:val="30"/>
          <w:szCs w:val="30"/>
          <w:rtl/>
        </w:rPr>
        <w:lastRenderedPageBreak/>
        <w:t>الصحية نتيجة التحول الديموغرافي وارتفاع معدلات الأمراض المزمنة. وكل هذه الخصوصيات تُكسب دراسة الاحتراق الوظيفي في السياق السعودي أهمية متميزة عن الدراسات التي أُجريت في سياقات أخرى.</w:t>
      </w:r>
    </w:p>
    <w:p w14:paraId="1B7EA19B"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مشكلة البحث</w:t>
      </w:r>
    </w:p>
    <w:p w14:paraId="640A809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تواجه المنظومات الصحية على مستوى العالم تحديًا متناميًا يتمثل في ارتفاع معدلات الاحتراق الوظيفي بين الكوادر الصحية، حيث تشير التقديرات الدولية إلى أن نسبةً تتراوح بين 35% إلى 54% من الأطباء والممرضين يعانون من مستويات متفاوتة من هذه الظاهرة (</w:t>
      </w:r>
      <w:proofErr w:type="spellStart"/>
      <w:r w:rsidRPr="007A51FD">
        <w:rPr>
          <w:rFonts w:ascii="Sakkal Majalla" w:eastAsia="Simplified Arabic" w:hAnsi="Sakkal Majalla" w:cs="Sakkal Majalla"/>
          <w:sz w:val="30"/>
          <w:szCs w:val="30"/>
          <w:rtl/>
        </w:rPr>
        <w:t>Shanafelt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2019). وفي السياق السعودي تحديدًا، يكتسب هذا التحدي أبعادًا أكثر تعقيدًا في ظل المرحلة الانتقالية الحرجة التي يمر بها القطاع الصحي ضمن رؤية المملكة 2030 وبرنامج التحول الصحي. فالكوادر الصحية في المملكة تواجه ضغوطًا مهنية متعددة المصادر، تشمل أعباء العمل المرتفعة نتيجة النقص النسبي في الكوادر السعودية المؤهلة، وساعات العمل الطويلة خاصة في أقسام الطوارئ والعناية المركزة، والتحديات المرتبطة بالتوزيع الجغرافي غير المتوازن للخدمات الصحية بين المناطق الحضرية والريفية، فضلًا عن الضغوط الناجمة عن عمليات التحول والإصلاح المؤسسي السريعة.</w:t>
      </w:r>
    </w:p>
    <w:p w14:paraId="01F3ED1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وقد لاحظ الباحث من خلال عمله الميداني واطلاعه على التقارير الصادرة عن وزارة الصحة وهيئة الهلال الأحمر السعودي، ومن خلال مراجعة بعض الدراسات الميدانية، أن عددًا من الكوادر الصحية السعودية يعاني من أعراض الاحتراق الوظيفي، يتمثل في الإرهاق البدني والنفسي المستمر، وتراجع الحماس تجاه العمل، والشعور بعدم القيمة المهنية، وزيادة معدلات التفكير في ترك المهنة. كما تُشير البيانات الأولية إلى وجود فجوة بين ما يستهدفه برنامج التحول الصحي من تطوير الموارد البشرية وحماية رفاهيتها، وبين ما هو مطبّق فعليًا على أرض الواقع من استراتيجيات لإدارة الموارد </w:t>
      </w:r>
      <w:r w:rsidRPr="007A51FD">
        <w:rPr>
          <w:rFonts w:ascii="Sakkal Majalla" w:eastAsia="Simplified Arabic" w:hAnsi="Sakkal Majalla" w:cs="Sakkal Majalla"/>
          <w:sz w:val="30"/>
          <w:szCs w:val="30"/>
          <w:rtl/>
        </w:rPr>
        <w:lastRenderedPageBreak/>
        <w:t>البشرية. وتترافق هذه الفجوة مع غياب نسبي للدراسات التقييمية الميدانية التي تربط بشكل مباشر بين مستوى تطبيق استراتيجيات إدارة الموارد البشرية ومستوى الاحتراق الوظيفي في السياق السعودي.</w:t>
      </w:r>
    </w:p>
    <w:p w14:paraId="05DA27E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ومن هنا تتحدد مشكلة البحث في التساؤل الرئيسي الآتي: ما دور استراتيجيات إدارة الموارد البشرية في مواجهة الاحتراق الوظيفي لدى الكوادر الصحية السعودية في ضوء متطلبات برنامج التحول الصحي؟ ويتفرع عن هذا التساؤل عدد من التساؤلات الفرعية تتعلق بمستوى تطبيق كل محور من محاور هذه الاستراتيجيات، ومستوى أبعاد الاحتراق الوظيفي، وطبيعة العلاقة بينهما.</w:t>
      </w:r>
    </w:p>
    <w:p w14:paraId="1D388489"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تساؤلات البحث</w:t>
      </w:r>
    </w:p>
    <w:p w14:paraId="1C41432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ينطلق البحث من تساؤل رئيسي يتمحور حول دور استراتيجيات إدارة الموارد البشرية في مواجهة الاحتراق الوظيفي لدى الكوادر الصحية السعودية، ويتفرع عنه مجموعة من التساؤلات الفرعية على النحو الآتي:</w:t>
      </w:r>
    </w:p>
    <w:p w14:paraId="0EBAC528"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التساؤل الرئيسي: ما دور استراتيجيات إدارة الموارد البشرية في مواجهة الاحتراق الوظيفي لدى الكوادر الصحية السعودية في ضوء متطلبات برنامج التحول الصحي؟</w:t>
      </w:r>
    </w:p>
    <w:p w14:paraId="2E2A3EA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وينبثق عن هذا التساؤل الرئيسي التساؤلات الفرعية الآتية:</w:t>
      </w:r>
    </w:p>
    <w:p w14:paraId="25B2BCE7" w14:textId="2AD60C61"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ما مستوى تطبيق استراتيجيات إدارة الموارد البشرية لدى الكوادر الصحية السعودية في ضوء محاورها الخمسة (التدريب والتطوير، الحوافز والتقدير، جودة بيئة العمل، الدعم القيادي والإداري، إدارة عبء العمل والتوازن بين العمل والحياة)؟</w:t>
      </w:r>
    </w:p>
    <w:p w14:paraId="5505A5C9" w14:textId="0A08EA6A"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ما مستوى الاحتراق الوظيفي لدى الكوادر الصحية السعودية في ضوء أبعاده الثلاثة (الإنهاك العاطفي، تبلد المشاعر، انخفاض الشعور بالإنجاز الشخصي)؟</w:t>
      </w:r>
    </w:p>
    <w:p w14:paraId="54B5EEE1" w14:textId="7CD0BA4E"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هل توجد علاقة ذات دلالة إحصائية بين استراتيجيات إدارة الموارد البشرية (بمحاورها الخمسة) ومستوى الاحتراق الوظيفي (بأبعاده الثلاثة) لدى الكوادر الصحية السعودية؟</w:t>
      </w:r>
    </w:p>
    <w:p w14:paraId="629A05ED" w14:textId="4B61E6B9"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هل تختلف استجابات أفراد العينة حول مستوى تطبيق استراتيجيات إدارة الموارد البشرية ومستوى الاحتراق الوظيفي باختلاف المتغيرات الديموغرافية (الجنس، العمر، المؤهل العلمي، المسمى الوظيفي، سنوات الخبرة)؟</w:t>
      </w:r>
    </w:p>
    <w:p w14:paraId="49E24D48" w14:textId="05E85764"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ما التوصيات والمقترحات التي يمكن تقديمها لتعزيز دور استراتيجيات إدارة الموارد البشرية في مواجهة الاحتراق الوظيفي لدى الكوادر الصحية السعودية بما يحقق متطلبات برنامج التحول الصحي؟</w:t>
      </w:r>
    </w:p>
    <w:p w14:paraId="09BBAA7C"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أهمية البحث</w:t>
      </w:r>
    </w:p>
    <w:p w14:paraId="7F881D0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تنبع أهمية هذا البحث من عدة اعتبارات علمية وعملية واستراتيجية متشابكة، يمكن عرضها من خلال مستويين: الأهمية النظرية والأهمية التطبيقية.</w:t>
      </w:r>
    </w:p>
    <w:p w14:paraId="23CE8869"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أولاً: الأهمية النظرية</w:t>
      </w:r>
    </w:p>
    <w:p w14:paraId="4553E92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يسهم البحث في إثراء الأدبيات العربية والسعودية المتعلقة بمجالين بحثيين مهمين هما إدارة الموارد البشرية والصحة المهنية في القطاع الصحي، حيث يقدّم تحليلًا نظريًا شاملًا يربط بين هذين المجالين في السياق السعودي. ويُسهم في سدّ الفجوة المعرفية القائمة في الأدبيات العربية التي تتناول ظاهرة الاحتراق الوظيفي بوصفها متغيرًا تابعًا يتأثر بممارسات إدارة الموارد البشرية بوصفها متغيرًا مستقلًا. كما يفتح البحث آفاقًا جديدة للبحث المستقبلي من خلال تقديم إطار مفاهيمي متكامل يربط بين خمسة محاور لاستراتيجيات إدارة الموارد البشرية وثلاثة أبعاد للاحتراق الوظيفي، ويُشجّع الباحثين على التعمق في هذا الموضوع الحيوي. ويمثل البحث إضافة معرفية تنبثق من خصوصية السياق </w:t>
      </w:r>
      <w:r w:rsidRPr="007A51FD">
        <w:rPr>
          <w:rFonts w:ascii="Sakkal Majalla" w:eastAsia="Simplified Arabic" w:hAnsi="Sakkal Majalla" w:cs="Sakkal Majalla"/>
          <w:sz w:val="30"/>
          <w:szCs w:val="30"/>
          <w:rtl/>
        </w:rPr>
        <w:lastRenderedPageBreak/>
        <w:t>السعودي بتحدياته وفرصه المرتبطة برؤية 2030 وبرنامج التحول الصحي، وهو ما يمنحه قيمة علمية متميزة قياسًا بالدراسات التي أُجريت في سياقات ثقافية وتنظيمية مختلفة.</w:t>
      </w:r>
    </w:p>
    <w:p w14:paraId="3F24622C"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ثانياً: الأهمية التطبيقية</w:t>
      </w:r>
    </w:p>
    <w:p w14:paraId="71D7062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يوفر البحث دليلًا مرجعيًا متخصصًا للممارسين في مجال إدارة الموارد البشرية والإدارة الصحية في المملكة، يساعدهم على اتخاذ قرارات مستنيرة ومبنية على الأدلة بشأن الاستثمار في برامج وسياسات حماية رفاهية العاملين وتطوير بيئات عمل صحية. كما يتماشى البحث بشكل مباشر مع أهداف رؤية المملكة 2030 في تطوير القطاع الصحي وتحسين جودة الخدمات الصحية وبناء رأس مال بشري سعودي مؤهل ومتمكن، ويدعم برنامج التحول الصحي الذي يضع تطوير الموارد البشرية كأحد ركائزه الأساسية. ويُتوقّع أن تستفيد منه وزارة الصحة والهيئة السعودية للموارد البشرية الصحية ومجموعات العيادات والمستشفيات الحكومية والخاصة في تصميم تدخلات واقعية ومستدامة. وفي ظل التحديات الراهنة التي تواجه القطاع الصحي، يصبح فهم وتطبيق استراتيجيات فعّالة للحد من الاحتراق الوظيفي ضرورة استراتيجية وليس ترفًا إداريًا، إذ إن الاستثمار في رأس المال البشري الصحي يمثل استثمارًا في جودة الرعاية الصحية واستدامتها وتنافسيتها على المدى الطويل.</w:t>
      </w:r>
    </w:p>
    <w:p w14:paraId="6112F927"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أهداف البحث</w:t>
      </w:r>
    </w:p>
    <w:p w14:paraId="2FED2CD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يسعى البحث إلى تحقيق جملة من الأهداف العلمية والتطبيقية التي تتكامل فيما بينها لتقديم تصور شامل عن دور استراتيجيات إدارة الموارد البشرية في مواجهة الاحتراق الوظيفي، وأبرز هذه الأهداف:</w:t>
      </w:r>
    </w:p>
    <w:p w14:paraId="38DE7F50" w14:textId="3AE2E81F"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تحديد المفهوم العلمي لاستراتيجيات إدارة الموارد البشرية ومحاورها الخمسة محل الدراسة في القطاع الصحي السعودي.</w:t>
      </w:r>
    </w:p>
    <w:p w14:paraId="4AC6EAEA" w14:textId="56B9D968"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توضيح المفهوم العلمي للاحتراق الوظيفي وأبعاده الثلاثة وفق النظرية المعرفية المعتمدة في الدراسة.</w:t>
      </w:r>
    </w:p>
    <w:p w14:paraId="4C2EFE74" w14:textId="7C3DC6E0"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قياس مستوى تطبيق استراتيجيات إدارة الموارد البشرية لدى الكوادر الصحية السعودية من وجهة نظرهم.</w:t>
      </w:r>
    </w:p>
    <w:p w14:paraId="41E4941D" w14:textId="768D51EC"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قياس مستوى الاحتراق الوظيفي لدى الكوادر الصحية السعودية في أبعاده الثلاثة.</w:t>
      </w:r>
    </w:p>
    <w:p w14:paraId="7912EC8E" w14:textId="54F4D5BA"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اختبار وجود علاقة ذات دلالة إحصائية بين استراتيجيات إدارة الموارد البشرية والاحتراق الوظيفي لدى عينة الدراسة.</w:t>
      </w:r>
    </w:p>
    <w:p w14:paraId="660A037D" w14:textId="767A681F"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الكشف عن الفروق في استجابات أفراد العينة باختلاف المتغيرات الديموغرافية.</w:t>
      </w:r>
    </w:p>
    <w:p w14:paraId="2934AEA6" w14:textId="03F43C58"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تقديم توصيات ومقترحات عملية لتعزيز دور إدارة الموارد البشرية في الحد من الاحتراق الوظيفي بما يتسق مع متطلبات برنامج التحول الصحي.</w:t>
      </w:r>
    </w:p>
    <w:p w14:paraId="651CE0C8"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فرضيات البحث</w:t>
      </w:r>
    </w:p>
    <w:p w14:paraId="1FE847A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في ضوء التساؤلات المطروحة وأهداف الدراسة، صاغ الباحث الفرضية الرئيسية الآتية، والتي تتفرع منها فرضيات فرعية:</w:t>
      </w:r>
    </w:p>
    <w:p w14:paraId="2D109F5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الفرضية الرئيسية:</w:t>
      </w:r>
    </w:p>
    <w:p w14:paraId="71BD9AC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توجد علاقة عكسية ذات دلالة إحصائية بين مستوى تطبيق استراتيجيات إدارة الموارد البشرية ومستوى الاحتراق الوظيفي لدى الكوادر الصحية السعودية، عند مستوى الدلالة (0.05).</w:t>
      </w:r>
    </w:p>
    <w:p w14:paraId="11E6C94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الفرضيات الفرعية:</w:t>
      </w:r>
    </w:p>
    <w:p w14:paraId="5DC3DF70" w14:textId="1A1D2161"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توجد علاقة عكسية ذات دلالة إحصائية بين محور التدريب والتطوير وبُعد الإنهاك العاطفي.</w:t>
      </w:r>
    </w:p>
    <w:p w14:paraId="3E5FAC32" w14:textId="5BC16AFC"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توجد علاقة عكسية ذات دلالة إحصائية بين محور الحوافز والتقدير وبُعد تبلد المشاعر.</w:t>
      </w:r>
    </w:p>
    <w:p w14:paraId="775DD234" w14:textId="0887B51B"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توجد علاقة عكسية ذات دلالة إحصائية بين محور جودة بيئة العمل وبُعد الإنهاك العاطفي.</w:t>
      </w:r>
    </w:p>
    <w:p w14:paraId="6555FF23" w14:textId="05175B8B"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توجد علاقة عكسية ذات دلالة إحصائية بين محور الدعم القيادي والإداري وبُعد انخفاض الشعور بالإنجاز الشخصي.</w:t>
      </w:r>
    </w:p>
    <w:p w14:paraId="2F29D149" w14:textId="45C8559A" w:rsidR="000A6451" w:rsidRDefault="006D64CD" w:rsidP="007A51FD">
      <w:pPr>
        <w:bidi/>
        <w:spacing w:before="40" w:after="40" w:line="360" w:lineRule="auto"/>
        <w:ind w:right="283"/>
        <w:jc w:val="mediumKashida"/>
        <w:rPr>
          <w:rFonts w:ascii="Sakkal Majalla" w:hAnsi="Sakkal Majalla" w:cs="Sakkal Majalla"/>
          <w:rtl/>
        </w:rPr>
      </w:pPr>
      <w:r w:rsidRPr="007A51FD">
        <w:rPr>
          <w:rFonts w:ascii="Sakkal Majalla" w:eastAsia="Simplified Arabic" w:hAnsi="Sakkal Majalla" w:cs="Sakkal Majalla"/>
          <w:sz w:val="30"/>
          <w:szCs w:val="30"/>
          <w:rtl/>
        </w:rPr>
        <w:t>توجد علاقة عكسية ذات دلالة إحصائية بين محور إدارة عبء العمل والتوازن بين العمل والحياة والأبعاد الثلاثة للاحتراق الوظيفي مجتمعة.</w:t>
      </w:r>
    </w:p>
    <w:p w14:paraId="71A36072" w14:textId="77777777" w:rsidR="00B65743" w:rsidRPr="00C53259" w:rsidRDefault="00B65743" w:rsidP="00417891">
      <w:pPr>
        <w:bidi/>
        <w:jc w:val="mediumKashida"/>
        <w:rPr>
          <w:rFonts w:ascii="Sakkal Majalla" w:hAnsi="Sakkal Majalla" w:cs="Sakkal Majalla"/>
        </w:rPr>
      </w:pPr>
      <w:r w:rsidRPr="00C53259">
        <w:rPr>
          <w:rFonts w:ascii="Sakkal Majalla" w:eastAsia="Simplified Arabic" w:hAnsi="Sakkal Majalla" w:cs="Sakkal Majalla"/>
          <w:b/>
          <w:bCs/>
          <w:color w:val="1F4E79"/>
          <w:sz w:val="40"/>
          <w:szCs w:val="40"/>
          <w:rtl/>
        </w:rPr>
        <w:t>مصطلحات البحث</w:t>
      </w:r>
    </w:p>
    <w:p w14:paraId="23B7F7DE" w14:textId="77777777" w:rsidR="00B65743" w:rsidRPr="00C53259" w:rsidRDefault="00B65743" w:rsidP="00417891">
      <w:pPr>
        <w:bidi/>
        <w:spacing w:after="0"/>
        <w:jc w:val="mediumKashida"/>
        <w:rPr>
          <w:rFonts w:ascii="Sakkal Majalla" w:hAnsi="Sakkal Majalla" w:cs="Sakkal Majalla"/>
        </w:rPr>
      </w:pPr>
    </w:p>
    <w:p w14:paraId="63ACBC43" w14:textId="77777777" w:rsidR="00B65743" w:rsidRPr="00C53259" w:rsidRDefault="00B65743" w:rsidP="00417891">
      <w:pPr>
        <w:bidi/>
        <w:spacing w:before="160" w:after="160" w:line="408" w:lineRule="auto"/>
        <w:jc w:val="mediumKashida"/>
        <w:rPr>
          <w:rFonts w:ascii="Sakkal Majalla" w:hAnsi="Sakkal Majalla" w:cs="Sakkal Majalla"/>
        </w:rPr>
      </w:pPr>
      <w:r w:rsidRPr="00C53259">
        <w:rPr>
          <w:rFonts w:ascii="Sakkal Majalla" w:eastAsia="Simplified Arabic" w:hAnsi="Sakkal Majalla" w:cs="Sakkal Majalla"/>
          <w:sz w:val="30"/>
          <w:szCs w:val="30"/>
          <w:rtl/>
        </w:rPr>
        <w:t>تتضمن هذه القائمة تعريفًا للمصطلحات الرئيسية المتعلقة بالبحث، كما وردت في الأدبيات العلمية:</w:t>
      </w:r>
    </w:p>
    <w:p w14:paraId="74BF5484"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استراتيجيات إدارة الموارد البشرية: </w:t>
      </w:r>
      <w:r w:rsidRPr="00C53259">
        <w:rPr>
          <w:rFonts w:ascii="Sakkal Majalla" w:eastAsia="Simplified Arabic" w:hAnsi="Sakkal Majalla" w:cs="Sakkal Majalla"/>
          <w:sz w:val="26"/>
          <w:szCs w:val="26"/>
          <w:rtl/>
        </w:rPr>
        <w:t>مجموعة السياسات والممارسات والأنظمة المتكاملة التي تُصمم لإدارة الأصول البشرية في المنظمة بأسلوب استراتيجي، بهدف تحقيق أهداف المنظمة وأهداف العاملين معًا (</w:t>
      </w:r>
      <w:proofErr w:type="spellStart"/>
      <w:r w:rsidRPr="00C53259">
        <w:rPr>
          <w:rFonts w:ascii="Sakkal Majalla" w:eastAsia="Simplified Arabic" w:hAnsi="Sakkal Majalla" w:cs="Sakkal Majalla"/>
          <w:sz w:val="26"/>
          <w:szCs w:val="26"/>
          <w:rtl/>
        </w:rPr>
        <w:t>Armstrong</w:t>
      </w:r>
      <w:proofErr w:type="spellEnd"/>
      <w:r w:rsidRPr="00C53259">
        <w:rPr>
          <w:rFonts w:ascii="Sakkal Majalla" w:eastAsia="Simplified Arabic" w:hAnsi="Sakkal Majalla" w:cs="Sakkal Majalla"/>
          <w:sz w:val="26"/>
          <w:szCs w:val="26"/>
          <w:rtl/>
        </w:rPr>
        <w:t>, 2020). وتشمل في هذه الدراسة خمسة محاور: التدريب والتطوير، الحوافز والتقدير، جودة بيئة العمل، الدعم القيادي والإداري، إدارة عبء العمل والتوازن بين العمل والحياة.</w:t>
      </w:r>
    </w:p>
    <w:p w14:paraId="6B1A47A8"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الاحتراق الوظيفي (</w:t>
      </w:r>
      <w:proofErr w:type="spellStart"/>
      <w:r w:rsidRPr="00C53259">
        <w:rPr>
          <w:rFonts w:ascii="Sakkal Majalla" w:eastAsia="Simplified Arabic" w:hAnsi="Sakkal Majalla" w:cs="Sakkal Majalla"/>
          <w:b/>
          <w:bCs/>
          <w:sz w:val="26"/>
          <w:szCs w:val="26"/>
          <w:rtl/>
        </w:rPr>
        <w:t>Burnout</w:t>
      </w:r>
      <w:proofErr w:type="spellEnd"/>
      <w:r w:rsidRPr="00C53259">
        <w:rPr>
          <w:rFonts w:ascii="Sakkal Majalla" w:eastAsia="Simplified Arabic" w:hAnsi="Sakkal Majalla" w:cs="Sakkal Majalla"/>
          <w:b/>
          <w:bCs/>
          <w:sz w:val="26"/>
          <w:szCs w:val="26"/>
          <w:rtl/>
        </w:rPr>
        <w:t xml:space="preserve">): </w:t>
      </w:r>
      <w:r w:rsidRPr="00C53259">
        <w:rPr>
          <w:rFonts w:ascii="Sakkal Majalla" w:eastAsia="Simplified Arabic" w:hAnsi="Sakkal Majalla" w:cs="Sakkal Majalla"/>
          <w:sz w:val="26"/>
          <w:szCs w:val="26"/>
          <w:rtl/>
        </w:rPr>
        <w:t>متلازمة من الإنهاك العاطفي وتبلد المشاعر وانخفاض الشعور بالإنجاز الشخصي، تظهر بين العاملين في المهن التي تتطلب احتكاكًا مباشرًا ومكثفًا مع الناس (</w:t>
      </w:r>
      <w:proofErr w:type="spellStart"/>
      <w:r w:rsidRPr="00C53259">
        <w:rPr>
          <w:rFonts w:ascii="Sakkal Majalla" w:eastAsia="Simplified Arabic" w:hAnsi="Sakkal Majalla" w:cs="Sakkal Majalla"/>
          <w:sz w:val="26"/>
          <w:szCs w:val="26"/>
          <w:rtl/>
        </w:rPr>
        <w:t>Maslach</w:t>
      </w:r>
      <w:proofErr w:type="spellEnd"/>
      <w:r w:rsidRPr="00C53259">
        <w:rPr>
          <w:rFonts w:ascii="Sakkal Majalla" w:eastAsia="Simplified Arabic" w:hAnsi="Sakkal Majalla" w:cs="Sakkal Majalla"/>
          <w:sz w:val="26"/>
          <w:szCs w:val="26"/>
          <w:rtl/>
        </w:rPr>
        <w:t xml:space="preserve"> &amp; </w:t>
      </w:r>
      <w:proofErr w:type="spellStart"/>
      <w:r w:rsidRPr="00C53259">
        <w:rPr>
          <w:rFonts w:ascii="Sakkal Majalla" w:eastAsia="Simplified Arabic" w:hAnsi="Sakkal Majalla" w:cs="Sakkal Majalla"/>
          <w:sz w:val="26"/>
          <w:szCs w:val="26"/>
          <w:rtl/>
        </w:rPr>
        <w:t>Jackson</w:t>
      </w:r>
      <w:proofErr w:type="spellEnd"/>
      <w:r w:rsidRPr="00C53259">
        <w:rPr>
          <w:rFonts w:ascii="Sakkal Majalla" w:eastAsia="Simplified Arabic" w:hAnsi="Sakkal Majalla" w:cs="Sakkal Majalla"/>
          <w:sz w:val="26"/>
          <w:szCs w:val="26"/>
          <w:rtl/>
        </w:rPr>
        <w:t>, 1981). وقد أُدرج ضمن التصنيف الدولي للأمراض (ICD-11) كظاهرة مهنية ناتجة عن إدارة مزمنة لم يُتم التغلب عليها بنجاح في مكان العمل (WHO, 2019).</w:t>
      </w:r>
    </w:p>
    <w:p w14:paraId="6A3BF409"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الإنهاك العاطفي: </w:t>
      </w:r>
      <w:r w:rsidRPr="00C53259">
        <w:rPr>
          <w:rFonts w:ascii="Sakkal Majalla" w:eastAsia="Simplified Arabic" w:hAnsi="Sakkal Majalla" w:cs="Sakkal Majalla"/>
          <w:sz w:val="26"/>
          <w:szCs w:val="26"/>
          <w:rtl/>
        </w:rPr>
        <w:t>بُعد من أبعاد الاحتراق الوظيفي، يُشير إلى استنزاف الموارد العاطفية والجسدية للعامل نتيجة الضغوط المستمرة، ويتجلى في الشعور بالإرهاق وعدم القدرة على الاستمرار في العطاء.</w:t>
      </w:r>
    </w:p>
    <w:p w14:paraId="190DEECA"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تبلد المشاعر: </w:t>
      </w:r>
      <w:r w:rsidRPr="00C53259">
        <w:rPr>
          <w:rFonts w:ascii="Sakkal Majalla" w:eastAsia="Simplified Arabic" w:hAnsi="Sakkal Majalla" w:cs="Sakkal Majalla"/>
          <w:sz w:val="26"/>
          <w:szCs w:val="26"/>
          <w:rtl/>
        </w:rPr>
        <w:t>بُعد من أبعاد الاحتراق الوظيفي، يُشير إلى استجابة دفاعية تتمثل في الانفصال العاطفي عن المراجعين والمرضى، والتعامل معهم ببرود ولامبالاة وتجريدهم من إنسانيتهم.</w:t>
      </w:r>
    </w:p>
    <w:p w14:paraId="468E75FA"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انخفاض الشعور بالإنجاز الشخصي: </w:t>
      </w:r>
      <w:r w:rsidRPr="00C53259">
        <w:rPr>
          <w:rFonts w:ascii="Sakkal Majalla" w:eastAsia="Simplified Arabic" w:hAnsi="Sakkal Majalla" w:cs="Sakkal Majalla"/>
          <w:sz w:val="26"/>
          <w:szCs w:val="26"/>
          <w:rtl/>
        </w:rPr>
        <w:t>بُعد من أبعاد الاحتراق الوظيفي، يُشير إلى تقييم العامل السلبي لذاته وكفاءته، والشعور بعدم القدرة على تحقيق إنجازات مهنية، وفقدان الثقة بالقدرة على التأثير الإيجابي في العمل.</w:t>
      </w:r>
    </w:p>
    <w:p w14:paraId="6250D34E"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lastRenderedPageBreak/>
        <w:t xml:space="preserve">• نموذج الطلبات-الموارد الوظيفية (JD-R </w:t>
      </w:r>
      <w:proofErr w:type="spellStart"/>
      <w:r w:rsidRPr="00C53259">
        <w:rPr>
          <w:rFonts w:ascii="Sakkal Majalla" w:eastAsia="Simplified Arabic" w:hAnsi="Sakkal Majalla" w:cs="Sakkal Majalla"/>
          <w:b/>
          <w:bCs/>
          <w:sz w:val="26"/>
          <w:szCs w:val="26"/>
          <w:rtl/>
        </w:rPr>
        <w:t>Model</w:t>
      </w:r>
      <w:proofErr w:type="spellEnd"/>
      <w:r w:rsidRPr="00C53259">
        <w:rPr>
          <w:rFonts w:ascii="Sakkal Majalla" w:eastAsia="Simplified Arabic" w:hAnsi="Sakkal Majalla" w:cs="Sakkal Majalla"/>
          <w:b/>
          <w:bCs/>
          <w:sz w:val="26"/>
          <w:szCs w:val="26"/>
          <w:rtl/>
        </w:rPr>
        <w:t xml:space="preserve">): </w:t>
      </w:r>
      <w:r w:rsidRPr="00C53259">
        <w:rPr>
          <w:rFonts w:ascii="Sakkal Majalla" w:eastAsia="Simplified Arabic" w:hAnsi="Sakkal Majalla" w:cs="Sakkal Majalla"/>
          <w:sz w:val="26"/>
          <w:szCs w:val="26"/>
          <w:rtl/>
        </w:rPr>
        <w:t xml:space="preserve">نظرية مفسرة للاحتراق الوظيفي طرحها </w:t>
      </w:r>
      <w:proofErr w:type="spellStart"/>
      <w:r w:rsidRPr="00C53259">
        <w:rPr>
          <w:rFonts w:ascii="Sakkal Majalla" w:eastAsia="Simplified Arabic" w:hAnsi="Sakkal Majalla" w:cs="Sakkal Majalla"/>
          <w:sz w:val="26"/>
          <w:szCs w:val="26"/>
          <w:rtl/>
        </w:rPr>
        <w:t>ديمروتي</w:t>
      </w:r>
      <w:proofErr w:type="spellEnd"/>
      <w:r w:rsidRPr="00C53259">
        <w:rPr>
          <w:rFonts w:ascii="Sakkal Majalla" w:eastAsia="Simplified Arabic" w:hAnsi="Sakkal Majalla" w:cs="Sakkal Majalla"/>
          <w:sz w:val="26"/>
          <w:szCs w:val="26"/>
          <w:rtl/>
        </w:rPr>
        <w:t xml:space="preserve"> وزملاؤه (</w:t>
      </w:r>
      <w:proofErr w:type="spellStart"/>
      <w:r w:rsidRPr="00C53259">
        <w:rPr>
          <w:rFonts w:ascii="Sakkal Majalla" w:eastAsia="Simplified Arabic" w:hAnsi="Sakkal Majalla" w:cs="Sakkal Majalla"/>
          <w:sz w:val="26"/>
          <w:szCs w:val="26"/>
          <w:rtl/>
        </w:rPr>
        <w:t>Demerouti</w:t>
      </w:r>
      <w:proofErr w:type="spellEnd"/>
      <w:r w:rsidRPr="00C53259">
        <w:rPr>
          <w:rFonts w:ascii="Sakkal Majalla" w:eastAsia="Simplified Arabic" w:hAnsi="Sakkal Majalla" w:cs="Sakkal Majalla"/>
          <w:sz w:val="26"/>
          <w:szCs w:val="26"/>
          <w:rtl/>
        </w:rPr>
        <w:t xml:space="preserve"> </w:t>
      </w:r>
      <w:proofErr w:type="spellStart"/>
      <w:r w:rsidRPr="00C53259">
        <w:rPr>
          <w:rFonts w:ascii="Sakkal Majalla" w:eastAsia="Simplified Arabic" w:hAnsi="Sakkal Majalla" w:cs="Sakkal Majalla"/>
          <w:sz w:val="26"/>
          <w:szCs w:val="26"/>
          <w:rtl/>
        </w:rPr>
        <w:t>et</w:t>
      </w:r>
      <w:proofErr w:type="spellEnd"/>
      <w:r w:rsidRPr="00C53259">
        <w:rPr>
          <w:rFonts w:ascii="Sakkal Majalla" w:eastAsia="Simplified Arabic" w:hAnsi="Sakkal Majalla" w:cs="Sakkal Majalla"/>
          <w:sz w:val="26"/>
          <w:szCs w:val="26"/>
          <w:rtl/>
        </w:rPr>
        <w:t xml:space="preserve"> </w:t>
      </w:r>
      <w:proofErr w:type="spellStart"/>
      <w:r w:rsidRPr="00C53259">
        <w:rPr>
          <w:rFonts w:ascii="Sakkal Majalla" w:eastAsia="Simplified Arabic" w:hAnsi="Sakkal Majalla" w:cs="Sakkal Majalla"/>
          <w:sz w:val="26"/>
          <w:szCs w:val="26"/>
          <w:rtl/>
        </w:rPr>
        <w:t>al</w:t>
      </w:r>
      <w:proofErr w:type="spellEnd"/>
      <w:r w:rsidRPr="00C53259">
        <w:rPr>
          <w:rFonts w:ascii="Sakkal Majalla" w:eastAsia="Simplified Arabic" w:hAnsi="Sakkal Majalla" w:cs="Sakkal Majalla"/>
          <w:sz w:val="26"/>
          <w:szCs w:val="26"/>
          <w:rtl/>
        </w:rPr>
        <w:t>., 2001)، تُفترض أن كل مهنة تنطوي على نوعين من العوامل: طلبات وظيفية ضاغطة، وموارد وظيفية داعمة، ويحدث الاحتراق عندما ترتفع الطلبات وتنخفض الموارد.</w:t>
      </w:r>
    </w:p>
    <w:p w14:paraId="51C74F38"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برنامج التحول الصحي: </w:t>
      </w:r>
      <w:r w:rsidRPr="00C53259">
        <w:rPr>
          <w:rFonts w:ascii="Sakkal Majalla" w:eastAsia="Simplified Arabic" w:hAnsi="Sakkal Majalla" w:cs="Sakkal Majalla"/>
          <w:sz w:val="26"/>
          <w:szCs w:val="26"/>
          <w:rtl/>
        </w:rPr>
        <w:t>أحد البرامج التنفيذية الرئيسة لرؤية المملكة العربية السعودية 2030، يستهدف إعادة هيكلة القطاع الصحي لتصبح المملكة رائدة في تقديم الخدمات الصحية الشاملة عالية الجودة، عبر إنشاء مجموعات صحية وتعزيز الرعاية الوقائية وتحسين تجربة المريض ورفع كفاءة الإنفاق الصحي.</w:t>
      </w:r>
    </w:p>
    <w:p w14:paraId="66370928"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الكوادر الصحية: </w:t>
      </w:r>
      <w:r w:rsidRPr="00C53259">
        <w:rPr>
          <w:rFonts w:ascii="Sakkal Majalla" w:eastAsia="Simplified Arabic" w:hAnsi="Sakkal Majalla" w:cs="Sakkal Majalla"/>
          <w:sz w:val="26"/>
          <w:szCs w:val="26"/>
          <w:rtl/>
        </w:rPr>
        <w:t>العاملون في القطاع الصحي من أطباء وممرضين وممرضات وفنيين صحيين وصيادلة وإداريين صحيين، الذين يُمثّلون الركيزة البشرية لتقديم الخدمات الصحية.</w:t>
      </w:r>
    </w:p>
    <w:p w14:paraId="6867405C" w14:textId="77777777" w:rsidR="00B65743" w:rsidRPr="00C53259" w:rsidRDefault="00B65743" w:rsidP="00417891">
      <w:pPr>
        <w:bidi/>
        <w:spacing w:after="160" w:line="360" w:lineRule="auto"/>
        <w:ind w:left="283"/>
        <w:jc w:val="mediumKashida"/>
        <w:rPr>
          <w:rFonts w:ascii="Sakkal Majalla" w:hAnsi="Sakkal Majalla" w:cs="Sakkal Majalla"/>
        </w:rPr>
      </w:pPr>
      <w:r w:rsidRPr="00C53259">
        <w:rPr>
          <w:rFonts w:ascii="Sakkal Majalla" w:eastAsia="Simplified Arabic" w:hAnsi="Sakkal Majalla" w:cs="Sakkal Majalla"/>
          <w:b/>
          <w:bCs/>
          <w:sz w:val="26"/>
          <w:szCs w:val="26"/>
          <w:rtl/>
        </w:rPr>
        <w:t xml:space="preserve">• رؤية المملكة 2030: </w:t>
      </w:r>
      <w:r w:rsidRPr="00C53259">
        <w:rPr>
          <w:rFonts w:ascii="Sakkal Majalla" w:eastAsia="Simplified Arabic" w:hAnsi="Sakkal Majalla" w:cs="Sakkal Majalla"/>
          <w:sz w:val="26"/>
          <w:szCs w:val="26"/>
          <w:rtl/>
        </w:rPr>
        <w:t>رؤية استراتيجية شاملة أطلقتها المملكة العربية السعودية عام 2016، تستهدف بناء اقتصاد مزدهر ومجتمع حيوي ووطن طموح، ويُمثّل القطاع الصحي أحد ركائزها الأساسية.</w:t>
      </w:r>
    </w:p>
    <w:p w14:paraId="4B25510E" w14:textId="470AAE71" w:rsidR="00B65743" w:rsidRDefault="00B65743" w:rsidP="00B65743">
      <w:pPr>
        <w:bidi/>
        <w:spacing w:after="160" w:line="360" w:lineRule="auto"/>
        <w:ind w:left="283"/>
        <w:jc w:val="mediumKashida"/>
        <w:rPr>
          <w:rFonts w:ascii="Sakkal Majalla" w:hAnsi="Sakkal Majalla" w:cs="Sakkal Majalla"/>
          <w:rtl/>
        </w:rPr>
      </w:pPr>
      <w:r w:rsidRPr="00C53259">
        <w:rPr>
          <w:rFonts w:ascii="Sakkal Majalla" w:eastAsia="Simplified Arabic" w:hAnsi="Sakkal Majalla" w:cs="Sakkal Majalla"/>
          <w:b/>
          <w:bCs/>
          <w:sz w:val="26"/>
          <w:szCs w:val="26"/>
          <w:rtl/>
        </w:rPr>
        <w:t xml:space="preserve">• مقياس </w:t>
      </w:r>
      <w:proofErr w:type="spellStart"/>
      <w:r w:rsidRPr="00C53259">
        <w:rPr>
          <w:rFonts w:ascii="Sakkal Majalla" w:eastAsia="Simplified Arabic" w:hAnsi="Sakkal Majalla" w:cs="Sakkal Majalla"/>
          <w:b/>
          <w:bCs/>
          <w:sz w:val="26"/>
          <w:szCs w:val="26"/>
          <w:rtl/>
        </w:rPr>
        <w:t>ليكرت</w:t>
      </w:r>
      <w:proofErr w:type="spellEnd"/>
      <w:r w:rsidRPr="00C53259">
        <w:rPr>
          <w:rFonts w:ascii="Sakkal Majalla" w:eastAsia="Simplified Arabic" w:hAnsi="Sakkal Majalla" w:cs="Sakkal Majalla"/>
          <w:b/>
          <w:bCs/>
          <w:sz w:val="26"/>
          <w:szCs w:val="26"/>
          <w:rtl/>
        </w:rPr>
        <w:t xml:space="preserve"> الخماسي: </w:t>
      </w:r>
      <w:r w:rsidRPr="00C53259">
        <w:rPr>
          <w:rFonts w:ascii="Sakkal Majalla" w:eastAsia="Simplified Arabic" w:hAnsi="Sakkal Majalla" w:cs="Sakkal Majalla"/>
          <w:sz w:val="26"/>
          <w:szCs w:val="26"/>
          <w:rtl/>
        </w:rPr>
        <w:t>مقياس لقياس الاتجاهات يتدرج من خمسة بدائل، حيث يُعطى كل بديل وزنًا من (1) إلى (5): أوافق بشدة (5)، أوافق (4)، صحيح إلى حد ما (3)، لا أوافق (2)، لا أوافق بشدة (1).</w:t>
      </w:r>
    </w:p>
    <w:p w14:paraId="5BC00B8D" w14:textId="77777777" w:rsidR="00B65743" w:rsidRDefault="00B65743" w:rsidP="00B65743">
      <w:pPr>
        <w:bidi/>
        <w:spacing w:after="160" w:line="360" w:lineRule="auto"/>
        <w:ind w:left="283"/>
        <w:jc w:val="mediumKashida"/>
        <w:rPr>
          <w:rFonts w:ascii="Sakkal Majalla" w:hAnsi="Sakkal Majalla" w:cs="Sakkal Majalla"/>
        </w:rPr>
      </w:pPr>
    </w:p>
    <w:p w14:paraId="0B7C67DD" w14:textId="77777777" w:rsidR="00B65743" w:rsidRDefault="00B65743" w:rsidP="00B65743">
      <w:pPr>
        <w:bidi/>
        <w:spacing w:after="160" w:line="360" w:lineRule="auto"/>
        <w:ind w:left="283"/>
        <w:jc w:val="mediumKashida"/>
        <w:rPr>
          <w:rFonts w:ascii="Sakkal Majalla" w:hAnsi="Sakkal Majalla" w:cs="Sakkal Majalla"/>
          <w:rtl/>
        </w:rPr>
      </w:pPr>
    </w:p>
    <w:p w14:paraId="7DE312A1" w14:textId="77777777" w:rsidR="00B65743" w:rsidRDefault="00B65743" w:rsidP="00B65743">
      <w:pPr>
        <w:bidi/>
        <w:spacing w:after="160" w:line="360" w:lineRule="auto"/>
        <w:ind w:left="283"/>
        <w:jc w:val="mediumKashida"/>
        <w:rPr>
          <w:rFonts w:ascii="Sakkal Majalla" w:hAnsi="Sakkal Majalla" w:cs="Sakkal Majalla"/>
          <w:rtl/>
        </w:rPr>
      </w:pPr>
    </w:p>
    <w:p w14:paraId="629E2991" w14:textId="77777777" w:rsidR="00B65743" w:rsidRDefault="00B65743" w:rsidP="00B65743">
      <w:pPr>
        <w:bidi/>
        <w:spacing w:after="160" w:line="360" w:lineRule="auto"/>
        <w:ind w:left="283"/>
        <w:jc w:val="mediumKashida"/>
        <w:rPr>
          <w:rFonts w:ascii="Sakkal Majalla" w:hAnsi="Sakkal Majalla" w:cs="Sakkal Majalla"/>
          <w:rtl/>
        </w:rPr>
      </w:pPr>
    </w:p>
    <w:p w14:paraId="6274AA9D" w14:textId="77777777" w:rsidR="00B65743" w:rsidRDefault="00B65743" w:rsidP="00B65743">
      <w:pPr>
        <w:bidi/>
        <w:spacing w:after="160" w:line="360" w:lineRule="auto"/>
        <w:ind w:left="283"/>
        <w:jc w:val="mediumKashida"/>
        <w:rPr>
          <w:rFonts w:ascii="Sakkal Majalla" w:hAnsi="Sakkal Majalla" w:cs="Sakkal Majalla"/>
          <w:rtl/>
        </w:rPr>
      </w:pPr>
    </w:p>
    <w:p w14:paraId="26897177" w14:textId="77777777" w:rsidR="00B65743" w:rsidRDefault="00B65743" w:rsidP="00B65743">
      <w:pPr>
        <w:bidi/>
        <w:spacing w:after="160" w:line="360" w:lineRule="auto"/>
        <w:ind w:left="283"/>
        <w:jc w:val="mediumKashida"/>
        <w:rPr>
          <w:rFonts w:ascii="Sakkal Majalla" w:hAnsi="Sakkal Majalla" w:cs="Sakkal Majalla"/>
          <w:rtl/>
        </w:rPr>
      </w:pPr>
    </w:p>
    <w:p w14:paraId="0B4C7E50" w14:textId="77777777" w:rsidR="00B65743" w:rsidRDefault="00B65743" w:rsidP="00B65743">
      <w:pPr>
        <w:bidi/>
        <w:spacing w:after="160" w:line="360" w:lineRule="auto"/>
        <w:ind w:left="283"/>
        <w:jc w:val="mediumKashida"/>
        <w:rPr>
          <w:rFonts w:ascii="Sakkal Majalla" w:hAnsi="Sakkal Majalla" w:cs="Sakkal Majalla"/>
          <w:rtl/>
        </w:rPr>
      </w:pPr>
    </w:p>
    <w:p w14:paraId="7590E8D7" w14:textId="77777777" w:rsidR="00B65743" w:rsidRDefault="00B65743" w:rsidP="00B65743">
      <w:pPr>
        <w:bidi/>
        <w:spacing w:after="160" w:line="360" w:lineRule="auto"/>
        <w:ind w:left="283"/>
        <w:jc w:val="mediumKashida"/>
        <w:rPr>
          <w:rFonts w:ascii="Sakkal Majalla" w:hAnsi="Sakkal Majalla" w:cs="Sakkal Majalla"/>
          <w:rtl/>
        </w:rPr>
      </w:pPr>
    </w:p>
    <w:p w14:paraId="12EB5817" w14:textId="77777777" w:rsidR="00B65743" w:rsidRPr="007A51FD" w:rsidRDefault="00B65743" w:rsidP="00B65743">
      <w:pPr>
        <w:bidi/>
        <w:spacing w:after="160" w:line="360" w:lineRule="auto"/>
        <w:ind w:left="283"/>
        <w:jc w:val="mediumKashida"/>
        <w:rPr>
          <w:rFonts w:ascii="Sakkal Majalla" w:hAnsi="Sakkal Majalla" w:cs="Sakkal Majalla"/>
        </w:rPr>
      </w:pPr>
    </w:p>
    <w:p w14:paraId="724EA2C0"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lastRenderedPageBreak/>
        <w:t>نموذج البحث</w:t>
      </w:r>
    </w:p>
    <w:p w14:paraId="4DC699A8"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بُنِي نموذج البحث في ضوء الإطار النظري والدراسات السابقة، بحيث يتكون من متغيرين رئيسيين: المتغير المستقل ويمثل استراتيجيات إدارة الموارد البشرية بمحاورها الخمسة، والمتغير التابع ويمثل الاحتراق الوظيفي بأبعاده الثلاثة، فضلًا عن المتغيرات الديموغرافية التي يُختبر أثرها على هذه العلاقة. ويستند النموذج إلى نموذج الطلبات-الموارد الوظيفية (JD-R) الذي يُفترض أن الموارد الوظيفية الداعمة تُقلل من تأثير الطلبات الوظيفية على الصحة النفسية، وبالتالي تُقلل من الاحتراق. ويوضح الشكل (1) نموذج البحث المعتمد.</w:t>
      </w:r>
    </w:p>
    <w:p w14:paraId="5701B040" w14:textId="77777777" w:rsidR="000A6451" w:rsidRPr="007A51FD" w:rsidRDefault="006D64CD" w:rsidP="007A51FD">
      <w:pPr>
        <w:bidi/>
        <w:spacing w:before="160" w:after="160"/>
        <w:jc w:val="mediumKashida"/>
        <w:rPr>
          <w:rFonts w:ascii="Sakkal Majalla" w:hAnsi="Sakkal Majalla" w:cs="Sakkal Majalla"/>
        </w:rPr>
      </w:pPr>
      <w:r w:rsidRPr="007A51FD">
        <w:rPr>
          <w:rFonts w:ascii="Sakkal Majalla" w:eastAsia="Simplified Arabic" w:hAnsi="Sakkal Majalla" w:cs="Sakkal Majalla"/>
          <w:b/>
          <w:bCs/>
          <w:sz w:val="24"/>
          <w:szCs w:val="24"/>
          <w:rtl/>
        </w:rPr>
        <w:t>شكل (1): نموذج البحث</w:t>
      </w:r>
    </w:p>
    <w:tbl>
      <w:tblPr>
        <w:tblStyle w:val="afa"/>
        <w:bidiVisual/>
        <w:tblW w:w="0" w:type="auto"/>
        <w:tblInd w:w="-360" w:type="dxa"/>
        <w:tblLook w:val="04A0" w:firstRow="1" w:lastRow="0" w:firstColumn="1" w:lastColumn="0" w:noHBand="0" w:noVBand="1"/>
      </w:tblPr>
      <w:tblGrid>
        <w:gridCol w:w="3653"/>
        <w:gridCol w:w="1981"/>
        <w:gridCol w:w="3654"/>
      </w:tblGrid>
      <w:tr w:rsidR="000A6451" w:rsidRPr="00C53259" w14:paraId="2CA2FCFF" w14:textId="77777777" w:rsidTr="007A51FD">
        <w:trPr>
          <w:tblHeader/>
        </w:trPr>
        <w:tc>
          <w:tcPr>
            <w:tcW w:w="3653" w:type="dxa"/>
            <w:shd w:val="clear" w:color="auto" w:fill="1F4E79"/>
          </w:tcPr>
          <w:p w14:paraId="76D36881"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2"/>
                <w:rtl/>
              </w:rPr>
              <w:t>المتغير المستقل: استراتيجيات إدارة الموارد البشرية</w:t>
            </w:r>
          </w:p>
        </w:tc>
        <w:tc>
          <w:tcPr>
            <w:tcW w:w="1981" w:type="dxa"/>
            <w:shd w:val="clear" w:color="auto" w:fill="1F4E79"/>
          </w:tcPr>
          <w:p w14:paraId="275D143A"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2"/>
                <w:rtl/>
              </w:rPr>
              <w:t>العلاقة المدروسة</w:t>
            </w:r>
          </w:p>
        </w:tc>
        <w:tc>
          <w:tcPr>
            <w:tcW w:w="3654" w:type="dxa"/>
            <w:shd w:val="clear" w:color="auto" w:fill="1F4E79"/>
          </w:tcPr>
          <w:p w14:paraId="38DDB62F"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2"/>
                <w:rtl/>
              </w:rPr>
              <w:t>المتغير التابع: الاحتراق الوظيفي</w:t>
            </w:r>
          </w:p>
        </w:tc>
      </w:tr>
      <w:tr w:rsidR="000A6451" w:rsidRPr="00C53259" w14:paraId="5E335FA9" w14:textId="77777777" w:rsidTr="007A51FD">
        <w:tc>
          <w:tcPr>
            <w:tcW w:w="3653" w:type="dxa"/>
          </w:tcPr>
          <w:p w14:paraId="03D086E7"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1. التدريب والتطوير</w:t>
            </w:r>
          </w:p>
        </w:tc>
        <w:tc>
          <w:tcPr>
            <w:tcW w:w="1981" w:type="dxa"/>
          </w:tcPr>
          <w:p w14:paraId="71D3EB3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علاقة عكسية</w:t>
            </w:r>
          </w:p>
        </w:tc>
        <w:tc>
          <w:tcPr>
            <w:tcW w:w="3654" w:type="dxa"/>
          </w:tcPr>
          <w:p w14:paraId="69F45A26"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1. الإنهاك العاطفي</w:t>
            </w:r>
          </w:p>
        </w:tc>
      </w:tr>
      <w:tr w:rsidR="000A6451" w:rsidRPr="00C53259" w14:paraId="6657D6CC" w14:textId="77777777" w:rsidTr="007A51FD">
        <w:tc>
          <w:tcPr>
            <w:tcW w:w="3653" w:type="dxa"/>
          </w:tcPr>
          <w:p w14:paraId="73E9B9E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2. الحوافز والتقدير</w:t>
            </w:r>
          </w:p>
        </w:tc>
        <w:tc>
          <w:tcPr>
            <w:tcW w:w="1981" w:type="dxa"/>
          </w:tcPr>
          <w:p w14:paraId="688D8EC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Times New Roman" w:eastAsia="Simplified Arabic" w:hAnsi="Times New Roman" w:cs="Times New Roman" w:hint="cs"/>
                <w:sz w:val="22"/>
                <w:rtl/>
              </w:rPr>
              <w:t>←</w:t>
            </w:r>
          </w:p>
        </w:tc>
        <w:tc>
          <w:tcPr>
            <w:tcW w:w="3654" w:type="dxa"/>
          </w:tcPr>
          <w:p w14:paraId="19AB93F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2. تبلد المشاعر</w:t>
            </w:r>
          </w:p>
        </w:tc>
      </w:tr>
      <w:tr w:rsidR="000A6451" w:rsidRPr="00C53259" w14:paraId="4ECA8C50" w14:textId="77777777" w:rsidTr="007A51FD">
        <w:tc>
          <w:tcPr>
            <w:tcW w:w="3653" w:type="dxa"/>
          </w:tcPr>
          <w:p w14:paraId="52D8442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3. جودة بيئة العمل</w:t>
            </w:r>
          </w:p>
        </w:tc>
        <w:tc>
          <w:tcPr>
            <w:tcW w:w="1981" w:type="dxa"/>
          </w:tcPr>
          <w:p w14:paraId="4DBC33AF" w14:textId="77777777" w:rsidR="000A6451" w:rsidRPr="007A51FD" w:rsidRDefault="000A6451" w:rsidP="007A51FD">
            <w:pPr>
              <w:bidi/>
              <w:spacing w:before="40" w:after="40"/>
              <w:ind w:left="360"/>
              <w:jc w:val="mediumKashida"/>
              <w:rPr>
                <w:rFonts w:ascii="Sakkal Majalla" w:hAnsi="Sakkal Majalla" w:cs="Sakkal Majalla"/>
              </w:rPr>
            </w:pPr>
          </w:p>
        </w:tc>
        <w:tc>
          <w:tcPr>
            <w:tcW w:w="3654" w:type="dxa"/>
          </w:tcPr>
          <w:p w14:paraId="4817A966"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3. انخفاض الشعور بالإنجاز</w:t>
            </w:r>
          </w:p>
        </w:tc>
      </w:tr>
      <w:tr w:rsidR="000A6451" w:rsidRPr="00C53259" w14:paraId="5E8C066D" w14:textId="77777777" w:rsidTr="007A51FD">
        <w:tc>
          <w:tcPr>
            <w:tcW w:w="3653" w:type="dxa"/>
          </w:tcPr>
          <w:p w14:paraId="4B75C63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4. الدعم القيادي والإداري</w:t>
            </w:r>
          </w:p>
        </w:tc>
        <w:tc>
          <w:tcPr>
            <w:tcW w:w="1981" w:type="dxa"/>
          </w:tcPr>
          <w:p w14:paraId="0042B83A" w14:textId="77777777" w:rsidR="000A6451" w:rsidRPr="007A51FD" w:rsidRDefault="000A6451" w:rsidP="007A51FD">
            <w:pPr>
              <w:bidi/>
              <w:spacing w:before="40" w:after="40"/>
              <w:ind w:left="360"/>
              <w:jc w:val="mediumKashida"/>
              <w:rPr>
                <w:rFonts w:ascii="Sakkal Majalla" w:hAnsi="Sakkal Majalla" w:cs="Sakkal Majalla"/>
              </w:rPr>
            </w:pPr>
          </w:p>
        </w:tc>
        <w:tc>
          <w:tcPr>
            <w:tcW w:w="3654" w:type="dxa"/>
          </w:tcPr>
          <w:p w14:paraId="1AA2470A" w14:textId="77777777" w:rsidR="000A6451" w:rsidRPr="007A51FD" w:rsidRDefault="000A6451" w:rsidP="007A51FD">
            <w:pPr>
              <w:bidi/>
              <w:spacing w:before="40" w:after="40"/>
              <w:ind w:left="360"/>
              <w:jc w:val="mediumKashida"/>
              <w:rPr>
                <w:rFonts w:ascii="Sakkal Majalla" w:hAnsi="Sakkal Majalla" w:cs="Sakkal Majalla"/>
              </w:rPr>
            </w:pPr>
          </w:p>
        </w:tc>
      </w:tr>
      <w:tr w:rsidR="000A6451" w:rsidRPr="00C53259" w14:paraId="691416DE" w14:textId="77777777" w:rsidTr="007A51FD">
        <w:tc>
          <w:tcPr>
            <w:tcW w:w="3653" w:type="dxa"/>
          </w:tcPr>
          <w:p w14:paraId="3CDF69D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5. إدارة عبء العمل والتوازن بين العمل والحياة</w:t>
            </w:r>
          </w:p>
        </w:tc>
        <w:tc>
          <w:tcPr>
            <w:tcW w:w="1981" w:type="dxa"/>
          </w:tcPr>
          <w:p w14:paraId="61ECD5F1" w14:textId="77777777" w:rsidR="000A6451" w:rsidRPr="007A51FD" w:rsidRDefault="000A6451" w:rsidP="007A51FD">
            <w:pPr>
              <w:bidi/>
              <w:spacing w:before="40" w:after="40"/>
              <w:ind w:left="360"/>
              <w:jc w:val="mediumKashida"/>
              <w:rPr>
                <w:rFonts w:ascii="Sakkal Majalla" w:hAnsi="Sakkal Majalla" w:cs="Sakkal Majalla"/>
              </w:rPr>
            </w:pPr>
          </w:p>
        </w:tc>
        <w:tc>
          <w:tcPr>
            <w:tcW w:w="3654" w:type="dxa"/>
          </w:tcPr>
          <w:p w14:paraId="55D86128" w14:textId="77777777" w:rsidR="000A6451" w:rsidRPr="007A51FD" w:rsidRDefault="000A6451" w:rsidP="007A51FD">
            <w:pPr>
              <w:bidi/>
              <w:spacing w:before="40" w:after="40"/>
              <w:ind w:left="360"/>
              <w:jc w:val="mediumKashida"/>
              <w:rPr>
                <w:rFonts w:ascii="Sakkal Majalla" w:hAnsi="Sakkal Majalla" w:cs="Sakkal Majalla"/>
              </w:rPr>
            </w:pPr>
          </w:p>
        </w:tc>
      </w:tr>
    </w:tbl>
    <w:p w14:paraId="42BE2C99" w14:textId="77777777" w:rsidR="000A6451" w:rsidRPr="00C53259" w:rsidRDefault="000A6451" w:rsidP="007A51FD">
      <w:pPr>
        <w:bidi/>
        <w:spacing w:after="120"/>
        <w:jc w:val="mediumKashida"/>
        <w:rPr>
          <w:rFonts w:ascii="Sakkal Majalla" w:hAnsi="Sakkal Majalla" w:cs="Sakkal Majalla"/>
        </w:rPr>
      </w:pPr>
    </w:p>
    <w:p w14:paraId="14C1BD48" w14:textId="77777777" w:rsidR="000A6451" w:rsidRDefault="006D64CD" w:rsidP="007A51FD">
      <w:pPr>
        <w:bidi/>
        <w:spacing w:before="160" w:after="160" w:line="408" w:lineRule="auto"/>
        <w:jc w:val="mediumKashida"/>
        <w:rPr>
          <w:rFonts w:ascii="Sakkal Majalla" w:hAnsi="Sakkal Majalla" w:cs="Sakkal Majalla"/>
          <w:rtl/>
        </w:rPr>
      </w:pPr>
      <w:r w:rsidRPr="007A51FD">
        <w:rPr>
          <w:rFonts w:ascii="Sakkal Majalla" w:eastAsia="Simplified Arabic" w:hAnsi="Sakkal Majalla" w:cs="Sakkal Majalla"/>
          <w:sz w:val="30"/>
          <w:szCs w:val="30"/>
          <w:rtl/>
        </w:rPr>
        <w:t>المتغيرات الديموغرافية: الجنس، العمر، المؤهل العلمي، المسمى الوظيفي، سنوات الخبرة.</w:t>
      </w:r>
    </w:p>
    <w:p w14:paraId="67877AD4" w14:textId="77777777" w:rsidR="00E2206E" w:rsidRDefault="00E2206E" w:rsidP="00E2206E">
      <w:pPr>
        <w:bidi/>
        <w:spacing w:before="160" w:after="160" w:line="408" w:lineRule="auto"/>
        <w:jc w:val="mediumKashida"/>
        <w:rPr>
          <w:rFonts w:ascii="Sakkal Majalla" w:hAnsi="Sakkal Majalla" w:cs="Sakkal Majalla"/>
          <w:rtl/>
        </w:rPr>
      </w:pPr>
    </w:p>
    <w:p w14:paraId="737D9738" w14:textId="77777777" w:rsidR="00E2206E" w:rsidRDefault="00E2206E" w:rsidP="00E2206E">
      <w:pPr>
        <w:bidi/>
        <w:spacing w:before="160" w:after="160" w:line="408" w:lineRule="auto"/>
        <w:jc w:val="mediumKashida"/>
        <w:rPr>
          <w:rFonts w:ascii="Sakkal Majalla" w:hAnsi="Sakkal Majalla" w:cs="Sakkal Majalla"/>
          <w:rtl/>
        </w:rPr>
      </w:pPr>
    </w:p>
    <w:p w14:paraId="2EAA660A" w14:textId="77777777" w:rsidR="00E2206E" w:rsidRDefault="00E2206E" w:rsidP="00E2206E">
      <w:pPr>
        <w:bidi/>
        <w:spacing w:before="160" w:after="160" w:line="408" w:lineRule="auto"/>
        <w:jc w:val="mediumKashida"/>
        <w:rPr>
          <w:rFonts w:ascii="Sakkal Majalla" w:hAnsi="Sakkal Majalla" w:cs="Sakkal Majalla"/>
          <w:rtl/>
        </w:rPr>
      </w:pPr>
    </w:p>
    <w:p w14:paraId="1728723C" w14:textId="77777777" w:rsidR="00E2206E" w:rsidRPr="007A51FD" w:rsidRDefault="00E2206E" w:rsidP="00E2206E">
      <w:pPr>
        <w:bidi/>
        <w:spacing w:before="160" w:after="160" w:line="408" w:lineRule="auto"/>
        <w:jc w:val="mediumKashida"/>
        <w:rPr>
          <w:rFonts w:ascii="Sakkal Majalla" w:hAnsi="Sakkal Majalla" w:cs="Sakkal Majalla"/>
        </w:rPr>
      </w:pPr>
    </w:p>
    <w:p w14:paraId="67872282"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lastRenderedPageBreak/>
        <w:t xml:space="preserve">الإطار </w:t>
      </w:r>
      <w:proofErr w:type="spellStart"/>
      <w:r w:rsidRPr="00C53259">
        <w:rPr>
          <w:rFonts w:ascii="Sakkal Majalla" w:eastAsia="Simplified Arabic" w:hAnsi="Sakkal Majalla" w:cs="Sakkal Majalla"/>
          <w:szCs w:val="32"/>
          <w:rtl/>
        </w:rPr>
        <w:t>المفاهيمي</w:t>
      </w:r>
      <w:proofErr w:type="spellEnd"/>
      <w:r w:rsidRPr="00C53259">
        <w:rPr>
          <w:rFonts w:ascii="Sakkal Majalla" w:eastAsia="Simplified Arabic" w:hAnsi="Sakkal Majalla" w:cs="Sakkal Majalla"/>
          <w:szCs w:val="32"/>
          <w:rtl/>
        </w:rPr>
        <w:t xml:space="preserve"> للدراسة</w:t>
      </w:r>
    </w:p>
    <w:p w14:paraId="4643CDA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يستند البحث إلى إطار مفاهيمي متكامل يربط بين ثلاثة محاور رئيسية: استراتيجيات إدارة الموارد البشرية بوصفها متغيرًا مستقلًا، والاحتراق الوظيفي بوصفه متغيرًا تابعًا، وبرنامج التحول الصحي بوصفه الإطار </w:t>
      </w:r>
      <w:proofErr w:type="spellStart"/>
      <w:r w:rsidRPr="007A51FD">
        <w:rPr>
          <w:rFonts w:ascii="Sakkal Majalla" w:eastAsia="Simplified Arabic" w:hAnsi="Sakkal Majalla" w:cs="Sakkal Majalla"/>
          <w:sz w:val="30"/>
          <w:szCs w:val="30"/>
          <w:rtl/>
        </w:rPr>
        <w:t>السياقي</w:t>
      </w:r>
      <w:proofErr w:type="spellEnd"/>
      <w:r w:rsidRPr="007A51FD">
        <w:rPr>
          <w:rFonts w:ascii="Sakkal Majalla" w:eastAsia="Simplified Arabic" w:hAnsi="Sakkal Majalla" w:cs="Sakkal Majalla"/>
          <w:sz w:val="30"/>
          <w:szCs w:val="30"/>
          <w:rtl/>
        </w:rPr>
        <w:t xml:space="preserve"> الحاكم للعلاقة بينهما. وينطلق هذا الإطار من فلسفة مركزية مفادها أن الكوادر الصحية تُمثّل الثروة الحقيقية للقطاع الصحي، وأن استدامتها ورفاهيتها شرط أساسي لنجاح أي تحول صحي، وأن إدارة الموارد البشرية ليست وظيفة إدارية ثانوية بل شريك استراتيجي في بناء منظومة صحية مستدامة.</w:t>
      </w:r>
    </w:p>
    <w:p w14:paraId="3234BC15"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ويتأسس الإطار </w:t>
      </w:r>
      <w:proofErr w:type="spellStart"/>
      <w:r w:rsidRPr="007A51FD">
        <w:rPr>
          <w:rFonts w:ascii="Sakkal Majalla" w:eastAsia="Simplified Arabic" w:hAnsi="Sakkal Majalla" w:cs="Sakkal Majalla"/>
          <w:sz w:val="30"/>
          <w:szCs w:val="30"/>
          <w:rtl/>
        </w:rPr>
        <w:t>المفاهيمي</w:t>
      </w:r>
      <w:proofErr w:type="spellEnd"/>
      <w:r w:rsidRPr="007A51FD">
        <w:rPr>
          <w:rFonts w:ascii="Sakkal Majalla" w:eastAsia="Simplified Arabic" w:hAnsi="Sakkal Majalla" w:cs="Sakkal Majalla"/>
          <w:sz w:val="30"/>
          <w:szCs w:val="30"/>
          <w:rtl/>
        </w:rPr>
        <w:t xml:space="preserve"> على عدد من المبادئ المتداخلة. أولًا، مبدأ الشمولية، إذ تُعالج ظاهرة الاحتراق الوظيفي من خلال منظومة متكاملة من المحاور لا عبر محور واحد، انطلاقًا من أن الاحتراق ظاهرة متعددة الأسباب تستوجب معالجة متعددة الأبعاد. ثانيًا، مبدأ الاستباقية، حيث تنتقل إدارة الموارد البشرية من دورها التفاعلي (علاج الاحتراق بعد وقوعه) إلى دور استباقي (الوقاية من الاحتراق قبل تفاقمه). ثالثًا، مبدأ التكيّف </w:t>
      </w:r>
      <w:proofErr w:type="spellStart"/>
      <w:r w:rsidRPr="007A51FD">
        <w:rPr>
          <w:rFonts w:ascii="Sakkal Majalla" w:eastAsia="Simplified Arabic" w:hAnsi="Sakkal Majalla" w:cs="Sakkal Majalla"/>
          <w:sz w:val="30"/>
          <w:szCs w:val="30"/>
          <w:rtl/>
        </w:rPr>
        <w:t>السياقي</w:t>
      </w:r>
      <w:proofErr w:type="spellEnd"/>
      <w:r w:rsidRPr="007A51FD">
        <w:rPr>
          <w:rFonts w:ascii="Sakkal Majalla" w:eastAsia="Simplified Arabic" w:hAnsi="Sakkal Majalla" w:cs="Sakkal Majalla"/>
          <w:sz w:val="30"/>
          <w:szCs w:val="30"/>
          <w:rtl/>
        </w:rPr>
        <w:t>، إذ تُصمم الاستراتيجيات بما يتسق مع خصوصية السياق السعودي ومتطلبات برنامج التحول الصحي. رابعًا، مبدأ القياس المستمر، حيث يُؤكد الإطار على أهمية بناء مؤشرات لقياس مستوى الاحتراق ومستوى تطبيق الاستراتيجيات بشكل دوري، لتمكين صناع القرار من متابعة التقدم وتعديل المسار.</w:t>
      </w:r>
    </w:p>
    <w:p w14:paraId="2C20519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ويفترض الإطار </w:t>
      </w:r>
      <w:proofErr w:type="spellStart"/>
      <w:r w:rsidRPr="007A51FD">
        <w:rPr>
          <w:rFonts w:ascii="Sakkal Majalla" w:eastAsia="Simplified Arabic" w:hAnsi="Sakkal Majalla" w:cs="Sakkal Majalla"/>
          <w:sz w:val="30"/>
          <w:szCs w:val="30"/>
          <w:rtl/>
        </w:rPr>
        <w:t>المفاهيمي</w:t>
      </w:r>
      <w:proofErr w:type="spellEnd"/>
      <w:r w:rsidRPr="007A51FD">
        <w:rPr>
          <w:rFonts w:ascii="Sakkal Majalla" w:eastAsia="Simplified Arabic" w:hAnsi="Sakkal Majalla" w:cs="Sakkal Majalla"/>
          <w:sz w:val="30"/>
          <w:szCs w:val="30"/>
          <w:rtl/>
        </w:rPr>
        <w:t xml:space="preserve"> أن العلاقة بين استراتيجيات إدارة الموارد البشرية والاحتراق الوظيفي ليست علاقة بسيطة، بل علاقة معقدة </w:t>
      </w:r>
      <w:proofErr w:type="spellStart"/>
      <w:r w:rsidRPr="007A51FD">
        <w:rPr>
          <w:rFonts w:ascii="Sakkal Majalla" w:eastAsia="Simplified Arabic" w:hAnsi="Sakkal Majalla" w:cs="Sakkal Majalla"/>
          <w:sz w:val="30"/>
          <w:szCs w:val="30"/>
          <w:rtl/>
        </w:rPr>
        <w:t>تتوسطها</w:t>
      </w:r>
      <w:proofErr w:type="spellEnd"/>
      <w:r w:rsidRPr="007A51FD">
        <w:rPr>
          <w:rFonts w:ascii="Sakkal Majalla" w:eastAsia="Simplified Arabic" w:hAnsi="Sakkal Majalla" w:cs="Sakkal Majalla"/>
          <w:sz w:val="30"/>
          <w:szCs w:val="30"/>
          <w:rtl/>
        </w:rPr>
        <w:t xml:space="preserve"> عوامل عدة منها: الثقافة التنظيمية، وخصائص القيادة، والبيئة الخارجية، والخصائص الفردية للعاملين. كما يفترض أن تأثير كل محور من محاور استراتيجيات إدارة الموارد البشرية يختلف باختلاف بُعد الاحتراق الوظيفي، فمحور إدارة عبء العمل </w:t>
      </w:r>
      <w:r w:rsidRPr="007A51FD">
        <w:rPr>
          <w:rFonts w:ascii="Sakkal Majalla" w:eastAsia="Simplified Arabic" w:hAnsi="Sakkal Majalla" w:cs="Sakkal Majalla"/>
          <w:sz w:val="30"/>
          <w:szCs w:val="30"/>
          <w:rtl/>
        </w:rPr>
        <w:lastRenderedPageBreak/>
        <w:t>يُؤثر بقوة على الإنهاك العاطفي، فيما يُؤثر محور الحوافز والتقدير بقوة على تبلد المشاعر، ويُؤثر محور التدريب والتطوير والدعم القيادي على انخفاض الشعور بالإنجاز. ويُمثّل هذا الفهم التفصيلي للعلاقات جوهر الإضافة المعرفية للدراسة، ويُوجّه تصميم الفرضيات الفرعية وتفسير النتائج.</w:t>
      </w:r>
    </w:p>
    <w:p w14:paraId="6EE7C1A9"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حدود البحث</w:t>
      </w:r>
    </w:p>
    <w:p w14:paraId="4BFD512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تقتصر حدود هذا البحث على ما يلي:</w:t>
      </w:r>
    </w:p>
    <w:p w14:paraId="501E25A5" w14:textId="65D157B7" w:rsidR="000A6451" w:rsidRPr="007A51FD" w:rsidRDefault="006D64CD" w:rsidP="00E2206E">
      <w:pPr>
        <w:bidi/>
        <w:spacing w:after="120" w:line="360" w:lineRule="auto"/>
        <w:jc w:val="mediumKashida"/>
        <w:rPr>
          <w:rFonts w:ascii="Sakkal Majalla" w:hAnsi="Sakkal Majalla" w:cs="Sakkal Majalla"/>
        </w:rPr>
      </w:pPr>
      <w:r w:rsidRPr="007A51FD">
        <w:rPr>
          <w:rFonts w:ascii="Sakkal Majalla" w:eastAsia="Simplified Arabic" w:hAnsi="Sakkal Majalla" w:cs="Sakkal Majalla"/>
          <w:b/>
          <w:bCs/>
          <w:szCs w:val="28"/>
          <w:rtl/>
        </w:rPr>
        <w:t xml:space="preserve">الحدود الموضوعية: </w:t>
      </w:r>
      <w:r w:rsidRPr="007A51FD">
        <w:rPr>
          <w:rFonts w:ascii="Sakkal Majalla" w:eastAsia="Simplified Arabic" w:hAnsi="Sakkal Majalla" w:cs="Sakkal Majalla"/>
          <w:szCs w:val="28"/>
          <w:rtl/>
        </w:rPr>
        <w:t>يقتصر البحث على دراسة دور استراتيجيات إدارة الموارد البشرية في مواجهة الاحتراق الوظيفي لدى الكوادر الصحية السعودية، من خلال خمسة محاور لاستراتيجيات إدارة الموارد البشرية وثلاثة أبعاد للاحتراق الوظيفي، في ضوء متطلبات برنامج التحول الصحي.</w:t>
      </w:r>
    </w:p>
    <w:p w14:paraId="2F970FCC" w14:textId="10E43843" w:rsidR="000A6451" w:rsidRPr="007A51FD" w:rsidRDefault="006D64CD" w:rsidP="00E2206E">
      <w:pPr>
        <w:bidi/>
        <w:spacing w:after="120" w:line="360" w:lineRule="auto"/>
        <w:jc w:val="mediumKashida"/>
        <w:rPr>
          <w:rFonts w:ascii="Sakkal Majalla" w:hAnsi="Sakkal Majalla" w:cs="Sakkal Majalla"/>
        </w:rPr>
      </w:pPr>
      <w:r w:rsidRPr="007A51FD">
        <w:rPr>
          <w:rFonts w:ascii="Sakkal Majalla" w:eastAsia="Simplified Arabic" w:hAnsi="Sakkal Majalla" w:cs="Sakkal Majalla"/>
          <w:b/>
          <w:bCs/>
          <w:szCs w:val="28"/>
          <w:rtl/>
        </w:rPr>
        <w:t xml:space="preserve">الحدود المكانية: </w:t>
      </w:r>
      <w:r w:rsidRPr="007A51FD">
        <w:rPr>
          <w:rFonts w:ascii="Sakkal Majalla" w:eastAsia="Simplified Arabic" w:hAnsi="Sakkal Majalla" w:cs="Sakkal Majalla"/>
          <w:szCs w:val="28"/>
          <w:rtl/>
        </w:rPr>
        <w:t>تُطبَّق الدراسة على الكوادر الصحية السعودية العاملين في عدد من المنشآت الصحية الحكومية والخاصة بمنطقة الرياض بالمملكة العربية السعودية.</w:t>
      </w:r>
    </w:p>
    <w:p w14:paraId="5145CB51" w14:textId="62E1AD50" w:rsidR="000A6451" w:rsidRPr="007A51FD" w:rsidRDefault="006D64CD" w:rsidP="00E2206E">
      <w:pPr>
        <w:bidi/>
        <w:spacing w:after="120" w:line="360" w:lineRule="auto"/>
        <w:jc w:val="mediumKashida"/>
        <w:rPr>
          <w:rFonts w:ascii="Sakkal Majalla" w:hAnsi="Sakkal Majalla" w:cs="Sakkal Majalla"/>
        </w:rPr>
      </w:pPr>
      <w:r w:rsidRPr="007A51FD">
        <w:rPr>
          <w:rFonts w:ascii="Sakkal Majalla" w:eastAsia="Simplified Arabic" w:hAnsi="Sakkal Majalla" w:cs="Sakkal Majalla"/>
          <w:b/>
          <w:bCs/>
          <w:szCs w:val="28"/>
          <w:rtl/>
        </w:rPr>
        <w:t xml:space="preserve">الحدود الزمانية: </w:t>
      </w:r>
      <w:r w:rsidRPr="007A51FD">
        <w:rPr>
          <w:rFonts w:ascii="Sakkal Majalla" w:eastAsia="Simplified Arabic" w:hAnsi="Sakkal Majalla" w:cs="Sakkal Majalla"/>
          <w:szCs w:val="28"/>
          <w:rtl/>
        </w:rPr>
        <w:t>أُجريت الدراسة الميدانية خلال الفصل الدراسي الثاني من العام الجامعي 1446/1447هـ الموافق 2026م.</w:t>
      </w:r>
    </w:p>
    <w:p w14:paraId="7D95C3D4" w14:textId="4FA233C0" w:rsidR="000A6451" w:rsidRPr="007A51FD" w:rsidRDefault="006D64CD" w:rsidP="00E2206E">
      <w:pPr>
        <w:bidi/>
        <w:spacing w:after="120" w:line="360" w:lineRule="auto"/>
        <w:jc w:val="mediumKashida"/>
        <w:rPr>
          <w:rFonts w:ascii="Sakkal Majalla" w:hAnsi="Sakkal Majalla" w:cs="Sakkal Majalla"/>
        </w:rPr>
      </w:pPr>
      <w:r w:rsidRPr="007A51FD">
        <w:rPr>
          <w:rFonts w:ascii="Sakkal Majalla" w:eastAsia="Simplified Arabic" w:hAnsi="Sakkal Majalla" w:cs="Sakkal Majalla"/>
          <w:b/>
          <w:bCs/>
          <w:szCs w:val="28"/>
          <w:rtl/>
        </w:rPr>
        <w:t xml:space="preserve">الحدود البشرية: </w:t>
      </w:r>
      <w:r w:rsidRPr="007A51FD">
        <w:rPr>
          <w:rFonts w:ascii="Sakkal Majalla" w:eastAsia="Simplified Arabic" w:hAnsi="Sakkal Majalla" w:cs="Sakkal Majalla"/>
          <w:szCs w:val="28"/>
          <w:rtl/>
        </w:rPr>
        <w:t>تشمل عينة الدراسة الكوادر الصحية السعودية من أطباء وممرضين وممرضات وفنيين صحيين وصيادلة وإداريين صحيين عاملين في القطاع الصحي بمنطقة الرياض.</w:t>
      </w:r>
    </w:p>
    <w:p w14:paraId="48E7594C" w14:textId="05B31582" w:rsidR="000A6451" w:rsidRPr="007A51FD" w:rsidRDefault="000A6451" w:rsidP="007A51FD">
      <w:pPr>
        <w:bidi/>
        <w:spacing w:before="160" w:after="160" w:line="408" w:lineRule="auto"/>
        <w:jc w:val="mediumKashida"/>
        <w:rPr>
          <w:rFonts w:ascii="Sakkal Majalla" w:hAnsi="Sakkal Majalla" w:cs="Sakkal Majalla"/>
        </w:rPr>
      </w:pPr>
    </w:p>
    <w:p w14:paraId="6E598D5A" w14:textId="77777777" w:rsidR="000A6451" w:rsidRPr="007A51FD" w:rsidRDefault="006D64CD" w:rsidP="007A51FD">
      <w:pPr>
        <w:bidi/>
        <w:jc w:val="mediumKashida"/>
        <w:rPr>
          <w:rFonts w:ascii="Sakkal Majalla" w:hAnsi="Sakkal Majalla" w:cs="Sakkal Majalla"/>
        </w:rPr>
      </w:pPr>
      <w:r w:rsidRPr="007A51FD">
        <w:rPr>
          <w:rFonts w:ascii="Sakkal Majalla" w:hAnsi="Sakkal Majalla" w:cs="Sakkal Majalla"/>
        </w:rPr>
        <w:br/>
      </w:r>
      <w:r w:rsidRPr="007A51FD">
        <w:rPr>
          <w:rFonts w:ascii="Sakkal Majalla" w:hAnsi="Sakkal Majalla" w:cs="Sakkal Majalla"/>
        </w:rPr>
        <w:br w:type="page"/>
      </w:r>
    </w:p>
    <w:p w14:paraId="74E5F56E" w14:textId="77777777" w:rsidR="00E2206E" w:rsidRDefault="00E2206E" w:rsidP="00E2206E">
      <w:pPr>
        <w:bidi/>
        <w:spacing w:before="2400"/>
        <w:jc w:val="center"/>
        <w:rPr>
          <w:rFonts w:ascii="Sakkal Majalla" w:eastAsia="Simplified Arabic" w:hAnsi="Sakkal Majalla" w:cs="Sakkal Majalla"/>
          <w:b/>
          <w:bCs/>
          <w:color w:val="1F4E79"/>
          <w:sz w:val="72"/>
          <w:szCs w:val="72"/>
          <w:rtl/>
        </w:rPr>
      </w:pPr>
    </w:p>
    <w:p w14:paraId="5253A625" w14:textId="77777777" w:rsidR="00301C18" w:rsidRDefault="00301C18" w:rsidP="00301C18">
      <w:pPr>
        <w:bidi/>
        <w:spacing w:before="2400"/>
        <w:jc w:val="center"/>
        <w:rPr>
          <w:rFonts w:ascii="Sakkal Majalla" w:eastAsia="Simplified Arabic" w:hAnsi="Sakkal Majalla" w:cs="Sakkal Majalla"/>
          <w:b/>
          <w:bCs/>
          <w:color w:val="1F4E79"/>
          <w:sz w:val="72"/>
          <w:szCs w:val="72"/>
          <w:rtl/>
        </w:rPr>
      </w:pPr>
    </w:p>
    <w:p w14:paraId="7C90A03D" w14:textId="24B9545B" w:rsidR="000A6451" w:rsidRPr="00E2206E" w:rsidRDefault="006D64CD" w:rsidP="00E2206E">
      <w:pPr>
        <w:bidi/>
        <w:spacing w:before="2400"/>
        <w:jc w:val="center"/>
        <w:rPr>
          <w:rFonts w:ascii="Sakkal Majalla" w:hAnsi="Sakkal Majalla" w:cs="Sakkal Majalla"/>
          <w:sz w:val="72"/>
          <w:szCs w:val="72"/>
        </w:rPr>
      </w:pPr>
      <w:r w:rsidRPr="00E2206E">
        <w:rPr>
          <w:rFonts w:ascii="Sakkal Majalla" w:eastAsia="Simplified Arabic" w:hAnsi="Sakkal Majalla" w:cs="Sakkal Majalla"/>
          <w:b/>
          <w:bCs/>
          <w:color w:val="1F4E79"/>
          <w:sz w:val="72"/>
          <w:szCs w:val="72"/>
          <w:rtl/>
        </w:rPr>
        <w:t>الفصل الثاني</w:t>
      </w:r>
    </w:p>
    <w:p w14:paraId="53604F9A" w14:textId="77777777" w:rsidR="000A6451" w:rsidRPr="00E2206E" w:rsidRDefault="006D64CD" w:rsidP="00E2206E">
      <w:pPr>
        <w:bidi/>
        <w:jc w:val="center"/>
        <w:rPr>
          <w:rFonts w:ascii="Sakkal Majalla" w:hAnsi="Sakkal Majalla" w:cs="Sakkal Majalla"/>
          <w:sz w:val="72"/>
          <w:szCs w:val="72"/>
        </w:rPr>
      </w:pPr>
      <w:r w:rsidRPr="00E2206E">
        <w:rPr>
          <w:rFonts w:ascii="Sakkal Majalla" w:eastAsia="Simplified Arabic" w:hAnsi="Sakkal Majalla" w:cs="Sakkal Majalla"/>
          <w:b/>
          <w:bCs/>
          <w:color w:val="1F4E79"/>
          <w:sz w:val="72"/>
          <w:szCs w:val="72"/>
          <w:rtl/>
        </w:rPr>
        <w:t>الإطار النظري والدراسات السابقة</w:t>
      </w:r>
    </w:p>
    <w:p w14:paraId="30DAA222" w14:textId="77777777" w:rsidR="000A6451" w:rsidRPr="007A51FD" w:rsidRDefault="006D64CD" w:rsidP="007A51FD">
      <w:pPr>
        <w:bidi/>
        <w:jc w:val="mediumKashida"/>
        <w:rPr>
          <w:rFonts w:ascii="Sakkal Majalla" w:hAnsi="Sakkal Majalla" w:cs="Sakkal Majalla"/>
        </w:rPr>
      </w:pPr>
      <w:r w:rsidRPr="007A51FD">
        <w:rPr>
          <w:rFonts w:ascii="Sakkal Majalla" w:hAnsi="Sakkal Majalla" w:cs="Sakkal Majalla"/>
        </w:rPr>
        <w:br/>
      </w:r>
      <w:r w:rsidRPr="007A51FD">
        <w:rPr>
          <w:rFonts w:ascii="Sakkal Majalla" w:hAnsi="Sakkal Majalla" w:cs="Sakkal Majalla"/>
        </w:rPr>
        <w:br w:type="page"/>
      </w:r>
    </w:p>
    <w:p w14:paraId="4E8ACE5D"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lastRenderedPageBreak/>
        <w:t>مقدمة</w:t>
      </w:r>
    </w:p>
    <w:p w14:paraId="3E1BA1B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يُعدّ هذا الفصل الركيزة النظرية التي يستند إليها البحث، إذ يتناول الإطار النظري للمتغيرات الرئيسية محل الدراسة، وذلك من خلال استعراض المفاهيم والأبعاد والنظريات المفسرة لاستراتيجيات إدارة الموارد البشرية والاحتراق الوظيفي، ومتطلبات برنامج التحول الصحي، ثم يستعرض الدراسات السابقة العربية والأجنبية التي تناولت هذه المتغيرات، مع تحليل نقدي عميق لها يكشف عن أوجه التشابه والاختلاف فيما بينها، وإبراز الفجوة البحثية، وبيان ما يميز الدراسة الحالية عن سابقاتها. وقد اعتمد الباحث في بناء هذا الفصل على مصادر علمية موثوقة من كتب ومجلات علمية محكمة ودراسات أكاديمية منشورة، إضافةً إلى التقارير الرسمية الصادرة عن الجهات المعنية بالقطاع الصحي في المملكة العربية السعودية ومنظمات الصحة الدولية.</w:t>
      </w:r>
    </w:p>
    <w:p w14:paraId="45180B2D"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t>أولاً: الإطار النظري للبحث</w:t>
      </w:r>
    </w:p>
    <w:p w14:paraId="46719670" w14:textId="36A344F8"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استراتيجيات إدارة الموارد البشرية</w:t>
      </w:r>
    </w:p>
    <w:p w14:paraId="0EA51F68"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مرّ مفهوم إدارة الموارد البشرية بمراحل تطورية متعاقبة انعكست فيها تحولات الفكر الإداري وتغيرات بيئة العمل. ففي بدايات القرن العشرين، ساد التوجه التقليدي الذي يُعرَف بإدارة الأفراد (</w:t>
      </w:r>
      <w:proofErr w:type="spellStart"/>
      <w:r w:rsidRPr="007A51FD">
        <w:rPr>
          <w:rFonts w:ascii="Sakkal Majalla" w:eastAsia="Simplified Arabic" w:hAnsi="Sakkal Majalla" w:cs="Sakkal Majalla"/>
          <w:sz w:val="30"/>
          <w:szCs w:val="30"/>
          <w:rtl/>
        </w:rPr>
        <w:t>Personnel</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Management</w:t>
      </w:r>
      <w:proofErr w:type="spellEnd"/>
      <w:r w:rsidRPr="007A51FD">
        <w:rPr>
          <w:rFonts w:ascii="Sakkal Majalla" w:eastAsia="Simplified Arabic" w:hAnsi="Sakkal Majalla" w:cs="Sakkal Majalla"/>
          <w:sz w:val="30"/>
          <w:szCs w:val="30"/>
          <w:rtl/>
        </w:rPr>
        <w:t xml:space="preserve">)، والذي يركّز على الأنشطة الإدارية الروتينية كحفظ ملفات العاملين وإدارة الرواتب والإجازات وتنفيذ إجراءات التوظيف، دون ربط هذه الأنشطة بالاستراتيجية الشاملة للمنظمة. ثم تطور المفهوم في سبعينيات وثمانينيات القرن العشرين نحو إدارة الموارد البشرية التي نظرت إلى العاملين بوصفهم موردًا ينبغي تنميته لا مجرد تكلفة ينبغي التحكم فيها، وأدخلت مفاهيم التخطيط الاستراتيجي للموارد البشرية والربط بين أهداف المنظمة وأهداف العاملين. ومنذ تسعينيات القرن العشرين، ظهر التوجه الاستراتيجي المتقدم الذي يُعرف بإدارة الموارد البشرية </w:t>
      </w:r>
      <w:r w:rsidRPr="007A51FD">
        <w:rPr>
          <w:rFonts w:ascii="Sakkal Majalla" w:eastAsia="Simplified Arabic" w:hAnsi="Sakkal Majalla" w:cs="Sakkal Majalla"/>
          <w:sz w:val="30"/>
          <w:szCs w:val="30"/>
          <w:rtl/>
        </w:rPr>
        <w:lastRenderedPageBreak/>
        <w:t>الاستراتيجية، والذي يُعدّ الموارد البشرية أصلًا استراتيجيًا ينطوي على قيمة تنافسية يصعب على المنافسين تقليدها، ويدمج قرارات الموارد البشرية في صياغة الاستراتيجية وتنفيذها (</w:t>
      </w:r>
      <w:proofErr w:type="spellStart"/>
      <w:r w:rsidRPr="007A51FD">
        <w:rPr>
          <w:rFonts w:ascii="Sakkal Majalla" w:eastAsia="Simplified Arabic" w:hAnsi="Sakkal Majalla" w:cs="Sakkal Majalla"/>
          <w:sz w:val="30"/>
          <w:szCs w:val="30"/>
          <w:rtl/>
        </w:rPr>
        <w:t>Lengnick-Hall</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2009).</w:t>
      </w:r>
    </w:p>
    <w:p w14:paraId="6FB28EA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وفي القطاع الصحي تحديدًا، شهدت ممارسات إدارة الموارد البشرية تطورًا متأخرًا نسبيًا مقارنة بقطاعات الأعمال، نظرًا لخصوصية العمل الصحي الذي يغلب عليه الطابع المهني والتخصصي. غير أن التحديات المتزايدة التي تواجه المنظومات الصحية، كارتفاع تكاليف الرعاية، والنقص في الكوادر، وزيادة الطلب على الخدمات، فضلًا عن تحولات رؤية المملكة 2030، قد دفعت المنشآت الصحية إلى تبني ممارسات إدارة الموارد البشرية الاستراتيجية. وتتميز هذه الممارسات في القطاع الصحي بخصوصية تنبع من طبيعة الخدمة الصحية المتمحورة حول الإنسان، وحساسية الأخطاء التي قد تُكلف الأرواح، فضلًا عن الحاجة إلى مواكبة التطورات التقنية والبروتوكولات الطبية المتسارعة. ومن هنا، باتت إدارة الموارد البشرية في القطاع الصحي تتطلب كفاءات متخصصة تجمع بين المعرفة الإدارية والفهم العميق لطبيعة العمل الصحي.</w:t>
      </w:r>
    </w:p>
    <w:p w14:paraId="30178D8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مرّ مفهوم إدارة الموارد البشرية بتحولات جوهرية عبر العقود الأخيرة، إذ انتقل من الإطار التقليدي القائم على الأنشطة الإدارية الروتينية كالتوظيف وحفظ الملفات وصرف الرواتب إلى إطار استراتيجي يُعدّ الموارد البشرية أصلًا استراتيجيًا ينبغي تنميته واستثماره لتحقيق الميزة التنافسية للمنظمة. ويُعرَّف </w:t>
      </w:r>
      <w:proofErr w:type="spellStart"/>
      <w:r w:rsidRPr="007A51FD">
        <w:rPr>
          <w:rFonts w:ascii="Sakkal Majalla" w:eastAsia="Simplified Arabic" w:hAnsi="Sakkal Majalla" w:cs="Sakkal Majalla"/>
          <w:sz w:val="30"/>
          <w:szCs w:val="30"/>
          <w:rtl/>
        </w:rPr>
        <w:t>الدِّسون</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Dessler</w:t>
      </w:r>
      <w:proofErr w:type="spellEnd"/>
      <w:r w:rsidRPr="007A51FD">
        <w:rPr>
          <w:rFonts w:ascii="Sakkal Majalla" w:eastAsia="Simplified Arabic" w:hAnsi="Sakkal Majalla" w:cs="Sakkal Majalla"/>
          <w:sz w:val="30"/>
          <w:szCs w:val="30"/>
          <w:rtl/>
        </w:rPr>
        <w:t xml:space="preserve">, 2020) إدارة الموارد البشرية بأنها مجموعة السياسات والممارسات والأنظمة التي تؤثر في سلوك العاملين ومواقفهم وأدائهم، فيما يراها </w:t>
      </w:r>
      <w:proofErr w:type="spellStart"/>
      <w:r w:rsidRPr="007A51FD">
        <w:rPr>
          <w:rFonts w:ascii="Sakkal Majalla" w:eastAsia="Simplified Arabic" w:hAnsi="Sakkal Majalla" w:cs="Sakkal Majalla"/>
          <w:sz w:val="30"/>
          <w:szCs w:val="30"/>
          <w:rtl/>
        </w:rPr>
        <w:t>أرمسترونغ</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Armstrong</w:t>
      </w:r>
      <w:proofErr w:type="spellEnd"/>
      <w:r w:rsidRPr="007A51FD">
        <w:rPr>
          <w:rFonts w:ascii="Sakkal Majalla" w:eastAsia="Simplified Arabic" w:hAnsi="Sakkal Majalla" w:cs="Sakkal Majalla"/>
          <w:sz w:val="30"/>
          <w:szCs w:val="30"/>
          <w:rtl/>
        </w:rPr>
        <w:t xml:space="preserve">, 2020) منهجًا استراتيجيًا ومتماسكًا لإدارة الأصول البشرية في المنظمة، يهدف إلى تحقيق أهداف المنظمة وأهداف العاملين معًا. أما إدارة الموارد البشرية الاستراتيجية، فتُعرَّف بأنها النمط من القرارات </w:t>
      </w:r>
      <w:r w:rsidRPr="007A51FD">
        <w:rPr>
          <w:rFonts w:ascii="Sakkal Majalla" w:eastAsia="Simplified Arabic" w:hAnsi="Sakkal Majalla" w:cs="Sakkal Majalla"/>
          <w:sz w:val="30"/>
          <w:szCs w:val="30"/>
          <w:rtl/>
        </w:rPr>
        <w:lastRenderedPageBreak/>
        <w:t>المخططة في مجال إدارة الموارد البشرية التي تُمكّن المنظمة من تحقيق أهدافها التنافسية وتعزيز قدرتها على التكيّف مع المتغيرات البيئية (</w:t>
      </w:r>
      <w:proofErr w:type="spellStart"/>
      <w:r w:rsidRPr="007A51FD">
        <w:rPr>
          <w:rFonts w:ascii="Sakkal Majalla" w:eastAsia="Simplified Arabic" w:hAnsi="Sakkal Majalla" w:cs="Sakkal Majalla"/>
          <w:sz w:val="30"/>
          <w:szCs w:val="30"/>
          <w:rtl/>
        </w:rPr>
        <w:t>Lengnick-Hall</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2009).</w:t>
      </w:r>
    </w:p>
    <w:p w14:paraId="129CA33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وفي القطاع الصحي تحديدًا، تكتسب إدارة الموارد البشرية أهمية مضاعفة نظرًا للطبيعة الخاصة للخدمة الصحية التي تتمحور حول الإنسان، حيث يتوقف سلامة المرضى وجودة الرعاية المقدمة لهم على كفاءة العاملين الصحيين واستقرارهم النفسي والمهني. وتشمل الاستراتيجيات الحديثة لإدارة الموارد البشرية في المنشآت الصحية محاور عدة، يركز هذا البحث على خمسة منها بحكم ارتباطها المباشر بظاهرة الاحتراق الوظيفي، وهي: التدريب والتطوير، والحوافز والتقدير، وجودة بيئة العمل، والدعم القيادي والإداري، وإدارة عبء العمل والتوازن بين العمل والحياة.</w:t>
      </w:r>
    </w:p>
    <w:p w14:paraId="1E2D8F61"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محور التدريب والتطوير</w:t>
      </w:r>
    </w:p>
    <w:p w14:paraId="54E24A6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يُعدّ التدريب والتطوير من أبرز استراتيجيات إدارة الموارد البشرية وأكثرها تأثيرًا في كفاءة العاملين ورضاهم الوظيفي. ويُعرَّف التدريب بأنه النشاط المنظم الذي يهدف إلى تزويد العاملين بالمعارف والمهارات والاتجاهات اللازمة لأداء أعمالهم بكفاءة، فيما يُشير التطوير إلى الجهود طويلة المدى الرامية إلى إعداد العاملين لمهام مستقبلية أعمق وأوسع. وفي القطاع الصحي، تكتسب هذه الاستراتيجية أهمية استثنائية نظرًا للتطور السريع في التقنيات الطبية والبروتوكولات العلاجية، وحاجة الكوادر الصحية إلى التحديث المستمر لمعارفهم ومهاراتهم لمواكبة أفضل الممارسات العالمية. وتُسهم برامج التدريب الفعّالة في تعزيز ثقة العاملين بأنفسهم، وتحسين قدرتهم على مواجهة ضغوط العمل، وتقليل شعورهم بالعجز المهني الذي يُعدّ من أبرز مسببات الاحتراق الوظيفي (</w:t>
      </w:r>
      <w:proofErr w:type="spellStart"/>
      <w:r w:rsidRPr="007A51FD">
        <w:rPr>
          <w:rFonts w:ascii="Sakkal Majalla" w:eastAsia="Simplified Arabic" w:hAnsi="Sakkal Majalla" w:cs="Sakkal Majalla"/>
          <w:sz w:val="30"/>
          <w:szCs w:val="30"/>
          <w:rtl/>
        </w:rPr>
        <w:t>Kabat-Farr</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Tribble</w:t>
      </w:r>
      <w:proofErr w:type="spellEnd"/>
      <w:r w:rsidRPr="007A51FD">
        <w:rPr>
          <w:rFonts w:ascii="Sakkal Majalla" w:eastAsia="Simplified Arabic" w:hAnsi="Sakkal Majalla" w:cs="Sakkal Majalla"/>
          <w:sz w:val="30"/>
          <w:szCs w:val="30"/>
          <w:rtl/>
        </w:rPr>
        <w:t xml:space="preserve">, 2023). ويُشير برنامج التحول الصحي إلى أن تطوير الكوادر الصحية السعودية يُمثل ركيزة </w:t>
      </w:r>
      <w:r w:rsidRPr="007A51FD">
        <w:rPr>
          <w:rFonts w:ascii="Sakkal Majalla" w:eastAsia="Simplified Arabic" w:hAnsi="Sakkal Majalla" w:cs="Sakkal Majalla"/>
          <w:sz w:val="30"/>
          <w:szCs w:val="30"/>
          <w:rtl/>
        </w:rPr>
        <w:lastRenderedPageBreak/>
        <w:t>أساسية، إذ يستهدف رفع نسبة السعودة في القطاع الصحي وتأهيل الكفاءات الوطنية لقيادة المنظومة الصحية (وزارة الصحة، 2022).</w:t>
      </w:r>
    </w:p>
    <w:p w14:paraId="084CA31E"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محور الحوافز والتقدير</w:t>
      </w:r>
    </w:p>
    <w:p w14:paraId="7F1A5FA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تُمثّل الحوافز والتقدير منظومة متكاملة من المكافآت المادية والمعنوية التي تُقدَّم للعاملين تقديرًا لجهودهم وتحفيزًا لهم على مزيد من العطاء. وتُصنّف الحوافز إلى مالية كالرواتب والمكافآت والبدلات، وإلى معنوية كالتقدير العلني والترقيات وبيئة العمل المحفزة. وتستند هذه الاستراتيجية إلى عدد من النظريات التحفيزية، أبرزها نظرية التوقع </w:t>
      </w:r>
      <w:proofErr w:type="spellStart"/>
      <w:r w:rsidRPr="007A51FD">
        <w:rPr>
          <w:rFonts w:ascii="Sakkal Majalla" w:eastAsia="Simplified Arabic" w:hAnsi="Sakkal Majalla" w:cs="Sakkal Majalla"/>
          <w:sz w:val="30"/>
          <w:szCs w:val="30"/>
          <w:rtl/>
        </w:rPr>
        <w:t>لفروم</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Vroom</w:t>
      </w:r>
      <w:proofErr w:type="spellEnd"/>
      <w:r w:rsidRPr="007A51FD">
        <w:rPr>
          <w:rFonts w:ascii="Sakkal Majalla" w:eastAsia="Simplified Arabic" w:hAnsi="Sakkal Majalla" w:cs="Sakkal Majalla"/>
          <w:sz w:val="30"/>
          <w:szCs w:val="30"/>
          <w:rtl/>
        </w:rPr>
        <w:t>) التي ترى أن الفرد يبذل جهدًا بقدر ما يتوقع من عائد، ونظرية العدالة لآدامز (</w:t>
      </w:r>
      <w:proofErr w:type="spellStart"/>
      <w:r w:rsidRPr="007A51FD">
        <w:rPr>
          <w:rFonts w:ascii="Sakkal Majalla" w:eastAsia="Simplified Arabic" w:hAnsi="Sakkal Majalla" w:cs="Sakkal Majalla"/>
          <w:sz w:val="30"/>
          <w:szCs w:val="30"/>
          <w:rtl/>
        </w:rPr>
        <w:t>Adams</w:t>
      </w:r>
      <w:proofErr w:type="spellEnd"/>
      <w:r w:rsidRPr="007A51FD">
        <w:rPr>
          <w:rFonts w:ascii="Sakkal Majalla" w:eastAsia="Simplified Arabic" w:hAnsi="Sakkal Majalla" w:cs="Sakkal Majalla"/>
          <w:sz w:val="30"/>
          <w:szCs w:val="30"/>
          <w:rtl/>
        </w:rPr>
        <w:t xml:space="preserve">) التي تؤكد على أهمية الإحساس بالعدالة في توزيع المكافآت، ونظرية الحاجات </w:t>
      </w:r>
      <w:proofErr w:type="spellStart"/>
      <w:r w:rsidRPr="007A51FD">
        <w:rPr>
          <w:rFonts w:ascii="Sakkal Majalla" w:eastAsia="Simplified Arabic" w:hAnsi="Sakkal Majalla" w:cs="Sakkal Majalla"/>
          <w:sz w:val="30"/>
          <w:szCs w:val="30"/>
          <w:rtl/>
        </w:rPr>
        <w:t>لماسلو</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Maslow</w:t>
      </w:r>
      <w:proofErr w:type="spellEnd"/>
      <w:r w:rsidRPr="007A51FD">
        <w:rPr>
          <w:rFonts w:ascii="Sakkal Majalla" w:eastAsia="Simplified Arabic" w:hAnsi="Sakkal Majalla" w:cs="Sakkal Majalla"/>
          <w:sz w:val="30"/>
          <w:szCs w:val="30"/>
          <w:rtl/>
        </w:rPr>
        <w:t>). وفي السياق الصحي، أظهرت الدراسات أن ضعف أنظمة الحوافز وعدم ارتباطها بالأداء الفعلي يُعدّ من أبرز العوامل المسببة لتبلد المشاعر وانخفاض الشعور بالإنجاز الشخصي لدى الكوادر الصحية، إذ يشعر العامل بأن جهوده غير مقدرة، فيتراجع حماسه تدريجيًا حتى يصل إلى مرحلة الاحتراق (</w:t>
      </w:r>
      <w:proofErr w:type="spellStart"/>
      <w:r w:rsidRPr="007A51FD">
        <w:rPr>
          <w:rFonts w:ascii="Sakkal Majalla" w:eastAsia="Simplified Arabic" w:hAnsi="Sakkal Majalla" w:cs="Sakkal Majalla"/>
          <w:sz w:val="30"/>
          <w:szCs w:val="30"/>
          <w:rtl/>
        </w:rPr>
        <w:t>Alarcon</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2020).</w:t>
      </w:r>
    </w:p>
    <w:p w14:paraId="31D3AA5C"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محور جودة بيئة العمل</w:t>
      </w:r>
    </w:p>
    <w:p w14:paraId="203B637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تُشير بيئة العمل إلى مجموعة الظروف المادية والنفسية والاجتماعية التي يُؤدى فيها العمل، وتؤثر تأثيرًا مباشرًا في صحة العاملين وأدائهم ورضاهم. وتنقسم بيئة العمل إلى بيئة مادية تشمل الإضاءة والتهوية والمعدات والتجهيزات ومستوى السلامة المهنية، وإلى بيئة نفسية واجتماعية تشمل العلاقات بين العاملين وثقافة المنظمة والدعم الاجتماعي. وفي القطاع الصحي، تكتسب جودة بيئة العمل أهمية بالغة نظرًا لطبيعة العمل التي يشتمل على التعرض المستمر للألم والمعاناة والمخاطر البيولوجية، مما يجعل البيئة الآمنة والداعمة عاملًا حاسمًا في حماية الكوادر الصحية من الإنهاك العاطفي. وتُشير </w:t>
      </w:r>
      <w:r w:rsidRPr="007A51FD">
        <w:rPr>
          <w:rFonts w:ascii="Sakkal Majalla" w:eastAsia="Simplified Arabic" w:hAnsi="Sakkal Majalla" w:cs="Sakkal Majalla"/>
          <w:sz w:val="30"/>
          <w:szCs w:val="30"/>
          <w:rtl/>
        </w:rPr>
        <w:lastRenderedPageBreak/>
        <w:t xml:space="preserve">نظرية الطلبات-الموارد الوظيفية (JD-R </w:t>
      </w:r>
      <w:proofErr w:type="spellStart"/>
      <w:r w:rsidRPr="007A51FD">
        <w:rPr>
          <w:rFonts w:ascii="Sakkal Majalla" w:eastAsia="Simplified Arabic" w:hAnsi="Sakkal Majalla" w:cs="Sakkal Majalla"/>
          <w:sz w:val="30"/>
          <w:szCs w:val="30"/>
          <w:rtl/>
        </w:rPr>
        <w:t>Model</w:t>
      </w:r>
      <w:proofErr w:type="spellEnd"/>
      <w:r w:rsidRPr="007A51FD">
        <w:rPr>
          <w:rFonts w:ascii="Sakkal Majalla" w:eastAsia="Simplified Arabic" w:hAnsi="Sakkal Majalla" w:cs="Sakkal Majalla"/>
          <w:sz w:val="30"/>
          <w:szCs w:val="30"/>
          <w:rtl/>
        </w:rPr>
        <w:t xml:space="preserve">) التي طرحها </w:t>
      </w:r>
      <w:proofErr w:type="spellStart"/>
      <w:r w:rsidRPr="007A51FD">
        <w:rPr>
          <w:rFonts w:ascii="Sakkal Majalla" w:eastAsia="Simplified Arabic" w:hAnsi="Sakkal Majalla" w:cs="Sakkal Majalla"/>
          <w:sz w:val="30"/>
          <w:szCs w:val="30"/>
          <w:rtl/>
        </w:rPr>
        <w:t>ديمروتي</w:t>
      </w:r>
      <w:proofErr w:type="spellEnd"/>
      <w:r w:rsidRPr="007A51FD">
        <w:rPr>
          <w:rFonts w:ascii="Sakkal Majalla" w:eastAsia="Simplified Arabic" w:hAnsi="Sakkal Majalla" w:cs="Sakkal Majalla"/>
          <w:sz w:val="30"/>
          <w:szCs w:val="30"/>
          <w:rtl/>
        </w:rPr>
        <w:t xml:space="preserve"> وباكر (</w:t>
      </w:r>
      <w:proofErr w:type="spellStart"/>
      <w:r w:rsidRPr="007A51FD">
        <w:rPr>
          <w:rFonts w:ascii="Sakkal Majalla" w:eastAsia="Simplified Arabic" w:hAnsi="Sakkal Majalla" w:cs="Sakkal Majalla"/>
          <w:sz w:val="30"/>
          <w:szCs w:val="30"/>
          <w:rtl/>
        </w:rPr>
        <w:t>Demerouti</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Bakker</w:t>
      </w:r>
      <w:proofErr w:type="spellEnd"/>
      <w:r w:rsidRPr="007A51FD">
        <w:rPr>
          <w:rFonts w:ascii="Sakkal Majalla" w:eastAsia="Simplified Arabic" w:hAnsi="Sakkal Majalla" w:cs="Sakkal Majalla"/>
          <w:sz w:val="30"/>
          <w:szCs w:val="30"/>
          <w:rtl/>
        </w:rPr>
        <w:t>) إلى أن الموارد الوظيفية المتاحة في بيئة العمل كالدعم الاجتماعي والمعدات الكافية تُسهم في تقليل تأثير الطلبات الوظيفية الضاغطة، وبالتالي تقلل من احتمالات الاحتراق الوظيفي (</w:t>
      </w:r>
      <w:proofErr w:type="spellStart"/>
      <w:r w:rsidRPr="007A51FD">
        <w:rPr>
          <w:rFonts w:ascii="Sakkal Majalla" w:eastAsia="Simplified Arabic" w:hAnsi="Sakkal Majalla" w:cs="Sakkal Majalla"/>
          <w:sz w:val="30"/>
          <w:szCs w:val="30"/>
          <w:rtl/>
        </w:rPr>
        <w:t>Demerouti</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xml:space="preserve">., 2001; </w:t>
      </w:r>
      <w:proofErr w:type="spellStart"/>
      <w:r w:rsidRPr="007A51FD">
        <w:rPr>
          <w:rFonts w:ascii="Sakkal Majalla" w:eastAsia="Simplified Arabic" w:hAnsi="Sakkal Majalla" w:cs="Sakkal Majalla"/>
          <w:sz w:val="30"/>
          <w:szCs w:val="30"/>
          <w:rtl/>
        </w:rPr>
        <w:t>Bakker</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Demerouti</w:t>
      </w:r>
      <w:proofErr w:type="spellEnd"/>
      <w:r w:rsidRPr="007A51FD">
        <w:rPr>
          <w:rFonts w:ascii="Sakkal Majalla" w:eastAsia="Simplified Arabic" w:hAnsi="Sakkal Majalla" w:cs="Sakkal Majalla"/>
          <w:sz w:val="30"/>
          <w:szCs w:val="30"/>
          <w:rtl/>
        </w:rPr>
        <w:t>, 2017).</w:t>
      </w:r>
    </w:p>
    <w:p w14:paraId="2163901E"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محور الدعم القيادي والإداري</w:t>
      </w:r>
    </w:p>
    <w:p w14:paraId="039C981B"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يُمثّل الدعم القيادي والإداري ركيزة جوهرية في تعزيز رفاهية العاملين ومواجهة ضغوط العمل. ويُشير إلى مدى ما يقدمه القادة والمشرفون من دعم فني ونفسي ومعلوماتي للعاملين، ومدى إشراكهم في عملية صنع القرار، ومدى توافر قنوات اتصال فعّالة. وتُبرز نظرية القيادة التحويلية (</w:t>
      </w:r>
      <w:proofErr w:type="spellStart"/>
      <w:r w:rsidRPr="007A51FD">
        <w:rPr>
          <w:rFonts w:ascii="Sakkal Majalla" w:eastAsia="Simplified Arabic" w:hAnsi="Sakkal Majalla" w:cs="Sakkal Majalla"/>
          <w:sz w:val="30"/>
          <w:szCs w:val="30"/>
          <w:rtl/>
        </w:rPr>
        <w:t>Bass</w:t>
      </w:r>
      <w:proofErr w:type="spellEnd"/>
      <w:r w:rsidRPr="007A51FD">
        <w:rPr>
          <w:rFonts w:ascii="Sakkal Majalla" w:eastAsia="Simplified Arabic" w:hAnsi="Sakkal Majalla" w:cs="Sakkal Majalla"/>
          <w:sz w:val="30"/>
          <w:szCs w:val="30"/>
          <w:rtl/>
        </w:rPr>
        <w:t>) دور القائد في إلهام المرؤوسين وتحفيزهم وتنمية قدراتهم، فيما تُشير نظرية التبادل الاجتماعي (</w:t>
      </w:r>
      <w:proofErr w:type="spellStart"/>
      <w:r w:rsidRPr="007A51FD">
        <w:rPr>
          <w:rFonts w:ascii="Sakkal Majalla" w:eastAsia="Simplified Arabic" w:hAnsi="Sakkal Majalla" w:cs="Sakkal Majalla"/>
          <w:sz w:val="30"/>
          <w:szCs w:val="30"/>
          <w:rtl/>
        </w:rPr>
        <w:t>Blau</w:t>
      </w:r>
      <w:proofErr w:type="spellEnd"/>
      <w:r w:rsidRPr="007A51FD">
        <w:rPr>
          <w:rFonts w:ascii="Sakkal Majalla" w:eastAsia="Simplified Arabic" w:hAnsi="Sakkal Majalla" w:cs="Sakkal Majalla"/>
          <w:sz w:val="30"/>
          <w:szCs w:val="30"/>
          <w:rtl/>
        </w:rPr>
        <w:t>) إلى أن العاملين يبادلون دعم قادتهم بالالتزام والأداء. وتُشير الدراسات إلى أن غياب الدعم القيادي يُعدّ من أقوى المتنبئات بالاحتراق الوظيفي، إذ يشعر العامل بالعزلة وعدم القدرة على مواجهة الضغوط، فيما يُسهم الدعم القيادي الفعّال في بناء شعور بالانتماء والثقة وتعزيز قدرة العاملين على التكيف (</w:t>
      </w:r>
      <w:proofErr w:type="spellStart"/>
      <w:r w:rsidRPr="007A51FD">
        <w:rPr>
          <w:rFonts w:ascii="Sakkal Majalla" w:eastAsia="Simplified Arabic" w:hAnsi="Sakkal Majalla" w:cs="Sakkal Majalla"/>
          <w:sz w:val="30"/>
          <w:szCs w:val="30"/>
          <w:rtl/>
        </w:rPr>
        <w:t>Gilbreath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Benson</w:t>
      </w:r>
      <w:proofErr w:type="spellEnd"/>
      <w:r w:rsidRPr="007A51FD">
        <w:rPr>
          <w:rFonts w:ascii="Sakkal Majalla" w:eastAsia="Simplified Arabic" w:hAnsi="Sakkal Majalla" w:cs="Sakkal Majalla"/>
          <w:sz w:val="30"/>
          <w:szCs w:val="30"/>
          <w:rtl/>
        </w:rPr>
        <w:t>, 2004).</w:t>
      </w:r>
    </w:p>
    <w:p w14:paraId="2984090B"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محور إدارة عبء العمل والتوازن بين العمل والحياة</w:t>
      </w:r>
    </w:p>
    <w:p w14:paraId="495BBE8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يُعدّ عبء العمل من أبرز الطلبات الوظيفية الضاغطة، ويُقصد به حجم المهام الموكلة للعامل ودرجة تعقيدها والمهلة الزمنية المتاحة لإنجازها. وفي القطاع الصحي، يرتبط عبء العمل ارتباطًا وثيقًا بعدد العاملين في الوردية، ونسبة المرضى إلى العاملين، وساعات العمل الإضافية. وتُشير الأدبيات إلى أن العلاقة بين عبء العمل والاحتراق الوظيفي علاقة طردية قوية، إذ يُعدّ ارتفاع عبء العمل من أقوى العوامل المسببة للإنهاك العاطفي. أما التوازن بين العمل والحياة، فيُشير إلى القدرة على المواءمة بين </w:t>
      </w:r>
      <w:r w:rsidRPr="007A51FD">
        <w:rPr>
          <w:rFonts w:ascii="Sakkal Majalla" w:eastAsia="Simplified Arabic" w:hAnsi="Sakkal Majalla" w:cs="Sakkal Majalla"/>
          <w:sz w:val="30"/>
          <w:szCs w:val="30"/>
          <w:rtl/>
        </w:rPr>
        <w:lastRenderedPageBreak/>
        <w:t>متطلبات العمل ومسؤوليات الحياة الشخصية والأسرية، وقد بات يُعدّ متطلبًا أساسيًا للعاملين في العصر الحديث. وتُسهم السياسات الداعمة لهذا التوازن كالمرونة في ساعات العمل والإجازات في تقليل الاحتراق الوظيفي وتعزيز الولاء المؤسسي (</w:t>
      </w:r>
      <w:proofErr w:type="spellStart"/>
      <w:r w:rsidRPr="007A51FD">
        <w:rPr>
          <w:rFonts w:ascii="Sakkal Majalla" w:eastAsia="Simplified Arabic" w:hAnsi="Sakkal Majalla" w:cs="Sakkal Majalla"/>
          <w:sz w:val="30"/>
          <w:szCs w:val="30"/>
          <w:rtl/>
        </w:rPr>
        <w:t>Kelliher</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de</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Menezes</w:t>
      </w:r>
      <w:proofErr w:type="spellEnd"/>
      <w:r w:rsidRPr="007A51FD">
        <w:rPr>
          <w:rFonts w:ascii="Sakkal Majalla" w:eastAsia="Simplified Arabic" w:hAnsi="Sakkal Majalla" w:cs="Sakkal Majalla"/>
          <w:sz w:val="30"/>
          <w:szCs w:val="30"/>
          <w:rtl/>
        </w:rPr>
        <w:t>, 2019).</w:t>
      </w:r>
    </w:p>
    <w:p w14:paraId="5FA9A247" w14:textId="6ACC1425"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الاحتراق الوظيفي</w:t>
      </w:r>
    </w:p>
    <w:p w14:paraId="09C3581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يُعدّ الاحتراق الوظيفي من المفاهيم الحديثة نسبيًا في علم النفس التنظيمي، وقد ظهر إلى الوجود في منتصف سبعينيات القرن العشرين على يد الباحث الأمريكي </w:t>
      </w:r>
      <w:proofErr w:type="spellStart"/>
      <w:r w:rsidRPr="007A51FD">
        <w:rPr>
          <w:rFonts w:ascii="Sakkal Majalla" w:eastAsia="Simplified Arabic" w:hAnsi="Sakkal Majalla" w:cs="Sakkal Majalla"/>
          <w:sz w:val="30"/>
          <w:szCs w:val="30"/>
          <w:rtl/>
        </w:rPr>
        <w:t>هربرت</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فرودنبرجر</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Freudenberger</w:t>
      </w:r>
      <w:proofErr w:type="spellEnd"/>
      <w:r w:rsidRPr="007A51FD">
        <w:rPr>
          <w:rFonts w:ascii="Sakkal Majalla" w:eastAsia="Simplified Arabic" w:hAnsi="Sakkal Majalla" w:cs="Sakkal Majalla"/>
          <w:sz w:val="30"/>
          <w:szCs w:val="30"/>
          <w:rtl/>
        </w:rPr>
        <w:t xml:space="preserve">, 1974) الذي وصفه بأنه حالة من الإرهاق والإجهاد الناجمة عن الالتزام المفرط بعمل يدعم فيه الفرد الآخرين عاطفيًا. ثم طوّرت كريستينا </w:t>
      </w:r>
      <w:proofErr w:type="spellStart"/>
      <w:r w:rsidRPr="007A51FD">
        <w:rPr>
          <w:rFonts w:ascii="Sakkal Majalla" w:eastAsia="Simplified Arabic" w:hAnsi="Sakkal Majalla" w:cs="Sakkal Majalla"/>
          <w:sz w:val="30"/>
          <w:szCs w:val="30"/>
          <w:rtl/>
        </w:rPr>
        <w:t>ماسلاخ</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هذا المفهوم بشكل منهجي، حيث قدّمت نموذجها ثلاثي الأبعاد الذي يُعدّ الأكثر شهرة واعتمادًا في الأدبيات. ويُعرَّف الاحتراق الوظيفي وفقًا </w:t>
      </w:r>
      <w:proofErr w:type="spellStart"/>
      <w:r w:rsidRPr="007A51FD">
        <w:rPr>
          <w:rFonts w:ascii="Sakkal Majalla" w:eastAsia="Simplified Arabic" w:hAnsi="Sakkal Majalla" w:cs="Sakkal Majalla"/>
          <w:sz w:val="30"/>
          <w:szCs w:val="30"/>
          <w:rtl/>
        </w:rPr>
        <w:t>لماسلاش</w:t>
      </w:r>
      <w:proofErr w:type="spellEnd"/>
      <w:r w:rsidRPr="007A51FD">
        <w:rPr>
          <w:rFonts w:ascii="Sakkal Majalla" w:eastAsia="Simplified Arabic" w:hAnsi="Sakkal Majalla" w:cs="Sakkal Majalla"/>
          <w:sz w:val="30"/>
          <w:szCs w:val="30"/>
          <w:rtl/>
        </w:rPr>
        <w:t xml:space="preserve"> وجاكسون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Jackson</w:t>
      </w:r>
      <w:proofErr w:type="spellEnd"/>
      <w:r w:rsidRPr="007A51FD">
        <w:rPr>
          <w:rFonts w:ascii="Sakkal Majalla" w:eastAsia="Simplified Arabic" w:hAnsi="Sakkal Majalla" w:cs="Sakkal Majalla"/>
          <w:sz w:val="30"/>
          <w:szCs w:val="30"/>
          <w:rtl/>
        </w:rPr>
        <w:t>, 1981) بأنه متلازمة من الإنهاك العاطفي وتبلد المشاعر وانخفاض الشعور بالإنجاز الشخصي، تظهر بين العاملين في المهن التي تتطلب احتكاكًا مباشرًا ومكثفًا مع الناس.</w:t>
      </w:r>
    </w:p>
    <w:p w14:paraId="2616F2C0" w14:textId="77777777" w:rsidR="000A6451" w:rsidRDefault="006D64CD" w:rsidP="007A51FD">
      <w:pPr>
        <w:bidi/>
        <w:spacing w:before="160" w:after="160" w:line="408" w:lineRule="auto"/>
        <w:jc w:val="mediumKashida"/>
        <w:rPr>
          <w:rFonts w:ascii="Sakkal Majalla" w:eastAsia="Simplified Arabic" w:hAnsi="Sakkal Majalla" w:cs="Sakkal Majalla"/>
          <w:sz w:val="30"/>
          <w:szCs w:val="30"/>
          <w:rtl/>
        </w:rPr>
      </w:pPr>
      <w:r w:rsidRPr="007A51FD">
        <w:rPr>
          <w:rFonts w:ascii="Sakkal Majalla" w:eastAsia="Simplified Arabic" w:hAnsi="Sakkal Majalla" w:cs="Sakkal Majalla"/>
          <w:sz w:val="30"/>
          <w:szCs w:val="30"/>
          <w:rtl/>
        </w:rPr>
        <w:t xml:space="preserve">وقد أُدرج الاحتراق الوظيفي في الإصدار الحادي عشر من التصنيف الدولي للأمراض (ICD-11) الصادر عن منظمة الصحة العالمية عام 2019، بوصفه ظاهرة مهنية، وليس حالة طبية، ناتجة عن إدارة مزمنة لم يتُم التغلب عليها بنجاح في مكان العمل، ولم تنشأ ضمن نطاق الاضطرابات النفسية </w:t>
      </w:r>
      <w:proofErr w:type="spellStart"/>
      <w:r w:rsidRPr="007A51FD">
        <w:rPr>
          <w:rFonts w:ascii="Sakkal Majalla" w:eastAsia="Simplified Arabic" w:hAnsi="Sakkal Majalla" w:cs="Sakkal Majalla"/>
          <w:sz w:val="30"/>
          <w:szCs w:val="30"/>
          <w:rtl/>
        </w:rPr>
        <w:t>والسلوية</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World</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Health</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Organization</w:t>
      </w:r>
      <w:proofErr w:type="spellEnd"/>
      <w:r w:rsidRPr="007A51FD">
        <w:rPr>
          <w:rFonts w:ascii="Sakkal Majalla" w:eastAsia="Simplified Arabic" w:hAnsi="Sakkal Majalla" w:cs="Sakkal Majalla"/>
          <w:sz w:val="30"/>
          <w:szCs w:val="30"/>
          <w:rtl/>
        </w:rPr>
        <w:t>, 2019). ويتفادى هذا التصنيف طبيعة الاحتراق الوظيفي التنظيمية، مؤكدًا أن معالجته تتطلب تدخلات على مستوى بيئة العمل لا على مستوى الفرد وحده.</w:t>
      </w:r>
    </w:p>
    <w:p w14:paraId="2E99C644" w14:textId="77777777" w:rsidR="00E2206E" w:rsidRPr="007A51FD" w:rsidRDefault="00E2206E" w:rsidP="00E2206E">
      <w:pPr>
        <w:bidi/>
        <w:spacing w:before="160" w:after="160" w:line="408" w:lineRule="auto"/>
        <w:jc w:val="mediumKashida"/>
        <w:rPr>
          <w:rFonts w:ascii="Sakkal Majalla" w:hAnsi="Sakkal Majalla" w:cs="Sakkal Majalla"/>
        </w:rPr>
      </w:pPr>
    </w:p>
    <w:p w14:paraId="596B7069"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lastRenderedPageBreak/>
        <w:t xml:space="preserve">أبعاد الاحتراق الوظيفي وفق نموذج </w:t>
      </w:r>
      <w:proofErr w:type="spellStart"/>
      <w:r w:rsidRPr="00C53259">
        <w:rPr>
          <w:rFonts w:ascii="Sakkal Majalla" w:eastAsia="Simplified Arabic" w:hAnsi="Sakkal Majalla" w:cs="Sakkal Majalla"/>
          <w:szCs w:val="28"/>
          <w:rtl/>
        </w:rPr>
        <w:t>ماسلاش</w:t>
      </w:r>
      <w:proofErr w:type="spellEnd"/>
    </w:p>
    <w:p w14:paraId="09C462FC"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ينطوي الاحتراق الوظيفي وفقًا لنموذج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على ثلاثة أبعاد متمايزة ولكنها مترابطة، وهي:</w:t>
      </w:r>
    </w:p>
    <w:p w14:paraId="4E16142B" w14:textId="5847EA38" w:rsidR="000A6451" w:rsidRPr="007A51FD" w:rsidRDefault="006D64CD" w:rsidP="00E2206E">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الإنهاك العاطفي (</w:t>
      </w:r>
      <w:proofErr w:type="spellStart"/>
      <w:r w:rsidRPr="007A51FD">
        <w:rPr>
          <w:rFonts w:ascii="Sakkal Majalla" w:eastAsia="Simplified Arabic" w:hAnsi="Sakkal Majalla" w:cs="Sakkal Majalla"/>
          <w:sz w:val="30"/>
          <w:szCs w:val="30"/>
          <w:rtl/>
        </w:rPr>
        <w:t>Emotional</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Exhaustion</w:t>
      </w:r>
      <w:proofErr w:type="spellEnd"/>
      <w:r w:rsidRPr="007A51FD">
        <w:rPr>
          <w:rFonts w:ascii="Sakkal Majalla" w:eastAsia="Simplified Arabic" w:hAnsi="Sakkal Majalla" w:cs="Sakkal Majalla"/>
          <w:sz w:val="30"/>
          <w:szCs w:val="30"/>
          <w:rtl/>
        </w:rPr>
        <w:t>): ويُعدّ البُعد المحوري للاحتراق، ويُشير إلى استنزاف الموارد العاطفية والجسدية للعامل نتيجة الضغوط المستمرة، ويتجلى في الشعور بالإرهاق وعدم القدرة على الاستمرار في العطاء. ويرتبط هذا البُعد ارتباطًا وثيقًا بعبء العمل المرتفع والطلبات الوظيفية المفرطة.</w:t>
      </w:r>
    </w:p>
    <w:p w14:paraId="40109F6C" w14:textId="69FED944" w:rsidR="000A6451" w:rsidRPr="007A51FD" w:rsidRDefault="006D64CD" w:rsidP="00E2206E">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تبلد المشاعر (</w:t>
      </w:r>
      <w:proofErr w:type="spellStart"/>
      <w:r w:rsidRPr="007A51FD">
        <w:rPr>
          <w:rFonts w:ascii="Sakkal Majalla" w:eastAsia="Simplified Arabic" w:hAnsi="Sakkal Majalla" w:cs="Sakkal Majalla"/>
          <w:sz w:val="30"/>
          <w:szCs w:val="30"/>
          <w:rtl/>
        </w:rPr>
        <w:t>Depersonalization</w:t>
      </w:r>
      <w:proofErr w:type="spellEnd"/>
      <w:r w:rsidRPr="007A51FD">
        <w:rPr>
          <w:rFonts w:ascii="Sakkal Majalla" w:eastAsia="Simplified Arabic" w:hAnsi="Sakkal Majalla" w:cs="Sakkal Majalla"/>
          <w:sz w:val="30"/>
          <w:szCs w:val="30"/>
          <w:rtl/>
        </w:rPr>
        <w:t>): ويُشير إلى استجابة دفاعية تتمثل في الانفصال العاطفي عن المراجعين والمرضى، والتعامل معهم ببرود ولامبالاة وتجريدهم من إنسانيتهم. ويُعدّ هذا البُعد أخطر أبعاد الاحتراق من حيث تأثيره على جودة الرعاية وسلامة المرضى.</w:t>
      </w:r>
    </w:p>
    <w:p w14:paraId="58C0B7FE" w14:textId="2D1113B9" w:rsidR="000A6451" w:rsidRPr="007A51FD" w:rsidRDefault="006D64CD" w:rsidP="00E2206E">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انخفاض الشعور بالإنجاز الشخصي (</w:t>
      </w:r>
      <w:proofErr w:type="spellStart"/>
      <w:r w:rsidRPr="007A51FD">
        <w:rPr>
          <w:rFonts w:ascii="Sakkal Majalla" w:eastAsia="Simplified Arabic" w:hAnsi="Sakkal Majalla" w:cs="Sakkal Majalla"/>
          <w:sz w:val="30"/>
          <w:szCs w:val="30"/>
          <w:rtl/>
        </w:rPr>
        <w:t>Reduced</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Personal</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Accomplishment</w:t>
      </w:r>
      <w:proofErr w:type="spellEnd"/>
      <w:r w:rsidRPr="007A51FD">
        <w:rPr>
          <w:rFonts w:ascii="Sakkal Majalla" w:eastAsia="Simplified Arabic" w:hAnsi="Sakkal Majalla" w:cs="Sakkal Majalla"/>
          <w:sz w:val="30"/>
          <w:szCs w:val="30"/>
          <w:rtl/>
        </w:rPr>
        <w:t>): ويُشير إلى تقييم العامل السلبي لذاته وكفاءته، والشعور بعدم القدرة على تحقيق إنجازات مهنية، وفقدان الثقة بالقدرة على التأثير الإيجابي في العمل. وقد يظهر هذا البُعد بشكل مستقل عن البعدين الآخرين في بعض الحالات.</w:t>
      </w:r>
    </w:p>
    <w:p w14:paraId="745F693B" w14:textId="77777777" w:rsidR="000A6451" w:rsidRDefault="006D64CD" w:rsidP="007A51FD">
      <w:pPr>
        <w:bidi/>
        <w:spacing w:before="160" w:after="160" w:line="408" w:lineRule="auto"/>
        <w:jc w:val="mediumKashida"/>
        <w:rPr>
          <w:rFonts w:ascii="Sakkal Majalla" w:hAnsi="Sakkal Majalla" w:cs="Sakkal Majalla"/>
          <w:rtl/>
        </w:rPr>
      </w:pPr>
      <w:r w:rsidRPr="007A51FD">
        <w:rPr>
          <w:rFonts w:ascii="Sakkal Majalla" w:eastAsia="Simplified Arabic" w:hAnsi="Sakkal Majalla" w:cs="Sakkal Majalla"/>
          <w:sz w:val="30"/>
          <w:szCs w:val="30"/>
          <w:rtl/>
        </w:rPr>
        <w:t xml:space="preserve">وتُشير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ولايتر</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Leiter</w:t>
      </w:r>
      <w:proofErr w:type="spellEnd"/>
      <w:r w:rsidRPr="007A51FD">
        <w:rPr>
          <w:rFonts w:ascii="Sakkal Majalla" w:eastAsia="Simplified Arabic" w:hAnsi="Sakkal Majalla" w:cs="Sakkal Majalla"/>
          <w:sz w:val="30"/>
          <w:szCs w:val="30"/>
          <w:rtl/>
        </w:rPr>
        <w:t>, 2016) إلى أن هذه الأبعاد تتطور بشكل متسلسل في كثير من الحالات، إذ يبدأ العامل بالشعور بالإنهاك العاطفي نتيجة الضغوط، ثم يلجأ إلى تبلد المشاعر كآلية دفاعية للتعامل مع هذا الإنهاك، ثم يتراجع شعوره بالإنجاز الشخصي نتيجة تأثير البعدين السابقين على أدائه وتقييمه لذاته.</w:t>
      </w:r>
    </w:p>
    <w:p w14:paraId="325D46E8" w14:textId="77777777" w:rsidR="00E2206E" w:rsidRDefault="00E2206E" w:rsidP="00E2206E">
      <w:pPr>
        <w:bidi/>
        <w:spacing w:before="160" w:after="160" w:line="408" w:lineRule="auto"/>
        <w:jc w:val="mediumKashida"/>
        <w:rPr>
          <w:rFonts w:ascii="Sakkal Majalla" w:hAnsi="Sakkal Majalla" w:cs="Sakkal Majalla"/>
          <w:rtl/>
        </w:rPr>
      </w:pPr>
    </w:p>
    <w:p w14:paraId="2DBBFE72" w14:textId="77777777" w:rsidR="00E2206E" w:rsidRPr="007A51FD" w:rsidRDefault="00E2206E" w:rsidP="00E2206E">
      <w:pPr>
        <w:bidi/>
        <w:spacing w:before="160" w:after="160" w:line="408" w:lineRule="auto"/>
        <w:jc w:val="mediumKashida"/>
        <w:rPr>
          <w:rFonts w:ascii="Sakkal Majalla" w:hAnsi="Sakkal Majalla" w:cs="Sakkal Majalla"/>
        </w:rPr>
      </w:pPr>
    </w:p>
    <w:p w14:paraId="0B54F419"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lastRenderedPageBreak/>
        <w:t>نظريات الاحتراق الوظيفي</w:t>
      </w:r>
    </w:p>
    <w:p w14:paraId="552519B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تعددت النظريات المفسرة للاحتراق الوظيفي، ومن أبرزها:</w:t>
      </w:r>
    </w:p>
    <w:p w14:paraId="0B57F831" w14:textId="1D390228" w:rsidR="000A6451" w:rsidRPr="007A51FD" w:rsidRDefault="006D64CD" w:rsidP="00E2206E">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نظرية الطلبات-الموارد الوظيفية (</w:t>
      </w:r>
      <w:proofErr w:type="spellStart"/>
      <w:r w:rsidRPr="007A51FD">
        <w:rPr>
          <w:rFonts w:ascii="Sakkal Majalla" w:eastAsia="Simplified Arabic" w:hAnsi="Sakkal Majalla" w:cs="Sakkal Majalla"/>
          <w:sz w:val="30"/>
          <w:szCs w:val="30"/>
          <w:rtl/>
        </w:rPr>
        <w:t>Job</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Demands-Resources</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Model</w:t>
      </w:r>
      <w:proofErr w:type="spellEnd"/>
      <w:r w:rsidRPr="007A51FD">
        <w:rPr>
          <w:rFonts w:ascii="Sakkal Majalla" w:eastAsia="Simplified Arabic" w:hAnsi="Sakkal Majalla" w:cs="Sakkal Majalla"/>
          <w:sz w:val="30"/>
          <w:szCs w:val="30"/>
          <w:rtl/>
        </w:rPr>
        <w:t xml:space="preserve">): طرحها </w:t>
      </w:r>
      <w:proofErr w:type="spellStart"/>
      <w:r w:rsidRPr="007A51FD">
        <w:rPr>
          <w:rFonts w:ascii="Sakkal Majalla" w:eastAsia="Simplified Arabic" w:hAnsi="Sakkal Majalla" w:cs="Sakkal Majalla"/>
          <w:sz w:val="30"/>
          <w:szCs w:val="30"/>
          <w:rtl/>
        </w:rPr>
        <w:t>ديمروتي</w:t>
      </w:r>
      <w:proofErr w:type="spellEnd"/>
      <w:r w:rsidRPr="007A51FD">
        <w:rPr>
          <w:rFonts w:ascii="Sakkal Majalla" w:eastAsia="Simplified Arabic" w:hAnsi="Sakkal Majalla" w:cs="Sakkal Majalla"/>
          <w:sz w:val="30"/>
          <w:szCs w:val="30"/>
          <w:rtl/>
        </w:rPr>
        <w:t xml:space="preserve"> وزملاؤه (</w:t>
      </w:r>
      <w:proofErr w:type="spellStart"/>
      <w:r w:rsidRPr="007A51FD">
        <w:rPr>
          <w:rFonts w:ascii="Sakkal Majalla" w:eastAsia="Simplified Arabic" w:hAnsi="Sakkal Majalla" w:cs="Sakkal Majalla"/>
          <w:sz w:val="30"/>
          <w:szCs w:val="30"/>
          <w:rtl/>
        </w:rPr>
        <w:t>Demerouti</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2001)، وتُفترض أن كل مهنة تنطوي على نوعين من العوامل: طلبات وظيفية ضاغطة قد تستنزف طاقة العامل، وموارد وظيفية داعمة تُمكّنه من مواجهة هذه الطلبات. ويحدث الاحتراق عندما ترتفع الطلبات وتنخفض الموارد في الوقت ذاته. وتُعدّ هذه النظرية الإطار النظري المعتمد في كثير من الدراسات المعاصرة لارتباطها المباشر بممارسات إدارة الموارد البشرية.</w:t>
      </w:r>
    </w:p>
    <w:p w14:paraId="48D9358F" w14:textId="4FA6F0AE" w:rsidR="000A6451" w:rsidRPr="007A51FD" w:rsidRDefault="006D64CD" w:rsidP="00E2206E">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نظرية الحفظ في الموارد (</w:t>
      </w:r>
      <w:proofErr w:type="spellStart"/>
      <w:r w:rsidRPr="007A51FD">
        <w:rPr>
          <w:rFonts w:ascii="Sakkal Majalla" w:eastAsia="Simplified Arabic" w:hAnsi="Sakkal Majalla" w:cs="Sakkal Majalla"/>
          <w:sz w:val="30"/>
          <w:szCs w:val="30"/>
          <w:rtl/>
        </w:rPr>
        <w:t>Conservation</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of</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Resources</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Theory</w:t>
      </w:r>
      <w:proofErr w:type="spellEnd"/>
      <w:r w:rsidRPr="007A51FD">
        <w:rPr>
          <w:rFonts w:ascii="Sakkal Majalla" w:eastAsia="Simplified Arabic" w:hAnsi="Sakkal Majalla" w:cs="Sakkal Majalla"/>
          <w:sz w:val="30"/>
          <w:szCs w:val="30"/>
          <w:rtl/>
        </w:rPr>
        <w:t xml:space="preserve">): طرحها </w:t>
      </w:r>
      <w:proofErr w:type="spellStart"/>
      <w:r w:rsidRPr="007A51FD">
        <w:rPr>
          <w:rFonts w:ascii="Sakkal Majalla" w:eastAsia="Simplified Arabic" w:hAnsi="Sakkal Majalla" w:cs="Sakkal Majalla"/>
          <w:sz w:val="30"/>
          <w:szCs w:val="30"/>
          <w:rtl/>
        </w:rPr>
        <w:t>هوبفول</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Hobfoll</w:t>
      </w:r>
      <w:proofErr w:type="spellEnd"/>
      <w:r w:rsidRPr="007A51FD">
        <w:rPr>
          <w:rFonts w:ascii="Sakkal Majalla" w:eastAsia="Simplified Arabic" w:hAnsi="Sakkal Majalla" w:cs="Sakkal Majalla"/>
          <w:sz w:val="30"/>
          <w:szCs w:val="30"/>
          <w:rtl/>
        </w:rPr>
        <w:t>, 1989)، وتُفترض أن الأفراد يسعون لاكتساب الموارد والحفاظ عليها، وأن فقدان الموارد أو التهديد بفقدها يُولّد ضغطًا نفسيًا قد يقود إلى الاحتراق.</w:t>
      </w:r>
    </w:p>
    <w:p w14:paraId="4FE88CE9" w14:textId="203663B6" w:rsidR="000A6451" w:rsidRPr="007A51FD" w:rsidRDefault="006D64CD" w:rsidP="00E2206E">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نموذج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ولايتر</w:t>
      </w:r>
      <w:proofErr w:type="spellEnd"/>
      <w:r w:rsidRPr="007A51FD">
        <w:rPr>
          <w:rFonts w:ascii="Sakkal Majalla" w:eastAsia="Simplified Arabic" w:hAnsi="Sakkal Majalla" w:cs="Sakkal Majalla"/>
          <w:sz w:val="30"/>
          <w:szCs w:val="30"/>
          <w:rtl/>
        </w:rPr>
        <w:t xml:space="preserve"> للمناطق الست (</w:t>
      </w:r>
      <w:proofErr w:type="spellStart"/>
      <w:r w:rsidRPr="007A51FD">
        <w:rPr>
          <w:rFonts w:ascii="Sakkal Majalla" w:eastAsia="Simplified Arabic" w:hAnsi="Sakkal Majalla" w:cs="Sakkal Majalla"/>
          <w:sz w:val="30"/>
          <w:szCs w:val="30"/>
          <w:rtl/>
        </w:rPr>
        <w:t>Six</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Areas</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of</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Worklife</w:t>
      </w:r>
      <w:proofErr w:type="spellEnd"/>
      <w:r w:rsidRPr="007A51FD">
        <w:rPr>
          <w:rFonts w:ascii="Sakkal Majalla" w:eastAsia="Simplified Arabic" w:hAnsi="Sakkal Majalla" w:cs="Sakkal Majalla"/>
          <w:sz w:val="30"/>
          <w:szCs w:val="30"/>
          <w:rtl/>
        </w:rPr>
        <w:t xml:space="preserve">): طوّره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ولايتر</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Leiter</w:t>
      </w:r>
      <w:proofErr w:type="spellEnd"/>
      <w:r w:rsidRPr="007A51FD">
        <w:rPr>
          <w:rFonts w:ascii="Sakkal Majalla" w:eastAsia="Simplified Arabic" w:hAnsi="Sakkal Majalla" w:cs="Sakkal Majalla"/>
          <w:sz w:val="30"/>
          <w:szCs w:val="30"/>
          <w:rtl/>
        </w:rPr>
        <w:t>, 2008)، ويُحدد ستة مجالات في بيئة العمل قد تكون مصدر عدم التوافق بين العامل والعمل، وهي: عبء العمل، والتحكم، والمكافأة، والمجتمع، والعدالة، والقيم. ويؤدي عدم التوافق المستمر في هذه المجالات إلى الاحتراق.</w:t>
      </w:r>
    </w:p>
    <w:p w14:paraId="277297F2"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مراحل تطور الاحتراق الوظيفي</w:t>
      </w:r>
    </w:p>
    <w:p w14:paraId="723BD57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لا يحدث الاحتراق الوظيفي بشكل مفاجئ، بل يتطور عبر مراحل متعاقبة، كما حدد ذلك كل من </w:t>
      </w:r>
      <w:proofErr w:type="spellStart"/>
      <w:r w:rsidRPr="007A51FD">
        <w:rPr>
          <w:rFonts w:ascii="Sakkal Majalla" w:eastAsia="Simplified Arabic" w:hAnsi="Sakkal Majalla" w:cs="Sakkal Majalla"/>
          <w:sz w:val="30"/>
          <w:szCs w:val="30"/>
          <w:rtl/>
        </w:rPr>
        <w:t>إدلويش</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وجولمبرسكي</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Edelwich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Goldschmidt</w:t>
      </w:r>
      <w:proofErr w:type="spellEnd"/>
      <w:r w:rsidRPr="007A51FD">
        <w:rPr>
          <w:rFonts w:ascii="Sakkal Majalla" w:eastAsia="Simplified Arabic" w:hAnsi="Sakkal Majalla" w:cs="Sakkal Majalla"/>
          <w:sz w:val="30"/>
          <w:szCs w:val="30"/>
          <w:rtl/>
        </w:rPr>
        <w:t>) في نموذجهما المرحلي الذي يُعدّ من أشهر النماذج التطويرية للاحتراق. وتُسهم معرفة هذه المراحل في التدخل المبكر قبل تفاقم الظاهرة، وفي تصميم استراتيجيات وقائية مستهدفة لكل مرحلة. وتمر ظاهرة الاحتراق بخمس مراحل رئيسة:</w:t>
      </w:r>
    </w:p>
    <w:p w14:paraId="7C78F2B2" w14:textId="044624B1" w:rsidR="000A6451" w:rsidRPr="00E2206E" w:rsidRDefault="006D64CD" w:rsidP="00E2206E">
      <w:pPr>
        <w:pStyle w:val="aa"/>
        <w:numPr>
          <w:ilvl w:val="0"/>
          <w:numId w:val="22"/>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lastRenderedPageBreak/>
        <w:t>المرحلة الأولى - مرحلة الحماس المثالي: وفيها يدخل العامل إلى المهنة بحماس عالٍ وتوقعات مثالية، ويُقدم جهودًا تفوق المطلوب، ويستثمر طاقته بشكل مفرط دون مراعاة لحدوده الشخصية. وعلى الرغم من إيجابية هذه المرحلة ظاهريًا، إلا أنها تُمثّل بذرة الاحتراق لأنها تنطوي على مبالغة في العطاء لا يمكن الاستمرار عليها.</w:t>
      </w:r>
    </w:p>
    <w:p w14:paraId="470386FB" w14:textId="2B9E15C3" w:rsidR="000A6451" w:rsidRPr="00E2206E" w:rsidRDefault="006D64CD" w:rsidP="00E2206E">
      <w:pPr>
        <w:pStyle w:val="aa"/>
        <w:numPr>
          <w:ilvl w:val="0"/>
          <w:numId w:val="22"/>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المرحلة الثانية - مرحلة الركود: يبدأ العامل بإدراك الفجوة بين توقعاته المثالية وواقع العمل، فيتراجع حماسه تدريجيًا، ويشعر بخيبة أمل خفية. وتتميز هذه المرحلة بتراجع الإنتاجية وظهور مؤشرات مبكرة للتعب.</w:t>
      </w:r>
    </w:p>
    <w:p w14:paraId="6D5E2FCF" w14:textId="70BCA548" w:rsidR="000A6451" w:rsidRPr="00E2206E" w:rsidRDefault="006D64CD" w:rsidP="00E2206E">
      <w:pPr>
        <w:pStyle w:val="aa"/>
        <w:numPr>
          <w:ilvl w:val="0"/>
          <w:numId w:val="22"/>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المرحلة الثالثة - مرحلة الإحباط: تتعمق مشاعر الإحباط، ويبدأ العامل بالشكوك في قيمة عمله وقدرته على إحداث تأثير. وتظهر في هذه المرحلة مشاعر سلبية تجاه المؤسسة والزملاء والمرضى، ويزداد الغياب والتأخر.</w:t>
      </w:r>
    </w:p>
    <w:p w14:paraId="515D163A" w14:textId="2EC46278" w:rsidR="000A6451" w:rsidRPr="00E2206E" w:rsidRDefault="006D64CD" w:rsidP="00E2206E">
      <w:pPr>
        <w:pStyle w:val="aa"/>
        <w:numPr>
          <w:ilvl w:val="0"/>
          <w:numId w:val="22"/>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المرحلة الرابعة - مرحلة اللامبالاة: يتحول الإحباط إلى لامبالاة، ويُطور العامل آلية دفاعية بالانفصال العاطفي عن العمل، ويقتصر على أداء الحد الأدنى من المهام، ويظهر البرود العاطفي تجاه المرضى وزملاء العمل.</w:t>
      </w:r>
    </w:p>
    <w:p w14:paraId="7B2A9CD6" w14:textId="58C1E3CE" w:rsidR="000A6451" w:rsidRPr="00E2206E" w:rsidRDefault="006D64CD" w:rsidP="00E2206E">
      <w:pPr>
        <w:pStyle w:val="aa"/>
        <w:numPr>
          <w:ilvl w:val="0"/>
          <w:numId w:val="22"/>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المرحلة الخامسة - مرحلة الاحتراق الكامل: تتكامل أبعاد الاحتراق الثلاثة (الإنهاك العاطفي، تبلد المشاعر، انخفاض الشعور بالإنجاز)، ويصل العامل إلى حالة من الاستنزاف الشامل، وقد يلجأ إلى ترك المهنة أو الإصابة بمشكلات صحية ونفسية خطيرة.</w:t>
      </w:r>
    </w:p>
    <w:p w14:paraId="2CCFC1EB"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وتُبرز هذه المراحل أهمية التدخل المبكر في المراحل الأولى (الحماس والركود) قبل تفاقم الظاهرة، حيث تكون التدخلات الوقائية أكثر فعّالية وأقل تكلفة. كما تُؤكد على دور استراتيجيات إدارة الموارد البشرية في رصد المؤشرات المبكرة للاحتراق (كتراجع الإنتاجية وزيادة الغياب) والتدخل </w:t>
      </w:r>
      <w:proofErr w:type="spellStart"/>
      <w:r w:rsidRPr="007A51FD">
        <w:rPr>
          <w:rFonts w:ascii="Sakkal Majalla" w:eastAsia="Simplified Arabic" w:hAnsi="Sakkal Majalla" w:cs="Sakkal Majalla"/>
          <w:sz w:val="30"/>
          <w:szCs w:val="30"/>
          <w:rtl/>
        </w:rPr>
        <w:t>الاستباقي</w:t>
      </w:r>
      <w:proofErr w:type="spellEnd"/>
      <w:r w:rsidRPr="007A51FD">
        <w:rPr>
          <w:rFonts w:ascii="Sakkal Majalla" w:eastAsia="Simplified Arabic" w:hAnsi="Sakkal Majalla" w:cs="Sakkal Majalla"/>
          <w:sz w:val="30"/>
          <w:szCs w:val="30"/>
          <w:rtl/>
        </w:rPr>
        <w:t xml:space="preserve"> لمعالجة الأسباب قبل وصول العامل إلى المراحل المتقدمة. وفي السياق الصحي، تكتسب هذه المراحل </w:t>
      </w:r>
      <w:r w:rsidRPr="007A51FD">
        <w:rPr>
          <w:rFonts w:ascii="Sakkal Majalla" w:eastAsia="Simplified Arabic" w:hAnsi="Sakkal Majalla" w:cs="Sakkal Majalla"/>
          <w:sz w:val="30"/>
          <w:szCs w:val="30"/>
          <w:rtl/>
        </w:rPr>
        <w:lastRenderedPageBreak/>
        <w:t>أهمية مضاعفة نظرًا لتأثير الاحتراق على سلامة المرضى، حيث يُمثّل التدخل المبكر ضرورة ل حماية كلٍّ من العاملين والمرضى.</w:t>
      </w:r>
    </w:p>
    <w:p w14:paraId="394F17BB"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التمييز بين الاحتراق الوظيفي والمفاهيم المرتبطة</w:t>
      </w:r>
    </w:p>
    <w:p w14:paraId="2A4E461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يُخلط أحيانًا بين الاحتراق الوظيفي ومفاهيم أخرى قريبة منه، مما يستدعي التمييز الدقيق بينها لضمان القياس الدقيق والتدخل الفعّال. ومن أبرز هذه المفاهيم:</w:t>
      </w:r>
    </w:p>
    <w:p w14:paraId="17E39C13" w14:textId="511D670A" w:rsidR="000A6451" w:rsidRPr="00E2206E" w:rsidRDefault="006D64CD" w:rsidP="00E2206E">
      <w:pPr>
        <w:pStyle w:val="aa"/>
        <w:numPr>
          <w:ilvl w:val="0"/>
          <w:numId w:val="23"/>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الضغط الوظيفي (</w:t>
      </w:r>
      <w:proofErr w:type="spellStart"/>
      <w:r w:rsidRPr="00E2206E">
        <w:rPr>
          <w:rFonts w:ascii="Sakkal Majalla" w:eastAsia="Simplified Arabic" w:hAnsi="Sakkal Majalla" w:cs="Sakkal Majalla"/>
          <w:sz w:val="30"/>
          <w:szCs w:val="30"/>
          <w:rtl/>
        </w:rPr>
        <w:t>Job</w:t>
      </w:r>
      <w:proofErr w:type="spellEnd"/>
      <w:r w:rsidRPr="00E2206E">
        <w:rPr>
          <w:rFonts w:ascii="Sakkal Majalla" w:eastAsia="Simplified Arabic" w:hAnsi="Sakkal Majalla" w:cs="Sakkal Majalla"/>
          <w:sz w:val="30"/>
          <w:szCs w:val="30"/>
          <w:rtl/>
        </w:rPr>
        <w:t xml:space="preserve"> </w:t>
      </w:r>
      <w:proofErr w:type="spellStart"/>
      <w:r w:rsidRPr="00E2206E">
        <w:rPr>
          <w:rFonts w:ascii="Sakkal Majalla" w:eastAsia="Simplified Arabic" w:hAnsi="Sakkal Majalla" w:cs="Sakkal Majalla"/>
          <w:sz w:val="30"/>
          <w:szCs w:val="30"/>
          <w:rtl/>
        </w:rPr>
        <w:t>Stress</w:t>
      </w:r>
      <w:proofErr w:type="spellEnd"/>
      <w:r w:rsidRPr="00E2206E">
        <w:rPr>
          <w:rFonts w:ascii="Sakkal Majalla" w:eastAsia="Simplified Arabic" w:hAnsi="Sakkal Majalla" w:cs="Sakkal Majalla"/>
          <w:sz w:val="30"/>
          <w:szCs w:val="30"/>
          <w:rtl/>
        </w:rPr>
        <w:t>): يُشير إلى الاستجابة الفيسيولوجية والنفسية للعامل لطلبات العمل الضاغطة في فترة زمنية محددة. والفرق الجوهري أن الضغط حالة مؤقتة قد تُحفز الأداء، بينما الاحتراق حالة مزمنة تنشأ من تراكم الضغوط غير المُدارة، وتنعكس سلبًا على الأداء والصحة.</w:t>
      </w:r>
    </w:p>
    <w:p w14:paraId="11E755D4" w14:textId="25D6DE8C" w:rsidR="000A6451" w:rsidRPr="00E2206E" w:rsidRDefault="006D64CD" w:rsidP="00E2206E">
      <w:pPr>
        <w:pStyle w:val="aa"/>
        <w:numPr>
          <w:ilvl w:val="0"/>
          <w:numId w:val="23"/>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الاكتئاب (</w:t>
      </w:r>
      <w:proofErr w:type="spellStart"/>
      <w:r w:rsidRPr="00E2206E">
        <w:rPr>
          <w:rFonts w:ascii="Sakkal Majalla" w:eastAsia="Simplified Arabic" w:hAnsi="Sakkal Majalla" w:cs="Sakkal Majalla"/>
          <w:sz w:val="30"/>
          <w:szCs w:val="30"/>
          <w:rtl/>
        </w:rPr>
        <w:t>Depression</w:t>
      </w:r>
      <w:proofErr w:type="spellEnd"/>
      <w:r w:rsidRPr="00E2206E">
        <w:rPr>
          <w:rFonts w:ascii="Sakkal Majalla" w:eastAsia="Simplified Arabic" w:hAnsi="Sakkal Majalla" w:cs="Sakkal Majalla"/>
          <w:sz w:val="30"/>
          <w:szCs w:val="30"/>
          <w:rtl/>
        </w:rPr>
        <w:t>): اضطراب نفسي يتسم بانخفاض المزاج وفقدان الاهتمام، ويؤثر على جميع مجالات الحياة. والفرق أن الاحتراق مرتبط تحديدًا بالعمل ويُمكن أن يُعالج بتغيير بيئة العمل، بينما الاكتئاب اضطراب أعم وأشمل يتطلب تدخلًا علاجيًا متخصصًا.</w:t>
      </w:r>
    </w:p>
    <w:p w14:paraId="72D46015" w14:textId="5D86FA55" w:rsidR="000A6451" w:rsidRPr="00E2206E" w:rsidRDefault="006D64CD" w:rsidP="00E2206E">
      <w:pPr>
        <w:pStyle w:val="aa"/>
        <w:numPr>
          <w:ilvl w:val="0"/>
          <w:numId w:val="23"/>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إرهاق التعاطف (</w:t>
      </w:r>
      <w:proofErr w:type="spellStart"/>
      <w:r w:rsidRPr="00E2206E">
        <w:rPr>
          <w:rFonts w:ascii="Sakkal Majalla" w:eastAsia="Simplified Arabic" w:hAnsi="Sakkal Majalla" w:cs="Sakkal Majalla"/>
          <w:sz w:val="30"/>
          <w:szCs w:val="30"/>
          <w:rtl/>
        </w:rPr>
        <w:t>Compassion</w:t>
      </w:r>
      <w:proofErr w:type="spellEnd"/>
      <w:r w:rsidRPr="00E2206E">
        <w:rPr>
          <w:rFonts w:ascii="Sakkal Majalla" w:eastAsia="Simplified Arabic" w:hAnsi="Sakkal Majalla" w:cs="Sakkal Majalla"/>
          <w:sz w:val="30"/>
          <w:szCs w:val="30"/>
          <w:rtl/>
        </w:rPr>
        <w:t xml:space="preserve"> </w:t>
      </w:r>
      <w:proofErr w:type="spellStart"/>
      <w:r w:rsidRPr="00E2206E">
        <w:rPr>
          <w:rFonts w:ascii="Sakkal Majalla" w:eastAsia="Simplified Arabic" w:hAnsi="Sakkal Majalla" w:cs="Sakkal Majalla"/>
          <w:sz w:val="30"/>
          <w:szCs w:val="30"/>
          <w:rtl/>
        </w:rPr>
        <w:t>Fatigue</w:t>
      </w:r>
      <w:proofErr w:type="spellEnd"/>
      <w:r w:rsidRPr="00E2206E">
        <w:rPr>
          <w:rFonts w:ascii="Sakkal Majalla" w:eastAsia="Simplified Arabic" w:hAnsi="Sakkal Majalla" w:cs="Sakkal Majalla"/>
          <w:sz w:val="30"/>
          <w:szCs w:val="30"/>
          <w:rtl/>
        </w:rPr>
        <w:t>): يُشير إلى الاستنزاف العاطفي الناتج عن التعامل المستمر مع معاناة الآخرين، ويُصيب العاملين في المهن الإنسانية والصحية. وهو قريب من الاحتراق لكنه يركز على البُعد العاطفي المرتبط بالتعاطف، وقد يُمثّل أحد مسببات الاحتراق.</w:t>
      </w:r>
    </w:p>
    <w:p w14:paraId="5876FD10" w14:textId="3BDD58D0" w:rsidR="000A6451" w:rsidRPr="00E2206E" w:rsidRDefault="006D64CD" w:rsidP="00E2206E">
      <w:pPr>
        <w:pStyle w:val="aa"/>
        <w:numPr>
          <w:ilvl w:val="0"/>
          <w:numId w:val="23"/>
        </w:numPr>
        <w:bidi/>
        <w:spacing w:before="40" w:after="40" w:line="360" w:lineRule="auto"/>
        <w:ind w:right="283"/>
        <w:jc w:val="mediumKashida"/>
        <w:rPr>
          <w:rFonts w:ascii="Sakkal Majalla" w:hAnsi="Sakkal Majalla" w:cs="Sakkal Majalla"/>
        </w:rPr>
      </w:pPr>
      <w:r w:rsidRPr="00E2206E">
        <w:rPr>
          <w:rFonts w:ascii="Sakkal Majalla" w:eastAsia="Simplified Arabic" w:hAnsi="Sakkal Majalla" w:cs="Sakkal Majalla"/>
          <w:sz w:val="30"/>
          <w:szCs w:val="30"/>
          <w:rtl/>
        </w:rPr>
        <w:t>الاحتراق الثانوي (</w:t>
      </w:r>
      <w:proofErr w:type="spellStart"/>
      <w:r w:rsidRPr="00E2206E">
        <w:rPr>
          <w:rFonts w:ascii="Sakkal Majalla" w:eastAsia="Simplified Arabic" w:hAnsi="Sakkal Majalla" w:cs="Sakkal Majalla"/>
          <w:sz w:val="30"/>
          <w:szCs w:val="30"/>
          <w:rtl/>
        </w:rPr>
        <w:t>Secondary</w:t>
      </w:r>
      <w:proofErr w:type="spellEnd"/>
      <w:r w:rsidRPr="00E2206E">
        <w:rPr>
          <w:rFonts w:ascii="Sakkal Majalla" w:eastAsia="Simplified Arabic" w:hAnsi="Sakkal Majalla" w:cs="Sakkal Majalla"/>
          <w:sz w:val="30"/>
          <w:szCs w:val="30"/>
          <w:rtl/>
        </w:rPr>
        <w:t xml:space="preserve"> </w:t>
      </w:r>
      <w:proofErr w:type="spellStart"/>
      <w:r w:rsidRPr="00E2206E">
        <w:rPr>
          <w:rFonts w:ascii="Sakkal Majalla" w:eastAsia="Simplified Arabic" w:hAnsi="Sakkal Majalla" w:cs="Sakkal Majalla"/>
          <w:sz w:val="30"/>
          <w:szCs w:val="30"/>
          <w:rtl/>
        </w:rPr>
        <w:t>Traumatic</w:t>
      </w:r>
      <w:proofErr w:type="spellEnd"/>
      <w:r w:rsidRPr="00E2206E">
        <w:rPr>
          <w:rFonts w:ascii="Sakkal Majalla" w:eastAsia="Simplified Arabic" w:hAnsi="Sakkal Majalla" w:cs="Sakkal Majalla"/>
          <w:sz w:val="30"/>
          <w:szCs w:val="30"/>
          <w:rtl/>
        </w:rPr>
        <w:t xml:space="preserve"> </w:t>
      </w:r>
      <w:proofErr w:type="spellStart"/>
      <w:r w:rsidRPr="00E2206E">
        <w:rPr>
          <w:rFonts w:ascii="Sakkal Majalla" w:eastAsia="Simplified Arabic" w:hAnsi="Sakkal Majalla" w:cs="Sakkal Majalla"/>
          <w:sz w:val="30"/>
          <w:szCs w:val="30"/>
          <w:rtl/>
        </w:rPr>
        <w:t>Stress</w:t>
      </w:r>
      <w:proofErr w:type="spellEnd"/>
      <w:r w:rsidRPr="00E2206E">
        <w:rPr>
          <w:rFonts w:ascii="Sakkal Majalla" w:eastAsia="Simplified Arabic" w:hAnsi="Sakkal Majalla" w:cs="Sakkal Majalla"/>
          <w:sz w:val="30"/>
          <w:szCs w:val="30"/>
          <w:rtl/>
        </w:rPr>
        <w:t>): ينتج عن التعرض غير المباشر للصدمات عبر التعامل مع ضحاياها، ويُصيب العاملين الصحيين الذين يتعاملون مع المرضى المصابين بصدمات. ويتميز بأعراض شبيهة باضطراب ما بعد الصدمة.</w:t>
      </w:r>
    </w:p>
    <w:p w14:paraId="67D73D2E"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ويستلزم هذا التمييز توخي الدقة في تشخيص الظاهرة وتصميم التدخل المناسب. فالاحتراق الوظيفي يتطلب تدخلًا تنظيميًا يركز على بيئة العمل وممارسات إدارة الموارد البشرية، بينما قد يتطلب </w:t>
      </w:r>
      <w:r w:rsidRPr="007A51FD">
        <w:rPr>
          <w:rFonts w:ascii="Sakkal Majalla" w:eastAsia="Simplified Arabic" w:hAnsi="Sakkal Majalla" w:cs="Sakkal Majalla"/>
          <w:sz w:val="30"/>
          <w:szCs w:val="30"/>
          <w:rtl/>
        </w:rPr>
        <w:lastRenderedPageBreak/>
        <w:t xml:space="preserve">الاكتئاب تدخلًا علاجيًا متخصصًا، ويتطلب إرهاق التعاطف تدخلًا يركز على آليات التعامل مع المعاناة الإنسانية. وقد اعتمدت الدراسة الحالية على تعريف الاحتراق الوظيفي وفق نموذج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الثلاثي الأبعاد، لتمييزه عن المفاهيم الأخرى، ولتركيز التدخل على الجوانب التنظيمية التي تُمثّل مجال إدارة الموارد البشرية.</w:t>
      </w:r>
    </w:p>
    <w:p w14:paraId="4752FCE8"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أسباب الاحتراق الوظيفي لدى الكوادر الصحية</w:t>
      </w:r>
    </w:p>
    <w:p w14:paraId="55BD190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تتعدد العوامل المسببة للاحتراق الوظيفي لدى الكوادر الصحية، وتُقسم عادةً إلى عوامل تنظيمية وعوامل فردية وعوامل مرتبطة بطبيعة العمل. فمن العوامل التنظيمية: ارتفاع عبء العمل، وضعف أنظمة الحوافز، وغياب الدعم القيادي، وسوء بيئة العمل، وتفشي البيروقراطية. ومن العوامل المرتبطة بطبيعة العمل الصحي: التعرض المستمر للألم والمعاناة والوفيات، وساعات العمل الطويلة وغير المنتظمة، والمخاطر البيولوجية، والصراعات الأخلاقية. أما العوامل الفردية فتشمل خصائص الشخصية ومستوى التأقلم الاجتماعي والكفاءة في إدارة الضغوط. وتُجمع الأدبيات على أن العوامل التنظيمية تُعدّ الأكثر تأثيرًا والأكثر قابلية للتغيير عبر التدخلات الإدارية، وهو ما يُبرر التركيز على استراتيجيات إدارة الموارد البشرية بوصفها أداة المعالجة الرئيسية (</w:t>
      </w:r>
      <w:proofErr w:type="spellStart"/>
      <w:r w:rsidRPr="007A51FD">
        <w:rPr>
          <w:rFonts w:ascii="Sakkal Majalla" w:eastAsia="Simplified Arabic" w:hAnsi="Sakkal Majalla" w:cs="Sakkal Majalla"/>
          <w:sz w:val="30"/>
          <w:szCs w:val="30"/>
          <w:rtl/>
        </w:rPr>
        <w:t>West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2018).</w:t>
      </w:r>
    </w:p>
    <w:p w14:paraId="5276566B"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تداعيات الاحتراق الوظيفي</w:t>
      </w:r>
    </w:p>
    <w:p w14:paraId="20DE3325"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تمتد تداعيات الاحتراق الوظيفي لتشمل المستويات الفردية والتنظيمية والمجتمعية. فعلى المستوى الفردي، يرتبط الاحتراق بمشكلات صحية جسدية كالصداع المزمن واضطرابات النوم والآلام العضلية وأمراض القلب والأوعية الدموية، ومشكلات نفسية كالاكتئاب والقلق وتعاطي المواد، إضافةً إلى تدهور العلاقات الأسرية والاجتماعية. وعلى المستوى التنظيمي، يُؤدي الاحتراق إلى ارتفاع معدلات الغياب والتأخر، وزيادة معدلات دوران العمالة والتسرب الوظيفي، وتراجع الإنتاجية، وزيادة </w:t>
      </w:r>
      <w:r w:rsidRPr="007A51FD">
        <w:rPr>
          <w:rFonts w:ascii="Sakkal Majalla" w:eastAsia="Simplified Arabic" w:hAnsi="Sakkal Majalla" w:cs="Sakkal Majalla"/>
          <w:sz w:val="30"/>
          <w:szCs w:val="30"/>
          <w:rtl/>
        </w:rPr>
        <w:lastRenderedPageBreak/>
        <w:t xml:space="preserve">الأخطاء الطبية وحوادث سلامة المرضى، وانخفاض رضا المرضى. وقد أظهرت دراسة </w:t>
      </w:r>
      <w:proofErr w:type="spellStart"/>
      <w:r w:rsidRPr="007A51FD">
        <w:rPr>
          <w:rFonts w:ascii="Sakkal Majalla" w:eastAsia="Simplified Arabic" w:hAnsi="Sakkal Majalla" w:cs="Sakkal Majalla"/>
          <w:sz w:val="30"/>
          <w:szCs w:val="30"/>
          <w:rtl/>
        </w:rPr>
        <w:t>باناجيوتي</w:t>
      </w:r>
      <w:proofErr w:type="spellEnd"/>
      <w:r w:rsidRPr="007A51FD">
        <w:rPr>
          <w:rFonts w:ascii="Sakkal Majalla" w:eastAsia="Simplified Arabic" w:hAnsi="Sakkal Majalla" w:cs="Sakkal Majalla"/>
          <w:sz w:val="30"/>
          <w:szCs w:val="30"/>
          <w:rtl/>
        </w:rPr>
        <w:t xml:space="preserve"> وزملائه (</w:t>
      </w:r>
      <w:proofErr w:type="spellStart"/>
      <w:r w:rsidRPr="007A51FD">
        <w:rPr>
          <w:rFonts w:ascii="Sakkal Majalla" w:eastAsia="Simplified Arabic" w:hAnsi="Sakkal Majalla" w:cs="Sakkal Majalla"/>
          <w:sz w:val="30"/>
          <w:szCs w:val="30"/>
          <w:rtl/>
        </w:rPr>
        <w:t>Panagioti</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2018) أن الاحتراق الوظيفي لدى الأطباء يرتبط ارتباطًا وثيقًا بضَعف سلامة المرضى وزيادة الحوادث الطبية. وعلى المستوى الوطني، يُسهم الاحتراق في إهدار الموارد الصحية وتفاقم النقص في الكوادر وعرقلة جهود التحول الصحي.</w:t>
      </w:r>
    </w:p>
    <w:p w14:paraId="075CD7FB"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الاحتراق الوظيفي في ظل جائحة كوفيد-19</w:t>
      </w:r>
    </w:p>
    <w:p w14:paraId="0FD65AE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شكّلت جائحة كوفيد-19 محنة عالمية غير مسبوقة أثقلت كواهل المنظومات الصحية وكوادرها حول العالم، وكشفت عن هشاشة هذه المنظومات وقدرتها على الاستجابة للأزمات الكبرى. وقد تعرضت الكوادر الصحية خلال الجائحة لضغوط متعددة الأبعاد شملت: ساعات العمل الاستثنائية الطويلة، والتعرض المستمر للوفيات والمعاناة، والمخاطر البيولوجية الناجمة عن التعامل مع فيروس شديد العدوى، ونقص معدات الوقاية الشخصية في المراحل الأولى من الجائحة، فضلًا عن الفصل عن الأسر خوفًا من نقل العدوى، والضغط النفسي الناجم عن مواجهة وباء عالمي بلا علاج معروف في بدايته. كل هذه العوامل مجتمعة خلقت بيئة مثالية لتفاقم ظاهرة الاحتراق الوظيفي بين الكوادر الصحية.</w:t>
      </w:r>
    </w:p>
    <w:p w14:paraId="2D69210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وقد أظهرت الدراسات الميدانية التي أُجريت خلال وبعد الجائحة ارتفاعًا ملحوظًا في معدلات الاحتراق الوظيفي والاكتئاب والقلق واضطرابات النوم لدى الكوادر الصحية. ففي دراسة (</w:t>
      </w:r>
      <w:proofErr w:type="spellStart"/>
      <w:r w:rsidRPr="007A51FD">
        <w:rPr>
          <w:rFonts w:ascii="Sakkal Majalla" w:eastAsia="Simplified Arabic" w:hAnsi="Sakkal Majalla" w:cs="Sakkal Majalla"/>
          <w:sz w:val="30"/>
          <w:szCs w:val="30"/>
          <w:rtl/>
        </w:rPr>
        <w:t>Lasalvia</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2021) التي أُجريت على العاملين الصحيين في إيطاليا، أظهرت النتائج أن نسبةً كبيرة من العاملين قد أبلغوا عن أعراض الاحتراق والاكتئاب، مع تركّز الإنهاك العاطفي لدى العاملين في أقسام الطوارئ والعناية المركزة. وقد أكدت دراسات مماثلة في سياقات مختلفة أن الجائحة قد فاقمت الاحتراق الوظيفي بمعدلات غير مسبوقة، وأن آثارها النفسية قد تمتد لسنوات بعد انتهاء الجائحة.</w:t>
      </w:r>
    </w:p>
    <w:p w14:paraId="3525320F"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وفي السياق السعودي، شكّلت الجائحة تحديًا مضاعفًا للكوادر الصحية التي كانت في خضم عملية التحول الصحي. فقد اضطرت المنظومة الصحية السعودية إلى إعادة توجيه مواردها بسرعة لمواجهة الجائحة، مع الاستمرار في تقديم الخدمات الصحية الأساسية. وقد قدّمت الكوادر الصحية السعودية تضحيات جسيمة خلال الجائحة، عملت خلالها ساعات طويلة في ظروف بالغة الخطورة. غير أن هذه التضحيات تركت آثارًا نفسية ومهنية عميقة، تتمثل في ارتفاع معدلات الاحتراق والتفكير في ترك المهنة. ومن هنا، باتت الحاجة ملحة إلى تطوير استراتيجيات إدارة الموارد البشرية التي تستجيب للآثار الممتدة للجائحة، وتُعزّز قدرة الكوادر الصحية على التعافي والاستمرار، وهو ما يُكسب دراسة الاحتراق الوظيفي في السياق السعودي الراهن أهمية استثنائية.</w:t>
      </w:r>
    </w:p>
    <w:p w14:paraId="6EFE307B"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أدوات قياس الاحتراق الوظيفي</w:t>
      </w:r>
    </w:p>
    <w:p w14:paraId="2896C00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تطورت أدوات قياس الاحتراق الوظيفي منذ ظهور المفهوم، وتعددت المقاييس المعتمدة في الأدبيات. ومن أبرز هذه الأدوات: مقياس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للاحتراق الوظيفي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Burnout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Inventory</w:t>
      </w:r>
      <w:proofErr w:type="spellEnd"/>
      <w:r w:rsidRPr="007A51FD">
        <w:rPr>
          <w:rFonts w:ascii="Sakkal Majalla" w:eastAsia="Simplified Arabic" w:hAnsi="Sakkal Majalla" w:cs="Sakkal Majalla"/>
          <w:sz w:val="30"/>
          <w:szCs w:val="30"/>
          <w:rtl/>
        </w:rPr>
        <w:t xml:space="preserve"> - MBI) الذي طوّرته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وجاكسون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Jackson</w:t>
      </w:r>
      <w:proofErr w:type="spellEnd"/>
      <w:r w:rsidRPr="007A51FD">
        <w:rPr>
          <w:rFonts w:ascii="Sakkal Majalla" w:eastAsia="Simplified Arabic" w:hAnsi="Sakkal Majalla" w:cs="Sakkal Majalla"/>
          <w:sz w:val="30"/>
          <w:szCs w:val="30"/>
          <w:rtl/>
        </w:rPr>
        <w:t xml:space="preserve">, 1981)، ويُعدّ الأكثر شهرة واعتمادًا عالميًا، ويقيس الأبعاد الثلاثة للاحتراق عبر (22) عبارة موزعة على الأبعاد الثلاثة. وقد ظهرت نسخ متعددة من المقياس لتناسب مجالات مهنية مختلفة، كنسخة الخدمات الإنسانية (MBI-HSS) الموجهة للعاملين في الخدمات الإنسانية والصحية، ونسخة المعلمين (MBI-ES) الموجهة للعاملين في التعليم، ونسخة القياس العام (MBI-GS) التي طرحها </w:t>
      </w:r>
      <w:proofErr w:type="spellStart"/>
      <w:r w:rsidRPr="007A51FD">
        <w:rPr>
          <w:rFonts w:ascii="Sakkal Majalla" w:eastAsia="Simplified Arabic" w:hAnsi="Sakkal Majalla" w:cs="Sakkal Majalla"/>
          <w:sz w:val="30"/>
          <w:szCs w:val="30"/>
          <w:rtl/>
        </w:rPr>
        <w:t>شوفيلي</w:t>
      </w:r>
      <w:proofErr w:type="spellEnd"/>
      <w:r w:rsidRPr="007A51FD">
        <w:rPr>
          <w:rFonts w:ascii="Sakkal Majalla" w:eastAsia="Simplified Arabic" w:hAnsi="Sakkal Majalla" w:cs="Sakkal Majalla"/>
          <w:sz w:val="30"/>
          <w:szCs w:val="30"/>
          <w:rtl/>
        </w:rPr>
        <w:t xml:space="preserve"> وزملاؤه (</w:t>
      </w:r>
      <w:proofErr w:type="spellStart"/>
      <w:r w:rsidRPr="007A51FD">
        <w:rPr>
          <w:rFonts w:ascii="Sakkal Majalla" w:eastAsia="Simplified Arabic" w:hAnsi="Sakkal Majalla" w:cs="Sakkal Majalla"/>
          <w:sz w:val="30"/>
          <w:szCs w:val="30"/>
          <w:rtl/>
        </w:rPr>
        <w:t>Schaufeli</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لتناسب جميع المجالات المهنية.</w:t>
      </w:r>
    </w:p>
    <w:p w14:paraId="3A51317F"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ومن الأدوات الأخرى المعتمدة: مقياس </w:t>
      </w:r>
      <w:proofErr w:type="spellStart"/>
      <w:r w:rsidRPr="007A51FD">
        <w:rPr>
          <w:rFonts w:ascii="Sakkal Majalla" w:eastAsia="Simplified Arabic" w:hAnsi="Sakkal Majalla" w:cs="Sakkal Majalla"/>
          <w:sz w:val="30"/>
          <w:szCs w:val="30"/>
          <w:rtl/>
        </w:rPr>
        <w:t>أولدنبرج</w:t>
      </w:r>
      <w:proofErr w:type="spellEnd"/>
      <w:r w:rsidRPr="007A51FD">
        <w:rPr>
          <w:rFonts w:ascii="Sakkal Majalla" w:eastAsia="Simplified Arabic" w:hAnsi="Sakkal Majalla" w:cs="Sakkal Majalla"/>
          <w:sz w:val="30"/>
          <w:szCs w:val="30"/>
          <w:rtl/>
        </w:rPr>
        <w:t xml:space="preserve"> للاحتراق (OLBI) الذي طوّره </w:t>
      </w:r>
      <w:proofErr w:type="spellStart"/>
      <w:r w:rsidRPr="007A51FD">
        <w:rPr>
          <w:rFonts w:ascii="Sakkal Majalla" w:eastAsia="Simplified Arabic" w:hAnsi="Sakkal Majalla" w:cs="Sakkal Majalla"/>
          <w:sz w:val="30"/>
          <w:szCs w:val="30"/>
          <w:rtl/>
        </w:rPr>
        <w:t>ديمروتي</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Demerouti</w:t>
      </w:r>
      <w:proofErr w:type="spellEnd"/>
      <w:r w:rsidRPr="007A51FD">
        <w:rPr>
          <w:rFonts w:ascii="Sakkal Majalla" w:eastAsia="Simplified Arabic" w:hAnsi="Sakkal Majalla" w:cs="Sakkal Majalla"/>
          <w:sz w:val="30"/>
          <w:szCs w:val="30"/>
          <w:rtl/>
        </w:rPr>
        <w:t xml:space="preserve">)، ويقيس بُعدين هما الإنهاك والانفصال عن العمل، ويتميز بمزايا منهجية على مقياس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w:t>
      </w:r>
      <w:r w:rsidRPr="007A51FD">
        <w:rPr>
          <w:rFonts w:ascii="Sakkal Majalla" w:eastAsia="Simplified Arabic" w:hAnsi="Sakkal Majalla" w:cs="Sakkal Majalla"/>
          <w:sz w:val="30"/>
          <w:szCs w:val="30"/>
          <w:rtl/>
        </w:rPr>
        <w:lastRenderedPageBreak/>
        <w:t xml:space="preserve">ومقياس </w:t>
      </w:r>
      <w:proofErr w:type="spellStart"/>
      <w:r w:rsidRPr="007A51FD">
        <w:rPr>
          <w:rFonts w:ascii="Sakkal Majalla" w:eastAsia="Simplified Arabic" w:hAnsi="Sakkal Majalla" w:cs="Sakkal Majalla"/>
          <w:sz w:val="30"/>
          <w:szCs w:val="30"/>
          <w:rtl/>
        </w:rPr>
        <w:t>كوبنهاكن</w:t>
      </w:r>
      <w:proofErr w:type="spellEnd"/>
      <w:r w:rsidRPr="007A51FD">
        <w:rPr>
          <w:rFonts w:ascii="Sakkal Majalla" w:eastAsia="Simplified Arabic" w:hAnsi="Sakkal Majalla" w:cs="Sakkal Majalla"/>
          <w:sz w:val="30"/>
          <w:szCs w:val="30"/>
          <w:rtl/>
        </w:rPr>
        <w:t xml:space="preserve"> للاحتراق (CBI) الذي طوّره </w:t>
      </w:r>
      <w:proofErr w:type="spellStart"/>
      <w:r w:rsidRPr="007A51FD">
        <w:rPr>
          <w:rFonts w:ascii="Sakkal Majalla" w:eastAsia="Simplified Arabic" w:hAnsi="Sakkal Majalla" w:cs="Sakkal Majalla"/>
          <w:sz w:val="30"/>
          <w:szCs w:val="30"/>
          <w:rtl/>
        </w:rPr>
        <w:t>كريستنسن</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Kristensen</w:t>
      </w:r>
      <w:proofErr w:type="spellEnd"/>
      <w:r w:rsidRPr="007A51FD">
        <w:rPr>
          <w:rFonts w:ascii="Sakkal Majalla" w:eastAsia="Simplified Arabic" w:hAnsi="Sakkal Majalla" w:cs="Sakkal Majalla"/>
          <w:sz w:val="30"/>
          <w:szCs w:val="30"/>
          <w:rtl/>
        </w:rPr>
        <w:t xml:space="preserve">) وزملاؤه، ويقيس الاحتراق في مجالات الحياة المختلفة الشخصية والعملية والاجتماعية. وقد اعتمدت الدراسة الحالية على مقياس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للاحتراق الوظيفي بوصفه الأكثر شيوعًا واعتمادًا في الأدبيات، مع تكييف عباراته لتناسب السياق الصحي السعودي، حيث قُسّم الاحتراق إلى ثلاثة أبعاد، لكل بُعد خمس عبارات، بإجمالي (15) عبارة.</w:t>
      </w:r>
    </w:p>
    <w:p w14:paraId="57E49905" w14:textId="1F96BC5F"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برنامج التحول الصحي ورؤية المملكة 2030</w:t>
      </w:r>
    </w:p>
    <w:p w14:paraId="77CF4462"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يُمثّل برنامج التحول الصحي أحد البرامج التنفيذية الرئيسية لرؤية المملكة العربية السعودية 2030، ويستهدف إعادة هيكلة القطاع الصحي لتصبح المملكة رائدة في تقديم الخدمات الصحية الشاملة عالية الجودة. ويقوم البرنامج على عدة محاور تشمل: تعزيز الرعاية الصحية الوقائية، وتحسين تجربة المريض، ورفع كفاءة الإنفاق الصحي، وتطوير الكوادر البشرية الصحية، وتعزيز الشراكة مع القطاع الخاص. وقد أُسست لهيئة عدة لتحقيق هذه الأهداف، منها إنشاء ست مجموعات صحية تتولى إدارة الخدمات الصحية في مناطق المملكة، وتحويل المؤسسات الصحية إلى كيانات مستقلة إداريًا وماليًا (وزارة الصحة، 2022؛ هيئة المنشآت الصحية، 2023).</w:t>
      </w:r>
    </w:p>
    <w:p w14:paraId="657F4F32"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ويُولي برنامج التحول الصحي اهتمامًا خاصًا بتطوير الموارد البشرية الصحية، إذ يُعدّ الكادر البشري الركيزة الأساسية لتحقيق التحول المنشود. ويتضمن البرنامج مستهدفات نوعية تشمل زيادة نسبة السعودة في القطاع الصحي، وتطوير برامج التدريب والتأهيل، وتحسين بيئة العمل للعاملين الصحيين، وتعزيز رفاهيتهم. غير أن تحقيق هذه المستهدفات يصطدم بواقع مزدحم بالضغوط، حيث تواجه الكوادر الصحية تحديات جسيمة تمثلت في ارتفاع أعباء العمل خلال فترة التحول، ومواكبة التغييرات التنظيمية المتسارعة، فضلًا عن ضغوط جائحة كوفيد-19 التي كشفت هشاشة المنظومة </w:t>
      </w:r>
      <w:r w:rsidRPr="007A51FD">
        <w:rPr>
          <w:rFonts w:ascii="Sakkal Majalla" w:eastAsia="Simplified Arabic" w:hAnsi="Sakkal Majalla" w:cs="Sakkal Majalla"/>
          <w:sz w:val="30"/>
          <w:szCs w:val="30"/>
          <w:rtl/>
        </w:rPr>
        <w:lastRenderedPageBreak/>
        <w:t>الصحية وأثقلت كواهل العاملين فيها (</w:t>
      </w:r>
      <w:proofErr w:type="spellStart"/>
      <w:r w:rsidRPr="007A51FD">
        <w:rPr>
          <w:rFonts w:ascii="Sakkal Majalla" w:eastAsia="Simplified Arabic" w:hAnsi="Sakkal Majalla" w:cs="Sakkal Majalla"/>
          <w:sz w:val="30"/>
          <w:szCs w:val="30"/>
          <w:rtl/>
        </w:rPr>
        <w:t>Lasalvia</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2021). ويُشير هذا الواقع إلى الحاجة الملحة إلى تفعيل استراتيجيات إدارة الموارد البشرية لحماية الكوادر الصحية من الاحتراق، وضمان استدامة عملية التحول الصحي.</w:t>
      </w:r>
    </w:p>
    <w:p w14:paraId="600E2B12"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خصوصية السياق الصحي السعودي</w:t>
      </w:r>
    </w:p>
    <w:p w14:paraId="1A973FB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تتميز المنظومة الصحية السعودية بخصوصية تنبغي مراعاتها عند دراسة ظاهرة الاحتراق الوظيفي وتصميم التدخلات. فالمملكة العربية السعودية تشهد تحولًا ديموغرافيًا متسارعًا، إذ تتزايد نسبة كبار السن نتيجة تحسن الرعاية الصحية وزيادة متوسط العمر المتوقع، مما يُلقي أعباءً إضافية على الكوادر الصحية. كما ترتفع معدلات الأمراض المزمنة كالسكري وأمراض القلب والسمنة في المملكة بمعدلات تتجاوز المعدلات العالمية، مما يُضاعف الطلب على الخدمات الصحية ويُفاقم الضغوط على الكوادر.</w:t>
      </w:r>
    </w:p>
    <w:p w14:paraId="3772F6D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ومن الخصوصيات الأخرى، التوزيع الجغرافي غير المتوازن للكوادر الصحية بين المناطق الحضرية والريفية، حيث تتركز الكوادر في المدن الكبرى كالرياض وجدة والدمام، فيما تعاني المناطق النائية من نقص نسبي في الكوادر، مما يُضاعف الضغوط على العاملين في تلك المناطق. كما تتميز المنظومة الصحية السعودية بالتنوع الثقافي في بيئة العمل نتيجة الاعتماد على العمالة الصحية الوافدة في بعض التخصصات، مما يُثير تحديات تواصلية وإدارية قد تُسهم في الضغوط. فضلًا عن ذلك، تواجه المملكة تحدي السعودة في القطاع الصحي، إذ تسعى لرفع نسبة الكوادر السعودية المؤهلة، مما يتطلب تأهيلًا مكثفًا وتطويرًا مستمرًا للقدرات الوطنية، وهو ما يضع أعباءً إضافية على الكوادر القائمة خلال المرحلة الانتقالية.</w:t>
      </w:r>
    </w:p>
    <w:p w14:paraId="5075516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وتُضيف التحولات التنظيمية المتسارعة المرافقة لبرنامج التحول الصحي بُعدًا آخر من الضغوط، حيث تنتقل الكوادر من النموذج المركزي التقليدي إلى النموذج اللامركزي القائم على المجموعات الصحية، مما يستلزم التكيّف مع هياكل وإجراءات وثقافات جديدة. كما يتطلب التحول الرقمي في القطاع الصحي مواكبة أنظمة وتقنيات حديثة، وهو ما يُضيف أعباء تعلم وتكيّف. كل هذه الخصوصيات مجتمعة تجعل دراسة الاحتراق الوظيفي في السياق السعودي ضرورة علمية وعملية، وتُكسب التوصيات الناشئة عنها قيمة تطبيقية متميزة لا تتحقق عبر نقل التوصيات من سياقات أخرى.</w:t>
      </w:r>
    </w:p>
    <w:p w14:paraId="3FC0C372"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دور إدارة الموارد البشرية في تحقيق متطلبات برنامج التحول الصحي</w:t>
      </w:r>
    </w:p>
    <w:p w14:paraId="6116BCE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تُمثّل إدارة الموارد البشرية محورًا حيويًا في تحقيق متطلبات برنامج التحول الصحي، إذ يرتكز نجاح التحول على قدرة المنظومة الصحية على تأهيل كوادرها وتحفيزها والاحتفاظ بها. وقد أولى برنامج التحول الصحي تطوير الموارد البشرية أهمية خاصة، عبر عدد من المستهدفات الاستراتيجية، منها: رفع نسبة الكوادر السعودية في القطاع الصحي، وتطوير برامج التدريب والتأهيل، وتحسين بيئة العمل، وتعزيز رفاهية العاملين. غير أن تحقيق هذه المستهدفات يتطلب تحولًا جذريًا في دور إدارة الموارد البشرية من الإطار التقليدي إلى الإطار الاستراتيجي.</w:t>
      </w:r>
    </w:p>
    <w:p w14:paraId="40592D7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ويتمثل هذا التحول في عدة جوانب: أولًا، الانتقال من التنفيذ إلى الاستراتيجية، حيث تُشارك إدارة الموارد البشرية في صياغة استراتيجية المنشأة الصحية وتطوير الموارد البشرية كأصل استراتيجي. ثانيًا، الانتقال من التفاعلي إلى </w:t>
      </w:r>
      <w:proofErr w:type="spellStart"/>
      <w:r w:rsidRPr="007A51FD">
        <w:rPr>
          <w:rFonts w:ascii="Sakkal Majalla" w:eastAsia="Simplified Arabic" w:hAnsi="Sakkal Majalla" w:cs="Sakkal Majalla"/>
          <w:sz w:val="30"/>
          <w:szCs w:val="30"/>
          <w:rtl/>
        </w:rPr>
        <w:t>الاستباقي</w:t>
      </w:r>
      <w:proofErr w:type="spellEnd"/>
      <w:r w:rsidRPr="007A51FD">
        <w:rPr>
          <w:rFonts w:ascii="Sakkal Majalla" w:eastAsia="Simplified Arabic" w:hAnsi="Sakkal Majalla" w:cs="Sakkal Majalla"/>
          <w:sz w:val="30"/>
          <w:szCs w:val="30"/>
          <w:rtl/>
        </w:rPr>
        <w:t xml:space="preserve">، حيث تُصمم برامج وقائية لمواجهة الاحتراق قبل وقوعه. ثالثًا، الانتقال من الإطار العام إلى الإطار الصحي المتخصص، حيث تُطور ممارسات تناسب خصوصية </w:t>
      </w:r>
      <w:r w:rsidRPr="007A51FD">
        <w:rPr>
          <w:rFonts w:ascii="Sakkal Majalla" w:eastAsia="Simplified Arabic" w:hAnsi="Sakkal Majalla" w:cs="Sakkal Majalla"/>
          <w:sz w:val="30"/>
          <w:szCs w:val="30"/>
          <w:rtl/>
        </w:rPr>
        <w:lastRenderedPageBreak/>
        <w:t>العمل الصحي. رابعًا، الانتقال من القياس المالي إلى القياس الشامل، حيث تُقاس فعّالية إدارة الموارد البشرية بمؤشرات الصحة النفسية والرفاهية والاحتفاظ بالكوادر، لا بمؤشرات التكلفة وحدها.</w:t>
      </w:r>
    </w:p>
    <w:p w14:paraId="38317E9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وتلعب استراتيجيات إدارة الموارد البشرية الخمسة محل الدراسة أدوارًا محورية في تحقيق متطلبات برنامج التحول الصحي. فالتدريب والتطوير يُمكّن الكوادر من مواكبة التغيرات التقنية والبروتوكولية المصاحبة للتحول. والحوافز والتقدير تُحفّز الكوادر على الاستمرار والتميز في مرحلة التحول. وجودة بيئة العمل تضمن بيئة آمنة وداعمة تُمكّن الكوادر من الأداء بكفاءة. والدعم القيادي والإداري يُوفّر القيادة التحويلية اللازمة لقيادة التغيير. وإدارة عبء العمل والتوازن بين العمل والحياة تضمن عدم استنزاف الكوادر في مرحلة التحول المكثفة. ومن هنا، تُمثّل مواجهة الاحتراق الوظيفي عبر هذه الاستراتيجيات شرطًا أساسيًا لنجاح برنامج التحول الصحي، وليست مجرد مسألة إدارية ثانوية.</w:t>
      </w:r>
    </w:p>
    <w:p w14:paraId="5DD1B986" w14:textId="3F88DB94"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hint="cs"/>
          <w:szCs w:val="28"/>
          <w:rtl/>
        </w:rPr>
        <w:t>ا</w:t>
      </w:r>
      <w:r w:rsidRPr="00C53259">
        <w:rPr>
          <w:rFonts w:ascii="Sakkal Majalla" w:eastAsia="Simplified Arabic" w:hAnsi="Sakkal Majalla" w:cs="Sakkal Majalla"/>
          <w:szCs w:val="28"/>
          <w:rtl/>
        </w:rPr>
        <w:t>لعلاقة بين استراتيجيات إدارة الموارد البشرية والاحتراق الوظيفي</w:t>
      </w:r>
    </w:p>
    <w:p w14:paraId="51C727A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تُشير الأدبيات العلمية إلى وجود علاقة عكسية وثيقة بين ممارسات إدارة الموارد البشرية الفعّالة ومستوى الاحتراق الوظيفي. فمن منظور نظرية الطلبات-الموارد الوظيفية، تُمثّل استراتيجيات إدارة الموارد البشرية موارد وظيفية داعمة تُمكّن العاملين من مواجهة الطلبات الوظيفية الضاغطة، وبالتالي تُقلل من احتمالات الاحتراق. ويُشير باكر </w:t>
      </w:r>
      <w:proofErr w:type="spellStart"/>
      <w:r w:rsidRPr="007A51FD">
        <w:rPr>
          <w:rFonts w:ascii="Sakkal Majalla" w:eastAsia="Simplified Arabic" w:hAnsi="Sakkal Majalla" w:cs="Sakkal Majalla"/>
          <w:sz w:val="30"/>
          <w:szCs w:val="30"/>
          <w:rtl/>
        </w:rPr>
        <w:t>وديمروتي</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Bakker</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Demerouti</w:t>
      </w:r>
      <w:proofErr w:type="spellEnd"/>
      <w:r w:rsidRPr="007A51FD">
        <w:rPr>
          <w:rFonts w:ascii="Sakkal Majalla" w:eastAsia="Simplified Arabic" w:hAnsi="Sakkal Majalla" w:cs="Sakkal Majalla"/>
          <w:sz w:val="30"/>
          <w:szCs w:val="30"/>
          <w:rtl/>
        </w:rPr>
        <w:t xml:space="preserve">, 2017) إلى أن الموارد الوظيفية تلعب دورين متكاملين: دورًا مباشرًا في تقليل الاحتراق عبر تلبية احتياجات العاملين، ودورًا وسطيًا في تخفيف أثر الطلبات الوظيفية على الصحة النفسية. ومن منظور نموذج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ولايتر</w:t>
      </w:r>
      <w:proofErr w:type="spellEnd"/>
      <w:r w:rsidRPr="007A51FD">
        <w:rPr>
          <w:rFonts w:ascii="Sakkal Majalla" w:eastAsia="Simplified Arabic" w:hAnsi="Sakkal Majalla" w:cs="Sakkal Majalla"/>
          <w:sz w:val="30"/>
          <w:szCs w:val="30"/>
          <w:rtl/>
        </w:rPr>
        <w:t xml:space="preserve"> للمناطق الست، تُمثّل استراتيجيات إدارة الموارد البشرية تدخلات على مستوى المجالات الست (عبء العمل، التحكم، المكافأة، المجتمع، العدالة، القيم)، وهي المجالات التي ينتج عن اختلالها الاحتراق الوظيفي (</w:t>
      </w:r>
      <w:proofErr w:type="spellStart"/>
      <w:r w:rsidRPr="007A51FD">
        <w:rPr>
          <w:rFonts w:ascii="Sakkal Majalla" w:eastAsia="Simplified Arabic" w:hAnsi="Sakkal Majalla" w:cs="Sakkal Majalla"/>
          <w:sz w:val="30"/>
          <w:szCs w:val="30"/>
          <w:rtl/>
        </w:rPr>
        <w:t>Maslach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Leiter</w:t>
      </w:r>
      <w:proofErr w:type="spellEnd"/>
      <w:r w:rsidRPr="007A51FD">
        <w:rPr>
          <w:rFonts w:ascii="Sakkal Majalla" w:eastAsia="Simplified Arabic" w:hAnsi="Sakkal Majalla" w:cs="Sakkal Majalla"/>
          <w:sz w:val="30"/>
          <w:szCs w:val="30"/>
          <w:rtl/>
        </w:rPr>
        <w:t>, 2008).</w:t>
      </w:r>
    </w:p>
    <w:p w14:paraId="60488FE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وعلى المستوى التجريبي، أثبتت دراسات عديدة دور ممارسات إدارة الموارد البشرية في الحد من الاحتراق الوظيفي. فالتدريب والتطوير يُعززان الكفاءة والثقة بالنفس ويُقللان من الشعور بالعجز المهني، والحوافز العادلة تُعزز الشعور بالقيمة وتُقلل من تبلد المشاعر، وجودة بيئة العمل تُقلل من الإنهاك العاطفي، والدعم القيادي يُعزز القدرة على التكيف، وإدارة عبء العمل بفعالية تُقلل من الإنهاك وتُحسّن التوازن بين العمل والحياة. ويُمثّل الربط بين هذه الاستراتيجيات والاحتراق الوظيفي إضافة معرفية مهمة، تستدعي دراسة معمّقة في السياق السعودي الذي يُعاني من فجوة في هذا المجال.</w:t>
      </w:r>
    </w:p>
    <w:p w14:paraId="5AC46149"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استراتيجيات الوقاية من الاحتراق الوظيفي</w:t>
      </w:r>
    </w:p>
    <w:p w14:paraId="3AD5105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تتعدد الاستراتيجيات المقترحة في الأدبيات للوقاية من الاحتراق الوظيفي، وتُقسم عادةً إلى استراتيجيات تنظيمية واستراتيجيات فردية. ورغم أن الدراسات الحديثة تُؤكد تفوق الاستراتيجيات التنظيمية، إلا أن المقاربة المتكاملة التي تجمع بين النوعين تُعدّ الأكثر فعّالية. وتتمحور الاستراتيجيات التنظيمية حول تعديل بيئة العمل وممارسات إدارة الموارد البشرية لمعالجة الأسباب البنيوية للاحتراق، بينما تُركز الاستراتيجيات الفردية على تعزيز قدرة العاملين على التكيّف والصمود.</w:t>
      </w:r>
    </w:p>
    <w:p w14:paraId="1AE1169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ومن أبرز الاستراتيجيات التنظيمية للوقاية من الاحتراق: إعادة تصميم العمل لتقليل العبء وتعزيز التنوع والمعنى، وتطوير أنظمة حوافز عادلة ومرتبطة بالأداء، وتعزيز الدعم القيادي عبر تدريب القادة على مهارات القيادة التحويلية والاستماع والتعاطف، وبناء ثقافة تنظيمية تُقدّر الصحة النفسية وتُكافئ الأداء المستدام، وتطوير سياسات المرونة في العمل والتوازن بين العمل والحياة، وتوفير برامج دعم نفسي ومهني للعاملين، وإشراك العاملين في صنع القرارات المتعلقة بعملهم. وقد أكد وست وزملاؤه (</w:t>
      </w:r>
      <w:proofErr w:type="spellStart"/>
      <w:r w:rsidRPr="007A51FD">
        <w:rPr>
          <w:rFonts w:ascii="Sakkal Majalla" w:eastAsia="Simplified Arabic" w:hAnsi="Sakkal Majalla" w:cs="Sakkal Majalla"/>
          <w:sz w:val="30"/>
          <w:szCs w:val="30"/>
          <w:rtl/>
        </w:rPr>
        <w:t>West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xml:space="preserve">., 2018) أن التدخلات التنظيمية أكثر فعّالية من الفردية في مواجهة </w:t>
      </w:r>
      <w:r w:rsidRPr="007A51FD">
        <w:rPr>
          <w:rFonts w:ascii="Sakkal Majalla" w:eastAsia="Simplified Arabic" w:hAnsi="Sakkal Majalla" w:cs="Sakkal Majalla"/>
          <w:sz w:val="30"/>
          <w:szCs w:val="30"/>
          <w:rtl/>
        </w:rPr>
        <w:lastRenderedPageBreak/>
        <w:t>الاحتراق، وأن المقاربة الشاملة التي تتناول عدة مستويات (القائد، الفريق، المنظومة) هي الأكثر نجاحًا.</w:t>
      </w:r>
    </w:p>
    <w:p w14:paraId="482BE2F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ومن أبرز الاستراتيجيات الفردية: برامج التدريب على إدارة الضغوط واليقظة الذهنية (</w:t>
      </w:r>
      <w:proofErr w:type="spellStart"/>
      <w:r w:rsidRPr="007A51FD">
        <w:rPr>
          <w:rFonts w:ascii="Sakkal Majalla" w:eastAsia="Simplified Arabic" w:hAnsi="Sakkal Majalla" w:cs="Sakkal Majalla"/>
          <w:sz w:val="30"/>
          <w:szCs w:val="30"/>
          <w:rtl/>
        </w:rPr>
        <w:t>Mindfulness</w:t>
      </w:r>
      <w:proofErr w:type="spellEnd"/>
      <w:r w:rsidRPr="007A51FD">
        <w:rPr>
          <w:rFonts w:ascii="Sakkal Majalla" w:eastAsia="Simplified Arabic" w:hAnsi="Sakkal Majalla" w:cs="Sakkal Majalla"/>
          <w:sz w:val="30"/>
          <w:szCs w:val="30"/>
          <w:rtl/>
        </w:rPr>
        <w:t>)، وبرامج تعزيز الصلابة النفسية (</w:t>
      </w:r>
      <w:proofErr w:type="spellStart"/>
      <w:r w:rsidRPr="007A51FD">
        <w:rPr>
          <w:rFonts w:ascii="Sakkal Majalla" w:eastAsia="Simplified Arabic" w:hAnsi="Sakkal Majalla" w:cs="Sakkal Majalla"/>
          <w:sz w:val="30"/>
          <w:szCs w:val="30"/>
          <w:rtl/>
        </w:rPr>
        <w:t>Resilience</w:t>
      </w:r>
      <w:proofErr w:type="spellEnd"/>
      <w:r w:rsidRPr="007A51FD">
        <w:rPr>
          <w:rFonts w:ascii="Sakkal Majalla" w:eastAsia="Simplified Arabic" w:hAnsi="Sakkal Majalla" w:cs="Sakkal Majalla"/>
          <w:sz w:val="30"/>
          <w:szCs w:val="30"/>
          <w:rtl/>
        </w:rPr>
        <w:t>)، وممارسات العناية الذاتية كالنوم الكافي والتمارين الرياضية والتغذية الصحية، وبناء شبكات الدعم الاجتماعي، واللجوء إلى الاستشارة النفسية عند الحاجة. ورغم فعّالية هذه الاستراتيجيات، إلا أنها تُعالج الأعراض لا الأسباب، ولذلك ينبغي أن تُكمّل الاستراتيجيات التنظيمية لا أن تُحل محلها. وفي السياق الصحي السعودي، تكتسب الاستراتيجيات التنظيمية أهمية مضاعفة نظرًا لخصوصية التحولات الراهنة، ولأن الاعتماد على الاستراتيجيات الفردية وحدها قد يُحمّل العاملين مسؤولية معاناتهم، وهو ما يُتعارض مع المنهج العلمي الذي يُؤكد أن الاحتراق ظاهرة تنظيمية بالأساس.</w:t>
      </w:r>
    </w:p>
    <w:p w14:paraId="56AFD8BA" w14:textId="78E89D1C"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العلاقة التفصيلية بين كل محور وأبعاد الاحتراق الوظيفي</w:t>
      </w:r>
    </w:p>
    <w:p w14:paraId="331A491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لإمعان النظر في العلاقة بين متغيرات الدراسة، يُقدّم هذا المبحث تحليلًا تفصيليًا للعلاقة المتوقعة بين كل محور من محاور استراتيجيات إدارة الموارد البشرية وأبعاد الاحتراق الوظيفي الثلاثة، استنادًا إلى الإطار النظري والدراسات السابقة. وتُسهم هذا التحليل في بناء الفرضيات الفرعية وتفسير النتائج.</w:t>
      </w:r>
    </w:p>
    <w:p w14:paraId="1272B1F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أولًا: العلاقة بين التدريب والتطوير والاحتراق الوظيفي. يُسهم التدريب الفعّال في تعزيز كفاءة العاملين وثقتهم بأنفسهم، مما يُقلل من الشعور بالعجز المهني الذي يقود إلى انخفاض الشعور بالإنجاز الشخصي. كما يُمكّن التدريب العاملين من اكتساب مهارات إدارة الضغوط والتعامل مع المواقف الصعبة، مما يُقلل من الإنهاك العاطفي. وفي السياق الصحي، يُمثّل التدريب على </w:t>
      </w:r>
      <w:r w:rsidRPr="007A51FD">
        <w:rPr>
          <w:rFonts w:ascii="Sakkal Majalla" w:eastAsia="Simplified Arabic" w:hAnsi="Sakkal Majalla" w:cs="Sakkal Majalla"/>
          <w:sz w:val="30"/>
          <w:szCs w:val="30"/>
          <w:rtl/>
        </w:rPr>
        <w:lastRenderedPageBreak/>
        <w:t>البروتوكولات الحديثة والتقنيات المتطورة موردًا وظيفيًا حيويًا يُمكّن الكوادر من أداء عملها بكفاءة وثقة. وقد أكدت دراسة (</w:t>
      </w:r>
      <w:proofErr w:type="spellStart"/>
      <w:r w:rsidRPr="007A51FD">
        <w:rPr>
          <w:rFonts w:ascii="Sakkal Majalla" w:eastAsia="Simplified Arabic" w:hAnsi="Sakkal Majalla" w:cs="Sakkal Majalla"/>
          <w:sz w:val="30"/>
          <w:szCs w:val="30"/>
          <w:rtl/>
        </w:rPr>
        <w:t>Kabat-Farr</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Tribble</w:t>
      </w:r>
      <w:proofErr w:type="spellEnd"/>
      <w:r w:rsidRPr="007A51FD">
        <w:rPr>
          <w:rFonts w:ascii="Sakkal Majalla" w:eastAsia="Simplified Arabic" w:hAnsi="Sakkal Majalla" w:cs="Sakkal Majalla"/>
          <w:sz w:val="30"/>
          <w:szCs w:val="30"/>
          <w:rtl/>
        </w:rPr>
        <w:t>, 2023) أن برامج التطوير المهني تُسهم في تقليل الاحتراق الوظيفي، خاصة في بُعد انخفاض الشعور بالإنجاز.</w:t>
      </w:r>
    </w:p>
    <w:p w14:paraId="552192C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ثانيًا: العلاقة بين الحوافز والتقدير والاحتراق الوظيفي. تُسهم أنظمة الحوافز العادلة المرتبطة بالأداء الفعلي في تعزيز إحساس العامل بقيمته وأهمية جهوده، مما يُقلل من تبلد المشاعر وانخفاض الشعور بالإنجاز. ووفقًا لنظرية العدالة لآدامز، فإن الإحساس بعدالة توزيع المكافآت يُعدّ محركًا أساسيًا للدافعية، وأن غياب هذا الإحساس يقود إلى التبلد والتراجع. كما تُسهم الحوافز المالية المناسبة في تقليل الضغوط المالية التي قد تُفاقم الإنهاك العاطفي. وقد أكدت دراسة (</w:t>
      </w:r>
      <w:proofErr w:type="spellStart"/>
      <w:r w:rsidRPr="007A51FD">
        <w:rPr>
          <w:rFonts w:ascii="Sakkal Majalla" w:eastAsia="Simplified Arabic" w:hAnsi="Sakkal Majalla" w:cs="Sakkal Majalla"/>
          <w:sz w:val="30"/>
          <w:szCs w:val="30"/>
          <w:rtl/>
        </w:rPr>
        <w:t>Alarcon</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2020) أن غياب العدالة في المكافآت يُعدّ من أقوى المتنبئات بتبلد المشاعر.</w:t>
      </w:r>
    </w:p>
    <w:p w14:paraId="04083ABB"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ثالثًا: العلاقة بين جودة بيئة العمل والاحتراق الوظيفي. تُمثّل بيئة العمل المورد الوظيفي الأشمل الذي يُؤثر على جميع أبعاد الاحتراق. فالبيئة الآمنة والمجهزة تُقلل من الإنهاك العاطفي عبر تقليل الضغوط الجسدية والنفسية، والبيئة الداعمة اجتماعيًا تُعزّز الشعور بالانتماء وتُقلل من تبلد المشاعر، والبيئة المنظمة بشكل جيد تُعزّز الشعور بالإنجاز. ويُشير نموذج الطلبات-الموارد إلى أن الموارد البيئية تُمثّل الموارد الوظيفية الأكثر تأثيرًا في مواجهة الاحتراق. وقد أكدت دراسة (العتيبي، 2021) وجود علاقة عكسية بين جودة بيئة العمل والاحتراق الوظيفي بأبعاده الثلاثة.</w:t>
      </w:r>
    </w:p>
    <w:p w14:paraId="4AC1BD0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رابعًا: العلاقة بين الدعم القيادي والإداري والاحتراق الوظيفي. يُمثّل الدعم القيادي موردًا وظيفيًا حيويًا يُعزّز قدرة العاملين على التكيّف مع الضغوط، ويُقلل من الإنهاك العاطفي عبر توفير المساندة النفسية والمعلوماتية. كما يُعزّز الدعم القيادي إشراك العاملين في صنع القرار، مما يُعزّز الشعور بالتحكم ويُقلل من انخفاض الشعور بالإنجاز. وتُشير نظرية القيادة التحويلية إلى أن القائد الفعّال </w:t>
      </w:r>
      <w:r w:rsidRPr="007A51FD">
        <w:rPr>
          <w:rFonts w:ascii="Sakkal Majalla" w:eastAsia="Simplified Arabic" w:hAnsi="Sakkal Majalla" w:cs="Sakkal Majalla"/>
          <w:sz w:val="30"/>
          <w:szCs w:val="30"/>
          <w:rtl/>
        </w:rPr>
        <w:lastRenderedPageBreak/>
        <w:t>يُلهم المرؤوسين ويُعزّز دافعيتهم وثقتهم بأنفسهم. وقد أكدت دراسة (الزهراني، 2021) ودراسة (</w:t>
      </w:r>
      <w:proofErr w:type="spellStart"/>
      <w:r w:rsidRPr="007A51FD">
        <w:rPr>
          <w:rFonts w:ascii="Sakkal Majalla" w:eastAsia="Simplified Arabic" w:hAnsi="Sakkal Majalla" w:cs="Sakkal Majalla"/>
          <w:sz w:val="30"/>
          <w:szCs w:val="30"/>
          <w:rtl/>
        </w:rPr>
        <w:t>Gilbreath</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Benson</w:t>
      </w:r>
      <w:proofErr w:type="spellEnd"/>
      <w:r w:rsidRPr="007A51FD">
        <w:rPr>
          <w:rFonts w:ascii="Sakkal Majalla" w:eastAsia="Simplified Arabic" w:hAnsi="Sakkal Majalla" w:cs="Sakkal Majalla"/>
          <w:sz w:val="30"/>
          <w:szCs w:val="30"/>
          <w:rtl/>
        </w:rPr>
        <w:t>, 2004) دور القيادة في الحد من الاحتراق.</w:t>
      </w:r>
    </w:p>
    <w:p w14:paraId="057D65A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خامسًا: العلاقة بين إدارة عبء العمل والتوازن بين العمل والحياة والاحتراق الوظيفي. يُعدّ عبء العمل الطلب الوظيفي الأقوى المرتبط بالاحتراق، إذ يُؤدي ارتفاع عبء العمل إلى الإنهاك العاطفي بشكل مباشر. كما يُؤدي ضعف التوازن بين العمل والحياة إلى تراكم الضغوط وظهور أعراض الاحتراق في الأبعاد الثلاثة. وقد أكدت دراسة (</w:t>
      </w:r>
      <w:proofErr w:type="spellStart"/>
      <w:r w:rsidRPr="007A51FD">
        <w:rPr>
          <w:rFonts w:ascii="Sakkal Majalla" w:eastAsia="Simplified Arabic" w:hAnsi="Sakkal Majalla" w:cs="Sakkal Majalla"/>
          <w:sz w:val="30"/>
          <w:szCs w:val="30"/>
          <w:rtl/>
        </w:rPr>
        <w:t>Aiken</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et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al</w:t>
      </w:r>
      <w:proofErr w:type="spellEnd"/>
      <w:r w:rsidRPr="007A51FD">
        <w:rPr>
          <w:rFonts w:ascii="Sakkal Majalla" w:eastAsia="Simplified Arabic" w:hAnsi="Sakkal Majalla" w:cs="Sakkal Majalla"/>
          <w:sz w:val="30"/>
          <w:szCs w:val="30"/>
          <w:rtl/>
        </w:rPr>
        <w:t>., 2002) العلاقة الحتمية بين عبء العمل والاحتراق، وأكدت دراسة (</w:t>
      </w:r>
      <w:proofErr w:type="spellStart"/>
      <w:r w:rsidRPr="007A51FD">
        <w:rPr>
          <w:rFonts w:ascii="Sakkal Majalla" w:eastAsia="Simplified Arabic" w:hAnsi="Sakkal Majalla" w:cs="Sakkal Majalla"/>
          <w:sz w:val="30"/>
          <w:szCs w:val="30"/>
          <w:rtl/>
        </w:rPr>
        <w:t>Kelliher</w:t>
      </w:r>
      <w:proofErr w:type="spellEnd"/>
      <w:r w:rsidRPr="007A51FD">
        <w:rPr>
          <w:rFonts w:ascii="Sakkal Majalla" w:eastAsia="Simplified Arabic" w:hAnsi="Sakkal Majalla" w:cs="Sakkal Majalla"/>
          <w:sz w:val="30"/>
          <w:szCs w:val="30"/>
          <w:rtl/>
        </w:rPr>
        <w:t xml:space="preserve"> &amp; </w:t>
      </w:r>
      <w:proofErr w:type="spellStart"/>
      <w:r w:rsidRPr="007A51FD">
        <w:rPr>
          <w:rFonts w:ascii="Sakkal Majalla" w:eastAsia="Simplified Arabic" w:hAnsi="Sakkal Majalla" w:cs="Sakkal Majalla"/>
          <w:sz w:val="30"/>
          <w:szCs w:val="30"/>
          <w:rtl/>
        </w:rPr>
        <w:t>de</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Menezes</w:t>
      </w:r>
      <w:proofErr w:type="spellEnd"/>
      <w:r w:rsidRPr="007A51FD">
        <w:rPr>
          <w:rFonts w:ascii="Sakkal Majalla" w:eastAsia="Simplified Arabic" w:hAnsi="Sakkal Majalla" w:cs="Sakkal Majalla"/>
          <w:sz w:val="30"/>
          <w:szCs w:val="30"/>
          <w:rtl/>
        </w:rPr>
        <w:t>, 2019) دور ممارسات المرونة والتوازن في تقليل الاحتراق. ويُمثّل هذا المحور الأكثر ارتباطًا بظاهرة الاحتراق، وهو ما يُبرز أهميته في مواجهة الظاهرة.</w:t>
      </w:r>
    </w:p>
    <w:p w14:paraId="36B15C4F" w14:textId="77777777" w:rsidR="000A6451" w:rsidRPr="007A51FD" w:rsidRDefault="006D64CD" w:rsidP="007A51FD">
      <w:pPr>
        <w:bidi/>
        <w:jc w:val="mediumKashida"/>
        <w:rPr>
          <w:rFonts w:ascii="Sakkal Majalla" w:hAnsi="Sakkal Majalla" w:cs="Sakkal Majalla"/>
        </w:rPr>
      </w:pPr>
      <w:r w:rsidRPr="007A51FD">
        <w:rPr>
          <w:rFonts w:ascii="Sakkal Majalla" w:hAnsi="Sakkal Majalla" w:cs="Sakkal Majalla"/>
        </w:rPr>
        <w:br/>
      </w:r>
      <w:r w:rsidRPr="007A51FD">
        <w:rPr>
          <w:rFonts w:ascii="Sakkal Majalla" w:hAnsi="Sakkal Majalla" w:cs="Sakkal Majalla"/>
        </w:rPr>
        <w:br w:type="page"/>
      </w:r>
    </w:p>
    <w:p w14:paraId="4D2F15B8" w14:textId="77777777" w:rsidR="000A6451" w:rsidRPr="00C53259" w:rsidRDefault="006D64CD" w:rsidP="007A51FD">
      <w:pPr>
        <w:pStyle w:val="2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32"/>
          <w:rtl/>
        </w:rPr>
        <w:lastRenderedPageBreak/>
        <w:t>ثانياً: الدراسات السابقة</w:t>
      </w:r>
    </w:p>
    <w:p w14:paraId="2261179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يستعرض هذا المبحث الدراسات السابقة التي تناولت موضوع البحث ومتغيراته، سواء أكانت دراسات عربية أم أجنبية. وقد حرص الباحث على الانتقاء من الدراسات المنشورة في المجلات العلمية المحكمة والأطروحات الجامعية المعتمدة، مع التركيز على الدراسات التي تتقاطع مع موضوع البحث الحالي من حيث المتغيرات أو السياق أو المنهجية. ويُقدّم لكل دراسة عرضًا يتضمن: هدف الدراسة، منهجها، عينتها، أهم نتائجها، وتوصياتها، ثم يُعقب بتحليل نقدي مقارن يكشف عن أوجه التشابه والاختلاف فيما بينها، ويُبرز الفجوة البحثية وما يميز الدراسة الحالية.</w:t>
      </w:r>
    </w:p>
    <w:p w14:paraId="01D2332E" w14:textId="6CD963E4"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الدراسات العربية</w:t>
      </w:r>
    </w:p>
    <w:p w14:paraId="780217D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(الشهري، 2019):</w:t>
      </w:r>
    </w:p>
    <w:p w14:paraId="035992CA" w14:textId="77777777" w:rsidR="000A6451" w:rsidRDefault="006D64CD" w:rsidP="007A51FD">
      <w:pPr>
        <w:bidi/>
        <w:spacing w:before="160" w:after="160" w:line="408" w:lineRule="auto"/>
        <w:jc w:val="mediumKashida"/>
        <w:rPr>
          <w:rFonts w:ascii="Sakkal Majalla" w:hAnsi="Sakkal Majalla" w:cs="Sakkal Majalla"/>
          <w:rtl/>
        </w:rPr>
      </w:pPr>
      <w:r w:rsidRPr="007A51FD">
        <w:rPr>
          <w:rFonts w:ascii="Sakkal Majalla" w:eastAsia="Simplified Arabic" w:hAnsi="Sakkal Majalla" w:cs="Sakkal Majalla"/>
          <w:sz w:val="30"/>
          <w:szCs w:val="30"/>
          <w:rtl/>
        </w:rPr>
        <w:t xml:space="preserve">هدفت هذه الدراسة إلى قياس مستوى الاحتراق الوظيفي لدى العاملين في القطاع الصحي الحكومي بمنطقة عسير بالمملكة العربية السعودية، والكشف عن الفروق فيه باختلاف المتغيرات الديموغرافية. اعتمدت الدراسة المنهج الوصفي التحليلي، واستخدمت مقياس </w:t>
      </w:r>
      <w:proofErr w:type="spellStart"/>
      <w:r w:rsidRPr="007A51FD">
        <w:rPr>
          <w:rFonts w:ascii="Sakkal Majalla" w:eastAsia="Simplified Arabic" w:hAnsi="Sakkal Majalla" w:cs="Sakkal Majalla"/>
          <w:sz w:val="30"/>
          <w:szCs w:val="30"/>
          <w:rtl/>
        </w:rPr>
        <w:t>ماسلاش</w:t>
      </w:r>
      <w:proofErr w:type="spellEnd"/>
      <w:r w:rsidRPr="007A51FD">
        <w:rPr>
          <w:rFonts w:ascii="Sakkal Majalla" w:eastAsia="Simplified Arabic" w:hAnsi="Sakkal Majalla" w:cs="Sakkal Majalla"/>
          <w:sz w:val="30"/>
          <w:szCs w:val="30"/>
          <w:rtl/>
        </w:rPr>
        <w:t xml:space="preserve"> للاحتراق الوظيفي المكون من ثلاثة أبعاد، وطُبّقت على عينة عشوائية بلغت (217) من الكوادر الصحية. توصلت الدراسة إلى أن مستوى الاحتراق الوظيفي جاء متوسطًا، حيث تصدر بُعد الإنهاك العاطفي الأبعاد الثلاثة، كما أظهرت وجود فروق ذات دلالة إحصائية باختلاف سنوات الخبرة والمسمى الوظيفي. أوصت الدراسة بضرورة تصميم برامج دعم نفسي للعاملين وتحسين بيئة العمل. وتتميز دراسة الشهري بتركيزها على السياق السعودي، إلا أنها اقتصرت على قياس الاحتراق دون ربطه باستراتيجيات إدارة الموارد البشرية، وهو ما تُكمل الدراسة الحالية هذا الجانب.</w:t>
      </w:r>
    </w:p>
    <w:p w14:paraId="798F1B0C" w14:textId="77777777" w:rsidR="00E2206E" w:rsidRPr="007A51FD" w:rsidRDefault="00E2206E" w:rsidP="00E2206E">
      <w:pPr>
        <w:bidi/>
        <w:spacing w:before="160" w:after="160" w:line="408" w:lineRule="auto"/>
        <w:jc w:val="mediumKashida"/>
        <w:rPr>
          <w:rFonts w:ascii="Sakkal Majalla" w:hAnsi="Sakkal Majalla" w:cs="Sakkal Majalla"/>
        </w:rPr>
      </w:pPr>
    </w:p>
    <w:p w14:paraId="1E610735"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lastRenderedPageBreak/>
        <w:t>دراسة (الحربي، 2020):</w:t>
      </w:r>
    </w:p>
    <w:p w14:paraId="0B5E3C1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التعرّف على مستوى الاحتراق الوظيفي لدى الممرضين والممرضات السعوديين العاملين في مستشفيات منطقة الرياض، وعلاقته ببعض المتغيرات التنظيمية. استخدمت المنهج الوصفي التحليلي، وطُبّقت أداة الدراسة على عينة بلغت (180) ممرضًا وممرضة. أظهرت النتائج أن مستوى الاحتراق الوظيفي مرتفع، خاصة في بُعد الإنهاك العاطفي، وأن هناك علاقة عكسية بين الدعم التنظيمي المدرَك والاحتراق الوظيفي. أوصت الدراسة بأهمية تعزيز الدعم التنظيمي وتطوير سياسات تخفيف الضغوط. وتلتقي هذه الدراسة مع الدراسة الحالية في السياق المكاني (منطقة الرياض) وفي التركيز على الكوادر الصحية، لكنها اقتصرت على الممرضين فقط، فيما تُوسّع الدراسة الحالية العينة لتشمل فئات صحية متنوعة، وتُضيف بُعد استراتيجيات إدارة الموارد البشرية بمحاورها الخمسة.</w:t>
      </w:r>
    </w:p>
    <w:p w14:paraId="3934354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(العتيبي، 2021):</w:t>
      </w:r>
    </w:p>
    <w:p w14:paraId="22EC55A9" w14:textId="77777777" w:rsidR="000A6451" w:rsidRDefault="006D64CD" w:rsidP="007A51FD">
      <w:pPr>
        <w:bidi/>
        <w:spacing w:before="160" w:after="160" w:line="408" w:lineRule="auto"/>
        <w:jc w:val="mediumKashida"/>
        <w:rPr>
          <w:rFonts w:ascii="Sakkal Majalla" w:hAnsi="Sakkal Majalla" w:cs="Sakkal Majalla"/>
          <w:rtl/>
        </w:rPr>
      </w:pPr>
      <w:r w:rsidRPr="007A51FD">
        <w:rPr>
          <w:rFonts w:ascii="Sakkal Majalla" w:eastAsia="Simplified Arabic" w:hAnsi="Sakkal Majalla" w:cs="Sakkal Majalla"/>
          <w:sz w:val="30"/>
          <w:szCs w:val="30"/>
          <w:rtl/>
        </w:rPr>
        <w:t>هدفت إلى دراسة العلاقة بين بيئة العمل والاحتراق الوظيفي لدى العاملين في مستشفيات القطاع الصحي الحكومي. اعتمدت على المنهج الوصفي التحليلي، وشملت العينة (250) عاملاً. توصلت إلى وجود علاقة عكسية ذات دلالة إحصائية بين جودة بيئة العمل والاحتراق الوظيفي بأبعاده الثلاثة، وأن البُعد المادي لبيئة العمل يُعدّ من أقوى المتنبئات بالإنهاك العاطفي. أوصت بضرورة تحسين البيئة المادية والنفسية للعاملين. وتتفق هذه الدراسة مع الدراسة الحالية في إبراز دور بيئة العمل، لكنها ركّزت على محور واحد من محاور إدارة الموارد البشرية، فيما تتناول الدراسة الحالية خمسة محاور متكاملة، مما يُقدّم رؤية أكثر شمولًا.</w:t>
      </w:r>
    </w:p>
    <w:p w14:paraId="600CF82C" w14:textId="77777777" w:rsidR="00E2206E" w:rsidRDefault="00E2206E" w:rsidP="00E2206E">
      <w:pPr>
        <w:bidi/>
        <w:spacing w:before="160" w:after="160" w:line="408" w:lineRule="auto"/>
        <w:jc w:val="mediumKashida"/>
        <w:rPr>
          <w:rFonts w:ascii="Sakkal Majalla" w:hAnsi="Sakkal Majalla" w:cs="Sakkal Majalla"/>
          <w:rtl/>
        </w:rPr>
      </w:pPr>
    </w:p>
    <w:p w14:paraId="5BD5CEF8" w14:textId="77777777" w:rsidR="00E2206E" w:rsidRPr="007A51FD" w:rsidRDefault="00E2206E" w:rsidP="00E2206E">
      <w:pPr>
        <w:bidi/>
        <w:spacing w:before="160" w:after="160" w:line="408" w:lineRule="auto"/>
        <w:jc w:val="mediumKashida"/>
        <w:rPr>
          <w:rFonts w:ascii="Sakkal Majalla" w:hAnsi="Sakkal Majalla" w:cs="Sakkal Majalla"/>
        </w:rPr>
      </w:pPr>
    </w:p>
    <w:p w14:paraId="5F9EF3B5" w14:textId="77777777" w:rsidR="000A6451" w:rsidRPr="00E2206E" w:rsidRDefault="006D64CD" w:rsidP="007A51FD">
      <w:pPr>
        <w:bidi/>
        <w:spacing w:before="160" w:after="160" w:line="408" w:lineRule="auto"/>
        <w:jc w:val="mediumKashida"/>
        <w:rPr>
          <w:rFonts w:ascii="Sakkal Majalla" w:hAnsi="Sakkal Majalla" w:cs="Sakkal Majalla"/>
          <w:b/>
          <w:bCs/>
        </w:rPr>
      </w:pPr>
      <w:r w:rsidRPr="00E2206E">
        <w:rPr>
          <w:rFonts w:ascii="Sakkal Majalla" w:eastAsia="Simplified Arabic" w:hAnsi="Sakkal Majalla" w:cs="Sakkal Majalla"/>
          <w:b/>
          <w:bCs/>
          <w:sz w:val="30"/>
          <w:szCs w:val="30"/>
          <w:rtl/>
        </w:rPr>
        <w:lastRenderedPageBreak/>
        <w:t>دراسة (القحطاني، 2020):</w:t>
      </w:r>
    </w:p>
    <w:p w14:paraId="6FF8533F"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الكشف عن أثر ضغوط العمل في الاحتراق الوظيفي لدى الكوادر الصحية بمنطقة مكة المكرمة. استخدمت المنهج الوصفي التحليلي، وبلغ حجم العينة (198) مفردة. أظهرت النتائج أن مستوى ضغوط العمل مرتفع، وأن هناك أثرًا ذا دلالة إحصائية لضغوط العمل في الاحتراق الوظيفي، خاصة في بُعد الإنهاك العاطفي. أوصت الدراسة بضرورة تفعيل برامج إدارة الضغوط وتطوير أنظمة الحوافز. وتلتقي دراسة القحطاني مع الدراسة الحالية في التأكيد على دور الضغوط، لكنها تناولت الضغوط كمتغير مستقل، فيما تنظر الدراسة الحالية إلى الضغوط بوصفها ناتجة عن ضعف استراتيجيات إدارة الموارد البشرية، وهو ما يُقدّم منظورًا استراتيجيًا أعمق للحل.</w:t>
      </w:r>
    </w:p>
    <w:p w14:paraId="249E98B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(المطيري، 2022):</w:t>
      </w:r>
    </w:p>
    <w:p w14:paraId="278ACC8F" w14:textId="12D64931" w:rsidR="00E2206E" w:rsidRPr="007A51FD" w:rsidRDefault="006D64CD" w:rsidP="00E2206E">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دراسة أثر الممارسات الإدارية على الاحتراق الوظيفي لدى العاملين في قطاع المستشفيات الخاصة. اعتمدت على المنهج الوصفي التحليلي، وبلغت العينة (220) مفردة. توصلت إلى أن الممارسات الإدارية كالتدريب والحوافز وإدارة الأداء تؤثر عكسيًا في الاحتراق الوظيفي. أوصت بتبني منظومة متكاملة للممارسات الإدارية الحديثة. وتتفق هذه الدراسة مع الدراسة الحالية في اعتماد ممارسات إدارة الموارد البشرية كمتغير مؤثر، لكنها لم تربط هذه الممارسات بمتطلبات برنامج التحول الصحي، وهو ما تُسهم الدراسة الحالية في معالجته.</w:t>
      </w:r>
    </w:p>
    <w:p w14:paraId="0B0220EF"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(الزهراني، 2021):</w:t>
      </w:r>
    </w:p>
    <w:p w14:paraId="6BB6178F"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هدفت إلى قياس دور القيادة التحويلية في الحد من الاحتراق الوظيفي لدى الكوادر الطبية. استخدمت المنهج الوصفي التحليلي، وطُبّقت على عينة بلغت (165) طبيبًا. أظهرت النتائج أن القيادة </w:t>
      </w:r>
      <w:r w:rsidRPr="007A51FD">
        <w:rPr>
          <w:rFonts w:ascii="Sakkal Majalla" w:eastAsia="Simplified Arabic" w:hAnsi="Sakkal Majalla" w:cs="Sakkal Majalla"/>
          <w:sz w:val="30"/>
          <w:szCs w:val="30"/>
          <w:rtl/>
        </w:rPr>
        <w:lastRenderedPageBreak/>
        <w:t>التحويلية بأبعادها تؤثر عكسيًا في الاحتراق الوظيفي، وأن بُعد الإلهام الفردي يُعدّ الأقوى تأثيرًا. أوصت بتدريب القادة على مهارات القيادة التحويلية. وتلتقي هذه الدراسة مع الدراسة الحالية في إبراز دور القيادة، وتُكمل الدراسة الحالية هذا الجانب بدراسة محور الدعم القيادي والإداري ضمن منظومة أشمل من المحاور.</w:t>
      </w:r>
    </w:p>
    <w:p w14:paraId="43B2C5A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(الغامدي، 2019):</w:t>
      </w:r>
    </w:p>
    <w:p w14:paraId="3C5494EB"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التعرّف على مستوى الاحتراق النفسي لدى الممرضات السعوديات العاملات في أقسام الطوارئ والعناية المركزة، وعلاقته بالرضا الوظيفي. اعتمدت على المنهج الوصفي الارتباطي، وبلغت العينة (130) ممرضة. توصلت إلى أن مستوى الاحتراق النفسي مرتفع، وأن هناك علاقة عكسية بينه وبين الرضا الوظيفي. أوصت بتحسين ظروف العمل في الأقسام الحرجة. وتتميز دراسة الغامدي بتركيزها على فئة محددة (ممرضات الأقسام الحرجة)، فيما تتناول الدراسة الحالية فئات صحية متنوعة، مما يُعزّز إمكانية التعميم.</w:t>
      </w:r>
    </w:p>
    <w:p w14:paraId="13E1D6A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(أبو السعود، 2016):</w:t>
      </w:r>
    </w:p>
    <w:p w14:paraId="59F3E7D5"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هدفت إلى دراسة دور استراتيجيات الموارد البشرية في الحد من الاحتراق النفسي والوظيفي لدى العاملين في المستشفيات الجامعية. استخدمت المنهج الوصفي التحليلي، وبلغت العينة (240) عاملاً. توصلت إلى أن استراتيجيات إدارة الموارد البشرية بمختلف أبعادها تسهم بشكل دال إحصائيًا في الحد من الاحتراق الوظيفي، وأن استراتيجية التدريب تأتي في المرتبة الأولى من حسب الأثر. أوصت ببناء منظومة استراتيجية متكاملة لإدارة الموارد البشرية. وتُعدّ دراسة أبي السعود من أقرب الدراسات للدراسة الحالية من حيث المتغيرات، إلا أنها أُجريت في السياق المصري، فيما تُطبَّق الدراسة الحالية </w:t>
      </w:r>
      <w:r w:rsidRPr="007A51FD">
        <w:rPr>
          <w:rFonts w:ascii="Sakkal Majalla" w:eastAsia="Simplified Arabic" w:hAnsi="Sakkal Majalla" w:cs="Sakkal Majalla"/>
          <w:sz w:val="30"/>
          <w:szCs w:val="30"/>
          <w:rtl/>
        </w:rPr>
        <w:lastRenderedPageBreak/>
        <w:t>في السياق السعودي وفي ضوء متطلبات برنامج التحول الصحي، مما يُكسبها خصوصية سياقية متميزة.</w:t>
      </w:r>
    </w:p>
    <w:p w14:paraId="7D11AE31" w14:textId="10727136"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الدراسات الأجنبية</w:t>
      </w:r>
    </w:p>
    <w:p w14:paraId="2A548982"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Shanafelt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2019):</w:t>
      </w:r>
    </w:p>
    <w:p w14:paraId="082C15E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هدفت هذه الدراسة إلى قياس مستوى الاحتراق الوظيفي والرضا عن التوازن بين العمل والحياة لدى الأطباء في الولايات المتحدة الأمريكية. اعتمدت على المنهج الوصفي المسحي، وشملت عينة وطنية بلغت (5,445) طبيبًا. أظهرت النتائج أن نسبة (42.6%) من الأطباء يعانون من الاحتراق الوظيفي، وأن هناك تراجعًا في مستوى الرضا عن التوازن بين العمل والحياة. كما كشفت عن وجود فروق في الاحتراق باختلاف التخصص الطبي، حيث تصدر طب الطوارئ وأطباء الأسرة قائمة التخصصات الأكثر احتراقًا. أوصت الدراسة بضرورة تدخلات على المستوى التنظيمي تشمل إعادة تصميم العمل وتقليل العبء البيروقراطي. وتتميز دراسة </w:t>
      </w:r>
      <w:proofErr w:type="spellStart"/>
      <w:r w:rsidRPr="007A51FD">
        <w:rPr>
          <w:rFonts w:ascii="Sakkal Majalla" w:eastAsia="Simplified Arabic" w:hAnsi="Sakkal Majalla" w:cs="Sakkal Majalla"/>
          <w:sz w:val="30"/>
          <w:szCs w:val="30"/>
          <w:rtl/>
        </w:rPr>
        <w:t>شانافيلت</w:t>
      </w:r>
      <w:proofErr w:type="spellEnd"/>
      <w:r w:rsidRPr="007A51FD">
        <w:rPr>
          <w:rFonts w:ascii="Sakkal Majalla" w:eastAsia="Simplified Arabic" w:hAnsi="Sakkal Majalla" w:cs="Sakkal Majalla"/>
          <w:sz w:val="30"/>
          <w:szCs w:val="30"/>
          <w:rtl/>
        </w:rPr>
        <w:t xml:space="preserve"> بحجم عينتها الكبير وتمثيلها الوطني، إلا أنها أُجريت في سياق أمريكي يختلف عن السياق السعودي من حيث نظام الرعاية الصحية والثقافة التنظيمية.</w:t>
      </w:r>
    </w:p>
    <w:p w14:paraId="1E4FD718"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West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2018):</w:t>
      </w:r>
    </w:p>
    <w:p w14:paraId="77FB675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قدّمت هذه الدراسة المراجعة الشاملة لظاهرة الاحتراق الوظيفي لدى الأطباء، نُشرت في مجلة </w:t>
      </w:r>
      <w:proofErr w:type="spellStart"/>
      <w:r w:rsidRPr="007A51FD">
        <w:rPr>
          <w:rFonts w:ascii="Sakkal Majalla" w:eastAsia="Simplified Arabic" w:hAnsi="Sakkal Majalla" w:cs="Sakkal Majalla"/>
          <w:sz w:val="30"/>
          <w:szCs w:val="30"/>
          <w:rtl/>
        </w:rPr>
        <w:t>The</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Lancet</w:t>
      </w:r>
      <w:proofErr w:type="spellEnd"/>
      <w:r w:rsidRPr="007A51FD">
        <w:rPr>
          <w:rFonts w:ascii="Sakkal Majalla" w:eastAsia="Simplified Arabic" w:hAnsi="Sakkal Majalla" w:cs="Sakkal Majalla"/>
          <w:sz w:val="30"/>
          <w:szCs w:val="30"/>
          <w:rtl/>
        </w:rPr>
        <w:t xml:space="preserve">. استعرضت الأدبيات المنشورة حول أسباب الاحتراق ونتائجه والتدخلات الفعّالة. توصلت إلى أن الاحتراق الوظيفي ظاهرة متفشية بين الأطباء، وأن أبرز أسبابها تنظيمية تتعلق بعبء العمل المفرط وفقدان السيطرة وتدهور القيم المهنية، وأن التدخلات التنظيمية أكثر فعّالية من التدخلات الفردية. أوصت الدراسة بتبني منظومة متكاملة من التدخلات على مستوى القيادة والفرق والمنظومة </w:t>
      </w:r>
      <w:r w:rsidRPr="007A51FD">
        <w:rPr>
          <w:rFonts w:ascii="Sakkal Majalla" w:eastAsia="Simplified Arabic" w:hAnsi="Sakkal Majalla" w:cs="Sakkal Majalla"/>
          <w:sz w:val="30"/>
          <w:szCs w:val="30"/>
          <w:rtl/>
        </w:rPr>
        <w:lastRenderedPageBreak/>
        <w:t>الصحية. وتُمثّل هذه الدراسة مرجعًا نظريًا مهمًا للدراسة الحالية، إذ تُؤكد على أهمية التدخلات التنظيمية التي تتمحور حولها استراتيجيات إدارة الموارد البشرية.</w:t>
      </w:r>
    </w:p>
    <w:p w14:paraId="02B87A95"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Aiken</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2002):</w:t>
      </w:r>
    </w:p>
    <w:p w14:paraId="7A4350E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دراسة العلاقة بين التمريض وعدد المرضى لكل ممرض وبين وفيات المرضى واحتراق الممرضين. اعتمدت على منهج مسحي مقطعي شمل (168) مستشفى و(10,184) ممرضًا و(232,342) مريضًا. أظهرت النتائج أن إضافة كل مريض إضافي لكل ممرض يزيد احتمالية وفيات المرضى بنسبة (7%)، ويزيد من احتمالية احتراق الممرضين. أوصت بإعادة النظر في سياسات التشغيل التمريضي. وتُبرز هذه الدراسة العلاقة الحتمية بين عبء العمل والاحتراق وسلامة المرضى، وهي علاقة يُركز عليها محور إدارة عبء العمل في الدراسة الحالية.</w:t>
      </w:r>
    </w:p>
    <w:p w14:paraId="0383EFF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Dyrbye</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2014):</w:t>
      </w:r>
    </w:p>
    <w:p w14:paraId="779A722E"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تقدير معدلات انتشار الاحتراق الوظيفي والاكتئاب لدى الأطباء الأمريكيين. استخدمت المنهج المسحي الوطني، وشملت عينة ممثلة بلغت (3,679) طبيبًا. توصلت إلى أن نسبة (45.8%) من الأطباء يعانون من عرض واحد على الأقل من أعراض الاحتراق، وأن الاحتراق يرتبط بالتخصص وسنوات الخبرة. أوصت بتطوير استراتيجيات تنظيمية للوقاية. وتتفق هذه الدراسة مع الدراسة الحالية في التأكيد على فداحة الظاهرة، وتُمثّل أساسًا مقارنًا مهمًا.</w:t>
      </w:r>
    </w:p>
    <w:p w14:paraId="7B1B5488"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Bakker</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Demerouti</w:t>
      </w:r>
      <w:proofErr w:type="spellEnd"/>
      <w:r w:rsidRPr="007A51FD">
        <w:rPr>
          <w:rFonts w:ascii="Sakkal Majalla" w:eastAsia="Simplified Arabic" w:hAnsi="Sakkal Majalla" w:cs="Sakkal Majalla"/>
          <w:b/>
          <w:bCs/>
          <w:sz w:val="30"/>
          <w:szCs w:val="30"/>
          <w:rtl/>
        </w:rPr>
        <w:t>, 2017):</w:t>
      </w:r>
    </w:p>
    <w:p w14:paraId="6286CEF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قدّمت هذه الدراسة المراجعة النظرية لنموذج الطلبات-الموارد الوظيفية بعد عقود من تطويره. استعرضت المئات من الدراسات التي اختبرت النموذج، وأكدت أن الطلبات الوظيفية (كعبء العمل </w:t>
      </w:r>
      <w:r w:rsidRPr="007A51FD">
        <w:rPr>
          <w:rFonts w:ascii="Sakkal Majalla" w:eastAsia="Simplified Arabic" w:hAnsi="Sakkal Majalla" w:cs="Sakkal Majalla"/>
          <w:sz w:val="30"/>
          <w:szCs w:val="30"/>
          <w:rtl/>
        </w:rPr>
        <w:lastRenderedPageBreak/>
        <w:t>والضغوط العاطفية) تُؤدي إلى الإنهاك، وأن الموارد الوظيفية (كالدعم والتغذية الراجعة والتحكم) تُعزّز الالتزام وتُقلل من الاحتراق. وتُمثّل هذه الدراسة الأساس النظري المعتمد في الدراسة الحالية، إذ تُبرز أن ممارسات إدارة الموارد البشرية تُمثّل موارد وظيفية داعمة تُواجه الطلبات الضاغطة.</w:t>
      </w:r>
    </w:p>
    <w:p w14:paraId="68BF4A7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Panagioti</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2018):</w:t>
      </w:r>
    </w:p>
    <w:p w14:paraId="0D98F54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تقدير العلاقة بين الاحتراق الوظيفي لدى الأطباء وسلامة المرضى وجودة الرعاية. اعتمدت على المراجعة المنهجية والتحليل التلوي لـ (47) دراسة شملت أكثر من (42,000) طبيب. توصلت إلى أن الاحتراق الوظيفي يرتبط ارتباطًا وثيقًا بضعف سلامة المرضى وزيادة الحوادث الطبية وانخفاض جودة الرعاية. وتُبرز هذه الدراسة التداعيات الخطيرة للاحتراق على مستوى المنظومة الصحية، وتُبرر الاهتمام بمعالجته بوصفه أولوية استراتيجية.</w:t>
      </w:r>
    </w:p>
    <w:p w14:paraId="4005644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Lasalvia</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2021):</w:t>
      </w:r>
    </w:p>
    <w:p w14:paraId="29E5C5D3" w14:textId="77777777" w:rsidR="000A6451" w:rsidRDefault="006D64CD" w:rsidP="007A51FD">
      <w:pPr>
        <w:bidi/>
        <w:spacing w:before="160" w:after="160" w:line="408" w:lineRule="auto"/>
        <w:jc w:val="mediumKashida"/>
        <w:rPr>
          <w:rFonts w:ascii="Sakkal Majalla" w:hAnsi="Sakkal Majalla" w:cs="Sakkal Majalla"/>
          <w:rtl/>
        </w:rPr>
      </w:pPr>
      <w:r w:rsidRPr="007A51FD">
        <w:rPr>
          <w:rFonts w:ascii="Sakkal Majalla" w:eastAsia="Simplified Arabic" w:hAnsi="Sakkal Majalla" w:cs="Sakkal Majalla"/>
          <w:sz w:val="30"/>
          <w:szCs w:val="30"/>
          <w:rtl/>
        </w:rPr>
        <w:t>هدفت إلى قياس أثر جائحة كوفيد-19 على الصحة النفسية للعاملين في المجال الصحي. اعتمدت على المنهج المسحي المقطعي متعدد المراكز، وشملت عينة كبيرة من العاملين الصحيين في إيطاليا. أظهرت النتائج ارتفاعًا ملحوظًا في معدلات الاحتراق الوظيفي والاكتئاب والقلق، مع تركّز الإنهاك العاطفي لدى العاملين في أقسام الطوارئ والعناية المركزة. أوصت بتطوير برامج دعم نفسي مستدامة. وتُبرز هذه الدراسة الأثر العميق للأزمات الصحية على الكوادر، وهو ما يُعزّز أهمية تفعيل استراتيجيات إدارة الموارد البشرية في السياق السعودي بعد الجائحة.</w:t>
      </w:r>
    </w:p>
    <w:p w14:paraId="09794C3D" w14:textId="77777777" w:rsidR="00E2206E" w:rsidRDefault="00E2206E" w:rsidP="00E2206E">
      <w:pPr>
        <w:bidi/>
        <w:spacing w:before="160" w:after="160" w:line="408" w:lineRule="auto"/>
        <w:jc w:val="mediumKashida"/>
        <w:rPr>
          <w:rFonts w:ascii="Sakkal Majalla" w:hAnsi="Sakkal Majalla" w:cs="Sakkal Majalla"/>
          <w:rtl/>
        </w:rPr>
      </w:pPr>
    </w:p>
    <w:p w14:paraId="61068982" w14:textId="77777777" w:rsidR="00E2206E" w:rsidRDefault="00E2206E" w:rsidP="00E2206E">
      <w:pPr>
        <w:bidi/>
        <w:spacing w:before="160" w:after="160" w:line="408" w:lineRule="auto"/>
        <w:jc w:val="mediumKashida"/>
        <w:rPr>
          <w:rFonts w:ascii="Sakkal Majalla" w:hAnsi="Sakkal Majalla" w:cs="Sakkal Majalla"/>
          <w:rtl/>
        </w:rPr>
      </w:pPr>
    </w:p>
    <w:p w14:paraId="7AAD101A" w14:textId="77777777" w:rsidR="00E2206E" w:rsidRPr="007A51FD" w:rsidRDefault="00E2206E" w:rsidP="00E2206E">
      <w:pPr>
        <w:bidi/>
        <w:spacing w:before="160" w:after="160" w:line="408" w:lineRule="auto"/>
        <w:jc w:val="mediumKashida"/>
        <w:rPr>
          <w:rFonts w:ascii="Sakkal Majalla" w:hAnsi="Sakkal Majalla" w:cs="Sakkal Majalla"/>
        </w:rPr>
      </w:pPr>
    </w:p>
    <w:p w14:paraId="6EE3000C"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lastRenderedPageBreak/>
        <w:t>دراسة (</w:t>
      </w:r>
      <w:proofErr w:type="spellStart"/>
      <w:r w:rsidRPr="007A51FD">
        <w:rPr>
          <w:rFonts w:ascii="Sakkal Majalla" w:eastAsia="Simplified Arabic" w:hAnsi="Sakkal Majalla" w:cs="Sakkal Majalla"/>
          <w:b/>
          <w:bCs/>
          <w:sz w:val="30"/>
          <w:szCs w:val="30"/>
          <w:rtl/>
        </w:rPr>
        <w:t>Kabat-Farr</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Tribble</w:t>
      </w:r>
      <w:proofErr w:type="spellEnd"/>
      <w:r w:rsidRPr="007A51FD">
        <w:rPr>
          <w:rFonts w:ascii="Sakkal Majalla" w:eastAsia="Simplified Arabic" w:hAnsi="Sakkal Majalla" w:cs="Sakkal Majalla"/>
          <w:b/>
          <w:bCs/>
          <w:sz w:val="30"/>
          <w:szCs w:val="30"/>
          <w:rtl/>
        </w:rPr>
        <w:t>, 2023):</w:t>
      </w:r>
    </w:p>
    <w:p w14:paraId="1585C8BE"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دراسة العلاقة بين دعم التطوير المهني والاحتراق الوظيفي لدى العاملين الصحيين. استخدمت المنهج الطولي، وشملت عينة من العاملين في مستشفيات أمريكية. أظهرت النتائج أن برامج التطوير المهني المستمر تُسهم في تقليل الاحتراق الوظيفي، خاصة في بُعد انخفاض الشعور بالإنجاز. وتتفق هذه الدراسة مع الدراسة الحالية في التأكيد على دور التدريب والتطوير، وتُمثّل أساسًا تجريبيًا لمحور التدريب والتطوير.</w:t>
      </w:r>
    </w:p>
    <w:p w14:paraId="4872E89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Alarcon</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2020):</w:t>
      </w:r>
    </w:p>
    <w:p w14:paraId="7B516182"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قدّمت هذه الدراسة المراجعة المنهجية للعلاقة بين المكافآت والحوافز والاحتراق الوظيفي. استعرضت (65) دراسة، وأكدت أن غياب العدالة في توزيع المكافآت يُعدّ من أقوى المتنبئات بتبلد المشاعر وانخفاض الشعور بالإنجاز. وتُمثّل هذه الدراسة الأساس التجريبي لمحور الحوافز والتقدير في الدراسة الحالية.</w:t>
      </w:r>
    </w:p>
    <w:p w14:paraId="7C16C01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Kelliher</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de</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Menezes</w:t>
      </w:r>
      <w:proofErr w:type="spellEnd"/>
      <w:r w:rsidRPr="007A51FD">
        <w:rPr>
          <w:rFonts w:ascii="Sakkal Majalla" w:eastAsia="Simplified Arabic" w:hAnsi="Sakkal Majalla" w:cs="Sakkal Majalla"/>
          <w:b/>
          <w:bCs/>
          <w:sz w:val="30"/>
          <w:szCs w:val="30"/>
          <w:rtl/>
        </w:rPr>
        <w:t>, 2019):</w:t>
      </w:r>
    </w:p>
    <w:p w14:paraId="7A236599" w14:textId="3AFD9EB6" w:rsidR="00E2206E" w:rsidRDefault="006D64CD" w:rsidP="00E2206E">
      <w:pPr>
        <w:bidi/>
        <w:spacing w:before="160" w:after="160" w:line="408" w:lineRule="auto"/>
        <w:jc w:val="mediumKashida"/>
        <w:rPr>
          <w:rFonts w:ascii="Sakkal Majalla" w:hAnsi="Sakkal Majalla" w:cs="Sakkal Majalla"/>
          <w:rtl/>
        </w:rPr>
      </w:pPr>
      <w:r w:rsidRPr="007A51FD">
        <w:rPr>
          <w:rFonts w:ascii="Sakkal Majalla" w:eastAsia="Simplified Arabic" w:hAnsi="Sakkal Majalla" w:cs="Sakkal Majalla"/>
          <w:sz w:val="30"/>
          <w:szCs w:val="30"/>
          <w:rtl/>
        </w:rPr>
        <w:t>هدفت إلى دراسة ممارسات الموازنة بين العمل والحياة وأثرها على العاملين. اعتمدت على منهج دراسة الحالة المتعددة في عدد من المنظمات. توصلت إلى أن ممارسات المرونة في العمل ترتبط بانخفاض الاحتراق وارتفاع الالتزام. وتُمثّل هذه الدراسة الأساس التجريبي لمحور إدارة عبء العمل والتوازن بين العمل والحياة.</w:t>
      </w:r>
    </w:p>
    <w:p w14:paraId="5BE133CC" w14:textId="77777777" w:rsidR="00E2206E" w:rsidRDefault="00E2206E" w:rsidP="00E2206E">
      <w:pPr>
        <w:bidi/>
        <w:spacing w:before="160" w:after="160" w:line="408" w:lineRule="auto"/>
        <w:jc w:val="mediumKashida"/>
        <w:rPr>
          <w:rFonts w:ascii="Sakkal Majalla" w:hAnsi="Sakkal Majalla" w:cs="Sakkal Majalla"/>
          <w:rtl/>
        </w:rPr>
      </w:pPr>
    </w:p>
    <w:p w14:paraId="6344F86D" w14:textId="77777777" w:rsidR="00E2206E" w:rsidRPr="007A51FD" w:rsidRDefault="00E2206E" w:rsidP="00E2206E">
      <w:pPr>
        <w:bidi/>
        <w:spacing w:before="160" w:after="160" w:line="408" w:lineRule="auto"/>
        <w:jc w:val="mediumKashida"/>
        <w:rPr>
          <w:rFonts w:ascii="Sakkal Majalla" w:hAnsi="Sakkal Majalla" w:cs="Sakkal Majalla"/>
        </w:rPr>
      </w:pPr>
    </w:p>
    <w:p w14:paraId="39F7A20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lastRenderedPageBreak/>
        <w:t>دراسة (</w:t>
      </w:r>
      <w:proofErr w:type="spellStart"/>
      <w:r w:rsidRPr="007A51FD">
        <w:rPr>
          <w:rFonts w:ascii="Sakkal Majalla" w:eastAsia="Simplified Arabic" w:hAnsi="Sakkal Majalla" w:cs="Sakkal Majalla"/>
          <w:b/>
          <w:bCs/>
          <w:sz w:val="30"/>
          <w:szCs w:val="30"/>
          <w:rtl/>
        </w:rPr>
        <w:t>Halbesleben</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Rathert</w:t>
      </w:r>
      <w:proofErr w:type="spellEnd"/>
      <w:r w:rsidRPr="007A51FD">
        <w:rPr>
          <w:rFonts w:ascii="Sakkal Majalla" w:eastAsia="Simplified Arabic" w:hAnsi="Sakkal Majalla" w:cs="Sakkal Majalla"/>
          <w:b/>
          <w:bCs/>
          <w:sz w:val="30"/>
          <w:szCs w:val="30"/>
          <w:rtl/>
        </w:rPr>
        <w:t>, 2008):</w:t>
      </w:r>
    </w:p>
    <w:p w14:paraId="6C100431"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اختبار العلاقة بين الاحتراق الوظيفي للأطباء وجودة الرعاية وسلامة المرضى. استخدمت المنهج الوصفي الارتباطي، وشملت عينة من الأطباء. أظهرت أن تبلد المشاعر يرتبط بضعف جودة الرعاية. وتُبرز هذه الدراسة خطورة بُعد تبلد المشاعر، وهو ما يُعزّز أهمية محور الحوافز والتقدير في الحد من هذا البُعد.</w:t>
      </w:r>
    </w:p>
    <w:p w14:paraId="3D7DAC3C"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Gilbreath</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Benson</w:t>
      </w:r>
      <w:proofErr w:type="spellEnd"/>
      <w:r w:rsidRPr="007A51FD">
        <w:rPr>
          <w:rFonts w:ascii="Sakkal Majalla" w:eastAsia="Simplified Arabic" w:hAnsi="Sakkal Majalla" w:cs="Sakkal Majalla"/>
          <w:b/>
          <w:bCs/>
          <w:sz w:val="30"/>
          <w:szCs w:val="30"/>
          <w:rtl/>
        </w:rPr>
        <w:t>, 2004):</w:t>
      </w:r>
    </w:p>
    <w:p w14:paraId="19454AF2"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دراسة العلاقة بين بيئة العمل التي يُديرها المشرف والصحة النفسية للعاملين. اعتمدت على المنهج الوصفي الارتباطي. توصلت إلى أن جودة الإشراف والقيادة ترتبط عكسيًا بالاحتراق الوظيفي. وتُمثّل هذه الدراسة الأساس التجريبي لمحور الدعم القيادي والإداري في الدراسة الحالية.</w:t>
      </w:r>
    </w:p>
    <w:p w14:paraId="1258F4E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Schaufeli</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Bakker</w:t>
      </w:r>
      <w:proofErr w:type="spellEnd"/>
      <w:r w:rsidRPr="007A51FD">
        <w:rPr>
          <w:rFonts w:ascii="Sakkal Majalla" w:eastAsia="Simplified Arabic" w:hAnsi="Sakkal Majalla" w:cs="Sakkal Majalla"/>
          <w:b/>
          <w:bCs/>
          <w:sz w:val="30"/>
          <w:szCs w:val="30"/>
          <w:rtl/>
        </w:rPr>
        <w:t>, 2004):</w:t>
      </w:r>
    </w:p>
    <w:p w14:paraId="79B7938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هدفت إلى اختبار نموذج الطلبات-الموارد الوظيفية في علاقته بالاحتراق والاندماج الوظيفي. اعتمدت على المنهج المسحي متعدد العينات، وشملت </w:t>
      </w:r>
      <w:proofErr w:type="spellStart"/>
      <w:r w:rsidRPr="007A51FD">
        <w:rPr>
          <w:rFonts w:ascii="Sakkal Majalla" w:eastAsia="Simplified Arabic" w:hAnsi="Sakkal Majalla" w:cs="Sakkal Majalla"/>
          <w:sz w:val="30"/>
          <w:szCs w:val="30"/>
          <w:rtl/>
        </w:rPr>
        <w:t>عيناتًا</w:t>
      </w:r>
      <w:proofErr w:type="spellEnd"/>
      <w:r w:rsidRPr="007A51FD">
        <w:rPr>
          <w:rFonts w:ascii="Sakkal Majalla" w:eastAsia="Simplified Arabic" w:hAnsi="Sakkal Majalla" w:cs="Sakkal Majalla"/>
          <w:sz w:val="30"/>
          <w:szCs w:val="30"/>
          <w:rtl/>
        </w:rPr>
        <w:t xml:space="preserve"> من مجالات مهنية متنوعة. توصلت إلى أن الطلبات الوظيفية ترتبط ارتباطًا وثيقًا بالإنهاك العاطفي، فيما ترتبط الموارد الوظيفية بالاندماج الوظيفي وانخفاض الاحتراق. وتُعدّ هذه الدراسة من الدراسات المرجعية في تأسيس نموذج الطلبات-الموارد، وتُمثّل أساسًا نظريًا وتجريبيًا للدراسة الحالية.</w:t>
      </w:r>
    </w:p>
    <w:p w14:paraId="12A3DE4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Leiter</w:t>
      </w:r>
      <w:proofErr w:type="spellEnd"/>
      <w:r w:rsidRPr="007A51FD">
        <w:rPr>
          <w:rFonts w:ascii="Sakkal Majalla" w:eastAsia="Simplified Arabic" w:hAnsi="Sakkal Majalla" w:cs="Sakkal Majalla"/>
          <w:b/>
          <w:bCs/>
          <w:sz w:val="30"/>
          <w:szCs w:val="30"/>
          <w:rtl/>
        </w:rPr>
        <w:t xml:space="preserve"> &amp; </w:t>
      </w:r>
      <w:proofErr w:type="spellStart"/>
      <w:r w:rsidRPr="007A51FD">
        <w:rPr>
          <w:rFonts w:ascii="Sakkal Majalla" w:eastAsia="Simplified Arabic" w:hAnsi="Sakkal Majalla" w:cs="Sakkal Majalla"/>
          <w:b/>
          <w:bCs/>
          <w:sz w:val="30"/>
          <w:szCs w:val="30"/>
          <w:rtl/>
        </w:rPr>
        <w:t>Maslach</w:t>
      </w:r>
      <w:proofErr w:type="spellEnd"/>
      <w:r w:rsidRPr="007A51FD">
        <w:rPr>
          <w:rFonts w:ascii="Sakkal Majalla" w:eastAsia="Simplified Arabic" w:hAnsi="Sakkal Majalla" w:cs="Sakkal Majalla"/>
          <w:b/>
          <w:bCs/>
          <w:sz w:val="30"/>
          <w:szCs w:val="30"/>
          <w:rtl/>
        </w:rPr>
        <w:t>, 2016):</w:t>
      </w:r>
    </w:p>
    <w:p w14:paraId="339294F8"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تطوير منهجية جديدة لقياس الاحتراق الوظيفي عبر الفئات الكامنة (</w:t>
      </w:r>
      <w:proofErr w:type="spellStart"/>
      <w:r w:rsidRPr="007A51FD">
        <w:rPr>
          <w:rFonts w:ascii="Sakkal Majalla" w:eastAsia="Simplified Arabic" w:hAnsi="Sakkal Majalla" w:cs="Sakkal Majalla"/>
          <w:sz w:val="30"/>
          <w:szCs w:val="30"/>
          <w:rtl/>
        </w:rPr>
        <w:t>Latent</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Profiles</w:t>
      </w:r>
      <w:proofErr w:type="spellEnd"/>
      <w:r w:rsidRPr="007A51FD">
        <w:rPr>
          <w:rFonts w:ascii="Sakkal Majalla" w:eastAsia="Simplified Arabic" w:hAnsi="Sakkal Majalla" w:cs="Sakkal Majalla"/>
          <w:sz w:val="30"/>
          <w:szCs w:val="30"/>
          <w:rtl/>
        </w:rPr>
        <w:t xml:space="preserve">). اعتمدت على المنهج الكمي المتقدم. توصلت إلى وجود خمس فئات كامنة للاحتراق تتراوح من عدم </w:t>
      </w:r>
      <w:r w:rsidRPr="007A51FD">
        <w:rPr>
          <w:rFonts w:ascii="Sakkal Majalla" w:eastAsia="Simplified Arabic" w:hAnsi="Sakkal Majalla" w:cs="Sakkal Majalla"/>
          <w:sz w:val="30"/>
          <w:szCs w:val="30"/>
          <w:rtl/>
        </w:rPr>
        <w:lastRenderedPageBreak/>
        <w:t>الاحتراق إلى الاحتراق الشديد، وأن كل فئة تتطلب تدخلًا مختلفًا. وتُمثّل هذه الدراسة تطورًا منهجيًا مهمًا في دراسة الاحتراق، وتُؤكد على أهمية النهج التفصيلي في القياس، وهو ما اعتُمد في الدراسة الحالية عبر قياس الأبعاد الثلاثة بشكل منفصل.</w:t>
      </w:r>
    </w:p>
    <w:p w14:paraId="1969C5C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Shanafelt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2015):</w:t>
      </w:r>
    </w:p>
    <w:p w14:paraId="09D49140"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قياس التغيرات في الاحتراق الوظيفي والرضا عن التوازن بين العمل والحياة لدى الأطباء الأمريكيين عبر فترة زمنية. اعتمدت على المنهج المسحي الطولي. توصلت إلى أن أكثر من نصف الأطباء يعانون من أعراض الاحتراق، وأن هناك تراجعًا مستمرًا في الرضا عن التوازن بين العمل والحياة. وأكدت أن العبء البيروقراطي وفقدان السيطرة من أبرز الأسباب. وتُؤكد هذه الدراسة أهمية محور إدارة عبء العمل والتوازن بين العمل والحياة في الدراسة الحالية.</w:t>
      </w:r>
    </w:p>
    <w:p w14:paraId="3AD4FBB3"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Maslach</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et</w:t>
      </w:r>
      <w:proofErr w:type="spellEnd"/>
      <w:r w:rsidRPr="007A51FD">
        <w:rPr>
          <w:rFonts w:ascii="Sakkal Majalla" w:eastAsia="Simplified Arabic" w:hAnsi="Sakkal Majalla" w:cs="Sakkal Majalla"/>
          <w:b/>
          <w:bCs/>
          <w:sz w:val="30"/>
          <w:szCs w:val="30"/>
          <w:rtl/>
        </w:rPr>
        <w:t xml:space="preserve"> </w:t>
      </w:r>
      <w:proofErr w:type="spellStart"/>
      <w:r w:rsidRPr="007A51FD">
        <w:rPr>
          <w:rFonts w:ascii="Sakkal Majalla" w:eastAsia="Simplified Arabic" w:hAnsi="Sakkal Majalla" w:cs="Sakkal Majalla"/>
          <w:b/>
          <w:bCs/>
          <w:sz w:val="30"/>
          <w:szCs w:val="30"/>
          <w:rtl/>
        </w:rPr>
        <w:t>al</w:t>
      </w:r>
      <w:proofErr w:type="spellEnd"/>
      <w:r w:rsidRPr="007A51FD">
        <w:rPr>
          <w:rFonts w:ascii="Sakkal Majalla" w:eastAsia="Simplified Arabic" w:hAnsi="Sakkal Majalla" w:cs="Sakkal Majalla"/>
          <w:b/>
          <w:bCs/>
          <w:sz w:val="30"/>
          <w:szCs w:val="30"/>
          <w:rtl/>
        </w:rPr>
        <w:t>., 2001):</w:t>
      </w:r>
    </w:p>
    <w:p w14:paraId="17C8C56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 xml:space="preserve">قدّمت هذه الدراسة المراجعة المرجعية للاحتراق الوظيفي، نُشرت في </w:t>
      </w:r>
      <w:proofErr w:type="spellStart"/>
      <w:r w:rsidRPr="007A51FD">
        <w:rPr>
          <w:rFonts w:ascii="Sakkal Majalla" w:eastAsia="Simplified Arabic" w:hAnsi="Sakkal Majalla" w:cs="Sakkal Majalla"/>
          <w:sz w:val="30"/>
          <w:szCs w:val="30"/>
          <w:rtl/>
        </w:rPr>
        <w:t>Annual</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Review</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of</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Psychology</w:t>
      </w:r>
      <w:proofErr w:type="spellEnd"/>
      <w:r w:rsidRPr="007A51FD">
        <w:rPr>
          <w:rFonts w:ascii="Sakkal Majalla" w:eastAsia="Simplified Arabic" w:hAnsi="Sakkal Majalla" w:cs="Sakkal Majalla"/>
          <w:sz w:val="30"/>
          <w:szCs w:val="30"/>
          <w:rtl/>
        </w:rPr>
        <w:t>. استعرضت الأدبيات الشاملة حول المفهوم وأبعاده وأسبابه ونتائجه. وأكدت أن الاحتراق ظاهرة متعددة الأبعاد تتطلب مقاربة شاملة، وأن الأسباب التنظيمية تُعدّ الأكثر تأثيرًا. وتُمثّل هذه الدراسة المرجع النظري الأهم للاحتراق الوظيفي، وقد اعتمدت عليها الدراسة الحالية في تعريف المفهوم وتحديد أبعاده.</w:t>
      </w:r>
    </w:p>
    <w:p w14:paraId="0C494C1F"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Hobfoll</w:t>
      </w:r>
      <w:proofErr w:type="spellEnd"/>
      <w:r w:rsidRPr="007A51FD">
        <w:rPr>
          <w:rFonts w:ascii="Sakkal Majalla" w:eastAsia="Simplified Arabic" w:hAnsi="Sakkal Majalla" w:cs="Sakkal Majalla"/>
          <w:b/>
          <w:bCs/>
          <w:sz w:val="30"/>
          <w:szCs w:val="30"/>
          <w:rtl/>
        </w:rPr>
        <w:t>, 1989):</w:t>
      </w:r>
    </w:p>
    <w:p w14:paraId="72F9FCF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أسّست هذه الدراسة نظرية الحفظ في الموارد (</w:t>
      </w:r>
      <w:proofErr w:type="spellStart"/>
      <w:r w:rsidRPr="007A51FD">
        <w:rPr>
          <w:rFonts w:ascii="Sakkal Majalla" w:eastAsia="Simplified Arabic" w:hAnsi="Sakkal Majalla" w:cs="Sakkal Majalla"/>
          <w:sz w:val="30"/>
          <w:szCs w:val="30"/>
          <w:rtl/>
        </w:rPr>
        <w:t>Conservation</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of</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Resources</w:t>
      </w:r>
      <w:proofErr w:type="spellEnd"/>
      <w:r w:rsidRPr="007A51FD">
        <w:rPr>
          <w:rFonts w:ascii="Sakkal Majalla" w:eastAsia="Simplified Arabic" w:hAnsi="Sakkal Majalla" w:cs="Sakkal Majalla"/>
          <w:sz w:val="30"/>
          <w:szCs w:val="30"/>
          <w:rtl/>
        </w:rPr>
        <w:t xml:space="preserve"> </w:t>
      </w:r>
      <w:proofErr w:type="spellStart"/>
      <w:r w:rsidRPr="007A51FD">
        <w:rPr>
          <w:rFonts w:ascii="Sakkal Majalla" w:eastAsia="Simplified Arabic" w:hAnsi="Sakkal Majalla" w:cs="Sakkal Majalla"/>
          <w:sz w:val="30"/>
          <w:szCs w:val="30"/>
          <w:rtl/>
        </w:rPr>
        <w:t>Theory</w:t>
      </w:r>
      <w:proofErr w:type="spellEnd"/>
      <w:r w:rsidRPr="007A51FD">
        <w:rPr>
          <w:rFonts w:ascii="Sakkal Majalla" w:eastAsia="Simplified Arabic" w:hAnsi="Sakkal Majalla" w:cs="Sakkal Majalla"/>
          <w:sz w:val="30"/>
          <w:szCs w:val="30"/>
          <w:rtl/>
        </w:rPr>
        <w:t xml:space="preserve">) كإطار تفسيري للضغط النفسي والاحتراق. أكدت أن الأفراد يسعون لاكتساب الموارد والحفاظ عليها، وأن </w:t>
      </w:r>
      <w:r w:rsidRPr="007A51FD">
        <w:rPr>
          <w:rFonts w:ascii="Sakkal Majalla" w:eastAsia="Simplified Arabic" w:hAnsi="Sakkal Majalla" w:cs="Sakkal Majalla"/>
          <w:sz w:val="30"/>
          <w:szCs w:val="30"/>
          <w:rtl/>
        </w:rPr>
        <w:lastRenderedPageBreak/>
        <w:t>فقدان الموارد أو التهديد بفقدها يُولّد ضغطًا نفسيًا قد يقود إلى الاحتراق. وتُمثّل هذه النظرية أحد الإطارات التفسيرية المهمة للاحتراق، وتتكامل مع نموذج الطلبات-الموارد في تفسير ظاهرة الاحتراق الوظيفي.</w:t>
      </w:r>
    </w:p>
    <w:p w14:paraId="7B6AFA1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(السلمي، 2018):</w:t>
      </w:r>
    </w:p>
    <w:p w14:paraId="5209BE3E"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قدّمت هذه الدراسة إطارًا نظريًا شاملًا لاستراتيجيات إدارة الموارد البشرية في المنظمات الحديثة، مع التركيز على تطبيقاتها في القطاع الصحي. استعرضت الدراسة التطور التاريخي للمفهوم من الإدارة التقليدية إلى الإدارة الاستراتيجية، وأبرزت دور إدارة الموارد البشرية في تحقيق الميزة التنافسية. وتُمثّل هذه الدراسة مرجعًا نظريًا مهمًا للدراسة الحالية في بناء إطارها النظري، خاصة في تحديد المحاور الخمسة لاستراتيجيات إدارة الموارد البشرية.</w:t>
      </w:r>
    </w:p>
    <w:p w14:paraId="5AD421AB"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(الجبوري، 2018):</w:t>
      </w:r>
    </w:p>
    <w:p w14:paraId="171C927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هدفت إلى دراسة الاحتراق الوظيفي لدى العاملين في القطاع الصحي وأثره على جودة الخدمات الصحية. اعتمدت على المنهج الوصفي التحليلي، وبلغت العينة (190) مفردة من الكوادر الصحية. توصلت إلى وجود علاقة سلبية ذات دلالة إحصائية بين الاحتراق الوظيفي وجودة الخدمات الصحية، وأن بُعد تبلد المشاعر يُعدّ الأكثر تأثيرًا على جودة الرعاية. أوصت بأهمية تطوير برامج للوقاية من الاحتراق. وتتفق نتائج هذه الدراسة مع نتائج الدراسة الحالية في أن الاحتراق يُؤثر على جودة الخدمة، وتُكمل الدراسة الحالية هذا الجانب بدراسة الأسباب التنظيمية للاحتراق.</w:t>
      </w:r>
    </w:p>
    <w:p w14:paraId="3E2B7D9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w:t>
      </w:r>
      <w:proofErr w:type="spellStart"/>
      <w:r w:rsidRPr="007A51FD">
        <w:rPr>
          <w:rFonts w:ascii="Sakkal Majalla" w:eastAsia="Simplified Arabic" w:hAnsi="Sakkal Majalla" w:cs="Sakkal Majalla"/>
          <w:b/>
          <w:bCs/>
          <w:sz w:val="30"/>
          <w:szCs w:val="30"/>
          <w:rtl/>
        </w:rPr>
        <w:t>الزغيبي</w:t>
      </w:r>
      <w:proofErr w:type="spellEnd"/>
      <w:r w:rsidRPr="007A51FD">
        <w:rPr>
          <w:rFonts w:ascii="Sakkal Majalla" w:eastAsia="Simplified Arabic" w:hAnsi="Sakkal Majalla" w:cs="Sakkal Majalla"/>
          <w:b/>
          <w:bCs/>
          <w:sz w:val="30"/>
          <w:szCs w:val="30"/>
          <w:rtl/>
        </w:rPr>
        <w:t>، 2017):</w:t>
      </w:r>
    </w:p>
    <w:p w14:paraId="257D5FE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قدّم هذا المرجع رؤية استراتيجية متكاملة لإدارة الموارد البشرية، تناول فيها المحاور الرئيسية لاستراتيجيات إدارة الموارد البشرية في السياق العربي. وتُمثّل هذه الدراسة مرجعًا نظريًا مهمًا في بناء الإطار النظري للدراسة الحالية، خاصة في تحديد مفاهيم ومحاور استراتيجيات إدارة الموارد البشرية.</w:t>
      </w:r>
    </w:p>
    <w:p w14:paraId="55D4B8D2"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b/>
          <w:bCs/>
          <w:sz w:val="30"/>
          <w:szCs w:val="30"/>
          <w:rtl/>
        </w:rPr>
        <w:t>دراسة (العساف، 2019):</w:t>
      </w:r>
    </w:p>
    <w:p w14:paraId="5CC327F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قدّم هذا المرجع منهجية البحث في العلوم السلوكية، وتناول فيه المناهج العلمية المعتمدة في البحث، وأساليب جمع البيانات وتحليلها. ويُمثّل هذا المرجع أساسًا منهجيًا للدراسة الحالية في اختيار المنهج الوصفي التحليلي، وتصميم أداة الدراسة، واختيار الأساليب الإحصائية المناسبة.</w:t>
      </w:r>
    </w:p>
    <w:p w14:paraId="45E0A969" w14:textId="77777777" w:rsidR="000A6451" w:rsidRPr="007A51FD" w:rsidRDefault="006D64CD" w:rsidP="007A51FD">
      <w:pPr>
        <w:bidi/>
        <w:jc w:val="mediumKashida"/>
        <w:rPr>
          <w:rFonts w:ascii="Sakkal Majalla" w:hAnsi="Sakkal Majalla" w:cs="Sakkal Majalla"/>
        </w:rPr>
      </w:pPr>
      <w:r w:rsidRPr="007A51FD">
        <w:rPr>
          <w:rFonts w:ascii="Sakkal Majalla" w:hAnsi="Sakkal Majalla" w:cs="Sakkal Majalla"/>
        </w:rPr>
        <w:br/>
      </w:r>
      <w:r w:rsidRPr="007A51FD">
        <w:rPr>
          <w:rFonts w:ascii="Sakkal Majalla" w:hAnsi="Sakkal Majalla" w:cs="Sakkal Majalla"/>
        </w:rPr>
        <w:br w:type="page"/>
      </w:r>
    </w:p>
    <w:p w14:paraId="56CFFEF4" w14:textId="44C329D7" w:rsidR="000A6451" w:rsidRPr="00C53259" w:rsidRDefault="006D64CD" w:rsidP="00E2206E">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lastRenderedPageBreak/>
        <w:t>التحليل النقدي المقارن للدراسات السابقة</w:t>
      </w:r>
    </w:p>
    <w:p w14:paraId="0474C05E"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بعد عرض الدراسات السابقة العربية والأجنبية، يُقدّم هذا المبحث تحليلًا نقديًا عميقًا لها، يكشف عن أوجه التشابه والاختلاف فيما بينها، تمهيدًا لإبراز الفجوة البحثية وما يميز الدراسة الحالية. ويمكن تحليل هذه الدراسات من خلال عدة محاور مقارنة هي: الأهداف، والمنهجية، وحجم العينة، والمتغيرات المدروسة، والسياق المكاني، والنتائج، والتوصيات.</w:t>
      </w:r>
    </w:p>
    <w:p w14:paraId="0E0494F1"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أولاً: أوجه التشابه بين الدراسات السابقة</w:t>
      </w:r>
    </w:p>
    <w:p w14:paraId="60D29D44"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تتشابه الدراسات السابقة في عدة جوانب، أبرزها:</w:t>
      </w:r>
    </w:p>
    <w:p w14:paraId="0AE830FE" w14:textId="133B51B8"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اتفاق أغلب الدراسات على أن ظاهرة الاحتراق الوظيفي منتشرة بنسب مرتفعة بين الكوادر الصحية، حيث تراوحت المعدلات بين 35% و54% في الدراسات الأجنبية، وجاءت بمستويات متوسطة إلى مرتفعة في الدراسات العربية.</w:t>
      </w:r>
    </w:p>
    <w:p w14:paraId="08AC3A59" w14:textId="051506C5"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اتفاق الدراسات على أن بُعد الإنهاك العاطفي يأتي في المرتبة الأولى بين أبعاد الاحتراق الوظيفي، مما يُشير إلى أن ضغوط العمل والطلبات الوظيفية المفرطة هي العامل الأكثر تأثيرًا.</w:t>
      </w:r>
    </w:p>
    <w:p w14:paraId="5247130A" w14:textId="69DEA43A"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اتفاق الدراسات على وجود علاقة عكسية بين ممارسات إدارة الموارد البشرية (كالتدريب والحوافز والدعم وبيئة العمل) ومستوى الاحتراق الوظيفي، وأن هذه الممارسات تُمثّل موارد وظيفية داعمة وفق نموذج الطلبات-الموارد.</w:t>
      </w:r>
    </w:p>
    <w:p w14:paraId="0BB25501" w14:textId="13646BAB"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اتفاق غالبية الدراسات على المنهج الوصفي التحليلي بوصفه المنهج الأنسب لطبيعة الموضوع، وعلى استخدام الاستبانة أداةً رئيسة لجمع البيانات، ومقياس </w:t>
      </w:r>
      <w:proofErr w:type="spellStart"/>
      <w:r w:rsidRPr="007A51FD">
        <w:rPr>
          <w:rFonts w:ascii="Sakkal Majalla" w:eastAsia="Simplified Arabic" w:hAnsi="Sakkal Majalla" w:cs="Sakkal Majalla"/>
          <w:sz w:val="30"/>
          <w:szCs w:val="30"/>
          <w:rtl/>
        </w:rPr>
        <w:t>ليكرت</w:t>
      </w:r>
      <w:proofErr w:type="spellEnd"/>
      <w:r w:rsidRPr="007A51FD">
        <w:rPr>
          <w:rFonts w:ascii="Sakkal Majalla" w:eastAsia="Simplified Arabic" w:hAnsi="Sakkal Majalla" w:cs="Sakkal Majalla"/>
          <w:sz w:val="30"/>
          <w:szCs w:val="30"/>
          <w:rtl/>
        </w:rPr>
        <w:t xml:space="preserve"> الخماسي أداةً للقياس.</w:t>
      </w:r>
    </w:p>
    <w:p w14:paraId="5373D031" w14:textId="79FF5F42"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اتفاق الدراسات على أن التدخلات التنظيمية أكثر فعّالية من التدخلات الفردية في مواجهة الاحتراق الوظيفي، وأن دور القيادة والإدارة محوري في هذا الصدد.</w:t>
      </w:r>
    </w:p>
    <w:p w14:paraId="1D06D6EC" w14:textId="748AEA7C"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lastRenderedPageBreak/>
        <w:t>اتفاق الدراسات على وجود فروق ذات دلالة إحصائية في الاحتراق الوظيفي باختلاف المتغيرات الديموغرافية كالمسمى الوظيفي وسنوات الخبرة.</w:t>
      </w:r>
    </w:p>
    <w:p w14:paraId="2A6FDD86"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ثانياً: أوجه الاختلاف بين الدراسات السابقة</w:t>
      </w:r>
    </w:p>
    <w:p w14:paraId="2092239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رغم أوجه التشابه، تختلف الدراسات السابقة في عدة جوانب، أبرزها ما يُلخّصه الجدول الآتي ثم يُعقب بتحليل:</w:t>
      </w:r>
    </w:p>
    <w:p w14:paraId="216C1D64" w14:textId="77777777" w:rsidR="000A6451" w:rsidRPr="007A51FD" w:rsidRDefault="006D64CD" w:rsidP="007A51FD">
      <w:pPr>
        <w:bidi/>
        <w:spacing w:before="160" w:after="80"/>
        <w:jc w:val="mediumKashida"/>
        <w:rPr>
          <w:rFonts w:ascii="Sakkal Majalla" w:hAnsi="Sakkal Majalla" w:cs="Sakkal Majalla"/>
        </w:rPr>
      </w:pPr>
      <w:r w:rsidRPr="007A51FD">
        <w:rPr>
          <w:rFonts w:ascii="Sakkal Majalla" w:eastAsia="Simplified Arabic" w:hAnsi="Sakkal Majalla" w:cs="Sakkal Majalla"/>
          <w:b/>
          <w:bCs/>
          <w:sz w:val="24"/>
          <w:szCs w:val="24"/>
          <w:rtl/>
        </w:rPr>
        <w:t>جدول (1-2): مقارنة بين الدراسات العربية والأجنبية في أوجه الاختلاف</w:t>
      </w:r>
    </w:p>
    <w:tbl>
      <w:tblPr>
        <w:tblStyle w:val="afa"/>
        <w:bidiVisual/>
        <w:tblW w:w="0" w:type="auto"/>
        <w:tblInd w:w="-360" w:type="dxa"/>
        <w:tblLook w:val="04A0" w:firstRow="1" w:lastRow="0" w:firstColumn="1" w:lastColumn="0" w:noHBand="0" w:noVBand="1"/>
      </w:tblPr>
      <w:tblGrid>
        <w:gridCol w:w="2551"/>
        <w:gridCol w:w="3118"/>
        <w:gridCol w:w="3118"/>
      </w:tblGrid>
      <w:tr w:rsidR="000A6451" w:rsidRPr="00C53259" w14:paraId="2CA38206" w14:textId="77777777" w:rsidTr="007A51FD">
        <w:trPr>
          <w:tblHeader/>
        </w:trPr>
        <w:tc>
          <w:tcPr>
            <w:tcW w:w="2551" w:type="dxa"/>
            <w:shd w:val="clear" w:color="auto" w:fill="1F4E79"/>
          </w:tcPr>
          <w:p w14:paraId="4BB04E62"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2"/>
                <w:rtl/>
              </w:rPr>
              <w:t>وجه المقارنة</w:t>
            </w:r>
          </w:p>
        </w:tc>
        <w:tc>
          <w:tcPr>
            <w:tcW w:w="3118" w:type="dxa"/>
            <w:shd w:val="clear" w:color="auto" w:fill="1F4E79"/>
          </w:tcPr>
          <w:p w14:paraId="45BBE343"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2"/>
                <w:rtl/>
              </w:rPr>
              <w:t>الدراسات العربية</w:t>
            </w:r>
          </w:p>
        </w:tc>
        <w:tc>
          <w:tcPr>
            <w:tcW w:w="3118" w:type="dxa"/>
            <w:shd w:val="clear" w:color="auto" w:fill="1F4E79"/>
          </w:tcPr>
          <w:p w14:paraId="540A5D20"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2"/>
                <w:rtl/>
              </w:rPr>
              <w:t>الدراسات الأجنبية</w:t>
            </w:r>
          </w:p>
        </w:tc>
      </w:tr>
      <w:tr w:rsidR="000A6451" w:rsidRPr="00C53259" w14:paraId="478EF228" w14:textId="77777777" w:rsidTr="007A51FD">
        <w:tc>
          <w:tcPr>
            <w:tcW w:w="2551" w:type="dxa"/>
          </w:tcPr>
          <w:p w14:paraId="17BFDB27"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حجم العينة</w:t>
            </w:r>
          </w:p>
        </w:tc>
        <w:tc>
          <w:tcPr>
            <w:tcW w:w="3118" w:type="dxa"/>
          </w:tcPr>
          <w:p w14:paraId="364718C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متوسط (130-250)</w:t>
            </w:r>
          </w:p>
        </w:tc>
        <w:tc>
          <w:tcPr>
            <w:tcW w:w="3118" w:type="dxa"/>
          </w:tcPr>
          <w:p w14:paraId="608E20D8"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كبير (3,000-42,000)</w:t>
            </w:r>
          </w:p>
        </w:tc>
      </w:tr>
      <w:tr w:rsidR="000A6451" w:rsidRPr="00C53259" w14:paraId="0D1CEE80" w14:textId="77777777" w:rsidTr="007A51FD">
        <w:tc>
          <w:tcPr>
            <w:tcW w:w="2551" w:type="dxa"/>
          </w:tcPr>
          <w:p w14:paraId="51ECD3C1"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السياق</w:t>
            </w:r>
          </w:p>
        </w:tc>
        <w:tc>
          <w:tcPr>
            <w:tcW w:w="3118" w:type="dxa"/>
          </w:tcPr>
          <w:p w14:paraId="05846A2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سعودي/عربي</w:t>
            </w:r>
          </w:p>
        </w:tc>
        <w:tc>
          <w:tcPr>
            <w:tcW w:w="3118" w:type="dxa"/>
          </w:tcPr>
          <w:p w14:paraId="43EA431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أمريكي/أوروبي</w:t>
            </w:r>
          </w:p>
        </w:tc>
      </w:tr>
      <w:tr w:rsidR="000A6451" w:rsidRPr="00C53259" w14:paraId="0F0C2670" w14:textId="77777777" w:rsidTr="007A51FD">
        <w:tc>
          <w:tcPr>
            <w:tcW w:w="2551" w:type="dxa"/>
          </w:tcPr>
          <w:p w14:paraId="29F664D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المتغيرات المستقلة</w:t>
            </w:r>
          </w:p>
        </w:tc>
        <w:tc>
          <w:tcPr>
            <w:tcW w:w="3118" w:type="dxa"/>
          </w:tcPr>
          <w:p w14:paraId="6C884D3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غالبًا متغير واحد</w:t>
            </w:r>
          </w:p>
        </w:tc>
        <w:tc>
          <w:tcPr>
            <w:tcW w:w="3118" w:type="dxa"/>
          </w:tcPr>
          <w:p w14:paraId="4408575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ممارسات متعددة ومتكاملة</w:t>
            </w:r>
          </w:p>
        </w:tc>
      </w:tr>
      <w:tr w:rsidR="000A6451" w:rsidRPr="00C53259" w14:paraId="4C74910E" w14:textId="77777777" w:rsidTr="007A51FD">
        <w:tc>
          <w:tcPr>
            <w:tcW w:w="2551" w:type="dxa"/>
          </w:tcPr>
          <w:p w14:paraId="602B4B23"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التركيز</w:t>
            </w:r>
          </w:p>
        </w:tc>
        <w:tc>
          <w:tcPr>
            <w:tcW w:w="3118" w:type="dxa"/>
          </w:tcPr>
          <w:p w14:paraId="77EE5D3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قياس الاحتراق</w:t>
            </w:r>
          </w:p>
        </w:tc>
        <w:tc>
          <w:tcPr>
            <w:tcW w:w="3118" w:type="dxa"/>
          </w:tcPr>
          <w:p w14:paraId="0E7C2A6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ربط الاحتراق بالنتائج</w:t>
            </w:r>
          </w:p>
        </w:tc>
      </w:tr>
      <w:tr w:rsidR="000A6451" w:rsidRPr="00C53259" w14:paraId="382C00DA" w14:textId="77777777" w:rsidTr="007A51FD">
        <w:tc>
          <w:tcPr>
            <w:tcW w:w="2551" w:type="dxa"/>
          </w:tcPr>
          <w:p w14:paraId="2EEDB0C9" w14:textId="77777777" w:rsidR="000A6451" w:rsidRPr="007A51FD" w:rsidRDefault="006D64CD" w:rsidP="007A51FD">
            <w:pPr>
              <w:bidi/>
              <w:spacing w:before="40" w:after="40"/>
              <w:ind w:left="360"/>
              <w:jc w:val="mediumKashida"/>
              <w:rPr>
                <w:rFonts w:ascii="Sakkal Majalla" w:hAnsi="Sakkal Majalla" w:cs="Sakkal Majalla"/>
              </w:rPr>
            </w:pPr>
            <w:proofErr w:type="spellStart"/>
            <w:r w:rsidRPr="007A51FD">
              <w:rPr>
                <w:rFonts w:ascii="Sakkal Majalla" w:eastAsia="Simplified Arabic" w:hAnsi="Sakkal Majalla" w:cs="Sakkal Majalla"/>
                <w:sz w:val="22"/>
                <w:rtl/>
              </w:rPr>
              <w:t>الأطار</w:t>
            </w:r>
            <w:proofErr w:type="spellEnd"/>
            <w:r w:rsidRPr="007A51FD">
              <w:rPr>
                <w:rFonts w:ascii="Sakkal Majalla" w:eastAsia="Simplified Arabic" w:hAnsi="Sakkal Majalla" w:cs="Sakkal Majalla"/>
                <w:sz w:val="22"/>
                <w:rtl/>
              </w:rPr>
              <w:t xml:space="preserve"> النظري</w:t>
            </w:r>
          </w:p>
        </w:tc>
        <w:tc>
          <w:tcPr>
            <w:tcW w:w="3118" w:type="dxa"/>
          </w:tcPr>
          <w:p w14:paraId="6FA3DBA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متنوع</w:t>
            </w:r>
          </w:p>
        </w:tc>
        <w:tc>
          <w:tcPr>
            <w:tcW w:w="3118" w:type="dxa"/>
          </w:tcPr>
          <w:p w14:paraId="7C2F285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نماذج مفسّرة واضحة (JD-R)</w:t>
            </w:r>
          </w:p>
        </w:tc>
      </w:tr>
      <w:tr w:rsidR="000A6451" w:rsidRPr="00C53259" w14:paraId="6F5BBABF" w14:textId="77777777" w:rsidTr="007A51FD">
        <w:tc>
          <w:tcPr>
            <w:tcW w:w="2551" w:type="dxa"/>
          </w:tcPr>
          <w:p w14:paraId="0B29844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التخصصات</w:t>
            </w:r>
          </w:p>
        </w:tc>
        <w:tc>
          <w:tcPr>
            <w:tcW w:w="3118" w:type="dxa"/>
          </w:tcPr>
          <w:p w14:paraId="52C4BD3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غالبًا فئة واحدة</w:t>
            </w:r>
          </w:p>
        </w:tc>
        <w:tc>
          <w:tcPr>
            <w:tcW w:w="3118" w:type="dxa"/>
          </w:tcPr>
          <w:p w14:paraId="609C8308"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متعددة التخصصات</w:t>
            </w:r>
          </w:p>
        </w:tc>
      </w:tr>
      <w:tr w:rsidR="000A6451" w:rsidRPr="00C53259" w14:paraId="098F86CF" w14:textId="77777777" w:rsidTr="007A51FD">
        <w:tc>
          <w:tcPr>
            <w:tcW w:w="2551" w:type="dxa"/>
          </w:tcPr>
          <w:p w14:paraId="2D18205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التوصيات</w:t>
            </w:r>
          </w:p>
        </w:tc>
        <w:tc>
          <w:tcPr>
            <w:tcW w:w="3118" w:type="dxa"/>
          </w:tcPr>
          <w:p w14:paraId="119E1D5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عامة</w:t>
            </w:r>
          </w:p>
        </w:tc>
        <w:tc>
          <w:tcPr>
            <w:tcW w:w="3118" w:type="dxa"/>
          </w:tcPr>
          <w:p w14:paraId="79D8B473"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2"/>
                <w:rtl/>
              </w:rPr>
              <w:t>تدخلات تنظيمية محددة</w:t>
            </w:r>
          </w:p>
        </w:tc>
      </w:tr>
    </w:tbl>
    <w:p w14:paraId="62335D62" w14:textId="77777777" w:rsidR="000A6451" w:rsidRPr="00C53259" w:rsidRDefault="000A6451" w:rsidP="007A51FD">
      <w:pPr>
        <w:bidi/>
        <w:spacing w:after="120"/>
        <w:jc w:val="mediumKashida"/>
        <w:rPr>
          <w:rFonts w:ascii="Sakkal Majalla" w:hAnsi="Sakkal Majalla" w:cs="Sakkal Majalla"/>
        </w:rPr>
      </w:pPr>
    </w:p>
    <w:p w14:paraId="67925C8E"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ويُحلّل هذا الجدول فروقًا جوهرية بين الدراستين العربيتين والأجنبية. فمن حيث حجم العينة، تعتمد الدراسات الأجنبية عينات كبيرة تصل إلى عشرات الآلاف، مما يُعزّز قابليتها للتعميم، فيما تعتمد الدراسات العربية عينات متوسطة الحجم. ومن حيث السياق، تُجرى الدراسات الأجنبية في بيئات تختلف نظاميًا وثقافيًا عن البيئة السعودية، مما يُحدّ من إمكانية نقل نتائجها مباشرة. ومن حيث المتغيرات، تُركز الدراسات العربية على متغير واحد (كالضغوط أو بيئة العمل)، فيما تتناول الدراسات الأجنبية منظومة متكاملة من الممارسات. ومن حيث الإطار النظري، تعتمد الدراسات الأجنبية على نماذج مفسّرة واضحة كنموذج الطلبات-الموارد، فيما تفتقر كثير من الدراسات العربية إلى إطار نظري موحد.</w:t>
      </w:r>
    </w:p>
    <w:p w14:paraId="74F59943"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lastRenderedPageBreak/>
        <w:t>مصفوفة مقارنة تفصيلية لأبرز الدراسات السابقة</w:t>
      </w:r>
    </w:p>
    <w:p w14:paraId="0D058BD7"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لتعميق التحليل المقارن، يُقدّم الجدول رقم (2-2) مصفوفة تفصيلية تُلخّص أبرز خصائص الدراسات السابقة المختارة، بما يُيسّر الوقوف على الفجوة البحثية وتحديد موقع الدراسة الحالية ضمن خارطة الأدبيات.</w:t>
      </w:r>
    </w:p>
    <w:p w14:paraId="28D26B2F" w14:textId="77777777" w:rsidR="000A6451" w:rsidRPr="007A51FD" w:rsidRDefault="006D64CD" w:rsidP="007A51FD">
      <w:pPr>
        <w:bidi/>
        <w:spacing w:before="160" w:after="80"/>
        <w:jc w:val="mediumKashida"/>
        <w:rPr>
          <w:rFonts w:ascii="Sakkal Majalla" w:hAnsi="Sakkal Majalla" w:cs="Sakkal Majalla"/>
        </w:rPr>
      </w:pPr>
      <w:r w:rsidRPr="007A51FD">
        <w:rPr>
          <w:rFonts w:ascii="Sakkal Majalla" w:eastAsia="Simplified Arabic" w:hAnsi="Sakkal Majalla" w:cs="Sakkal Majalla"/>
          <w:b/>
          <w:bCs/>
          <w:sz w:val="24"/>
          <w:szCs w:val="24"/>
          <w:rtl/>
        </w:rPr>
        <w:t>جدول (2-2): مصفوفة مقارنة تفصيلية لأبرز الدراسات السابقة والدراسة الحالية</w:t>
      </w:r>
    </w:p>
    <w:tbl>
      <w:tblPr>
        <w:tblStyle w:val="afa"/>
        <w:bidiVisual/>
        <w:tblW w:w="0" w:type="auto"/>
        <w:tblInd w:w="-360" w:type="dxa"/>
        <w:tblLook w:val="04A0" w:firstRow="1" w:lastRow="0" w:firstColumn="1" w:lastColumn="0" w:noHBand="0" w:noVBand="1"/>
      </w:tblPr>
      <w:tblGrid>
        <w:gridCol w:w="1622"/>
        <w:gridCol w:w="1497"/>
        <w:gridCol w:w="1763"/>
        <w:gridCol w:w="1504"/>
        <w:gridCol w:w="1484"/>
        <w:gridCol w:w="1552"/>
      </w:tblGrid>
      <w:tr w:rsidR="000A6451" w:rsidRPr="00C53259" w14:paraId="105AB7E8" w14:textId="77777777" w:rsidTr="007A51FD">
        <w:trPr>
          <w:tblHeader/>
        </w:trPr>
        <w:tc>
          <w:tcPr>
            <w:tcW w:w="1658" w:type="dxa"/>
            <w:shd w:val="clear" w:color="auto" w:fill="1F4E79"/>
          </w:tcPr>
          <w:p w14:paraId="2B66A6C5"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0"/>
                <w:szCs w:val="20"/>
                <w:rtl/>
              </w:rPr>
              <w:t>الدراسة</w:t>
            </w:r>
          </w:p>
        </w:tc>
        <w:tc>
          <w:tcPr>
            <w:tcW w:w="1536" w:type="dxa"/>
            <w:shd w:val="clear" w:color="auto" w:fill="1F4E79"/>
          </w:tcPr>
          <w:p w14:paraId="1C188BFD"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0"/>
                <w:szCs w:val="20"/>
                <w:rtl/>
              </w:rPr>
              <w:t>السياق</w:t>
            </w:r>
          </w:p>
        </w:tc>
        <w:tc>
          <w:tcPr>
            <w:tcW w:w="1799" w:type="dxa"/>
            <w:shd w:val="clear" w:color="auto" w:fill="1F4E79"/>
          </w:tcPr>
          <w:p w14:paraId="74BF3A21"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0"/>
                <w:szCs w:val="20"/>
                <w:rtl/>
              </w:rPr>
              <w:t>المتغير المستقل</w:t>
            </w:r>
          </w:p>
        </w:tc>
        <w:tc>
          <w:tcPr>
            <w:tcW w:w="1542" w:type="dxa"/>
            <w:shd w:val="clear" w:color="auto" w:fill="1F4E79"/>
          </w:tcPr>
          <w:p w14:paraId="6726004B"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0"/>
                <w:szCs w:val="20"/>
                <w:rtl/>
              </w:rPr>
              <w:t>المتغير التابع</w:t>
            </w:r>
          </w:p>
        </w:tc>
        <w:tc>
          <w:tcPr>
            <w:tcW w:w="1523" w:type="dxa"/>
            <w:shd w:val="clear" w:color="auto" w:fill="1F4E79"/>
          </w:tcPr>
          <w:p w14:paraId="37E62446"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0"/>
                <w:szCs w:val="20"/>
                <w:rtl/>
              </w:rPr>
              <w:t>المنهج</w:t>
            </w:r>
          </w:p>
        </w:tc>
        <w:tc>
          <w:tcPr>
            <w:tcW w:w="1590" w:type="dxa"/>
            <w:shd w:val="clear" w:color="auto" w:fill="1F4E79"/>
          </w:tcPr>
          <w:p w14:paraId="130A61E8" w14:textId="77777777" w:rsidR="000A6451" w:rsidRPr="007A51FD" w:rsidRDefault="006D64CD" w:rsidP="007A51FD">
            <w:pPr>
              <w:bidi/>
              <w:ind w:left="360"/>
              <w:jc w:val="mediumKashida"/>
              <w:rPr>
                <w:rFonts w:ascii="Sakkal Majalla" w:hAnsi="Sakkal Majalla" w:cs="Sakkal Majalla"/>
              </w:rPr>
            </w:pPr>
            <w:r w:rsidRPr="007A51FD">
              <w:rPr>
                <w:rFonts w:ascii="Sakkal Majalla" w:eastAsia="Simplified Arabic" w:hAnsi="Sakkal Majalla" w:cs="Sakkal Majalla"/>
                <w:b/>
                <w:bCs/>
                <w:color w:val="FFFFFF"/>
                <w:sz w:val="20"/>
                <w:szCs w:val="20"/>
                <w:rtl/>
              </w:rPr>
              <w:t>حجم العينة</w:t>
            </w:r>
          </w:p>
        </w:tc>
      </w:tr>
      <w:tr w:rsidR="000A6451" w:rsidRPr="00C53259" w14:paraId="673F6C56" w14:textId="77777777" w:rsidTr="007A51FD">
        <w:tc>
          <w:tcPr>
            <w:tcW w:w="1658" w:type="dxa"/>
          </w:tcPr>
          <w:p w14:paraId="034E02B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الشهري (2019)</w:t>
            </w:r>
          </w:p>
        </w:tc>
        <w:tc>
          <w:tcPr>
            <w:tcW w:w="1536" w:type="dxa"/>
          </w:tcPr>
          <w:p w14:paraId="62CB129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23957BE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الديموغرافية</w:t>
            </w:r>
          </w:p>
        </w:tc>
        <w:tc>
          <w:tcPr>
            <w:tcW w:w="1542" w:type="dxa"/>
          </w:tcPr>
          <w:p w14:paraId="38BF5B9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202936F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682ED21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217</w:t>
            </w:r>
          </w:p>
        </w:tc>
      </w:tr>
      <w:tr w:rsidR="000A6451" w:rsidRPr="00C53259" w14:paraId="3A6C73D0" w14:textId="77777777" w:rsidTr="007A51FD">
        <w:tc>
          <w:tcPr>
            <w:tcW w:w="1658" w:type="dxa"/>
          </w:tcPr>
          <w:p w14:paraId="072C1C3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الحربي (2020)</w:t>
            </w:r>
          </w:p>
        </w:tc>
        <w:tc>
          <w:tcPr>
            <w:tcW w:w="1536" w:type="dxa"/>
          </w:tcPr>
          <w:p w14:paraId="42438FA6"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34EA9E16"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الدعم التنظيمي</w:t>
            </w:r>
          </w:p>
        </w:tc>
        <w:tc>
          <w:tcPr>
            <w:tcW w:w="1542" w:type="dxa"/>
          </w:tcPr>
          <w:p w14:paraId="27BF701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763CABE6"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109B8C92"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180</w:t>
            </w:r>
          </w:p>
        </w:tc>
      </w:tr>
      <w:tr w:rsidR="000A6451" w:rsidRPr="00C53259" w14:paraId="6EE0B438" w14:textId="77777777" w:rsidTr="007A51FD">
        <w:tc>
          <w:tcPr>
            <w:tcW w:w="1658" w:type="dxa"/>
          </w:tcPr>
          <w:p w14:paraId="6DA3C3E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العتيبي (2021)</w:t>
            </w:r>
          </w:p>
        </w:tc>
        <w:tc>
          <w:tcPr>
            <w:tcW w:w="1536" w:type="dxa"/>
          </w:tcPr>
          <w:p w14:paraId="3EA08BB4"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301C572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بيئة العمل</w:t>
            </w:r>
          </w:p>
        </w:tc>
        <w:tc>
          <w:tcPr>
            <w:tcW w:w="1542" w:type="dxa"/>
          </w:tcPr>
          <w:p w14:paraId="4A492A92"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73F2F8F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4B469C22"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250</w:t>
            </w:r>
          </w:p>
        </w:tc>
      </w:tr>
      <w:tr w:rsidR="000A6451" w:rsidRPr="00C53259" w14:paraId="56F547B5" w14:textId="77777777" w:rsidTr="007A51FD">
        <w:tc>
          <w:tcPr>
            <w:tcW w:w="1658" w:type="dxa"/>
          </w:tcPr>
          <w:p w14:paraId="3D6EA974"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القحطاني (2020)</w:t>
            </w:r>
          </w:p>
        </w:tc>
        <w:tc>
          <w:tcPr>
            <w:tcW w:w="1536" w:type="dxa"/>
          </w:tcPr>
          <w:p w14:paraId="59678A33"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742DB62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ضغوط العمل</w:t>
            </w:r>
          </w:p>
        </w:tc>
        <w:tc>
          <w:tcPr>
            <w:tcW w:w="1542" w:type="dxa"/>
          </w:tcPr>
          <w:p w14:paraId="18B28230"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13393AF1"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1596D851"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198</w:t>
            </w:r>
          </w:p>
        </w:tc>
      </w:tr>
      <w:tr w:rsidR="000A6451" w:rsidRPr="00C53259" w14:paraId="7C0816BC" w14:textId="77777777" w:rsidTr="007A51FD">
        <w:tc>
          <w:tcPr>
            <w:tcW w:w="1658" w:type="dxa"/>
          </w:tcPr>
          <w:p w14:paraId="1ACCD202"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المطيري (2022)</w:t>
            </w:r>
          </w:p>
        </w:tc>
        <w:tc>
          <w:tcPr>
            <w:tcW w:w="1536" w:type="dxa"/>
          </w:tcPr>
          <w:p w14:paraId="3EA155B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4E632AA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الممارسات الإدارية</w:t>
            </w:r>
          </w:p>
        </w:tc>
        <w:tc>
          <w:tcPr>
            <w:tcW w:w="1542" w:type="dxa"/>
          </w:tcPr>
          <w:p w14:paraId="4D67E6D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26108DD8"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641E5DF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220</w:t>
            </w:r>
          </w:p>
        </w:tc>
      </w:tr>
      <w:tr w:rsidR="000A6451" w:rsidRPr="00C53259" w14:paraId="45085A40" w14:textId="77777777" w:rsidTr="007A51FD">
        <w:tc>
          <w:tcPr>
            <w:tcW w:w="1658" w:type="dxa"/>
          </w:tcPr>
          <w:p w14:paraId="5D5D1F1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الزهراني (2021)</w:t>
            </w:r>
          </w:p>
        </w:tc>
        <w:tc>
          <w:tcPr>
            <w:tcW w:w="1536" w:type="dxa"/>
          </w:tcPr>
          <w:p w14:paraId="587F55E7"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280F6BD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القيادة التحويلية</w:t>
            </w:r>
          </w:p>
        </w:tc>
        <w:tc>
          <w:tcPr>
            <w:tcW w:w="1542" w:type="dxa"/>
          </w:tcPr>
          <w:p w14:paraId="72A9DB2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7949F14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24BB6B1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165</w:t>
            </w:r>
          </w:p>
        </w:tc>
      </w:tr>
      <w:tr w:rsidR="000A6451" w:rsidRPr="00C53259" w14:paraId="4D053196" w14:textId="77777777" w:rsidTr="007A51FD">
        <w:tc>
          <w:tcPr>
            <w:tcW w:w="1658" w:type="dxa"/>
          </w:tcPr>
          <w:p w14:paraId="6C7B1D9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أبو السعود (2016)</w:t>
            </w:r>
          </w:p>
        </w:tc>
        <w:tc>
          <w:tcPr>
            <w:tcW w:w="1536" w:type="dxa"/>
          </w:tcPr>
          <w:p w14:paraId="4A2C2478"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مصري</w:t>
            </w:r>
          </w:p>
        </w:tc>
        <w:tc>
          <w:tcPr>
            <w:tcW w:w="1799" w:type="dxa"/>
          </w:tcPr>
          <w:p w14:paraId="1A7FE2F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استراتيجيات الموارد البشرية</w:t>
            </w:r>
          </w:p>
        </w:tc>
        <w:tc>
          <w:tcPr>
            <w:tcW w:w="1542" w:type="dxa"/>
          </w:tcPr>
          <w:p w14:paraId="3733E41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5CC3356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47E59154"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240</w:t>
            </w:r>
          </w:p>
        </w:tc>
      </w:tr>
      <w:tr w:rsidR="000A6451" w:rsidRPr="00C53259" w14:paraId="2A730C1C" w14:textId="77777777" w:rsidTr="007A51FD">
        <w:tc>
          <w:tcPr>
            <w:tcW w:w="1658" w:type="dxa"/>
          </w:tcPr>
          <w:p w14:paraId="5B4C1AD0" w14:textId="77777777" w:rsidR="000A6451" w:rsidRPr="007A51FD" w:rsidRDefault="006D64CD" w:rsidP="007A51FD">
            <w:pPr>
              <w:bidi/>
              <w:spacing w:before="40" w:after="40"/>
              <w:ind w:left="360"/>
              <w:jc w:val="mediumKashida"/>
              <w:rPr>
                <w:rFonts w:ascii="Sakkal Majalla" w:hAnsi="Sakkal Majalla" w:cs="Sakkal Majalla"/>
              </w:rPr>
            </w:pPr>
            <w:proofErr w:type="spellStart"/>
            <w:r w:rsidRPr="007A51FD">
              <w:rPr>
                <w:rFonts w:ascii="Sakkal Majalla" w:eastAsia="Simplified Arabic" w:hAnsi="Sakkal Majalla" w:cs="Sakkal Majalla"/>
                <w:sz w:val="20"/>
                <w:szCs w:val="20"/>
                <w:rtl/>
              </w:rPr>
              <w:t>Shanafelt</w:t>
            </w:r>
            <w:proofErr w:type="spellEnd"/>
            <w:r w:rsidRPr="007A51FD">
              <w:rPr>
                <w:rFonts w:ascii="Sakkal Majalla" w:eastAsia="Simplified Arabic" w:hAnsi="Sakkal Majalla" w:cs="Sakkal Majalla"/>
                <w:sz w:val="20"/>
                <w:szCs w:val="20"/>
                <w:rtl/>
              </w:rPr>
              <w:t xml:space="preserve"> (2019)</w:t>
            </w:r>
          </w:p>
        </w:tc>
        <w:tc>
          <w:tcPr>
            <w:tcW w:w="1536" w:type="dxa"/>
          </w:tcPr>
          <w:p w14:paraId="11AD76C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أمريكي</w:t>
            </w:r>
          </w:p>
        </w:tc>
        <w:tc>
          <w:tcPr>
            <w:tcW w:w="1799" w:type="dxa"/>
          </w:tcPr>
          <w:p w14:paraId="46B37D20"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الديموغرافية</w:t>
            </w:r>
          </w:p>
        </w:tc>
        <w:tc>
          <w:tcPr>
            <w:tcW w:w="1542" w:type="dxa"/>
          </w:tcPr>
          <w:p w14:paraId="6ED4089E"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 والتوازن</w:t>
            </w:r>
          </w:p>
        </w:tc>
        <w:tc>
          <w:tcPr>
            <w:tcW w:w="1523" w:type="dxa"/>
          </w:tcPr>
          <w:p w14:paraId="575B86F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مسحي وطني</w:t>
            </w:r>
          </w:p>
        </w:tc>
        <w:tc>
          <w:tcPr>
            <w:tcW w:w="1590" w:type="dxa"/>
          </w:tcPr>
          <w:p w14:paraId="6D567FD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5445</w:t>
            </w:r>
          </w:p>
        </w:tc>
      </w:tr>
      <w:tr w:rsidR="000A6451" w:rsidRPr="00C53259" w14:paraId="515B102A" w14:textId="77777777" w:rsidTr="007A51FD">
        <w:tc>
          <w:tcPr>
            <w:tcW w:w="1658" w:type="dxa"/>
          </w:tcPr>
          <w:p w14:paraId="1AA46012" w14:textId="77777777" w:rsidR="000A6451" w:rsidRPr="007A51FD" w:rsidRDefault="006D64CD" w:rsidP="007A51FD">
            <w:pPr>
              <w:bidi/>
              <w:spacing w:before="40" w:after="40"/>
              <w:ind w:left="360"/>
              <w:jc w:val="mediumKashida"/>
              <w:rPr>
                <w:rFonts w:ascii="Sakkal Majalla" w:hAnsi="Sakkal Majalla" w:cs="Sakkal Majalla"/>
              </w:rPr>
            </w:pPr>
            <w:proofErr w:type="spellStart"/>
            <w:r w:rsidRPr="007A51FD">
              <w:rPr>
                <w:rFonts w:ascii="Sakkal Majalla" w:eastAsia="Simplified Arabic" w:hAnsi="Sakkal Majalla" w:cs="Sakkal Majalla"/>
                <w:sz w:val="20"/>
                <w:szCs w:val="20"/>
                <w:rtl/>
              </w:rPr>
              <w:t>West</w:t>
            </w:r>
            <w:proofErr w:type="spellEnd"/>
            <w:r w:rsidRPr="007A51FD">
              <w:rPr>
                <w:rFonts w:ascii="Sakkal Majalla" w:eastAsia="Simplified Arabic" w:hAnsi="Sakkal Majalla" w:cs="Sakkal Majalla"/>
                <w:sz w:val="20"/>
                <w:szCs w:val="20"/>
                <w:rtl/>
              </w:rPr>
              <w:t xml:space="preserve"> (2018)</w:t>
            </w:r>
          </w:p>
        </w:tc>
        <w:tc>
          <w:tcPr>
            <w:tcW w:w="1536" w:type="dxa"/>
          </w:tcPr>
          <w:p w14:paraId="2F065A7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مراجعة</w:t>
            </w:r>
          </w:p>
        </w:tc>
        <w:tc>
          <w:tcPr>
            <w:tcW w:w="1799" w:type="dxa"/>
          </w:tcPr>
          <w:p w14:paraId="21C995D2"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أسباب تنظيمية</w:t>
            </w:r>
          </w:p>
        </w:tc>
        <w:tc>
          <w:tcPr>
            <w:tcW w:w="1542" w:type="dxa"/>
          </w:tcPr>
          <w:p w14:paraId="4D85662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11AD4109"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مراجعة شاملة</w:t>
            </w:r>
          </w:p>
        </w:tc>
        <w:tc>
          <w:tcPr>
            <w:tcW w:w="1590" w:type="dxa"/>
          </w:tcPr>
          <w:p w14:paraId="3EA4BFB3"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w:t>
            </w:r>
          </w:p>
        </w:tc>
      </w:tr>
      <w:tr w:rsidR="000A6451" w:rsidRPr="00C53259" w14:paraId="498CB04F" w14:textId="77777777" w:rsidTr="007A51FD">
        <w:tc>
          <w:tcPr>
            <w:tcW w:w="1658" w:type="dxa"/>
          </w:tcPr>
          <w:p w14:paraId="2D8808CE" w14:textId="77777777" w:rsidR="000A6451" w:rsidRPr="007A51FD" w:rsidRDefault="006D64CD" w:rsidP="007A51FD">
            <w:pPr>
              <w:bidi/>
              <w:spacing w:before="40" w:after="40"/>
              <w:ind w:left="360"/>
              <w:jc w:val="mediumKashida"/>
              <w:rPr>
                <w:rFonts w:ascii="Sakkal Majalla" w:hAnsi="Sakkal Majalla" w:cs="Sakkal Majalla"/>
              </w:rPr>
            </w:pPr>
            <w:proofErr w:type="spellStart"/>
            <w:r w:rsidRPr="007A51FD">
              <w:rPr>
                <w:rFonts w:ascii="Sakkal Majalla" w:eastAsia="Simplified Arabic" w:hAnsi="Sakkal Majalla" w:cs="Sakkal Majalla"/>
                <w:sz w:val="20"/>
                <w:szCs w:val="20"/>
                <w:rtl/>
              </w:rPr>
              <w:t>Aiken</w:t>
            </w:r>
            <w:proofErr w:type="spellEnd"/>
            <w:r w:rsidRPr="007A51FD">
              <w:rPr>
                <w:rFonts w:ascii="Sakkal Majalla" w:eastAsia="Simplified Arabic" w:hAnsi="Sakkal Majalla" w:cs="Sakkal Majalla"/>
                <w:sz w:val="20"/>
                <w:szCs w:val="20"/>
                <w:rtl/>
              </w:rPr>
              <w:t xml:space="preserve"> (2002)</w:t>
            </w:r>
          </w:p>
        </w:tc>
        <w:tc>
          <w:tcPr>
            <w:tcW w:w="1536" w:type="dxa"/>
          </w:tcPr>
          <w:p w14:paraId="56C68FB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أمريكي</w:t>
            </w:r>
          </w:p>
        </w:tc>
        <w:tc>
          <w:tcPr>
            <w:tcW w:w="1799" w:type="dxa"/>
          </w:tcPr>
          <w:p w14:paraId="1A853BC0"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عبء العمل التمريضي</w:t>
            </w:r>
          </w:p>
        </w:tc>
        <w:tc>
          <w:tcPr>
            <w:tcW w:w="1542" w:type="dxa"/>
          </w:tcPr>
          <w:p w14:paraId="0451F26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 ووفيات</w:t>
            </w:r>
          </w:p>
        </w:tc>
        <w:tc>
          <w:tcPr>
            <w:tcW w:w="1523" w:type="dxa"/>
          </w:tcPr>
          <w:p w14:paraId="56CDB927"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مقطعي</w:t>
            </w:r>
          </w:p>
        </w:tc>
        <w:tc>
          <w:tcPr>
            <w:tcW w:w="1590" w:type="dxa"/>
          </w:tcPr>
          <w:p w14:paraId="2D44F58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10184</w:t>
            </w:r>
          </w:p>
        </w:tc>
      </w:tr>
      <w:tr w:rsidR="000A6451" w:rsidRPr="00C53259" w14:paraId="0D61E177" w14:textId="77777777" w:rsidTr="007A51FD">
        <w:tc>
          <w:tcPr>
            <w:tcW w:w="1658" w:type="dxa"/>
          </w:tcPr>
          <w:p w14:paraId="3554A63C" w14:textId="77777777" w:rsidR="000A6451" w:rsidRPr="007A51FD" w:rsidRDefault="006D64CD" w:rsidP="007A51FD">
            <w:pPr>
              <w:bidi/>
              <w:spacing w:before="40" w:after="40"/>
              <w:ind w:left="360"/>
              <w:jc w:val="mediumKashida"/>
              <w:rPr>
                <w:rFonts w:ascii="Sakkal Majalla" w:hAnsi="Sakkal Majalla" w:cs="Sakkal Majalla"/>
              </w:rPr>
            </w:pPr>
            <w:proofErr w:type="spellStart"/>
            <w:r w:rsidRPr="007A51FD">
              <w:rPr>
                <w:rFonts w:ascii="Sakkal Majalla" w:eastAsia="Simplified Arabic" w:hAnsi="Sakkal Majalla" w:cs="Sakkal Majalla"/>
                <w:sz w:val="20"/>
                <w:szCs w:val="20"/>
                <w:rtl/>
              </w:rPr>
              <w:t>Bakker</w:t>
            </w:r>
            <w:proofErr w:type="spellEnd"/>
            <w:r w:rsidRPr="007A51FD">
              <w:rPr>
                <w:rFonts w:ascii="Sakkal Majalla" w:eastAsia="Simplified Arabic" w:hAnsi="Sakkal Majalla" w:cs="Sakkal Majalla"/>
                <w:sz w:val="20"/>
                <w:szCs w:val="20"/>
                <w:rtl/>
              </w:rPr>
              <w:t xml:space="preserve"> (2017)</w:t>
            </w:r>
          </w:p>
        </w:tc>
        <w:tc>
          <w:tcPr>
            <w:tcW w:w="1536" w:type="dxa"/>
          </w:tcPr>
          <w:p w14:paraId="0B7A15FB"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مراجعة</w:t>
            </w:r>
          </w:p>
        </w:tc>
        <w:tc>
          <w:tcPr>
            <w:tcW w:w="1799" w:type="dxa"/>
          </w:tcPr>
          <w:p w14:paraId="65A9EAE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الموارد الوظيفية</w:t>
            </w:r>
          </w:p>
        </w:tc>
        <w:tc>
          <w:tcPr>
            <w:tcW w:w="1542" w:type="dxa"/>
          </w:tcPr>
          <w:p w14:paraId="42A5FDB5"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23" w:type="dxa"/>
          </w:tcPr>
          <w:p w14:paraId="7502D567"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مراجعة نظرية</w:t>
            </w:r>
          </w:p>
        </w:tc>
        <w:tc>
          <w:tcPr>
            <w:tcW w:w="1590" w:type="dxa"/>
          </w:tcPr>
          <w:p w14:paraId="08C1C9A8"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w:t>
            </w:r>
          </w:p>
        </w:tc>
      </w:tr>
      <w:tr w:rsidR="000A6451" w:rsidRPr="00C53259" w14:paraId="6D1D7C97" w14:textId="77777777" w:rsidTr="007A51FD">
        <w:tc>
          <w:tcPr>
            <w:tcW w:w="1658" w:type="dxa"/>
          </w:tcPr>
          <w:p w14:paraId="7F1344E1" w14:textId="77777777" w:rsidR="000A6451" w:rsidRPr="007A51FD" w:rsidRDefault="006D64CD" w:rsidP="007A51FD">
            <w:pPr>
              <w:bidi/>
              <w:spacing w:before="40" w:after="40"/>
              <w:ind w:left="360"/>
              <w:jc w:val="mediumKashida"/>
              <w:rPr>
                <w:rFonts w:ascii="Sakkal Majalla" w:hAnsi="Sakkal Majalla" w:cs="Sakkal Majalla"/>
              </w:rPr>
            </w:pPr>
            <w:proofErr w:type="spellStart"/>
            <w:r w:rsidRPr="007A51FD">
              <w:rPr>
                <w:rFonts w:ascii="Sakkal Majalla" w:eastAsia="Simplified Arabic" w:hAnsi="Sakkal Majalla" w:cs="Sakkal Majalla"/>
                <w:sz w:val="20"/>
                <w:szCs w:val="20"/>
                <w:rtl/>
              </w:rPr>
              <w:t>Panagioti</w:t>
            </w:r>
            <w:proofErr w:type="spellEnd"/>
            <w:r w:rsidRPr="007A51FD">
              <w:rPr>
                <w:rFonts w:ascii="Sakkal Majalla" w:eastAsia="Simplified Arabic" w:hAnsi="Sakkal Majalla" w:cs="Sakkal Majalla"/>
                <w:sz w:val="20"/>
                <w:szCs w:val="20"/>
                <w:rtl/>
              </w:rPr>
              <w:t xml:space="preserve"> (2018)</w:t>
            </w:r>
          </w:p>
        </w:tc>
        <w:tc>
          <w:tcPr>
            <w:tcW w:w="1536" w:type="dxa"/>
          </w:tcPr>
          <w:p w14:paraId="214663DA"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مراجعة</w:t>
            </w:r>
          </w:p>
        </w:tc>
        <w:tc>
          <w:tcPr>
            <w:tcW w:w="1799" w:type="dxa"/>
          </w:tcPr>
          <w:p w14:paraId="24715C44"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الاحتراق</w:t>
            </w:r>
          </w:p>
        </w:tc>
        <w:tc>
          <w:tcPr>
            <w:tcW w:w="1542" w:type="dxa"/>
          </w:tcPr>
          <w:p w14:paraId="2BED6DC7"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سلامة المرضى</w:t>
            </w:r>
          </w:p>
        </w:tc>
        <w:tc>
          <w:tcPr>
            <w:tcW w:w="1523" w:type="dxa"/>
          </w:tcPr>
          <w:p w14:paraId="4E99334C"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تحليل تلوي</w:t>
            </w:r>
          </w:p>
        </w:tc>
        <w:tc>
          <w:tcPr>
            <w:tcW w:w="1590" w:type="dxa"/>
          </w:tcPr>
          <w:p w14:paraId="6651D9C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42000+</w:t>
            </w:r>
          </w:p>
        </w:tc>
      </w:tr>
      <w:tr w:rsidR="000A6451" w:rsidRPr="00C53259" w14:paraId="1FAA5598" w14:textId="77777777" w:rsidTr="007A51FD">
        <w:tc>
          <w:tcPr>
            <w:tcW w:w="1658" w:type="dxa"/>
          </w:tcPr>
          <w:p w14:paraId="1F419502"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الدراسة الحالية</w:t>
            </w:r>
          </w:p>
        </w:tc>
        <w:tc>
          <w:tcPr>
            <w:tcW w:w="1536" w:type="dxa"/>
          </w:tcPr>
          <w:p w14:paraId="31FE33A3"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سعودي</w:t>
            </w:r>
          </w:p>
        </w:tc>
        <w:tc>
          <w:tcPr>
            <w:tcW w:w="1799" w:type="dxa"/>
          </w:tcPr>
          <w:p w14:paraId="000FB9C1"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5 محاور للموارد البشرية</w:t>
            </w:r>
          </w:p>
        </w:tc>
        <w:tc>
          <w:tcPr>
            <w:tcW w:w="1542" w:type="dxa"/>
          </w:tcPr>
          <w:p w14:paraId="7655C3CD"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3 أبعاد للاحتراق</w:t>
            </w:r>
          </w:p>
        </w:tc>
        <w:tc>
          <w:tcPr>
            <w:tcW w:w="1523" w:type="dxa"/>
          </w:tcPr>
          <w:p w14:paraId="5345937F"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وصفي تحليلي</w:t>
            </w:r>
          </w:p>
        </w:tc>
        <w:tc>
          <w:tcPr>
            <w:tcW w:w="1590" w:type="dxa"/>
          </w:tcPr>
          <w:p w14:paraId="2F385890" w14:textId="77777777" w:rsidR="000A6451" w:rsidRPr="007A51FD" w:rsidRDefault="006D64CD" w:rsidP="007A51FD">
            <w:pPr>
              <w:bidi/>
              <w:spacing w:before="40" w:after="40"/>
              <w:ind w:left="360"/>
              <w:jc w:val="mediumKashida"/>
              <w:rPr>
                <w:rFonts w:ascii="Sakkal Majalla" w:hAnsi="Sakkal Majalla" w:cs="Sakkal Majalla"/>
              </w:rPr>
            </w:pPr>
            <w:r w:rsidRPr="007A51FD">
              <w:rPr>
                <w:rFonts w:ascii="Sakkal Majalla" w:eastAsia="Simplified Arabic" w:hAnsi="Sakkal Majalla" w:cs="Sakkal Majalla"/>
                <w:sz w:val="20"/>
                <w:szCs w:val="20"/>
                <w:rtl/>
              </w:rPr>
              <w:t>41</w:t>
            </w:r>
          </w:p>
        </w:tc>
      </w:tr>
    </w:tbl>
    <w:p w14:paraId="64A2746B" w14:textId="77777777" w:rsidR="000A6451" w:rsidRPr="00C53259" w:rsidRDefault="000A6451" w:rsidP="007A51FD">
      <w:pPr>
        <w:bidi/>
        <w:spacing w:after="120"/>
        <w:jc w:val="mediumKashida"/>
        <w:rPr>
          <w:rFonts w:ascii="Sakkal Majalla" w:hAnsi="Sakkal Majalla" w:cs="Sakkal Majalla"/>
        </w:rPr>
      </w:pPr>
    </w:p>
    <w:p w14:paraId="475922A9"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تُبرز هذه المصفوفة بوضوح الموقع المتميز للدراسة الحالية ضمن خارطة الأدبيات. فهي تتميز بدراسة خمسة محاور متكاملة لاستراتيجيات إدارة الموارد البشرية (وليس محورًا واحدًا كما في أغلب الدراسات العربية)، وربطها بثلاثة أبعاد للاحتراق الوظيفي في دراسة واحدة، ضمن السياق السعودي وفي ضوء متطلبات برنامج التحول الصحي. كما تعتمد على إطار نظري موحد (نموذج الطلبات-</w:t>
      </w:r>
      <w:r w:rsidRPr="007A51FD">
        <w:rPr>
          <w:rFonts w:ascii="Sakkal Majalla" w:eastAsia="Simplified Arabic" w:hAnsi="Sakkal Majalla" w:cs="Sakkal Majalla"/>
          <w:sz w:val="30"/>
          <w:szCs w:val="30"/>
          <w:rtl/>
        </w:rPr>
        <w:lastRenderedPageBreak/>
        <w:t>الموارد)، وتتناول تنوعًا من الفئات الصحية. وعلى الرغم من تواضع حجم عينة الدراسة الحالية مقارنة بالدراسات الأجنبية، إلا أنها تُمثّل دراسة استكشافية تقييمية تُقدّم مؤشرات أولية ذات دلالة، وتفتح آفاقًا لدراسات مستقبلية أكثر شمولًا.</w:t>
      </w:r>
    </w:p>
    <w:p w14:paraId="4193758D"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t>ثالثاً: الفجوة البحثية</w:t>
      </w:r>
    </w:p>
    <w:p w14:paraId="511178FD"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بناءً على التحليل السابق، يمكن تحديد الفجوة البحثية التي تنطلق منها الدراسة الحالية في عدة نقاط جوهرية:</w:t>
      </w:r>
    </w:p>
    <w:p w14:paraId="265B68CA" w14:textId="4CB439E8"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ندرة الدراسات التي تربط بشكل مباشر ومتكامل بين خمسة محاور لاستراتيجيات إدارة الموارد البشرية وثلاثة أبعاد للاحتراق الوظيفي في دراسة واحدة، إذ غالبًا ما تتناول الدراسات محورًا واحدًا أو بُعدًا واحدًا.</w:t>
      </w:r>
    </w:p>
    <w:p w14:paraId="1BCFCFEC" w14:textId="568F9C2C"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غياب الدراسات التي تُعالج الموضوع في ضوء متطلبات برنامج التحول الصحي السعودي ورؤية المملكة 2030، وهو إطار سياقي بالغ الأهمية لم يُولَد الاهتمام الكافي به في الأدبيات.</w:t>
      </w:r>
    </w:p>
    <w:p w14:paraId="0E684F9A" w14:textId="080AA730"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قلة الدراسات التقييمية الميدانية التي تقيس الفجوة بين ما يستهدفه برنامج التحول الصحي من تطوير الموارد البشرية وحماية رفاهيتها، وبين ما هو مطبّق فعليًا على أرض الواقع.</w:t>
      </w:r>
    </w:p>
    <w:p w14:paraId="52C289A1" w14:textId="0F9CF99B"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ندرة الدراسات التي تتناول الكوادر الصحية السعودية بتنوع فئاتها (أطباء، ممرضون، فنيون، صيادلة، إداريون) في دراسة واحدة، إذ تتركز غالبًا على فئة محددة كالممرضين.</w:t>
      </w:r>
    </w:p>
    <w:p w14:paraId="0C26D8A8" w14:textId="5E3430F1"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ضعف الاعتماد على الإطار النظري الموحد (نموذج الطلبات-الموارد الوظيفية) في الدراسات العربية، وهو ما يُقلل من قدرتها التفسيرية </w:t>
      </w:r>
      <w:proofErr w:type="spellStart"/>
      <w:r w:rsidRPr="007A51FD">
        <w:rPr>
          <w:rFonts w:ascii="Sakkal Majalla" w:eastAsia="Simplified Arabic" w:hAnsi="Sakkal Majalla" w:cs="Sakkal Majalla"/>
          <w:sz w:val="30"/>
          <w:szCs w:val="30"/>
          <w:rtl/>
        </w:rPr>
        <w:t>والتوقعية</w:t>
      </w:r>
      <w:proofErr w:type="spellEnd"/>
      <w:r w:rsidRPr="007A51FD">
        <w:rPr>
          <w:rFonts w:ascii="Sakkal Majalla" w:eastAsia="Simplified Arabic" w:hAnsi="Sakkal Majalla" w:cs="Sakkal Majalla"/>
          <w:sz w:val="30"/>
          <w:szCs w:val="30"/>
          <w:rtl/>
        </w:rPr>
        <w:t>.</w:t>
      </w:r>
    </w:p>
    <w:p w14:paraId="49525F7A" w14:textId="63460D3A"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الحاجة إلى دراسات تُقدّم توصيات عملية قابلة للتطبيق ضمن سياق المجموعات الصحية السعودية المشكّلة حديثًا، لا توصيات عامة.</w:t>
      </w:r>
    </w:p>
    <w:p w14:paraId="782598DE"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lastRenderedPageBreak/>
        <w:t>رابعاً: ما يميز الدراسة الحالية عن الدراسات السابقة</w:t>
      </w:r>
    </w:p>
    <w:p w14:paraId="55667CC6"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في ضوء الفجوة البحثية المحددة، تتميز الدراسة الحالية بعدة خصائص تجعلها إضافة علمية أصيلة، أبرزها:</w:t>
      </w:r>
    </w:p>
    <w:p w14:paraId="57CDA8FF" w14:textId="7AABE47D"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الشمولية في دراسة المتغيرات: تتناول الدراسة خمسة محاور متكاملة لاستراتيجيات إدارة الموارد البشرية (التدريب والتطوير، الحوافز والتقدير، جودة بيئة العمل، الدعم القيادي والإداري، إدارة عبء العمل والتوازن بين العمل والحياة) وثلاثة أبعاد للاحتراق الوظيفي، مما يُقدّم رؤية شاملة لم تتوفر في الدراسات السابقة.</w:t>
      </w:r>
    </w:p>
    <w:p w14:paraId="07D91C27" w14:textId="415FF467"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الربط ببرنامج التحول الصحي: تُعالج الدراسة الموضوع في ضوء متطلبات برنامج التحول الصحي ورؤية المملكة 2030، وهو إطار سياقي بالغ الأهمية يُميّزها عن الدراسات السابقة التي لم تتناول هذا الربط.</w:t>
      </w:r>
    </w:p>
    <w:p w14:paraId="2F19ABA8" w14:textId="01644948"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تنوع العينة: تشمل العينة فئات صحية متنوعة (أطباء، ممرضون، فنيون، صيادلة، إداريون صحيون)، مما يُعزّز إمكانية التعميم ويُقدّم رؤية متعددة الأطراف.</w:t>
      </w:r>
    </w:p>
    <w:p w14:paraId="06DB1B4F" w14:textId="647D1644"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 xml:space="preserve">الاعتماد على إطار نظري موحد: تعتمد الدراسة على نموذج الطلبات-الموارد الوظيفية (JD-R </w:t>
      </w:r>
      <w:proofErr w:type="spellStart"/>
      <w:r w:rsidRPr="007A51FD">
        <w:rPr>
          <w:rFonts w:ascii="Sakkal Majalla" w:eastAsia="Simplified Arabic" w:hAnsi="Sakkal Majalla" w:cs="Sakkal Majalla"/>
          <w:sz w:val="30"/>
          <w:szCs w:val="30"/>
          <w:rtl/>
        </w:rPr>
        <w:t>Model</w:t>
      </w:r>
      <w:proofErr w:type="spellEnd"/>
      <w:r w:rsidRPr="007A51FD">
        <w:rPr>
          <w:rFonts w:ascii="Sakkal Majalla" w:eastAsia="Simplified Arabic" w:hAnsi="Sakkal Majalla" w:cs="Sakkal Majalla"/>
          <w:sz w:val="30"/>
          <w:szCs w:val="30"/>
          <w:rtl/>
        </w:rPr>
        <w:t>) إطارًا نظريًا موحدًا، مما يُعزّز قدرتها التفسيرية.</w:t>
      </w:r>
    </w:p>
    <w:p w14:paraId="1EB35FEC" w14:textId="6B4D921E"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الطبيعة التقييمية: تُقدّم الدراسة تقييمًا للفجوة بين المستهدفات والتطبيق الفعلي لاستراتيجيات إدارة الموارد البشرية، وهو ما يُكسبها بُعدًا تطبيقيًا متميزًا.</w:t>
      </w:r>
    </w:p>
    <w:p w14:paraId="62739961" w14:textId="3C2C055C" w:rsidR="000A6451" w:rsidRDefault="006D64CD" w:rsidP="007A51FD">
      <w:pPr>
        <w:bidi/>
        <w:spacing w:before="40" w:after="40" w:line="360" w:lineRule="auto"/>
        <w:ind w:right="283"/>
        <w:jc w:val="mediumKashida"/>
        <w:rPr>
          <w:rFonts w:ascii="Sakkal Majalla" w:hAnsi="Sakkal Majalla" w:cs="Sakkal Majalla"/>
          <w:rtl/>
        </w:rPr>
      </w:pPr>
      <w:r w:rsidRPr="007A51FD">
        <w:rPr>
          <w:rFonts w:ascii="Sakkal Majalla" w:eastAsia="Simplified Arabic" w:hAnsi="Sakkal Majalla" w:cs="Sakkal Majalla"/>
          <w:sz w:val="30"/>
          <w:szCs w:val="30"/>
          <w:rtl/>
        </w:rPr>
        <w:t>تقديم توصيات عملية قابلة للتطبيق: تُقدّم الدراسة توصيات عملية في ضوء السياق السعودي والمجموعات الصحية المشكّلة حديثًا، لا توصيات عامة.</w:t>
      </w:r>
    </w:p>
    <w:p w14:paraId="2EF319B9" w14:textId="77777777" w:rsidR="00E2206E" w:rsidRDefault="00E2206E" w:rsidP="00E2206E">
      <w:pPr>
        <w:bidi/>
        <w:spacing w:before="40" w:after="40" w:line="360" w:lineRule="auto"/>
        <w:ind w:right="283"/>
        <w:jc w:val="mediumKashida"/>
        <w:rPr>
          <w:rFonts w:ascii="Sakkal Majalla" w:hAnsi="Sakkal Majalla" w:cs="Sakkal Majalla"/>
          <w:rtl/>
        </w:rPr>
      </w:pPr>
    </w:p>
    <w:p w14:paraId="78095309" w14:textId="77777777" w:rsidR="00E2206E" w:rsidRPr="007A51FD" w:rsidRDefault="00E2206E" w:rsidP="00E2206E">
      <w:pPr>
        <w:bidi/>
        <w:spacing w:before="40" w:after="40" w:line="360" w:lineRule="auto"/>
        <w:ind w:right="283"/>
        <w:jc w:val="mediumKashida"/>
        <w:rPr>
          <w:rFonts w:ascii="Sakkal Majalla" w:hAnsi="Sakkal Majalla" w:cs="Sakkal Majalla"/>
        </w:rPr>
      </w:pPr>
    </w:p>
    <w:p w14:paraId="07D0045F" w14:textId="77777777" w:rsidR="000A6451" w:rsidRPr="00C53259" w:rsidRDefault="006D64CD" w:rsidP="007A51FD">
      <w:pPr>
        <w:pStyle w:val="31"/>
        <w:bidi/>
        <w:spacing w:before="240" w:after="160" w:line="360" w:lineRule="auto"/>
        <w:jc w:val="mediumKashida"/>
        <w:rPr>
          <w:rFonts w:ascii="Sakkal Majalla" w:hAnsi="Sakkal Majalla" w:cs="Sakkal Majalla"/>
        </w:rPr>
      </w:pPr>
      <w:r w:rsidRPr="00C53259">
        <w:rPr>
          <w:rFonts w:ascii="Sakkal Majalla" w:eastAsia="Simplified Arabic" w:hAnsi="Sakkal Majalla" w:cs="Sakkal Majalla"/>
          <w:szCs w:val="28"/>
          <w:rtl/>
        </w:rPr>
        <w:lastRenderedPageBreak/>
        <w:t>خامساً: أوجه الاستفادة من الدراسات السابقة</w:t>
      </w:r>
    </w:p>
    <w:p w14:paraId="524453BA" w14:textId="77777777" w:rsidR="000A6451" w:rsidRPr="007A51FD" w:rsidRDefault="006D64CD" w:rsidP="007A51FD">
      <w:pPr>
        <w:bidi/>
        <w:spacing w:before="160" w:after="160" w:line="408" w:lineRule="auto"/>
        <w:jc w:val="mediumKashida"/>
        <w:rPr>
          <w:rFonts w:ascii="Sakkal Majalla" w:hAnsi="Sakkal Majalla" w:cs="Sakkal Majalla"/>
        </w:rPr>
      </w:pPr>
      <w:r w:rsidRPr="007A51FD">
        <w:rPr>
          <w:rFonts w:ascii="Sakkal Majalla" w:eastAsia="Simplified Arabic" w:hAnsi="Sakkal Majalla" w:cs="Sakkal Majalla"/>
          <w:sz w:val="30"/>
          <w:szCs w:val="30"/>
          <w:rtl/>
        </w:rPr>
        <w:t>استفاد الباحث من الدراسات السابقة في عدة أمور، أبرزها:</w:t>
      </w:r>
    </w:p>
    <w:p w14:paraId="224CEEA6" w14:textId="4C47D50D"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بناء الإطار النظري للدراسة وتحديد المفاهيم والأبعاد المتعلقة بمتغيراتها.</w:t>
      </w:r>
    </w:p>
    <w:p w14:paraId="7C6C153E" w14:textId="56B4A0F7"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اختيار المنهج الوصفي التحليلي بوصفه الأنسب لطبيعة الموضوع، وتصميم أداة الدراسة وفق النماذج المعتمدة في الدراسات السابقة.</w:t>
      </w:r>
    </w:p>
    <w:p w14:paraId="5977DB8A" w14:textId="5A52080D"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تحديد محاور استراتيجيات إدارة الموارد البشرية وأبعاد الاحتراق الوظيفي بناءً على ما استقرت عليه الأدبيات.</w:t>
      </w:r>
    </w:p>
    <w:p w14:paraId="662E2C40" w14:textId="50500C9A"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اختيار نموذج الطلبات-الموارد الوظيفية إطارًا نظريًا موحدًا للدراسة.</w:t>
      </w:r>
    </w:p>
    <w:p w14:paraId="14647B67" w14:textId="43365C5C"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تحديد الفجوة البحثية وصياغة مشكلة البحث وتساؤلاته وفرضياته.</w:t>
      </w:r>
    </w:p>
    <w:p w14:paraId="6DDEE453" w14:textId="4468C422"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الاستفادة من نتائج الدراسات في تفسير نتائج الدراسة الحالية ومقارنتها بها.</w:t>
      </w:r>
    </w:p>
    <w:p w14:paraId="1AEA300D" w14:textId="3DF342EA" w:rsidR="000A6451" w:rsidRPr="007A51FD" w:rsidRDefault="006D64CD" w:rsidP="007A51FD">
      <w:pPr>
        <w:bidi/>
        <w:spacing w:before="40" w:after="40" w:line="360" w:lineRule="auto"/>
        <w:ind w:right="283"/>
        <w:jc w:val="mediumKashida"/>
        <w:rPr>
          <w:rFonts w:ascii="Sakkal Majalla" w:hAnsi="Sakkal Majalla" w:cs="Sakkal Majalla"/>
        </w:rPr>
      </w:pPr>
      <w:r w:rsidRPr="007A51FD">
        <w:rPr>
          <w:rFonts w:ascii="Sakkal Majalla" w:eastAsia="Simplified Arabic" w:hAnsi="Sakkal Majalla" w:cs="Sakkal Majalla"/>
          <w:sz w:val="30"/>
          <w:szCs w:val="30"/>
          <w:rtl/>
        </w:rPr>
        <w:t>تحديد طريقة حساب العدد المناسب لعينة البحث واختيار الأساليب الإحصائية المناسبة.</w:t>
      </w:r>
    </w:p>
    <w:p w14:paraId="76964EF3" w14:textId="18C36859" w:rsidR="000A6451" w:rsidRPr="007A51FD" w:rsidRDefault="000A6451" w:rsidP="007A51FD">
      <w:pPr>
        <w:bidi/>
        <w:spacing w:before="160" w:after="160" w:line="408" w:lineRule="auto"/>
        <w:jc w:val="mediumKashida"/>
        <w:rPr>
          <w:rFonts w:ascii="Sakkal Majalla" w:hAnsi="Sakkal Majalla" w:cs="Sakkal Majalla"/>
        </w:rPr>
      </w:pPr>
    </w:p>
    <w:p w14:paraId="7F5FC26D" w14:textId="77777777" w:rsidR="000A6451" w:rsidRPr="007A51FD" w:rsidRDefault="006D64CD" w:rsidP="007A51FD">
      <w:pPr>
        <w:bidi/>
        <w:jc w:val="mediumKashida"/>
        <w:rPr>
          <w:rFonts w:ascii="Sakkal Majalla" w:hAnsi="Sakkal Majalla" w:cs="Sakkal Majalla"/>
        </w:rPr>
      </w:pPr>
      <w:r w:rsidRPr="007A51FD">
        <w:rPr>
          <w:rFonts w:ascii="Sakkal Majalla" w:hAnsi="Sakkal Majalla" w:cs="Sakkal Majalla"/>
        </w:rPr>
        <w:br/>
      </w:r>
      <w:r w:rsidRPr="007A51FD">
        <w:rPr>
          <w:rFonts w:ascii="Sakkal Majalla" w:hAnsi="Sakkal Majalla" w:cs="Sakkal Majalla"/>
        </w:rPr>
        <w:br w:type="page"/>
      </w:r>
      <w:bookmarkStart w:id="0" w:name="_GoBack"/>
      <w:bookmarkEnd w:id="0"/>
    </w:p>
    <w:sectPr w:rsidR="000A6451" w:rsidRPr="007A51FD" w:rsidSect="0003461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7495CB" w14:textId="77777777" w:rsidR="00140CF8" w:rsidRDefault="00140CF8">
      <w:pPr>
        <w:spacing w:after="0" w:line="240" w:lineRule="auto"/>
      </w:pPr>
      <w:r>
        <w:separator/>
      </w:r>
    </w:p>
  </w:endnote>
  <w:endnote w:type="continuationSeparator" w:id="0">
    <w:p w14:paraId="17869B76" w14:textId="77777777" w:rsidR="00140CF8" w:rsidRDefault="0014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Fairwater Script">
    <w:altName w:val="Copperplate Gothic Ligh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6C254" w14:textId="77777777" w:rsidR="00637E08" w:rsidRDefault="00637E08">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A1105" w14:textId="42B84061" w:rsidR="000A6451" w:rsidRDefault="006D64CD">
    <w:pPr>
      <w:pStyle w:val="a6"/>
      <w:bidi/>
      <w:jc w:val="center"/>
    </w:pPr>
    <w:r>
      <w:rPr>
        <w:rFonts w:eastAsia="Simplified Arabic" w:cs="Simplified Arabic"/>
        <w:sz w:val="22"/>
        <w:rtl/>
      </w:rPr>
      <w:fldChar w:fldCharType="begin"/>
    </w:r>
    <w:r>
      <w:rPr>
        <w:rFonts w:eastAsia="Simplified Arabic" w:cs="Simplified Arabic"/>
        <w:sz w:val="22"/>
        <w:rtl/>
      </w:rPr>
      <w:instrText>PAGE \* MERGEFORMAT</w:instrText>
    </w:r>
    <w:r>
      <w:rPr>
        <w:rFonts w:eastAsia="Simplified Arabic" w:cs="Simplified Arabic"/>
        <w:sz w:val="22"/>
        <w:rtl/>
      </w:rPr>
      <w:fldChar w:fldCharType="separate"/>
    </w:r>
    <w:r w:rsidR="00181D2A">
      <w:rPr>
        <w:rFonts w:eastAsia="Simplified Arabic" w:cs="Simplified Arabic"/>
        <w:noProof/>
        <w:sz w:val="22"/>
        <w:rtl/>
      </w:rPr>
      <w:t>17</w:t>
    </w:r>
    <w:r>
      <w:rPr>
        <w:rFonts w:eastAsia="Simplified Arabic" w:cs="Simplified Arabic"/>
        <w:sz w:val="22"/>
        <w:rtl/>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09F52" w14:textId="77777777" w:rsidR="00637E08" w:rsidRDefault="00637E0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CD5D8" w14:textId="77777777" w:rsidR="00140CF8" w:rsidRDefault="00140CF8">
      <w:pPr>
        <w:spacing w:after="0" w:line="240" w:lineRule="auto"/>
      </w:pPr>
      <w:r>
        <w:separator/>
      </w:r>
    </w:p>
  </w:footnote>
  <w:footnote w:type="continuationSeparator" w:id="0">
    <w:p w14:paraId="5C1DFB0B" w14:textId="77777777" w:rsidR="00140CF8" w:rsidRDefault="0014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89B75" w14:textId="77777777" w:rsidR="00637E08" w:rsidRDefault="00637E08">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CB666" w14:textId="77777777" w:rsidR="00637E08" w:rsidRDefault="00637E08">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BD41" w14:textId="77777777" w:rsidR="00637E08" w:rsidRDefault="00637E08">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6C01D78"/>
    <w:multiLevelType w:val="hybridMultilevel"/>
    <w:tmpl w:val="5E80B04A"/>
    <w:lvl w:ilvl="0" w:tplc="FFFFFFFF">
      <w:start w:val="1"/>
      <w:numFmt w:val="decimal"/>
      <w:lvlText w:val="%1."/>
      <w:lvlJc w:val="left"/>
      <w:pPr>
        <w:ind w:left="720" w:hanging="360"/>
      </w:pPr>
      <w:rPr>
        <w:rFonts w:eastAsia="Simplified Arabic"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1E225C"/>
    <w:multiLevelType w:val="hybridMultilevel"/>
    <w:tmpl w:val="E62EF5EA"/>
    <w:lvl w:ilvl="0" w:tplc="FFFFFFFF">
      <w:start w:val="1"/>
      <w:numFmt w:val="decimal"/>
      <w:lvlText w:val="%1."/>
      <w:lvlJc w:val="left"/>
      <w:pPr>
        <w:ind w:left="720" w:hanging="360"/>
      </w:pPr>
      <w:rPr>
        <w:rFonts w:eastAsia="Simplified Arabic" w:hint="default"/>
        <w:sz w:val="30"/>
      </w:rPr>
    </w:lvl>
    <w:lvl w:ilvl="1" w:tplc="9FF89682">
      <w:start w:val="1"/>
      <w:numFmt w:val="decimal"/>
      <w:lvlText w:val="(%2)"/>
      <w:lvlJc w:val="left"/>
      <w:pPr>
        <w:ind w:left="1440" w:hanging="360"/>
      </w:pPr>
      <w:rPr>
        <w:rFonts w:eastAsia="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1C4DAA"/>
    <w:multiLevelType w:val="hybridMultilevel"/>
    <w:tmpl w:val="5BE241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1DC6AD6"/>
    <w:multiLevelType w:val="hybridMultilevel"/>
    <w:tmpl w:val="32EE3B2A"/>
    <w:lvl w:ilvl="0" w:tplc="FFFFFFFF">
      <w:start w:val="1"/>
      <w:numFmt w:val="decimal"/>
      <w:lvlText w:val="%1."/>
      <w:lvlJc w:val="left"/>
      <w:pPr>
        <w:ind w:left="720" w:hanging="360"/>
      </w:pPr>
      <w:rPr>
        <w:rFonts w:eastAsia="Simplified Arabic"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6A15AF"/>
    <w:multiLevelType w:val="hybridMultilevel"/>
    <w:tmpl w:val="CA48E6EC"/>
    <w:lvl w:ilvl="0" w:tplc="FFFFFFFF">
      <w:start w:val="1"/>
      <w:numFmt w:val="decimal"/>
      <w:lvlText w:val="%1."/>
      <w:lvlJc w:val="left"/>
      <w:pPr>
        <w:ind w:left="720" w:hanging="360"/>
      </w:pPr>
      <w:rPr>
        <w:rFonts w:eastAsia="Simplified Arabic"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BB1527"/>
    <w:multiLevelType w:val="hybridMultilevel"/>
    <w:tmpl w:val="607A8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9A565B7"/>
    <w:multiLevelType w:val="hybridMultilevel"/>
    <w:tmpl w:val="1974CA32"/>
    <w:lvl w:ilvl="0" w:tplc="FFFFFFFF">
      <w:start w:val="1"/>
      <w:numFmt w:val="decimal"/>
      <w:lvlText w:val="%1."/>
      <w:lvlJc w:val="left"/>
      <w:pPr>
        <w:ind w:left="720" w:hanging="360"/>
      </w:pPr>
      <w:rPr>
        <w:rFonts w:eastAsia="Simplified Arabic"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B0CE3"/>
    <w:multiLevelType w:val="hybridMultilevel"/>
    <w:tmpl w:val="A714270A"/>
    <w:lvl w:ilvl="0" w:tplc="FFFFFFFF">
      <w:start w:val="1"/>
      <w:numFmt w:val="decimal"/>
      <w:lvlText w:val="%1."/>
      <w:lvlJc w:val="left"/>
      <w:pPr>
        <w:ind w:left="720" w:hanging="360"/>
      </w:pPr>
      <w:rPr>
        <w:rFonts w:eastAsia="Simplified Arabic" w:hint="default"/>
        <w:sz w:val="30"/>
      </w:rPr>
    </w:lvl>
    <w:lvl w:ilvl="1" w:tplc="242AD7E4">
      <w:start w:val="1"/>
      <w:numFmt w:val="decimal"/>
      <w:lvlText w:val="(%2)"/>
      <w:lvlJc w:val="left"/>
      <w:pPr>
        <w:ind w:left="1440" w:hanging="360"/>
      </w:pPr>
      <w:rPr>
        <w:rFonts w:eastAsia="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16909"/>
    <w:multiLevelType w:val="hybridMultilevel"/>
    <w:tmpl w:val="E17AA4A0"/>
    <w:lvl w:ilvl="0" w:tplc="FFFFFFFF">
      <w:start w:val="1"/>
      <w:numFmt w:val="decimal"/>
      <w:lvlText w:val="%1."/>
      <w:lvlJc w:val="left"/>
      <w:pPr>
        <w:ind w:left="720" w:hanging="360"/>
      </w:pPr>
      <w:rPr>
        <w:rFonts w:eastAsia="Simplified Arabic"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4409AB"/>
    <w:multiLevelType w:val="hybridMultilevel"/>
    <w:tmpl w:val="01348AF4"/>
    <w:lvl w:ilvl="0" w:tplc="04090001">
      <w:start w:val="1"/>
      <w:numFmt w:val="bullet"/>
      <w:lvlText w:val=""/>
      <w:lvlJc w:val="left"/>
      <w:pPr>
        <w:ind w:left="720" w:hanging="360"/>
      </w:pPr>
      <w:rPr>
        <w:rFonts w:ascii="Symbol" w:hAnsi="Symbol" w:hint="default"/>
      </w:rPr>
    </w:lvl>
    <w:lvl w:ilvl="1" w:tplc="284EA482">
      <w:start w:val="5"/>
      <w:numFmt w:val="bullet"/>
      <w:lvlText w:val="•"/>
      <w:lvlJc w:val="left"/>
      <w:pPr>
        <w:ind w:left="1440" w:hanging="360"/>
      </w:pPr>
      <w:rPr>
        <w:rFonts w:ascii="Sakkal Majalla" w:eastAsia="Simplified Arabic" w:hAnsi="Sakkal Majalla" w:cs="Sakkal Majalla"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6B5D99"/>
    <w:multiLevelType w:val="hybridMultilevel"/>
    <w:tmpl w:val="2102B9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5686D67"/>
    <w:multiLevelType w:val="hybridMultilevel"/>
    <w:tmpl w:val="8EBC3B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5B2747B"/>
    <w:multiLevelType w:val="hybridMultilevel"/>
    <w:tmpl w:val="C80AAC86"/>
    <w:lvl w:ilvl="0" w:tplc="FFFFFFFF">
      <w:start w:val="1"/>
      <w:numFmt w:val="decimal"/>
      <w:lvlText w:val="%1."/>
      <w:lvlJc w:val="left"/>
      <w:pPr>
        <w:ind w:left="720" w:hanging="360"/>
      </w:pPr>
      <w:rPr>
        <w:rFonts w:eastAsia="Simplified Arabic" w:hint="default"/>
        <w:sz w:val="30"/>
      </w:rPr>
    </w:lvl>
    <w:lvl w:ilvl="1" w:tplc="2AE4EBA8">
      <w:start w:val="1"/>
      <w:numFmt w:val="decimal"/>
      <w:lvlText w:val="(%2)"/>
      <w:lvlJc w:val="left"/>
      <w:pPr>
        <w:ind w:left="1440" w:hanging="360"/>
      </w:pPr>
      <w:rPr>
        <w:rFonts w:eastAsia="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9204AE"/>
    <w:multiLevelType w:val="hybridMultilevel"/>
    <w:tmpl w:val="8876832E"/>
    <w:lvl w:ilvl="0" w:tplc="FFFFFFFF">
      <w:start w:val="1"/>
      <w:numFmt w:val="decimal"/>
      <w:lvlText w:val="%1."/>
      <w:lvlJc w:val="left"/>
      <w:pPr>
        <w:ind w:left="720" w:hanging="360"/>
      </w:pPr>
      <w:rPr>
        <w:rFonts w:eastAsia="Simplified Arabic" w:hint="default"/>
        <w:sz w:val="30"/>
      </w:rPr>
    </w:lvl>
    <w:lvl w:ilvl="1" w:tplc="22069582">
      <w:start w:val="1"/>
      <w:numFmt w:val="decimal"/>
      <w:lvlText w:val="(%2)"/>
      <w:lvlJc w:val="left"/>
      <w:pPr>
        <w:ind w:left="1440" w:hanging="360"/>
      </w:pPr>
      <w:rPr>
        <w:rFonts w:eastAsia="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796A01"/>
    <w:multiLevelType w:val="hybridMultilevel"/>
    <w:tmpl w:val="0A745F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6C2555C"/>
    <w:multiLevelType w:val="hybridMultilevel"/>
    <w:tmpl w:val="873C6ADE"/>
    <w:lvl w:ilvl="0" w:tplc="FFFFFFFF">
      <w:start w:val="1"/>
      <w:numFmt w:val="decimal"/>
      <w:lvlText w:val="%1."/>
      <w:lvlJc w:val="left"/>
      <w:pPr>
        <w:ind w:left="720" w:hanging="360"/>
      </w:pPr>
      <w:rPr>
        <w:rFonts w:eastAsia="Simplified Arabic" w:hint="default"/>
        <w:sz w:val="30"/>
      </w:rPr>
    </w:lvl>
    <w:lvl w:ilvl="1" w:tplc="1F08FDB4">
      <w:start w:val="1"/>
      <w:numFmt w:val="decimal"/>
      <w:lvlText w:val="(%2)"/>
      <w:lvlJc w:val="left"/>
      <w:pPr>
        <w:ind w:left="1440" w:hanging="360"/>
      </w:pPr>
      <w:rPr>
        <w:rFonts w:eastAsia="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613EEF"/>
    <w:multiLevelType w:val="hybridMultilevel"/>
    <w:tmpl w:val="42120616"/>
    <w:lvl w:ilvl="0" w:tplc="FFFFFFFF">
      <w:start w:val="1"/>
      <w:numFmt w:val="decimal"/>
      <w:lvlText w:val="%1."/>
      <w:lvlJc w:val="left"/>
      <w:pPr>
        <w:ind w:left="720" w:hanging="360"/>
      </w:pPr>
      <w:rPr>
        <w:rFonts w:eastAsia="Simplified Arabic"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8"/>
  </w:num>
  <w:num w:numId="11">
    <w:abstractNumId w:val="9"/>
  </w:num>
  <w:num w:numId="12">
    <w:abstractNumId w:val="24"/>
  </w:num>
  <w:num w:numId="13">
    <w:abstractNumId w:val="21"/>
  </w:num>
  <w:num w:numId="14">
    <w:abstractNumId w:val="25"/>
  </w:num>
  <w:num w:numId="15">
    <w:abstractNumId w:val="17"/>
  </w:num>
  <w:num w:numId="16">
    <w:abstractNumId w:val="10"/>
  </w:num>
  <w:num w:numId="17">
    <w:abstractNumId w:val="22"/>
  </w:num>
  <w:num w:numId="18">
    <w:abstractNumId w:val="16"/>
  </w:num>
  <w:num w:numId="19">
    <w:abstractNumId w:val="15"/>
  </w:num>
  <w:num w:numId="20">
    <w:abstractNumId w:val="13"/>
  </w:num>
  <w:num w:numId="21">
    <w:abstractNumId w:val="12"/>
  </w:num>
  <w:num w:numId="22">
    <w:abstractNumId w:val="19"/>
  </w:num>
  <w:num w:numId="23">
    <w:abstractNumId w:val="14"/>
  </w:num>
  <w:num w:numId="24">
    <w:abstractNumId w:val="23"/>
  </w:num>
  <w:num w:numId="25">
    <w:abstractNumId w:val="1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784A"/>
    <w:rsid w:val="00075FCB"/>
    <w:rsid w:val="00083DE7"/>
    <w:rsid w:val="000A6451"/>
    <w:rsid w:val="000F5EA9"/>
    <w:rsid w:val="001060DD"/>
    <w:rsid w:val="00140CF8"/>
    <w:rsid w:val="0015074B"/>
    <w:rsid w:val="0016394D"/>
    <w:rsid w:val="00181D2A"/>
    <w:rsid w:val="00183923"/>
    <w:rsid w:val="00262B2F"/>
    <w:rsid w:val="00267EB5"/>
    <w:rsid w:val="0029639D"/>
    <w:rsid w:val="002F7D3E"/>
    <w:rsid w:val="00301C18"/>
    <w:rsid w:val="00326F90"/>
    <w:rsid w:val="00377C6D"/>
    <w:rsid w:val="003B456A"/>
    <w:rsid w:val="003C26E5"/>
    <w:rsid w:val="003E26DC"/>
    <w:rsid w:val="0051374C"/>
    <w:rsid w:val="00534B6A"/>
    <w:rsid w:val="00577F6C"/>
    <w:rsid w:val="005A5879"/>
    <w:rsid w:val="005C122C"/>
    <w:rsid w:val="005F31FF"/>
    <w:rsid w:val="00606374"/>
    <w:rsid w:val="00615EA2"/>
    <w:rsid w:val="00637E08"/>
    <w:rsid w:val="00640248"/>
    <w:rsid w:val="0066478E"/>
    <w:rsid w:val="0068069B"/>
    <w:rsid w:val="006D64CD"/>
    <w:rsid w:val="006F5531"/>
    <w:rsid w:val="00767F97"/>
    <w:rsid w:val="007A51FD"/>
    <w:rsid w:val="00856AB1"/>
    <w:rsid w:val="008E5068"/>
    <w:rsid w:val="009037B0"/>
    <w:rsid w:val="009972B6"/>
    <w:rsid w:val="009B00ED"/>
    <w:rsid w:val="009C25D5"/>
    <w:rsid w:val="009F7316"/>
    <w:rsid w:val="00A91593"/>
    <w:rsid w:val="00AA1D8D"/>
    <w:rsid w:val="00AC5B36"/>
    <w:rsid w:val="00B47730"/>
    <w:rsid w:val="00B65743"/>
    <w:rsid w:val="00BC1DC9"/>
    <w:rsid w:val="00C162DF"/>
    <w:rsid w:val="00C53259"/>
    <w:rsid w:val="00C619B4"/>
    <w:rsid w:val="00C84B4A"/>
    <w:rsid w:val="00C851DF"/>
    <w:rsid w:val="00CB0664"/>
    <w:rsid w:val="00CB5D71"/>
    <w:rsid w:val="00CD4192"/>
    <w:rsid w:val="00D20E36"/>
    <w:rsid w:val="00D44CD9"/>
    <w:rsid w:val="00DB57B8"/>
    <w:rsid w:val="00DD4564"/>
    <w:rsid w:val="00E1114B"/>
    <w:rsid w:val="00E14C7A"/>
    <w:rsid w:val="00E158AE"/>
    <w:rsid w:val="00E2206E"/>
    <w:rsid w:val="00E30031"/>
    <w:rsid w:val="00E9311F"/>
    <w:rsid w:val="00E956FF"/>
    <w:rsid w:val="00EA02F0"/>
    <w:rsid w:val="00EC1224"/>
    <w:rsid w:val="00F52D31"/>
    <w:rsid w:val="00FA5210"/>
    <w:rsid w:val="00FA608F"/>
    <w:rsid w:val="00FC3E1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45738C"/>
  <w14:defaultImageDpi w14:val="300"/>
  <w15:docId w15:val="{55FA6FF0-54AA-6842-91A7-F4048543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Simplified Arabic" w:hAnsi="Simplified Arabic"/>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1F4E79"/>
      <w:sz w:val="40"/>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2E5C8A"/>
      <w:sz w:val="32"/>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2E5C8A"/>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4-6">
    <w:name w:val="Grid Table 4 Accent 6"/>
    <w:basedOn w:val="a3"/>
    <w:uiPriority w:val="49"/>
    <w:rsid w:val="009B00ED"/>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Hyperlink">
    <w:name w:val="Hyperlink"/>
    <w:basedOn w:val="a2"/>
    <w:uiPriority w:val="99"/>
    <w:unhideWhenUsed/>
    <w:rsid w:val="00E9311F"/>
    <w:rPr>
      <w:color w:val="0000FF" w:themeColor="hyperlink"/>
      <w:u w:val="single"/>
    </w:rPr>
  </w:style>
  <w:style w:type="character" w:customStyle="1" w:styleId="UnresolvedMention">
    <w:name w:val="Unresolved Mention"/>
    <w:basedOn w:val="a2"/>
    <w:uiPriority w:val="99"/>
    <w:semiHidden/>
    <w:unhideWhenUsed/>
    <w:rsid w:val="00E93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612B9-C802-4D31-B9BB-74D4C350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10788</Words>
  <Characters>61493</Characters>
  <Application>Microsoft Office Word</Application>
  <DocSecurity>0</DocSecurity>
  <Lines>512</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72137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عبدالله هجرس العتيبي</cp:lastModifiedBy>
  <cp:revision>5</cp:revision>
  <dcterms:created xsi:type="dcterms:W3CDTF">2026-07-06T13:49:00Z</dcterms:created>
  <dcterms:modified xsi:type="dcterms:W3CDTF">2026-07-06T13:52:00Z</dcterms:modified>
  <cp:category/>
</cp:coreProperties>
</file>