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5D6B2" w14:textId="739FF5B7" w:rsidR="00073E12" w:rsidRDefault="00DB4EEB" w:rsidP="006D501E">
      <w:pPr>
        <w:bidi/>
        <w:spacing w:before="240" w:after="240"/>
        <w:jc w:val="both"/>
        <w:rPr>
          <w:rFonts w:asciiTheme="majorBidi" w:hAnsiTheme="majorBidi" w:cstheme="majorBidi"/>
          <w:b/>
          <w:bCs/>
          <w:sz w:val="40"/>
          <w:szCs w:val="40"/>
          <w:rtl/>
          <w:lang w:val="en-US"/>
        </w:rPr>
      </w:pPr>
      <w:r w:rsidRPr="001D59E2">
        <w:rPr>
          <w:rFonts w:asciiTheme="majorBidi" w:hAnsiTheme="majorBidi" w:cstheme="majorBidi"/>
          <w:b/>
          <w:bCs/>
          <w:sz w:val="40"/>
          <w:szCs w:val="40"/>
          <w:rtl/>
          <w:lang w:val="en-US"/>
        </w:rPr>
        <w:t>التعقيب على الفصل الثاني : الإطار النظري</w:t>
      </w:r>
    </w:p>
    <w:p w14:paraId="76A0626A" w14:textId="1C4E7DC4" w:rsidR="002304A9" w:rsidRDefault="00B92B91" w:rsidP="006D501E">
      <w:pPr>
        <w:bidi/>
        <w:spacing w:before="240" w:after="240"/>
        <w:jc w:val="both"/>
        <w:rPr>
          <w:rFonts w:asciiTheme="majorBidi" w:hAnsiTheme="majorBidi" w:cstheme="majorBidi"/>
          <w:b/>
          <w:bCs/>
          <w:sz w:val="40"/>
          <w:szCs w:val="40"/>
          <w:rtl/>
          <w:lang w:val="en-US"/>
        </w:rPr>
      </w:pPr>
      <w:r w:rsidRPr="00B92B91">
        <w:rPr>
          <w:rFonts w:asciiTheme="majorBidi" w:hAnsiTheme="majorBidi" w:cstheme="majorBidi"/>
          <w:b/>
          <w:bCs/>
          <w:sz w:val="28"/>
          <w:szCs w:val="28"/>
          <w:rtl/>
          <w:lang w:val="en-US"/>
        </w:rPr>
        <w:t>يجب مراعاة الترقيم الصحيح للعناوين الفرعية، بحيث يبدأ برقم الفصل (مثلاً: 2)، يليه رقم المبحث الرئيس (مثلاً: 1)، ثم رقم العنوان الفرعي (مثلاً: 3)، ليصبح الترقيم النهائي 2.1.3 بدلاً من 3.2.1</w:t>
      </w:r>
    </w:p>
    <w:p w14:paraId="105569A4" w14:textId="43AD17C6" w:rsidR="00B92B91" w:rsidRDefault="00B92B91" w:rsidP="006D501E">
      <w:pPr>
        <w:bidi/>
        <w:spacing w:before="240" w:after="240"/>
        <w:jc w:val="both"/>
        <w:rPr>
          <w:rFonts w:asciiTheme="majorBidi" w:hAnsiTheme="majorBidi" w:cstheme="majorBidi"/>
          <w:b/>
          <w:bCs/>
          <w:sz w:val="28"/>
          <w:szCs w:val="28"/>
          <w:rtl/>
          <w:lang w:val="en-US"/>
        </w:rPr>
      </w:pPr>
      <w:r w:rsidRPr="00B92B91">
        <w:rPr>
          <w:rFonts w:asciiTheme="majorBidi" w:hAnsiTheme="majorBidi" w:cstheme="majorBidi"/>
          <w:b/>
          <w:bCs/>
          <w:sz w:val="28"/>
          <w:szCs w:val="28"/>
          <w:rtl/>
          <w:lang w:val="en-US"/>
        </w:rPr>
        <w:t xml:space="preserve">في جدول رقم (1) المتعلق </w:t>
      </w:r>
      <w:r w:rsidR="007E4488" w:rsidRPr="007E4488">
        <w:rPr>
          <w:rFonts w:asciiTheme="majorBidi" w:hAnsiTheme="majorBidi" w:cs="Times New Roman" w:hint="cs"/>
          <w:b/>
          <w:bCs/>
          <w:sz w:val="28"/>
          <w:szCs w:val="28"/>
          <w:rtl/>
          <w:lang w:val="en-US"/>
        </w:rPr>
        <w:t>الاختلافات</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بين</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الذكاء</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الاصطناعي</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والذكاء</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البشري</w:t>
      </w:r>
      <w:r w:rsidR="007E4488" w:rsidRPr="007E4488">
        <w:rPr>
          <w:rFonts w:asciiTheme="majorBidi" w:hAnsiTheme="majorBidi" w:cs="Times New Roman"/>
          <w:b/>
          <w:bCs/>
          <w:sz w:val="28"/>
          <w:szCs w:val="28"/>
          <w:rtl/>
          <w:lang w:val="en-US"/>
        </w:rPr>
        <w:t xml:space="preserve"> </w:t>
      </w:r>
      <w:r w:rsidRPr="00B92B91">
        <w:rPr>
          <w:rFonts w:asciiTheme="majorBidi" w:hAnsiTheme="majorBidi" w:cstheme="majorBidi"/>
          <w:b/>
          <w:bCs/>
          <w:sz w:val="28"/>
          <w:szCs w:val="28"/>
          <w:rtl/>
          <w:lang w:val="en-US"/>
        </w:rPr>
        <w:t xml:space="preserve">، من المهم الإشارة إلى أن محتوى الجدول من إعداد الباحث نفسه، حيث تم تجميع المعلومات وتحليلها بهدف توضيح الفروقات الأساسية بين </w:t>
      </w:r>
      <w:r w:rsidR="007E4488" w:rsidRPr="007E4488">
        <w:rPr>
          <w:rFonts w:asciiTheme="majorBidi" w:hAnsiTheme="majorBidi" w:cs="Times New Roman" w:hint="cs"/>
          <w:b/>
          <w:bCs/>
          <w:sz w:val="28"/>
          <w:szCs w:val="28"/>
          <w:rtl/>
          <w:lang w:val="en-US"/>
        </w:rPr>
        <w:t>الذكاء</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الاصطناعي</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والذكاء</w:t>
      </w:r>
      <w:r w:rsidR="007E4488" w:rsidRPr="007E4488">
        <w:rPr>
          <w:rFonts w:asciiTheme="majorBidi" w:hAnsiTheme="majorBidi" w:cs="Times New Roman"/>
          <w:b/>
          <w:bCs/>
          <w:sz w:val="28"/>
          <w:szCs w:val="28"/>
          <w:rtl/>
          <w:lang w:val="en-US"/>
        </w:rPr>
        <w:t xml:space="preserve"> </w:t>
      </w:r>
      <w:r w:rsidR="007E4488" w:rsidRPr="007E4488">
        <w:rPr>
          <w:rFonts w:asciiTheme="majorBidi" w:hAnsiTheme="majorBidi" w:cs="Times New Roman" w:hint="cs"/>
          <w:b/>
          <w:bCs/>
          <w:sz w:val="28"/>
          <w:szCs w:val="28"/>
          <w:rtl/>
          <w:lang w:val="en-US"/>
        </w:rPr>
        <w:t>البشري</w:t>
      </w:r>
      <w:r w:rsidRPr="00B92B91">
        <w:rPr>
          <w:rFonts w:asciiTheme="majorBidi" w:hAnsiTheme="majorBidi" w:cstheme="majorBidi"/>
          <w:b/>
          <w:bCs/>
          <w:sz w:val="28"/>
          <w:szCs w:val="28"/>
          <w:rtl/>
          <w:lang w:val="en-US"/>
        </w:rPr>
        <w:t xml:space="preserve">. </w:t>
      </w:r>
      <w:r>
        <w:rPr>
          <w:rFonts w:asciiTheme="majorBidi" w:hAnsiTheme="majorBidi" w:cstheme="majorBidi" w:hint="cs"/>
          <w:b/>
          <w:bCs/>
          <w:sz w:val="28"/>
          <w:szCs w:val="28"/>
          <w:rtl/>
          <w:lang w:val="en-US"/>
        </w:rPr>
        <w:t xml:space="preserve">على سبيل المثال </w:t>
      </w:r>
      <w:r w:rsidR="007E4488">
        <w:rPr>
          <w:rFonts w:asciiTheme="majorBidi" w:hAnsiTheme="majorBidi" w:cstheme="majorBidi" w:hint="cs"/>
          <w:b/>
          <w:bCs/>
          <w:sz w:val="28"/>
          <w:szCs w:val="28"/>
          <w:rtl/>
          <w:lang w:val="en-US"/>
        </w:rPr>
        <w:t xml:space="preserve"> </w:t>
      </w:r>
    </w:p>
    <w:p w14:paraId="3ACE78AF" w14:textId="00BA619E" w:rsidR="00B92B91" w:rsidRDefault="007E4488" w:rsidP="007E4488">
      <w:pPr>
        <w:bidi/>
        <w:spacing w:before="240" w:after="240"/>
        <w:jc w:val="both"/>
        <w:rPr>
          <w:rFonts w:asciiTheme="majorBidi" w:hAnsiTheme="majorBidi" w:cstheme="majorBidi"/>
          <w:b/>
          <w:bCs/>
          <w:sz w:val="28"/>
          <w:szCs w:val="28"/>
          <w:rtl/>
        </w:rPr>
      </w:pPr>
      <w:r w:rsidRPr="007E4488">
        <w:rPr>
          <w:rFonts w:asciiTheme="majorBidi" w:hAnsiTheme="majorBidi" w:cstheme="majorBidi"/>
          <w:b/>
          <w:bCs/>
          <w:sz w:val="28"/>
          <w:szCs w:val="28"/>
          <w:rtl/>
          <w:lang w:val="en-US"/>
        </w:rPr>
        <w:t>الجدول رقم</w:t>
      </w:r>
      <w:r w:rsidRPr="007E4488">
        <w:rPr>
          <w:rFonts w:asciiTheme="majorBidi" w:hAnsiTheme="majorBidi" w:cstheme="majorBidi"/>
          <w:b/>
          <w:bCs/>
          <w:sz w:val="28"/>
          <w:szCs w:val="28"/>
        </w:rPr>
        <w:t xml:space="preserve"> (1) </w:t>
      </w:r>
      <w:r w:rsidRPr="007E4488">
        <w:rPr>
          <w:rFonts w:asciiTheme="majorBidi" w:hAnsiTheme="majorBidi" w:cstheme="majorBidi"/>
          <w:b/>
          <w:bCs/>
          <w:sz w:val="28"/>
          <w:szCs w:val="28"/>
          <w:rtl/>
          <w:lang w:val="en-US"/>
        </w:rPr>
        <w:t>مقارنة توضيحية بين الذكاء الاصطناعي والذكاء البشري، وقد قام الباحث بإعداده بهدف تلخيص أبرز الفروق الجوهرية بينهما. ويسهم هذا الجدول في توضيح الجوانب المعرفية والوظيفية لكل منهما، مما يساعد القارئ على فهم الفروق الأساسية ودعم السياق التحليلي للدراسة</w:t>
      </w:r>
    </w:p>
    <w:p w14:paraId="0F01C36A" w14:textId="5B636410" w:rsidR="006D501E" w:rsidRPr="006D501E" w:rsidRDefault="008E7B7E" w:rsidP="00CD0A04">
      <w:pPr>
        <w:bidi/>
        <w:spacing w:before="240" w:after="240"/>
        <w:jc w:val="both"/>
        <w:rPr>
          <w:rFonts w:asciiTheme="majorBidi" w:hAnsiTheme="majorBidi" w:cstheme="majorBidi"/>
          <w:b/>
          <w:bCs/>
          <w:sz w:val="28"/>
          <w:szCs w:val="28"/>
          <w:lang w:val="en-US"/>
        </w:rPr>
      </w:pPr>
      <w:r w:rsidRPr="008E7B7E">
        <w:rPr>
          <w:rFonts w:asciiTheme="majorBidi" w:hAnsiTheme="majorBidi" w:cstheme="majorBidi"/>
          <w:b/>
          <w:bCs/>
          <w:sz w:val="28"/>
          <w:szCs w:val="28"/>
          <w:rtl/>
          <w:lang w:val="en-US"/>
        </w:rPr>
        <w:t xml:space="preserve">على الرغم من عرض الباحث </w:t>
      </w:r>
      <w:r>
        <w:rPr>
          <w:rFonts w:asciiTheme="majorBidi" w:hAnsiTheme="majorBidi" w:cstheme="majorBidi" w:hint="cs"/>
          <w:b/>
          <w:bCs/>
          <w:sz w:val="28"/>
          <w:szCs w:val="28"/>
          <w:rtl/>
          <w:lang w:val="en-US" w:bidi="ar-EG"/>
        </w:rPr>
        <w:t xml:space="preserve">لعدد من الدراسات السابقة ذات الارتباط الوثيق بموضوع الدراسة </w:t>
      </w:r>
      <w:r w:rsidRPr="008E7B7E">
        <w:rPr>
          <w:rFonts w:asciiTheme="majorBidi" w:hAnsiTheme="majorBidi" w:cstheme="majorBidi"/>
          <w:b/>
          <w:bCs/>
          <w:sz w:val="28"/>
          <w:szCs w:val="28"/>
          <w:rtl/>
          <w:lang w:val="en-US"/>
        </w:rPr>
        <w:t xml:space="preserve">، إلا أن </w:t>
      </w:r>
      <w:r>
        <w:rPr>
          <w:rFonts w:asciiTheme="majorBidi" w:hAnsiTheme="majorBidi" w:cstheme="majorBidi" w:hint="cs"/>
          <w:b/>
          <w:bCs/>
          <w:sz w:val="28"/>
          <w:szCs w:val="28"/>
          <w:rtl/>
          <w:lang w:val="en-US"/>
        </w:rPr>
        <w:t>التعقيب على</w:t>
      </w:r>
      <w:r w:rsidRPr="008E7B7E">
        <w:rPr>
          <w:rFonts w:asciiTheme="majorBidi" w:hAnsiTheme="majorBidi" w:cstheme="majorBidi"/>
          <w:b/>
          <w:bCs/>
          <w:sz w:val="28"/>
          <w:szCs w:val="28"/>
          <w:rtl/>
          <w:lang w:val="en-US"/>
        </w:rPr>
        <w:t xml:space="preserve"> الدراسات السابقة جاء محدودًا، ولم يُظهر بوضوح أهم النتائج التي توصلت إليها الأدبيات ذات الصلة. </w:t>
      </w:r>
      <w:r>
        <w:rPr>
          <w:rFonts w:asciiTheme="majorBidi" w:hAnsiTheme="majorBidi" w:cstheme="majorBidi" w:hint="cs"/>
          <w:b/>
          <w:bCs/>
          <w:sz w:val="28"/>
          <w:szCs w:val="28"/>
          <w:rtl/>
          <w:lang w:val="en-US"/>
        </w:rPr>
        <w:t xml:space="preserve">و لم يتم اظهار </w:t>
      </w:r>
      <w:r w:rsidRPr="008E7B7E">
        <w:rPr>
          <w:rFonts w:asciiTheme="majorBidi" w:hAnsiTheme="majorBidi" w:cstheme="majorBidi"/>
          <w:b/>
          <w:bCs/>
          <w:sz w:val="28"/>
          <w:szCs w:val="28"/>
          <w:rtl/>
          <w:lang w:val="en-US"/>
        </w:rPr>
        <w:t>الفجوات البحثية</w:t>
      </w:r>
      <w:r>
        <w:rPr>
          <w:rFonts w:asciiTheme="majorBidi" w:hAnsiTheme="majorBidi" w:cstheme="majorBidi" w:hint="cs"/>
          <w:b/>
          <w:bCs/>
          <w:sz w:val="28"/>
          <w:szCs w:val="28"/>
          <w:rtl/>
          <w:lang w:val="en-US"/>
        </w:rPr>
        <w:t xml:space="preserve"> بشكل كافى</w:t>
      </w:r>
      <w:r w:rsidRPr="008E7B7E">
        <w:rPr>
          <w:rFonts w:asciiTheme="majorBidi" w:hAnsiTheme="majorBidi" w:cstheme="majorBidi"/>
          <w:b/>
          <w:bCs/>
          <w:sz w:val="28"/>
          <w:szCs w:val="28"/>
          <w:rtl/>
          <w:lang w:val="en-US"/>
        </w:rPr>
        <w:t xml:space="preserve">، وهو هدف رئيس لهذا الفصل ويُعد الأساس في تبرير أهمية الدراسة الحالية. </w:t>
      </w:r>
      <w:r>
        <w:rPr>
          <w:rFonts w:asciiTheme="majorBidi" w:hAnsiTheme="majorBidi" w:cstheme="majorBidi" w:hint="cs"/>
          <w:b/>
          <w:bCs/>
          <w:sz w:val="28"/>
          <w:szCs w:val="28"/>
          <w:rtl/>
          <w:lang w:val="en-US"/>
        </w:rPr>
        <w:t xml:space="preserve">حيث ركز التعقيب على جمل عامة </w:t>
      </w:r>
      <w:r w:rsidR="006D501E" w:rsidRPr="006D501E">
        <w:rPr>
          <w:rFonts w:asciiTheme="majorBidi" w:hAnsiTheme="majorBidi" w:cstheme="majorBidi"/>
          <w:b/>
          <w:bCs/>
          <w:sz w:val="28"/>
          <w:szCs w:val="28"/>
          <w:rtl/>
          <w:lang w:val="en-US"/>
        </w:rPr>
        <w:t>تتعلق باتفاق بعض الدراسات مع الدراسة الحالية فيما يخص المتغير التابع والمتغير المستقل</w:t>
      </w:r>
      <w:r w:rsidR="006D501E" w:rsidRPr="006D501E">
        <w:rPr>
          <w:rFonts w:asciiTheme="majorBidi" w:hAnsiTheme="majorBidi" w:cstheme="majorBidi"/>
          <w:b/>
          <w:bCs/>
          <w:sz w:val="28"/>
          <w:szCs w:val="28"/>
          <w:lang w:val="en-US"/>
        </w:rPr>
        <w:t>.</w:t>
      </w:r>
    </w:p>
    <w:p w14:paraId="43962208" w14:textId="70464694" w:rsidR="006D501E" w:rsidRPr="006D501E" w:rsidRDefault="006D501E" w:rsidP="00CD0A04">
      <w:pPr>
        <w:bidi/>
        <w:spacing w:before="240" w:after="240"/>
        <w:jc w:val="both"/>
        <w:rPr>
          <w:rFonts w:asciiTheme="majorBidi" w:hAnsiTheme="majorBidi" w:cstheme="majorBidi"/>
          <w:b/>
          <w:bCs/>
          <w:sz w:val="28"/>
          <w:szCs w:val="28"/>
          <w:lang w:val="en-US"/>
        </w:rPr>
      </w:pPr>
      <w:r w:rsidRPr="006D501E">
        <w:rPr>
          <w:rFonts w:asciiTheme="majorBidi" w:hAnsiTheme="majorBidi" w:cstheme="majorBidi"/>
          <w:b/>
          <w:bCs/>
          <w:sz w:val="28"/>
          <w:szCs w:val="28"/>
          <w:rtl/>
          <w:lang w:val="en-US"/>
        </w:rPr>
        <w:t>ينبغي أن يكون التعقيب أكثر عمقًا، من خلال تناول الأبعاد التي درستها الدراسات السابقة، وبيان مدى اتفاقها أو اختلافها فيما بينها وبين الدراسة الحالية، مع التركيز على أهم النتائج التي توصلت إليها هذه الدراسات والتعليق عليها وربطها ببعضها للوصول إلى بيان الفجوات البحثية بوضوح</w:t>
      </w:r>
      <w:r w:rsidRPr="006D501E">
        <w:rPr>
          <w:rFonts w:asciiTheme="majorBidi" w:hAnsiTheme="majorBidi" w:cstheme="majorBidi"/>
          <w:b/>
          <w:bCs/>
          <w:sz w:val="28"/>
          <w:szCs w:val="28"/>
          <w:lang w:val="en-US"/>
        </w:rPr>
        <w:t>.</w:t>
      </w:r>
      <w:r w:rsidR="00CD0A04">
        <w:rPr>
          <w:rFonts w:asciiTheme="majorBidi" w:hAnsiTheme="majorBidi" w:cstheme="majorBidi" w:hint="cs"/>
          <w:b/>
          <w:bCs/>
          <w:sz w:val="28"/>
          <w:szCs w:val="28"/>
          <w:rtl/>
          <w:lang w:val="en-US"/>
        </w:rPr>
        <w:t xml:space="preserve"> </w:t>
      </w:r>
      <w:r w:rsidRPr="006D501E">
        <w:rPr>
          <w:rFonts w:asciiTheme="majorBidi" w:hAnsiTheme="majorBidi" w:cstheme="majorBidi"/>
          <w:b/>
          <w:bCs/>
          <w:sz w:val="28"/>
          <w:szCs w:val="28"/>
          <w:rtl/>
          <w:lang w:val="en-US"/>
        </w:rPr>
        <w:t>ومن خلال هذا التحليل يتم صياغة الفجوة البحثية التي ستعمل الدراسة الحالية على سدها، والتي لا تقتصر على المؤسسة محل الدراسة فقط، بل تشمل أيضًا أبعادًا جديدة لم يتم تناولها سابقًا أو إضافة أسئلة بحثية لم تُبحث من قبل. من الضروري في التعقيب على الدراسات السابقة أيضًا التركيز على الفجوات التي أشارت إليها هذه الدراسات للأبحاث المستقبلية، للاستفادة منها في صياغة فجوات الدراسة الحالية مع الاستشهاد بها</w:t>
      </w:r>
      <w:r w:rsidRPr="006D501E">
        <w:rPr>
          <w:rFonts w:asciiTheme="majorBidi" w:hAnsiTheme="majorBidi" w:cstheme="majorBidi"/>
          <w:b/>
          <w:bCs/>
          <w:sz w:val="28"/>
          <w:szCs w:val="28"/>
          <w:lang w:val="en-US"/>
        </w:rPr>
        <w:t>.</w:t>
      </w:r>
    </w:p>
    <w:p w14:paraId="2B335029" w14:textId="77777777" w:rsidR="006D501E" w:rsidRPr="00B92B91" w:rsidRDefault="006D501E" w:rsidP="006D501E">
      <w:pPr>
        <w:bidi/>
        <w:spacing w:before="240" w:after="240"/>
        <w:jc w:val="both"/>
        <w:rPr>
          <w:rFonts w:asciiTheme="majorBidi" w:hAnsiTheme="majorBidi" w:cstheme="majorBidi"/>
          <w:b/>
          <w:bCs/>
          <w:sz w:val="28"/>
          <w:szCs w:val="28"/>
          <w:lang w:val="en-US"/>
        </w:rPr>
      </w:pPr>
    </w:p>
    <w:p w14:paraId="5589EAE0" w14:textId="77777777" w:rsidR="00B92B91" w:rsidRPr="00B92B91" w:rsidRDefault="00B92B91" w:rsidP="006D501E">
      <w:pPr>
        <w:bidi/>
        <w:spacing w:before="240" w:after="240"/>
        <w:jc w:val="both"/>
        <w:rPr>
          <w:rFonts w:asciiTheme="majorBidi" w:hAnsiTheme="majorBidi" w:cstheme="majorBidi"/>
          <w:b/>
          <w:bCs/>
          <w:sz w:val="28"/>
          <w:szCs w:val="28"/>
          <w:rtl/>
          <w:lang w:val="en-US" w:bidi="ar-EG"/>
        </w:rPr>
      </w:pPr>
    </w:p>
    <w:sectPr w:rsidR="00B92B91" w:rsidRPr="00B92B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B1309"/>
    <w:multiLevelType w:val="hybridMultilevel"/>
    <w:tmpl w:val="7010A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3C427B4B"/>
    <w:multiLevelType w:val="hybridMultilevel"/>
    <w:tmpl w:val="F872B2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0454B96"/>
    <w:multiLevelType w:val="multilevel"/>
    <w:tmpl w:val="F610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A7936"/>
    <w:multiLevelType w:val="multilevel"/>
    <w:tmpl w:val="AF98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F65091"/>
    <w:multiLevelType w:val="multilevel"/>
    <w:tmpl w:val="1EFC26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2"/>
  </w:num>
  <w:num w:numId="2" w16cid:durableId="255552223">
    <w:abstractNumId w:val="12"/>
  </w:num>
  <w:num w:numId="3" w16cid:durableId="1158155546">
    <w:abstractNumId w:val="7"/>
  </w:num>
  <w:num w:numId="4" w16cid:durableId="1859345024">
    <w:abstractNumId w:val="9"/>
  </w:num>
  <w:num w:numId="5" w16cid:durableId="1511993591">
    <w:abstractNumId w:val="3"/>
  </w:num>
  <w:num w:numId="6" w16cid:durableId="232588186">
    <w:abstractNumId w:val="1"/>
  </w:num>
  <w:num w:numId="7" w16cid:durableId="1808010342">
    <w:abstractNumId w:val="10"/>
  </w:num>
  <w:num w:numId="8" w16cid:durableId="1613704517">
    <w:abstractNumId w:val="11"/>
  </w:num>
  <w:num w:numId="9" w16cid:durableId="597711332">
    <w:abstractNumId w:val="5"/>
  </w:num>
  <w:num w:numId="10" w16cid:durableId="739447929">
    <w:abstractNumId w:val="0"/>
  </w:num>
  <w:num w:numId="11" w16cid:durableId="206912474">
    <w:abstractNumId w:val="8"/>
  </w:num>
  <w:num w:numId="12" w16cid:durableId="483544656">
    <w:abstractNumId w:val="6"/>
  </w:num>
  <w:num w:numId="13" w16cid:durableId="16837064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73E12"/>
    <w:rsid w:val="00090B55"/>
    <w:rsid w:val="001C63F5"/>
    <w:rsid w:val="001D59E2"/>
    <w:rsid w:val="002304A9"/>
    <w:rsid w:val="002305B8"/>
    <w:rsid w:val="002D01C3"/>
    <w:rsid w:val="002D47A6"/>
    <w:rsid w:val="00503C1D"/>
    <w:rsid w:val="00584516"/>
    <w:rsid w:val="00593A15"/>
    <w:rsid w:val="005A7056"/>
    <w:rsid w:val="006B4A33"/>
    <w:rsid w:val="006D0CF5"/>
    <w:rsid w:val="006D501E"/>
    <w:rsid w:val="00726239"/>
    <w:rsid w:val="0072787D"/>
    <w:rsid w:val="00781F00"/>
    <w:rsid w:val="007E4488"/>
    <w:rsid w:val="00866BF5"/>
    <w:rsid w:val="008E7B7E"/>
    <w:rsid w:val="00995011"/>
    <w:rsid w:val="009A3217"/>
    <w:rsid w:val="00AC3543"/>
    <w:rsid w:val="00B31B41"/>
    <w:rsid w:val="00B77C73"/>
    <w:rsid w:val="00B92B91"/>
    <w:rsid w:val="00BB5F94"/>
    <w:rsid w:val="00BC6EF5"/>
    <w:rsid w:val="00C13D59"/>
    <w:rsid w:val="00C1648A"/>
    <w:rsid w:val="00CB5C9F"/>
    <w:rsid w:val="00CD0A04"/>
    <w:rsid w:val="00DB4EEB"/>
    <w:rsid w:val="00DE50BA"/>
    <w:rsid w:val="00E43EC0"/>
    <w:rsid w:val="00E96D43"/>
    <w:rsid w:val="00EA5E37"/>
    <w:rsid w:val="00ED0958"/>
    <w:rsid w:val="00F24DDE"/>
    <w:rsid w:val="00F5373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72623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Ali Sherif</cp:lastModifiedBy>
  <cp:revision>3</cp:revision>
  <dcterms:created xsi:type="dcterms:W3CDTF">2025-12-10T16:05:00Z</dcterms:created>
  <dcterms:modified xsi:type="dcterms:W3CDTF">2025-12-10T16:17:00Z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