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5A245" w14:textId="35DB70CD" w:rsidR="00A97A7C" w:rsidRDefault="00250688" w:rsidP="00A97A7C">
      <w:pPr>
        <w:bidi/>
        <w:spacing w:line="240" w:lineRule="auto"/>
        <w:ind w:hanging="283"/>
        <w:jc w:val="both"/>
        <w:rPr>
          <w:rFonts w:ascii="ae_Cortoba" w:hAnsi="ae_Cortoba" w:cs="ae_Cortoba"/>
          <w:b/>
          <w:bCs/>
          <w:sz w:val="28"/>
          <w:szCs w:val="28"/>
          <w:rtl/>
        </w:rPr>
      </w:pPr>
      <w:r w:rsidRPr="00A97A7C">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sidR="00A97A7C" w:rsidRPr="00A97A7C">
        <w:rPr>
          <w:rFonts w:ascii="ae_Cortoba" w:hAnsi="ae_Cortoba" w:cs="ae_Cortoba" w:hint="cs"/>
          <w:b/>
          <w:bCs/>
          <w:sz w:val="28"/>
          <w:szCs w:val="28"/>
          <w:rtl/>
        </w:rPr>
        <w:t>جامعة ميد أوشن</w:t>
      </w:r>
      <w:r w:rsidR="00A97A7C">
        <w:rPr>
          <w:rFonts w:ascii="ae_Cortoba" w:hAnsi="ae_Cortoba" w:cs="ae_Cortoba" w:hint="cs"/>
          <w:b/>
          <w:bCs/>
          <w:sz w:val="28"/>
          <w:szCs w:val="28"/>
          <w:rtl/>
        </w:rPr>
        <w:t xml:space="preserve"> </w:t>
      </w:r>
      <w:r w:rsidR="00A97A7C">
        <w:rPr>
          <w:rFonts w:ascii="ae_Cortoba" w:hAnsi="ae_Cortoba" w:cs="ae_Cortoba"/>
          <w:b/>
          <w:bCs/>
          <w:sz w:val="28"/>
          <w:szCs w:val="28"/>
          <w:rtl/>
        </w:rPr>
        <w:t>–</w:t>
      </w:r>
    </w:p>
    <w:p w14:paraId="2800E0F1" w14:textId="31AACBB5" w:rsidR="00A97A7C" w:rsidRPr="00A97A7C" w:rsidRDefault="00A97A7C" w:rsidP="00A97A7C">
      <w:pPr>
        <w:bidi/>
        <w:spacing w:line="240" w:lineRule="auto"/>
        <w:ind w:hanging="283"/>
        <w:jc w:val="both"/>
        <w:rPr>
          <w:rFonts w:ascii="ae_Cortoba" w:hAnsi="ae_Cortoba" w:cs="ae_Cortoba"/>
          <w:b/>
          <w:bCs/>
          <w:sz w:val="28"/>
          <w:szCs w:val="28"/>
          <w:rtl/>
        </w:rPr>
      </w:pPr>
      <w:r w:rsidRPr="00A97A7C">
        <w:rPr>
          <w:rFonts w:ascii="ae_Cortoba" w:hAnsi="ae_Cortoba" w:cs="ae_Cortoba" w:hint="cs"/>
          <w:b/>
          <w:bCs/>
          <w:sz w:val="28"/>
          <w:szCs w:val="28"/>
          <w:rtl/>
        </w:rPr>
        <w:t xml:space="preserve"> برنامج الدكتوراة</w:t>
      </w:r>
    </w:p>
    <w:p w14:paraId="5DBC3444"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05FBBCF7"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F02CB71"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15C33394" w14:textId="4519BA07" w:rsidR="00250688" w:rsidRPr="00A97A7C" w:rsidRDefault="00250688" w:rsidP="00F02C92">
      <w:pPr>
        <w:bidi/>
        <w:spacing w:line="240" w:lineRule="auto"/>
        <w:jc w:val="center"/>
        <w:rPr>
          <w:rFonts w:asciiTheme="majorBidi" w:hAnsiTheme="majorBidi" w:cstheme="majorBidi"/>
          <w:b/>
          <w:bCs/>
          <w:color w:val="EE0000"/>
          <w:sz w:val="40"/>
          <w:szCs w:val="40"/>
          <w:rtl/>
        </w:rPr>
      </w:pPr>
      <w:r w:rsidRPr="00A97A7C">
        <w:rPr>
          <w:rFonts w:asciiTheme="majorBidi" w:hAnsiTheme="majorBidi" w:cstheme="majorBidi"/>
          <w:b/>
          <w:bCs/>
          <w:color w:val="EE0000"/>
          <w:sz w:val="40"/>
          <w:szCs w:val="40"/>
          <w:rtl/>
        </w:rPr>
        <w:t>(متطلب الفصل الخامس: الفصل الأول</w:t>
      </w:r>
      <w:r w:rsidR="0052203F">
        <w:rPr>
          <w:rFonts w:asciiTheme="majorBidi" w:hAnsiTheme="majorBidi" w:cstheme="majorBidi" w:hint="cs"/>
          <w:b/>
          <w:bCs/>
          <w:color w:val="EE0000"/>
          <w:sz w:val="40"/>
          <w:szCs w:val="40"/>
          <w:rtl/>
        </w:rPr>
        <w:t xml:space="preserve"> </w:t>
      </w:r>
      <w:r w:rsidR="0016208C">
        <w:rPr>
          <w:rFonts w:asciiTheme="majorBidi" w:hAnsiTheme="majorBidi" w:cstheme="majorBidi" w:hint="cs"/>
          <w:b/>
          <w:bCs/>
          <w:color w:val="EE0000"/>
          <w:sz w:val="40"/>
          <w:szCs w:val="40"/>
          <w:rtl/>
        </w:rPr>
        <w:t xml:space="preserve">+ </w:t>
      </w:r>
      <w:r w:rsidRPr="00A97A7C">
        <w:rPr>
          <w:rFonts w:asciiTheme="majorBidi" w:hAnsiTheme="majorBidi" w:cstheme="majorBidi"/>
          <w:b/>
          <w:bCs/>
          <w:color w:val="EE0000"/>
          <w:sz w:val="40"/>
          <w:szCs w:val="40"/>
          <w:rtl/>
        </w:rPr>
        <w:t>"التمهيدي" : المقدمة ومشكلة الدراسة وأهميتها وأهدافها والفرضيات النظرية ومصطلحات الدراسة</w:t>
      </w:r>
      <w:r w:rsidR="00F02C92" w:rsidRPr="00A97A7C">
        <w:rPr>
          <w:rFonts w:asciiTheme="majorBidi" w:hAnsiTheme="majorBidi" w:cstheme="majorBidi"/>
          <w:b/>
          <w:bCs/>
          <w:color w:val="EE0000"/>
          <w:sz w:val="40"/>
          <w:szCs w:val="40"/>
          <w:rtl/>
        </w:rPr>
        <w:t xml:space="preserve"> وحدودها)</w:t>
      </w:r>
    </w:p>
    <w:p w14:paraId="64D55B66"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0AFFC1C1" w14:textId="55FCF5EF" w:rsidR="00250688" w:rsidRPr="00271741" w:rsidRDefault="00A97A7C" w:rsidP="00250688">
      <w:pPr>
        <w:bidi/>
        <w:spacing w:line="240" w:lineRule="auto"/>
        <w:jc w:val="center"/>
        <w:rPr>
          <w:rFonts w:asciiTheme="majorBidi" w:hAnsiTheme="majorBidi" w:cstheme="majorBidi"/>
          <w:b/>
          <w:bCs/>
          <w:sz w:val="36"/>
          <w:szCs w:val="36"/>
          <w:rtl/>
        </w:rPr>
      </w:pPr>
      <w:r w:rsidRPr="00271741">
        <w:rPr>
          <w:rFonts w:asciiTheme="majorBidi" w:hAnsiTheme="majorBidi" w:cstheme="majorBidi" w:hint="cs"/>
          <w:b/>
          <w:bCs/>
          <w:sz w:val="36"/>
          <w:szCs w:val="36"/>
          <w:rtl/>
        </w:rPr>
        <w:t xml:space="preserve">أطروحة مقدمة لجامعة ميدأوشن </w:t>
      </w:r>
      <w:r w:rsidR="00ED5C01" w:rsidRPr="00271741">
        <w:rPr>
          <w:rFonts w:asciiTheme="majorBidi" w:hAnsiTheme="majorBidi" w:cstheme="majorBidi"/>
          <w:b/>
          <w:bCs/>
          <w:sz w:val="36"/>
          <w:szCs w:val="36"/>
          <w:rtl/>
        </w:rPr>
        <w:t>لنيل درجة الدكتوراه في القانون بعنوان:</w:t>
      </w:r>
    </w:p>
    <w:p w14:paraId="182E016D"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7906B374"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7E01FC29" w14:textId="77777777" w:rsidR="00250688" w:rsidRPr="00A97A7C" w:rsidRDefault="00250688" w:rsidP="00250688">
      <w:pPr>
        <w:spacing w:line="480" w:lineRule="auto"/>
        <w:ind w:left="533"/>
        <w:jc w:val="center"/>
        <w:rPr>
          <w:rFonts w:asciiTheme="majorBidi" w:hAnsiTheme="majorBidi" w:cstheme="majorBidi"/>
          <w:noProof/>
          <w:color w:val="44546A" w:themeColor="text2"/>
          <w:sz w:val="32"/>
          <w:szCs w:val="32"/>
        </w:rPr>
      </w:pPr>
      <w:r w:rsidRPr="00A97A7C">
        <w:rPr>
          <w:rFonts w:asciiTheme="majorBidi" w:hAnsiTheme="majorBidi" w:cstheme="majorBidi"/>
          <w:noProof/>
          <w:color w:val="44546A" w:themeColor="text2"/>
          <w:sz w:val="32"/>
          <w:szCs w:val="32"/>
          <w:rtl/>
        </w:rPr>
        <w:t>الإطار القانوني لاستخدام الذكاء الاصطناعي في تطوير الخدمات القانونية بمكاتب المحاماة في المملكة العربية السعودية – دراسة تحليلية تنظيمية</w:t>
      </w:r>
    </w:p>
    <w:p w14:paraId="2D33BC1D"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6E459C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Cs w:val="28"/>
          <w:rtl/>
        </w:rPr>
      </w:pPr>
      <w:r w:rsidRPr="00A97A7C">
        <w:rPr>
          <w:rFonts w:asciiTheme="majorBidi" w:hAnsiTheme="majorBidi" w:cstheme="majorBidi"/>
          <w:b/>
          <w:bCs/>
          <w:color w:val="0070C0"/>
          <w:szCs w:val="28"/>
        </w:rPr>
        <w:t>The Legal Framework for Using Artificial Intelligence in Developing Legal Services by Law Firms in the Kingdom of Saudi Arabia – An Analytical Regulatory Study</w:t>
      </w:r>
    </w:p>
    <w:p w14:paraId="7F851AAC"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305D3ED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04403F1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084CF5A5" w14:textId="77777777" w:rsidTr="00E33865">
        <w:tc>
          <w:tcPr>
            <w:tcW w:w="1763" w:type="dxa"/>
          </w:tcPr>
          <w:p w14:paraId="2FC0C9F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اسم الباحث</w:t>
            </w:r>
          </w:p>
        </w:tc>
        <w:tc>
          <w:tcPr>
            <w:tcW w:w="252" w:type="dxa"/>
          </w:tcPr>
          <w:p w14:paraId="1210F18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2F0FB2D9" w14:textId="68204C44"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حسان صلاح عبد الرحمن جمبي</w:t>
            </w:r>
          </w:p>
        </w:tc>
      </w:tr>
      <w:tr w:rsidR="00250688" w:rsidRPr="00A97A7C" w14:paraId="5D9FE765" w14:textId="77777777" w:rsidTr="00E33865">
        <w:tc>
          <w:tcPr>
            <w:tcW w:w="1763" w:type="dxa"/>
          </w:tcPr>
          <w:p w14:paraId="0B78610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الرقم الاكاديمي</w:t>
            </w:r>
          </w:p>
        </w:tc>
        <w:tc>
          <w:tcPr>
            <w:tcW w:w="252" w:type="dxa"/>
          </w:tcPr>
          <w:p w14:paraId="242E47B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1E813376"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242002299</w:t>
            </w:r>
          </w:p>
        </w:tc>
      </w:tr>
      <w:tr w:rsidR="00250688" w:rsidRPr="00A97A7C" w14:paraId="516E57F2" w14:textId="77777777" w:rsidTr="00E33865">
        <w:tc>
          <w:tcPr>
            <w:tcW w:w="1763" w:type="dxa"/>
          </w:tcPr>
          <w:p w14:paraId="5A7CEA00" w14:textId="3A1AC25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البرنامج</w:t>
            </w:r>
          </w:p>
        </w:tc>
        <w:tc>
          <w:tcPr>
            <w:tcW w:w="252" w:type="dxa"/>
          </w:tcPr>
          <w:p w14:paraId="0529F9D0"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3661650C" w14:textId="2F9E6430"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دكتوراه القانون</w:t>
            </w:r>
          </w:p>
        </w:tc>
      </w:tr>
      <w:tr w:rsidR="00250688" w:rsidRPr="00A97A7C" w14:paraId="0AA76E07" w14:textId="77777777" w:rsidTr="00E33865">
        <w:tc>
          <w:tcPr>
            <w:tcW w:w="1763" w:type="dxa"/>
          </w:tcPr>
          <w:p w14:paraId="1130CFE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18A4C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0578E9A1"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5434C04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06C17DC6" w14:textId="77777777" w:rsidR="00250688" w:rsidRPr="00A97A7C" w:rsidRDefault="00250688" w:rsidP="00250688">
      <w:pPr>
        <w:spacing w:line="240" w:lineRule="auto"/>
        <w:rPr>
          <w:rFonts w:asciiTheme="majorBidi" w:hAnsiTheme="majorBidi" w:cstheme="majorBidi"/>
          <w:noProof/>
          <w:rtl/>
          <w:lang w:bidi="ar-JO"/>
        </w:rPr>
      </w:pPr>
    </w:p>
    <w:p w14:paraId="362D48EF" w14:textId="642D3454" w:rsidR="00BC5F38" w:rsidRDefault="00250688" w:rsidP="008535D1">
      <w:pPr>
        <w:jc w:val="center"/>
        <w:rPr>
          <w:rFonts w:asciiTheme="majorBidi" w:hAnsiTheme="majorBidi" w:cstheme="majorBidi"/>
          <w:b/>
          <w:bCs/>
          <w:color w:val="FF0000"/>
          <w:sz w:val="28"/>
          <w:szCs w:val="28"/>
        </w:rPr>
      </w:pPr>
      <w:r w:rsidRPr="00A97A7C">
        <w:rPr>
          <w:rFonts w:asciiTheme="majorBidi" w:hAnsiTheme="majorBidi" w:cstheme="majorBidi"/>
          <w:b/>
          <w:bCs/>
          <w:color w:val="FF0000"/>
          <w:sz w:val="28"/>
          <w:szCs w:val="28"/>
          <w:rtl/>
        </w:rPr>
        <w:t>1447ه          -  2025 م</w:t>
      </w:r>
    </w:p>
    <w:p w14:paraId="6ADE27EF" w14:textId="0710449A" w:rsidR="00F219B4" w:rsidRPr="00BC5F38" w:rsidRDefault="00F219B4" w:rsidP="00F219B4">
      <w:pPr>
        <w:jc w:val="center"/>
        <w:rPr>
          <w:rFonts w:asciiTheme="majorBidi" w:hAnsiTheme="majorBidi" w:cstheme="majorBidi"/>
          <w:b/>
          <w:bCs/>
          <w:sz w:val="32"/>
          <w:szCs w:val="32"/>
        </w:rPr>
      </w:pPr>
      <w:r w:rsidRPr="00BC5F38">
        <w:rPr>
          <w:rFonts w:asciiTheme="majorBidi" w:hAnsiTheme="majorBidi" w:cstheme="majorBidi"/>
          <w:b/>
          <w:bCs/>
          <w:sz w:val="32"/>
          <w:szCs w:val="32"/>
          <w:rtl/>
        </w:rPr>
        <w:lastRenderedPageBreak/>
        <w:t>الفصل التمهيد</w:t>
      </w:r>
      <w:r w:rsidR="00F91E80" w:rsidRPr="00BC5F38">
        <w:rPr>
          <w:rFonts w:asciiTheme="majorBidi" w:hAnsiTheme="majorBidi" w:cstheme="majorBidi" w:hint="cs"/>
          <w:b/>
          <w:bCs/>
          <w:sz w:val="32"/>
          <w:szCs w:val="32"/>
          <w:rtl/>
        </w:rPr>
        <w:t>ي</w:t>
      </w:r>
    </w:p>
    <w:p w14:paraId="37E5312B" w14:textId="36C5B17C" w:rsidR="00F219B4" w:rsidRPr="00BC5F38" w:rsidRDefault="00F219B4" w:rsidP="00F219B4">
      <w:pPr>
        <w:jc w:val="center"/>
        <w:rPr>
          <w:rFonts w:asciiTheme="majorBidi" w:hAnsiTheme="majorBidi" w:cstheme="majorBidi"/>
          <w:b/>
          <w:bCs/>
          <w:sz w:val="28"/>
          <w:szCs w:val="28"/>
          <w:rtl/>
        </w:rPr>
      </w:pPr>
      <w:r w:rsidRPr="00BC5F38">
        <w:rPr>
          <w:rFonts w:asciiTheme="majorBidi" w:hAnsiTheme="majorBidi" w:cstheme="majorBidi"/>
          <w:b/>
          <w:bCs/>
          <w:sz w:val="28"/>
          <w:szCs w:val="28"/>
          <w:rtl/>
        </w:rPr>
        <w:t>الإطار العام للدراسة</w:t>
      </w:r>
    </w:p>
    <w:p w14:paraId="4A4942B4" w14:textId="77777777" w:rsidR="00F91E80" w:rsidRPr="00BC5F38" w:rsidRDefault="00F91E80" w:rsidP="00F219B4">
      <w:pPr>
        <w:jc w:val="center"/>
        <w:rPr>
          <w:rFonts w:asciiTheme="majorBidi" w:hAnsiTheme="majorBidi" w:cstheme="majorBidi"/>
          <w:b/>
          <w:bCs/>
          <w:sz w:val="24"/>
          <w:szCs w:val="24"/>
          <w:rtl/>
        </w:rPr>
      </w:pPr>
    </w:p>
    <w:p w14:paraId="06566BAD" w14:textId="3C6D8877" w:rsidR="00F91E80" w:rsidRPr="00BC5F38" w:rsidRDefault="00F219B4" w:rsidP="00F91E80">
      <w:pPr>
        <w:jc w:val="right"/>
        <w:rPr>
          <w:rFonts w:asciiTheme="majorBidi" w:hAnsiTheme="majorBidi" w:cstheme="majorBidi"/>
          <w:b/>
          <w:bCs/>
          <w:sz w:val="28"/>
          <w:szCs w:val="28"/>
        </w:rPr>
      </w:pPr>
      <w:r w:rsidRPr="00BC5F38">
        <w:rPr>
          <w:rFonts w:asciiTheme="majorBidi" w:hAnsiTheme="majorBidi" w:cstheme="majorBidi"/>
          <w:b/>
          <w:bCs/>
          <w:sz w:val="28"/>
          <w:szCs w:val="28"/>
          <w:rtl/>
        </w:rPr>
        <w:t>مقدمة الدارسة:</w:t>
      </w:r>
    </w:p>
    <w:p w14:paraId="20541C03" w14:textId="77777777" w:rsidR="00F219B4" w:rsidRPr="00BC5F38" w:rsidRDefault="00F219B4" w:rsidP="00F219B4">
      <w:pPr>
        <w:jc w:val="right"/>
        <w:rPr>
          <w:rFonts w:asciiTheme="majorBidi" w:hAnsiTheme="majorBidi" w:cstheme="majorBidi"/>
          <w:sz w:val="24"/>
          <w:szCs w:val="24"/>
          <w:rtl/>
        </w:rPr>
      </w:pPr>
      <w:r w:rsidRPr="00BC5F38">
        <w:rPr>
          <w:rFonts w:asciiTheme="majorBidi" w:hAnsiTheme="majorBidi" w:cstheme="majorBidi"/>
          <w:sz w:val="24"/>
          <w:szCs w:val="24"/>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5C3696B" w14:textId="77777777" w:rsidR="00F219B4" w:rsidRPr="00BC5F38" w:rsidRDefault="00F219B4" w:rsidP="00F219B4">
      <w:pPr>
        <w:jc w:val="right"/>
        <w:rPr>
          <w:rFonts w:asciiTheme="majorBidi" w:hAnsiTheme="majorBidi" w:cstheme="majorBidi"/>
          <w:sz w:val="24"/>
          <w:szCs w:val="24"/>
        </w:rPr>
      </w:pPr>
      <w:r w:rsidRPr="00BC5F38">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sidRPr="00BC5F38">
        <w:rPr>
          <w:rFonts w:asciiTheme="majorBidi" w:hAnsiTheme="majorBidi" w:cstheme="majorBidi"/>
          <w:b/>
          <w:bCs/>
          <w:sz w:val="24"/>
          <w:szCs w:val="24"/>
          <w:rtl/>
        </w:rPr>
        <w:t xml:space="preserve">"مبادئ أخلاقيات الذكاء الاصطناعي" </w:t>
      </w:r>
    </w:p>
    <w:p w14:paraId="44B00EE7" w14:textId="77777777" w:rsidR="00F219B4" w:rsidRPr="00BC5F38" w:rsidRDefault="00F219B4" w:rsidP="00F219B4">
      <w:pPr>
        <w:jc w:val="right"/>
        <w:rPr>
          <w:rFonts w:asciiTheme="majorBidi" w:hAnsiTheme="majorBidi" w:cstheme="majorBidi"/>
          <w:sz w:val="24"/>
          <w:szCs w:val="24"/>
        </w:rPr>
      </w:pPr>
      <w:r w:rsidRPr="00BC5F38">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1389660" w14:textId="4AD0B8F7" w:rsidR="00F219B4" w:rsidRPr="00BC5F38" w:rsidRDefault="00F219B4" w:rsidP="00F219B4">
      <w:pPr>
        <w:jc w:val="right"/>
        <w:rPr>
          <w:rFonts w:asciiTheme="majorBidi" w:hAnsiTheme="majorBidi" w:cstheme="majorBidi"/>
          <w:sz w:val="24"/>
          <w:szCs w:val="24"/>
          <w:rtl/>
        </w:rPr>
      </w:pPr>
      <w:r w:rsidRPr="00BC5F38">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sidRPr="00BC5F38">
        <w:rPr>
          <w:rStyle w:val="af"/>
          <w:rFonts w:asciiTheme="majorBidi" w:hAnsiTheme="majorBidi" w:cstheme="majorBidi"/>
          <w:sz w:val="24"/>
          <w:szCs w:val="24"/>
          <w:rtl/>
        </w:rPr>
        <w:footnoteReference w:id="1"/>
      </w:r>
    </w:p>
    <w:p w14:paraId="6C6E1996" w14:textId="77777777" w:rsidR="00A94FD1" w:rsidRPr="00BC5F38" w:rsidRDefault="00A94FD1" w:rsidP="00A94FD1">
      <w:pPr>
        <w:jc w:val="right"/>
        <w:rPr>
          <w:rFonts w:asciiTheme="majorBidi" w:hAnsiTheme="majorBidi" w:cstheme="majorBidi"/>
          <w:sz w:val="24"/>
          <w:szCs w:val="24"/>
        </w:rPr>
      </w:pPr>
      <w:r w:rsidRPr="00BC5F38">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56D87C96" w14:textId="77777777" w:rsidR="00A94FD1" w:rsidRPr="00BC5F38" w:rsidRDefault="00A94FD1" w:rsidP="00A94FD1">
      <w:pPr>
        <w:jc w:val="right"/>
        <w:rPr>
          <w:rFonts w:asciiTheme="majorBidi" w:hAnsiTheme="majorBidi" w:cstheme="majorBidi"/>
          <w:sz w:val="24"/>
          <w:szCs w:val="24"/>
          <w:rtl/>
        </w:rPr>
      </w:pPr>
      <w:r w:rsidRPr="00BC5F38">
        <w:rPr>
          <w:rFonts w:asciiTheme="majorBidi" w:hAnsiTheme="majorBidi" w:cstheme="majorBidi"/>
          <w:sz w:val="24"/>
          <w:szCs w:val="24"/>
          <w:rtl/>
        </w:rPr>
        <w:t xml:space="preserve">ومن واقع تجربتي الميدانية التي خضتها داخل مكاتب محاماة سعودية وبعض الجهات القانونية ،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00E339F5" w14:textId="630C7B14" w:rsidR="00A94FD1" w:rsidRPr="00BC5F38" w:rsidRDefault="00A94FD1" w:rsidP="00A94FD1">
      <w:pPr>
        <w:jc w:val="right"/>
        <w:rPr>
          <w:rFonts w:asciiTheme="majorBidi" w:hAnsiTheme="majorBidi" w:cstheme="majorBidi"/>
          <w:b/>
          <w:bCs/>
          <w:sz w:val="24"/>
          <w:szCs w:val="24"/>
          <w:rtl/>
        </w:rPr>
      </w:pPr>
      <w:r w:rsidRPr="00BC5F38">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Pr="00BC5F38">
        <w:rPr>
          <w:rStyle w:val="af"/>
          <w:rFonts w:asciiTheme="majorBidi" w:hAnsiTheme="majorBidi" w:cstheme="majorBidi"/>
          <w:sz w:val="24"/>
          <w:szCs w:val="24"/>
          <w:rtl/>
        </w:rPr>
        <w:footnoteReference w:id="2"/>
      </w:r>
    </w:p>
    <w:p w14:paraId="3CCE153C" w14:textId="77777777" w:rsidR="00A94FD1" w:rsidRPr="00BC5F38" w:rsidRDefault="00A94FD1" w:rsidP="00A94FD1">
      <w:pPr>
        <w:jc w:val="right"/>
        <w:rPr>
          <w:rFonts w:asciiTheme="majorBidi" w:hAnsiTheme="majorBidi" w:cstheme="majorBidi"/>
          <w:sz w:val="24"/>
          <w:szCs w:val="24"/>
          <w:rtl/>
        </w:rPr>
      </w:pPr>
      <w:r w:rsidRPr="00BC5F38">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9118659" w14:textId="77777777" w:rsidR="00A94FD1" w:rsidRPr="00BC5F38" w:rsidRDefault="00A94FD1" w:rsidP="00A94FD1">
      <w:pPr>
        <w:jc w:val="right"/>
        <w:rPr>
          <w:rFonts w:asciiTheme="majorBidi" w:hAnsiTheme="majorBidi" w:cstheme="majorBidi"/>
          <w:sz w:val="24"/>
          <w:szCs w:val="24"/>
        </w:rPr>
      </w:pPr>
      <w:r w:rsidRPr="00BC5F38">
        <w:rPr>
          <w:rFonts w:asciiTheme="majorBidi" w:hAnsiTheme="majorBidi" w:cstheme="majorBidi"/>
          <w:sz w:val="24"/>
          <w:szCs w:val="24"/>
          <w:rtl/>
        </w:rPr>
        <w:t>وقد أشار الدكتور خالد المالكي (2024) في دراسته: (المسؤولية المدنية عن فعل الذكاء الاصطناعي في النظام السعودي) :</w:t>
      </w:r>
    </w:p>
    <w:p w14:paraId="38E33E8B" w14:textId="56F1BD42" w:rsidR="00A94FD1" w:rsidRPr="00BC5F38" w:rsidRDefault="00A94FD1" w:rsidP="00A94FD1">
      <w:pPr>
        <w:jc w:val="right"/>
        <w:rPr>
          <w:rFonts w:asciiTheme="majorBidi" w:hAnsiTheme="majorBidi" w:cstheme="majorBidi"/>
          <w:sz w:val="24"/>
          <w:szCs w:val="24"/>
          <w:rtl/>
        </w:rPr>
      </w:pPr>
      <w:r w:rsidRPr="00BC5F38">
        <w:rPr>
          <w:rFonts w:asciiTheme="majorBidi" w:hAnsiTheme="majorBidi" w:cstheme="majorBidi"/>
          <w:sz w:val="24"/>
          <w:szCs w:val="24"/>
          <w:rtl/>
        </w:rPr>
        <w:lastRenderedPageBreak/>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BC5F38">
        <w:rPr>
          <w:rStyle w:val="af"/>
          <w:rFonts w:asciiTheme="majorBidi" w:hAnsiTheme="majorBidi" w:cstheme="majorBidi"/>
          <w:sz w:val="24"/>
          <w:szCs w:val="24"/>
          <w:rtl/>
        </w:rPr>
        <w:footnoteReference w:id="3"/>
      </w:r>
    </w:p>
    <w:p w14:paraId="00AAEEFF" w14:textId="7FDE0B2F" w:rsidR="00F219B4" w:rsidRPr="00BC5F38" w:rsidRDefault="00A94FD1" w:rsidP="00A4106D">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من هذا المنطلق، تتناول هذه الدراسة – ذات الطبيعة التحليلية التنظيمية –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72ED1DBF" w14:textId="77777777" w:rsidR="00A4106D" w:rsidRPr="00BC5F38" w:rsidRDefault="00A4106D" w:rsidP="00A4106D">
      <w:pPr>
        <w:jc w:val="right"/>
        <w:rPr>
          <w:rFonts w:asciiTheme="majorBidi" w:hAnsiTheme="majorBidi" w:cstheme="majorBidi"/>
          <w:color w:val="000000" w:themeColor="text1"/>
          <w:sz w:val="24"/>
          <w:szCs w:val="24"/>
        </w:rPr>
      </w:pPr>
    </w:p>
    <w:p w14:paraId="37CA17DE" w14:textId="2F05781F" w:rsidR="00A4106D" w:rsidRPr="00BC5F38" w:rsidRDefault="00A4106D" w:rsidP="00A4106D">
      <w:pPr>
        <w:jc w:val="right"/>
        <w:rPr>
          <w:rFonts w:asciiTheme="majorBidi" w:hAnsiTheme="majorBidi" w:cstheme="majorBidi"/>
          <w:b/>
          <w:bCs/>
          <w:sz w:val="28"/>
          <w:szCs w:val="28"/>
          <w:rtl/>
        </w:rPr>
      </w:pPr>
      <w:r w:rsidRPr="00BC5F38">
        <w:rPr>
          <w:rFonts w:asciiTheme="majorBidi" w:hAnsiTheme="majorBidi" w:cstheme="majorBidi"/>
          <w:b/>
          <w:bCs/>
          <w:sz w:val="28"/>
          <w:szCs w:val="28"/>
          <w:rtl/>
        </w:rPr>
        <w:t>مشكلة الدراسة:</w:t>
      </w:r>
    </w:p>
    <w:p w14:paraId="42C4B5A9" w14:textId="77777777" w:rsidR="00A4106D" w:rsidRPr="00BC5F38" w:rsidRDefault="00A4106D" w:rsidP="00A4106D">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BC5F38">
        <w:rPr>
          <w:rFonts w:asciiTheme="majorBidi" w:hAnsiTheme="majorBidi" w:cstheme="majorBidi"/>
          <w:sz w:val="24"/>
          <w:szCs w:val="24"/>
        </w:rPr>
        <w:t>.</w:t>
      </w:r>
    </w:p>
    <w:p w14:paraId="0F79DA3B" w14:textId="77777777" w:rsidR="00A4106D" w:rsidRPr="00BC5F38" w:rsidRDefault="00A4106D" w:rsidP="00A4106D">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القانوني لاستخدام هذه التقنيات داخل مكاتب المحاماة. فعدد من الأنظمة ذات الصلة، كنظام المحاماة، ونظام حماية البيانات الشخصية، ونظام المعاملات المدنية، لا تقدم معالجة صريحة أو تفصيلية لهذه المسألة المستجدة، سواء من حيث التكييف القانوني، أو المسؤوليات، أو الضمانات</w:t>
      </w:r>
      <w:r w:rsidRPr="00BC5F38">
        <w:rPr>
          <w:rFonts w:asciiTheme="majorBidi" w:hAnsiTheme="majorBidi" w:cstheme="majorBidi"/>
          <w:sz w:val="24"/>
          <w:szCs w:val="24"/>
        </w:rPr>
        <w:t>.</w:t>
      </w:r>
    </w:p>
    <w:p w14:paraId="50B5C7FF" w14:textId="77777777" w:rsidR="00A4106D" w:rsidRPr="00BC5F38" w:rsidRDefault="00A4106D" w:rsidP="00A4106D">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BC5F38">
        <w:rPr>
          <w:rFonts w:asciiTheme="majorBidi" w:hAnsiTheme="majorBidi" w:cstheme="majorBidi"/>
          <w:sz w:val="24"/>
          <w:szCs w:val="24"/>
        </w:rPr>
        <w:t>.</w:t>
      </w:r>
    </w:p>
    <w:p w14:paraId="3F5EC755" w14:textId="4E145430" w:rsidR="00A4106D" w:rsidRPr="00BC5F38" w:rsidRDefault="00A4106D" w:rsidP="00A4106D">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خلال مراجعتي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دراسة د. خالد المالكي (2021م) حول المسؤولية المدنية عن فعل الذكاء الاصطناعي في النظام السعودي</w:t>
      </w:r>
      <w:r w:rsidRPr="00BC5F38">
        <w:rPr>
          <w:rStyle w:val="af"/>
          <w:rFonts w:asciiTheme="majorBidi" w:hAnsiTheme="majorBidi" w:cstheme="majorBidi"/>
          <w:sz w:val="24"/>
          <w:szCs w:val="24"/>
          <w:rtl/>
        </w:rPr>
        <w:footnoteReference w:id="4"/>
      </w:r>
      <w:r w:rsidRPr="00BC5F38">
        <w:rPr>
          <w:rFonts w:asciiTheme="majorBidi" w:hAnsiTheme="majorBidi" w:cstheme="majorBidi"/>
          <w:sz w:val="24"/>
          <w:szCs w:val="24"/>
          <w:rtl/>
        </w:rPr>
        <w:t>،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p>
    <w:p w14:paraId="00804B2C"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lastRenderedPageBreak/>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BC5F38">
        <w:rPr>
          <w:rFonts w:asciiTheme="majorBidi" w:hAnsiTheme="majorBidi" w:cstheme="majorBidi"/>
          <w:sz w:val="24"/>
          <w:szCs w:val="24"/>
        </w:rPr>
        <w:t>.</w:t>
      </w:r>
    </w:p>
    <w:p w14:paraId="54D08C68"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 xml:space="preserve">ومن هنا، تتحدد مشكلة الدراسة في </w:t>
      </w:r>
      <w:r w:rsidRPr="00BC5F38">
        <w:rPr>
          <w:rFonts w:asciiTheme="majorBidi" w:hAnsiTheme="majorBidi" w:cstheme="majorBidi"/>
          <w:b/>
          <w:bCs/>
          <w:sz w:val="24"/>
          <w:szCs w:val="24"/>
          <w:rtl/>
        </w:rPr>
        <w:t>قصور الإطار النظامي في المملكة العربية السعودية عن تنظيم استخدام الذكاء الاصطناعي في تطوير الخدمات القانونية داخل مكاتب المحاماة</w:t>
      </w:r>
      <w:r w:rsidRPr="00BC5F38">
        <w:rPr>
          <w:rFonts w:asciiTheme="majorBidi" w:hAnsiTheme="majorBidi" w:cstheme="majorBidi"/>
          <w:sz w:val="24"/>
          <w:szCs w:val="24"/>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sidRPr="00BC5F38">
        <w:rPr>
          <w:rFonts w:asciiTheme="majorBidi" w:hAnsiTheme="majorBidi" w:cstheme="majorBidi"/>
          <w:sz w:val="24"/>
          <w:szCs w:val="24"/>
        </w:rPr>
        <w:t>.</w:t>
      </w:r>
    </w:p>
    <w:p w14:paraId="5FA75F2D"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بناءً على ما تبيَّن من فجوات تشريعية وتنظيمية، فإن هذه الدراسة تتجه نحو صياغة إطار قانوني وطني متكامل لتنظيم توظيف تقنيات الذكاء الاصطناعي في مكاتب المحاماة، يقوم على ثلاثة محاور رئيسية مترابطة</w:t>
      </w:r>
      <w:r w:rsidRPr="00BC5F38">
        <w:rPr>
          <w:rFonts w:asciiTheme="majorBidi" w:hAnsiTheme="majorBidi" w:cstheme="majorBidi"/>
          <w:sz w:val="24"/>
          <w:szCs w:val="24"/>
        </w:rPr>
        <w:t xml:space="preserve">: </w:t>
      </w:r>
      <w:r w:rsidRPr="00BC5F38">
        <w:rPr>
          <w:rFonts w:asciiTheme="majorBidi" w:hAnsiTheme="majorBidi" w:cstheme="majorBidi"/>
          <w:b/>
          <w:bCs/>
          <w:sz w:val="24"/>
          <w:szCs w:val="24"/>
          <w:rtl/>
        </w:rPr>
        <w:t>أولًا</w:t>
      </w:r>
      <w:r w:rsidRPr="00BC5F38">
        <w:rPr>
          <w:rFonts w:asciiTheme="majorBidi" w:hAnsiTheme="majorBidi" w:cstheme="majorBidi"/>
          <w:sz w:val="24"/>
          <w:szCs w:val="24"/>
          <w:rtl/>
        </w:rPr>
        <w:t xml:space="preserve">، وضع معايير دقيقة وملزمة لترخيص وتشغيل الأدوات التقنية الذكية، بما يضمن موثوقية المخرجات وحجيتها النظامية؛ </w:t>
      </w:r>
      <w:r w:rsidRPr="00BC5F38">
        <w:rPr>
          <w:rFonts w:asciiTheme="majorBidi" w:hAnsiTheme="majorBidi" w:cstheme="majorBidi"/>
          <w:b/>
          <w:bCs/>
          <w:sz w:val="24"/>
          <w:szCs w:val="24"/>
          <w:rtl/>
        </w:rPr>
        <w:t>ثانيًا</w:t>
      </w:r>
      <w:r w:rsidRPr="00BC5F38">
        <w:rPr>
          <w:rFonts w:asciiTheme="majorBidi" w:hAnsiTheme="majorBidi" w:cstheme="majorBidi"/>
          <w:sz w:val="24"/>
          <w:szCs w:val="24"/>
          <w:rtl/>
        </w:rPr>
        <w:t xml:space="preserve">، إقرار ضوابط تفصيلية لحماية الخصوصية وسرية بيانات العملاء، وتحديد المسؤوليات النظامية والمهنية بدقة تجاه أي إخلال أو ضرر؛ </w:t>
      </w:r>
      <w:r w:rsidRPr="00BC5F38">
        <w:rPr>
          <w:rFonts w:asciiTheme="majorBidi" w:hAnsiTheme="majorBidi" w:cstheme="majorBidi"/>
          <w:b/>
          <w:bCs/>
          <w:sz w:val="24"/>
          <w:szCs w:val="24"/>
          <w:rtl/>
        </w:rPr>
        <w:t>ثالثًا</w:t>
      </w:r>
      <w:r w:rsidRPr="00BC5F38">
        <w:rPr>
          <w:rFonts w:asciiTheme="majorBidi" w:hAnsiTheme="majorBidi" w:cstheme="majorBidi"/>
          <w:sz w:val="24"/>
          <w:szCs w:val="24"/>
          <w:rtl/>
        </w:rPr>
        <w:t>، إنشاء آليات رقابة وحوكمة مهنية داخل المكاتب، تعزز الاستخدام المنضبط والآمن للتقنيات، وتحد من المخاطر المرتبطة بها. ويهدف هذا الإطار المقترح إلى تحقيق التوازن بين الاستفادة من مزايا الكفاءة التقنية التي توفرها هذه الأدوات، وضمان حماية الحقوق والمتطلبات النظامية، في انسجام تام مع مستهدفات التحول العدلي الرقمي ضمن رؤية المملكة 2030</w:t>
      </w:r>
      <w:r w:rsidRPr="00BC5F38">
        <w:rPr>
          <w:rFonts w:asciiTheme="majorBidi" w:hAnsiTheme="majorBidi" w:cstheme="majorBidi"/>
          <w:sz w:val="24"/>
          <w:szCs w:val="24"/>
        </w:rPr>
        <w:t>.</w:t>
      </w:r>
    </w:p>
    <w:p w14:paraId="50E2F0D0" w14:textId="3211D0EF" w:rsidR="00A4106D" w:rsidRPr="00BC5F38" w:rsidRDefault="00A4106D" w:rsidP="00A4106D">
      <w:pPr>
        <w:jc w:val="right"/>
        <w:rPr>
          <w:rFonts w:asciiTheme="majorBidi" w:hAnsiTheme="majorBidi" w:cstheme="majorBidi"/>
          <w:sz w:val="24"/>
          <w:szCs w:val="24"/>
        </w:rPr>
      </w:pPr>
    </w:p>
    <w:p w14:paraId="5F6F115F" w14:textId="41602F84" w:rsidR="006363BC" w:rsidRPr="00BC5F38" w:rsidRDefault="006363BC" w:rsidP="00A4106D">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أهمية الدراسة:</w:t>
      </w:r>
    </w:p>
    <w:p w14:paraId="70E039F6" w14:textId="12AFB37A" w:rsidR="006363BC" w:rsidRPr="00BC5F38" w:rsidRDefault="006363BC" w:rsidP="006363BC">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tl/>
        </w:rPr>
        <w:t>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sidRPr="00BC5F38">
        <w:rPr>
          <w:rFonts w:asciiTheme="majorBidi" w:hAnsiTheme="majorBidi" w:cstheme="majorBidi"/>
          <w:color w:val="000000" w:themeColor="text1"/>
          <w:sz w:val="24"/>
          <w:szCs w:val="24"/>
        </w:rPr>
        <w:t>.</w:t>
      </w:r>
    </w:p>
    <w:p w14:paraId="7D73242C"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1429FD0C" w14:textId="054BC69B" w:rsidR="006363BC" w:rsidRPr="00BC5F38" w:rsidRDefault="006363BC" w:rsidP="006363BC">
      <w:pPr>
        <w:bidi/>
        <w:spacing w:after="200" w:line="276" w:lineRule="auto"/>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أهداف الدراسة:</w:t>
      </w:r>
    </w:p>
    <w:p w14:paraId="30802DBD" w14:textId="77777777" w:rsidR="006363BC" w:rsidRPr="00BC5F38" w:rsidRDefault="006363BC" w:rsidP="006363BC">
      <w:pPr>
        <w:bidi/>
        <w:spacing w:after="200" w:line="240" w:lineRule="auto"/>
        <w:rPr>
          <w:rFonts w:asciiTheme="majorBidi" w:hAnsiTheme="majorBidi" w:cstheme="majorBidi"/>
          <w:sz w:val="24"/>
          <w:szCs w:val="24"/>
        </w:rPr>
      </w:pPr>
      <w:r w:rsidRPr="00BC5F38">
        <w:rPr>
          <w:rFonts w:asciiTheme="majorBidi" w:hAnsiTheme="majorBidi" w:cstheme="majorBidi"/>
          <w:sz w:val="24"/>
          <w:szCs w:val="24"/>
          <w:rtl/>
        </w:rPr>
        <w:t>تهدف هذه الدراسة إلى تقديم معالجة تحليلية وتنظيمية شاملة للإطار القانوني المنظم لاستخدام تقنيات الذكاء الاصطناعي في مهنة المحاماة داخل المملكة العربية السعودية، وذلك من خلال تحقيق الأهداف التالية</w:t>
      </w:r>
      <w:r w:rsidRPr="00BC5F38">
        <w:rPr>
          <w:rFonts w:asciiTheme="majorBidi" w:hAnsiTheme="majorBidi" w:cstheme="majorBidi"/>
          <w:sz w:val="24"/>
          <w:szCs w:val="24"/>
        </w:rPr>
        <w:t>:</w:t>
      </w:r>
    </w:p>
    <w:p w14:paraId="40678AD2"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lastRenderedPageBreak/>
        <w:t>تحليل الأنظمة السعودية ذات العلاقة</w:t>
      </w:r>
      <w:r w:rsidRPr="00BC5F38">
        <w:rPr>
          <w:rFonts w:asciiTheme="majorBidi" w:hAnsiTheme="majorBidi" w:cstheme="majorBidi"/>
          <w:sz w:val="24"/>
          <w:szCs w:val="24"/>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sidRPr="00BC5F38">
        <w:rPr>
          <w:rFonts w:asciiTheme="majorBidi" w:hAnsiTheme="majorBidi" w:cstheme="majorBidi"/>
          <w:sz w:val="24"/>
          <w:szCs w:val="24"/>
        </w:rPr>
        <w:t>.</w:t>
      </w:r>
    </w:p>
    <w:p w14:paraId="5F4567F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تقييم الحجية القانونية للمخرجات الصادرة عن أدوات الذكاء الاصطناعي</w:t>
      </w:r>
      <w:r w:rsidRPr="00BC5F38">
        <w:rPr>
          <w:rFonts w:asciiTheme="majorBidi" w:hAnsiTheme="majorBidi" w:cstheme="majorBidi"/>
          <w:sz w:val="24"/>
          <w:szCs w:val="24"/>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sidRPr="00BC5F38">
        <w:rPr>
          <w:rFonts w:asciiTheme="majorBidi" w:hAnsiTheme="majorBidi" w:cstheme="majorBidi"/>
          <w:sz w:val="24"/>
          <w:szCs w:val="24"/>
        </w:rPr>
        <w:t>.</w:t>
      </w:r>
    </w:p>
    <w:p w14:paraId="04B33C9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تحديد أبعاد المسؤولية القانونية والمهنية</w:t>
      </w:r>
      <w:r w:rsidRPr="00BC5F38">
        <w:rPr>
          <w:rFonts w:asciiTheme="majorBidi" w:hAnsiTheme="majorBidi" w:cstheme="majorBidi"/>
          <w:sz w:val="24"/>
          <w:szCs w:val="24"/>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sidRPr="00BC5F38">
        <w:rPr>
          <w:rFonts w:asciiTheme="majorBidi" w:hAnsiTheme="majorBidi" w:cstheme="majorBidi"/>
          <w:sz w:val="24"/>
          <w:szCs w:val="24"/>
        </w:rPr>
        <w:t>.</w:t>
      </w:r>
    </w:p>
    <w:p w14:paraId="6B29157F"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تحليل واقع الاستخدام غير المنظم لتقنيات الذكاء الاصطناعي</w:t>
      </w:r>
      <w:r w:rsidRPr="00BC5F38">
        <w:rPr>
          <w:rFonts w:asciiTheme="majorBidi" w:hAnsiTheme="majorBidi" w:cstheme="majorBidi"/>
          <w:sz w:val="24"/>
          <w:szCs w:val="24"/>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sidRPr="00BC5F38">
        <w:rPr>
          <w:rFonts w:asciiTheme="majorBidi" w:hAnsiTheme="majorBidi" w:cstheme="majorBidi"/>
          <w:sz w:val="24"/>
          <w:szCs w:val="24"/>
        </w:rPr>
        <w:t>.</w:t>
      </w:r>
    </w:p>
    <w:p w14:paraId="222A8766"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إجراء دراسة مقارنة للتجارب التنظيمية الدولية الرائدة</w:t>
      </w:r>
      <w:r w:rsidRPr="00BC5F38">
        <w:rPr>
          <w:rFonts w:asciiTheme="majorBidi" w:hAnsiTheme="majorBidi" w:cstheme="majorBidi"/>
          <w:sz w:val="24"/>
          <w:szCs w:val="24"/>
          <w:rtl/>
        </w:rPr>
        <w:t xml:space="preserve"> في تقنين استخدام الذكاء الاصطناعي في المهن القانونية، بهدف استخلاص النماذج القابلة للتطبيق في السياق السعودي وتحديد أوجه القصور القائمة</w:t>
      </w:r>
      <w:r w:rsidRPr="00BC5F38">
        <w:rPr>
          <w:rFonts w:asciiTheme="majorBidi" w:hAnsiTheme="majorBidi" w:cstheme="majorBidi"/>
          <w:sz w:val="24"/>
          <w:szCs w:val="24"/>
        </w:rPr>
        <w:t>.</w:t>
      </w:r>
    </w:p>
    <w:p w14:paraId="54991B03"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اقتراح تصور تنظيمي وطني متكامل</w:t>
      </w:r>
      <w:r w:rsidRPr="00BC5F38">
        <w:rPr>
          <w:rFonts w:asciiTheme="majorBidi" w:hAnsiTheme="majorBidi" w:cstheme="majorBidi"/>
          <w:sz w:val="24"/>
          <w:szCs w:val="24"/>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sidRPr="00BC5F38">
        <w:rPr>
          <w:rFonts w:asciiTheme="majorBidi" w:hAnsiTheme="majorBidi" w:cstheme="majorBidi"/>
          <w:sz w:val="24"/>
          <w:szCs w:val="24"/>
        </w:rPr>
        <w:t>.</w:t>
      </w:r>
    </w:p>
    <w:p w14:paraId="3BBDCA60" w14:textId="77777777" w:rsidR="006363BC" w:rsidRPr="00BC5F38" w:rsidRDefault="006363BC" w:rsidP="00A4106D">
      <w:pPr>
        <w:jc w:val="right"/>
        <w:rPr>
          <w:rFonts w:ascii="Traditional Arabic" w:hAnsi="Traditional Arabic" w:cs="Traditional Arabic"/>
          <w:b/>
          <w:bCs/>
          <w:sz w:val="24"/>
          <w:szCs w:val="24"/>
        </w:rPr>
      </w:pPr>
    </w:p>
    <w:p w14:paraId="6BFDFC17" w14:textId="54A6845C" w:rsidR="006363BC" w:rsidRPr="00BC5F38" w:rsidRDefault="006363BC" w:rsidP="00A4106D">
      <w:pPr>
        <w:jc w:val="right"/>
        <w:rPr>
          <w:rFonts w:asciiTheme="majorBidi" w:hAnsiTheme="majorBidi" w:cstheme="majorBidi"/>
          <w:b/>
          <w:bCs/>
          <w:sz w:val="28"/>
          <w:szCs w:val="28"/>
        </w:rPr>
      </w:pPr>
      <w:r w:rsidRPr="00BC5F38">
        <w:rPr>
          <w:rFonts w:asciiTheme="majorBidi" w:hAnsiTheme="majorBidi" w:cstheme="majorBidi"/>
          <w:b/>
          <w:bCs/>
          <w:sz w:val="28"/>
          <w:szCs w:val="28"/>
          <w:rtl/>
        </w:rPr>
        <w:t>تساؤلات الدراسة:</w:t>
      </w:r>
    </w:p>
    <w:p w14:paraId="2C7309A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إلى أي مدى تنتشر استخدامات تقنيات الذكاء الاصطناعي داخل مكاتب المحاماة السعودية المرخَّصة خلال الفترة (2020–2025)، وما أبرز مجالات هذا الاستخدام وأساليب الحوكمة الداخلية المطبقة لإدارته؟</w:t>
      </w:r>
    </w:p>
    <w:p w14:paraId="54455821"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مدى كفاية الإطار النظامي السعودي القائم لتنظيم استخدام تقنيات الذكاء الاصطناعي في الخدمات القانونية التي تقدمها مكاتب المحاماة، وذلك وفق معايير الشمول، والاتساق، والقابلية للإنفاذ؟</w:t>
      </w:r>
    </w:p>
    <w:p w14:paraId="0352C06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كيف يمكن تكييف المخرجات الصادرة عن أدوات الذكاء الاصطناعي—وخاصة العقود، والمذكرات، والتقارير القانونية—قانونيًا وفقًا للأنظمة السعودية ذات الصلة؟</w:t>
      </w:r>
    </w:p>
    <w:p w14:paraId="18AB33A4"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حدود المسؤولية النظامية والمهنية المترتبة على استخدام تقنيات الذكاء الاصطناعي في مكاتب المحاماة، وما الضمانات والآليات النظامية الكفيلة بحماية الخصوصية وسرية بيانات العملاء؟</w:t>
      </w:r>
    </w:p>
    <w:p w14:paraId="7AE8CB5B"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أوجه القصور التنظيمي أو الفراغ التشريعي عند مقارنة الوضع السعودي بالتجارب الدولية المختارة (الاتحاد الأوروبي، المملكة المتحدة، الولايات المتحدة)، وما الدروس القابلة للتكييف مع البيئة القانونية السعودية؟</w:t>
      </w:r>
    </w:p>
    <w:p w14:paraId="4B227490" w14:textId="40368FAE" w:rsidR="00B92CB9" w:rsidRPr="00BC5F38" w:rsidRDefault="006363BC" w:rsidP="00F91E80">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التصوّر التنظيمي المتكامل والقابل للتطبيق الذي يوازن بين الكفاءة التقنية والحماية النظامية في بيئة مكاتب المحاماة السعودية، وبما ينسجم مع مستهدفات التحول العدلي ضمن رؤية المملكة 2030؟</w:t>
      </w:r>
    </w:p>
    <w:p w14:paraId="196C2FD3"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p>
    <w:p w14:paraId="701C7A38" w14:textId="71BCE3F9" w:rsidR="00CA064E" w:rsidRPr="00BC5F38" w:rsidRDefault="00575B64" w:rsidP="0024502C">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منهج الدراسة:</w:t>
      </w:r>
    </w:p>
    <w:p w14:paraId="00E2CADE"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 xml:space="preserve">تعتمد هذه الدراسة على </w:t>
      </w:r>
      <w:r w:rsidRPr="00BC5F38">
        <w:rPr>
          <w:rFonts w:asciiTheme="majorBidi" w:hAnsiTheme="majorBidi" w:cstheme="majorBidi"/>
          <w:b/>
          <w:bCs/>
          <w:color w:val="000000" w:themeColor="text1"/>
          <w:sz w:val="24"/>
          <w:szCs w:val="24"/>
          <w:rtl/>
        </w:rPr>
        <w:t>مزيج من المناهج القانونية العقلية والإجرائية</w:t>
      </w:r>
      <w:r w:rsidRPr="00BC5F38">
        <w:rPr>
          <w:rFonts w:asciiTheme="majorBidi" w:hAnsiTheme="majorBidi" w:cstheme="majorBidi"/>
          <w:color w:val="000000" w:themeColor="text1"/>
          <w:sz w:val="24"/>
          <w:szCs w:val="24"/>
          <w:rtl/>
        </w:rPr>
        <w:t>، بما يتناسب مع طبيعة الموضوع وأهدافه، وذلك وفقًا للتصنيف العلمي المعتمد في الدراسات القانونية، على النحو التالي</w:t>
      </w:r>
      <w:r w:rsidRPr="00BC5F38">
        <w:rPr>
          <w:rFonts w:asciiTheme="majorBidi" w:hAnsiTheme="majorBidi" w:cstheme="majorBidi"/>
          <w:color w:val="000000" w:themeColor="text1"/>
          <w:sz w:val="24"/>
          <w:szCs w:val="24"/>
        </w:rPr>
        <w:t>:</w:t>
      </w:r>
    </w:p>
    <w:p w14:paraId="178D57E1"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الاستنباطي (التحليلي)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ويُعد المنهج الرئيسي في هذه الدراسة، حيث يقوم الباحث بتحليل النصوص النظامية السعودية ذات العلاقة، مثل نظام المحاماة، ونظام حماية البيانات الشخصية، ونظام 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sidRPr="00BC5F38">
        <w:rPr>
          <w:rFonts w:asciiTheme="majorBidi" w:hAnsiTheme="majorBidi" w:cstheme="majorBidi"/>
          <w:color w:val="000000" w:themeColor="text1"/>
          <w:sz w:val="24"/>
          <w:szCs w:val="24"/>
        </w:rPr>
        <w:t>.</w:t>
      </w:r>
    </w:p>
    <w:p w14:paraId="2471132E"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lastRenderedPageBreak/>
        <w:t>المنهج الاستقرائي (التأصيلي)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ويُستخدم عند معالجة المواضع التي لا تزال محل فراغ تشريعي، أو التي تفتقر إلى تنظيم تفصيلي، وذلك بهدف صياغة رؤية تنظيمية مقترحة أكثر وضوحًا وشمولًا، تستند إلى استقراء التطبيقات العملية وتحليل الفجوات في الأنظمة، واقتراح حلول نظامية يمكن اعتمادها في البيئة السعودية</w:t>
      </w:r>
      <w:r w:rsidRPr="00BC5F38">
        <w:rPr>
          <w:rFonts w:asciiTheme="majorBidi" w:hAnsiTheme="majorBidi" w:cstheme="majorBidi"/>
          <w:color w:val="000000" w:themeColor="text1"/>
          <w:sz w:val="24"/>
          <w:szCs w:val="24"/>
        </w:rPr>
        <w:t>.</w:t>
      </w:r>
    </w:p>
    <w:p w14:paraId="20F992C8"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المقارن</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ويُوظّف في الفصل الرابع من الرسالة، بهدف إجراء مقارنة بين التجربة التنظيمية السعودية وعدد من النماذج الدولية الرائدة (مثل: الاتحاد الأوروبي، المملكة المتحدة، الولايات المتحدة)، بغرض استخلاص الممارسات الأفضل والاستفادة منها في تطوير التصور التنظيمي الوطني</w:t>
      </w:r>
      <w:r w:rsidRPr="00BC5F38">
        <w:rPr>
          <w:rFonts w:asciiTheme="majorBidi" w:hAnsiTheme="majorBidi" w:cstheme="majorBidi"/>
          <w:color w:val="000000" w:themeColor="text1"/>
          <w:sz w:val="24"/>
          <w:szCs w:val="24"/>
        </w:rPr>
        <w:t>.</w:t>
      </w:r>
    </w:p>
    <w:p w14:paraId="2180D44B"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الوصفي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sidRPr="00BC5F38">
        <w:rPr>
          <w:rFonts w:asciiTheme="majorBidi" w:hAnsiTheme="majorBidi" w:cstheme="majorBidi"/>
          <w:color w:val="000000" w:themeColor="text1"/>
          <w:sz w:val="24"/>
          <w:szCs w:val="24"/>
        </w:rPr>
        <w:t>.</w:t>
      </w:r>
    </w:p>
    <w:p w14:paraId="556746AE" w14:textId="77777777" w:rsidR="00F91E80" w:rsidRPr="00BC5F38" w:rsidRDefault="00F91E80" w:rsidP="0024502C">
      <w:pPr>
        <w:jc w:val="right"/>
        <w:rPr>
          <w:rFonts w:asciiTheme="majorBidi" w:hAnsiTheme="majorBidi" w:cstheme="majorBidi"/>
          <w:color w:val="000000" w:themeColor="text1"/>
          <w:sz w:val="24"/>
          <w:szCs w:val="24"/>
        </w:rPr>
      </w:pPr>
    </w:p>
    <w:p w14:paraId="5AFB726F" w14:textId="3D0F21BD" w:rsidR="00EF14BA" w:rsidRPr="00BC5F38" w:rsidRDefault="00F91E80" w:rsidP="00F91E80">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حدود الدراسة:</w:t>
      </w:r>
    </w:p>
    <w:p w14:paraId="443615ED" w14:textId="141FE538" w:rsidR="00F91E80" w:rsidRPr="00BC5F38" w:rsidRDefault="00F91E80" w:rsidP="00F91E80">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sidRPr="00BC5F38">
        <w:rPr>
          <w:rFonts w:asciiTheme="majorBidi" w:hAnsiTheme="majorBidi" w:cstheme="majorBidi" w:hint="cs"/>
          <w:b/>
          <w:bCs/>
          <w:color w:val="000000" w:themeColor="text1"/>
          <w:sz w:val="24"/>
          <w:szCs w:val="24"/>
          <w:rtl/>
        </w:rPr>
        <w:t>النحو التالي:</w:t>
      </w:r>
    </w:p>
    <w:p w14:paraId="69F40A79" w14:textId="6A54C721"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أولًا: الحدود المكانية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sidRPr="00BC5F38">
        <w:rPr>
          <w:rFonts w:asciiTheme="majorBidi" w:hAnsiTheme="majorBidi" w:cstheme="majorBidi"/>
          <w:color w:val="000000" w:themeColor="text1"/>
          <w:sz w:val="24"/>
          <w:szCs w:val="24"/>
        </w:rPr>
        <w:t>. </w:t>
      </w:r>
    </w:p>
    <w:p w14:paraId="5242BAF1" w14:textId="026DD01E"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ثانيًا: الحدود الزمانية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تشمل الدراسة الفترة الممتدة من عام 2020م حتى عام 2025م،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sidRPr="00BC5F38">
        <w:rPr>
          <w:rFonts w:asciiTheme="majorBidi" w:hAnsiTheme="majorBidi" w:cstheme="majorBidi"/>
          <w:color w:val="000000" w:themeColor="text1"/>
          <w:sz w:val="24"/>
          <w:szCs w:val="24"/>
        </w:rPr>
        <w:t>. </w:t>
      </w:r>
    </w:p>
    <w:p w14:paraId="650A9A79" w14:textId="7B83B0B6" w:rsidR="00F91E80" w:rsidRPr="00BC5F38" w:rsidRDefault="00F91E80" w:rsidP="00830A22">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ثالثًا: الحدود البشرية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sidR="00830A22"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t> </w:t>
      </w:r>
    </w:p>
    <w:p w14:paraId="3CFA58DE" w14:textId="7DBAE3E5" w:rsidR="00F91E80" w:rsidRPr="00BC5F38" w:rsidRDefault="00830A22" w:rsidP="00830A22">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الدراسات المرجعية السابقة :</w:t>
      </w:r>
    </w:p>
    <w:p w14:paraId="5DB0EC9A"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BC5F38">
        <w:rPr>
          <w:rFonts w:asciiTheme="majorBidi" w:hAnsiTheme="majorBidi" w:cstheme="majorBidi"/>
          <w:sz w:val="24"/>
          <w:szCs w:val="24"/>
        </w:rPr>
        <w:t>:</w:t>
      </w:r>
    </w:p>
    <w:p w14:paraId="6771B0AD"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1</w:t>
      </w:r>
      <w:r w:rsidRPr="00BC5F38">
        <w:rPr>
          <w:rFonts w:asciiTheme="majorBidi" w:hAnsiTheme="majorBidi" w:cstheme="majorBidi"/>
          <w:b/>
          <w:bCs/>
          <w:sz w:val="24"/>
          <w:szCs w:val="24"/>
          <w:rtl/>
        </w:rPr>
        <w:t>- خليل، محمد سعيد</w:t>
      </w:r>
      <w:r w:rsidRPr="00BC5F38">
        <w:rPr>
          <w:rFonts w:asciiTheme="majorBidi" w:hAnsiTheme="majorBidi" w:cstheme="majorBidi"/>
          <w:b/>
          <w:bCs/>
          <w:sz w:val="24"/>
          <w:szCs w:val="24"/>
        </w:rPr>
        <w:t xml:space="preserve"> (2022).</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القانونية عن أفعال الذكاء الاصطناعي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sidRPr="00BC5F38">
        <w:rPr>
          <w:rFonts w:asciiTheme="majorBidi" w:hAnsiTheme="majorBidi" w:cstheme="majorBidi"/>
          <w:sz w:val="24"/>
          <w:szCs w:val="24"/>
        </w:rPr>
        <w:t>.</w:t>
      </w:r>
    </w:p>
    <w:p w14:paraId="0F93C9CC"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lastRenderedPageBreak/>
        <w:t>2</w:t>
      </w:r>
      <w:r w:rsidRPr="00BC5F38">
        <w:rPr>
          <w:rFonts w:asciiTheme="majorBidi" w:hAnsiTheme="majorBidi" w:cstheme="majorBidi"/>
          <w:b/>
          <w:bCs/>
          <w:sz w:val="24"/>
          <w:szCs w:val="24"/>
          <w:rtl/>
        </w:rPr>
        <w:t>-المالكي، خالد</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المدنية عن فعل الذكاء الاصطناعي في النظام السعودي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sidRPr="00BC5F38">
        <w:rPr>
          <w:rFonts w:asciiTheme="majorBidi" w:hAnsiTheme="majorBidi" w:cstheme="majorBidi"/>
          <w:sz w:val="24"/>
          <w:szCs w:val="24"/>
        </w:rPr>
        <w:t>.</w:t>
      </w:r>
    </w:p>
    <w:p w14:paraId="33B14EA2"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 xml:space="preserve">-3 </w:t>
      </w:r>
      <w:r w:rsidRPr="00BC5F38">
        <w:rPr>
          <w:rFonts w:asciiTheme="majorBidi" w:hAnsiTheme="majorBidi" w:cstheme="majorBidi"/>
          <w:b/>
          <w:bCs/>
          <w:sz w:val="24"/>
          <w:szCs w:val="24"/>
          <w:rtl/>
        </w:rPr>
        <w:t>الغنامي، نايف بن ناشي</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الضوابط القانونية للذكاء الاصطناعي في إبرام المعاملات القانونية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الضوابط النظامية للعقود الذكية والتوقيع الإلكتروني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sidRPr="00BC5F38">
        <w:rPr>
          <w:rFonts w:asciiTheme="majorBidi" w:hAnsiTheme="majorBidi" w:cstheme="majorBidi"/>
          <w:sz w:val="24"/>
          <w:szCs w:val="24"/>
        </w:rPr>
        <w:t>.</w:t>
      </w:r>
    </w:p>
    <w:p w14:paraId="3422672E"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4</w:t>
      </w:r>
      <w:r w:rsidRPr="00BC5F38">
        <w:rPr>
          <w:rFonts w:asciiTheme="majorBidi" w:hAnsiTheme="majorBidi" w:cstheme="majorBidi"/>
          <w:b/>
          <w:bCs/>
          <w:sz w:val="24"/>
          <w:szCs w:val="24"/>
          <w:rtl/>
        </w:rPr>
        <w:t>-العلي، عبدالعزيز عبدالناصر</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الذكاء الاصطناعي ودوره في إبرام العقود التجارية الذكية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الحجية النظامية للعقود الذكية وأوصت بإطار قانوني شامل</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تعتبر العقود الذكية أحد مخرجات أدوات الذكاء الاصطناعي التي تتناولها الرسالة ضمن تصور شامل يشمل البنية المؤسسية والتنظيمية</w:t>
      </w:r>
      <w:r w:rsidRPr="00BC5F38">
        <w:rPr>
          <w:rFonts w:asciiTheme="majorBidi" w:hAnsiTheme="majorBidi" w:cstheme="majorBidi"/>
          <w:sz w:val="24"/>
          <w:szCs w:val="24"/>
        </w:rPr>
        <w:t>.</w:t>
      </w:r>
    </w:p>
    <w:p w14:paraId="26DD30BF"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5</w:t>
      </w:r>
      <w:r w:rsidRPr="00BC5F38">
        <w:rPr>
          <w:rFonts w:asciiTheme="majorBidi" w:hAnsiTheme="majorBidi" w:cstheme="majorBidi"/>
          <w:b/>
          <w:bCs/>
          <w:sz w:val="24"/>
          <w:szCs w:val="24"/>
          <w:rtl/>
        </w:rPr>
        <w:t>-رجب، ياسر محمد عبدالسلام</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دور الدولة في تأطير أخلاقيات الذكاء الاصطناعي – دراسة مقارنة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sidRPr="00BC5F38">
        <w:rPr>
          <w:rFonts w:asciiTheme="majorBidi" w:hAnsiTheme="majorBidi" w:cstheme="majorBidi"/>
          <w:sz w:val="24"/>
          <w:szCs w:val="24"/>
        </w:rPr>
        <w:t>.</w:t>
      </w:r>
    </w:p>
    <w:p w14:paraId="0EA3CB7C" w14:textId="77777777" w:rsidR="00830A22" w:rsidRPr="00BC5F38" w:rsidRDefault="00830A22" w:rsidP="00830A22">
      <w:pPr>
        <w:bidi/>
        <w:spacing w:after="200" w:line="276" w:lineRule="auto"/>
        <w:rPr>
          <w:rFonts w:asciiTheme="majorBidi" w:hAnsiTheme="majorBidi" w:cstheme="majorBidi"/>
          <w:b/>
          <w:bCs/>
          <w:sz w:val="24"/>
          <w:szCs w:val="24"/>
        </w:rPr>
      </w:pPr>
      <w:r w:rsidRPr="00BC5F38">
        <w:rPr>
          <w:rFonts w:asciiTheme="majorBidi" w:hAnsiTheme="majorBidi" w:cstheme="majorBidi"/>
          <w:b/>
          <w:bCs/>
          <w:sz w:val="24"/>
          <w:szCs w:val="24"/>
          <w:rtl/>
        </w:rPr>
        <w:t>التحليل النقدي المقارن</w:t>
      </w:r>
      <w:r w:rsidRPr="00BC5F38">
        <w:rPr>
          <w:rFonts w:asciiTheme="majorBidi" w:hAnsiTheme="majorBidi" w:cstheme="majorBidi"/>
          <w:b/>
          <w:bCs/>
          <w:sz w:val="24"/>
          <w:szCs w:val="24"/>
        </w:rPr>
        <w:t>:</w:t>
      </w:r>
    </w:p>
    <w:p w14:paraId="3CC1FB16"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Pr="00BC5F38">
        <w:rPr>
          <w:rFonts w:asciiTheme="majorBidi" w:hAnsiTheme="majorBidi" w:cstheme="majorBidi"/>
          <w:sz w:val="24"/>
          <w:szCs w:val="24"/>
        </w:rPr>
        <w:t>:</w:t>
      </w:r>
    </w:p>
    <w:p w14:paraId="78CA46D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واقع الممارسة المهنية في مكاتب المحاماة السعودية</w:t>
      </w:r>
      <w:r w:rsidRPr="00BC5F38">
        <w:rPr>
          <w:rFonts w:asciiTheme="majorBidi" w:hAnsiTheme="majorBidi" w:cstheme="majorBidi"/>
          <w:sz w:val="24"/>
          <w:szCs w:val="24"/>
        </w:rPr>
        <w:t>.</w:t>
      </w:r>
    </w:p>
    <w:p w14:paraId="030BB93D"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مسؤولية المحامي النظامية عند استخدام أدوات الذكاء الاصطناعي</w:t>
      </w:r>
      <w:r w:rsidRPr="00BC5F38">
        <w:rPr>
          <w:rFonts w:asciiTheme="majorBidi" w:hAnsiTheme="majorBidi" w:cstheme="majorBidi"/>
          <w:sz w:val="24"/>
          <w:szCs w:val="24"/>
        </w:rPr>
        <w:t>.</w:t>
      </w:r>
    </w:p>
    <w:p w14:paraId="73CE0FA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تصور تشريعي متكامل يتضمن الترخيص، والرقابة، وتحديد الأدوار القانونية للأدوات الذكية</w:t>
      </w:r>
      <w:r w:rsidRPr="00BC5F38">
        <w:rPr>
          <w:rFonts w:asciiTheme="majorBidi" w:hAnsiTheme="majorBidi" w:cstheme="majorBidi"/>
          <w:sz w:val="24"/>
          <w:szCs w:val="24"/>
        </w:rPr>
        <w:t>.</w:t>
      </w:r>
    </w:p>
    <w:p w14:paraId="433A95B7" w14:textId="77777777" w:rsidR="00830A22" w:rsidRPr="00BC5F38" w:rsidRDefault="00830A22" w:rsidP="00830A22">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BC5F38">
        <w:rPr>
          <w:rFonts w:asciiTheme="majorBidi" w:hAnsiTheme="majorBidi" w:cstheme="majorBidi"/>
          <w:sz w:val="24"/>
          <w:szCs w:val="24"/>
        </w:rPr>
        <w:t>.</w:t>
      </w:r>
    </w:p>
    <w:p w14:paraId="51F715CE" w14:textId="77777777" w:rsidR="008C5A8E" w:rsidRPr="00BC5F38" w:rsidRDefault="008C5A8E" w:rsidP="008C5A8E">
      <w:pPr>
        <w:bidi/>
        <w:spacing w:after="200" w:line="276" w:lineRule="auto"/>
        <w:rPr>
          <w:rFonts w:asciiTheme="majorBidi" w:hAnsiTheme="majorBidi" w:cstheme="majorBidi"/>
          <w:sz w:val="24"/>
          <w:szCs w:val="24"/>
          <w:rtl/>
        </w:rPr>
      </w:pPr>
    </w:p>
    <w:p w14:paraId="6646A5A0" w14:textId="79577A47" w:rsidR="008C5A8E" w:rsidRPr="00BC5F38" w:rsidRDefault="008C5A8E" w:rsidP="008C5A8E">
      <w:pPr>
        <w:bidi/>
        <w:spacing w:after="200" w:line="276" w:lineRule="auto"/>
        <w:rPr>
          <w:rFonts w:asciiTheme="majorBidi" w:hAnsiTheme="majorBidi" w:cstheme="majorBidi"/>
          <w:b/>
          <w:bCs/>
          <w:sz w:val="28"/>
          <w:szCs w:val="28"/>
        </w:rPr>
      </w:pPr>
      <w:r w:rsidRPr="00BC5F38">
        <w:rPr>
          <w:rFonts w:asciiTheme="majorBidi" w:hAnsiTheme="majorBidi" w:cstheme="majorBidi" w:hint="cs"/>
          <w:b/>
          <w:bCs/>
          <w:sz w:val="28"/>
          <w:szCs w:val="28"/>
          <w:rtl/>
        </w:rPr>
        <w:t>مصطلحات وتعريفات الدراسة:</w:t>
      </w:r>
    </w:p>
    <w:p w14:paraId="2ABB6C54"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أولًا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الذكاء الاصطناعي</w:t>
      </w:r>
    </w:p>
    <w:p w14:paraId="570541DE" w14:textId="77777777" w:rsidR="00B102AB"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BC5F38">
        <w:rPr>
          <w:rStyle w:val="af"/>
          <w:rFonts w:asciiTheme="majorBidi" w:hAnsiTheme="majorBidi" w:cstheme="majorBidi"/>
          <w:color w:val="000000" w:themeColor="text1"/>
          <w:sz w:val="24"/>
          <w:szCs w:val="24"/>
          <w:rtl/>
        </w:rPr>
        <w:footnoteReference w:id="5"/>
      </w:r>
      <w:r w:rsidRPr="00BC5F38">
        <w:rPr>
          <w:rFonts w:asciiTheme="majorBidi" w:hAnsiTheme="majorBidi" w:cstheme="majorBidi"/>
          <w:color w:val="000000" w:themeColor="text1"/>
          <w:sz w:val="24"/>
          <w:szCs w:val="24"/>
        </w:rPr>
        <w:t>.</w:t>
      </w:r>
    </w:p>
    <w:p w14:paraId="21915084" w14:textId="17547294" w:rsidR="00B102AB" w:rsidRPr="00BC5F38" w:rsidRDefault="008C5A8E" w:rsidP="00BC5F38">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Pr>
        <w:lastRenderedPageBreak/>
        <w:br/>
      </w: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sidRPr="00BC5F38">
        <w:rPr>
          <w:rStyle w:val="af"/>
          <w:rFonts w:asciiTheme="majorBidi" w:hAnsiTheme="majorBidi" w:cstheme="majorBidi"/>
          <w:color w:val="000000" w:themeColor="text1"/>
          <w:sz w:val="24"/>
          <w:szCs w:val="24"/>
          <w:rtl/>
        </w:rPr>
        <w:footnoteReference w:id="6"/>
      </w:r>
    </w:p>
    <w:p w14:paraId="651B5983"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ثانيًا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مكاتب المحاماة</w:t>
      </w:r>
    </w:p>
    <w:p w14:paraId="6545EA47" w14:textId="5C80E693"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جهات مرخصة بموجب النظام، تختص بممارسة مهنة المحاماة، وتشمل خدماتها المرافعة، والاستشارات، والتحكيم، والتوثيق، ضمن إطار نظامي معتمد</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7"/>
      </w:r>
    </w:p>
    <w:p w14:paraId="3D0B78D1" w14:textId="6F52E4D4" w:rsidR="008C5A8E"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ثالثًا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الإطار القانوني</w:t>
      </w:r>
    </w:p>
    <w:p w14:paraId="7C26B8AC" w14:textId="581A71CA"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8"/>
      </w:r>
    </w:p>
    <w:p w14:paraId="4F3F5C39" w14:textId="7D84EBB1" w:rsidR="00D41CB7"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BC5F38">
        <w:rPr>
          <w:rFonts w:asciiTheme="majorBidi" w:hAnsiTheme="majorBidi" w:cstheme="majorBidi"/>
          <w:color w:val="000000" w:themeColor="text1"/>
          <w:sz w:val="24"/>
          <w:szCs w:val="24"/>
        </w:rPr>
        <w:t>.</w:t>
      </w:r>
    </w:p>
    <w:p w14:paraId="2E53903D"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رابعًا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المسؤولية القانونية</w:t>
      </w:r>
    </w:p>
    <w:p w14:paraId="56D12EC1" w14:textId="49A3828C"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9"/>
      </w:r>
      <w:r w:rsidRPr="00BC5F38">
        <w:rPr>
          <w:rFonts w:asciiTheme="majorBidi" w:hAnsiTheme="majorBidi" w:cstheme="majorBidi"/>
          <w:color w:val="000000" w:themeColor="text1"/>
          <w:sz w:val="24"/>
          <w:szCs w:val="24"/>
        </w:rPr>
        <w:br/>
      </w:r>
    </w:p>
    <w:p w14:paraId="418466E1" w14:textId="533042F1" w:rsidR="00D41CB7" w:rsidRPr="00BC5F38" w:rsidRDefault="008C5A8E"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lastRenderedPageBreak/>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BC5F38">
        <w:rPr>
          <w:rFonts w:asciiTheme="majorBidi" w:hAnsiTheme="majorBidi" w:cstheme="majorBidi"/>
          <w:color w:val="000000" w:themeColor="text1"/>
          <w:sz w:val="24"/>
          <w:szCs w:val="24"/>
        </w:rPr>
        <w:t>.</w:t>
      </w:r>
    </w:p>
    <w:p w14:paraId="49FEAC04"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خامسًا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الخصوصية وحماية البيانات</w:t>
      </w:r>
    </w:p>
    <w:p w14:paraId="4A19DFA2" w14:textId="3DD67EB5"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0"/>
      </w:r>
    </w:p>
    <w:p w14:paraId="22545A9D" w14:textId="7EB725C0" w:rsidR="00B102AB" w:rsidRPr="00BC5F38" w:rsidRDefault="00B102AB"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BC5F38">
        <w:rPr>
          <w:rFonts w:asciiTheme="majorBidi" w:hAnsiTheme="majorBidi" w:cstheme="majorBidi"/>
          <w:color w:val="000000" w:themeColor="text1"/>
          <w:sz w:val="24"/>
          <w:szCs w:val="24"/>
        </w:rPr>
        <w:t>.</w:t>
      </w:r>
    </w:p>
    <w:p w14:paraId="192505B1"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سادسًا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التحول الرقمي العدلي</w:t>
      </w:r>
    </w:p>
    <w:p w14:paraId="3C5803CF" w14:textId="0F6B8F8C"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1"/>
      </w:r>
    </w:p>
    <w:p w14:paraId="276EB99E" w14:textId="2C6E9E1D" w:rsidR="00830A22" w:rsidRPr="00D41CB7" w:rsidRDefault="00B102AB"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BC5F38">
        <w:rPr>
          <w:rFonts w:asciiTheme="majorBidi" w:hAnsiTheme="majorBidi" w:cstheme="majorBidi"/>
          <w:color w:val="000000" w:themeColor="text1"/>
          <w:sz w:val="24"/>
          <w:szCs w:val="24"/>
        </w:rPr>
        <w:t>.</w:t>
      </w:r>
    </w:p>
    <w:p w14:paraId="5CA5B9A5" w14:textId="77777777" w:rsidR="00B102AB" w:rsidRPr="00BC5F38" w:rsidRDefault="00B102AB" w:rsidP="00830A22">
      <w:pPr>
        <w:jc w:val="right"/>
        <w:rPr>
          <w:rFonts w:asciiTheme="majorBidi" w:hAnsiTheme="majorBidi" w:cstheme="majorBidi"/>
          <w:b/>
          <w:bCs/>
          <w:color w:val="000000" w:themeColor="text1"/>
          <w:sz w:val="24"/>
          <w:szCs w:val="24"/>
        </w:rPr>
      </w:pPr>
    </w:p>
    <w:p w14:paraId="2BEE9FF7" w14:textId="378CD4D5" w:rsidR="00B102AB" w:rsidRPr="00D41CB7" w:rsidRDefault="00271741" w:rsidP="00830A22">
      <w:pPr>
        <w:jc w:val="right"/>
        <w:rPr>
          <w:rFonts w:asciiTheme="majorBidi" w:hAnsiTheme="majorBidi" w:cstheme="majorBidi"/>
          <w:b/>
          <w:bCs/>
          <w:color w:val="000000" w:themeColor="text1"/>
          <w:sz w:val="32"/>
          <w:szCs w:val="32"/>
        </w:rPr>
      </w:pPr>
      <w:r w:rsidRPr="00D41CB7">
        <w:rPr>
          <w:rFonts w:asciiTheme="majorBidi" w:hAnsiTheme="majorBidi" w:cstheme="majorBidi"/>
          <w:b/>
          <w:bCs/>
          <w:color w:val="000000" w:themeColor="text1"/>
          <w:sz w:val="32"/>
          <w:szCs w:val="32"/>
          <w:rtl/>
        </w:rPr>
        <w:t>خطة الدراسة وهيكل الفصول:</w:t>
      </w:r>
    </w:p>
    <w:p w14:paraId="7821428B" w14:textId="77777777" w:rsidR="00065298" w:rsidRPr="00BC5F38" w:rsidRDefault="00454BE9" w:rsidP="00065298">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الفصل التمهيدي: الإطار العام للدراسة</w:t>
      </w:r>
      <w:r w:rsidR="00065298" w:rsidRPr="00BC5F38">
        <w:rPr>
          <w:rFonts w:asciiTheme="majorBidi" w:hAnsiTheme="majorBidi" w:cstheme="majorBidi" w:hint="cs"/>
          <w:b/>
          <w:bCs/>
          <w:color w:val="000000" w:themeColor="text1"/>
          <w:sz w:val="24"/>
          <w:szCs w:val="24"/>
          <w:rtl/>
        </w:rPr>
        <w:t xml:space="preserve"> </w:t>
      </w:r>
    </w:p>
    <w:p w14:paraId="2F6BE07B" w14:textId="269D7476" w:rsidR="001E4959" w:rsidRPr="00BC5F38" w:rsidRDefault="00065298" w:rsidP="00065298">
      <w:pPr>
        <w:jc w:val="right"/>
        <w:rPr>
          <w:rFonts w:asciiTheme="majorBidi" w:hAnsiTheme="majorBidi" w:cstheme="majorBidi"/>
          <w:color w:val="000000" w:themeColor="text1"/>
          <w:sz w:val="24"/>
          <w:szCs w:val="24"/>
          <w:rtl/>
        </w:rPr>
      </w:pPr>
      <w:r w:rsidRPr="00BC5F38">
        <w:rPr>
          <w:rFonts w:asciiTheme="majorBidi" w:hAnsiTheme="majorBidi" w:cstheme="majorBidi" w:hint="cs"/>
          <w:b/>
          <w:bCs/>
          <w:color w:val="000000" w:themeColor="text1"/>
          <w:sz w:val="24"/>
          <w:szCs w:val="24"/>
          <w:rtl/>
        </w:rPr>
        <w:t>ويشمل هذا الفصل :</w:t>
      </w:r>
      <w:r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tl/>
        </w:rPr>
        <w:t xml:space="preserve">مقدمة الدراسة، مشكلة الدراسة، أهمية الدراسة، أهداف الدراسة، </w:t>
      </w:r>
      <w:r w:rsidRPr="00BC5F38">
        <w:rPr>
          <w:rFonts w:asciiTheme="majorBidi" w:hAnsiTheme="majorBidi" w:cstheme="majorBidi" w:hint="cs"/>
          <w:color w:val="000000" w:themeColor="text1"/>
          <w:sz w:val="24"/>
          <w:szCs w:val="24"/>
          <w:rtl/>
        </w:rPr>
        <w:t>تساؤلات الدراسة</w:t>
      </w:r>
      <w:r w:rsidRPr="00BC5F38">
        <w:rPr>
          <w:rFonts w:asciiTheme="majorBidi" w:hAnsiTheme="majorBidi" w:cstheme="majorBidi"/>
          <w:color w:val="000000" w:themeColor="text1"/>
          <w:sz w:val="24"/>
          <w:szCs w:val="24"/>
          <w:rtl/>
        </w:rPr>
        <w:t xml:space="preserve">، منهج الدراسة، حدود الدراسة، </w:t>
      </w:r>
      <w:r w:rsidRPr="00BC5F38">
        <w:rPr>
          <w:rFonts w:asciiTheme="majorBidi" w:hAnsiTheme="majorBidi" w:cstheme="majorBidi" w:hint="cs"/>
          <w:color w:val="000000" w:themeColor="text1"/>
          <w:sz w:val="24"/>
          <w:szCs w:val="24"/>
          <w:rtl/>
        </w:rPr>
        <w:t>الدراسات المرجعية السابقة</w:t>
      </w:r>
      <w:r w:rsidRPr="00BC5F38">
        <w:rPr>
          <w:rFonts w:asciiTheme="majorBidi" w:hAnsiTheme="majorBidi" w:cstheme="majorBidi"/>
          <w:color w:val="000000" w:themeColor="text1"/>
          <w:sz w:val="24"/>
          <w:szCs w:val="24"/>
          <w:rtl/>
        </w:rPr>
        <w:t xml:space="preserve">، </w:t>
      </w:r>
      <w:r w:rsidRPr="00BC5F38">
        <w:rPr>
          <w:rFonts w:asciiTheme="majorBidi" w:hAnsiTheme="majorBidi" w:cstheme="majorBidi" w:hint="cs"/>
          <w:color w:val="000000" w:themeColor="text1"/>
          <w:sz w:val="24"/>
          <w:szCs w:val="24"/>
          <w:rtl/>
        </w:rPr>
        <w:t>مصطلحات الدراسة وتعريفاتها</w:t>
      </w:r>
      <w:r w:rsidRPr="00BC5F38">
        <w:rPr>
          <w:rFonts w:asciiTheme="majorBidi" w:hAnsiTheme="majorBidi" w:cstheme="majorBidi"/>
          <w:color w:val="000000" w:themeColor="text1"/>
          <w:sz w:val="24"/>
          <w:szCs w:val="24"/>
          <w:rtl/>
        </w:rPr>
        <w:t>، خطة الدراسة وهيكل الفصول</w:t>
      </w:r>
      <w:r w:rsidRPr="00BC5F38">
        <w:rPr>
          <w:rFonts w:asciiTheme="majorBidi" w:hAnsiTheme="majorBidi" w:cstheme="majorBidi" w:hint="cs"/>
          <w:color w:val="000000" w:themeColor="text1"/>
          <w:sz w:val="24"/>
          <w:szCs w:val="24"/>
          <w:rtl/>
        </w:rPr>
        <w:t>.</w:t>
      </w:r>
    </w:p>
    <w:p w14:paraId="3F32E447" w14:textId="10D78556"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الأول: الإطار النظامي السعودي لتقنيات الذكاء الاصطناعي في مهنة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التنظيم </w:t>
      </w:r>
      <w:r w:rsidR="00CF47E9" w:rsidRPr="00BC5F38">
        <w:rPr>
          <w:rFonts w:asciiTheme="majorBidi" w:hAnsiTheme="majorBidi" w:cstheme="majorBidi" w:hint="cs"/>
          <w:color w:val="000000" w:themeColor="text1"/>
          <w:sz w:val="24"/>
          <w:szCs w:val="24"/>
          <w:rtl/>
        </w:rPr>
        <w:t>القانوني</w:t>
      </w:r>
      <w:r w:rsidRPr="00BC5F38">
        <w:rPr>
          <w:rFonts w:asciiTheme="majorBidi" w:hAnsiTheme="majorBidi" w:cstheme="majorBidi"/>
          <w:color w:val="000000" w:themeColor="text1"/>
          <w:sz w:val="24"/>
          <w:szCs w:val="24"/>
          <w:rtl/>
        </w:rPr>
        <w:t xml:space="preserve"> لمهنة المحاماة وتقنيات الذكاء الاصطناعي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نظام المحاماة واللائحة التنفيذية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sidR="00ED0A7F">
        <w:rPr>
          <w:rFonts w:asciiTheme="majorBidi" w:hAnsiTheme="majorBidi" w:cstheme="majorBidi" w:hint="cs"/>
          <w:color w:val="000000" w:themeColor="text1"/>
          <w:sz w:val="24"/>
          <w:szCs w:val="24"/>
          <w:rtl/>
        </w:rPr>
        <w:t>...الخ</w:t>
      </w:r>
      <w:r w:rsidRPr="00BC5F38">
        <w:rPr>
          <w:rFonts w:asciiTheme="majorBidi" w:hAnsiTheme="majorBidi" w:cstheme="majorBidi"/>
          <w:color w:val="000000" w:themeColor="text1"/>
          <w:sz w:val="24"/>
          <w:szCs w:val="24"/>
          <w:rtl/>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تحليل الفجوات في التنظيم الحالي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قصور النصوص التنظيمية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آثار غياب التنظيم على الممارسة</w:t>
      </w:r>
    </w:p>
    <w:p w14:paraId="1E6C6078"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lastRenderedPageBreak/>
        <w:t>الفصل الثاني: التكييف القانوني والفقهي والمسؤولية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التكييف النظامي والفقهي للمخرجات الذكية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حجية العقود والتقارير القانونية المنتجة آليًا</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المسؤولية القانونية والمهنية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المسؤولية المدنية والمهنية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3EBDABEB"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الأول: </w:t>
      </w:r>
      <w:r w:rsidRPr="00BC5F38">
        <w:rPr>
          <w:rFonts w:asciiTheme="majorBidi" w:hAnsiTheme="majorBidi" w:cstheme="majorBidi"/>
          <w:color w:val="000000" w:themeColor="text1"/>
          <w:sz w:val="24"/>
          <w:szCs w:val="24"/>
          <w:rtl/>
        </w:rPr>
        <w:t>التطبيقات المهنية المعاصرة في السعودية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مدى توافقها مع البيئة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أنماط الاستخدام الفردي للتقنيات القانونية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طبيعة الاستخدامات الفردية ومخاطرها في السياق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0D79256D" w14:textId="5911CED4"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الرابع: التجارب الدولية والعربية المقارنة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الاتحاد الأوروبي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الولايات المتحدة وتنظيم المهنة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التجارب العربية والخليجية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الإمارات، البحرين، مصر</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عناصر قابلة للتكييف في السعودية</w:t>
      </w:r>
    </w:p>
    <w:p w14:paraId="7B9D6BE9"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الخامس: التصور التنظيمي المقترح</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تمهيد</w:t>
      </w:r>
      <w:r w:rsidRPr="00BC5F38">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ملامح التشريع المقترح</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الضمانات القانونية لحماية البيانات والمسؤولية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التكامل مع رؤية المملكة 2030</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دعم التحول العدلي الرقمي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فرص وإمكانات تطوير الإطار التشريعي الحالي</w:t>
      </w:r>
    </w:p>
    <w:p w14:paraId="6141B504"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الخاتمة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النتائج</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التوصيات</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الإسهامات العلمية</w:t>
      </w:r>
    </w:p>
    <w:p w14:paraId="14B06B9A" w14:textId="77777777" w:rsidR="00271741" w:rsidRPr="00BC5F38" w:rsidRDefault="00271741" w:rsidP="00830A22">
      <w:pPr>
        <w:jc w:val="right"/>
        <w:rPr>
          <w:rFonts w:asciiTheme="majorBidi" w:hAnsiTheme="majorBidi" w:cstheme="majorBidi"/>
          <w:b/>
          <w:bCs/>
          <w:color w:val="000000" w:themeColor="text1"/>
          <w:sz w:val="24"/>
          <w:szCs w:val="24"/>
        </w:rPr>
      </w:pPr>
    </w:p>
    <w:p w14:paraId="42BBD1A7" w14:textId="77777777" w:rsidR="00F7053A" w:rsidRDefault="00F7053A" w:rsidP="00D41CB7">
      <w:pPr>
        <w:rPr>
          <w:rFonts w:asciiTheme="majorBidi" w:hAnsiTheme="majorBidi" w:cstheme="majorBidi"/>
          <w:b/>
          <w:bCs/>
          <w:color w:val="000000" w:themeColor="text1"/>
          <w:sz w:val="24"/>
          <w:szCs w:val="24"/>
        </w:rPr>
      </w:pPr>
    </w:p>
    <w:p w14:paraId="512602F5" w14:textId="77777777" w:rsidR="00D41CB7" w:rsidRPr="00BC5F38" w:rsidRDefault="00D41CB7" w:rsidP="00D41CB7">
      <w:pPr>
        <w:rPr>
          <w:rFonts w:asciiTheme="majorBidi" w:hAnsiTheme="majorBidi" w:cstheme="majorBidi"/>
          <w:b/>
          <w:bCs/>
          <w:color w:val="000000" w:themeColor="text1"/>
          <w:sz w:val="24"/>
          <w:szCs w:val="24"/>
        </w:rPr>
      </w:pPr>
    </w:p>
    <w:p w14:paraId="175689D6" w14:textId="77777777" w:rsidR="00F7053A" w:rsidRPr="00BC5F38" w:rsidRDefault="00F7053A" w:rsidP="00830A22">
      <w:pPr>
        <w:jc w:val="right"/>
        <w:rPr>
          <w:rFonts w:asciiTheme="majorBidi" w:hAnsiTheme="majorBidi" w:cstheme="majorBidi"/>
          <w:b/>
          <w:bCs/>
          <w:color w:val="000000" w:themeColor="text1"/>
          <w:sz w:val="24"/>
          <w:szCs w:val="24"/>
        </w:rPr>
      </w:pPr>
    </w:p>
    <w:p w14:paraId="1092CB25" w14:textId="77777777" w:rsidR="00F7053A" w:rsidRPr="00BC5F38" w:rsidRDefault="00F7053A" w:rsidP="00830A22">
      <w:pPr>
        <w:jc w:val="right"/>
        <w:rPr>
          <w:rFonts w:asciiTheme="majorBidi" w:hAnsiTheme="majorBidi" w:cstheme="majorBidi"/>
          <w:b/>
          <w:bCs/>
          <w:color w:val="000000" w:themeColor="text1"/>
          <w:sz w:val="24"/>
          <w:szCs w:val="24"/>
        </w:rPr>
      </w:pPr>
    </w:p>
    <w:p w14:paraId="5CF3360F" w14:textId="390C94E0" w:rsidR="00F7053A" w:rsidRPr="00D41CB7" w:rsidRDefault="00F7053A" w:rsidP="00F7053A">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lastRenderedPageBreak/>
        <w:t>الفصل الأول</w:t>
      </w:r>
    </w:p>
    <w:p w14:paraId="39AECE30" w14:textId="32B820D4" w:rsidR="00F7053A" w:rsidRPr="00D41CB7" w:rsidRDefault="00F7053A" w:rsidP="00F7053A">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الإطار النظامي السعودي لتقنيات الذكاء الاصطناعي في مهنة المحاماة</w:t>
      </w:r>
    </w:p>
    <w:p w14:paraId="3B86CF0D" w14:textId="77777777" w:rsidR="00F7053A" w:rsidRPr="00BC5F38" w:rsidRDefault="00F7053A" w:rsidP="00F7053A">
      <w:pPr>
        <w:jc w:val="right"/>
        <w:rPr>
          <w:rFonts w:asciiTheme="majorBidi" w:hAnsiTheme="majorBidi" w:cstheme="majorBidi"/>
          <w:b/>
          <w:bCs/>
          <w:color w:val="000000" w:themeColor="text1"/>
          <w:sz w:val="24"/>
          <w:szCs w:val="24"/>
          <w:rtl/>
        </w:rPr>
      </w:pPr>
    </w:p>
    <w:p w14:paraId="30826825" w14:textId="77777777" w:rsidR="00F7053A" w:rsidRPr="00F7053A" w:rsidRDefault="00F7053A" w:rsidP="00F7053A">
      <w:pPr>
        <w:jc w:val="right"/>
        <w:rPr>
          <w:rFonts w:asciiTheme="majorBidi" w:hAnsiTheme="majorBidi" w:cstheme="majorBidi"/>
          <w:color w:val="000000" w:themeColor="text1"/>
          <w:sz w:val="24"/>
          <w:szCs w:val="24"/>
        </w:rPr>
      </w:pPr>
      <w:r w:rsidRPr="00F7053A">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sidRPr="00F7053A">
        <w:rPr>
          <w:rFonts w:asciiTheme="majorBidi" w:hAnsiTheme="majorBidi" w:cstheme="majorBidi"/>
          <w:color w:val="000000" w:themeColor="text1"/>
          <w:sz w:val="24"/>
          <w:szCs w:val="24"/>
        </w:rPr>
        <w:t>.</w:t>
      </w:r>
    </w:p>
    <w:p w14:paraId="15E2214B" w14:textId="35F647CD" w:rsidR="00F7053A" w:rsidRPr="00BC5F38" w:rsidRDefault="00F7053A" w:rsidP="00F7053A">
      <w:pPr>
        <w:jc w:val="right"/>
        <w:rPr>
          <w:rFonts w:asciiTheme="majorBidi" w:hAnsiTheme="majorBidi" w:cstheme="majorBidi"/>
          <w:color w:val="000000" w:themeColor="text1"/>
          <w:sz w:val="24"/>
          <w:szCs w:val="24"/>
          <w:rtl/>
        </w:rPr>
      </w:pPr>
      <w:r w:rsidRPr="00F7053A">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w:t>
      </w:r>
      <w:r w:rsidRPr="00BC5F38">
        <w:rPr>
          <w:rStyle w:val="af"/>
          <w:rFonts w:asciiTheme="majorBidi" w:hAnsiTheme="majorBidi" w:cstheme="majorBidi"/>
          <w:color w:val="000000" w:themeColor="text1"/>
          <w:sz w:val="24"/>
          <w:szCs w:val="24"/>
          <w:rtl/>
        </w:rPr>
        <w:footnoteReference w:id="12"/>
      </w:r>
      <w:r w:rsidRPr="00F7053A">
        <w:rPr>
          <w:rFonts w:asciiTheme="majorBidi" w:hAnsiTheme="majorBidi" w:cstheme="majorBidi"/>
          <w:color w:val="000000" w:themeColor="text1"/>
          <w:sz w:val="24"/>
          <w:szCs w:val="24"/>
          <w:rtl/>
        </w:rPr>
        <w:t>، وبين المتطلبات المستحدثة التي أفرزها تطوّر أدوات الذكاء الاصطناعي في المجال القانوني</w:t>
      </w:r>
      <w:r w:rsidRPr="00BC5F38">
        <w:rPr>
          <w:rFonts w:asciiTheme="majorBidi" w:hAnsiTheme="majorBidi" w:cstheme="majorBidi" w:hint="cs"/>
          <w:color w:val="000000" w:themeColor="text1"/>
          <w:sz w:val="24"/>
          <w:szCs w:val="24"/>
          <w:rtl/>
        </w:rPr>
        <w:t>.</w:t>
      </w:r>
    </w:p>
    <w:p w14:paraId="172E881B" w14:textId="15AD9008" w:rsidR="00F7053A" w:rsidRPr="00F7053A" w:rsidRDefault="00F7053A" w:rsidP="00CF47E9">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كما يتناول الفصل الدور التكميلي الذي تؤديه الأنظمة ذات الصلة، مثل نظام حماية البيانات الشخصية ونظام الإثبات ونظام الإجراءات الجزائية</w:t>
      </w:r>
      <w:r w:rsidR="00CF47E9" w:rsidRPr="00BC5F38">
        <w:rPr>
          <w:rStyle w:val="af"/>
          <w:rFonts w:asciiTheme="majorBidi" w:hAnsiTheme="majorBidi" w:cstheme="majorBidi"/>
          <w:color w:val="000000" w:themeColor="text1"/>
          <w:sz w:val="24"/>
          <w:szCs w:val="24"/>
          <w:rtl/>
        </w:rPr>
        <w:footnoteReference w:id="13"/>
      </w:r>
      <w:r w:rsidRPr="00BC5F38">
        <w:rPr>
          <w:rFonts w:asciiTheme="majorBidi" w:hAnsiTheme="majorBidi" w:cstheme="majorBidi"/>
          <w:color w:val="000000" w:themeColor="text1"/>
          <w:sz w:val="24"/>
          <w:szCs w:val="24"/>
          <w:rtl/>
        </w:rPr>
        <w:t>، في تعزيز الضمانات العدلية والحقوقية أثناء استخدام التطبيقات التقنية في مكاتب المحاماة</w:t>
      </w:r>
      <w:r w:rsidR="00CF47E9" w:rsidRPr="00BC5F38">
        <w:rPr>
          <w:rFonts w:asciiTheme="majorBidi" w:hAnsiTheme="majorBidi" w:cstheme="majorBidi" w:hint="cs"/>
          <w:color w:val="000000" w:themeColor="text1"/>
          <w:sz w:val="24"/>
          <w:szCs w:val="24"/>
          <w:rtl/>
        </w:rPr>
        <w:t>.</w:t>
      </w:r>
      <w:r w:rsidRPr="00BC5F38">
        <w:rPr>
          <w:rFonts w:asciiTheme="majorBidi" w:hAnsiTheme="majorBidi" w:cstheme="majorBidi"/>
          <w:color w:val="000000" w:themeColor="text1"/>
          <w:sz w:val="24"/>
          <w:szCs w:val="24"/>
        </w:rPr>
        <w:t>.</w:t>
      </w:r>
    </w:p>
    <w:p w14:paraId="43626DF7" w14:textId="3CF8C782" w:rsidR="00CF47E9" w:rsidRPr="00BC5F38" w:rsidRDefault="00CF47E9" w:rsidP="00D41CB7">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w:t>
      </w:r>
      <w:r w:rsidRPr="00BC5F38">
        <w:rPr>
          <w:rStyle w:val="af"/>
          <w:rFonts w:asciiTheme="majorBidi" w:hAnsiTheme="majorBidi" w:cstheme="majorBidi"/>
          <w:color w:val="000000" w:themeColor="text1"/>
          <w:sz w:val="24"/>
          <w:szCs w:val="24"/>
          <w:rtl/>
        </w:rPr>
        <w:footnoteReference w:id="14"/>
      </w:r>
      <w:r w:rsidRPr="00BC5F38">
        <w:rPr>
          <w:rFonts w:asciiTheme="majorBidi" w:hAnsiTheme="majorBidi" w:cstheme="majorBidi"/>
          <w:color w:val="000000" w:themeColor="text1"/>
          <w:sz w:val="24"/>
          <w:szCs w:val="24"/>
          <w:rtl/>
        </w:rPr>
        <w:t xml:space="preserve"> بشأن تطوير واستخدام تقنيات الذكاء الاصطناعي في المجالات المهنية المختلفة</w:t>
      </w:r>
    </w:p>
    <w:p w14:paraId="0E1C31F6" w14:textId="68021D7B" w:rsidR="00CF47E9" w:rsidRPr="00D41CB7" w:rsidRDefault="00CF47E9" w:rsidP="00D41CB7">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ويُقسَّم هذا الفصل إلى مبحثين رئيسين</w:t>
      </w:r>
      <w:r w:rsidRPr="00BC5F38">
        <w:rPr>
          <w:rFonts w:asciiTheme="majorBidi" w:hAnsiTheme="majorBidi" w:cstheme="majorBidi" w:hint="cs"/>
          <w:b/>
          <w:bCs/>
          <w:color w:val="000000" w:themeColor="text1"/>
          <w:sz w:val="24"/>
          <w:szCs w:val="24"/>
          <w:rtl/>
        </w:rPr>
        <w:t xml:space="preserve">: </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 xml:space="preserve">يتناول </w:t>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التنظيم </w:t>
      </w:r>
      <w:r w:rsidRPr="00BC5F38">
        <w:rPr>
          <w:rFonts w:asciiTheme="majorBidi" w:hAnsiTheme="majorBidi" w:cstheme="majorBidi" w:hint="cs"/>
          <w:color w:val="000000" w:themeColor="text1"/>
          <w:sz w:val="24"/>
          <w:szCs w:val="24"/>
          <w:rtl/>
        </w:rPr>
        <w:t>القانوني</w:t>
      </w:r>
      <w:r w:rsidRPr="00BC5F38">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sidRPr="00BC5F38">
        <w:rPr>
          <w:rFonts w:asciiTheme="majorBidi" w:hAnsiTheme="majorBidi" w:cstheme="majorBidi" w:hint="cs"/>
          <w:color w:val="000000" w:themeColor="text1"/>
          <w:sz w:val="24"/>
          <w:szCs w:val="24"/>
          <w:rtl/>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 xml:space="preserve">بينما يُركّز </w:t>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sidRPr="00BC5F38">
        <w:rPr>
          <w:rFonts w:asciiTheme="majorBidi" w:hAnsiTheme="majorBidi" w:cstheme="majorBidi" w:hint="cs"/>
          <w:color w:val="000000" w:themeColor="text1"/>
          <w:sz w:val="24"/>
          <w:szCs w:val="24"/>
          <w:rtl/>
        </w:rPr>
        <w:t>.</w:t>
      </w:r>
    </w:p>
    <w:p w14:paraId="4B343543" w14:textId="77777777" w:rsidR="00CF47E9" w:rsidRPr="00BC5F38" w:rsidRDefault="00CF47E9" w:rsidP="00CF47E9">
      <w:pPr>
        <w:jc w:val="right"/>
        <w:rPr>
          <w:rFonts w:asciiTheme="majorBidi" w:hAnsiTheme="majorBidi" w:cstheme="majorBidi"/>
          <w:color w:val="000000" w:themeColor="text1"/>
          <w:sz w:val="24"/>
          <w:szCs w:val="24"/>
          <w:rtl/>
        </w:rPr>
      </w:pPr>
    </w:p>
    <w:p w14:paraId="557074C1" w14:textId="0829D67D" w:rsidR="00F7053A" w:rsidRPr="00D41CB7" w:rsidRDefault="00CF47E9" w:rsidP="00CF47E9">
      <w:pPr>
        <w:jc w:val="center"/>
        <w:rPr>
          <w:rFonts w:asciiTheme="majorBidi" w:hAnsiTheme="majorBidi" w:cstheme="majorBidi"/>
          <w:b/>
          <w:bCs/>
          <w:color w:val="000000" w:themeColor="text1"/>
          <w:sz w:val="32"/>
          <w:szCs w:val="32"/>
          <w:rtl/>
        </w:rPr>
      </w:pPr>
      <w:r w:rsidRPr="00D41CB7">
        <w:rPr>
          <w:rFonts w:asciiTheme="majorBidi" w:hAnsiTheme="majorBidi" w:cstheme="majorBidi" w:hint="cs"/>
          <w:b/>
          <w:bCs/>
          <w:color w:val="000000" w:themeColor="text1"/>
          <w:sz w:val="32"/>
          <w:szCs w:val="32"/>
          <w:rtl/>
        </w:rPr>
        <w:t>المبحث الأول</w:t>
      </w:r>
    </w:p>
    <w:p w14:paraId="5FADF7D7" w14:textId="4F8DCA40" w:rsidR="00CF47E9" w:rsidRPr="00D41CB7" w:rsidRDefault="00CF47E9" w:rsidP="00CF47E9">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t>الإطار القانوني لمهنة المحاماة وتقنيات الذكاء الاصطناعي</w:t>
      </w:r>
    </w:p>
    <w:p w14:paraId="3DA05619" w14:textId="77777777" w:rsidR="00E77780" w:rsidRPr="00BC5F38" w:rsidRDefault="00E77780" w:rsidP="00CF47E9">
      <w:pPr>
        <w:jc w:val="center"/>
        <w:rPr>
          <w:rFonts w:asciiTheme="majorBidi" w:hAnsiTheme="majorBidi" w:cstheme="majorBidi"/>
          <w:b/>
          <w:bCs/>
          <w:color w:val="000000" w:themeColor="text1"/>
          <w:sz w:val="24"/>
          <w:szCs w:val="24"/>
          <w:rtl/>
        </w:rPr>
      </w:pPr>
    </w:p>
    <w:p w14:paraId="3D3C1D90" w14:textId="2915ED11" w:rsidR="00CF47E9" w:rsidRPr="00BC5F38" w:rsidRDefault="00CF47E9" w:rsidP="00CF47E9">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 xml:space="preserve">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w:t>
      </w:r>
      <w:r w:rsidRPr="00BC5F38">
        <w:rPr>
          <w:rFonts w:asciiTheme="majorBidi" w:hAnsiTheme="majorBidi" w:cstheme="majorBidi"/>
          <w:b/>
          <w:bCs/>
          <w:color w:val="000000" w:themeColor="text1"/>
          <w:sz w:val="24"/>
          <w:szCs w:val="24"/>
          <w:rtl/>
        </w:rPr>
        <w:t>رؤية المملكة 2030</w:t>
      </w:r>
      <w:r w:rsidRPr="00BC5F38">
        <w:rPr>
          <w:rFonts w:asciiTheme="majorBidi" w:hAnsiTheme="majorBidi" w:cstheme="majorBidi"/>
          <w:color w:val="000000" w:themeColor="text1"/>
          <w:sz w:val="24"/>
          <w:szCs w:val="24"/>
          <w:rtl/>
        </w:rPr>
        <w:t xml:space="preserve">، برزت الحاجة إلى دراسة الإطار القانوني المنظِّم لهذه المهنة في ضوء المتغيرات التقنية الحديثة، ولا سيما </w:t>
      </w:r>
      <w:r w:rsidRPr="00BC5F38">
        <w:rPr>
          <w:rFonts w:asciiTheme="majorBidi" w:hAnsiTheme="majorBidi" w:cstheme="majorBidi"/>
          <w:b/>
          <w:bCs/>
          <w:color w:val="000000" w:themeColor="text1"/>
          <w:sz w:val="24"/>
          <w:szCs w:val="24"/>
          <w:rtl/>
        </w:rPr>
        <w:t>تقنيات الذكاء الاصطناعي</w:t>
      </w:r>
      <w:r w:rsidRPr="00BC5F38">
        <w:rPr>
          <w:rFonts w:asciiTheme="majorBidi" w:hAnsiTheme="majorBidi" w:cstheme="majorBidi"/>
          <w:color w:val="000000" w:themeColor="text1"/>
          <w:sz w:val="24"/>
          <w:szCs w:val="24"/>
          <w:rtl/>
        </w:rPr>
        <w:t xml:space="preserve"> التي بدأت تدخل تدريجيًا في مجالات البحث القانوني، وصياغة العقود، وإدارة القضايا</w:t>
      </w:r>
      <w:r w:rsidRPr="00BC5F38">
        <w:rPr>
          <w:rStyle w:val="af"/>
          <w:rFonts w:asciiTheme="majorBidi" w:hAnsiTheme="majorBidi" w:cstheme="majorBidi"/>
          <w:color w:val="000000" w:themeColor="text1"/>
          <w:sz w:val="24"/>
          <w:szCs w:val="24"/>
          <w:rtl/>
        </w:rPr>
        <w:footnoteReference w:id="15"/>
      </w:r>
      <w:r w:rsidRPr="00BC5F38">
        <w:rPr>
          <w:rFonts w:asciiTheme="majorBidi" w:hAnsiTheme="majorBidi" w:cstheme="majorBidi"/>
          <w:color w:val="000000" w:themeColor="text1"/>
          <w:sz w:val="24"/>
          <w:szCs w:val="24"/>
        </w:rPr>
        <w:t>.</w:t>
      </w:r>
    </w:p>
    <w:p w14:paraId="0F9896B1" w14:textId="3431D412" w:rsidR="00E77780" w:rsidRPr="00BC5F38" w:rsidRDefault="00E77780" w:rsidP="00D41CB7">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lastRenderedPageBreak/>
        <w:t>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كما يهدف إلى الكشف عن الجوانب التي تحتاج إلى تطوير تشريعي يواكب التطورات التقنية، لضمان توافق الممارسة المهنية مع الضوابط النظامية والأخلاقية لاستخدام الذكاء الاصطناعي في المجال القانوني</w:t>
      </w:r>
      <w:r w:rsidRPr="00BC5F38">
        <w:rPr>
          <w:rStyle w:val="af"/>
          <w:rFonts w:asciiTheme="majorBidi" w:hAnsiTheme="majorBidi" w:cstheme="majorBidi"/>
          <w:color w:val="000000" w:themeColor="text1"/>
          <w:sz w:val="24"/>
          <w:szCs w:val="24"/>
          <w:rtl/>
        </w:rPr>
        <w:footnoteReference w:id="16"/>
      </w:r>
      <w:r w:rsidRPr="00BC5F38">
        <w:rPr>
          <w:rFonts w:asciiTheme="majorBidi" w:hAnsiTheme="majorBidi" w:cstheme="majorBidi"/>
          <w:color w:val="000000" w:themeColor="text1"/>
          <w:sz w:val="24"/>
          <w:szCs w:val="24"/>
        </w:rPr>
        <w:t>.</w:t>
      </w:r>
    </w:p>
    <w:p w14:paraId="188374F4" w14:textId="77777777" w:rsidR="00E77780" w:rsidRPr="00BC5F38" w:rsidRDefault="00E77780" w:rsidP="00E77780">
      <w:pPr>
        <w:jc w:val="right"/>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tl/>
        </w:rPr>
        <w:t>وينقسم هذا المبحث إلى مطلبين رئيسين</w:t>
      </w:r>
      <w:r w:rsidRPr="00BC5F38">
        <w:rPr>
          <w:rFonts w:asciiTheme="majorBidi" w:hAnsiTheme="majorBidi" w:cstheme="majorBidi" w:hint="cs"/>
          <w:color w:val="000000" w:themeColor="text1"/>
          <w:sz w:val="24"/>
          <w:szCs w:val="24"/>
          <w:rtl/>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 xml:space="preserve">يعالج </w:t>
      </w:r>
      <w:r w:rsidRPr="00BC5F38">
        <w:rPr>
          <w:rFonts w:asciiTheme="majorBidi" w:hAnsiTheme="majorBidi" w:cstheme="majorBidi"/>
          <w:b/>
          <w:bCs/>
          <w:color w:val="000000" w:themeColor="text1"/>
          <w:sz w:val="24"/>
          <w:szCs w:val="24"/>
          <w:rtl/>
        </w:rPr>
        <w:t>المطلب الأول</w:t>
      </w:r>
      <w:r w:rsidRPr="00BC5F38">
        <w:rPr>
          <w:rFonts w:asciiTheme="majorBidi" w:hAnsiTheme="majorBidi" w:cstheme="majorBidi"/>
          <w:color w:val="000000" w:themeColor="text1"/>
          <w:sz w:val="24"/>
          <w:szCs w:val="24"/>
          <w:rtl/>
        </w:rPr>
        <w:t xml:space="preserve"> نظام المحاماة واللائحة التنفيذية بوصفهما الإطار القانوني الأساس لممارسة المهنة،</w:t>
      </w:r>
    </w:p>
    <w:p w14:paraId="51B9A949" w14:textId="76A18EF4" w:rsidR="00E77780" w:rsidRPr="00BC5F38" w:rsidRDefault="00E77780" w:rsidP="00E77780">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 xml:space="preserve">بينما يتناول </w:t>
      </w:r>
      <w:r w:rsidRPr="00BC5F38">
        <w:rPr>
          <w:rFonts w:asciiTheme="majorBidi" w:hAnsiTheme="majorBidi" w:cstheme="majorBidi"/>
          <w:b/>
          <w:bCs/>
          <w:color w:val="000000" w:themeColor="text1"/>
          <w:sz w:val="24"/>
          <w:szCs w:val="24"/>
          <w:rtl/>
        </w:rPr>
        <w:t>المطلب الثاني</w:t>
      </w:r>
      <w:r w:rsidRPr="00BC5F38">
        <w:rPr>
          <w:rFonts w:asciiTheme="majorBidi" w:hAnsiTheme="majorBidi" w:cstheme="majorBidi"/>
          <w:color w:val="000000" w:themeColor="text1"/>
          <w:sz w:val="24"/>
          <w:szCs w:val="24"/>
          <w:rtl/>
        </w:rPr>
        <w:t xml:space="preserve">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sidRPr="00BC5F38">
        <w:rPr>
          <w:rFonts w:asciiTheme="majorBidi" w:hAnsiTheme="majorBidi" w:cstheme="majorBidi" w:hint="cs"/>
          <w:color w:val="000000" w:themeColor="text1"/>
          <w:sz w:val="24"/>
          <w:szCs w:val="24"/>
          <w:rtl/>
        </w:rPr>
        <w:t>.</w:t>
      </w:r>
    </w:p>
    <w:p w14:paraId="526BD18A" w14:textId="77777777" w:rsidR="00E77780" w:rsidRPr="00BC5F38" w:rsidRDefault="00E77780" w:rsidP="00D41CB7">
      <w:pPr>
        <w:rPr>
          <w:rFonts w:asciiTheme="majorBidi" w:hAnsiTheme="majorBidi" w:cstheme="majorBidi"/>
          <w:color w:val="000000" w:themeColor="text1"/>
          <w:sz w:val="24"/>
          <w:szCs w:val="24"/>
        </w:rPr>
      </w:pPr>
    </w:p>
    <w:p w14:paraId="2F3BC7AF" w14:textId="77777777" w:rsidR="00E77780" w:rsidRPr="00BC5F38" w:rsidRDefault="00E77780" w:rsidP="00E77780">
      <w:pPr>
        <w:jc w:val="right"/>
        <w:rPr>
          <w:rFonts w:asciiTheme="majorBidi" w:hAnsiTheme="majorBidi" w:cstheme="majorBidi"/>
          <w:color w:val="000000" w:themeColor="text1"/>
          <w:sz w:val="24"/>
          <w:szCs w:val="24"/>
        </w:rPr>
      </w:pPr>
    </w:p>
    <w:p w14:paraId="71D34A07" w14:textId="5F398560" w:rsidR="00E77780" w:rsidRPr="00D41CB7" w:rsidRDefault="00E15647" w:rsidP="00E15647">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المطلب الأول</w:t>
      </w:r>
    </w:p>
    <w:p w14:paraId="6E7ABA00" w14:textId="79A4676E" w:rsidR="00E15647" w:rsidRPr="00D41CB7" w:rsidRDefault="00E15647" w:rsidP="00E15647">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0D9F270C" w14:textId="77777777" w:rsidR="00E15647" w:rsidRPr="00BC5F38" w:rsidRDefault="00E15647" w:rsidP="00E15647">
      <w:pPr>
        <w:jc w:val="right"/>
        <w:rPr>
          <w:rFonts w:asciiTheme="majorBidi" w:hAnsiTheme="majorBidi" w:cstheme="majorBidi"/>
          <w:b/>
          <w:bCs/>
          <w:color w:val="000000" w:themeColor="text1"/>
          <w:sz w:val="24"/>
          <w:szCs w:val="24"/>
          <w:rtl/>
        </w:rPr>
      </w:pPr>
    </w:p>
    <w:p w14:paraId="2F9B8BEC" w14:textId="2D5A5B0B" w:rsidR="00E77780" w:rsidRPr="00BC5F38" w:rsidRDefault="00E15647" w:rsidP="00535C4D">
      <w:pPr>
        <w:jc w:val="right"/>
        <w:rPr>
          <w:rFonts w:asciiTheme="majorBidi" w:hAnsiTheme="majorBidi" w:cstheme="majorBidi"/>
          <w:b/>
          <w:bCs/>
          <w:color w:val="000000" w:themeColor="text1"/>
          <w:sz w:val="24"/>
          <w:szCs w:val="24"/>
        </w:rPr>
      </w:pPr>
      <w:r w:rsidRPr="00E15647">
        <w:rPr>
          <w:rFonts w:asciiTheme="majorBidi" w:hAnsiTheme="majorBidi" w:cstheme="majorBidi"/>
          <w:b/>
          <w:bCs/>
          <w:color w:val="000000" w:themeColor="text1"/>
          <w:sz w:val="24"/>
          <w:szCs w:val="24"/>
          <w:rtl/>
        </w:rPr>
        <w:t>أولًا: الخلفية التشريعية لنظام المحاماة</w:t>
      </w:r>
      <w:r w:rsidR="00AA06F2" w:rsidRPr="00BC5F38">
        <w:rPr>
          <w:rFonts w:asciiTheme="majorBidi" w:hAnsiTheme="majorBidi" w:cstheme="majorBidi" w:hint="cs"/>
          <w:b/>
          <w:bCs/>
          <w:color w:val="000000" w:themeColor="text1"/>
          <w:sz w:val="24"/>
          <w:szCs w:val="24"/>
          <w:rtl/>
        </w:rPr>
        <w:t xml:space="preserve"> وربطها مع نصوص المواد </w:t>
      </w:r>
      <w:r w:rsidRPr="00BC5F38">
        <w:rPr>
          <w:rFonts w:asciiTheme="majorBidi" w:hAnsiTheme="majorBidi" w:cstheme="majorBidi" w:hint="cs"/>
          <w:b/>
          <w:bCs/>
          <w:color w:val="000000" w:themeColor="text1"/>
          <w:sz w:val="24"/>
          <w:szCs w:val="24"/>
          <w:rtl/>
        </w:rPr>
        <w:t>:</w:t>
      </w:r>
    </w:p>
    <w:p w14:paraId="3653B634" w14:textId="002BEF56" w:rsidR="00535C4D" w:rsidRPr="00535C4D" w:rsidRDefault="00535C4D" w:rsidP="00535C4D">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Pr>
        <w:t>:</w:t>
      </w:r>
      <w:r w:rsidRPr="00535C4D">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 </w:t>
      </w:r>
      <w:r w:rsidRPr="00535C4D">
        <w:rPr>
          <w:rFonts w:asciiTheme="majorBidi" w:hAnsiTheme="majorBidi" w:cstheme="majorBidi"/>
          <w:b/>
          <w:bCs/>
          <w:color w:val="000000" w:themeColor="text1"/>
          <w:sz w:val="24"/>
          <w:szCs w:val="24"/>
          <w:rtl/>
        </w:rPr>
        <w:t>السياق التاريخي والغاية النظامية من التشريع</w:t>
      </w:r>
      <w:r w:rsidRPr="00BC5F38">
        <w:rPr>
          <w:rFonts w:asciiTheme="majorBidi" w:hAnsiTheme="majorBidi" w:cstheme="majorBidi"/>
          <w:b/>
          <w:bCs/>
          <w:color w:val="000000" w:themeColor="text1"/>
          <w:sz w:val="24"/>
          <w:szCs w:val="24"/>
        </w:rPr>
        <w:t xml:space="preserve">- </w:t>
      </w:r>
    </w:p>
    <w:p w14:paraId="20ACA6F8" w14:textId="7777777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sidRPr="00535C4D">
        <w:rPr>
          <w:rFonts w:asciiTheme="majorBidi" w:hAnsiTheme="majorBidi" w:cstheme="majorBidi"/>
          <w:color w:val="000000" w:themeColor="text1"/>
          <w:sz w:val="24"/>
          <w:szCs w:val="24"/>
        </w:rPr>
        <w:t>.</w:t>
      </w:r>
    </w:p>
    <w:p w14:paraId="1A8E49B1" w14:textId="37CFC62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وتضمنت المادة الأولى من النظام أن</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sidRPr="00BC5F38">
        <w:rPr>
          <w:rFonts w:asciiTheme="majorBidi" w:hAnsiTheme="majorBidi" w:cstheme="majorBidi" w:hint="cs"/>
          <w:color w:val="000000" w:themeColor="text1"/>
          <w:sz w:val="24"/>
          <w:szCs w:val="24"/>
          <w:rtl/>
        </w:rPr>
        <w:t>)</w:t>
      </w:r>
      <w:r w:rsidRPr="00BC5F38">
        <w:rPr>
          <w:rStyle w:val="af"/>
          <w:rFonts w:asciiTheme="majorBidi" w:hAnsiTheme="majorBidi" w:cstheme="majorBidi"/>
          <w:color w:val="000000" w:themeColor="text1"/>
          <w:sz w:val="24"/>
          <w:szCs w:val="24"/>
          <w:rtl/>
        </w:rPr>
        <w:footnoteReference w:id="17"/>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BC5F38">
        <w:rPr>
          <w:rFonts w:asciiTheme="majorBidi" w:hAnsiTheme="majorBidi" w:cstheme="majorBidi" w:hint="cs"/>
          <w:color w:val="000000" w:themeColor="text1"/>
          <w:sz w:val="24"/>
          <w:szCs w:val="24"/>
          <w:rtl/>
        </w:rPr>
        <w:t>و</w:t>
      </w:r>
      <w:r w:rsidRPr="00535C4D">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وقد أشار العيسى في دراسته عن القواعد والإجراءات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sidR="0026477A" w:rsidRPr="00BC5F38">
        <w:rPr>
          <w:rStyle w:val="af"/>
          <w:rFonts w:asciiTheme="majorBidi" w:hAnsiTheme="majorBidi" w:cstheme="majorBidi"/>
          <w:color w:val="000000" w:themeColor="text1"/>
          <w:sz w:val="24"/>
          <w:szCs w:val="24"/>
          <w:rtl/>
        </w:rPr>
        <w:footnoteReference w:id="18"/>
      </w:r>
      <w:r w:rsidRPr="00535C4D">
        <w:rPr>
          <w:rFonts w:asciiTheme="majorBidi" w:hAnsiTheme="majorBidi" w:cstheme="majorBidi"/>
          <w:color w:val="000000" w:themeColor="text1"/>
          <w:sz w:val="24"/>
          <w:szCs w:val="24"/>
        </w:rPr>
        <w:t>.</w:t>
      </w:r>
    </w:p>
    <w:p w14:paraId="1ABA1FEE" w14:textId="70C35003" w:rsidR="00535C4D" w:rsidRPr="00D41CB7" w:rsidRDefault="00535C4D" w:rsidP="00D41CB7">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sidR="0026477A" w:rsidRPr="00BC5F38">
        <w:rPr>
          <w:rStyle w:val="af"/>
          <w:rFonts w:asciiTheme="majorBidi" w:hAnsiTheme="majorBidi" w:cstheme="majorBidi"/>
          <w:color w:val="000000" w:themeColor="text1"/>
          <w:sz w:val="24"/>
          <w:szCs w:val="24"/>
          <w:rtl/>
        </w:rPr>
        <w:footnoteReference w:id="19"/>
      </w:r>
      <w:r w:rsidRPr="00535C4D">
        <w:rPr>
          <w:rFonts w:asciiTheme="majorBidi" w:hAnsiTheme="majorBidi" w:cstheme="majorBidi"/>
          <w:color w:val="000000" w:themeColor="text1"/>
          <w:sz w:val="24"/>
          <w:szCs w:val="24"/>
          <w:rtl/>
        </w:rPr>
        <w:t>2022</w:t>
      </w:r>
      <w:r w:rsidRPr="00535C4D">
        <w:rPr>
          <w:rFonts w:asciiTheme="majorBidi" w:hAnsiTheme="majorBidi" w:cstheme="majorBidi"/>
          <w:color w:val="000000" w:themeColor="text1"/>
          <w:sz w:val="24"/>
          <w:szCs w:val="24"/>
        </w:rPr>
        <w:t>.</w:t>
      </w:r>
    </w:p>
    <w:p w14:paraId="041B16A2" w14:textId="0305B549" w:rsidR="0026477A" w:rsidRPr="0026477A" w:rsidRDefault="0026477A" w:rsidP="0026477A">
      <w:pPr>
        <w:jc w:val="right"/>
        <w:rPr>
          <w:rFonts w:asciiTheme="majorBidi" w:hAnsiTheme="majorBidi" w:cstheme="majorBidi"/>
          <w:b/>
          <w:bCs/>
          <w:color w:val="000000" w:themeColor="text1"/>
          <w:sz w:val="24"/>
          <w:szCs w:val="24"/>
        </w:rPr>
      </w:pPr>
      <w:r w:rsidRPr="00BC5F38">
        <w:rPr>
          <w:rFonts w:asciiTheme="majorBidi" w:hAnsiTheme="majorBidi" w:cstheme="majorBidi" w:hint="cs"/>
          <w:b/>
          <w:bCs/>
          <w:color w:val="000000" w:themeColor="text1"/>
          <w:sz w:val="24"/>
          <w:szCs w:val="24"/>
          <w:rtl/>
        </w:rPr>
        <w:lastRenderedPageBreak/>
        <w:t xml:space="preserve">- </w:t>
      </w:r>
      <w:r w:rsidRPr="0026477A">
        <w:rPr>
          <w:rFonts w:asciiTheme="majorBidi" w:hAnsiTheme="majorBidi" w:cstheme="majorBidi"/>
          <w:b/>
          <w:bCs/>
          <w:color w:val="000000" w:themeColor="text1"/>
          <w:sz w:val="24"/>
          <w:szCs w:val="24"/>
          <w:rtl/>
        </w:rPr>
        <w:t>المادة الثانية وتحديات تعريف الممارسة القانونية</w:t>
      </w:r>
      <w:r w:rsidRPr="00BC5F38">
        <w:rPr>
          <w:rFonts w:asciiTheme="majorBidi" w:hAnsiTheme="majorBidi" w:cstheme="majorBidi" w:hint="cs"/>
          <w:b/>
          <w:bCs/>
          <w:color w:val="000000" w:themeColor="text1"/>
          <w:sz w:val="24"/>
          <w:szCs w:val="24"/>
          <w:rtl/>
        </w:rPr>
        <w:t>:</w:t>
      </w:r>
    </w:p>
    <w:p w14:paraId="1E3FF14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sidRPr="0026477A">
        <w:rPr>
          <w:rFonts w:asciiTheme="majorBidi" w:hAnsiTheme="majorBidi" w:cstheme="majorBidi"/>
          <w:color w:val="000000" w:themeColor="text1"/>
          <w:sz w:val="24"/>
          <w:szCs w:val="24"/>
        </w:rPr>
        <w:t>.</w:t>
      </w:r>
    </w:p>
    <w:p w14:paraId="16184C5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ويثير هذا تساؤلًا جوهريًا: هل يعد استخدام هذه الأنظمة مشاركة من جهة غير مرخصة في المهنة؟</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2DCEAEFB" w14:textId="77777777" w:rsidR="0026477A"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t>يرى محمد إسماعيل</w:t>
      </w:r>
      <w:r w:rsidRPr="00BC5F38">
        <w:rPr>
          <w:rStyle w:val="af"/>
          <w:rFonts w:asciiTheme="majorBidi" w:hAnsiTheme="majorBidi" w:cstheme="majorBidi"/>
          <w:color w:val="000000" w:themeColor="text1"/>
          <w:sz w:val="24"/>
          <w:szCs w:val="24"/>
          <w:rtl/>
        </w:rPr>
        <w:footnoteReference w:id="20"/>
      </w:r>
      <w:r w:rsidRPr="0026477A">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sidRPr="00BC5F38">
        <w:rPr>
          <w:rFonts w:asciiTheme="majorBidi" w:hAnsiTheme="majorBidi" w:cstheme="majorBidi" w:hint="cs"/>
          <w:color w:val="000000" w:themeColor="text1"/>
          <w:sz w:val="24"/>
          <w:szCs w:val="24"/>
          <w:rtl/>
        </w:rPr>
        <w:t>.</w:t>
      </w:r>
    </w:p>
    <w:p w14:paraId="30CDF658" w14:textId="4B32B0FF" w:rsidR="0026477A" w:rsidRPr="0026477A" w:rsidRDefault="0026477A" w:rsidP="0026477A">
      <w:pPr>
        <w:jc w:val="right"/>
        <w:rPr>
          <w:rFonts w:asciiTheme="majorBidi" w:hAnsiTheme="majorBidi" w:cstheme="majorBidi"/>
          <w:b/>
          <w:bCs/>
          <w:color w:val="000000" w:themeColor="text1"/>
          <w:sz w:val="24"/>
          <w:szCs w:val="24"/>
        </w:rPr>
      </w:pPr>
      <w:r w:rsidRPr="0026477A">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sidRPr="00BC5F38">
        <w:rPr>
          <w:rFonts w:asciiTheme="majorBidi" w:hAnsiTheme="majorBidi" w:cstheme="majorBidi" w:hint="cs"/>
          <w:b/>
          <w:bCs/>
          <w:color w:val="000000" w:themeColor="text1"/>
          <w:sz w:val="24"/>
          <w:szCs w:val="24"/>
          <w:rtl/>
        </w:rPr>
        <w:t>:</w:t>
      </w:r>
      <w:r w:rsidRPr="00BC5F38">
        <w:rPr>
          <w:rFonts w:asciiTheme="majorBidi" w:hAnsiTheme="majorBidi" w:cstheme="majorBidi"/>
          <w:b/>
          <w:bCs/>
          <w:color w:val="000000" w:themeColor="text1"/>
          <w:sz w:val="24"/>
          <w:szCs w:val="24"/>
        </w:rPr>
        <w:t>-</w:t>
      </w:r>
    </w:p>
    <w:p w14:paraId="68704B08"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sidRPr="0026477A">
        <w:rPr>
          <w:rFonts w:asciiTheme="majorBidi" w:hAnsiTheme="majorBidi" w:cstheme="majorBidi"/>
          <w:color w:val="000000" w:themeColor="text1"/>
          <w:sz w:val="24"/>
          <w:szCs w:val="24"/>
        </w:rPr>
        <w:t>.</w:t>
      </w:r>
    </w:p>
    <w:p w14:paraId="73E08283" w14:textId="72BD01F9" w:rsidR="0026477A" w:rsidRPr="00BC5F38" w:rsidRDefault="0026477A" w:rsidP="00D41CB7">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وقد أظهرت دراسات فاطمة بلال</w:t>
      </w:r>
      <w:r w:rsidRPr="00BC5F38">
        <w:rPr>
          <w:rStyle w:val="af"/>
          <w:rFonts w:asciiTheme="majorBidi" w:hAnsiTheme="majorBidi" w:cstheme="majorBidi"/>
          <w:color w:val="000000" w:themeColor="text1"/>
          <w:sz w:val="24"/>
          <w:szCs w:val="24"/>
          <w:rtl/>
        </w:rPr>
        <w:footnoteReference w:id="21"/>
      </w:r>
      <w:r w:rsidRPr="0026477A">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sidRPr="00BC5F38">
        <w:rPr>
          <w:rFonts w:asciiTheme="majorBidi" w:hAnsiTheme="majorBidi" w:cstheme="majorBidi" w:hint="cs"/>
          <w:color w:val="000000" w:themeColor="text1"/>
          <w:sz w:val="24"/>
          <w:szCs w:val="24"/>
          <w:rtl/>
        </w:rPr>
        <w:t>.</w:t>
      </w:r>
    </w:p>
    <w:p w14:paraId="23D0F02A" w14:textId="192D8BCB" w:rsidR="0026477A" w:rsidRPr="0026477A" w:rsidRDefault="0026477A" w:rsidP="0026477A">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الثالثة عشرة ومسؤولية المحامي عن الأفعال التقنية</w:t>
      </w:r>
      <w:r w:rsidRPr="00BC5F38">
        <w:rPr>
          <w:rFonts w:asciiTheme="majorBidi" w:hAnsiTheme="majorBidi" w:cstheme="majorBidi"/>
          <w:b/>
          <w:bCs/>
          <w:color w:val="000000" w:themeColor="text1"/>
          <w:sz w:val="24"/>
          <w:szCs w:val="24"/>
          <w:rtl/>
        </w:rPr>
        <w:t>:</w:t>
      </w:r>
      <w:r w:rsidRPr="00BC5F38">
        <w:rPr>
          <w:rFonts w:asciiTheme="majorBidi" w:hAnsiTheme="majorBidi" w:cstheme="majorBidi"/>
          <w:b/>
          <w:bCs/>
          <w:color w:val="000000" w:themeColor="text1"/>
          <w:sz w:val="24"/>
          <w:szCs w:val="24"/>
        </w:rPr>
        <w:t>-</w:t>
      </w:r>
    </w:p>
    <w:p w14:paraId="219A4331"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sidRPr="0026477A">
        <w:rPr>
          <w:rFonts w:asciiTheme="majorBidi" w:hAnsiTheme="majorBidi" w:cstheme="majorBidi"/>
          <w:color w:val="000000" w:themeColor="text1"/>
          <w:sz w:val="24"/>
          <w:szCs w:val="24"/>
        </w:rPr>
        <w:t>.</w:t>
      </w:r>
    </w:p>
    <w:p w14:paraId="23035940" w14:textId="77777777" w:rsidR="00A40287"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t>وقد بيّن خالد المالكي</w:t>
      </w:r>
      <w:r w:rsidR="00A40287" w:rsidRPr="00BC5F38">
        <w:rPr>
          <w:rStyle w:val="af"/>
          <w:rFonts w:asciiTheme="majorBidi" w:hAnsiTheme="majorBidi" w:cstheme="majorBidi"/>
          <w:color w:val="000000" w:themeColor="text1"/>
          <w:sz w:val="24"/>
          <w:szCs w:val="24"/>
          <w:rtl/>
        </w:rPr>
        <w:footnoteReference w:id="22"/>
      </w:r>
      <w:r w:rsidRPr="0026477A">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sidR="00A40287" w:rsidRPr="00BC5F38">
        <w:rPr>
          <w:rFonts w:asciiTheme="majorBidi" w:hAnsiTheme="majorBidi" w:cstheme="majorBidi" w:hint="cs"/>
          <w:color w:val="000000" w:themeColor="text1"/>
          <w:sz w:val="24"/>
          <w:szCs w:val="24"/>
          <w:rtl/>
        </w:rPr>
        <w:t>.</w:t>
      </w:r>
    </w:p>
    <w:p w14:paraId="430D5072" w14:textId="77777777" w:rsidR="0026477A" w:rsidRPr="00BC5F38" w:rsidRDefault="0026477A" w:rsidP="0026477A">
      <w:pPr>
        <w:jc w:val="right"/>
        <w:rPr>
          <w:rFonts w:asciiTheme="majorBidi" w:hAnsiTheme="majorBidi" w:cstheme="majorBidi"/>
          <w:color w:val="000000" w:themeColor="text1"/>
          <w:sz w:val="24"/>
          <w:szCs w:val="24"/>
        </w:rPr>
      </w:pPr>
    </w:p>
    <w:p w14:paraId="59E91D90" w14:textId="34B04C7F"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lastRenderedPageBreak/>
        <w:t xml:space="preserve">- </w:t>
      </w:r>
      <w:r w:rsidRPr="00A40287">
        <w:rPr>
          <w:rFonts w:asciiTheme="majorBidi" w:hAnsiTheme="majorBidi" w:cstheme="majorBidi"/>
          <w:b/>
          <w:bCs/>
          <w:color w:val="000000" w:themeColor="text1"/>
          <w:sz w:val="24"/>
          <w:szCs w:val="24"/>
          <w:rtl/>
        </w:rPr>
        <w:t>المادة الحادية والثلاثون ونطاق التأديب التقني</w:t>
      </w:r>
      <w:r w:rsidRPr="00BC5F38">
        <w:rPr>
          <w:rFonts w:asciiTheme="majorBidi" w:hAnsiTheme="majorBidi" w:cstheme="majorBidi" w:hint="cs"/>
          <w:b/>
          <w:bCs/>
          <w:color w:val="000000" w:themeColor="text1"/>
          <w:sz w:val="24"/>
          <w:szCs w:val="24"/>
          <w:rtl/>
        </w:rPr>
        <w:t xml:space="preserve"> :</w:t>
      </w:r>
    </w:p>
    <w:p w14:paraId="5F2003AA" w14:textId="7073588F"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sidRPr="00BC5F38">
        <w:rPr>
          <w:rFonts w:asciiTheme="majorBidi" w:hAnsiTheme="majorBidi" w:cstheme="majorBidi" w:hint="cs"/>
          <w:color w:val="000000" w:themeColor="text1"/>
          <w:sz w:val="24"/>
          <w:szCs w:val="24"/>
          <w:rtl/>
        </w:rPr>
        <w:t>.</w:t>
      </w:r>
      <w:r w:rsidRPr="00A40287">
        <w:rPr>
          <w:rFonts w:asciiTheme="majorBidi" w:hAnsiTheme="majorBidi" w:cstheme="majorBidi"/>
          <w:color w:val="000000" w:themeColor="text1"/>
          <w:sz w:val="24"/>
          <w:szCs w:val="24"/>
        </w:rPr>
        <w:t>.</w:t>
      </w:r>
    </w:p>
    <w:p w14:paraId="3EA9150A" w14:textId="58019768" w:rsidR="00A40287" w:rsidRPr="00BC5F38"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23"/>
      </w:r>
      <w:r w:rsidRPr="00A40287">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sidRPr="00BC5F38">
        <w:rPr>
          <w:rFonts w:asciiTheme="majorBidi" w:hAnsiTheme="majorBidi" w:cstheme="majorBidi" w:hint="cs"/>
          <w:color w:val="000000" w:themeColor="text1"/>
          <w:sz w:val="24"/>
          <w:szCs w:val="24"/>
          <w:rtl/>
        </w:rPr>
        <w:t>.</w:t>
      </w:r>
    </w:p>
    <w:p w14:paraId="4C866C12" w14:textId="57295FB2"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A40287">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التحول العدلي الرقمي وتأثيره على صلاحية النظام</w:t>
      </w:r>
    </w:p>
    <w:p w14:paraId="5BECCA8D" w14:textId="77777777"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sidRPr="00A40287">
        <w:rPr>
          <w:rFonts w:asciiTheme="majorBidi" w:hAnsiTheme="majorBidi" w:cstheme="majorBidi"/>
          <w:color w:val="000000" w:themeColor="text1"/>
          <w:sz w:val="24"/>
          <w:szCs w:val="24"/>
        </w:rPr>
        <w:t>.</w:t>
      </w:r>
    </w:p>
    <w:p w14:paraId="6A396F3D" w14:textId="501A44A0" w:rsidR="00A40287" w:rsidRPr="00A40287"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sidRPr="00BC5F38">
        <w:rPr>
          <w:rFonts w:asciiTheme="majorBidi" w:hAnsiTheme="majorBidi" w:cstheme="majorBidi" w:hint="cs"/>
          <w:color w:val="000000" w:themeColor="text1"/>
          <w:sz w:val="24"/>
          <w:szCs w:val="24"/>
          <w:rtl/>
        </w:rPr>
        <w:t>.</w:t>
      </w:r>
    </w:p>
    <w:p w14:paraId="53AF5E01" w14:textId="3D829F63"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الخلاصة التحليلية</w:t>
      </w:r>
      <w:r w:rsidRPr="00BC5F38">
        <w:rPr>
          <w:rFonts w:asciiTheme="majorBidi" w:hAnsiTheme="majorBidi" w:cstheme="majorBidi" w:hint="cs"/>
          <w:b/>
          <w:bCs/>
          <w:color w:val="000000" w:themeColor="text1"/>
          <w:sz w:val="24"/>
          <w:szCs w:val="24"/>
          <w:rtl/>
        </w:rPr>
        <w:t xml:space="preserve"> :</w:t>
      </w:r>
    </w:p>
    <w:p w14:paraId="09B625FB" w14:textId="0AE177EA"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sidR="009E1814" w:rsidRPr="00BC5F38">
        <w:rPr>
          <w:rFonts w:asciiTheme="majorBidi" w:hAnsiTheme="majorBidi" w:cstheme="majorBidi" w:hint="cs"/>
          <w:color w:val="000000" w:themeColor="text1"/>
          <w:sz w:val="24"/>
          <w:szCs w:val="24"/>
          <w:rtl/>
        </w:rPr>
        <w:t>.</w:t>
      </w:r>
    </w:p>
    <w:p w14:paraId="1E93743F" w14:textId="77777777" w:rsidR="00A40287" w:rsidRPr="0026477A" w:rsidRDefault="00A40287" w:rsidP="0026477A">
      <w:pPr>
        <w:jc w:val="right"/>
        <w:rPr>
          <w:rFonts w:asciiTheme="majorBidi" w:hAnsiTheme="majorBidi" w:cstheme="majorBidi"/>
          <w:color w:val="000000" w:themeColor="text1"/>
          <w:sz w:val="24"/>
          <w:szCs w:val="24"/>
        </w:rPr>
      </w:pPr>
    </w:p>
    <w:p w14:paraId="27ACEB44" w14:textId="10B0D812"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b/>
          <w:bCs/>
          <w:color w:val="000000" w:themeColor="text1"/>
          <w:sz w:val="24"/>
          <w:szCs w:val="24"/>
          <w:rtl/>
        </w:rPr>
        <w:t>ثانيًا: الطبيعة القانونية لمهنة المحاماة في النظام السعودي</w:t>
      </w:r>
      <w:r w:rsidRPr="00BC5F38">
        <w:rPr>
          <w:rFonts w:asciiTheme="majorBidi" w:hAnsiTheme="majorBidi" w:cstheme="majorBidi" w:hint="cs"/>
          <w:b/>
          <w:bCs/>
          <w:color w:val="000000" w:themeColor="text1"/>
          <w:sz w:val="24"/>
          <w:szCs w:val="24"/>
          <w:rtl/>
        </w:rPr>
        <w:t>:</w:t>
      </w:r>
    </w:p>
    <w:p w14:paraId="2FCA613A"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sidRPr="00AA06F2">
        <w:rPr>
          <w:rFonts w:asciiTheme="majorBidi" w:hAnsiTheme="majorBidi" w:cstheme="majorBidi"/>
          <w:color w:val="000000" w:themeColor="text1"/>
          <w:sz w:val="24"/>
          <w:szCs w:val="24"/>
        </w:rPr>
        <w:t>.</w:t>
      </w:r>
    </w:p>
    <w:p w14:paraId="0200B987" w14:textId="2A674A8B"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 xml:space="preserve">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w:t>
      </w:r>
      <w:r w:rsidRPr="00AA06F2">
        <w:rPr>
          <w:rFonts w:asciiTheme="majorBidi" w:hAnsiTheme="majorBidi" w:cstheme="majorBidi"/>
          <w:color w:val="000000" w:themeColor="text1"/>
          <w:sz w:val="24"/>
          <w:szCs w:val="24"/>
          <w:rtl/>
        </w:rPr>
        <w:lastRenderedPageBreak/>
        <w:t>القضايا وتحليل العقود. وقد أشارت دراسات إسماعيل</w:t>
      </w:r>
      <w:r w:rsidR="00CB64BE" w:rsidRPr="00BC5F38">
        <w:rPr>
          <w:rStyle w:val="af"/>
          <w:rFonts w:asciiTheme="majorBidi" w:hAnsiTheme="majorBidi" w:cstheme="majorBidi"/>
          <w:color w:val="000000" w:themeColor="text1"/>
          <w:sz w:val="24"/>
          <w:szCs w:val="24"/>
          <w:rtl/>
        </w:rPr>
        <w:footnoteReference w:id="24"/>
      </w:r>
      <w:r w:rsidRPr="00AA06F2">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sidRPr="00AA06F2">
        <w:rPr>
          <w:rFonts w:asciiTheme="majorBidi" w:hAnsiTheme="majorBidi" w:cstheme="majorBidi"/>
          <w:color w:val="000000" w:themeColor="text1"/>
          <w:sz w:val="24"/>
          <w:szCs w:val="24"/>
        </w:rPr>
        <w:t>.</w:t>
      </w:r>
    </w:p>
    <w:p w14:paraId="70DA2025" w14:textId="47E60CAC"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حلقة وصل بين الأفراد والسلطة القضائية، ويؤدي دورًا في تمكين الوصول إلى العدالة، ويخضع في سلوكه المهني لرقابة تنظيمية وتأديبية. وقد بينت دراسات العيسى</w:t>
      </w:r>
      <w:r w:rsidR="00CB64BE" w:rsidRPr="00BC5F38">
        <w:rPr>
          <w:rStyle w:val="af"/>
          <w:rFonts w:asciiTheme="majorBidi" w:hAnsiTheme="majorBidi" w:cstheme="majorBidi"/>
          <w:color w:val="000000" w:themeColor="text1"/>
          <w:sz w:val="24"/>
          <w:szCs w:val="24"/>
          <w:rtl/>
        </w:rPr>
        <w:footnoteReference w:id="25"/>
      </w:r>
      <w:r w:rsidRPr="00AA06F2">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sidRPr="00AA06F2">
        <w:rPr>
          <w:rFonts w:asciiTheme="majorBidi" w:hAnsiTheme="majorBidi" w:cstheme="majorBidi"/>
          <w:color w:val="000000" w:themeColor="text1"/>
          <w:sz w:val="24"/>
          <w:szCs w:val="24"/>
        </w:rPr>
        <w:t>.</w:t>
      </w:r>
    </w:p>
    <w:p w14:paraId="7B101CCF"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sidRPr="00AA06F2">
        <w:rPr>
          <w:rFonts w:asciiTheme="majorBidi" w:hAnsiTheme="majorBidi" w:cstheme="majorBidi"/>
          <w:color w:val="000000" w:themeColor="text1"/>
          <w:sz w:val="24"/>
          <w:szCs w:val="24"/>
        </w:rPr>
        <w:t>.</w:t>
      </w:r>
    </w:p>
    <w:p w14:paraId="342E1B39" w14:textId="2FA6311A"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sidR="00CB64BE" w:rsidRPr="00BC5F38">
        <w:rPr>
          <w:rStyle w:val="af"/>
          <w:rFonts w:asciiTheme="majorBidi" w:hAnsiTheme="majorBidi" w:cstheme="majorBidi"/>
          <w:color w:val="000000" w:themeColor="text1"/>
          <w:sz w:val="24"/>
          <w:szCs w:val="24"/>
          <w:rtl/>
        </w:rPr>
        <w:footnoteReference w:id="26"/>
      </w:r>
      <w:r w:rsidRPr="00AA06F2">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sidRPr="00AA06F2">
        <w:rPr>
          <w:rFonts w:asciiTheme="majorBidi" w:hAnsiTheme="majorBidi" w:cstheme="majorBidi"/>
          <w:color w:val="000000" w:themeColor="text1"/>
          <w:sz w:val="24"/>
          <w:szCs w:val="24"/>
        </w:rPr>
        <w:t>.</w:t>
      </w:r>
    </w:p>
    <w:p w14:paraId="67D73471"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sidRPr="00AA06F2">
        <w:rPr>
          <w:rFonts w:asciiTheme="majorBidi" w:hAnsiTheme="majorBidi" w:cstheme="majorBidi"/>
          <w:color w:val="000000" w:themeColor="text1"/>
          <w:sz w:val="24"/>
          <w:szCs w:val="24"/>
        </w:rPr>
        <w:t>.</w:t>
      </w:r>
    </w:p>
    <w:p w14:paraId="4603D1FB" w14:textId="56120C4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 xml:space="preserve">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w:t>
      </w:r>
      <w:r w:rsidRPr="00AA06F2">
        <w:rPr>
          <w:rFonts w:asciiTheme="majorBidi" w:hAnsiTheme="majorBidi" w:cstheme="majorBidi"/>
          <w:color w:val="000000" w:themeColor="text1"/>
          <w:sz w:val="24"/>
          <w:szCs w:val="24"/>
          <w:rtl/>
        </w:rPr>
        <w:lastRenderedPageBreak/>
        <w:t>الذكاء الاصطناعي الصادرة عن سدايا</w:t>
      </w:r>
      <w:r w:rsidR="00CB64BE" w:rsidRPr="00BC5F38">
        <w:rPr>
          <w:rStyle w:val="af"/>
          <w:rFonts w:asciiTheme="majorBidi" w:hAnsiTheme="majorBidi" w:cstheme="majorBidi"/>
          <w:color w:val="000000" w:themeColor="text1"/>
          <w:sz w:val="24"/>
          <w:szCs w:val="24"/>
          <w:rtl/>
        </w:rPr>
        <w:footnoteReference w:id="27"/>
      </w:r>
      <w:r w:rsidRPr="00AA06F2">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sidRPr="00AA06F2">
        <w:rPr>
          <w:rFonts w:asciiTheme="majorBidi" w:hAnsiTheme="majorBidi" w:cstheme="majorBidi"/>
          <w:color w:val="000000" w:themeColor="text1"/>
          <w:sz w:val="24"/>
          <w:szCs w:val="24"/>
        </w:rPr>
        <w:t>.</w:t>
      </w:r>
    </w:p>
    <w:p w14:paraId="1B9B587C" w14:textId="33187FF9" w:rsidR="00AA06F2" w:rsidRDefault="00AA06F2" w:rsidP="00CB64BE">
      <w:pPr>
        <w:jc w:val="right"/>
        <w:rPr>
          <w:rFonts w:asciiTheme="majorBidi" w:hAnsiTheme="majorBidi" w:cstheme="majorBidi"/>
          <w:color w:val="000000" w:themeColor="text1"/>
          <w:sz w:val="24"/>
          <w:szCs w:val="24"/>
          <w:rtl/>
        </w:rPr>
      </w:pPr>
      <w:r w:rsidRPr="00AA06F2">
        <w:rPr>
          <w:rFonts w:asciiTheme="majorBidi" w:hAnsiTheme="majorBidi" w:cstheme="majorBidi"/>
          <w:b/>
          <w:bCs/>
          <w:color w:val="000000" w:themeColor="text1"/>
          <w:sz w:val="24"/>
          <w:szCs w:val="24"/>
          <w:rtl/>
        </w:rPr>
        <w:t>ومن خلال هذا التحليل</w:t>
      </w:r>
      <w:r w:rsidRPr="00AA06F2">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sidR="00CB64BE" w:rsidRPr="00BC5F38">
        <w:rPr>
          <w:rFonts w:asciiTheme="majorBidi" w:hAnsiTheme="majorBidi" w:cstheme="majorBidi" w:hint="cs"/>
          <w:color w:val="000000" w:themeColor="text1"/>
          <w:sz w:val="24"/>
          <w:szCs w:val="24"/>
          <w:rtl/>
        </w:rPr>
        <w:t>.</w:t>
      </w:r>
    </w:p>
    <w:p w14:paraId="75306F75" w14:textId="77777777" w:rsidR="00D41CB7" w:rsidRPr="00AA06F2" w:rsidRDefault="00D41CB7" w:rsidP="00CB64BE">
      <w:pPr>
        <w:jc w:val="right"/>
        <w:rPr>
          <w:rFonts w:asciiTheme="majorBidi" w:hAnsiTheme="majorBidi" w:cstheme="majorBidi"/>
          <w:color w:val="000000" w:themeColor="text1"/>
          <w:sz w:val="24"/>
          <w:szCs w:val="24"/>
        </w:rPr>
      </w:pPr>
    </w:p>
    <w:p w14:paraId="0CD39C11" w14:textId="44467583"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b/>
          <w:bCs/>
          <w:color w:val="000000" w:themeColor="text1"/>
          <w:sz w:val="24"/>
          <w:szCs w:val="24"/>
          <w:rtl/>
        </w:rPr>
        <w:t>ثالثًا: البنية النصية لنظام المحاماة وأثرها في التحول التقني</w:t>
      </w:r>
      <w:r w:rsidRPr="00BC5F38">
        <w:rPr>
          <w:rFonts w:asciiTheme="majorBidi" w:hAnsiTheme="majorBidi" w:cstheme="majorBidi" w:hint="cs"/>
          <w:b/>
          <w:bCs/>
          <w:color w:val="000000" w:themeColor="text1"/>
          <w:sz w:val="24"/>
          <w:szCs w:val="24"/>
          <w:rtl/>
        </w:rPr>
        <w:t>:</w:t>
      </w:r>
    </w:p>
    <w:p w14:paraId="2D17020E" w14:textId="2AC2E31A"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6F4E03">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1- </w:t>
      </w:r>
      <w:r w:rsidRPr="006F4E03">
        <w:rPr>
          <w:rFonts w:asciiTheme="majorBidi" w:hAnsiTheme="majorBidi" w:cstheme="majorBidi"/>
          <w:b/>
          <w:bCs/>
          <w:color w:val="000000" w:themeColor="text1"/>
          <w:sz w:val="24"/>
          <w:szCs w:val="24"/>
          <w:rtl/>
        </w:rPr>
        <w:t>البناء الهيكلي للنظام وطبيعة صياغته التشريعية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sidRPr="006F4E03">
        <w:rPr>
          <w:rFonts w:asciiTheme="majorBidi" w:hAnsiTheme="majorBidi" w:cstheme="majorBidi"/>
          <w:color w:val="000000" w:themeColor="text1"/>
          <w:sz w:val="24"/>
          <w:szCs w:val="24"/>
        </w:rPr>
        <w:t>.</w:t>
      </w:r>
    </w:p>
    <w:p w14:paraId="09A48B4F" w14:textId="5E30D87C"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28"/>
      </w:r>
      <w:r w:rsidRPr="006F4E03">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sidRPr="006F4E03">
        <w:rPr>
          <w:rFonts w:asciiTheme="majorBidi" w:hAnsiTheme="majorBidi" w:cstheme="majorBidi"/>
          <w:color w:val="000000" w:themeColor="text1"/>
          <w:sz w:val="24"/>
          <w:szCs w:val="24"/>
        </w:rPr>
        <w:t>.</w:t>
      </w:r>
    </w:p>
    <w:p w14:paraId="0880FA7E" w14:textId="380B2192"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2- </w:t>
      </w:r>
      <w:r w:rsidRPr="006F4E03">
        <w:rPr>
          <w:rFonts w:asciiTheme="majorBidi" w:hAnsiTheme="majorBidi" w:cstheme="majorBidi"/>
          <w:b/>
          <w:bCs/>
          <w:color w:val="000000" w:themeColor="text1"/>
          <w:sz w:val="24"/>
          <w:szCs w:val="24"/>
          <w:rtl/>
        </w:rPr>
        <w:t>الطابع الشخصي للنصوص النظامية وحدودها في البيئة الرقمية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sidRPr="006F4E03">
        <w:rPr>
          <w:rFonts w:asciiTheme="majorBidi" w:hAnsiTheme="majorBidi" w:cstheme="majorBidi"/>
          <w:color w:val="000000" w:themeColor="text1"/>
          <w:sz w:val="24"/>
          <w:szCs w:val="24"/>
        </w:rPr>
        <w:t>.</w:t>
      </w:r>
    </w:p>
    <w:p w14:paraId="57166E5E" w14:textId="77777777"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 xml:space="preserve">هذا التباين بين الطابع الشخصي للنظام والطابع التشاركي للتقنيات الحديثة يكشف عن فجوة مفهومية داخل البناء </w:t>
      </w:r>
      <w:r w:rsidRPr="006F4E03">
        <w:rPr>
          <w:rFonts w:asciiTheme="majorBidi" w:hAnsiTheme="majorBidi" w:cstheme="majorBidi"/>
          <w:color w:val="000000" w:themeColor="text1"/>
          <w:sz w:val="24"/>
          <w:szCs w:val="24"/>
          <w:rtl/>
        </w:rPr>
        <w:lastRenderedPageBreak/>
        <w:t>النصي للنظام، حيث يُفترض أن يُعاد تعريف مفهوم "الممارسة القانونية" ليشمل الوسائل الرقمية التي يباشر من خلالها المحامي عمله</w:t>
      </w:r>
      <w:r w:rsidRPr="006F4E03">
        <w:rPr>
          <w:rFonts w:asciiTheme="majorBidi" w:hAnsiTheme="majorBidi" w:cstheme="majorBidi"/>
          <w:color w:val="000000" w:themeColor="text1"/>
          <w:sz w:val="24"/>
          <w:szCs w:val="24"/>
        </w:rPr>
        <w:t>.</w:t>
      </w:r>
    </w:p>
    <w:p w14:paraId="758729BC" w14:textId="12EDE5FD"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وقد أوضحت دراسة إسماعيل</w:t>
      </w:r>
      <w:r w:rsidRPr="00BC5F38">
        <w:rPr>
          <w:rStyle w:val="af"/>
          <w:rFonts w:asciiTheme="majorBidi" w:hAnsiTheme="majorBidi" w:cstheme="majorBidi"/>
          <w:color w:val="000000" w:themeColor="text1"/>
          <w:sz w:val="24"/>
          <w:szCs w:val="24"/>
          <w:rtl/>
        </w:rPr>
        <w:footnoteReference w:id="29"/>
      </w:r>
      <w:r w:rsidRPr="006F4E03">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sidRPr="006F4E03">
        <w:rPr>
          <w:rFonts w:asciiTheme="majorBidi" w:hAnsiTheme="majorBidi" w:cstheme="majorBidi"/>
          <w:color w:val="000000" w:themeColor="text1"/>
          <w:sz w:val="24"/>
          <w:szCs w:val="24"/>
        </w:rPr>
        <w:t>.</w:t>
      </w:r>
    </w:p>
    <w:p w14:paraId="5D59031D" w14:textId="3B2EC820"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3- </w:t>
      </w:r>
      <w:r w:rsidRPr="006F4E03">
        <w:rPr>
          <w:rFonts w:asciiTheme="majorBidi" w:hAnsiTheme="majorBidi" w:cstheme="majorBidi"/>
          <w:b/>
          <w:bCs/>
          <w:color w:val="000000" w:themeColor="text1"/>
          <w:sz w:val="24"/>
          <w:szCs w:val="24"/>
          <w:rtl/>
        </w:rPr>
        <w:t>غياب المفاهيم الرقمية في الهيكل النصي للنظام</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من الملاحظ أن النظام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ويُعدّ هذا الغياب أحد أهم مظاهر القصور في البنية النصية، لأن المهنة باتت تعتمد اعتمادًا جوهريًا على إدارة معلومات حساسة في بيئات إلكترونية</w:t>
      </w:r>
      <w:r w:rsidRPr="006F4E03">
        <w:rPr>
          <w:rFonts w:asciiTheme="majorBidi" w:hAnsiTheme="majorBidi" w:cstheme="majorBidi"/>
          <w:color w:val="000000" w:themeColor="text1"/>
          <w:sz w:val="24"/>
          <w:szCs w:val="24"/>
        </w:rPr>
        <w:t>.</w:t>
      </w:r>
    </w:p>
    <w:p w14:paraId="3C623F3D" w14:textId="4B9CE5B0"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وقد بيّنت وثيقة مبادئ أخلاقيات الذكاء الاصطناعي الصادرة عن سدايا عام 2023 أن الالتزام بالشفافية والمساءلة يجب أن يكون مبدأً عامًا في جميع القطاعات التي تستخدم الذكاء الاصطناعي، خصوصًا القطاعات العدلية والقانونية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وبناءً عليه، فإن تطوير البنية النصية للنظام بات ضرورة لتضمين مفاهيم جديدة مثل “المسؤولية الرقمية للمحامي” و”السرية التقنية للمعلومات القانونية”، بحيث تُصبح هذه المبادئ جزءًا من نصوص النظام نفسه وليس مجرد تعليمات إدارية</w:t>
      </w:r>
      <w:r w:rsidRPr="006F4E03">
        <w:rPr>
          <w:rFonts w:asciiTheme="majorBidi" w:hAnsiTheme="majorBidi" w:cstheme="majorBidi"/>
          <w:color w:val="000000" w:themeColor="text1"/>
          <w:sz w:val="24"/>
          <w:szCs w:val="24"/>
        </w:rPr>
        <w:t>.</w:t>
      </w:r>
    </w:p>
    <w:p w14:paraId="2020D610" w14:textId="3E566AAC" w:rsidR="006F4E03" w:rsidRPr="006F4E03" w:rsidRDefault="00C00F5F"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4</w:t>
      </w:r>
      <w:r w:rsidR="006F4E03" w:rsidRPr="00BC5F38">
        <w:rPr>
          <w:rFonts w:asciiTheme="majorBidi" w:hAnsiTheme="majorBidi" w:cstheme="majorBidi" w:hint="cs"/>
          <w:b/>
          <w:bCs/>
          <w:color w:val="000000" w:themeColor="text1"/>
          <w:sz w:val="24"/>
          <w:szCs w:val="24"/>
          <w:rtl/>
        </w:rPr>
        <w:t xml:space="preserve">- </w:t>
      </w:r>
      <w:r w:rsidR="006F4E03" w:rsidRPr="006F4E03">
        <w:rPr>
          <w:rFonts w:asciiTheme="majorBidi" w:hAnsiTheme="majorBidi" w:cstheme="majorBidi"/>
          <w:b/>
          <w:bCs/>
          <w:color w:val="000000" w:themeColor="text1"/>
          <w:sz w:val="24"/>
          <w:szCs w:val="24"/>
          <w:rtl/>
        </w:rPr>
        <w:t>القابلية البنيوية للتحديث التشريعي</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sidR="006F4E03" w:rsidRPr="006F4E03">
        <w:rPr>
          <w:rFonts w:asciiTheme="majorBidi" w:hAnsiTheme="majorBidi" w:cstheme="majorBidi"/>
          <w:color w:val="000000" w:themeColor="text1"/>
          <w:sz w:val="24"/>
          <w:szCs w:val="24"/>
        </w:rPr>
        <w:t>.</w:t>
      </w:r>
    </w:p>
    <w:p w14:paraId="5099D1D6" w14:textId="5D24756A"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ويرى المالكي</w:t>
      </w:r>
      <w:r w:rsidRPr="00BC5F38">
        <w:rPr>
          <w:rStyle w:val="af"/>
          <w:rFonts w:asciiTheme="majorBidi" w:hAnsiTheme="majorBidi" w:cstheme="majorBidi"/>
          <w:color w:val="000000" w:themeColor="text1"/>
          <w:sz w:val="24"/>
          <w:szCs w:val="24"/>
          <w:rtl/>
        </w:rPr>
        <w:footnoteReference w:id="30"/>
      </w:r>
      <w:r w:rsidRPr="006F4E03">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sidRPr="006F4E03">
        <w:rPr>
          <w:rFonts w:asciiTheme="majorBidi" w:hAnsiTheme="majorBidi" w:cstheme="majorBidi"/>
          <w:color w:val="000000" w:themeColor="text1"/>
          <w:sz w:val="24"/>
          <w:szCs w:val="24"/>
        </w:rPr>
        <w:t>.</w:t>
      </w:r>
    </w:p>
    <w:p w14:paraId="3813E2FF" w14:textId="372882BD"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5- </w:t>
      </w:r>
      <w:r w:rsidRPr="006F4E03">
        <w:rPr>
          <w:rFonts w:asciiTheme="majorBidi" w:hAnsiTheme="majorBidi" w:cstheme="majorBidi"/>
          <w:b/>
          <w:bCs/>
          <w:color w:val="000000" w:themeColor="text1"/>
          <w:sz w:val="24"/>
          <w:szCs w:val="24"/>
          <w:rtl/>
        </w:rPr>
        <w:t>الحاجة إلى بنية تشريعية متكاملة تربط النظام بالذكاء الاصطناعي</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sidRPr="006F4E03">
        <w:rPr>
          <w:rFonts w:asciiTheme="majorBidi" w:hAnsiTheme="majorBidi" w:cstheme="majorBidi"/>
          <w:b/>
          <w:bCs/>
          <w:color w:val="000000" w:themeColor="text1"/>
          <w:sz w:val="24"/>
          <w:szCs w:val="24"/>
          <w:rtl/>
        </w:rPr>
        <w:t>نصوص فرعية تتناول بوضوح</w:t>
      </w:r>
      <w:r w:rsidR="00C00F5F" w:rsidRPr="00BC5F38">
        <w:rPr>
          <w:rFonts w:asciiTheme="majorBidi" w:hAnsiTheme="majorBidi" w:cstheme="majorBidi" w:hint="cs"/>
          <w:b/>
          <w:bCs/>
          <w:color w:val="000000" w:themeColor="text1"/>
          <w:sz w:val="24"/>
          <w:szCs w:val="24"/>
          <w:rtl/>
        </w:rPr>
        <w:t xml:space="preserve"> بعض هذه النقاط:</w:t>
      </w:r>
    </w:p>
    <w:p w14:paraId="6DF82BD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lastRenderedPageBreak/>
        <w:t>تعريف التقنية القانونية وأدوات الذكاء الاصطناعي المسموح بها في المهنة</w:t>
      </w:r>
      <w:r w:rsidRPr="006F4E03">
        <w:rPr>
          <w:rFonts w:asciiTheme="majorBidi" w:hAnsiTheme="majorBidi" w:cstheme="majorBidi"/>
          <w:color w:val="000000" w:themeColor="text1"/>
          <w:sz w:val="24"/>
          <w:szCs w:val="24"/>
        </w:rPr>
        <w:t>.</w:t>
      </w:r>
    </w:p>
    <w:p w14:paraId="64B619AA"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sidRPr="006F4E03">
        <w:rPr>
          <w:rFonts w:asciiTheme="majorBidi" w:hAnsiTheme="majorBidi" w:cstheme="majorBidi"/>
          <w:color w:val="000000" w:themeColor="text1"/>
          <w:sz w:val="24"/>
          <w:szCs w:val="24"/>
        </w:rPr>
        <w:t>.</w:t>
      </w:r>
    </w:p>
    <w:p w14:paraId="39036AB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معايير حماية البيانات والخصوصية في الأنشطة القانونية الرقمية</w:t>
      </w:r>
      <w:r w:rsidRPr="006F4E03">
        <w:rPr>
          <w:rFonts w:asciiTheme="majorBidi" w:hAnsiTheme="majorBidi" w:cstheme="majorBidi"/>
          <w:color w:val="000000" w:themeColor="text1"/>
          <w:sz w:val="24"/>
          <w:szCs w:val="24"/>
        </w:rPr>
        <w:t>.</w:t>
      </w:r>
    </w:p>
    <w:p w14:paraId="532103A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sidRPr="006F4E03">
        <w:rPr>
          <w:rFonts w:asciiTheme="majorBidi" w:hAnsiTheme="majorBidi" w:cstheme="majorBidi"/>
          <w:color w:val="000000" w:themeColor="text1"/>
          <w:sz w:val="24"/>
          <w:szCs w:val="24"/>
        </w:rPr>
        <w:t>.</w:t>
      </w:r>
    </w:p>
    <w:p w14:paraId="48798449" w14:textId="77777777" w:rsidR="00C00F5F" w:rsidRPr="00BC5F38" w:rsidRDefault="006F4E03" w:rsidP="006F4E03">
      <w:pPr>
        <w:jc w:val="right"/>
        <w:rPr>
          <w:rFonts w:asciiTheme="majorBidi" w:hAnsiTheme="majorBidi" w:cstheme="majorBidi"/>
          <w:color w:val="000000" w:themeColor="text1"/>
          <w:sz w:val="24"/>
          <w:szCs w:val="24"/>
          <w:rtl/>
        </w:rPr>
      </w:pPr>
      <w:r w:rsidRPr="006F4E03">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0BEA9B76" w14:textId="77777777" w:rsidR="00C00F5F" w:rsidRPr="00BC5F38" w:rsidRDefault="00C00F5F" w:rsidP="00D41CB7">
      <w:pPr>
        <w:rPr>
          <w:rFonts w:asciiTheme="majorBidi" w:hAnsiTheme="majorBidi" w:cstheme="majorBidi"/>
          <w:color w:val="000000" w:themeColor="text1"/>
          <w:sz w:val="24"/>
          <w:szCs w:val="24"/>
        </w:rPr>
      </w:pPr>
    </w:p>
    <w:p w14:paraId="27A6D572" w14:textId="77777777" w:rsidR="00C00F5F" w:rsidRPr="00C00F5F" w:rsidRDefault="00C00F5F" w:rsidP="00C00F5F">
      <w:p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1992BA22" w14:textId="5AB95399"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تحديد نطاق العمل النظامي للمحامي</w:t>
      </w:r>
      <w:r w:rsidRPr="00BC5F38">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وقد أوضحت رسالة فاطمة بلال</w:t>
      </w:r>
      <w:r w:rsidRPr="00BC5F38">
        <w:rPr>
          <w:rStyle w:val="af"/>
          <w:rFonts w:asciiTheme="majorBidi" w:hAnsiTheme="majorBidi" w:cstheme="majorBidi"/>
          <w:color w:val="000000" w:themeColor="text1"/>
          <w:sz w:val="24"/>
          <w:szCs w:val="24"/>
          <w:rtl/>
        </w:rPr>
        <w:footnoteReference w:id="31"/>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دور الذكاء الاصطناعي في تعزيز العدالة الناجزة</w:t>
      </w:r>
      <w:r w:rsidRPr="00C00F5F">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sidRPr="00C00F5F">
        <w:rPr>
          <w:rFonts w:asciiTheme="majorBidi" w:hAnsiTheme="majorBidi" w:cstheme="majorBidi"/>
          <w:color w:val="000000" w:themeColor="text1"/>
          <w:sz w:val="24"/>
          <w:szCs w:val="24"/>
        </w:rPr>
        <w:t>.</w:t>
      </w:r>
    </w:p>
    <w:p w14:paraId="4185089C" w14:textId="45A84648"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التحول من العمل الورقي إلى العمل الرقمي</w:t>
      </w:r>
      <w:r w:rsidR="00D41CB7">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 xml:space="preserve">وقد أظهرت دراسة المركز السعودي للأبحاث القضائية حول </w:t>
      </w:r>
      <w:r w:rsidRPr="00C00F5F">
        <w:rPr>
          <w:rFonts w:asciiTheme="majorBidi" w:hAnsiTheme="majorBidi" w:cstheme="majorBidi"/>
          <w:i/>
          <w:iCs/>
          <w:color w:val="000000" w:themeColor="text1"/>
          <w:sz w:val="24"/>
          <w:szCs w:val="24"/>
          <w:rtl/>
        </w:rPr>
        <w:t>استخدام الذكاء الاصطناعي في المحاكم</w:t>
      </w:r>
      <w:r w:rsidRPr="00C00F5F">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وتؤكد رسالة الغنامي</w:t>
      </w:r>
      <w:r w:rsidRPr="00BC5F38">
        <w:rPr>
          <w:rStyle w:val="af"/>
          <w:rFonts w:asciiTheme="majorBidi" w:hAnsiTheme="majorBidi" w:cstheme="majorBidi"/>
          <w:color w:val="000000" w:themeColor="text1"/>
          <w:sz w:val="24"/>
          <w:szCs w:val="24"/>
          <w:rtl/>
        </w:rPr>
        <w:footnoteReference w:id="32"/>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الضوابط القانونية للذكاء الاصطناعي في المعاملات القانونية</w:t>
      </w:r>
      <w:r w:rsidRPr="00C00F5F">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sidRPr="00C00F5F">
        <w:rPr>
          <w:rFonts w:asciiTheme="majorBidi" w:hAnsiTheme="majorBidi" w:cstheme="majorBidi"/>
          <w:color w:val="000000" w:themeColor="text1"/>
          <w:sz w:val="24"/>
          <w:szCs w:val="24"/>
        </w:rPr>
        <w:t>.</w:t>
      </w:r>
    </w:p>
    <w:p w14:paraId="27A831DF" w14:textId="4CC8ACBE" w:rsidR="00C00F5F" w:rsidRPr="00C00F5F" w:rsidRDefault="00C00F5F"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المجالات العملية المتأثرة بالذكاء الاصطناعي</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sidRPr="00BC5F38">
        <w:rPr>
          <w:rFonts w:asciiTheme="majorBidi" w:hAnsiTheme="majorBidi" w:cstheme="majorBidi" w:hint="cs"/>
          <w:color w:val="000000" w:themeColor="text1"/>
          <w:sz w:val="24"/>
          <w:szCs w:val="24"/>
          <w:rtl/>
        </w:rPr>
        <w:t>:</w:t>
      </w:r>
      <w:r w:rsidRPr="00C00F5F">
        <w:rPr>
          <w:rFonts w:asciiTheme="majorBidi" w:hAnsiTheme="majorBidi" w:cstheme="majorBidi"/>
          <w:color w:val="000000" w:themeColor="text1"/>
          <w:sz w:val="24"/>
          <w:szCs w:val="24"/>
        </w:rPr>
        <w:t>:</w:t>
      </w:r>
    </w:p>
    <w:p w14:paraId="7A8E12BF" w14:textId="43D268C2"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تحليل النصوص القانونية</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37722851"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lastRenderedPageBreak/>
        <w:t>صياغة العقود</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sidRPr="00C00F5F">
        <w:rPr>
          <w:rFonts w:asciiTheme="majorBidi" w:hAnsiTheme="majorBidi" w:cstheme="majorBidi"/>
          <w:color w:val="000000" w:themeColor="text1"/>
          <w:sz w:val="24"/>
          <w:szCs w:val="24"/>
        </w:rPr>
        <w:t>.</w:t>
      </w:r>
    </w:p>
    <w:p w14:paraId="318179E0"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إدارة القضايا</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باستخدام أنظمة رقمية تسجل المواعيد والمذكرات وتتابع مراحل التقاضي</w:t>
      </w:r>
      <w:r w:rsidRPr="00C00F5F">
        <w:rPr>
          <w:rFonts w:asciiTheme="majorBidi" w:hAnsiTheme="majorBidi" w:cstheme="majorBidi"/>
          <w:color w:val="000000" w:themeColor="text1"/>
          <w:sz w:val="24"/>
          <w:szCs w:val="24"/>
        </w:rPr>
        <w:t>.</w:t>
      </w:r>
    </w:p>
    <w:p w14:paraId="4F2D6708"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التنبؤ بالأحكام</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sidRPr="00C00F5F">
        <w:rPr>
          <w:rFonts w:asciiTheme="majorBidi" w:hAnsiTheme="majorBidi" w:cstheme="majorBidi"/>
          <w:color w:val="000000" w:themeColor="text1"/>
          <w:sz w:val="24"/>
          <w:szCs w:val="24"/>
        </w:rPr>
        <w:t>.</w:t>
      </w:r>
    </w:p>
    <w:p w14:paraId="0F8E571C" w14:textId="639D028F"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أوضح مرسي</w:t>
      </w:r>
      <w:r w:rsidR="00122234" w:rsidRPr="00BC5F38">
        <w:rPr>
          <w:rStyle w:val="af"/>
          <w:rFonts w:asciiTheme="majorBidi" w:hAnsiTheme="majorBidi" w:cstheme="majorBidi"/>
          <w:color w:val="000000" w:themeColor="text1"/>
          <w:sz w:val="24"/>
          <w:szCs w:val="24"/>
          <w:rtl/>
        </w:rPr>
        <w:footnoteReference w:id="33"/>
      </w:r>
      <w:r w:rsidRPr="00C00F5F">
        <w:rPr>
          <w:rFonts w:asciiTheme="majorBidi" w:hAnsiTheme="majorBidi" w:cstheme="majorBidi"/>
          <w:color w:val="000000" w:themeColor="text1"/>
          <w:sz w:val="24"/>
          <w:szCs w:val="24"/>
          <w:rtl/>
        </w:rPr>
        <w:t xml:space="preserve"> في بحثه </w:t>
      </w:r>
      <w:r w:rsidRPr="00C00F5F">
        <w:rPr>
          <w:rFonts w:asciiTheme="majorBidi" w:hAnsiTheme="majorBidi" w:cstheme="majorBidi"/>
          <w:i/>
          <w:iCs/>
          <w:color w:val="000000" w:themeColor="text1"/>
          <w:sz w:val="24"/>
          <w:szCs w:val="24"/>
          <w:rtl/>
        </w:rPr>
        <w:t>مدى ملاءمة عقود الذكاء الاصطناعي المبرمة عبر تقنية البلوك تشين لقانون العقود</w:t>
      </w:r>
      <w:r w:rsidRPr="00C00F5F">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sidRPr="00C00F5F">
        <w:rPr>
          <w:rFonts w:asciiTheme="majorBidi" w:hAnsiTheme="majorBidi" w:cstheme="majorBidi"/>
          <w:color w:val="000000" w:themeColor="text1"/>
          <w:sz w:val="24"/>
          <w:szCs w:val="24"/>
        </w:rPr>
        <w:t>.</w:t>
      </w:r>
    </w:p>
    <w:p w14:paraId="2BA28B2E" w14:textId="19780FF4"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الذكاء الاصطناعي كمساعد قانوني لا كممارس مهني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يتفق غالب الباحثين السعوديين، ومنهم خالد المالكي ومرام الربيع</w:t>
      </w:r>
      <w:r w:rsidRPr="00BC5F38">
        <w:rPr>
          <w:rStyle w:val="af"/>
          <w:rFonts w:asciiTheme="majorBidi" w:hAnsiTheme="majorBidi" w:cstheme="majorBidi"/>
          <w:color w:val="000000" w:themeColor="text1"/>
          <w:sz w:val="24"/>
          <w:szCs w:val="24"/>
          <w:rtl/>
        </w:rPr>
        <w:footnoteReference w:id="34"/>
      </w:r>
      <w:r w:rsidR="00C00F5F" w:rsidRPr="00C00F5F">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 xml:space="preserve">وقد أظهرت رسالة الربيع </w:t>
      </w:r>
      <w:r w:rsidR="00C00F5F" w:rsidRPr="00C00F5F">
        <w:rPr>
          <w:rFonts w:asciiTheme="majorBidi" w:hAnsiTheme="majorBidi" w:cstheme="majorBidi"/>
          <w:i/>
          <w:iCs/>
          <w:color w:val="000000" w:themeColor="text1"/>
          <w:sz w:val="24"/>
          <w:szCs w:val="24"/>
          <w:rtl/>
        </w:rPr>
        <w:t>المسؤولية المدنية عن أفعال الذكاء الاصطناعي</w:t>
      </w:r>
      <w:r w:rsidR="00C00F5F" w:rsidRPr="00C00F5F">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56616BAC" w14:textId="2E08BB9D"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أثر الذكاء الاصطناعي على هيكلة مكاتب المحاماة</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وقد بيّن عبدالعزيز العلي</w:t>
      </w:r>
      <w:r w:rsidRPr="00BC5F38">
        <w:rPr>
          <w:rStyle w:val="af"/>
          <w:rFonts w:asciiTheme="majorBidi" w:hAnsiTheme="majorBidi" w:cstheme="majorBidi"/>
          <w:color w:val="000000" w:themeColor="text1"/>
          <w:sz w:val="24"/>
          <w:szCs w:val="24"/>
          <w:rtl/>
        </w:rPr>
        <w:footnoteReference w:id="35"/>
      </w:r>
      <w:r w:rsidR="00C00F5F" w:rsidRPr="00C00F5F">
        <w:rPr>
          <w:rFonts w:asciiTheme="majorBidi" w:hAnsiTheme="majorBidi" w:cstheme="majorBidi"/>
          <w:color w:val="000000" w:themeColor="text1"/>
          <w:sz w:val="24"/>
          <w:szCs w:val="24"/>
          <w:rtl/>
        </w:rPr>
        <w:t xml:space="preserve"> في بحثه </w:t>
      </w:r>
      <w:r w:rsidR="00C00F5F" w:rsidRPr="00C00F5F">
        <w:rPr>
          <w:rFonts w:asciiTheme="majorBidi" w:hAnsiTheme="majorBidi" w:cstheme="majorBidi"/>
          <w:i/>
          <w:iCs/>
          <w:color w:val="000000" w:themeColor="text1"/>
          <w:sz w:val="24"/>
          <w:szCs w:val="24"/>
          <w:rtl/>
        </w:rPr>
        <w:t>الذكاء الاصطناعي ودوره في إبرام العقود التجارية الذكية</w:t>
      </w:r>
      <w:r w:rsidR="00C00F5F" w:rsidRPr="00C00F5F">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sidR="00C00F5F" w:rsidRPr="00C00F5F">
        <w:rPr>
          <w:rFonts w:asciiTheme="majorBidi" w:hAnsiTheme="majorBidi" w:cstheme="majorBidi"/>
          <w:color w:val="000000" w:themeColor="text1"/>
          <w:sz w:val="24"/>
          <w:szCs w:val="24"/>
        </w:rPr>
        <w:t>.</w:t>
      </w:r>
    </w:p>
    <w:p w14:paraId="726C82EB" w14:textId="35B1AF20"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التحديات النظامية المرتبطة بتوسّع نطاق العمل الذكي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sidR="00C00F5F" w:rsidRPr="00C00F5F">
        <w:rPr>
          <w:rFonts w:asciiTheme="majorBidi" w:hAnsiTheme="majorBidi" w:cstheme="majorBidi"/>
          <w:color w:val="000000" w:themeColor="text1"/>
          <w:sz w:val="24"/>
          <w:szCs w:val="24"/>
        </w:rPr>
        <w:t>:</w:t>
      </w:r>
    </w:p>
    <w:p w14:paraId="47E75E9E"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sidRPr="00C00F5F">
        <w:rPr>
          <w:rFonts w:asciiTheme="majorBidi" w:hAnsiTheme="majorBidi" w:cstheme="majorBidi"/>
          <w:color w:val="000000" w:themeColor="text1"/>
          <w:sz w:val="24"/>
          <w:szCs w:val="24"/>
        </w:rPr>
        <w:t>.</w:t>
      </w:r>
    </w:p>
    <w:p w14:paraId="1225A6F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sidRPr="00C00F5F">
        <w:rPr>
          <w:rFonts w:asciiTheme="majorBidi" w:hAnsiTheme="majorBidi" w:cstheme="majorBidi"/>
          <w:color w:val="000000" w:themeColor="text1"/>
          <w:sz w:val="24"/>
          <w:szCs w:val="24"/>
        </w:rPr>
        <w:t>.</w:t>
      </w:r>
    </w:p>
    <w:p w14:paraId="498259B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lastRenderedPageBreak/>
        <w:t>الحاجة إلى قواعد واضحة بشأن حجية المخرجات التقنية أمام القضاء، ومدى اعتبارها أدلة أو قرائن قانونية</w:t>
      </w:r>
      <w:r w:rsidRPr="00C00F5F">
        <w:rPr>
          <w:rFonts w:asciiTheme="majorBidi" w:hAnsiTheme="majorBidi" w:cstheme="majorBidi"/>
          <w:color w:val="000000" w:themeColor="text1"/>
          <w:sz w:val="24"/>
          <w:szCs w:val="24"/>
        </w:rPr>
        <w:t>.</w:t>
      </w:r>
    </w:p>
    <w:p w14:paraId="28B7DBF4"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sidRPr="00C00F5F">
        <w:rPr>
          <w:rFonts w:asciiTheme="majorBidi" w:hAnsiTheme="majorBidi" w:cstheme="majorBidi"/>
          <w:color w:val="000000" w:themeColor="text1"/>
          <w:sz w:val="24"/>
          <w:szCs w:val="24"/>
        </w:rPr>
        <w:t>.</w:t>
      </w:r>
    </w:p>
    <w:p w14:paraId="6B239D80" w14:textId="201243D0"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تناولت رسالة قاسم</w:t>
      </w:r>
      <w:r w:rsidR="00122234" w:rsidRPr="00BC5F38">
        <w:rPr>
          <w:rStyle w:val="af"/>
          <w:rFonts w:asciiTheme="majorBidi" w:hAnsiTheme="majorBidi" w:cstheme="majorBidi"/>
          <w:color w:val="000000" w:themeColor="text1"/>
          <w:sz w:val="24"/>
          <w:szCs w:val="24"/>
          <w:rtl/>
        </w:rPr>
        <w:footnoteReference w:id="36"/>
      </w:r>
      <w:r w:rsidRPr="00C00F5F">
        <w:rPr>
          <w:rFonts w:asciiTheme="majorBidi" w:hAnsiTheme="majorBidi" w:cstheme="majorBidi"/>
          <w:color w:val="000000" w:themeColor="text1"/>
          <w:sz w:val="24"/>
          <w:szCs w:val="24"/>
          <w:rtl/>
        </w:rPr>
        <w:t xml:space="preserve"> </w:t>
      </w:r>
      <w:r w:rsidRPr="00C00F5F">
        <w:rPr>
          <w:rFonts w:asciiTheme="majorBidi" w:hAnsiTheme="majorBidi" w:cstheme="majorBidi"/>
          <w:i/>
          <w:iCs/>
          <w:color w:val="000000" w:themeColor="text1"/>
          <w:sz w:val="24"/>
          <w:szCs w:val="24"/>
          <w:rtl/>
        </w:rPr>
        <w:t>دور الذكاء الاصطناعي في مكافحة الجريمة الإلكترونية</w:t>
      </w:r>
      <w:r w:rsidRPr="00C00F5F">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sidRPr="00C00F5F">
        <w:rPr>
          <w:rFonts w:asciiTheme="majorBidi" w:hAnsiTheme="majorBidi" w:cstheme="majorBidi"/>
          <w:color w:val="000000" w:themeColor="text1"/>
          <w:sz w:val="24"/>
          <w:szCs w:val="24"/>
        </w:rPr>
        <w:t>.</w:t>
      </w:r>
    </w:p>
    <w:p w14:paraId="505E2E56" w14:textId="1FCDA043"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الرؤية المستقبلية لنطاق العمل المهني في ظل الذكاء الاصطناعي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 هذا الإدماج يجب أن يتم في إطار يضمن</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48247661"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بقاء العنصر الإنساني في مركز اتخاذ القرار القانوني</w:t>
      </w:r>
      <w:r w:rsidRPr="00C00F5F">
        <w:rPr>
          <w:rFonts w:asciiTheme="majorBidi" w:hAnsiTheme="majorBidi" w:cstheme="majorBidi"/>
          <w:color w:val="000000" w:themeColor="text1"/>
          <w:sz w:val="24"/>
          <w:szCs w:val="24"/>
        </w:rPr>
        <w:t>.</w:t>
      </w:r>
    </w:p>
    <w:p w14:paraId="39DE389C"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وضوح حدود المسؤولية المهنية عن الأعمال الذكية</w:t>
      </w:r>
      <w:r w:rsidRPr="00C00F5F">
        <w:rPr>
          <w:rFonts w:asciiTheme="majorBidi" w:hAnsiTheme="majorBidi" w:cstheme="majorBidi"/>
          <w:color w:val="000000" w:themeColor="text1"/>
          <w:sz w:val="24"/>
          <w:szCs w:val="24"/>
        </w:rPr>
        <w:t>.</w:t>
      </w:r>
    </w:p>
    <w:p w14:paraId="1D2E9C8E"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حماية بيانات الموكلين والمستندات القانونية من المخاطر التقنية</w:t>
      </w:r>
      <w:r w:rsidRPr="00C00F5F">
        <w:rPr>
          <w:rFonts w:asciiTheme="majorBidi" w:hAnsiTheme="majorBidi" w:cstheme="majorBidi"/>
          <w:color w:val="000000" w:themeColor="text1"/>
          <w:sz w:val="24"/>
          <w:szCs w:val="24"/>
        </w:rPr>
        <w:t>.</w:t>
      </w:r>
    </w:p>
    <w:p w14:paraId="2038ABEF"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توفير معايير مهنية وطنية لاستخدام الذكاء الاصطناعي في المهنة</w:t>
      </w:r>
      <w:r w:rsidRPr="00C00F5F">
        <w:rPr>
          <w:rFonts w:asciiTheme="majorBidi" w:hAnsiTheme="majorBidi" w:cstheme="majorBidi"/>
          <w:color w:val="000000" w:themeColor="text1"/>
          <w:sz w:val="24"/>
          <w:szCs w:val="24"/>
        </w:rPr>
        <w:t>.</w:t>
      </w:r>
    </w:p>
    <w:p w14:paraId="02FF8293" w14:textId="77C04ADD" w:rsidR="0016208C"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sidR="00122234" w:rsidRPr="00BC5F38">
        <w:rPr>
          <w:rFonts w:asciiTheme="majorBidi" w:hAnsiTheme="majorBidi" w:cstheme="majorBidi" w:hint="cs"/>
          <w:color w:val="000000" w:themeColor="text1"/>
          <w:sz w:val="24"/>
          <w:szCs w:val="24"/>
          <w:rtl/>
        </w:rPr>
        <w:t>.</w:t>
      </w:r>
    </w:p>
    <w:p w14:paraId="07915A55" w14:textId="77777777" w:rsidR="00D41CB7" w:rsidRPr="00BC5F38" w:rsidRDefault="00D41CB7" w:rsidP="00D41CB7">
      <w:pPr>
        <w:jc w:val="right"/>
        <w:rPr>
          <w:rFonts w:asciiTheme="majorBidi" w:hAnsiTheme="majorBidi" w:cstheme="majorBidi"/>
          <w:color w:val="000000" w:themeColor="text1"/>
          <w:sz w:val="24"/>
          <w:szCs w:val="24"/>
        </w:rPr>
      </w:pPr>
    </w:p>
    <w:p w14:paraId="0949C44F" w14:textId="1D6EB8A1" w:rsidR="0016208C" w:rsidRPr="0016208C" w:rsidRDefault="0016208C" w:rsidP="0016208C">
      <w:pPr>
        <w:jc w:val="right"/>
        <w:rPr>
          <w:rFonts w:asciiTheme="majorBidi" w:hAnsiTheme="majorBidi" w:cstheme="majorBidi"/>
          <w:b/>
          <w:bCs/>
          <w:color w:val="000000" w:themeColor="text1"/>
          <w:sz w:val="24"/>
          <w:szCs w:val="24"/>
        </w:rPr>
      </w:pPr>
      <w:r w:rsidRPr="0016208C">
        <w:rPr>
          <w:rFonts w:asciiTheme="majorBidi" w:hAnsiTheme="majorBidi" w:cstheme="majorBidi"/>
          <w:b/>
          <w:bCs/>
          <w:color w:val="000000" w:themeColor="text1"/>
          <w:sz w:val="24"/>
          <w:szCs w:val="24"/>
          <w:rtl/>
        </w:rPr>
        <w:t>خامسًا: دور اللائحة التنفيذية ومساحة المرونة التقنية</w:t>
      </w:r>
      <w:r w:rsidRPr="00BC5F38">
        <w:rPr>
          <w:rFonts w:asciiTheme="majorBidi" w:hAnsiTheme="majorBidi" w:cstheme="majorBidi" w:hint="cs"/>
          <w:b/>
          <w:bCs/>
          <w:color w:val="000000" w:themeColor="text1"/>
          <w:sz w:val="24"/>
          <w:szCs w:val="24"/>
          <w:rtl/>
        </w:rPr>
        <w:t>:</w:t>
      </w:r>
    </w:p>
    <w:p w14:paraId="6DFCB2C9" w14:textId="77777777"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تشكّل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للائحة عام 1441هـ في ظل بيئة عدلية تشهد تحوّلًا رقمياً واسعًا، وهو ما جعلها أكثر انفتاحًا على استيعاب الممارسات الإلكترونية الحديثة، وإن لم تتضمن نصوصًا مباشرة تتناول تقنيات الذكاء الاصطناعي أو الأتمتة القانونية</w:t>
      </w:r>
      <w:r w:rsidRPr="0016208C">
        <w:rPr>
          <w:rFonts w:asciiTheme="majorBidi" w:hAnsiTheme="majorBidi" w:cstheme="majorBidi"/>
          <w:color w:val="000000" w:themeColor="text1"/>
          <w:sz w:val="24"/>
          <w:szCs w:val="24"/>
        </w:rPr>
        <w:t>.</w:t>
      </w:r>
    </w:p>
    <w:p w14:paraId="1263A9AE" w14:textId="77777777"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تتميز اللائحة التنفيذية بمرونتها التشريعية، إذ تصدر بقرار من وزير العدل بناء على اقتراح من هيئة المحامين السعوديين، ما يمنحها قابلية أسرع للتعديل مقارنة بالنظام نفسه الذي يحتاج إلى إجراءات تشريعية أطول. هذه الطبيعة تجعلها الأداة الأنسب لتنظيم استخدام التقنيات القانونية الحديثة داخل مكاتب المحاماة. فبينما يضبط النظام المبادئ العامة لممارسة المهنة، فإن اللائحة يمكن أن تتوسع لتشمل تنظيم الأدوات والأساليب التي يُباشر بها المحامي عمله، سواء من حيث إدارة الملفات والقضايا إلكترونيًا، أو اعتماد المنصات التقنية التي تساعد على إعداد المذكرات وصياغة العقود وتحليل المخاطر القانونية</w:t>
      </w:r>
      <w:r w:rsidRPr="0016208C">
        <w:rPr>
          <w:rFonts w:asciiTheme="majorBidi" w:hAnsiTheme="majorBidi" w:cstheme="majorBidi"/>
          <w:color w:val="000000" w:themeColor="text1"/>
          <w:sz w:val="24"/>
          <w:szCs w:val="24"/>
        </w:rPr>
        <w:t>.</w:t>
      </w:r>
    </w:p>
    <w:p w14:paraId="147137FA" w14:textId="3BADBACB"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lastRenderedPageBreak/>
        <w:t>وتشير رسالة الدكتور نايف الغنامي</w:t>
      </w:r>
      <w:r w:rsidRPr="00BC5F38">
        <w:rPr>
          <w:rStyle w:val="af"/>
          <w:rFonts w:asciiTheme="majorBidi" w:hAnsiTheme="majorBidi" w:cstheme="majorBidi"/>
          <w:color w:val="000000" w:themeColor="text1"/>
          <w:sz w:val="24"/>
          <w:szCs w:val="24"/>
          <w:rtl/>
        </w:rPr>
        <w:footnoteReference w:id="37"/>
      </w:r>
      <w:r w:rsidRPr="0016208C">
        <w:rPr>
          <w:rFonts w:asciiTheme="majorBidi" w:hAnsiTheme="majorBidi" w:cstheme="majorBidi"/>
          <w:color w:val="000000" w:themeColor="text1"/>
          <w:sz w:val="24"/>
          <w:szCs w:val="24"/>
          <w:rtl/>
        </w:rPr>
        <w:t xml:space="preserve"> حول </w:t>
      </w:r>
      <w:r w:rsidRPr="0016208C">
        <w:rPr>
          <w:rFonts w:asciiTheme="majorBidi" w:hAnsiTheme="majorBidi" w:cstheme="majorBidi"/>
          <w:i/>
          <w:iCs/>
          <w:color w:val="000000" w:themeColor="text1"/>
          <w:sz w:val="24"/>
          <w:szCs w:val="24"/>
          <w:rtl/>
        </w:rPr>
        <w:t>الضوابط القانونية للذكاء الاصطناعي في إبرام المعاملات القانونية</w:t>
      </w:r>
      <w:r w:rsidRPr="0016208C">
        <w:rPr>
          <w:rFonts w:asciiTheme="majorBidi" w:hAnsiTheme="majorBidi" w:cstheme="majorBidi"/>
          <w:color w:val="000000" w:themeColor="text1"/>
          <w:sz w:val="24"/>
          <w:szCs w:val="24"/>
          <w:rtl/>
        </w:rPr>
        <w:t xml:space="preserve">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 فهذه اللائحة يمكن أن تُستغل لتأسيس قواعد مهنية لتوظيف الذكاء الاصطناعي في المهنة، عبر نصوص إضافية تحدد كيفية اعتماد البرامج الذكية، وآليات الإشراف عليها، والمسؤولية المترتبة على استخدامها</w:t>
      </w:r>
      <w:r w:rsidRPr="0016208C">
        <w:rPr>
          <w:rFonts w:asciiTheme="majorBidi" w:hAnsiTheme="majorBidi" w:cstheme="majorBidi"/>
          <w:color w:val="000000" w:themeColor="text1"/>
          <w:sz w:val="24"/>
          <w:szCs w:val="24"/>
        </w:rPr>
        <w:t>.</w:t>
      </w:r>
    </w:p>
    <w:p w14:paraId="567D3B66" w14:textId="009E28C3"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ويؤكد الباحث مصطفى الأسيوطي</w:t>
      </w:r>
      <w:r w:rsidRPr="00BC5F38">
        <w:rPr>
          <w:rStyle w:val="af"/>
          <w:rFonts w:asciiTheme="majorBidi" w:hAnsiTheme="majorBidi" w:cstheme="majorBidi"/>
          <w:color w:val="000000" w:themeColor="text1"/>
          <w:sz w:val="24"/>
          <w:szCs w:val="24"/>
          <w:rtl/>
        </w:rPr>
        <w:footnoteReference w:id="38"/>
      </w:r>
      <w:r w:rsidRPr="0016208C">
        <w:rPr>
          <w:rFonts w:asciiTheme="majorBidi" w:hAnsiTheme="majorBidi" w:cstheme="majorBidi"/>
          <w:color w:val="000000" w:themeColor="text1"/>
          <w:sz w:val="24"/>
          <w:szCs w:val="24"/>
          <w:rtl/>
        </w:rPr>
        <w:t xml:space="preserve"> في دراسته </w:t>
      </w:r>
      <w:r w:rsidRPr="0016208C">
        <w:rPr>
          <w:rFonts w:asciiTheme="majorBidi" w:hAnsiTheme="majorBidi" w:cstheme="majorBidi"/>
          <w:i/>
          <w:iCs/>
          <w:color w:val="000000" w:themeColor="text1"/>
          <w:sz w:val="24"/>
          <w:szCs w:val="24"/>
          <w:rtl/>
        </w:rPr>
        <w:t>حماية التصرفات القانونية وإثباتها عبر تطبيق الذكاء الاصطناعي</w:t>
      </w:r>
      <w:r w:rsidRPr="0016208C">
        <w:rPr>
          <w:rFonts w:asciiTheme="majorBidi" w:hAnsiTheme="majorBidi" w:cstheme="majorBidi"/>
          <w:color w:val="000000" w:themeColor="text1"/>
          <w:sz w:val="24"/>
          <w:szCs w:val="24"/>
          <w:rtl/>
        </w:rPr>
        <w:t xml:space="preserve">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 ومن هذا المنطلق، يمكن النظر إلى اللائحة التنفيذية بوصفها جسرًا تنظيميًا يربط بين النظام التقليدي ومقتضيات الممارسة الحديثة، خاصة في الجوانب المتعلقة بحماية البيانات القانونية وتوثيق المعاملات الإلكترونية</w:t>
      </w:r>
      <w:r w:rsidRPr="0016208C">
        <w:rPr>
          <w:rFonts w:asciiTheme="majorBidi" w:hAnsiTheme="majorBidi" w:cstheme="majorBidi"/>
          <w:color w:val="000000" w:themeColor="text1"/>
          <w:sz w:val="24"/>
          <w:szCs w:val="24"/>
        </w:rPr>
        <w:t>.</w:t>
      </w:r>
    </w:p>
    <w:p w14:paraId="1D5CA022" w14:textId="4CDE8971"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كما أظهرت دراسة مراد محمد قاسم</w:t>
      </w:r>
      <w:r w:rsidRPr="00BC5F38">
        <w:rPr>
          <w:rStyle w:val="af"/>
          <w:rFonts w:asciiTheme="majorBidi" w:hAnsiTheme="majorBidi" w:cstheme="majorBidi"/>
          <w:color w:val="000000" w:themeColor="text1"/>
          <w:sz w:val="24"/>
          <w:szCs w:val="24"/>
          <w:rtl/>
        </w:rPr>
        <w:footnoteReference w:id="39"/>
      </w:r>
      <w:r w:rsidRPr="0016208C">
        <w:rPr>
          <w:rFonts w:asciiTheme="majorBidi" w:hAnsiTheme="majorBidi" w:cstheme="majorBidi"/>
          <w:color w:val="000000" w:themeColor="text1"/>
          <w:sz w:val="24"/>
          <w:szCs w:val="24"/>
          <w:rtl/>
        </w:rPr>
        <w:t xml:space="preserve"> حول </w:t>
      </w:r>
      <w:r w:rsidRPr="0016208C">
        <w:rPr>
          <w:rFonts w:asciiTheme="majorBidi" w:hAnsiTheme="majorBidi" w:cstheme="majorBidi"/>
          <w:i/>
          <w:iCs/>
          <w:color w:val="000000" w:themeColor="text1"/>
          <w:sz w:val="24"/>
          <w:szCs w:val="24"/>
          <w:rtl/>
        </w:rPr>
        <w:t>دور الذكاء الاصطناعي في مكافحة الجريمة الإلكترونية: دراسة مقارنة</w:t>
      </w:r>
      <w:r w:rsidRPr="0016208C">
        <w:rPr>
          <w:rFonts w:asciiTheme="majorBidi" w:hAnsiTheme="majorBidi" w:cstheme="majorBidi"/>
          <w:color w:val="000000" w:themeColor="text1"/>
          <w:sz w:val="24"/>
          <w:szCs w:val="24"/>
          <w:rtl/>
        </w:rPr>
        <w:t xml:space="preserve">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 ومن هنا يتأكد أن تطوير لائحة نظام المحاماة هو الخيار الأكثر واقعية في المرحلة الحالية لبناء إطار تنظيمي مبدئي يضبط العلاقة بين المهنة والتقنيات الذكية</w:t>
      </w:r>
      <w:r w:rsidRPr="0016208C">
        <w:rPr>
          <w:rFonts w:asciiTheme="majorBidi" w:hAnsiTheme="majorBidi" w:cstheme="majorBidi"/>
          <w:color w:val="000000" w:themeColor="text1"/>
          <w:sz w:val="24"/>
          <w:szCs w:val="24"/>
        </w:rPr>
        <w:t>.</w:t>
      </w:r>
    </w:p>
    <w:p w14:paraId="0577F74C" w14:textId="1E790C94"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وقد طرح ياسر رجب</w:t>
      </w:r>
      <w:r w:rsidRPr="00BC5F38">
        <w:rPr>
          <w:rStyle w:val="af"/>
          <w:rFonts w:asciiTheme="majorBidi" w:hAnsiTheme="majorBidi" w:cstheme="majorBidi"/>
          <w:color w:val="000000" w:themeColor="text1"/>
          <w:sz w:val="24"/>
          <w:szCs w:val="24"/>
          <w:rtl/>
        </w:rPr>
        <w:footnoteReference w:id="40"/>
      </w:r>
      <w:r w:rsidRPr="0016208C">
        <w:rPr>
          <w:rFonts w:asciiTheme="majorBidi" w:hAnsiTheme="majorBidi" w:cstheme="majorBidi"/>
          <w:color w:val="000000" w:themeColor="text1"/>
          <w:sz w:val="24"/>
          <w:szCs w:val="24"/>
          <w:rtl/>
        </w:rPr>
        <w:t xml:space="preserve"> في دراسته </w:t>
      </w:r>
      <w:r w:rsidRPr="0016208C">
        <w:rPr>
          <w:rFonts w:asciiTheme="majorBidi" w:hAnsiTheme="majorBidi" w:cstheme="majorBidi"/>
          <w:i/>
          <w:iCs/>
          <w:color w:val="000000" w:themeColor="text1"/>
          <w:sz w:val="24"/>
          <w:szCs w:val="24"/>
          <w:rtl/>
        </w:rPr>
        <w:t>دور الدولة في تأطير أخلاقيات الذكاء الاصطناعي</w:t>
      </w:r>
      <w:r w:rsidRPr="0016208C">
        <w:rPr>
          <w:rFonts w:asciiTheme="majorBidi" w:hAnsiTheme="majorBidi" w:cstheme="majorBidi"/>
          <w:color w:val="000000" w:themeColor="text1"/>
          <w:sz w:val="24"/>
          <w:szCs w:val="24"/>
          <w:rtl/>
        </w:rPr>
        <w:t xml:space="preserve"> مفهوم “التأطير المرن” بوصفه استراتيجية تشريعية تقوم على وضع قواعد عامة قابلة للتحديث، وهو ما يتطابق مع فلسفة اللائحة التنفيذية في النظام السعودي. فالمرونة هنا لا تعني ضعف الضبط، بل قدرة التشريع على التكيّف السريع مع المستجدات، بحيث يمكن لوزارة العدل وهيئة المحامين إصدار لوائح فرعية تفصيلية أو دلائل مهنية تنظّم استخدام الأنظمة الذكية داخل مكاتب المحاماة، دون الحاجة إلى تعديل النظام الأساسي كل مرة</w:t>
      </w:r>
      <w:r w:rsidRPr="0016208C">
        <w:rPr>
          <w:rFonts w:asciiTheme="majorBidi" w:hAnsiTheme="majorBidi" w:cstheme="majorBidi"/>
          <w:color w:val="000000" w:themeColor="text1"/>
          <w:sz w:val="24"/>
          <w:szCs w:val="24"/>
        </w:rPr>
        <w:t>.</w:t>
      </w:r>
    </w:p>
    <w:p w14:paraId="6656C1E6" w14:textId="77777777"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ومن الزاوية الأخلاقية، فإن وثيقة مبادئ أخلاقيات الذكاء الاصطناعي الصادرة عن الهيئة السعودية للبيانات والذكاء الاصطناعي (سدايا) عام 2023 تؤكد أن الالتزام بالشفافية والمساءلة وحماية الخصوصية يُعدّ أساسًا في أي استخدام تقني داخل القطاعات المهنية الحساسة، وهو ما يجعل إدماج هذه المبادئ في اللائحة التنفيذية لمهنة المحاماة ضرورة تنظيمية وأخلاقية في الوقت ذاته. فاللائحة قادرة على ترجمة هذه المبادئ إلى التزامات عملية، مثل إلزام مكاتب المحاماة بتصنيف بيانات موكليها وفق معايير أمان محددة، أو اشتراط اعتماد برمجيات قانونية مرخصة محليًا</w:t>
      </w:r>
      <w:r w:rsidRPr="0016208C">
        <w:rPr>
          <w:rFonts w:asciiTheme="majorBidi" w:hAnsiTheme="majorBidi" w:cstheme="majorBidi"/>
          <w:color w:val="000000" w:themeColor="text1"/>
          <w:sz w:val="24"/>
          <w:szCs w:val="24"/>
        </w:rPr>
        <w:t>.</w:t>
      </w:r>
    </w:p>
    <w:p w14:paraId="2959839A" w14:textId="76EDC2DD"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أما من الناحية التطبيقية، فإن اللائحة التنفيذية في شكلها الحالي قد سمحت بالفعل باستخدام الوسائل الإلكترونية في بعض الإجراءات، مثل تقديم طلبات القيد إلكترونيًا، وإدارة السجلات عبر الأنظمة الرقمية. وهذه الإشارات، وإن كانت محدودة، تمثل نواة تنظيمية يمكن البناء عليها لتوسيع نطاق التنظيم ليشمل الذكاء الاصطناعي القانوني. ويرى الباحث أحمد الحربي</w:t>
      </w:r>
      <w:r w:rsidRPr="00BC5F38">
        <w:rPr>
          <w:rStyle w:val="af"/>
          <w:rFonts w:asciiTheme="majorBidi" w:hAnsiTheme="majorBidi" w:cstheme="majorBidi"/>
          <w:color w:val="000000" w:themeColor="text1"/>
          <w:sz w:val="24"/>
          <w:szCs w:val="24"/>
          <w:rtl/>
        </w:rPr>
        <w:footnoteReference w:id="41"/>
      </w:r>
      <w:r w:rsidRPr="0016208C">
        <w:rPr>
          <w:rFonts w:asciiTheme="majorBidi" w:hAnsiTheme="majorBidi" w:cstheme="majorBidi"/>
          <w:color w:val="000000" w:themeColor="text1"/>
          <w:sz w:val="24"/>
          <w:szCs w:val="24"/>
          <w:rtl/>
        </w:rPr>
        <w:t xml:space="preserve"> في دراسته </w:t>
      </w:r>
      <w:r w:rsidRPr="0016208C">
        <w:rPr>
          <w:rFonts w:asciiTheme="majorBidi" w:hAnsiTheme="majorBidi" w:cstheme="majorBidi"/>
          <w:i/>
          <w:iCs/>
          <w:color w:val="000000" w:themeColor="text1"/>
          <w:sz w:val="24"/>
          <w:szCs w:val="24"/>
          <w:rtl/>
        </w:rPr>
        <w:t>مدى إمكانية الاعتراف بالشخصية القانونية للذكاء الاصطناعي</w:t>
      </w:r>
      <w:r w:rsidRPr="0016208C">
        <w:rPr>
          <w:rFonts w:asciiTheme="majorBidi" w:hAnsiTheme="majorBidi" w:cstheme="majorBidi"/>
          <w:color w:val="000000" w:themeColor="text1"/>
          <w:sz w:val="24"/>
          <w:szCs w:val="24"/>
          <w:rtl/>
        </w:rPr>
        <w:t xml:space="preserve"> أن النصوص التنفيذية يجب أن تُعيد تعريف المسؤولية المهنية في ضوء التطور التقني، بحيث يصبح على المحامي واجب مزدوج: الإشراف على استخدام التقنية، وضمان التزامها بالأنظمة السارية</w:t>
      </w:r>
      <w:r w:rsidRPr="0016208C">
        <w:rPr>
          <w:rFonts w:asciiTheme="majorBidi" w:hAnsiTheme="majorBidi" w:cstheme="majorBidi"/>
          <w:color w:val="000000" w:themeColor="text1"/>
          <w:sz w:val="24"/>
          <w:szCs w:val="24"/>
        </w:rPr>
        <w:t>.</w:t>
      </w:r>
    </w:p>
    <w:p w14:paraId="6A1A65C3" w14:textId="2173DFFA" w:rsidR="0016208C" w:rsidRPr="0016208C" w:rsidRDefault="0016208C" w:rsidP="0016208C">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وتدعم هذه الرؤية دراسة خالد المالكي</w:t>
      </w:r>
      <w:r w:rsidRPr="00BC5F38">
        <w:rPr>
          <w:rStyle w:val="af"/>
          <w:rFonts w:asciiTheme="majorBidi" w:hAnsiTheme="majorBidi" w:cstheme="majorBidi"/>
          <w:color w:val="000000" w:themeColor="text1"/>
          <w:sz w:val="24"/>
          <w:szCs w:val="24"/>
          <w:rtl/>
        </w:rPr>
        <w:footnoteReference w:id="42"/>
      </w:r>
      <w:r w:rsidRPr="0016208C">
        <w:rPr>
          <w:rFonts w:asciiTheme="majorBidi" w:hAnsiTheme="majorBidi" w:cstheme="majorBidi"/>
          <w:color w:val="000000" w:themeColor="text1"/>
          <w:sz w:val="24"/>
          <w:szCs w:val="24"/>
          <w:rtl/>
        </w:rPr>
        <w:t xml:space="preserve"> حول </w:t>
      </w:r>
      <w:r w:rsidRPr="0016208C">
        <w:rPr>
          <w:rFonts w:asciiTheme="majorBidi" w:hAnsiTheme="majorBidi" w:cstheme="majorBidi"/>
          <w:i/>
          <w:iCs/>
          <w:color w:val="000000" w:themeColor="text1"/>
          <w:sz w:val="24"/>
          <w:szCs w:val="24"/>
          <w:rtl/>
        </w:rPr>
        <w:t>المسؤولية المدنية عن فعل الذكاء الاصطناعي في النظام السعودي</w:t>
      </w:r>
      <w:r w:rsidRPr="0016208C">
        <w:rPr>
          <w:rFonts w:asciiTheme="majorBidi" w:hAnsiTheme="majorBidi" w:cstheme="majorBidi"/>
          <w:color w:val="000000" w:themeColor="text1"/>
          <w:sz w:val="24"/>
          <w:szCs w:val="24"/>
          <w:rtl/>
        </w:rPr>
        <w:t xml:space="preserve"> التي أوضحت أن الأنظمة السعودية قادرة على استيعاب التطور التقني من خلال إدراج أحكام جزئية داخل </w:t>
      </w:r>
      <w:r w:rsidRPr="0016208C">
        <w:rPr>
          <w:rFonts w:asciiTheme="majorBidi" w:hAnsiTheme="majorBidi" w:cstheme="majorBidi"/>
          <w:color w:val="000000" w:themeColor="text1"/>
          <w:sz w:val="24"/>
          <w:szCs w:val="24"/>
          <w:rtl/>
        </w:rPr>
        <w:lastRenderedPageBreak/>
        <w:t>اللوائح التنفيذية والأنظمة المكملة، دون الحاجة إلى إصدار تشريعات جديدة بالكامل. فالمشرّع السعودي يفضّل تطوير البنى القائمة تدريجيًا، وهو ما يتوافق مع طبيعة اللائحة التنفيذية التي يمكن تعديلها وتوسيعها بحسب مقتضيات الواقع العدلي والمهني</w:t>
      </w:r>
      <w:r w:rsidRPr="0016208C">
        <w:rPr>
          <w:rFonts w:asciiTheme="majorBidi" w:hAnsiTheme="majorBidi" w:cstheme="majorBidi"/>
          <w:color w:val="000000" w:themeColor="text1"/>
          <w:sz w:val="24"/>
          <w:szCs w:val="24"/>
        </w:rPr>
        <w:t>.</w:t>
      </w:r>
    </w:p>
    <w:p w14:paraId="172DADE0" w14:textId="6E433229" w:rsidR="0016208C" w:rsidRPr="00D41CB7" w:rsidRDefault="0016208C" w:rsidP="00D41CB7">
      <w:pPr>
        <w:jc w:val="right"/>
        <w:rPr>
          <w:rFonts w:asciiTheme="majorBidi" w:hAnsiTheme="majorBidi" w:cstheme="majorBidi"/>
          <w:color w:val="000000" w:themeColor="text1"/>
          <w:sz w:val="24"/>
          <w:szCs w:val="24"/>
        </w:rPr>
      </w:pPr>
      <w:r w:rsidRPr="0016208C">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فهي الأداة التشريعية الأكثر قدرة على تحقيق التوازن بين التطور التقني والحفاظ على القيم العدلية، بما في ذلك استقلال المحامي، وسرية المعلومات، وضمان العدالة الناجزة. ويُتوقع أن تشهد السنوات القادمة إدخال تعديلات على هذه اللائحة لتشمل فصولًا جديدة تتناول آليات ترخيص واستخدام الأدوات الذكية، وشروط اعتمادها، والضمانات النظامية والأخلاقية المرتبطة بها، في إطار رؤية المملكة 2030 للتحول العدلي الرقمي</w:t>
      </w:r>
      <w:r w:rsidR="00974C84" w:rsidRPr="00BC5F38">
        <w:rPr>
          <w:rFonts w:asciiTheme="majorBidi" w:hAnsiTheme="majorBidi" w:cstheme="majorBidi" w:hint="cs"/>
          <w:color w:val="000000" w:themeColor="text1"/>
          <w:sz w:val="24"/>
          <w:szCs w:val="24"/>
          <w:rtl/>
        </w:rPr>
        <w:t>.</w:t>
      </w:r>
    </w:p>
    <w:p w14:paraId="6E73BC43" w14:textId="77777777" w:rsidR="00974C84" w:rsidRPr="00BC5F38" w:rsidRDefault="00974C84" w:rsidP="00122234">
      <w:pPr>
        <w:jc w:val="right"/>
        <w:rPr>
          <w:rFonts w:asciiTheme="majorBidi" w:hAnsiTheme="majorBidi" w:cstheme="majorBidi"/>
          <w:b/>
          <w:bCs/>
          <w:color w:val="000000" w:themeColor="text1"/>
          <w:sz w:val="24"/>
          <w:szCs w:val="24"/>
        </w:rPr>
      </w:pPr>
    </w:p>
    <w:p w14:paraId="581D0ABE"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b/>
          <w:bCs/>
          <w:color w:val="000000" w:themeColor="text1"/>
          <w:sz w:val="24"/>
          <w:szCs w:val="24"/>
          <w:rtl/>
        </w:rPr>
        <w:t>سادسًا: أوجه القوة في نظام المحاماة في مواجهة التحول الرقمي</w:t>
      </w:r>
    </w:p>
    <w:p w14:paraId="6D321322"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sidRPr="00974C84">
        <w:rPr>
          <w:rFonts w:asciiTheme="majorBidi" w:hAnsiTheme="majorBidi" w:cstheme="majorBidi"/>
          <w:color w:val="000000" w:themeColor="text1"/>
          <w:sz w:val="24"/>
          <w:szCs w:val="24"/>
        </w:rPr>
        <w:t>.</w:t>
      </w:r>
    </w:p>
    <w:p w14:paraId="3514DFB6"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الدكتور خالد المالكي في دراسته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sidRPr="00974C84">
        <w:rPr>
          <w:rFonts w:asciiTheme="majorBidi" w:hAnsiTheme="majorBidi" w:cstheme="majorBidi"/>
          <w:color w:val="000000" w:themeColor="text1"/>
          <w:sz w:val="24"/>
          <w:szCs w:val="24"/>
        </w:rPr>
        <w:t>.</w:t>
      </w:r>
    </w:p>
    <w:p w14:paraId="7CD7135E" w14:textId="5E3A6F2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الدكتور نايف الغنامي</w:t>
      </w:r>
      <w:r w:rsidR="001F1442" w:rsidRPr="00BC5F38">
        <w:rPr>
          <w:rStyle w:val="af"/>
          <w:rFonts w:asciiTheme="majorBidi" w:hAnsiTheme="majorBidi" w:cstheme="majorBidi"/>
          <w:color w:val="000000" w:themeColor="text1"/>
          <w:sz w:val="24"/>
          <w:szCs w:val="24"/>
          <w:rtl/>
        </w:rPr>
        <w:footnoteReference w:id="43"/>
      </w:r>
      <w:r w:rsidRPr="00974C84">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sidRPr="00974C84">
        <w:rPr>
          <w:rFonts w:asciiTheme="majorBidi" w:hAnsiTheme="majorBidi" w:cstheme="majorBidi"/>
          <w:color w:val="000000" w:themeColor="text1"/>
          <w:sz w:val="24"/>
          <w:szCs w:val="24"/>
        </w:rPr>
        <w:t>.</w:t>
      </w:r>
    </w:p>
    <w:p w14:paraId="620EFD9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 xml:space="preserve">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w:t>
      </w:r>
      <w:r w:rsidRPr="00974C84">
        <w:rPr>
          <w:rFonts w:asciiTheme="majorBidi" w:hAnsiTheme="majorBidi" w:cstheme="majorBidi"/>
          <w:color w:val="000000" w:themeColor="text1"/>
          <w:sz w:val="24"/>
          <w:szCs w:val="24"/>
          <w:rtl/>
        </w:rPr>
        <w:lastRenderedPageBreak/>
        <w:t>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sidRPr="00974C84">
        <w:rPr>
          <w:rFonts w:asciiTheme="majorBidi" w:hAnsiTheme="majorBidi" w:cstheme="majorBidi"/>
          <w:color w:val="000000" w:themeColor="text1"/>
          <w:sz w:val="24"/>
          <w:szCs w:val="24"/>
        </w:rPr>
        <w:t>.</w:t>
      </w:r>
    </w:p>
    <w:p w14:paraId="7422D720" w14:textId="510EC9A0"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رجب</w:t>
      </w:r>
      <w:r w:rsidR="001F1442" w:rsidRPr="00BC5F38">
        <w:rPr>
          <w:rStyle w:val="af"/>
          <w:rFonts w:asciiTheme="majorBidi" w:hAnsiTheme="majorBidi" w:cstheme="majorBidi"/>
          <w:color w:val="000000" w:themeColor="text1"/>
          <w:sz w:val="24"/>
          <w:szCs w:val="24"/>
          <w:rtl/>
        </w:rPr>
        <w:footnoteReference w:id="44"/>
      </w:r>
      <w:r w:rsidRPr="00974C84">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sidRPr="00974C84">
        <w:rPr>
          <w:rFonts w:asciiTheme="majorBidi" w:hAnsiTheme="majorBidi" w:cstheme="majorBidi"/>
          <w:color w:val="000000" w:themeColor="text1"/>
          <w:sz w:val="24"/>
          <w:szCs w:val="24"/>
        </w:rPr>
        <w:t>.</w:t>
      </w:r>
    </w:p>
    <w:p w14:paraId="77A3E7F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sidRPr="00974C84">
        <w:rPr>
          <w:rFonts w:asciiTheme="majorBidi" w:hAnsiTheme="majorBidi" w:cstheme="majorBidi"/>
          <w:color w:val="000000" w:themeColor="text1"/>
          <w:sz w:val="24"/>
          <w:szCs w:val="24"/>
        </w:rPr>
        <w:t>.</w:t>
      </w:r>
    </w:p>
    <w:p w14:paraId="660642E5" w14:textId="6295B9CC"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sidR="001F1442" w:rsidRPr="00BC5F38">
        <w:rPr>
          <w:rFonts w:asciiTheme="majorBidi" w:hAnsiTheme="majorBidi" w:cstheme="majorBidi" w:hint="cs"/>
          <w:color w:val="000000" w:themeColor="text1"/>
          <w:sz w:val="24"/>
          <w:szCs w:val="24"/>
          <w:rtl/>
        </w:rPr>
        <w:t>.</w:t>
      </w:r>
      <w:r w:rsidRPr="00974C84">
        <w:rPr>
          <w:rFonts w:asciiTheme="majorBidi" w:hAnsiTheme="majorBidi" w:cstheme="majorBidi"/>
          <w:color w:val="000000" w:themeColor="text1"/>
          <w:sz w:val="24"/>
          <w:szCs w:val="24"/>
        </w:rPr>
        <w:t>.</w:t>
      </w:r>
    </w:p>
    <w:p w14:paraId="4BC3CE62" w14:textId="77777777" w:rsidR="00974C84" w:rsidRPr="00BC5F38" w:rsidRDefault="00974C84" w:rsidP="00122234">
      <w:pPr>
        <w:jc w:val="right"/>
        <w:rPr>
          <w:rFonts w:asciiTheme="majorBidi" w:hAnsiTheme="majorBidi" w:cstheme="majorBidi"/>
          <w:b/>
          <w:bCs/>
          <w:color w:val="000000" w:themeColor="text1"/>
          <w:sz w:val="24"/>
          <w:szCs w:val="24"/>
          <w:rtl/>
        </w:rPr>
      </w:pPr>
    </w:p>
    <w:p w14:paraId="287C070C" w14:textId="77777777" w:rsidR="001F1442" w:rsidRPr="001F1442" w:rsidRDefault="001F1442" w:rsidP="001F1442">
      <w:pPr>
        <w:jc w:val="right"/>
        <w:rPr>
          <w:rFonts w:asciiTheme="majorBidi" w:hAnsiTheme="majorBidi" w:cstheme="majorBidi"/>
          <w:b/>
          <w:bCs/>
          <w:color w:val="000000" w:themeColor="text1"/>
          <w:sz w:val="24"/>
          <w:szCs w:val="24"/>
        </w:rPr>
      </w:pPr>
      <w:r w:rsidRPr="001F1442">
        <w:rPr>
          <w:rFonts w:asciiTheme="majorBidi" w:hAnsiTheme="majorBidi" w:cstheme="majorBidi"/>
          <w:b/>
          <w:bCs/>
          <w:color w:val="000000" w:themeColor="text1"/>
          <w:sz w:val="24"/>
          <w:szCs w:val="24"/>
          <w:rtl/>
        </w:rPr>
        <w:t>سابعًا: أوجه القصور التشريعي في ظل الذكاء الاصطناعي</w:t>
      </w:r>
    </w:p>
    <w:p w14:paraId="39271553" w14:textId="77777777"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على الرغم من المرونة التي يتسم بها نظام المحاماة في المملكة العربية السعودية وقدرته على استيعاب التحولات المهنية والعدلية، إلا أن تحليل نصوصه وتطبيقاته العملية يُظهر وجود عدد من مظاهر القصور التشريعي عند مقارنته بالتحولات التقنية التي فرضتها الثورة الرقمية والذكاء الاصطناعي. فالنظام وُضع في بيئة قانونية يغلب عليها الطابع الورقي، ولم يكن يتوقع أن تصبح أدوات التقنية والأنظمة الذكية جزءًا من بنية الممارسة القانونية ذاتها، مما أدى إلى فجوة واضحة بين النص النظامي التقليدي والواقع التقني الحديث الذي تمارس فيه مهنة المحاماة اليوم</w:t>
      </w:r>
      <w:r w:rsidRPr="001F1442">
        <w:rPr>
          <w:rFonts w:asciiTheme="majorBidi" w:hAnsiTheme="majorBidi" w:cstheme="majorBidi"/>
          <w:color w:val="000000" w:themeColor="text1"/>
          <w:sz w:val="24"/>
          <w:szCs w:val="24"/>
        </w:rPr>
        <w:t>.</w:t>
      </w:r>
    </w:p>
    <w:p w14:paraId="2B69F34F" w14:textId="77777777"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 xml:space="preserve">أول ما يُلاحظ في هذا السياق هو غياب أي تعريف أو إشارة مفاهيمية إلى التقنيات القانونية أو أدوات الذكاء الاصطناعي في نصوص النظام أو لائحته التنفيذية. فبينما بدأت بعض التشريعات المقارنة بإدراج مفاهيم مثل "النظام الآلي القانوني" و"المساعدة الرقمية المهنية" و"المنصات القانونية الذكية"، لا يزال النظام السعودي يقتصر على الحديث عن المحامي كشخص طبيعي يمارس المهنة بعد حصوله على ترخيص. وقد أكدت الباحثة مرام الربيع في رسالتها حول </w:t>
      </w:r>
      <w:r w:rsidRPr="001F1442">
        <w:rPr>
          <w:rFonts w:asciiTheme="majorBidi" w:hAnsiTheme="majorBidi" w:cstheme="majorBidi"/>
          <w:i/>
          <w:iCs/>
          <w:color w:val="000000" w:themeColor="text1"/>
          <w:sz w:val="24"/>
          <w:szCs w:val="24"/>
          <w:rtl/>
        </w:rPr>
        <w:t>المسؤولية المدنية عن أفعال الذكاء الاصطناعي</w:t>
      </w:r>
      <w:r w:rsidRPr="001F1442">
        <w:rPr>
          <w:rFonts w:asciiTheme="majorBidi" w:hAnsiTheme="majorBidi" w:cstheme="majorBidi"/>
          <w:color w:val="000000" w:themeColor="text1"/>
          <w:sz w:val="24"/>
          <w:szCs w:val="24"/>
          <w:rtl/>
        </w:rPr>
        <w:t xml:space="preserve"> أن تجاهل النصوص النظامية لهذه المفاهيم الحديثة يُعد ثغرة تشريعية، لأنه يترك فراغًا في تحديد العلاقة بين الإنسان والآلة في الممارسة القانونية، ويصعّب مهمة تحديد المسؤولية في حال وقوع ضرر نتيجة خطأ تقني</w:t>
      </w:r>
      <w:r w:rsidRPr="001F1442">
        <w:rPr>
          <w:rFonts w:asciiTheme="majorBidi" w:hAnsiTheme="majorBidi" w:cstheme="majorBidi"/>
          <w:color w:val="000000" w:themeColor="text1"/>
          <w:sz w:val="24"/>
          <w:szCs w:val="24"/>
        </w:rPr>
        <w:t>.</w:t>
      </w:r>
    </w:p>
    <w:p w14:paraId="1AA7F598" w14:textId="66005C76"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lastRenderedPageBreak/>
        <w:t xml:space="preserve">ومن أبرز مظاهر القصور أيضًا أن النظام لم يتناول بصورة مباشرة مسألة معالجة البيانات القانونية أو حفظها إلكترونيًا، رغم أن هذه البيانات أصبحت المحور الأساسي في العمل المهني للمحامي. فالمكاتب القانونية اليوم تعتمد على منصات رقمية وسحابية لتخزين ملفات القضايا والمذكرات والعقود، وهي تحتوي على بيانات شخصية ومالية حساسة. ورغم صدور </w:t>
      </w:r>
      <w:r w:rsidRPr="001F1442">
        <w:rPr>
          <w:rFonts w:asciiTheme="majorBidi" w:hAnsiTheme="majorBidi" w:cstheme="majorBidi"/>
          <w:i/>
          <w:iCs/>
          <w:color w:val="000000" w:themeColor="text1"/>
          <w:sz w:val="24"/>
          <w:szCs w:val="24"/>
          <w:rtl/>
        </w:rPr>
        <w:t>نظام حماية البيانات الشخصية</w:t>
      </w:r>
      <w:r w:rsidRPr="001F1442">
        <w:rPr>
          <w:rFonts w:asciiTheme="majorBidi" w:hAnsiTheme="majorBidi" w:cstheme="majorBidi"/>
          <w:color w:val="000000" w:themeColor="text1"/>
          <w:sz w:val="24"/>
          <w:szCs w:val="24"/>
          <w:rtl/>
        </w:rPr>
        <w:t xml:space="preserve"> عام 1443هـ، فإن هذا النظام لم يُربط بشكل مباشر بنظام المحاماة، مما يخلق ثغرة في التطبيق العملي. وقد أشار الدكتور عبد الله حمادي</w:t>
      </w:r>
      <w:r w:rsidRPr="00BC5F38">
        <w:rPr>
          <w:rStyle w:val="af"/>
          <w:rFonts w:asciiTheme="majorBidi" w:hAnsiTheme="majorBidi" w:cstheme="majorBidi"/>
          <w:color w:val="000000" w:themeColor="text1"/>
          <w:sz w:val="24"/>
          <w:szCs w:val="24"/>
          <w:rtl/>
        </w:rPr>
        <w:footnoteReference w:id="45"/>
      </w:r>
      <w:r w:rsidRPr="001F1442">
        <w:rPr>
          <w:rFonts w:asciiTheme="majorBidi" w:hAnsiTheme="majorBidi" w:cstheme="majorBidi"/>
          <w:color w:val="000000" w:themeColor="text1"/>
          <w:sz w:val="24"/>
          <w:szCs w:val="24"/>
          <w:rtl/>
        </w:rPr>
        <w:t xml:space="preserve"> في بحثه </w:t>
      </w:r>
      <w:r w:rsidRPr="001F1442">
        <w:rPr>
          <w:rFonts w:asciiTheme="majorBidi" w:hAnsiTheme="majorBidi" w:cstheme="majorBidi"/>
          <w:i/>
          <w:iCs/>
          <w:color w:val="000000" w:themeColor="text1"/>
          <w:sz w:val="24"/>
          <w:szCs w:val="24"/>
          <w:rtl/>
        </w:rPr>
        <w:t>المسؤولية المدنية عن أفعال الذكاء الاصطناعي</w:t>
      </w:r>
      <w:r w:rsidRPr="001F1442">
        <w:rPr>
          <w:rFonts w:asciiTheme="majorBidi" w:hAnsiTheme="majorBidi" w:cstheme="majorBidi"/>
          <w:color w:val="000000" w:themeColor="text1"/>
          <w:sz w:val="24"/>
          <w:szCs w:val="24"/>
          <w:rtl/>
        </w:rPr>
        <w:t xml:space="preserve"> إلى أن غياب التكامل بين النظامين (نظام المحاماة ونظام حماية البيانات) يؤدي إلى تضارب في تحديد الجهة المسؤولة عن تسرب المعلومات أو إساءة استخدامها داخل المكاتب القانونية، خصوصًا عند اعتماد برامج تحليل أو تخزين أجنبية</w:t>
      </w:r>
      <w:r w:rsidRPr="001F1442">
        <w:rPr>
          <w:rFonts w:asciiTheme="majorBidi" w:hAnsiTheme="majorBidi" w:cstheme="majorBidi"/>
          <w:color w:val="000000" w:themeColor="text1"/>
          <w:sz w:val="24"/>
          <w:szCs w:val="24"/>
        </w:rPr>
        <w:t>.</w:t>
      </w:r>
    </w:p>
    <w:p w14:paraId="38857E2B" w14:textId="77777777"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 xml:space="preserve">ومن أوجه القصور الجوهرية كذلك أن النظام لم يحدد بوضوح مدى مشروعية الاستعانة بالأدوات التقنية في الأعمال القانونية التي تتطلب عنصرًا شخصيًا، مثل إبداء الرأي القانوني أو إعداد المذكرات. فالمادة الثالثة من النظام حصرت نطاق المهنة في الترافع، وتقديم الاستشارات، وصياغة العقود، دون أن تذكر ما إذا كانت هذه الأعمال يمكن أن تُنجز عبر أدوات مساعدة رقمية. وفي هذا السياق، يرى الدكتور أحمد الحربي في دراسته </w:t>
      </w:r>
      <w:r w:rsidRPr="001F1442">
        <w:rPr>
          <w:rFonts w:asciiTheme="majorBidi" w:hAnsiTheme="majorBidi" w:cstheme="majorBidi"/>
          <w:i/>
          <w:iCs/>
          <w:color w:val="000000" w:themeColor="text1"/>
          <w:sz w:val="24"/>
          <w:szCs w:val="24"/>
          <w:rtl/>
        </w:rPr>
        <w:t>مدى إمكانية الاعتراف بالشخصية القانونية للذكاء الاصطناعي</w:t>
      </w:r>
      <w:r w:rsidRPr="001F1442">
        <w:rPr>
          <w:rFonts w:asciiTheme="majorBidi" w:hAnsiTheme="majorBidi" w:cstheme="majorBidi"/>
          <w:color w:val="000000" w:themeColor="text1"/>
          <w:sz w:val="24"/>
          <w:szCs w:val="24"/>
          <w:rtl/>
        </w:rPr>
        <w:t xml:space="preserve"> أن غياب النصوص المنظمة لاستخدام الأنظمة الذكية يجعل المحامي في وضع قانوني ملتبس؛ فهو مسؤول عن العمل الذي ينتجه النظام الذكي، دون وجود معايير تحدد متى يُعد هذا الاستخدام مشروعًا ومتى يُعد إخلالًا بواجبات المهنة</w:t>
      </w:r>
      <w:r w:rsidRPr="001F1442">
        <w:rPr>
          <w:rFonts w:asciiTheme="majorBidi" w:hAnsiTheme="majorBidi" w:cstheme="majorBidi"/>
          <w:color w:val="000000" w:themeColor="text1"/>
          <w:sz w:val="24"/>
          <w:szCs w:val="24"/>
        </w:rPr>
        <w:t>.</w:t>
      </w:r>
    </w:p>
    <w:p w14:paraId="74460911" w14:textId="77A847B1"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ويضاف إلى ذلك أن نظام المحاماة لم يضع قواعد تحدد المسؤولية في حال وقوع خطأ تقني ناتج عن استخدام الذكاء الاصطناعي داخل المكتب القانوني. فبينما نصت المادة الثالثة عشرة على مسؤولية المحامي عن تصرفات العاملين في مكتبه، إلا أنها لم تتطرق إلى مسؤولية الأدوات التقنية أو مزودي الخدمات الذكية الذين أصبحوا جزءًا من بيئة العمل القانونية. وقد بين الدكتور محمد خليل</w:t>
      </w:r>
      <w:r w:rsidRPr="00BC5F38">
        <w:rPr>
          <w:rStyle w:val="af"/>
          <w:rFonts w:asciiTheme="majorBidi" w:hAnsiTheme="majorBidi" w:cstheme="majorBidi"/>
          <w:color w:val="000000" w:themeColor="text1"/>
          <w:sz w:val="24"/>
          <w:szCs w:val="24"/>
          <w:rtl/>
        </w:rPr>
        <w:footnoteReference w:id="46"/>
      </w:r>
      <w:r w:rsidRPr="001F1442">
        <w:rPr>
          <w:rFonts w:asciiTheme="majorBidi" w:hAnsiTheme="majorBidi" w:cstheme="majorBidi"/>
          <w:color w:val="000000" w:themeColor="text1"/>
          <w:sz w:val="24"/>
          <w:szCs w:val="24"/>
          <w:rtl/>
        </w:rPr>
        <w:t xml:space="preserve"> في بحثه </w:t>
      </w:r>
      <w:r w:rsidRPr="001F1442">
        <w:rPr>
          <w:rFonts w:asciiTheme="majorBidi" w:hAnsiTheme="majorBidi" w:cstheme="majorBidi"/>
          <w:i/>
          <w:iCs/>
          <w:color w:val="000000" w:themeColor="text1"/>
          <w:sz w:val="24"/>
          <w:szCs w:val="24"/>
          <w:rtl/>
        </w:rPr>
        <w:t>المسؤولية القانونية عن أفعال الذكاء الاصطناعي</w:t>
      </w:r>
      <w:r w:rsidRPr="001F1442">
        <w:rPr>
          <w:rFonts w:asciiTheme="majorBidi" w:hAnsiTheme="majorBidi" w:cstheme="majorBidi"/>
          <w:color w:val="000000" w:themeColor="text1"/>
          <w:sz w:val="24"/>
          <w:szCs w:val="24"/>
          <w:rtl/>
        </w:rPr>
        <w:t xml:space="preserve"> أن المشرّع السعودي لم يحدد حتى الآن مركز "الآلة الذكية" في القانون، وهل تُعامل كأداة مادية خاضعة لرقابة المستخدم أم كفاعل قانوني مستقل، ما يجعل من الصعب تحديد حدود المسؤولية المدنية أو المهنية في حالة الأضرار الناتجة عن الخلل التقني</w:t>
      </w:r>
      <w:r w:rsidRPr="001F1442">
        <w:rPr>
          <w:rFonts w:asciiTheme="majorBidi" w:hAnsiTheme="majorBidi" w:cstheme="majorBidi"/>
          <w:color w:val="000000" w:themeColor="text1"/>
          <w:sz w:val="24"/>
          <w:szCs w:val="24"/>
        </w:rPr>
        <w:t>.</w:t>
      </w:r>
    </w:p>
    <w:p w14:paraId="3DD6BC06" w14:textId="0DDD2279"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كما يُلاحظ غياب تنظيم واضح لحماية الملكية الفكرية للمخرجات التي تنتجها الأنظمة الذكية في مكاتب المحاماة، مثل العقود أو المذكرات القانونية التي تُولد إلكترونيًا. فالنظام لم يتطرق إلى مسألة ملكية المحتوى القانوني الناتج عن برامج الذكاء الاصطناعي، مما قد يؤدي إلى نزاعات مستقبلية حول حقوق النشر أو الاستغلال التجاري للمحتوى المنتج. وقد ناقش الدكتور عبد العزيز العلي</w:t>
      </w:r>
      <w:r w:rsidRPr="00BC5F38">
        <w:rPr>
          <w:rStyle w:val="af"/>
          <w:rFonts w:asciiTheme="majorBidi" w:hAnsiTheme="majorBidi" w:cstheme="majorBidi"/>
          <w:color w:val="000000" w:themeColor="text1"/>
          <w:sz w:val="24"/>
          <w:szCs w:val="24"/>
          <w:rtl/>
        </w:rPr>
        <w:footnoteReference w:id="47"/>
      </w:r>
      <w:r w:rsidRPr="001F1442">
        <w:rPr>
          <w:rFonts w:asciiTheme="majorBidi" w:hAnsiTheme="majorBidi" w:cstheme="majorBidi"/>
          <w:color w:val="000000" w:themeColor="text1"/>
          <w:sz w:val="24"/>
          <w:szCs w:val="24"/>
          <w:rtl/>
        </w:rPr>
        <w:t xml:space="preserve"> في بحثه </w:t>
      </w:r>
      <w:r w:rsidRPr="001F1442">
        <w:rPr>
          <w:rFonts w:asciiTheme="majorBidi" w:hAnsiTheme="majorBidi" w:cstheme="majorBidi"/>
          <w:i/>
          <w:iCs/>
          <w:color w:val="000000" w:themeColor="text1"/>
          <w:sz w:val="24"/>
          <w:szCs w:val="24"/>
          <w:rtl/>
        </w:rPr>
        <w:t>الذكاء الاصطناعي ودوره في إبرام العقود التجارية الذكية</w:t>
      </w:r>
      <w:r w:rsidRPr="001F1442">
        <w:rPr>
          <w:rFonts w:asciiTheme="majorBidi" w:hAnsiTheme="majorBidi" w:cstheme="majorBidi"/>
          <w:color w:val="000000" w:themeColor="text1"/>
          <w:sz w:val="24"/>
          <w:szCs w:val="24"/>
          <w:rtl/>
        </w:rPr>
        <w:t xml:space="preserve"> هذه الإشكالية موضحًا أن التشريعات التي لم تُحدد هوية صاحب الحق في المخرجات الذكية تفتح الباب أمام استغلال غير منضبط، خصوصًا في القطاعات القانونية التي تعتمد على السرية والموثوقية</w:t>
      </w:r>
      <w:r w:rsidRPr="001F1442">
        <w:rPr>
          <w:rFonts w:asciiTheme="majorBidi" w:hAnsiTheme="majorBidi" w:cstheme="majorBidi"/>
          <w:color w:val="000000" w:themeColor="text1"/>
          <w:sz w:val="24"/>
          <w:szCs w:val="24"/>
        </w:rPr>
        <w:t>.</w:t>
      </w:r>
    </w:p>
    <w:p w14:paraId="71F80CEA" w14:textId="38F639FA"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ومن ناحية أخرى، فإن النظام لا يتضمن أي إشارة إلى ضوابط استخدام الأنظمة الأجنبية أو البرمجيات غير الخاضعة للولاية السعودية في العمل القانوني، رغم أن كثيرًا من مكاتب المحاماة في المملكة تستخدم أنظمة تحليل قانوني وذكاء اصطناعي مستوردة من الخارج. وهذا يثير إشكاليات تتعلق بالسيادة المعلوماتية وحماية البيانات الوطنية، كما أشار محمد إبراهيم مرسي</w:t>
      </w:r>
      <w:r w:rsidRPr="00BC5F38">
        <w:rPr>
          <w:rStyle w:val="af"/>
          <w:rFonts w:asciiTheme="majorBidi" w:hAnsiTheme="majorBidi" w:cstheme="majorBidi"/>
          <w:color w:val="000000" w:themeColor="text1"/>
          <w:sz w:val="24"/>
          <w:szCs w:val="24"/>
          <w:rtl/>
        </w:rPr>
        <w:footnoteReference w:id="48"/>
      </w:r>
      <w:r w:rsidRPr="001F1442">
        <w:rPr>
          <w:rFonts w:asciiTheme="majorBidi" w:hAnsiTheme="majorBidi" w:cstheme="majorBidi"/>
          <w:color w:val="000000" w:themeColor="text1"/>
          <w:sz w:val="24"/>
          <w:szCs w:val="24"/>
          <w:rtl/>
        </w:rPr>
        <w:t xml:space="preserve"> في دراسته </w:t>
      </w:r>
      <w:r w:rsidRPr="001F1442">
        <w:rPr>
          <w:rFonts w:asciiTheme="majorBidi" w:hAnsiTheme="majorBidi" w:cstheme="majorBidi"/>
          <w:i/>
          <w:iCs/>
          <w:color w:val="000000" w:themeColor="text1"/>
          <w:sz w:val="24"/>
          <w:szCs w:val="24"/>
          <w:rtl/>
        </w:rPr>
        <w:t>مدى ملاءمة عقود الذكاء الاصطناعي المبرمة عبر تقنية البلوك تشين لقانون العقود</w:t>
      </w:r>
      <w:r w:rsidRPr="001F1442">
        <w:rPr>
          <w:rFonts w:asciiTheme="majorBidi" w:hAnsiTheme="majorBidi" w:cstheme="majorBidi"/>
          <w:color w:val="000000" w:themeColor="text1"/>
          <w:sz w:val="24"/>
          <w:szCs w:val="24"/>
          <w:rtl/>
        </w:rPr>
        <w:t>، مؤكدًا أن الاعتماد على أنظمة أجنبية دون تنظيم قانوني واضح يعرض سرية المعلومات للخطر ويضعف من الرقابة الوطنية على الممارسات التقنية داخل المهنة</w:t>
      </w:r>
      <w:r w:rsidRPr="001F1442">
        <w:rPr>
          <w:rFonts w:asciiTheme="majorBidi" w:hAnsiTheme="majorBidi" w:cstheme="majorBidi"/>
          <w:color w:val="000000" w:themeColor="text1"/>
          <w:sz w:val="24"/>
          <w:szCs w:val="24"/>
        </w:rPr>
        <w:t>.</w:t>
      </w:r>
    </w:p>
    <w:p w14:paraId="54146BEF" w14:textId="69F8C52E"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 xml:space="preserve">ويتضح أيضًا أن النظام لم يُدرج حتى الآن أي نصوص تشجع على تطوير منظومة وطنية للذكاء الاصطناعي القانوني أو تحفز مكاتب المحاماة على تبني حلول تقنية محلية. فبينما تدعم رؤية المملكة 2030 التحول الرقمي </w:t>
      </w:r>
      <w:r w:rsidRPr="001F1442">
        <w:rPr>
          <w:rFonts w:asciiTheme="majorBidi" w:hAnsiTheme="majorBidi" w:cstheme="majorBidi"/>
          <w:color w:val="000000" w:themeColor="text1"/>
          <w:sz w:val="24"/>
          <w:szCs w:val="24"/>
          <w:rtl/>
        </w:rPr>
        <w:lastRenderedPageBreak/>
        <w:t>في القطاع العدلي، فإن نظام المحاماة ما زال يعتمد على منهج تنظيمي تقليدي يُركّز على ضبط السلوك المهني دون التوسع في تشجيع الابتكار التقني. وقد أوضح الدكتور محمد سعيد خليل</w:t>
      </w:r>
      <w:r w:rsidRPr="00BC5F38">
        <w:rPr>
          <w:rStyle w:val="af"/>
          <w:rFonts w:asciiTheme="majorBidi" w:hAnsiTheme="majorBidi" w:cstheme="majorBidi"/>
          <w:color w:val="000000" w:themeColor="text1"/>
          <w:sz w:val="24"/>
          <w:szCs w:val="24"/>
          <w:rtl/>
        </w:rPr>
        <w:footnoteReference w:id="49"/>
      </w:r>
      <w:r w:rsidRPr="001F1442">
        <w:rPr>
          <w:rFonts w:asciiTheme="majorBidi" w:hAnsiTheme="majorBidi" w:cstheme="majorBidi"/>
          <w:color w:val="000000" w:themeColor="text1"/>
          <w:sz w:val="24"/>
          <w:szCs w:val="24"/>
          <w:rtl/>
        </w:rPr>
        <w:t xml:space="preserve"> في بحثه أن المشرّع السعودي بحاجة إلى الانتقال من مرحلة "التحكم المهني" إلى "التنظيم التطويري"، بحيث لا يقتصر دوره على وضع القيود والعقوبات، بل يتبنى دورًا محفزًا لتحديث أدوات المهنة وتوظيف الذكاء الاصطناعي في تطوير جودة الخدمات القانونية</w:t>
      </w:r>
      <w:r w:rsidRPr="001F1442">
        <w:rPr>
          <w:rFonts w:asciiTheme="majorBidi" w:hAnsiTheme="majorBidi" w:cstheme="majorBidi"/>
          <w:color w:val="000000" w:themeColor="text1"/>
          <w:sz w:val="24"/>
          <w:szCs w:val="24"/>
        </w:rPr>
        <w:t>.</w:t>
      </w:r>
    </w:p>
    <w:p w14:paraId="2E7DA4A4" w14:textId="77777777" w:rsidR="001F1442" w:rsidRPr="001F1442" w:rsidRDefault="001F1442" w:rsidP="001F1442">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tl/>
        </w:rPr>
        <w:t>ويُضاف إلى ذلك أن النظام لم يعالج بوضوح مسألة التوازن بين السرية المهنية والشفافية التقنية، إذ لم يحدد ما إذا كان المحامي ملزمًا بالإفصاح عن استخدامه لأنظمة الذكاء الاصطناعي في إنجاز أعمال موكليه، أو ما إذا كان ذلك يدخل ضمن نطاق الأسرار المهنية. هذا الغموض يثير إشكاليات أخلاقية ومهنية في الوقت ذاته، خاصة في ضوء ما أشار إليه عبد الله حمادي من أن السرية في البيئة الرقمية تحتاج إلى معايير جديدة تتجاوز المفهوم التقليدي الذي كان يقتصر على الوثائق الورقية</w:t>
      </w:r>
      <w:r w:rsidRPr="001F1442">
        <w:rPr>
          <w:rFonts w:asciiTheme="majorBidi" w:hAnsiTheme="majorBidi" w:cstheme="majorBidi"/>
          <w:color w:val="000000" w:themeColor="text1"/>
          <w:sz w:val="24"/>
          <w:szCs w:val="24"/>
        </w:rPr>
        <w:t>.</w:t>
      </w:r>
    </w:p>
    <w:p w14:paraId="632D0CB6" w14:textId="77777777" w:rsidR="00D41CB7" w:rsidRDefault="001F1442" w:rsidP="00D41CB7">
      <w:pPr>
        <w:jc w:val="right"/>
        <w:rPr>
          <w:rFonts w:asciiTheme="majorBidi" w:hAnsiTheme="majorBidi" w:cstheme="majorBidi"/>
          <w:color w:val="000000" w:themeColor="text1"/>
          <w:sz w:val="24"/>
          <w:szCs w:val="24"/>
          <w:rtl/>
        </w:rPr>
      </w:pPr>
      <w:r w:rsidRPr="001F1442">
        <w:rPr>
          <w:rFonts w:asciiTheme="majorBidi" w:hAnsiTheme="majorBidi" w:cstheme="majorBidi"/>
          <w:color w:val="000000" w:themeColor="text1"/>
          <w:sz w:val="24"/>
          <w:szCs w:val="24"/>
          <w:rtl/>
        </w:rPr>
        <w:t>كل هذه الملاحظات تشير إلى أن نظام المحاماة، رغم تماسكه الداخلي، يحتاج إلى مراجعة شاملة تُعيد بناء نصوصه في ضوء التحول الرقمي والذكاء الاصطناعي. فغياب التعريفات التقنية، وضعف الربط مع الأنظمة الرقمية الأخرى، وغياب التنظيم لمسؤولية الأدوات الذكية، وعدم تحديد حقوق الملكية الفكرية للمخرجات الإلكترونية، كلها مظاهر قصور لا يمكن تجاهلها في عصر أصبحت فيه التقنية جزءًا من الممارسة القانونية اليومية. ومن ثم، فإن المرحلة المقبلة تقتضي إصدار تعديلات تشريعية أو لوائح فرعية تُكمل فراغات النظام وتؤسس لإطار متكامل يضمن توافق مهنة المحاماة مع معطيات الذكاء الاصطناعي دون المساس بجوهر العدالة أو القيم المهنية الأصيلة</w:t>
      </w:r>
    </w:p>
    <w:p w14:paraId="2521E1E0" w14:textId="0DADE4BE" w:rsidR="001F1442" w:rsidRPr="001F1442" w:rsidRDefault="001F1442" w:rsidP="00D41CB7">
      <w:pPr>
        <w:jc w:val="right"/>
        <w:rPr>
          <w:rFonts w:asciiTheme="majorBidi" w:hAnsiTheme="majorBidi" w:cstheme="majorBidi"/>
          <w:color w:val="000000" w:themeColor="text1"/>
          <w:sz w:val="24"/>
          <w:szCs w:val="24"/>
        </w:rPr>
      </w:pPr>
      <w:r w:rsidRPr="001F1442">
        <w:rPr>
          <w:rFonts w:asciiTheme="majorBidi" w:hAnsiTheme="majorBidi" w:cstheme="majorBidi"/>
          <w:color w:val="000000" w:themeColor="text1"/>
          <w:sz w:val="24"/>
          <w:szCs w:val="24"/>
        </w:rPr>
        <w:t>.</w:t>
      </w:r>
    </w:p>
    <w:p w14:paraId="399E858E"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b/>
          <w:bCs/>
          <w:color w:val="000000" w:themeColor="text1"/>
          <w:sz w:val="24"/>
          <w:szCs w:val="24"/>
          <w:rtl/>
        </w:rPr>
        <w:t>ثامنًا: القراءة التأويلية للنظام تمهيدًا للتطوير القانوني</w:t>
      </w:r>
    </w:p>
    <w:p w14:paraId="117668B0"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تُعد القراءة التأويلية للنصوص القانونية من أبرز أدوات التطوير التشريعي في الأنظمة المعاصرة، فهي لا تسعى إلى تجاوز النص، بل إلى إحياء معناه في ضوء الواقع المتجدد. وفي الحالة السعودية، يمكن القول إن نظام المحاماة، رغم صياغته التقليدية، يحمل قابلية تأويلية عالية تتيح إعادة تفسيره في سياق الثورة التقنية والذكاء الاصطناعي دون الحاجة إلى تعديل جذري في بنائه التشريعي. فالمشرّع السعودي عند وضعه النظام لم يكن غافلًا عن فكرة التطور، وإنما صاغ النصوص بروح عامة مرنة تسمح بالتوسّع في تطبيقها وفق مقتضيات الزمان والمكان، وهو ما يشكل الأساس المنهجي لهذه القراءة</w:t>
      </w:r>
      <w:r w:rsidRPr="000A1619">
        <w:rPr>
          <w:rFonts w:asciiTheme="majorBidi" w:hAnsiTheme="majorBidi" w:cstheme="majorBidi"/>
          <w:color w:val="000000" w:themeColor="text1"/>
          <w:sz w:val="24"/>
          <w:szCs w:val="24"/>
        </w:rPr>
        <w:t>.</w:t>
      </w:r>
    </w:p>
    <w:p w14:paraId="069AE216"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 xml:space="preserve">إن أولى بوادر هذا التأويل تظهر في المادة الأولى من النظام التي تنص على أن مهنة المحاماة تشارك السلطة القضائية في تحقيق العدالة. فالمفهوم التقليدي للعدالة كان يقتصر على المرافعة الورقية والحضور المادي، أما في ظل العدالة الرقمية، فقد أصبح تحقيق العدالة يتم عبر أنظمة رقمية ومنصات ذكية تجمع بين القضاء والمحاماة والإدارة الإلكترونية. ومن ثمّ، فإن المشاركة في تحقيق العدالة يمكن تفسيرها اليوم على أنها تشمل المشاركة في تطوير بيئتها الرقمية، بما في ذلك استخدام الذكاء الاصطناعي كأداة لتسريع الفصل في المنازعات وتحسين كفاءة الخدمات العدلية. وقد أشار الدكتور إبراهيم العيسى في بحثه حول </w:t>
      </w:r>
      <w:r w:rsidRPr="000A1619">
        <w:rPr>
          <w:rFonts w:asciiTheme="majorBidi" w:hAnsiTheme="majorBidi" w:cstheme="majorBidi"/>
          <w:i/>
          <w:iCs/>
          <w:color w:val="000000" w:themeColor="text1"/>
          <w:sz w:val="24"/>
          <w:szCs w:val="24"/>
          <w:rtl/>
        </w:rPr>
        <w:t>القواعد المنظمة لاستخدامات الذكاء الاصطناعي في المملكة</w:t>
      </w:r>
      <w:r w:rsidRPr="000A1619">
        <w:rPr>
          <w:rFonts w:asciiTheme="majorBidi" w:hAnsiTheme="majorBidi" w:cstheme="majorBidi"/>
          <w:color w:val="000000" w:themeColor="text1"/>
          <w:sz w:val="24"/>
          <w:szCs w:val="24"/>
          <w:rtl/>
        </w:rPr>
        <w:t xml:space="preserve"> إلى أن النصوص ذات الطابع الغائي (التي تحدد المقاصد العامة) تصلح أن تكون مظلة قانونية لإدماج التقنيات الحديثة في إطار المهنة دون المساس بجوهر النظام</w:t>
      </w:r>
      <w:r w:rsidRPr="000A1619">
        <w:rPr>
          <w:rFonts w:asciiTheme="majorBidi" w:hAnsiTheme="majorBidi" w:cstheme="majorBidi"/>
          <w:color w:val="000000" w:themeColor="text1"/>
          <w:sz w:val="24"/>
          <w:szCs w:val="24"/>
        </w:rPr>
        <w:t>.</w:t>
      </w:r>
    </w:p>
    <w:p w14:paraId="7EE017AB" w14:textId="2A0BD3C3"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 xml:space="preserve">كما يمكن قراءة أحكام المسؤولية المهنية الواردة في المادة الثالثة عشرة قراءة تأويلية جديدة توسّع مفهوم "من يباشر العمل تحت إشراف المحامي" ليشمل الأدوات الذكية التي يعتمد عليها في أداء مهامه. فالمحامي في هذه الحالة يمارس الإشراف الفني على النظام الذكي ذاته، ويتحمّل تبعات نتائجه كما يتحمّل تبعات أفعال الموظفين العاملين معه. هذا التفسير يجعل الذكاء الاصطناعي جزءًا من نطاق الإشراف المهني دون الحاجة إلى تعديل </w:t>
      </w:r>
      <w:r w:rsidRPr="000A1619">
        <w:rPr>
          <w:rFonts w:asciiTheme="majorBidi" w:hAnsiTheme="majorBidi" w:cstheme="majorBidi"/>
          <w:color w:val="000000" w:themeColor="text1"/>
          <w:sz w:val="24"/>
          <w:szCs w:val="24"/>
          <w:rtl/>
        </w:rPr>
        <w:lastRenderedPageBreak/>
        <w:t>النص، بل من خلال تطويع معناه بما يتفق مع روح العدالة الحديثة. وقد أشار الدكتور مصطفى الأسيوطي</w:t>
      </w:r>
      <w:r w:rsidRPr="00BC5F38">
        <w:rPr>
          <w:rStyle w:val="af"/>
          <w:rFonts w:asciiTheme="majorBidi" w:hAnsiTheme="majorBidi" w:cstheme="majorBidi"/>
          <w:color w:val="000000" w:themeColor="text1"/>
          <w:sz w:val="24"/>
          <w:szCs w:val="24"/>
          <w:rtl/>
        </w:rPr>
        <w:footnoteReference w:id="50"/>
      </w:r>
      <w:r w:rsidRPr="000A1619">
        <w:rPr>
          <w:rFonts w:asciiTheme="majorBidi" w:hAnsiTheme="majorBidi" w:cstheme="majorBidi"/>
          <w:color w:val="000000" w:themeColor="text1"/>
          <w:sz w:val="24"/>
          <w:szCs w:val="24"/>
          <w:rtl/>
        </w:rPr>
        <w:t xml:space="preserve"> في دراسته </w:t>
      </w:r>
      <w:r w:rsidRPr="000A1619">
        <w:rPr>
          <w:rFonts w:asciiTheme="majorBidi" w:hAnsiTheme="majorBidi" w:cstheme="majorBidi"/>
          <w:i/>
          <w:iCs/>
          <w:color w:val="000000" w:themeColor="text1"/>
          <w:sz w:val="24"/>
          <w:szCs w:val="24"/>
          <w:rtl/>
        </w:rPr>
        <w:t>حماية التصرفات القانونية وإثباتها عبر تطبيق الذكاء الاصطناعي</w:t>
      </w:r>
      <w:r w:rsidRPr="000A1619">
        <w:rPr>
          <w:rFonts w:asciiTheme="majorBidi" w:hAnsiTheme="majorBidi" w:cstheme="majorBidi"/>
          <w:color w:val="000000" w:themeColor="text1"/>
          <w:sz w:val="24"/>
          <w:szCs w:val="24"/>
          <w:rtl/>
        </w:rPr>
        <w:t xml:space="preserve"> إلى أن التأويل التشريعي يجب أن يواكب التطور التقني ويُكيّف الوسائل الجديدة في إطار المفاهيم القانونية القائمة بدلًا من استحداث كيانات قانونية غريبة عن البنية الأصلية</w:t>
      </w:r>
      <w:r w:rsidRPr="000A1619">
        <w:rPr>
          <w:rFonts w:asciiTheme="majorBidi" w:hAnsiTheme="majorBidi" w:cstheme="majorBidi"/>
          <w:color w:val="000000" w:themeColor="text1"/>
          <w:sz w:val="24"/>
          <w:szCs w:val="24"/>
        </w:rPr>
        <w:t>.</w:t>
      </w:r>
    </w:p>
    <w:p w14:paraId="75F8E55E"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وفي الإطار ذاته، يمكن إعادة تفسير النصوص المتعلقة بواجبات المحامي وسلوكه المهني بما يتسع ليشمل الالتزامات الرقمية، إذ إن القيم التي نص عليها النظام كالأمانة والصدق والسرية لم تُذكر على سبيل الحصر، وإنما جاءت لتعبّر عن مبدأ الشرف المهني العام، وهو مبدأ يمكن أن يُمدّ ليشمل حماية البيانات الإلكترونية، وضمان أمن المعلومات، والامتناع عن إدخال بيانات الموكلين في أنظمة غير مرخصة. هذا النوع من القراءة التأويلية يجد سنده في مبادئ وثيقة سدايا لأخلاقيات الذكاء الاصطناعي (2023) التي تعتبر حماية الخصوصية مسؤولية تشاركية بين الإنسان والنظام، وتُلزم المستخدم المهني بتحمّل مسؤولية الأثر الناتج عن التقنية</w:t>
      </w:r>
      <w:r w:rsidRPr="000A1619">
        <w:rPr>
          <w:rFonts w:asciiTheme="majorBidi" w:hAnsiTheme="majorBidi" w:cstheme="majorBidi"/>
          <w:color w:val="000000" w:themeColor="text1"/>
          <w:sz w:val="24"/>
          <w:szCs w:val="24"/>
        </w:rPr>
        <w:t>.</w:t>
      </w:r>
    </w:p>
    <w:p w14:paraId="688436DD"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ومن زاوية أخرى، يمكن الاستفادة من نظام الإثبات الصادر عام 1443هـ لتوسيع حجية الأدلة الرقمية ضمن نطاق عمل المحامي. فالنظام أقر لأول مرة حجية المستندات الإلكترونية في الإثبات متى توافرت فيها شروط الموثوقية التقنية، وهو ما يمكّن من استنباط مبدأ قانوني عام يمكن تطبيقه على أعمال المحامي التي تُنجز بواسطة أدوات الذكاء الاصطناعي. فعندما يستخدم المحامي أنظمة ذكية في إعداد المذكرات أو العقود، يمكن اعتبار هذه المخرجات القانونية صحيحة ومعتدًّا بها متى أثبت أنها صادرة عن نظام معتمد يخضع لرقابة مهنية. وهنا تبرز إمكانية تطوير إطار قانوني مستقبلي يعتمد على تأويل النصوص القائمة بدلًا من انتظار تشريع جديد</w:t>
      </w:r>
      <w:r w:rsidRPr="000A1619">
        <w:rPr>
          <w:rFonts w:asciiTheme="majorBidi" w:hAnsiTheme="majorBidi" w:cstheme="majorBidi"/>
          <w:color w:val="000000" w:themeColor="text1"/>
          <w:sz w:val="24"/>
          <w:szCs w:val="24"/>
        </w:rPr>
        <w:t>.</w:t>
      </w:r>
    </w:p>
    <w:p w14:paraId="3339B5E5"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 xml:space="preserve">كذلك يمكن توسيع نطاق نصوص النظام لتشمل مفاهيم "التعاون المؤسسي" بين المهنة والجهات التنظيمية في مجال التقنية العدلية. فالمادة المتعلقة بعلاقة المحامي بوزارة العدل وهيئة المحامين يمكن أن تُفسر على أنها تتيح إنشاء لجان فنية مختصة بتقنين الأدوات الذكية وإصدار التوصيات حول اعتمادها، وهو ما يتفق مع ما طرحه الدكتور ياسر رجب في دراسته </w:t>
      </w:r>
      <w:r w:rsidRPr="000A1619">
        <w:rPr>
          <w:rFonts w:asciiTheme="majorBidi" w:hAnsiTheme="majorBidi" w:cstheme="majorBidi"/>
          <w:i/>
          <w:iCs/>
          <w:color w:val="000000" w:themeColor="text1"/>
          <w:sz w:val="24"/>
          <w:szCs w:val="24"/>
          <w:rtl/>
        </w:rPr>
        <w:t>دور الدولة في تأطير أخلاقيات الذكاء الاصطناعي</w:t>
      </w:r>
      <w:r w:rsidRPr="000A1619">
        <w:rPr>
          <w:rFonts w:asciiTheme="majorBidi" w:hAnsiTheme="majorBidi" w:cstheme="majorBidi"/>
          <w:color w:val="000000" w:themeColor="text1"/>
          <w:sz w:val="24"/>
          <w:szCs w:val="24"/>
          <w:rtl/>
        </w:rPr>
        <w:t xml:space="preserve"> من أن الدور التشريعي الحديث لا يجب أن يقتصر على سن القوانين، بل يمتد إلى "إدارة التقنية" بوصفها مرفقًا عامًا يتطلب مشاركة مهنية في صياغة معاييره وأخلاقياته</w:t>
      </w:r>
      <w:r w:rsidRPr="000A1619">
        <w:rPr>
          <w:rFonts w:asciiTheme="majorBidi" w:hAnsiTheme="majorBidi" w:cstheme="majorBidi"/>
          <w:color w:val="000000" w:themeColor="text1"/>
          <w:sz w:val="24"/>
          <w:szCs w:val="24"/>
        </w:rPr>
        <w:t>.</w:t>
      </w:r>
    </w:p>
    <w:p w14:paraId="4803E476"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ويُضاف إلى ذلك أن نظام القضاء السعودي ذاته يمكن تأويله لدعم هذا الاتجاه، إذ نص في مادته السادسة على أن القضاة والمحامين والنيابة العامة يتعاونون على تحقيق العدالة. هذا النص يؤسس لمنهج تشاركي في بناء المنظومة العدلية يمكن أن يمتد ليشمل التعاون في تطوير البنية التقنية للعدالة، بما في ذلك المشاركة في صياغة الأنظمة الذكية التي تستخدمها المحاكم ومكاتب المحاماة على السواء. وبذلك يتحول الذكاء الاصطناعي من مجرد وسيلة تقنية إلى جزء من البناء المؤسسي المشترك للعدالة السعودية</w:t>
      </w:r>
      <w:r w:rsidRPr="000A1619">
        <w:rPr>
          <w:rFonts w:asciiTheme="majorBidi" w:hAnsiTheme="majorBidi" w:cstheme="majorBidi"/>
          <w:color w:val="000000" w:themeColor="text1"/>
          <w:sz w:val="24"/>
          <w:szCs w:val="24"/>
        </w:rPr>
        <w:t>.</w:t>
      </w:r>
    </w:p>
    <w:p w14:paraId="58606DA4" w14:textId="4FE35714"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color w:val="000000" w:themeColor="text1"/>
          <w:sz w:val="24"/>
          <w:szCs w:val="24"/>
          <w:rtl/>
        </w:rPr>
        <w:t>إن القراءة التأويلية لنظام المحاماة لا تقتصر على محاولة “ملء الفراغ التشريعي” بل تهدف إلى إعادة إحياء النصوص في ضوء التحولات الاجتماعية والتقنية التي تشهدها المملكة. فالنظام لم يُنشأ ليكون جامدًا، بل ليكون مرنًا وقابلًا للتطور، وهو ما ينسجم مع الرؤية السعودية الحديثة في تحويل التشريعات العدلية إلى منظومات ديناميكية قادرة على التكيّف مع الثورة الرقمية. ويمكن القول إن التطوير التشريعي الأمثل لا يكون عبر الإلغاء والاستبدال، بل عبر إعادة التفسير، وإعادة الدمج، واستثمار القيم الكامنة في النصوص القائمة لتشكيل نظام قانوني رقمي متكامل يوازن بين الأصالة العدلية والحداثة التقنية</w:t>
      </w:r>
      <w:r w:rsidRPr="00BC5F38">
        <w:rPr>
          <w:rFonts w:asciiTheme="majorBidi" w:hAnsiTheme="majorBidi" w:cstheme="majorBidi" w:hint="cs"/>
          <w:color w:val="000000" w:themeColor="text1"/>
          <w:sz w:val="24"/>
          <w:szCs w:val="24"/>
          <w:rtl/>
        </w:rPr>
        <w:t>.</w:t>
      </w:r>
      <w:r w:rsidRPr="000A1619">
        <w:rPr>
          <w:rFonts w:asciiTheme="majorBidi" w:hAnsiTheme="majorBidi" w:cstheme="majorBidi"/>
          <w:color w:val="000000" w:themeColor="text1"/>
          <w:sz w:val="24"/>
          <w:szCs w:val="24"/>
        </w:rPr>
        <w:t>.</w:t>
      </w:r>
    </w:p>
    <w:p w14:paraId="0C5C2DAB" w14:textId="77777777" w:rsidR="00D41CB7" w:rsidRDefault="00D41CB7" w:rsidP="00122234">
      <w:pPr>
        <w:jc w:val="right"/>
        <w:rPr>
          <w:rFonts w:asciiTheme="majorBidi" w:hAnsiTheme="majorBidi" w:cstheme="majorBidi"/>
          <w:b/>
          <w:bCs/>
          <w:color w:val="000000" w:themeColor="text1"/>
          <w:sz w:val="24"/>
          <w:szCs w:val="24"/>
          <w:rtl/>
        </w:rPr>
      </w:pPr>
    </w:p>
    <w:p w14:paraId="21CBB4EC" w14:textId="77777777" w:rsidR="00C94490" w:rsidRDefault="00C94490" w:rsidP="00122234">
      <w:pPr>
        <w:jc w:val="right"/>
        <w:rPr>
          <w:rFonts w:asciiTheme="majorBidi" w:hAnsiTheme="majorBidi" w:cstheme="majorBidi"/>
          <w:b/>
          <w:bCs/>
          <w:color w:val="000000" w:themeColor="text1"/>
          <w:sz w:val="24"/>
          <w:szCs w:val="24"/>
          <w:rtl/>
        </w:rPr>
      </w:pPr>
    </w:p>
    <w:p w14:paraId="5B1879EB" w14:textId="77777777" w:rsidR="00C94490" w:rsidRDefault="00C94490" w:rsidP="00122234">
      <w:pPr>
        <w:jc w:val="right"/>
        <w:rPr>
          <w:rFonts w:asciiTheme="majorBidi" w:hAnsiTheme="majorBidi" w:cstheme="majorBidi"/>
          <w:b/>
          <w:bCs/>
          <w:color w:val="000000" w:themeColor="text1"/>
          <w:sz w:val="24"/>
          <w:szCs w:val="24"/>
          <w:rtl/>
        </w:rPr>
      </w:pPr>
    </w:p>
    <w:p w14:paraId="0148E17E" w14:textId="77777777" w:rsidR="00C94490" w:rsidRPr="00BC5F38" w:rsidRDefault="00C94490" w:rsidP="00122234">
      <w:pPr>
        <w:jc w:val="right"/>
        <w:rPr>
          <w:rFonts w:asciiTheme="majorBidi" w:hAnsiTheme="majorBidi" w:cstheme="majorBidi"/>
          <w:b/>
          <w:bCs/>
          <w:color w:val="000000" w:themeColor="text1"/>
          <w:sz w:val="24"/>
          <w:szCs w:val="24"/>
          <w:rtl/>
        </w:rPr>
      </w:pPr>
    </w:p>
    <w:p w14:paraId="42365354" w14:textId="2961A118" w:rsidR="000A1619" w:rsidRPr="00BC5F38" w:rsidRDefault="000A1619" w:rsidP="000A1619">
      <w:pPr>
        <w:jc w:val="center"/>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lastRenderedPageBreak/>
        <w:t>الخلاصة العامة للمطلب الأول</w:t>
      </w:r>
    </w:p>
    <w:p w14:paraId="243E7DBF" w14:textId="17DDF4BA"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1- </w:t>
      </w:r>
      <w:r w:rsidRPr="00BC5F38">
        <w:rPr>
          <w:rFonts w:asciiTheme="majorBidi" w:hAnsiTheme="majorBidi" w:cstheme="majorBidi"/>
          <w:color w:val="000000" w:themeColor="text1"/>
          <w:sz w:val="24"/>
          <w:szCs w:val="24"/>
          <w:rtl/>
        </w:rPr>
        <w:t>ا</w:t>
      </w:r>
      <w:r w:rsidRPr="003F1942">
        <w:rPr>
          <w:rFonts w:asciiTheme="majorBidi" w:hAnsiTheme="majorBidi" w:cstheme="majorBidi"/>
          <w:color w:val="000000" w:themeColor="text1"/>
          <w:sz w:val="24"/>
          <w:szCs w:val="24"/>
          <w:rtl/>
        </w:rPr>
        <w:t>لخلفية التشريعية</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نظام المحاماة صدر في مرحلة ما قبل التحول الرقمي، لكنه وُضع بأساس قانوني متين يهدف إلى تعزيز العدالة وتنظيم المهنة في إطار مؤسسي قابل للتطور</w:t>
      </w:r>
      <w:r w:rsidRPr="003F1942">
        <w:rPr>
          <w:rFonts w:asciiTheme="majorBidi" w:hAnsiTheme="majorBidi" w:cstheme="majorBidi"/>
          <w:color w:val="000000" w:themeColor="text1"/>
          <w:sz w:val="24"/>
          <w:szCs w:val="24"/>
        </w:rPr>
        <w:t>.</w:t>
      </w:r>
    </w:p>
    <w:p w14:paraId="0C6ACC0D" w14:textId="3902486E"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2- </w:t>
      </w:r>
      <w:r w:rsidRPr="003F1942">
        <w:rPr>
          <w:rFonts w:asciiTheme="majorBidi" w:hAnsiTheme="majorBidi" w:cstheme="majorBidi"/>
          <w:color w:val="000000" w:themeColor="text1"/>
          <w:sz w:val="24"/>
          <w:szCs w:val="24"/>
          <w:rtl/>
        </w:rPr>
        <w:t>الطبيعة القانونية للمهنة</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المهنة تجمع بين الصفة العدلية العامة والحرية المهنية، ما يجعلها قابلة لاستيعاب التقنية بشرط أن تظل الرقابة الأخلاقية والقانونية قائمة على عمل المحامي لا على النظام الذكي</w:t>
      </w:r>
      <w:r w:rsidRPr="003F1942">
        <w:rPr>
          <w:rFonts w:asciiTheme="majorBidi" w:hAnsiTheme="majorBidi" w:cstheme="majorBidi"/>
          <w:color w:val="000000" w:themeColor="text1"/>
          <w:sz w:val="24"/>
          <w:szCs w:val="24"/>
        </w:rPr>
        <w:t>.</w:t>
      </w:r>
    </w:p>
    <w:p w14:paraId="7822C305" w14:textId="27A17B08"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3- </w:t>
      </w:r>
      <w:r w:rsidRPr="003F1942">
        <w:rPr>
          <w:rFonts w:asciiTheme="majorBidi" w:hAnsiTheme="majorBidi" w:cstheme="majorBidi"/>
          <w:color w:val="000000" w:themeColor="text1"/>
          <w:sz w:val="24"/>
          <w:szCs w:val="24"/>
          <w:rtl/>
        </w:rPr>
        <w:t>البنية النصية للنظام</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النصوص ركزت على الشخص الطبيعي والالتزامات التقليدية دون إدراج مفاهيم رقمية، لكنها مرنة بما يسمح بإضافة ضوابط تقنية ضمن نفس الهيكل التشريعي القائم</w:t>
      </w:r>
      <w:r w:rsidRPr="003F1942">
        <w:rPr>
          <w:rFonts w:asciiTheme="majorBidi" w:hAnsiTheme="majorBidi" w:cstheme="majorBidi"/>
          <w:color w:val="000000" w:themeColor="text1"/>
          <w:sz w:val="24"/>
          <w:szCs w:val="24"/>
        </w:rPr>
        <w:t>.</w:t>
      </w:r>
    </w:p>
    <w:p w14:paraId="68A08EC6" w14:textId="78F997ED"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4- </w:t>
      </w:r>
      <w:r w:rsidRPr="003F1942">
        <w:rPr>
          <w:rFonts w:asciiTheme="majorBidi" w:hAnsiTheme="majorBidi" w:cstheme="majorBidi"/>
          <w:color w:val="000000" w:themeColor="text1"/>
          <w:sz w:val="24"/>
          <w:szCs w:val="24"/>
          <w:rtl/>
        </w:rPr>
        <w:t>نطاق عمل المحامي</w:t>
      </w:r>
      <w:r w:rsidR="00380C82" w:rsidRPr="00BC5F38">
        <w:rPr>
          <w:rFonts w:asciiTheme="majorBidi" w:hAnsiTheme="majorBidi" w:cstheme="majorBidi" w:hint="cs"/>
          <w:color w:val="000000" w:themeColor="text1"/>
          <w:sz w:val="24"/>
          <w:szCs w:val="24"/>
          <w:rtl/>
        </w:rPr>
        <w:t>:</w:t>
      </w:r>
      <w:r w:rsidRPr="00BC5F38">
        <w:rPr>
          <w:rFonts w:asciiTheme="majorBidi" w:hAnsiTheme="majorBidi" w:cstheme="majorBidi"/>
          <w:color w:val="000000" w:themeColor="text1"/>
          <w:sz w:val="24"/>
          <w:szCs w:val="24"/>
        </w:rPr>
        <w:t xml:space="preserve">  </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مجالات الترافع والاستشارة والصياغة تأثرت بالذكاء الاصطناعي، وأصبح لزامًا تحديد الحدود بين استخدام التقنية كمساعد قانوني وبين ممارستها كبديل للمحامي الإنساني</w:t>
      </w:r>
      <w:r w:rsidRPr="003F1942">
        <w:rPr>
          <w:rFonts w:asciiTheme="majorBidi" w:hAnsiTheme="majorBidi" w:cstheme="majorBidi"/>
          <w:color w:val="000000" w:themeColor="text1"/>
          <w:sz w:val="24"/>
          <w:szCs w:val="24"/>
        </w:rPr>
        <w:t>.</w:t>
      </w:r>
    </w:p>
    <w:p w14:paraId="72923AC9" w14:textId="1A465DE1" w:rsidR="003F1942" w:rsidRPr="003F1942" w:rsidRDefault="00380C8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5- </w:t>
      </w:r>
      <w:r w:rsidR="003F1942" w:rsidRPr="003F1942">
        <w:rPr>
          <w:rFonts w:asciiTheme="majorBidi" w:hAnsiTheme="majorBidi" w:cstheme="majorBidi"/>
          <w:color w:val="000000" w:themeColor="text1"/>
          <w:sz w:val="24"/>
          <w:szCs w:val="24"/>
          <w:rtl/>
        </w:rPr>
        <w:t>دور اللائحة التنفيذية</w:t>
      </w:r>
      <w:r w:rsidRPr="00BC5F38">
        <w:rPr>
          <w:rFonts w:asciiTheme="majorBidi" w:hAnsiTheme="majorBidi" w:cstheme="majorBidi" w:hint="cs"/>
          <w:color w:val="000000" w:themeColor="text1"/>
          <w:sz w:val="24"/>
          <w:szCs w:val="24"/>
          <w:rtl/>
        </w:rPr>
        <w:t>:</w:t>
      </w:r>
      <w:r w:rsidR="003F1942" w:rsidRPr="003F1942">
        <w:rPr>
          <w:rFonts w:asciiTheme="majorBidi" w:hAnsiTheme="majorBidi" w:cstheme="majorBidi"/>
          <w:color w:val="000000" w:themeColor="text1"/>
          <w:sz w:val="24"/>
          <w:szCs w:val="24"/>
        </w:rPr>
        <w:br/>
      </w:r>
      <w:r w:rsidR="003F1942" w:rsidRPr="003F1942">
        <w:rPr>
          <w:rFonts w:asciiTheme="majorBidi" w:hAnsiTheme="majorBidi" w:cstheme="majorBidi"/>
          <w:color w:val="000000" w:themeColor="text1"/>
          <w:sz w:val="24"/>
          <w:szCs w:val="24"/>
          <w:rtl/>
        </w:rPr>
        <w:t>تمثل الأداة الأكثر مرونة لتنظيم استخدام الذكاء الاصطناعي، ويمكن من خلالها إصدار قواعد تفصيلية لضمان الاستخدام الآمن والمشروع للتقنيات القانونية</w:t>
      </w:r>
      <w:r w:rsidR="003F1942" w:rsidRPr="003F1942">
        <w:rPr>
          <w:rFonts w:asciiTheme="majorBidi" w:hAnsiTheme="majorBidi" w:cstheme="majorBidi"/>
          <w:color w:val="000000" w:themeColor="text1"/>
          <w:sz w:val="24"/>
          <w:szCs w:val="24"/>
        </w:rPr>
        <w:t>.</w:t>
      </w:r>
    </w:p>
    <w:p w14:paraId="6EE630B2" w14:textId="188C411B" w:rsidR="003F1942" w:rsidRPr="003F1942" w:rsidRDefault="00380C8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6- </w:t>
      </w:r>
      <w:r w:rsidR="003F1942" w:rsidRPr="003F1942">
        <w:rPr>
          <w:rFonts w:asciiTheme="majorBidi" w:hAnsiTheme="majorBidi" w:cstheme="majorBidi"/>
          <w:color w:val="000000" w:themeColor="text1"/>
          <w:sz w:val="24"/>
          <w:szCs w:val="24"/>
          <w:rtl/>
        </w:rPr>
        <w:t>أوجه القوة في النظام</w:t>
      </w:r>
      <w:r w:rsidRPr="00BC5F38">
        <w:rPr>
          <w:rFonts w:asciiTheme="majorBidi" w:hAnsiTheme="majorBidi" w:cstheme="majorBidi" w:hint="cs"/>
          <w:color w:val="000000" w:themeColor="text1"/>
          <w:sz w:val="24"/>
          <w:szCs w:val="24"/>
          <w:rtl/>
        </w:rPr>
        <w:t>:</w:t>
      </w:r>
      <w:r w:rsidR="003F1942" w:rsidRPr="003F1942">
        <w:rPr>
          <w:rFonts w:asciiTheme="majorBidi" w:hAnsiTheme="majorBidi" w:cstheme="majorBidi"/>
          <w:color w:val="000000" w:themeColor="text1"/>
          <w:sz w:val="24"/>
          <w:szCs w:val="24"/>
        </w:rPr>
        <w:br/>
      </w:r>
      <w:r w:rsidR="003F1942" w:rsidRPr="003F1942">
        <w:rPr>
          <w:rFonts w:asciiTheme="majorBidi" w:hAnsiTheme="majorBidi" w:cstheme="majorBidi"/>
          <w:color w:val="000000" w:themeColor="text1"/>
          <w:sz w:val="24"/>
          <w:szCs w:val="24"/>
          <w:rtl/>
        </w:rPr>
        <w:t>تكمن في مرونته، وارتباطه بالأنظمة العدلية الحديثة، وتوافقه مع مبادئ العدالة والشفافية، ووجود مؤسسات مهنية قادرة على الضبط والتقنين</w:t>
      </w:r>
      <w:r w:rsidR="003F1942" w:rsidRPr="003F1942">
        <w:rPr>
          <w:rFonts w:asciiTheme="majorBidi" w:hAnsiTheme="majorBidi" w:cstheme="majorBidi"/>
          <w:color w:val="000000" w:themeColor="text1"/>
          <w:sz w:val="24"/>
          <w:szCs w:val="24"/>
        </w:rPr>
        <w:t>.</w:t>
      </w:r>
    </w:p>
    <w:p w14:paraId="0FE70A4A" w14:textId="57AA5D68" w:rsidR="003F1942" w:rsidRPr="003F1942" w:rsidRDefault="00380C8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7- </w:t>
      </w:r>
      <w:r w:rsidR="003F1942" w:rsidRPr="003F1942">
        <w:rPr>
          <w:rFonts w:asciiTheme="majorBidi" w:hAnsiTheme="majorBidi" w:cstheme="majorBidi"/>
          <w:color w:val="000000" w:themeColor="text1"/>
          <w:sz w:val="24"/>
          <w:szCs w:val="24"/>
          <w:rtl/>
        </w:rPr>
        <w:t>أوجه القصور التشريعي</w:t>
      </w:r>
      <w:r w:rsidRPr="00BC5F38">
        <w:rPr>
          <w:rFonts w:asciiTheme="majorBidi" w:hAnsiTheme="majorBidi" w:cstheme="majorBidi" w:hint="cs"/>
          <w:color w:val="000000" w:themeColor="text1"/>
          <w:sz w:val="24"/>
          <w:szCs w:val="24"/>
          <w:rtl/>
        </w:rPr>
        <w:t>:</w:t>
      </w:r>
      <w:r w:rsidR="003F1942" w:rsidRPr="003F1942">
        <w:rPr>
          <w:rFonts w:asciiTheme="majorBidi" w:hAnsiTheme="majorBidi" w:cstheme="majorBidi"/>
          <w:color w:val="000000" w:themeColor="text1"/>
          <w:sz w:val="24"/>
          <w:szCs w:val="24"/>
        </w:rPr>
        <w:br/>
      </w:r>
      <w:r w:rsidR="003F1942" w:rsidRPr="003F1942">
        <w:rPr>
          <w:rFonts w:asciiTheme="majorBidi" w:hAnsiTheme="majorBidi" w:cstheme="majorBidi"/>
          <w:color w:val="000000" w:themeColor="text1"/>
          <w:sz w:val="24"/>
          <w:szCs w:val="24"/>
          <w:rtl/>
        </w:rPr>
        <w:t>أبرزها غياب التعريفات التقنية، وضعف الربط بين النظام وأنظمة البيانات، وغياب تنظيم المسؤولية عن الأخطاء التقنية، وعدم وضوح مركز التقنية في الممارسة القانونية</w:t>
      </w:r>
      <w:r w:rsidR="003F1942" w:rsidRPr="003F1942">
        <w:rPr>
          <w:rFonts w:asciiTheme="majorBidi" w:hAnsiTheme="majorBidi" w:cstheme="majorBidi"/>
          <w:color w:val="000000" w:themeColor="text1"/>
          <w:sz w:val="24"/>
          <w:szCs w:val="24"/>
        </w:rPr>
        <w:t>.</w:t>
      </w:r>
    </w:p>
    <w:p w14:paraId="2D826278" w14:textId="512DB690" w:rsidR="003F1942" w:rsidRPr="003F1942" w:rsidRDefault="003F1942" w:rsidP="00380C8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8- </w:t>
      </w:r>
      <w:r w:rsidRPr="003F1942">
        <w:rPr>
          <w:rFonts w:asciiTheme="majorBidi" w:hAnsiTheme="majorBidi" w:cstheme="majorBidi"/>
          <w:color w:val="000000" w:themeColor="text1"/>
          <w:sz w:val="24"/>
          <w:szCs w:val="24"/>
          <w:rtl/>
        </w:rPr>
        <w:t>القراءة التأويلية للنظام</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تسمح بإعادة تفسير النصوص القائمة لتشمل الذكاء الاصطناعي ضمن نطاق المهنة، من خلال تطوير الفهم التطبيقي للنصوص دون المساس بالبنية التشريعية أو القيم العدلية</w:t>
      </w:r>
      <w:r w:rsidRPr="003F1942">
        <w:rPr>
          <w:rFonts w:asciiTheme="majorBidi" w:hAnsiTheme="majorBidi" w:cstheme="majorBidi"/>
          <w:color w:val="000000" w:themeColor="text1"/>
          <w:sz w:val="24"/>
          <w:szCs w:val="24"/>
        </w:rPr>
        <w:t>.</w:t>
      </w:r>
    </w:p>
    <w:p w14:paraId="181CCD12" w14:textId="77777777" w:rsidR="00C94490" w:rsidRDefault="00C94490" w:rsidP="00ED0A7F">
      <w:pPr>
        <w:rPr>
          <w:rFonts w:asciiTheme="majorBidi" w:hAnsiTheme="majorBidi" w:cstheme="majorBidi"/>
          <w:color w:val="000000" w:themeColor="text1"/>
          <w:sz w:val="24"/>
          <w:szCs w:val="24"/>
        </w:rPr>
      </w:pPr>
    </w:p>
    <w:p w14:paraId="5F15CD9E" w14:textId="77777777" w:rsidR="00ED0A7F" w:rsidRPr="00BC5F38" w:rsidRDefault="00ED0A7F" w:rsidP="00C94490">
      <w:pPr>
        <w:jc w:val="right"/>
        <w:rPr>
          <w:rFonts w:asciiTheme="majorBidi" w:hAnsiTheme="majorBidi" w:cstheme="majorBidi"/>
          <w:color w:val="000000" w:themeColor="text1"/>
          <w:sz w:val="24"/>
          <w:szCs w:val="24"/>
          <w:rtl/>
        </w:rPr>
      </w:pPr>
    </w:p>
    <w:p w14:paraId="01F6D861" w14:textId="386DE291" w:rsidR="00C94490" w:rsidRPr="00D41CB7" w:rsidRDefault="00C94490" w:rsidP="00C9449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sidR="00ED0A7F">
        <w:rPr>
          <w:rFonts w:asciiTheme="majorBidi" w:hAnsiTheme="majorBidi" w:cstheme="majorBidi" w:hint="cs"/>
          <w:b/>
          <w:bCs/>
          <w:color w:val="000000" w:themeColor="text1"/>
          <w:sz w:val="32"/>
          <w:szCs w:val="32"/>
          <w:rtl/>
        </w:rPr>
        <w:t>الثاني</w:t>
      </w:r>
    </w:p>
    <w:p w14:paraId="24CFAF80" w14:textId="0922E2D2" w:rsidR="00C94490" w:rsidRDefault="00ED0A7F" w:rsidP="00ED0A7F">
      <w:pPr>
        <w:jc w:val="center"/>
        <w:rPr>
          <w:rFonts w:asciiTheme="majorBidi" w:hAnsiTheme="majorBidi" w:cstheme="majorBidi"/>
          <w:b/>
          <w:bCs/>
          <w:color w:val="000000" w:themeColor="text1"/>
          <w:sz w:val="28"/>
          <w:szCs w:val="28"/>
          <w:rtl/>
        </w:rPr>
      </w:pPr>
      <w:r w:rsidRPr="00ED0A7F">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BA18B10" w14:textId="77777777" w:rsidR="005B3BD6" w:rsidRDefault="005B3BD6" w:rsidP="00ED0A7F">
      <w:pPr>
        <w:jc w:val="center"/>
        <w:rPr>
          <w:rFonts w:asciiTheme="majorBidi" w:hAnsiTheme="majorBidi" w:cstheme="majorBidi"/>
          <w:b/>
          <w:bCs/>
          <w:color w:val="000000" w:themeColor="text1"/>
          <w:sz w:val="28"/>
          <w:szCs w:val="28"/>
          <w:rtl/>
        </w:rPr>
      </w:pPr>
    </w:p>
    <w:p w14:paraId="55026F0C" w14:textId="77777777" w:rsidR="005B3BD6" w:rsidRDefault="005B3BD6" w:rsidP="005B3BD6">
      <w:pPr>
        <w:jc w:val="right"/>
        <w:rPr>
          <w:rFonts w:asciiTheme="majorBidi" w:hAnsiTheme="majorBidi" w:cstheme="majorBidi"/>
          <w:color w:val="000000" w:themeColor="text1"/>
          <w:sz w:val="24"/>
          <w:szCs w:val="24"/>
          <w:rtl/>
        </w:rPr>
      </w:pPr>
      <w:r w:rsidRPr="005B3BD6">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0F72D64F" w14:textId="5359113C"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lastRenderedPageBreak/>
        <w:t xml:space="preserve">أولا: </w:t>
      </w:r>
      <w:r w:rsidRPr="0095427D">
        <w:rPr>
          <w:rFonts w:asciiTheme="majorBidi" w:hAnsiTheme="majorBidi" w:cstheme="majorBidi"/>
          <w:b/>
          <w:bCs/>
          <w:color w:val="000000" w:themeColor="text1"/>
          <w:sz w:val="24"/>
          <w:szCs w:val="24"/>
          <w:rtl/>
        </w:rPr>
        <w:t>نظام حماية البيانات الشخصية (1443هـ)</w:t>
      </w:r>
    </w:p>
    <w:p w14:paraId="03C4011C" w14:textId="55FEFCD9"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sidRPr="0095427D">
        <w:rPr>
          <w:rFonts w:asciiTheme="majorBidi" w:hAnsiTheme="majorBidi" w:cstheme="majorBidi"/>
          <w:color w:val="000000" w:themeColor="text1"/>
          <w:sz w:val="24"/>
          <w:szCs w:val="24"/>
        </w:rPr>
        <w:t>.</w:t>
      </w:r>
    </w:p>
    <w:p w14:paraId="116B4F9D"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sidRPr="0095427D">
        <w:rPr>
          <w:rFonts w:asciiTheme="majorBidi" w:hAnsiTheme="majorBidi" w:cstheme="majorBidi"/>
          <w:color w:val="000000" w:themeColor="text1"/>
          <w:sz w:val="24"/>
          <w:szCs w:val="24"/>
        </w:rPr>
        <w:t>.</w:t>
      </w:r>
    </w:p>
    <w:p w14:paraId="5CD9F59A" w14:textId="5A71FB84"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ويؤكد خالد المالكي</w:t>
      </w:r>
      <w:r>
        <w:rPr>
          <w:rStyle w:val="af"/>
          <w:rFonts w:asciiTheme="majorBidi" w:hAnsiTheme="majorBidi" w:cstheme="majorBidi"/>
          <w:color w:val="000000" w:themeColor="text1"/>
          <w:sz w:val="24"/>
          <w:szCs w:val="24"/>
          <w:rtl/>
        </w:rPr>
        <w:footnoteReference w:id="51"/>
      </w:r>
      <w:r w:rsidRPr="0095427D">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مرام الربيع</w:t>
      </w:r>
      <w:r>
        <w:rPr>
          <w:rStyle w:val="af"/>
          <w:rFonts w:asciiTheme="majorBidi" w:hAnsiTheme="majorBidi" w:cstheme="majorBidi"/>
          <w:color w:val="000000" w:themeColor="text1"/>
          <w:sz w:val="24"/>
          <w:szCs w:val="24"/>
          <w:rtl/>
        </w:rPr>
        <w:footnoteReference w:id="52"/>
      </w:r>
      <w:r w:rsidRPr="0095427D">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sidRPr="0095427D">
        <w:rPr>
          <w:rFonts w:asciiTheme="majorBidi" w:hAnsiTheme="majorBidi" w:cstheme="majorBidi"/>
          <w:color w:val="000000" w:themeColor="text1"/>
          <w:sz w:val="24"/>
          <w:szCs w:val="24"/>
        </w:rPr>
        <w:t>.</w:t>
      </w:r>
    </w:p>
    <w:p w14:paraId="30AFFE4C" w14:textId="4C3E4B4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 (سدايا، 2023)</w:t>
      </w:r>
      <w:r>
        <w:rPr>
          <w:rStyle w:val="af"/>
          <w:rFonts w:asciiTheme="majorBidi" w:hAnsiTheme="majorBidi" w:cstheme="majorBidi"/>
          <w:color w:val="000000" w:themeColor="text1"/>
          <w:sz w:val="24"/>
          <w:szCs w:val="24"/>
          <w:rtl/>
        </w:rPr>
        <w:footnoteReference w:id="53"/>
      </w:r>
      <w:r w:rsidRPr="0095427D">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sidRPr="0095427D">
        <w:rPr>
          <w:rFonts w:asciiTheme="majorBidi" w:hAnsiTheme="majorBidi" w:cstheme="majorBidi"/>
          <w:color w:val="000000" w:themeColor="text1"/>
          <w:sz w:val="24"/>
          <w:szCs w:val="24"/>
        </w:rPr>
        <w:t>.</w:t>
      </w:r>
    </w:p>
    <w:p w14:paraId="6ABB6BEB"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sidRPr="0095427D">
        <w:rPr>
          <w:rFonts w:asciiTheme="majorBidi" w:hAnsiTheme="majorBidi" w:cstheme="majorBidi"/>
          <w:color w:val="000000" w:themeColor="text1"/>
          <w:sz w:val="24"/>
          <w:szCs w:val="24"/>
        </w:rPr>
        <w:t>.</w:t>
      </w:r>
    </w:p>
    <w:p w14:paraId="1726B279" w14:textId="30C21F19" w:rsidR="00ED0A7F" w:rsidRDefault="00ED0A7F" w:rsidP="005B3BD6">
      <w:pPr>
        <w:jc w:val="right"/>
        <w:rPr>
          <w:rFonts w:asciiTheme="majorBidi" w:hAnsiTheme="majorBidi" w:cstheme="majorBidi"/>
          <w:color w:val="000000" w:themeColor="text1"/>
          <w:sz w:val="24"/>
          <w:szCs w:val="24"/>
        </w:rPr>
      </w:pPr>
    </w:p>
    <w:p w14:paraId="3D759DD7" w14:textId="21DD7987" w:rsidR="004855F3" w:rsidRDefault="004855F3" w:rsidP="004855F3">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sidRPr="004855F3">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5E5D4772" w14:textId="77777777"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جاء نظام الإثبات لعام 1443هـ بوصفه أحد أهم التحوّلات في البنية العدلية السعودية، لأنه نقل الإثبات من بيئة يغلب عليها الطابع الورقي والشهادة المباشرة، إلى بيئة تعترف رسميًا بالأدلة الإلكترونية والرقمية، وتضع لها ضوابط خاصة من حيث الحجية والموثوقية. وهذا التطور يرتبط بشكل مباشر بموضوع الرسالة؛ لأن جزءًا كبيرًا من مخرجات أنظمة الذكاء الاصطناعي في مكاتب المحاماة يظهر في صورة مستندات رقمية، أو تحليلات إلكترونية، أو مراسلات ومعاملات تتم عبر المنصات التقنية</w:t>
      </w:r>
      <w:r w:rsidRPr="004855F3">
        <w:rPr>
          <w:rFonts w:asciiTheme="majorBidi" w:hAnsiTheme="majorBidi" w:cstheme="majorBidi"/>
          <w:color w:val="000000" w:themeColor="text1"/>
          <w:sz w:val="24"/>
          <w:szCs w:val="24"/>
        </w:rPr>
        <w:t>.</w:t>
      </w:r>
    </w:p>
    <w:p w14:paraId="3B8AD680" w14:textId="77777777"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 xml:space="preserve">النظام قرر في عدد من مواده أن الأدلة الإلكترونية والمحررات الرقمية يمكن أن تكون حجة معتبرة أمام القضاء متى توافرت لها شروط معينة، من أهمها إمكان نسبة المستند إلى من صدر عنه، وسلامة وسيلة حفظه ونقله، وعدم العبث بمحتواه. هذه الشروط تُلقي بعبء مباشر على مكاتب المحاماة التي تعتمد على نظم الذكاء </w:t>
      </w:r>
      <w:r w:rsidRPr="004855F3">
        <w:rPr>
          <w:rFonts w:asciiTheme="majorBidi" w:hAnsiTheme="majorBidi" w:cstheme="majorBidi"/>
          <w:color w:val="000000" w:themeColor="text1"/>
          <w:sz w:val="24"/>
          <w:szCs w:val="24"/>
          <w:rtl/>
        </w:rPr>
        <w:lastRenderedPageBreak/>
        <w:t>الاصطناعي في إعداد المذكرات أو العقود أو التقارير القانونية؛ إذ لا يكفي أن ينتج النظام نصًّا قانونيًا، بل يجب على المحامي أن يتأكد من أن طريقة توليد هذا النص وحفظه وتقديمه للقضاء تتوافق مع معايير الموثوقية التي يضعها نظام الإثبات. هنا يتحول الذكاء الاصطناعي من مجرد أداة مساعدة إلى جزء من منظومة الدليل، يخضع لضوابط قانونية محددة</w:t>
      </w:r>
      <w:r w:rsidRPr="004855F3">
        <w:rPr>
          <w:rFonts w:asciiTheme="majorBidi" w:hAnsiTheme="majorBidi" w:cstheme="majorBidi"/>
          <w:color w:val="000000" w:themeColor="text1"/>
          <w:sz w:val="24"/>
          <w:szCs w:val="24"/>
        </w:rPr>
        <w:t>.</w:t>
      </w:r>
    </w:p>
    <w:p w14:paraId="5853D087" w14:textId="77777777"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من زاوية أخرى، يفتح نظام الإثبات الباب لتكوين ما يمكن تسميته "بيئة إثبات رقمية"؛ حيث يصبح التعامل مع الملفات الإلكترونية والمنصات العدلية الرقمية جزءًا من العمل اليومي للمحامي، خصوصًا مع انتشار التقاضي الإلكتروني ومنصات الخدمات العدلية. ومكاتب المحاماة التي تستعين بأنظمة ذكاء اصطناعي لتحليل السوابق القضائية أو لاستخراج النصوص النظامية أو لترتيب المستندات، يمكن أن تقدّم هذه المخرجات في صورة مستندات أو تقارير رقمية؛ لكن مسؤولية تكييفها قانونيًا تظل على عاتق المحامي، لا على عاتق النظام. وهنا يتقاطع نظام الإثبات مع فكرة "المسؤولية المهنية الرقمية" التي تناولتها بعض الدراسات، والتي ترى أن المهني لا يجوز له أن يختبئ خلف التقنية، بل يظل ملزمًا بالتثبت من صحة الدليل الذي يقدمه، ولو كان مصدره نظامًا ذكيًا</w:t>
      </w:r>
      <w:r w:rsidRPr="004855F3">
        <w:rPr>
          <w:rFonts w:asciiTheme="majorBidi" w:hAnsiTheme="majorBidi" w:cstheme="majorBidi"/>
          <w:color w:val="000000" w:themeColor="text1"/>
          <w:sz w:val="24"/>
          <w:szCs w:val="24"/>
        </w:rPr>
        <w:t>.</w:t>
      </w:r>
    </w:p>
    <w:p w14:paraId="2273B7B1" w14:textId="0B2AEAE5"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وقد تناولت مجلة الشريعة والقانون في دراسة</w:t>
      </w:r>
      <w:r>
        <w:rPr>
          <w:rStyle w:val="af"/>
          <w:rFonts w:asciiTheme="majorBidi" w:hAnsiTheme="majorBidi" w:cstheme="majorBidi"/>
          <w:color w:val="000000" w:themeColor="text1"/>
          <w:sz w:val="24"/>
          <w:szCs w:val="24"/>
          <w:rtl/>
        </w:rPr>
        <w:footnoteReference w:id="54"/>
      </w:r>
      <w:r w:rsidRPr="004855F3">
        <w:rPr>
          <w:rFonts w:asciiTheme="majorBidi" w:hAnsiTheme="majorBidi" w:cstheme="majorBidi"/>
          <w:color w:val="000000" w:themeColor="text1"/>
          <w:sz w:val="24"/>
          <w:szCs w:val="24"/>
          <w:rtl/>
        </w:rPr>
        <w:t xml:space="preserve"> عن الذكاء الاصطناعي والعمل القضائي أن نظم الإثبات الحديثة لا تستطيع تجاهل الدور المتنامي للتقنيات الذكية في إنتاج الأدلة، وأن القاضي أصبح يتعامل مع مخرجات تقنية تحتاج إلى تفسير وتفكيك قبل الحكم على حجيتها. وهذا يعني أن المحامي الذي يستخدم الذكاء الاصطناعي في مكتبه لا بد أن يكون قادرًا على شرح للقاضي كيف تم الوصول إلى هذه المخرجات، وما هو منهج النظام المستخدم، ومدى توافر الضمانات الفنية التي يمنع بها التلاعب أو الخطأ الجسيم. فالتقنية هنا لا تلغي دور المحامي، بل ترفع سقف متطلبات الكفاءة المهنية لديه</w:t>
      </w:r>
      <w:r w:rsidRPr="004855F3">
        <w:rPr>
          <w:rFonts w:asciiTheme="majorBidi" w:hAnsiTheme="majorBidi" w:cstheme="majorBidi"/>
          <w:color w:val="000000" w:themeColor="text1"/>
          <w:sz w:val="24"/>
          <w:szCs w:val="24"/>
        </w:rPr>
        <w:t>.</w:t>
      </w:r>
    </w:p>
    <w:p w14:paraId="4C5AC350" w14:textId="460BD8E3"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كما أن مجلة العدالة في عددها المتعلق بالمسؤولية عن الذكاء الاصطناعي أشارت إلى أن الإثبات في القضايا الحديثة لم يعد مقتصرًا على المحررات التقليدية، بل امتد ليشمل سجلات إلكترونية، وبيانات ميتاداتا، وتقارير تحليلية تنتجها الأنظمة الذكية</w:t>
      </w:r>
      <w:r>
        <w:rPr>
          <w:rStyle w:val="af"/>
          <w:rFonts w:asciiTheme="majorBidi" w:hAnsiTheme="majorBidi" w:cstheme="majorBidi"/>
          <w:color w:val="000000" w:themeColor="text1"/>
          <w:sz w:val="24"/>
          <w:szCs w:val="24"/>
          <w:rtl/>
        </w:rPr>
        <w:footnoteReference w:id="55"/>
      </w:r>
      <w:r w:rsidRPr="004855F3">
        <w:rPr>
          <w:rFonts w:asciiTheme="majorBidi" w:hAnsiTheme="majorBidi" w:cstheme="majorBidi"/>
          <w:color w:val="000000" w:themeColor="text1"/>
          <w:sz w:val="24"/>
          <w:szCs w:val="24"/>
          <w:rtl/>
        </w:rPr>
        <w:t>. وهذا يطرح سؤالًا جوهريًا يرتبط مباشرة بمشكلة الرسالة: هل يُعدّ ما ينتجه الذكاء الاصطناعي دليلًا بذاته، أم مجرد وسيلة مساعدة لا تكتسب الحجية إلا بعد مراجعة المحامي واعتماده؟ الاتجاه الغالب في الفقه النظامي السعودي يميل إلى أن الأداة التقنية ليست "شخصًا" ولا "ذمة قانونية" مستقلة، بل هي وسيلة في يد المحامي، والحجية تُنسب إلى ما يعتمده المحامي من مخرجات ويقدمه للقضاء، في ضوء معايير نظام الإثبات</w:t>
      </w:r>
      <w:r w:rsidRPr="004855F3">
        <w:rPr>
          <w:rFonts w:asciiTheme="majorBidi" w:hAnsiTheme="majorBidi" w:cstheme="majorBidi"/>
          <w:color w:val="000000" w:themeColor="text1"/>
          <w:sz w:val="24"/>
          <w:szCs w:val="24"/>
        </w:rPr>
        <w:t>.</w:t>
      </w:r>
    </w:p>
    <w:p w14:paraId="5103AEE0" w14:textId="77777777"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ويرتبط نظام الإثبات أيضًا بموضوع الرسالة من زاوية ثانية مهمة، هي زاوية تنظيم دور الخبرة الفنية. فمع دخول الذكاء الاصطناعي في العمل القضائي، قد يحتاج القاضي إلى خبرة تقنية لفهم طريقة عمل الأنظمة التي استخدمها المحامي أو الخصم في تحليل البيانات أو إعادة بناء الوقائع، وهنا يمكن أن تتحوّل تقارير الخبرة التقنية إلى جزء من الدليل الخاضع لأحكام نظام الإثبات. وهذا يعزز حاجة المحامي إلى اختيار أنظمة ذكاء اصطناعي قابلة للتفسير، وليست "صناديق سوداء" لا يمكن فهم منهجها؛ لأن الغموض في آلية الاستنتاج يمكن أن ينعكس على قوة الدليل أمام القضاء</w:t>
      </w:r>
      <w:r w:rsidRPr="004855F3">
        <w:rPr>
          <w:rFonts w:asciiTheme="majorBidi" w:hAnsiTheme="majorBidi" w:cstheme="majorBidi"/>
          <w:color w:val="000000" w:themeColor="text1"/>
          <w:sz w:val="24"/>
          <w:szCs w:val="24"/>
        </w:rPr>
        <w:t>.</w:t>
      </w:r>
    </w:p>
    <w:p w14:paraId="1558A6E9" w14:textId="77777777" w:rsidR="004855F3" w:rsidRPr="004855F3" w:rsidRDefault="004855F3" w:rsidP="004855F3">
      <w:pPr>
        <w:jc w:val="right"/>
        <w:rPr>
          <w:rFonts w:asciiTheme="majorBidi" w:hAnsiTheme="majorBidi" w:cstheme="majorBidi"/>
          <w:color w:val="000000" w:themeColor="text1"/>
          <w:sz w:val="24"/>
          <w:szCs w:val="24"/>
        </w:rPr>
      </w:pPr>
      <w:r w:rsidRPr="004855F3">
        <w:rPr>
          <w:rFonts w:asciiTheme="majorBidi" w:hAnsiTheme="majorBidi" w:cstheme="majorBidi"/>
          <w:color w:val="000000" w:themeColor="text1"/>
          <w:sz w:val="24"/>
          <w:szCs w:val="24"/>
          <w:rtl/>
        </w:rPr>
        <w:t xml:space="preserve">وفي ضوء رؤية المملكة 2030 وبرامج التحول العدلي الرقمي، يبدو واضحًا أن نظام الإثبات جاء ليمنح الثقة الرسمية في الأدلة الرقمية، ويقنن دخول التقنية في منظومة العدالة، وهذا يتفق مع ما أشارت إليه فاطمة بلال في دراستها عن دور الذكاء الاصطناعي في تعزيز العدالة الناجزة، من أن التحول الرقمي الفعّال يتطلب نظام إثبات متطورًا يعترف بالمستندات الإلكترونية ويضبطها. وبذلك يصبح نظام الإثبات حلقة محورية في الإطار القانوني </w:t>
      </w:r>
      <w:r w:rsidRPr="004855F3">
        <w:rPr>
          <w:rFonts w:asciiTheme="majorBidi" w:hAnsiTheme="majorBidi" w:cstheme="majorBidi"/>
          <w:color w:val="000000" w:themeColor="text1"/>
          <w:sz w:val="24"/>
          <w:szCs w:val="24"/>
          <w:rtl/>
        </w:rPr>
        <w:lastRenderedPageBreak/>
        <w:t>لتوظيف الذكاء الاصطناعي في مكاتب المحاماة؛ لأنه يحدد متى يكون الناتج التقني دليلًا معتبرًا، ومتى يكون مجرد مسودة أو أداة عمل داخلية لا ترقى إلى مرتبة الحجة القضائية</w:t>
      </w:r>
      <w:r w:rsidRPr="004855F3">
        <w:rPr>
          <w:rFonts w:asciiTheme="majorBidi" w:hAnsiTheme="majorBidi" w:cstheme="majorBidi"/>
          <w:color w:val="000000" w:themeColor="text1"/>
          <w:sz w:val="24"/>
          <w:szCs w:val="24"/>
        </w:rPr>
        <w:t>.</w:t>
      </w:r>
    </w:p>
    <w:p w14:paraId="1E3C1792" w14:textId="77777777" w:rsidR="004855F3" w:rsidRDefault="004855F3" w:rsidP="004855F3">
      <w:pPr>
        <w:jc w:val="right"/>
        <w:rPr>
          <w:rFonts w:asciiTheme="majorBidi" w:hAnsiTheme="majorBidi" w:cstheme="majorBidi"/>
          <w:color w:val="000000" w:themeColor="text1"/>
          <w:sz w:val="24"/>
          <w:szCs w:val="24"/>
          <w:rtl/>
        </w:rPr>
      </w:pPr>
      <w:r w:rsidRPr="004855F3">
        <w:rPr>
          <w:rFonts w:asciiTheme="majorBidi" w:hAnsiTheme="majorBidi" w:cstheme="majorBidi"/>
          <w:color w:val="000000" w:themeColor="text1"/>
          <w:sz w:val="24"/>
          <w:szCs w:val="24"/>
          <w:rtl/>
        </w:rPr>
        <w:t>وباختصار، يمكن القول إن نظام الإثبات لا يكتفي بالاعتراف بالأدلة الرقمية، بل يعيد تعريف دور المحامي في زمن الذكاء الاصطناعي؛ إذ يفرض عليه أن يكون قادرًا على التعامل مع الدليل الإلكتروني، وفهم أبعاده التقنية، وتقديمه في إطار قانوني منضبط، بما ينسجم مع هدف الرسالة في رسم إطار قانوني سعودي متكامل ينظم توظيف الذكاء الاصطناعي في تطوير خدمات مكاتب المحاماة دون الإخلال بقواعد العدالة وحجية الإثبات</w:t>
      </w:r>
      <w:r>
        <w:rPr>
          <w:rFonts w:asciiTheme="majorBidi" w:hAnsiTheme="majorBidi" w:cstheme="majorBidi" w:hint="cs"/>
          <w:color w:val="000000" w:themeColor="text1"/>
          <w:sz w:val="24"/>
          <w:szCs w:val="24"/>
          <w:rtl/>
        </w:rPr>
        <w:t>.</w:t>
      </w:r>
    </w:p>
    <w:p w14:paraId="050802D4" w14:textId="02610EEA" w:rsidR="004855F3" w:rsidRPr="004855F3" w:rsidRDefault="004855F3" w:rsidP="004855F3">
      <w:pPr>
        <w:jc w:val="center"/>
        <w:rPr>
          <w:rFonts w:asciiTheme="majorBidi" w:hAnsiTheme="majorBidi" w:cstheme="majorBidi"/>
          <w:color w:val="000000" w:themeColor="text1"/>
          <w:sz w:val="24"/>
          <w:szCs w:val="24"/>
        </w:rPr>
      </w:pPr>
    </w:p>
    <w:p w14:paraId="5D1E4A3F" w14:textId="329C3C49"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sidRPr="00925C7C">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58FA15E6"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sidRPr="00925C7C">
        <w:rPr>
          <w:rFonts w:asciiTheme="majorBidi" w:hAnsiTheme="majorBidi" w:cstheme="majorBidi"/>
          <w:color w:val="000000" w:themeColor="text1"/>
          <w:sz w:val="24"/>
          <w:szCs w:val="24"/>
        </w:rPr>
        <w:t>.</w:t>
      </w:r>
    </w:p>
    <w:p w14:paraId="0D271038" w14:textId="15871CD3"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النظام أقرّ في مادته (الثالثة عشرة)</w:t>
      </w:r>
      <w:r w:rsidR="005562AF">
        <w:rPr>
          <w:rStyle w:val="af"/>
          <w:rFonts w:asciiTheme="majorBidi" w:hAnsiTheme="majorBidi" w:cstheme="majorBidi"/>
          <w:color w:val="000000" w:themeColor="text1"/>
          <w:sz w:val="24"/>
          <w:szCs w:val="24"/>
          <w:rtl/>
        </w:rPr>
        <w:footnoteReference w:id="56"/>
      </w:r>
      <w:r w:rsidRPr="00925C7C">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sidRPr="00925C7C">
        <w:rPr>
          <w:rFonts w:asciiTheme="majorBidi" w:hAnsiTheme="majorBidi" w:cstheme="majorBidi"/>
          <w:color w:val="000000" w:themeColor="text1"/>
          <w:sz w:val="24"/>
          <w:szCs w:val="24"/>
        </w:rPr>
        <w:t>.</w:t>
      </w:r>
    </w:p>
    <w:p w14:paraId="2EA5EAE5"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sidRPr="00925C7C">
        <w:rPr>
          <w:rFonts w:asciiTheme="majorBidi" w:hAnsiTheme="majorBidi" w:cstheme="majorBidi"/>
          <w:color w:val="000000" w:themeColor="text1"/>
          <w:sz w:val="24"/>
          <w:szCs w:val="24"/>
        </w:rPr>
        <w:t>.</w:t>
      </w:r>
    </w:p>
    <w:p w14:paraId="2E310FA9" w14:textId="0D9562C1"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وقد أوضح عبدالعزيز العلي</w:t>
      </w:r>
      <w:r w:rsidR="005562AF">
        <w:rPr>
          <w:rStyle w:val="af"/>
          <w:rFonts w:asciiTheme="majorBidi" w:hAnsiTheme="majorBidi" w:cstheme="majorBidi"/>
          <w:color w:val="000000" w:themeColor="text1"/>
          <w:sz w:val="24"/>
          <w:szCs w:val="24"/>
          <w:rtl/>
        </w:rPr>
        <w:footnoteReference w:id="57"/>
      </w:r>
      <w:r w:rsidRPr="00925C7C">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sidRPr="00925C7C">
        <w:rPr>
          <w:rFonts w:asciiTheme="majorBidi" w:hAnsiTheme="majorBidi" w:cstheme="majorBidi"/>
          <w:color w:val="000000" w:themeColor="text1"/>
          <w:sz w:val="24"/>
          <w:szCs w:val="24"/>
        </w:rPr>
        <w:t>.</w:t>
      </w:r>
    </w:p>
    <w:p w14:paraId="2B329047" w14:textId="305AE92C"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خالد المالكي</w:t>
      </w:r>
      <w:r w:rsidR="005562AF">
        <w:rPr>
          <w:rStyle w:val="af"/>
          <w:rFonts w:asciiTheme="majorBidi" w:hAnsiTheme="majorBidi" w:cstheme="majorBidi"/>
          <w:color w:val="000000" w:themeColor="text1"/>
          <w:sz w:val="24"/>
          <w:szCs w:val="24"/>
          <w:rtl/>
        </w:rPr>
        <w:footnoteReference w:id="58"/>
      </w:r>
      <w:r w:rsidRPr="00925C7C">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sidRPr="00925C7C">
        <w:rPr>
          <w:rFonts w:asciiTheme="majorBidi" w:hAnsiTheme="majorBidi" w:cstheme="majorBidi"/>
          <w:color w:val="000000" w:themeColor="text1"/>
          <w:sz w:val="24"/>
          <w:szCs w:val="24"/>
        </w:rPr>
        <w:t>.</w:t>
      </w:r>
    </w:p>
    <w:p w14:paraId="4DD5AB04"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 xml:space="preserve">ومن زاوية أخلاقية، يتكامل هذا النظام مع وثيقة مبادئ أخلاقيات الذكاء الاصطناعي (سدايا، 2023)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w:t>
      </w:r>
      <w:r w:rsidRPr="00925C7C">
        <w:rPr>
          <w:rFonts w:asciiTheme="majorBidi" w:hAnsiTheme="majorBidi" w:cstheme="majorBidi"/>
          <w:color w:val="000000" w:themeColor="text1"/>
          <w:sz w:val="24"/>
          <w:szCs w:val="24"/>
          <w:rtl/>
        </w:rPr>
        <w:lastRenderedPageBreak/>
        <w:t>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sidRPr="00925C7C">
        <w:rPr>
          <w:rFonts w:asciiTheme="majorBidi" w:hAnsiTheme="majorBidi" w:cstheme="majorBidi"/>
          <w:color w:val="000000" w:themeColor="text1"/>
          <w:sz w:val="24"/>
          <w:szCs w:val="24"/>
        </w:rPr>
        <w:t>.</w:t>
      </w:r>
    </w:p>
    <w:p w14:paraId="190E8D46" w14:textId="42AA1E82" w:rsidR="00925C7C" w:rsidRPr="00925C7C" w:rsidRDefault="00925C7C" w:rsidP="005562AF">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sidR="005562AF">
        <w:rPr>
          <w:rFonts w:asciiTheme="majorBidi" w:hAnsiTheme="majorBidi" w:cstheme="majorBidi" w:hint="cs"/>
          <w:color w:val="000000" w:themeColor="text1"/>
          <w:sz w:val="24"/>
          <w:szCs w:val="24"/>
          <w:rtl/>
        </w:rPr>
        <w:t>.</w:t>
      </w:r>
      <w:r w:rsidRPr="00925C7C">
        <w:rPr>
          <w:rFonts w:asciiTheme="majorBidi" w:hAnsiTheme="majorBidi" w:cstheme="majorBidi"/>
          <w:color w:val="000000" w:themeColor="text1"/>
          <w:sz w:val="24"/>
          <w:szCs w:val="24"/>
        </w:rPr>
        <w:t>.</w:t>
      </w:r>
    </w:p>
    <w:p w14:paraId="53281F4D" w14:textId="77777777" w:rsidR="00925C7C" w:rsidRPr="00925C7C" w:rsidRDefault="00925C7C" w:rsidP="00925C7C">
      <w:pPr>
        <w:jc w:val="right"/>
        <w:rPr>
          <w:rFonts w:asciiTheme="majorBidi" w:hAnsiTheme="majorBidi" w:cstheme="majorBidi"/>
          <w:color w:val="000000" w:themeColor="text1"/>
          <w:sz w:val="24"/>
          <w:szCs w:val="24"/>
          <w:rtl/>
        </w:rPr>
      </w:pPr>
    </w:p>
    <w:p w14:paraId="1A4952E9" w14:textId="1353DF4A"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sidR="00A918AE" w:rsidRPr="00A918AE">
        <w:rPr>
          <w:rFonts w:asciiTheme="majorBidi" w:hAnsiTheme="majorBidi" w:cstheme="majorBidi"/>
          <w:b/>
          <w:bCs/>
          <w:color w:val="000000" w:themeColor="text1"/>
          <w:rtl/>
        </w:rPr>
        <w:t xml:space="preserve">نظام الإجراءات الجزائية (1435هـ) </w:t>
      </w:r>
      <w:r w:rsidR="00A918AE">
        <w:rPr>
          <w:rFonts w:asciiTheme="majorBidi" w:hAnsiTheme="majorBidi" w:cstheme="majorBidi" w:hint="cs"/>
          <w:b/>
          <w:bCs/>
          <w:color w:val="000000" w:themeColor="text1"/>
          <w:rtl/>
        </w:rPr>
        <w:t xml:space="preserve">، </w:t>
      </w:r>
      <w:r w:rsidR="00A918AE" w:rsidRPr="00A918AE">
        <w:rPr>
          <w:rFonts w:asciiTheme="majorBidi" w:hAnsiTheme="majorBidi" w:cstheme="majorBidi"/>
          <w:b/>
          <w:bCs/>
          <w:color w:val="000000" w:themeColor="text1"/>
          <w:rtl/>
        </w:rPr>
        <w:t>ونظام مكافحة الجرائم المعلوماتية (1428هـ)</w:t>
      </w:r>
      <w:r w:rsidR="00A918AE">
        <w:rPr>
          <w:rFonts w:asciiTheme="majorBidi" w:hAnsiTheme="majorBidi" w:cstheme="majorBidi" w:hint="cs"/>
          <w:b/>
          <w:bCs/>
          <w:color w:val="000000" w:themeColor="text1"/>
          <w:rtl/>
        </w:rPr>
        <w:t xml:space="preserve"> :</w:t>
      </w:r>
    </w:p>
    <w:p w14:paraId="45FC3919"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sidRPr="00A918AE">
        <w:rPr>
          <w:rFonts w:asciiTheme="majorBidi" w:hAnsiTheme="majorBidi" w:cstheme="majorBidi"/>
          <w:color w:val="000000" w:themeColor="text1"/>
          <w:sz w:val="24"/>
          <w:szCs w:val="24"/>
        </w:rPr>
        <w:t>.</w:t>
      </w:r>
    </w:p>
    <w:p w14:paraId="78273DF5"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ذكاء اصطناعي في تحليل القضايا أو التواصل مع الجهات العدلية أن يتقيد بضمانات السرية وعدم التعدي على حرمة البيانات، لأن أي اختراق لتلك الضمانات قد يؤدي إلى بطلان الدليل أو مساءلة المحامي تأديبيًا. كما أن المادة (161) من النظام توجب على من يشارك في إجراءات التقاضي أو التحقيق المحافظة على سرية المعلومات التي يطلع عليها، وهو ما يمتد ليشمل المعلومات التي تُعالَج عبر الأنظمة الذكية في مكاتب المحاماة</w:t>
      </w:r>
      <w:r w:rsidRPr="00A918AE">
        <w:rPr>
          <w:rFonts w:asciiTheme="majorBidi" w:hAnsiTheme="majorBidi" w:cstheme="majorBidi"/>
          <w:color w:val="000000" w:themeColor="text1"/>
          <w:sz w:val="24"/>
          <w:szCs w:val="24"/>
        </w:rPr>
        <w:t>.</w:t>
      </w:r>
    </w:p>
    <w:p w14:paraId="1480E3F5"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القضايا أو ملفات الموكلين يجب أن يتحقق من أن المنصة مرخصة وآمنة داخل النطاق النظامي للمملكة، وإلا فإنه قد يُعتبر مستخدمًا لتقنية مخالفة للأنظمة. وهنا يظهر التلاقي بين حماية البيانات من جهة، والمسؤولية المهنية للمحامي من جهة أخرى، بوصفه مستخدمًا مؤتمَنًا على معلومات حساسة</w:t>
      </w:r>
      <w:r w:rsidRPr="00A918AE">
        <w:rPr>
          <w:rFonts w:asciiTheme="majorBidi" w:hAnsiTheme="majorBidi" w:cstheme="majorBidi"/>
          <w:color w:val="000000" w:themeColor="text1"/>
          <w:sz w:val="24"/>
          <w:szCs w:val="24"/>
        </w:rPr>
        <w:t>.</w:t>
      </w:r>
    </w:p>
    <w:p w14:paraId="2FB5DC89" w14:textId="218A4AA3"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 xml:space="preserve">وقد بيّن مراد محمد غالب قاسم (2024) </w:t>
      </w:r>
      <w:r>
        <w:rPr>
          <w:rStyle w:val="af"/>
          <w:rFonts w:asciiTheme="majorBidi" w:hAnsiTheme="majorBidi" w:cstheme="majorBidi"/>
          <w:color w:val="000000" w:themeColor="text1"/>
          <w:sz w:val="24"/>
          <w:szCs w:val="24"/>
          <w:rtl/>
        </w:rPr>
        <w:footnoteReference w:id="59"/>
      </w:r>
      <w:r w:rsidRPr="00A918AE">
        <w:rPr>
          <w:rFonts w:asciiTheme="majorBidi" w:hAnsiTheme="majorBidi" w:cstheme="majorBidi"/>
          <w:color w:val="000000" w:themeColor="text1"/>
          <w:sz w:val="24"/>
          <w:szCs w:val="24"/>
          <w:rtl/>
        </w:rPr>
        <w:t xml:space="preserve">في دراسته حول مكافحة الجريمة الإلكترونية أن الذكاء الاصطناعي يمكن أن يُستغل في التحليل الجنائي أو في اختراق البيانات القانونية، وأن التمييز بين الاستخدام المهني المشروع والاستخدام المجرّم يتوقف على معيار “نية المعالجة” والغرض منها. فإذا كان الهدف تطوير الخدمة القانونية وتحليل الأنظمة، فهو مشروع، أما إذا ترتب عليه خرق أمني أو كشف غير مشروع للمعلومات، فيُعدّ إخلالًا بنظام مكافحة الجرائم المعلوماتية. وهذا التحليل يتقاطع مع ما أوضحته مرام الربيع </w:t>
      </w:r>
      <w:r>
        <w:rPr>
          <w:rStyle w:val="af"/>
          <w:rFonts w:asciiTheme="majorBidi" w:hAnsiTheme="majorBidi" w:cstheme="majorBidi"/>
          <w:color w:val="000000" w:themeColor="text1"/>
          <w:sz w:val="24"/>
          <w:szCs w:val="24"/>
          <w:rtl/>
        </w:rPr>
        <w:footnoteReference w:id="60"/>
      </w:r>
      <w:r w:rsidRPr="00A918AE">
        <w:rPr>
          <w:rFonts w:asciiTheme="majorBidi" w:hAnsiTheme="majorBidi" w:cstheme="majorBidi"/>
          <w:color w:val="000000" w:themeColor="text1"/>
          <w:sz w:val="24"/>
          <w:szCs w:val="24"/>
          <w:rtl/>
        </w:rPr>
        <w:t>(2022) في دراستها حول المسؤولية المدنية عن أفعال الذكاء الاصطناعي، من أن الخطأ التقني في الممارسة المهنية يمكن أن يتحوّل إلى خطأ جسيم إذا أدى إلى ضرر يمسّ الأمن المعلوماتي أو العدالة الرقمية</w:t>
      </w:r>
      <w:r w:rsidRPr="00A918AE">
        <w:rPr>
          <w:rFonts w:asciiTheme="majorBidi" w:hAnsiTheme="majorBidi" w:cstheme="majorBidi"/>
          <w:color w:val="000000" w:themeColor="text1"/>
          <w:sz w:val="24"/>
          <w:szCs w:val="24"/>
        </w:rPr>
        <w:t>.</w:t>
      </w:r>
    </w:p>
    <w:p w14:paraId="6EDA45E3"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 xml:space="preserve">إن العلاقة بين النظامين تكاملية، فالأول (نظام الإجراءات الجزائية) يضع القواعد التي تضمن العدالة في الإجراءات القانونية والجنائية، والثاني (نظام مكافحة الجرائم المعلوماتية) يوفّر الحماية التقنية اللازمة لهذه </w:t>
      </w:r>
      <w:r w:rsidRPr="00A918AE">
        <w:rPr>
          <w:rFonts w:asciiTheme="majorBidi" w:hAnsiTheme="majorBidi" w:cstheme="majorBidi"/>
          <w:color w:val="000000" w:themeColor="text1"/>
          <w:sz w:val="24"/>
          <w:szCs w:val="24"/>
          <w:rtl/>
        </w:rPr>
        <w:lastRenderedPageBreak/>
        <w:t>العدالة في بيئة رقمية. ومن خلال هذا التكامل، يُعاد تعريف مسؤولية المحامي الرقمية في ظل الذكاء الاصطناعي؛ إذ لم تعد محصورة في الالتزامات التقليدية، بل امتدت لتشمل الالتزام بضمان أمن البيانات، والتحقق من مشروعية الأدوات التقنية المستخدمة، وحماية خصوصية المعلومات أثناء استخدامها في التحليل أو المرافعة</w:t>
      </w:r>
      <w:r w:rsidRPr="00A918AE">
        <w:rPr>
          <w:rFonts w:asciiTheme="majorBidi" w:hAnsiTheme="majorBidi" w:cstheme="majorBidi"/>
          <w:color w:val="000000" w:themeColor="text1"/>
          <w:sz w:val="24"/>
          <w:szCs w:val="24"/>
        </w:rPr>
        <w:t>.</w:t>
      </w:r>
    </w:p>
    <w:p w14:paraId="46B818AA"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(سدايا، 2023)، التي أكدت على مبدأ “الشفافية والمسؤولية”، ما يعني أن أي استخدام لأدوات الذكاء الاصطناعي في المجال العدلي يجب أن يكون قابلًا للتتبع والمساءلة. وهذا المبدأ يمكن أن يشكل أساسًا تنظيميًا مستقبليًا لوضع لائحة مهنية داخل مكاتب المحاماة تُحدّد ضوابط استخدام الأنظمة الذكية بما يمنع تعارضها مع الأنظمة الجزائية أو الأمنية</w:t>
      </w:r>
      <w:r w:rsidRPr="00A918AE">
        <w:rPr>
          <w:rFonts w:asciiTheme="majorBidi" w:hAnsiTheme="majorBidi" w:cstheme="majorBidi"/>
          <w:color w:val="000000" w:themeColor="text1"/>
          <w:sz w:val="24"/>
          <w:szCs w:val="24"/>
        </w:rPr>
        <w:t>.</w:t>
      </w:r>
    </w:p>
    <w:p w14:paraId="1F970DB2"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وعليه، فإن نظام الإجراءات الجزائية ونظام مكافحة الجرائم المعلوماتية يضيفان بعدًا وقائيًا وتنظيميًا للإطار القانوني لتوظيف الذكاء الاصطناعي في مكاتب المحاماة، ويحددان الخط الفاصل بين الاستخدام المشروع للتقنيات الحديثة في تطوير الخدمات القانونية، والاستخدام الذي قد يُعدّ إخلالًا بنزاهة المهنة أو تهديدًا للعدالة الرقمية. وبهذا يشكّلان معًا الضمان القانوني الذي يحمي العدالة من مخاطر التقنية، ويؤكد أن التحول الرقمي يجب أن يسير وفق قواعد القانون وأخلاقيات المهنة</w:t>
      </w:r>
      <w:r w:rsidRPr="00A918AE">
        <w:rPr>
          <w:rFonts w:asciiTheme="majorBidi" w:hAnsiTheme="majorBidi" w:cstheme="majorBidi"/>
          <w:color w:val="000000" w:themeColor="text1"/>
          <w:sz w:val="24"/>
          <w:szCs w:val="24"/>
        </w:rPr>
        <w:t>.</w:t>
      </w:r>
    </w:p>
    <w:p w14:paraId="20B6A79F" w14:textId="77777777" w:rsidR="004855F3" w:rsidRDefault="004855F3" w:rsidP="005B3BD6">
      <w:pPr>
        <w:jc w:val="right"/>
        <w:rPr>
          <w:rFonts w:asciiTheme="majorBidi" w:hAnsiTheme="majorBidi" w:cstheme="majorBidi"/>
          <w:color w:val="000000" w:themeColor="text1"/>
          <w:sz w:val="24"/>
          <w:szCs w:val="24"/>
        </w:rPr>
      </w:pPr>
    </w:p>
    <w:p w14:paraId="1D99D8C0" w14:textId="46E732E3"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sidRPr="00A918AE">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4231427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sidRPr="00A918AE">
        <w:rPr>
          <w:rFonts w:asciiTheme="majorBidi" w:hAnsiTheme="majorBidi" w:cstheme="majorBidi"/>
          <w:color w:val="000000" w:themeColor="text1"/>
          <w:sz w:val="24"/>
          <w:szCs w:val="24"/>
        </w:rPr>
        <w:t>.</w:t>
      </w:r>
    </w:p>
    <w:p w14:paraId="76CF9583"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sidRPr="00A918AE">
        <w:rPr>
          <w:rFonts w:asciiTheme="majorBidi" w:hAnsiTheme="majorBidi" w:cstheme="majorBidi"/>
          <w:color w:val="000000" w:themeColor="text1"/>
          <w:sz w:val="24"/>
          <w:szCs w:val="24"/>
        </w:rPr>
        <w:t>.</w:t>
      </w:r>
    </w:p>
    <w:p w14:paraId="14A7AAF8" w14:textId="07AEF1B8"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خالد المالكي</w:t>
      </w:r>
      <w:r>
        <w:rPr>
          <w:rStyle w:val="af"/>
          <w:rFonts w:asciiTheme="majorBidi" w:hAnsiTheme="majorBidi" w:cstheme="majorBidi"/>
          <w:color w:val="000000" w:themeColor="text1"/>
          <w:sz w:val="24"/>
          <w:szCs w:val="24"/>
          <w:rtl/>
        </w:rPr>
        <w:footnoteReference w:id="61"/>
      </w:r>
      <w:r w:rsidRPr="00A918AE">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sidRPr="00A918AE">
        <w:rPr>
          <w:rFonts w:asciiTheme="majorBidi" w:hAnsiTheme="majorBidi" w:cstheme="majorBidi"/>
          <w:color w:val="000000" w:themeColor="text1"/>
          <w:sz w:val="24"/>
          <w:szCs w:val="24"/>
        </w:rPr>
        <w:t>.</w:t>
      </w:r>
    </w:p>
    <w:p w14:paraId="7F56A09D" w14:textId="061F2535"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ويرى عبدالعزيز العلي</w:t>
      </w:r>
      <w:r>
        <w:rPr>
          <w:rStyle w:val="af"/>
          <w:rFonts w:asciiTheme="majorBidi" w:hAnsiTheme="majorBidi" w:cstheme="majorBidi"/>
          <w:color w:val="000000" w:themeColor="text1"/>
          <w:sz w:val="24"/>
          <w:szCs w:val="24"/>
          <w:rtl/>
        </w:rPr>
        <w:footnoteReference w:id="62"/>
      </w:r>
      <w:r w:rsidRPr="00A918AE">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w:t>
      </w:r>
      <w:r w:rsidRPr="00A918AE">
        <w:rPr>
          <w:rFonts w:asciiTheme="majorBidi" w:hAnsiTheme="majorBidi" w:cstheme="majorBidi"/>
          <w:color w:val="000000" w:themeColor="text1"/>
          <w:sz w:val="24"/>
          <w:szCs w:val="24"/>
          <w:rtl/>
        </w:rPr>
        <w:lastRenderedPageBreak/>
        <w:t>هذا النظام الذي منح الصبغة القانونية للإجراءات الإلكترونية. وبذلك يصبح النظام بمثابة مظلة قانونية تحمي نشاط المحامي في بيئة رقمية معقّدة</w:t>
      </w:r>
      <w:r w:rsidRPr="00A918AE">
        <w:rPr>
          <w:rFonts w:asciiTheme="majorBidi" w:hAnsiTheme="majorBidi" w:cstheme="majorBidi"/>
          <w:color w:val="000000" w:themeColor="text1"/>
          <w:sz w:val="24"/>
          <w:szCs w:val="24"/>
        </w:rPr>
        <w:t>.</w:t>
      </w:r>
    </w:p>
    <w:p w14:paraId="395CB3E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(سدايا، 2023)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sidRPr="00A918AE">
        <w:rPr>
          <w:rFonts w:asciiTheme="majorBidi" w:hAnsiTheme="majorBidi" w:cstheme="majorBidi"/>
          <w:color w:val="000000" w:themeColor="text1"/>
          <w:sz w:val="24"/>
          <w:szCs w:val="24"/>
        </w:rPr>
        <w:t>.</w:t>
      </w:r>
    </w:p>
    <w:p w14:paraId="346E6AFA"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sidRPr="00A918AE">
        <w:rPr>
          <w:rFonts w:asciiTheme="majorBidi" w:hAnsiTheme="majorBidi" w:cstheme="majorBidi"/>
          <w:color w:val="000000" w:themeColor="text1"/>
          <w:sz w:val="24"/>
          <w:szCs w:val="24"/>
        </w:rPr>
        <w:t>.</w:t>
      </w:r>
    </w:p>
    <w:p w14:paraId="0B0ACC4B" w14:textId="4D152019"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sidRPr="00A918AE">
        <w:rPr>
          <w:rFonts w:asciiTheme="majorBidi" w:hAnsiTheme="majorBidi" w:cstheme="majorBidi"/>
          <w:color w:val="000000" w:themeColor="text1"/>
          <w:sz w:val="24"/>
          <w:szCs w:val="24"/>
        </w:rPr>
        <w:t>.</w:t>
      </w:r>
    </w:p>
    <w:p w14:paraId="75BE38E6" w14:textId="77777777" w:rsidR="00A918AE" w:rsidRDefault="00A918AE" w:rsidP="005B3BD6">
      <w:pPr>
        <w:jc w:val="right"/>
        <w:rPr>
          <w:rFonts w:asciiTheme="majorBidi" w:hAnsiTheme="majorBidi" w:cstheme="majorBidi"/>
          <w:color w:val="000000" w:themeColor="text1"/>
          <w:sz w:val="24"/>
          <w:szCs w:val="24"/>
        </w:rPr>
      </w:pPr>
    </w:p>
    <w:p w14:paraId="1D482AB1" w14:textId="3B1EC5E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sidRPr="003A40AC">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5672FA26" w14:textId="270BC9B8"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sidRPr="003A40AC">
        <w:rPr>
          <w:rFonts w:asciiTheme="majorBidi" w:hAnsiTheme="majorBidi" w:cstheme="majorBidi"/>
          <w:color w:val="000000" w:themeColor="text1"/>
          <w:sz w:val="24"/>
          <w:szCs w:val="24"/>
        </w:rPr>
        <w:t>.</w:t>
      </w:r>
    </w:p>
    <w:p w14:paraId="13F36CB5"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sidRPr="003A40AC">
        <w:rPr>
          <w:rFonts w:asciiTheme="majorBidi" w:hAnsiTheme="majorBidi" w:cstheme="majorBidi"/>
          <w:color w:val="000000" w:themeColor="text1"/>
          <w:sz w:val="24"/>
          <w:szCs w:val="24"/>
        </w:rPr>
        <w:t>.</w:t>
      </w:r>
    </w:p>
    <w:p w14:paraId="7C9E1A9E" w14:textId="0A466FE3"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63"/>
      </w:r>
      <w:r w:rsidRPr="003A40AC">
        <w:rPr>
          <w:rFonts w:asciiTheme="majorBidi" w:hAnsiTheme="majorBidi" w:cstheme="majorBidi"/>
          <w:color w:val="000000" w:themeColor="text1"/>
          <w:sz w:val="24"/>
          <w:szCs w:val="24"/>
          <w:rtl/>
        </w:rPr>
        <w:t xml:space="preserve">(2023)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w:t>
      </w:r>
      <w:r w:rsidRPr="003A40AC">
        <w:rPr>
          <w:rFonts w:asciiTheme="majorBidi" w:hAnsiTheme="majorBidi" w:cstheme="majorBidi"/>
          <w:color w:val="000000" w:themeColor="text1"/>
          <w:sz w:val="24"/>
          <w:szCs w:val="24"/>
          <w:rtl/>
        </w:rPr>
        <w:lastRenderedPageBreak/>
        <w:t>النظام يمنح للمكتب القانوني القدرة على تطوير خدماته وتحسين الأداء باستخدام التقنية، دون المساس بمبدأ المسؤولية الفردية للمحامي عن مخرجات عمله</w:t>
      </w:r>
      <w:r w:rsidRPr="003A40AC">
        <w:rPr>
          <w:rFonts w:asciiTheme="majorBidi" w:hAnsiTheme="majorBidi" w:cstheme="majorBidi"/>
          <w:color w:val="000000" w:themeColor="text1"/>
          <w:sz w:val="24"/>
          <w:szCs w:val="24"/>
        </w:rPr>
        <w:t>.</w:t>
      </w:r>
    </w:p>
    <w:p w14:paraId="58700872" w14:textId="5911DDF4"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عبدالله حمادي</w:t>
      </w:r>
      <w:r>
        <w:rPr>
          <w:rStyle w:val="af"/>
          <w:rFonts w:asciiTheme="majorBidi" w:hAnsiTheme="majorBidi" w:cstheme="majorBidi"/>
          <w:color w:val="000000" w:themeColor="text1"/>
          <w:sz w:val="24"/>
          <w:szCs w:val="24"/>
          <w:rtl/>
        </w:rPr>
        <w:footnoteReference w:id="64"/>
      </w:r>
      <w:r w:rsidRPr="003A40AC">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sidRPr="003A40AC">
        <w:rPr>
          <w:rFonts w:asciiTheme="majorBidi" w:hAnsiTheme="majorBidi" w:cstheme="majorBidi"/>
          <w:color w:val="000000" w:themeColor="text1"/>
          <w:sz w:val="24"/>
          <w:szCs w:val="24"/>
        </w:rPr>
        <w:t>.</w:t>
      </w:r>
    </w:p>
    <w:p w14:paraId="5D00F0BA" w14:textId="0B074061"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(سدايا، 2023) التي تؤكد على مبدأ “المساءلة والشفافية”</w:t>
      </w:r>
      <w:r>
        <w:rPr>
          <w:rStyle w:val="af"/>
          <w:rFonts w:asciiTheme="majorBidi" w:hAnsiTheme="majorBidi" w:cstheme="majorBidi"/>
          <w:color w:val="000000" w:themeColor="text1"/>
          <w:sz w:val="24"/>
          <w:szCs w:val="24"/>
          <w:rtl/>
        </w:rPr>
        <w:footnoteReference w:id="65"/>
      </w:r>
      <w:r w:rsidRPr="003A40AC">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sidRPr="003A40AC">
        <w:rPr>
          <w:rFonts w:asciiTheme="majorBidi" w:hAnsiTheme="majorBidi" w:cstheme="majorBidi"/>
          <w:color w:val="000000" w:themeColor="text1"/>
          <w:sz w:val="24"/>
          <w:szCs w:val="24"/>
        </w:rPr>
        <w:t>.</w:t>
      </w:r>
    </w:p>
    <w:p w14:paraId="081FFE5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sidRPr="003A40AC">
        <w:rPr>
          <w:rFonts w:asciiTheme="majorBidi" w:hAnsiTheme="majorBidi" w:cstheme="majorBidi"/>
          <w:color w:val="000000" w:themeColor="text1"/>
          <w:sz w:val="24"/>
          <w:szCs w:val="24"/>
        </w:rPr>
        <w:t>.</w:t>
      </w:r>
    </w:p>
    <w:p w14:paraId="4E937FB7" w14:textId="77777777" w:rsidR="003A40AC" w:rsidRDefault="003A40AC" w:rsidP="005B3BD6">
      <w:pPr>
        <w:jc w:val="right"/>
        <w:rPr>
          <w:rFonts w:asciiTheme="majorBidi" w:hAnsiTheme="majorBidi" w:cstheme="majorBidi"/>
          <w:color w:val="000000" w:themeColor="text1"/>
          <w:sz w:val="24"/>
          <w:szCs w:val="24"/>
        </w:rPr>
      </w:pPr>
    </w:p>
    <w:p w14:paraId="32E15727" w14:textId="2B941BA0"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sidRPr="003A40AC">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01692092"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sidRPr="003A40AC">
        <w:rPr>
          <w:rFonts w:asciiTheme="majorBidi" w:hAnsiTheme="majorBidi" w:cstheme="majorBidi"/>
          <w:color w:val="000000" w:themeColor="text1"/>
          <w:sz w:val="24"/>
          <w:szCs w:val="24"/>
        </w:rPr>
        <w:t>.</w:t>
      </w:r>
    </w:p>
    <w:p w14:paraId="3913408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sidRPr="003A40AC">
        <w:rPr>
          <w:rFonts w:asciiTheme="majorBidi" w:hAnsiTheme="majorBidi" w:cstheme="majorBidi"/>
          <w:i/>
          <w:iCs/>
          <w:color w:val="000000" w:themeColor="text1"/>
          <w:sz w:val="24"/>
          <w:szCs w:val="24"/>
          <w:rtl/>
        </w:rPr>
        <w:t>ناجز</w:t>
      </w:r>
      <w:r w:rsidRPr="003A40AC">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sidRPr="003A40AC">
        <w:rPr>
          <w:rFonts w:asciiTheme="majorBidi" w:hAnsiTheme="majorBidi" w:cstheme="majorBidi"/>
          <w:color w:val="000000" w:themeColor="text1"/>
          <w:sz w:val="24"/>
          <w:szCs w:val="24"/>
        </w:rPr>
        <w:t>.</w:t>
      </w:r>
    </w:p>
    <w:p w14:paraId="329E68EF" w14:textId="09DCD3FD"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66"/>
      </w:r>
      <w:r w:rsidRPr="003A40AC">
        <w:rPr>
          <w:rFonts w:asciiTheme="majorBidi" w:hAnsiTheme="majorBidi" w:cstheme="majorBidi"/>
          <w:color w:val="000000" w:themeColor="text1"/>
          <w:sz w:val="24"/>
          <w:szCs w:val="24"/>
          <w:rtl/>
        </w:rPr>
        <w:t xml:space="preserve"> (2023) في رسالتها حول </w:t>
      </w:r>
      <w:r w:rsidRPr="003A40AC">
        <w:rPr>
          <w:rFonts w:asciiTheme="majorBidi" w:hAnsiTheme="majorBidi" w:cstheme="majorBidi"/>
          <w:i/>
          <w:iCs/>
          <w:color w:val="000000" w:themeColor="text1"/>
          <w:sz w:val="24"/>
          <w:szCs w:val="24"/>
          <w:rtl/>
        </w:rPr>
        <w:t>دور الذكاء الاصطناعي في تعزيز العدالة الناجزة</w:t>
      </w:r>
      <w:r w:rsidRPr="003A40AC">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w:t>
      </w:r>
      <w:r w:rsidRPr="003A40AC">
        <w:rPr>
          <w:rFonts w:asciiTheme="majorBidi" w:hAnsiTheme="majorBidi" w:cstheme="majorBidi"/>
          <w:color w:val="000000" w:themeColor="text1"/>
          <w:sz w:val="24"/>
          <w:szCs w:val="24"/>
          <w:rtl/>
        </w:rPr>
        <w:lastRenderedPageBreak/>
        <w:t>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sidRPr="003A40AC">
        <w:rPr>
          <w:rFonts w:asciiTheme="majorBidi" w:hAnsiTheme="majorBidi" w:cstheme="majorBidi"/>
          <w:color w:val="000000" w:themeColor="text1"/>
          <w:sz w:val="24"/>
          <w:szCs w:val="24"/>
        </w:rPr>
        <w:t>.</w:t>
      </w:r>
    </w:p>
    <w:p w14:paraId="022C767D"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sidRPr="003A40AC">
        <w:rPr>
          <w:rFonts w:asciiTheme="majorBidi" w:hAnsiTheme="majorBidi" w:cstheme="majorBidi"/>
          <w:color w:val="000000" w:themeColor="text1"/>
          <w:sz w:val="24"/>
          <w:szCs w:val="24"/>
        </w:rPr>
        <w:t>.</w:t>
      </w:r>
    </w:p>
    <w:p w14:paraId="7ECA4ED5" w14:textId="1B6754F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كما أن هذا النظام يرتبط بوثيقة مبادئ أخلاقيات الذكاء الاصطناعي (سدايا، 2023)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sidR="008D5357">
        <w:rPr>
          <w:rFonts w:asciiTheme="majorBidi" w:hAnsiTheme="majorBidi" w:cstheme="majorBidi" w:hint="cs"/>
          <w:color w:val="000000" w:themeColor="text1"/>
          <w:sz w:val="24"/>
          <w:szCs w:val="24"/>
          <w:rtl/>
        </w:rPr>
        <w:t>خالد</w:t>
      </w:r>
      <w:r w:rsidRPr="003A40AC">
        <w:rPr>
          <w:rFonts w:asciiTheme="majorBidi" w:hAnsiTheme="majorBidi" w:cstheme="majorBidi"/>
          <w:color w:val="000000" w:themeColor="text1"/>
          <w:sz w:val="24"/>
          <w:szCs w:val="24"/>
          <w:rtl/>
        </w:rPr>
        <w:t xml:space="preserve"> المالكي</w:t>
      </w:r>
      <w:r w:rsidR="008D5357">
        <w:rPr>
          <w:rStyle w:val="af"/>
          <w:rFonts w:asciiTheme="majorBidi" w:hAnsiTheme="majorBidi" w:cstheme="majorBidi"/>
          <w:color w:val="000000" w:themeColor="text1"/>
          <w:sz w:val="24"/>
          <w:szCs w:val="24"/>
          <w:rtl/>
        </w:rPr>
        <w:footnoteReference w:id="67"/>
      </w:r>
      <w:r w:rsidRPr="003A40AC">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sidRPr="003A40AC">
        <w:rPr>
          <w:rFonts w:asciiTheme="majorBidi" w:hAnsiTheme="majorBidi" w:cstheme="majorBidi"/>
          <w:color w:val="000000" w:themeColor="text1"/>
          <w:sz w:val="24"/>
          <w:szCs w:val="24"/>
        </w:rPr>
        <w:t>.</w:t>
      </w:r>
    </w:p>
    <w:p w14:paraId="323F2EC7"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sidRPr="003A40AC">
        <w:rPr>
          <w:rFonts w:asciiTheme="majorBidi" w:hAnsiTheme="majorBidi" w:cstheme="majorBidi"/>
          <w:color w:val="000000" w:themeColor="text1"/>
          <w:sz w:val="24"/>
          <w:szCs w:val="24"/>
        </w:rPr>
        <w:t>.</w:t>
      </w:r>
    </w:p>
    <w:p w14:paraId="3CF25A57" w14:textId="2188C50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sidR="00061491">
        <w:rPr>
          <w:rFonts w:asciiTheme="majorBidi" w:hAnsiTheme="majorBidi" w:cstheme="majorBidi" w:hint="cs"/>
          <w:color w:val="000000" w:themeColor="text1"/>
          <w:sz w:val="24"/>
          <w:szCs w:val="24"/>
          <w:rtl/>
        </w:rPr>
        <w:t>مؤتمته</w:t>
      </w:r>
      <w:r w:rsidRPr="003A40AC">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sidRPr="003A40AC">
        <w:rPr>
          <w:rFonts w:asciiTheme="majorBidi" w:hAnsiTheme="majorBidi" w:cstheme="majorBidi"/>
          <w:color w:val="000000" w:themeColor="text1"/>
          <w:sz w:val="24"/>
          <w:szCs w:val="24"/>
        </w:rPr>
        <w:t>.</w:t>
      </w:r>
    </w:p>
    <w:p w14:paraId="2C116877" w14:textId="77777777" w:rsidR="003A40AC" w:rsidRDefault="003A40AC" w:rsidP="005B3BD6">
      <w:pPr>
        <w:jc w:val="right"/>
        <w:rPr>
          <w:rFonts w:asciiTheme="majorBidi" w:hAnsiTheme="majorBidi" w:cstheme="majorBidi"/>
          <w:color w:val="000000" w:themeColor="text1"/>
          <w:sz w:val="24"/>
          <w:szCs w:val="24"/>
        </w:rPr>
      </w:pPr>
    </w:p>
    <w:p w14:paraId="2609C71E"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sidRPr="00061491">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549362C2" w14:textId="29F18F15"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hint="cs"/>
          <w:color w:val="000000" w:themeColor="text1"/>
          <w:sz w:val="24"/>
          <w:szCs w:val="24"/>
          <w:rtl/>
        </w:rPr>
        <w:t>ت</w:t>
      </w:r>
      <w:r w:rsidRPr="00061491">
        <w:rPr>
          <w:rFonts w:asciiTheme="majorBidi" w:hAnsiTheme="majorBidi" w:cstheme="majorBidi"/>
          <w:color w:val="000000" w:themeColor="text1"/>
          <w:sz w:val="24"/>
          <w:szCs w:val="24"/>
          <w:rtl/>
        </w:rPr>
        <w:t>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وتأتي أهمية هذه الوثائق بالنسبة لموضوع الرسالة من كونها تُحوّل “الاستخدام التقني” إلى ممارسة منضبطة بالقيم، بحيث لا يكون الذكاء الاصطناعي مجرد أداة تقنية، بل جزءًا من منظومة العدالة الأخلاقية التي تحترم الإنسان والحقوق والبيانات</w:t>
      </w:r>
      <w:r w:rsidRPr="00061491">
        <w:rPr>
          <w:rFonts w:asciiTheme="majorBidi" w:hAnsiTheme="majorBidi" w:cstheme="majorBidi"/>
          <w:color w:val="000000" w:themeColor="text1"/>
          <w:sz w:val="24"/>
          <w:szCs w:val="24"/>
        </w:rPr>
        <w:t>.</w:t>
      </w:r>
    </w:p>
    <w:p w14:paraId="3540820C" w14:textId="77777777"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tl/>
        </w:rPr>
        <w:t>تشمل هذه الوثائق ثلاث ركائز رئيسية</w:t>
      </w:r>
      <w:r w:rsidRPr="00061491">
        <w:rPr>
          <w:rFonts w:asciiTheme="majorBidi" w:hAnsiTheme="majorBidi" w:cstheme="majorBidi"/>
          <w:color w:val="000000" w:themeColor="text1"/>
          <w:sz w:val="24"/>
          <w:szCs w:val="24"/>
        </w:rPr>
        <w:t>:</w:t>
      </w:r>
      <w:r w:rsidRPr="00061491">
        <w:rPr>
          <w:rFonts w:asciiTheme="majorBidi" w:hAnsiTheme="majorBidi" w:cstheme="majorBidi"/>
          <w:color w:val="000000" w:themeColor="text1"/>
          <w:sz w:val="24"/>
          <w:szCs w:val="24"/>
        </w:rPr>
        <w:br/>
        <w:t xml:space="preserve">(1) </w:t>
      </w:r>
      <w:r w:rsidRPr="00061491">
        <w:rPr>
          <w:rFonts w:asciiTheme="majorBidi" w:hAnsiTheme="majorBidi" w:cstheme="majorBidi"/>
          <w:color w:val="000000" w:themeColor="text1"/>
          <w:sz w:val="24"/>
          <w:szCs w:val="24"/>
          <w:rtl/>
        </w:rPr>
        <w:t>وثيقة مبادئ أخلاقيات الذكاء الاصطناعي</w:t>
      </w:r>
      <w:r w:rsidRPr="00061491">
        <w:rPr>
          <w:rFonts w:asciiTheme="majorBidi" w:hAnsiTheme="majorBidi" w:cstheme="majorBidi"/>
          <w:color w:val="000000" w:themeColor="text1"/>
          <w:sz w:val="24"/>
          <w:szCs w:val="24"/>
        </w:rPr>
        <w:t xml:space="preserve"> (2023)</w:t>
      </w:r>
      <w:r w:rsidRPr="00061491">
        <w:rPr>
          <w:rFonts w:asciiTheme="majorBidi" w:hAnsiTheme="majorBidi" w:cstheme="majorBidi"/>
          <w:color w:val="000000" w:themeColor="text1"/>
          <w:sz w:val="24"/>
          <w:szCs w:val="24"/>
          <w:rtl/>
        </w:rPr>
        <w:t>،</w:t>
      </w:r>
      <w:r w:rsidRPr="00061491">
        <w:rPr>
          <w:rFonts w:asciiTheme="majorBidi" w:hAnsiTheme="majorBidi" w:cstheme="majorBidi"/>
          <w:color w:val="000000" w:themeColor="text1"/>
          <w:sz w:val="24"/>
          <w:szCs w:val="24"/>
        </w:rPr>
        <w:br/>
        <w:t xml:space="preserve">(2) </w:t>
      </w:r>
      <w:r w:rsidRPr="00061491">
        <w:rPr>
          <w:rFonts w:asciiTheme="majorBidi" w:hAnsiTheme="majorBidi" w:cstheme="majorBidi"/>
          <w:color w:val="000000" w:themeColor="text1"/>
          <w:sz w:val="24"/>
          <w:szCs w:val="24"/>
          <w:rtl/>
        </w:rPr>
        <w:t>إطار تبنّي الذكاء الاصطناعي في المملكة</w:t>
      </w:r>
      <w:r w:rsidRPr="00061491">
        <w:rPr>
          <w:rFonts w:asciiTheme="majorBidi" w:hAnsiTheme="majorBidi" w:cstheme="majorBidi"/>
          <w:color w:val="000000" w:themeColor="text1"/>
          <w:sz w:val="24"/>
          <w:szCs w:val="24"/>
        </w:rPr>
        <w:t xml:space="preserve"> (2023)</w:t>
      </w:r>
      <w:r w:rsidRPr="00061491">
        <w:rPr>
          <w:rFonts w:asciiTheme="majorBidi" w:hAnsiTheme="majorBidi" w:cstheme="majorBidi"/>
          <w:color w:val="000000" w:themeColor="text1"/>
          <w:sz w:val="24"/>
          <w:szCs w:val="24"/>
          <w:rtl/>
        </w:rPr>
        <w:t>،</w:t>
      </w:r>
      <w:r w:rsidRPr="00061491">
        <w:rPr>
          <w:rFonts w:asciiTheme="majorBidi" w:hAnsiTheme="majorBidi" w:cstheme="majorBidi"/>
          <w:color w:val="000000" w:themeColor="text1"/>
          <w:sz w:val="24"/>
          <w:szCs w:val="24"/>
        </w:rPr>
        <w:br/>
        <w:t xml:space="preserve">(3) </w:t>
      </w:r>
      <w:r w:rsidRPr="00061491">
        <w:rPr>
          <w:rFonts w:asciiTheme="majorBidi" w:hAnsiTheme="majorBidi" w:cstheme="majorBidi"/>
          <w:color w:val="000000" w:themeColor="text1"/>
          <w:sz w:val="24"/>
          <w:szCs w:val="24"/>
          <w:rtl/>
        </w:rPr>
        <w:t>الدليل الاسترشادي لتقويم مخاطر نقل البيانات الشخصية إلى خارج المملكة</w:t>
      </w:r>
      <w:r w:rsidRPr="00061491">
        <w:rPr>
          <w:rFonts w:asciiTheme="majorBidi" w:hAnsiTheme="majorBidi" w:cstheme="majorBidi"/>
          <w:color w:val="000000" w:themeColor="text1"/>
          <w:sz w:val="24"/>
          <w:szCs w:val="24"/>
        </w:rPr>
        <w:t xml:space="preserve"> (2023).</w:t>
      </w:r>
      <w:r w:rsidRPr="00061491">
        <w:rPr>
          <w:rFonts w:asciiTheme="majorBidi" w:hAnsiTheme="majorBidi" w:cstheme="majorBidi"/>
          <w:color w:val="000000" w:themeColor="text1"/>
          <w:sz w:val="24"/>
          <w:szCs w:val="24"/>
        </w:rPr>
        <w:br/>
      </w:r>
      <w:r w:rsidRPr="00061491">
        <w:rPr>
          <w:rFonts w:asciiTheme="majorBidi" w:hAnsiTheme="majorBidi" w:cstheme="majorBidi"/>
          <w:color w:val="000000" w:themeColor="text1"/>
          <w:sz w:val="24"/>
          <w:szCs w:val="24"/>
          <w:rtl/>
        </w:rPr>
        <w:t xml:space="preserve">وجميعها تمثّل أساسًا غير تشريعي ولكنه تنظيمي، يُوجّه الممارسات التقنية ويكمل القواعد القانونية الصادرة عن </w:t>
      </w:r>
      <w:r w:rsidRPr="00061491">
        <w:rPr>
          <w:rFonts w:asciiTheme="majorBidi" w:hAnsiTheme="majorBidi" w:cstheme="majorBidi"/>
          <w:color w:val="000000" w:themeColor="text1"/>
          <w:sz w:val="24"/>
          <w:szCs w:val="24"/>
          <w:rtl/>
        </w:rPr>
        <w:lastRenderedPageBreak/>
        <w:t>الأنظمة العدلية. وقد نصّت هذه الوثائق على مبادئ مركزية مثل العدالة، والشفافية، والمساءلة، وحماية الخصوصية، وهي مبادئ تتقاطع مباشرة مع الالتزامات المهنية للمحامي</w:t>
      </w:r>
      <w:r w:rsidRPr="00061491">
        <w:rPr>
          <w:rFonts w:asciiTheme="majorBidi" w:hAnsiTheme="majorBidi" w:cstheme="majorBidi"/>
          <w:color w:val="000000" w:themeColor="text1"/>
          <w:sz w:val="24"/>
          <w:szCs w:val="24"/>
        </w:rPr>
        <w:t>.</w:t>
      </w:r>
    </w:p>
    <w:p w14:paraId="06C9CA79" w14:textId="7D618E90"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tl/>
        </w:rPr>
        <w:t>فعلى سبيل المثال، تؤكد وثيقة مبادئ أخلاقيات الذكاء الاصطناعي على ضرورة أن تُصمَّم الأنظمة الذكية وتُشغَّل بطريقة تحترم القيم الإنسانية وتضمن العدالة وعدم التمييز، كما تشدّد على مبدأ “المساءلة”، الذي يعني أن الجهات أو الأفراد الذين يستخدمون التقنية – ومنهم مكاتب المحاماة – يظلون مسؤولين قانونيًا وأخلاقيًا عن نتائج استخدامها. وهذا المبدأ يُعدّ امتدادًا لمفهوم “المسؤولية المهنية” الوارد في نظام المحاماة، لكنه في صورته الرقمية الحديثة. ويشير خالد المالكي</w:t>
      </w:r>
      <w:r>
        <w:rPr>
          <w:rStyle w:val="af"/>
          <w:rFonts w:asciiTheme="majorBidi" w:hAnsiTheme="majorBidi" w:cstheme="majorBidi"/>
          <w:color w:val="000000" w:themeColor="text1"/>
          <w:sz w:val="24"/>
          <w:szCs w:val="24"/>
          <w:rtl/>
        </w:rPr>
        <w:footnoteReference w:id="68"/>
      </w:r>
      <w:r w:rsidRPr="00061491">
        <w:rPr>
          <w:rFonts w:asciiTheme="majorBidi" w:hAnsiTheme="majorBidi" w:cstheme="majorBidi"/>
          <w:color w:val="000000" w:themeColor="text1"/>
          <w:sz w:val="24"/>
          <w:szCs w:val="24"/>
          <w:rtl/>
        </w:rPr>
        <w:t xml:space="preserve"> (2024) إلى أن دمج مبادئ الأخلاقيات التقنية ضمن التشريعات العدلية يسهم في تقوية الإطار النظامي للمسؤولية، لأنه يوسّعها لتشمل الأثر الاجتماعي للذكاء الاصطناعي، وليس فقط نتائجه القانونية</w:t>
      </w:r>
      <w:r w:rsidRPr="00061491">
        <w:rPr>
          <w:rFonts w:asciiTheme="majorBidi" w:hAnsiTheme="majorBidi" w:cstheme="majorBidi"/>
          <w:color w:val="000000" w:themeColor="text1"/>
          <w:sz w:val="24"/>
          <w:szCs w:val="24"/>
        </w:rPr>
        <w:t>.</w:t>
      </w:r>
    </w:p>
    <w:p w14:paraId="06693BB5" w14:textId="77777777"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tl/>
        </w:rPr>
        <w:t>أما إطار تبنّي الذكاء الاصطناعي (سدايا، 2023) فيُعدّ وثيقة تنفيذية تُحدّد مستويات النضج المؤسسي لاستخدام التقنية، وتضع معايير الحوكمة والإدارة الآمنة للأنظمة الذكية داخل المؤسسات. ويمكن لمكاتب المحاماة الاستفادة من هذا الإطار لتقييم جاهزيتها التقنية وتحديد مستوى الامتثال الأخلاقي والقانوني لديها، خاصة في ما يتعلق بإدارة بيانات الموكلين أو استخدام الأنظمة الذكية في إعداد الوثائق. هذا الإطار يرتبط مباشرة بعنوان الرسالة، لأنه يُعتبر جزءًا من “الإطار القانوني التنظيمي” المقترح لتوظيف الذكاء الاصطناعي في المهنة، ويُمكن أن يُبنى عليه تصور لتراخيص مكاتب المحاماة الرقمية مستقبلًا</w:t>
      </w:r>
      <w:r w:rsidRPr="00061491">
        <w:rPr>
          <w:rFonts w:asciiTheme="majorBidi" w:hAnsiTheme="majorBidi" w:cstheme="majorBidi"/>
          <w:color w:val="000000" w:themeColor="text1"/>
          <w:sz w:val="24"/>
          <w:szCs w:val="24"/>
        </w:rPr>
        <w:t>.</w:t>
      </w:r>
    </w:p>
    <w:p w14:paraId="0E2447A1" w14:textId="77777777"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فيُعدّ وثيقة وقائية تُكمل نظام حماية البيانات الشخصية، إذ تضع معايير دقيقة لتقويم المخاطر قبل استخدام منصات ذكاء اصطناعي أجنبية. وهذا البعد الوقائي له أثر جوهري على مكاتب المحاماة، لأنها تتعامل مع بيانات حساسة لا يجوز إخراجها من البيئة الوطنية دون تقويم رسمي. وهنا تظهر العلاقة الوثيقة بين البعد الأخلاقي (المسؤولية والشفافية) والبعد القانوني (حماية البيانات والالتزام بالنظام)، مما يجعل هذه الوثائق حلقة وصل بين التشريع والقيمة، وهي جوهر فكرة الرسالة في بناء “إطار قانوني منضبط وأخلاقي في آنٍ واحد</w:t>
      </w:r>
      <w:r w:rsidRPr="00061491">
        <w:rPr>
          <w:rFonts w:asciiTheme="majorBidi" w:hAnsiTheme="majorBidi" w:cstheme="majorBidi"/>
          <w:color w:val="000000" w:themeColor="text1"/>
          <w:sz w:val="24"/>
          <w:szCs w:val="24"/>
        </w:rPr>
        <w:t>”.</w:t>
      </w:r>
    </w:p>
    <w:p w14:paraId="20DC99CC" w14:textId="502B9F3F"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tl/>
        </w:rPr>
        <w:t xml:space="preserve">كما يرى ياسر محمد عبدالسلام رجب </w:t>
      </w:r>
      <w:r>
        <w:rPr>
          <w:rStyle w:val="af"/>
          <w:rFonts w:asciiTheme="majorBidi" w:hAnsiTheme="majorBidi" w:cstheme="majorBidi"/>
          <w:color w:val="000000" w:themeColor="text1"/>
          <w:sz w:val="24"/>
          <w:szCs w:val="24"/>
          <w:rtl/>
        </w:rPr>
        <w:footnoteReference w:id="69"/>
      </w:r>
      <w:r w:rsidRPr="00061491">
        <w:rPr>
          <w:rFonts w:asciiTheme="majorBidi" w:hAnsiTheme="majorBidi" w:cstheme="majorBidi"/>
          <w:color w:val="000000" w:themeColor="text1"/>
          <w:sz w:val="24"/>
          <w:szCs w:val="24"/>
          <w:rtl/>
        </w:rPr>
        <w:t>(2023) في دراسته المقارنة حول دور الدولة في تأطير أخلاقيات الذكاء الاصطناعي أن التجارب الناجحة عالميًا في توظيف التقنية في القطاعات العدلية لا تقتصر على إصدار أنظمة قانونية، بل تتطلب أيضًا منظومة قيمية تُوجّه سلوك المهنيين والمؤسسات. وهذا ما قامت به سدايا في المملكة حين جعلت من الأخلاقيات التقنية جزءًا من التنظيم العدلي، في انسجام تام مع مبادئ الشريعة الإسلامية التي تُعدّ الأساس المرجعي للقانون السعودي</w:t>
      </w:r>
      <w:r w:rsidRPr="00061491">
        <w:rPr>
          <w:rFonts w:asciiTheme="majorBidi" w:hAnsiTheme="majorBidi" w:cstheme="majorBidi"/>
          <w:color w:val="000000" w:themeColor="text1"/>
          <w:sz w:val="24"/>
          <w:szCs w:val="24"/>
        </w:rPr>
        <w:t>.</w:t>
      </w:r>
    </w:p>
    <w:p w14:paraId="4A04E453" w14:textId="5498B793"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tl/>
        </w:rPr>
        <w:t>ومن خلال هذه الوثائق الثلاث، يمكن القول إن المملكة انتقلت من مرحلة “تنظيم التقنية” إلى مرحلة “حوكمتها”، وهي خطوة متقدمة تُؤكد أن التحول الرقمي في العدالة ليس مجرد تطوير أدوات، بل هو بناء نظام قيمي وتشريعي متكامل. وتُعتبر هذه الوثائق جزءًا أساسيًا من الإطار القانوني لتوظيف الذكاء الاصطناعي في مكاتب المحاماة، لأنها تضع القواعد التي تحكم العلاقة بين المحامي والتقنية والموكل والمجتمع، وتضمن أن يكون الابتكار في خدمة العدالة لا على حسابها</w:t>
      </w:r>
      <w:r w:rsidR="005F3DEC">
        <w:rPr>
          <w:rFonts w:asciiTheme="majorBidi" w:hAnsiTheme="majorBidi" w:cstheme="majorBidi" w:hint="cs"/>
          <w:color w:val="000000" w:themeColor="text1"/>
          <w:sz w:val="24"/>
          <w:szCs w:val="24"/>
          <w:rtl/>
        </w:rPr>
        <w:t>.</w:t>
      </w:r>
      <w:r w:rsidRPr="00061491">
        <w:rPr>
          <w:rFonts w:asciiTheme="majorBidi" w:hAnsiTheme="majorBidi" w:cstheme="majorBidi"/>
          <w:color w:val="000000" w:themeColor="text1"/>
          <w:sz w:val="24"/>
          <w:szCs w:val="24"/>
        </w:rPr>
        <w:t>.</w:t>
      </w:r>
    </w:p>
    <w:p w14:paraId="42571C8E" w14:textId="77777777" w:rsidR="00061491" w:rsidRDefault="00061491" w:rsidP="00061491">
      <w:pPr>
        <w:jc w:val="right"/>
        <w:rPr>
          <w:rFonts w:asciiTheme="majorBidi" w:hAnsiTheme="majorBidi" w:cstheme="majorBidi"/>
          <w:color w:val="000000" w:themeColor="text1"/>
          <w:sz w:val="24"/>
          <w:szCs w:val="24"/>
        </w:rPr>
      </w:pPr>
    </w:p>
    <w:p w14:paraId="504C4DD9" w14:textId="77777777" w:rsidR="00061491" w:rsidRDefault="00061491" w:rsidP="00061491">
      <w:pPr>
        <w:jc w:val="right"/>
        <w:rPr>
          <w:rFonts w:asciiTheme="majorBidi" w:hAnsiTheme="majorBidi" w:cstheme="majorBidi"/>
          <w:color w:val="000000" w:themeColor="text1"/>
          <w:sz w:val="24"/>
          <w:szCs w:val="24"/>
        </w:rPr>
      </w:pPr>
    </w:p>
    <w:p w14:paraId="0BE10171" w14:textId="77777777" w:rsidR="00061491" w:rsidRDefault="00061491" w:rsidP="00061491">
      <w:pPr>
        <w:jc w:val="right"/>
        <w:rPr>
          <w:rFonts w:asciiTheme="majorBidi" w:hAnsiTheme="majorBidi" w:cstheme="majorBidi"/>
          <w:color w:val="000000" w:themeColor="text1"/>
          <w:sz w:val="24"/>
          <w:szCs w:val="24"/>
        </w:rPr>
      </w:pPr>
    </w:p>
    <w:p w14:paraId="520109F1" w14:textId="63726471" w:rsidR="00061491" w:rsidRPr="00BC5F38" w:rsidRDefault="00061491" w:rsidP="00061491">
      <w:pPr>
        <w:jc w:val="center"/>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lastRenderedPageBreak/>
        <w:t xml:space="preserve">الخلاصة العامة للمطلب </w:t>
      </w:r>
      <w:r>
        <w:rPr>
          <w:rFonts w:asciiTheme="majorBidi" w:hAnsiTheme="majorBidi" w:cstheme="majorBidi" w:hint="cs"/>
          <w:b/>
          <w:bCs/>
          <w:color w:val="000000" w:themeColor="text1"/>
          <w:sz w:val="24"/>
          <w:szCs w:val="24"/>
          <w:rtl/>
        </w:rPr>
        <w:t>الثاني</w:t>
      </w:r>
    </w:p>
    <w:p w14:paraId="0C543DBE" w14:textId="1A5361F0"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Pr>
        <w:t xml:space="preserve"> </w:t>
      </w:r>
    </w:p>
    <w:p w14:paraId="3E1DEBB7"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يتضح من خلال تحليل الأنظمة المكملة أن البيئة النظامية السعودية قد أرست دعائم متينة لمرحلة جديدة من الممارسة القانونية الذكية، تقوم على التوازن بين الابتكار التقني والضبط القانوني. فكل نظام من هذه الأنظمة أسهم في بناء جانب محدد من الإطار العام لتوظيف الذكاء الاصطناعي في مكاتب المحاماة، ضمن رؤية متكاملة تتناغم مع أهداف التحول العدلي والرقمي في المملكة</w:t>
      </w:r>
      <w:r w:rsidRPr="0089710C">
        <w:rPr>
          <w:rFonts w:asciiTheme="majorBidi" w:hAnsiTheme="majorBidi" w:cstheme="majorBidi"/>
          <w:color w:val="000000" w:themeColor="text1"/>
          <w:sz w:val="24"/>
          <w:szCs w:val="24"/>
        </w:rPr>
        <w:t>.</w:t>
      </w:r>
    </w:p>
    <w:p w14:paraId="1CE89104"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فنظام حماية البيانات الشخصية وضع الحدود التي تضمن حماية أسرار الموكلين ومنع إساءة استخدام المعلومات في ظل الأدوات الذكية، ليصبح الضامن الأول للخصوصية المهنية الرقمية. أما نظام الإثبات فقد أقر حجية الأدلة الرقمية والمستندات الإلكترونية، وفتح المجال أمام قبول مخرجات الذكاء الاصطناعي كمستندات معتبرة متى توفرت فيها معايير الموثوقية، مما مكّن المحامي من توظيف التقنية دون المساس بقواعد العدالة</w:t>
      </w:r>
      <w:r w:rsidRPr="0089710C">
        <w:rPr>
          <w:rFonts w:asciiTheme="majorBidi" w:hAnsiTheme="majorBidi" w:cstheme="majorBidi"/>
          <w:color w:val="000000" w:themeColor="text1"/>
          <w:sz w:val="24"/>
          <w:szCs w:val="24"/>
        </w:rPr>
        <w:t>.</w:t>
      </w:r>
    </w:p>
    <w:p w14:paraId="21100F83"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وجاء نظام المعاملات المدنية ليكرّس مبدأ التعاقد الإلكتروني والعقود الذكية، ويعيد تعريف الإرادة القانونية في بيئة رقمية تحكمها الخوارزميات، ما أوجد بعدًا جديدًا لممارسة المحامي كمستشار قانوني تقني. كما حدد نظام الإجراءات الجزائية ونظام مكافحة الجرائم المعلوماتية الضوابط التي تمنع التجاوز في استخدام البيانات والتقنيات، وجعلا من الأمن المعلوماتي جزءًا لا يتجزأ من العدالة، لتظل مكاتب المحاماة خاضعة للمساءلة عند استخدام الأنظمة الذكية</w:t>
      </w:r>
      <w:r w:rsidRPr="0089710C">
        <w:rPr>
          <w:rFonts w:asciiTheme="majorBidi" w:hAnsiTheme="majorBidi" w:cstheme="majorBidi"/>
          <w:color w:val="000000" w:themeColor="text1"/>
          <w:sz w:val="24"/>
          <w:szCs w:val="24"/>
        </w:rPr>
        <w:t>.</w:t>
      </w:r>
    </w:p>
    <w:p w14:paraId="002FCBE4"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وساهم نظام التعاملات الإلكترونية في إضفاء الصفة النظامية على الوثيقة والتوقيع الإلكترونيين، مما منح الذكاء الاصطناعي غطاءً قانونيًا لممارسة الأعمال القانونية رقميًا، بينما وفّر نظام الشركات المهنية الإطار المؤسسي الذي يُمكّن مكاتب المحاماة من توظيف التقنية ضمن بنية مهنية منظمة ومسؤولة تضامنيًا عن نتائجها. وأخيرًا، أكّد نظام القضاء ووثائق سدايا على البعد الأخلاقي والمؤسسي للعدالة الذكية، موحدين بين القانون والقيمة في إطار يضمن أن يبقى الإنسان — قاضيًا كان أو محاميًا — محور العملية العدلية رغم صعود الأدوات التقنية</w:t>
      </w:r>
      <w:r w:rsidRPr="0089710C">
        <w:rPr>
          <w:rFonts w:asciiTheme="majorBidi" w:hAnsiTheme="majorBidi" w:cstheme="majorBidi"/>
          <w:color w:val="000000" w:themeColor="text1"/>
          <w:sz w:val="24"/>
          <w:szCs w:val="24"/>
        </w:rPr>
        <w:t>.</w:t>
      </w:r>
    </w:p>
    <w:p w14:paraId="44AD9F41" w14:textId="3042B9F4"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وبناءً على ذلك، يمكن القول إن هذه المنظومة النظامية، رغم أنها لم تُصغ خصيصًا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هذا الإطار يتأسس على ثلاث ركائز مترابطة</w:t>
      </w:r>
      <w:r w:rsidR="0038387E">
        <w:rPr>
          <w:rFonts w:asciiTheme="majorBidi" w:hAnsiTheme="majorBidi" w:cstheme="majorBidi" w:hint="cs"/>
          <w:color w:val="000000" w:themeColor="text1"/>
          <w:sz w:val="24"/>
          <w:szCs w:val="24"/>
          <w:rtl/>
        </w:rPr>
        <w:t>:</w:t>
      </w:r>
    </w:p>
    <w:p w14:paraId="53C347A5" w14:textId="77777777" w:rsidR="0089710C" w:rsidRPr="0089710C" w:rsidRDefault="0089710C" w:rsidP="0089710C">
      <w:pPr>
        <w:numPr>
          <w:ilvl w:val="0"/>
          <w:numId w:val="25"/>
        </w:num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الضمان النظامي لحماية البيانات وموثوقية الأدلة</w:t>
      </w:r>
      <w:r w:rsidRPr="0089710C">
        <w:rPr>
          <w:rFonts w:asciiTheme="majorBidi" w:hAnsiTheme="majorBidi" w:cstheme="majorBidi"/>
          <w:color w:val="000000" w:themeColor="text1"/>
          <w:sz w:val="24"/>
          <w:szCs w:val="24"/>
        </w:rPr>
        <w:t>.</w:t>
      </w:r>
    </w:p>
    <w:p w14:paraId="05A074AA" w14:textId="77777777" w:rsidR="0089710C" w:rsidRPr="0089710C" w:rsidRDefault="0089710C" w:rsidP="0089710C">
      <w:pPr>
        <w:numPr>
          <w:ilvl w:val="0"/>
          <w:numId w:val="25"/>
        </w:num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التمكين المؤسسي للمكاتب المهنية في تبني التقنية</w:t>
      </w:r>
      <w:r w:rsidRPr="0089710C">
        <w:rPr>
          <w:rFonts w:asciiTheme="majorBidi" w:hAnsiTheme="majorBidi" w:cstheme="majorBidi"/>
          <w:color w:val="000000" w:themeColor="text1"/>
          <w:sz w:val="24"/>
          <w:szCs w:val="24"/>
        </w:rPr>
        <w:t>.</w:t>
      </w:r>
    </w:p>
    <w:p w14:paraId="77A84A90" w14:textId="77777777" w:rsidR="0089710C" w:rsidRPr="0089710C" w:rsidRDefault="0089710C" w:rsidP="0089710C">
      <w:pPr>
        <w:numPr>
          <w:ilvl w:val="0"/>
          <w:numId w:val="25"/>
        </w:num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الضبط الأخلاقي الذي يحافظ على العدالة وحقوق الإنسان</w:t>
      </w:r>
      <w:r w:rsidRPr="0089710C">
        <w:rPr>
          <w:rFonts w:asciiTheme="majorBidi" w:hAnsiTheme="majorBidi" w:cstheme="majorBidi"/>
          <w:color w:val="000000" w:themeColor="text1"/>
          <w:sz w:val="24"/>
          <w:szCs w:val="24"/>
        </w:rPr>
        <w:t>.</w:t>
      </w:r>
    </w:p>
    <w:p w14:paraId="0E4167FB"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وهكذا يصبح المطلب الثاني حلقة الوصل بين النصوص القانونية القائمة والرؤية المستقبلية للرسالة، حيث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sidRPr="0089710C">
        <w:rPr>
          <w:rFonts w:asciiTheme="majorBidi" w:hAnsiTheme="majorBidi" w:cstheme="majorBidi"/>
          <w:color w:val="000000" w:themeColor="text1"/>
          <w:sz w:val="24"/>
          <w:szCs w:val="24"/>
        </w:rPr>
        <w:t>.</w:t>
      </w:r>
    </w:p>
    <w:p w14:paraId="23A6B8F0" w14:textId="77777777" w:rsidR="00061491" w:rsidRDefault="00061491" w:rsidP="0089710C">
      <w:pPr>
        <w:jc w:val="right"/>
        <w:rPr>
          <w:rFonts w:asciiTheme="majorBidi" w:hAnsiTheme="majorBidi" w:cstheme="majorBidi"/>
          <w:color w:val="000000" w:themeColor="text1"/>
          <w:sz w:val="24"/>
          <w:szCs w:val="24"/>
        </w:rPr>
      </w:pPr>
    </w:p>
    <w:p w14:paraId="1B0359D6" w14:textId="77777777" w:rsidR="00DC0BE2" w:rsidRDefault="00DC0BE2" w:rsidP="0089710C">
      <w:pPr>
        <w:jc w:val="right"/>
        <w:rPr>
          <w:rFonts w:asciiTheme="majorBidi" w:hAnsiTheme="majorBidi" w:cstheme="majorBidi"/>
          <w:color w:val="000000" w:themeColor="text1"/>
          <w:sz w:val="24"/>
          <w:szCs w:val="24"/>
        </w:rPr>
      </w:pPr>
    </w:p>
    <w:p w14:paraId="34544EDF" w14:textId="77777777" w:rsidR="00DC0BE2" w:rsidRDefault="00DC0BE2" w:rsidP="0089710C">
      <w:pPr>
        <w:jc w:val="right"/>
        <w:rPr>
          <w:rFonts w:asciiTheme="majorBidi" w:hAnsiTheme="majorBidi" w:cstheme="majorBidi"/>
          <w:color w:val="000000" w:themeColor="text1"/>
          <w:sz w:val="24"/>
          <w:szCs w:val="24"/>
        </w:rPr>
      </w:pPr>
    </w:p>
    <w:p w14:paraId="5D06E3F2" w14:textId="77777777" w:rsidR="00DC0BE2" w:rsidRDefault="00DC0BE2" w:rsidP="0089710C">
      <w:pPr>
        <w:jc w:val="right"/>
        <w:rPr>
          <w:rFonts w:asciiTheme="majorBidi" w:hAnsiTheme="majorBidi" w:cstheme="majorBidi"/>
          <w:color w:val="000000" w:themeColor="text1"/>
          <w:sz w:val="24"/>
          <w:szCs w:val="24"/>
        </w:rPr>
      </w:pPr>
    </w:p>
    <w:p w14:paraId="462B80CF" w14:textId="77777777" w:rsidR="00DC0BE2" w:rsidRDefault="00DC0BE2" w:rsidP="0089710C">
      <w:pPr>
        <w:jc w:val="right"/>
        <w:rPr>
          <w:rFonts w:asciiTheme="majorBidi" w:hAnsiTheme="majorBidi" w:cstheme="majorBidi"/>
          <w:color w:val="000000" w:themeColor="text1"/>
          <w:sz w:val="24"/>
          <w:szCs w:val="24"/>
        </w:rPr>
      </w:pPr>
    </w:p>
    <w:p w14:paraId="5EFA9DD9" w14:textId="77777777" w:rsidR="00DC0BE2" w:rsidRPr="00BC5F38" w:rsidRDefault="00DC0BE2" w:rsidP="00807AA1">
      <w:pPr>
        <w:rPr>
          <w:rFonts w:asciiTheme="majorBidi" w:hAnsiTheme="majorBidi" w:cstheme="majorBidi"/>
          <w:color w:val="000000" w:themeColor="text1"/>
          <w:sz w:val="24"/>
          <w:szCs w:val="24"/>
          <w:rtl/>
        </w:rPr>
      </w:pPr>
    </w:p>
    <w:p w14:paraId="4F867289" w14:textId="1541C619" w:rsidR="00DC0BE2" w:rsidRPr="00D41CB7" w:rsidRDefault="00DC0BE2" w:rsidP="00DC0BE2">
      <w:pPr>
        <w:jc w:val="center"/>
        <w:rPr>
          <w:rFonts w:asciiTheme="majorBidi" w:hAnsiTheme="majorBidi" w:cstheme="majorBidi"/>
          <w:b/>
          <w:bCs/>
          <w:color w:val="000000" w:themeColor="text1"/>
          <w:sz w:val="32"/>
          <w:szCs w:val="32"/>
          <w:rtl/>
        </w:rPr>
      </w:pPr>
      <w:r w:rsidRPr="00D41CB7">
        <w:rPr>
          <w:rFonts w:asciiTheme="majorBidi" w:hAnsiTheme="majorBidi" w:cstheme="majorBidi" w:hint="cs"/>
          <w:b/>
          <w:bCs/>
          <w:color w:val="000000" w:themeColor="text1"/>
          <w:sz w:val="32"/>
          <w:szCs w:val="32"/>
          <w:rtl/>
        </w:rPr>
        <w:lastRenderedPageBreak/>
        <w:t xml:space="preserve">المبحث </w:t>
      </w:r>
      <w:r>
        <w:rPr>
          <w:rFonts w:asciiTheme="majorBidi" w:hAnsiTheme="majorBidi" w:cstheme="majorBidi" w:hint="cs"/>
          <w:b/>
          <w:bCs/>
          <w:color w:val="000000" w:themeColor="text1"/>
          <w:sz w:val="32"/>
          <w:szCs w:val="32"/>
          <w:rtl/>
        </w:rPr>
        <w:t>الثاني</w:t>
      </w:r>
    </w:p>
    <w:p w14:paraId="14215D07" w14:textId="47254451"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2B64EB3F"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sidRPr="00DC0BE2">
        <w:rPr>
          <w:rFonts w:asciiTheme="majorBidi" w:hAnsiTheme="majorBidi" w:cstheme="majorBidi"/>
          <w:b/>
          <w:bCs/>
          <w:color w:val="000000" w:themeColor="text1"/>
          <w:sz w:val="24"/>
          <w:szCs w:val="24"/>
          <w:rtl/>
        </w:rPr>
        <w:t>تحديد الفجوات التشريعية والتنظيمية</w:t>
      </w:r>
      <w:r w:rsidRPr="00DC0BE2">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sidRPr="00DC0BE2">
        <w:rPr>
          <w:rFonts w:asciiTheme="majorBidi" w:hAnsiTheme="majorBidi" w:cstheme="majorBidi"/>
          <w:color w:val="000000" w:themeColor="text1"/>
          <w:sz w:val="24"/>
          <w:szCs w:val="24"/>
        </w:rPr>
        <w:t>.</w:t>
      </w:r>
    </w:p>
    <w:p w14:paraId="59A1953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sidRPr="00DC0BE2">
        <w:rPr>
          <w:rFonts w:asciiTheme="majorBidi" w:hAnsiTheme="majorBidi" w:cstheme="majorBidi"/>
          <w:color w:val="000000" w:themeColor="text1"/>
          <w:sz w:val="24"/>
          <w:szCs w:val="24"/>
        </w:rPr>
        <w:t>.</w:t>
      </w:r>
    </w:p>
    <w:p w14:paraId="26E579AE" w14:textId="599B3517" w:rsidR="00DC0BE2" w:rsidRPr="00807AA1" w:rsidRDefault="00DC0BE2" w:rsidP="00DC0BE2">
      <w:pPr>
        <w:jc w:val="right"/>
        <w:rPr>
          <w:rFonts w:asciiTheme="majorBidi" w:hAnsiTheme="majorBidi" w:cstheme="majorBidi"/>
          <w:b/>
          <w:bCs/>
          <w:color w:val="000000" w:themeColor="text1"/>
          <w:sz w:val="24"/>
          <w:szCs w:val="24"/>
          <w:rtl/>
        </w:rPr>
      </w:pPr>
      <w:r w:rsidRPr="00807AA1">
        <w:rPr>
          <w:rFonts w:asciiTheme="majorBidi" w:hAnsiTheme="majorBidi" w:cstheme="majorBidi"/>
          <w:b/>
          <w:bCs/>
          <w:color w:val="000000" w:themeColor="text1"/>
          <w:sz w:val="24"/>
          <w:szCs w:val="24"/>
          <w:rtl/>
        </w:rPr>
        <w:t>ويتكون هذا المبحث من مطلبين رئيسين</w:t>
      </w:r>
      <w:r w:rsidRPr="00807AA1">
        <w:rPr>
          <w:rFonts w:asciiTheme="majorBidi" w:hAnsiTheme="majorBidi" w:cstheme="majorBidi" w:hint="cs"/>
          <w:b/>
          <w:bCs/>
          <w:color w:val="000000" w:themeColor="text1"/>
          <w:sz w:val="24"/>
          <w:szCs w:val="24"/>
          <w:rtl/>
        </w:rPr>
        <w:t>:</w:t>
      </w:r>
    </w:p>
    <w:p w14:paraId="4C79CBDF"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الأول: قصور النصوص التنظيمية</w:t>
      </w:r>
      <w:r w:rsidRPr="00DC0BE2">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sidRPr="00DC0BE2">
        <w:rPr>
          <w:rFonts w:asciiTheme="majorBidi" w:hAnsiTheme="majorBidi" w:cstheme="majorBidi"/>
          <w:color w:val="000000" w:themeColor="text1"/>
          <w:sz w:val="24"/>
          <w:szCs w:val="24"/>
        </w:rPr>
        <w:t>.</w:t>
      </w:r>
    </w:p>
    <w:p w14:paraId="778F04AC"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الثاني: آثار غياب التنظيم على الممارسة</w:t>
      </w:r>
      <w:r w:rsidRPr="00DC0BE2">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sidRPr="00DC0BE2">
        <w:rPr>
          <w:rFonts w:asciiTheme="majorBidi" w:hAnsiTheme="majorBidi" w:cstheme="majorBidi"/>
          <w:color w:val="000000" w:themeColor="text1"/>
          <w:sz w:val="24"/>
          <w:szCs w:val="24"/>
        </w:rPr>
        <w:t>.</w:t>
      </w:r>
    </w:p>
    <w:p w14:paraId="44B3327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sidRPr="00DC0BE2">
        <w:rPr>
          <w:rFonts w:asciiTheme="majorBidi" w:hAnsiTheme="majorBidi" w:cstheme="majorBidi"/>
          <w:color w:val="000000" w:themeColor="text1"/>
          <w:sz w:val="24"/>
          <w:szCs w:val="24"/>
        </w:rPr>
        <w:t>.</w:t>
      </w:r>
    </w:p>
    <w:p w14:paraId="41B40BF5" w14:textId="77777777" w:rsidR="00DC0BE2" w:rsidRDefault="00DC0BE2" w:rsidP="00DC0BE2">
      <w:pPr>
        <w:jc w:val="right"/>
        <w:rPr>
          <w:rFonts w:asciiTheme="majorBidi" w:hAnsiTheme="majorBidi" w:cstheme="majorBidi"/>
          <w:color w:val="000000" w:themeColor="text1"/>
          <w:sz w:val="24"/>
          <w:szCs w:val="24"/>
        </w:rPr>
      </w:pPr>
    </w:p>
    <w:p w14:paraId="0BA4B736" w14:textId="77777777" w:rsidR="00807AA1" w:rsidRPr="00BC5F38" w:rsidRDefault="00807AA1" w:rsidP="00807AA1">
      <w:pPr>
        <w:jc w:val="right"/>
        <w:rPr>
          <w:rFonts w:asciiTheme="majorBidi" w:hAnsiTheme="majorBidi" w:cstheme="majorBidi"/>
          <w:color w:val="000000" w:themeColor="text1"/>
          <w:sz w:val="24"/>
          <w:szCs w:val="24"/>
          <w:rtl/>
        </w:rPr>
      </w:pPr>
    </w:p>
    <w:p w14:paraId="491546B1" w14:textId="25CDBCC3" w:rsidR="00807AA1" w:rsidRPr="00D41CB7" w:rsidRDefault="00807AA1" w:rsidP="00807AA1">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الأول</w:t>
      </w:r>
    </w:p>
    <w:p w14:paraId="773A1E2E" w14:textId="0B063234" w:rsidR="00807AA1" w:rsidRDefault="00807AA1" w:rsidP="00807AA1">
      <w:pPr>
        <w:jc w:val="center"/>
        <w:rPr>
          <w:rFonts w:asciiTheme="majorBidi" w:hAnsiTheme="majorBidi" w:cstheme="majorBidi"/>
          <w:b/>
          <w:bCs/>
          <w:color w:val="000000" w:themeColor="text1"/>
          <w:sz w:val="28"/>
          <w:szCs w:val="28"/>
          <w:rtl/>
        </w:rPr>
      </w:pPr>
      <w:r w:rsidRPr="00807AA1">
        <w:rPr>
          <w:rFonts w:asciiTheme="majorBidi" w:hAnsiTheme="majorBidi" w:cstheme="majorBidi"/>
          <w:b/>
          <w:bCs/>
          <w:color w:val="000000" w:themeColor="text1"/>
          <w:sz w:val="28"/>
          <w:szCs w:val="28"/>
          <w:rtl/>
        </w:rPr>
        <w:t>قصور النصوص التنظيمية</w:t>
      </w:r>
    </w:p>
    <w:p w14:paraId="657192C2" w14:textId="77777777" w:rsidR="00047425" w:rsidRDefault="00047425" w:rsidP="00807AA1">
      <w:pPr>
        <w:jc w:val="center"/>
        <w:rPr>
          <w:rFonts w:asciiTheme="majorBidi" w:hAnsiTheme="majorBidi" w:cstheme="majorBidi"/>
          <w:b/>
          <w:bCs/>
          <w:color w:val="000000" w:themeColor="text1"/>
          <w:sz w:val="28"/>
          <w:szCs w:val="28"/>
          <w:rtl/>
        </w:rPr>
      </w:pPr>
    </w:p>
    <w:p w14:paraId="5AA7E135" w14:textId="77777777" w:rsidR="00047425" w:rsidRDefault="00047425" w:rsidP="00047425">
      <w:pPr>
        <w:jc w:val="right"/>
        <w:rPr>
          <w:rFonts w:asciiTheme="majorBidi" w:hAnsiTheme="majorBidi" w:cstheme="majorBidi"/>
          <w:color w:val="000000" w:themeColor="text1"/>
          <w:sz w:val="24"/>
          <w:szCs w:val="24"/>
          <w:rtl/>
        </w:rPr>
      </w:pPr>
      <w:r w:rsidRPr="00047425">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61FCD39" w14:textId="77777777" w:rsidR="00047425" w:rsidRDefault="00047425" w:rsidP="00047425">
      <w:pPr>
        <w:jc w:val="right"/>
        <w:rPr>
          <w:rFonts w:asciiTheme="majorBidi" w:hAnsiTheme="majorBidi" w:cstheme="majorBidi"/>
          <w:color w:val="000000" w:themeColor="text1"/>
          <w:sz w:val="24"/>
          <w:szCs w:val="24"/>
          <w:rtl/>
        </w:rPr>
      </w:pPr>
    </w:p>
    <w:p w14:paraId="74190417"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b/>
          <w:bCs/>
          <w:color w:val="000000" w:themeColor="text1"/>
          <w:sz w:val="24"/>
          <w:szCs w:val="24"/>
          <w:rtl/>
        </w:rPr>
        <w:lastRenderedPageBreak/>
        <w:t>أولًا: الصمت التشريعي تجاه التقنيات القانونية</w:t>
      </w:r>
    </w:p>
    <w:p w14:paraId="7EBED5EC"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أن أدوات العمل القانوني تقليدية بطبيعتها، وأن المحامي يباشر عمله بنفسه وبالوسائل الورقية المعهودة، من غير أن يَرِد في النصوص النظامية أي تصور لاستخدام أدوات رقمية أو أنظمة ذكية في أداء الأعمال المهنية. هذا الصمت التشريعي لا يظهر فقط في غياب نصوص خاصة بالذكاء الاصطناعي، بل في عدم استحضار فكرة التقنية القانونية بوصفها عنصرًا مؤثرًا في طبيعة الممارسة ذاتها، رغم أن الواقع المهني في مكاتب المحاماة، خاصة الكبرى منها، تجاوز هذا الافتراض منذ سنوات</w:t>
      </w:r>
      <w:r w:rsidRPr="00D843CF">
        <w:rPr>
          <w:rFonts w:asciiTheme="majorBidi" w:hAnsiTheme="majorBidi" w:cstheme="majorBidi"/>
          <w:color w:val="000000" w:themeColor="text1"/>
          <w:sz w:val="24"/>
          <w:szCs w:val="24"/>
        </w:rPr>
        <w:t>.</w:t>
      </w:r>
    </w:p>
    <w:p w14:paraId="7A21AA67"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فالنظام حين عرّف المحامي، ورسم نطاق عمله، وحدد التزاماته ومسؤوليته، افترض ضمنًا أن الأداة هي الإنسان وحده، وأن وسائل العمل ليست سوى وسائل مادية أو تقليدية مساعدة. أما اليوم، فإن جزءًا معتبرًا من نشاط المكتب القانوني يمكن أن يعتمد على أنظمة ذكاء اصطناعي في البحث، وصياغة المسودات، وتحليل النصوص، وإدارة قواعد البيانات، دون أن يكون لهذه الأنشطة أي انعكاس صريح في النصوص المالية أو التأديبية أو المهنية. ويرى إبراهيم العيسى في دراسته حول القواعد والإجراءات المنظمة لاستخدامات الذكاء الاصطناعي في المملكة أن هذا النوع من الصمت التشريعي يؤدي إلى فراغ تنظيمي يجعل تقييم المشروعية التقنية أمرًا معلقًا على التفسير والاجتهاد، لا على النص النظامي الصريح</w:t>
      </w:r>
      <w:r w:rsidRPr="00D843CF">
        <w:rPr>
          <w:rFonts w:asciiTheme="majorBidi" w:hAnsiTheme="majorBidi" w:cstheme="majorBidi"/>
          <w:color w:val="000000" w:themeColor="text1"/>
          <w:sz w:val="24"/>
          <w:szCs w:val="24"/>
        </w:rPr>
        <w:t>.</w:t>
      </w:r>
    </w:p>
    <w:p w14:paraId="7893325E" w14:textId="49C7711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وقد أشار نايف بن ناشي الغنامي</w:t>
      </w:r>
      <w:r>
        <w:rPr>
          <w:rStyle w:val="af"/>
          <w:rFonts w:asciiTheme="majorBidi" w:hAnsiTheme="majorBidi" w:cstheme="majorBidi"/>
          <w:color w:val="000000" w:themeColor="text1"/>
          <w:sz w:val="24"/>
          <w:szCs w:val="24"/>
          <w:rtl/>
        </w:rPr>
        <w:footnoteReference w:id="70"/>
      </w:r>
      <w:r w:rsidRPr="00D843CF">
        <w:rPr>
          <w:rFonts w:asciiTheme="majorBidi" w:hAnsiTheme="majorBidi" w:cstheme="majorBidi"/>
          <w:color w:val="000000" w:themeColor="text1"/>
          <w:sz w:val="24"/>
          <w:szCs w:val="24"/>
          <w:rtl/>
        </w:rPr>
        <w:t xml:space="preserve"> في رسالته للدكتوراه عن الضوابط القانونية للذكاء الاصطناعي إلى أن المشرّع السعودي لم يُدخل حتى الآن تعريفًا محددًا للتقنيات الذكية أو للأدوات القانونية الرقمية، وهو ما يجعل من الصعب تحديد مركزها النظامي ومدى حجيتها في الأعمال المهنية. هذا الغياب في المفهوم النظامي ينعكس على بنية المسؤولية القانونية، إذ يصعب تقرير من يتحمل الخطأ التقني إن وقع الضرر، ما دام النظام لا يعترف بالأداة الذكية ككيان قانوني مستقل ولا كمجرد وسيلة محددة المعالم</w:t>
      </w:r>
      <w:r w:rsidRPr="00D843CF">
        <w:rPr>
          <w:rFonts w:asciiTheme="majorBidi" w:hAnsiTheme="majorBidi" w:cstheme="majorBidi"/>
          <w:color w:val="000000" w:themeColor="text1"/>
          <w:sz w:val="24"/>
          <w:szCs w:val="24"/>
        </w:rPr>
        <w:t>.</w:t>
      </w:r>
    </w:p>
    <w:p w14:paraId="42003137" w14:textId="6286264E"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كما تناول عبد الله حمادي</w:t>
      </w:r>
      <w:r>
        <w:rPr>
          <w:rStyle w:val="af"/>
          <w:rFonts w:asciiTheme="majorBidi" w:hAnsiTheme="majorBidi" w:cstheme="majorBidi"/>
          <w:color w:val="000000" w:themeColor="text1"/>
          <w:sz w:val="24"/>
          <w:szCs w:val="24"/>
          <w:rtl/>
        </w:rPr>
        <w:footnoteReference w:id="71"/>
      </w:r>
      <w:r w:rsidRPr="00D843CF">
        <w:rPr>
          <w:rFonts w:asciiTheme="majorBidi" w:hAnsiTheme="majorBidi" w:cstheme="majorBidi"/>
          <w:color w:val="000000" w:themeColor="text1"/>
          <w:sz w:val="24"/>
          <w:szCs w:val="24"/>
          <w:rtl/>
        </w:rPr>
        <w:t xml:space="preserve"> ومحمد سعيد خليل</w:t>
      </w:r>
      <w:r>
        <w:rPr>
          <w:rStyle w:val="af"/>
          <w:rFonts w:asciiTheme="majorBidi" w:hAnsiTheme="majorBidi" w:cstheme="majorBidi"/>
          <w:color w:val="000000" w:themeColor="text1"/>
          <w:sz w:val="24"/>
          <w:szCs w:val="24"/>
          <w:rtl/>
        </w:rPr>
        <w:footnoteReference w:id="72"/>
      </w:r>
      <w:r w:rsidRPr="00D843CF">
        <w:rPr>
          <w:rFonts w:asciiTheme="majorBidi" w:hAnsiTheme="majorBidi" w:cstheme="majorBidi"/>
          <w:color w:val="000000" w:themeColor="text1"/>
          <w:sz w:val="24"/>
          <w:szCs w:val="24"/>
          <w:rtl/>
        </w:rPr>
        <w:t xml:space="preserve"> في بحوثهما المنشورة في المجلات القانونية مسألة الصمت التشريعي تجاه الذكاء الاصطناعي في الأعمال القانونية، وبيّنا أن ترك هذا الموضوع دون تنظيم صريح قد يؤدي إلى تضارب في التفسير بين القضاة وجهات التحقيق، خاصة عندما يتعلق الأمر بإثبات المسؤولية المدنية أو المهنية عن الأفعال الناتجة من أدوات الذكاء الاصطناعي. ومن ثمّ، فإن غياب النص لا يعني بالضرورة غياب التنظيم، بل يكشف عن تأخر في إدراك المشرّع لامتداد الأدوات التقنية داخل الممارسة القانونية اليومية</w:t>
      </w:r>
      <w:r w:rsidRPr="00D843CF">
        <w:rPr>
          <w:rFonts w:asciiTheme="majorBidi" w:hAnsiTheme="majorBidi" w:cstheme="majorBidi"/>
          <w:color w:val="000000" w:themeColor="text1"/>
          <w:sz w:val="24"/>
          <w:szCs w:val="24"/>
        </w:rPr>
        <w:t>.</w:t>
      </w:r>
    </w:p>
    <w:p w14:paraId="1C6CE892" w14:textId="5C0DF182"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ومن جهة أخرى، ترى مرام الربيع</w:t>
      </w:r>
      <w:r>
        <w:rPr>
          <w:rStyle w:val="af"/>
          <w:rFonts w:asciiTheme="majorBidi" w:hAnsiTheme="majorBidi" w:cstheme="majorBidi"/>
          <w:color w:val="000000" w:themeColor="text1"/>
          <w:sz w:val="24"/>
          <w:szCs w:val="24"/>
          <w:rtl/>
        </w:rPr>
        <w:footnoteReference w:id="73"/>
      </w:r>
      <w:r w:rsidRPr="00D843CF">
        <w:rPr>
          <w:rFonts w:asciiTheme="majorBidi" w:hAnsiTheme="majorBidi" w:cstheme="majorBidi"/>
          <w:color w:val="000000" w:themeColor="text1"/>
          <w:sz w:val="24"/>
          <w:szCs w:val="24"/>
          <w:rtl/>
        </w:rPr>
        <w:t xml:space="preserve"> في دراستها حول المسؤولية المدنية عن أفعال الذكاء الاصطناعي أن قصور النصوص في الربط بين المهنة القانونية ونظام حماية البيانات أدى إلى ثغرة تنظيمية مهمة. فالنظام يُلزم بمعايير عامة لحماية البيانات، لكنه لم يضع إطارًا خاصًا لمكاتب المحاماة التي تتعامل مع بيانات حساسة جدًّا تخص موكليها. وهذا يترك المحامي في منطقة نظامية غير واضحة، بين واجب الحفاظ على السرية المهنية من جهة، والتزام حماية البيانات وفق معايير تقنية دقيقة من جهة أخرى</w:t>
      </w:r>
      <w:r w:rsidRPr="00D843CF">
        <w:rPr>
          <w:rFonts w:asciiTheme="majorBidi" w:hAnsiTheme="majorBidi" w:cstheme="majorBidi"/>
          <w:color w:val="000000" w:themeColor="text1"/>
          <w:sz w:val="24"/>
          <w:szCs w:val="24"/>
        </w:rPr>
        <w:t>.</w:t>
      </w:r>
    </w:p>
    <w:p w14:paraId="1922D77F" w14:textId="0FE365A9"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وفي السياق نفسه، بيّن مراد محمد غالب قاسم</w:t>
      </w:r>
      <w:r>
        <w:rPr>
          <w:rStyle w:val="af"/>
          <w:rFonts w:asciiTheme="majorBidi" w:hAnsiTheme="majorBidi" w:cstheme="majorBidi"/>
          <w:color w:val="000000" w:themeColor="text1"/>
          <w:sz w:val="24"/>
          <w:szCs w:val="24"/>
          <w:rtl/>
        </w:rPr>
        <w:footnoteReference w:id="74"/>
      </w:r>
      <w:r w:rsidRPr="00D843CF">
        <w:rPr>
          <w:rFonts w:asciiTheme="majorBidi" w:hAnsiTheme="majorBidi" w:cstheme="majorBidi"/>
          <w:color w:val="000000" w:themeColor="text1"/>
          <w:sz w:val="24"/>
          <w:szCs w:val="24"/>
          <w:rtl/>
        </w:rPr>
        <w:t xml:space="preserve"> في دراسته المقارنة عن دور الذكاء الاصطناعي في مكافحة الجريمة الإلكترونية أن غياب التنظيم في المهن القانونية قد يفتح الباب أمام إساءة استخدام الأدوات التقنية أو تسريب المعلومات الحساسة، نظرًا لعدم وجود نصوص تحدد متى يكون الفعل مشروعًا ومتى يتحول إلى مخالفة </w:t>
      </w:r>
      <w:r w:rsidRPr="00D843CF">
        <w:rPr>
          <w:rFonts w:asciiTheme="majorBidi" w:hAnsiTheme="majorBidi" w:cstheme="majorBidi"/>
          <w:color w:val="000000" w:themeColor="text1"/>
          <w:sz w:val="24"/>
          <w:szCs w:val="24"/>
          <w:rtl/>
        </w:rPr>
        <w:lastRenderedPageBreak/>
        <w:t>عدلية أو جريمة معلوماتية. وهذا يؤكد أن الصمت التشريعي في المهن الحساسة مثل المحاماة يضاعف من خطورة الخطأ التقني لأن مركز الثقة فيها أعلى من غيرها</w:t>
      </w:r>
      <w:r w:rsidRPr="00D843CF">
        <w:rPr>
          <w:rFonts w:asciiTheme="majorBidi" w:hAnsiTheme="majorBidi" w:cstheme="majorBidi"/>
          <w:color w:val="000000" w:themeColor="text1"/>
          <w:sz w:val="24"/>
          <w:szCs w:val="24"/>
        </w:rPr>
        <w:t>.</w:t>
      </w:r>
    </w:p>
    <w:p w14:paraId="68B1EE4A" w14:textId="7B96127A"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ومن زاوية أخرى، يلاحظ ياسر محمد عبد السلام رجب</w:t>
      </w:r>
      <w:r>
        <w:rPr>
          <w:rStyle w:val="af"/>
          <w:rFonts w:asciiTheme="majorBidi" w:hAnsiTheme="majorBidi" w:cstheme="majorBidi"/>
          <w:color w:val="000000" w:themeColor="text1"/>
          <w:sz w:val="24"/>
          <w:szCs w:val="24"/>
          <w:rtl/>
        </w:rPr>
        <w:footnoteReference w:id="75"/>
      </w:r>
      <w:r w:rsidRPr="00D843CF">
        <w:rPr>
          <w:rFonts w:asciiTheme="majorBidi" w:hAnsiTheme="majorBidi" w:cstheme="majorBidi"/>
          <w:color w:val="000000" w:themeColor="text1"/>
          <w:sz w:val="24"/>
          <w:szCs w:val="24"/>
          <w:rtl/>
        </w:rPr>
        <w:t xml:space="preserve"> في دراسته المقارنة حول دور الدولة في تأطير أخلاقيات الذكاء الاصطناعي أن التشريعات العربية عمومًا – والسعودية خصوصًا – تأخرت في إدخال مصطلحات مثل النظام الذكي أو الخدمة القانونية الإلكترونية إلى صلب النصوص النظامية، رغم أن بعض التشريعات المقارنة بدأت تضع تعريفات واضحة لتلك المفاهيم وتمنحها إطارًا قانونيًا محددًا. ونتيجة لذلك، تبقى مخرجات الذكاء الاصطناعي القانونية بلا موضع محدد في البناء النظامي السعودي، فلا هي تعامل كأشخاص قانونيين يمكن مساءلتهم، ولا كأدوات قانونية لها ضوابط استخدام منصوص عليها</w:t>
      </w:r>
      <w:r w:rsidRPr="00D843CF">
        <w:rPr>
          <w:rFonts w:asciiTheme="majorBidi" w:hAnsiTheme="majorBidi" w:cstheme="majorBidi"/>
          <w:color w:val="000000" w:themeColor="text1"/>
          <w:sz w:val="24"/>
          <w:szCs w:val="24"/>
        </w:rPr>
        <w:t>.</w:t>
      </w:r>
    </w:p>
    <w:p w14:paraId="0D0F6DD8" w14:textId="7084649B"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ويخلص إبراهيم العيسى</w:t>
      </w:r>
      <w:r>
        <w:rPr>
          <w:rStyle w:val="af"/>
          <w:rFonts w:asciiTheme="majorBidi" w:hAnsiTheme="majorBidi" w:cstheme="majorBidi"/>
          <w:color w:val="000000" w:themeColor="text1"/>
          <w:sz w:val="24"/>
          <w:szCs w:val="24"/>
          <w:rtl/>
        </w:rPr>
        <w:footnoteReference w:id="76"/>
      </w:r>
      <w:r w:rsidRPr="00D843CF">
        <w:rPr>
          <w:rFonts w:asciiTheme="majorBidi" w:hAnsiTheme="majorBidi" w:cstheme="majorBidi"/>
          <w:color w:val="000000" w:themeColor="text1"/>
          <w:sz w:val="24"/>
          <w:szCs w:val="24"/>
          <w:rtl/>
        </w:rPr>
        <w:t xml:space="preserve"> في تحليله إلى أن الصمت التشريعي ليس مجرد إغفال، بل هو مؤشر على فجوة بين سرعة التحول الرقمي وبطء تطور التشريعات. ويضيف أن سد هذه الفجوة يتطلب تعديل نظام المحاماة أو لائحته التنفيذية بحيث تُدرج مواد تُنظم استخدام التقنيات القانونية وتحدد ضوابطها المهنية، وهو ما يتفق مع توجه الهيئة السعودية للبيانات والذكاء الاصطناعي في وثيقتها حول مبادئ أخلاقيات الذكاء الاصطناعي التي تؤكد ضرورة إصدار تشريعات قطاعية تتناسب مع خصوصية كل مهنة</w:t>
      </w:r>
      <w:r>
        <w:rPr>
          <w:rStyle w:val="af"/>
          <w:rFonts w:asciiTheme="majorBidi" w:hAnsiTheme="majorBidi" w:cstheme="majorBidi"/>
          <w:color w:val="000000" w:themeColor="text1"/>
          <w:sz w:val="24"/>
          <w:szCs w:val="24"/>
          <w:rtl/>
        </w:rPr>
        <w:footnoteReference w:id="77"/>
      </w:r>
      <w:r w:rsidRPr="00D843CF">
        <w:rPr>
          <w:rFonts w:asciiTheme="majorBidi" w:hAnsiTheme="majorBidi" w:cstheme="majorBidi"/>
          <w:color w:val="000000" w:themeColor="text1"/>
          <w:sz w:val="24"/>
          <w:szCs w:val="24"/>
        </w:rPr>
        <w:t>.</w:t>
      </w:r>
    </w:p>
    <w:p w14:paraId="23F5AC98"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color w:val="000000" w:themeColor="text1"/>
          <w:sz w:val="24"/>
          <w:szCs w:val="24"/>
          <w:rtl/>
        </w:rPr>
        <w:t>ومن خلال هذا التحليل، يتضح أن الصمت التشريعي في نظام المحاماة والأنظمة المكملة له لا يمثل نقصًا في النصوص فحسب، بل يعكس غياب رؤية تنظيمية شاملة للتقنيات القانونية. وهذا الصمت أوجد حالة من التباين بين التطور المهني في مكاتب المحاماة والتطور النظامي، مما يفرض على المشرّع السعودي ضرورة إعادة النظر في بنية النظام لتضمين أدوات الممارسة الحديثة وتنظيم الذكاء الاصطناعي كوسيلة مهنية لا يمكن تجاهلها في المستقبل القريب</w:t>
      </w:r>
      <w:r w:rsidRPr="00D843CF">
        <w:rPr>
          <w:rFonts w:asciiTheme="majorBidi" w:hAnsiTheme="majorBidi" w:cstheme="majorBidi"/>
          <w:color w:val="000000" w:themeColor="text1"/>
          <w:sz w:val="24"/>
          <w:szCs w:val="24"/>
        </w:rPr>
        <w:t>.</w:t>
      </w:r>
    </w:p>
    <w:p w14:paraId="146DC955" w14:textId="0D10AB7F" w:rsidR="00047425" w:rsidRPr="00047425" w:rsidRDefault="00047425" w:rsidP="00047425">
      <w:pPr>
        <w:jc w:val="right"/>
        <w:rPr>
          <w:rFonts w:asciiTheme="majorBidi" w:hAnsiTheme="majorBidi" w:cstheme="majorBidi"/>
          <w:color w:val="000000" w:themeColor="text1"/>
          <w:sz w:val="24"/>
          <w:szCs w:val="24"/>
        </w:rPr>
      </w:pPr>
    </w:p>
    <w:p w14:paraId="5AEED4F6" w14:textId="77777777" w:rsidR="00D150CD" w:rsidRPr="00D150CD" w:rsidRDefault="00D150CD" w:rsidP="00D150CD">
      <w:pPr>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176CCBEB" w14:textId="447411D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المفهوم النظامي للذكاء الاصطناعي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يرى نايف بن ناشي الغنامي</w:t>
      </w:r>
      <w:r>
        <w:rPr>
          <w:rStyle w:val="af"/>
          <w:rFonts w:asciiTheme="majorBidi" w:hAnsiTheme="majorBidi" w:cstheme="majorBidi"/>
          <w:color w:val="000000" w:themeColor="text1"/>
          <w:sz w:val="24"/>
          <w:szCs w:val="24"/>
          <w:rtl/>
        </w:rPr>
        <w:footnoteReference w:id="78"/>
      </w:r>
      <w:r w:rsidRPr="00D150CD">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عبد الله حمادي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sidRPr="00D150CD">
        <w:rPr>
          <w:rFonts w:asciiTheme="majorBidi" w:hAnsiTheme="majorBidi" w:cstheme="majorBidi"/>
          <w:color w:val="000000" w:themeColor="text1"/>
          <w:sz w:val="24"/>
          <w:szCs w:val="24"/>
        </w:rPr>
        <w:t>.</w:t>
      </w:r>
    </w:p>
    <w:p w14:paraId="43D7B516" w14:textId="262B8D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غموض التوصيف النظامي للأداة التقنية القانونية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lastRenderedPageBreak/>
        <w:t>يوضح إبراهيم العيسى</w:t>
      </w:r>
      <w:r>
        <w:rPr>
          <w:rStyle w:val="af"/>
          <w:rFonts w:asciiTheme="majorBidi" w:hAnsiTheme="majorBidi" w:cstheme="majorBidi"/>
          <w:color w:val="000000" w:themeColor="text1"/>
          <w:sz w:val="24"/>
          <w:szCs w:val="24"/>
          <w:rtl/>
        </w:rPr>
        <w:footnoteReference w:id="79"/>
      </w:r>
      <w:r w:rsidRPr="00D150CD">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sidRPr="00D150CD">
        <w:rPr>
          <w:rFonts w:asciiTheme="majorBidi" w:hAnsiTheme="majorBidi" w:cstheme="majorBidi"/>
          <w:color w:val="000000" w:themeColor="text1"/>
          <w:sz w:val="24"/>
          <w:szCs w:val="24"/>
        </w:rPr>
        <w:t>.</w:t>
      </w:r>
    </w:p>
    <w:p w14:paraId="454AE81B" w14:textId="35F4A15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التكييف النظامي للمخرجات الذكية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يشير محمد سعيد خليل</w:t>
      </w:r>
      <w:r>
        <w:rPr>
          <w:rStyle w:val="af"/>
          <w:rFonts w:asciiTheme="majorBidi" w:hAnsiTheme="majorBidi" w:cstheme="majorBidi"/>
          <w:color w:val="000000" w:themeColor="text1"/>
          <w:sz w:val="24"/>
          <w:szCs w:val="24"/>
          <w:rtl/>
        </w:rPr>
        <w:footnoteReference w:id="80"/>
      </w:r>
      <w:r w:rsidRPr="00D150CD">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ويرى خالد المالكي</w:t>
      </w:r>
      <w:r>
        <w:rPr>
          <w:rStyle w:val="af"/>
          <w:rFonts w:asciiTheme="majorBidi" w:hAnsiTheme="majorBidi" w:cstheme="majorBidi"/>
          <w:color w:val="000000" w:themeColor="text1"/>
          <w:sz w:val="24"/>
          <w:szCs w:val="24"/>
          <w:rtl/>
        </w:rPr>
        <w:footnoteReference w:id="81"/>
      </w:r>
      <w:r w:rsidRPr="00D150CD">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sidRPr="00D150CD">
        <w:rPr>
          <w:rFonts w:asciiTheme="majorBidi" w:hAnsiTheme="majorBidi" w:cstheme="majorBidi"/>
          <w:color w:val="000000" w:themeColor="text1"/>
          <w:sz w:val="24"/>
          <w:szCs w:val="24"/>
        </w:rPr>
        <w:t>.</w:t>
      </w:r>
    </w:p>
    <w:p w14:paraId="65B728DA" w14:textId="36C6B4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انعكاس الغياب المفاهيمي على بناء المسؤولية المهنية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توضح مرام الربيع</w:t>
      </w:r>
      <w:r>
        <w:rPr>
          <w:rStyle w:val="af"/>
          <w:rFonts w:asciiTheme="majorBidi" w:hAnsiTheme="majorBidi" w:cstheme="majorBidi"/>
          <w:color w:val="000000" w:themeColor="text1"/>
          <w:sz w:val="24"/>
          <w:szCs w:val="24"/>
          <w:rtl/>
        </w:rPr>
        <w:footnoteReference w:id="82"/>
      </w:r>
      <w:r w:rsidRPr="00D150CD">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ياسر محمد عبد السلام رجب</w:t>
      </w:r>
      <w:r>
        <w:rPr>
          <w:rStyle w:val="af"/>
          <w:rFonts w:asciiTheme="majorBidi" w:hAnsiTheme="majorBidi" w:cstheme="majorBidi"/>
          <w:color w:val="000000" w:themeColor="text1"/>
          <w:sz w:val="24"/>
          <w:szCs w:val="24"/>
          <w:rtl/>
        </w:rPr>
        <w:footnoteReference w:id="83"/>
      </w:r>
      <w:r w:rsidRPr="00D150CD">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sidRPr="00D150CD">
        <w:rPr>
          <w:rFonts w:asciiTheme="majorBidi" w:hAnsiTheme="majorBidi" w:cstheme="majorBidi"/>
          <w:color w:val="000000" w:themeColor="text1"/>
          <w:sz w:val="24"/>
          <w:szCs w:val="24"/>
        </w:rPr>
        <w:t>.</w:t>
      </w:r>
    </w:p>
    <w:p w14:paraId="3EA71341" w14:textId="568D59DE"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الحاجة إلى تضمين تعريف نظامي موحد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84"/>
      </w:r>
      <w:r w:rsidRPr="00D150CD">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sidRPr="00D150CD">
        <w:rPr>
          <w:rFonts w:asciiTheme="majorBidi" w:hAnsiTheme="majorBidi" w:cstheme="majorBidi"/>
          <w:color w:val="000000" w:themeColor="text1"/>
          <w:sz w:val="24"/>
          <w:szCs w:val="24"/>
        </w:rPr>
        <w:t>.</w:t>
      </w:r>
    </w:p>
    <w:p w14:paraId="2A9A7935" w14:textId="1738CCC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lastRenderedPageBreak/>
        <w:t>أثر غياب التعريف على العدالة الرقمية والتحول المهني</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85"/>
      </w:r>
      <w:r w:rsidRPr="00D150CD">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sidRPr="00D150CD">
        <w:rPr>
          <w:rFonts w:asciiTheme="majorBidi" w:hAnsiTheme="majorBidi" w:cstheme="majorBidi"/>
          <w:color w:val="000000" w:themeColor="text1"/>
          <w:sz w:val="24"/>
          <w:szCs w:val="24"/>
        </w:rPr>
        <w:t>.</w:t>
      </w:r>
    </w:p>
    <w:p w14:paraId="0BA631BD" w14:textId="77777777" w:rsidR="00807AA1" w:rsidRDefault="00807AA1" w:rsidP="00807AA1">
      <w:pPr>
        <w:jc w:val="right"/>
        <w:rPr>
          <w:rFonts w:asciiTheme="majorBidi" w:hAnsiTheme="majorBidi" w:cstheme="majorBidi"/>
          <w:color w:val="000000" w:themeColor="text1"/>
          <w:sz w:val="24"/>
          <w:szCs w:val="24"/>
        </w:rPr>
      </w:pPr>
    </w:p>
    <w:p w14:paraId="52082139" w14:textId="4E3C77D0" w:rsidR="00F237E4" w:rsidRPr="00F237E4" w:rsidRDefault="00F237E4" w:rsidP="00F237E4">
      <w:pPr>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1CEF57CF" w14:textId="00CD448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خالد المالكي</w:t>
      </w:r>
      <w:r>
        <w:rPr>
          <w:rStyle w:val="af"/>
          <w:rFonts w:asciiTheme="majorBidi" w:hAnsiTheme="majorBidi" w:cstheme="majorBidi"/>
          <w:color w:val="000000" w:themeColor="text1"/>
          <w:sz w:val="24"/>
          <w:szCs w:val="24"/>
          <w:rtl/>
        </w:rPr>
        <w:footnoteReference w:id="86"/>
      </w:r>
      <w:r w:rsidRPr="00F237E4">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sidRPr="00F237E4">
        <w:rPr>
          <w:rFonts w:asciiTheme="majorBidi" w:hAnsiTheme="majorBidi" w:cstheme="majorBidi"/>
          <w:color w:val="000000" w:themeColor="text1"/>
          <w:sz w:val="24"/>
          <w:szCs w:val="24"/>
        </w:rPr>
        <w:t>.</w:t>
      </w:r>
    </w:p>
    <w:p w14:paraId="25085A58" w14:textId="6F5415FC"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غياب الربط المؤسسي بين وزارة العدل وهيئة حماية البيانات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ترى مرام الربيع</w:t>
      </w:r>
      <w:r>
        <w:rPr>
          <w:rStyle w:val="af"/>
          <w:rFonts w:asciiTheme="majorBidi" w:hAnsiTheme="majorBidi" w:cstheme="majorBidi"/>
          <w:color w:val="000000" w:themeColor="text1"/>
          <w:sz w:val="24"/>
          <w:szCs w:val="24"/>
          <w:rtl/>
        </w:rPr>
        <w:footnoteReference w:id="87"/>
      </w:r>
      <w:r w:rsidRPr="00F237E4">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sidRPr="00F237E4">
        <w:rPr>
          <w:rFonts w:asciiTheme="majorBidi" w:hAnsiTheme="majorBidi" w:cstheme="majorBidi"/>
          <w:color w:val="000000" w:themeColor="text1"/>
          <w:sz w:val="24"/>
          <w:szCs w:val="24"/>
        </w:rPr>
        <w:t>.</w:t>
      </w:r>
    </w:p>
    <w:p w14:paraId="4C7EBA02"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عدم تحديد واجبات المحامي الرقمية في المعالجة التقنية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يشير عبد الله حمادي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sidRPr="00F237E4">
        <w:rPr>
          <w:rFonts w:asciiTheme="majorBidi" w:hAnsiTheme="majorBidi" w:cstheme="majorBidi"/>
          <w:color w:val="000000" w:themeColor="text1"/>
          <w:sz w:val="24"/>
          <w:szCs w:val="24"/>
        </w:rPr>
        <w:t>.</w:t>
      </w:r>
    </w:p>
    <w:p w14:paraId="34B2C8FA" w14:textId="440644F4"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التحديات التقنية في تطبيق مبدأ السيادة الوطنية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lastRenderedPageBreak/>
        <w:t>إلا أن العديد من مكاتب المحاماة تعتمد على أدوات ذكاء اصطناعي عالمية دون وعي كامل بمتطلبات السيادة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ويؤكد إبراهيم العيسى</w:t>
      </w:r>
      <w:r>
        <w:rPr>
          <w:rStyle w:val="af"/>
          <w:rFonts w:asciiTheme="majorBidi" w:hAnsiTheme="majorBidi" w:cstheme="majorBidi"/>
          <w:color w:val="000000" w:themeColor="text1"/>
          <w:sz w:val="24"/>
          <w:szCs w:val="24"/>
          <w:rtl/>
        </w:rPr>
        <w:footnoteReference w:id="88"/>
      </w:r>
      <w:r w:rsidRPr="00F237E4">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sidRPr="00F237E4">
        <w:rPr>
          <w:rFonts w:asciiTheme="majorBidi" w:hAnsiTheme="majorBidi" w:cstheme="majorBidi"/>
          <w:color w:val="000000" w:themeColor="text1"/>
          <w:sz w:val="24"/>
          <w:szCs w:val="24"/>
        </w:rPr>
        <w:t>.</w:t>
      </w:r>
    </w:p>
    <w:p w14:paraId="49D4E806"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نايف الغنامي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sidRPr="00F237E4">
        <w:rPr>
          <w:rFonts w:asciiTheme="majorBidi" w:hAnsiTheme="majorBidi" w:cstheme="majorBidi"/>
          <w:color w:val="000000" w:themeColor="text1"/>
          <w:sz w:val="24"/>
          <w:szCs w:val="24"/>
        </w:rPr>
        <w:t>.</w:t>
      </w:r>
    </w:p>
    <w:p w14:paraId="07D619C8"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الفراغ التشريعي في تكييف الانتهاكات المهنية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يذكر مراد محمد غالب قاسم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sidRPr="00F237E4">
        <w:rPr>
          <w:rFonts w:asciiTheme="majorBidi" w:hAnsiTheme="majorBidi" w:cstheme="majorBidi"/>
          <w:color w:val="000000" w:themeColor="text1"/>
          <w:sz w:val="24"/>
          <w:szCs w:val="24"/>
        </w:rPr>
        <w:t>.</w:t>
      </w:r>
    </w:p>
    <w:p w14:paraId="3BA7BAD7" w14:textId="38A21182"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89"/>
      </w:r>
      <w:r w:rsidRPr="00F237E4">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sidRPr="00F237E4">
        <w:rPr>
          <w:rFonts w:asciiTheme="majorBidi" w:hAnsiTheme="majorBidi" w:cstheme="majorBidi"/>
          <w:color w:val="000000" w:themeColor="text1"/>
          <w:sz w:val="24"/>
          <w:szCs w:val="24"/>
        </w:rPr>
        <w:t>.</w:t>
      </w:r>
    </w:p>
    <w:p w14:paraId="6393BD05" w14:textId="77777777" w:rsidR="00F237E4" w:rsidRDefault="00F237E4" w:rsidP="00807AA1">
      <w:pPr>
        <w:jc w:val="right"/>
        <w:rPr>
          <w:rFonts w:asciiTheme="majorBidi" w:hAnsiTheme="majorBidi" w:cstheme="majorBidi"/>
          <w:color w:val="000000" w:themeColor="text1"/>
          <w:sz w:val="24"/>
          <w:szCs w:val="24"/>
        </w:rPr>
      </w:pPr>
    </w:p>
    <w:p w14:paraId="10563F9B"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57D2E5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قصور مستوى “النظام” ومرونة مستوى “اللائحة</w:t>
      </w:r>
      <w:r w:rsidRPr="00957EC0">
        <w:rPr>
          <w:rFonts w:asciiTheme="majorBidi" w:hAnsiTheme="majorBidi" w:cstheme="majorBidi"/>
          <w:b/>
          <w:bCs/>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 xml:space="preserve">يشير إبراهيم العيسى في دراسته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w:t>
      </w:r>
      <w:r w:rsidRPr="00957EC0">
        <w:rPr>
          <w:rFonts w:asciiTheme="majorBidi" w:hAnsiTheme="majorBidi" w:cstheme="majorBidi"/>
          <w:color w:val="000000" w:themeColor="text1"/>
          <w:sz w:val="24"/>
          <w:szCs w:val="24"/>
          <w:rtl/>
        </w:rPr>
        <w:lastRenderedPageBreak/>
        <w:t>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sidRPr="00957EC0">
        <w:rPr>
          <w:rFonts w:asciiTheme="majorBidi" w:hAnsiTheme="majorBidi" w:cstheme="majorBidi"/>
          <w:color w:val="000000" w:themeColor="text1"/>
          <w:sz w:val="24"/>
          <w:szCs w:val="24"/>
        </w:rPr>
        <w:t>.</w:t>
      </w:r>
    </w:p>
    <w:p w14:paraId="50B41D41" w14:textId="6643EAFA"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90"/>
      </w:r>
      <w:r w:rsidRPr="00957EC0">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sidRPr="00957EC0">
        <w:rPr>
          <w:rFonts w:asciiTheme="majorBidi" w:hAnsiTheme="majorBidi" w:cstheme="majorBidi"/>
          <w:color w:val="000000" w:themeColor="text1"/>
          <w:sz w:val="24"/>
          <w:szCs w:val="24"/>
        </w:rPr>
        <w:t>.</w:t>
      </w:r>
    </w:p>
    <w:p w14:paraId="28D335BC" w14:textId="7948252C"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تنظيم العلاقة بين المحامي ومزوّدي التقنيات القانونية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يوضح نايف بن ناشي الغنامي</w:t>
      </w:r>
      <w:r>
        <w:rPr>
          <w:rStyle w:val="af"/>
          <w:rFonts w:asciiTheme="majorBidi" w:hAnsiTheme="majorBidi" w:cstheme="majorBidi"/>
          <w:color w:val="000000" w:themeColor="text1"/>
          <w:sz w:val="24"/>
          <w:szCs w:val="24"/>
          <w:rtl/>
        </w:rPr>
        <w:footnoteReference w:id="91"/>
      </w:r>
      <w:r w:rsidRPr="00957EC0">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sidRPr="00957EC0">
        <w:rPr>
          <w:rFonts w:asciiTheme="majorBidi" w:hAnsiTheme="majorBidi" w:cstheme="majorBidi"/>
          <w:color w:val="000000" w:themeColor="text1"/>
          <w:sz w:val="24"/>
          <w:szCs w:val="24"/>
        </w:rPr>
        <w:t>.</w:t>
      </w:r>
    </w:p>
    <w:p w14:paraId="49C12F15"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تأطير المسؤولية المهنية عن استخدام الذكاء الاصطناعي</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إحدى أهم الإشكالات التي أبرزها خالد المالكي ومرام الربيع في أبحاثهما عن المسؤولية المدنية عن أفعال الذكاء الاصطناعي هي غياب “نموذج معياري” يُحتكم إليه عند تقدير خطأ المحامي في استخدام الأنظمة الذكية. فالمسؤولية اليوم تُبنى على مبدأ العناية المهنية المعتادة، لكن هذه العناية لم تُعرَّف في سياق التقنية: هل يلتزم المحامي بالتحقق من كود النظام؟ أم يكفي أن يتأكد من موثوقية مصدره؟ أم يُفترض عليه تجريب النتائج وتدقيقها قبل الاعتماد عليها؟</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الفصل المقترح في اللائحة يمكن أن يضع قواعد مهنية تفصيلية، مثل</w:t>
      </w:r>
      <w:r w:rsidRPr="00957EC0">
        <w:rPr>
          <w:rFonts w:asciiTheme="majorBidi" w:hAnsiTheme="majorBidi" w:cstheme="majorBidi"/>
          <w:color w:val="000000" w:themeColor="text1"/>
          <w:sz w:val="24"/>
          <w:szCs w:val="24"/>
        </w:rPr>
        <w:t>:</w:t>
      </w:r>
    </w:p>
    <w:p w14:paraId="133824E7" w14:textId="77777777" w:rsidR="00957EC0" w:rsidRPr="00957EC0" w:rsidRDefault="00957EC0" w:rsidP="00957EC0">
      <w:pPr>
        <w:numPr>
          <w:ilvl w:val="1"/>
          <w:numId w:val="30"/>
        </w:num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التزام المحامي بعدم الاعتماد الكلي على مخرجات النظام دون مراجعة بشرية</w:t>
      </w:r>
      <w:r w:rsidRPr="00957EC0">
        <w:rPr>
          <w:rFonts w:asciiTheme="majorBidi" w:hAnsiTheme="majorBidi" w:cstheme="majorBidi"/>
          <w:color w:val="000000" w:themeColor="text1"/>
          <w:sz w:val="24"/>
          <w:szCs w:val="24"/>
        </w:rPr>
        <w:t>.</w:t>
      </w:r>
    </w:p>
    <w:p w14:paraId="6BEC7773" w14:textId="77777777" w:rsidR="00957EC0" w:rsidRPr="00957EC0" w:rsidRDefault="00957EC0" w:rsidP="00957EC0">
      <w:pPr>
        <w:numPr>
          <w:ilvl w:val="1"/>
          <w:numId w:val="30"/>
        </w:num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واجب توثيق الخطوات التقنية عند الاستعانة بنظام ذكي في أعمال لها أثر عدلي مباشر</w:t>
      </w:r>
      <w:r w:rsidRPr="00957EC0">
        <w:rPr>
          <w:rFonts w:asciiTheme="majorBidi" w:hAnsiTheme="majorBidi" w:cstheme="majorBidi"/>
          <w:color w:val="000000" w:themeColor="text1"/>
          <w:sz w:val="24"/>
          <w:szCs w:val="24"/>
        </w:rPr>
        <w:t>.</w:t>
      </w:r>
    </w:p>
    <w:p w14:paraId="69AF6632" w14:textId="77777777" w:rsidR="00957EC0" w:rsidRPr="00957EC0" w:rsidRDefault="00957EC0" w:rsidP="00957EC0">
      <w:pPr>
        <w:numPr>
          <w:ilvl w:val="1"/>
          <w:numId w:val="30"/>
        </w:num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lastRenderedPageBreak/>
        <w:t>اعتبار الإخلال بضوابط استخدام التقنية صورة من صور الإهمال المهني الجسيم متى ترتب عليه ضرر للموكل</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بهذا التأطير تصبح المسؤولية المهنية رقمية ومحددة، ولا تبقى مجرد اجتهاد قضائي متفرق من حالة إلى أخرى</w:t>
      </w:r>
      <w:r w:rsidRPr="00957EC0">
        <w:rPr>
          <w:rFonts w:asciiTheme="majorBidi" w:hAnsiTheme="majorBidi" w:cstheme="majorBidi"/>
          <w:color w:val="000000" w:themeColor="text1"/>
          <w:sz w:val="24"/>
          <w:szCs w:val="24"/>
        </w:rPr>
        <w:t>.</w:t>
      </w:r>
    </w:p>
    <w:p w14:paraId="08F069E7" w14:textId="5C498C63"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دمج مبادئ أخلاقيات الذكاء الاصطناعي في أخلاقيات مهنة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 xml:space="preserve">يلاحظ ياسر محمد عبد السلام رجب </w:t>
      </w:r>
      <w:r>
        <w:rPr>
          <w:rStyle w:val="af"/>
          <w:rFonts w:asciiTheme="majorBidi" w:hAnsiTheme="majorBidi" w:cstheme="majorBidi"/>
          <w:color w:val="000000" w:themeColor="text1"/>
          <w:sz w:val="24"/>
          <w:szCs w:val="24"/>
          <w:rtl/>
        </w:rPr>
        <w:footnoteReference w:id="92"/>
      </w:r>
      <w:r w:rsidRPr="00957EC0">
        <w:rPr>
          <w:rFonts w:asciiTheme="majorBidi" w:hAnsiTheme="majorBidi" w:cstheme="majorBidi"/>
          <w:color w:val="000000" w:themeColor="text1"/>
          <w:sz w:val="24"/>
          <w:szCs w:val="24"/>
          <w:rtl/>
        </w:rPr>
        <w:t>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sidRPr="00957EC0">
        <w:rPr>
          <w:rFonts w:asciiTheme="majorBidi" w:hAnsiTheme="majorBidi" w:cstheme="majorBidi"/>
          <w:color w:val="000000" w:themeColor="text1"/>
          <w:sz w:val="24"/>
          <w:szCs w:val="24"/>
        </w:rPr>
        <w:t>.</w:t>
      </w:r>
    </w:p>
    <w:p w14:paraId="0A1B7F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استيعاب التحول العدلي الرقمي وضبطه من داخل المهنة نفسها</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sidRPr="00957EC0">
        <w:rPr>
          <w:rFonts w:asciiTheme="majorBidi" w:hAnsiTheme="majorBidi" w:cstheme="majorBidi"/>
          <w:color w:val="000000" w:themeColor="text1"/>
          <w:sz w:val="24"/>
          <w:szCs w:val="24"/>
        </w:rPr>
        <w:t>.</w:t>
      </w:r>
    </w:p>
    <w:p w14:paraId="5BEFE2F9"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تهيئة الأرضية التنظيمية للتصور المقترح في الفصول اللاحقة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sidRPr="00957EC0">
        <w:rPr>
          <w:rFonts w:asciiTheme="majorBidi" w:hAnsiTheme="majorBidi" w:cstheme="majorBidi"/>
          <w:color w:val="000000" w:themeColor="text1"/>
          <w:sz w:val="24"/>
          <w:szCs w:val="24"/>
        </w:rPr>
        <w:t>.</w:t>
      </w:r>
    </w:p>
    <w:p w14:paraId="40FB7673" w14:textId="77777777" w:rsidR="00957EC0" w:rsidRDefault="00957EC0" w:rsidP="00807AA1">
      <w:pPr>
        <w:jc w:val="right"/>
        <w:rPr>
          <w:rFonts w:asciiTheme="majorBidi" w:hAnsiTheme="majorBidi" w:cstheme="majorBidi"/>
          <w:color w:val="000000" w:themeColor="text1"/>
          <w:sz w:val="24"/>
          <w:szCs w:val="24"/>
        </w:rPr>
      </w:pPr>
    </w:p>
    <w:p w14:paraId="7556509E"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0B5FB5BD"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w:t>
      </w:r>
      <w:r w:rsidRPr="00957EC0">
        <w:rPr>
          <w:rFonts w:asciiTheme="majorBidi" w:hAnsiTheme="majorBidi" w:cstheme="majorBidi"/>
          <w:color w:val="000000" w:themeColor="text1"/>
          <w:sz w:val="24"/>
          <w:szCs w:val="24"/>
          <w:rtl/>
        </w:rPr>
        <w:lastRenderedPageBreak/>
        <w:t>الإخلال بواجباته، لكنه لا يقدّم حتى الآن نموذجًا رقابيًا متخصصًا يتعامل مع المخاطر المهنية المرتبطة بالتقنية القانونية والأنظمة الذكية</w:t>
      </w:r>
      <w:r w:rsidRPr="00957EC0">
        <w:rPr>
          <w:rFonts w:asciiTheme="majorBidi" w:hAnsiTheme="majorBidi" w:cstheme="majorBidi"/>
          <w:color w:val="000000" w:themeColor="text1"/>
          <w:sz w:val="24"/>
          <w:szCs w:val="24"/>
        </w:rPr>
        <w:t>.</w:t>
      </w:r>
    </w:p>
    <w:p w14:paraId="71CBBC5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خالد المالكي في دراسته عن المسؤولية المدنية عن فعل الذكاء الاصطناعي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sidRPr="00957EC0">
        <w:rPr>
          <w:rFonts w:asciiTheme="majorBidi" w:hAnsiTheme="majorBidi" w:cstheme="majorBidi"/>
          <w:color w:val="000000" w:themeColor="text1"/>
          <w:sz w:val="24"/>
          <w:szCs w:val="24"/>
        </w:rPr>
        <w:t>.</w:t>
      </w:r>
    </w:p>
    <w:p w14:paraId="30056E03"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sidRPr="00957EC0">
        <w:rPr>
          <w:rFonts w:asciiTheme="majorBidi" w:hAnsiTheme="majorBidi" w:cstheme="majorBidi"/>
          <w:color w:val="000000" w:themeColor="text1"/>
          <w:sz w:val="24"/>
          <w:szCs w:val="24"/>
        </w:rPr>
        <w:t>.</w:t>
      </w:r>
    </w:p>
    <w:p w14:paraId="5B5A2E3F" w14:textId="6CFF26F8"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ويشير ياسر محمد عبد السلام رجب </w:t>
      </w:r>
      <w:r>
        <w:rPr>
          <w:rStyle w:val="af"/>
          <w:rFonts w:asciiTheme="majorBidi" w:hAnsiTheme="majorBidi" w:cstheme="majorBidi"/>
          <w:color w:val="000000" w:themeColor="text1"/>
          <w:sz w:val="24"/>
          <w:szCs w:val="24"/>
          <w:rtl/>
        </w:rPr>
        <w:footnoteReference w:id="93"/>
      </w:r>
      <w:r w:rsidRPr="00957EC0">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sidRPr="00957EC0">
        <w:rPr>
          <w:rFonts w:asciiTheme="majorBidi" w:hAnsiTheme="majorBidi" w:cstheme="majorBidi"/>
          <w:color w:val="000000" w:themeColor="text1"/>
          <w:sz w:val="24"/>
          <w:szCs w:val="24"/>
        </w:rPr>
        <w:t>.</w:t>
      </w:r>
    </w:p>
    <w:p w14:paraId="2DAD19D4" w14:textId="622DAA33"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من جانب آخر، يبين إبراهيم العيسى </w:t>
      </w:r>
      <w:r>
        <w:rPr>
          <w:rStyle w:val="af"/>
          <w:rFonts w:asciiTheme="majorBidi" w:hAnsiTheme="majorBidi" w:cstheme="majorBidi"/>
          <w:color w:val="000000" w:themeColor="text1"/>
          <w:sz w:val="24"/>
          <w:szCs w:val="24"/>
          <w:rtl/>
        </w:rPr>
        <w:footnoteReference w:id="94"/>
      </w:r>
      <w:r w:rsidRPr="00957EC0">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sidRPr="00957EC0">
        <w:rPr>
          <w:rFonts w:asciiTheme="majorBidi" w:hAnsiTheme="majorBidi" w:cstheme="majorBidi"/>
          <w:color w:val="000000" w:themeColor="text1"/>
          <w:sz w:val="24"/>
          <w:szCs w:val="24"/>
        </w:rPr>
        <w:t>.</w:t>
      </w:r>
    </w:p>
    <w:p w14:paraId="64C4A5EB" w14:textId="1F0485D4"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ويطرح نايف بن ناشي الغنامي</w:t>
      </w:r>
      <w:r>
        <w:rPr>
          <w:rStyle w:val="af"/>
          <w:rFonts w:asciiTheme="majorBidi" w:hAnsiTheme="majorBidi" w:cstheme="majorBidi"/>
          <w:color w:val="000000" w:themeColor="text1"/>
          <w:sz w:val="24"/>
          <w:szCs w:val="24"/>
          <w:rtl/>
        </w:rPr>
        <w:footnoteReference w:id="95"/>
      </w:r>
      <w:r w:rsidRPr="00957EC0">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w:t>
      </w:r>
      <w:r w:rsidRPr="00957EC0">
        <w:rPr>
          <w:rFonts w:asciiTheme="majorBidi" w:hAnsiTheme="majorBidi" w:cstheme="majorBidi"/>
          <w:color w:val="000000" w:themeColor="text1"/>
          <w:sz w:val="24"/>
          <w:szCs w:val="24"/>
          <w:rtl/>
        </w:rPr>
        <w:lastRenderedPageBreak/>
        <w:t>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sidRPr="00957EC0">
        <w:rPr>
          <w:rFonts w:asciiTheme="majorBidi" w:hAnsiTheme="majorBidi" w:cstheme="majorBidi"/>
          <w:color w:val="000000" w:themeColor="text1"/>
          <w:sz w:val="24"/>
          <w:szCs w:val="24"/>
        </w:rPr>
        <w:t>.</w:t>
      </w:r>
    </w:p>
    <w:p w14:paraId="671E024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sidRPr="00957EC0">
        <w:rPr>
          <w:rFonts w:asciiTheme="majorBidi" w:hAnsiTheme="majorBidi" w:cstheme="majorBidi"/>
          <w:color w:val="000000" w:themeColor="text1"/>
          <w:sz w:val="24"/>
          <w:szCs w:val="24"/>
        </w:rPr>
        <w:t>.</w:t>
      </w:r>
    </w:p>
    <w:p w14:paraId="6B2627C9" w14:textId="77777777" w:rsidR="00957EC0" w:rsidRDefault="00957EC0" w:rsidP="00807AA1">
      <w:pPr>
        <w:jc w:val="right"/>
        <w:rPr>
          <w:rFonts w:asciiTheme="majorBidi" w:hAnsiTheme="majorBidi" w:cstheme="majorBidi"/>
          <w:color w:val="000000" w:themeColor="text1"/>
          <w:sz w:val="24"/>
          <w:szCs w:val="24"/>
        </w:rPr>
      </w:pPr>
    </w:p>
    <w:p w14:paraId="1BC0D975" w14:textId="55DE3214" w:rsidR="00957EC0" w:rsidRPr="00D41CB7" w:rsidRDefault="00957EC0" w:rsidP="00957EC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الثاني</w:t>
      </w:r>
    </w:p>
    <w:p w14:paraId="2CBC9E09" w14:textId="055C8679"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غياب التنظيم على الممارسة</w:t>
      </w:r>
    </w:p>
    <w:p w14:paraId="6C06502C" w14:textId="77777777" w:rsidR="000003D3" w:rsidRDefault="000003D3" w:rsidP="000003D3">
      <w:pPr>
        <w:jc w:val="right"/>
        <w:rPr>
          <w:rFonts w:asciiTheme="majorBidi" w:hAnsiTheme="majorBidi" w:cstheme="majorBidi"/>
          <w:sz w:val="24"/>
          <w:szCs w:val="24"/>
        </w:rPr>
      </w:pPr>
    </w:p>
    <w:p w14:paraId="749EF2FF" w14:textId="77777777" w:rsidR="000003D3" w:rsidRDefault="000003D3" w:rsidP="000003D3">
      <w:pPr>
        <w:jc w:val="right"/>
        <w:rPr>
          <w:rFonts w:asciiTheme="majorBidi" w:hAnsiTheme="majorBidi" w:cstheme="majorBidi"/>
          <w:sz w:val="24"/>
          <w:szCs w:val="24"/>
          <w:rtl/>
        </w:rPr>
      </w:pPr>
      <w:r w:rsidRPr="000003D3">
        <w:rPr>
          <w:rFonts w:asciiTheme="majorBidi" w:hAnsiTheme="majorBidi" w:cstheme="majorBidi"/>
          <w:sz w:val="24"/>
          <w:szCs w:val="24"/>
          <w:rtl/>
        </w:rPr>
        <w:t>كشف الواقع المهني في مكاتب المحاماة السعودية عن أن استخدام التقنيات الذكية سبق بكثير تطور النصوص التنظيمية. فالأنظمة تتعامل مع مهنة المحاماة كما لو كانت ما زالت تُمارس في بيئة ورقية تقليدية، بينما الممارسة الفعلية انتقلت إلى بيئة رقمية تعتمد على منصات إلكترونية، وأدوات بحث قانوني ذكية، وأنظمة إدارة قضايا، ونماذج تحليل وصياغة قائمة على الذكاء الاصطناعي. هذا التباين بين النص والواقع لم يبقَ مسألة نظرية، بل ألقى بظلاله مباشرة على المسؤولية المهنية، وعلى علاقة المحامي بموكله، وعلى جودة الخدمة القانونية ذاتها</w:t>
      </w:r>
    </w:p>
    <w:p w14:paraId="7FC7B939" w14:textId="10DD0844" w:rsidR="000003D3" w:rsidRDefault="000003D3" w:rsidP="000003D3">
      <w:pPr>
        <w:jc w:val="right"/>
        <w:rPr>
          <w:rFonts w:asciiTheme="majorBidi" w:hAnsiTheme="majorBidi" w:cstheme="majorBidi"/>
          <w:sz w:val="24"/>
          <w:szCs w:val="24"/>
          <w:rtl/>
        </w:rPr>
      </w:pPr>
    </w:p>
    <w:p w14:paraId="30F84212"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أولًا: اضطراب حدود المسؤولية المهنية في ظل الأدوات الذكية</w:t>
      </w:r>
    </w:p>
    <w:p w14:paraId="3F0B7405" w14:textId="67254AB5"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غياب تنظيم صريح لاستخدام الذكاء الاصطناعي في مكاتب المحاماة يجعل تقدير المسؤولية المهنية للمحامي مسألة شديدة التعقيد. ففي الممارسة الواقعية، أصبح من المعتاد أن يعتمد بعض المحامين على أنظمة ذكية لاقتراح الصياغات، أو تلخيص المستندات، أو تحليل الأنظمة واللوائح. غير أن النظام لم يبيّن متى يكون هذا الاعتماد مشروعًا، ولا متى يتحوّل إلى تقصير مهني</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محمد شحادة إسماعيل</w:t>
      </w:r>
      <w:r w:rsidR="00F532FA">
        <w:rPr>
          <w:rStyle w:val="af"/>
          <w:rFonts w:asciiTheme="majorBidi" w:hAnsiTheme="majorBidi" w:cstheme="majorBidi"/>
          <w:sz w:val="24"/>
          <w:szCs w:val="24"/>
          <w:rtl/>
        </w:rPr>
        <w:footnoteReference w:id="96"/>
      </w:r>
      <w:r w:rsidRPr="000003D3">
        <w:rPr>
          <w:rFonts w:asciiTheme="majorBidi" w:hAnsiTheme="majorBidi" w:cstheme="majorBidi"/>
          <w:sz w:val="24"/>
          <w:szCs w:val="24"/>
          <w:rtl/>
        </w:rPr>
        <w:t xml:space="preserve"> يبين في دراسته حول تأثير الذكاء الاصطناعي على المهن القانونية أن هذه الأدوات إذا استُخدمت دون مراجعة وتدقيق بشري تحوّل المحامي من صاحب اجتهاد مستقل إلى “ممرر” لمخرجات تقنية، ما يضعف مبرر مسؤوليته المهنية من جهة، ويُربك معايير محاسبته من جهة أخرى. فإذا أخطأ النظام في تكييف واقعة أو فهم نص، فمن المسؤول: المحامي الذي وثق في الأداة، أم مزود التقنية، أم لا أحد لأن النصوص سكتت عن الموضوع أصلًا؟</w:t>
      </w:r>
      <w:r w:rsidRPr="000003D3">
        <w:rPr>
          <w:rFonts w:asciiTheme="majorBidi" w:hAnsiTheme="majorBidi" w:cstheme="majorBidi"/>
          <w:sz w:val="24"/>
          <w:szCs w:val="24"/>
        </w:rPr>
        <w:br/>
      </w:r>
      <w:r w:rsidRPr="000003D3">
        <w:rPr>
          <w:rFonts w:asciiTheme="majorBidi" w:hAnsiTheme="majorBidi" w:cstheme="majorBidi"/>
          <w:sz w:val="24"/>
          <w:szCs w:val="24"/>
          <w:rtl/>
        </w:rPr>
        <w:t>هذا الاضطراب في مركز المسؤولية ينعكس على ثقة الموكل نفسه؛ إذ قد يجد نفسه أمام ضرر حقيقي نتيجة استخدام أداة تقنية لم يخطر بباله أنها هي التي تولت الجزء الأكبر من العمل المهني، في حين أن النظام لم يكفل له حقًا واضحًا في الاعتراض على طريقة استخدام هذه الأدوات أو مساءلة المحامي عنها بطريقة خاصة</w:t>
      </w:r>
      <w:r w:rsidRPr="000003D3">
        <w:rPr>
          <w:rFonts w:asciiTheme="majorBidi" w:hAnsiTheme="majorBidi" w:cstheme="majorBidi"/>
          <w:sz w:val="24"/>
          <w:szCs w:val="24"/>
        </w:rPr>
        <w:t>.</w:t>
      </w:r>
    </w:p>
    <w:p w14:paraId="356EC899"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ثانيًا: هشاشة حماية مصلحة الموكل في ظل المعالجة التقنية للبيانات</w:t>
      </w:r>
    </w:p>
    <w:p w14:paraId="761254D2"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مكاتب المحاماة اليوم لا تتعامل مع مستندات ورقية فقط، بل مع قواعد بيانات كاملة تتضمن تفاصيل شخصية ومالية وتجارية وقضائية عن موكليها، وغالبًا ما تُرفع هذه البيانات إلى أنظمة سحابية أو منصات ذكاء اصطناعي لغرض التحليل أو الإدارة أو الصياغة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lastRenderedPageBreak/>
        <w:t>سلسلة المعرفة القانونية في دراستها عن الذكاء الاصطناعي والقانون تشير إلى أن أخطر ما يهدد المهن القانونية في البيئة الرقمية هو تآكل مركز “الموثوقية المطلقة” الذي تتمتع به مكاتب المحاماة، إذا لم تُضبط طرق تعاملها مع البيانات. ففي ظل غياب قواعد مهنية خاصة بالمعالجة التقنية داخل المكاتب، قد يختار محامٍ منصة رخيصة أو مجانية لإدارة ملفات القضايا دون وعي كافٍ بمستوى أمانها، مما يفتح الباب أمام تسرب معلومات حساسة أو الاطلاع عليها من جهات أجنبية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ومع أن نظام حماية البيانات الشخصية يوفر حماية عامة، إلا أن غياب ربط مباشر بين هذا النظام وبين تنظيم مهنة المحاماة يترك الموكل دون آلية واضحة لمساءلة المحامي عن اختياره التقني في حال إهماله أو سوء تقديره للأداة المستخدمة. وهنا لا يعود الخطر نظريًا، بل يمس مباشرة جوهر الثقة بين الموكل ومحاميه، والتي تقوم تقليديًا على افتراض أن مكتب المحامي هو أكثر الأماكن أمانًا لأسرار الإنسان وبياناته</w:t>
      </w:r>
      <w:r w:rsidRPr="000003D3">
        <w:rPr>
          <w:rFonts w:asciiTheme="majorBidi" w:hAnsiTheme="majorBidi" w:cstheme="majorBidi"/>
          <w:sz w:val="24"/>
          <w:szCs w:val="24"/>
        </w:rPr>
        <w:t>.</w:t>
      </w:r>
    </w:p>
    <w:p w14:paraId="384CE1D1"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ثالثًا: تفاوت حاد في جودة الخدمات القانونية بين المكاتب</w:t>
      </w:r>
    </w:p>
    <w:p w14:paraId="787FED8F" w14:textId="41B630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مصطفى الأسيوطي</w:t>
      </w:r>
      <w:r w:rsidR="00F532FA">
        <w:rPr>
          <w:rStyle w:val="af"/>
          <w:rFonts w:asciiTheme="majorBidi" w:hAnsiTheme="majorBidi" w:cstheme="majorBidi"/>
          <w:sz w:val="24"/>
          <w:szCs w:val="24"/>
          <w:rtl/>
        </w:rPr>
        <w:footnoteReference w:id="97"/>
      </w:r>
      <w:r w:rsidRPr="000003D3">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sidRPr="000003D3">
        <w:rPr>
          <w:rFonts w:asciiTheme="majorBidi" w:hAnsiTheme="majorBidi" w:cstheme="majorBidi"/>
          <w:sz w:val="24"/>
          <w:szCs w:val="24"/>
        </w:rPr>
        <w:t>.</w:t>
      </w:r>
    </w:p>
    <w:p w14:paraId="5EC97099"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70F17BEA" w14:textId="177E0876"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الشريعة والقانون</w:t>
      </w:r>
      <w:r w:rsidR="00F532FA">
        <w:rPr>
          <w:rStyle w:val="af"/>
          <w:rFonts w:asciiTheme="majorBidi" w:hAnsiTheme="majorBidi" w:cstheme="majorBidi"/>
          <w:sz w:val="24"/>
          <w:szCs w:val="24"/>
          <w:rtl/>
        </w:rPr>
        <w:footnoteReference w:id="98"/>
      </w:r>
      <w:r w:rsidRPr="000003D3">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sidRPr="000003D3">
        <w:rPr>
          <w:rFonts w:asciiTheme="majorBidi" w:hAnsiTheme="majorBidi" w:cstheme="majorBidi"/>
          <w:sz w:val="24"/>
          <w:szCs w:val="24"/>
        </w:rPr>
        <w:br/>
      </w:r>
      <w:r w:rsidRPr="000003D3">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sidRPr="000003D3">
        <w:rPr>
          <w:rFonts w:asciiTheme="majorBidi" w:hAnsiTheme="majorBidi" w:cstheme="majorBidi"/>
          <w:sz w:val="24"/>
          <w:szCs w:val="24"/>
        </w:rPr>
        <w:t>.</w:t>
      </w:r>
    </w:p>
    <w:p w14:paraId="7B2BB425"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lastRenderedPageBreak/>
        <w:t>خامسًا: تشجيع الممارسات غير الرسمية والالتفاف على غياب التنظيم</w:t>
      </w:r>
    </w:p>
    <w:p w14:paraId="56AADE42"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sidRPr="000003D3">
        <w:rPr>
          <w:rFonts w:asciiTheme="majorBidi" w:hAnsiTheme="majorBidi" w:cstheme="majorBidi"/>
          <w:sz w:val="24"/>
          <w:szCs w:val="24"/>
        </w:rPr>
        <w:t>.</w:t>
      </w:r>
    </w:p>
    <w:p w14:paraId="741D7CB0"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سادسًا: إضعاف ثقة المتعاملين في التحول العدلي الرقمي</w:t>
      </w:r>
    </w:p>
    <w:p w14:paraId="2A456FAA"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غير أن غياب تنظيم واضح لاستخدام الذكاء الاصطناعي في مكاتب المحاماة يهدد هذا الهدف من الداخل. فإذا ارتبط في ذهن المتقاضين أن التقنية تعني خطرًا على سرية بياناتهم، أو عدم وضوح المسؤولية عند وقوع الخطأ، أو تفاوتًا حادًا في جودة الخدمة، فإن صورة العدالة الرقمية نفسها تصبح موضع تساؤل ونفور</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دراسات مختلفة منشورة في مجلة العدالة ومجلات قانونية أخرى حول المسؤولية عن الذكاء الاصطناعي تشير إلى أن ثقة الجمهور في المهن القانونية ترتبط بوضوح معايير العمل أكثر مما ترتبط بتقنيات العمل ذاتها. فالإنسان لا يخشى الأداة بقدر ما يخشى غياب من يضبط استخدامها ويقف مسؤولًا عنها. وفي ظل غياب تنظيم مخصوص، يغدو حضور الذكاء الاصطناعي داخل مكاتب المحاماة عنصرًا مثيرًا للقلق، لا عاملًا معززًا للثقة</w:t>
      </w:r>
      <w:r w:rsidRPr="000003D3">
        <w:rPr>
          <w:rFonts w:asciiTheme="majorBidi" w:hAnsiTheme="majorBidi" w:cstheme="majorBidi"/>
          <w:sz w:val="24"/>
          <w:szCs w:val="24"/>
        </w:rPr>
        <w:t>.</w:t>
      </w:r>
    </w:p>
    <w:p w14:paraId="44D98CD2"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وفي المحصلة، يتبين أن آثار غياب التنظيم لا تتوقف عند حدود النظرية، بل تمتد إلى قلب الممارسة المهنية اليومية: فتربك معايير المسؤولية، وتُضعف حماية الموكل، وتخلق تفاوتًا كبيرًا في جودة الخدمات، وتُحدث تضاربًا في تعامل القضاء مع المخرجات الذكية، وتشجع ممارسات غير رسمية قد تضر بالعدالة، وتؤثر في ثقة المجتمع بالتحول الرقمي العدلي. وهذه النتائج مجتمعة تبرر الحاجة الملحّة إلى إطار نظامي ومهني واضح ينظم توظيف الذكاء الاصطناعي في مكاتب المحاماة، وهو ما تسعى إليه هذه الرسالة في فصولها اللاحقة من خلال تصور تنظيمي متكامل يستجيب لهذه التحديات</w:t>
      </w:r>
      <w:r w:rsidRPr="000003D3">
        <w:rPr>
          <w:rFonts w:asciiTheme="majorBidi" w:hAnsiTheme="majorBidi" w:cstheme="majorBidi"/>
          <w:sz w:val="24"/>
          <w:szCs w:val="24"/>
        </w:rPr>
        <w:t>.</w:t>
      </w:r>
    </w:p>
    <w:p w14:paraId="3DE6446B" w14:textId="77777777" w:rsidR="000003D3" w:rsidRDefault="000003D3" w:rsidP="000003D3">
      <w:pPr>
        <w:jc w:val="right"/>
        <w:rPr>
          <w:rFonts w:asciiTheme="majorBidi" w:hAnsiTheme="majorBidi" w:cstheme="majorBidi"/>
          <w:sz w:val="24"/>
          <w:szCs w:val="24"/>
        </w:rPr>
      </w:pPr>
    </w:p>
    <w:p w14:paraId="464A9736" w14:textId="77777777" w:rsidR="00F532FA" w:rsidRDefault="00F532FA" w:rsidP="00F532FA">
      <w:pPr>
        <w:jc w:val="center"/>
        <w:rPr>
          <w:rFonts w:asciiTheme="majorBidi" w:hAnsiTheme="majorBidi" w:cstheme="majorBidi"/>
          <w:b/>
          <w:bCs/>
          <w:sz w:val="28"/>
          <w:szCs w:val="28"/>
          <w:rtl/>
        </w:rPr>
      </w:pPr>
      <w:r w:rsidRPr="00F532FA">
        <w:rPr>
          <w:rFonts w:asciiTheme="majorBidi" w:hAnsiTheme="majorBidi" w:cstheme="majorBidi"/>
          <w:b/>
          <w:bCs/>
          <w:sz w:val="28"/>
          <w:szCs w:val="28"/>
          <w:rtl/>
        </w:rPr>
        <w:t>الخلاصة العامة للمبحث الثاني</w:t>
      </w:r>
      <w:r>
        <w:rPr>
          <w:rFonts w:asciiTheme="majorBidi" w:hAnsiTheme="majorBidi" w:cstheme="majorBidi" w:hint="cs"/>
          <w:b/>
          <w:bCs/>
          <w:sz w:val="28"/>
          <w:szCs w:val="28"/>
          <w:rtl/>
        </w:rPr>
        <w:t xml:space="preserve"> </w:t>
      </w:r>
    </w:p>
    <w:p w14:paraId="06B63824" w14:textId="4477E2F5" w:rsidR="00F532FA" w:rsidRPr="00F532FA" w:rsidRDefault="00F532FA" w:rsidP="00F532FA">
      <w:pPr>
        <w:jc w:val="center"/>
        <w:rPr>
          <w:rFonts w:asciiTheme="majorBidi" w:hAnsiTheme="majorBidi" w:cstheme="majorBidi"/>
          <w:sz w:val="28"/>
          <w:szCs w:val="28"/>
        </w:rPr>
      </w:pPr>
      <w:r w:rsidRPr="00F532FA">
        <w:rPr>
          <w:rFonts w:asciiTheme="majorBidi" w:hAnsiTheme="majorBidi" w:cstheme="majorBidi"/>
          <w:b/>
          <w:bCs/>
          <w:sz w:val="28"/>
          <w:szCs w:val="28"/>
          <w:rtl/>
        </w:rPr>
        <w:t>تحليل الفجوات في التنظيم الحالي</w:t>
      </w:r>
    </w:p>
    <w:p w14:paraId="17946817"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من خلال التحليل المتعمق لنصوص نظام المحاماة والأنظمة المكملة له، وما استتبع ذلك من دراسة واقع الممارسة في مكاتب المحاماة السعودية، يتضح أن المنظومة النظامية الحالية ما زالت تُدار بعقلية ما قبل التحول الرقمي، في حين أن الممارسة المهنية تخطّت هذا الإطار ودخلت مرحلة جديدة قائمة على الأدوات الذكية، والمنصات الرقمية، والتحليل التقني للمعلومات القانونية. هذا التباين بين النص والممارسة يمثل جوهر الفجوة التنظيمية التي يعالجها هذا المبحث</w:t>
      </w:r>
      <w:r w:rsidRPr="00F532FA">
        <w:rPr>
          <w:rFonts w:asciiTheme="majorBidi" w:hAnsiTheme="majorBidi" w:cstheme="majorBidi"/>
          <w:sz w:val="24"/>
          <w:szCs w:val="24"/>
        </w:rPr>
        <w:t>.</w:t>
      </w:r>
    </w:p>
    <w:p w14:paraId="3369F7DF"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 xml:space="preserve">ففي </w:t>
      </w:r>
      <w:r w:rsidRPr="00F532FA">
        <w:rPr>
          <w:rFonts w:asciiTheme="majorBidi" w:hAnsiTheme="majorBidi" w:cstheme="majorBidi"/>
          <w:b/>
          <w:bCs/>
          <w:sz w:val="24"/>
          <w:szCs w:val="24"/>
          <w:rtl/>
        </w:rPr>
        <w:t>المطلب الأول</w:t>
      </w:r>
      <w:r w:rsidRPr="00F532FA">
        <w:rPr>
          <w:rFonts w:asciiTheme="majorBidi" w:hAnsiTheme="majorBidi" w:cstheme="majorBidi"/>
          <w:sz w:val="24"/>
          <w:szCs w:val="24"/>
          <w:rtl/>
        </w:rPr>
        <w:t xml:space="preserve"> تبيّن أن النظام السعودي، رغم صلابته في تنظيم الجوانب التقليدية للمهنة، لم يُواكب التطور التقني من حيث النصوص والمفاهيم. فالنظام ما زال ينظر إلى المحامي كفاعل بشري محض، ويفترض أن </w:t>
      </w:r>
      <w:r w:rsidRPr="00F532FA">
        <w:rPr>
          <w:rFonts w:asciiTheme="majorBidi" w:hAnsiTheme="majorBidi" w:cstheme="majorBidi"/>
          <w:sz w:val="24"/>
          <w:szCs w:val="24"/>
          <w:rtl/>
        </w:rPr>
        <w:lastRenderedPageBreak/>
        <w:t>أدواته مادية تقليدية، دون أن يُدخل أي تعريف أو تنظيم للأدوات الذكية التي أصبحت اليوم عنصرًا جوهريًا في العمل القانوني. وقد أدى هذا الصمت التشريعي إلى بروز غموض مفاهيمي واسع، تمثل في عدم وضوح طبيعة “النظام الذكي” في الممارسة المهنية، ومركزه القانوني، ومسؤوليته عند وقوع الخطأ، فضلًا عن غياب الربط المؤسسي بين الأنظمة ذات العلاقة مثل نظام حماية البيانات، ونظام الجرائم المعلوماتية، ونظام المعاملات المدنية، بما يضمن تكاملها في تنظيم الذكاء الاصطناعي المهني. هذا الصمت جعل الواقع يتجاوز النص، فالمحامي أصبح يستخدم أدوات الذكاء الاصطناعي في التحليل والبحث والصياغة، بينما يظل النظام غافلًا عن ضبط هذا الاستخدام أو توجيهه</w:t>
      </w:r>
      <w:r w:rsidRPr="00F532FA">
        <w:rPr>
          <w:rFonts w:asciiTheme="majorBidi" w:hAnsiTheme="majorBidi" w:cstheme="majorBidi"/>
          <w:sz w:val="24"/>
          <w:szCs w:val="24"/>
        </w:rPr>
        <w:t>.</w:t>
      </w:r>
    </w:p>
    <w:p w14:paraId="035704BA"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 xml:space="preserve">أما </w:t>
      </w:r>
      <w:r w:rsidRPr="00F532FA">
        <w:rPr>
          <w:rFonts w:asciiTheme="majorBidi" w:hAnsiTheme="majorBidi" w:cstheme="majorBidi"/>
          <w:b/>
          <w:bCs/>
          <w:sz w:val="24"/>
          <w:szCs w:val="24"/>
          <w:rtl/>
        </w:rPr>
        <w:t>المطلب الثاني</w:t>
      </w:r>
      <w:r w:rsidRPr="00F532FA">
        <w:rPr>
          <w:rFonts w:asciiTheme="majorBidi" w:hAnsiTheme="majorBidi" w:cstheme="majorBidi"/>
          <w:sz w:val="24"/>
          <w:szCs w:val="24"/>
          <w:rtl/>
        </w:rPr>
        <w:t xml:space="preserve"> فقد كشف عن الأثر العملي المباشر لهذا القصور على الممارسة اليومية في مكاتب المحاماة. فقد أدى غياب التنظيم إلى اضطراب معايير المسؤولية المهنية؛ إذ لم يعد من الواضح متى يكون الخطأ ناتجًا عن إهمال بشري ومتى يكون نتيجة خلل تقني، ومن يتحمل تبعاته النظامية. كما انعكس هذا القصور على حماية الموكلين وبياناتهم في ظل توسع المعالجة الرقمية دون ضوابط مهنية واضحة، مما أضعف مركز الثقة بين الموكل ومكتبه القانوني. وتجلّى الأثر كذلك في تفاوت جودة الخدمات القانونية بين المكاتب تبعًا لمدى وعيها بالتقنيات أو حذرها منها، وفي تضارب تعامل الجهات القضائية مع المخرجات الذكية بسبب غياب إطار يحدد حجيتها وموقعها في الإثبات. ونتيجة لذلك، برزت ممارسات غير رسمية في توظيف التقنية خارج أي رقابة أو شفافية، وأثّر ذلك سلبًا في صورة العدالة الرقمية وثقة المتعاملين بها</w:t>
      </w:r>
      <w:r w:rsidRPr="00F532FA">
        <w:rPr>
          <w:rFonts w:asciiTheme="majorBidi" w:hAnsiTheme="majorBidi" w:cstheme="majorBidi"/>
          <w:sz w:val="24"/>
          <w:szCs w:val="24"/>
        </w:rPr>
        <w:t>.</w:t>
      </w:r>
    </w:p>
    <w:p w14:paraId="3C5CF776"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ويُستخلص من هذا المبحث أن الفجوة التنظيمية ليست مجرد قصور في النصوص، بل هي ظاهرة مركبة ذات أبعاد تشريعية ومؤسسية ومهنية. فهي تجمع بين صمت النظام، وغموض المفاهيم، وتعدد المرجعيات، وغياب الرقابة المتخصصة، وتراخي الأطر الأخلاقية في ضبط الممارسة التقنية. وهذه العوامل مجتمعة جعلت مهنة المحاماة تمارس التحول التقني بلا مظلة نظامية واضحة، ما يعرّضها لمخاطر قانونية ومهنية، ويقوّض مبادئ الثقة والعدالة التي تقوم عليها المهنة</w:t>
      </w:r>
      <w:r w:rsidRPr="00F532FA">
        <w:rPr>
          <w:rFonts w:asciiTheme="majorBidi" w:hAnsiTheme="majorBidi" w:cstheme="majorBidi"/>
          <w:sz w:val="24"/>
          <w:szCs w:val="24"/>
        </w:rPr>
        <w:t>.</w:t>
      </w:r>
    </w:p>
    <w:p w14:paraId="1B093CB2" w14:textId="77777777" w:rsidR="00F532FA" w:rsidRDefault="00F532FA" w:rsidP="00F532FA">
      <w:pPr>
        <w:jc w:val="right"/>
        <w:rPr>
          <w:rFonts w:asciiTheme="majorBidi" w:hAnsiTheme="majorBidi" w:cstheme="majorBidi"/>
          <w:sz w:val="24"/>
          <w:szCs w:val="24"/>
          <w:rtl/>
        </w:rPr>
      </w:pPr>
      <w:r w:rsidRPr="00F532FA">
        <w:rPr>
          <w:rFonts w:asciiTheme="majorBidi" w:hAnsiTheme="majorBidi" w:cstheme="majorBidi"/>
          <w:sz w:val="24"/>
          <w:szCs w:val="24"/>
          <w:rtl/>
        </w:rPr>
        <w:t>ومن ثمّ، فإن تجاوز هذه الفجوة يتطلب رؤية إصلاحية متكاملة تجمع بين تعديل النصوص، وتطوير اللوائح التنفيذية، وإنشاء أطر رقابية مهنية، وتبني تعريفات دقيقة للتقنيات القانونية ومخرجات الذكاء الاصطناعي، وصولًا إلى بناء بيئة تشريعية ومؤسسية قادرة على استيعاب الممارسة الرقمية الحديثة. وهذا ما تمهّد له هذه النتائج لتكون قاعدة للفصلين اللاحقين، اللذين يتناولان التكييف النظامي والفقهي للمخرجات الذكية من جهة، والتصور التنظيمي المقترح من جهة أخرى، بما يضمن الانتقال من مرحلة “القصور التشريعي” إلى مرحلة “التنظيم الواعي للتحول التقني” في مهنة المحاماة</w:t>
      </w:r>
      <w:r>
        <w:rPr>
          <w:rFonts w:asciiTheme="majorBidi" w:hAnsiTheme="majorBidi" w:cstheme="majorBidi" w:hint="cs"/>
          <w:sz w:val="24"/>
          <w:szCs w:val="24"/>
          <w:rtl/>
        </w:rPr>
        <w:t>.</w:t>
      </w:r>
    </w:p>
    <w:p w14:paraId="2420053B" w14:textId="77777777" w:rsidR="00F532FA" w:rsidRDefault="00F532FA" w:rsidP="00F532FA">
      <w:pPr>
        <w:jc w:val="right"/>
        <w:rPr>
          <w:rFonts w:asciiTheme="majorBidi" w:hAnsiTheme="majorBidi" w:cstheme="majorBidi"/>
          <w:sz w:val="24"/>
          <w:szCs w:val="24"/>
          <w:rtl/>
        </w:rPr>
      </w:pPr>
    </w:p>
    <w:p w14:paraId="768FEDD8" w14:textId="2D3235BE" w:rsidR="00DD6051" w:rsidRDefault="00DD6051" w:rsidP="00DD6051">
      <w:pPr>
        <w:jc w:val="center"/>
        <w:rPr>
          <w:rFonts w:asciiTheme="majorBidi" w:hAnsiTheme="majorBidi" w:cstheme="majorBidi"/>
          <w:b/>
          <w:bCs/>
          <w:sz w:val="32"/>
          <w:szCs w:val="32"/>
          <w:rtl/>
        </w:rPr>
      </w:pPr>
      <w:r>
        <w:rPr>
          <w:rFonts w:asciiTheme="majorBidi" w:hAnsiTheme="majorBidi" w:cstheme="majorBidi" w:hint="cs"/>
          <w:b/>
          <w:bCs/>
          <w:sz w:val="32"/>
          <w:szCs w:val="32"/>
          <w:rtl/>
        </w:rPr>
        <w:t>خاتمة</w:t>
      </w:r>
      <w:r w:rsidRPr="00DD6051">
        <w:rPr>
          <w:rFonts w:asciiTheme="majorBidi" w:hAnsiTheme="majorBidi" w:cstheme="majorBidi"/>
          <w:b/>
          <w:bCs/>
          <w:sz w:val="32"/>
          <w:szCs w:val="32"/>
          <w:rtl/>
        </w:rPr>
        <w:t xml:space="preserve"> الفصل الأول</w:t>
      </w:r>
    </w:p>
    <w:p w14:paraId="420C8CDA" w14:textId="5B19599E" w:rsidR="00DD6051" w:rsidRPr="00DD6051" w:rsidRDefault="00DD6051" w:rsidP="00DD6051">
      <w:pPr>
        <w:jc w:val="center"/>
        <w:rPr>
          <w:rFonts w:asciiTheme="majorBidi" w:hAnsiTheme="majorBidi" w:cstheme="majorBidi"/>
          <w:b/>
          <w:bCs/>
          <w:sz w:val="32"/>
          <w:szCs w:val="32"/>
        </w:rPr>
      </w:pPr>
      <w:r w:rsidRPr="00DD6051">
        <w:rPr>
          <w:rFonts w:asciiTheme="majorBidi" w:hAnsiTheme="majorBidi" w:cstheme="majorBidi"/>
          <w:b/>
          <w:bCs/>
          <w:sz w:val="32"/>
          <w:szCs w:val="32"/>
          <w:rtl/>
        </w:rPr>
        <w:t>نحو تحديث الإطار النظامي لمهنة المحاماة في ظل الذكاء الاصطناعي</w:t>
      </w:r>
    </w:p>
    <w:p w14:paraId="16DD632F"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يُظهر التحليل الذي تضمنه هذا الفصل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لكنه لم يُبنَ على تصورٍ يستوعب التحول التقني والذكاء الاصطناعي الذي أصبح عنصرًا حتميًا في بيئة العدالة الحديثة. ومن ثم، برزت فجوة واضحة بين النصوص النظامية الثابتة والممارسات المهنية المتطورة التي تعتمد على أدوات رقمية وأنظمة ذكية في التحليل والصياغة وإدارة القضايا</w:t>
      </w:r>
      <w:r w:rsidRPr="00F532FA">
        <w:rPr>
          <w:rFonts w:asciiTheme="majorBidi" w:hAnsiTheme="majorBidi" w:cstheme="majorBidi"/>
          <w:b/>
          <w:bCs/>
          <w:sz w:val="24"/>
          <w:szCs w:val="24"/>
        </w:rPr>
        <w:t>.</w:t>
      </w:r>
    </w:p>
    <w:p w14:paraId="4632C49C"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 xml:space="preserve">لقد تناول هذا الفصل في مبحثه الأول الأطر النظامية التي تحكم مهنة المحاماة وتقنيات الذكاء الاصطناعي في المملكة، مبيّنًا أن الأنظمة ذات العلاقة – كحماية البيانات، والإثبات، والمعاملات المدنية، والإجراءات الجزائية، والتعاملات الإلكترونية – قد وفّرت أساسًا عامًا للتحول العدلي الرقمي، لكنها لم تضع بعدُ أحكامًا تفصيلية تضبط العلاقة بين المحامي والتقنية الذكية، ولا تحدد حدود استخدام الأدوات الرقمية في الممارسة القانونية. </w:t>
      </w:r>
      <w:r w:rsidRPr="00F532FA">
        <w:rPr>
          <w:rFonts w:asciiTheme="majorBidi" w:hAnsiTheme="majorBidi" w:cstheme="majorBidi"/>
          <w:b/>
          <w:bCs/>
          <w:sz w:val="24"/>
          <w:szCs w:val="24"/>
          <w:rtl/>
        </w:rPr>
        <w:lastRenderedPageBreak/>
        <w:t>وفي المقابل، أظهر المبحث الثاني أن هذا القصور التشريعي لم يظل حبيس النصوص، بل انعكس عمليًا على مكاتب المحاماة من حيث تضارب المسؤوليات، وتفاوت جودة الخدمة، وضعف الحماية القانونية للبيانات، وتراجع مستوى الثقة في المخرجات التقنية داخل بيئة العدالة</w:t>
      </w:r>
      <w:r w:rsidRPr="00F532FA">
        <w:rPr>
          <w:rFonts w:asciiTheme="majorBidi" w:hAnsiTheme="majorBidi" w:cstheme="majorBidi"/>
          <w:b/>
          <w:bCs/>
          <w:sz w:val="24"/>
          <w:szCs w:val="24"/>
        </w:rPr>
        <w:t>.</w:t>
      </w:r>
    </w:p>
    <w:p w14:paraId="24AD79E7"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ويخلص هذا الفصل إلى أن مهنة المحاماة في المملكة تسير حاليًا في مرحلة انتقالية دقيقة؛ فهي تستفيد من التحول الرقمي الذي تقوده الدولة ضمن رؤية 2030، لكنها تفتقر إلى تنظيم مهني دقيق يضمن أن يكون هذا التحول منضبطًا بالقواعد القانونية والأخلاقية للمهنة. فالنظام الحالي وإن كان متينًا في ضبط السلوك المهني، إلا أنه بحاجة إلى تحديثات جوهرية تعيد صياغة مفاهيم الممارسة لتستوعب أدوات الذكاء الاصطناعي بوصفها امتدادًا لا بديلاً عن الاجتهاد البشري</w:t>
      </w:r>
      <w:r w:rsidRPr="00F532FA">
        <w:rPr>
          <w:rFonts w:asciiTheme="majorBidi" w:hAnsiTheme="majorBidi" w:cstheme="majorBidi"/>
          <w:b/>
          <w:bCs/>
          <w:sz w:val="24"/>
          <w:szCs w:val="24"/>
        </w:rPr>
        <w:t>.</w:t>
      </w:r>
    </w:p>
    <w:p w14:paraId="2E2A559B"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إن ما تم استعراضه في هذا الفصل يمهّد للانتقال إلى الفصل الثاني الذي يتناول التكييف القانوني والفقهي للمخرجات الذكية والمسؤولية النظامية المترتبة عليها، وهو امتداد طبيعي للتحليل السابق؛ إذ يهدف إلى بيان كيف يمكن للمفاهيم الفقهية والنظامية التقليدية أن تتفاعل مع واقع جديد تتشارك فيه الأنظمة الذكية مع المحامين في إنتاج العمل القانوني، وكيف يمكن للمشرّع أن يضع قواعد تضمن بقاء الذكاء الاصطناعي في دائرة المساعدة المشروعة، لا في موضع المنافسة أو الإحلال، وبذلك يكتمل بناء الإطار القانوني لتوظيف الذكاء الاصطناعي في تطوير خدمات مكاتب المحاماة بصورة تحفظ للمهنة أصالتها، وتحقق في الوقت ذاته متطلبات العدالة الرقمية الحديثة</w:t>
      </w:r>
      <w:r w:rsidRPr="00F532FA">
        <w:rPr>
          <w:rFonts w:asciiTheme="majorBidi" w:hAnsiTheme="majorBidi" w:cstheme="majorBidi"/>
          <w:b/>
          <w:bCs/>
          <w:sz w:val="24"/>
          <w:szCs w:val="24"/>
        </w:rPr>
        <w:t>.</w:t>
      </w:r>
    </w:p>
    <w:p w14:paraId="4B2A6223" w14:textId="77777777" w:rsidR="00F532FA" w:rsidRPr="00F532FA" w:rsidRDefault="00F532FA" w:rsidP="00F532FA">
      <w:pPr>
        <w:jc w:val="right"/>
        <w:rPr>
          <w:rFonts w:asciiTheme="majorBidi" w:hAnsiTheme="majorBidi" w:cstheme="majorBidi"/>
          <w:b/>
          <w:bCs/>
          <w:sz w:val="24"/>
          <w:szCs w:val="24"/>
        </w:rPr>
      </w:pPr>
    </w:p>
    <w:p w14:paraId="31D3DE4D" w14:textId="77777777" w:rsidR="00F532FA" w:rsidRDefault="00F532FA" w:rsidP="000003D3">
      <w:pPr>
        <w:jc w:val="right"/>
        <w:rPr>
          <w:rFonts w:asciiTheme="majorBidi" w:hAnsiTheme="majorBidi" w:cstheme="majorBidi"/>
          <w:sz w:val="24"/>
          <w:szCs w:val="24"/>
        </w:rPr>
      </w:pPr>
    </w:p>
    <w:p w14:paraId="6C70FBD6" w14:textId="77777777" w:rsidR="004639DD" w:rsidRDefault="004639DD" w:rsidP="000003D3">
      <w:pPr>
        <w:jc w:val="right"/>
        <w:rPr>
          <w:rFonts w:asciiTheme="majorBidi" w:hAnsiTheme="majorBidi" w:cstheme="majorBidi"/>
          <w:sz w:val="24"/>
          <w:szCs w:val="24"/>
        </w:rPr>
      </w:pPr>
    </w:p>
    <w:p w14:paraId="7D5C9E31" w14:textId="7B66DC5C"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t>قائمة المراجع:</w:t>
      </w:r>
    </w:p>
    <w:p w14:paraId="4F5B7D8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أولًا: الأنظمة واللوائح الرسمية</w:t>
      </w:r>
    </w:p>
    <w:p w14:paraId="051C7321" w14:textId="0AD6DDEA"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هيئة الخبراء بمجلس الوزراء. (1422هـ)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الإجراءات الجزائية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مكافحة الجرائم المعلوماتية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حماية البيانات الشخصية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الإثبات</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(1445هـ)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المعاملات المدنية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وزارة العدل. (1441هـ)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اللائحة التنفيذية لنظام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وزارة العدل</w:t>
      </w:r>
      <w:r w:rsidRPr="004639DD">
        <w:rPr>
          <w:rFonts w:asciiTheme="majorBidi" w:hAnsiTheme="majorBidi" w:cstheme="majorBidi"/>
          <w:sz w:val="24"/>
          <w:szCs w:val="24"/>
        </w:rPr>
        <w:t>.</w:t>
      </w:r>
    </w:p>
    <w:p w14:paraId="2F795B6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ثانيًا: الوثائق والتقارير الرسمية</w:t>
      </w:r>
    </w:p>
    <w:p w14:paraId="4A51423C" w14:textId="700C0D4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وثيقة مبادئ أخلاقيات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الدليل الاسترشادي لتقويم مخاطر نقل البيانات الشخصية إلى خارج المملكة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p>
    <w:p w14:paraId="2A66E3B2" w14:textId="77777777" w:rsidR="004639DD" w:rsidRPr="004639DD" w:rsidRDefault="004639DD" w:rsidP="004639DD">
      <w:pPr>
        <w:jc w:val="right"/>
        <w:rPr>
          <w:rFonts w:asciiTheme="majorBidi" w:hAnsiTheme="majorBidi" w:cstheme="majorBidi" w:hint="cs"/>
          <w:b/>
          <w:bCs/>
          <w:sz w:val="24"/>
          <w:szCs w:val="24"/>
        </w:rPr>
      </w:pPr>
      <w:r w:rsidRPr="004639DD">
        <w:rPr>
          <w:rFonts w:asciiTheme="majorBidi" w:hAnsiTheme="majorBidi" w:cstheme="majorBidi"/>
          <w:b/>
          <w:bCs/>
          <w:sz w:val="24"/>
          <w:szCs w:val="24"/>
          <w:rtl/>
        </w:rPr>
        <w:t>ثالثًا: الكتب والدراسات القانونية</w:t>
      </w:r>
    </w:p>
    <w:p w14:paraId="713B2C80" w14:textId="65F071A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العيسى، إبراهيم</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سلسلة المعرفة القانونية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والقانون</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سلسلة منشورات المعرفة القانونية، المجلد</w:t>
      </w:r>
      <w:r w:rsidRPr="004639DD">
        <w:rPr>
          <w:rFonts w:asciiTheme="majorBidi" w:hAnsiTheme="majorBidi" w:cstheme="majorBidi"/>
          <w:sz w:val="24"/>
          <w:szCs w:val="24"/>
        </w:rPr>
        <w:t xml:space="preserve"> (5).</w:t>
      </w:r>
    </w:p>
    <w:p w14:paraId="06272CA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lastRenderedPageBreak/>
        <w:t>رابعًا: الأبحاث المحكمة</w:t>
      </w:r>
    </w:p>
    <w:p w14:paraId="27E8C9C7" w14:textId="77777777"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المالكي، خالد</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المسؤولية المدنية عن فعل الذكاء الاصطناعي في النظام السعودي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البحوث الفقهية والقانونية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(15).</w:t>
      </w:r>
      <w:r w:rsidRPr="004639DD">
        <w:rPr>
          <w:rFonts w:asciiTheme="majorBidi" w:hAnsiTheme="majorBidi" w:cstheme="majorBidi"/>
          <w:sz w:val="24"/>
          <w:szCs w:val="24"/>
        </w:rPr>
        <w:br/>
      </w:r>
      <w:r w:rsidRPr="004639DD">
        <w:rPr>
          <w:rFonts w:asciiTheme="majorBidi" w:hAnsiTheme="majorBidi" w:cstheme="majorBidi"/>
          <w:sz w:val="24"/>
          <w:szCs w:val="24"/>
          <w:rtl/>
        </w:rPr>
        <w:t>حمادي، عبد الله</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المدنية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خليل، محمد سعيد</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القانونية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مجلة العدالة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عن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وزارة العدل السعودية، العدد</w:t>
      </w:r>
      <w:r w:rsidRPr="004639DD">
        <w:rPr>
          <w:rFonts w:asciiTheme="majorBidi" w:hAnsiTheme="majorBidi" w:cstheme="majorBidi"/>
          <w:sz w:val="24"/>
          <w:szCs w:val="24"/>
        </w:rPr>
        <w:t xml:space="preserve"> (65).</w:t>
      </w:r>
      <w:r w:rsidRPr="004639DD">
        <w:rPr>
          <w:rFonts w:asciiTheme="majorBidi" w:hAnsiTheme="majorBidi" w:cstheme="majorBidi"/>
          <w:sz w:val="24"/>
          <w:szCs w:val="24"/>
        </w:rPr>
        <w:br/>
      </w:r>
      <w:r w:rsidRPr="004639DD">
        <w:rPr>
          <w:rFonts w:asciiTheme="majorBidi" w:hAnsiTheme="majorBidi" w:cstheme="majorBidi"/>
          <w:sz w:val="24"/>
          <w:szCs w:val="24"/>
          <w:rtl/>
        </w:rPr>
        <w:t>مجلة الشريعة والقانون</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والعمل القضائي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كلية القانون، جامعة الإمارات العربية المتحدة، العدد</w:t>
      </w:r>
      <w:r w:rsidRPr="004639DD">
        <w:rPr>
          <w:rFonts w:asciiTheme="majorBidi" w:hAnsiTheme="majorBidi" w:cstheme="majorBidi"/>
          <w:sz w:val="24"/>
          <w:szCs w:val="24"/>
        </w:rPr>
        <w:t xml:space="preserve"> (99).</w:t>
      </w:r>
      <w:r w:rsidRPr="004639DD">
        <w:rPr>
          <w:rFonts w:asciiTheme="majorBidi" w:hAnsiTheme="majorBidi" w:cstheme="majorBidi"/>
          <w:sz w:val="24"/>
          <w:szCs w:val="24"/>
        </w:rPr>
        <w:br/>
      </w:r>
      <w:r w:rsidRPr="004639DD">
        <w:rPr>
          <w:rFonts w:asciiTheme="majorBidi" w:hAnsiTheme="majorBidi" w:cstheme="majorBidi"/>
          <w:sz w:val="24"/>
          <w:szCs w:val="24"/>
          <w:rtl/>
        </w:rPr>
        <w:t>مجلة علمية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والآثار القانونية المترتبة عن استخدامه</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(7).</w:t>
      </w:r>
      <w:r w:rsidRPr="004639DD">
        <w:rPr>
          <w:rFonts w:asciiTheme="majorBidi" w:hAnsiTheme="majorBidi" w:cstheme="majorBidi"/>
          <w:sz w:val="24"/>
          <w:szCs w:val="24"/>
        </w:rPr>
        <w:br/>
      </w:r>
      <w:r w:rsidRPr="004639DD">
        <w:rPr>
          <w:rFonts w:asciiTheme="majorBidi" w:hAnsiTheme="majorBidi" w:cstheme="majorBidi"/>
          <w:sz w:val="24"/>
          <w:szCs w:val="24"/>
          <w:rtl/>
        </w:rPr>
        <w:t>الأسيوطي، مصطفى</w:t>
      </w:r>
      <w:r w:rsidRPr="004639DD">
        <w:rPr>
          <w:rFonts w:asciiTheme="majorBidi" w:hAnsiTheme="majorBidi" w:cstheme="majorBidi"/>
          <w:sz w:val="24"/>
          <w:szCs w:val="24"/>
        </w:rPr>
        <w:t xml:space="preserve">. (2020). </w:t>
      </w:r>
      <w:r w:rsidRPr="004639DD">
        <w:rPr>
          <w:rFonts w:asciiTheme="majorBidi" w:hAnsiTheme="majorBidi" w:cstheme="majorBidi"/>
          <w:i/>
          <w:iCs/>
          <w:sz w:val="24"/>
          <w:szCs w:val="24"/>
          <w:rtl/>
        </w:rPr>
        <w:t>حماية التصرفات القانونية وإثباتها عبر تطبيق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الباحث العربي</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(12).</w:t>
      </w:r>
      <w:r w:rsidRPr="004639DD">
        <w:rPr>
          <w:rFonts w:asciiTheme="majorBidi" w:hAnsiTheme="majorBidi" w:cstheme="majorBidi"/>
          <w:sz w:val="24"/>
          <w:szCs w:val="24"/>
        </w:rPr>
        <w:br/>
      </w:r>
      <w:r w:rsidRPr="004639DD">
        <w:rPr>
          <w:rFonts w:asciiTheme="majorBidi" w:hAnsiTheme="majorBidi" w:cstheme="majorBidi"/>
          <w:sz w:val="24"/>
          <w:szCs w:val="24"/>
          <w:rtl/>
        </w:rPr>
        <w:t>قاسم، مراد محمد غالب</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دور الذكاء الاصطناعي في مكافحة الجريمة الإلكترونية: دراسة مقارنة</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المجلة العصرية للدراسات 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(10).</w:t>
      </w:r>
      <w:r w:rsidRPr="004639DD">
        <w:rPr>
          <w:rFonts w:asciiTheme="majorBidi" w:hAnsiTheme="majorBidi" w:cstheme="majorBidi"/>
          <w:sz w:val="24"/>
          <w:szCs w:val="24"/>
        </w:rPr>
        <w:br/>
      </w:r>
      <w:r w:rsidRPr="004639DD">
        <w:rPr>
          <w:rFonts w:asciiTheme="majorBidi" w:hAnsiTheme="majorBidi" w:cstheme="majorBidi"/>
          <w:sz w:val="24"/>
          <w:szCs w:val="24"/>
          <w:rtl/>
        </w:rPr>
        <w:t>العلي، عبدالعزيز عبدالناصر</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الذكاء الاصطناعي ودوره في إبرام العقود التجارية الذكية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p>
    <w:p w14:paraId="65F00C5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B6F93" w14:textId="77777777" w:rsidR="005C4986" w:rsidRDefault="005C4986" w:rsidP="00ED5C01">
      <w:pPr>
        <w:spacing w:after="0" w:line="240" w:lineRule="auto"/>
      </w:pPr>
      <w:r>
        <w:separator/>
      </w:r>
    </w:p>
  </w:endnote>
  <w:endnote w:type="continuationSeparator" w:id="0">
    <w:p w14:paraId="7459ED99" w14:textId="77777777" w:rsidR="005C4986" w:rsidRDefault="005C4986"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8C697" w14:textId="77777777" w:rsidR="000004FA" w:rsidRDefault="000004FA">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4982BBDC" w14:textId="1C41F414"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78B7DA35" w14:textId="77777777" w:rsidR="00575B64" w:rsidRDefault="00575B64">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DA92E" w14:textId="77777777" w:rsidR="000004FA" w:rsidRDefault="000004F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662F6" w14:textId="77777777" w:rsidR="005C4986" w:rsidRDefault="005C4986" w:rsidP="00ED5C01">
      <w:pPr>
        <w:spacing w:after="0" w:line="240" w:lineRule="auto"/>
      </w:pPr>
      <w:r>
        <w:separator/>
      </w:r>
    </w:p>
  </w:footnote>
  <w:footnote w:type="continuationSeparator" w:id="0">
    <w:p w14:paraId="08FD8745" w14:textId="77777777" w:rsidR="005C4986" w:rsidRDefault="005C4986" w:rsidP="00ED5C01">
      <w:pPr>
        <w:spacing w:after="0" w:line="240" w:lineRule="auto"/>
      </w:pPr>
      <w:r>
        <w:continuationSeparator/>
      </w:r>
    </w:p>
  </w:footnote>
  <w:footnote w:id="1">
    <w:p w14:paraId="07E88945" w14:textId="77777777" w:rsidR="00F219B4" w:rsidRPr="00E06468" w:rsidRDefault="00F219B4" w:rsidP="00A94FD1">
      <w:pPr>
        <w:numPr>
          <w:ilvl w:val="0"/>
          <w:numId w:val="1"/>
        </w:numPr>
        <w:bidi/>
        <w:jc w:val="center"/>
        <w:rPr>
          <w:sz w:val="16"/>
          <w:szCs w:val="16"/>
        </w:rPr>
      </w:pPr>
      <w:r>
        <w:rPr>
          <w:rStyle w:val="af"/>
        </w:rPr>
        <w:footnoteRef/>
      </w:r>
      <w:r>
        <w:t xml:space="preserve"> </w:t>
      </w: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4454C3A8" w14:textId="7EE6DFDF" w:rsidR="00F219B4" w:rsidRDefault="00F219B4" w:rsidP="00F219B4">
      <w:pPr>
        <w:pStyle w:val="ae"/>
        <w:jc w:val="right"/>
      </w:pPr>
    </w:p>
  </w:footnote>
  <w:footnote w:id="2">
    <w:p w14:paraId="092266DB" w14:textId="7559B0D3" w:rsidR="00A94FD1" w:rsidRPr="001C469F" w:rsidRDefault="00A94FD1" w:rsidP="00A94FD1">
      <w:pPr>
        <w:numPr>
          <w:ilvl w:val="0"/>
          <w:numId w:val="1"/>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1" w:tgtFrame="_blank" w:history="1">
        <w:r w:rsidRPr="001C469F">
          <w:rPr>
            <w:rStyle w:val="Hyperlink"/>
            <w:sz w:val="16"/>
            <w:szCs w:val="16"/>
          </w:rPr>
          <w:t>laws.boe.gov.sa+6alsayeed.net+6idc.gov.sa+6</w:t>
        </w:r>
      </w:hyperlink>
      <w:r w:rsidRPr="001C469F">
        <w:rPr>
          <w:sz w:val="16"/>
          <w:szCs w:val="16"/>
        </w:rPr>
        <w:t>.</w:t>
      </w:r>
    </w:p>
    <w:p w14:paraId="70DA9045" w14:textId="07D09702" w:rsidR="00A94FD1" w:rsidRDefault="00A94FD1">
      <w:pPr>
        <w:pStyle w:val="ae"/>
      </w:pPr>
    </w:p>
  </w:footnote>
  <w:footnote w:id="3">
    <w:p w14:paraId="50D89DA5" w14:textId="77777777" w:rsidR="00A94FD1" w:rsidRPr="001D7F0F" w:rsidRDefault="00A94FD1" w:rsidP="00A94FD1">
      <w:pPr>
        <w:numPr>
          <w:ilvl w:val="0"/>
          <w:numId w:val="1"/>
        </w:numPr>
        <w:bidi/>
        <w:rPr>
          <w:sz w:val="16"/>
          <w:szCs w:val="16"/>
          <w:rtl/>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12F66518" w14:textId="21249F1B" w:rsidR="00A94FD1" w:rsidRDefault="00A94FD1">
      <w:pPr>
        <w:pStyle w:val="ae"/>
      </w:pPr>
    </w:p>
  </w:footnote>
  <w:footnote w:id="4">
    <w:p w14:paraId="73BF4960" w14:textId="77777777" w:rsidR="00A4106D" w:rsidRPr="007D2CE4" w:rsidRDefault="00A4106D" w:rsidP="00A4106D">
      <w:pPr>
        <w:numPr>
          <w:ilvl w:val="0"/>
          <w:numId w:val="1"/>
        </w:numPr>
        <w:bidi/>
        <w:rPr>
          <w:sz w:val="16"/>
          <w:szCs w:val="16"/>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21BCCBF5" w14:textId="0C6EDD37" w:rsidR="00A4106D" w:rsidRDefault="00A4106D">
      <w:pPr>
        <w:pStyle w:val="ae"/>
      </w:pPr>
    </w:p>
  </w:footnote>
  <w:footnote w:id="5">
    <w:p w14:paraId="2685277E" w14:textId="77777777" w:rsidR="008C5A8E" w:rsidRPr="008C5A8E" w:rsidRDefault="008C5A8E" w:rsidP="008C5A8E">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(5)الهيئة السعودية للبيانات والذكاء الاصطناعي (سدايا)، "مبادئ أخلاقيات الذكاء الاصطناعي"، نوفمبر 2023</w:t>
      </w:r>
      <w:r w:rsidRPr="008C5A8E">
        <w:rPr>
          <w:rFonts w:asciiTheme="majorBidi" w:hAnsiTheme="majorBidi" w:cstheme="majorBidi"/>
          <w:color w:val="000000" w:themeColor="text1"/>
          <w:sz w:val="16"/>
          <w:szCs w:val="16"/>
        </w:rPr>
        <w:t>.</w:t>
      </w:r>
    </w:p>
    <w:p w14:paraId="284C8255" w14:textId="5D48C4E5" w:rsidR="008C5A8E" w:rsidRPr="008C5A8E" w:rsidRDefault="008C5A8E">
      <w:pPr>
        <w:pStyle w:val="ae"/>
        <w:rPr>
          <w:rFonts w:asciiTheme="majorBidi" w:hAnsiTheme="majorBidi" w:cstheme="majorBidi"/>
        </w:rPr>
      </w:pPr>
    </w:p>
  </w:footnote>
  <w:footnote w:id="6">
    <w:p w14:paraId="6AA7C860" w14:textId="77777777" w:rsidR="008C5A8E" w:rsidRPr="008C5A8E" w:rsidRDefault="008C5A8E" w:rsidP="008C5A8E">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(6)وثيقة "إطار تبني الذكاء الاصطناعي"، سدايا، 2023</w:t>
      </w:r>
      <w:r w:rsidRPr="008C5A8E">
        <w:rPr>
          <w:rFonts w:asciiTheme="majorBidi" w:hAnsiTheme="majorBidi" w:cstheme="majorBidi"/>
          <w:color w:val="000000" w:themeColor="text1"/>
          <w:sz w:val="16"/>
          <w:szCs w:val="16"/>
        </w:rPr>
        <w:t>.</w:t>
      </w:r>
    </w:p>
    <w:p w14:paraId="23A49ED6" w14:textId="41BEEF34" w:rsidR="008C5A8E" w:rsidRPr="008C5A8E" w:rsidRDefault="008C5A8E">
      <w:pPr>
        <w:pStyle w:val="ae"/>
        <w:rPr>
          <w:rFonts w:asciiTheme="majorBidi" w:hAnsiTheme="majorBidi" w:cstheme="majorBidi"/>
        </w:rPr>
      </w:pPr>
    </w:p>
  </w:footnote>
  <w:footnote w:id="7">
    <w:p w14:paraId="47B74DCC" w14:textId="77777777" w:rsidR="008C5A8E" w:rsidRPr="008C5A8E" w:rsidRDefault="008C5A8E" w:rsidP="008C5A8E">
      <w:pPr>
        <w:bidi/>
        <w:spacing w:after="200" w:line="276" w:lineRule="auto"/>
        <w:rPr>
          <w:rFonts w:asciiTheme="majorBidi" w:hAnsiTheme="majorBidi" w:cstheme="majorBidi"/>
          <w:color w:val="000000" w:themeColor="text1"/>
          <w:sz w:val="16"/>
          <w:szCs w:val="16"/>
          <w:rtl/>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(7)نظام المحاماة، المرسوم الملكي م/38، بتاريخ 28/7/1422هـ</w:t>
      </w:r>
      <w:r w:rsidRPr="008C5A8E">
        <w:rPr>
          <w:rFonts w:asciiTheme="majorBidi" w:hAnsiTheme="majorBidi" w:cstheme="majorBidi"/>
          <w:color w:val="000000" w:themeColor="text1"/>
          <w:sz w:val="16"/>
          <w:szCs w:val="16"/>
        </w:rPr>
        <w:t>.</w:t>
      </w:r>
    </w:p>
    <w:p w14:paraId="24F6C36C" w14:textId="5E305763" w:rsidR="008C5A8E" w:rsidRDefault="008C5A8E">
      <w:pPr>
        <w:pStyle w:val="ae"/>
      </w:pPr>
    </w:p>
  </w:footnote>
  <w:footnote w:id="8">
    <w:p w14:paraId="30E2B824" w14:textId="77777777" w:rsidR="00B102AB" w:rsidRPr="00115289" w:rsidRDefault="00B102AB" w:rsidP="00B102AB">
      <w:pPr>
        <w:bidi/>
        <w:spacing w:after="200" w:line="276" w:lineRule="auto"/>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60BAD080" w14:textId="04BEFCB2" w:rsidR="00B102AB" w:rsidRDefault="00B102AB">
      <w:pPr>
        <w:pStyle w:val="ae"/>
      </w:pPr>
    </w:p>
  </w:footnote>
  <w:footnote w:id="9">
    <w:p w14:paraId="68251DE2" w14:textId="77777777" w:rsidR="00B102AB" w:rsidRDefault="00B102AB" w:rsidP="00B102AB">
      <w:pPr>
        <w:bidi/>
        <w:spacing w:after="200" w:line="276" w:lineRule="auto"/>
        <w:rPr>
          <w:rFonts w:asciiTheme="minorBidi" w:hAnsiTheme="minorBidi"/>
          <w:color w:val="000000" w:themeColor="text1"/>
          <w:sz w:val="16"/>
          <w:szCs w:val="16"/>
          <w:rtl/>
        </w:rPr>
      </w:pPr>
      <w:r>
        <w:rPr>
          <w:rStyle w:val="af"/>
        </w:rPr>
        <w:footnoteRef/>
      </w:r>
      <w:r>
        <w:t xml:space="preserve"> </w:t>
      </w: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20D41226" w14:textId="72F86295" w:rsidR="00B102AB" w:rsidRDefault="00B102AB">
      <w:pPr>
        <w:pStyle w:val="ae"/>
      </w:pPr>
    </w:p>
  </w:footnote>
  <w:footnote w:id="10">
    <w:p w14:paraId="4752E5FB" w14:textId="77777777" w:rsidR="00B102AB" w:rsidRPr="00115289" w:rsidRDefault="00B102AB" w:rsidP="00B102AB">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12BEDFD3" w14:textId="524DB8A8" w:rsidR="00B102AB" w:rsidRDefault="00B102AB">
      <w:pPr>
        <w:pStyle w:val="ae"/>
      </w:pPr>
    </w:p>
  </w:footnote>
  <w:footnote w:id="11">
    <w:p w14:paraId="23020B29" w14:textId="77777777" w:rsidR="00B102AB" w:rsidRPr="00115289" w:rsidRDefault="00B102AB" w:rsidP="00B102AB">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1F7D2259" w14:textId="2072F844" w:rsidR="00B102AB" w:rsidRDefault="00B102AB">
      <w:pPr>
        <w:pStyle w:val="ae"/>
      </w:pPr>
    </w:p>
  </w:footnote>
  <w:footnote w:id="12">
    <w:p w14:paraId="64440878" w14:textId="461F330D" w:rsidR="00F7053A" w:rsidRPr="00F7053A" w:rsidRDefault="00F7053A" w:rsidP="00F7053A">
      <w:pPr>
        <w:pStyle w:val="ae"/>
      </w:pPr>
      <w:r>
        <w:rPr>
          <w:rStyle w:val="af"/>
        </w:rPr>
        <w:footnoteRef/>
      </w:r>
      <w:r>
        <w:t xml:space="preserve"> </w:t>
      </w:r>
      <w:r w:rsidRPr="00F7053A">
        <w:rPr>
          <w:rtl/>
        </w:rPr>
        <w:t>نظام المحاماة، هيئة الخبراء بمجلس الوزراء، 1422هـ؛ اللائحة التنفيذية لنظام المحاماة، وزارة العدل، 1441هـ</w:t>
      </w:r>
    </w:p>
  </w:footnote>
  <w:footnote w:id="13">
    <w:p w14:paraId="2A70E14B" w14:textId="2EA4E916" w:rsidR="00CF47E9" w:rsidRDefault="00CF47E9" w:rsidP="00CF47E9">
      <w:pPr>
        <w:pStyle w:val="ae"/>
        <w:rPr>
          <w:rtl/>
        </w:rPr>
      </w:pPr>
      <w:r>
        <w:rPr>
          <w:rStyle w:val="af"/>
        </w:rPr>
        <w:footnoteRef/>
      </w:r>
      <w:r>
        <w:t xml:space="preserve"> </w:t>
      </w:r>
      <w:r w:rsidRPr="00CF47E9">
        <w:rPr>
          <w:rtl/>
        </w:rPr>
        <w:t>نظام حماية البيانات الشخصية، هيئة الخبراء، 1443هـ؛ نظام الإثبات، هيئة الخبراء، 1443هـ؛ نظام الإجراءات الجزائية، هيئة الخبراء، 1435ه</w:t>
      </w:r>
      <w:r>
        <w:rPr>
          <w:rFonts w:hint="cs"/>
          <w:rtl/>
        </w:rPr>
        <w:t>ـ</w:t>
      </w:r>
    </w:p>
  </w:footnote>
  <w:footnote w:id="14">
    <w:p w14:paraId="644E0CCB" w14:textId="053A4179" w:rsidR="00CF47E9" w:rsidRDefault="00CF47E9" w:rsidP="00CF47E9">
      <w:pPr>
        <w:pStyle w:val="ae"/>
      </w:pPr>
      <w:r>
        <w:rPr>
          <w:rStyle w:val="af"/>
        </w:rPr>
        <w:footnoteRef/>
      </w:r>
      <w:r>
        <w:t xml:space="preserve"> </w:t>
      </w:r>
      <w:r w:rsidRPr="00CF47E9">
        <w:rPr>
          <w:rtl/>
        </w:rPr>
        <w:t>سدايا، 2023، وثيقة مبادئ أخلاقيات الذكاء الاصطناعي؛ إطار تبني الذكاء الاصطناعي</w:t>
      </w:r>
    </w:p>
  </w:footnote>
  <w:footnote w:id="15">
    <w:p w14:paraId="493471FA" w14:textId="5D3295FF" w:rsidR="00CF47E9" w:rsidRDefault="00CF47E9" w:rsidP="00CF47E9">
      <w:pPr>
        <w:pStyle w:val="ae"/>
      </w:pPr>
      <w:r>
        <w:rPr>
          <w:rStyle w:val="af"/>
        </w:rPr>
        <w:footnoteRef/>
      </w:r>
      <w:r>
        <w:t xml:space="preserve"> </w:t>
      </w:r>
      <w:r w:rsidRPr="00CF47E9">
        <w:rPr>
          <w:rtl/>
        </w:rPr>
        <w:t>بلال،</w:t>
      </w:r>
      <w:r w:rsidR="00BA22BF">
        <w:rPr>
          <w:rFonts w:hint="cs"/>
          <w:rtl/>
        </w:rPr>
        <w:t>ف</w:t>
      </w:r>
      <w:r w:rsidRPr="00CF47E9">
        <w:rPr>
          <w:rtl/>
        </w:rPr>
        <w:t xml:space="preserve"> 2023، دور الذكاء الاصطناعي في تعزيز العدالة الناجزة</w:t>
      </w:r>
    </w:p>
  </w:footnote>
  <w:footnote w:id="16">
    <w:p w14:paraId="7020DE7C" w14:textId="698DCCFA" w:rsidR="00E77780" w:rsidRDefault="00E77780" w:rsidP="00E77780">
      <w:pPr>
        <w:pStyle w:val="ae"/>
        <w:rPr>
          <w:rtl/>
        </w:rPr>
      </w:pPr>
      <w:r>
        <w:rPr>
          <w:rStyle w:val="af"/>
        </w:rPr>
        <w:footnoteRef/>
      </w:r>
      <w:r>
        <w:t xml:space="preserve"> </w:t>
      </w:r>
      <w:r w:rsidRPr="00E77780">
        <w:rPr>
          <w:rtl/>
        </w:rPr>
        <w:t>العيسى، 2023، القواعد والإجراءات المنظمة لاستخدامات الذكاء الاصطناعي؛ إسماعيل، 2023، تأثير الذكاء الاصطناعي على المهن القانونية</w:t>
      </w:r>
    </w:p>
  </w:footnote>
  <w:footnote w:id="17">
    <w:p w14:paraId="6E959B99" w14:textId="44D4EE89" w:rsidR="00535C4D" w:rsidRDefault="00535C4D" w:rsidP="0026477A">
      <w:pPr>
        <w:pStyle w:val="ae"/>
        <w:rPr>
          <w:rtl/>
        </w:rPr>
      </w:pPr>
      <w:r>
        <w:rPr>
          <w:rStyle w:val="af"/>
        </w:rPr>
        <w:footnoteRef/>
      </w:r>
      <w:r>
        <w:t xml:space="preserve"> </w:t>
      </w:r>
      <w:r w:rsidR="0026477A" w:rsidRPr="0026477A">
        <w:rPr>
          <w:rtl/>
        </w:rPr>
        <w:t>اللائحة التنفيذية لنظام المحاماة، وزارة العدل، 1441 هـ</w:t>
      </w:r>
      <w:r w:rsidR="0026477A">
        <w:t>,</w:t>
      </w:r>
      <w:r w:rsidR="0026477A" w:rsidRPr="0026477A">
        <w:rPr>
          <w:sz w:val="22"/>
          <w:szCs w:val="22"/>
          <w:rtl/>
        </w:rPr>
        <w:t xml:space="preserve"> </w:t>
      </w:r>
      <w:r w:rsidR="0026477A" w:rsidRPr="0026477A">
        <w:rPr>
          <w:rtl/>
        </w:rPr>
        <w:t>نظام المحاماة، هيئة الخبراء بمجلس الوزراء، 1422 هـ</w:t>
      </w:r>
      <w:r w:rsidR="0026477A">
        <w:rPr>
          <w:rFonts w:hint="cs"/>
          <w:rtl/>
        </w:rPr>
        <w:t xml:space="preserve"> </w:t>
      </w:r>
    </w:p>
  </w:footnote>
  <w:footnote w:id="18">
    <w:p w14:paraId="38F18B7A" w14:textId="1B6B8553" w:rsidR="0026477A" w:rsidRDefault="0026477A" w:rsidP="0026477A">
      <w:pPr>
        <w:pStyle w:val="ae"/>
        <w:rPr>
          <w:rtl/>
        </w:rPr>
      </w:pPr>
      <w:r>
        <w:rPr>
          <w:rStyle w:val="af"/>
        </w:rPr>
        <w:footnoteRef/>
      </w:r>
      <w:r>
        <w:t xml:space="preserve"> </w:t>
      </w:r>
      <w:r w:rsidRPr="0026477A">
        <w:rPr>
          <w:rtl/>
        </w:rPr>
        <w:t>إبراهيم العيسى، القواعد والإجراءات المنظمة لاستخدامات الذكاء الاصطناعي بالمملكة العربية السعودية وآثارها القانونية، 2023</w:t>
      </w:r>
      <w:r w:rsidRPr="0026477A">
        <w:t>.</w:t>
      </w:r>
    </w:p>
  </w:footnote>
  <w:footnote w:id="19">
    <w:p w14:paraId="40780723" w14:textId="06CC0FB3" w:rsidR="0026477A" w:rsidRPr="0026477A" w:rsidRDefault="0026477A" w:rsidP="0026477A">
      <w:pPr>
        <w:pStyle w:val="ae"/>
      </w:pPr>
      <w:r>
        <w:rPr>
          <w:rStyle w:val="af"/>
        </w:rPr>
        <w:footnoteRef/>
      </w:r>
      <w:r>
        <w:t xml:space="preserve"> </w:t>
      </w:r>
      <w:r w:rsidRPr="0026477A">
        <w:rPr>
          <w:rtl/>
        </w:rPr>
        <w:t>وزارة العدل، تقرير التحول الرقمي والعدالة الناجزة، 2022</w:t>
      </w:r>
      <w:r w:rsidRPr="0026477A">
        <w:t>.</w:t>
      </w:r>
    </w:p>
  </w:footnote>
  <w:footnote w:id="20">
    <w:p w14:paraId="3D34A76F" w14:textId="7352D82F" w:rsidR="0026477A" w:rsidRPr="0026477A" w:rsidRDefault="0026477A" w:rsidP="0026477A">
      <w:pPr>
        <w:pStyle w:val="ae"/>
      </w:pPr>
      <w:r>
        <w:rPr>
          <w:rStyle w:val="af"/>
        </w:rPr>
        <w:footnoteRef/>
      </w:r>
      <w:r>
        <w:t xml:space="preserve"> </w:t>
      </w:r>
      <w:r w:rsidRPr="0026477A">
        <w:rPr>
          <w:rtl/>
        </w:rPr>
        <w:t>محمد إسماعيل، تأثير الذكاء الاصطناعي على المهن القانونية، 2023</w:t>
      </w:r>
      <w:r w:rsidRPr="0026477A">
        <w:t>.</w:t>
      </w:r>
    </w:p>
  </w:footnote>
  <w:footnote w:id="21">
    <w:p w14:paraId="36DC9601" w14:textId="6DE00473" w:rsidR="0026477A" w:rsidRDefault="0026477A" w:rsidP="0026477A">
      <w:pPr>
        <w:pStyle w:val="ae"/>
        <w:rPr>
          <w:rtl/>
        </w:rPr>
      </w:pPr>
      <w:r>
        <w:rPr>
          <w:rStyle w:val="af"/>
        </w:rPr>
        <w:footnoteRef/>
      </w:r>
      <w:r>
        <w:t xml:space="preserve"> </w:t>
      </w:r>
      <w:r w:rsidRPr="0026477A">
        <w:rPr>
          <w:rtl/>
        </w:rPr>
        <w:t>فاطمة بلال، دور الذكاء الاصطناعي في تعزيز العدالة الناجزة، 2023</w:t>
      </w:r>
      <w:r w:rsidRPr="0026477A">
        <w:t>.</w:t>
      </w:r>
    </w:p>
  </w:footnote>
  <w:footnote w:id="22">
    <w:p w14:paraId="3A45D4F3" w14:textId="2F551BB9" w:rsidR="00A40287" w:rsidRDefault="00A40287" w:rsidP="00A40287">
      <w:pPr>
        <w:pStyle w:val="ae"/>
        <w:rPr>
          <w:rtl/>
        </w:rPr>
      </w:pPr>
      <w:r>
        <w:rPr>
          <w:rStyle w:val="af"/>
        </w:rPr>
        <w:footnoteRef/>
      </w:r>
      <w:r>
        <w:t xml:space="preserve"> </w:t>
      </w:r>
      <w:r w:rsidRPr="00A40287">
        <w:rPr>
          <w:rtl/>
        </w:rPr>
        <w:t>خالد المالكي، المسؤولية المدنية عن فعل الذكاء الاصطناعي في النظام السعودي، 2024</w:t>
      </w:r>
      <w:r w:rsidRPr="00A40287">
        <w:t>.</w:t>
      </w:r>
    </w:p>
  </w:footnote>
  <w:footnote w:id="23">
    <w:p w14:paraId="28CAAD75" w14:textId="2C5E3E87" w:rsidR="00A40287" w:rsidRDefault="00A40287" w:rsidP="00A40287">
      <w:pPr>
        <w:pStyle w:val="ae"/>
        <w:rPr>
          <w:rtl/>
        </w:rPr>
      </w:pPr>
      <w:r>
        <w:rPr>
          <w:rStyle w:val="af"/>
        </w:rPr>
        <w:footnoteRef/>
      </w:r>
      <w:r>
        <w:t xml:space="preserve"> </w:t>
      </w:r>
      <w:r w:rsidRPr="00A40287">
        <w:rPr>
          <w:rtl/>
        </w:rPr>
        <w:t>إبراهيم العيسى، القواعد والإجراءات المنظمة لاستخدامات الذكاء الاصطناعي بالمملكة العربية السعودية وآثارها القانونية، 2023</w:t>
      </w:r>
      <w:r w:rsidRPr="00A40287">
        <w:t>.</w:t>
      </w:r>
    </w:p>
  </w:footnote>
  <w:footnote w:id="24">
    <w:p w14:paraId="57A375BC" w14:textId="21F4CA57" w:rsidR="00CB64BE" w:rsidRPr="00CB64BE" w:rsidRDefault="00CB64BE" w:rsidP="00CB64BE">
      <w:pPr>
        <w:pStyle w:val="ae"/>
      </w:pPr>
      <w:r>
        <w:rPr>
          <w:rStyle w:val="af"/>
        </w:rPr>
        <w:footnoteRef/>
      </w:r>
      <w:r>
        <w:t xml:space="preserve"> </w:t>
      </w:r>
      <w:r w:rsidRPr="00CB64BE">
        <w:rPr>
          <w:rtl/>
        </w:rPr>
        <w:t>محمد إسماعيل، تأثير الذكاء الاصطناعي على المهن القانونية، 2023</w:t>
      </w:r>
      <w:r w:rsidRPr="00CB64BE">
        <w:t>.</w:t>
      </w:r>
    </w:p>
  </w:footnote>
  <w:footnote w:id="25">
    <w:p w14:paraId="5F80ECD0" w14:textId="26F74F22" w:rsidR="00CB64BE" w:rsidRDefault="00CB64BE" w:rsidP="00CB64BE">
      <w:pPr>
        <w:pStyle w:val="ae"/>
        <w:rPr>
          <w:rtl/>
        </w:rPr>
      </w:pPr>
      <w:r>
        <w:rPr>
          <w:rStyle w:val="af"/>
        </w:rPr>
        <w:footnoteRef/>
      </w:r>
      <w:r>
        <w:t xml:space="preserve"> </w:t>
      </w:r>
      <w:r w:rsidRPr="00CB64BE">
        <w:rPr>
          <w:rtl/>
        </w:rPr>
        <w:t>إبراهيم العيسى، القواعد والإجراءات المنظمة لاستخدامات الذكاء الاصطناعي بالمملكة العربية السعودية وآثارها القانونية، 2023</w:t>
      </w:r>
      <w:r w:rsidRPr="00CB64BE">
        <w:t>.</w:t>
      </w:r>
    </w:p>
  </w:footnote>
  <w:footnote w:id="26">
    <w:p w14:paraId="15B68EAF" w14:textId="267E8DEF" w:rsidR="00CB64BE" w:rsidRDefault="00CB64BE" w:rsidP="00CB64BE">
      <w:pPr>
        <w:pStyle w:val="ae"/>
        <w:rPr>
          <w:rtl/>
        </w:rPr>
      </w:pPr>
      <w:r>
        <w:rPr>
          <w:rStyle w:val="af"/>
        </w:rPr>
        <w:footnoteRef/>
      </w:r>
      <w:r>
        <w:t xml:space="preserve"> </w:t>
      </w:r>
      <w:r w:rsidRPr="00CB64BE">
        <w:rPr>
          <w:rtl/>
        </w:rPr>
        <w:t>فاطمة بلال، دور الذكاء الاصطناعي في تعزيز العدالة الناجزة، 2023</w:t>
      </w:r>
      <w:r w:rsidRPr="00CB64BE">
        <w:t>.</w:t>
      </w:r>
    </w:p>
  </w:footnote>
  <w:footnote w:id="27">
    <w:p w14:paraId="76A54C69" w14:textId="77777777" w:rsidR="00CB64BE" w:rsidRPr="00CB64BE" w:rsidRDefault="00CB64BE" w:rsidP="00CB64BE">
      <w:pPr>
        <w:pStyle w:val="ae"/>
      </w:pPr>
      <w:r>
        <w:rPr>
          <w:rStyle w:val="af"/>
        </w:rPr>
        <w:footnoteRef/>
      </w:r>
      <w:r>
        <w:t xml:space="preserve"> </w:t>
      </w:r>
      <w:r w:rsidRPr="00CB64BE">
        <w:rPr>
          <w:rtl/>
        </w:rPr>
        <w:t>الهيئة السعودية للبيانات والذكاء الاصطناعي سدايا، وثيقة مبادئ أخلاقيات الذكاء الاصطناعي، 2023</w:t>
      </w:r>
      <w:r w:rsidRPr="00CB64BE">
        <w:t>.</w:t>
      </w:r>
    </w:p>
    <w:p w14:paraId="0D6DE446" w14:textId="3E715B58" w:rsidR="00CB64BE" w:rsidRDefault="00CB64BE">
      <w:pPr>
        <w:pStyle w:val="ae"/>
        <w:rPr>
          <w:rtl/>
        </w:rPr>
      </w:pPr>
    </w:p>
  </w:footnote>
  <w:footnote w:id="28">
    <w:p w14:paraId="392BD95B" w14:textId="21B78AB2" w:rsidR="006F4E03" w:rsidRDefault="006F4E03" w:rsidP="006F4E03">
      <w:pPr>
        <w:pStyle w:val="ae"/>
      </w:pPr>
      <w:r>
        <w:rPr>
          <w:rStyle w:val="af"/>
        </w:rPr>
        <w:footnoteRef/>
      </w:r>
      <w:r>
        <w:t xml:space="preserve"> </w:t>
      </w:r>
      <w:r w:rsidRPr="006F4E03">
        <w:rPr>
          <w:rtl/>
        </w:rPr>
        <w:t>إبراهيم العيسى، القواعد والإجراءات المنظمة لاستخدامات الذكاء الاصطناعي بالمملكة العربية السعودية وآثارها القانونية، 2023</w:t>
      </w:r>
      <w:r w:rsidRPr="006F4E03">
        <w:t>.</w:t>
      </w:r>
    </w:p>
  </w:footnote>
  <w:footnote w:id="29">
    <w:p w14:paraId="73F83620" w14:textId="60E92AD8" w:rsidR="006F4E03" w:rsidRDefault="006F4E03" w:rsidP="006F4E03">
      <w:pPr>
        <w:pStyle w:val="ae"/>
        <w:rPr>
          <w:rtl/>
        </w:rPr>
      </w:pPr>
      <w:r>
        <w:rPr>
          <w:rStyle w:val="af"/>
        </w:rPr>
        <w:footnoteRef/>
      </w:r>
      <w:r>
        <w:t xml:space="preserve"> </w:t>
      </w:r>
      <w:r w:rsidRPr="006F4E03">
        <w:rPr>
          <w:rtl/>
        </w:rPr>
        <w:t>محمد إسماعيل، تأثير الذكاء الاصطناعي على المهن القانونية، 2023</w:t>
      </w:r>
      <w:r w:rsidRPr="006F4E03">
        <w:t>.</w:t>
      </w:r>
    </w:p>
  </w:footnote>
  <w:footnote w:id="30">
    <w:p w14:paraId="145F3203" w14:textId="1D64DF53" w:rsidR="006F4E03" w:rsidRDefault="006F4E03" w:rsidP="006F4E03">
      <w:pPr>
        <w:pStyle w:val="ae"/>
        <w:rPr>
          <w:rtl/>
        </w:rPr>
      </w:pPr>
      <w:r>
        <w:rPr>
          <w:rStyle w:val="af"/>
        </w:rPr>
        <w:footnoteRef/>
      </w:r>
      <w:r>
        <w:t xml:space="preserve"> </w:t>
      </w:r>
      <w:r w:rsidRPr="006F4E03">
        <w:rPr>
          <w:rtl/>
        </w:rPr>
        <w:t>خالد المالكي، المسؤولية المدنية عن فعل الذكاء الاصطناعي في النظام السعودي، 2024</w:t>
      </w:r>
      <w:r w:rsidRPr="006F4E03">
        <w:t>.</w:t>
      </w:r>
    </w:p>
  </w:footnote>
  <w:footnote w:id="31">
    <w:p w14:paraId="2A7803FB" w14:textId="67CB3E6A" w:rsidR="00C00F5F" w:rsidRDefault="00C00F5F" w:rsidP="00C00F5F">
      <w:pPr>
        <w:pStyle w:val="ae"/>
        <w:rPr>
          <w:rtl/>
        </w:rPr>
      </w:pPr>
      <w:r>
        <w:rPr>
          <w:rStyle w:val="af"/>
        </w:rPr>
        <w:footnoteRef/>
      </w:r>
      <w:r>
        <w:t xml:space="preserve"> </w:t>
      </w:r>
      <w:r w:rsidRPr="00C00F5F">
        <w:rPr>
          <w:rtl/>
        </w:rPr>
        <w:t xml:space="preserve">فاطمة بلال، </w:t>
      </w:r>
      <w:r w:rsidRPr="00C00F5F">
        <w:rPr>
          <w:i/>
          <w:iCs/>
          <w:rtl/>
        </w:rPr>
        <w:t>دور الذكاء الاصطناعي في تعزيز العدالة الناجزة</w:t>
      </w:r>
      <w:r w:rsidRPr="00C00F5F">
        <w:rPr>
          <w:rtl/>
        </w:rPr>
        <w:t>، 2023</w:t>
      </w:r>
      <w:r w:rsidRPr="00C00F5F">
        <w:t>.</w:t>
      </w:r>
    </w:p>
  </w:footnote>
  <w:footnote w:id="32">
    <w:p w14:paraId="506E3614" w14:textId="3D18235F" w:rsidR="00C00F5F" w:rsidRDefault="00C00F5F" w:rsidP="00C00F5F">
      <w:pPr>
        <w:pStyle w:val="ae"/>
        <w:rPr>
          <w:rtl/>
        </w:rPr>
      </w:pPr>
      <w:r>
        <w:rPr>
          <w:rStyle w:val="af"/>
        </w:rPr>
        <w:footnoteRef/>
      </w:r>
      <w:r>
        <w:t xml:space="preserve"> </w:t>
      </w:r>
      <w:r w:rsidRPr="00C00F5F">
        <w:rPr>
          <w:rtl/>
        </w:rPr>
        <w:t xml:space="preserve">نايف الغنامي، </w:t>
      </w:r>
      <w:r w:rsidRPr="00C00F5F">
        <w:rPr>
          <w:i/>
          <w:iCs/>
          <w:rtl/>
        </w:rPr>
        <w:t>الضوابط القانونية للذكاء الاصطناعي في إبرام المعاملات القانونية</w:t>
      </w:r>
      <w:r w:rsidRPr="00C00F5F">
        <w:rPr>
          <w:rtl/>
        </w:rPr>
        <w:t>، 2024</w:t>
      </w:r>
      <w:r w:rsidRPr="00C00F5F">
        <w:t>.</w:t>
      </w:r>
    </w:p>
  </w:footnote>
  <w:footnote w:id="33">
    <w:p w14:paraId="633A435E" w14:textId="47AFC1BE" w:rsidR="00122234" w:rsidRDefault="00122234" w:rsidP="00122234">
      <w:pPr>
        <w:pStyle w:val="ae"/>
        <w:rPr>
          <w:rtl/>
        </w:rPr>
      </w:pPr>
      <w:r>
        <w:rPr>
          <w:rStyle w:val="af"/>
        </w:rPr>
        <w:footnoteRef/>
      </w:r>
      <w:r>
        <w:t xml:space="preserve"> </w:t>
      </w:r>
      <w:r w:rsidRPr="00122234">
        <w:rPr>
          <w:rtl/>
        </w:rPr>
        <w:t xml:space="preserve">محمد إبراهيم مرسي، </w:t>
      </w:r>
      <w:r w:rsidRPr="00122234">
        <w:rPr>
          <w:i/>
          <w:iCs/>
          <w:rtl/>
        </w:rPr>
        <w:t>مدى ملاءمة عقود الذكاء الاصطناعي المبرمة عبر تقنية البلوك تشين لقانون العقود</w:t>
      </w:r>
      <w:r w:rsidRPr="00122234">
        <w:rPr>
          <w:rtl/>
        </w:rPr>
        <w:t>، 2023</w:t>
      </w:r>
      <w:r w:rsidRPr="00122234">
        <w:t>.</w:t>
      </w:r>
    </w:p>
  </w:footnote>
  <w:footnote w:id="34">
    <w:p w14:paraId="3A46B7B0" w14:textId="08F1836E" w:rsidR="00122234" w:rsidRDefault="00122234" w:rsidP="00122234">
      <w:pPr>
        <w:pStyle w:val="ae"/>
        <w:rPr>
          <w:rtl/>
        </w:rPr>
      </w:pPr>
      <w:r>
        <w:rPr>
          <w:rStyle w:val="af"/>
        </w:rPr>
        <w:footnoteRef/>
      </w:r>
      <w:r>
        <w:t xml:space="preserve"> </w:t>
      </w:r>
      <w:r w:rsidRPr="00122234">
        <w:rPr>
          <w:rtl/>
        </w:rPr>
        <w:t xml:space="preserve">مرام الربيع، </w:t>
      </w:r>
      <w:r w:rsidRPr="00122234">
        <w:rPr>
          <w:i/>
          <w:iCs/>
          <w:rtl/>
        </w:rPr>
        <w:t>المسؤولية المدنية عن أفعال الذكاء الاصطناعي</w:t>
      </w:r>
      <w:r w:rsidRPr="00122234">
        <w:rPr>
          <w:rtl/>
        </w:rPr>
        <w:t>، 2022</w:t>
      </w:r>
      <w:r w:rsidRPr="00122234">
        <w:t>.</w:t>
      </w:r>
    </w:p>
  </w:footnote>
  <w:footnote w:id="35">
    <w:p w14:paraId="34699332" w14:textId="0BC1817B" w:rsidR="00122234" w:rsidRDefault="00122234" w:rsidP="00122234">
      <w:pPr>
        <w:pStyle w:val="ae"/>
        <w:rPr>
          <w:rtl/>
        </w:rPr>
      </w:pPr>
      <w:r>
        <w:rPr>
          <w:rStyle w:val="af"/>
        </w:rPr>
        <w:footnoteRef/>
      </w:r>
      <w:r>
        <w:t xml:space="preserve"> </w:t>
      </w:r>
      <w:r w:rsidRPr="00122234">
        <w:rPr>
          <w:rtl/>
        </w:rPr>
        <w:t xml:space="preserve">عبدالعزيز العلي، </w:t>
      </w:r>
      <w:r w:rsidRPr="00122234">
        <w:rPr>
          <w:i/>
          <w:iCs/>
          <w:rtl/>
        </w:rPr>
        <w:t>الذكاء الاصطناعي ودوره في إبرام العقود التجارية الذكية</w:t>
      </w:r>
      <w:r w:rsidRPr="00122234">
        <w:rPr>
          <w:rtl/>
        </w:rPr>
        <w:t>، 2024</w:t>
      </w:r>
      <w:r w:rsidRPr="00122234">
        <w:t>.</w:t>
      </w:r>
    </w:p>
  </w:footnote>
  <w:footnote w:id="36">
    <w:p w14:paraId="1E31661D" w14:textId="77777777" w:rsidR="00122234" w:rsidRPr="00122234" w:rsidRDefault="00122234" w:rsidP="00122234">
      <w:pPr>
        <w:pStyle w:val="ae"/>
      </w:pPr>
      <w:r>
        <w:rPr>
          <w:rStyle w:val="af"/>
        </w:rPr>
        <w:footnoteRef/>
      </w:r>
      <w:r>
        <w:t xml:space="preserve"> </w:t>
      </w:r>
      <w:r w:rsidRPr="00122234">
        <w:rPr>
          <w:rtl/>
        </w:rPr>
        <w:t xml:space="preserve">مراد محمد قاسم، </w:t>
      </w:r>
      <w:r w:rsidRPr="00122234">
        <w:rPr>
          <w:i/>
          <w:iCs/>
          <w:rtl/>
        </w:rPr>
        <w:t>دور الذكاء الاصطناعي في مكافحة الجريمة الإلكترونية: دراسة مقارنة</w:t>
      </w:r>
      <w:r w:rsidRPr="00122234">
        <w:rPr>
          <w:rtl/>
        </w:rPr>
        <w:t>، 2024</w:t>
      </w:r>
      <w:r w:rsidRPr="00122234">
        <w:t>.</w:t>
      </w:r>
    </w:p>
    <w:p w14:paraId="2262E842" w14:textId="68272DDD" w:rsidR="00122234" w:rsidRDefault="00122234">
      <w:pPr>
        <w:pStyle w:val="ae"/>
        <w:rPr>
          <w:rtl/>
        </w:rPr>
      </w:pPr>
    </w:p>
  </w:footnote>
  <w:footnote w:id="37">
    <w:p w14:paraId="12E3BED3" w14:textId="2BDE0CCF" w:rsidR="0016208C" w:rsidRDefault="0016208C" w:rsidP="0016208C">
      <w:pPr>
        <w:pStyle w:val="ae"/>
        <w:rPr>
          <w:rtl/>
        </w:rPr>
      </w:pPr>
      <w:r>
        <w:rPr>
          <w:rStyle w:val="af"/>
        </w:rPr>
        <w:footnoteRef/>
      </w:r>
      <w:r>
        <w:t xml:space="preserve"> </w:t>
      </w:r>
      <w:r w:rsidRPr="0016208C">
        <w:rPr>
          <w:rtl/>
        </w:rPr>
        <w:t xml:space="preserve">نايف الغنامي، </w:t>
      </w:r>
      <w:r w:rsidRPr="0016208C">
        <w:rPr>
          <w:i/>
          <w:iCs/>
          <w:rtl/>
        </w:rPr>
        <w:t>الضوابط القانونية للذكاء الاصطناعي في إبرام المعاملات القانونية</w:t>
      </w:r>
      <w:r w:rsidRPr="0016208C">
        <w:rPr>
          <w:rtl/>
        </w:rPr>
        <w:t>، رسالة دكتوراه، الجامعة السعودية الإلكترونية، 2024</w:t>
      </w:r>
      <w:r w:rsidRPr="0016208C">
        <w:t>.</w:t>
      </w:r>
    </w:p>
  </w:footnote>
  <w:footnote w:id="38">
    <w:p w14:paraId="4E8E5FDC" w14:textId="7FACF9F4" w:rsidR="0016208C" w:rsidRDefault="0016208C" w:rsidP="0016208C">
      <w:pPr>
        <w:pStyle w:val="ae"/>
        <w:rPr>
          <w:rtl/>
        </w:rPr>
      </w:pPr>
      <w:r>
        <w:rPr>
          <w:rStyle w:val="af"/>
        </w:rPr>
        <w:footnoteRef/>
      </w:r>
      <w:r>
        <w:t xml:space="preserve"> </w:t>
      </w:r>
      <w:r w:rsidRPr="0016208C">
        <w:rPr>
          <w:rtl/>
        </w:rPr>
        <w:t xml:space="preserve">مصطفى الأسيوطي، </w:t>
      </w:r>
      <w:r w:rsidRPr="0016208C">
        <w:rPr>
          <w:i/>
          <w:iCs/>
          <w:rtl/>
        </w:rPr>
        <w:t>حماية التصرفات القانونية وإثباتها عبر تطبيق الذكاء الاصطناعي</w:t>
      </w:r>
      <w:r w:rsidRPr="0016208C">
        <w:rPr>
          <w:rtl/>
        </w:rPr>
        <w:t>، مجلة الباحث العربي، 2020</w:t>
      </w:r>
      <w:r w:rsidRPr="0016208C">
        <w:t>.</w:t>
      </w:r>
    </w:p>
  </w:footnote>
  <w:footnote w:id="39">
    <w:p w14:paraId="104B9250" w14:textId="358C7897" w:rsidR="0016208C" w:rsidRDefault="0016208C" w:rsidP="0016208C">
      <w:pPr>
        <w:pStyle w:val="ae"/>
        <w:rPr>
          <w:rtl/>
        </w:rPr>
      </w:pPr>
      <w:r>
        <w:rPr>
          <w:rStyle w:val="af"/>
        </w:rPr>
        <w:footnoteRef/>
      </w:r>
      <w:r>
        <w:t xml:space="preserve"> </w:t>
      </w:r>
      <w:r w:rsidRPr="0016208C">
        <w:rPr>
          <w:rtl/>
        </w:rPr>
        <w:t xml:space="preserve">مراد محمد غالب قاسم، </w:t>
      </w:r>
      <w:r w:rsidRPr="0016208C">
        <w:rPr>
          <w:i/>
          <w:iCs/>
          <w:rtl/>
        </w:rPr>
        <w:t>دور الذكاء الاصطناعي في مكافحة الجريمة الإلكترونية: دراسة مقارنة</w:t>
      </w:r>
      <w:r w:rsidRPr="0016208C">
        <w:rPr>
          <w:rtl/>
        </w:rPr>
        <w:t>، المجلة العصرية للدراسات القانونية، 2024</w:t>
      </w:r>
      <w:r w:rsidRPr="0016208C">
        <w:t>.</w:t>
      </w:r>
    </w:p>
  </w:footnote>
  <w:footnote w:id="40">
    <w:p w14:paraId="24E4415D" w14:textId="7A8C6225" w:rsidR="0016208C" w:rsidRDefault="0016208C" w:rsidP="0016208C">
      <w:pPr>
        <w:pStyle w:val="ae"/>
        <w:rPr>
          <w:rtl/>
        </w:rPr>
      </w:pPr>
      <w:r>
        <w:rPr>
          <w:rStyle w:val="af"/>
        </w:rPr>
        <w:footnoteRef/>
      </w:r>
      <w:r>
        <w:t xml:space="preserve"> </w:t>
      </w:r>
      <w:r w:rsidRPr="0016208C">
        <w:rPr>
          <w:rtl/>
        </w:rPr>
        <w:t xml:space="preserve">ياسر محمد عبدالسلام رجب، </w:t>
      </w:r>
      <w:r w:rsidRPr="0016208C">
        <w:rPr>
          <w:i/>
          <w:iCs/>
          <w:rtl/>
        </w:rPr>
        <w:t>دور الدولة في تأطير أخلاقيات الذكاء الاصطناعي: دراسة مقارنة</w:t>
      </w:r>
      <w:r w:rsidRPr="0016208C">
        <w:rPr>
          <w:rtl/>
        </w:rPr>
        <w:t>، جامعة القاهرة، 2023</w:t>
      </w:r>
      <w:r w:rsidRPr="0016208C">
        <w:t>.</w:t>
      </w:r>
    </w:p>
  </w:footnote>
  <w:footnote w:id="41">
    <w:p w14:paraId="1A5984A2" w14:textId="3C5588AA" w:rsidR="0016208C" w:rsidRDefault="0016208C" w:rsidP="0016208C">
      <w:pPr>
        <w:pStyle w:val="ae"/>
        <w:rPr>
          <w:rtl/>
        </w:rPr>
      </w:pPr>
      <w:r>
        <w:rPr>
          <w:rStyle w:val="af"/>
        </w:rPr>
        <w:footnoteRef/>
      </w:r>
      <w:r>
        <w:t xml:space="preserve"> </w:t>
      </w:r>
      <w:r w:rsidRPr="0016208C">
        <w:rPr>
          <w:rtl/>
        </w:rPr>
        <w:t xml:space="preserve">أحمد الحربي، </w:t>
      </w:r>
      <w:r w:rsidRPr="0016208C">
        <w:rPr>
          <w:i/>
          <w:iCs/>
          <w:rtl/>
        </w:rPr>
        <w:t>مدى إمكانية الاعتراف بالشخصية القانونية للذكاء الاصطناعي</w:t>
      </w:r>
      <w:r w:rsidRPr="0016208C">
        <w:rPr>
          <w:rtl/>
        </w:rPr>
        <w:t>، مجلة علمية، 2019</w:t>
      </w:r>
      <w:r w:rsidRPr="0016208C">
        <w:t>.</w:t>
      </w:r>
    </w:p>
  </w:footnote>
  <w:footnote w:id="42">
    <w:p w14:paraId="7564365C" w14:textId="4B36B879" w:rsidR="0016208C" w:rsidRDefault="0016208C" w:rsidP="0016208C">
      <w:pPr>
        <w:pStyle w:val="ae"/>
        <w:rPr>
          <w:rtl/>
        </w:rPr>
      </w:pPr>
      <w:r>
        <w:rPr>
          <w:rStyle w:val="af"/>
        </w:rPr>
        <w:footnoteRef/>
      </w:r>
      <w:r>
        <w:t xml:space="preserve"> </w:t>
      </w:r>
      <w:r w:rsidRPr="0016208C">
        <w:rPr>
          <w:rtl/>
        </w:rPr>
        <w:t xml:space="preserve">خالد المالكي، </w:t>
      </w:r>
      <w:r w:rsidRPr="0016208C">
        <w:rPr>
          <w:i/>
          <w:iCs/>
          <w:rtl/>
        </w:rPr>
        <w:t>المسؤولية المدنية عن فعل الذكاء الاصطناعي في النظام السعودي</w:t>
      </w:r>
      <w:r w:rsidRPr="0016208C">
        <w:rPr>
          <w:rtl/>
        </w:rPr>
        <w:t>، مجلة البحوث الفقهية والقانونية، 2024</w:t>
      </w:r>
      <w:r w:rsidRPr="0016208C">
        <w:t>.</w:t>
      </w:r>
    </w:p>
  </w:footnote>
  <w:footnote w:id="43">
    <w:p w14:paraId="02C72215" w14:textId="272F6E39" w:rsidR="001F1442" w:rsidRDefault="001F1442" w:rsidP="001F1442">
      <w:pPr>
        <w:pStyle w:val="ae"/>
        <w:rPr>
          <w:rtl/>
        </w:rPr>
      </w:pPr>
      <w:r>
        <w:rPr>
          <w:rStyle w:val="af"/>
        </w:rPr>
        <w:footnoteRef/>
      </w:r>
      <w:r>
        <w:t xml:space="preserve"> </w:t>
      </w:r>
      <w:r w:rsidRPr="001F1442">
        <w:rPr>
          <w:rtl/>
        </w:rPr>
        <w:t xml:space="preserve">نايف بن ناشي الغنامي، </w:t>
      </w:r>
      <w:r w:rsidRPr="001F1442">
        <w:rPr>
          <w:i/>
          <w:iCs/>
          <w:rtl/>
        </w:rPr>
        <w:t>الضوابط القانونية للذكاء الاصطناعي في إبرام المعاملات القانونية</w:t>
      </w:r>
      <w:r w:rsidRPr="001F1442">
        <w:rPr>
          <w:rtl/>
        </w:rPr>
        <w:t>، 2024</w:t>
      </w:r>
      <w:r w:rsidRPr="001F1442">
        <w:t>.</w:t>
      </w:r>
    </w:p>
  </w:footnote>
  <w:footnote w:id="44">
    <w:p w14:paraId="3F59DDAF" w14:textId="1E5C3AB9" w:rsidR="001F1442" w:rsidRDefault="001F1442" w:rsidP="001F1442">
      <w:pPr>
        <w:pStyle w:val="ae"/>
        <w:rPr>
          <w:rtl/>
        </w:rPr>
      </w:pPr>
      <w:r>
        <w:rPr>
          <w:rStyle w:val="af"/>
        </w:rPr>
        <w:footnoteRef/>
      </w:r>
      <w:r>
        <w:t xml:space="preserve"> </w:t>
      </w:r>
      <w:r w:rsidRPr="001F1442">
        <w:rPr>
          <w:rtl/>
        </w:rPr>
        <w:t xml:space="preserve">ياسر محمد عبدالسلام رجب، </w:t>
      </w:r>
      <w:r w:rsidRPr="001F1442">
        <w:rPr>
          <w:i/>
          <w:iCs/>
          <w:rtl/>
        </w:rPr>
        <w:t>دور الدولة في تأطير أخلاقيات الذكاء الاصطناعي: دراسة مقارنة</w:t>
      </w:r>
      <w:r w:rsidRPr="001F1442">
        <w:rPr>
          <w:rtl/>
        </w:rPr>
        <w:t>، 2023</w:t>
      </w:r>
      <w:r w:rsidRPr="001F1442">
        <w:t>.</w:t>
      </w:r>
    </w:p>
  </w:footnote>
  <w:footnote w:id="45">
    <w:p w14:paraId="36E803D8" w14:textId="7168A830" w:rsidR="001F1442" w:rsidRDefault="001F1442" w:rsidP="001F1442">
      <w:pPr>
        <w:pStyle w:val="ae"/>
        <w:rPr>
          <w:rtl/>
        </w:rPr>
      </w:pPr>
      <w:r>
        <w:rPr>
          <w:rStyle w:val="af"/>
        </w:rPr>
        <w:footnoteRef/>
      </w:r>
      <w:r>
        <w:t xml:space="preserve"> </w:t>
      </w:r>
      <w:r w:rsidRPr="001F1442">
        <w:rPr>
          <w:rtl/>
        </w:rPr>
        <w:t xml:space="preserve">عبد الله حمادي، </w:t>
      </w:r>
      <w:r w:rsidRPr="001F1442">
        <w:rPr>
          <w:i/>
          <w:iCs/>
          <w:rtl/>
        </w:rPr>
        <w:t>المسؤولية المدنية عن أفعال الذكاء الاصطناعي</w:t>
      </w:r>
      <w:r w:rsidRPr="001F1442">
        <w:rPr>
          <w:rtl/>
        </w:rPr>
        <w:t>، مجلة علمية، 2022</w:t>
      </w:r>
      <w:r w:rsidRPr="001F1442">
        <w:t>.</w:t>
      </w:r>
    </w:p>
  </w:footnote>
  <w:footnote w:id="46">
    <w:p w14:paraId="0DD359E6" w14:textId="23A0EA21" w:rsidR="001F1442" w:rsidRDefault="001F1442" w:rsidP="001F1442">
      <w:pPr>
        <w:pStyle w:val="ae"/>
        <w:rPr>
          <w:rtl/>
        </w:rPr>
      </w:pPr>
      <w:r>
        <w:rPr>
          <w:rStyle w:val="af"/>
        </w:rPr>
        <w:footnoteRef/>
      </w:r>
      <w:r>
        <w:t xml:space="preserve"> </w:t>
      </w:r>
      <w:r w:rsidRPr="001F1442">
        <w:rPr>
          <w:rtl/>
        </w:rPr>
        <w:t xml:space="preserve">محمد سعيد خليل، </w:t>
      </w:r>
      <w:r w:rsidRPr="001F1442">
        <w:rPr>
          <w:i/>
          <w:iCs/>
          <w:rtl/>
        </w:rPr>
        <w:t>المسؤولية القانونية عن أفعال الذكاء الاصطناعي</w:t>
      </w:r>
      <w:r w:rsidRPr="001F1442">
        <w:rPr>
          <w:rtl/>
        </w:rPr>
        <w:t>، مجلة علمية، 2022</w:t>
      </w:r>
      <w:r w:rsidRPr="001F1442">
        <w:t>.</w:t>
      </w:r>
    </w:p>
  </w:footnote>
  <w:footnote w:id="47">
    <w:p w14:paraId="77804084" w14:textId="6749506B" w:rsidR="001F1442" w:rsidRDefault="001F1442" w:rsidP="001F1442">
      <w:pPr>
        <w:pStyle w:val="ae"/>
        <w:rPr>
          <w:rtl/>
        </w:rPr>
      </w:pPr>
      <w:r>
        <w:rPr>
          <w:rStyle w:val="af"/>
        </w:rPr>
        <w:footnoteRef/>
      </w:r>
      <w:r>
        <w:t xml:space="preserve"> </w:t>
      </w:r>
      <w:r w:rsidRPr="001F1442">
        <w:rPr>
          <w:rtl/>
        </w:rPr>
        <w:t xml:space="preserve">عبد العزيز عبد الناصر العلي، </w:t>
      </w:r>
      <w:r w:rsidRPr="001F1442">
        <w:rPr>
          <w:i/>
          <w:iCs/>
          <w:rtl/>
        </w:rPr>
        <w:t>الذكاء الاصطناعي ودوره في إبرام العقود التجارية الذكية</w:t>
      </w:r>
      <w:r w:rsidRPr="001F1442">
        <w:rPr>
          <w:rtl/>
        </w:rPr>
        <w:t>، بحث منشور، 2024</w:t>
      </w:r>
      <w:r w:rsidRPr="001F1442">
        <w:t>.</w:t>
      </w:r>
    </w:p>
  </w:footnote>
  <w:footnote w:id="48">
    <w:p w14:paraId="591AFB8B" w14:textId="0F1738D6" w:rsidR="001F1442" w:rsidRDefault="001F1442" w:rsidP="001F1442">
      <w:pPr>
        <w:pStyle w:val="ae"/>
        <w:rPr>
          <w:rtl/>
        </w:rPr>
      </w:pPr>
      <w:r>
        <w:rPr>
          <w:rStyle w:val="af"/>
        </w:rPr>
        <w:footnoteRef/>
      </w:r>
      <w:r>
        <w:t xml:space="preserve"> </w:t>
      </w:r>
      <w:r w:rsidRPr="001F1442">
        <w:rPr>
          <w:rtl/>
        </w:rPr>
        <w:t xml:space="preserve">محمد إبراهيم مرسي، </w:t>
      </w:r>
      <w:r w:rsidRPr="001F1442">
        <w:rPr>
          <w:i/>
          <w:iCs/>
          <w:rtl/>
        </w:rPr>
        <w:t>مدى ملاءمة عقود الذكاء الاصطناعي المبرمة عبر تقنية البلوك تشين لقانون العقود</w:t>
      </w:r>
      <w:r w:rsidRPr="001F1442">
        <w:rPr>
          <w:rtl/>
        </w:rPr>
        <w:t>، مجلة</w:t>
      </w:r>
      <w:r w:rsidRPr="001F1442">
        <w:t xml:space="preserve"> Journal of Legal Research</w:t>
      </w:r>
      <w:r w:rsidRPr="001F1442">
        <w:rPr>
          <w:rtl/>
        </w:rPr>
        <w:t>، 2023</w:t>
      </w:r>
      <w:r w:rsidRPr="001F1442">
        <w:t>.</w:t>
      </w:r>
    </w:p>
  </w:footnote>
  <w:footnote w:id="49">
    <w:p w14:paraId="07B16D3A" w14:textId="15F574C6" w:rsidR="001F1442" w:rsidRDefault="001F1442" w:rsidP="001F1442">
      <w:pPr>
        <w:pStyle w:val="ae"/>
        <w:rPr>
          <w:rtl/>
        </w:rPr>
      </w:pPr>
      <w:r>
        <w:rPr>
          <w:rStyle w:val="af"/>
        </w:rPr>
        <w:footnoteRef/>
      </w:r>
      <w:r>
        <w:t xml:space="preserve"> </w:t>
      </w:r>
      <w:r w:rsidRPr="001F1442">
        <w:rPr>
          <w:rtl/>
        </w:rPr>
        <w:t xml:space="preserve">محمد سعيد خليل، </w:t>
      </w:r>
      <w:r w:rsidRPr="001F1442">
        <w:rPr>
          <w:i/>
          <w:iCs/>
          <w:rtl/>
        </w:rPr>
        <w:t>المسؤولية القانونية عن أفعال الذكاء الاصطناعي</w:t>
      </w:r>
      <w:r w:rsidRPr="001F1442">
        <w:rPr>
          <w:rtl/>
        </w:rPr>
        <w:t>، مجلة علمية، 2022</w:t>
      </w:r>
      <w:r w:rsidRPr="001F1442">
        <w:t>.</w:t>
      </w:r>
    </w:p>
  </w:footnote>
  <w:footnote w:id="50">
    <w:p w14:paraId="22C7AE72" w14:textId="615D970D" w:rsidR="000A1619" w:rsidRDefault="000A1619" w:rsidP="000A1619">
      <w:pPr>
        <w:pStyle w:val="ae"/>
        <w:rPr>
          <w:rtl/>
        </w:rPr>
      </w:pPr>
      <w:r>
        <w:rPr>
          <w:rStyle w:val="af"/>
        </w:rPr>
        <w:footnoteRef/>
      </w:r>
      <w:r>
        <w:t xml:space="preserve"> </w:t>
      </w:r>
      <w:r w:rsidRPr="000A1619">
        <w:rPr>
          <w:rtl/>
        </w:rPr>
        <w:t xml:space="preserve">مصطفى الأسيوطي، </w:t>
      </w:r>
      <w:r w:rsidRPr="000A1619">
        <w:rPr>
          <w:i/>
          <w:iCs/>
          <w:rtl/>
        </w:rPr>
        <w:t>حماية التصرفات القانونية وإثباتها عبر تطبيق الذكاء الاصطناعي</w:t>
      </w:r>
      <w:r w:rsidRPr="000A1619">
        <w:rPr>
          <w:rtl/>
        </w:rPr>
        <w:t>، مجلة الباحث العربي، 2020</w:t>
      </w:r>
      <w:r w:rsidRPr="000A1619">
        <w:t>.</w:t>
      </w:r>
    </w:p>
  </w:footnote>
  <w:footnote w:id="51">
    <w:p w14:paraId="0059D436" w14:textId="6D9C640B" w:rsidR="0095427D" w:rsidRPr="0095427D" w:rsidRDefault="0095427D" w:rsidP="0095427D">
      <w:pPr>
        <w:pStyle w:val="ae"/>
      </w:pPr>
      <w:r>
        <w:rPr>
          <w:rStyle w:val="af"/>
        </w:rPr>
        <w:footnoteRef/>
      </w:r>
      <w:r>
        <w:t xml:space="preserve"> </w:t>
      </w:r>
      <w:r w:rsidRPr="0095427D">
        <w:rPr>
          <w:rtl/>
        </w:rPr>
        <w:t>المالكي، خالد. (2024). المسؤولية المدنية عن فعل الذكاء الاصطناعي في النظام السعودي. مجلة البحوث الفقهية والقانونية</w:t>
      </w:r>
      <w:r w:rsidRPr="0095427D">
        <w:t>.</w:t>
      </w:r>
    </w:p>
  </w:footnote>
  <w:footnote w:id="52">
    <w:p w14:paraId="61CAE578" w14:textId="1AE69CA2" w:rsidR="0095427D" w:rsidRPr="0095427D" w:rsidRDefault="0095427D" w:rsidP="0095427D">
      <w:pPr>
        <w:pStyle w:val="ae"/>
      </w:pPr>
      <w:r>
        <w:rPr>
          <w:rStyle w:val="af"/>
        </w:rPr>
        <w:footnoteRef/>
      </w:r>
      <w:r>
        <w:t xml:space="preserve"> </w:t>
      </w:r>
      <w:r w:rsidRPr="0095427D">
        <w:rPr>
          <w:rtl/>
        </w:rPr>
        <w:t>الربيع، مرام. (2022). المسؤولية المدنية عن أفعال الذكاء الاصطناعي. رسالة ماجستير</w:t>
      </w:r>
      <w:r w:rsidRPr="0095427D">
        <w:t>.</w:t>
      </w:r>
    </w:p>
  </w:footnote>
  <w:footnote w:id="53">
    <w:p w14:paraId="25B150AA" w14:textId="77777777" w:rsidR="0095427D" w:rsidRPr="0095427D" w:rsidRDefault="0095427D" w:rsidP="0095427D">
      <w:pPr>
        <w:pStyle w:val="ae"/>
      </w:pPr>
      <w:r>
        <w:rPr>
          <w:rStyle w:val="af"/>
        </w:rPr>
        <w:footnoteRef/>
      </w:r>
      <w:r>
        <w:t xml:space="preserve"> </w:t>
      </w:r>
      <w:r w:rsidRPr="0095427D">
        <w:t xml:space="preserve">  </w:t>
      </w:r>
      <w:r w:rsidRPr="0095427D">
        <w:rPr>
          <w:rtl/>
        </w:rPr>
        <w:t>الهيئة السعودية للبيانات والذكاء الاصطناعي (سدايا). (2023). الدليل الاسترشادي لتقويم مخاطر نقل البيانات الشخصية إلى خارج المملكة</w:t>
      </w:r>
      <w:r w:rsidRPr="0095427D">
        <w:t>.</w:t>
      </w:r>
    </w:p>
    <w:p w14:paraId="0CDAC5DA" w14:textId="1E705FED" w:rsidR="0095427D" w:rsidRDefault="0095427D" w:rsidP="0095427D">
      <w:pPr>
        <w:pStyle w:val="ae"/>
        <w:rPr>
          <w:rtl/>
        </w:rPr>
      </w:pPr>
      <w:r w:rsidRPr="0095427D">
        <w:t xml:space="preserve">  </w:t>
      </w:r>
    </w:p>
  </w:footnote>
  <w:footnote w:id="54">
    <w:p w14:paraId="3524A454" w14:textId="27B79A46" w:rsidR="004855F3" w:rsidRPr="004855F3" w:rsidRDefault="004855F3" w:rsidP="004855F3">
      <w:pPr>
        <w:pStyle w:val="ae"/>
      </w:pPr>
      <w:r>
        <w:rPr>
          <w:rStyle w:val="af"/>
        </w:rPr>
        <w:footnoteRef/>
      </w:r>
      <w:r>
        <w:t xml:space="preserve"> </w:t>
      </w:r>
      <w:r w:rsidRPr="004855F3">
        <w:rPr>
          <w:rtl/>
        </w:rPr>
        <w:t>مجلة الشريعة والقانون. (2022). الذكاء الاصطناعي والعمل القضائي</w:t>
      </w:r>
      <w:r w:rsidRPr="004855F3">
        <w:t>.</w:t>
      </w:r>
    </w:p>
    <w:p w14:paraId="0881F750" w14:textId="69B6DFE1" w:rsidR="004855F3" w:rsidRDefault="004855F3" w:rsidP="004855F3">
      <w:pPr>
        <w:pStyle w:val="ae"/>
        <w:rPr>
          <w:rtl/>
        </w:rPr>
      </w:pPr>
      <w:r w:rsidRPr="004855F3">
        <w:t xml:space="preserve">  </w:t>
      </w:r>
    </w:p>
  </w:footnote>
  <w:footnote w:id="55">
    <w:p w14:paraId="12F97E5D" w14:textId="49A6399C" w:rsidR="004855F3" w:rsidRPr="004855F3" w:rsidRDefault="004855F3" w:rsidP="004855F3">
      <w:pPr>
        <w:pStyle w:val="ae"/>
      </w:pPr>
      <w:r>
        <w:rPr>
          <w:rStyle w:val="af"/>
        </w:rPr>
        <w:footnoteRef/>
      </w:r>
      <w:r>
        <w:t xml:space="preserve"> </w:t>
      </w:r>
      <w:r w:rsidRPr="004855F3">
        <w:rPr>
          <w:rtl/>
        </w:rPr>
        <w:t>مجلة العدالة. (2022). المسؤولية عن الذكاء الاصطناعي</w:t>
      </w:r>
      <w:r w:rsidRPr="004855F3">
        <w:t>.</w:t>
      </w:r>
    </w:p>
    <w:p w14:paraId="4F8C4FB6" w14:textId="5ABB97AE" w:rsidR="004855F3" w:rsidRDefault="004855F3" w:rsidP="004855F3">
      <w:pPr>
        <w:pStyle w:val="ae"/>
        <w:rPr>
          <w:rtl/>
        </w:rPr>
      </w:pPr>
    </w:p>
  </w:footnote>
  <w:footnote w:id="56">
    <w:p w14:paraId="7B6996DA" w14:textId="418BEEF4" w:rsidR="005562AF" w:rsidRDefault="005562AF" w:rsidP="005562AF">
      <w:pPr>
        <w:pStyle w:val="ae"/>
      </w:pPr>
      <w:r>
        <w:rPr>
          <w:rStyle w:val="af"/>
        </w:rPr>
        <w:footnoteRef/>
      </w:r>
      <w:r>
        <w:t xml:space="preserve"> </w:t>
      </w:r>
      <w:r w:rsidRPr="005562AF">
        <w:rPr>
          <w:rtl/>
        </w:rPr>
        <w:t>هيئة الخبراء بمجلس الوزراء. (1445هـ). نظام المعاملات المدنية</w:t>
      </w:r>
      <w:r w:rsidRPr="005562AF">
        <w:t>.</w:t>
      </w:r>
    </w:p>
  </w:footnote>
  <w:footnote w:id="57">
    <w:p w14:paraId="36FA4F2B" w14:textId="11B95BA8" w:rsidR="005562AF" w:rsidRDefault="005562AF" w:rsidP="005562AF">
      <w:pPr>
        <w:pStyle w:val="ae"/>
        <w:rPr>
          <w:rtl/>
        </w:rPr>
      </w:pPr>
      <w:r>
        <w:rPr>
          <w:rStyle w:val="af"/>
        </w:rPr>
        <w:footnoteRef/>
      </w:r>
      <w:r>
        <w:t xml:space="preserve"> </w:t>
      </w:r>
      <w:r w:rsidRPr="005562AF">
        <w:rPr>
          <w:rtl/>
        </w:rPr>
        <w:t>العلي، عبدالعزيز عبدالناصر. (2024). الذكاء الاصطناعي ودوره في إبرام العقود التجارية الذكية. بحث علمي منشور</w:t>
      </w:r>
      <w:r w:rsidRPr="005562AF">
        <w:t>.</w:t>
      </w:r>
    </w:p>
  </w:footnote>
  <w:footnote w:id="58">
    <w:p w14:paraId="776A39C6" w14:textId="19374A9C" w:rsidR="005562AF" w:rsidRPr="005562AF" w:rsidRDefault="005562AF" w:rsidP="005562AF">
      <w:pPr>
        <w:pStyle w:val="ae"/>
      </w:pPr>
      <w:r>
        <w:rPr>
          <w:rStyle w:val="af"/>
        </w:rPr>
        <w:footnoteRef/>
      </w:r>
      <w:r>
        <w:t xml:space="preserve"> </w:t>
      </w:r>
      <w:r w:rsidRPr="005562AF">
        <w:rPr>
          <w:rtl/>
        </w:rPr>
        <w:t>المالكي، خالد. (2024). المسؤولية المدنية عن فعل الذكاء الاصطناعي في النظام السعودي. مجلة البحوث الفقهية والقانونية</w:t>
      </w:r>
      <w:r w:rsidRPr="005562AF">
        <w:t>.</w:t>
      </w:r>
    </w:p>
    <w:p w14:paraId="2AB0115B" w14:textId="7935F2B3" w:rsidR="005562AF" w:rsidRDefault="005562AF" w:rsidP="005562AF">
      <w:pPr>
        <w:pStyle w:val="ae"/>
      </w:pPr>
    </w:p>
  </w:footnote>
  <w:footnote w:id="59">
    <w:p w14:paraId="200D3748" w14:textId="28092ACC" w:rsidR="00A918AE" w:rsidRDefault="00A918AE" w:rsidP="00A918AE">
      <w:pPr>
        <w:pStyle w:val="ae"/>
        <w:rPr>
          <w:rtl/>
        </w:rPr>
      </w:pPr>
      <w:r>
        <w:rPr>
          <w:rStyle w:val="af"/>
        </w:rPr>
        <w:footnoteRef/>
      </w:r>
      <w:r>
        <w:t xml:space="preserve"> </w:t>
      </w:r>
      <w:r w:rsidRPr="00A918AE">
        <w:rPr>
          <w:rtl/>
        </w:rPr>
        <w:t>قاسم، مراد محمد غالب. (2024). دور الذكاء الاصطناعي في مكافحة الجريمة الإلكترونية: دراسة مقارنة. المجلة العصرية للدراسات القانونية</w:t>
      </w:r>
      <w:r w:rsidRPr="00A918AE">
        <w:t>.</w:t>
      </w:r>
    </w:p>
  </w:footnote>
  <w:footnote w:id="60">
    <w:p w14:paraId="56DA5D05" w14:textId="0DFB667B" w:rsidR="00A918AE" w:rsidRPr="00A918AE" w:rsidRDefault="00A918AE" w:rsidP="00A918AE">
      <w:pPr>
        <w:pStyle w:val="ae"/>
      </w:pPr>
      <w:r>
        <w:rPr>
          <w:rStyle w:val="af"/>
        </w:rPr>
        <w:footnoteRef/>
      </w:r>
      <w:r>
        <w:t xml:space="preserve"> </w:t>
      </w:r>
      <w:r w:rsidRPr="00A918AE">
        <w:rPr>
          <w:rtl/>
        </w:rPr>
        <w:t>الربيع، مرام. (2022). المسؤولية المدنية عن أفعال الذكاء الاصطناعي. رسالة ماجستير</w:t>
      </w:r>
      <w:r w:rsidRPr="00A918AE">
        <w:t>.</w:t>
      </w:r>
    </w:p>
    <w:p w14:paraId="515E2395" w14:textId="00973628" w:rsidR="00A918AE" w:rsidRDefault="00A918AE" w:rsidP="00A918AE">
      <w:pPr>
        <w:pStyle w:val="ae"/>
        <w:rPr>
          <w:rtl/>
        </w:rPr>
      </w:pPr>
    </w:p>
  </w:footnote>
  <w:footnote w:id="61">
    <w:p w14:paraId="5D7BC695" w14:textId="541D9F6D" w:rsidR="00A918AE" w:rsidRDefault="00A918AE" w:rsidP="00A918AE">
      <w:pPr>
        <w:pStyle w:val="ae"/>
      </w:pPr>
      <w:r>
        <w:rPr>
          <w:rStyle w:val="af"/>
        </w:rPr>
        <w:footnoteRef/>
      </w:r>
      <w:r>
        <w:t xml:space="preserve"> </w:t>
      </w:r>
      <w:r w:rsidRPr="00A918AE">
        <w:rPr>
          <w:rtl/>
        </w:rPr>
        <w:t>المالكي، خالد. (2024). المسؤولية المدنية عن فعل الذكاء الاصطناعي في النظام السعودي. مجلة البحوث الفقهية والقانونية</w:t>
      </w:r>
      <w:r w:rsidRPr="00A918AE">
        <w:t>.</w:t>
      </w:r>
    </w:p>
  </w:footnote>
  <w:footnote w:id="62">
    <w:p w14:paraId="40C02F03" w14:textId="35D40EA2" w:rsidR="00A918AE" w:rsidRPr="00A918AE" w:rsidRDefault="00A918AE" w:rsidP="00A918AE">
      <w:pPr>
        <w:pStyle w:val="ae"/>
      </w:pPr>
      <w:r>
        <w:rPr>
          <w:rStyle w:val="af"/>
        </w:rPr>
        <w:footnoteRef/>
      </w:r>
      <w:r>
        <w:t xml:space="preserve"> </w:t>
      </w:r>
      <w:r w:rsidRPr="00A918AE">
        <w:rPr>
          <w:rtl/>
        </w:rPr>
        <w:t>العلي، عبدالعزيز عبدالناصر. (2024). الذكاء الاصطناعي ودوره في إبرام العقود التجارية الذكية. بحث علمي منشور</w:t>
      </w:r>
      <w:r w:rsidRPr="00A918AE">
        <w:t>.</w:t>
      </w:r>
    </w:p>
    <w:p w14:paraId="73E32829" w14:textId="428938E5" w:rsidR="00A918AE" w:rsidRDefault="00A918AE" w:rsidP="00A918AE">
      <w:pPr>
        <w:pStyle w:val="ae"/>
      </w:pPr>
    </w:p>
  </w:footnote>
  <w:footnote w:id="63">
    <w:p w14:paraId="79961D2A" w14:textId="77777777" w:rsidR="003A40AC" w:rsidRPr="003A40AC" w:rsidRDefault="003A40AC" w:rsidP="003A40AC">
      <w:pPr>
        <w:pStyle w:val="ae"/>
      </w:pPr>
      <w:r>
        <w:rPr>
          <w:rStyle w:val="af"/>
        </w:rPr>
        <w:footnoteRef/>
      </w:r>
      <w:r>
        <w:t xml:space="preserve"> </w:t>
      </w:r>
      <w:r w:rsidRPr="003A40AC">
        <w:t xml:space="preserve">  </w:t>
      </w:r>
      <w:r w:rsidRPr="003A40AC">
        <w:rPr>
          <w:rtl/>
        </w:rPr>
        <w:t>إسماعيل، محمد شحادة. (2023). تأثير الذكاء الاصطناعي على المهن القانونية. بحث منشور</w:t>
      </w:r>
      <w:r w:rsidRPr="003A40AC">
        <w:t>.</w:t>
      </w:r>
    </w:p>
    <w:p w14:paraId="4B3F1B59" w14:textId="0EE9DECE" w:rsidR="003A40AC" w:rsidRDefault="003A40AC" w:rsidP="003A40AC">
      <w:pPr>
        <w:pStyle w:val="ae"/>
      </w:pPr>
      <w:r w:rsidRPr="003A40AC">
        <w:t xml:space="preserve">  </w:t>
      </w:r>
    </w:p>
  </w:footnote>
  <w:footnote w:id="64">
    <w:p w14:paraId="1D7CC624" w14:textId="3409F6E6" w:rsidR="003A40AC" w:rsidRDefault="003A40AC" w:rsidP="003A40AC">
      <w:pPr>
        <w:pStyle w:val="ae"/>
      </w:pPr>
      <w:r>
        <w:rPr>
          <w:rStyle w:val="af"/>
        </w:rPr>
        <w:footnoteRef/>
      </w:r>
      <w:r>
        <w:t xml:space="preserve"> </w:t>
      </w:r>
      <w:r w:rsidRPr="003A40AC">
        <w:rPr>
          <w:rtl/>
        </w:rPr>
        <w:t>حمادي، عبدالله. (2022). المسؤولية المدنية عن أفعال الذكاء الاصطناعي. مجلة علمية</w:t>
      </w:r>
      <w:r w:rsidRPr="003A40AC">
        <w:t>.</w:t>
      </w:r>
    </w:p>
  </w:footnote>
  <w:footnote w:id="65">
    <w:p w14:paraId="303D803D" w14:textId="559FA98A" w:rsidR="003A40AC" w:rsidRDefault="003A40AC" w:rsidP="003A40AC">
      <w:pPr>
        <w:pStyle w:val="ae"/>
        <w:rPr>
          <w:rtl/>
        </w:rPr>
      </w:pPr>
      <w:r>
        <w:rPr>
          <w:rStyle w:val="af"/>
        </w:rPr>
        <w:footnoteRef/>
      </w:r>
      <w:r>
        <w:t xml:space="preserve"> </w:t>
      </w:r>
      <w:r w:rsidRPr="003A40AC">
        <w:rPr>
          <w:rtl/>
        </w:rPr>
        <w:t>الهيئة السعودية للبيانات والذكاء الاصطناعي (سدايا). (2023). وثيقة مبادئ أخلاقيات الذكاء الاصطناعي</w:t>
      </w:r>
      <w:r w:rsidRPr="003A40AC">
        <w:t>.</w:t>
      </w:r>
    </w:p>
  </w:footnote>
  <w:footnote w:id="66">
    <w:p w14:paraId="354B5631" w14:textId="4A5AAB1A" w:rsidR="003A40AC" w:rsidRPr="003A40AC" w:rsidRDefault="003A40AC" w:rsidP="003A40AC">
      <w:pPr>
        <w:pStyle w:val="ae"/>
      </w:pPr>
      <w:r>
        <w:rPr>
          <w:rStyle w:val="af"/>
        </w:rPr>
        <w:footnoteRef/>
      </w:r>
      <w:r>
        <w:t xml:space="preserve"> </w:t>
      </w:r>
      <w:r w:rsidRPr="003A40AC">
        <w:rPr>
          <w:rtl/>
        </w:rPr>
        <w:t>بلال، فاطمة. (2023). دور الذكاء الاصطناعي في تعزيز العدالة الناجزة. رسالة ماجستير</w:t>
      </w:r>
      <w:r w:rsidRPr="003A40AC">
        <w:t>.</w:t>
      </w:r>
    </w:p>
    <w:p w14:paraId="77BD52FE" w14:textId="1362F00C" w:rsidR="003A40AC" w:rsidRDefault="003A40AC" w:rsidP="003A40AC">
      <w:pPr>
        <w:pStyle w:val="ae"/>
      </w:pPr>
    </w:p>
  </w:footnote>
  <w:footnote w:id="67">
    <w:p w14:paraId="62676B46" w14:textId="144F9F51" w:rsidR="008D5357" w:rsidRPr="008D5357" w:rsidRDefault="008D5357" w:rsidP="008D5357">
      <w:pPr>
        <w:pStyle w:val="ae"/>
      </w:pPr>
      <w:r>
        <w:rPr>
          <w:rStyle w:val="af"/>
        </w:rPr>
        <w:footnoteRef/>
      </w:r>
      <w:r>
        <w:t xml:space="preserve"> </w:t>
      </w:r>
      <w:r w:rsidRPr="008D5357">
        <w:rPr>
          <w:rtl/>
        </w:rPr>
        <w:t>المالكي، خالد. (2024). المسؤولية المدنية عن فعل الذكاء الاصطناعي في النظام السعودي. مجلة البحوث الفقهية والقانونية</w:t>
      </w:r>
      <w:r w:rsidRPr="008D5357">
        <w:t>.</w:t>
      </w:r>
    </w:p>
    <w:p w14:paraId="439D7AD3" w14:textId="4D9F9C26" w:rsidR="008D5357" w:rsidRDefault="008D5357" w:rsidP="008D5357">
      <w:pPr>
        <w:pStyle w:val="ae"/>
      </w:pPr>
    </w:p>
  </w:footnote>
  <w:footnote w:id="68">
    <w:p w14:paraId="7185144C" w14:textId="50E71DFD" w:rsidR="00061491" w:rsidRPr="00061491" w:rsidRDefault="00061491" w:rsidP="00061491">
      <w:pPr>
        <w:pStyle w:val="ae"/>
      </w:pPr>
      <w:r>
        <w:rPr>
          <w:rStyle w:val="af"/>
        </w:rPr>
        <w:footnoteRef/>
      </w:r>
      <w:r>
        <w:t xml:space="preserve"> </w:t>
      </w:r>
      <w:r w:rsidRPr="00061491">
        <w:rPr>
          <w:rtl/>
        </w:rPr>
        <w:t>المالكي، خالد. (2024). المسؤولية المدنية عن فعل الذكاء الاصطناعي في النظام السعودي. مجلة البحوث الفقهية والقانونية</w:t>
      </w:r>
      <w:r w:rsidRPr="00061491">
        <w:t>.</w:t>
      </w:r>
    </w:p>
    <w:p w14:paraId="22A7250C" w14:textId="4D765870" w:rsidR="00061491" w:rsidRDefault="00061491" w:rsidP="00061491">
      <w:pPr>
        <w:pStyle w:val="ae"/>
        <w:rPr>
          <w:rtl/>
        </w:rPr>
      </w:pPr>
    </w:p>
  </w:footnote>
  <w:footnote w:id="69">
    <w:p w14:paraId="40B9488C" w14:textId="77777777" w:rsidR="00061491" w:rsidRPr="00061491" w:rsidRDefault="00061491" w:rsidP="00061491">
      <w:pPr>
        <w:pStyle w:val="ae"/>
      </w:pPr>
      <w:r>
        <w:rPr>
          <w:rStyle w:val="af"/>
        </w:rPr>
        <w:footnoteRef/>
      </w:r>
      <w:r>
        <w:t xml:space="preserve"> </w:t>
      </w:r>
      <w:r w:rsidRPr="00061491">
        <w:rPr>
          <w:rtl/>
        </w:rPr>
        <w:t>رجب، ياسر محمد عبدالسلام. (2023). دور الدولة في تأطير أخلاقيات الذكاء الاصطناعي: دراسة مقارنة. جامعة القاهرة</w:t>
      </w:r>
      <w:r w:rsidRPr="00061491">
        <w:t>.</w:t>
      </w:r>
    </w:p>
    <w:p w14:paraId="34891691" w14:textId="1F20F49C" w:rsidR="00061491" w:rsidRDefault="00061491">
      <w:pPr>
        <w:pStyle w:val="ae"/>
        <w:rPr>
          <w:rtl/>
        </w:rPr>
      </w:pPr>
    </w:p>
  </w:footnote>
  <w:footnote w:id="70">
    <w:p w14:paraId="034A50CE" w14:textId="0B91C597" w:rsidR="00D843CF" w:rsidRPr="00D843CF" w:rsidRDefault="00D843CF" w:rsidP="00D843CF">
      <w:pPr>
        <w:pStyle w:val="ae"/>
      </w:pPr>
      <w:r>
        <w:rPr>
          <w:rStyle w:val="af"/>
        </w:rPr>
        <w:footnoteRef/>
      </w:r>
      <w:r>
        <w:t xml:space="preserve"> </w:t>
      </w:r>
      <w:r w:rsidRPr="00D843CF">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D843CF">
        <w:t>.</w:t>
      </w:r>
    </w:p>
  </w:footnote>
  <w:footnote w:id="71">
    <w:p w14:paraId="68C29BB4" w14:textId="774ED4E8" w:rsidR="00D843CF" w:rsidRDefault="00D843CF" w:rsidP="00D843CF">
      <w:pPr>
        <w:pStyle w:val="ae"/>
        <w:rPr>
          <w:rtl/>
        </w:rPr>
      </w:pPr>
      <w:r>
        <w:rPr>
          <w:rStyle w:val="af"/>
        </w:rPr>
        <w:footnoteRef/>
      </w:r>
      <w:r>
        <w:t xml:space="preserve"> </w:t>
      </w:r>
      <w:r w:rsidRPr="00D843CF">
        <w:rPr>
          <w:rtl/>
        </w:rPr>
        <w:t>حمادي، عبد الله. (2022). المسؤولية المدنية عن أفعال الذكاء الاصطناعي. مجلة علمية</w:t>
      </w:r>
      <w:r w:rsidRPr="00D843CF">
        <w:t>.</w:t>
      </w:r>
    </w:p>
  </w:footnote>
  <w:footnote w:id="72">
    <w:p w14:paraId="4F785E3F" w14:textId="3F964EDD" w:rsidR="00D843CF" w:rsidRPr="00D843CF" w:rsidRDefault="00D843CF" w:rsidP="00D843CF">
      <w:pPr>
        <w:pStyle w:val="ae"/>
      </w:pPr>
      <w:r>
        <w:rPr>
          <w:rStyle w:val="af"/>
        </w:rPr>
        <w:footnoteRef/>
      </w:r>
      <w:r>
        <w:t xml:space="preserve"> </w:t>
      </w:r>
      <w:r w:rsidRPr="00D843CF">
        <w:rPr>
          <w:rtl/>
        </w:rPr>
        <w:t>خليل، محمد سعيد. (2022). المسؤولية القانونية عن أفعال الذكاء الاصطناعي. مجلة علمية</w:t>
      </w:r>
      <w:r w:rsidRPr="00D843CF">
        <w:t>.</w:t>
      </w:r>
    </w:p>
  </w:footnote>
  <w:footnote w:id="73">
    <w:p w14:paraId="1DF6FE9E" w14:textId="23646EB3" w:rsidR="00D843CF" w:rsidRDefault="00D843CF" w:rsidP="00D843CF">
      <w:pPr>
        <w:pStyle w:val="ae"/>
        <w:rPr>
          <w:rtl/>
        </w:rPr>
      </w:pPr>
      <w:r>
        <w:rPr>
          <w:rStyle w:val="af"/>
        </w:rPr>
        <w:footnoteRef/>
      </w:r>
      <w:r>
        <w:t xml:space="preserve"> </w:t>
      </w:r>
      <w:r w:rsidRPr="00D843CF">
        <w:rPr>
          <w:rtl/>
        </w:rPr>
        <w:t>الربيع، مرام. (2022). المسؤولية المدنية عن أفعال الذكاء الاصطناعي. رسالة ماجستير</w:t>
      </w:r>
      <w:r w:rsidRPr="00D843CF">
        <w:t>.</w:t>
      </w:r>
    </w:p>
  </w:footnote>
  <w:footnote w:id="74">
    <w:p w14:paraId="21BFB001" w14:textId="3AFB65BD" w:rsidR="00D843CF" w:rsidRPr="00D843CF" w:rsidRDefault="00D843CF" w:rsidP="00D843CF">
      <w:pPr>
        <w:pStyle w:val="ae"/>
      </w:pPr>
      <w:r>
        <w:rPr>
          <w:rStyle w:val="af"/>
        </w:rPr>
        <w:footnoteRef/>
      </w:r>
      <w:r>
        <w:t xml:space="preserve"> </w:t>
      </w:r>
      <w:r w:rsidRPr="00D843CF">
        <w:rPr>
          <w:rtl/>
        </w:rPr>
        <w:t>قاسم، مراد محمد غالب. (2024). دور الذكاء الاصطناعي في مكافحة الجريمة الإلكترونية: دراسة مقارنة. المجلة العصرية للدراسات القانونية</w:t>
      </w:r>
      <w:r w:rsidRPr="00D843CF">
        <w:t>.</w:t>
      </w:r>
    </w:p>
  </w:footnote>
  <w:footnote w:id="75">
    <w:p w14:paraId="474FD1FF" w14:textId="48564CDA" w:rsidR="00D843CF" w:rsidRPr="00D843CF" w:rsidRDefault="00D843CF" w:rsidP="00D843CF">
      <w:pPr>
        <w:pStyle w:val="ae"/>
      </w:pPr>
      <w:r>
        <w:rPr>
          <w:rStyle w:val="af"/>
        </w:rPr>
        <w:footnoteRef/>
      </w:r>
      <w:r>
        <w:t xml:space="preserve"> </w:t>
      </w:r>
      <w:r w:rsidRPr="00D843CF">
        <w:rPr>
          <w:rtl/>
        </w:rPr>
        <w:t>رجب، ياسر محمد عبد السلام. (2023). دور الدولة في تأطير أخلاقيات الذكاء الاصطناعي: دراسة مقارنة. جامعة القاهرة</w:t>
      </w:r>
      <w:r w:rsidRPr="00D843CF">
        <w:t>.</w:t>
      </w:r>
    </w:p>
  </w:footnote>
  <w:footnote w:id="76">
    <w:p w14:paraId="2A7B8274" w14:textId="6FE259C7" w:rsidR="00D843CF" w:rsidRDefault="00D843CF" w:rsidP="00D843CF">
      <w:pPr>
        <w:pStyle w:val="ae"/>
        <w:rPr>
          <w:rtl/>
        </w:rPr>
      </w:pPr>
      <w:r>
        <w:rPr>
          <w:rStyle w:val="af"/>
        </w:rPr>
        <w:footnoteRef/>
      </w:r>
      <w:r>
        <w:t xml:space="preserve"> </w:t>
      </w:r>
      <w:r w:rsidRPr="00D843CF">
        <w:rPr>
          <w:rtl/>
        </w:rPr>
        <w:t>العيسى، إبراهيم. (2023). القواعد والإجراءات المنظمة لاستخدامات الذكاء الاصطناعي في المملكة العربية السعودية وآثارها القانونية</w:t>
      </w:r>
      <w:r w:rsidRPr="00D843CF">
        <w:t>.</w:t>
      </w:r>
    </w:p>
  </w:footnote>
  <w:footnote w:id="77">
    <w:p w14:paraId="20877C71" w14:textId="77777777" w:rsidR="00D843CF" w:rsidRPr="00D843CF" w:rsidRDefault="00D843CF" w:rsidP="00D843CF">
      <w:pPr>
        <w:pStyle w:val="ae"/>
      </w:pPr>
      <w:r>
        <w:rPr>
          <w:rStyle w:val="af"/>
        </w:rPr>
        <w:footnoteRef/>
      </w:r>
      <w:r>
        <w:t xml:space="preserve"> </w:t>
      </w:r>
      <w:r w:rsidRPr="00D843CF">
        <w:rPr>
          <w:rtl/>
        </w:rPr>
        <w:t>الهيئة السعودية للبيانات والذكاء الاصطناعي (سدايا). (2023). وثيقة مبادئ أخلاقيات الذكاء الاصطناعي</w:t>
      </w:r>
      <w:r w:rsidRPr="00D843CF">
        <w:t>.</w:t>
      </w:r>
    </w:p>
    <w:p w14:paraId="221482AD" w14:textId="08BDCA1B" w:rsidR="00D843CF" w:rsidRDefault="00D843CF">
      <w:pPr>
        <w:pStyle w:val="ae"/>
        <w:rPr>
          <w:rtl/>
        </w:rPr>
      </w:pPr>
    </w:p>
  </w:footnote>
  <w:footnote w:id="78">
    <w:p w14:paraId="035B887E" w14:textId="2B3D8BB4" w:rsidR="00D150CD" w:rsidRPr="00D150CD" w:rsidRDefault="00D150CD" w:rsidP="00D150CD">
      <w:pPr>
        <w:pStyle w:val="ae"/>
      </w:pPr>
      <w:r>
        <w:rPr>
          <w:rStyle w:val="af"/>
        </w:rPr>
        <w:footnoteRef/>
      </w:r>
      <w:r>
        <w:t xml:space="preserve"> </w:t>
      </w:r>
      <w:r w:rsidRPr="00D150CD">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D150CD">
        <w:t>.</w:t>
      </w:r>
    </w:p>
    <w:p w14:paraId="33DC97DB" w14:textId="73253980" w:rsidR="00D150CD" w:rsidRDefault="00D150CD" w:rsidP="00D150CD">
      <w:pPr>
        <w:pStyle w:val="ae"/>
        <w:rPr>
          <w:rtl/>
        </w:rPr>
      </w:pPr>
    </w:p>
  </w:footnote>
  <w:footnote w:id="79">
    <w:p w14:paraId="562BB0AE" w14:textId="407CE2D5" w:rsidR="00D150CD" w:rsidRPr="00D150CD" w:rsidRDefault="00D150CD" w:rsidP="00D150CD">
      <w:pPr>
        <w:pStyle w:val="ae"/>
      </w:pPr>
      <w:r>
        <w:rPr>
          <w:rStyle w:val="af"/>
        </w:rPr>
        <w:footnoteRef/>
      </w:r>
      <w:r>
        <w:t xml:space="preserve"> </w:t>
      </w:r>
      <w:r w:rsidRPr="00D150CD">
        <w:rPr>
          <w:rtl/>
        </w:rPr>
        <w:t>العيسى، إبراهيم. (2023). القواعد والإجراءات المنظمة لاستخدامات الذكاء الاصطناعي في المملكة العربية السعودية وآثارها القانونية</w:t>
      </w:r>
      <w:r w:rsidRPr="00D150CD">
        <w:t>.</w:t>
      </w:r>
    </w:p>
    <w:p w14:paraId="6FE7CF3C" w14:textId="1216D1E2" w:rsidR="00D150CD" w:rsidRDefault="00D150CD" w:rsidP="00D150CD">
      <w:pPr>
        <w:pStyle w:val="ae"/>
        <w:rPr>
          <w:rtl/>
        </w:rPr>
      </w:pPr>
    </w:p>
  </w:footnote>
  <w:footnote w:id="80">
    <w:p w14:paraId="01ABAFC9" w14:textId="74B7F948" w:rsidR="00D150CD" w:rsidRPr="00D150CD" w:rsidRDefault="00D150CD" w:rsidP="00D150CD">
      <w:pPr>
        <w:pStyle w:val="ae"/>
      </w:pPr>
      <w:r>
        <w:rPr>
          <w:rStyle w:val="af"/>
        </w:rPr>
        <w:footnoteRef/>
      </w:r>
      <w:r>
        <w:t xml:space="preserve"> </w:t>
      </w:r>
      <w:r w:rsidRPr="00D150CD">
        <w:rPr>
          <w:rtl/>
        </w:rPr>
        <w:t>خليل، محمد سعيد. (2022). المسؤولية القانونية عن أفعال الذكاء الاصطناعي. مجلة علمية</w:t>
      </w:r>
      <w:r w:rsidRPr="00D150CD">
        <w:t>.</w:t>
      </w:r>
    </w:p>
    <w:p w14:paraId="6268874E" w14:textId="50E32AFA" w:rsidR="00D150CD" w:rsidRDefault="00D150CD" w:rsidP="00D150CD">
      <w:pPr>
        <w:pStyle w:val="ae"/>
      </w:pPr>
    </w:p>
  </w:footnote>
  <w:footnote w:id="81">
    <w:p w14:paraId="49E1E07F" w14:textId="470ACF32" w:rsidR="00D150CD" w:rsidRPr="00D150CD" w:rsidRDefault="00D150CD" w:rsidP="00D150CD">
      <w:pPr>
        <w:pStyle w:val="ae"/>
      </w:pPr>
      <w:r>
        <w:rPr>
          <w:rStyle w:val="af"/>
        </w:rPr>
        <w:footnoteRef/>
      </w:r>
      <w:r>
        <w:t xml:space="preserve"> </w:t>
      </w:r>
      <w:r w:rsidRPr="00D150CD">
        <w:rPr>
          <w:rtl/>
        </w:rPr>
        <w:t>المالكي، خالد. (2024). المسؤولية المدنية عن فعل الذكاء الاصطناعي في النظام السعودي. مجلة البحوث الفقهية والقانونية</w:t>
      </w:r>
      <w:r w:rsidRPr="00D150CD">
        <w:t>.</w:t>
      </w:r>
    </w:p>
    <w:p w14:paraId="04DE95B9" w14:textId="04BB92E0" w:rsidR="00D150CD" w:rsidRDefault="00D150CD" w:rsidP="00D150CD">
      <w:pPr>
        <w:pStyle w:val="ae"/>
      </w:pPr>
    </w:p>
  </w:footnote>
  <w:footnote w:id="82">
    <w:p w14:paraId="4C21CF95" w14:textId="07E03411" w:rsidR="00D150CD" w:rsidRPr="00D150CD" w:rsidRDefault="00D150CD" w:rsidP="00D150CD">
      <w:pPr>
        <w:pStyle w:val="ae"/>
      </w:pPr>
      <w:r>
        <w:rPr>
          <w:rStyle w:val="af"/>
        </w:rPr>
        <w:footnoteRef/>
      </w:r>
      <w:r>
        <w:t xml:space="preserve"> </w:t>
      </w:r>
      <w:r w:rsidRPr="00D150CD">
        <w:rPr>
          <w:rtl/>
        </w:rPr>
        <w:t>الربيع، مرام. (2022). المسؤولية المدنية عن أفعال الذكاء الاصطناعي. رسالة ماجستير</w:t>
      </w:r>
      <w:r w:rsidRPr="00D150CD">
        <w:t>.</w:t>
      </w:r>
    </w:p>
    <w:p w14:paraId="7854DC2D" w14:textId="3F3A3316" w:rsidR="00D150CD" w:rsidRDefault="00D150CD" w:rsidP="00D150CD">
      <w:pPr>
        <w:pStyle w:val="ae"/>
      </w:pPr>
    </w:p>
  </w:footnote>
  <w:footnote w:id="83">
    <w:p w14:paraId="621E32C8" w14:textId="71033447" w:rsidR="00D150CD" w:rsidRPr="00D150CD" w:rsidRDefault="00D150CD" w:rsidP="00D150CD">
      <w:pPr>
        <w:pStyle w:val="ae"/>
      </w:pPr>
      <w:r>
        <w:rPr>
          <w:rStyle w:val="af"/>
        </w:rPr>
        <w:footnoteRef/>
      </w:r>
      <w:r>
        <w:t xml:space="preserve"> </w:t>
      </w:r>
      <w:r w:rsidRPr="00D150CD">
        <w:rPr>
          <w:rtl/>
        </w:rPr>
        <w:t>رجب، ياسر محمد عبد السلام. (2023). دور الدولة في تأطير أخلاقيات الذكاء الاصطناعي: دراسة مقارنة. جامعة القاهرة</w:t>
      </w:r>
      <w:r w:rsidRPr="00D150CD">
        <w:t>.</w:t>
      </w:r>
    </w:p>
    <w:p w14:paraId="000F0B7A" w14:textId="22F971BE" w:rsidR="00D150CD" w:rsidRDefault="00D150CD" w:rsidP="00D150CD">
      <w:pPr>
        <w:pStyle w:val="ae"/>
        <w:rPr>
          <w:rtl/>
        </w:rPr>
      </w:pPr>
    </w:p>
  </w:footnote>
  <w:footnote w:id="84">
    <w:p w14:paraId="5A124CBF" w14:textId="26CC58BF" w:rsidR="00D150CD" w:rsidRPr="00D150CD" w:rsidRDefault="00D150CD" w:rsidP="00D150CD">
      <w:pPr>
        <w:pStyle w:val="ae"/>
      </w:pPr>
      <w:r>
        <w:rPr>
          <w:rStyle w:val="af"/>
        </w:rPr>
        <w:footnoteRef/>
      </w:r>
      <w:r>
        <w:t xml:space="preserve"> </w:t>
      </w:r>
      <w:r w:rsidRPr="00D150CD">
        <w:rPr>
          <w:rtl/>
        </w:rPr>
        <w:t>العلي، عبدالعزيز عبدالناصر. (2024). الذكاء الاصطناعي ودوره في إبرام العقود التجارية الذكية. بحث علمي منشور</w:t>
      </w:r>
      <w:r w:rsidRPr="00D150CD">
        <w:t>.</w:t>
      </w:r>
    </w:p>
    <w:p w14:paraId="07BD7D4F" w14:textId="08754DDD" w:rsidR="00D150CD" w:rsidRDefault="00D150CD" w:rsidP="00D150CD">
      <w:pPr>
        <w:pStyle w:val="ae"/>
        <w:rPr>
          <w:rtl/>
        </w:rPr>
      </w:pPr>
    </w:p>
  </w:footnote>
  <w:footnote w:id="85">
    <w:p w14:paraId="27B49553" w14:textId="787C8A96" w:rsidR="00D150CD" w:rsidRPr="00D150CD" w:rsidRDefault="00D150CD" w:rsidP="00D150CD">
      <w:pPr>
        <w:pStyle w:val="ae"/>
      </w:pPr>
      <w:r>
        <w:rPr>
          <w:rStyle w:val="af"/>
        </w:rPr>
        <w:footnoteRef/>
      </w:r>
      <w:r>
        <w:t xml:space="preserve"> </w:t>
      </w:r>
      <w:r w:rsidRPr="00D150CD">
        <w:rPr>
          <w:rtl/>
        </w:rPr>
        <w:t>بلال، فاطمة. (2023). دور الذكاء الاصطناعي في تعزيز العدالة الناجزة. رسالة ماجستير</w:t>
      </w:r>
      <w:r w:rsidRPr="00D150CD">
        <w:t>.</w:t>
      </w:r>
    </w:p>
    <w:p w14:paraId="79150904" w14:textId="5CDDA682" w:rsidR="00D150CD" w:rsidRDefault="00D150CD" w:rsidP="00D150CD">
      <w:pPr>
        <w:pStyle w:val="ae"/>
        <w:rPr>
          <w:rtl/>
        </w:rPr>
      </w:pPr>
    </w:p>
  </w:footnote>
  <w:footnote w:id="86">
    <w:p w14:paraId="3482E467" w14:textId="622008AF" w:rsidR="00F237E4" w:rsidRPr="00F237E4" w:rsidRDefault="00F237E4" w:rsidP="00F237E4">
      <w:pPr>
        <w:pStyle w:val="ae"/>
      </w:pPr>
      <w:r>
        <w:rPr>
          <w:rStyle w:val="af"/>
        </w:rPr>
        <w:footnoteRef/>
      </w:r>
      <w:r>
        <w:t xml:space="preserve"> </w:t>
      </w:r>
      <w:r w:rsidRPr="00F237E4">
        <w:rPr>
          <w:rtl/>
        </w:rPr>
        <w:t>المالكي، خالد. (2024). المسؤولية المدنية عن فعل الذكاء الاصطناعي في النظام السعودي. مجلة البحوث الفقهية والقانونية</w:t>
      </w:r>
      <w:r w:rsidRPr="00F237E4">
        <w:t>.</w:t>
      </w:r>
    </w:p>
    <w:p w14:paraId="5DCA99FA" w14:textId="01FA030F" w:rsidR="00F237E4" w:rsidRDefault="00F237E4" w:rsidP="00F237E4">
      <w:pPr>
        <w:pStyle w:val="ae"/>
        <w:rPr>
          <w:rtl/>
        </w:rPr>
      </w:pPr>
    </w:p>
  </w:footnote>
  <w:footnote w:id="87">
    <w:p w14:paraId="3C49EFE8" w14:textId="08A1D8C9" w:rsidR="00F237E4" w:rsidRPr="00F237E4" w:rsidRDefault="00F237E4" w:rsidP="00F237E4">
      <w:pPr>
        <w:pStyle w:val="ae"/>
      </w:pPr>
      <w:r>
        <w:rPr>
          <w:rStyle w:val="af"/>
        </w:rPr>
        <w:footnoteRef/>
      </w:r>
      <w:r>
        <w:t xml:space="preserve"> </w:t>
      </w:r>
      <w:r w:rsidRPr="00F237E4">
        <w:rPr>
          <w:rtl/>
        </w:rPr>
        <w:t>الربيع، مرام. (2022). المسؤولية المدنية عن أفعال الذكاء الاصطناعي. رسالة ماجستير</w:t>
      </w:r>
      <w:r w:rsidRPr="00F237E4">
        <w:t>.</w:t>
      </w:r>
    </w:p>
    <w:p w14:paraId="07DC65F4" w14:textId="033AFA52" w:rsidR="00F237E4" w:rsidRDefault="00F237E4" w:rsidP="00F237E4">
      <w:pPr>
        <w:pStyle w:val="ae"/>
        <w:rPr>
          <w:rtl/>
        </w:rPr>
      </w:pPr>
    </w:p>
  </w:footnote>
  <w:footnote w:id="88">
    <w:p w14:paraId="09578A02" w14:textId="478765AE" w:rsidR="00F237E4" w:rsidRPr="00F237E4" w:rsidRDefault="00F237E4" w:rsidP="00F237E4">
      <w:pPr>
        <w:pStyle w:val="ae"/>
      </w:pPr>
      <w:r>
        <w:rPr>
          <w:rStyle w:val="af"/>
        </w:rPr>
        <w:footnoteRef/>
      </w:r>
      <w:r>
        <w:t xml:space="preserve"> </w:t>
      </w:r>
      <w:r w:rsidRPr="00F237E4">
        <w:rPr>
          <w:rtl/>
        </w:rPr>
        <w:t>العيسى، إبراهيم. (2023). القواعد والإجراءات المنظمة لاستخدامات الذكاء الاصطناعي في المملكة العربية السعودية وآثارها القانونية</w:t>
      </w:r>
      <w:r w:rsidRPr="00F237E4">
        <w:t>.</w:t>
      </w:r>
    </w:p>
    <w:p w14:paraId="3F901C5F" w14:textId="305499EE" w:rsidR="00F237E4" w:rsidRDefault="00F237E4" w:rsidP="00F237E4">
      <w:pPr>
        <w:pStyle w:val="ae"/>
        <w:rPr>
          <w:rtl/>
        </w:rPr>
      </w:pPr>
    </w:p>
  </w:footnote>
  <w:footnote w:id="89">
    <w:p w14:paraId="64044A50" w14:textId="6BE9D830" w:rsidR="00F237E4" w:rsidRPr="00F237E4" w:rsidRDefault="00F237E4" w:rsidP="00F237E4">
      <w:pPr>
        <w:pStyle w:val="ae"/>
      </w:pPr>
      <w:r>
        <w:rPr>
          <w:rStyle w:val="af"/>
        </w:rPr>
        <w:footnoteRef/>
      </w:r>
      <w:r>
        <w:t xml:space="preserve"> </w:t>
      </w:r>
      <w:r w:rsidRPr="00F237E4">
        <w:rPr>
          <w:rtl/>
        </w:rPr>
        <w:t>العلي، عبدالعزيز عبدالناصر. (2024). الذكاء الاصطناعي ودوره في إبرام العقود التجارية الذكية. بحث علمي منشور</w:t>
      </w:r>
      <w:r w:rsidRPr="00F237E4">
        <w:t>.</w:t>
      </w:r>
    </w:p>
    <w:p w14:paraId="3C867E18" w14:textId="0517A5AC" w:rsidR="00F237E4" w:rsidRDefault="00F237E4" w:rsidP="00F237E4">
      <w:pPr>
        <w:pStyle w:val="ae"/>
        <w:rPr>
          <w:rtl/>
        </w:rPr>
      </w:pPr>
    </w:p>
  </w:footnote>
  <w:footnote w:id="90">
    <w:p w14:paraId="4234152A" w14:textId="6B231FB0" w:rsidR="00957EC0" w:rsidRPr="00957EC0" w:rsidRDefault="00957EC0" w:rsidP="00957EC0">
      <w:pPr>
        <w:pStyle w:val="ae"/>
      </w:pPr>
      <w:r>
        <w:rPr>
          <w:rStyle w:val="af"/>
        </w:rPr>
        <w:footnoteRef/>
      </w:r>
      <w:r>
        <w:t xml:space="preserve"> </w:t>
      </w:r>
      <w:r w:rsidRPr="00957EC0">
        <w:rPr>
          <w:rtl/>
        </w:rPr>
        <w:t>بلال، فاطمة. (2023). دور الذكاء الاصطناعي في تعزيز العدالة الناجزة. رسالة ماجستير</w:t>
      </w:r>
      <w:r w:rsidRPr="00957EC0">
        <w:t>.</w:t>
      </w:r>
    </w:p>
    <w:p w14:paraId="569A5BA6" w14:textId="3D838312" w:rsidR="00957EC0" w:rsidRDefault="00957EC0" w:rsidP="00957EC0">
      <w:pPr>
        <w:pStyle w:val="ae"/>
      </w:pPr>
    </w:p>
  </w:footnote>
  <w:footnote w:id="91">
    <w:p w14:paraId="3E8A6042" w14:textId="776EB035" w:rsidR="00957EC0" w:rsidRPr="00957EC0" w:rsidRDefault="00957EC0" w:rsidP="00957EC0">
      <w:pPr>
        <w:pStyle w:val="ae"/>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5FC70ECE" w14:textId="6C6AE7BF" w:rsidR="00957EC0" w:rsidRDefault="00957EC0" w:rsidP="00957EC0">
      <w:pPr>
        <w:pStyle w:val="ae"/>
        <w:rPr>
          <w:rtl/>
        </w:rPr>
      </w:pPr>
    </w:p>
  </w:footnote>
  <w:footnote w:id="92">
    <w:p w14:paraId="4602A2A9" w14:textId="576E2369" w:rsidR="00957EC0" w:rsidRPr="00957EC0" w:rsidRDefault="00957EC0" w:rsidP="00957EC0">
      <w:pPr>
        <w:pStyle w:val="ae"/>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0C9B9180" w14:textId="37515899" w:rsidR="00957EC0" w:rsidRDefault="00957EC0" w:rsidP="00957EC0">
      <w:pPr>
        <w:pStyle w:val="ae"/>
      </w:pPr>
    </w:p>
  </w:footnote>
  <w:footnote w:id="93">
    <w:p w14:paraId="1FCCEF90" w14:textId="12142C49" w:rsidR="00957EC0" w:rsidRPr="00957EC0" w:rsidRDefault="00957EC0" w:rsidP="00957EC0">
      <w:pPr>
        <w:pStyle w:val="ae"/>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1386E56B" w14:textId="2AF3B32E" w:rsidR="00957EC0" w:rsidRDefault="00957EC0" w:rsidP="00957EC0">
      <w:pPr>
        <w:pStyle w:val="ae"/>
        <w:rPr>
          <w:rtl/>
        </w:rPr>
      </w:pPr>
    </w:p>
  </w:footnote>
  <w:footnote w:id="94">
    <w:p w14:paraId="017B26BF" w14:textId="616884E5" w:rsidR="00957EC0" w:rsidRPr="00957EC0" w:rsidRDefault="00957EC0" w:rsidP="00957EC0">
      <w:pPr>
        <w:pStyle w:val="ae"/>
      </w:pPr>
      <w:r>
        <w:rPr>
          <w:rStyle w:val="af"/>
        </w:rPr>
        <w:footnoteRef/>
      </w:r>
      <w:r>
        <w:t xml:space="preserve"> </w:t>
      </w:r>
      <w:r w:rsidRPr="00957EC0">
        <w:rPr>
          <w:rtl/>
        </w:rPr>
        <w:t>العيسى، إبراهيم. (2023). القواعد والإجراءات المنظمة لاستخدامات الذكاء الاصطناعي في المملكة العربية السعودية وآثارها القانونية</w:t>
      </w:r>
      <w:r w:rsidRPr="00957EC0">
        <w:t>.</w:t>
      </w:r>
    </w:p>
    <w:p w14:paraId="0CE7531A" w14:textId="01BF3297" w:rsidR="00957EC0" w:rsidRDefault="00957EC0" w:rsidP="00957EC0">
      <w:pPr>
        <w:pStyle w:val="ae"/>
        <w:rPr>
          <w:rtl/>
        </w:rPr>
      </w:pPr>
    </w:p>
  </w:footnote>
  <w:footnote w:id="95">
    <w:p w14:paraId="0B62AE39" w14:textId="77777777" w:rsidR="00957EC0" w:rsidRPr="00957EC0" w:rsidRDefault="00957EC0" w:rsidP="00957EC0">
      <w:pPr>
        <w:pStyle w:val="ae"/>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0B8EC7A0" w14:textId="63C2778D" w:rsidR="00957EC0" w:rsidRDefault="00957EC0">
      <w:pPr>
        <w:pStyle w:val="ae"/>
        <w:rPr>
          <w:rtl/>
        </w:rPr>
      </w:pPr>
    </w:p>
  </w:footnote>
  <w:footnote w:id="96">
    <w:p w14:paraId="0ACEF9C3" w14:textId="671263B4" w:rsidR="00F532FA" w:rsidRPr="00F532FA" w:rsidRDefault="00F532FA" w:rsidP="00F532FA">
      <w:pPr>
        <w:pStyle w:val="ae"/>
      </w:pPr>
      <w:r>
        <w:rPr>
          <w:rStyle w:val="af"/>
        </w:rPr>
        <w:footnoteRef/>
      </w:r>
      <w:r>
        <w:t xml:space="preserve"> </w:t>
      </w:r>
      <w:r w:rsidRPr="00F532FA">
        <w:rPr>
          <w:rtl/>
        </w:rPr>
        <w:t>إسماعيل، محمد شحادة. (2023). تأثير الذكاء الاصطناعي على المهن القانونية</w:t>
      </w:r>
      <w:r w:rsidRPr="00F532FA">
        <w:t>.</w:t>
      </w:r>
    </w:p>
    <w:p w14:paraId="1CAFE87C" w14:textId="4787D9AA" w:rsidR="00F532FA" w:rsidRDefault="00F532FA" w:rsidP="00F532FA">
      <w:pPr>
        <w:pStyle w:val="ae"/>
      </w:pPr>
    </w:p>
  </w:footnote>
  <w:footnote w:id="97">
    <w:p w14:paraId="69C859C3" w14:textId="308D1819" w:rsidR="00F532FA" w:rsidRPr="00F532FA" w:rsidRDefault="00F532FA" w:rsidP="00F532FA">
      <w:pPr>
        <w:pStyle w:val="ae"/>
      </w:pPr>
      <w:r>
        <w:rPr>
          <w:rStyle w:val="af"/>
        </w:rPr>
        <w:footnoteRef/>
      </w:r>
      <w:r>
        <w:t xml:space="preserve"> </w:t>
      </w:r>
      <w:r w:rsidRPr="00F532FA">
        <w:rPr>
          <w:rtl/>
        </w:rPr>
        <w:t>الأسيوطي، مصطفى. (2020). حماية التصرفات القانونية وإثباتها عبر تطبيق الذكاء الاصطناعي. مجلة الباحث العربي</w:t>
      </w:r>
      <w:r w:rsidRPr="00F532FA">
        <w:t>.</w:t>
      </w:r>
    </w:p>
    <w:p w14:paraId="056E19AE" w14:textId="2FE24BAD" w:rsidR="00F532FA" w:rsidRDefault="00F532FA" w:rsidP="00F532FA">
      <w:pPr>
        <w:pStyle w:val="ae"/>
      </w:pPr>
    </w:p>
  </w:footnote>
  <w:footnote w:id="98">
    <w:p w14:paraId="03E872CB" w14:textId="45BED159" w:rsidR="00F532FA" w:rsidRPr="00F532FA" w:rsidRDefault="00F532FA" w:rsidP="00F532FA">
      <w:pPr>
        <w:pStyle w:val="ae"/>
      </w:pPr>
      <w:r>
        <w:rPr>
          <w:rStyle w:val="af"/>
        </w:rPr>
        <w:footnoteRef/>
      </w:r>
      <w:r>
        <w:t xml:space="preserve"> </w:t>
      </w:r>
      <w:r w:rsidRPr="00F532FA">
        <w:rPr>
          <w:rtl/>
        </w:rPr>
        <w:t>مجلة الشريعة والقانون. (2022). الذكاء الاصطناعي والعمل القضائي</w:t>
      </w:r>
      <w:r w:rsidRPr="00F532FA">
        <w:t>.</w:t>
      </w:r>
    </w:p>
    <w:p w14:paraId="59175DD3" w14:textId="44721B99" w:rsidR="00F532FA" w:rsidRDefault="00F532FA" w:rsidP="00F532FA">
      <w:pPr>
        <w:pStyle w:val="ae"/>
        <w:rPr>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95BB9" w14:textId="77777777" w:rsidR="000004FA" w:rsidRDefault="000004FA">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7B62A" w14:textId="77777777" w:rsidR="000004FA" w:rsidRDefault="000004FA">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E4EA" w14:textId="77777777" w:rsidR="000004FA" w:rsidRDefault="000004FA">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2BA"/>
    <w:multiLevelType w:val="multilevel"/>
    <w:tmpl w:val="A1AC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6166"/>
    <w:multiLevelType w:val="multilevel"/>
    <w:tmpl w:val="9CB6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92776"/>
    <w:multiLevelType w:val="multilevel"/>
    <w:tmpl w:val="278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C29CB"/>
    <w:multiLevelType w:val="multilevel"/>
    <w:tmpl w:val="259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E961B3B"/>
    <w:multiLevelType w:val="multilevel"/>
    <w:tmpl w:val="C880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B2FFD"/>
    <w:multiLevelType w:val="multilevel"/>
    <w:tmpl w:val="98C4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02BCC"/>
    <w:multiLevelType w:val="multilevel"/>
    <w:tmpl w:val="F74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140C2"/>
    <w:multiLevelType w:val="multilevel"/>
    <w:tmpl w:val="2116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1017A9"/>
    <w:multiLevelType w:val="multilevel"/>
    <w:tmpl w:val="B2D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8A1E31"/>
    <w:multiLevelType w:val="multilevel"/>
    <w:tmpl w:val="F40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D847F9"/>
    <w:multiLevelType w:val="multilevel"/>
    <w:tmpl w:val="BF1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254B33"/>
    <w:multiLevelType w:val="multilevel"/>
    <w:tmpl w:val="3C8E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D833E1"/>
    <w:multiLevelType w:val="multilevel"/>
    <w:tmpl w:val="0A4C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6F1C3A"/>
    <w:multiLevelType w:val="multilevel"/>
    <w:tmpl w:val="2E94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FA27F3"/>
    <w:multiLevelType w:val="multilevel"/>
    <w:tmpl w:val="AF4C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372426"/>
    <w:multiLevelType w:val="multilevel"/>
    <w:tmpl w:val="0D34E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5C73B0"/>
    <w:multiLevelType w:val="multilevel"/>
    <w:tmpl w:val="CE6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170310"/>
    <w:multiLevelType w:val="multilevel"/>
    <w:tmpl w:val="65E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8E01C4"/>
    <w:multiLevelType w:val="multilevel"/>
    <w:tmpl w:val="B66A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787D7C"/>
    <w:multiLevelType w:val="multilevel"/>
    <w:tmpl w:val="B5E0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414154"/>
    <w:multiLevelType w:val="multilevel"/>
    <w:tmpl w:val="D65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D50041"/>
    <w:multiLevelType w:val="multilevel"/>
    <w:tmpl w:val="D204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8"/>
  </w:num>
  <w:num w:numId="2" w16cid:durableId="1976987853">
    <w:abstractNumId w:val="3"/>
  </w:num>
  <w:num w:numId="3" w16cid:durableId="1261523183">
    <w:abstractNumId w:val="18"/>
  </w:num>
  <w:num w:numId="4" w16cid:durableId="1312832044">
    <w:abstractNumId w:val="24"/>
  </w:num>
  <w:num w:numId="5" w16cid:durableId="1001618402">
    <w:abstractNumId w:val="14"/>
  </w:num>
  <w:num w:numId="6" w16cid:durableId="5518587">
    <w:abstractNumId w:val="26"/>
  </w:num>
  <w:num w:numId="7" w16cid:durableId="2134395725">
    <w:abstractNumId w:val="22"/>
  </w:num>
  <w:num w:numId="8" w16cid:durableId="474177735">
    <w:abstractNumId w:val="10"/>
  </w:num>
  <w:num w:numId="9" w16cid:durableId="1313489190">
    <w:abstractNumId w:val="30"/>
  </w:num>
  <w:num w:numId="10" w16cid:durableId="2062438310">
    <w:abstractNumId w:val="2"/>
  </w:num>
  <w:num w:numId="11" w16cid:durableId="243732013">
    <w:abstractNumId w:val="25"/>
  </w:num>
  <w:num w:numId="12" w16cid:durableId="1661620523">
    <w:abstractNumId w:val="5"/>
  </w:num>
  <w:num w:numId="13" w16cid:durableId="454829709">
    <w:abstractNumId w:val="9"/>
  </w:num>
  <w:num w:numId="14" w16cid:durableId="1409228312">
    <w:abstractNumId w:val="11"/>
  </w:num>
  <w:num w:numId="15" w16cid:durableId="1719428462">
    <w:abstractNumId w:val="17"/>
  </w:num>
  <w:num w:numId="16" w16cid:durableId="268320180">
    <w:abstractNumId w:val="29"/>
  </w:num>
  <w:num w:numId="17" w16cid:durableId="1369793575">
    <w:abstractNumId w:val="4"/>
  </w:num>
  <w:num w:numId="18" w16cid:durableId="342632357">
    <w:abstractNumId w:val="1"/>
  </w:num>
  <w:num w:numId="19" w16cid:durableId="55711929">
    <w:abstractNumId w:val="13"/>
  </w:num>
  <w:num w:numId="20" w16cid:durableId="766466471">
    <w:abstractNumId w:val="15"/>
  </w:num>
  <w:num w:numId="21" w16cid:durableId="410078483">
    <w:abstractNumId w:val="7"/>
  </w:num>
  <w:num w:numId="22" w16cid:durableId="1443576832">
    <w:abstractNumId w:val="21"/>
  </w:num>
  <w:num w:numId="23" w16cid:durableId="523061605">
    <w:abstractNumId w:val="16"/>
  </w:num>
  <w:num w:numId="24" w16cid:durableId="1023483680">
    <w:abstractNumId w:val="0"/>
  </w:num>
  <w:num w:numId="25" w16cid:durableId="1891651535">
    <w:abstractNumId w:val="20"/>
  </w:num>
  <w:num w:numId="26" w16cid:durableId="1756315146">
    <w:abstractNumId w:val="12"/>
  </w:num>
  <w:num w:numId="27" w16cid:durableId="28379372">
    <w:abstractNumId w:val="6"/>
  </w:num>
  <w:num w:numId="28" w16cid:durableId="784885975">
    <w:abstractNumId w:val="19"/>
  </w:num>
  <w:num w:numId="29" w16cid:durableId="1429764948">
    <w:abstractNumId w:val="27"/>
  </w:num>
  <w:num w:numId="30" w16cid:durableId="1073354273">
    <w:abstractNumId w:val="23"/>
  </w:num>
  <w:num w:numId="31" w16cid:durableId="163547809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47425"/>
    <w:rsid w:val="00053121"/>
    <w:rsid w:val="00061491"/>
    <w:rsid w:val="00065298"/>
    <w:rsid w:val="000778AD"/>
    <w:rsid w:val="000A1619"/>
    <w:rsid w:val="000E0175"/>
    <w:rsid w:val="000E1066"/>
    <w:rsid w:val="00122234"/>
    <w:rsid w:val="00143CF0"/>
    <w:rsid w:val="0016208C"/>
    <w:rsid w:val="001D6DE8"/>
    <w:rsid w:val="001E05F0"/>
    <w:rsid w:val="001E2513"/>
    <w:rsid w:val="001E4959"/>
    <w:rsid w:val="001F1442"/>
    <w:rsid w:val="002406CF"/>
    <w:rsid w:val="0024502C"/>
    <w:rsid w:val="00250688"/>
    <w:rsid w:val="00261A94"/>
    <w:rsid w:val="00261CD1"/>
    <w:rsid w:val="0026477A"/>
    <w:rsid w:val="002670D1"/>
    <w:rsid w:val="00271741"/>
    <w:rsid w:val="002A3106"/>
    <w:rsid w:val="00380C82"/>
    <w:rsid w:val="0038387E"/>
    <w:rsid w:val="003874FB"/>
    <w:rsid w:val="003A40AC"/>
    <w:rsid w:val="003D6819"/>
    <w:rsid w:val="003F1942"/>
    <w:rsid w:val="00454BE9"/>
    <w:rsid w:val="004639DD"/>
    <w:rsid w:val="004855F3"/>
    <w:rsid w:val="0052203F"/>
    <w:rsid w:val="00535C4D"/>
    <w:rsid w:val="005562AF"/>
    <w:rsid w:val="00575B64"/>
    <w:rsid w:val="005B3BD6"/>
    <w:rsid w:val="005C4986"/>
    <w:rsid w:val="005F3DEC"/>
    <w:rsid w:val="0060573B"/>
    <w:rsid w:val="006363BC"/>
    <w:rsid w:val="00691B95"/>
    <w:rsid w:val="006D4AD4"/>
    <w:rsid w:val="006F4E03"/>
    <w:rsid w:val="007D1662"/>
    <w:rsid w:val="00807AA1"/>
    <w:rsid w:val="00830A22"/>
    <w:rsid w:val="00841438"/>
    <w:rsid w:val="00852F51"/>
    <w:rsid w:val="008535D1"/>
    <w:rsid w:val="00864613"/>
    <w:rsid w:val="0089710C"/>
    <w:rsid w:val="008C5A8E"/>
    <w:rsid w:val="008D5357"/>
    <w:rsid w:val="00925C7C"/>
    <w:rsid w:val="0095427D"/>
    <w:rsid w:val="00957EC0"/>
    <w:rsid w:val="00974C84"/>
    <w:rsid w:val="009E1814"/>
    <w:rsid w:val="00A302BC"/>
    <w:rsid w:val="00A3402C"/>
    <w:rsid w:val="00A40287"/>
    <w:rsid w:val="00A4106D"/>
    <w:rsid w:val="00A918AE"/>
    <w:rsid w:val="00A94FD1"/>
    <w:rsid w:val="00A97A7C"/>
    <w:rsid w:val="00AA06F2"/>
    <w:rsid w:val="00B102AB"/>
    <w:rsid w:val="00B22DE0"/>
    <w:rsid w:val="00B92CB9"/>
    <w:rsid w:val="00B96F5A"/>
    <w:rsid w:val="00BA22BF"/>
    <w:rsid w:val="00BB4FEC"/>
    <w:rsid w:val="00BC5F38"/>
    <w:rsid w:val="00C00F5F"/>
    <w:rsid w:val="00C4231B"/>
    <w:rsid w:val="00C94490"/>
    <w:rsid w:val="00C965B9"/>
    <w:rsid w:val="00CA064E"/>
    <w:rsid w:val="00CB64BE"/>
    <w:rsid w:val="00CF47E9"/>
    <w:rsid w:val="00D150CD"/>
    <w:rsid w:val="00D41CB7"/>
    <w:rsid w:val="00D843CF"/>
    <w:rsid w:val="00DC0BE2"/>
    <w:rsid w:val="00DC6C52"/>
    <w:rsid w:val="00DD6051"/>
    <w:rsid w:val="00E15647"/>
    <w:rsid w:val="00E75685"/>
    <w:rsid w:val="00E77780"/>
    <w:rsid w:val="00EA3EA9"/>
    <w:rsid w:val="00ED0A7F"/>
    <w:rsid w:val="00ED5C01"/>
    <w:rsid w:val="00EF14BA"/>
    <w:rsid w:val="00F02C92"/>
    <w:rsid w:val="00F219B4"/>
    <w:rsid w:val="00F237E4"/>
    <w:rsid w:val="00F5007B"/>
    <w:rsid w:val="00F532FA"/>
    <w:rsid w:val="00F7053A"/>
    <w:rsid w:val="00F91E80"/>
    <w:rsid w:val="00F95DA4"/>
    <w:rsid w:val="00FD5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9A40"/>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20578</Words>
  <Characters>117299</Characters>
  <Application>Microsoft Office Word</Application>
  <DocSecurity>0</DocSecurity>
  <Lines>977</Lines>
  <Paragraphs>275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37</cp:revision>
  <dcterms:created xsi:type="dcterms:W3CDTF">2025-11-06T12:34:00Z</dcterms:created>
  <dcterms:modified xsi:type="dcterms:W3CDTF">2025-11-08T07:22:00Z</dcterms:modified>
</cp:coreProperties>
</file>