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DBBC9" w14:textId="77777777" w:rsidR="00781B53" w:rsidRPr="003D1437" w:rsidRDefault="00781B53" w:rsidP="00781B53">
      <w:pPr>
        <w:spacing w:after="200" w:line="240" w:lineRule="auto"/>
        <w:rPr>
          <w:rFonts w:ascii="Times New Roman" w:eastAsia="Times New Roman" w:hAnsi="Times New Roman" w:cs="Times New Roman"/>
          <w:sz w:val="24"/>
          <w:szCs w:val="24"/>
        </w:rPr>
      </w:pPr>
      <w:r w:rsidRPr="003D1437">
        <w:rPr>
          <w:rFonts w:ascii="Times New Roman" w:eastAsia="Times New Roman" w:hAnsi="Times New Roman" w:cs="Times New Roman"/>
          <w:noProof/>
          <w:sz w:val="24"/>
          <w:szCs w:val="24"/>
        </w:rPr>
        <w:drawing>
          <wp:anchor distT="0" distB="0" distL="114300" distR="114300" simplePos="0" relativeHeight="251705344" behindDoc="0" locked="0" layoutInCell="1" allowOverlap="1" wp14:anchorId="126C9AF9" wp14:editId="6B4FE821">
            <wp:simplePos x="0" y="0"/>
            <wp:positionH relativeFrom="column">
              <wp:posOffset>358775</wp:posOffset>
            </wp:positionH>
            <wp:positionV relativeFrom="paragraph">
              <wp:posOffset>10795</wp:posOffset>
            </wp:positionV>
            <wp:extent cx="2258060" cy="1066800"/>
            <wp:effectExtent l="0" t="0" r="889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8060" cy="1066800"/>
                    </a:xfrm>
                    <a:prstGeom prst="rect">
                      <a:avLst/>
                    </a:prstGeom>
                  </pic:spPr>
                </pic:pic>
              </a:graphicData>
            </a:graphic>
            <wp14:sizeRelH relativeFrom="margin">
              <wp14:pctWidth>0</wp14:pctWidth>
            </wp14:sizeRelH>
            <wp14:sizeRelV relativeFrom="margin">
              <wp14:pctHeight>0</wp14:pctHeight>
            </wp14:sizeRelV>
          </wp:anchor>
        </w:drawing>
      </w:r>
    </w:p>
    <w:p w14:paraId="6E69D307" w14:textId="77777777" w:rsidR="00781B53" w:rsidRPr="003D1437" w:rsidRDefault="00781B53" w:rsidP="00781B53">
      <w:pPr>
        <w:spacing w:after="200" w:line="276" w:lineRule="auto"/>
        <w:rPr>
          <w:rFonts w:ascii="Times New Roman" w:eastAsia="Times New Roman" w:hAnsi="Times New Roman" w:cs="Times New Roman"/>
          <w:sz w:val="24"/>
          <w:szCs w:val="24"/>
          <w:rtl/>
        </w:rPr>
      </w:pPr>
      <w:r w:rsidRPr="003D1437">
        <w:rPr>
          <w:rFonts w:ascii="Traditional Arabic" w:eastAsia="Calibri" w:hAnsi="Traditional Arabic" w:cs="Traditional Arabic"/>
          <w:b/>
          <w:bCs/>
          <w:noProof/>
          <w:sz w:val="28"/>
          <w:szCs w:val="28"/>
          <w:rtl/>
        </w:rPr>
        <mc:AlternateContent>
          <mc:Choice Requires="wps">
            <w:drawing>
              <wp:anchor distT="0" distB="0" distL="114300" distR="114300" simplePos="0" relativeHeight="251706368" behindDoc="0" locked="0" layoutInCell="1" allowOverlap="1" wp14:anchorId="7787982B" wp14:editId="7555E616">
                <wp:simplePos x="0" y="0"/>
                <wp:positionH relativeFrom="margin">
                  <wp:align>right</wp:align>
                </wp:positionH>
                <wp:positionV relativeFrom="paragraph">
                  <wp:posOffset>11521</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F3D6029" w14:textId="77777777" w:rsidR="00781B53" w:rsidRPr="0039166C" w:rsidRDefault="00781B53" w:rsidP="00781B53">
                            <w:pPr>
                              <w:jc w:val="center"/>
                              <w:rPr>
                                <w:b/>
                                <w:bCs/>
                                <w:sz w:val="28"/>
                                <w:szCs w:val="28"/>
                                <w:rtl/>
                                <w:lang w:bidi="ar-EG"/>
                              </w:rPr>
                            </w:pPr>
                            <w:r w:rsidRPr="0039166C">
                              <w:rPr>
                                <w:rFonts w:hint="cs"/>
                                <w:b/>
                                <w:bCs/>
                                <w:sz w:val="28"/>
                                <w:szCs w:val="28"/>
                                <w:rtl/>
                                <w:lang w:bidi="ar-EG"/>
                              </w:rPr>
                              <w:t xml:space="preserve">جامعة ميد اوشن </w:t>
                            </w:r>
                          </w:p>
                          <w:p w14:paraId="609EE3C1" w14:textId="77777777" w:rsidR="00781B53" w:rsidRPr="0039166C" w:rsidRDefault="00781B53" w:rsidP="00781B5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87982B" id="Rectangle 53" o:spid="_x0000_s1026" style="position:absolute;margin-left:63.6pt;margin-top:.9pt;width:114.8pt;height:1in;z-index:25170636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HtcHrncAAAABgEAAA8AAABkcnMvZG93bnJldi54&#10;bWxMj8FuwjAQRO+V+AdrkXqpikNUKE3jIFQJ9YZUiNSriZckarwOtgPh77s9lePsrGbe5OvRduKC&#10;PrSOFMxnCQikypmWagXlYfu8AhGiJqM7R6jghgHWxeQh15lxV/rCyz7WgkMoZFpBE2OfSRmqBq0O&#10;M9cjsXdy3urI0tfSeH3lcNvJNEmW0uqWuKHRPX40WP3sB6vgVJXy81uet4fa78rXzTgsbrsnpR6n&#10;4+YdRMQx/j/DHz6jQ8FMRzeQCaJTwEMiXxmfzTR9W4I4sn5ZrEAWubzHL34BAAD//wMAUEsBAi0A&#10;FAAGAAgAAAAhALaDOJL+AAAA4QEAABMAAAAAAAAAAAAAAAAAAAAAAFtDb250ZW50X1R5cGVzXS54&#10;bWxQSwECLQAUAAYACAAAACEAOP0h/9YAAACUAQAACwAAAAAAAAAAAAAAAAAvAQAAX3JlbHMvLnJl&#10;bHNQSwECLQAUAAYACAAAACEA7ibRlGECAAD2BAAADgAAAAAAAAAAAAAAAAAuAgAAZHJzL2Uyb0Rv&#10;Yy54bWxQSwECLQAUAAYACAAAACEAe1weudwAAAAGAQAADwAAAAAAAAAAAAAAAAC7BAAAZHJzL2Rv&#10;d25yZXYueG1sUEsFBgAAAAAEAAQA8wAAAMQFAAAAAA==&#10;" fillcolor="window" strokecolor="window" strokeweight="1pt">
                <v:textbox>
                  <w:txbxContent>
                    <w:p w14:paraId="2F3D6029" w14:textId="77777777" w:rsidR="00781B53" w:rsidRPr="0039166C" w:rsidRDefault="00781B53" w:rsidP="00781B53">
                      <w:pPr>
                        <w:jc w:val="center"/>
                        <w:rPr>
                          <w:b/>
                          <w:bCs/>
                          <w:sz w:val="28"/>
                          <w:szCs w:val="28"/>
                          <w:rtl/>
                          <w:lang w:bidi="ar-EG"/>
                        </w:rPr>
                      </w:pPr>
                      <w:r w:rsidRPr="0039166C">
                        <w:rPr>
                          <w:rFonts w:hint="cs"/>
                          <w:b/>
                          <w:bCs/>
                          <w:sz w:val="28"/>
                          <w:szCs w:val="28"/>
                          <w:rtl/>
                          <w:lang w:bidi="ar-EG"/>
                        </w:rPr>
                        <w:t xml:space="preserve">جامعة ميد اوشن </w:t>
                      </w:r>
                    </w:p>
                    <w:p w14:paraId="609EE3C1" w14:textId="77777777" w:rsidR="00781B53" w:rsidRPr="0039166C" w:rsidRDefault="00781B53" w:rsidP="00781B5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w10:wrap anchorx="margin"/>
              </v:rect>
            </w:pict>
          </mc:Fallback>
        </mc:AlternateContent>
      </w:r>
    </w:p>
    <w:p w14:paraId="6CD1988B" w14:textId="77777777" w:rsidR="00781B53" w:rsidRPr="003D1437" w:rsidRDefault="00781B53" w:rsidP="00781B53">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D1437" w:rsidRPr="003D1437" w14:paraId="209D11FF" w14:textId="77777777" w:rsidTr="00B5337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FD60701" w14:textId="77777777" w:rsidR="00781B53" w:rsidRPr="003D1437" w:rsidRDefault="00781B53" w:rsidP="00B5337C">
            <w:pPr>
              <w:spacing w:after="0" w:line="240" w:lineRule="auto"/>
              <w:jc w:val="center"/>
              <w:rPr>
                <w:rFonts w:ascii="Times New Roman" w:eastAsia="Times New Roman" w:hAnsi="Times New Roman" w:cs="Times New Roman"/>
                <w:sz w:val="24"/>
                <w:szCs w:val="24"/>
                <w:rtl/>
              </w:rPr>
            </w:pPr>
          </w:p>
          <w:p w14:paraId="10D78A9B" w14:textId="77777777" w:rsidR="00781B53" w:rsidRPr="003D1437" w:rsidRDefault="00781B53" w:rsidP="00B5337C">
            <w:pPr>
              <w:spacing w:after="0" w:line="240" w:lineRule="auto"/>
              <w:jc w:val="center"/>
              <w:rPr>
                <w:rFonts w:ascii="Times New Roman" w:eastAsia="Times New Roman" w:hAnsi="Times New Roman" w:cs="Times New Roman"/>
                <w:sz w:val="24"/>
                <w:szCs w:val="24"/>
              </w:rPr>
            </w:pPr>
          </w:p>
          <w:p w14:paraId="37ED1C99" w14:textId="77777777" w:rsidR="00781B53" w:rsidRPr="003D1437" w:rsidRDefault="00781B53" w:rsidP="00B5337C">
            <w:pPr>
              <w:spacing w:after="0" w:line="240" w:lineRule="auto"/>
              <w:jc w:val="right"/>
              <w:rPr>
                <w:rFonts w:ascii="Times New Roman" w:eastAsia="Times New Roman" w:hAnsi="Times New Roman" w:cs="Times New Roman"/>
                <w:sz w:val="24"/>
                <w:szCs w:val="24"/>
              </w:rPr>
            </w:pPr>
          </w:p>
          <w:p w14:paraId="1E6EED94" w14:textId="77777777" w:rsidR="00781B53" w:rsidRPr="003D1437" w:rsidRDefault="00781B53" w:rsidP="00B5337C">
            <w:pPr>
              <w:spacing w:before="60" w:after="0" w:line="240" w:lineRule="auto"/>
              <w:jc w:val="right"/>
              <w:rPr>
                <w:rFonts w:ascii="Times New Roman" w:eastAsia="Times New Roman" w:hAnsi="Times New Roman" w:cs="Times New Roman"/>
                <w:sz w:val="24"/>
                <w:szCs w:val="24"/>
              </w:rPr>
            </w:pPr>
          </w:p>
        </w:tc>
      </w:tr>
    </w:tbl>
    <w:p w14:paraId="44C82533" w14:textId="4E760CF9" w:rsidR="00781B53" w:rsidRPr="003D1437" w:rsidRDefault="00781B53" w:rsidP="00781B53">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sz w:val="36"/>
          <w:szCs w:val="36"/>
          <w:u w:color="0070C0"/>
          <w:bdr w:val="nil"/>
          <w:rtl/>
          <w:lang w:val="ar-SA"/>
          <w14:textOutline w14:w="0" w14:cap="flat" w14:cmpd="sng" w14:algn="ctr">
            <w14:noFill/>
            <w14:prstDash w14:val="solid"/>
            <w14:bevel/>
          </w14:textOutline>
        </w:rPr>
      </w:pPr>
      <w:r w:rsidRPr="003D1437">
        <w:rPr>
          <w:rFonts w:ascii="Times New Roman" w:eastAsia="Arial Unicode MS" w:hAnsi="Times New Roman" w:cs="Times New Roman"/>
          <w:b/>
          <w:bCs/>
          <w:sz w:val="36"/>
          <w:szCs w:val="36"/>
          <w:bdr w:val="nil"/>
          <w:rtl/>
          <w:lang w:val="ar-SA"/>
          <w14:textOutline w14:w="0" w14:cap="flat" w14:cmpd="sng" w14:algn="ctr">
            <w14:noFill/>
            <w14:prstDash w14:val="solid"/>
            <w14:bevel/>
          </w14:textOutline>
        </w:rPr>
        <w:t>التكيف التكنولوجي كعامل وسيط في تعزيز تأثير الذكاء الاصطناعي على كفاءة التخطيط الاستراتيجي بإدارة التعليم في مكة المكرمة</w:t>
      </w:r>
    </w:p>
    <w:p w14:paraId="4D47ECE5" w14:textId="77777777" w:rsidR="00781B53" w:rsidRPr="003D1437" w:rsidRDefault="00781B53" w:rsidP="00781B53">
      <w:pPr>
        <w:spacing w:after="80" w:line="240" w:lineRule="auto"/>
        <w:jc w:val="center"/>
        <w:rPr>
          <w:rFonts w:ascii="Times New Roman" w:eastAsia="Times New Roman" w:hAnsi="Times New Roman" w:cs="Times New Roman"/>
          <w:b/>
          <w:bCs/>
          <w:sz w:val="32"/>
          <w:szCs w:val="32"/>
        </w:rPr>
      </w:pPr>
    </w:p>
    <w:p w14:paraId="5B57DF16" w14:textId="77777777" w:rsidR="00781B53" w:rsidRPr="003D1437" w:rsidRDefault="00781B53" w:rsidP="00781B53">
      <w:pPr>
        <w:spacing w:after="80" w:line="240" w:lineRule="auto"/>
        <w:jc w:val="center"/>
        <w:rPr>
          <w:rFonts w:ascii="Times New Roman" w:eastAsia="Times New Roman" w:hAnsi="Times New Roman" w:cs="Times New Roman"/>
          <w:b/>
          <w:bCs/>
          <w:sz w:val="32"/>
          <w:szCs w:val="32"/>
        </w:rPr>
      </w:pPr>
    </w:p>
    <w:p w14:paraId="55163D49"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p>
    <w:p w14:paraId="513A01BE" w14:textId="77777777" w:rsidR="00781B53" w:rsidRPr="003D1437" w:rsidRDefault="00781B53" w:rsidP="00781B53">
      <w:pPr>
        <w:spacing w:after="80" w:line="240" w:lineRule="auto"/>
        <w:jc w:val="center"/>
        <w:rPr>
          <w:rFonts w:ascii="Times New Roman" w:eastAsia="Times New Roman" w:hAnsi="Times New Roman" w:cs="Times New Roman"/>
          <w:sz w:val="32"/>
          <w:szCs w:val="32"/>
        </w:rPr>
      </w:pPr>
    </w:p>
    <w:p w14:paraId="3961C944" w14:textId="77777777" w:rsidR="00781B53" w:rsidRPr="003D1437" w:rsidRDefault="00781B53" w:rsidP="00781B53">
      <w:pPr>
        <w:spacing w:after="80" w:line="240" w:lineRule="auto"/>
        <w:jc w:val="center"/>
        <w:rPr>
          <w:rFonts w:ascii="Times New Roman" w:eastAsia="Times New Roman" w:hAnsi="Times New Roman" w:cs="Times New Roman"/>
          <w:sz w:val="32"/>
          <w:szCs w:val="32"/>
          <w:rtl/>
        </w:rPr>
      </w:pPr>
      <w:r w:rsidRPr="003D1437">
        <w:rPr>
          <w:rFonts w:ascii="Times New Roman" w:eastAsia="Times New Roman" w:hAnsi="Times New Roman" w:cs="Times New Roman" w:hint="cs"/>
          <w:sz w:val="32"/>
          <w:szCs w:val="32"/>
          <w:rtl/>
        </w:rPr>
        <w:t>إعداد</w:t>
      </w:r>
    </w:p>
    <w:p w14:paraId="7772F71D" w14:textId="013DDA4A" w:rsidR="00781B53" w:rsidRPr="003D1437" w:rsidRDefault="00452F1B" w:rsidP="00781B53">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sz w:val="32"/>
          <w:szCs w:val="32"/>
          <w:u w:color="0000FF"/>
          <w:bdr w:val="nil"/>
          <w:rtl/>
          <w:lang w:val="ar-SA"/>
          <w14:textOutline w14:w="12700" w14:cap="flat" w14:cmpd="sng" w14:algn="ctr">
            <w14:noFill/>
            <w14:prstDash w14:val="solid"/>
            <w14:miter w14:lim="400000"/>
          </w14:textOutline>
        </w:rPr>
      </w:pPr>
      <w:r w:rsidRPr="00452F1B">
        <w:rPr>
          <w:rFonts w:ascii="Simplified Arabic" w:eastAsia="Arial Unicode MS" w:hAnsi="Simplified Arabic" w:cs="Simplified Arabic"/>
          <w:b/>
          <w:bCs/>
          <w:sz w:val="32"/>
          <w:szCs w:val="32"/>
          <w:u w:color="0000FF"/>
          <w:bdr w:val="nil"/>
          <w:rtl/>
          <w:lang w:val="ar-SA"/>
          <w14:textOutline w14:w="12700" w14:cap="flat" w14:cmpd="sng" w14:algn="ctr">
            <w14:noFill/>
            <w14:prstDash w14:val="solid"/>
            <w14:miter w14:lim="400000"/>
          </w14:textOutline>
        </w:rPr>
        <w:t>أمل عباس طويلي</w:t>
      </w:r>
    </w:p>
    <w:p w14:paraId="107F0355" w14:textId="77777777" w:rsidR="00781B53" w:rsidRPr="003D1437" w:rsidRDefault="00781B53" w:rsidP="00781B53">
      <w:pPr>
        <w:spacing w:after="60" w:line="240" w:lineRule="auto"/>
        <w:rPr>
          <w:rFonts w:ascii="Times New Roman" w:eastAsia="Times New Roman" w:hAnsi="Times New Roman" w:cs="Times New Roman"/>
          <w:sz w:val="28"/>
          <w:szCs w:val="28"/>
        </w:rPr>
      </w:pPr>
    </w:p>
    <w:p w14:paraId="73AF87A7" w14:textId="77777777" w:rsidR="00781B53" w:rsidRPr="003D1437" w:rsidRDefault="00781B53" w:rsidP="00781B53">
      <w:pPr>
        <w:spacing w:after="60" w:line="240" w:lineRule="auto"/>
        <w:rPr>
          <w:rFonts w:ascii="Times New Roman" w:eastAsia="Times New Roman" w:hAnsi="Times New Roman" w:cs="Times New Roman"/>
          <w:sz w:val="28"/>
          <w:szCs w:val="28"/>
          <w:rtl/>
        </w:rPr>
      </w:pPr>
    </w:p>
    <w:p w14:paraId="2FF3FF37" w14:textId="77777777" w:rsidR="00781B53" w:rsidRPr="003D1437" w:rsidRDefault="00781B53" w:rsidP="00781B53">
      <w:pPr>
        <w:spacing w:after="60" w:line="276" w:lineRule="auto"/>
        <w:rPr>
          <w:rFonts w:ascii="Times New Roman" w:eastAsia="Times New Roman" w:hAnsi="Times New Roman" w:cs="Times New Roman"/>
          <w:sz w:val="28"/>
          <w:szCs w:val="28"/>
        </w:rPr>
      </w:pPr>
    </w:p>
    <w:p w14:paraId="3E92AA09" w14:textId="77E719AB" w:rsidR="00781B53" w:rsidRPr="003D1437" w:rsidRDefault="00781B53" w:rsidP="00781B53">
      <w:pPr>
        <w:bidi/>
        <w:spacing w:after="60" w:line="276" w:lineRule="auto"/>
        <w:jc w:val="center"/>
        <w:rPr>
          <w:rFonts w:ascii="Times New Roman" w:eastAsia="Times New Roman" w:hAnsi="Times New Roman" w:cs="Times New Roman"/>
          <w:sz w:val="28"/>
          <w:szCs w:val="28"/>
          <w:rtl/>
        </w:rPr>
      </w:pPr>
      <w:r w:rsidRPr="003D1437">
        <w:rPr>
          <w:rFonts w:ascii="Times New Roman" w:eastAsia="Times New Roman" w:hAnsi="Times New Roman" w:cs="Times New Roman"/>
          <w:sz w:val="28"/>
          <w:szCs w:val="28"/>
          <w:rtl/>
        </w:rPr>
        <w:t xml:space="preserve">رسالة مقدمة </w:t>
      </w:r>
      <w:r w:rsidRPr="003D1437">
        <w:rPr>
          <w:rFonts w:ascii="Times New Roman" w:eastAsia="Times New Roman" w:hAnsi="Times New Roman" w:cs="Times New Roman" w:hint="cs"/>
          <w:sz w:val="28"/>
          <w:szCs w:val="28"/>
          <w:rtl/>
        </w:rPr>
        <w:t>إلى برنامج الدكتوراة</w:t>
      </w:r>
    </w:p>
    <w:p w14:paraId="1B91F8EF" w14:textId="394D7357" w:rsidR="00781B53" w:rsidRPr="003D1437" w:rsidRDefault="00781B53" w:rsidP="00781B53">
      <w:pPr>
        <w:bidi/>
        <w:spacing w:after="0" w:line="276" w:lineRule="auto"/>
        <w:jc w:val="center"/>
        <w:rPr>
          <w:rFonts w:ascii="Times New Roman" w:eastAsia="Times New Roman" w:hAnsi="Times New Roman" w:cs="Times New Roman"/>
          <w:b/>
          <w:bCs/>
          <w:sz w:val="28"/>
          <w:szCs w:val="28"/>
        </w:rPr>
      </w:pPr>
      <w:r w:rsidRPr="003D1437">
        <w:rPr>
          <w:rFonts w:ascii="Times New Roman" w:eastAsia="Times New Roman" w:hAnsi="Times New Roman" w:cs="Times New Roman"/>
          <w:b/>
          <w:bCs/>
          <w:sz w:val="28"/>
          <w:szCs w:val="28"/>
          <w:rtl/>
        </w:rPr>
        <w:t xml:space="preserve">كجزء من متطلبات نيل درجة </w:t>
      </w:r>
      <w:r w:rsidRPr="003D1437">
        <w:rPr>
          <w:rFonts w:ascii="Times New Roman" w:eastAsia="Times New Roman" w:hAnsi="Times New Roman" w:cs="Times New Roman" w:hint="cs"/>
          <w:b/>
          <w:bCs/>
          <w:sz w:val="28"/>
          <w:szCs w:val="28"/>
          <w:rtl/>
        </w:rPr>
        <w:t>دكتوراه</w:t>
      </w:r>
      <w:r w:rsidRPr="003D1437">
        <w:rPr>
          <w:rFonts w:ascii="Times New Roman" w:eastAsia="Times New Roman" w:hAnsi="Times New Roman" w:cs="Times New Roman"/>
          <w:b/>
          <w:bCs/>
          <w:sz w:val="28"/>
          <w:szCs w:val="28"/>
          <w:rtl/>
        </w:rPr>
        <w:t xml:space="preserve"> </w:t>
      </w:r>
      <w:r w:rsidRPr="003D1437">
        <w:rPr>
          <w:rFonts w:ascii="Times New Roman" w:eastAsia="Times New Roman" w:hAnsi="Times New Roman" w:cs="Times New Roman" w:hint="cs"/>
          <w:b/>
          <w:bCs/>
          <w:sz w:val="28"/>
          <w:szCs w:val="28"/>
          <w:rtl/>
        </w:rPr>
        <w:t>الفلسفة في الادارة</w:t>
      </w:r>
    </w:p>
    <w:p w14:paraId="4A079E3F" w14:textId="77777777" w:rsidR="00781B53" w:rsidRPr="003D1437" w:rsidRDefault="00781B53" w:rsidP="00781B53">
      <w:pPr>
        <w:bidi/>
        <w:spacing w:after="0" w:line="276" w:lineRule="auto"/>
        <w:jc w:val="center"/>
        <w:rPr>
          <w:rFonts w:ascii="Times New Roman" w:eastAsia="Times New Roman" w:hAnsi="Times New Roman" w:cs="Times New Roman"/>
          <w:sz w:val="28"/>
          <w:szCs w:val="28"/>
          <w:rtl/>
        </w:rPr>
      </w:pPr>
    </w:p>
    <w:p w14:paraId="214EC449" w14:textId="77777777" w:rsidR="00781B53" w:rsidRPr="003D1437" w:rsidRDefault="00781B53" w:rsidP="00781B53">
      <w:pPr>
        <w:bidi/>
        <w:spacing w:after="0" w:line="276" w:lineRule="auto"/>
        <w:jc w:val="center"/>
        <w:rPr>
          <w:rFonts w:ascii="Times New Roman" w:eastAsia="Times New Roman" w:hAnsi="Times New Roman" w:cs="Times New Roman"/>
          <w:sz w:val="28"/>
          <w:szCs w:val="28"/>
          <w:rtl/>
        </w:rPr>
      </w:pPr>
    </w:p>
    <w:p w14:paraId="65CCDF7C" w14:textId="77777777" w:rsidR="00781B53" w:rsidRPr="003D1437" w:rsidRDefault="00781B53" w:rsidP="00781B53">
      <w:pPr>
        <w:bidi/>
        <w:spacing w:after="0" w:line="276" w:lineRule="auto"/>
        <w:jc w:val="center"/>
        <w:rPr>
          <w:rFonts w:ascii="Times New Roman" w:eastAsia="Times New Roman" w:hAnsi="Times New Roman" w:cs="Times New Roman"/>
          <w:sz w:val="28"/>
          <w:szCs w:val="28"/>
          <w:rtl/>
        </w:rPr>
      </w:pPr>
    </w:p>
    <w:p w14:paraId="7FA6965F"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3D1437">
        <w:rPr>
          <w:rFonts w:ascii="Times New Roman" w:eastAsia="Times New Roman" w:hAnsi="Times New Roman" w:cs="Times New Roman"/>
          <w:sz w:val="28"/>
          <w:szCs w:val="28"/>
          <w:rtl/>
        </w:rPr>
        <w:t>العام الجامعي</w:t>
      </w:r>
      <w:r w:rsidRPr="003D1437">
        <w:rPr>
          <w:rFonts w:ascii="Times New Roman" w:eastAsia="Times New Roman" w:hAnsi="Times New Roman" w:cs="Times New Roman"/>
          <w:sz w:val="28"/>
          <w:szCs w:val="28"/>
        </w:rPr>
        <w:t>2026 </w:t>
      </w:r>
      <w:r w:rsidRPr="003D1437">
        <w:rPr>
          <w:rFonts w:ascii="Times New Roman" w:eastAsia="Times New Roman" w:hAnsi="Times New Roman" w:cs="Times New Roman"/>
          <w:sz w:val="28"/>
          <w:szCs w:val="28"/>
          <w:rtl/>
        </w:rPr>
        <w:t>م</w:t>
      </w:r>
      <w:r w:rsidRPr="003D1437">
        <w:rPr>
          <w:rFonts w:ascii="Times New Roman" w:eastAsia="Times New Roman" w:hAnsi="Times New Roman" w:cs="Times New Roman"/>
          <w:b/>
          <w:bCs/>
          <w:sz w:val="28"/>
          <w:szCs w:val="28"/>
          <w:rtl/>
        </w:rPr>
        <w:t> </w:t>
      </w:r>
      <w:r w:rsidRPr="003D1437">
        <w:rPr>
          <w:rFonts w:ascii="Times New Roman" w:eastAsia="Times New Roman" w:hAnsi="Times New Roman" w:cs="Times New Roman"/>
          <w:b/>
          <w:bCs/>
          <w:sz w:val="28"/>
          <w:szCs w:val="28"/>
        </w:rPr>
        <w:br/>
      </w:r>
      <w:r w:rsidRPr="003D1437">
        <w:rPr>
          <w:rFonts w:ascii="Traditional Arabic" w:eastAsia="Calibri" w:hAnsi="Traditional Arabic" w:cs="Traditional Arabic"/>
          <w:b/>
          <w:bCs/>
          <w:sz w:val="28"/>
          <w:szCs w:val="28"/>
          <w:rtl/>
          <w:lang w:bidi="ar-EG"/>
        </w:rPr>
        <w:t xml:space="preserve">1447ه‍ - </w:t>
      </w:r>
      <w:r w:rsidRPr="003D1437">
        <w:rPr>
          <w:rFonts w:ascii="Traditional Arabic" w:eastAsia="Calibri" w:hAnsi="Traditional Arabic" w:cs="Traditional Arabic" w:hint="cs"/>
          <w:b/>
          <w:bCs/>
          <w:sz w:val="28"/>
          <w:szCs w:val="28"/>
          <w:rtl/>
          <w:lang w:bidi="ar-EG"/>
        </w:rPr>
        <w:t>1448ه</w:t>
      </w:r>
    </w:p>
    <w:p w14:paraId="34E3C428"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0E8FFEF"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F4249DB"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sectPr w:rsidR="00781B53" w:rsidRPr="003D1437" w:rsidSect="00781B53">
          <w:footerReference w:type="default" r:id="rId9"/>
          <w:pgSz w:w="12240" w:h="15840"/>
          <w:pgMar w:top="1440" w:right="1440" w:bottom="1440" w:left="1440" w:header="720" w:footer="720" w:gutter="0"/>
          <w:pgNumType w:fmt="arabicAbjad"/>
          <w:cols w:space="720"/>
          <w:titlePg/>
          <w:docGrid w:linePitch="360"/>
        </w:sectPr>
      </w:pPr>
    </w:p>
    <w:p w14:paraId="771FFD16" w14:textId="77777777" w:rsidR="00781B53" w:rsidRPr="003D1437" w:rsidRDefault="00781B53" w:rsidP="00781B53">
      <w:pPr>
        <w:spacing w:after="0" w:line="240" w:lineRule="auto"/>
        <w:rPr>
          <w:rFonts w:ascii="Times New Roman" w:eastAsia="Times New Roman" w:hAnsi="Times New Roman" w:cs="Times New Roman"/>
          <w:sz w:val="24"/>
          <w:szCs w:val="24"/>
        </w:rPr>
      </w:pPr>
      <w:r w:rsidRPr="003D1437">
        <w:rPr>
          <w:rFonts w:ascii="Times New Roman" w:eastAsia="Times New Roman" w:hAnsi="Times New Roman" w:cs="Times New Roman"/>
          <w:noProof/>
          <w:sz w:val="24"/>
          <w:szCs w:val="24"/>
        </w:rPr>
        <w:lastRenderedPageBreak/>
        <w:drawing>
          <wp:anchor distT="0" distB="0" distL="114300" distR="114300" simplePos="0" relativeHeight="251709440" behindDoc="0" locked="0" layoutInCell="1" allowOverlap="1" wp14:anchorId="1D33D2A8" wp14:editId="6825361E">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3D1437">
        <w:rPr>
          <w:rFonts w:ascii="Times New Roman" w:eastAsia="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769A1ADA" wp14:editId="11050400">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8770B9F" w14:textId="77777777" w:rsidR="00781B53" w:rsidRPr="0039166C" w:rsidRDefault="00781B53" w:rsidP="00781B53">
                            <w:pPr>
                              <w:rPr>
                                <w:b/>
                                <w:bCs/>
                                <w:sz w:val="28"/>
                                <w:szCs w:val="28"/>
                                <w:rtl/>
                                <w:lang w:bidi="ar-EG"/>
                              </w:rPr>
                            </w:pPr>
                            <w:r w:rsidRPr="0039166C">
                              <w:rPr>
                                <w:b/>
                                <w:bCs/>
                                <w:sz w:val="28"/>
                                <w:szCs w:val="28"/>
                                <w:lang w:bidi="ar-EG"/>
                              </w:rPr>
                              <w:t>Midocean University</w:t>
                            </w:r>
                          </w:p>
                          <w:p w14:paraId="6A05AF39" w14:textId="77777777" w:rsidR="00781B53" w:rsidRPr="0039166C" w:rsidRDefault="00781B53" w:rsidP="00781B5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9A1ADA" id="Rectangle 9" o:spid="_x0000_s1027" style="position:absolute;margin-left:349.2pt;margin-top:16.8pt;width:148.2pt;height:73.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58770B9F" w14:textId="77777777" w:rsidR="00781B53" w:rsidRPr="0039166C" w:rsidRDefault="00781B53" w:rsidP="00781B53">
                      <w:pPr>
                        <w:rPr>
                          <w:b/>
                          <w:bCs/>
                          <w:sz w:val="28"/>
                          <w:szCs w:val="28"/>
                          <w:rtl/>
                          <w:lang w:bidi="ar-EG"/>
                        </w:rPr>
                      </w:pPr>
                      <w:r w:rsidRPr="0039166C">
                        <w:rPr>
                          <w:b/>
                          <w:bCs/>
                          <w:sz w:val="28"/>
                          <w:szCs w:val="28"/>
                          <w:lang w:bidi="ar-EG"/>
                        </w:rPr>
                        <w:t>Midocean University</w:t>
                      </w:r>
                    </w:p>
                    <w:p w14:paraId="6A05AF39" w14:textId="77777777" w:rsidR="00781B53" w:rsidRPr="0039166C" w:rsidRDefault="00781B53" w:rsidP="00781B5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D1437" w:rsidRPr="003D1437" w14:paraId="0004FD4E" w14:textId="77777777" w:rsidTr="00B5337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3D3DF7" w14:textId="77777777" w:rsidR="00781B53" w:rsidRPr="003D1437" w:rsidRDefault="00781B53" w:rsidP="00B5337C">
            <w:pPr>
              <w:spacing w:after="0" w:line="240" w:lineRule="auto"/>
              <w:jc w:val="center"/>
              <w:rPr>
                <w:rFonts w:ascii="Times New Roman" w:eastAsia="Times New Roman" w:hAnsi="Times New Roman" w:cs="Times New Roman"/>
                <w:sz w:val="24"/>
                <w:szCs w:val="24"/>
              </w:rPr>
            </w:pPr>
          </w:p>
          <w:p w14:paraId="457EE1B4" w14:textId="77777777" w:rsidR="00781B53" w:rsidRPr="003D1437" w:rsidRDefault="00781B53" w:rsidP="00B5337C">
            <w:pPr>
              <w:spacing w:after="0" w:line="240" w:lineRule="auto"/>
              <w:jc w:val="center"/>
              <w:rPr>
                <w:rFonts w:ascii="Times New Roman" w:eastAsia="Times New Roman" w:hAnsi="Times New Roman" w:cs="Times New Roman"/>
                <w:sz w:val="24"/>
                <w:szCs w:val="24"/>
              </w:rPr>
            </w:pPr>
          </w:p>
          <w:p w14:paraId="2FA5A057" w14:textId="77777777" w:rsidR="00781B53" w:rsidRPr="003D1437" w:rsidRDefault="00781B53" w:rsidP="00B5337C">
            <w:pPr>
              <w:spacing w:before="60" w:after="0" w:line="240" w:lineRule="auto"/>
              <w:jc w:val="right"/>
              <w:rPr>
                <w:rFonts w:ascii="Times New Roman" w:eastAsia="Times New Roman" w:hAnsi="Times New Roman" w:cs="Times New Roman"/>
                <w:sz w:val="24"/>
                <w:szCs w:val="24"/>
              </w:rPr>
            </w:pPr>
          </w:p>
        </w:tc>
      </w:tr>
    </w:tbl>
    <w:p w14:paraId="5A7648B0" w14:textId="522DB26B" w:rsidR="00781B53" w:rsidRPr="003D1437" w:rsidRDefault="00781B53" w:rsidP="00781B53">
      <w:pPr>
        <w:spacing w:after="80" w:line="240" w:lineRule="auto"/>
        <w:jc w:val="center"/>
        <w:rPr>
          <w:rFonts w:ascii="Times New Roman" w:eastAsia="Times New Roman" w:hAnsi="Times New Roman" w:cs="Times New Roman"/>
          <w:b/>
          <w:bCs/>
          <w:sz w:val="32"/>
          <w:szCs w:val="32"/>
        </w:rPr>
      </w:pPr>
      <w:r w:rsidRPr="003D1437">
        <w:rPr>
          <w:rFonts w:ascii="Times New Roman" w:eastAsia="Times New Roman" w:hAnsi="Times New Roman" w:cs="Times New Roman"/>
          <w:b/>
          <w:bCs/>
          <w:sz w:val="32"/>
          <w:szCs w:val="32"/>
        </w:rPr>
        <w:t>TECHNOLOGICAL ADAPTATION AS A MEDIATING FACTOR IN ENHANCING THE IMPACT OF ARTIFICIAL INTELLIGENCE ON THE EFFICIENCY OF STRATEGIC PLANNING IN THE MAKKAH EDUCATION DEPARTMENT</w:t>
      </w:r>
    </w:p>
    <w:p w14:paraId="06CF805A"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p>
    <w:p w14:paraId="617BBA0F"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p>
    <w:p w14:paraId="629DC895"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sz w:val="28"/>
          <w:szCs w:val="28"/>
        </w:rPr>
        <w:t>Prepared by</w:t>
      </w:r>
    </w:p>
    <w:p w14:paraId="5A24F4FD" w14:textId="1E2115DF" w:rsidR="00781B53" w:rsidRPr="003D1437" w:rsidRDefault="00781B53" w:rsidP="00781B53">
      <w:pPr>
        <w:spacing w:after="0" w:line="240" w:lineRule="auto"/>
        <w:jc w:val="center"/>
        <w:rPr>
          <w:rFonts w:ascii="Times New Roman" w:eastAsia="Times New Roman" w:hAnsi="Times New Roman" w:cs="Times New Roman"/>
          <w:b/>
          <w:bCs/>
          <w:sz w:val="28"/>
          <w:szCs w:val="28"/>
          <w:rtl/>
        </w:rPr>
      </w:pPr>
      <w:r w:rsidRPr="003D1437">
        <w:rPr>
          <w:rFonts w:ascii="Times New Roman" w:eastAsia="Calibri" w:hAnsi="Times New Roman" w:cs="Times New Roman"/>
          <w:b/>
          <w:bCs/>
          <w:sz w:val="28"/>
          <w:szCs w:val="28"/>
        </w:rPr>
        <w:t xml:space="preserve">Amal </w:t>
      </w:r>
      <w:r w:rsidR="00452F1B" w:rsidRPr="00452F1B">
        <w:rPr>
          <w:rFonts w:ascii="Times New Roman" w:eastAsia="Calibri" w:hAnsi="Times New Roman" w:cs="Times New Roman"/>
          <w:b/>
          <w:bCs/>
          <w:sz w:val="28"/>
          <w:szCs w:val="28"/>
        </w:rPr>
        <w:t xml:space="preserve">Abbas </w:t>
      </w:r>
      <w:r w:rsidRPr="003D1437">
        <w:rPr>
          <w:rFonts w:ascii="Times New Roman" w:eastAsia="Calibri" w:hAnsi="Times New Roman" w:cs="Times New Roman"/>
          <w:b/>
          <w:bCs/>
          <w:sz w:val="28"/>
          <w:szCs w:val="28"/>
        </w:rPr>
        <w:t>Tawil</w:t>
      </w:r>
    </w:p>
    <w:p w14:paraId="56D76739" w14:textId="77777777" w:rsidR="00781B53" w:rsidRPr="003D1437" w:rsidRDefault="00781B53" w:rsidP="00781B53">
      <w:pPr>
        <w:spacing w:after="300" w:line="240"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hint="cs"/>
          <w:sz w:val="28"/>
          <w:szCs w:val="28"/>
          <w:rtl/>
        </w:rPr>
        <w:t xml:space="preserve"> </w:t>
      </w:r>
    </w:p>
    <w:p w14:paraId="209FE354" w14:textId="77777777" w:rsidR="00781B53" w:rsidRPr="003D1437" w:rsidRDefault="00781B53" w:rsidP="00781B53">
      <w:pPr>
        <w:spacing w:after="60" w:line="240" w:lineRule="auto"/>
        <w:rPr>
          <w:rFonts w:ascii="Times New Roman" w:eastAsia="Times New Roman" w:hAnsi="Times New Roman" w:cs="Times New Roman"/>
          <w:sz w:val="24"/>
          <w:szCs w:val="24"/>
        </w:rPr>
      </w:pPr>
    </w:p>
    <w:p w14:paraId="30E0DD64" w14:textId="77777777" w:rsidR="00781B53" w:rsidRPr="003D1437" w:rsidRDefault="00781B53" w:rsidP="00781B53">
      <w:pPr>
        <w:spacing w:after="60" w:line="240" w:lineRule="auto"/>
        <w:rPr>
          <w:rFonts w:ascii="Times New Roman" w:eastAsia="Times New Roman" w:hAnsi="Times New Roman" w:cs="Times New Roman"/>
          <w:sz w:val="24"/>
          <w:szCs w:val="24"/>
        </w:rPr>
      </w:pPr>
    </w:p>
    <w:p w14:paraId="3D9A10EE" w14:textId="77777777" w:rsidR="00781B53" w:rsidRPr="003D1437" w:rsidRDefault="00781B53" w:rsidP="00781B53">
      <w:pPr>
        <w:spacing w:after="60" w:line="276" w:lineRule="auto"/>
        <w:jc w:val="center"/>
        <w:rPr>
          <w:rFonts w:ascii="Times New Roman" w:eastAsia="Times New Roman" w:hAnsi="Times New Roman" w:cs="Times New Roman"/>
          <w:sz w:val="24"/>
          <w:szCs w:val="24"/>
        </w:rPr>
      </w:pPr>
    </w:p>
    <w:p w14:paraId="5A885EDD" w14:textId="77777777" w:rsidR="00781B53" w:rsidRPr="003D1437" w:rsidRDefault="00781B53" w:rsidP="00781B53">
      <w:pPr>
        <w:spacing w:after="60" w:line="276"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sz w:val="24"/>
          <w:szCs w:val="24"/>
        </w:rPr>
        <w:t>A Dissertation submitted to Doctorate Program</w:t>
      </w:r>
    </w:p>
    <w:p w14:paraId="3CAC2D69" w14:textId="77777777" w:rsidR="00781B53" w:rsidRPr="003D1437" w:rsidRDefault="00781B53" w:rsidP="00781B53">
      <w:pPr>
        <w:spacing w:after="60" w:line="276"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sz w:val="24"/>
          <w:szCs w:val="24"/>
        </w:rPr>
        <w:t>In partial fulfillment of the requirements for the Degree of</w:t>
      </w:r>
    </w:p>
    <w:p w14:paraId="3456E8EA" w14:textId="77777777" w:rsidR="00781B53" w:rsidRPr="003D1437" w:rsidRDefault="00781B53" w:rsidP="00781B53">
      <w:pPr>
        <w:spacing w:line="276" w:lineRule="auto"/>
        <w:jc w:val="center"/>
        <w:rPr>
          <w:rFonts w:ascii="Times New Roman" w:eastAsia="Times New Roman" w:hAnsi="Times New Roman" w:cs="Times New Roman"/>
          <w:b/>
          <w:bCs/>
          <w:sz w:val="24"/>
          <w:szCs w:val="24"/>
          <w:lang w:val="en"/>
        </w:rPr>
      </w:pPr>
      <w:r w:rsidRPr="003D1437">
        <w:rPr>
          <w:rFonts w:ascii="Times New Roman" w:eastAsia="Times New Roman" w:hAnsi="Times New Roman" w:cs="Times New Roman"/>
          <w:b/>
          <w:bCs/>
          <w:sz w:val="24"/>
          <w:szCs w:val="24"/>
        </w:rPr>
        <w:t xml:space="preserve">Doctor of Philosophy (PhD) In </w:t>
      </w:r>
      <w:r w:rsidRPr="003D1437">
        <w:rPr>
          <w:rFonts w:ascii="Times New Roman" w:eastAsia="Times New Roman" w:hAnsi="Times New Roman" w:cs="Times New Roman" w:hint="cs"/>
          <w:b/>
          <w:bCs/>
          <w:sz w:val="24"/>
          <w:szCs w:val="24"/>
          <w:lang w:val="en"/>
        </w:rPr>
        <w:t>Management</w:t>
      </w:r>
    </w:p>
    <w:p w14:paraId="053235B3" w14:textId="77777777" w:rsidR="00781B53" w:rsidRPr="003D1437" w:rsidRDefault="00781B53" w:rsidP="00781B53">
      <w:pPr>
        <w:spacing w:after="0" w:line="276" w:lineRule="auto"/>
        <w:jc w:val="center"/>
        <w:rPr>
          <w:rFonts w:ascii="Times New Roman" w:eastAsia="Times New Roman" w:hAnsi="Times New Roman" w:cs="Times New Roman"/>
          <w:b/>
          <w:bCs/>
          <w:sz w:val="24"/>
          <w:szCs w:val="24"/>
          <w:lang w:val="en"/>
        </w:rPr>
      </w:pPr>
    </w:p>
    <w:p w14:paraId="7242BB96" w14:textId="77777777" w:rsidR="00781B53" w:rsidRPr="003D1437" w:rsidRDefault="00781B53" w:rsidP="00781B53">
      <w:pPr>
        <w:spacing w:after="0" w:line="276" w:lineRule="auto"/>
        <w:jc w:val="center"/>
        <w:rPr>
          <w:rFonts w:ascii="Times New Roman" w:eastAsia="Times New Roman" w:hAnsi="Times New Roman" w:cs="Times New Roman"/>
          <w:sz w:val="24"/>
          <w:szCs w:val="24"/>
          <w:rtl/>
        </w:rPr>
      </w:pPr>
    </w:p>
    <w:p w14:paraId="0523661A" w14:textId="77777777" w:rsidR="00781B53" w:rsidRPr="003D1437" w:rsidRDefault="00781B53" w:rsidP="00781B53">
      <w:pPr>
        <w:spacing w:after="0" w:line="276" w:lineRule="auto"/>
        <w:jc w:val="center"/>
        <w:rPr>
          <w:rFonts w:ascii="Times New Roman" w:eastAsia="Times New Roman" w:hAnsi="Times New Roman" w:cs="Times New Roman"/>
          <w:sz w:val="24"/>
          <w:szCs w:val="24"/>
          <w:rtl/>
        </w:rPr>
      </w:pPr>
    </w:p>
    <w:p w14:paraId="3A10A99F" w14:textId="77777777" w:rsidR="00781B53" w:rsidRPr="003D1437" w:rsidRDefault="00781B53" w:rsidP="00781B53">
      <w:pPr>
        <w:spacing w:after="0" w:line="276" w:lineRule="auto"/>
        <w:jc w:val="center"/>
        <w:rPr>
          <w:rFonts w:ascii="Times New Roman" w:eastAsia="Times New Roman" w:hAnsi="Times New Roman" w:cs="Times New Roman"/>
          <w:sz w:val="24"/>
          <w:szCs w:val="24"/>
          <w:rtl/>
        </w:rPr>
      </w:pPr>
    </w:p>
    <w:p w14:paraId="2C47F8C1" w14:textId="77777777" w:rsidR="00781B53" w:rsidRPr="003D1437" w:rsidRDefault="00781B53" w:rsidP="00781B5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3D1437">
        <w:rPr>
          <w:rFonts w:ascii="Times New Roman" w:eastAsia="Times New Roman" w:hAnsi="Times New Roman" w:cs="Times New Roman"/>
          <w:sz w:val="24"/>
          <w:szCs w:val="24"/>
        </w:rPr>
        <w:t>Academic Year: 2026 AD</w:t>
      </w:r>
      <w:r w:rsidRPr="003D1437">
        <w:rPr>
          <w:rFonts w:ascii="Times New Roman" w:eastAsia="Times New Roman" w:hAnsi="Times New Roman" w:cs="Times New Roman"/>
          <w:b/>
          <w:bCs/>
          <w:sz w:val="24"/>
          <w:szCs w:val="24"/>
          <w:rtl/>
        </w:rPr>
        <w:t> </w:t>
      </w:r>
      <w:r w:rsidRPr="003D1437">
        <w:rPr>
          <w:rFonts w:ascii="Times New Roman" w:eastAsia="Times New Roman" w:hAnsi="Times New Roman" w:cs="Times New Roman"/>
          <w:b/>
          <w:bCs/>
          <w:sz w:val="24"/>
          <w:szCs w:val="24"/>
          <w:rtl/>
        </w:rPr>
        <w:br/>
      </w:r>
      <w:r w:rsidRPr="003D1437">
        <w:rPr>
          <w:rFonts w:ascii="Times New Roman" w:eastAsia="Times New Roman" w:hAnsi="Times New Roman" w:cs="Times New Roman"/>
          <w:sz w:val="24"/>
          <w:szCs w:val="24"/>
          <w:rtl/>
        </w:rPr>
        <w:t xml:space="preserve">1447–1448 </w:t>
      </w:r>
      <w:r w:rsidRPr="003D1437">
        <w:rPr>
          <w:rFonts w:ascii="Times New Roman" w:eastAsia="Times New Roman" w:hAnsi="Times New Roman" w:cs="Times New Roman"/>
          <w:sz w:val="24"/>
          <w:szCs w:val="24"/>
        </w:rPr>
        <w:t>AH</w:t>
      </w:r>
    </w:p>
    <w:p w14:paraId="601EBC3C"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6282583"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3FAD2D5" w14:textId="77777777" w:rsidR="00781B53" w:rsidRPr="003D1437" w:rsidRDefault="00781B53" w:rsidP="00781B53">
      <w:pPr>
        <w:bidi/>
        <w:jc w:val="center"/>
        <w:rPr>
          <w:rFonts w:ascii="Traditional Arabic" w:hAnsi="Traditional Arabic" w:cs="Traditional Arabic"/>
          <w:b/>
          <w:bCs/>
          <w:sz w:val="24"/>
          <w:szCs w:val="24"/>
          <w:rtl/>
        </w:rPr>
      </w:pPr>
    </w:p>
    <w:p w14:paraId="03733779" w14:textId="7A36E5F0" w:rsidR="00FE70A4" w:rsidRPr="003D1437" w:rsidRDefault="00FE70A4" w:rsidP="00164577">
      <w:pPr>
        <w:bidi/>
        <w:jc w:val="center"/>
        <w:rPr>
          <w:rFonts w:ascii="Traditional Arabic" w:hAnsi="Traditional Arabic" w:cs="Traditional Arabic"/>
          <w:b/>
          <w:bCs/>
          <w:sz w:val="24"/>
          <w:szCs w:val="24"/>
          <w:rtl/>
          <w:lang w:bidi="ar-EG"/>
        </w:rPr>
      </w:pPr>
    </w:p>
    <w:p w14:paraId="28D8C5D1" w14:textId="77777777" w:rsidR="00781B53" w:rsidRPr="003D1437" w:rsidRDefault="00781B53">
      <w:pPr>
        <w:rPr>
          <w:rFonts w:ascii="Traditional Arabic" w:hAnsi="Traditional Arabic" w:cs="Traditional Arabic"/>
          <w:b/>
          <w:bCs/>
          <w:sz w:val="24"/>
          <w:szCs w:val="24"/>
          <w:lang w:bidi="ar-EG"/>
        </w:rPr>
        <w:sectPr w:rsidR="00781B53" w:rsidRPr="003D1437" w:rsidSect="00781B53">
          <w:pgSz w:w="12240" w:h="15840"/>
          <w:pgMar w:top="1440" w:right="1440" w:bottom="1440" w:left="1440" w:header="720" w:footer="720" w:gutter="0"/>
          <w:pgNumType w:fmt="arabicAbjad"/>
          <w:cols w:space="720"/>
          <w:titlePg/>
          <w:docGrid w:linePitch="360"/>
        </w:sectPr>
      </w:pPr>
    </w:p>
    <w:p w14:paraId="5A08217C" w14:textId="77777777" w:rsidR="00781B53" w:rsidRPr="003D1437" w:rsidRDefault="00781B53" w:rsidP="00781B53">
      <w:pPr>
        <w:pStyle w:val="Heading1"/>
        <w:rPr>
          <w:rtl/>
        </w:rPr>
      </w:pPr>
      <w:bookmarkStart w:id="0" w:name="_Toc236402626"/>
      <w:r w:rsidRPr="003D1437">
        <w:rPr>
          <w:rFonts w:hint="cs"/>
          <w:rtl/>
        </w:rPr>
        <w:lastRenderedPageBreak/>
        <w:t>الاهداء</w:t>
      </w:r>
      <w:bookmarkEnd w:id="0"/>
    </w:p>
    <w:p w14:paraId="7A4BC7EC"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منْ أنارَ لي طرِيقَ العِلْمِ والوجُودِ...</w:t>
      </w:r>
    </w:p>
    <w:p w14:paraId="4841B453"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مقامِ سيدي خادمِ الحرمينِ الشريفينِ، وسموِّ وليِّ عهدهِ الأمينِ</w:t>
      </w:r>
      <w:r w:rsidRPr="003D1437">
        <w:rPr>
          <w:rFonts w:ascii="Traditional Arabic" w:hAnsi="Traditional Arabic" w:cs="Traditional Arabic"/>
          <w:sz w:val="28"/>
          <w:szCs w:val="28"/>
          <w:rtl/>
        </w:rPr>
        <w:t xml:space="preserve">.. سَنَدِ الوطنِ وقادةِ النهضةِ الرقميّةِ ورؤيتنا الطموحة </w:t>
      </w:r>
      <w:r w:rsidRPr="003D1437">
        <w:rPr>
          <w:rFonts w:ascii="Traditional Arabic" w:hAnsi="Traditional Arabic" w:cs="Traditional Arabic"/>
          <w:b/>
          <w:bCs/>
          <w:sz w:val="28"/>
          <w:szCs w:val="28"/>
          <w:rtl/>
        </w:rPr>
        <w:t>2030</w:t>
      </w:r>
      <w:r w:rsidRPr="003D1437">
        <w:rPr>
          <w:rFonts w:ascii="Traditional Arabic" w:hAnsi="Traditional Arabic" w:cs="Traditional Arabic"/>
          <w:sz w:val="28"/>
          <w:szCs w:val="28"/>
          <w:rtl/>
        </w:rPr>
        <w:t>.</w:t>
      </w:r>
    </w:p>
    <w:p w14:paraId="1BAFBD47"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نبعِ الحنانِ والعطاءِ الّذي لا ينضبُ</w:t>
      </w:r>
      <w:r w:rsidRPr="003D1437">
        <w:rPr>
          <w:rFonts w:ascii="Traditional Arabic" w:hAnsi="Traditional Arabic" w:cs="Traditional Arabic"/>
          <w:sz w:val="28"/>
          <w:szCs w:val="28"/>
          <w:rtl/>
        </w:rPr>
        <w:t>.. إلى أُمي الغالية، دعائي المستمر بأن يحفظها الله ويمدّ في عمرها.</w:t>
      </w:r>
    </w:p>
    <w:p w14:paraId="3FFD2090" w14:textId="7F5C1FD6" w:rsidR="003D1437" w:rsidRPr="003D1437" w:rsidRDefault="003D1437" w:rsidP="0080317E">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مَنْ حَمَلَ اسْمِي وعَلَّمَنِي كَيْفَ أَصْنَعُ اسْمِي</w:t>
      </w:r>
      <w:r w:rsidRPr="003D1437">
        <w:rPr>
          <w:rFonts w:ascii="Traditional Arabic" w:hAnsi="Traditional Arabic" w:cs="Traditional Arabic"/>
          <w:sz w:val="28"/>
          <w:szCs w:val="28"/>
          <w:rtl/>
        </w:rPr>
        <w:t>.. إلى أبي الغالي</w:t>
      </w:r>
      <w:r w:rsidR="0080317E">
        <w:rPr>
          <w:rFonts w:ascii="Traditional Arabic" w:hAnsi="Traditional Arabic" w:cs="Traditional Arabic"/>
          <w:sz w:val="28"/>
          <w:szCs w:val="28"/>
        </w:rPr>
        <w:t>.</w:t>
      </w:r>
    </w:p>
    <w:p w14:paraId="6CD710FF"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رفيقِ الدَّرْبِ وشريكِ الكِفَاحِ</w:t>
      </w:r>
      <w:r w:rsidRPr="003D1437">
        <w:rPr>
          <w:rFonts w:ascii="Traditional Arabic" w:hAnsi="Traditional Arabic" w:cs="Traditional Arabic"/>
          <w:sz w:val="28"/>
          <w:szCs w:val="28"/>
          <w:rtl/>
        </w:rPr>
        <w:t>.. زوجي العزيز، الذي كان لي خيرَ مُعينٍ وسندٍ طوال مسيرتي العلميّة.</w:t>
      </w:r>
    </w:p>
    <w:p w14:paraId="11B3FAEE"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قُرَّةِ عيني وبَهْجَةِ عمري</w:t>
      </w:r>
      <w:r w:rsidRPr="003D1437">
        <w:rPr>
          <w:rFonts w:ascii="Traditional Arabic" w:hAnsi="Traditional Arabic" w:cs="Traditional Arabic"/>
          <w:sz w:val="28"/>
          <w:szCs w:val="28"/>
          <w:rtl/>
        </w:rPr>
        <w:t>.. أبنائي الأحباء، جيل المستقبل الواعد.</w:t>
      </w:r>
    </w:p>
    <w:p w14:paraId="40AE2C57"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إخوتي وأخواتي</w:t>
      </w:r>
      <w:r w:rsidRPr="003D1437">
        <w:rPr>
          <w:rFonts w:ascii="Traditional Arabic" w:hAnsi="Traditional Arabic" w:cs="Traditional Arabic"/>
          <w:sz w:val="28"/>
          <w:szCs w:val="28"/>
          <w:rtl/>
        </w:rPr>
        <w:t>.. عُزوتي وسَنَدي في مَسيرِ الحَياة.</w:t>
      </w:r>
    </w:p>
    <w:p w14:paraId="74E7E210"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كلِّ طامحٍ ومُثابرٍ يسعى لتطويرِ مَنظومتِنا التّعليميّةِ</w:t>
      </w:r>
      <w:r w:rsidRPr="003D1437">
        <w:rPr>
          <w:rFonts w:ascii="Traditional Arabic" w:hAnsi="Traditional Arabic" w:cs="Traditional Arabic"/>
          <w:sz w:val="28"/>
          <w:szCs w:val="28"/>
          <w:rtl/>
        </w:rPr>
        <w:t>.. والارتقاء بها نحو آفاقِ المستقبل الذكيّ.</w:t>
      </w:r>
    </w:p>
    <w:p w14:paraId="7ED8858E"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أُهدي هذا الجهد المتواضع...</w:t>
      </w:r>
    </w:p>
    <w:p w14:paraId="783CFF5C" w14:textId="77777777" w:rsidR="004E3C4A" w:rsidRPr="003D1437" w:rsidRDefault="004E3C4A" w:rsidP="004E3C4A">
      <w:pPr>
        <w:bidi/>
        <w:ind w:firstLine="720"/>
        <w:jc w:val="both"/>
        <w:rPr>
          <w:rFonts w:ascii="Traditional Arabic" w:hAnsi="Traditional Arabic" w:cs="Traditional Arabic"/>
          <w:sz w:val="28"/>
          <w:szCs w:val="28"/>
        </w:rPr>
        <w:sectPr w:rsidR="004E3C4A" w:rsidRPr="003D1437" w:rsidSect="00781B53">
          <w:pgSz w:w="12240" w:h="15840"/>
          <w:pgMar w:top="1440" w:right="1440" w:bottom="1440" w:left="1440" w:header="720" w:footer="720" w:gutter="0"/>
          <w:pgNumType w:fmt="arabicAbjad"/>
          <w:cols w:space="720"/>
          <w:docGrid w:linePitch="360"/>
        </w:sectPr>
      </w:pPr>
    </w:p>
    <w:p w14:paraId="1BBD0E7D" w14:textId="77777777" w:rsidR="00781B53" w:rsidRPr="003D1437" w:rsidRDefault="00781B53" w:rsidP="00781B53">
      <w:pPr>
        <w:pStyle w:val="Heading1"/>
        <w:bidi w:val="0"/>
        <w:rPr>
          <w:rtl/>
          <w:lang w:bidi="ar-EG"/>
        </w:rPr>
      </w:pPr>
      <w:bookmarkStart w:id="1" w:name="_Toc236402627"/>
      <w:r w:rsidRPr="003D1437">
        <w:rPr>
          <w:rFonts w:hint="cs"/>
          <w:rtl/>
          <w:lang w:bidi="ar-EG"/>
        </w:rPr>
        <w:lastRenderedPageBreak/>
        <w:t>شكر وتقدير</w:t>
      </w:r>
      <w:bookmarkEnd w:id="1"/>
    </w:p>
    <w:p w14:paraId="4324E63D" w14:textId="77777777" w:rsidR="003D1437" w:rsidRPr="003D1437" w:rsidRDefault="003D1437" w:rsidP="003D1437">
      <w:pPr>
        <w:bidi/>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شكر وتقدير</w:t>
      </w:r>
    </w:p>
    <w:p w14:paraId="79A192AA"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الحمدُ للهِ حمداً يليقُ بجلالِ وجهِهِ وعظيمِ سلطانِهِ، الّذي أتمَّ عليَّ نِعْمَتَهُ وأعانني بفضْلِهِ وتوفيقِهِ على إنجازِ هذا العملِ العِلميّ، والصّلاةُ والسّلامُ على معلّمِ البشريّةِ وخيرِ البريّةِ نبيِّنا محمدٍ وعلى آلِهِ وصحبِهِ أجمعين.</w:t>
      </w:r>
    </w:p>
    <w:p w14:paraId="46848229"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أتقدّمُ بأسمى عباراتِ الشّكرِ والعرفانِ والتقديرِ إلى كلِّ مَنْ ساندني ووجَّهَني ومدَّ لي يدَ العونِ طوال مسيرتي الدراسيّةِ والبحثيّةِ، وأخصُّ بالذِّكرِ:</w:t>
      </w:r>
    </w:p>
    <w:p w14:paraId="64824937"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جامعتي الموقّرة وإدارة برنامج الدكتوراة:</w:t>
      </w:r>
      <w:r w:rsidRPr="003D1437">
        <w:rPr>
          <w:rFonts w:ascii="Traditional Arabic" w:hAnsi="Traditional Arabic" w:cs="Traditional Arabic"/>
          <w:sz w:val="28"/>
          <w:szCs w:val="28"/>
          <w:rtl/>
        </w:rPr>
        <w:t xml:space="preserve"> لمَا وفّروهُ من بيئةٍ علميّةٍ خصبةٍ، وإمكانياتٍ رفيعةٍ ذلّلت الصّعابَ أمام الباحثينَ للوصولِ إلى أرقى مستوياتِ المعرفةِ الإداريّةِ.</w:t>
      </w:r>
    </w:p>
    <w:p w14:paraId="753FB984"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الأستاذ المشرف الأكاديمي:</w:t>
      </w:r>
      <w:r w:rsidRPr="003D1437">
        <w:rPr>
          <w:rFonts w:ascii="Traditional Arabic" w:hAnsi="Traditional Arabic" w:cs="Traditional Arabic"/>
          <w:sz w:val="28"/>
          <w:szCs w:val="28"/>
          <w:rtl/>
        </w:rPr>
        <w:t xml:space="preserve"> الّذي غمرني بنُبْلِ أخلاقِهِ وسَعةِ صَدْرِهِ، ولم يبخلْ عليَّ بنُصحِهِ وإرشادِهِ القيّمِ، فكان لتوجيهاتِهِ السديدةِ الأثرُ البالغُ في تقويمِ مسارِ هذا البحثِ وإخراجِهِ بالصّورةِ العلميّةِ المنشودةِ.</w:t>
      </w:r>
    </w:p>
    <w:p w14:paraId="28BCE46E"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أصحاب المعالي والسعادة أعضاء لجنة المناقشة والحكم:</w:t>
      </w:r>
      <w:r w:rsidRPr="003D1437">
        <w:rPr>
          <w:rFonts w:ascii="Traditional Arabic" w:hAnsi="Traditional Arabic" w:cs="Traditional Arabic"/>
          <w:sz w:val="28"/>
          <w:szCs w:val="28"/>
          <w:rtl/>
        </w:rPr>
        <w:t xml:space="preserve"> لتفضّلِهِم بقبولِ مناقشةِ هذه الرّسالةِ، وتخصيصِ جزءٍ من وقتِهِم الثمينِ لتقييمِها، وإنني على يقينٍ بأنَّ ملحوظاتِهِمُ القيّمةَ وآراءهُمُ السديدةَ ستثري البحثَ وتمنحُهُ قيمةً عِلميّةً مضافةً.</w:t>
      </w:r>
    </w:p>
    <w:p w14:paraId="719423F4"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الإدارة العامة للتعليم بمنطقة مكة المكرمة:</w:t>
      </w:r>
      <w:r w:rsidRPr="003D1437">
        <w:rPr>
          <w:rFonts w:ascii="Traditional Arabic" w:hAnsi="Traditional Arabic" w:cs="Traditional Arabic"/>
          <w:sz w:val="28"/>
          <w:szCs w:val="28"/>
          <w:rtl/>
        </w:rPr>
        <w:t xml:space="preserve"> بكافة قياداتِها، ومنسوبِيها الإداريينَ والتربويينَ، الذين استقطعوا من وقتِهِم للإجابةِ على أداةِ الدراسةِ، ولِمَا قدّمُوهُ من تسهيلاتٍ وتعاونٍ صادقٍ ومثمرٍ لإتمامِ الجانبِ التطبيقيِّ والميدانيِّ في إدارةِ التعليمِ.</w:t>
      </w:r>
    </w:p>
    <w:p w14:paraId="5B34393B"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زملائي وزميلاتي الأوفياء:</w:t>
      </w:r>
      <w:r w:rsidRPr="003D1437">
        <w:rPr>
          <w:rFonts w:ascii="Traditional Arabic" w:hAnsi="Traditional Arabic" w:cs="Traditional Arabic"/>
          <w:sz w:val="28"/>
          <w:szCs w:val="28"/>
          <w:rtl/>
        </w:rPr>
        <w:t xml:space="preserve"> وكلّ مَنْ أسدى إليَّ نصيحةً، أو دعا لي بظهرِ الغيبِ، أو قدّمَ لي تشجيعاً صادقاً دفعَني لمواصلةِ الجهدِ والعطاءِ.</w:t>
      </w:r>
    </w:p>
    <w:p w14:paraId="7D84745B"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خِتاماً، أسألُ المولى عزَّ وجلَّ أنْ ينفعَ بهذا العملِ المتواضعِ مسيرةَ البحثِ العلميِّ، وأنْ يكونَ لبنةً نافعةً في دعمِ وتطويرِ المنظومةِ التعليميّةِ الاستراتيجيّةِ في وطنِنا الغالي.</w:t>
      </w:r>
    </w:p>
    <w:p w14:paraId="5D70C4C9" w14:textId="77777777" w:rsidR="003D1437" w:rsidRPr="003D1437" w:rsidRDefault="003D1437" w:rsidP="003D1437">
      <w:pPr>
        <w:bidi/>
        <w:jc w:val="right"/>
        <w:rPr>
          <w:rFonts w:ascii="Traditional Arabic" w:hAnsi="Traditional Arabic" w:cs="Traditional Arabic"/>
          <w:sz w:val="28"/>
          <w:szCs w:val="28"/>
          <w:rtl/>
        </w:rPr>
      </w:pPr>
      <w:r w:rsidRPr="003D1437">
        <w:rPr>
          <w:rFonts w:ascii="Traditional Arabic" w:hAnsi="Traditional Arabic" w:cs="Traditional Arabic"/>
          <w:b/>
          <w:bCs/>
          <w:sz w:val="28"/>
          <w:szCs w:val="28"/>
          <w:rtl/>
        </w:rPr>
        <w:t>أمل طويلي</w:t>
      </w:r>
    </w:p>
    <w:p w14:paraId="70D59A8B" w14:textId="77777777" w:rsidR="00781B53" w:rsidRPr="003D1437" w:rsidRDefault="00781B53" w:rsidP="003D1437">
      <w:pPr>
        <w:bidi/>
        <w:jc w:val="lowKashida"/>
        <w:rPr>
          <w:rFonts w:ascii="Traditional Arabic" w:hAnsi="Traditional Arabic" w:cs="Traditional Arabic"/>
          <w:sz w:val="28"/>
          <w:szCs w:val="28"/>
          <w:rtl/>
        </w:rPr>
      </w:pPr>
    </w:p>
    <w:p w14:paraId="0C8D6E9A" w14:textId="3EE1A076" w:rsidR="00781B53" w:rsidRPr="003D1437" w:rsidRDefault="00FE70A4">
      <w:pPr>
        <w:rPr>
          <w:rFonts w:ascii="Traditional Arabic" w:hAnsi="Traditional Arabic" w:cs="Traditional Arabic"/>
          <w:b/>
          <w:bCs/>
          <w:sz w:val="24"/>
          <w:szCs w:val="24"/>
          <w:rtl/>
          <w:lang w:bidi="ar-EG"/>
        </w:rPr>
        <w:sectPr w:rsidR="00781B53" w:rsidRPr="003D1437" w:rsidSect="00781B53">
          <w:pgSz w:w="12240" w:h="15840"/>
          <w:pgMar w:top="1440" w:right="1440" w:bottom="1440" w:left="1440" w:header="720" w:footer="720" w:gutter="0"/>
          <w:pgNumType w:fmt="arabicAbjad"/>
          <w:cols w:space="720"/>
          <w:docGrid w:linePitch="360"/>
        </w:sectPr>
      </w:pPr>
      <w:r w:rsidRPr="003D1437">
        <w:rPr>
          <w:rFonts w:ascii="Traditional Arabic" w:hAnsi="Traditional Arabic" w:cs="Traditional Arabic"/>
          <w:b/>
          <w:bCs/>
          <w:sz w:val="24"/>
          <w:szCs w:val="24"/>
          <w:rtl/>
          <w:lang w:bidi="ar-EG"/>
        </w:rPr>
        <w:br w:type="page"/>
      </w:r>
    </w:p>
    <w:p w14:paraId="3A64D7D5" w14:textId="48BB0899" w:rsidR="00FE70A4" w:rsidRPr="003D1437" w:rsidRDefault="00FE70A4" w:rsidP="00781B53">
      <w:pPr>
        <w:pStyle w:val="Heading1"/>
        <w:rPr>
          <w:rtl/>
        </w:rPr>
      </w:pPr>
      <w:bookmarkStart w:id="2" w:name="_Toc236402628"/>
      <w:r w:rsidRPr="003D1437">
        <w:rPr>
          <w:rFonts w:hint="cs"/>
          <w:rtl/>
        </w:rPr>
        <w:lastRenderedPageBreak/>
        <w:t>جدول المحتويات</w:t>
      </w:r>
      <w:bookmarkEnd w:id="2"/>
    </w:p>
    <w:p w14:paraId="5D83BA82" w14:textId="21193492" w:rsidR="008D76BB" w:rsidRPr="008D76BB" w:rsidRDefault="005222BC" w:rsidP="008D76BB">
      <w:pPr>
        <w:pStyle w:val="TOC1"/>
        <w:jc w:val="lowKashida"/>
        <w:rPr>
          <w:rFonts w:eastAsiaTheme="minorEastAsia"/>
          <w:b w:val="0"/>
          <w:bCs w:val="0"/>
          <w:sz w:val="28"/>
          <w:szCs w:val="28"/>
        </w:rPr>
      </w:pPr>
      <w:r w:rsidRPr="005222BC">
        <w:rPr>
          <w:b w:val="0"/>
          <w:bCs w:val="0"/>
          <w:sz w:val="28"/>
          <w:szCs w:val="28"/>
          <w:rtl/>
          <w:lang w:bidi="ar-EG"/>
        </w:rPr>
        <w:fldChar w:fldCharType="begin"/>
      </w:r>
      <w:r w:rsidRPr="005222BC">
        <w:rPr>
          <w:b w:val="0"/>
          <w:bCs w:val="0"/>
          <w:sz w:val="28"/>
          <w:szCs w:val="28"/>
          <w:rtl/>
          <w:lang w:bidi="ar-EG"/>
        </w:rPr>
        <w:instrText xml:space="preserve"> </w:instrText>
      </w:r>
      <w:r w:rsidRPr="005222BC">
        <w:rPr>
          <w:b w:val="0"/>
          <w:bCs w:val="0"/>
          <w:sz w:val="28"/>
          <w:szCs w:val="28"/>
          <w:lang w:bidi="ar-EG"/>
        </w:rPr>
        <w:instrText>TOC</w:instrText>
      </w:r>
      <w:r w:rsidRPr="005222BC">
        <w:rPr>
          <w:b w:val="0"/>
          <w:bCs w:val="0"/>
          <w:sz w:val="28"/>
          <w:szCs w:val="28"/>
          <w:rtl/>
          <w:lang w:bidi="ar-EG"/>
        </w:rPr>
        <w:instrText xml:space="preserve"> \</w:instrText>
      </w:r>
      <w:r w:rsidRPr="005222BC">
        <w:rPr>
          <w:b w:val="0"/>
          <w:bCs w:val="0"/>
          <w:sz w:val="28"/>
          <w:szCs w:val="28"/>
          <w:lang w:bidi="ar-EG"/>
        </w:rPr>
        <w:instrText>o "1-3" \h \z \u</w:instrText>
      </w:r>
      <w:r w:rsidRPr="005222BC">
        <w:rPr>
          <w:b w:val="0"/>
          <w:bCs w:val="0"/>
          <w:sz w:val="28"/>
          <w:szCs w:val="28"/>
          <w:rtl/>
          <w:lang w:bidi="ar-EG"/>
        </w:rPr>
        <w:instrText xml:space="preserve"> </w:instrText>
      </w:r>
      <w:r w:rsidRPr="005222BC">
        <w:rPr>
          <w:b w:val="0"/>
          <w:bCs w:val="0"/>
          <w:sz w:val="28"/>
          <w:szCs w:val="28"/>
          <w:rtl/>
          <w:lang w:bidi="ar-EG"/>
        </w:rPr>
        <w:fldChar w:fldCharType="separate"/>
      </w:r>
      <w:hyperlink w:anchor="_Toc236402626" w:history="1">
        <w:r w:rsidR="008D76BB" w:rsidRPr="008D76BB">
          <w:rPr>
            <w:rStyle w:val="Hyperlink"/>
            <w:sz w:val="28"/>
            <w:szCs w:val="28"/>
            <w:rtl/>
          </w:rPr>
          <w:t>الاهداء</w:t>
        </w:r>
        <w:r w:rsidR="008D76BB" w:rsidRPr="008D76BB">
          <w:rPr>
            <w:webHidden/>
            <w:sz w:val="28"/>
            <w:szCs w:val="28"/>
          </w:rPr>
          <w:tab/>
        </w:r>
        <w:r w:rsidR="008D76BB" w:rsidRPr="008D76BB">
          <w:rPr>
            <w:webHidden/>
            <w:sz w:val="28"/>
            <w:szCs w:val="28"/>
          </w:rPr>
          <w:fldChar w:fldCharType="begin"/>
        </w:r>
        <w:r w:rsidR="008D76BB" w:rsidRPr="008D76BB">
          <w:rPr>
            <w:webHidden/>
            <w:sz w:val="28"/>
            <w:szCs w:val="28"/>
          </w:rPr>
          <w:instrText xml:space="preserve"> PAGEREF _Toc236402626 \h </w:instrText>
        </w:r>
        <w:r w:rsidR="008D76BB" w:rsidRPr="008D76BB">
          <w:rPr>
            <w:webHidden/>
            <w:sz w:val="28"/>
            <w:szCs w:val="28"/>
          </w:rPr>
        </w:r>
        <w:r w:rsidR="008D76BB" w:rsidRPr="008D76BB">
          <w:rPr>
            <w:webHidden/>
            <w:sz w:val="28"/>
            <w:szCs w:val="28"/>
          </w:rPr>
          <w:fldChar w:fldCharType="separate"/>
        </w:r>
        <w:r w:rsidR="00990B60">
          <w:rPr>
            <w:rFonts w:hint="eastAsia"/>
            <w:webHidden/>
            <w:sz w:val="28"/>
            <w:szCs w:val="28"/>
            <w:rtl/>
          </w:rPr>
          <w:t>‌ج</w:t>
        </w:r>
        <w:r w:rsidR="008D76BB" w:rsidRPr="008D76BB">
          <w:rPr>
            <w:webHidden/>
            <w:sz w:val="28"/>
            <w:szCs w:val="28"/>
          </w:rPr>
          <w:fldChar w:fldCharType="end"/>
        </w:r>
      </w:hyperlink>
    </w:p>
    <w:p w14:paraId="2196FAD9" w14:textId="142B0794" w:rsidR="008D76BB" w:rsidRPr="008D76BB" w:rsidRDefault="008D76BB" w:rsidP="008D76BB">
      <w:pPr>
        <w:pStyle w:val="TOC1"/>
        <w:jc w:val="lowKashida"/>
        <w:rPr>
          <w:rFonts w:eastAsiaTheme="minorEastAsia"/>
          <w:b w:val="0"/>
          <w:bCs w:val="0"/>
          <w:sz w:val="28"/>
          <w:szCs w:val="28"/>
        </w:rPr>
      </w:pPr>
      <w:hyperlink w:anchor="_Toc236402627" w:history="1">
        <w:r w:rsidRPr="008D76BB">
          <w:rPr>
            <w:rStyle w:val="Hyperlink"/>
            <w:sz w:val="28"/>
            <w:szCs w:val="28"/>
            <w:rtl/>
            <w:lang w:bidi="ar-EG"/>
          </w:rPr>
          <w:t>شكر وتقدير</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_Toc236402627 \h </w:instrText>
        </w:r>
        <w:r w:rsidRPr="008D76BB">
          <w:rPr>
            <w:webHidden/>
            <w:sz w:val="28"/>
            <w:szCs w:val="28"/>
          </w:rPr>
        </w:r>
        <w:r w:rsidRPr="008D76BB">
          <w:rPr>
            <w:webHidden/>
            <w:sz w:val="28"/>
            <w:szCs w:val="28"/>
          </w:rPr>
          <w:fldChar w:fldCharType="separate"/>
        </w:r>
        <w:r w:rsidR="00990B60">
          <w:rPr>
            <w:rFonts w:hint="eastAsia"/>
            <w:webHidden/>
            <w:sz w:val="28"/>
            <w:szCs w:val="28"/>
            <w:rtl/>
          </w:rPr>
          <w:t>‌د</w:t>
        </w:r>
        <w:r w:rsidRPr="008D76BB">
          <w:rPr>
            <w:webHidden/>
            <w:sz w:val="28"/>
            <w:szCs w:val="28"/>
          </w:rPr>
          <w:fldChar w:fldCharType="end"/>
        </w:r>
      </w:hyperlink>
    </w:p>
    <w:p w14:paraId="382226B5" w14:textId="79689DAE" w:rsidR="008D76BB" w:rsidRPr="008D76BB" w:rsidRDefault="008D76BB" w:rsidP="008D76BB">
      <w:pPr>
        <w:pStyle w:val="TOC1"/>
        <w:jc w:val="lowKashida"/>
        <w:rPr>
          <w:rFonts w:eastAsiaTheme="minorEastAsia"/>
          <w:b w:val="0"/>
          <w:bCs w:val="0"/>
          <w:sz w:val="28"/>
          <w:szCs w:val="28"/>
        </w:rPr>
      </w:pPr>
      <w:hyperlink w:anchor="_Toc236402628" w:history="1">
        <w:r w:rsidRPr="008D76BB">
          <w:rPr>
            <w:rStyle w:val="Hyperlink"/>
            <w:sz w:val="28"/>
            <w:szCs w:val="28"/>
            <w:rtl/>
          </w:rPr>
          <w:t>جدول المحتويات</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_Toc236402628 \h </w:instrText>
        </w:r>
        <w:r w:rsidRPr="008D76BB">
          <w:rPr>
            <w:webHidden/>
            <w:sz w:val="28"/>
            <w:szCs w:val="28"/>
          </w:rPr>
        </w:r>
        <w:r w:rsidRPr="008D76BB">
          <w:rPr>
            <w:webHidden/>
            <w:sz w:val="28"/>
            <w:szCs w:val="28"/>
          </w:rPr>
          <w:fldChar w:fldCharType="separate"/>
        </w:r>
        <w:r w:rsidR="00990B60">
          <w:rPr>
            <w:rFonts w:hint="eastAsia"/>
            <w:webHidden/>
            <w:sz w:val="28"/>
            <w:szCs w:val="28"/>
            <w:rtl/>
          </w:rPr>
          <w:t>‌ه</w:t>
        </w:r>
        <w:r w:rsidRPr="008D76BB">
          <w:rPr>
            <w:webHidden/>
            <w:sz w:val="28"/>
            <w:szCs w:val="28"/>
          </w:rPr>
          <w:fldChar w:fldCharType="end"/>
        </w:r>
      </w:hyperlink>
    </w:p>
    <w:p w14:paraId="1133B95C" w14:textId="76FC0286" w:rsidR="008D76BB" w:rsidRPr="008D76BB" w:rsidRDefault="008D76BB" w:rsidP="008D76BB">
      <w:pPr>
        <w:pStyle w:val="TOC1"/>
        <w:jc w:val="lowKashida"/>
        <w:rPr>
          <w:rFonts w:eastAsiaTheme="minorEastAsia"/>
          <w:b w:val="0"/>
          <w:bCs w:val="0"/>
          <w:sz w:val="28"/>
          <w:szCs w:val="28"/>
        </w:rPr>
      </w:pPr>
      <w:hyperlink w:anchor="_Toc236402629" w:history="1">
        <w:r w:rsidRPr="008D76BB">
          <w:rPr>
            <w:rStyle w:val="Hyperlink"/>
            <w:sz w:val="28"/>
            <w:szCs w:val="28"/>
            <w:rtl/>
            <w:lang w:bidi="ar-EG"/>
          </w:rPr>
          <w:t>فهرس الجداول</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_Toc236402629 \h </w:instrText>
        </w:r>
        <w:r w:rsidRPr="008D76BB">
          <w:rPr>
            <w:webHidden/>
            <w:sz w:val="28"/>
            <w:szCs w:val="28"/>
          </w:rPr>
        </w:r>
        <w:r w:rsidRPr="008D76BB">
          <w:rPr>
            <w:webHidden/>
            <w:sz w:val="28"/>
            <w:szCs w:val="28"/>
          </w:rPr>
          <w:fldChar w:fldCharType="separate"/>
        </w:r>
        <w:r w:rsidR="00990B60">
          <w:rPr>
            <w:rFonts w:hint="eastAsia"/>
            <w:webHidden/>
            <w:sz w:val="28"/>
            <w:szCs w:val="28"/>
            <w:rtl/>
          </w:rPr>
          <w:t>‌ط</w:t>
        </w:r>
        <w:r w:rsidRPr="008D76BB">
          <w:rPr>
            <w:webHidden/>
            <w:sz w:val="28"/>
            <w:szCs w:val="28"/>
          </w:rPr>
          <w:fldChar w:fldCharType="end"/>
        </w:r>
      </w:hyperlink>
    </w:p>
    <w:p w14:paraId="085ABC77" w14:textId="57881A27" w:rsidR="008D76BB" w:rsidRPr="008D76BB" w:rsidRDefault="008D76BB" w:rsidP="008D76BB">
      <w:pPr>
        <w:pStyle w:val="TOC1"/>
        <w:jc w:val="lowKashida"/>
        <w:rPr>
          <w:rFonts w:eastAsiaTheme="minorEastAsia"/>
          <w:b w:val="0"/>
          <w:bCs w:val="0"/>
          <w:sz w:val="28"/>
          <w:szCs w:val="28"/>
        </w:rPr>
      </w:pPr>
      <w:hyperlink w:anchor="_Toc236402630" w:history="1">
        <w:r w:rsidRPr="008D76BB">
          <w:rPr>
            <w:rStyle w:val="Hyperlink"/>
            <w:sz w:val="28"/>
            <w:szCs w:val="28"/>
            <w:rtl/>
            <w:lang w:bidi="ar-EG"/>
          </w:rPr>
          <w:t>فهرس الاشكال</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_Toc236402630 \h </w:instrText>
        </w:r>
        <w:r w:rsidRPr="008D76BB">
          <w:rPr>
            <w:webHidden/>
            <w:sz w:val="28"/>
            <w:szCs w:val="28"/>
          </w:rPr>
        </w:r>
        <w:r w:rsidRPr="008D76BB">
          <w:rPr>
            <w:webHidden/>
            <w:sz w:val="28"/>
            <w:szCs w:val="28"/>
          </w:rPr>
          <w:fldChar w:fldCharType="separate"/>
        </w:r>
        <w:r w:rsidR="00990B60">
          <w:rPr>
            <w:rFonts w:hint="eastAsia"/>
            <w:webHidden/>
            <w:sz w:val="28"/>
            <w:szCs w:val="28"/>
            <w:rtl/>
          </w:rPr>
          <w:t>‌ي</w:t>
        </w:r>
        <w:r w:rsidRPr="008D76BB">
          <w:rPr>
            <w:webHidden/>
            <w:sz w:val="28"/>
            <w:szCs w:val="28"/>
          </w:rPr>
          <w:fldChar w:fldCharType="end"/>
        </w:r>
      </w:hyperlink>
    </w:p>
    <w:p w14:paraId="1BFCE3FE" w14:textId="55A22C3F" w:rsidR="008D76BB" w:rsidRPr="008D76BB" w:rsidRDefault="008D76BB" w:rsidP="008D76BB">
      <w:pPr>
        <w:pStyle w:val="TOC1"/>
        <w:jc w:val="lowKashida"/>
        <w:rPr>
          <w:rFonts w:eastAsiaTheme="minorEastAsia"/>
          <w:b w:val="0"/>
          <w:bCs w:val="0"/>
          <w:sz w:val="28"/>
          <w:szCs w:val="28"/>
        </w:rPr>
      </w:pPr>
      <w:hyperlink w:anchor="_Toc236402631" w:history="1">
        <w:r w:rsidRPr="008D76BB">
          <w:rPr>
            <w:rStyle w:val="Hyperlink"/>
            <w:sz w:val="28"/>
            <w:szCs w:val="28"/>
            <w:rtl/>
            <w:lang w:bidi="ar-EG"/>
          </w:rPr>
          <w:t>مستخلص البحث</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_Toc236402631 \h </w:instrText>
        </w:r>
        <w:r w:rsidRPr="008D76BB">
          <w:rPr>
            <w:webHidden/>
            <w:sz w:val="28"/>
            <w:szCs w:val="28"/>
          </w:rPr>
        </w:r>
        <w:r w:rsidRPr="008D76BB">
          <w:rPr>
            <w:webHidden/>
            <w:sz w:val="28"/>
            <w:szCs w:val="28"/>
          </w:rPr>
          <w:fldChar w:fldCharType="separate"/>
        </w:r>
        <w:r w:rsidR="00990B60">
          <w:rPr>
            <w:rFonts w:hint="eastAsia"/>
            <w:webHidden/>
            <w:sz w:val="28"/>
            <w:szCs w:val="28"/>
            <w:rtl/>
          </w:rPr>
          <w:t>‌ك</w:t>
        </w:r>
        <w:r w:rsidRPr="008D76BB">
          <w:rPr>
            <w:webHidden/>
            <w:sz w:val="28"/>
            <w:szCs w:val="28"/>
          </w:rPr>
          <w:fldChar w:fldCharType="end"/>
        </w:r>
      </w:hyperlink>
    </w:p>
    <w:p w14:paraId="4FC35B0B" w14:textId="0DC5EB75" w:rsidR="008D76BB" w:rsidRPr="008D76BB" w:rsidRDefault="008D76BB" w:rsidP="008D76BB">
      <w:pPr>
        <w:pStyle w:val="TOC1"/>
        <w:jc w:val="lowKashida"/>
        <w:rPr>
          <w:rFonts w:eastAsiaTheme="minorEastAsia"/>
          <w:b w:val="0"/>
          <w:bCs w:val="0"/>
          <w:sz w:val="28"/>
          <w:szCs w:val="28"/>
        </w:rPr>
      </w:pPr>
      <w:hyperlink w:anchor="_Toc236402632" w:history="1">
        <w:r w:rsidRPr="008D76BB">
          <w:rPr>
            <w:rStyle w:val="Hyperlink"/>
            <w:sz w:val="28"/>
            <w:szCs w:val="28"/>
            <w:lang w:bidi="ar-EG"/>
          </w:rPr>
          <w:t>Abstract</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_Toc236402632 \h </w:instrText>
        </w:r>
        <w:r w:rsidRPr="008D76BB">
          <w:rPr>
            <w:webHidden/>
            <w:sz w:val="28"/>
            <w:szCs w:val="28"/>
          </w:rPr>
        </w:r>
        <w:r w:rsidRPr="008D76BB">
          <w:rPr>
            <w:webHidden/>
            <w:sz w:val="28"/>
            <w:szCs w:val="28"/>
          </w:rPr>
          <w:fldChar w:fldCharType="separate"/>
        </w:r>
        <w:r w:rsidR="00990B60">
          <w:rPr>
            <w:rFonts w:hint="eastAsia"/>
            <w:webHidden/>
            <w:sz w:val="28"/>
            <w:szCs w:val="28"/>
            <w:rtl/>
          </w:rPr>
          <w:t>‌ل</w:t>
        </w:r>
        <w:r w:rsidRPr="008D76BB">
          <w:rPr>
            <w:webHidden/>
            <w:sz w:val="28"/>
            <w:szCs w:val="28"/>
          </w:rPr>
          <w:fldChar w:fldCharType="end"/>
        </w:r>
      </w:hyperlink>
    </w:p>
    <w:p w14:paraId="148891AF" w14:textId="3901DC42" w:rsidR="008D76BB" w:rsidRPr="008D76BB" w:rsidRDefault="008D76BB" w:rsidP="008D76BB">
      <w:pPr>
        <w:pStyle w:val="TOC1"/>
        <w:jc w:val="lowKashida"/>
        <w:rPr>
          <w:rFonts w:eastAsiaTheme="minorEastAsia"/>
          <w:b w:val="0"/>
          <w:bCs w:val="0"/>
          <w:sz w:val="28"/>
          <w:szCs w:val="28"/>
        </w:rPr>
      </w:pPr>
      <w:hyperlink w:anchor="_Toc236402633" w:history="1">
        <w:r w:rsidRPr="008D76BB">
          <w:rPr>
            <w:rStyle w:val="Hyperlink"/>
            <w:sz w:val="28"/>
            <w:szCs w:val="28"/>
            <w:rtl/>
          </w:rPr>
          <w:t>الفصل الأول: الإطار المنهجي للدراسة</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_Toc236402633 \h </w:instrText>
        </w:r>
        <w:r w:rsidRPr="008D76BB">
          <w:rPr>
            <w:webHidden/>
            <w:sz w:val="28"/>
            <w:szCs w:val="28"/>
          </w:rPr>
        </w:r>
        <w:r w:rsidRPr="008D76BB">
          <w:rPr>
            <w:webHidden/>
            <w:sz w:val="28"/>
            <w:szCs w:val="28"/>
          </w:rPr>
          <w:fldChar w:fldCharType="separate"/>
        </w:r>
        <w:r w:rsidR="00990B60">
          <w:rPr>
            <w:webHidden/>
            <w:sz w:val="28"/>
            <w:szCs w:val="28"/>
            <w:rtl/>
          </w:rPr>
          <w:t>1</w:t>
        </w:r>
        <w:r w:rsidRPr="008D76BB">
          <w:rPr>
            <w:webHidden/>
            <w:sz w:val="28"/>
            <w:szCs w:val="28"/>
          </w:rPr>
          <w:fldChar w:fldCharType="end"/>
        </w:r>
      </w:hyperlink>
    </w:p>
    <w:p w14:paraId="649E68BE" w14:textId="1602E3C2"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35" w:history="1">
        <w:r w:rsidRPr="008D76BB">
          <w:rPr>
            <w:rStyle w:val="Hyperlink"/>
            <w:rFonts w:ascii="Traditional Arabic" w:hAnsi="Traditional Arabic" w:cs="Traditional Arabic"/>
            <w:noProof/>
            <w:sz w:val="28"/>
            <w:szCs w:val="28"/>
            <w:rtl/>
          </w:rPr>
          <w:t>1.1 مقدمة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_Toc236402635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2</w:t>
        </w:r>
        <w:r w:rsidRPr="008D76BB">
          <w:rPr>
            <w:rFonts w:ascii="Traditional Arabic" w:hAnsi="Traditional Arabic" w:cs="Traditional Arabic"/>
            <w:noProof/>
            <w:webHidden/>
            <w:sz w:val="28"/>
            <w:szCs w:val="28"/>
          </w:rPr>
          <w:fldChar w:fldCharType="end"/>
        </w:r>
      </w:hyperlink>
    </w:p>
    <w:p w14:paraId="2C251D7D" w14:textId="769C0A19"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36" w:history="1">
        <w:r w:rsidRPr="008D76BB">
          <w:rPr>
            <w:rStyle w:val="Hyperlink"/>
            <w:rFonts w:ascii="Traditional Arabic" w:hAnsi="Traditional Arabic" w:cs="Traditional Arabic"/>
            <w:noProof/>
            <w:sz w:val="28"/>
            <w:szCs w:val="28"/>
            <w:rtl/>
          </w:rPr>
          <w:t>1.2 مشكلة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_Toc236402636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w:t>
        </w:r>
        <w:r w:rsidRPr="008D76BB">
          <w:rPr>
            <w:rFonts w:ascii="Traditional Arabic" w:hAnsi="Traditional Arabic" w:cs="Traditional Arabic"/>
            <w:noProof/>
            <w:webHidden/>
            <w:sz w:val="28"/>
            <w:szCs w:val="28"/>
          </w:rPr>
          <w:fldChar w:fldCharType="end"/>
        </w:r>
      </w:hyperlink>
    </w:p>
    <w:p w14:paraId="26E8FD6F" w14:textId="35E8C537"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37" w:history="1">
        <w:r w:rsidRPr="008D76BB">
          <w:rPr>
            <w:rStyle w:val="Hyperlink"/>
            <w:rFonts w:ascii="Traditional Arabic" w:hAnsi="Traditional Arabic" w:cs="Traditional Arabic"/>
            <w:noProof/>
            <w:sz w:val="28"/>
            <w:szCs w:val="28"/>
            <w:rtl/>
          </w:rPr>
          <w:t>1.3 أهمية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_Toc236402637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w:t>
        </w:r>
        <w:r w:rsidRPr="008D76BB">
          <w:rPr>
            <w:rFonts w:ascii="Traditional Arabic" w:hAnsi="Traditional Arabic" w:cs="Traditional Arabic"/>
            <w:noProof/>
            <w:webHidden/>
            <w:sz w:val="28"/>
            <w:szCs w:val="28"/>
          </w:rPr>
          <w:fldChar w:fldCharType="end"/>
        </w:r>
      </w:hyperlink>
    </w:p>
    <w:p w14:paraId="534F4791" w14:textId="3C172A97"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38" w:history="1">
        <w:r w:rsidRPr="008D76BB">
          <w:rPr>
            <w:rStyle w:val="Hyperlink"/>
            <w:rFonts w:ascii="Traditional Arabic" w:hAnsi="Traditional Arabic" w:cs="Traditional Arabic"/>
            <w:noProof/>
            <w:sz w:val="28"/>
            <w:szCs w:val="28"/>
            <w:rtl/>
          </w:rPr>
          <w:t>1.3.1 الأهمية النظرية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_Toc236402638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w:t>
        </w:r>
        <w:r w:rsidRPr="008D76BB">
          <w:rPr>
            <w:rFonts w:ascii="Traditional Arabic" w:hAnsi="Traditional Arabic" w:cs="Traditional Arabic"/>
            <w:noProof/>
            <w:webHidden/>
            <w:sz w:val="28"/>
            <w:szCs w:val="28"/>
          </w:rPr>
          <w:fldChar w:fldCharType="end"/>
        </w:r>
      </w:hyperlink>
    </w:p>
    <w:p w14:paraId="23796104" w14:textId="58927342"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39" w:history="1">
        <w:r w:rsidRPr="008D76BB">
          <w:rPr>
            <w:rStyle w:val="Hyperlink"/>
            <w:rFonts w:ascii="Traditional Arabic" w:hAnsi="Traditional Arabic" w:cs="Traditional Arabic"/>
            <w:noProof/>
            <w:sz w:val="28"/>
            <w:szCs w:val="28"/>
            <w:rtl/>
          </w:rPr>
          <w:t>1.3.2 الأهمية التطبيقية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_Toc236402639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w:t>
        </w:r>
        <w:r w:rsidRPr="008D76BB">
          <w:rPr>
            <w:rFonts w:ascii="Traditional Arabic" w:hAnsi="Traditional Arabic" w:cs="Traditional Arabic"/>
            <w:noProof/>
            <w:webHidden/>
            <w:sz w:val="28"/>
            <w:szCs w:val="28"/>
          </w:rPr>
          <w:fldChar w:fldCharType="end"/>
        </w:r>
      </w:hyperlink>
    </w:p>
    <w:p w14:paraId="028B9A0B" w14:textId="4BAD5D16"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0" w:history="1">
        <w:r w:rsidRPr="008D76BB">
          <w:rPr>
            <w:rStyle w:val="Hyperlink"/>
            <w:rFonts w:ascii="Traditional Arabic" w:hAnsi="Traditional Arabic" w:cs="Traditional Arabic"/>
            <w:noProof/>
            <w:sz w:val="28"/>
            <w:szCs w:val="28"/>
            <w:rtl/>
          </w:rPr>
          <w:t>1.4 أهداف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w:t>
        </w:r>
        <w:r w:rsidRPr="008D76BB">
          <w:rPr>
            <w:rFonts w:ascii="Traditional Arabic" w:hAnsi="Traditional Arabic" w:cs="Traditional Arabic"/>
            <w:noProof/>
            <w:webHidden/>
            <w:sz w:val="28"/>
            <w:szCs w:val="28"/>
          </w:rPr>
          <w:fldChar w:fldCharType="end"/>
        </w:r>
      </w:hyperlink>
    </w:p>
    <w:p w14:paraId="40A14554" w14:textId="211E5540"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1" w:history="1">
        <w:r w:rsidRPr="008D76BB">
          <w:rPr>
            <w:rStyle w:val="Hyperlink"/>
            <w:rFonts w:ascii="Traditional Arabic" w:hAnsi="Traditional Arabic" w:cs="Traditional Arabic"/>
            <w:noProof/>
            <w:sz w:val="28"/>
            <w:szCs w:val="28"/>
            <w:rtl/>
          </w:rPr>
          <w:t>1.5 فرضيات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w:t>
        </w:r>
        <w:r w:rsidRPr="008D76BB">
          <w:rPr>
            <w:rFonts w:ascii="Traditional Arabic" w:hAnsi="Traditional Arabic" w:cs="Traditional Arabic"/>
            <w:noProof/>
            <w:webHidden/>
            <w:sz w:val="28"/>
            <w:szCs w:val="28"/>
          </w:rPr>
          <w:fldChar w:fldCharType="end"/>
        </w:r>
      </w:hyperlink>
    </w:p>
    <w:p w14:paraId="05ED7D3D" w14:textId="167DFA51"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2" w:history="1">
        <w:r w:rsidRPr="008D76BB">
          <w:rPr>
            <w:rStyle w:val="Hyperlink"/>
            <w:rFonts w:ascii="Traditional Arabic" w:hAnsi="Traditional Arabic" w:cs="Traditional Arabic"/>
            <w:noProof/>
            <w:sz w:val="28"/>
            <w:szCs w:val="28"/>
            <w:rtl/>
            <w:lang w:val="ar-SA"/>
          </w:rPr>
          <w:t>1.6</w:t>
        </w:r>
        <w:r w:rsidRPr="008D76BB">
          <w:rPr>
            <w:rStyle w:val="Hyperlink"/>
            <w:rFonts w:ascii="Traditional Arabic" w:hAnsi="Traditional Arabic" w:cs="Traditional Arabic"/>
            <w:noProof/>
            <w:sz w:val="28"/>
            <w:szCs w:val="28"/>
            <w:rtl/>
          </w:rPr>
          <w:t xml:space="preserve"> نموذج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w:t>
        </w:r>
        <w:r w:rsidRPr="008D76BB">
          <w:rPr>
            <w:rFonts w:ascii="Traditional Arabic" w:hAnsi="Traditional Arabic" w:cs="Traditional Arabic"/>
            <w:noProof/>
            <w:webHidden/>
            <w:sz w:val="28"/>
            <w:szCs w:val="28"/>
          </w:rPr>
          <w:fldChar w:fldCharType="end"/>
        </w:r>
      </w:hyperlink>
    </w:p>
    <w:p w14:paraId="02EA4FDA" w14:textId="54910AC9"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3" w:history="1">
        <w:r w:rsidRPr="008D76BB">
          <w:rPr>
            <w:rStyle w:val="Hyperlink"/>
            <w:rFonts w:ascii="Traditional Arabic" w:hAnsi="Traditional Arabic" w:cs="Traditional Arabic"/>
            <w:noProof/>
            <w:sz w:val="28"/>
            <w:szCs w:val="28"/>
            <w:rtl/>
          </w:rPr>
          <w:t>1.7 منهج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w:t>
        </w:r>
        <w:r w:rsidRPr="008D76BB">
          <w:rPr>
            <w:rFonts w:ascii="Traditional Arabic" w:hAnsi="Traditional Arabic" w:cs="Traditional Arabic"/>
            <w:noProof/>
            <w:webHidden/>
            <w:sz w:val="28"/>
            <w:szCs w:val="28"/>
          </w:rPr>
          <w:fldChar w:fldCharType="end"/>
        </w:r>
      </w:hyperlink>
    </w:p>
    <w:p w14:paraId="720604A1" w14:textId="4CE7E40E"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4" w:history="1">
        <w:r w:rsidRPr="008D76BB">
          <w:rPr>
            <w:rStyle w:val="Hyperlink"/>
            <w:rFonts w:ascii="Traditional Arabic" w:hAnsi="Traditional Arabic" w:cs="Traditional Arabic"/>
            <w:noProof/>
            <w:sz w:val="28"/>
            <w:szCs w:val="28"/>
            <w:rtl/>
          </w:rPr>
          <w:t>1.8 مصطلح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w:t>
        </w:r>
        <w:r w:rsidRPr="008D76BB">
          <w:rPr>
            <w:rFonts w:ascii="Traditional Arabic" w:hAnsi="Traditional Arabic" w:cs="Traditional Arabic"/>
            <w:noProof/>
            <w:webHidden/>
            <w:sz w:val="28"/>
            <w:szCs w:val="28"/>
          </w:rPr>
          <w:fldChar w:fldCharType="end"/>
        </w:r>
      </w:hyperlink>
    </w:p>
    <w:p w14:paraId="6BEC9BA9" w14:textId="5B7426CD"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5" w:history="1">
        <w:r w:rsidRPr="008D76BB">
          <w:rPr>
            <w:rStyle w:val="Hyperlink"/>
            <w:rFonts w:ascii="Traditional Arabic" w:hAnsi="Traditional Arabic" w:cs="Traditional Arabic"/>
            <w:noProof/>
            <w:sz w:val="28"/>
            <w:szCs w:val="28"/>
            <w:rtl/>
          </w:rPr>
          <w:t>1.9 منهجية وهيكل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9</w:t>
        </w:r>
        <w:r w:rsidRPr="008D76BB">
          <w:rPr>
            <w:rFonts w:ascii="Traditional Arabic" w:hAnsi="Traditional Arabic" w:cs="Traditional Arabic"/>
            <w:noProof/>
            <w:webHidden/>
            <w:sz w:val="28"/>
            <w:szCs w:val="28"/>
          </w:rPr>
          <w:fldChar w:fldCharType="end"/>
        </w:r>
      </w:hyperlink>
    </w:p>
    <w:p w14:paraId="6F1C8705" w14:textId="59713364" w:rsidR="008D76BB" w:rsidRPr="008D76BB" w:rsidRDefault="008D76BB" w:rsidP="008D76BB">
      <w:pPr>
        <w:pStyle w:val="TOC1"/>
        <w:jc w:val="lowKashida"/>
        <w:rPr>
          <w:rFonts w:eastAsiaTheme="minorEastAsia"/>
          <w:b w:val="0"/>
          <w:bCs w:val="0"/>
          <w:sz w:val="28"/>
          <w:szCs w:val="28"/>
        </w:rPr>
      </w:pPr>
      <w:hyperlink w:anchor="_Toc236402646" w:history="1">
        <w:r w:rsidRPr="008D76BB">
          <w:rPr>
            <w:rStyle w:val="Hyperlink"/>
            <w:sz w:val="28"/>
            <w:szCs w:val="28"/>
            <w:rtl/>
          </w:rPr>
          <w:t>الفصل الثاني: الإطار النظري</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_Toc236402646 \h </w:instrText>
        </w:r>
        <w:r w:rsidRPr="008D76BB">
          <w:rPr>
            <w:webHidden/>
            <w:sz w:val="28"/>
            <w:szCs w:val="28"/>
          </w:rPr>
        </w:r>
        <w:r w:rsidRPr="008D76BB">
          <w:rPr>
            <w:webHidden/>
            <w:sz w:val="28"/>
            <w:szCs w:val="28"/>
          </w:rPr>
          <w:fldChar w:fldCharType="separate"/>
        </w:r>
        <w:r w:rsidR="00990B60">
          <w:rPr>
            <w:webHidden/>
            <w:sz w:val="28"/>
            <w:szCs w:val="28"/>
            <w:rtl/>
          </w:rPr>
          <w:t>11</w:t>
        </w:r>
        <w:r w:rsidRPr="008D76BB">
          <w:rPr>
            <w:webHidden/>
            <w:sz w:val="28"/>
            <w:szCs w:val="28"/>
          </w:rPr>
          <w:fldChar w:fldCharType="end"/>
        </w:r>
      </w:hyperlink>
    </w:p>
    <w:p w14:paraId="7F4CD42E" w14:textId="6EA755DC"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8" w:history="1">
        <w:r w:rsidRPr="008D76BB">
          <w:rPr>
            <w:rStyle w:val="Hyperlink"/>
            <w:rFonts w:ascii="Traditional Arabic" w:hAnsi="Traditional Arabic" w:cs="Traditional Arabic"/>
            <w:noProof/>
            <w:sz w:val="28"/>
            <w:szCs w:val="28"/>
            <w:rtl/>
          </w:rPr>
          <w:t>تمهيد</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_Toc236402648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12</w:t>
        </w:r>
        <w:r w:rsidRPr="008D76BB">
          <w:rPr>
            <w:rFonts w:ascii="Traditional Arabic" w:hAnsi="Traditional Arabic" w:cs="Traditional Arabic"/>
            <w:noProof/>
            <w:webHidden/>
            <w:sz w:val="28"/>
            <w:szCs w:val="28"/>
          </w:rPr>
          <w:fldChar w:fldCharType="end"/>
        </w:r>
      </w:hyperlink>
    </w:p>
    <w:p w14:paraId="4174EFBB" w14:textId="235B7683"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49" w:history="1">
        <w:r w:rsidRPr="008D76BB">
          <w:rPr>
            <w:rStyle w:val="Hyperlink"/>
            <w:rFonts w:ascii="Traditional Arabic" w:hAnsi="Traditional Arabic" w:cs="Traditional Arabic"/>
            <w:noProof/>
            <w:sz w:val="28"/>
            <w:szCs w:val="28"/>
            <w:rtl/>
          </w:rPr>
          <w:t>المبحث الأول: التكيف التكنولوجي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_Toc236402649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12</w:t>
        </w:r>
        <w:r w:rsidRPr="008D76BB">
          <w:rPr>
            <w:rFonts w:ascii="Traditional Arabic" w:hAnsi="Traditional Arabic" w:cs="Traditional Arabic"/>
            <w:noProof/>
            <w:webHidden/>
            <w:sz w:val="28"/>
            <w:szCs w:val="28"/>
          </w:rPr>
          <w:fldChar w:fldCharType="end"/>
        </w:r>
      </w:hyperlink>
    </w:p>
    <w:p w14:paraId="3E1DBF10" w14:textId="18D7DCA1"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0" w:history="1">
        <w:r w:rsidRPr="008D76BB">
          <w:rPr>
            <w:rStyle w:val="Hyperlink"/>
            <w:rFonts w:ascii="Traditional Arabic" w:hAnsi="Traditional Arabic" w:cs="Traditional Arabic"/>
            <w:noProof/>
            <w:sz w:val="28"/>
            <w:szCs w:val="28"/>
            <w:rtl/>
          </w:rPr>
          <w:t>أولا: ماهية التكيف التكنولوجي وأبعاده</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13</w:t>
        </w:r>
        <w:r w:rsidRPr="008D76BB">
          <w:rPr>
            <w:rFonts w:ascii="Traditional Arabic" w:hAnsi="Traditional Arabic" w:cs="Traditional Arabic"/>
            <w:noProof/>
            <w:webHidden/>
            <w:sz w:val="28"/>
            <w:szCs w:val="28"/>
          </w:rPr>
          <w:fldChar w:fldCharType="end"/>
        </w:r>
      </w:hyperlink>
    </w:p>
    <w:p w14:paraId="16379265" w14:textId="7521F1FD"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1" w:history="1">
        <w:r w:rsidRPr="008D76BB">
          <w:rPr>
            <w:rStyle w:val="Hyperlink"/>
            <w:rFonts w:ascii="Traditional Arabic" w:hAnsi="Traditional Arabic" w:cs="Traditional Arabic"/>
            <w:noProof/>
            <w:sz w:val="28"/>
            <w:szCs w:val="28"/>
            <w:rtl/>
          </w:rPr>
          <w:t>ثانيا: نماذج ونظريات التكيف التكنولوجي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16</w:t>
        </w:r>
        <w:r w:rsidRPr="008D76BB">
          <w:rPr>
            <w:rFonts w:ascii="Traditional Arabic" w:hAnsi="Traditional Arabic" w:cs="Traditional Arabic"/>
            <w:noProof/>
            <w:webHidden/>
            <w:sz w:val="28"/>
            <w:szCs w:val="28"/>
          </w:rPr>
          <w:fldChar w:fldCharType="end"/>
        </w:r>
      </w:hyperlink>
    </w:p>
    <w:p w14:paraId="6CF7EE67" w14:textId="615AFFCB"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2" w:history="1">
        <w:r w:rsidRPr="008D76BB">
          <w:rPr>
            <w:rStyle w:val="Hyperlink"/>
            <w:rFonts w:ascii="Traditional Arabic" w:hAnsi="Traditional Arabic" w:cs="Traditional Arabic"/>
            <w:noProof/>
            <w:sz w:val="28"/>
            <w:szCs w:val="28"/>
            <w:rtl/>
          </w:rPr>
          <w:t>ثالثا: مؤشرات قياس التكيف التكنولوجي في إدارة التعليم</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17</w:t>
        </w:r>
        <w:r w:rsidRPr="008D76BB">
          <w:rPr>
            <w:rFonts w:ascii="Traditional Arabic" w:hAnsi="Traditional Arabic" w:cs="Traditional Arabic"/>
            <w:noProof/>
            <w:webHidden/>
            <w:sz w:val="28"/>
            <w:szCs w:val="28"/>
          </w:rPr>
          <w:fldChar w:fldCharType="end"/>
        </w:r>
      </w:hyperlink>
    </w:p>
    <w:p w14:paraId="7E81CAB8" w14:textId="4A0483AB"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53" w:history="1">
        <w:r w:rsidRPr="008D76BB">
          <w:rPr>
            <w:rStyle w:val="Hyperlink"/>
            <w:rFonts w:ascii="Traditional Arabic" w:hAnsi="Traditional Arabic" w:cs="Traditional Arabic"/>
            <w:noProof/>
            <w:sz w:val="28"/>
            <w:szCs w:val="28"/>
            <w:rtl/>
          </w:rPr>
          <w:t>المبحث الثاني: الذكاء الاصطناعي وتطبيقاته</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18</w:t>
        </w:r>
        <w:r w:rsidRPr="008D76BB">
          <w:rPr>
            <w:rFonts w:ascii="Traditional Arabic" w:hAnsi="Traditional Arabic" w:cs="Traditional Arabic"/>
            <w:noProof/>
            <w:webHidden/>
            <w:sz w:val="28"/>
            <w:szCs w:val="28"/>
          </w:rPr>
          <w:fldChar w:fldCharType="end"/>
        </w:r>
      </w:hyperlink>
    </w:p>
    <w:p w14:paraId="544AE4DC" w14:textId="5BB45270"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4" w:history="1">
        <w:r w:rsidRPr="008D76BB">
          <w:rPr>
            <w:rStyle w:val="Hyperlink"/>
            <w:rFonts w:ascii="Traditional Arabic" w:hAnsi="Traditional Arabic" w:cs="Traditional Arabic"/>
            <w:noProof/>
            <w:sz w:val="28"/>
            <w:szCs w:val="28"/>
            <w:rtl/>
          </w:rPr>
          <w:t>أولا: مفاهيم أساسية للذكاء الاصطناعي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19</w:t>
        </w:r>
        <w:r w:rsidRPr="008D76BB">
          <w:rPr>
            <w:rFonts w:ascii="Traditional Arabic" w:hAnsi="Traditional Arabic" w:cs="Traditional Arabic"/>
            <w:noProof/>
            <w:webHidden/>
            <w:sz w:val="28"/>
            <w:szCs w:val="28"/>
          </w:rPr>
          <w:fldChar w:fldCharType="end"/>
        </w:r>
      </w:hyperlink>
    </w:p>
    <w:p w14:paraId="583ABB0A" w14:textId="2AA4C1FE"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5" w:history="1">
        <w:r w:rsidRPr="008D76BB">
          <w:rPr>
            <w:rStyle w:val="Hyperlink"/>
            <w:rFonts w:ascii="Traditional Arabic" w:hAnsi="Traditional Arabic" w:cs="Traditional Arabic"/>
            <w:noProof/>
            <w:sz w:val="28"/>
            <w:szCs w:val="28"/>
            <w:rtl/>
          </w:rPr>
          <w:t>ثانيا: تطبيقات الذكاء الاصطناعي في إدارة التعليم</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23</w:t>
        </w:r>
        <w:r w:rsidRPr="008D76BB">
          <w:rPr>
            <w:rFonts w:ascii="Traditional Arabic" w:hAnsi="Traditional Arabic" w:cs="Traditional Arabic"/>
            <w:noProof/>
            <w:webHidden/>
            <w:sz w:val="28"/>
            <w:szCs w:val="28"/>
          </w:rPr>
          <w:fldChar w:fldCharType="end"/>
        </w:r>
      </w:hyperlink>
    </w:p>
    <w:p w14:paraId="602656C8" w14:textId="24B51CC8"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6" w:history="1">
        <w:r w:rsidRPr="008D76BB">
          <w:rPr>
            <w:rStyle w:val="Hyperlink"/>
            <w:rFonts w:ascii="Traditional Arabic" w:hAnsi="Traditional Arabic" w:cs="Traditional Arabic"/>
            <w:noProof/>
            <w:sz w:val="28"/>
            <w:szCs w:val="28"/>
            <w:rtl/>
          </w:rPr>
          <w:t>ثالثا: الذكاء الاصطناعي في خدمة العملية التعليمية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25</w:t>
        </w:r>
        <w:r w:rsidRPr="008D76BB">
          <w:rPr>
            <w:rFonts w:ascii="Traditional Arabic" w:hAnsi="Traditional Arabic" w:cs="Traditional Arabic"/>
            <w:noProof/>
            <w:webHidden/>
            <w:sz w:val="28"/>
            <w:szCs w:val="28"/>
          </w:rPr>
          <w:fldChar w:fldCharType="end"/>
        </w:r>
      </w:hyperlink>
    </w:p>
    <w:p w14:paraId="39DC22EE" w14:textId="3FEA291F"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57" w:history="1">
        <w:r w:rsidRPr="008D76BB">
          <w:rPr>
            <w:rStyle w:val="Hyperlink"/>
            <w:rFonts w:ascii="Traditional Arabic" w:hAnsi="Traditional Arabic" w:cs="Traditional Arabic"/>
            <w:noProof/>
            <w:sz w:val="28"/>
            <w:szCs w:val="28"/>
            <w:rtl/>
          </w:rPr>
          <w:t>المبحث الثالث: كفاءة التخطيط الاستراتيجي في المنظمات التعليمية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_Toc236402657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27</w:t>
        </w:r>
        <w:r w:rsidRPr="008D76BB">
          <w:rPr>
            <w:rFonts w:ascii="Traditional Arabic" w:hAnsi="Traditional Arabic" w:cs="Traditional Arabic"/>
            <w:noProof/>
            <w:webHidden/>
            <w:sz w:val="28"/>
            <w:szCs w:val="28"/>
          </w:rPr>
          <w:fldChar w:fldCharType="end"/>
        </w:r>
      </w:hyperlink>
    </w:p>
    <w:p w14:paraId="4D34C9FE" w14:textId="2DCCDD7C"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8" w:history="1">
        <w:r w:rsidRPr="008D76BB">
          <w:rPr>
            <w:rStyle w:val="Hyperlink"/>
            <w:rFonts w:ascii="Traditional Arabic" w:hAnsi="Traditional Arabic" w:cs="Traditional Arabic"/>
            <w:noProof/>
            <w:sz w:val="28"/>
            <w:szCs w:val="28"/>
            <w:rtl/>
          </w:rPr>
          <w:t>أولا: مفهوم وأهمية التخطيط الاستراتيجي في التعليم</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_Toc236402658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27</w:t>
        </w:r>
        <w:r w:rsidRPr="008D76BB">
          <w:rPr>
            <w:rFonts w:ascii="Traditional Arabic" w:hAnsi="Traditional Arabic" w:cs="Traditional Arabic"/>
            <w:noProof/>
            <w:webHidden/>
            <w:sz w:val="28"/>
            <w:szCs w:val="28"/>
          </w:rPr>
          <w:fldChar w:fldCharType="end"/>
        </w:r>
      </w:hyperlink>
    </w:p>
    <w:p w14:paraId="7D3604B0" w14:textId="33950351"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59" w:history="1">
        <w:r w:rsidRPr="008D76BB">
          <w:rPr>
            <w:rStyle w:val="Hyperlink"/>
            <w:rFonts w:ascii="Traditional Arabic" w:hAnsi="Traditional Arabic" w:cs="Traditional Arabic"/>
            <w:noProof/>
            <w:sz w:val="28"/>
            <w:szCs w:val="28"/>
            <w:rtl/>
          </w:rPr>
          <w:t>ثانيا: أبعاد كفاءة التخطيط الاستراتيجي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_Toc236402659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29</w:t>
        </w:r>
        <w:r w:rsidRPr="008D76BB">
          <w:rPr>
            <w:rFonts w:ascii="Traditional Arabic" w:hAnsi="Traditional Arabic" w:cs="Traditional Arabic"/>
            <w:noProof/>
            <w:webHidden/>
            <w:sz w:val="28"/>
            <w:szCs w:val="28"/>
          </w:rPr>
          <w:fldChar w:fldCharType="end"/>
        </w:r>
      </w:hyperlink>
    </w:p>
    <w:p w14:paraId="1C5ED7F7" w14:textId="67069C5C"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0" w:history="1">
        <w:r w:rsidRPr="008D76BB">
          <w:rPr>
            <w:rStyle w:val="Hyperlink"/>
            <w:rFonts w:ascii="Traditional Arabic" w:hAnsi="Traditional Arabic" w:cs="Traditional Arabic"/>
            <w:noProof/>
            <w:sz w:val="28"/>
            <w:szCs w:val="28"/>
            <w:rtl/>
          </w:rPr>
          <w:t>ثالثا: تحديات قياس كفاءة التخطيط الاستراتيجي في إدارة التعليم</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31</w:t>
        </w:r>
        <w:r w:rsidRPr="008D76BB">
          <w:rPr>
            <w:rFonts w:ascii="Traditional Arabic" w:hAnsi="Traditional Arabic" w:cs="Traditional Arabic"/>
            <w:noProof/>
            <w:webHidden/>
            <w:sz w:val="28"/>
            <w:szCs w:val="28"/>
          </w:rPr>
          <w:fldChar w:fldCharType="end"/>
        </w:r>
      </w:hyperlink>
    </w:p>
    <w:p w14:paraId="7D8FD44D" w14:textId="12C27E76"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61" w:history="1">
        <w:r w:rsidRPr="008D76BB">
          <w:rPr>
            <w:rStyle w:val="Hyperlink"/>
            <w:rFonts w:ascii="Traditional Arabic" w:hAnsi="Traditional Arabic" w:cs="Traditional Arabic"/>
            <w:noProof/>
            <w:sz w:val="28"/>
            <w:szCs w:val="28"/>
            <w:rtl/>
          </w:rPr>
          <w:t>المبحث الرابع: التأثير المباشر للذكاء الاصطناعي على كفاءة التخطيط الاستراتيجي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32</w:t>
        </w:r>
        <w:r w:rsidRPr="008D76BB">
          <w:rPr>
            <w:rFonts w:ascii="Traditional Arabic" w:hAnsi="Traditional Arabic" w:cs="Traditional Arabic"/>
            <w:noProof/>
            <w:webHidden/>
            <w:sz w:val="28"/>
            <w:szCs w:val="28"/>
          </w:rPr>
          <w:fldChar w:fldCharType="end"/>
        </w:r>
      </w:hyperlink>
    </w:p>
    <w:p w14:paraId="11D0894F" w14:textId="4CC939DD"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2" w:history="1">
        <w:r w:rsidRPr="008D76BB">
          <w:rPr>
            <w:rStyle w:val="Hyperlink"/>
            <w:rFonts w:ascii="Traditional Arabic" w:hAnsi="Traditional Arabic" w:cs="Traditional Arabic"/>
            <w:noProof/>
            <w:sz w:val="28"/>
            <w:szCs w:val="28"/>
            <w:rtl/>
          </w:rPr>
          <w:t>أولاً: دور الذكاء الاصطناعي في مرحلة التحليل الاستراتيجي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32</w:t>
        </w:r>
        <w:r w:rsidRPr="008D76BB">
          <w:rPr>
            <w:rFonts w:ascii="Traditional Arabic" w:hAnsi="Traditional Arabic" w:cs="Traditional Arabic"/>
            <w:noProof/>
            <w:webHidden/>
            <w:sz w:val="28"/>
            <w:szCs w:val="28"/>
          </w:rPr>
          <w:fldChar w:fldCharType="end"/>
        </w:r>
      </w:hyperlink>
    </w:p>
    <w:p w14:paraId="08304E94" w14:textId="2CFAFE0F"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3" w:history="1">
        <w:r w:rsidRPr="008D76BB">
          <w:rPr>
            <w:rStyle w:val="Hyperlink"/>
            <w:rFonts w:ascii="Traditional Arabic" w:hAnsi="Traditional Arabic" w:cs="Traditional Arabic"/>
            <w:noProof/>
            <w:sz w:val="28"/>
            <w:szCs w:val="28"/>
            <w:rtl/>
          </w:rPr>
          <w:t>ثانياً: إسهامات الذكاء الاصطناعي في صياغة وتنفيذ الاستراتيجية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34</w:t>
        </w:r>
        <w:r w:rsidRPr="008D76BB">
          <w:rPr>
            <w:rFonts w:ascii="Traditional Arabic" w:hAnsi="Traditional Arabic" w:cs="Traditional Arabic"/>
            <w:noProof/>
            <w:webHidden/>
            <w:sz w:val="28"/>
            <w:szCs w:val="28"/>
          </w:rPr>
          <w:fldChar w:fldCharType="end"/>
        </w:r>
      </w:hyperlink>
    </w:p>
    <w:p w14:paraId="4043440E" w14:textId="4A9FD10F"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4" w:history="1">
        <w:r w:rsidRPr="008D76BB">
          <w:rPr>
            <w:rStyle w:val="Hyperlink"/>
            <w:rFonts w:ascii="Traditional Arabic" w:hAnsi="Traditional Arabic" w:cs="Traditional Arabic"/>
            <w:noProof/>
            <w:sz w:val="28"/>
            <w:szCs w:val="28"/>
            <w:rtl/>
          </w:rPr>
          <w:t>ثالثاً: الذكاء الاصطناعي كأداة لتعزيز مرونة الخطة الاستراتيجية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35</w:t>
        </w:r>
        <w:r w:rsidRPr="008D76BB">
          <w:rPr>
            <w:rFonts w:ascii="Traditional Arabic" w:hAnsi="Traditional Arabic" w:cs="Traditional Arabic"/>
            <w:noProof/>
            <w:webHidden/>
            <w:sz w:val="28"/>
            <w:szCs w:val="28"/>
          </w:rPr>
          <w:fldChar w:fldCharType="end"/>
        </w:r>
      </w:hyperlink>
    </w:p>
    <w:p w14:paraId="6F96A114" w14:textId="31E10D3F"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65" w:history="1">
        <w:r w:rsidRPr="008D76BB">
          <w:rPr>
            <w:rStyle w:val="Hyperlink"/>
            <w:rFonts w:ascii="Traditional Arabic" w:hAnsi="Traditional Arabic" w:cs="Traditional Arabic"/>
            <w:noProof/>
            <w:sz w:val="28"/>
            <w:szCs w:val="28"/>
            <w:rtl/>
          </w:rPr>
          <w:t>المبحث الخامس: الدور الوسيط للتكيف التكنولوجي في العلاقة بين الذكاء الاصطناعي وكفاءة التخطيط الاستراتيجي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36</w:t>
        </w:r>
        <w:r w:rsidRPr="008D76BB">
          <w:rPr>
            <w:rFonts w:ascii="Traditional Arabic" w:hAnsi="Traditional Arabic" w:cs="Traditional Arabic"/>
            <w:noProof/>
            <w:webHidden/>
            <w:sz w:val="28"/>
            <w:szCs w:val="28"/>
          </w:rPr>
          <w:fldChar w:fldCharType="end"/>
        </w:r>
      </w:hyperlink>
    </w:p>
    <w:p w14:paraId="00AE6DDC" w14:textId="40457963"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6" w:history="1">
        <w:r w:rsidRPr="008D76BB">
          <w:rPr>
            <w:rStyle w:val="Hyperlink"/>
            <w:rFonts w:ascii="Traditional Arabic" w:hAnsi="Traditional Arabic" w:cs="Traditional Arabic"/>
            <w:noProof/>
            <w:sz w:val="28"/>
            <w:szCs w:val="28"/>
            <w:rtl/>
          </w:rPr>
          <w:t>أولا: التكيف التكنولوجي كشرط لتبني الذكاء الاصطناعي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36</w:t>
        </w:r>
        <w:r w:rsidRPr="008D76BB">
          <w:rPr>
            <w:rFonts w:ascii="Traditional Arabic" w:hAnsi="Traditional Arabic" w:cs="Traditional Arabic"/>
            <w:noProof/>
            <w:webHidden/>
            <w:sz w:val="28"/>
            <w:szCs w:val="28"/>
          </w:rPr>
          <w:fldChar w:fldCharType="end"/>
        </w:r>
      </w:hyperlink>
    </w:p>
    <w:p w14:paraId="3EB9527C" w14:textId="16FB912F"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7" w:history="1">
        <w:r w:rsidRPr="008D76BB">
          <w:rPr>
            <w:rStyle w:val="Hyperlink"/>
            <w:rFonts w:ascii="Traditional Arabic" w:hAnsi="Traditional Arabic" w:cs="Traditional Arabic"/>
            <w:noProof/>
            <w:sz w:val="28"/>
            <w:szCs w:val="28"/>
            <w:rtl/>
          </w:rPr>
          <w:t>ثانيا: آليات تعزيز التكيف التكنولوجي لتأثير الذكاء الاصطناعي على التخطيط</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_Toc236402667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37</w:t>
        </w:r>
        <w:r w:rsidRPr="008D76BB">
          <w:rPr>
            <w:rFonts w:ascii="Traditional Arabic" w:hAnsi="Traditional Arabic" w:cs="Traditional Arabic"/>
            <w:noProof/>
            <w:webHidden/>
            <w:sz w:val="28"/>
            <w:szCs w:val="28"/>
          </w:rPr>
          <w:fldChar w:fldCharType="end"/>
        </w:r>
      </w:hyperlink>
    </w:p>
    <w:p w14:paraId="669E366A" w14:textId="570AAFC0"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68" w:history="1">
        <w:r w:rsidRPr="008D76BB">
          <w:rPr>
            <w:rStyle w:val="Hyperlink"/>
            <w:rFonts w:ascii="Traditional Arabic" w:hAnsi="Traditional Arabic" w:cs="Traditional Arabic"/>
            <w:noProof/>
            <w:sz w:val="28"/>
            <w:szCs w:val="28"/>
            <w:rtl/>
          </w:rPr>
          <w:t>ثانيا: النموذج النظري المقترح للعلاقة بين المتغيرات</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_Toc236402668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38</w:t>
        </w:r>
        <w:r w:rsidRPr="008D76BB">
          <w:rPr>
            <w:rFonts w:ascii="Traditional Arabic" w:hAnsi="Traditional Arabic" w:cs="Traditional Arabic"/>
            <w:noProof/>
            <w:webHidden/>
            <w:sz w:val="28"/>
            <w:szCs w:val="28"/>
          </w:rPr>
          <w:fldChar w:fldCharType="end"/>
        </w:r>
      </w:hyperlink>
    </w:p>
    <w:p w14:paraId="5E9A5DDE" w14:textId="761032E2"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69" w:history="1">
        <w:r w:rsidRPr="008D76BB">
          <w:rPr>
            <w:rStyle w:val="Hyperlink"/>
            <w:rFonts w:ascii="Traditional Arabic" w:hAnsi="Traditional Arabic" w:cs="Traditional Arabic"/>
            <w:noProof/>
            <w:sz w:val="28"/>
            <w:szCs w:val="28"/>
            <w:rtl/>
          </w:rPr>
          <w:t>المبحث السادس: الدراسات السابقة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_Toc236402669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40</w:t>
        </w:r>
        <w:r w:rsidRPr="008D76BB">
          <w:rPr>
            <w:rFonts w:ascii="Traditional Arabic" w:hAnsi="Traditional Arabic" w:cs="Traditional Arabic"/>
            <w:noProof/>
            <w:webHidden/>
            <w:sz w:val="28"/>
            <w:szCs w:val="28"/>
          </w:rPr>
          <w:fldChar w:fldCharType="end"/>
        </w:r>
      </w:hyperlink>
    </w:p>
    <w:p w14:paraId="630FF3EC" w14:textId="623F11EA"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0" w:history="1">
        <w:r w:rsidRPr="008D76BB">
          <w:rPr>
            <w:rStyle w:val="Hyperlink"/>
            <w:rFonts w:ascii="Traditional Arabic" w:hAnsi="Traditional Arabic" w:cs="Traditional Arabic"/>
            <w:noProof/>
            <w:sz w:val="28"/>
            <w:szCs w:val="28"/>
            <w:rtl/>
          </w:rPr>
          <w:t>المحور الأول: دراسات ربطت بين المتغير المستقل (الذكاء الاصطناعي) والمتغير التابع (كفاءة التخطيط الاستراتيجي)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40</w:t>
        </w:r>
        <w:r w:rsidRPr="008D76BB">
          <w:rPr>
            <w:rFonts w:ascii="Traditional Arabic" w:hAnsi="Traditional Arabic" w:cs="Traditional Arabic"/>
            <w:noProof/>
            <w:webHidden/>
            <w:sz w:val="28"/>
            <w:szCs w:val="28"/>
          </w:rPr>
          <w:fldChar w:fldCharType="end"/>
        </w:r>
      </w:hyperlink>
    </w:p>
    <w:p w14:paraId="760DA29C" w14:textId="7BDB408F"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1" w:history="1">
        <w:r w:rsidRPr="008D76BB">
          <w:rPr>
            <w:rStyle w:val="Hyperlink"/>
            <w:rFonts w:ascii="Traditional Arabic" w:hAnsi="Traditional Arabic" w:cs="Traditional Arabic"/>
            <w:noProof/>
            <w:sz w:val="28"/>
            <w:szCs w:val="28"/>
            <w:rtl/>
          </w:rPr>
          <w:t>المحور الثاني: دراسات ربطت بين المتغير المستقل (الذكاء الاصطناعي) والمتغير الوسيط (التكيف التكنولوجي)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42</w:t>
        </w:r>
        <w:r w:rsidRPr="008D76BB">
          <w:rPr>
            <w:rFonts w:ascii="Traditional Arabic" w:hAnsi="Traditional Arabic" w:cs="Traditional Arabic"/>
            <w:noProof/>
            <w:webHidden/>
            <w:sz w:val="28"/>
            <w:szCs w:val="28"/>
          </w:rPr>
          <w:fldChar w:fldCharType="end"/>
        </w:r>
      </w:hyperlink>
    </w:p>
    <w:p w14:paraId="042440DF" w14:textId="6FD24566"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2" w:history="1">
        <w:r w:rsidRPr="008D76BB">
          <w:rPr>
            <w:rStyle w:val="Hyperlink"/>
            <w:rFonts w:ascii="Traditional Arabic" w:hAnsi="Traditional Arabic" w:cs="Traditional Arabic"/>
            <w:noProof/>
            <w:sz w:val="28"/>
            <w:szCs w:val="28"/>
            <w:rtl/>
          </w:rPr>
          <w:t>المحور الثالث: دراسات ربطت بين المتغير الوسيط (التكيف التكنولوجي) والمتغير التابع (كفاءة التخطيط الاستراتيجي أو الأداء)</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44</w:t>
        </w:r>
        <w:r w:rsidRPr="008D76BB">
          <w:rPr>
            <w:rFonts w:ascii="Traditional Arabic" w:hAnsi="Traditional Arabic" w:cs="Traditional Arabic"/>
            <w:noProof/>
            <w:webHidden/>
            <w:sz w:val="28"/>
            <w:szCs w:val="28"/>
          </w:rPr>
          <w:fldChar w:fldCharType="end"/>
        </w:r>
      </w:hyperlink>
    </w:p>
    <w:p w14:paraId="7DD96AC6" w14:textId="28FAA1CB"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3" w:history="1">
        <w:r w:rsidRPr="008D76BB">
          <w:rPr>
            <w:rStyle w:val="Hyperlink"/>
            <w:rFonts w:ascii="Traditional Arabic" w:hAnsi="Traditional Arabic" w:cs="Traditional Arabic"/>
            <w:noProof/>
            <w:sz w:val="28"/>
            <w:szCs w:val="28"/>
            <w:rtl/>
          </w:rPr>
          <w:t>المحور الرابع: دراسات تناولت المتغيرات الثلاثة (الذكاء الاصطناعي، التكيف التكنولوجي، وكفاءة التخطيط الاستراتيجي أو الأداء)</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45</w:t>
        </w:r>
        <w:r w:rsidRPr="008D76BB">
          <w:rPr>
            <w:rFonts w:ascii="Traditional Arabic" w:hAnsi="Traditional Arabic" w:cs="Traditional Arabic"/>
            <w:noProof/>
            <w:webHidden/>
            <w:sz w:val="28"/>
            <w:szCs w:val="28"/>
          </w:rPr>
          <w:fldChar w:fldCharType="end"/>
        </w:r>
      </w:hyperlink>
    </w:p>
    <w:p w14:paraId="18E21DE0" w14:textId="3A6E49C9"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4" w:history="1">
        <w:r w:rsidRPr="008D76BB">
          <w:rPr>
            <w:rStyle w:val="Hyperlink"/>
            <w:rFonts w:ascii="Traditional Arabic" w:hAnsi="Traditional Arabic" w:cs="Traditional Arabic"/>
            <w:noProof/>
            <w:sz w:val="28"/>
            <w:szCs w:val="28"/>
            <w:rtl/>
          </w:rPr>
          <w:t>التعقيب على الدراسات السابقة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47</w:t>
        </w:r>
        <w:r w:rsidRPr="008D76BB">
          <w:rPr>
            <w:rFonts w:ascii="Traditional Arabic" w:hAnsi="Traditional Arabic" w:cs="Traditional Arabic"/>
            <w:noProof/>
            <w:webHidden/>
            <w:sz w:val="28"/>
            <w:szCs w:val="28"/>
          </w:rPr>
          <w:fldChar w:fldCharType="end"/>
        </w:r>
      </w:hyperlink>
    </w:p>
    <w:p w14:paraId="35A0DC3D" w14:textId="1E1072DB"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5" w:history="1">
        <w:r w:rsidRPr="008D76BB">
          <w:rPr>
            <w:rStyle w:val="Hyperlink"/>
            <w:rFonts w:ascii="Traditional Arabic" w:hAnsi="Traditional Arabic" w:cs="Traditional Arabic"/>
            <w:noProof/>
            <w:sz w:val="28"/>
            <w:szCs w:val="28"/>
            <w:rtl/>
          </w:rPr>
          <w:t>ما يميز الدراسة الحالية عن السابقة والفجوة البحثية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48</w:t>
        </w:r>
        <w:r w:rsidRPr="008D76BB">
          <w:rPr>
            <w:rFonts w:ascii="Traditional Arabic" w:hAnsi="Traditional Arabic" w:cs="Traditional Arabic"/>
            <w:noProof/>
            <w:webHidden/>
            <w:sz w:val="28"/>
            <w:szCs w:val="28"/>
          </w:rPr>
          <w:fldChar w:fldCharType="end"/>
        </w:r>
      </w:hyperlink>
    </w:p>
    <w:p w14:paraId="772DDD09" w14:textId="0A93F07F"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76" w:history="1">
        <w:r w:rsidRPr="008D76BB">
          <w:rPr>
            <w:rStyle w:val="Hyperlink"/>
            <w:rFonts w:ascii="Traditional Arabic" w:hAnsi="Traditional Arabic" w:cs="Traditional Arabic"/>
            <w:noProof/>
            <w:sz w:val="28"/>
            <w:szCs w:val="28"/>
            <w:rtl/>
          </w:rPr>
          <w:t>الفجوة البحثية التي تسعى الدراسة لمعالجتها:</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48</w:t>
        </w:r>
        <w:r w:rsidRPr="008D76BB">
          <w:rPr>
            <w:rFonts w:ascii="Traditional Arabic" w:hAnsi="Traditional Arabic" w:cs="Traditional Arabic"/>
            <w:noProof/>
            <w:webHidden/>
            <w:sz w:val="28"/>
            <w:szCs w:val="28"/>
          </w:rPr>
          <w:fldChar w:fldCharType="end"/>
        </w:r>
      </w:hyperlink>
    </w:p>
    <w:p w14:paraId="35858A0C" w14:textId="40BC439B" w:rsidR="008D76BB" w:rsidRPr="008D76BB" w:rsidRDefault="008D76BB" w:rsidP="008D76BB">
      <w:pPr>
        <w:pStyle w:val="TOC1"/>
        <w:jc w:val="lowKashida"/>
        <w:rPr>
          <w:rFonts w:eastAsiaTheme="minorEastAsia"/>
          <w:b w:val="0"/>
          <w:bCs w:val="0"/>
          <w:sz w:val="28"/>
          <w:szCs w:val="28"/>
        </w:rPr>
      </w:pPr>
      <w:hyperlink w:anchor="_Toc236402677" w:history="1">
        <w:r w:rsidRPr="008D76BB">
          <w:rPr>
            <w:rStyle w:val="Hyperlink"/>
            <w:sz w:val="28"/>
            <w:szCs w:val="28"/>
            <w:rtl/>
          </w:rPr>
          <w:t>الفصل الثالث: منهجية الدراسة</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_Toc236402677 \h </w:instrText>
        </w:r>
        <w:r w:rsidRPr="008D76BB">
          <w:rPr>
            <w:webHidden/>
            <w:sz w:val="28"/>
            <w:szCs w:val="28"/>
          </w:rPr>
        </w:r>
        <w:r w:rsidRPr="008D76BB">
          <w:rPr>
            <w:webHidden/>
            <w:sz w:val="28"/>
            <w:szCs w:val="28"/>
          </w:rPr>
          <w:fldChar w:fldCharType="separate"/>
        </w:r>
        <w:r w:rsidR="00990B60">
          <w:rPr>
            <w:webHidden/>
            <w:sz w:val="28"/>
            <w:szCs w:val="28"/>
            <w:rtl/>
          </w:rPr>
          <w:t>50</w:t>
        </w:r>
        <w:r w:rsidRPr="008D76BB">
          <w:rPr>
            <w:webHidden/>
            <w:sz w:val="28"/>
            <w:szCs w:val="28"/>
          </w:rPr>
          <w:fldChar w:fldCharType="end"/>
        </w:r>
      </w:hyperlink>
    </w:p>
    <w:p w14:paraId="2C537A65" w14:textId="1FAFAB04"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79" w:history="1">
        <w:r w:rsidRPr="008D76BB">
          <w:rPr>
            <w:rStyle w:val="Hyperlink"/>
            <w:rFonts w:ascii="Traditional Arabic" w:hAnsi="Traditional Arabic" w:cs="Traditional Arabic"/>
            <w:noProof/>
            <w:sz w:val="28"/>
            <w:szCs w:val="28"/>
            <w:rtl/>
          </w:rPr>
          <w:t>تمهيد</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_Toc236402679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51</w:t>
        </w:r>
        <w:r w:rsidRPr="008D76BB">
          <w:rPr>
            <w:rFonts w:ascii="Traditional Arabic" w:hAnsi="Traditional Arabic" w:cs="Traditional Arabic"/>
            <w:noProof/>
            <w:webHidden/>
            <w:sz w:val="28"/>
            <w:szCs w:val="28"/>
          </w:rPr>
          <w:fldChar w:fldCharType="end"/>
        </w:r>
      </w:hyperlink>
    </w:p>
    <w:p w14:paraId="198B37C1" w14:textId="0FEC55F7"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0" w:history="1">
        <w:r w:rsidRPr="008D76BB">
          <w:rPr>
            <w:rStyle w:val="Hyperlink"/>
            <w:rFonts w:ascii="Traditional Arabic" w:hAnsi="Traditional Arabic" w:cs="Traditional Arabic"/>
            <w:noProof/>
            <w:sz w:val="28"/>
            <w:szCs w:val="28"/>
            <w:rtl/>
          </w:rPr>
          <w:t>3.1 فلسفة الباحث البحثية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51</w:t>
        </w:r>
        <w:r w:rsidRPr="008D76BB">
          <w:rPr>
            <w:rFonts w:ascii="Traditional Arabic" w:hAnsi="Traditional Arabic" w:cs="Traditional Arabic"/>
            <w:noProof/>
            <w:webHidden/>
            <w:sz w:val="28"/>
            <w:szCs w:val="28"/>
          </w:rPr>
          <w:fldChar w:fldCharType="end"/>
        </w:r>
      </w:hyperlink>
    </w:p>
    <w:p w14:paraId="0CE6B066" w14:textId="41D7CF5C"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1" w:history="1">
        <w:r w:rsidRPr="008D76BB">
          <w:rPr>
            <w:rStyle w:val="Hyperlink"/>
            <w:rFonts w:ascii="Traditional Arabic" w:hAnsi="Traditional Arabic" w:cs="Traditional Arabic"/>
            <w:noProof/>
            <w:sz w:val="28"/>
            <w:szCs w:val="28"/>
            <w:rtl/>
          </w:rPr>
          <w:t>3.2 المنهج البحثي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51</w:t>
        </w:r>
        <w:r w:rsidRPr="008D76BB">
          <w:rPr>
            <w:rFonts w:ascii="Traditional Arabic" w:hAnsi="Traditional Arabic" w:cs="Traditional Arabic"/>
            <w:noProof/>
            <w:webHidden/>
            <w:sz w:val="28"/>
            <w:szCs w:val="28"/>
          </w:rPr>
          <w:fldChar w:fldCharType="end"/>
        </w:r>
      </w:hyperlink>
    </w:p>
    <w:p w14:paraId="0909DEE6" w14:textId="5F011C99"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2" w:history="1">
        <w:r w:rsidRPr="008D76BB">
          <w:rPr>
            <w:rStyle w:val="Hyperlink"/>
            <w:rFonts w:ascii="Traditional Arabic" w:hAnsi="Traditional Arabic" w:cs="Traditional Arabic"/>
            <w:noProof/>
            <w:sz w:val="28"/>
            <w:szCs w:val="28"/>
            <w:rtl/>
          </w:rPr>
          <w:t>3.3 تصميم البحث</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52</w:t>
        </w:r>
        <w:r w:rsidRPr="008D76BB">
          <w:rPr>
            <w:rFonts w:ascii="Traditional Arabic" w:hAnsi="Traditional Arabic" w:cs="Traditional Arabic"/>
            <w:noProof/>
            <w:webHidden/>
            <w:sz w:val="28"/>
            <w:szCs w:val="28"/>
          </w:rPr>
          <w:fldChar w:fldCharType="end"/>
        </w:r>
      </w:hyperlink>
    </w:p>
    <w:p w14:paraId="5AB8C69D" w14:textId="14FA7EDB"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3" w:history="1">
        <w:r w:rsidRPr="008D76BB">
          <w:rPr>
            <w:rStyle w:val="Hyperlink"/>
            <w:rFonts w:ascii="Traditional Arabic" w:hAnsi="Traditional Arabic" w:cs="Traditional Arabic"/>
            <w:noProof/>
            <w:sz w:val="28"/>
            <w:szCs w:val="28"/>
            <w:rtl/>
          </w:rPr>
          <w:t>3.4 استراتيجية البحث</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52</w:t>
        </w:r>
        <w:r w:rsidRPr="008D76BB">
          <w:rPr>
            <w:rFonts w:ascii="Traditional Arabic" w:hAnsi="Traditional Arabic" w:cs="Traditional Arabic"/>
            <w:noProof/>
            <w:webHidden/>
            <w:sz w:val="28"/>
            <w:szCs w:val="28"/>
          </w:rPr>
          <w:fldChar w:fldCharType="end"/>
        </w:r>
      </w:hyperlink>
    </w:p>
    <w:p w14:paraId="7DA8638D" w14:textId="28BA4AE8"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4" w:history="1">
        <w:r w:rsidRPr="008D76BB">
          <w:rPr>
            <w:rStyle w:val="Hyperlink"/>
            <w:rFonts w:ascii="Traditional Arabic" w:hAnsi="Traditional Arabic" w:cs="Traditional Arabic"/>
            <w:noProof/>
            <w:sz w:val="28"/>
            <w:szCs w:val="28"/>
            <w:rtl/>
          </w:rPr>
          <w:t>3.5 النطاق الزمني والجغرافي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52</w:t>
        </w:r>
        <w:r w:rsidRPr="008D76BB">
          <w:rPr>
            <w:rFonts w:ascii="Traditional Arabic" w:hAnsi="Traditional Arabic" w:cs="Traditional Arabic"/>
            <w:noProof/>
            <w:webHidden/>
            <w:sz w:val="28"/>
            <w:szCs w:val="28"/>
          </w:rPr>
          <w:fldChar w:fldCharType="end"/>
        </w:r>
      </w:hyperlink>
    </w:p>
    <w:p w14:paraId="4000155A" w14:textId="4128EB71"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5" w:history="1">
        <w:r w:rsidRPr="008D76BB">
          <w:rPr>
            <w:rStyle w:val="Hyperlink"/>
            <w:rFonts w:ascii="Traditional Arabic" w:hAnsi="Traditional Arabic" w:cs="Traditional Arabic"/>
            <w:noProof/>
            <w:sz w:val="28"/>
            <w:szCs w:val="28"/>
            <w:rtl/>
          </w:rPr>
          <w:t>3.6 مجتمع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53</w:t>
        </w:r>
        <w:r w:rsidRPr="008D76BB">
          <w:rPr>
            <w:rFonts w:ascii="Traditional Arabic" w:hAnsi="Traditional Arabic" w:cs="Traditional Arabic"/>
            <w:noProof/>
            <w:webHidden/>
            <w:sz w:val="28"/>
            <w:szCs w:val="28"/>
          </w:rPr>
          <w:fldChar w:fldCharType="end"/>
        </w:r>
      </w:hyperlink>
    </w:p>
    <w:p w14:paraId="5E4004B8" w14:textId="1205C1E3"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6" w:history="1">
        <w:r w:rsidRPr="008D76BB">
          <w:rPr>
            <w:rStyle w:val="Hyperlink"/>
            <w:rFonts w:ascii="Traditional Arabic" w:hAnsi="Traditional Arabic" w:cs="Traditional Arabic"/>
            <w:noProof/>
            <w:sz w:val="28"/>
            <w:szCs w:val="28"/>
            <w:rtl/>
          </w:rPr>
          <w:t>3.7 عينة الدراسة وتقنية أخذ العينات</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53</w:t>
        </w:r>
        <w:r w:rsidRPr="008D76BB">
          <w:rPr>
            <w:rFonts w:ascii="Traditional Arabic" w:hAnsi="Traditional Arabic" w:cs="Traditional Arabic"/>
            <w:noProof/>
            <w:webHidden/>
            <w:sz w:val="28"/>
            <w:szCs w:val="28"/>
          </w:rPr>
          <w:fldChar w:fldCharType="end"/>
        </w:r>
      </w:hyperlink>
    </w:p>
    <w:p w14:paraId="5901FDAE" w14:textId="4EC539B0"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7" w:history="1">
        <w:r w:rsidRPr="008D76BB">
          <w:rPr>
            <w:rStyle w:val="Hyperlink"/>
            <w:rFonts w:ascii="Traditional Arabic" w:hAnsi="Traditional Arabic" w:cs="Traditional Arabic"/>
            <w:noProof/>
            <w:sz w:val="28"/>
            <w:szCs w:val="28"/>
            <w:rtl/>
          </w:rPr>
          <w:t>3.8 أسلوب جمع البيانات وأداة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_Toc236402687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54</w:t>
        </w:r>
        <w:r w:rsidRPr="008D76BB">
          <w:rPr>
            <w:rFonts w:ascii="Traditional Arabic" w:hAnsi="Traditional Arabic" w:cs="Traditional Arabic"/>
            <w:noProof/>
            <w:webHidden/>
            <w:sz w:val="28"/>
            <w:szCs w:val="28"/>
          </w:rPr>
          <w:fldChar w:fldCharType="end"/>
        </w:r>
      </w:hyperlink>
    </w:p>
    <w:p w14:paraId="3C6DD933" w14:textId="47E0192C"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8" w:history="1">
        <w:r w:rsidRPr="008D76BB">
          <w:rPr>
            <w:rStyle w:val="Hyperlink"/>
            <w:rFonts w:ascii="Traditional Arabic" w:hAnsi="Traditional Arabic" w:cs="Traditional Arabic"/>
            <w:noProof/>
            <w:sz w:val="28"/>
            <w:szCs w:val="28"/>
            <w:rtl/>
          </w:rPr>
          <w:t>3.9 أنواع البيانات</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_Toc236402688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57</w:t>
        </w:r>
        <w:r w:rsidRPr="008D76BB">
          <w:rPr>
            <w:rFonts w:ascii="Traditional Arabic" w:hAnsi="Traditional Arabic" w:cs="Traditional Arabic"/>
            <w:noProof/>
            <w:webHidden/>
            <w:sz w:val="28"/>
            <w:szCs w:val="28"/>
          </w:rPr>
          <w:fldChar w:fldCharType="end"/>
        </w:r>
      </w:hyperlink>
    </w:p>
    <w:p w14:paraId="5D323CF6" w14:textId="5C59DF19"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89" w:history="1">
        <w:r w:rsidRPr="008D76BB">
          <w:rPr>
            <w:rStyle w:val="Hyperlink"/>
            <w:rFonts w:ascii="Traditional Arabic" w:hAnsi="Traditional Arabic" w:cs="Traditional Arabic"/>
            <w:noProof/>
            <w:sz w:val="28"/>
            <w:szCs w:val="28"/>
            <w:rtl/>
          </w:rPr>
          <w:t>3.10 صدق المقياس</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_Toc236402689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58</w:t>
        </w:r>
        <w:r w:rsidRPr="008D76BB">
          <w:rPr>
            <w:rFonts w:ascii="Traditional Arabic" w:hAnsi="Traditional Arabic" w:cs="Traditional Arabic"/>
            <w:noProof/>
            <w:webHidden/>
            <w:sz w:val="28"/>
            <w:szCs w:val="28"/>
          </w:rPr>
          <w:fldChar w:fldCharType="end"/>
        </w:r>
      </w:hyperlink>
    </w:p>
    <w:p w14:paraId="6B59957D" w14:textId="279DD482"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90" w:history="1">
        <w:r w:rsidRPr="008D76BB">
          <w:rPr>
            <w:rStyle w:val="Hyperlink"/>
            <w:rFonts w:ascii="Traditional Arabic" w:hAnsi="Traditional Arabic" w:cs="Traditional Arabic"/>
            <w:noProof/>
            <w:sz w:val="28"/>
            <w:szCs w:val="28"/>
            <w:rtl/>
          </w:rPr>
          <w:t>3.10.1 الصدق الظاهري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58</w:t>
        </w:r>
        <w:r w:rsidRPr="008D76BB">
          <w:rPr>
            <w:rFonts w:ascii="Traditional Arabic" w:hAnsi="Traditional Arabic" w:cs="Traditional Arabic"/>
            <w:noProof/>
            <w:webHidden/>
            <w:sz w:val="28"/>
            <w:szCs w:val="28"/>
          </w:rPr>
          <w:fldChar w:fldCharType="end"/>
        </w:r>
      </w:hyperlink>
    </w:p>
    <w:p w14:paraId="66C8BA5E" w14:textId="0A2FE8A7"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91" w:history="1">
        <w:r w:rsidRPr="008D76BB">
          <w:rPr>
            <w:rStyle w:val="Hyperlink"/>
            <w:rFonts w:ascii="Traditional Arabic" w:hAnsi="Traditional Arabic" w:cs="Traditional Arabic"/>
            <w:noProof/>
            <w:sz w:val="28"/>
            <w:szCs w:val="28"/>
            <w:rtl/>
          </w:rPr>
          <w:t>3.10.2 الصدق البنائي</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58</w:t>
        </w:r>
        <w:r w:rsidRPr="008D76BB">
          <w:rPr>
            <w:rFonts w:ascii="Traditional Arabic" w:hAnsi="Traditional Arabic" w:cs="Traditional Arabic"/>
            <w:noProof/>
            <w:webHidden/>
            <w:sz w:val="28"/>
            <w:szCs w:val="28"/>
          </w:rPr>
          <w:fldChar w:fldCharType="end"/>
        </w:r>
      </w:hyperlink>
    </w:p>
    <w:p w14:paraId="3DA29FF6" w14:textId="0570AC54"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92" w:history="1">
        <w:r w:rsidRPr="008D76BB">
          <w:rPr>
            <w:rStyle w:val="Hyperlink"/>
            <w:rFonts w:ascii="Traditional Arabic" w:hAnsi="Traditional Arabic" w:cs="Traditional Arabic"/>
            <w:noProof/>
            <w:sz w:val="28"/>
            <w:szCs w:val="28"/>
            <w:rtl/>
          </w:rPr>
          <w:t>3.11 ثبات المقياس</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59</w:t>
        </w:r>
        <w:r w:rsidRPr="008D76BB">
          <w:rPr>
            <w:rFonts w:ascii="Traditional Arabic" w:hAnsi="Traditional Arabic" w:cs="Traditional Arabic"/>
            <w:noProof/>
            <w:webHidden/>
            <w:sz w:val="28"/>
            <w:szCs w:val="28"/>
          </w:rPr>
          <w:fldChar w:fldCharType="end"/>
        </w:r>
      </w:hyperlink>
    </w:p>
    <w:p w14:paraId="22DF64DB" w14:textId="7A6C8CCF"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93" w:history="1">
        <w:r w:rsidRPr="008D76BB">
          <w:rPr>
            <w:rStyle w:val="Hyperlink"/>
            <w:rFonts w:ascii="Traditional Arabic" w:hAnsi="Traditional Arabic" w:cs="Traditional Arabic"/>
            <w:noProof/>
            <w:sz w:val="28"/>
            <w:szCs w:val="28"/>
            <w:rtl/>
          </w:rPr>
          <w:t>3.12 تحليل البيانات</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60</w:t>
        </w:r>
        <w:r w:rsidRPr="008D76BB">
          <w:rPr>
            <w:rFonts w:ascii="Traditional Arabic" w:hAnsi="Traditional Arabic" w:cs="Traditional Arabic"/>
            <w:noProof/>
            <w:webHidden/>
            <w:sz w:val="28"/>
            <w:szCs w:val="28"/>
          </w:rPr>
          <w:fldChar w:fldCharType="end"/>
        </w:r>
      </w:hyperlink>
    </w:p>
    <w:p w14:paraId="6F2CD9C8" w14:textId="3665E115"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694" w:history="1">
        <w:r w:rsidRPr="008D76BB">
          <w:rPr>
            <w:rStyle w:val="Hyperlink"/>
            <w:rFonts w:ascii="Traditional Arabic" w:hAnsi="Traditional Arabic" w:cs="Traditional Arabic"/>
            <w:noProof/>
            <w:sz w:val="28"/>
            <w:szCs w:val="28"/>
            <w:rtl/>
          </w:rPr>
          <w:t>3.13 حدود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61</w:t>
        </w:r>
        <w:r w:rsidRPr="008D76BB">
          <w:rPr>
            <w:rFonts w:ascii="Traditional Arabic" w:hAnsi="Traditional Arabic" w:cs="Traditional Arabic"/>
            <w:noProof/>
            <w:webHidden/>
            <w:sz w:val="28"/>
            <w:szCs w:val="28"/>
          </w:rPr>
          <w:fldChar w:fldCharType="end"/>
        </w:r>
      </w:hyperlink>
    </w:p>
    <w:p w14:paraId="26ABBEA6" w14:textId="1CE2EDC2" w:rsidR="008D76BB" w:rsidRPr="008D76BB" w:rsidRDefault="008D76BB" w:rsidP="008D76BB">
      <w:pPr>
        <w:pStyle w:val="TOC1"/>
        <w:jc w:val="lowKashida"/>
        <w:rPr>
          <w:rFonts w:eastAsiaTheme="minorEastAsia"/>
          <w:b w:val="0"/>
          <w:bCs w:val="0"/>
          <w:sz w:val="28"/>
          <w:szCs w:val="28"/>
        </w:rPr>
      </w:pPr>
      <w:hyperlink w:anchor="_Toc236402695" w:history="1">
        <w:r w:rsidRPr="008D76BB">
          <w:rPr>
            <w:rStyle w:val="Hyperlink"/>
            <w:sz w:val="28"/>
            <w:szCs w:val="28"/>
            <w:rtl/>
          </w:rPr>
          <w:t>الفصل الرابع: نتائج الدراسة</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_Toc236402695 \h </w:instrText>
        </w:r>
        <w:r w:rsidRPr="008D76BB">
          <w:rPr>
            <w:webHidden/>
            <w:sz w:val="28"/>
            <w:szCs w:val="28"/>
          </w:rPr>
        </w:r>
        <w:r w:rsidRPr="008D76BB">
          <w:rPr>
            <w:webHidden/>
            <w:sz w:val="28"/>
            <w:szCs w:val="28"/>
          </w:rPr>
          <w:fldChar w:fldCharType="separate"/>
        </w:r>
        <w:r w:rsidR="00990B60">
          <w:rPr>
            <w:webHidden/>
            <w:sz w:val="28"/>
            <w:szCs w:val="28"/>
            <w:rtl/>
          </w:rPr>
          <w:t>62</w:t>
        </w:r>
        <w:r w:rsidRPr="008D76BB">
          <w:rPr>
            <w:webHidden/>
            <w:sz w:val="28"/>
            <w:szCs w:val="28"/>
          </w:rPr>
          <w:fldChar w:fldCharType="end"/>
        </w:r>
      </w:hyperlink>
    </w:p>
    <w:p w14:paraId="7B02A2CD" w14:textId="39396BDD"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97" w:history="1">
        <w:r w:rsidRPr="008D76BB">
          <w:rPr>
            <w:rStyle w:val="Hyperlink"/>
            <w:rFonts w:ascii="Traditional Arabic" w:hAnsi="Traditional Arabic" w:cs="Traditional Arabic"/>
            <w:noProof/>
            <w:sz w:val="28"/>
            <w:szCs w:val="28"/>
            <w:rtl/>
          </w:rPr>
          <w:t>تمهيد</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_Toc236402697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63</w:t>
        </w:r>
        <w:r w:rsidRPr="008D76BB">
          <w:rPr>
            <w:rFonts w:ascii="Traditional Arabic" w:hAnsi="Traditional Arabic" w:cs="Traditional Arabic"/>
            <w:noProof/>
            <w:webHidden/>
            <w:sz w:val="28"/>
            <w:szCs w:val="28"/>
          </w:rPr>
          <w:fldChar w:fldCharType="end"/>
        </w:r>
      </w:hyperlink>
    </w:p>
    <w:p w14:paraId="2F2C87BD" w14:textId="70F422F9"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98" w:history="1">
        <w:r w:rsidRPr="008D76BB">
          <w:rPr>
            <w:rStyle w:val="Hyperlink"/>
            <w:rFonts w:ascii="Traditional Arabic" w:hAnsi="Traditional Arabic" w:cs="Traditional Arabic"/>
            <w:noProof/>
            <w:sz w:val="28"/>
            <w:szCs w:val="28"/>
            <w:rtl/>
          </w:rPr>
          <w:t>4.1 الخصائص الديموغرافية والوظيفية لعينة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_Toc236402698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63</w:t>
        </w:r>
        <w:r w:rsidRPr="008D76BB">
          <w:rPr>
            <w:rFonts w:ascii="Traditional Arabic" w:hAnsi="Traditional Arabic" w:cs="Traditional Arabic"/>
            <w:noProof/>
            <w:webHidden/>
            <w:sz w:val="28"/>
            <w:szCs w:val="28"/>
          </w:rPr>
          <w:fldChar w:fldCharType="end"/>
        </w:r>
      </w:hyperlink>
    </w:p>
    <w:p w14:paraId="5A601B7A" w14:textId="3BDA0C63"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699" w:history="1">
        <w:r w:rsidRPr="008D76BB">
          <w:rPr>
            <w:rStyle w:val="Hyperlink"/>
            <w:rFonts w:ascii="Traditional Arabic" w:hAnsi="Traditional Arabic" w:cs="Traditional Arabic"/>
            <w:noProof/>
            <w:sz w:val="28"/>
            <w:szCs w:val="28"/>
            <w:rtl/>
          </w:rPr>
          <w:t>4.2 مصفوفة الارتباط (للمتغيرات الكلية وأبعادها الفرعية)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_Toc236402699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65</w:t>
        </w:r>
        <w:r w:rsidRPr="008D76BB">
          <w:rPr>
            <w:rFonts w:ascii="Traditional Arabic" w:hAnsi="Traditional Arabic" w:cs="Traditional Arabic"/>
            <w:noProof/>
            <w:webHidden/>
            <w:sz w:val="28"/>
            <w:szCs w:val="28"/>
          </w:rPr>
          <w:fldChar w:fldCharType="end"/>
        </w:r>
      </w:hyperlink>
    </w:p>
    <w:p w14:paraId="340AEB8A" w14:textId="7DE1C864"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00" w:history="1">
        <w:r w:rsidRPr="008D76BB">
          <w:rPr>
            <w:rStyle w:val="Hyperlink"/>
            <w:rFonts w:ascii="Traditional Arabic" w:hAnsi="Traditional Arabic" w:cs="Traditional Arabic"/>
            <w:noProof/>
            <w:sz w:val="28"/>
            <w:szCs w:val="28"/>
            <w:rtl/>
          </w:rPr>
          <w:t>4.3 مؤشرات جودة توافق النموذج (</w:t>
        </w:r>
        <w:r w:rsidRPr="008D76BB">
          <w:rPr>
            <w:rStyle w:val="Hyperlink"/>
            <w:rFonts w:ascii="Traditional Arabic" w:hAnsi="Traditional Arabic" w:cs="Traditional Arabic"/>
            <w:noProof/>
            <w:sz w:val="28"/>
            <w:szCs w:val="28"/>
          </w:rPr>
          <w:t>Model Fit Indices</w:t>
        </w:r>
        <w:r w:rsidRPr="008D76BB">
          <w:rPr>
            <w:rStyle w:val="Hyperlink"/>
            <w:rFonts w:ascii="Traditional Arabic" w:hAnsi="Traditional Arabic" w:cs="Traditional Arabic"/>
            <w:noProof/>
            <w:sz w:val="28"/>
            <w:szCs w:val="28"/>
            <w:rtl/>
          </w:rPr>
          <w:t>)</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67</w:t>
        </w:r>
        <w:r w:rsidRPr="008D76BB">
          <w:rPr>
            <w:rFonts w:ascii="Traditional Arabic" w:hAnsi="Traditional Arabic" w:cs="Traditional Arabic"/>
            <w:noProof/>
            <w:webHidden/>
            <w:sz w:val="28"/>
            <w:szCs w:val="28"/>
          </w:rPr>
          <w:fldChar w:fldCharType="end"/>
        </w:r>
      </w:hyperlink>
    </w:p>
    <w:p w14:paraId="21FAED45" w14:textId="5B17A1C6"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01" w:history="1">
        <w:r w:rsidRPr="008D76BB">
          <w:rPr>
            <w:rStyle w:val="Hyperlink"/>
            <w:rFonts w:ascii="Traditional Arabic" w:hAnsi="Traditional Arabic" w:cs="Traditional Arabic"/>
            <w:noProof/>
            <w:sz w:val="28"/>
            <w:szCs w:val="28"/>
            <w:rtl/>
          </w:rPr>
          <w:t>4.4 القدرة التفسيرية للنموذج (معامل التحديد (</w:t>
        </w:r>
        <w:r w:rsidRPr="008D76BB">
          <w:rPr>
            <w:rStyle w:val="Hyperlink"/>
            <w:rFonts w:ascii="Traditional Arabic" w:hAnsi="Traditional Arabic" w:cs="Traditional Arabic"/>
            <w:noProof/>
            <w:sz w:val="28"/>
            <w:szCs w:val="28"/>
          </w:rPr>
          <w:t>R</w:t>
        </w:r>
        <w:r w:rsidRPr="008D76BB">
          <w:rPr>
            <w:rStyle w:val="Hyperlink"/>
            <w:rFonts w:ascii="Traditional Arabic" w:hAnsi="Traditional Arabic" w:cs="Traditional Arabic"/>
            <w:noProof/>
            <w:sz w:val="28"/>
            <w:szCs w:val="28"/>
            <w:vertAlign w:val="superscript"/>
          </w:rPr>
          <w:t>2</w:t>
        </w:r>
        <w:r w:rsidRPr="008D76BB">
          <w:rPr>
            <w:rStyle w:val="Hyperlink"/>
            <w:rFonts w:ascii="Traditional Arabic" w:hAnsi="Traditional Arabic" w:cs="Traditional Arabic"/>
            <w:noProof/>
            <w:sz w:val="28"/>
            <w:szCs w:val="28"/>
            <w:rtl/>
          </w:rPr>
          <w:t>))</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68</w:t>
        </w:r>
        <w:r w:rsidRPr="008D76BB">
          <w:rPr>
            <w:rFonts w:ascii="Traditional Arabic" w:hAnsi="Traditional Arabic" w:cs="Traditional Arabic"/>
            <w:noProof/>
            <w:webHidden/>
            <w:sz w:val="28"/>
            <w:szCs w:val="28"/>
          </w:rPr>
          <w:fldChar w:fldCharType="end"/>
        </w:r>
      </w:hyperlink>
    </w:p>
    <w:p w14:paraId="326D2544" w14:textId="63208A91"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02" w:history="1">
        <w:r w:rsidRPr="008D76BB">
          <w:rPr>
            <w:rStyle w:val="Hyperlink"/>
            <w:rFonts w:ascii="Traditional Arabic" w:hAnsi="Traditional Arabic" w:cs="Traditional Arabic"/>
            <w:noProof/>
            <w:sz w:val="28"/>
            <w:szCs w:val="28"/>
            <w:rtl/>
          </w:rPr>
          <w:t>4.5 اختبار فرضيات الدراسة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69</w:t>
        </w:r>
        <w:r w:rsidRPr="008D76BB">
          <w:rPr>
            <w:rFonts w:ascii="Traditional Arabic" w:hAnsi="Traditional Arabic" w:cs="Traditional Arabic"/>
            <w:noProof/>
            <w:webHidden/>
            <w:sz w:val="28"/>
            <w:szCs w:val="28"/>
          </w:rPr>
          <w:fldChar w:fldCharType="end"/>
        </w:r>
      </w:hyperlink>
    </w:p>
    <w:p w14:paraId="203B7A32" w14:textId="6E15DE13"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703" w:history="1">
        <w:r w:rsidRPr="008D76BB">
          <w:rPr>
            <w:rStyle w:val="Hyperlink"/>
            <w:rFonts w:ascii="Traditional Arabic" w:hAnsi="Traditional Arabic" w:cs="Traditional Arabic"/>
            <w:noProof/>
            <w:sz w:val="28"/>
            <w:szCs w:val="28"/>
            <w:rtl/>
          </w:rPr>
          <w:t>4.5.1 التحقق من افتراضات تحليل الانحدار المتعدد (</w:t>
        </w:r>
        <w:r w:rsidRPr="008D76BB">
          <w:rPr>
            <w:rStyle w:val="Hyperlink"/>
            <w:rFonts w:ascii="Traditional Arabic" w:hAnsi="Traditional Arabic" w:cs="Traditional Arabic"/>
            <w:noProof/>
            <w:sz w:val="28"/>
            <w:szCs w:val="28"/>
          </w:rPr>
          <w:t>Regression Assumptions</w:t>
        </w:r>
        <w:r w:rsidRPr="008D76BB">
          <w:rPr>
            <w:rStyle w:val="Hyperlink"/>
            <w:rFonts w:ascii="Traditional Arabic" w:hAnsi="Traditional Arabic" w:cs="Traditional Arabic"/>
            <w:noProof/>
            <w:sz w:val="28"/>
            <w:szCs w:val="28"/>
            <w:rtl/>
          </w:rPr>
          <w:t>)</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_Toc236402703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69</w:t>
        </w:r>
        <w:r w:rsidRPr="008D76BB">
          <w:rPr>
            <w:rFonts w:ascii="Traditional Arabic" w:hAnsi="Traditional Arabic" w:cs="Traditional Arabic"/>
            <w:noProof/>
            <w:webHidden/>
            <w:sz w:val="28"/>
            <w:szCs w:val="28"/>
          </w:rPr>
          <w:fldChar w:fldCharType="end"/>
        </w:r>
      </w:hyperlink>
    </w:p>
    <w:p w14:paraId="24CB977F" w14:textId="7B6E365A"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704" w:history="1">
        <w:r w:rsidRPr="008D76BB">
          <w:rPr>
            <w:rStyle w:val="Hyperlink"/>
            <w:rFonts w:ascii="Traditional Arabic" w:hAnsi="Traditional Arabic" w:cs="Traditional Arabic"/>
            <w:noProof/>
            <w:sz w:val="28"/>
            <w:szCs w:val="28"/>
            <w:rtl/>
          </w:rPr>
          <w:t>1. اختبار الفرضية الفرعية الأولى</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_Toc236402704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69</w:t>
        </w:r>
        <w:r w:rsidRPr="008D76BB">
          <w:rPr>
            <w:rFonts w:ascii="Traditional Arabic" w:hAnsi="Traditional Arabic" w:cs="Traditional Arabic"/>
            <w:noProof/>
            <w:webHidden/>
            <w:sz w:val="28"/>
            <w:szCs w:val="28"/>
          </w:rPr>
          <w:fldChar w:fldCharType="end"/>
        </w:r>
      </w:hyperlink>
    </w:p>
    <w:p w14:paraId="317FB9FB" w14:textId="72CAE4D0"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705" w:history="1">
        <w:r w:rsidRPr="008D76BB">
          <w:rPr>
            <w:rStyle w:val="Hyperlink"/>
            <w:rFonts w:ascii="Traditional Arabic" w:hAnsi="Traditional Arabic" w:cs="Traditional Arabic"/>
            <w:noProof/>
            <w:sz w:val="28"/>
            <w:szCs w:val="28"/>
            <w:rtl/>
          </w:rPr>
          <w:t>4.5.2 اختبار الفرضية الفرعية الثانية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70</w:t>
        </w:r>
        <w:r w:rsidRPr="008D76BB">
          <w:rPr>
            <w:rFonts w:ascii="Traditional Arabic" w:hAnsi="Traditional Arabic" w:cs="Traditional Arabic"/>
            <w:noProof/>
            <w:webHidden/>
            <w:sz w:val="28"/>
            <w:szCs w:val="28"/>
          </w:rPr>
          <w:fldChar w:fldCharType="end"/>
        </w:r>
      </w:hyperlink>
    </w:p>
    <w:p w14:paraId="0C0E99AB" w14:textId="1155673A"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706" w:history="1">
        <w:r w:rsidRPr="008D76BB">
          <w:rPr>
            <w:rStyle w:val="Hyperlink"/>
            <w:rFonts w:ascii="Traditional Arabic" w:hAnsi="Traditional Arabic" w:cs="Traditional Arabic"/>
            <w:noProof/>
            <w:sz w:val="28"/>
            <w:szCs w:val="28"/>
            <w:rtl/>
          </w:rPr>
          <w:t>4.5.3 اختبار الفرضية الفرعية الثالثة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71</w:t>
        </w:r>
        <w:r w:rsidRPr="008D76BB">
          <w:rPr>
            <w:rFonts w:ascii="Traditional Arabic" w:hAnsi="Traditional Arabic" w:cs="Traditional Arabic"/>
            <w:noProof/>
            <w:webHidden/>
            <w:sz w:val="28"/>
            <w:szCs w:val="28"/>
          </w:rPr>
          <w:fldChar w:fldCharType="end"/>
        </w:r>
      </w:hyperlink>
    </w:p>
    <w:p w14:paraId="2729F38A" w14:textId="1F3A1228" w:rsidR="008D76BB" w:rsidRPr="008D76BB" w:rsidRDefault="008D76BB" w:rsidP="008D76BB">
      <w:pPr>
        <w:pStyle w:val="TOC3"/>
        <w:tabs>
          <w:tab w:val="right" w:leader="dot" w:pos="9350"/>
        </w:tabs>
        <w:bidi/>
        <w:jc w:val="lowKashida"/>
        <w:rPr>
          <w:rFonts w:ascii="Traditional Arabic" w:eastAsiaTheme="minorEastAsia" w:hAnsi="Traditional Arabic" w:cs="Traditional Arabic"/>
          <w:noProof/>
          <w:sz w:val="28"/>
          <w:szCs w:val="28"/>
        </w:rPr>
      </w:pPr>
      <w:hyperlink w:anchor="_Toc236402707" w:history="1">
        <w:r w:rsidRPr="008D76BB">
          <w:rPr>
            <w:rStyle w:val="Hyperlink"/>
            <w:rFonts w:ascii="Traditional Arabic" w:hAnsi="Traditional Arabic" w:cs="Traditional Arabic"/>
            <w:noProof/>
            <w:sz w:val="28"/>
            <w:szCs w:val="28"/>
            <w:rtl/>
          </w:rPr>
          <w:t>4.5.4 اختبار الفرضية الرئيسية (التأثير غير المباشر والممر الوسيط)</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_Toc236402707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72</w:t>
        </w:r>
        <w:r w:rsidRPr="008D76BB">
          <w:rPr>
            <w:rFonts w:ascii="Traditional Arabic" w:hAnsi="Traditional Arabic" w:cs="Traditional Arabic"/>
            <w:noProof/>
            <w:webHidden/>
            <w:sz w:val="28"/>
            <w:szCs w:val="28"/>
          </w:rPr>
          <w:fldChar w:fldCharType="end"/>
        </w:r>
      </w:hyperlink>
    </w:p>
    <w:p w14:paraId="0F70B460" w14:textId="0BC68C24" w:rsidR="008D76BB" w:rsidRPr="008D76BB" w:rsidRDefault="008D76BB" w:rsidP="008D76BB">
      <w:pPr>
        <w:pStyle w:val="TOC1"/>
        <w:jc w:val="lowKashida"/>
        <w:rPr>
          <w:rFonts w:eastAsiaTheme="minorEastAsia"/>
          <w:b w:val="0"/>
          <w:bCs w:val="0"/>
          <w:sz w:val="28"/>
          <w:szCs w:val="28"/>
        </w:rPr>
      </w:pPr>
      <w:hyperlink w:anchor="_Toc236402708" w:history="1">
        <w:r w:rsidRPr="008D76BB">
          <w:rPr>
            <w:rStyle w:val="Hyperlink"/>
            <w:sz w:val="28"/>
            <w:szCs w:val="28"/>
            <w:rtl/>
          </w:rPr>
          <w:t>الفصل الخامس: مناقشة النتائج والتوصيات</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_Toc236402708 \h </w:instrText>
        </w:r>
        <w:r w:rsidRPr="008D76BB">
          <w:rPr>
            <w:webHidden/>
            <w:sz w:val="28"/>
            <w:szCs w:val="28"/>
          </w:rPr>
        </w:r>
        <w:r w:rsidRPr="008D76BB">
          <w:rPr>
            <w:webHidden/>
            <w:sz w:val="28"/>
            <w:szCs w:val="28"/>
          </w:rPr>
          <w:fldChar w:fldCharType="separate"/>
        </w:r>
        <w:r w:rsidR="00990B60">
          <w:rPr>
            <w:webHidden/>
            <w:sz w:val="28"/>
            <w:szCs w:val="28"/>
            <w:rtl/>
          </w:rPr>
          <w:t>75</w:t>
        </w:r>
        <w:r w:rsidRPr="008D76BB">
          <w:rPr>
            <w:webHidden/>
            <w:sz w:val="28"/>
            <w:szCs w:val="28"/>
          </w:rPr>
          <w:fldChar w:fldCharType="end"/>
        </w:r>
      </w:hyperlink>
    </w:p>
    <w:p w14:paraId="1B570C32" w14:textId="67AA4716"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10" w:history="1">
        <w:r w:rsidRPr="008D76BB">
          <w:rPr>
            <w:rStyle w:val="Hyperlink"/>
            <w:rFonts w:ascii="Traditional Arabic" w:hAnsi="Traditional Arabic" w:cs="Traditional Arabic"/>
            <w:noProof/>
            <w:sz w:val="28"/>
            <w:szCs w:val="28"/>
            <w:rtl/>
          </w:rPr>
          <w:t>تمهيد</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_Toc236402710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76</w:t>
        </w:r>
        <w:r w:rsidRPr="008D76BB">
          <w:rPr>
            <w:rFonts w:ascii="Traditional Arabic" w:hAnsi="Traditional Arabic" w:cs="Traditional Arabic"/>
            <w:noProof/>
            <w:webHidden/>
            <w:sz w:val="28"/>
            <w:szCs w:val="28"/>
          </w:rPr>
          <w:fldChar w:fldCharType="end"/>
        </w:r>
      </w:hyperlink>
    </w:p>
    <w:p w14:paraId="757B96A1" w14:textId="6A8522F6"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11" w:history="1">
        <w:r w:rsidRPr="008D76BB">
          <w:rPr>
            <w:rStyle w:val="Hyperlink"/>
            <w:rFonts w:ascii="Traditional Arabic" w:hAnsi="Traditional Arabic" w:cs="Traditional Arabic"/>
            <w:noProof/>
            <w:sz w:val="28"/>
            <w:szCs w:val="28"/>
            <w:rtl/>
          </w:rPr>
          <w:t>5.3 الدراسات المستقبلية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_Toc236402711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80</w:t>
        </w:r>
        <w:r w:rsidRPr="008D76BB">
          <w:rPr>
            <w:rFonts w:ascii="Traditional Arabic" w:hAnsi="Traditional Arabic" w:cs="Traditional Arabic"/>
            <w:noProof/>
            <w:webHidden/>
            <w:sz w:val="28"/>
            <w:szCs w:val="28"/>
          </w:rPr>
          <w:fldChar w:fldCharType="end"/>
        </w:r>
      </w:hyperlink>
    </w:p>
    <w:p w14:paraId="214E8EBC" w14:textId="2B70C794"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12" w:history="1">
        <w:r w:rsidRPr="008D76BB">
          <w:rPr>
            <w:rStyle w:val="Hyperlink"/>
            <w:rFonts w:ascii="Traditional Arabic" w:hAnsi="Traditional Arabic" w:cs="Traditional Arabic"/>
            <w:noProof/>
            <w:sz w:val="28"/>
            <w:szCs w:val="28"/>
            <w:rtl/>
          </w:rPr>
          <w:t>5.4 خاتمة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_Toc236402712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81</w:t>
        </w:r>
        <w:r w:rsidRPr="008D76BB">
          <w:rPr>
            <w:rFonts w:ascii="Traditional Arabic" w:hAnsi="Traditional Arabic" w:cs="Traditional Arabic"/>
            <w:noProof/>
            <w:webHidden/>
            <w:sz w:val="28"/>
            <w:szCs w:val="28"/>
          </w:rPr>
          <w:fldChar w:fldCharType="end"/>
        </w:r>
      </w:hyperlink>
    </w:p>
    <w:p w14:paraId="5DC679AB" w14:textId="7E56B8E5" w:rsidR="008D76BB" w:rsidRPr="008D76BB" w:rsidRDefault="008D76BB" w:rsidP="008D76BB">
      <w:pPr>
        <w:pStyle w:val="TOC1"/>
        <w:jc w:val="lowKashida"/>
        <w:rPr>
          <w:rFonts w:eastAsiaTheme="minorEastAsia"/>
          <w:b w:val="0"/>
          <w:bCs w:val="0"/>
          <w:sz w:val="28"/>
          <w:szCs w:val="28"/>
        </w:rPr>
      </w:pPr>
      <w:hyperlink w:anchor="_Toc236402713" w:history="1">
        <w:r w:rsidRPr="008D76BB">
          <w:rPr>
            <w:rStyle w:val="Hyperlink"/>
            <w:sz w:val="28"/>
            <w:szCs w:val="28"/>
            <w:rtl/>
          </w:rPr>
          <w:t>المراجع</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_Toc236402713 \h </w:instrText>
        </w:r>
        <w:r w:rsidRPr="008D76BB">
          <w:rPr>
            <w:webHidden/>
            <w:sz w:val="28"/>
            <w:szCs w:val="28"/>
          </w:rPr>
        </w:r>
        <w:r w:rsidRPr="008D76BB">
          <w:rPr>
            <w:webHidden/>
            <w:sz w:val="28"/>
            <w:szCs w:val="28"/>
          </w:rPr>
          <w:fldChar w:fldCharType="separate"/>
        </w:r>
        <w:r w:rsidR="00990B60">
          <w:rPr>
            <w:webHidden/>
            <w:sz w:val="28"/>
            <w:szCs w:val="28"/>
            <w:rtl/>
          </w:rPr>
          <w:t>82</w:t>
        </w:r>
        <w:r w:rsidRPr="008D76BB">
          <w:rPr>
            <w:webHidden/>
            <w:sz w:val="28"/>
            <w:szCs w:val="28"/>
          </w:rPr>
          <w:fldChar w:fldCharType="end"/>
        </w:r>
      </w:hyperlink>
    </w:p>
    <w:p w14:paraId="1EA1B5A7" w14:textId="013559F6"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15" w:history="1">
        <w:r w:rsidRPr="008D76BB">
          <w:rPr>
            <w:rStyle w:val="Hyperlink"/>
            <w:rFonts w:ascii="Traditional Arabic" w:hAnsi="Traditional Arabic" w:cs="Traditional Arabic"/>
            <w:noProof/>
            <w:sz w:val="28"/>
            <w:szCs w:val="28"/>
            <w:rtl/>
          </w:rPr>
          <w:t>أولا: المراجع العربية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_Toc236402715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83</w:t>
        </w:r>
        <w:r w:rsidRPr="008D76BB">
          <w:rPr>
            <w:rFonts w:ascii="Traditional Arabic" w:hAnsi="Traditional Arabic" w:cs="Traditional Arabic"/>
            <w:noProof/>
            <w:webHidden/>
            <w:sz w:val="28"/>
            <w:szCs w:val="28"/>
          </w:rPr>
          <w:fldChar w:fldCharType="end"/>
        </w:r>
      </w:hyperlink>
    </w:p>
    <w:p w14:paraId="3CC28303" w14:textId="11D91BA8" w:rsidR="008D76BB" w:rsidRPr="008D76BB" w:rsidRDefault="008D76BB" w:rsidP="008D76BB">
      <w:pPr>
        <w:pStyle w:val="TOC2"/>
        <w:tabs>
          <w:tab w:val="right" w:leader="dot" w:pos="9350"/>
        </w:tabs>
        <w:bidi/>
        <w:jc w:val="lowKashida"/>
        <w:rPr>
          <w:rFonts w:ascii="Traditional Arabic" w:eastAsiaTheme="minorEastAsia" w:hAnsi="Traditional Arabic" w:cs="Traditional Arabic"/>
          <w:noProof/>
          <w:sz w:val="28"/>
          <w:szCs w:val="28"/>
        </w:rPr>
      </w:pPr>
      <w:hyperlink w:anchor="_Toc236402716" w:history="1">
        <w:r w:rsidRPr="008D76BB">
          <w:rPr>
            <w:rStyle w:val="Hyperlink"/>
            <w:rFonts w:ascii="Traditional Arabic" w:hAnsi="Traditional Arabic" w:cs="Traditional Arabic"/>
            <w:noProof/>
            <w:sz w:val="28"/>
            <w:szCs w:val="28"/>
            <w:rtl/>
            <w:lang w:bidi="ar-EG"/>
          </w:rPr>
          <w:t>ثانيا: المراجع الأجنبية</w:t>
        </w:r>
        <w:r w:rsidRPr="008D76BB">
          <w:rPr>
            <w:rFonts w:ascii="Traditional Arabic" w:hAnsi="Traditional Arabic" w:cs="Traditional Arabic"/>
            <w:noProof/>
            <w:webHidden/>
            <w:sz w:val="28"/>
            <w:szCs w:val="28"/>
          </w:rPr>
          <w:tab/>
        </w:r>
        <w:r w:rsidRPr="008D76BB">
          <w:rPr>
            <w:rFonts w:ascii="Traditional Arabic" w:hAnsi="Traditional Arabic" w:cs="Traditional Arabic"/>
            <w:noProof/>
            <w:webHidden/>
            <w:sz w:val="28"/>
            <w:szCs w:val="28"/>
          </w:rPr>
          <w:fldChar w:fldCharType="begin"/>
        </w:r>
        <w:r w:rsidRPr="008D76BB">
          <w:rPr>
            <w:rFonts w:ascii="Traditional Arabic" w:hAnsi="Traditional Arabic" w:cs="Traditional Arabic"/>
            <w:noProof/>
            <w:webHidden/>
            <w:sz w:val="28"/>
            <w:szCs w:val="28"/>
          </w:rPr>
          <w:instrText xml:space="preserve"> PAGEREF _Toc236402716 \h </w:instrText>
        </w:r>
        <w:r w:rsidRPr="008D76BB">
          <w:rPr>
            <w:rFonts w:ascii="Traditional Arabic" w:hAnsi="Traditional Arabic" w:cs="Traditional Arabic"/>
            <w:noProof/>
            <w:webHidden/>
            <w:sz w:val="28"/>
            <w:szCs w:val="28"/>
          </w:rPr>
        </w:r>
        <w:r w:rsidRPr="008D76BB">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85</w:t>
        </w:r>
        <w:r w:rsidRPr="008D76BB">
          <w:rPr>
            <w:rFonts w:ascii="Traditional Arabic" w:hAnsi="Traditional Arabic" w:cs="Traditional Arabic"/>
            <w:noProof/>
            <w:webHidden/>
            <w:sz w:val="28"/>
            <w:szCs w:val="28"/>
          </w:rPr>
          <w:fldChar w:fldCharType="end"/>
        </w:r>
      </w:hyperlink>
    </w:p>
    <w:p w14:paraId="0D28DE8A" w14:textId="0A53CB36" w:rsidR="008D76BB" w:rsidRPr="008D76BB" w:rsidRDefault="008D76BB" w:rsidP="008D76BB">
      <w:pPr>
        <w:pStyle w:val="TOC1"/>
        <w:jc w:val="lowKashida"/>
        <w:rPr>
          <w:rFonts w:eastAsiaTheme="minorEastAsia"/>
          <w:b w:val="0"/>
          <w:bCs w:val="0"/>
          <w:sz w:val="28"/>
          <w:szCs w:val="28"/>
        </w:rPr>
      </w:pPr>
      <w:hyperlink w:anchor="_Toc236402717" w:history="1">
        <w:r w:rsidRPr="008D76BB">
          <w:rPr>
            <w:rStyle w:val="Hyperlink"/>
            <w:sz w:val="28"/>
            <w:szCs w:val="28"/>
            <w:rtl/>
          </w:rPr>
          <w:t>الملاحق</w:t>
        </w:r>
        <w:r w:rsidRPr="008D76BB">
          <w:rPr>
            <w:webHidden/>
            <w:sz w:val="28"/>
            <w:szCs w:val="28"/>
          </w:rPr>
          <w:tab/>
        </w:r>
        <w:r w:rsidRPr="008D76BB">
          <w:rPr>
            <w:webHidden/>
            <w:sz w:val="28"/>
            <w:szCs w:val="28"/>
          </w:rPr>
          <w:fldChar w:fldCharType="begin"/>
        </w:r>
        <w:r w:rsidRPr="008D76BB">
          <w:rPr>
            <w:webHidden/>
            <w:sz w:val="28"/>
            <w:szCs w:val="28"/>
          </w:rPr>
          <w:instrText xml:space="preserve"> PAGEREF _Toc236402717 \h </w:instrText>
        </w:r>
        <w:r w:rsidRPr="008D76BB">
          <w:rPr>
            <w:webHidden/>
            <w:sz w:val="28"/>
            <w:szCs w:val="28"/>
          </w:rPr>
        </w:r>
        <w:r w:rsidRPr="008D76BB">
          <w:rPr>
            <w:webHidden/>
            <w:sz w:val="28"/>
            <w:szCs w:val="28"/>
          </w:rPr>
          <w:fldChar w:fldCharType="separate"/>
        </w:r>
        <w:r w:rsidR="00990B60">
          <w:rPr>
            <w:webHidden/>
            <w:sz w:val="28"/>
            <w:szCs w:val="28"/>
            <w:rtl/>
          </w:rPr>
          <w:t>100</w:t>
        </w:r>
        <w:r w:rsidRPr="008D76BB">
          <w:rPr>
            <w:webHidden/>
            <w:sz w:val="28"/>
            <w:szCs w:val="28"/>
          </w:rPr>
          <w:fldChar w:fldCharType="end"/>
        </w:r>
      </w:hyperlink>
    </w:p>
    <w:p w14:paraId="293276BA" w14:textId="0BFA709E" w:rsidR="005222BC" w:rsidRPr="003D1437" w:rsidRDefault="005222BC" w:rsidP="008D76BB">
      <w:pPr>
        <w:bidi/>
        <w:spacing w:after="0" w:line="360" w:lineRule="auto"/>
        <w:jc w:val="lowKashida"/>
        <w:rPr>
          <w:rFonts w:ascii="Traditional Arabic" w:hAnsi="Traditional Arabic" w:cs="Traditional Arabic"/>
          <w:b/>
          <w:bCs/>
          <w:sz w:val="24"/>
          <w:szCs w:val="24"/>
          <w:rtl/>
          <w:lang w:bidi="ar-EG"/>
        </w:rPr>
        <w:sectPr w:rsidR="005222BC" w:rsidRPr="003D1437" w:rsidSect="00781B53">
          <w:pgSz w:w="12240" w:h="15840"/>
          <w:pgMar w:top="1440" w:right="1440" w:bottom="1440" w:left="1440" w:header="720" w:footer="720" w:gutter="0"/>
          <w:pgNumType w:fmt="arabicAbjad"/>
          <w:cols w:space="720"/>
          <w:docGrid w:linePitch="360"/>
        </w:sectPr>
      </w:pPr>
      <w:r w:rsidRPr="005222BC">
        <w:rPr>
          <w:rFonts w:ascii="Traditional Arabic" w:hAnsi="Traditional Arabic" w:cs="Traditional Arabic"/>
          <w:b/>
          <w:bCs/>
          <w:sz w:val="28"/>
          <w:szCs w:val="28"/>
          <w:rtl/>
          <w:lang w:bidi="ar-EG"/>
        </w:rPr>
        <w:fldChar w:fldCharType="end"/>
      </w:r>
    </w:p>
    <w:p w14:paraId="38660E85" w14:textId="6DDCE43F" w:rsidR="00FE70A4" w:rsidRPr="003D1437" w:rsidRDefault="00781B53" w:rsidP="00781B53">
      <w:pPr>
        <w:pStyle w:val="Heading1"/>
        <w:rPr>
          <w:rtl/>
          <w:lang w:bidi="ar-EG"/>
        </w:rPr>
      </w:pPr>
      <w:bookmarkStart w:id="3" w:name="_Toc236402629"/>
      <w:r w:rsidRPr="003D1437">
        <w:rPr>
          <w:rFonts w:hint="cs"/>
          <w:rtl/>
          <w:lang w:bidi="ar-EG"/>
        </w:rPr>
        <w:lastRenderedPageBreak/>
        <w:t>فهرس الجداول</w:t>
      </w:r>
      <w:bookmarkEnd w:id="3"/>
    </w:p>
    <w:p w14:paraId="1702ABCA" w14:textId="47FA2ADD"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r w:rsidRPr="005222BC">
        <w:rPr>
          <w:rFonts w:ascii="Traditional Arabic" w:hAnsi="Traditional Arabic" w:cs="Traditional Arabic"/>
          <w:sz w:val="28"/>
          <w:szCs w:val="28"/>
          <w:rtl/>
        </w:rPr>
        <w:fldChar w:fldCharType="begin"/>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TOC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h \z \t "Heading 4" \c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tl/>
        </w:rPr>
        <w:fldChar w:fldCharType="separate"/>
      </w:r>
      <w:hyperlink w:anchor="_Toc235065198" w:history="1">
        <w:r w:rsidRPr="005222BC">
          <w:rPr>
            <w:rStyle w:val="Hyperlink"/>
            <w:rFonts w:ascii="Traditional Arabic" w:hAnsi="Traditional Arabic" w:cs="Traditional Arabic"/>
            <w:noProof/>
            <w:sz w:val="28"/>
            <w:szCs w:val="28"/>
            <w:rtl/>
            <w:lang w:bidi="ar-EG"/>
          </w:rPr>
          <w:t>جدول (1): إحصائيات المعلمين والإداريين في الإدارة العامة للتعليم بمنطقة مكة المكرمة لعام 1445هـ (2023-2024)</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_Toc235065198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53</w:t>
        </w:r>
        <w:r w:rsidRPr="005222BC">
          <w:rPr>
            <w:rFonts w:ascii="Traditional Arabic" w:hAnsi="Traditional Arabic" w:cs="Traditional Arabic"/>
            <w:noProof/>
            <w:webHidden/>
            <w:sz w:val="28"/>
            <w:szCs w:val="28"/>
          </w:rPr>
          <w:fldChar w:fldCharType="end"/>
        </w:r>
      </w:hyperlink>
    </w:p>
    <w:p w14:paraId="5C8532FB" w14:textId="5A23D6B9"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199" w:history="1">
        <w:r w:rsidRPr="005222BC">
          <w:rPr>
            <w:rStyle w:val="Hyperlink"/>
            <w:rFonts w:ascii="Traditional Arabic" w:hAnsi="Traditional Arabic" w:cs="Traditional Arabic"/>
            <w:noProof/>
            <w:sz w:val="28"/>
            <w:szCs w:val="28"/>
            <w:rtl/>
            <w:lang w:bidi="ar-EG"/>
          </w:rPr>
          <w:t>جدول (2): أبعاد ومتغيرات الدراسة وكيفية قياسها ومصادرها</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_Toc235065199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56</w:t>
        </w:r>
        <w:r w:rsidRPr="005222BC">
          <w:rPr>
            <w:rFonts w:ascii="Traditional Arabic" w:hAnsi="Traditional Arabic" w:cs="Traditional Arabic"/>
            <w:noProof/>
            <w:webHidden/>
            <w:sz w:val="28"/>
            <w:szCs w:val="28"/>
          </w:rPr>
          <w:fldChar w:fldCharType="end"/>
        </w:r>
      </w:hyperlink>
    </w:p>
    <w:p w14:paraId="7D01B5C6" w14:textId="6711E4C0"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0" w:history="1">
        <w:r w:rsidRPr="005222BC">
          <w:rPr>
            <w:rStyle w:val="Hyperlink"/>
            <w:rFonts w:ascii="Traditional Arabic" w:hAnsi="Traditional Arabic" w:cs="Traditional Arabic"/>
            <w:noProof/>
            <w:sz w:val="28"/>
            <w:szCs w:val="28"/>
            <w:rtl/>
            <w:lang w:bidi="ar-EG"/>
          </w:rPr>
          <w:t>جدول</w:t>
        </w:r>
        <w:r w:rsidRPr="005222BC">
          <w:rPr>
            <w:rStyle w:val="Hyperlink"/>
            <w:rFonts w:ascii="Traditional Arabic" w:hAnsi="Traditional Arabic" w:cs="Traditional Arabic"/>
            <w:noProof/>
            <w:sz w:val="28"/>
            <w:szCs w:val="28"/>
            <w:lang w:bidi="ar-EG"/>
          </w:rPr>
          <w:t xml:space="preserve"> </w:t>
        </w:r>
        <w:r w:rsidRPr="005222BC">
          <w:rPr>
            <w:rStyle w:val="Hyperlink"/>
            <w:rFonts w:ascii="Traditional Arabic" w:hAnsi="Traditional Arabic" w:cs="Traditional Arabic"/>
            <w:noProof/>
            <w:sz w:val="28"/>
            <w:szCs w:val="28"/>
            <w:rtl/>
            <w:lang w:bidi="ar-EG"/>
          </w:rPr>
          <w:t>(3): معاملات ارتباط بيرسون بين الأبعاد والدرجة الكلية للمتغيرات (الصدق البنائي)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59</w:t>
        </w:r>
        <w:r w:rsidRPr="005222BC">
          <w:rPr>
            <w:rFonts w:ascii="Traditional Arabic" w:hAnsi="Traditional Arabic" w:cs="Traditional Arabic"/>
            <w:noProof/>
            <w:webHidden/>
            <w:sz w:val="28"/>
            <w:szCs w:val="28"/>
          </w:rPr>
          <w:fldChar w:fldCharType="end"/>
        </w:r>
      </w:hyperlink>
    </w:p>
    <w:p w14:paraId="45A77107" w14:textId="6655ECDA"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1" w:history="1">
        <w:r w:rsidRPr="005222BC">
          <w:rPr>
            <w:rStyle w:val="Hyperlink"/>
            <w:rFonts w:ascii="Traditional Arabic" w:hAnsi="Traditional Arabic" w:cs="Traditional Arabic"/>
            <w:noProof/>
            <w:sz w:val="28"/>
            <w:szCs w:val="28"/>
            <w:rtl/>
            <w:lang w:bidi="ar-EG"/>
          </w:rPr>
          <w:t>جدول</w:t>
        </w:r>
        <w:r w:rsidRPr="005222BC">
          <w:rPr>
            <w:rStyle w:val="Hyperlink"/>
            <w:rFonts w:ascii="Traditional Arabic" w:hAnsi="Traditional Arabic" w:cs="Traditional Arabic"/>
            <w:noProof/>
            <w:sz w:val="28"/>
            <w:szCs w:val="28"/>
            <w:lang w:bidi="ar-EG"/>
          </w:rPr>
          <w:t xml:space="preserve"> </w:t>
        </w:r>
        <w:r w:rsidRPr="005222BC">
          <w:rPr>
            <w:rStyle w:val="Hyperlink"/>
            <w:rFonts w:ascii="Traditional Arabic" w:hAnsi="Traditional Arabic" w:cs="Traditional Arabic"/>
            <w:noProof/>
            <w:sz w:val="28"/>
            <w:szCs w:val="28"/>
            <w:rtl/>
            <w:lang w:bidi="ar-EG"/>
          </w:rPr>
          <w:t>(4): معاملات الثبات (ألفا كرونباخ) لمتغيرات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60</w:t>
        </w:r>
        <w:r w:rsidRPr="005222BC">
          <w:rPr>
            <w:rFonts w:ascii="Traditional Arabic" w:hAnsi="Traditional Arabic" w:cs="Traditional Arabic"/>
            <w:noProof/>
            <w:webHidden/>
            <w:sz w:val="28"/>
            <w:szCs w:val="28"/>
          </w:rPr>
          <w:fldChar w:fldCharType="end"/>
        </w:r>
      </w:hyperlink>
    </w:p>
    <w:p w14:paraId="43A7FC60" w14:textId="1BAE296C"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2" w:history="1">
        <w:r w:rsidRPr="005222BC">
          <w:rPr>
            <w:rStyle w:val="Hyperlink"/>
            <w:rFonts w:ascii="Traditional Arabic" w:hAnsi="Traditional Arabic" w:cs="Traditional Arabic"/>
            <w:noProof/>
            <w:sz w:val="28"/>
            <w:szCs w:val="28"/>
            <w:rtl/>
            <w:lang w:bidi="ar-EG"/>
          </w:rPr>
          <w:t>جدول (5): توزيع أفراد عينة الدراسة حسب المتغيرات الديموغرافية والوظيفية (ن = 81)</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63</w:t>
        </w:r>
        <w:r w:rsidRPr="005222BC">
          <w:rPr>
            <w:rFonts w:ascii="Traditional Arabic" w:hAnsi="Traditional Arabic" w:cs="Traditional Arabic"/>
            <w:noProof/>
            <w:webHidden/>
            <w:sz w:val="28"/>
            <w:szCs w:val="28"/>
          </w:rPr>
          <w:fldChar w:fldCharType="end"/>
        </w:r>
      </w:hyperlink>
    </w:p>
    <w:p w14:paraId="1E89B8C2" w14:textId="28DE78A1"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3" w:history="1">
        <w:r w:rsidRPr="005222BC">
          <w:rPr>
            <w:rStyle w:val="Hyperlink"/>
            <w:rFonts w:ascii="Traditional Arabic" w:hAnsi="Traditional Arabic" w:cs="Traditional Arabic"/>
            <w:noProof/>
            <w:sz w:val="28"/>
            <w:szCs w:val="28"/>
            <w:rtl/>
            <w:lang w:bidi="ar-EG"/>
          </w:rPr>
          <w:t>جدول (6): المتوسطات الحسابية والانحرافات المعيارية لمتغيرات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64</w:t>
        </w:r>
        <w:r w:rsidRPr="005222BC">
          <w:rPr>
            <w:rFonts w:ascii="Traditional Arabic" w:hAnsi="Traditional Arabic" w:cs="Traditional Arabic"/>
            <w:noProof/>
            <w:webHidden/>
            <w:sz w:val="28"/>
            <w:szCs w:val="28"/>
          </w:rPr>
          <w:fldChar w:fldCharType="end"/>
        </w:r>
      </w:hyperlink>
    </w:p>
    <w:p w14:paraId="2481A1B3" w14:textId="51BA7442"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4" w:history="1">
        <w:r w:rsidRPr="005222BC">
          <w:rPr>
            <w:rStyle w:val="Hyperlink"/>
            <w:rFonts w:ascii="Traditional Arabic" w:hAnsi="Traditional Arabic" w:cs="Traditional Arabic"/>
            <w:noProof/>
            <w:sz w:val="28"/>
            <w:szCs w:val="28"/>
            <w:rtl/>
            <w:lang w:bidi="ar-EG"/>
          </w:rPr>
          <w:t>جدول (7): مصفوفة الارتباط لبيرسون بين متغيرات الدراسة وأبعادها الفرعية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65</w:t>
        </w:r>
        <w:r w:rsidRPr="005222BC">
          <w:rPr>
            <w:rFonts w:ascii="Traditional Arabic" w:hAnsi="Traditional Arabic" w:cs="Traditional Arabic"/>
            <w:noProof/>
            <w:webHidden/>
            <w:sz w:val="28"/>
            <w:szCs w:val="28"/>
          </w:rPr>
          <w:fldChar w:fldCharType="end"/>
        </w:r>
      </w:hyperlink>
    </w:p>
    <w:p w14:paraId="1C2524D9" w14:textId="2FDC73BD"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5" w:history="1">
        <w:r w:rsidRPr="005222BC">
          <w:rPr>
            <w:rStyle w:val="Hyperlink"/>
            <w:rFonts w:ascii="Traditional Arabic" w:hAnsi="Traditional Arabic" w:cs="Traditional Arabic"/>
            <w:noProof/>
            <w:sz w:val="28"/>
            <w:szCs w:val="28"/>
            <w:rtl/>
            <w:lang w:bidi="ar-EG"/>
          </w:rPr>
          <w:t>جدول (8): مؤشرات جودة توافق نموذج تحليل المسار</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67</w:t>
        </w:r>
        <w:r w:rsidRPr="005222BC">
          <w:rPr>
            <w:rFonts w:ascii="Traditional Arabic" w:hAnsi="Traditional Arabic" w:cs="Traditional Arabic"/>
            <w:noProof/>
            <w:webHidden/>
            <w:sz w:val="28"/>
            <w:szCs w:val="28"/>
          </w:rPr>
          <w:fldChar w:fldCharType="end"/>
        </w:r>
      </w:hyperlink>
    </w:p>
    <w:p w14:paraId="580363FC" w14:textId="36F94E6A"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6" w:history="1">
        <w:r w:rsidRPr="005222BC">
          <w:rPr>
            <w:rStyle w:val="Hyperlink"/>
            <w:rFonts w:ascii="Traditional Arabic" w:hAnsi="Traditional Arabic" w:cs="Traditional Arabic"/>
            <w:noProof/>
            <w:sz w:val="28"/>
            <w:szCs w:val="28"/>
            <w:rtl/>
            <w:lang w:bidi="ar-EG"/>
          </w:rPr>
          <w:t>جدول (9): نتائج تحليل الانحدار المتعدد لأثر الذكاء الاصطناعي وأبعاده على كفاءة التخطيط</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70</w:t>
        </w:r>
        <w:r w:rsidRPr="005222BC">
          <w:rPr>
            <w:rFonts w:ascii="Traditional Arabic" w:hAnsi="Traditional Arabic" w:cs="Traditional Arabic"/>
            <w:noProof/>
            <w:webHidden/>
            <w:sz w:val="28"/>
            <w:szCs w:val="28"/>
          </w:rPr>
          <w:fldChar w:fldCharType="end"/>
        </w:r>
      </w:hyperlink>
    </w:p>
    <w:p w14:paraId="151F9B82" w14:textId="22CC71BF"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7" w:history="1">
        <w:r w:rsidRPr="005222BC">
          <w:rPr>
            <w:rStyle w:val="Hyperlink"/>
            <w:rFonts w:ascii="Traditional Arabic" w:hAnsi="Traditional Arabic" w:cs="Traditional Arabic"/>
            <w:noProof/>
            <w:sz w:val="28"/>
            <w:szCs w:val="28"/>
            <w:rtl/>
            <w:lang w:bidi="ar-EG"/>
          </w:rPr>
          <w:t>جدول (10): نتائج تحليل الانحدار المتعدد لأثر الذكاء الاصطناعي وأبعاده على التكيف التكنولوجي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70</w:t>
        </w:r>
        <w:r w:rsidRPr="005222BC">
          <w:rPr>
            <w:rFonts w:ascii="Traditional Arabic" w:hAnsi="Traditional Arabic" w:cs="Traditional Arabic"/>
            <w:noProof/>
            <w:webHidden/>
            <w:sz w:val="28"/>
            <w:szCs w:val="28"/>
          </w:rPr>
          <w:fldChar w:fldCharType="end"/>
        </w:r>
      </w:hyperlink>
    </w:p>
    <w:p w14:paraId="789D7F59" w14:textId="30C0BFBF"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8" w:history="1">
        <w:r w:rsidRPr="005222BC">
          <w:rPr>
            <w:rStyle w:val="Hyperlink"/>
            <w:rFonts w:ascii="Traditional Arabic" w:hAnsi="Traditional Arabic" w:cs="Traditional Arabic"/>
            <w:noProof/>
            <w:sz w:val="28"/>
            <w:szCs w:val="28"/>
            <w:rtl/>
            <w:lang w:bidi="ar-EG"/>
          </w:rPr>
          <w:t>جدول (11): نتائج تحليل المسار المتعدد لأثر التكيف التكنولوجي على أبعاد كفاءة التخطيط</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71</w:t>
        </w:r>
        <w:r w:rsidRPr="005222BC">
          <w:rPr>
            <w:rFonts w:ascii="Traditional Arabic" w:hAnsi="Traditional Arabic" w:cs="Traditional Arabic"/>
            <w:noProof/>
            <w:webHidden/>
            <w:sz w:val="28"/>
            <w:szCs w:val="28"/>
          </w:rPr>
          <w:fldChar w:fldCharType="end"/>
        </w:r>
      </w:hyperlink>
    </w:p>
    <w:p w14:paraId="4D2B7138" w14:textId="334AD337"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9" w:history="1">
        <w:r w:rsidRPr="005222BC">
          <w:rPr>
            <w:rStyle w:val="Hyperlink"/>
            <w:rFonts w:ascii="Traditional Arabic" w:hAnsi="Traditional Arabic" w:cs="Traditional Arabic"/>
            <w:noProof/>
            <w:sz w:val="28"/>
            <w:szCs w:val="28"/>
            <w:rtl/>
            <w:lang w:bidi="ar-EG"/>
          </w:rPr>
          <w:t>جدول (12): التأثيرات غير المباشرة لأبعاد الذكاء الاصطناعي عبر التكيف التكنولوجي (تحليل المسار)</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73</w:t>
        </w:r>
        <w:r w:rsidRPr="005222BC">
          <w:rPr>
            <w:rFonts w:ascii="Traditional Arabic" w:hAnsi="Traditional Arabic" w:cs="Traditional Arabic"/>
            <w:noProof/>
            <w:webHidden/>
            <w:sz w:val="28"/>
            <w:szCs w:val="28"/>
          </w:rPr>
          <w:fldChar w:fldCharType="end"/>
        </w:r>
      </w:hyperlink>
    </w:p>
    <w:p w14:paraId="16A33CCD" w14:textId="7FA47F8D"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10" w:history="1">
        <w:r w:rsidRPr="005222BC">
          <w:rPr>
            <w:rStyle w:val="Hyperlink"/>
            <w:rFonts w:ascii="Traditional Arabic" w:hAnsi="Traditional Arabic" w:cs="Traditional Arabic"/>
            <w:noProof/>
            <w:sz w:val="28"/>
            <w:szCs w:val="28"/>
            <w:rtl/>
            <w:lang w:bidi="ar-EG"/>
          </w:rPr>
          <w:t>جدول (13): ملخص نتائج اختبار فرضيات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_Toc235065210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74</w:t>
        </w:r>
        <w:r w:rsidRPr="005222BC">
          <w:rPr>
            <w:rFonts w:ascii="Traditional Arabic" w:hAnsi="Traditional Arabic" w:cs="Traditional Arabic"/>
            <w:noProof/>
            <w:webHidden/>
            <w:sz w:val="28"/>
            <w:szCs w:val="28"/>
          </w:rPr>
          <w:fldChar w:fldCharType="end"/>
        </w:r>
      </w:hyperlink>
    </w:p>
    <w:p w14:paraId="08F6A723" w14:textId="0F603494" w:rsidR="005222BC" w:rsidRPr="005222BC" w:rsidRDefault="005222BC" w:rsidP="005222BC">
      <w:pPr>
        <w:bidi/>
        <w:spacing w:after="0" w:line="360" w:lineRule="auto"/>
        <w:jc w:val="lowKashida"/>
        <w:rPr>
          <w:rFonts w:ascii="Traditional Arabic" w:hAnsi="Traditional Arabic" w:cs="Traditional Arabic"/>
          <w:sz w:val="28"/>
          <w:szCs w:val="28"/>
          <w:rtl/>
        </w:rPr>
        <w:sectPr w:rsidR="005222BC" w:rsidRPr="005222BC" w:rsidSect="00781B53">
          <w:pgSz w:w="12240" w:h="15840"/>
          <w:pgMar w:top="1440" w:right="1440" w:bottom="1440" w:left="1440" w:header="720" w:footer="720" w:gutter="0"/>
          <w:pgNumType w:fmt="arabicAbjad"/>
          <w:cols w:space="720"/>
          <w:docGrid w:linePitch="360"/>
        </w:sectPr>
      </w:pPr>
      <w:r w:rsidRPr="005222BC">
        <w:rPr>
          <w:rFonts w:ascii="Traditional Arabic" w:hAnsi="Traditional Arabic" w:cs="Traditional Arabic"/>
          <w:sz w:val="28"/>
          <w:szCs w:val="28"/>
          <w:rtl/>
        </w:rPr>
        <w:fldChar w:fldCharType="end"/>
      </w:r>
    </w:p>
    <w:p w14:paraId="37C66BDD" w14:textId="337C9C58" w:rsidR="00781B53" w:rsidRPr="003D1437" w:rsidRDefault="00781B53" w:rsidP="00781B53">
      <w:pPr>
        <w:pStyle w:val="Heading1"/>
        <w:rPr>
          <w:rtl/>
          <w:lang w:bidi="ar-EG"/>
        </w:rPr>
      </w:pPr>
      <w:bookmarkStart w:id="4" w:name="_Toc236402630"/>
      <w:r w:rsidRPr="003D1437">
        <w:rPr>
          <w:rFonts w:hint="cs"/>
          <w:rtl/>
          <w:lang w:bidi="ar-EG"/>
        </w:rPr>
        <w:lastRenderedPageBreak/>
        <w:t>فهرس الاشكال</w:t>
      </w:r>
      <w:bookmarkEnd w:id="4"/>
    </w:p>
    <w:p w14:paraId="19F4BD39" w14:textId="6F90BB28" w:rsidR="005222BC" w:rsidRPr="005222BC" w:rsidRDefault="005222BC" w:rsidP="005222BC">
      <w:pPr>
        <w:pStyle w:val="TableofFigures"/>
        <w:tabs>
          <w:tab w:val="right" w:leader="dot" w:pos="9350"/>
        </w:tabs>
        <w:bidi/>
        <w:spacing w:line="360" w:lineRule="auto"/>
        <w:rPr>
          <w:rFonts w:ascii="Traditional Arabic" w:hAnsi="Traditional Arabic" w:cs="Traditional Arabic"/>
          <w:noProof/>
          <w:sz w:val="28"/>
          <w:szCs w:val="28"/>
        </w:rPr>
      </w:pPr>
      <w:r w:rsidRPr="005222BC">
        <w:rPr>
          <w:rFonts w:ascii="Traditional Arabic" w:hAnsi="Traditional Arabic" w:cs="Traditional Arabic"/>
          <w:sz w:val="28"/>
          <w:szCs w:val="28"/>
          <w:rtl/>
        </w:rPr>
        <w:fldChar w:fldCharType="begin"/>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TOC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h \z \t "Heading 5" \c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tl/>
        </w:rPr>
        <w:fldChar w:fldCharType="separate"/>
      </w:r>
      <w:hyperlink w:anchor="_Toc235065033" w:history="1">
        <w:r w:rsidRPr="005222BC">
          <w:rPr>
            <w:rStyle w:val="Hyperlink"/>
            <w:rFonts w:ascii="Traditional Arabic" w:hAnsi="Traditional Arabic" w:cs="Traditional Arabic"/>
            <w:noProof/>
            <w:sz w:val="28"/>
            <w:szCs w:val="28"/>
            <w:rtl/>
            <w:lang w:bidi="ar-EG"/>
          </w:rPr>
          <w:t>شكل (1): انموذج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_Toc235065033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w:t>
        </w:r>
        <w:r w:rsidRPr="005222BC">
          <w:rPr>
            <w:rFonts w:ascii="Traditional Arabic" w:hAnsi="Traditional Arabic" w:cs="Traditional Arabic"/>
            <w:noProof/>
            <w:webHidden/>
            <w:sz w:val="28"/>
            <w:szCs w:val="28"/>
          </w:rPr>
          <w:fldChar w:fldCharType="end"/>
        </w:r>
      </w:hyperlink>
    </w:p>
    <w:p w14:paraId="5D0BF3D8" w14:textId="382211BD" w:rsidR="005222BC" w:rsidRPr="005222BC" w:rsidRDefault="005222BC" w:rsidP="005222BC">
      <w:pPr>
        <w:pStyle w:val="TableofFigures"/>
        <w:tabs>
          <w:tab w:val="right" w:leader="dot" w:pos="9350"/>
        </w:tabs>
        <w:bidi/>
        <w:spacing w:line="360" w:lineRule="auto"/>
        <w:rPr>
          <w:rFonts w:ascii="Traditional Arabic" w:hAnsi="Traditional Arabic" w:cs="Traditional Arabic"/>
          <w:noProof/>
          <w:sz w:val="28"/>
          <w:szCs w:val="28"/>
        </w:rPr>
      </w:pPr>
      <w:hyperlink w:anchor="_Toc235065034" w:history="1">
        <w:r w:rsidRPr="005222BC">
          <w:rPr>
            <w:rStyle w:val="Hyperlink"/>
            <w:rFonts w:ascii="Traditional Arabic" w:hAnsi="Traditional Arabic" w:cs="Traditional Arabic"/>
            <w:noProof/>
            <w:sz w:val="28"/>
            <w:szCs w:val="28"/>
            <w:rtl/>
            <w:lang w:bidi="ar-EG"/>
          </w:rPr>
          <w:t>شكل (2): النموذج الهيكلي لمسارات الدراسة (التأثيرات المباشرة لمعاملات بيتا المعيارية)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_Toc235065034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990B60">
          <w:rPr>
            <w:rFonts w:ascii="Traditional Arabic" w:hAnsi="Traditional Arabic" w:cs="Traditional Arabic"/>
            <w:noProof/>
            <w:webHidden/>
            <w:sz w:val="28"/>
            <w:szCs w:val="28"/>
            <w:rtl/>
          </w:rPr>
          <w:t>68</w:t>
        </w:r>
        <w:r w:rsidRPr="005222BC">
          <w:rPr>
            <w:rFonts w:ascii="Traditional Arabic" w:hAnsi="Traditional Arabic" w:cs="Traditional Arabic"/>
            <w:noProof/>
            <w:webHidden/>
            <w:sz w:val="28"/>
            <w:szCs w:val="28"/>
          </w:rPr>
          <w:fldChar w:fldCharType="end"/>
        </w:r>
      </w:hyperlink>
    </w:p>
    <w:p w14:paraId="3A356471" w14:textId="2E9691E4" w:rsidR="005222BC" w:rsidRPr="005222BC" w:rsidRDefault="005222BC" w:rsidP="005222BC">
      <w:pPr>
        <w:bidi/>
        <w:spacing w:after="0" w:line="360" w:lineRule="auto"/>
        <w:jc w:val="lowKashida"/>
        <w:rPr>
          <w:rFonts w:ascii="Traditional Arabic" w:hAnsi="Traditional Arabic" w:cs="Traditional Arabic"/>
          <w:sz w:val="28"/>
          <w:szCs w:val="28"/>
          <w:rtl/>
        </w:rPr>
        <w:sectPr w:rsidR="005222BC" w:rsidRPr="005222BC" w:rsidSect="00781B53">
          <w:pgSz w:w="12240" w:h="15840"/>
          <w:pgMar w:top="1440" w:right="1440" w:bottom="1440" w:left="1440" w:header="720" w:footer="720" w:gutter="0"/>
          <w:pgNumType w:fmt="arabicAbjad"/>
          <w:cols w:space="720"/>
          <w:docGrid w:linePitch="360"/>
        </w:sectPr>
      </w:pPr>
      <w:r w:rsidRPr="005222BC">
        <w:rPr>
          <w:rFonts w:ascii="Traditional Arabic" w:hAnsi="Traditional Arabic" w:cs="Traditional Arabic"/>
          <w:sz w:val="28"/>
          <w:szCs w:val="28"/>
          <w:rtl/>
        </w:rPr>
        <w:fldChar w:fldCharType="end"/>
      </w:r>
    </w:p>
    <w:p w14:paraId="1E5BD602" w14:textId="5796E1B8" w:rsidR="00781B53" w:rsidRPr="003D1437" w:rsidRDefault="006D5279" w:rsidP="00781B53">
      <w:pPr>
        <w:pStyle w:val="Heading1"/>
        <w:rPr>
          <w:rtl/>
          <w:lang w:bidi="ar-EG"/>
        </w:rPr>
      </w:pPr>
      <w:bookmarkStart w:id="5" w:name="_Toc236402631"/>
      <w:r w:rsidRPr="006D5279">
        <w:rPr>
          <w:rtl/>
          <w:lang w:bidi="ar-EG"/>
        </w:rPr>
        <w:lastRenderedPageBreak/>
        <w:t>مستخلص البحث</w:t>
      </w:r>
      <w:bookmarkEnd w:id="5"/>
      <w:r w:rsidR="00781B53" w:rsidRPr="003D1437">
        <w:rPr>
          <w:rFonts w:hint="cs"/>
          <w:rtl/>
          <w:lang w:bidi="ar-EG"/>
        </w:rPr>
        <w:t xml:space="preserve"> </w:t>
      </w:r>
    </w:p>
    <w:p w14:paraId="7AAD84C7" w14:textId="428D9EA2"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هدفت هذه الدراسة إلى الكشف عن دور التكيف التكنولوجي كمتغير وسيط في تعزيز تأثير تطبيقات الذكاء الاصطناعي على كفاءة التخطيط الاستراتيجي لدى الإداريين والقيادات في الإدارة العامة للتعليم بمنطقة مكة المكرمة. ولتحقيق هذا الهدف، اعتمدت الدراسة على المنهج الوصفي التحليلي الكمي، حيث تم تطبيق أسلوب الحصر الشامل على المجتمع المتاح والفعلي الذي استجاب للأداة، وبلغ حجم العينة </w:t>
      </w:r>
      <w:r w:rsidRPr="003D1437">
        <w:rPr>
          <w:rFonts w:ascii="Traditional Arabic" w:hAnsi="Traditional Arabic" w:cs="Traditional Arabic"/>
          <w:b/>
          <w:bCs/>
          <w:sz w:val="28"/>
          <w:szCs w:val="28"/>
          <w:rtl/>
        </w:rPr>
        <w:t>81</w:t>
      </w:r>
      <w:r w:rsidRPr="003D1437">
        <w:rPr>
          <w:rFonts w:ascii="Traditional Arabic" w:hAnsi="Traditional Arabic" w:cs="Traditional Arabic"/>
          <w:sz w:val="28"/>
          <w:szCs w:val="28"/>
          <w:rtl/>
        </w:rPr>
        <w:t xml:space="preserve"> فرداً من الهيئة الإدارية والقيادية والإشرافية في إدارة التعليم بمكة المكرمة، وتم جمع البيانات الأولية بواسطة استبيان إلكتروني محكّم مقاس بمقياس ليكرت الخماسي. وتمت معالجة البيانات وعرضها باستخدام حزمة من الأساليب الإحصائية المتقدمة شملت المتوسطات الحسابية، الانحرافات المعيارية، معامل ارتباط بيرسون، معامل ألفا كرونباخ، بالإضافة إلى تحليل الانحدار المتعدد وتحليل المسار الهيكلي (</w:t>
      </w:r>
      <w:r w:rsidRPr="003D1437">
        <w:rPr>
          <w:rFonts w:ascii="Traditional Arabic" w:hAnsi="Traditional Arabic" w:cs="Traditional Arabic"/>
          <w:sz w:val="28"/>
          <w:szCs w:val="28"/>
        </w:rPr>
        <w:t>Path Analysis</w:t>
      </w:r>
      <w:r w:rsidRPr="003D1437">
        <w:rPr>
          <w:rFonts w:ascii="Traditional Arabic" w:hAnsi="Traditional Arabic" w:cs="Traditional Arabic"/>
          <w:sz w:val="28"/>
          <w:szCs w:val="28"/>
          <w:rtl/>
        </w:rPr>
        <w:t>). وتوصلت الدراسة إلى جملة من النتائج أبرزها: وجود مستوى موافقة "مرتفع" لدى المبحوثين تجاه جميع متغيرات الدراسة وأبعادها، وثبوت وجود تأثير إيجابي دال إحصائياً لأبعاد الذكاء الاصطناعي على كفاءة التخطيط الاستراتيجي تصدره بُعد "دعم اتخاذ القرار"، كما تبين أن التكيف التكنولوجي يؤثر طردياً وبقوة على كافة أبعاد كفاءة التخطيط وفي مقدمتها "تخصيص الموارد"، بالإضافة إلى قبول فرضية الوساطة جزئياً؛ حيث تبيّن أن التكيف التكنولوجي يلعب دوراً وسيطاً كلياً ودالاً إحصائياً فقط في العلاقة بين بُعد "أنظمة الإنذار المبكر" وكفاءة التخطيط الاستراتيجي. وبناءً على هذه المعطيات، أوصت الدراسة بضرورة تعزيز وتطوير أنظمة دعم القرار الذكية واللوحات الرقمية اللحظية، والاستثمار المكثف في خوارزميات أنظمة الإنذار المبكر التنبؤية، مع رفع الكفاءات الرقمية والتحليلية للموارد البشرية وإعادة هيكلة السياسات واللوائح التنظيمية بما يضمن مرونة أعلى في تخصيص الموارد ديناميكياً تماشياً مع مستهدفات رؤية المملكة 2030.</w:t>
      </w:r>
    </w:p>
    <w:p w14:paraId="7D11F293"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الكلمات المفتاحية:</w:t>
      </w:r>
      <w:r w:rsidRPr="003D1437">
        <w:rPr>
          <w:rFonts w:ascii="Traditional Arabic" w:hAnsi="Traditional Arabic" w:cs="Traditional Arabic"/>
          <w:sz w:val="28"/>
          <w:szCs w:val="28"/>
          <w:rtl/>
        </w:rPr>
        <w:t xml:space="preserve"> الذكاء الاصطناعي، التكيف التكنولوجي، التخطيط الاستراتيجي، كفاءة التخطيط، إدارة التعليم بمكة المكرمة.</w:t>
      </w:r>
    </w:p>
    <w:p w14:paraId="5DD06681" w14:textId="77777777" w:rsidR="003D1437" w:rsidRPr="003D1437" w:rsidRDefault="003D1437" w:rsidP="003D1437">
      <w:pPr>
        <w:bidi/>
        <w:jc w:val="lowKashida"/>
        <w:rPr>
          <w:rFonts w:ascii="Traditional Arabic" w:hAnsi="Traditional Arabic" w:cs="Traditional Arabic"/>
          <w:sz w:val="28"/>
          <w:szCs w:val="28"/>
          <w:rtl/>
        </w:rPr>
        <w:sectPr w:rsidR="003D1437" w:rsidRPr="003D1437" w:rsidSect="00781B53">
          <w:pgSz w:w="12240" w:h="15840"/>
          <w:pgMar w:top="1440" w:right="1440" w:bottom="1440" w:left="1440" w:header="720" w:footer="720" w:gutter="0"/>
          <w:pgNumType w:fmt="arabicAbjad"/>
          <w:cols w:space="720"/>
          <w:docGrid w:linePitch="360"/>
        </w:sectPr>
      </w:pPr>
    </w:p>
    <w:p w14:paraId="4E0B7BD3" w14:textId="3493E551" w:rsidR="003D1437" w:rsidRPr="003D1437" w:rsidRDefault="00781B53" w:rsidP="003D1437">
      <w:pPr>
        <w:pStyle w:val="Heading1"/>
        <w:rPr>
          <w:lang w:bidi="ar-EG"/>
        </w:rPr>
      </w:pPr>
      <w:bookmarkStart w:id="6" w:name="_Toc236402632"/>
      <w:r w:rsidRPr="003D1437">
        <w:rPr>
          <w:lang w:bidi="ar-EG"/>
        </w:rPr>
        <w:lastRenderedPageBreak/>
        <w:t>Abstract</w:t>
      </w:r>
      <w:bookmarkEnd w:id="6"/>
    </w:p>
    <w:p w14:paraId="299A38BA" w14:textId="0BCC71F2" w:rsidR="003D1437" w:rsidRPr="003D1437" w:rsidRDefault="003D1437" w:rsidP="003D1437">
      <w:pPr>
        <w:jc w:val="lowKashida"/>
        <w:rPr>
          <w:rFonts w:ascii="Traditional Arabic" w:hAnsi="Traditional Arabic" w:cs="Traditional Arabic"/>
          <w:sz w:val="28"/>
          <w:szCs w:val="28"/>
          <w:rtl/>
        </w:rPr>
      </w:pPr>
      <w:r w:rsidRPr="003D1437">
        <w:rPr>
          <w:rFonts w:ascii="Traditional Arabic" w:hAnsi="Traditional Arabic" w:cs="Traditional Arabic"/>
          <w:sz w:val="28"/>
          <w:szCs w:val="28"/>
        </w:rPr>
        <w:t>This study aimed to uncover the mediating role of technological adaptation in enhancing the impact of artificial intelligence (AI) applications on the efficiency of strategic planning among administrators and leaders at the General Department of Education in Makkah Region. To achieve this objective, the study adopted a quantitative descriptive-analytical approach, employing the census method on the actual available population that responded to the research tool, resulting in a sample size of 81 administrative, leadership, and supervisory personnel. Primary data were collected via a validated electronic questionnaire scored on a five-point Likert scale and processed using advanced statistical methods, including arithmetic means, standard deviations, Pearson correlation coefficient, Cronbach's alpha, multiple regression analysis, and structural path analysis. The study yielded several key results, most notably: a "high" level of agreement among respondents toward all study variables and their dimensions, and a statistically significant positive impact of AI dimensions on strategic planning efficiency, led by the "decision support" dimension. Additionally, technological adaptation strongly and directly influenced all dimensions of strategic planning efficiency, particularly "resource allocation." Crucially, the mediation hypothesis was partially accepted, revealing that technological adaptation plays a full, statistically significant mediating role strictly in the relationship between "early warning systems" and strategic planning efficiency. Based on these findings, the study recommended strengthening intelligent decision-support systems and real-time digital dashboards, investing extensively in predictive early warning algorithms, elevating the digital and analytical competencies of human resources, and restructuring organizational policies and regulations to ensure higher flexibility in dynamic resource allocation, in alignment with the goals of Saudi Vision 2030.</w:t>
      </w:r>
    </w:p>
    <w:p w14:paraId="4B1FD1E1" w14:textId="3C1042EA" w:rsidR="005053A9" w:rsidRPr="003D1437" w:rsidRDefault="003D1437" w:rsidP="003D1437">
      <w:pPr>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Pr>
        <w:t xml:space="preserve">Keywords: </w:t>
      </w:r>
      <w:r w:rsidRPr="003D1437">
        <w:rPr>
          <w:rFonts w:ascii="Traditional Arabic" w:hAnsi="Traditional Arabic" w:cs="Traditional Arabic"/>
          <w:sz w:val="28"/>
          <w:szCs w:val="28"/>
        </w:rPr>
        <w:t>Artificial Intelligence, Technological Adaptation, Strategic Planning, Planning Efficiency, Makkah Education Department.</w:t>
      </w:r>
    </w:p>
    <w:p w14:paraId="50FF28E9" w14:textId="77777777" w:rsidR="005053A9" w:rsidRPr="003D1437" w:rsidRDefault="005053A9" w:rsidP="005053A9">
      <w:pPr>
        <w:bidi/>
        <w:jc w:val="lowKashida"/>
        <w:rPr>
          <w:rFonts w:ascii="Traditional Arabic" w:hAnsi="Traditional Arabic" w:cs="Traditional Arabic"/>
          <w:sz w:val="28"/>
          <w:szCs w:val="28"/>
          <w:rtl/>
        </w:rPr>
        <w:sectPr w:rsidR="005053A9" w:rsidRPr="003D1437" w:rsidSect="00781B53">
          <w:pgSz w:w="12240" w:h="15840"/>
          <w:pgMar w:top="1440" w:right="1440" w:bottom="1440" w:left="1440" w:header="720" w:footer="720" w:gutter="0"/>
          <w:pgNumType w:fmt="arabicAbjad"/>
          <w:cols w:space="720"/>
          <w:docGrid w:linePitch="360"/>
        </w:sectPr>
      </w:pPr>
    </w:p>
    <w:p w14:paraId="7A6BAD6B" w14:textId="77777777" w:rsidR="00781B53" w:rsidRPr="003D1437" w:rsidRDefault="00781B53" w:rsidP="00781B53">
      <w:pPr>
        <w:pStyle w:val="Heading1"/>
        <w:rPr>
          <w:rtl/>
        </w:rPr>
      </w:pPr>
      <w:bookmarkStart w:id="7" w:name="_Toc233422604"/>
    </w:p>
    <w:p w14:paraId="72DCD42A" w14:textId="77777777" w:rsidR="00781B53" w:rsidRPr="003D1437" w:rsidRDefault="00781B53" w:rsidP="00781B53">
      <w:pPr>
        <w:pStyle w:val="Heading1"/>
        <w:rPr>
          <w:rtl/>
        </w:rPr>
      </w:pPr>
    </w:p>
    <w:p w14:paraId="32824FAE" w14:textId="77777777" w:rsidR="00781B53" w:rsidRPr="003D1437" w:rsidRDefault="00781B53" w:rsidP="00781B53">
      <w:pPr>
        <w:pStyle w:val="Heading1"/>
        <w:rPr>
          <w:rtl/>
        </w:rPr>
      </w:pPr>
    </w:p>
    <w:p w14:paraId="0D2382FA" w14:textId="77777777" w:rsidR="00781B53" w:rsidRPr="003D1437" w:rsidRDefault="00781B53" w:rsidP="00781B53">
      <w:pPr>
        <w:pStyle w:val="Heading1"/>
        <w:rPr>
          <w:rtl/>
        </w:rPr>
      </w:pPr>
    </w:p>
    <w:p w14:paraId="734BF615" w14:textId="77777777" w:rsidR="00781B53" w:rsidRPr="003D1437" w:rsidRDefault="00781B53" w:rsidP="00781B53">
      <w:pPr>
        <w:pStyle w:val="Heading1"/>
        <w:rPr>
          <w:rtl/>
        </w:rPr>
      </w:pPr>
    </w:p>
    <w:p w14:paraId="789F8D28" w14:textId="77777777" w:rsidR="00781B53" w:rsidRPr="003D1437" w:rsidRDefault="00781B53" w:rsidP="00781B53">
      <w:pPr>
        <w:pStyle w:val="Heading1"/>
        <w:rPr>
          <w:rtl/>
        </w:rPr>
      </w:pPr>
    </w:p>
    <w:p w14:paraId="769D938E" w14:textId="77777777" w:rsidR="00781B53" w:rsidRPr="003D1437" w:rsidRDefault="00781B53" w:rsidP="00781B53">
      <w:pPr>
        <w:pStyle w:val="Heading1"/>
        <w:rPr>
          <w:rtl/>
        </w:rPr>
      </w:pPr>
    </w:p>
    <w:p w14:paraId="2FDE7EEC" w14:textId="77777777" w:rsidR="00781B53" w:rsidRPr="003D1437" w:rsidRDefault="00781B53" w:rsidP="00781B53">
      <w:pPr>
        <w:pStyle w:val="Heading1"/>
        <w:rPr>
          <w:rtl/>
        </w:rPr>
      </w:pPr>
    </w:p>
    <w:p w14:paraId="1543C957" w14:textId="0877FE92" w:rsidR="00781B53" w:rsidRPr="003D1437" w:rsidRDefault="00781B53" w:rsidP="00781B53">
      <w:pPr>
        <w:pStyle w:val="Heading1"/>
        <w:rPr>
          <w:sz w:val="48"/>
          <w:szCs w:val="48"/>
          <w:rtl/>
        </w:rPr>
      </w:pPr>
      <w:bookmarkStart w:id="8" w:name="_Toc235065260"/>
      <w:bookmarkStart w:id="9" w:name="_Toc236402633"/>
      <w:r w:rsidRPr="003D1437">
        <w:rPr>
          <w:sz w:val="48"/>
          <w:szCs w:val="48"/>
          <w:rtl/>
        </w:rPr>
        <w:t xml:space="preserve">الفصل </w:t>
      </w:r>
      <w:r w:rsidRPr="003D1437">
        <w:rPr>
          <w:rFonts w:hint="cs"/>
          <w:sz w:val="48"/>
          <w:szCs w:val="48"/>
          <w:rtl/>
        </w:rPr>
        <w:t>الأول: الإطار</w:t>
      </w:r>
      <w:r w:rsidRPr="003D1437">
        <w:rPr>
          <w:sz w:val="48"/>
          <w:szCs w:val="48"/>
          <w:rtl/>
        </w:rPr>
        <w:t xml:space="preserve"> المنهجي للدراسة</w:t>
      </w:r>
      <w:bookmarkEnd w:id="8"/>
      <w:bookmarkEnd w:id="9"/>
    </w:p>
    <w:p w14:paraId="13177058" w14:textId="77777777" w:rsidR="00781B53" w:rsidRPr="003D1437" w:rsidRDefault="00781B53" w:rsidP="00FE70A4">
      <w:pPr>
        <w:pStyle w:val="Heading1"/>
        <w:rPr>
          <w:rtl/>
        </w:rPr>
        <w:sectPr w:rsidR="00781B53" w:rsidRPr="003D1437" w:rsidSect="00781B53">
          <w:pgSz w:w="12240" w:h="15840"/>
          <w:pgMar w:top="1440" w:right="1440" w:bottom="1440" w:left="1440" w:header="720" w:footer="720" w:gutter="0"/>
          <w:pgNumType w:start="1"/>
          <w:cols w:space="720"/>
          <w:titlePg/>
          <w:docGrid w:linePitch="360"/>
        </w:sectPr>
      </w:pPr>
    </w:p>
    <w:p w14:paraId="1B6A92F4" w14:textId="1BC060AB" w:rsidR="00E2318B" w:rsidRPr="003D1437" w:rsidRDefault="00E2318B" w:rsidP="00FE70A4">
      <w:pPr>
        <w:pStyle w:val="Heading1"/>
        <w:rPr>
          <w:rtl/>
        </w:rPr>
      </w:pPr>
      <w:bookmarkStart w:id="10" w:name="_Toc236402634"/>
      <w:r w:rsidRPr="003D1437">
        <w:rPr>
          <w:rtl/>
        </w:rPr>
        <w:lastRenderedPageBreak/>
        <w:t xml:space="preserve">الفصل </w:t>
      </w:r>
      <w:r w:rsidR="00FE70A4" w:rsidRPr="003D1437">
        <w:rPr>
          <w:rFonts w:hint="cs"/>
          <w:rtl/>
        </w:rPr>
        <w:t>الأول: الإطار</w:t>
      </w:r>
      <w:r w:rsidR="005341F3" w:rsidRPr="003D1437">
        <w:rPr>
          <w:rtl/>
        </w:rPr>
        <w:t xml:space="preserve"> المنهجي للدراسة</w:t>
      </w:r>
      <w:bookmarkEnd w:id="7"/>
      <w:bookmarkEnd w:id="10"/>
    </w:p>
    <w:p w14:paraId="5C2DEE5A" w14:textId="0F897923" w:rsidR="00AE7563" w:rsidRPr="003D1437" w:rsidRDefault="00863B90" w:rsidP="00FE70A4">
      <w:pPr>
        <w:pStyle w:val="Heading2"/>
        <w:rPr>
          <w:rtl/>
        </w:rPr>
      </w:pPr>
      <w:bookmarkStart w:id="11" w:name="_Toc233422605"/>
      <w:bookmarkStart w:id="12" w:name="_Toc236402635"/>
      <w:bookmarkStart w:id="13" w:name="_Hlk193912263"/>
      <w:r w:rsidRPr="003D1437">
        <w:rPr>
          <w:rFonts w:hint="cs"/>
          <w:rtl/>
        </w:rPr>
        <w:t>1.1</w:t>
      </w:r>
      <w:r w:rsidR="005341F3" w:rsidRPr="003D1437">
        <w:rPr>
          <w:rFonts w:hint="cs"/>
          <w:rtl/>
        </w:rPr>
        <w:t xml:space="preserve"> </w:t>
      </w:r>
      <w:r w:rsidR="00AE7563" w:rsidRPr="003D1437">
        <w:rPr>
          <w:rtl/>
        </w:rPr>
        <w:t>مقدمة الدراسة</w:t>
      </w:r>
      <w:r w:rsidR="001765DD" w:rsidRPr="003D1437">
        <w:rPr>
          <w:rtl/>
        </w:rPr>
        <w:t>:</w:t>
      </w:r>
      <w:bookmarkEnd w:id="11"/>
      <w:bookmarkEnd w:id="12"/>
    </w:p>
    <w:bookmarkEnd w:id="13"/>
    <w:p w14:paraId="24C18681" w14:textId="39CA3187" w:rsidR="00581914" w:rsidRPr="003D1437" w:rsidRDefault="00581914" w:rsidP="00581914">
      <w:pPr>
        <w:bidi/>
        <w:ind w:firstLine="720"/>
        <w:jc w:val="both"/>
        <w:rPr>
          <w:rFonts w:ascii="Traditional Arabic" w:hAnsi="Traditional Arabic" w:cs="Traditional Arabic"/>
          <w:sz w:val="28"/>
          <w:szCs w:val="28"/>
          <w:rtl/>
        </w:rPr>
      </w:pPr>
      <w:r w:rsidRPr="003D1437">
        <w:rPr>
          <w:rFonts w:ascii="Traditional Arabic" w:hAnsi="Traditional Arabic" w:cs="Traditional Arabic"/>
          <w:sz w:val="28"/>
          <w:szCs w:val="28"/>
          <w:rtl/>
        </w:rPr>
        <w:t>يشهد العالم المعاصر موجة تحولية هائلة تقودها الثورة الصناعية الرابعة، حيث برز الذكاء الاصطناعي (</w:t>
      </w:r>
      <w:r w:rsidRPr="003D1437">
        <w:rPr>
          <w:rFonts w:ascii="Traditional Arabic" w:hAnsi="Traditional Arabic" w:cs="Traditional Arabic"/>
          <w:sz w:val="28"/>
          <w:szCs w:val="28"/>
        </w:rPr>
        <w:t>AI</w:t>
      </w:r>
      <w:r w:rsidRPr="003D1437">
        <w:rPr>
          <w:rFonts w:ascii="Traditional Arabic" w:hAnsi="Traditional Arabic" w:cs="Traditional Arabic"/>
          <w:sz w:val="28"/>
          <w:szCs w:val="28"/>
          <w:rtl/>
        </w:rPr>
        <w:t>) كأحد أهم محركاتها الأساسية التي تعيد تشكيل الاقتصادات والمجتمعات والقطاعات الحيوية (</w:t>
      </w:r>
      <w:r w:rsidRPr="003D1437">
        <w:rPr>
          <w:rFonts w:ascii="Traditional Arabic" w:hAnsi="Traditional Arabic" w:cs="Traditional Arabic"/>
          <w:sz w:val="28"/>
          <w:szCs w:val="28"/>
        </w:rPr>
        <w:t>Dwivedi et al., 2021</w:t>
      </w:r>
      <w:r w:rsidRPr="003D1437">
        <w:rPr>
          <w:rFonts w:ascii="Traditional Arabic" w:hAnsi="Traditional Arabic" w:cs="Traditional Arabic"/>
          <w:sz w:val="28"/>
          <w:szCs w:val="28"/>
          <w:rtl/>
        </w:rPr>
        <w:t xml:space="preserve">). </w:t>
      </w:r>
      <w:r w:rsidR="002E5E92" w:rsidRPr="003D1437">
        <w:rPr>
          <w:rFonts w:ascii="Traditional Arabic" w:hAnsi="Traditional Arabic" w:cs="Traditional Arabic" w:hint="cs"/>
          <w:sz w:val="28"/>
          <w:szCs w:val="28"/>
          <w:rtl/>
        </w:rPr>
        <w:t>ولذل</w:t>
      </w:r>
      <w:r w:rsidR="0080317E">
        <w:rPr>
          <w:rFonts w:ascii="Traditional Arabic" w:hAnsi="Traditional Arabic" w:cs="Traditional Arabic" w:hint="cs"/>
          <w:sz w:val="28"/>
          <w:szCs w:val="28"/>
          <w:rtl/>
        </w:rPr>
        <w:t>ك</w:t>
      </w:r>
      <w:r w:rsidR="002E5E92" w:rsidRPr="003D1437">
        <w:rPr>
          <w:rFonts w:ascii="Traditional Arabic" w:hAnsi="Traditional Arabic" w:cs="Traditional Arabic" w:hint="cs"/>
          <w:sz w:val="28"/>
          <w:szCs w:val="28"/>
          <w:rtl/>
        </w:rPr>
        <w:t xml:space="preserve"> فان</w:t>
      </w:r>
      <w:r w:rsidRPr="003D1437">
        <w:rPr>
          <w:rFonts w:ascii="Traditional Arabic" w:hAnsi="Traditional Arabic" w:cs="Traditional Arabic"/>
          <w:sz w:val="28"/>
          <w:szCs w:val="28"/>
          <w:rtl/>
        </w:rPr>
        <w:t xml:space="preserve"> الذكاء الاصطناعي فرع من علوم الحاسوب مكرس لإنشاء آلات ذكية يمكنها أداء مهام تتطلب عادةً الذكاء البشري، مثل التعلم وحل المشكلات واتخاذ القرار (</w:t>
      </w:r>
      <w:r w:rsidRPr="003D1437">
        <w:rPr>
          <w:rFonts w:ascii="Traditional Arabic" w:hAnsi="Traditional Arabic" w:cs="Traditional Arabic"/>
          <w:sz w:val="28"/>
          <w:szCs w:val="28"/>
        </w:rPr>
        <w:t>Sarker, 2022</w:t>
      </w:r>
      <w:r w:rsidRPr="003D1437">
        <w:rPr>
          <w:rFonts w:ascii="Traditional Arabic" w:hAnsi="Traditional Arabic" w:cs="Traditional Arabic"/>
          <w:sz w:val="28"/>
          <w:szCs w:val="28"/>
          <w:rtl/>
        </w:rPr>
        <w:t>). وفي هذا السياق، تولي المملكة العربية السعودية، من خلال رؤيتها الطموحة 2030، أهمية قصوى للتحول الرقمي وتبني التقنيات المتقدمة كأداة استراتيجية لتحقيق التنمية المستدامة وتنويع الاقتصاد الوطني. ويقع قطاع التعليم في قلب هذا التحول، حيث يُنظر إليه على أنه الركيزة الأساسية لبناء القدرات البشرية وتجهيز أجيال المستقبل بالمهارات اللازمة للمنافسة في الاقتصاد القائم على المعرفة.</w:t>
      </w:r>
    </w:p>
    <w:p w14:paraId="2F51D1C4" w14:textId="510B841A" w:rsidR="00581914" w:rsidRPr="003D1437" w:rsidRDefault="00581914" w:rsidP="00581914">
      <w:pPr>
        <w:bidi/>
        <w:ind w:firstLine="720"/>
        <w:jc w:val="both"/>
        <w:rPr>
          <w:rFonts w:ascii="Traditional Arabic" w:hAnsi="Traditional Arabic" w:cs="Traditional Arabic"/>
          <w:sz w:val="28"/>
          <w:szCs w:val="28"/>
          <w:rtl/>
        </w:rPr>
      </w:pPr>
      <w:r w:rsidRPr="003D1437">
        <w:rPr>
          <w:rFonts w:ascii="Traditional Arabic" w:hAnsi="Traditional Arabic" w:cs="Traditional Arabic"/>
          <w:sz w:val="28"/>
          <w:szCs w:val="28"/>
          <w:rtl/>
        </w:rPr>
        <w:t>لقد فتحت تطبيقات الذكاء الاصطناعي آفاقاً واسعة لتطوير القطاع التعليمي، ليس فقط على مستوى أساليب التدريس والتعلم، بل أيضاً على مستوى العمليات الإدارية والتنظيمية. إذ يمتلك الذكاء الاصطناعي القدرة على تحليل كميات هائلة من البيانات التعليمية بسرعة ودقة، وأتمتة المهام الإدارية المتكررة، وتقديم رؤى تنبؤية تدعم اتخاذ قرارات أكثر استنارة وموضوعية (</w:t>
      </w:r>
      <w:r w:rsidRPr="003D1437">
        <w:rPr>
          <w:rFonts w:ascii="Traditional Arabic" w:hAnsi="Traditional Arabic" w:cs="Traditional Arabic"/>
          <w:sz w:val="28"/>
          <w:szCs w:val="28"/>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rPr>
        <w:t>Worku, 2025</w:t>
      </w:r>
      <w:r w:rsidRPr="003D1437">
        <w:rPr>
          <w:rFonts w:ascii="Traditional Arabic" w:hAnsi="Traditional Arabic" w:cs="Traditional Arabic"/>
          <w:sz w:val="28"/>
          <w:szCs w:val="28"/>
          <w:rtl/>
        </w:rPr>
        <w:t>). ومن أهم المجالات التي يمكن للذكاء الاصطناعي أن يحدث فيها تأثيراً جذرياً هي "</w:t>
      </w:r>
      <w:r w:rsidR="00945E73" w:rsidRPr="003D1437">
        <w:rPr>
          <w:rFonts w:ascii="Traditional Arabic" w:hAnsi="Traditional Arabic" w:cs="Traditional Arabic" w:hint="cs"/>
          <w:sz w:val="28"/>
          <w:szCs w:val="28"/>
          <w:rtl/>
        </w:rPr>
        <w:t>كفاءة</w:t>
      </w:r>
      <w:r w:rsidRPr="003D1437">
        <w:rPr>
          <w:rFonts w:ascii="Traditional Arabic" w:hAnsi="Traditional Arabic" w:cs="Traditional Arabic"/>
          <w:sz w:val="28"/>
          <w:szCs w:val="28"/>
          <w:rtl/>
        </w:rPr>
        <w:t xml:space="preserve"> الخطط الاستراتيجية"، حيث يعد التخطيط الاستراتيجي السليم حجر الزاوية في توجيه المؤسسات التعليمية نحو تحقيق أهدافها وضمان استدامتها في بيئة متغيرة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إن دمج الذكاء الاصطناعي في عمليات التحليل والصياغة والمتابعة يمكن أن يرفع من جودة الخطط الاستراتيجية ومرونتها وقابليتها للتنفيذ الناجح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70E909F1" w14:textId="339A61C9" w:rsidR="00581914" w:rsidRPr="003D1437" w:rsidRDefault="00581914" w:rsidP="00581914">
      <w:pPr>
        <w:bidi/>
        <w:ind w:firstLine="720"/>
        <w:jc w:val="both"/>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إلا أن العلاقة بين تبني هذه التقنيات المتقدمة وتحقيق الفائدة المرجوة منها ليست علاقة حتمية أو مباشرة. فمجرد امتلاك أدوات الذكاء الاصطناعي لا يضمن بالضرورة تحسين الأداء التنظيمي أو </w:t>
      </w:r>
      <w:r w:rsidR="00945E73" w:rsidRPr="003D1437">
        <w:rPr>
          <w:rFonts w:ascii="Traditional Arabic" w:hAnsi="Traditional Arabic" w:cs="Traditional Arabic" w:hint="cs"/>
          <w:sz w:val="28"/>
          <w:szCs w:val="28"/>
          <w:rtl/>
        </w:rPr>
        <w:t xml:space="preserve">كفاءة </w:t>
      </w:r>
      <w:r w:rsidRPr="003D1437">
        <w:rPr>
          <w:rFonts w:ascii="Traditional Arabic" w:hAnsi="Traditional Arabic" w:cs="Traditional Arabic"/>
          <w:sz w:val="28"/>
          <w:szCs w:val="28"/>
          <w:rtl/>
        </w:rPr>
        <w:t>التخطيط. وتشير الأدبيات إلى أن نجاح أي تحول تكنولوجي يعتمد بشكل حاسم على قدرة المنظمة على التكيف معه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وهنا يبرز مفهوم "التكيف التكنولوجي" كعامل محوري، والذي لا يقتصر على توفير البنية التحتية التقنية فحسب، بل يمتد ليشمل الجاهزية الثقافية والتنظيمية والمهارية للموارد البشرية داخل المنظمة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 فبدون ثقافة تنظيمية تشجع على الابتكار، ومهارات رقمية تمكّن الإداريين من استيعاب الأدوات الذكية، وبنية تحتية تدعم تكامل الأنظمة، قد تظل تطبيقات الذكاء الاصطناعي معزولة ومحدودة التأثير.</w:t>
      </w:r>
    </w:p>
    <w:p w14:paraId="447633B8" w14:textId="695D3DF7" w:rsidR="00F847B9" w:rsidRPr="003D1437" w:rsidRDefault="00945E73" w:rsidP="00945E73">
      <w:pPr>
        <w:bidi/>
        <w:ind w:firstLine="720"/>
        <w:jc w:val="both"/>
        <w:rPr>
          <w:rFonts w:ascii="Traditional Arabic" w:hAnsi="Traditional Arabic" w:cs="Traditional Arabic"/>
          <w:sz w:val="28"/>
          <w:szCs w:val="28"/>
        </w:rPr>
      </w:pPr>
      <w:r w:rsidRPr="003D1437">
        <w:rPr>
          <w:rFonts w:ascii="Traditional Arabic" w:hAnsi="Traditional Arabic" w:cs="Traditional Arabic"/>
          <w:sz w:val="28"/>
          <w:szCs w:val="28"/>
          <w:rtl/>
        </w:rPr>
        <w:t xml:space="preserve">تسعى هذه الدراسة إلى سد فجوة بحثية مهمة تتمثل في فهم طبيعة الدور الذي يلعبه التكيف التكنولوجي في العلاقة بين تطبيقات الذكاء الاصطناعي وكفاءة التخطيط الاستراتيجي. وعليه، ستبحث هذه الدراسة في أثر تطبيقات الذكاء الاصطناعي (كمتغير مستقل) على كفاءة التخطيط الاستراتيجي (كمتغير تابع)، مع اختبار الدور الوسيط للتكيف التكنولوجي في هذه العلاقة، وذلك </w:t>
      </w:r>
      <w:r w:rsidRPr="003D1437">
        <w:rPr>
          <w:rFonts w:ascii="Traditional Arabic" w:hAnsi="Traditional Arabic" w:cs="Traditional Arabic"/>
          <w:sz w:val="28"/>
          <w:szCs w:val="28"/>
          <w:rtl/>
        </w:rPr>
        <w:lastRenderedPageBreak/>
        <w:t>بالتطبيق على الإداريين في قطاع التعليم العام بمكة المكرمة، بهدف تقديم نموذج عملي يمكن أن يساهم في تعظيم العائد من الاستثمار في التقنيات الذكية وتحقيق مستهدفات رؤية 2030 في تطوير قطاع التعليم.</w:t>
      </w:r>
    </w:p>
    <w:p w14:paraId="7C4FBF14" w14:textId="47C39554" w:rsidR="004A7FED" w:rsidRPr="003D1437" w:rsidRDefault="00863B90" w:rsidP="00F847B9">
      <w:pPr>
        <w:pStyle w:val="Heading2"/>
        <w:rPr>
          <w:rtl/>
        </w:rPr>
      </w:pPr>
      <w:bookmarkStart w:id="14" w:name="_Toc233422606"/>
      <w:bookmarkStart w:id="15" w:name="_Toc236402636"/>
      <w:r w:rsidRPr="003D1437">
        <w:rPr>
          <w:rFonts w:hint="cs"/>
          <w:rtl/>
        </w:rPr>
        <w:t>1.2</w:t>
      </w:r>
      <w:r w:rsidR="005341F3" w:rsidRPr="003D1437">
        <w:rPr>
          <w:rtl/>
        </w:rPr>
        <w:t xml:space="preserve"> </w:t>
      </w:r>
      <w:r w:rsidR="004A7FED" w:rsidRPr="003D1437">
        <w:rPr>
          <w:rtl/>
        </w:rPr>
        <w:t>مشكلة الدراسة</w:t>
      </w:r>
      <w:r w:rsidR="001765DD" w:rsidRPr="003D1437">
        <w:rPr>
          <w:rtl/>
        </w:rPr>
        <w:t>:</w:t>
      </w:r>
      <w:bookmarkEnd w:id="14"/>
      <w:bookmarkEnd w:id="15"/>
    </w:p>
    <w:p w14:paraId="6187AC73" w14:textId="71724BFF" w:rsidR="00945E73" w:rsidRPr="003D1437" w:rsidRDefault="00F51B8D"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في ظل التوجه المتسارع للمملكة العربية السعودية نحو تحقيق مستهدفات رؤية 2030، التي تضع التحول الرقمي وتوظيف التقنيات المتقدمة في صميم أولوياتها، يبرز قطاع التعليم كأحد أهم الركائز الأساسية التي يعتمد عليها هذا التحول. لقد أصبح الذكاء الاصطناعي بتقنياته المتطورة أداة استراتيجية واعدة يمكنها إحداث نقلة نوعية في كفاءة وفاعلية العمليات الإدارية والتعليمية</w:t>
      </w:r>
      <w:r w:rsidR="00945E73" w:rsidRPr="003D1437">
        <w:rPr>
          <w:rFonts w:ascii="Traditional Arabic" w:hAnsi="Traditional Arabic" w:cs="Traditional Arabic"/>
          <w:sz w:val="28"/>
          <w:szCs w:val="28"/>
        </w:rPr>
        <w:t>.</w:t>
      </w:r>
    </w:p>
    <w:p w14:paraId="2CEFB0B7"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وعلى الرغم من الجهود المبذولة لتبني تطبيقات الذكاء الاصطناعي في قطاع التعليم العام، إلا أن مجرد توفير هذه التقنيات لا يضمن بالضرورة تحقيق الأثر المأمول على العمليات الجوهرية، وفي مقدمتها التخطيط الاستراتيجي الذي يوجه مسار المنظومة التعليمية بأكملها</w:t>
      </w:r>
      <w:r w:rsidRPr="003D1437">
        <w:rPr>
          <w:rFonts w:ascii="Traditional Arabic" w:hAnsi="Traditional Arabic" w:cs="Traditional Arabic"/>
          <w:sz w:val="28"/>
          <w:szCs w:val="28"/>
        </w:rPr>
        <w:t>.</w:t>
      </w:r>
    </w:p>
    <w:p w14:paraId="7B77308D" w14:textId="63A6A8D3" w:rsidR="00945E73" w:rsidRPr="003D1437" w:rsidRDefault="00F51B8D" w:rsidP="00F51B8D">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تكمن الإشكالية التي تسعى هذه الدراسة لمعالجتها في أن العلاقة بين تبني تطبيقات الذكاء الاصطناعي وتحسين كفاءة التخطيط الاستراتيجي ليست علاقة مباشرة وبسيطة، بل تتأثر بعوامل تنظيمية وبشرية حاسمة. وتشير الأدبيات الحديثة إلى أن "التكيف التكنولوجي" – الذي يشمل جاهزية البنية التحتية، والثقافة التنظيمية، والمهارات الرقمية للموارد البشرية – يلعب دوراً محورياً كمتغير وسيط قد يضخم أو يحد من تأثير الذكاء الاصطناعي (</w:t>
      </w:r>
      <w:r w:rsidRPr="003D1437">
        <w:rPr>
          <w:rFonts w:ascii="Traditional Arabic" w:hAnsi="Traditional Arabic" w:cs="Traditional Arabic"/>
          <w:sz w:val="28"/>
          <w:szCs w:val="28"/>
        </w:rPr>
        <w:t>Asghar et al., 2023; Adiguzel, Cakir, &amp; Ozbay, 2024</w:t>
      </w:r>
      <w:r w:rsidRPr="003D1437">
        <w:rPr>
          <w:rFonts w:ascii="Traditional Arabic" w:hAnsi="Traditional Arabic" w:cs="Traditional Arabic"/>
          <w:sz w:val="28"/>
          <w:szCs w:val="28"/>
          <w:rtl/>
        </w:rPr>
        <w:t>).</w:t>
      </w:r>
    </w:p>
    <w:p w14:paraId="5EB2BABF" w14:textId="3294B8FB" w:rsidR="00945E73" w:rsidRPr="003D1437" w:rsidRDefault="00F51B8D" w:rsidP="00F51B8D">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وبناءً على مراجعة الأدبيات، تتضح الفجوة البحثية في نقص المعرفة حول آلية التأثير التي يعمل بها الذكاء الاصطناعي على التخطيط الاستراتيجي. فبينما أظهرت دراسات مثل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xml:space="preserve">) وجود تأثير </w:t>
      </w:r>
      <w:r w:rsidRPr="003D1437">
        <w:rPr>
          <w:rFonts w:ascii="Traditional Arabic" w:hAnsi="Traditional Arabic" w:cs="Traditional Arabic" w:hint="cs"/>
          <w:sz w:val="28"/>
          <w:szCs w:val="28"/>
          <w:rtl/>
        </w:rPr>
        <w:t>مباشر،</w:t>
      </w:r>
      <w:r w:rsidRPr="003D1437">
        <w:rPr>
          <w:rFonts w:ascii="Traditional Arabic" w:hAnsi="Traditional Arabic" w:cs="Traditional Arabic"/>
          <w:sz w:val="28"/>
          <w:szCs w:val="28"/>
          <w:rtl/>
        </w:rPr>
        <w:t xml:space="preserve"> وأشارت دراسات مثل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 xml:space="preserve">) إلى أهمية المرونة التنظيمية كمتغير </w:t>
      </w:r>
      <w:r w:rsidRPr="003D1437">
        <w:rPr>
          <w:rFonts w:ascii="Traditional Arabic" w:hAnsi="Traditional Arabic" w:cs="Traditional Arabic" w:hint="cs"/>
          <w:sz w:val="28"/>
          <w:szCs w:val="28"/>
          <w:rtl/>
        </w:rPr>
        <w:t>وسيط،</w:t>
      </w:r>
      <w:r w:rsidRPr="003D1437">
        <w:rPr>
          <w:rFonts w:ascii="Traditional Arabic" w:hAnsi="Traditional Arabic" w:cs="Traditional Arabic"/>
          <w:sz w:val="28"/>
          <w:szCs w:val="28"/>
          <w:rtl/>
        </w:rPr>
        <w:t xml:space="preserve"> فإن المشكلة البحثية المحددة تتمثل في وجود فجوة معرفية حول طبيعة وآلية الدور الذي يلعبه التكيف التكنولوجي كمفهوم شامل في العلاقة بين تطبيقات الذكاء الاصطناعي وكفاءة التخطيط الاستراتيجي لدى الإداريين في قطاع التعليم العام بمكة المكرمة. فبالرغم من الإقرار بأهمية كل متغير على حدة، إلا أنه لا توجد دراسات كافية – حسب اطلاع الباحثة – اختبرت هذه العلاقة الثلاثية في السياق التعليمي السعودي، مما يترك صانعي القرار دون نموذج واضح ومبني على الأدلة لكيفية تحقيق الاستفادة القصوى من استثماراتهم في الذكاء الاصطناعي لتعزيز قدرتهم على التخطيط للمستقبل بفاعلية.</w:t>
      </w:r>
    </w:p>
    <w:p w14:paraId="09B31D36"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ويمكن بلورة مشكلة الدراسة في محاولة للإجابة على التساؤل الرئيسي التالي</w:t>
      </w:r>
      <w:r w:rsidRPr="003D1437">
        <w:rPr>
          <w:rFonts w:ascii="Traditional Arabic" w:hAnsi="Traditional Arabic" w:cs="Traditional Arabic"/>
          <w:sz w:val="28"/>
          <w:szCs w:val="28"/>
        </w:rPr>
        <w:t xml:space="preserve">: </w:t>
      </w:r>
    </w:p>
    <w:p w14:paraId="377462B4"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b/>
          <w:bCs/>
          <w:sz w:val="28"/>
          <w:szCs w:val="28"/>
        </w:rPr>
        <w:t>"</w:t>
      </w:r>
      <w:r w:rsidRPr="003D1437">
        <w:rPr>
          <w:rFonts w:ascii="Traditional Arabic" w:hAnsi="Traditional Arabic" w:cs="Traditional Arabic"/>
          <w:b/>
          <w:bCs/>
          <w:sz w:val="28"/>
          <w:szCs w:val="28"/>
          <w:rtl/>
        </w:rPr>
        <w:t>ما هو دور التكيف التكنولوجي كمتغير وسيط في العلاقة بين تطبيقات الذكاء الاصطناعي و****كفاءة التخطيط الاستراتيجي</w:t>
      </w:r>
      <w:r w:rsidRPr="003D1437">
        <w:rPr>
          <w:rFonts w:ascii="Traditional Arabic" w:hAnsi="Traditional Arabic" w:cs="Traditional Arabic"/>
          <w:sz w:val="28"/>
          <w:szCs w:val="28"/>
          <w:rtl/>
        </w:rPr>
        <w:t xml:space="preserve"> </w:t>
      </w:r>
      <w:r w:rsidRPr="003D1437">
        <w:rPr>
          <w:rFonts w:ascii="Traditional Arabic" w:hAnsi="Traditional Arabic" w:cs="Traditional Arabic"/>
          <w:b/>
          <w:bCs/>
          <w:sz w:val="28"/>
          <w:szCs w:val="28"/>
          <w:rtl/>
        </w:rPr>
        <w:t>لدى الإداريين في قطاع التعليم العام بمكة المكرمة؟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xml:space="preserve"> </w:t>
      </w:r>
    </w:p>
    <w:p w14:paraId="06FB752D"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ويتفرع من هذا السؤال الرئيسي الأسئلة الفرعية التالية</w:t>
      </w:r>
      <w:r w:rsidRPr="003D1437">
        <w:rPr>
          <w:rFonts w:ascii="Traditional Arabic" w:hAnsi="Traditional Arabic" w:cs="Traditional Arabic"/>
          <w:sz w:val="28"/>
          <w:szCs w:val="28"/>
        </w:rPr>
        <w:t>:</w:t>
      </w:r>
    </w:p>
    <w:p w14:paraId="400EB79C" w14:textId="7ECB69ED"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ما أثر تطبيقات الذكاء الاصطناعي على كفاءة التخطيط الاستراتيجي لدى الإداريين في قطاع التعليم العام بمكة المكرمة؟ </w:t>
      </w:r>
    </w:p>
    <w:p w14:paraId="0FA6AB53" w14:textId="77777777"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ما أثر تطبيقات الذكاء الاصطناعي على التكيف التكنولوجي لدى الإداريين في قطاع التعليم العام بمكة المكرمة؟ </w:t>
      </w:r>
    </w:p>
    <w:p w14:paraId="1A0F869A" w14:textId="3C2711DD"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ما أثر التكيف التكنولوجي على كفاءة التخطيط الاستراتيجي لدى الإداريين في قطاع التعليم العام بمكة المكرمة؟ </w:t>
      </w:r>
    </w:p>
    <w:p w14:paraId="2EE3C977" w14:textId="79ABF2A0"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هل يوجد تأثير غير مباشر للذكاء الاصطناعي على كفاءة التخطيط الاستراتيجي بإدارة التعليم في مكة المكرمة في ظل وجود التكيف التكنولوجي كمتغير وسيط؟ </w:t>
      </w:r>
    </w:p>
    <w:p w14:paraId="760E8575" w14:textId="2886D546" w:rsidR="001765DD" w:rsidRPr="003D1437" w:rsidRDefault="00863B90" w:rsidP="00FE70A4">
      <w:pPr>
        <w:pStyle w:val="Heading2"/>
        <w:rPr>
          <w:rtl/>
        </w:rPr>
      </w:pPr>
      <w:bookmarkStart w:id="16" w:name="_Toc233422607"/>
      <w:bookmarkStart w:id="17" w:name="_Toc236402637"/>
      <w:r w:rsidRPr="003D1437">
        <w:rPr>
          <w:rFonts w:hint="cs"/>
          <w:rtl/>
        </w:rPr>
        <w:t>1.3</w:t>
      </w:r>
      <w:r w:rsidR="005341F3" w:rsidRPr="003D1437">
        <w:rPr>
          <w:rtl/>
        </w:rPr>
        <w:t xml:space="preserve"> </w:t>
      </w:r>
      <w:r w:rsidR="001765DD" w:rsidRPr="003D1437">
        <w:rPr>
          <w:rtl/>
        </w:rPr>
        <w:t>أهمية الدراسة:</w:t>
      </w:r>
      <w:bookmarkEnd w:id="16"/>
      <w:bookmarkEnd w:id="17"/>
    </w:p>
    <w:p w14:paraId="404B4310" w14:textId="332CC2C4" w:rsidR="001765DD" w:rsidRPr="003D1437" w:rsidRDefault="001765DD" w:rsidP="005341F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تكمن اهمية الدراسة فيما يلي:</w:t>
      </w:r>
    </w:p>
    <w:p w14:paraId="2622D0A4" w14:textId="4AF12B1C" w:rsidR="001765DD" w:rsidRPr="003D1437" w:rsidRDefault="00863B90" w:rsidP="00863B90">
      <w:pPr>
        <w:pStyle w:val="Heading3"/>
      </w:pPr>
      <w:bookmarkStart w:id="18" w:name="_Toc233422608"/>
      <w:bookmarkStart w:id="19" w:name="_Toc236402638"/>
      <w:r w:rsidRPr="003D1437">
        <w:rPr>
          <w:rFonts w:hint="cs"/>
          <w:rtl/>
        </w:rPr>
        <w:t>1.3.1</w:t>
      </w:r>
      <w:r w:rsidR="005341F3" w:rsidRPr="003D1437">
        <w:rPr>
          <w:rtl/>
        </w:rPr>
        <w:t xml:space="preserve"> </w:t>
      </w:r>
      <w:r w:rsidR="001765DD" w:rsidRPr="003D1437">
        <w:rPr>
          <w:rtl/>
        </w:rPr>
        <w:t>الأهمية النظرية:</w:t>
      </w:r>
      <w:bookmarkEnd w:id="18"/>
      <w:bookmarkEnd w:id="19"/>
    </w:p>
    <w:p w14:paraId="09702327"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تستمد هذه الدراسة أهميتها من محورين رئيسيين: الأهمية العلمية (النظرية) والأهمية العملية (التطبيقية)، وذلك على النحو التالي:</w:t>
      </w:r>
    </w:p>
    <w:p w14:paraId="2E014CFC" w14:textId="77777777" w:rsidR="00581914" w:rsidRPr="003D1437" w:rsidRDefault="00581914" w:rsidP="00581914">
      <w:pPr>
        <w:bidi/>
        <w:jc w:val="lowKashida"/>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الأهمية العلمية (النظرية):</w:t>
      </w:r>
    </w:p>
    <w:p w14:paraId="4854E990" w14:textId="7E89E5E0" w:rsidR="00F51B8D" w:rsidRPr="003D1437" w:rsidRDefault="00F51B8D">
      <w:pPr>
        <w:numPr>
          <w:ilvl w:val="0"/>
          <w:numId w:val="24"/>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هذه الدراسة في إثراء الأدب النظري العربي في مجالات الإدارة التربوية، والذكاء الاصطناعي، والتخطيط الاستراتيجي، وهي مجالات تشهد تطوراً متسارعاً وتحتاج إلى المزيد من الأبحاث الرصينة.</w:t>
      </w:r>
    </w:p>
    <w:p w14:paraId="66B4F886" w14:textId="5180E828" w:rsidR="00F51B8D" w:rsidRPr="003D1437" w:rsidRDefault="00F51B8D">
      <w:pPr>
        <w:numPr>
          <w:ilvl w:val="0"/>
          <w:numId w:val="24"/>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تقدم الدراسة نموذجاً نظرياً مقترحاً يختبر العلاقة بين تطبيقات الذكاء الاصطناعي، والتكيف التكنولوجي، وكفاءة التخطيط الاستراتيجي، من خلال فحص الدور الوسيط للتكيف التكنولوجي، وهو ما قد يفتح آفاقاً جديدة للباحثين في هذا المجال.</w:t>
      </w:r>
    </w:p>
    <w:p w14:paraId="47AF2517" w14:textId="2F8B7143" w:rsidR="00F51B8D" w:rsidRPr="003D1437" w:rsidRDefault="00F51B8D">
      <w:pPr>
        <w:numPr>
          <w:ilvl w:val="0"/>
          <w:numId w:val="24"/>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تعد هذه الدراسة من الدراسات القليلة – في حدود علم الباحثة – التي تتناول هذا الموضوع في السياق المحدد لقطاع التعليم العام بالمملكة العربية السعودية، مما يضيف معرفة متخصصة ومبنية على الواقع المحلي</w:t>
      </w:r>
      <w:r w:rsidRPr="003D1437">
        <w:rPr>
          <w:rFonts w:ascii="Traditional Arabic" w:hAnsi="Traditional Arabic" w:cs="Traditional Arabic"/>
          <w:sz w:val="28"/>
          <w:szCs w:val="28"/>
        </w:rPr>
        <w:t>.</w:t>
      </w:r>
    </w:p>
    <w:p w14:paraId="59B4CFF5" w14:textId="6463DDF2" w:rsidR="001765DD" w:rsidRPr="003D1437" w:rsidRDefault="00863B90" w:rsidP="00863B90">
      <w:pPr>
        <w:pStyle w:val="Heading3"/>
        <w:rPr>
          <w:rtl/>
        </w:rPr>
      </w:pPr>
      <w:bookmarkStart w:id="20" w:name="_Toc233422609"/>
      <w:bookmarkStart w:id="21" w:name="_Toc236402639"/>
      <w:r w:rsidRPr="003D1437">
        <w:rPr>
          <w:rFonts w:hint="cs"/>
          <w:rtl/>
        </w:rPr>
        <w:t>1.3.2</w:t>
      </w:r>
      <w:r w:rsidR="005341F3" w:rsidRPr="003D1437">
        <w:rPr>
          <w:rtl/>
        </w:rPr>
        <w:t xml:space="preserve"> </w:t>
      </w:r>
      <w:r w:rsidR="001765DD" w:rsidRPr="003D1437">
        <w:rPr>
          <w:rtl/>
        </w:rPr>
        <w:t>الأهمية التطبيقية:</w:t>
      </w:r>
      <w:bookmarkEnd w:id="20"/>
      <w:bookmarkEnd w:id="21"/>
    </w:p>
    <w:p w14:paraId="03BC995C" w14:textId="1B9A7C62"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دعم صناع القرار: من المتوقع أن تقدم نتائج الدراسة رؤى عملية ومبنية على الأدلة لصناع القرار في وزارة التعليم والإدارة العامة للتعليم بمكة المكرمة، تساعدهم على فهم المتطلبات الحقيقية لنجاح دمج تقنيات الذكاء الاصطناعي في عمليات التخطيط.</w:t>
      </w:r>
    </w:p>
    <w:p w14:paraId="755421A1" w14:textId="73637A71"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توجيه الاستثمارات: يمكن أن تساهم نتائج الدراسة في توجيه الاستثمارات المستقبلية في مجال التكنولوجيا والتدريب، من خلال تسليط الضوء على أهمية التركيز على جوانب التكيف التكنولوجي (مثل تطوير المهارات الرقمية وتعزيز ثقافة الابتكار) بالتوازي مع شراء التقنيات.</w:t>
      </w:r>
    </w:p>
    <w:p w14:paraId="379B1B12" w14:textId="2F61CBFF"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تحسين كفاءة التخطيط: من خلال توضيح آلية تأثير الذكاء الاصطناعي، يمكن للدراسة أن تساعد الإداريين على استخدام هذه الأدوات بفاعلية أكبر لتحسين جودة التحليل الاستراتيجي وصياغة الأهداف ومتابعة الأداء، مما ينعكس إيجاباً على مخرجات النظام التعليمي.</w:t>
      </w:r>
    </w:p>
    <w:p w14:paraId="546A4580" w14:textId="70553146"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تحقيق مستهدفات رؤية 2030: تتماشى الدراسة مع أهداف رؤية المملكة 2030 وبرنامج تنمية القدرات البشرية، من خلال تقديم توصيات عملية تساهم في تسريع التحول الرقمي في قطاع التعليم وتعزيز كفاءته</w:t>
      </w:r>
      <w:r w:rsidRPr="003D1437">
        <w:rPr>
          <w:rFonts w:ascii="Traditional Arabic" w:hAnsi="Traditional Arabic" w:cs="Traditional Arabic" w:hint="cs"/>
          <w:sz w:val="28"/>
          <w:szCs w:val="28"/>
          <w:rtl/>
        </w:rPr>
        <w:t>.</w:t>
      </w:r>
    </w:p>
    <w:p w14:paraId="748A6E87" w14:textId="4253D806" w:rsidR="009964C4" w:rsidRPr="003D1437" w:rsidRDefault="00863B90" w:rsidP="009964C4">
      <w:pPr>
        <w:pStyle w:val="Heading2"/>
      </w:pPr>
      <w:bookmarkStart w:id="22" w:name="_Toc233422610"/>
      <w:bookmarkStart w:id="23" w:name="_Toc236402640"/>
      <w:r w:rsidRPr="003D1437">
        <w:rPr>
          <w:rFonts w:hint="cs"/>
          <w:rtl/>
        </w:rPr>
        <w:t>1.4</w:t>
      </w:r>
      <w:r w:rsidR="009964C4" w:rsidRPr="003D1437">
        <w:rPr>
          <w:rFonts w:hint="cs"/>
          <w:rtl/>
        </w:rPr>
        <w:t xml:space="preserve"> </w:t>
      </w:r>
      <w:r w:rsidR="009964C4" w:rsidRPr="003D1437">
        <w:rPr>
          <w:rtl/>
        </w:rPr>
        <w:t>أهداف الدراسة</w:t>
      </w:r>
      <w:bookmarkEnd w:id="22"/>
      <w:bookmarkEnd w:id="23"/>
    </w:p>
    <w:p w14:paraId="1CF0175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تسعى الدراسة الحالية إلى تحقيق الهدف الرئيسي التالي:</w:t>
      </w:r>
    </w:p>
    <w:p w14:paraId="41BB6753" w14:textId="68D2A124"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الكشف عن دور التكيف التكنولوجي كمتغير وسيط في العلاقة بين تطبيقات الذكاء الاصطناعي و</w:t>
      </w:r>
      <w:r w:rsidR="00945E73" w:rsidRPr="003D1437">
        <w:rPr>
          <w:rFonts w:ascii="Traditional Arabic" w:hAnsi="Traditional Arabic" w:cs="Traditional Arabic"/>
          <w:b/>
          <w:bCs/>
          <w:sz w:val="28"/>
          <w:szCs w:val="28"/>
          <w:rtl/>
        </w:rPr>
        <w:t>كفاءة</w:t>
      </w:r>
      <w:r w:rsidRPr="003D1437">
        <w:rPr>
          <w:rFonts w:ascii="Traditional Arabic" w:hAnsi="Traditional Arabic" w:cs="Traditional Arabic"/>
          <w:b/>
          <w:bCs/>
          <w:sz w:val="28"/>
          <w:szCs w:val="28"/>
          <w:rtl/>
        </w:rPr>
        <w:t xml:space="preserve"> الخطط الاستراتيجية لدى الإداريين في قطاع التعليم العام بمكة المكرمة.</w:t>
      </w:r>
    </w:p>
    <w:p w14:paraId="4D77C061"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ولتحقيق هذا الهدف الرئيسي، ستعمل الدراسة على تحقيق الأهداف الفرعية التالية:</w:t>
      </w:r>
    </w:p>
    <w:p w14:paraId="061C324B" w14:textId="145E8B3E"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تحديد أثر تطبيقات الذكاء الاصطناعي على </w:t>
      </w:r>
      <w:r w:rsidR="00945E73" w:rsidRPr="003D1437">
        <w:rPr>
          <w:rFonts w:ascii="Traditional Arabic" w:hAnsi="Traditional Arabic" w:cs="Traditional Arabic" w:hint="cs"/>
          <w:sz w:val="28"/>
          <w:szCs w:val="28"/>
          <w:rtl/>
        </w:rPr>
        <w:t>كفاءة</w:t>
      </w:r>
      <w:r w:rsidRPr="003D1437">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2C20DB0" w14:textId="77777777"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قياس أثر تطبيقات الذكاء الاصطناعي على التكيف التكنولوجي لدى الإداريين في قطاع التعليم العام بمكة المكرمة.</w:t>
      </w:r>
    </w:p>
    <w:p w14:paraId="27B6F811" w14:textId="63ADF648"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تحليل أثر التكيف التكنولوجي على </w:t>
      </w:r>
      <w:r w:rsidR="00945E73" w:rsidRPr="003D1437">
        <w:rPr>
          <w:rFonts w:ascii="Traditional Arabic" w:hAnsi="Traditional Arabic" w:cs="Traditional Arabic" w:hint="cs"/>
          <w:sz w:val="28"/>
          <w:szCs w:val="28"/>
          <w:rtl/>
        </w:rPr>
        <w:t>كفاءة</w:t>
      </w:r>
      <w:r w:rsidRPr="003D1437">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32E60C7" w14:textId="4B8C6660"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تحليل </w:t>
      </w:r>
      <w:r w:rsidRPr="003D1437">
        <w:rPr>
          <w:rFonts w:ascii="Traditional Arabic" w:hAnsi="Traditional Arabic" w:cs="Traditional Arabic" w:hint="cs"/>
          <w:sz w:val="28"/>
          <w:szCs w:val="28"/>
          <w:rtl/>
        </w:rPr>
        <w:t>ال</w:t>
      </w:r>
      <w:r w:rsidRPr="003D1437">
        <w:rPr>
          <w:rFonts w:ascii="Traditional Arabic" w:hAnsi="Traditional Arabic" w:cs="Traditional Arabic"/>
          <w:sz w:val="28"/>
          <w:szCs w:val="28"/>
          <w:rtl/>
        </w:rPr>
        <w:t xml:space="preserve">تأثير </w:t>
      </w:r>
      <w:r w:rsidRPr="003D1437">
        <w:rPr>
          <w:rFonts w:ascii="Traditional Arabic" w:hAnsi="Traditional Arabic" w:cs="Traditional Arabic" w:hint="cs"/>
          <w:sz w:val="28"/>
          <w:szCs w:val="28"/>
          <w:rtl/>
        </w:rPr>
        <w:t xml:space="preserve">الغير مباشر </w:t>
      </w:r>
      <w:r w:rsidRPr="003D1437">
        <w:rPr>
          <w:rFonts w:ascii="Traditional Arabic" w:hAnsi="Traditional Arabic" w:cs="Traditional Arabic"/>
          <w:sz w:val="28"/>
          <w:szCs w:val="28"/>
          <w:rtl/>
        </w:rPr>
        <w:t xml:space="preserve">للذكاء الاصطناعي </w:t>
      </w:r>
      <w:r w:rsidRPr="003D1437">
        <w:rPr>
          <w:rFonts w:ascii="Traditional Arabic" w:hAnsi="Traditional Arabic" w:cs="Traditional Arabic" w:hint="cs"/>
          <w:sz w:val="28"/>
          <w:szCs w:val="28"/>
          <w:rtl/>
        </w:rPr>
        <w:t>على كفاءة</w:t>
      </w:r>
      <w:r w:rsidRPr="003D1437">
        <w:rPr>
          <w:rFonts w:ascii="Traditional Arabic" w:hAnsi="Traditional Arabic" w:cs="Traditional Arabic"/>
          <w:sz w:val="28"/>
          <w:szCs w:val="28"/>
          <w:rtl/>
        </w:rPr>
        <w:t xml:space="preserve"> ال</w:t>
      </w:r>
      <w:r w:rsidRPr="003D1437">
        <w:rPr>
          <w:rFonts w:ascii="Traditional Arabic" w:hAnsi="Traditional Arabic" w:cs="Traditional Arabic" w:hint="cs"/>
          <w:sz w:val="28"/>
          <w:szCs w:val="28"/>
          <w:rtl/>
        </w:rPr>
        <w:t>ت</w:t>
      </w:r>
      <w:r w:rsidRPr="003D1437">
        <w:rPr>
          <w:rFonts w:ascii="Traditional Arabic" w:hAnsi="Traditional Arabic" w:cs="Traditional Arabic"/>
          <w:sz w:val="28"/>
          <w:szCs w:val="28"/>
          <w:rtl/>
        </w:rPr>
        <w:t>خط</w:t>
      </w:r>
      <w:r w:rsidRPr="003D1437">
        <w:rPr>
          <w:rFonts w:ascii="Traditional Arabic" w:hAnsi="Traditional Arabic" w:cs="Traditional Arabic" w:hint="cs"/>
          <w:sz w:val="28"/>
          <w:szCs w:val="28"/>
          <w:rtl/>
        </w:rPr>
        <w:t>ي</w:t>
      </w:r>
      <w:r w:rsidRPr="003D1437">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sidRPr="003D1437">
        <w:rPr>
          <w:rFonts w:ascii="Traditional Arabic" w:hAnsi="Traditional Arabic" w:cs="Traditional Arabic" w:hint="cs"/>
          <w:sz w:val="28"/>
          <w:szCs w:val="28"/>
          <w:rtl/>
        </w:rPr>
        <w:t>.</w:t>
      </w:r>
    </w:p>
    <w:p w14:paraId="4934E92B" w14:textId="3A8E4F2A" w:rsidR="009964C4" w:rsidRPr="003D1437" w:rsidRDefault="00863B90" w:rsidP="009964C4">
      <w:pPr>
        <w:pStyle w:val="Heading2"/>
      </w:pPr>
      <w:bookmarkStart w:id="24" w:name="_Toc233422611"/>
      <w:bookmarkStart w:id="25" w:name="_Toc236402641"/>
      <w:r w:rsidRPr="003D1437">
        <w:rPr>
          <w:rFonts w:hint="cs"/>
          <w:rtl/>
        </w:rPr>
        <w:t>1.5</w:t>
      </w:r>
      <w:r w:rsidR="009964C4" w:rsidRPr="003D1437">
        <w:rPr>
          <w:rFonts w:hint="cs"/>
          <w:rtl/>
        </w:rPr>
        <w:t xml:space="preserve"> </w:t>
      </w:r>
      <w:r w:rsidR="009964C4" w:rsidRPr="003D1437">
        <w:rPr>
          <w:rtl/>
        </w:rPr>
        <w:t>فرضيات الدراسة</w:t>
      </w:r>
      <w:bookmarkEnd w:id="24"/>
      <w:bookmarkEnd w:id="25"/>
    </w:p>
    <w:p w14:paraId="0DE20332" w14:textId="77777777" w:rsidR="009964C4" w:rsidRPr="003D1437" w:rsidRDefault="009964C4" w:rsidP="009964C4">
      <w:pPr>
        <w:bidi/>
        <w:ind w:firstLine="720"/>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الفرضية الرئيسية</w:t>
      </w:r>
      <w:r w:rsidRPr="003D1437">
        <w:rPr>
          <w:rFonts w:ascii="Traditional Arabic" w:hAnsi="Traditional Arabic" w:cs="Traditional Arabic"/>
          <w:b/>
          <w:bCs/>
          <w:sz w:val="28"/>
          <w:szCs w:val="28"/>
        </w:rPr>
        <w:t>:</w:t>
      </w:r>
    </w:p>
    <w:p w14:paraId="32A15035" w14:textId="03C38B6E" w:rsidR="009964C4" w:rsidRPr="003D1437" w:rsidRDefault="009964C4" w:rsidP="009964C4">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يوجد تأثير ذو دلالة إحصائية عند مستوى دلالة 0.05 للذكاء الاصطناعي </w:t>
      </w:r>
      <w:r w:rsidR="00E93AFC" w:rsidRPr="003D1437">
        <w:rPr>
          <w:rFonts w:ascii="Traditional Arabic" w:hAnsi="Traditional Arabic" w:cs="Traditional Arabic" w:hint="cs"/>
          <w:sz w:val="28"/>
          <w:szCs w:val="28"/>
          <w:rtl/>
        </w:rPr>
        <w:t>(ب</w:t>
      </w:r>
      <w:r w:rsidR="00E93AFC" w:rsidRPr="003D1437">
        <w:rPr>
          <w:rFonts w:ascii="Traditional Arabic" w:hAnsi="Traditional Arabic" w:cs="Traditional Arabic"/>
          <w:sz w:val="28"/>
          <w:szCs w:val="28"/>
          <w:rtl/>
        </w:rPr>
        <w:t>أبعاده</w:t>
      </w:r>
      <w:r w:rsidR="00E93AFC" w:rsidRPr="003D1437">
        <w:rPr>
          <w:rFonts w:ascii="Traditional Arabic" w:hAnsi="Traditional Arabic" w:cs="Traditional Arabic" w:hint="cs"/>
          <w:sz w:val="28"/>
          <w:szCs w:val="28"/>
          <w:rtl/>
        </w:rPr>
        <w:t xml:space="preserve"> الفرعية) على</w:t>
      </w:r>
      <w:r w:rsidR="00DF41F3" w:rsidRPr="003D1437">
        <w:rPr>
          <w:rFonts w:ascii="Traditional Arabic" w:hAnsi="Traditional Arabic" w:cs="Traditional Arabic" w:hint="cs"/>
          <w:sz w:val="28"/>
          <w:szCs w:val="28"/>
          <w:rtl/>
        </w:rPr>
        <w:t xml:space="preserve"> كفاءة</w:t>
      </w:r>
      <w:r w:rsidR="00E93AFC" w:rsidRPr="003D1437">
        <w:rPr>
          <w:rFonts w:ascii="Traditional Arabic" w:hAnsi="Traditional Arabic" w:cs="Traditional Arabic"/>
          <w:sz w:val="28"/>
          <w:szCs w:val="28"/>
          <w:rtl/>
        </w:rPr>
        <w:t xml:space="preserve"> ال</w:t>
      </w:r>
      <w:r w:rsidR="00E93AFC" w:rsidRPr="003D1437">
        <w:rPr>
          <w:rFonts w:ascii="Traditional Arabic" w:hAnsi="Traditional Arabic" w:cs="Traditional Arabic" w:hint="cs"/>
          <w:sz w:val="28"/>
          <w:szCs w:val="28"/>
          <w:rtl/>
        </w:rPr>
        <w:t>ت</w:t>
      </w:r>
      <w:r w:rsidR="00E93AFC" w:rsidRPr="003D1437">
        <w:rPr>
          <w:rFonts w:ascii="Traditional Arabic" w:hAnsi="Traditional Arabic" w:cs="Traditional Arabic"/>
          <w:sz w:val="28"/>
          <w:szCs w:val="28"/>
          <w:rtl/>
        </w:rPr>
        <w:t>خط</w:t>
      </w:r>
      <w:r w:rsidR="00E93AFC" w:rsidRPr="003D1437">
        <w:rPr>
          <w:rFonts w:ascii="Traditional Arabic" w:hAnsi="Traditional Arabic" w:cs="Traditional Arabic" w:hint="cs"/>
          <w:sz w:val="28"/>
          <w:szCs w:val="28"/>
          <w:rtl/>
        </w:rPr>
        <w:t>ي</w:t>
      </w:r>
      <w:r w:rsidR="00E93AFC" w:rsidRPr="003D1437">
        <w:rPr>
          <w:rFonts w:ascii="Traditional Arabic" w:hAnsi="Traditional Arabic" w:cs="Traditional Arabic"/>
          <w:sz w:val="28"/>
          <w:szCs w:val="28"/>
          <w:rtl/>
        </w:rPr>
        <w:t xml:space="preserve">ط الاستراتيجي </w:t>
      </w:r>
      <w:r w:rsidRPr="003D1437">
        <w:rPr>
          <w:rFonts w:ascii="Traditional Arabic" w:hAnsi="Traditional Arabic" w:cs="Traditional Arabic"/>
          <w:sz w:val="28"/>
          <w:szCs w:val="28"/>
          <w:rtl/>
        </w:rPr>
        <w:t>بإدارة التعليم في مكة المكرمة في ظل وجود التكيف التكنولوجي كمتغير وسيط</w:t>
      </w:r>
      <w:r w:rsidRPr="003D1437">
        <w:rPr>
          <w:rFonts w:ascii="Traditional Arabic" w:hAnsi="Traditional Arabic" w:cs="Traditional Arabic"/>
          <w:sz w:val="28"/>
          <w:szCs w:val="28"/>
        </w:rPr>
        <w:t>.</w:t>
      </w:r>
    </w:p>
    <w:p w14:paraId="718EE02F" w14:textId="77777777" w:rsidR="009964C4" w:rsidRPr="003D1437" w:rsidRDefault="009964C4" w:rsidP="009964C4">
      <w:pPr>
        <w:bidi/>
        <w:ind w:firstLine="720"/>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الفرضيات الفرعية</w:t>
      </w:r>
      <w:r w:rsidRPr="003D1437">
        <w:rPr>
          <w:rFonts w:ascii="Traditional Arabic" w:hAnsi="Traditional Arabic" w:cs="Traditional Arabic"/>
          <w:b/>
          <w:bCs/>
          <w:sz w:val="28"/>
          <w:szCs w:val="28"/>
        </w:rPr>
        <w:t>:</w:t>
      </w:r>
    </w:p>
    <w:p w14:paraId="06743E37" w14:textId="17879204" w:rsidR="00E93AFC" w:rsidRPr="003D1437" w:rsidRDefault="009964C4">
      <w:pPr>
        <w:numPr>
          <w:ilvl w:val="0"/>
          <w:numId w:val="2"/>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يوجد تأثير</w:t>
      </w:r>
      <w:r w:rsidR="00E93AFC"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 xml:space="preserve">ذو دلالة إحصائية عند مستوى دلالة 0.05 </w:t>
      </w:r>
      <w:r w:rsidR="00E93AFC" w:rsidRPr="003D1437">
        <w:rPr>
          <w:rFonts w:ascii="Traditional Arabic" w:hAnsi="Traditional Arabic" w:cs="Traditional Arabic"/>
          <w:sz w:val="28"/>
          <w:szCs w:val="28"/>
          <w:rtl/>
        </w:rPr>
        <w:t xml:space="preserve">للذكاء الاصطناعي </w:t>
      </w:r>
      <w:r w:rsidR="00E93AFC" w:rsidRPr="003D1437">
        <w:rPr>
          <w:rFonts w:ascii="Traditional Arabic" w:hAnsi="Traditional Arabic" w:cs="Traditional Arabic" w:hint="cs"/>
          <w:sz w:val="28"/>
          <w:szCs w:val="28"/>
          <w:rtl/>
        </w:rPr>
        <w:t>على</w:t>
      </w:r>
      <w:r w:rsidR="00DF41F3" w:rsidRPr="003D1437">
        <w:rPr>
          <w:rFonts w:ascii="Traditional Arabic" w:hAnsi="Traditional Arabic" w:cs="Traditional Arabic" w:hint="cs"/>
          <w:sz w:val="28"/>
          <w:szCs w:val="28"/>
          <w:rtl/>
        </w:rPr>
        <w:t xml:space="preserve"> </w:t>
      </w:r>
      <w:r w:rsidR="00945E73" w:rsidRPr="003D1437">
        <w:rPr>
          <w:rFonts w:ascii="Traditional Arabic" w:hAnsi="Traditional Arabic" w:cs="Traditional Arabic" w:hint="cs"/>
          <w:sz w:val="28"/>
          <w:szCs w:val="28"/>
          <w:rtl/>
        </w:rPr>
        <w:t>كفاءة</w:t>
      </w:r>
      <w:r w:rsidR="00581914" w:rsidRPr="003D1437">
        <w:rPr>
          <w:rFonts w:ascii="Traditional Arabic" w:hAnsi="Traditional Arabic" w:cs="Traditional Arabic"/>
          <w:sz w:val="28"/>
          <w:szCs w:val="28"/>
          <w:rtl/>
        </w:rPr>
        <w:t xml:space="preserve"> الخطط الاستراتيجية </w:t>
      </w:r>
      <w:r w:rsidR="00E93AFC" w:rsidRPr="003D1437">
        <w:rPr>
          <w:rFonts w:ascii="Traditional Arabic" w:hAnsi="Traditional Arabic" w:cs="Traditional Arabic"/>
          <w:sz w:val="28"/>
          <w:szCs w:val="28"/>
          <w:rtl/>
        </w:rPr>
        <w:t>بإدارة التعليم في مكة المكرمة</w:t>
      </w:r>
      <w:r w:rsidR="00E93AFC" w:rsidRPr="003D1437">
        <w:rPr>
          <w:rFonts w:ascii="Traditional Arabic" w:hAnsi="Traditional Arabic" w:cs="Traditional Arabic" w:hint="cs"/>
          <w:sz w:val="28"/>
          <w:szCs w:val="28"/>
          <w:rtl/>
        </w:rPr>
        <w:t>.</w:t>
      </w:r>
    </w:p>
    <w:p w14:paraId="2BEA9EC9" w14:textId="3B98D746" w:rsidR="00E93AFC" w:rsidRPr="003D1437" w:rsidRDefault="009964C4">
      <w:pPr>
        <w:numPr>
          <w:ilvl w:val="0"/>
          <w:numId w:val="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يوجد تأثير ذو دلالة إحصائية عند مستوى دلالة 0.05 </w:t>
      </w:r>
      <w:r w:rsidR="00E93AFC" w:rsidRPr="003D1437">
        <w:rPr>
          <w:rFonts w:ascii="Traditional Arabic" w:hAnsi="Traditional Arabic" w:cs="Traditional Arabic"/>
          <w:sz w:val="28"/>
          <w:szCs w:val="28"/>
          <w:rtl/>
        </w:rPr>
        <w:t xml:space="preserve">للذكاء الاصطناعي </w:t>
      </w:r>
      <w:r w:rsidR="00E93AFC" w:rsidRPr="003D1437">
        <w:rPr>
          <w:rFonts w:ascii="Traditional Arabic" w:hAnsi="Traditional Arabic" w:cs="Traditional Arabic" w:hint="cs"/>
          <w:sz w:val="28"/>
          <w:szCs w:val="28"/>
          <w:rtl/>
        </w:rPr>
        <w:t>على</w:t>
      </w:r>
      <w:r w:rsidR="00E93AFC" w:rsidRPr="003D1437">
        <w:rPr>
          <w:rFonts w:ascii="Traditional Arabic" w:hAnsi="Traditional Arabic" w:cs="Traditional Arabic"/>
          <w:sz w:val="28"/>
          <w:szCs w:val="28"/>
          <w:rtl/>
        </w:rPr>
        <w:t xml:space="preserve"> ال</w:t>
      </w:r>
      <w:r w:rsidR="00E93AFC" w:rsidRPr="003D1437">
        <w:rPr>
          <w:rFonts w:ascii="Traditional Arabic" w:hAnsi="Traditional Arabic" w:cs="Traditional Arabic" w:hint="cs"/>
          <w:sz w:val="28"/>
          <w:szCs w:val="28"/>
          <w:rtl/>
        </w:rPr>
        <w:t xml:space="preserve">تكيف التكنولوجى </w:t>
      </w:r>
      <w:r w:rsidR="00E93AFC" w:rsidRPr="003D1437">
        <w:rPr>
          <w:rFonts w:ascii="Traditional Arabic" w:hAnsi="Traditional Arabic" w:cs="Traditional Arabic"/>
          <w:sz w:val="28"/>
          <w:szCs w:val="28"/>
          <w:rtl/>
        </w:rPr>
        <w:t>بإدارة التعليم في مكة المكرمة</w:t>
      </w:r>
      <w:r w:rsidR="00E93AFC" w:rsidRPr="003D1437">
        <w:rPr>
          <w:rFonts w:ascii="Traditional Arabic" w:hAnsi="Traditional Arabic" w:cs="Traditional Arabic" w:hint="cs"/>
          <w:sz w:val="28"/>
          <w:szCs w:val="28"/>
          <w:rtl/>
        </w:rPr>
        <w:t>.</w:t>
      </w:r>
    </w:p>
    <w:p w14:paraId="101B2CFB" w14:textId="37132CC2" w:rsidR="00E93AFC" w:rsidRPr="003D1437" w:rsidRDefault="009964C4">
      <w:pPr>
        <w:numPr>
          <w:ilvl w:val="0"/>
          <w:numId w:val="2"/>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يوجد تأثير ذو دلالة إحصائية عند مستوى دلالة 0.05 </w:t>
      </w:r>
      <w:r w:rsidR="00E93AFC" w:rsidRPr="003D1437">
        <w:rPr>
          <w:rFonts w:ascii="Traditional Arabic" w:hAnsi="Traditional Arabic" w:cs="Traditional Arabic" w:hint="cs"/>
          <w:sz w:val="28"/>
          <w:szCs w:val="28"/>
          <w:rtl/>
        </w:rPr>
        <w:t>ل</w:t>
      </w:r>
      <w:r w:rsidR="00E93AFC" w:rsidRPr="003D1437">
        <w:rPr>
          <w:rFonts w:ascii="Traditional Arabic" w:hAnsi="Traditional Arabic" w:cs="Traditional Arabic"/>
          <w:sz w:val="28"/>
          <w:szCs w:val="28"/>
          <w:rtl/>
        </w:rPr>
        <w:t>لتكيف التكنولوجى على</w:t>
      </w:r>
      <w:r w:rsidR="00DF41F3" w:rsidRPr="003D1437">
        <w:rPr>
          <w:rFonts w:ascii="Traditional Arabic" w:hAnsi="Traditional Arabic" w:cs="Traditional Arabic" w:hint="cs"/>
          <w:sz w:val="28"/>
          <w:szCs w:val="28"/>
          <w:rtl/>
        </w:rPr>
        <w:t xml:space="preserve"> </w:t>
      </w:r>
      <w:r w:rsidR="00945E73" w:rsidRPr="003D1437">
        <w:rPr>
          <w:rFonts w:ascii="Traditional Arabic" w:hAnsi="Traditional Arabic" w:cs="Traditional Arabic" w:hint="cs"/>
          <w:sz w:val="28"/>
          <w:szCs w:val="28"/>
          <w:rtl/>
        </w:rPr>
        <w:t>كفاءة</w:t>
      </w:r>
      <w:r w:rsidR="00581914" w:rsidRPr="003D1437">
        <w:rPr>
          <w:rFonts w:ascii="Traditional Arabic" w:hAnsi="Traditional Arabic" w:cs="Traditional Arabic"/>
          <w:sz w:val="28"/>
          <w:szCs w:val="28"/>
          <w:rtl/>
        </w:rPr>
        <w:t xml:space="preserve"> الخطط الاستراتيجية </w:t>
      </w:r>
      <w:r w:rsidR="00E93AFC" w:rsidRPr="003D1437">
        <w:rPr>
          <w:rFonts w:ascii="Traditional Arabic" w:hAnsi="Traditional Arabic" w:cs="Traditional Arabic"/>
          <w:sz w:val="28"/>
          <w:szCs w:val="28"/>
          <w:rtl/>
        </w:rPr>
        <w:t>بإدارة التعليم في مكة المكرمة.</w:t>
      </w:r>
    </w:p>
    <w:p w14:paraId="4A54F775" w14:textId="5BE5678D" w:rsidR="00E93AFC" w:rsidRPr="003D1437" w:rsidRDefault="009964C4">
      <w:pPr>
        <w:numPr>
          <w:ilvl w:val="0"/>
          <w:numId w:val="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يوجد تأثير</w:t>
      </w:r>
      <w:r w:rsidR="00E93AFC" w:rsidRPr="003D1437">
        <w:rPr>
          <w:rFonts w:ascii="Traditional Arabic" w:hAnsi="Traditional Arabic" w:cs="Traditional Arabic" w:hint="cs"/>
          <w:sz w:val="28"/>
          <w:szCs w:val="28"/>
          <w:rtl/>
        </w:rPr>
        <w:t xml:space="preserve"> غير مباشر</w:t>
      </w:r>
      <w:r w:rsidRPr="003D1437">
        <w:rPr>
          <w:rFonts w:ascii="Traditional Arabic" w:hAnsi="Traditional Arabic" w:cs="Traditional Arabic"/>
          <w:sz w:val="28"/>
          <w:szCs w:val="28"/>
          <w:rtl/>
        </w:rPr>
        <w:t xml:space="preserve"> ذو دلالة إحصائية عند مستوى دلالة 0.05 </w:t>
      </w:r>
      <w:r w:rsidR="00E93AFC" w:rsidRPr="003D1437">
        <w:rPr>
          <w:rFonts w:ascii="Traditional Arabic" w:hAnsi="Traditional Arabic" w:cs="Traditional Arabic"/>
          <w:sz w:val="28"/>
          <w:szCs w:val="28"/>
          <w:rtl/>
        </w:rPr>
        <w:t xml:space="preserve">للذكاء الاصطناعي </w:t>
      </w:r>
      <w:r w:rsidR="00E93AFC" w:rsidRPr="003D1437">
        <w:rPr>
          <w:rFonts w:ascii="Traditional Arabic" w:hAnsi="Traditional Arabic" w:cs="Traditional Arabic" w:hint="cs"/>
          <w:sz w:val="28"/>
          <w:szCs w:val="28"/>
          <w:rtl/>
        </w:rPr>
        <w:t>على</w:t>
      </w:r>
      <w:r w:rsidR="00DF41F3" w:rsidRPr="003D1437">
        <w:rPr>
          <w:rFonts w:ascii="Traditional Arabic" w:hAnsi="Traditional Arabic" w:cs="Traditional Arabic" w:hint="cs"/>
          <w:sz w:val="28"/>
          <w:szCs w:val="28"/>
          <w:rtl/>
        </w:rPr>
        <w:t xml:space="preserve"> كفاءة</w:t>
      </w:r>
      <w:r w:rsidR="00E93AFC" w:rsidRPr="003D1437">
        <w:rPr>
          <w:rFonts w:ascii="Traditional Arabic" w:hAnsi="Traditional Arabic" w:cs="Traditional Arabic"/>
          <w:sz w:val="28"/>
          <w:szCs w:val="28"/>
          <w:rtl/>
        </w:rPr>
        <w:t xml:space="preserve"> ال</w:t>
      </w:r>
      <w:r w:rsidR="00E93AFC" w:rsidRPr="003D1437">
        <w:rPr>
          <w:rFonts w:ascii="Traditional Arabic" w:hAnsi="Traditional Arabic" w:cs="Traditional Arabic" w:hint="cs"/>
          <w:sz w:val="28"/>
          <w:szCs w:val="28"/>
          <w:rtl/>
        </w:rPr>
        <w:t>ت</w:t>
      </w:r>
      <w:r w:rsidR="00E93AFC" w:rsidRPr="003D1437">
        <w:rPr>
          <w:rFonts w:ascii="Traditional Arabic" w:hAnsi="Traditional Arabic" w:cs="Traditional Arabic"/>
          <w:sz w:val="28"/>
          <w:szCs w:val="28"/>
          <w:rtl/>
        </w:rPr>
        <w:t>خط</w:t>
      </w:r>
      <w:r w:rsidR="00E93AFC" w:rsidRPr="003D1437">
        <w:rPr>
          <w:rFonts w:ascii="Traditional Arabic" w:hAnsi="Traditional Arabic" w:cs="Traditional Arabic" w:hint="cs"/>
          <w:sz w:val="28"/>
          <w:szCs w:val="28"/>
          <w:rtl/>
        </w:rPr>
        <w:t>ي</w:t>
      </w:r>
      <w:r w:rsidR="00E93AFC" w:rsidRPr="003D1437">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sidR="00E93AFC" w:rsidRPr="003D1437">
        <w:rPr>
          <w:rFonts w:ascii="Traditional Arabic" w:hAnsi="Traditional Arabic" w:cs="Traditional Arabic" w:hint="cs"/>
          <w:sz w:val="28"/>
          <w:szCs w:val="28"/>
          <w:rtl/>
        </w:rPr>
        <w:t>.</w:t>
      </w:r>
    </w:p>
    <w:p w14:paraId="407C0A51" w14:textId="52AE34E6" w:rsidR="00B57595" w:rsidRPr="003D1437" w:rsidRDefault="00997077" w:rsidP="00AE306D">
      <w:pPr>
        <w:pStyle w:val="Heading2"/>
        <w:rPr>
          <w:rtl/>
        </w:rPr>
      </w:pPr>
      <w:bookmarkStart w:id="26" w:name="_Toc233422612"/>
      <w:bookmarkStart w:id="27" w:name="_Toc236402642"/>
      <w:r w:rsidRPr="003D1437">
        <w:rPr>
          <w:rFonts w:hint="cs"/>
          <w:noProof/>
          <w:rtl/>
          <w:lang w:val="ar-SA"/>
        </w:rPr>
        <mc:AlternateContent>
          <mc:Choice Requires="wpg">
            <w:drawing>
              <wp:anchor distT="0" distB="0" distL="114300" distR="114300" simplePos="0" relativeHeight="251703296" behindDoc="0" locked="0" layoutInCell="1" allowOverlap="1" wp14:anchorId="298228B3" wp14:editId="459A1607">
                <wp:simplePos x="0" y="0"/>
                <wp:positionH relativeFrom="margin">
                  <wp:align>right</wp:align>
                </wp:positionH>
                <wp:positionV relativeFrom="paragraph">
                  <wp:posOffset>367665</wp:posOffset>
                </wp:positionV>
                <wp:extent cx="5540188" cy="2570480"/>
                <wp:effectExtent l="19050" t="0" r="213360" b="39370"/>
                <wp:wrapNone/>
                <wp:docPr id="1805563939" name="Group 25"/>
                <wp:cNvGraphicFramePr/>
                <a:graphic xmlns:a="http://schemas.openxmlformats.org/drawingml/2006/main">
                  <a:graphicData uri="http://schemas.microsoft.com/office/word/2010/wordprocessingGroup">
                    <wpg:wgp>
                      <wpg:cNvGrpSpPr/>
                      <wpg:grpSpPr>
                        <a:xfrm>
                          <a:off x="0" y="0"/>
                          <a:ext cx="5540188" cy="2570480"/>
                          <a:chOff x="0" y="0"/>
                          <a:chExt cx="5540188" cy="2570480"/>
                        </a:xfrm>
                      </wpg:grpSpPr>
                      <wpg:grpSp>
                        <wpg:cNvPr id="1670990690" name="Group 21"/>
                        <wpg:cNvGrpSpPr/>
                        <wpg:grpSpPr>
                          <a:xfrm>
                            <a:off x="0" y="297180"/>
                            <a:ext cx="5540188" cy="2273300"/>
                            <a:chOff x="0" y="0"/>
                            <a:chExt cx="5540188" cy="2273300"/>
                          </a:xfrm>
                        </wpg:grpSpPr>
                        <wps:wsp>
                          <wps:cNvPr id="1651041221" name="Connector: Elbow 13"/>
                          <wps:cNvCnPr/>
                          <wps:spPr>
                            <a:xfrm flipH="1">
                              <a:off x="34738" y="49306"/>
                              <a:ext cx="5505450" cy="2222500"/>
                            </a:xfrm>
                            <a:prstGeom prst="bentConnector3">
                              <a:avLst>
                                <a:gd name="adj1" fmla="val -3203"/>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395962713" name="Group 20"/>
                          <wpg:cNvGrpSpPr/>
                          <wpg:grpSpPr>
                            <a:xfrm>
                              <a:off x="0" y="0"/>
                              <a:ext cx="495681" cy="2273300"/>
                              <a:chOff x="0" y="0"/>
                              <a:chExt cx="495681" cy="2273300"/>
                            </a:xfrm>
                          </wpg:grpSpPr>
                          <wps:wsp>
                            <wps:cNvPr id="1771217933" name="Connector: Elbow 14"/>
                            <wps:cNvCnPr/>
                            <wps:spPr>
                              <a:xfrm flipV="1">
                                <a:off x="0" y="0"/>
                                <a:ext cx="421005" cy="2273300"/>
                              </a:xfrm>
                              <a:prstGeom prst="bentConnector3">
                                <a:avLst>
                                  <a:gd name="adj1" fmla="val -144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74561689" name="Straight Arrow Connector 19"/>
                            <wps:cNvCnPr/>
                            <wps:spPr>
                              <a:xfrm>
                                <a:off x="398526" y="0"/>
                                <a:ext cx="97155" cy="12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058518228" name="Text Box 2"/>
                        <wps:cNvSpPr txBox="1">
                          <a:spLocks noChangeArrowheads="1"/>
                        </wps:cNvSpPr>
                        <wps:spPr bwMode="auto">
                          <a:xfrm>
                            <a:off x="2602230" y="0"/>
                            <a:ext cx="428897" cy="283029"/>
                          </a:xfrm>
                          <a:prstGeom prst="rect">
                            <a:avLst/>
                          </a:prstGeom>
                          <a:noFill/>
                          <a:ln w="9525">
                            <a:noFill/>
                            <a:miter lim="800000"/>
                            <a:headEnd/>
                            <a:tailEnd/>
                          </a:ln>
                        </wps:spPr>
                        <wps:txb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wps:txbx>
                        <wps:bodyPr rot="0" vert="horz" wrap="square" lIns="91440" tIns="45720" rIns="91440" bIns="45720" anchor="t" anchorCtr="0">
                          <a:noAutofit/>
                        </wps:bodyPr>
                      </wps:wsp>
                      <wps:wsp>
                        <wps:cNvPr id="909874584" name="Text Box 2"/>
                        <wps:cNvSpPr txBox="1">
                          <a:spLocks noChangeArrowheads="1"/>
                        </wps:cNvSpPr>
                        <wps:spPr bwMode="auto">
                          <a:xfrm rot="18816784">
                            <a:off x="3513138" y="636587"/>
                            <a:ext cx="428897" cy="283029"/>
                          </a:xfrm>
                          <a:prstGeom prst="rect">
                            <a:avLst/>
                          </a:prstGeom>
                          <a:noFill/>
                          <a:ln w="9525">
                            <a:noFill/>
                            <a:miter lim="800000"/>
                            <a:headEnd/>
                            <a:tailEnd/>
                          </a:ln>
                        </wps:spPr>
                        <wps:txb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wps:txbx>
                        <wps:bodyPr rot="0" vert="horz" wrap="square" lIns="91440" tIns="45720" rIns="91440" bIns="45720" anchor="t" anchorCtr="0">
                          <a:noAutofit/>
                        </wps:bodyPr>
                      </wps:wsp>
                      <wps:wsp>
                        <wps:cNvPr id="1680110559" name="Text Box 2"/>
                        <wps:cNvSpPr txBox="1">
                          <a:spLocks noChangeArrowheads="1"/>
                        </wps:cNvSpPr>
                        <wps:spPr bwMode="auto">
                          <a:xfrm rot="2936146">
                            <a:off x="2020253" y="712152"/>
                            <a:ext cx="428897" cy="283029"/>
                          </a:xfrm>
                          <a:prstGeom prst="rect">
                            <a:avLst/>
                          </a:prstGeom>
                          <a:noFill/>
                          <a:ln w="9525">
                            <a:noFill/>
                            <a:miter lim="800000"/>
                            <a:headEnd/>
                            <a:tailEnd/>
                          </a:ln>
                        </wps:spPr>
                        <wps:txb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wps:txbx>
                        <wps:bodyPr rot="0" vert="horz" wrap="square" lIns="91440" tIns="45720" rIns="91440" bIns="45720" anchor="t" anchorCtr="0">
                          <a:noAutofit/>
                        </wps:bodyPr>
                      </wps:wsp>
                      <wps:wsp>
                        <wps:cNvPr id="1052367096" name="Text Box 2"/>
                        <wps:cNvSpPr txBox="1">
                          <a:spLocks noChangeArrowheads="1"/>
                        </wps:cNvSpPr>
                        <wps:spPr bwMode="auto">
                          <a:xfrm rot="1878422">
                            <a:off x="1664970" y="1009650"/>
                            <a:ext cx="490145" cy="283029"/>
                          </a:xfrm>
                          <a:prstGeom prst="rect">
                            <a:avLst/>
                          </a:prstGeom>
                          <a:noFill/>
                          <a:ln w="9525">
                            <a:noFill/>
                            <a:miter lim="800000"/>
                            <a:headEnd/>
                            <a:tailEnd/>
                          </a:ln>
                        </wps:spPr>
                        <wps:txb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441737781" name="Text Box 2"/>
                        <wps:cNvSpPr txBox="1">
                          <a:spLocks noChangeArrowheads="1"/>
                        </wps:cNvSpPr>
                        <wps:spPr bwMode="auto">
                          <a:xfrm rot="998909">
                            <a:off x="1581150" y="1249680"/>
                            <a:ext cx="490145" cy="283029"/>
                          </a:xfrm>
                          <a:prstGeom prst="rect">
                            <a:avLst/>
                          </a:prstGeom>
                          <a:noFill/>
                          <a:ln w="9525">
                            <a:noFill/>
                            <a:miter lim="800000"/>
                            <a:headEnd/>
                            <a:tailEnd/>
                          </a:ln>
                        </wps:spPr>
                        <wps:txb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5728647" name="Text Box 2"/>
                        <wps:cNvSpPr txBox="1">
                          <a:spLocks noChangeArrowheads="1"/>
                        </wps:cNvSpPr>
                        <wps:spPr bwMode="auto">
                          <a:xfrm>
                            <a:off x="1588770" y="1459234"/>
                            <a:ext cx="490145" cy="283029"/>
                          </a:xfrm>
                          <a:prstGeom prst="rect">
                            <a:avLst/>
                          </a:prstGeom>
                          <a:noFill/>
                          <a:ln w="9525">
                            <a:noFill/>
                            <a:miter lim="800000"/>
                            <a:headEnd/>
                            <a:tailEnd/>
                          </a:ln>
                        </wps:spPr>
                        <wps:txb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642503259" name="Text Box 2"/>
                        <wps:cNvSpPr txBox="1">
                          <a:spLocks noChangeArrowheads="1"/>
                        </wps:cNvSpPr>
                        <wps:spPr bwMode="auto">
                          <a:xfrm rot="20781582">
                            <a:off x="1561938" y="1674494"/>
                            <a:ext cx="490145" cy="283029"/>
                          </a:xfrm>
                          <a:prstGeom prst="rect">
                            <a:avLst/>
                          </a:prstGeom>
                          <a:noFill/>
                          <a:ln w="9525">
                            <a:noFill/>
                            <a:miter lim="800000"/>
                            <a:headEnd/>
                            <a:tailEnd/>
                          </a:ln>
                        </wps:spPr>
                        <wps:txb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700925690" name="Text Box 2"/>
                        <wps:cNvSpPr txBox="1">
                          <a:spLocks noChangeArrowheads="1"/>
                        </wps:cNvSpPr>
                        <wps:spPr bwMode="auto">
                          <a:xfrm rot="19716486">
                            <a:off x="3653790" y="1059180"/>
                            <a:ext cx="428897" cy="283029"/>
                          </a:xfrm>
                          <a:prstGeom prst="rect">
                            <a:avLst/>
                          </a:prstGeom>
                          <a:noFill/>
                          <a:ln w="9525">
                            <a:noFill/>
                            <a:miter lim="800000"/>
                            <a:headEnd/>
                            <a:tailEnd/>
                          </a:ln>
                        </wps:spPr>
                        <wps:txb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wps:txbx>
                        <wps:bodyPr rot="0" vert="horz" wrap="square" lIns="91440" tIns="45720" rIns="91440" bIns="45720" anchor="t" anchorCtr="0">
                          <a:noAutofit/>
                        </wps:bodyPr>
                      </wps:wsp>
                      <wps:wsp>
                        <wps:cNvPr id="1092698525" name="Text Box 2"/>
                        <wps:cNvSpPr txBox="1">
                          <a:spLocks noChangeArrowheads="1"/>
                        </wps:cNvSpPr>
                        <wps:spPr bwMode="auto">
                          <a:xfrm rot="20894763">
                            <a:off x="3653790" y="1322070"/>
                            <a:ext cx="481567" cy="283029"/>
                          </a:xfrm>
                          <a:prstGeom prst="rect">
                            <a:avLst/>
                          </a:prstGeom>
                          <a:noFill/>
                          <a:ln w="9525">
                            <a:noFill/>
                            <a:miter lim="800000"/>
                            <a:headEnd/>
                            <a:tailEnd/>
                          </a:ln>
                        </wps:spPr>
                        <wps:txb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wps:txbx>
                        <wps:bodyPr rot="0" vert="horz" wrap="square" lIns="91440" tIns="45720" rIns="91440" bIns="45720" anchor="t" anchorCtr="0">
                          <a:noAutofit/>
                        </wps:bodyPr>
                      </wps:wsp>
                      <wps:wsp>
                        <wps:cNvPr id="2073322478" name="Text Box 2"/>
                        <wps:cNvSpPr txBox="1">
                          <a:spLocks noChangeArrowheads="1"/>
                        </wps:cNvSpPr>
                        <wps:spPr bwMode="auto">
                          <a:xfrm rot="1218302">
                            <a:off x="3699511" y="1538744"/>
                            <a:ext cx="428625" cy="282575"/>
                          </a:xfrm>
                          <a:prstGeom prst="rect">
                            <a:avLst/>
                          </a:prstGeom>
                          <a:noFill/>
                          <a:ln w="9525">
                            <a:noFill/>
                            <a:miter lim="800000"/>
                            <a:headEnd/>
                            <a:tailEnd/>
                          </a:ln>
                        </wps:spPr>
                        <wps:txb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wps:txbx>
                        <wps:bodyPr rot="0" vert="horz" wrap="square" lIns="91440" tIns="45720" rIns="91440" bIns="45720" anchor="t" anchorCtr="0">
                          <a:noAutofit/>
                        </wps:bodyPr>
                      </wps:wsp>
                    </wpg:wgp>
                  </a:graphicData>
                </a:graphic>
              </wp:anchor>
            </w:drawing>
          </mc:Choice>
          <mc:Fallback>
            <w:pict>
              <v:group w14:anchorId="298228B3" id="Group 25" o:spid="_x0000_s1028" style="position:absolute;left:0;text-align:left;margin-left:385.05pt;margin-top:28.95pt;width:436.25pt;height:202.4pt;z-index:251703296;mso-position-horizontal:right;mso-position-horizontal-relative:margin" coordsize="55401,25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qVQYAADEnAAAOAAAAZHJzL2Uyb0RvYy54bWzsWl1v2zYUfR+w/yDovTVJiZJoxCm6tOsG&#10;dFuxdnun9WFrk0SNYmpnv36H1IftpGmbFIubJi3gSJZIXl6ee+65pE+ebevKe5/rrlTNwqdPie/l&#10;Taqyslkt/D/e/fgk8b3OyCaTlWryhX+Rd/6z0++/O9m085yptaqyXHvopOnmm3bhr41p57NZl67z&#10;WnZPVZs3eFgoXUuDW72aZVpu0HtdzRgh0WyjdNZqleZdh29f9A/9U9d/UeSp+a0outx41cKHbcZ9&#10;ave5tJ+z0xM5X2nZrst0MEPewopalg0Gnbp6IY30znV5pau6TLXqVGGepqqeqaIo09zNAbOh5NJs&#10;Xml13rq5rOabVTu5Ca695Kdbd5v++v6Vbt+2bzQ8sWlX8IW7s3PZFrq2f2Glt3Uuu5hclm+Nl+JL&#10;zkNCEyxyimeMxyRMBqema3j+Srt0/fITLWfjwLMDc6ab3kzY/UZ7ZQbMRTERgkQCy9vIGhhzbvMY&#10;tYtrm914jkzEdJzGhyfK4iAgt5roruW1E0UkdLvF7r5ssd+uZZs7DHXWEZPTOCUhZXDS4LQz1TSI&#10;FqXn3stqqTYeDXr/uWZnzQCQbt4BKyM6vKIq25+wBg77A06CMA4ACOAhFAGJ+hDbuZHwkGOpHF4Y&#10;Y7x34+QMOW91Z17lqvbsxcJf5o2ZjAvcQPL96864aMsG62X2F2ZS1BWC972svCcBI85+9Du8jaux&#10;Z9u0arwNDBfEGSNBPUUlDeyqW4Cqa1a+J6sVOC012g3aqarMfiyryrZ2/JSfVdrDaAtfpimsdIDD&#10;MAdv2jFfyG7dv5jhqncIQrvJHPusc5m9bDLPXLQAbwOa9K1pdZ75XpXDAnvl3jSyrD7nTdhQNacn&#10;CKBxudyVuajyfuq/5wVix8V0Pxu9WtrJ9MQIesECjfToOkMD+2KB6d+w7dDEts4dH9+w/dTIja8a&#10;M7Wvy0YNS2OzxW41zHZciaJ/f3RF7wDri6XKLhyinY8QbnvkN5HGECuB4CJiMeLhkF9c+N+KXwbi&#10;GGMiFDxKAN8+JG7ALNc0xIr11H2ZQe+CWOKYMhqLYPLWFLsTsYSfSSx/XiIWgPJqAgoZJYRfcd7k&#10;g13UfxGf0DAcQfXIJzZCwCyPfOII9Vo+uYtwI3HIIxolYiSnt0bLcrU23nOtkcWn6POo+HTYWY4d&#10;s7hIOIs+FHEQR3wIOMpix2XXR1s3mDPZ0UsFF0PIaWh4mJStBYdpzuhSNqsqt9bj9c9MbP0wH03T&#10;VfOxrHaQUQ7z+6dT2kca31k+25G/S3+Dsu9D9//Xl4QnnCaMQQj2ovydzXY/qK3H9mBo6w7PbPH1&#10;SPVd+1qlf3deo87WWPbcodgqJMjgnoBtuEHI2qYDD9lOlptfVAb5JM+NcnLtUvHCIsJYcE0GSRIR&#10;DxkkCQhzgXI9pDVk8k6GXgVxo6xKdIKtF5mCM+4a7D2pS4O6tyrrhZ8Q+896Rc4HLeiuhzDoB/gA&#10;7M12uXUV0OTRXtV4WvVlLspyXKyV/heCEiUuZO0/51JDXlY/N/CnQFKDR4y7CXnMcKP3nyz3n8gm&#10;RVcLHxq5vzwzTi5asxv1HH4vSmON3fHhcDPIqzugQ0FEAkJMwmOirvc/imJUprBkn1M5DehQG0VB&#10;xJO4X/VJCLJ7jsSpZHzwSERKJpQSzqfEfAwC7KHIRBDRMNpHIiP4z6HRIaitYOeOQ1CiDZsz4X1H&#10;4lRjPCKRcBbYPTKIueOl4pEUwYiM7SORRlEooCItElHJiQj7MS79TVAUhIZjgXcf0zMfBc+DhyJq&#10;6DiIY7vXcWwkCpFALBwAkSeU2s1AC0QWChD4NwZEtxW7U2cPWCdSiN0kCiH6j4fDPV1IeZLEIweG&#10;XLDApa+9dHzfOdAJ3Ufo4WSBRiHOPAL2VQhDAi7myWE+xnaSGGoUFDBhKL41LCaP+Xg42Yihtxjf&#10;Ozk9Xo1CsasYhclBkYIKOYjtsa6ThlzQKxn5vlcp05bsg5eGFEiM7JYzlP7xcvJQL5NEhHHUnzWP&#10;2+H7WAwYI/3G916KBpNG93kXkTq5+5ijkaOxugHWOIyPuns9lMyM2qJ3v1IJIiE4RRFleZEH2PG8&#10;nKIhbm0guQPlBL/KcSXoPdrRxuSwB/C1Y9GdsOB3We5cavgNmf3h1/692wLf/dLt9D8AAAD//wMA&#10;UEsDBBQABgAIAAAAIQAhbY633wAAAAcBAAAPAAAAZHJzL2Rvd25yZXYueG1sTI9Ba4NAFITvhf6H&#10;5RV6a1ZtjYn1GUJoewqBJoWS20ZfVOK+FXej5t93e2qPwwwz32SrSbdioN42hhHCWQCCuDBlwxXC&#10;1+H9aQHCOsWlag0Two0srPL7u0ylpRn5k4a9q4QvYZsqhNq5LpXSFjVpZWemI/be2fRaOS/7Spa9&#10;Gn25bmUUBHOpVcN+oVYdbWoqLvurRvgY1bh+Dt+G7eW8uR0P8e57GxLi48O0fgXhaHJ/YfjF9+iQ&#10;e6aTuXJpRYvgjziEOFmC8O4iiWIQJ4SXeZSAzDP5nz//AQAA//8DAFBLAQItABQABgAIAAAAIQC2&#10;gziS/gAAAOEBAAATAAAAAAAAAAAAAAAAAAAAAABbQ29udGVudF9UeXBlc10ueG1sUEsBAi0AFAAG&#10;AAgAAAAhADj9If/WAAAAlAEAAAsAAAAAAAAAAAAAAAAALwEAAF9yZWxzLy5yZWxzUEsBAi0AFAAG&#10;AAgAAAAhABHcVSpVBgAAMScAAA4AAAAAAAAAAAAAAAAALgIAAGRycy9lMm9Eb2MueG1sUEsBAi0A&#10;FAAGAAgAAAAhACFtjrffAAAABwEAAA8AAAAAAAAAAAAAAAAArwgAAGRycy9kb3ducmV2LnhtbFBL&#10;BQYAAAAABAAEAPMAAAC7CQAAAAA=&#10;">
                <v:group id="Group 21" o:spid="_x0000_s1029" style="position:absolute;top:2971;width:55401;height:22733" coordsize="55401,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JGAzAAAAOMAAAAPAAAAZHJzL2Rvd25yZXYueG1sRI9BS8NA&#10;EIXvgv9hGcGb3Y1iNLHbUoqKhyLYCuJtyE6T0OxsyK5J+u+dg+BxZt68977levadGmmIbWAL2cKA&#10;Iq6Ca7m28Hl4uXkEFROywy4wWThThPXq8mKJpQsTf9C4T7USE44lWmhS6kutY9WQx7gIPbHcjmHw&#10;mGQcau0GnMTcd/rWmFx7bFkSGuxp21B12v94C68TTpu77HncnY7b8/fh/v1rl5G111fz5glUojn9&#10;i/++35zUzx9MUZi8EAphkgXo1S8AAAD//wMAUEsBAi0AFAAGAAgAAAAhANvh9svuAAAAhQEAABMA&#10;AAAAAAAAAAAAAAAAAAAAAFtDb250ZW50X1R5cGVzXS54bWxQSwECLQAUAAYACAAAACEAWvQsW78A&#10;AAAVAQAACwAAAAAAAAAAAAAAAAAfAQAAX3JlbHMvLnJlbHNQSwECLQAUAAYACAAAACEA5FCRgMwA&#10;AADjAAAADwAAAAAAAAAAAAAAAAAHAgAAZHJzL2Rvd25yZXYueG1sUEsFBgAAAAADAAMAtwAAAAAD&#10;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30" type="#_x0000_t34" style="position:absolute;left:347;top:493;width:55054;height:2222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OoYyAAAAOMAAAAPAAAAZHJzL2Rvd25yZXYueG1sRE/NSsNA&#10;EL4XfIdlBG/tJqFdJHZbaqBQvVm9eBuzYxLMzsbspkl9+q5Q6HG+/1lvJ9uKE/W+cawhXSQgiEtn&#10;Gq40fLzv548gfEA22DomDWfysN3czdaYGzfyG52OoRIxhH2OGuoQulxKX9Zk0S9cRxy5b9dbDPHs&#10;K2l6HGO4bWWWJEpabDg21NhRUVP5cxyshmEsvobs+fxbHVD97V7Ua/FZKK0f7qfdE4hAU7iJr+6D&#10;ifPVKk2WaZal8P9TBEBuLgAAAP//AwBQSwECLQAUAAYACAAAACEA2+H2y+4AAACFAQAAEwAAAAAA&#10;AAAAAAAAAAAAAAAAW0NvbnRlbnRfVHlwZXNdLnhtbFBLAQItABQABgAIAAAAIQBa9CxbvwAAABUB&#10;AAALAAAAAAAAAAAAAAAAAB8BAABfcmVscy8ucmVsc1BLAQItABQABgAIAAAAIQD8hOoYyAAAAOMA&#10;AAAPAAAAAAAAAAAAAAAAAAcCAABkcnMvZG93bnJldi54bWxQSwUGAAAAAAMAAwC3AAAA/AIAAAAA&#10;" adj="-692" strokecolor="#4472c4 [3204]" strokeweight="1.5pt">
                    <v:stroke dashstyle="dash" joinstyle="round"/>
                  </v:shape>
                  <v:group id="Group 20" o:spid="_x0000_s1031" style="position:absolute;width:4956;height:22733" coordsize="4956,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IywAAAOIAAAAPAAAAZHJzL2Rvd25yZXYueG1sRI9Ba8JA&#10;FITvhf6H5RW81U0M2hpdRUSlBxHUQvH2yD6TYPZtyK5J/PduodDjMDPfMPNlbyrRUuNKywriYQSC&#10;OLO65FzB93n7/gnCeWSNlWVS8CAHy8XryxxTbTs+UnvyuQgQdikqKLyvUyldVpBBN7Q1cfCutjHo&#10;g2xyqRvsAtxUchRFE2mw5LBQYE3rgrLb6W4U7DrsVkm8afe36/pxOY8PP/uYlBq89asZCE+9/w//&#10;tb+0gmQ6nk5GH3ECv5fCHZCLJwAAAP//AwBQSwECLQAUAAYACAAAACEA2+H2y+4AAACFAQAAEwAA&#10;AAAAAAAAAAAAAAAAAAAAW0NvbnRlbnRfVHlwZXNdLnhtbFBLAQItABQABgAIAAAAIQBa9CxbvwAA&#10;ABUBAAALAAAAAAAAAAAAAAAAAB8BAABfcmVscy8ucmVsc1BLAQItABQABgAIAAAAIQDi1/+IywAA&#10;AOIAAAAPAAAAAAAAAAAAAAAAAAcCAABkcnMvZG93bnJldi54bWxQSwUGAAAAAAMAAwC3AAAA/wIA&#10;AAAA&#10;">
                    <v:shape id="Connector: Elbow 14" o:spid="_x0000_s1032" type="#_x0000_t34" style="position:absolute;width:4210;height:227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jIywAAAOMAAAAPAAAAZHJzL2Rvd25yZXYueG1sRI9Ba8JA&#10;EIXvBf/DMkJvdRMtpkZXEVEsxYtaUW9DdkyC2dmQ3Wr677sFwePMe++bN5NZaypxo8aVlhXEvQgE&#10;cWZ1ybmC7/3q7QOE88gaK8uk4JcczKadlwmm2t55S7edz0WAsEtRQeF9nUrpsoIMup6tiYN2sY1B&#10;H8Yml7rBe4CbSvajaCgNlhwuFFjToqDsuvsxCpbH8/txFTBns15/JZvycHL7g1Kv3XY+BuGp9U/z&#10;I/2pQ/0kiftxMhoM4P+nsAA5/QMAAP//AwBQSwECLQAUAAYACAAAACEA2+H2y+4AAACFAQAAEwAA&#10;AAAAAAAAAAAAAAAAAAAAW0NvbnRlbnRfVHlwZXNdLnhtbFBLAQItABQABgAIAAAAIQBa9CxbvwAA&#10;ABUBAAALAAAAAAAAAAAAAAAAAB8BAABfcmVscy8ucmVsc1BLAQItABQABgAIAAAAIQCCiYjIywAA&#10;AOMAAAAPAAAAAAAAAAAAAAAAAAcCAABkcnMvZG93bnJldi54bWxQSwUGAAAAAAMAAwC3AAAA/wIA&#10;AAAA&#10;" adj="-311" strokecolor="#4472c4 [3204]" strokeweight="1.5pt">
                      <v:stroke dashstyle="dash" joinstyle="round"/>
                    </v:shape>
                    <v:shapetype id="_x0000_t32" coordsize="21600,21600" o:spt="32" o:oned="t" path="m,l21600,21600e" filled="f">
                      <v:path arrowok="t" fillok="f" o:connecttype="none"/>
                      <o:lock v:ext="edit" shapetype="t"/>
                    </v:shapetype>
                    <v:shape id="Straight Arrow Connector 19" o:spid="_x0000_s1033" type="#_x0000_t32" style="position:absolute;left:3985;width:971;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FDygAAAOMAAAAPAAAAZHJzL2Rvd25yZXYueG1sRI9BS8NA&#10;EIXvgv9hGcFLsZuUNLax2yKC6NVYxeOQHbOh2dmQHdv037uC0OPMe/O+N5vd5Ht1pDF2gQ3k8wwU&#10;cRNsx62B/fvz3QpUFGSLfWAycKYIu+311QYrG078RsdaWpVCOFZowIkMldaxceQxzsNAnLTvMHqU&#10;NI6ttiOeUrjv9SLLSu2x40RwONCTo+ZQ//jEpf1iVi9n6+Lwgh9fn07ORS7G3N5Mjw+ghCa5mP+v&#10;X22qn90XyzIvV2v4+yktQG9/AQAA//8DAFBLAQItABQABgAIAAAAIQDb4fbL7gAAAIUBAAATAAAA&#10;AAAAAAAAAAAAAAAAAABbQ29udGVudF9UeXBlc10ueG1sUEsBAi0AFAAGAAgAAAAhAFr0LFu/AAAA&#10;FQEAAAsAAAAAAAAAAAAAAAAAHwEAAF9yZWxzLy5yZWxzUEsBAi0AFAAGAAgAAAAhAB7wsUPKAAAA&#10;4wAAAA8AAAAAAAAAAAAAAAAABwIAAGRycy9kb3ducmV2LnhtbFBLBQYAAAAAAwADALcAAAD+AgAA&#10;AAA=&#10;" strokecolor="#4472c4 [3204]" strokeweight=".5pt">
                      <v:stroke endarrow="block" joinstyle="miter"/>
                    </v:shape>
                  </v:group>
                </v:group>
                <v:shapetype id="_x0000_t202" coordsize="21600,21600" o:spt="202" path="m,l,21600r21600,l21600,xe">
                  <v:stroke joinstyle="miter"/>
                  <v:path gradientshapeok="t" o:connecttype="rect"/>
                </v:shapetype>
                <v:shape id="_x0000_s1034" type="#_x0000_t202" style="position:absolute;left:26022;width:4289;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WcygAAAOMAAAAPAAAAZHJzL2Rvd25yZXYueG1sRI/NS8NA&#10;EMXvgv/DMkJvdrfBSIzZFlGEnirWD/A2ZCcfmJ0N2bVJ/3vnIHiceW/e+021W/ygTjTFPrCFzdqA&#10;Iq6D67m18P72fF2AignZ4RCYLJwpwm57eVFh6cLMr3Q6plZJCMcSLXQpjaXWse7IY1yHkVi0Jkwe&#10;k4xTq92Es4T7QWfG3GqPPUtDhyM9dlR/H3+8hY9D8/V5Y17aJ5+Pc1iMZn+nrV1dLQ/3oBIt6d/8&#10;d713gm/yIt8UWSbQ8pMsQG9/AQAA//8DAFBLAQItABQABgAIAAAAIQDb4fbL7gAAAIUBAAATAAAA&#10;AAAAAAAAAAAAAAAAAABbQ29udGVudF9UeXBlc10ueG1sUEsBAi0AFAAGAAgAAAAhAFr0LFu/AAAA&#10;FQEAAAsAAAAAAAAAAAAAAAAAHwEAAF9yZWxzLy5yZWxzUEsBAi0AFAAGAAgAAAAhAGZv5ZzKAAAA&#10;4wAAAA8AAAAAAAAAAAAAAAAABwIAAGRycy9kb3ducmV2LnhtbFBLBQYAAAAAAwADALcAAAD+AgAA&#10;AAA=&#10;" filled="f" stroked="f">
                  <v:textbo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v:textbox>
                </v:shape>
                <v:shape id="_x0000_s1035" type="#_x0000_t202" style="position:absolute;left:35131;top:6365;width:4289;height:2831;rotation:-304001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0qnzAAAAOIAAAAPAAAAZHJzL2Rvd25yZXYueG1sRI9PS8NA&#10;FMTvgt9heYKX0m6UxKZpt8X4B3o1FdHba/aZDWbfxuzaRj+9Kwg9DjPzG2a1GW0nDjT41rGCq1kC&#10;grh2uuVGwfPucZqD8AFZY+eYFHyTh836/GyFhXZHfqJDFRoRIewLVGBC6AspfW3Iop+5njh6726w&#10;GKIcGqkHPEa47eR1ktxIiy3HBYM93RmqP6ovq0Ca14f7Mvt8q/bpy8Rl5aQrf0ipy4vxdgki0BhO&#10;4f/2VitYJIt8nmZ5Cn+X4h2Q618AAAD//wMAUEsBAi0AFAAGAAgAAAAhANvh9svuAAAAhQEAABMA&#10;AAAAAAAAAAAAAAAAAAAAAFtDb250ZW50X1R5cGVzXS54bWxQSwECLQAUAAYACAAAACEAWvQsW78A&#10;AAAVAQAACwAAAAAAAAAAAAAAAAAfAQAAX3JlbHMvLnJlbHNQSwECLQAUAAYACAAAACEA+xtKp8wA&#10;AADiAAAADwAAAAAAAAAAAAAAAAAHAgAAZHJzL2Rvd25yZXYueG1sUEsFBgAAAAADAAMAtwAAAAAD&#10;AAAAAA==&#10;" filled="f" stroked="f">
                  <v:textbo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v:textbox>
                </v:shape>
                <v:shape id="_x0000_s1036" type="#_x0000_t202" style="position:absolute;left:20202;top:7121;width:4289;height:2831;rotation:320705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koyQAAAOMAAAAPAAAAZHJzL2Rvd25yZXYueG1sRE9fS8Mw&#10;EH8X/A7hBF9kS7qxUeuyoYLgoA+6DfZ6Nrem2FxKk3X125uB4OP9/t9qM7pWDNSHxrOGbKpAEFfe&#10;NFxrOOzfJjmIEJENtp5Jww8F2Kxvb1ZYGH/hTxp2sRYphEOBGmyMXSFlqCw5DFPfESfu5HuHMZ19&#10;LU2PlxTuWjlTaikdNpwaLHb0aqn63p2dhuHjVM1LWc4ehnx7Ps5L+9W8jFrf343PTyAijfFf/Od+&#10;N2n+MldZphaLR7j+lACQ618AAAD//wMAUEsBAi0AFAAGAAgAAAAhANvh9svuAAAAhQEAABMAAAAA&#10;AAAAAAAAAAAAAAAAAFtDb250ZW50X1R5cGVzXS54bWxQSwECLQAUAAYACAAAACEAWvQsW78AAAAV&#10;AQAACwAAAAAAAAAAAAAAAAAfAQAAX3JlbHMvLnJlbHNQSwECLQAUAAYACAAAACEAW1gpKMkAAADj&#10;AAAADwAAAAAAAAAAAAAAAAAHAgAAZHJzL2Rvd25yZXYueG1sUEsFBgAAAAADAAMAtwAAAP0CAAAA&#10;AA==&#10;" filled="f" stroked="f">
                  <v:textbo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v:textbox>
                </v:shape>
                <v:shape id="_x0000_s1037" type="#_x0000_t202" style="position:absolute;left:16649;top:10096;width:4902;height:2830;rotation:205173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ytnxwAAAOMAAAAPAAAAZHJzL2Rvd25yZXYueG1sRE9fS8Mw&#10;EH8X/A7hBF/EJavYubpsTKEgPq3dPsDR3NpicylJtlU/vRGEPd7v/602kx3EmXzoHWuYzxQI4saZ&#10;nlsNh335+AIiRGSDg2PS8E0BNuvbmxUWxl24onMdW5FCOBSooYtxLKQMTUcWw8yNxIk7Om8xptO3&#10;0ni8pHA7yEypXFrsOTV0ONJ7R81XfbIaSvL4k8tMlg+H8nOqd9XpbVFpfX83bV9BRJriVfzv/jBp&#10;vnrOnvKFWubw91MCQK5/AQAA//8DAFBLAQItABQABgAIAAAAIQDb4fbL7gAAAIUBAAATAAAAAAAA&#10;AAAAAAAAAAAAAABbQ29udGVudF9UeXBlc10ueG1sUEsBAi0AFAAGAAgAAAAhAFr0LFu/AAAAFQEA&#10;AAsAAAAAAAAAAAAAAAAAHwEAAF9yZWxzLy5yZWxzUEsBAi0AFAAGAAgAAAAhADYzK2fHAAAA4wAA&#10;AA8AAAAAAAAAAAAAAAAABwIAAGRycy9kb3ducmV2LnhtbFBLBQYAAAAAAwADALcAAAD7AgAAAAA=&#10;" filled="f" stroked="f">
                  <v:textbo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v:textbox>
                </v:shape>
                <v:shape id="_x0000_s1038" type="#_x0000_t202" style="position:absolute;left:15811;top:12496;width:4901;height:2831;rotation:109107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2tzAAAAOIAAAAPAAAAZHJzL2Rvd25yZXYueG1sRI9BT8JA&#10;FITvJvyHzTPxJttFpFBZCDGh0aAHgQu3Z/fZNnTfNt2F1n/vmph4nMzMN5nlerCNuFLna8ca1DgB&#10;QVw4U3Op4XjY3s9B+IBssHFMGr7Jw3o1ulliZlzPH3Tdh1JECPsMNVQhtJmUvqjIoh+7ljh6X66z&#10;GKLsSmk67CPcNnKSJDNpsea4UGFLzxUV5/3Fatjmp9n7q8mHS2/fjqdHtVP54lPru9th8wQi0BD+&#10;w3/tF6NhOlXpQ5rOFfxeindArn4AAAD//wMAUEsBAi0AFAAGAAgAAAAhANvh9svuAAAAhQEAABMA&#10;AAAAAAAAAAAAAAAAAAAAAFtDb250ZW50X1R5cGVzXS54bWxQSwECLQAUAAYACAAAACEAWvQsW78A&#10;AAAVAQAACwAAAAAAAAAAAAAAAAAfAQAAX3JlbHMvLnJlbHNQSwECLQAUAAYACAAAACEArVQNrcwA&#10;AADiAAAADwAAAAAAAAAAAAAAAAAHAgAAZHJzL2Rvd25yZXYueG1sUEsFBgAAAAADAAMAtwAAAAAD&#10;AAAAAA==&#10;" filled="f" stroked="f">
                  <v:textbo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v:textbox>
                </v:shape>
                <v:shape id="_x0000_s1039" type="#_x0000_t202" style="position:absolute;left:15887;top:14592;width:4902;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pCxQAAAOEAAAAPAAAAZHJzL2Rvd25yZXYueG1sRE9ba8Iw&#10;FH4f+B/CEfY2E8XbqmkRZbAnx7op7O3QHNtic1KazHb/fhEGe/z47ttssI24UedrxxqmEwWCuHCm&#10;5lLD58fL0xqED8gGG8ek4Yc8ZOnoYYuJcT2/0y0PpYgh7BPUUIXQJlL6oiKLfuJa4shdXGcxRNiV&#10;0nTYx3DbyJlSS2mx5thQYUv7iopr/m01nI6Xr/NcvZUHu2h7NyjJ9llq/TgedhsQgYbwL/5zv5o4&#10;f7GarZfzFdwfRQgy/QUAAP//AwBQSwECLQAUAAYACAAAACEA2+H2y+4AAACFAQAAEwAAAAAAAAAA&#10;AAAAAAAAAAAAW0NvbnRlbnRfVHlwZXNdLnhtbFBLAQItABQABgAIAAAAIQBa9CxbvwAAABUBAAAL&#10;AAAAAAAAAAAAAAAAAB8BAABfcmVscy8ucmVsc1BLAQItABQABgAIAAAAIQDkhypCxQAAAOEAAAAP&#10;AAAAAAAAAAAAAAAAAAcCAABkcnMvZG93bnJldi54bWxQSwUGAAAAAAMAAwC3AAAA+QIAAAAA&#10;" filled="f" stroked="f">
                  <v:textbo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v:textbox>
                </v:shape>
                <v:shape id="_x0000_s1040" type="#_x0000_t202" style="position:absolute;left:15619;top:16744;width:4901;height:2831;rotation:-89393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7nNyQAAAOMAAAAPAAAAZHJzL2Rvd25yZXYueG1sRE/NTsJA&#10;EL6b+A6bMeFiYGuxRCsLAdEEjgIXbkN3bBu7s2V3LYWnd01MPM73P9N5bxrRkfO1ZQUPowQEcWF1&#10;zaWC/e59+ATCB2SNjWVScCEP89ntzRRzbc/8Qd02lCKGsM9RQRVCm0vpi4oM+pFtiSP3aZ3BEE9X&#10;Su3wHMNNI9MkmUiDNceGClt6raj42n4bBffLI246zLRr94fTYXxcrTZvV6UGd/3iBUSgPvyL/9xr&#10;HedPHtMsGafZM/z+FAGQsx8AAAD//wMAUEsBAi0AFAAGAAgAAAAhANvh9svuAAAAhQEAABMAAAAA&#10;AAAAAAAAAAAAAAAAAFtDb250ZW50X1R5cGVzXS54bWxQSwECLQAUAAYACAAAACEAWvQsW78AAAAV&#10;AQAACwAAAAAAAAAAAAAAAAAfAQAAX3JlbHMvLnJlbHNQSwECLQAUAAYACAAAACEAMeO5zckAAADj&#10;AAAADwAAAAAAAAAAAAAAAAAHAgAAZHJzL2Rvd25yZXYueG1sUEsFBgAAAAADAAMAtwAAAP0CAAAA&#10;AA==&#10;" filled="f" stroked="f">
                  <v:textbo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v:textbox>
                </v:shape>
                <v:shape id="_x0000_s1041" type="#_x0000_t202" style="position:absolute;left:36537;top:10591;width:4289;height:2831;rotation:-205730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t8xwAAAOIAAAAPAAAAZHJzL2Rvd25yZXYueG1sRI9NasMw&#10;EIX3hd5BTCG7Roohbu1aCSFQCG43dXOAwZraJtbISGrs3D5aFLp8vD++ar/YUVzJh8Gxhs1agSBu&#10;nRm403D+fn9+BREissHRMWm4UYD97vGhwtK4mb/o2sROpBEOJWroY5xKKUPbk8WwdhNx8n6ctxiT&#10;9J00Huc0bkeZKZVLiwOnhx4nOvbUXppfq8Et9WHLuanr4WM++8+jbUKeab16Wg5vICIt8T/81z4Z&#10;DS9KFdk2LxJEQko4IHd3AAAA//8DAFBLAQItABQABgAIAAAAIQDb4fbL7gAAAIUBAAATAAAAAAAA&#10;AAAAAAAAAAAAAABbQ29udGVudF9UeXBlc10ueG1sUEsBAi0AFAAGAAgAAAAhAFr0LFu/AAAAFQEA&#10;AAsAAAAAAAAAAAAAAAAAHwEAAF9yZWxzLy5yZWxzUEsBAi0AFAAGAAgAAAAhAJUg23zHAAAA4gAA&#10;AA8AAAAAAAAAAAAAAAAABwIAAGRycy9kb3ducmV2LnhtbFBLBQYAAAAAAwADALcAAAD7AgAAAAA=&#10;" filled="f" stroked="f">
                  <v:textbo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v:textbox>
                </v:shape>
                <v:shape id="_x0000_s1042" type="#_x0000_t202" style="position:absolute;left:36537;top:13220;width:4816;height:2830;rotation:-77030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sH7xwAAAOMAAAAPAAAAZHJzL2Rvd25yZXYueG1sRE9fa8Iw&#10;EH8X9h3CCXvT1A6Ldo0iG8PBXrTuAxzNtQ02l9LE2n37ZTDw8X7/r9hPthMjDd44VrBaJiCIK6cN&#10;Nwq+Lx+LDQgfkDV2jknBD3nY755mBeba3flMYxkaEUPY56igDaHPpfRVSxb90vXEkavdYDHEc2ik&#10;HvAew20n0yTJpEXDsaHFnt5aqq7lzSq4vN9O56+VO5YHM3alcS91hkelnufT4RVEoCk8xP/uTx3n&#10;J9s0227W6Rr+fooAyN0vAAAA//8DAFBLAQItABQABgAIAAAAIQDb4fbL7gAAAIUBAAATAAAAAAAA&#10;AAAAAAAAAAAAAABbQ29udGVudF9UeXBlc10ueG1sUEsBAi0AFAAGAAgAAAAhAFr0LFu/AAAAFQEA&#10;AAsAAAAAAAAAAAAAAAAAHwEAAF9yZWxzLy5yZWxzUEsBAi0AFAAGAAgAAAAhADRywfvHAAAA4wAA&#10;AA8AAAAAAAAAAAAAAAAABwIAAGRycy9kb3ducmV2LnhtbFBLBQYAAAAAAwADALcAAAD7AgAAAAA=&#10;" filled="f" stroked="f">
                  <v:textbo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v:textbox>
                </v:shape>
                <v:shape id="_x0000_s1043" type="#_x0000_t202" style="position:absolute;left:36995;top:15387;width:4286;height:2826;rotation:133071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aTyQAAAOMAAAAPAAAAZHJzL2Rvd25yZXYueG1sRE/LasJA&#10;FN0X+g/DLXRT6qSj+IiOIlJFBBf1AS4vmWsSmrkTMqOJf+8sCl0eznu26Gwl7tT40rGGr14Cgjhz&#10;puRcw+m4/hyD8AHZYOWYNDzIw2L++jLD1LiWf+h+CLmIIexT1FCEUKdS+qwgi77nauLIXV1jMUTY&#10;5NI02MZwW0mVJENpseTYUGBNq4Ky38PNathNuut6v6/k5fE9UXZzvmXYfmj9/tYtpyACdeFf/Ofe&#10;Gg0qGfX7Sg1GcXT8FP+AnD8BAAD//wMAUEsBAi0AFAAGAAgAAAAhANvh9svuAAAAhQEAABMAAAAA&#10;AAAAAAAAAAAAAAAAAFtDb250ZW50X1R5cGVzXS54bWxQSwECLQAUAAYACAAAACEAWvQsW78AAAAV&#10;AQAACwAAAAAAAAAAAAAAAAAfAQAAX3JlbHMvLnJlbHNQSwECLQAUAAYACAAAACEAYOW2k8kAAADj&#10;AAAADwAAAAAAAAAAAAAAAAAHAgAAZHJzL2Rvd25yZXYueG1sUEsFBgAAAAADAAMAtwAAAP0CAAAA&#10;AA==&#10;" filled="f" stroked="f">
                  <v:textbo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v:textbox>
                </v:shape>
                <w10:wrap anchorx="margin"/>
              </v:group>
            </w:pict>
          </mc:Fallback>
        </mc:AlternateContent>
      </w:r>
      <w:r w:rsidR="00863B90" w:rsidRPr="003D1437">
        <w:rPr>
          <w:rFonts w:hint="cs"/>
          <w:noProof/>
          <w:rtl/>
          <w:lang w:val="ar-SA"/>
        </w:rPr>
        <w:t>1.6</w:t>
      </w:r>
      <w:r w:rsidR="00B57595" w:rsidRPr="003D1437">
        <w:rPr>
          <w:rFonts w:hint="cs"/>
          <w:rtl/>
        </w:rPr>
        <w:t xml:space="preserve"> نموذج الدراسة</w:t>
      </w:r>
      <w:r w:rsidR="00472EF4" w:rsidRPr="003D1437">
        <w:t>:</w:t>
      </w:r>
      <w:bookmarkEnd w:id="26"/>
      <w:bookmarkEnd w:id="27"/>
      <w:r w:rsidR="004B56CC" w:rsidRPr="003D1437">
        <w:rPr>
          <w:noProof/>
        </w:rPr>
        <w:t xml:space="preserve"> </w:t>
      </w:r>
    </w:p>
    <w:p w14:paraId="553E8846" w14:textId="434BEE93" w:rsidR="00B57595" w:rsidRPr="003D1437" w:rsidRDefault="00997077" w:rsidP="00B57595">
      <w:pPr>
        <w:bidi/>
        <w:jc w:val="lowKashida"/>
        <w:rPr>
          <w:rFonts w:ascii="Traditional Arabic" w:hAnsi="Traditional Arabic" w:cs="Traditional Arabic"/>
          <w:sz w:val="28"/>
          <w:szCs w:val="28"/>
          <w:rtl/>
        </w:rPr>
      </w:pPr>
      <w:r w:rsidRPr="003D1437">
        <w:rPr>
          <w:noProof/>
        </w:rPr>
        <mc:AlternateContent>
          <mc:Choice Requires="wps">
            <w:drawing>
              <wp:anchor distT="45720" distB="45720" distL="114300" distR="114300" simplePos="0" relativeHeight="251685888" behindDoc="0" locked="0" layoutInCell="1" allowOverlap="1" wp14:anchorId="32F8AE13" wp14:editId="1A7C21FC">
                <wp:simplePos x="0" y="0"/>
                <wp:positionH relativeFrom="column">
                  <wp:posOffset>2905760</wp:posOffset>
                </wp:positionH>
                <wp:positionV relativeFrom="paragraph">
                  <wp:posOffset>2002155</wp:posOffset>
                </wp:positionV>
                <wp:extent cx="420159" cy="283029"/>
                <wp:effectExtent l="0" t="0" r="0" b="3175"/>
                <wp:wrapNone/>
                <wp:docPr id="1999460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159" cy="283029"/>
                        </a:xfrm>
                        <a:prstGeom prst="rect">
                          <a:avLst/>
                        </a:prstGeom>
                        <a:noFill/>
                        <a:ln w="9525">
                          <a:noFill/>
                          <a:miter lim="800000"/>
                          <a:headEnd/>
                          <a:tailEnd/>
                        </a:ln>
                      </wps:spPr>
                      <wps:txb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8AE13" id="Text Box 2" o:spid="_x0000_s1044" type="#_x0000_t202" style="position:absolute;left:0;text-align:left;margin-left:228.8pt;margin-top:157.65pt;width:33.1pt;height:22.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TYi+wEAANQDAAAOAAAAZHJzL2Uyb0RvYy54bWysU9uO0zAQfUfiHyy/06ShhTZqulp2WYS0&#10;XKSFD5g6TmNhe4ztNlm+nrHT7VbwhsiDZXsyZ+acOd5cjUazo/RBoW34fFZyJq3AVtl9w79/u3u1&#10;4ixEsC1otLLhjzLwq+3LF5vB1bLCHnUrPSMQG+rBNbyP0dVFEUQvDYQZOmkp2KE3EOno90XrYSB0&#10;o4uqLN8UA/rWeRQyBLq9nYJ8m/G7Tor4peuCjEw3nHqLefV53aW12G6g3ntwvRKnNuAfujCgLBU9&#10;Q91CBHbw6i8oo4THgF2cCTQFdp0SMnMgNvPyDzYPPTiZuZA4wZ1lCv8PVnw+PrivnsXxHY40wEwi&#10;uHsUPwKzeNOD3ctr73HoJbRUeJ4kKwYX6lNqkjrUIYHshk/Y0pDhEDEDjZ03SRXiyQidBvB4Fl2O&#10;kQm6XBDx5ZozQaFq9bqs1rkC1E/Jzof4QaJhadNwTzPN4HC8DzE1A/XTL6mWxTuldZ6rtmxo+HpZ&#10;LXPCRcSoSLbTyjR8VaZvMkLi+N62OTmC0tOeCmh7Ip14TozjuBuZakmRKiUnEXbYPpIMHieb0bOg&#10;TY/+F2cDWazh4ecBvORMf7Qk5Xq+WCRP5sNi+baig7+M7C4jYAVBNTxyNm1vYvbxxPmaJO9UluO5&#10;k1PPZJ2s0snmyZuX5/zX82Pc/gYAAP//AwBQSwMEFAAGAAgAAAAhAJVP2OffAAAACwEAAA8AAABk&#10;cnMvZG93bnJldi54bWxMj01PwzAMhu9I/IfISNxYsnUZtDSdEIgriPEhccsar61onKrJ1vLvMSc4&#10;2n70+nnL7ex7ccIxdoEMLBcKBFIdXEeNgbfXx6sbEDFZcrYPhAa+McK2Oj8rbeHCRC942qVGcAjF&#10;whpoUxoKKWPdordxEQYkvh3C6G3icWykG+3E4b6XK6U20tuO+ENrB7xvsf7aHb2B96fD58daPTcP&#10;Xg9TmJUkn0tjLi/mu1sQCef0B8OvPqtDxU77cCQXRW9gra83jBrIljoDwYReZVxmzxud5yCrUv7v&#10;UP0AAAD//wMAUEsBAi0AFAAGAAgAAAAhALaDOJL+AAAA4QEAABMAAAAAAAAAAAAAAAAAAAAAAFtD&#10;b250ZW50X1R5cGVzXS54bWxQSwECLQAUAAYACAAAACEAOP0h/9YAAACUAQAACwAAAAAAAAAAAAAA&#10;AAAvAQAAX3JlbHMvLnJlbHNQSwECLQAUAAYACAAAACEAzcE2IvsBAADUAwAADgAAAAAAAAAAAAAA&#10;AAAuAgAAZHJzL2Uyb0RvYy54bWxQSwECLQAUAAYACAAAACEAlU/Y598AAAALAQAADwAAAAAAAAAA&#10;AAAAAABVBAAAZHJzL2Rvd25yZXYueG1sUEsFBgAAAAAEAAQA8wAAAGEFAAAAAA==&#10;" filled="f" stroked="f">
                <v:textbo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v:textbox>
              </v:shape>
            </w:pict>
          </mc:Fallback>
        </mc:AlternateContent>
      </w:r>
      <w:r w:rsidRPr="003D1437">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683C4512" wp14:editId="3F46C3C0">
                <wp:simplePos x="0" y="0"/>
                <wp:positionH relativeFrom="column">
                  <wp:posOffset>1714500</wp:posOffset>
                </wp:positionH>
                <wp:positionV relativeFrom="paragraph">
                  <wp:posOffset>1739900</wp:posOffset>
                </wp:positionV>
                <wp:extent cx="790575" cy="180975"/>
                <wp:effectExtent l="38100" t="0" r="28575" b="85725"/>
                <wp:wrapNone/>
                <wp:docPr id="617375571" name="Straight Arrow Connector 2"/>
                <wp:cNvGraphicFramePr/>
                <a:graphic xmlns:a="http://schemas.openxmlformats.org/drawingml/2006/main">
                  <a:graphicData uri="http://schemas.microsoft.com/office/word/2010/wordprocessingShape">
                    <wps:wsp>
                      <wps:cNvCnPr/>
                      <wps:spPr>
                        <a:xfrm flipH="1">
                          <a:off x="0" y="0"/>
                          <a:ext cx="7905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59302" id="Straight Arrow Connector 2" o:spid="_x0000_s1026" type="#_x0000_t32" style="position:absolute;margin-left:135pt;margin-top:137pt;width:62.25pt;height:14.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OSZxAEAANkDAAAOAAAAZHJzL2Uyb0RvYy54bWysU9tu1DAQfUfiHyy/s8lWKm2jzfZhy+UB&#10;QUXhA1xnnFjyTfawSf6esbObIkBIrXgZOfacM2fOTHa3kzXsCDFp71q+3dScgZO+065v+fdv799c&#10;c5ZQuE4Y76DlMyR+u3/9ajeGBi784E0HkRGJS80YWj4ghqaqkhzAirTxARw9Kh+tQPqMfdVFMRK7&#10;NdVFXb+tRh+7EL2ElOj2bnnk+8KvFEj8olQCZKblpA1LjCU+5ljtd6LpowiDlicZ4gUqrNCOiq5U&#10;dwIF+xH1H1RWy+iTV7iR3lZeKS2h9EDdbOvfunkYRIDSC5mTwmpT+n+08vPx4O4j2TCG1KRwH3MX&#10;k4qWKaPDR5pp6YuUsqnYNq+2wYRM0uXVTX15dcmZpKftdX1DZ+KrFppMF2LCD+Aty4eWJ4xC9wMe&#10;vHM0IB+XEuL4KeECPAMy2LgcUWjzznUM50BbhFEL1xs41ckp1ZP+csLZwAL/CorpjnQuZcpqwcFE&#10;dhS0FEJKcLhdmSg7w5Q2ZgXWxYJ/Ak/5GQpl7Z4DXhGlsne4gq12Pv6tOk5nyWrJPzuw9J0tePTd&#10;XCZbrKH9KTM57Xpe0F+/C/zpj9z/BAAA//8DAFBLAwQUAAYACAAAACEA7VAIqOAAAAALAQAADwAA&#10;AGRycy9kb3ducmV2LnhtbEyPzU7DMBCE70i8g7VI3KhNaKEJcSp+mgM9IFEQ4ujESxKI11HstuHt&#10;2Z7g9o12NDuTrybXiz2OofOk4XKmQCDV3nbUaHh7LS+WIEI0ZE3vCTX8YIBVcXqSm8z6A73gfhsb&#10;wSEUMqOhjXHIpAx1i86EmR+Q+PbpR2ciy7GRdjQHDne9TJS6ls50xB9aM+BDi/X3duc45am8T9df&#10;zx/LzePGvVela9ap0/r8bLq7BRFxin9mONbn6lBwp8rvyAbRa0huFG+JR5gzsOMqnS9AVAwqWYAs&#10;cvl/Q/ELAAD//wMAUEsBAi0AFAAGAAgAAAAhALaDOJL+AAAA4QEAABMAAAAAAAAAAAAAAAAAAAAA&#10;AFtDb250ZW50X1R5cGVzXS54bWxQSwECLQAUAAYACAAAACEAOP0h/9YAAACUAQAACwAAAAAAAAAA&#10;AAAAAAAvAQAAX3JlbHMvLnJlbHNQSwECLQAUAAYACAAAACEAwsTkmcQBAADZAwAADgAAAAAAAAAA&#10;AAAAAAAuAgAAZHJzL2Uyb0RvYy54bWxQSwECLQAUAAYACAAAACEA7VAIqOAAAAALAQAADwAAAAAA&#10;AAAAAAAAAAAeBAAAZHJzL2Rvd25yZXYueG1sUEsFBgAAAAAEAAQA8wAAACsFAAAAAA==&#10;" strokecolor="#4472c4 [3204]" strokeweight=".5pt">
                <v:stroke endarrow="block" joinstyle="miter"/>
              </v:shape>
            </w:pict>
          </mc:Fallback>
        </mc:AlternateContent>
      </w:r>
      <w:r w:rsidRPr="003D1437">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79A35390" wp14:editId="351BA67A">
                <wp:simplePos x="0" y="0"/>
                <wp:positionH relativeFrom="column">
                  <wp:posOffset>1741249</wp:posOffset>
                </wp:positionH>
                <wp:positionV relativeFrom="paragraph">
                  <wp:posOffset>1654175</wp:posOffset>
                </wp:positionV>
                <wp:extent cx="782875" cy="45719"/>
                <wp:effectExtent l="38100" t="38100" r="17780" b="88265"/>
                <wp:wrapNone/>
                <wp:docPr id="2135852674" name="Straight Arrow Connector 2"/>
                <wp:cNvGraphicFramePr/>
                <a:graphic xmlns:a="http://schemas.openxmlformats.org/drawingml/2006/main">
                  <a:graphicData uri="http://schemas.microsoft.com/office/word/2010/wordprocessingShape">
                    <wps:wsp>
                      <wps:cNvCnPr/>
                      <wps:spPr>
                        <a:xfrm flipH="1">
                          <a:off x="0" y="0"/>
                          <a:ext cx="7828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EBD0BE" id="Straight Arrow Connector 2" o:spid="_x0000_s1026" type="#_x0000_t32" style="position:absolute;margin-left:137.1pt;margin-top:130.25pt;width:61.65pt;height:3.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m8rxAEAANgDAAAOAAAAZHJzL2Uyb0RvYy54bWysU9uO0zAQfUfiHyy/06QVS0vUdB+6XB4Q&#10;rBb4AK8zTiz5Jntomr9n7LRZBAgJxMvIseecOXNmsr89W8NOEJP2ruXrVc0ZOOk77fqWf/3y9sWO&#10;s4TCdcJ4By2fIPHbw/Nn+zE0sPGDNx1ERiQuNWNo+YAYmqpKcgAr0soHcPSofLQC6TP2VRfFSOzW&#10;VJu6flWNPnYhegkp0e3d/MgPhV8pkPhJqQTITMtJG5YYS3zMsTrsRdNHEQYtLzLEP6iwQjsqulDd&#10;CRTsW9S/UFkto09e4Up6W3mltITSA3Wzrn/q5vMgApReyJwUFpvS/6OVH09Hdx/JhjGkJoX7mLs4&#10;q2iZMjq8p5mWvkgpOxfbpsU2OCOTdLndbXbbG84kPb282a5fZ1ermSWzhZjwHXjL8qHlCaPQ/YBH&#10;7xzNx8e5gjh9SDgDr4AMNi5HFNq8cR3DKdASYdTC9QYudXJK9SS/nHAyMMMfQDHdkcy5TNksOJrI&#10;ToJ2QkgJDtcLE2VnmNLGLMC6OPBH4CU/Q6Fs3d+AF0Sp7B0uYKudj7+rjuerZDXnXx2Y+84WPPpu&#10;KoMt1tD6lJlcVj3v54/fBf70Qx6+AwAA//8DAFBLAwQUAAYACAAAACEA2Ce3yeEAAAALAQAADwAA&#10;AGRycy9kb3ducmV2LnhtbEyPzU7DMBCE70i8g7VI3KhDgKYJcSp+mgM9ILVFiKMTL0kgXkex24a3&#10;Z3uC2+zOaPbbfDnZXhxw9J0jBdezCARS7UxHjYK3XXm1AOGDJqN7R6jgBz0si/OzXGfGHWmDh21o&#10;BJeQz7SCNoQhk9LXLVrtZ25AYu/TjVYHHsdGmlEfudz2Mo6iubS6I77Q6gGfWqy/t3vLLS/lY7r6&#10;ev1YrJ/X9r0qbbNKrVKXF9PDPYiAU/gLwwmf0aFgpsrtyXjRK4iT25ijLObRHQhO3KQJi+q0SRKQ&#10;RS7//1D8AgAA//8DAFBLAQItABQABgAIAAAAIQC2gziS/gAAAOEBAAATAAAAAAAAAAAAAAAAAAAA&#10;AABbQ29udGVudF9UeXBlc10ueG1sUEsBAi0AFAAGAAgAAAAhADj9If/WAAAAlAEAAAsAAAAAAAAA&#10;AAAAAAAALwEAAF9yZWxzLy5yZWxzUEsBAi0AFAAGAAgAAAAhAEGubyvEAQAA2AMAAA4AAAAAAAAA&#10;AAAAAAAALgIAAGRycy9lMm9Eb2MueG1sUEsBAi0AFAAGAAgAAAAhANgnt8nhAAAACwEAAA8AAAAA&#10;AAAAAAAAAAAAHgQAAGRycy9kb3ducmV2LnhtbFBLBQYAAAAABAAEAPMAAAAsBQAAAAA=&#10;" strokecolor="#4472c4 [3204]" strokeweight=".5pt">
                <v:stroke endarrow="block" joinstyle="miter"/>
              </v:shape>
            </w:pict>
          </mc:Fallback>
        </mc:AlternateContent>
      </w:r>
      <w:r w:rsidRPr="003D1437">
        <w:rPr>
          <w:rFonts w:ascii="Traditional Arabic" w:hAnsi="Traditional Arabic" w:cs="Traditional Arabic"/>
          <w:noProof/>
          <w:sz w:val="28"/>
          <w:szCs w:val="28"/>
        </w:rPr>
        <mc:AlternateContent>
          <mc:Choice Requires="wps">
            <w:drawing>
              <wp:anchor distT="0" distB="0" distL="114300" distR="114300" simplePos="0" relativeHeight="251659264" behindDoc="0" locked="0" layoutInCell="1" allowOverlap="1" wp14:anchorId="63BD2CDA" wp14:editId="530C43AF">
                <wp:simplePos x="0" y="0"/>
                <wp:positionH relativeFrom="column">
                  <wp:posOffset>3695699</wp:posOffset>
                </wp:positionH>
                <wp:positionV relativeFrom="paragraph">
                  <wp:posOffset>1701800</wp:posOffset>
                </wp:positionV>
                <wp:extent cx="742950" cy="85725"/>
                <wp:effectExtent l="0" t="57150" r="19050" b="28575"/>
                <wp:wrapNone/>
                <wp:docPr id="452808467" name="Straight Arrow Connector 1"/>
                <wp:cNvGraphicFramePr/>
                <a:graphic xmlns:a="http://schemas.openxmlformats.org/drawingml/2006/main">
                  <a:graphicData uri="http://schemas.microsoft.com/office/word/2010/wordprocessingShape">
                    <wps:wsp>
                      <wps:cNvCnPr/>
                      <wps:spPr>
                        <a:xfrm flipH="1" flipV="1">
                          <a:off x="0" y="0"/>
                          <a:ext cx="74295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1B198" id="Straight Arrow Connector 1" o:spid="_x0000_s1026" type="#_x0000_t32" style="position:absolute;margin-left:291pt;margin-top:134pt;width:58.5pt;height:6.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pyAEAAOIDAAAOAAAAZHJzL2Uyb0RvYy54bWysU02P1DAMvSPxH6Lcmc6MGHapprOHWT4O&#10;CFbAcs+mThspX0rMtP33OOlMFwFCWsTFcmO/Z/vZ3d+M1rATxKS9a/hmteYMnPStdl3D77++fXHN&#10;WULhWmG8g4ZPkPjN4fmz/RBq2PremxYiIxKX6iE0vEcMdVUl2YMVaeUDOAoqH61A+oxd1UYxELs1&#10;1Xa9flUNPrYhegkp0evtHOSHwq8USPykVAJkpuHUGxYbi33ItjrsRd1FEXotz22If+jCCu2o6EJ1&#10;K1Cw71H/RmW1jD55hSvpbeWV0hLKDDTNZv3LNF96EaDMQuKksMiU/h+t/Hg6urtIMgwh1SncxTzF&#10;qKJlyujwnnbKi/ctezlGPbOxCDgtAsKITNLj1cvt6x3JLCl0vbva7rK+1cyXsSEmfAfesuw0PGEU&#10;uuvx6J2jTfk4VxCnDwln4AWQwcZli0KbN65lOAU6J4xauM7AuU5OqR4HKR5OBmb4Z1BMt9TmXKbc&#10;GBxNZCdB1yGkBIebhYmyM0xpYxbguijwV+A5P0Oh3N9TwAuiVPYOF7DVzsc/Vcfx0rKa8y8KzHNn&#10;CR58O5UVF2nokMpOzkefL/Xn7wJ//DUPPwAAAP//AwBQSwMEFAAGAAgAAAAhALUP9nXfAAAACwEA&#10;AA8AAABkcnMvZG93bnJldi54bWxMj0FPg0AQhe8m/ofNmHizS0lAFlkaQ2yiN63+gCmsgLKzlF1a&#10;7K93PNnbm5mXN98rNosdxNFMvnekYb2KQBiqXdNTq+HjfXuXgfABqcHBkdHwYzxsyuurAvPGnejN&#10;HHehFRxCPkcNXQhjLqWvO2PRr9xoiG+fbrIYeJxa2Ux44nA7yDiKUmmxJ/7Q4WiqztTfu9lqOCzV&#10;19NZ4fb59f58eOkrNVeJ0vr2Znl8ABHMEv7N8IfP6FAy097N1HgxaEiymLsEDXGasWBHqhSLPW+y&#10;dQKyLORlh/IXAAD//wMAUEsBAi0AFAAGAAgAAAAhALaDOJL+AAAA4QEAABMAAAAAAAAAAAAAAAAA&#10;AAAAAFtDb250ZW50X1R5cGVzXS54bWxQSwECLQAUAAYACAAAACEAOP0h/9YAAACUAQAACwAAAAAA&#10;AAAAAAAAAAAvAQAAX3JlbHMvLnJlbHNQSwECLQAUAAYACAAAACEAfnBNqcgBAADiAwAADgAAAAAA&#10;AAAAAAAAAAAuAgAAZHJzL2Uyb0RvYy54bWxQSwECLQAUAAYACAAAACEAtQ/2dd8AAAALAQAADwAA&#10;AAAAAAAAAAAAAAAiBAAAZHJzL2Rvd25yZXYueG1sUEsFBgAAAAAEAAQA8wAAAC4FAAAAAA==&#10;" strokecolor="#4472c4 [3204]" strokeweight=".5pt">
                <v:stroke endarrow="block" joinstyle="miter"/>
              </v:shape>
            </w:pict>
          </mc:Fallback>
        </mc:AlternateContent>
      </w:r>
      <w:r w:rsidR="004054CA" w:rsidRPr="003D1437">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410AD3E4" wp14:editId="16374349">
                <wp:simplePos x="0" y="0"/>
                <wp:positionH relativeFrom="column">
                  <wp:posOffset>2017395</wp:posOffset>
                </wp:positionH>
                <wp:positionV relativeFrom="paragraph">
                  <wp:posOffset>128905</wp:posOffset>
                </wp:positionV>
                <wp:extent cx="2338070" cy="327660"/>
                <wp:effectExtent l="0" t="0" r="5080" b="0"/>
                <wp:wrapNone/>
                <wp:docPr id="1891530856" name="Arrow: Right 9"/>
                <wp:cNvGraphicFramePr/>
                <a:graphic xmlns:a="http://schemas.openxmlformats.org/drawingml/2006/main">
                  <a:graphicData uri="http://schemas.microsoft.com/office/word/2010/wordprocessingShape">
                    <wps:wsp>
                      <wps:cNvSpPr/>
                      <wps:spPr>
                        <a:xfrm rot="10800000">
                          <a:off x="0" y="0"/>
                          <a:ext cx="2338070" cy="327660"/>
                        </a:xfrm>
                        <a:prstGeom prst="rightArrow">
                          <a:avLst>
                            <a:gd name="adj1" fmla="val 60734"/>
                            <a:gd name="adj2" fmla="val 50000"/>
                          </a:avLst>
                        </a:prstGeom>
                        <a:solidFill>
                          <a:srgbClr val="B0BCD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5026D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58.85pt;margin-top:10.15pt;width:184.1pt;height:25.8pt;rotation:18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c4tQIAAMUFAAAOAAAAZHJzL2Uyb0RvYy54bWysVE1v2zAMvQ/YfxB0X20nadIFdYo0XYcB&#10;RVusHXpWZCn2IEsapcRJf/0o+SPZ1l2G+SCIIvlIPpO8vNrXiuwEuMronGZnKSVCc1NUepPTb8+3&#10;Hy4ocZ7pgimjRU4PwtGrxft3l42di5EpjSoEEATRbt7YnJbe23mSOF6KmrkzY4VGpTRQM48ibJIC&#10;WIPotUpGaTpNGgOFBcOFc/h60yrpIuJLKbh/kNIJT1ROMTcfT4jnOpzJ4pLNN8BsWfEuDfYPWdSs&#10;0hh0gLphnpEtVH9A1RUH44z0Z9zUiZGy4iLWgNVk6W/VPJXMilgLkuPsQJP7f7D8fvdkHwFpaKyb&#10;O7yGKvYSagIG2crSizR8sThMl+wjd4eBO7H3hOPjaDy+SGdIMUfdeDSbTiO5SQsWQC04/1mYmoRL&#10;TqHalH4JYJqIzXZ3zkcGC6JZja3Ciu8ZJbJW+EN2TJFpOhtPuh92YjM6tTmPuWI1GLdDxFsfOcA7&#10;o6ritlIqCrBZrxQQhM/pdXq9uvkUAqDLL2ZKB2NtglurDi/JkbF48wclgp3SX4UkVRFIiaXFZhZD&#10;HMa50D5rVSUrRBs+C7n30UP7B4+YSwQMyBLjD9gdQG/ZgvTYbZadfXAVcRYG5/Z//iWx1nnwiJGN&#10;9oNzXWkDb1WmsKoucmvfk9RSE1ham+LwCG1vYbM4y28rbIc75vwjA/zT+IjrxD/gIZVpcmq6GyWl&#10;gde33oM9TgRqKWlwlHPqfmwZCErUF42z8jGbTMLsR2FyPhuhAKea9alGb+uVwXbA3sPs4jXYe9Vf&#10;JZj6BbfOMkRFFdMcY+eUe+iFlW9XDO4tLpbLaIbzbpm/00+WB/DAaujL5/0LA9vNhMdpujf92Hct&#10;3DJ6tA2e2iy33sjKB+WR107AXREbp9trYRmdytHquH0XPwEAAP//AwBQSwMEFAAGAAgAAAAhAKgQ&#10;mWTeAAAACQEAAA8AAABkcnMvZG93bnJldi54bWxMj8tOwzAQRfeV+AdrkNhU1EkfSRMyqQCJFasU&#10;2LvxkATicRS7beDrMat2ObpH954pdpPpxYlG11lGiBcRCOLa6o4bhPe3l/stCOcVa9VbJoQfcrAr&#10;b2aFyrU9c0WnvW9EKGGXK4TW+yGX0tUtGeUWdiAO2acdjfLhHBupR3UO5aaXyyhKpFEdh4VWDfTc&#10;Uv29PxoErddPPv6laj190Ov8q1KU6QTx7nZ6fADhafIXGP71gzqUwelgj6yd6BFWcZoGFGEZrUAE&#10;INluMhAHhDTOQJaFvP6g/AMAAP//AwBQSwECLQAUAAYACAAAACEAtoM4kv4AAADhAQAAEwAAAAAA&#10;AAAAAAAAAAAAAAAAW0NvbnRlbnRfVHlwZXNdLnhtbFBLAQItABQABgAIAAAAIQA4/SH/1gAAAJQB&#10;AAALAAAAAAAAAAAAAAAAAC8BAABfcmVscy8ucmVsc1BLAQItABQABgAIAAAAIQB3GIc4tQIAAMUF&#10;AAAOAAAAAAAAAAAAAAAAAC4CAABkcnMvZTJvRG9jLnhtbFBLAQItABQABgAIAAAAIQCoEJlk3gAA&#10;AAkBAAAPAAAAAAAAAAAAAAAAAA8FAABkcnMvZG93bnJldi54bWxQSwUGAAAAAAQABADzAAAAGgYA&#10;AAAA&#10;" adj="20086,4241" fillcolor="#b0bcde" stroked="f" strokeweight="1pt"/>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57216" behindDoc="0" locked="0" layoutInCell="1" allowOverlap="1" wp14:anchorId="05A7BB60" wp14:editId="0ACA2AD6">
                <wp:simplePos x="0" y="0"/>
                <wp:positionH relativeFrom="column">
                  <wp:posOffset>3714750</wp:posOffset>
                </wp:positionH>
                <wp:positionV relativeFrom="paragraph">
                  <wp:posOffset>1423035</wp:posOffset>
                </wp:positionV>
                <wp:extent cx="723900" cy="161925"/>
                <wp:effectExtent l="38100" t="0" r="19050" b="85725"/>
                <wp:wrapNone/>
                <wp:docPr id="424171787" name="Straight Arrow Connector 1"/>
                <wp:cNvGraphicFramePr/>
                <a:graphic xmlns:a="http://schemas.openxmlformats.org/drawingml/2006/main">
                  <a:graphicData uri="http://schemas.microsoft.com/office/word/2010/wordprocessingShape">
                    <wps:wsp>
                      <wps:cNvCnPr/>
                      <wps:spPr>
                        <a:xfrm flipH="1">
                          <a:off x="0" y="0"/>
                          <a:ext cx="72390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6C8118" id="Straight Arrow Connector 1" o:spid="_x0000_s1026" type="#_x0000_t32" style="position:absolute;margin-left:292.5pt;margin-top:112.05pt;width:57pt;height:12.7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CwxAEAANkDAAAOAAAAZHJzL2Uyb0RvYy54bWysU8uO1DAQvCPxD5bvTJJBLGw0mT3M8jgg&#10;WAH7AV6nnVjyS3Yzyfw9bWcmiwAhLeLScuyu6urqzu5mtoYdISbtXcebTc0ZOOl77YaO33979+IN&#10;ZwmF64XxDjp+gsRv9s+f7abQwtaP3vQQGZG41E6h4yNiaKsqyRGsSBsfwNGj8tEKpM84VH0UE7Fb&#10;U23r+qqafOxD9BJSotvb5ZHvC79SIPGzUgmQmY6TNiwxlviQY7XfiXaIIoxanmWIf1BhhXZUdKW6&#10;FSjY96h/o7JaRp+8wo30tvJKaQmlB+qmqX/p5usoApReyJwUVpvS/6OVn44HdxfJhimkNoW7mLuY&#10;VbRMGR0+0ExLX6SUzcW202obzMgkXb7evryuyVxJT81Vc719lW2tFppMF2LC9+Aty4eOJ4xCDyMe&#10;vHM0IB+XEuL4MeECvAAy2LgcUWjz1vUMT4G2CKMWbjBwrpNTqkf95YQnAwv8Cyime9K5lCmrBQcT&#10;2VHQUggpwWGzMlF2hiltzAqsiwV/BZ7zMxTK2j0FvCJKZe9wBVvtfPxTdZwvktWSf3Fg6Ttb8OD7&#10;U5lssYb2p8zkvOt5QX/+LvDHP3L/AwAA//8DAFBLAwQUAAYACAAAACEAQSITMOEAAAALAQAADwAA&#10;AGRycy9kb3ducmV2LnhtbEyPzU7DMBCE70i8g7VI3KjTqI3iEKfipznQQyUKQhydZEkC8TqK3Ta8&#10;PcsJjjs7mvkm38x2ECecfO9Iw3IRgUCqXdNTq+H1pbxJQfhgqDGDI9TwjR42xeVFbrLGnekZT4fQ&#10;Cg4hnxkNXQhjJqWvO7TGL9yIxL8PN1kT+Jxa2UzmzOF2kHEUJdKanrihMyM+dFh/HY6WU57Ke7X9&#10;3L+nu8edfatK226V1fr6ar67BRFwDn9m+MVndCiYqXJHarwYNKzTNW8JGuJ4tQTBjkQpVipWVioB&#10;WeTy/4biBwAA//8DAFBLAQItABQABgAIAAAAIQC2gziS/gAAAOEBAAATAAAAAAAAAAAAAAAAAAAA&#10;AABbQ29udGVudF9UeXBlc10ueG1sUEsBAi0AFAAGAAgAAAAhADj9If/WAAAAlAEAAAsAAAAAAAAA&#10;AAAAAAAALwEAAF9yZWxzLy5yZWxzUEsBAi0AFAAGAAgAAAAhAFVfYLDEAQAA2QMAAA4AAAAAAAAA&#10;AAAAAAAALgIAAGRycy9lMm9Eb2MueG1sUEsBAi0AFAAGAAgAAAAhAEEiEzDhAAAACwEAAA8AAAAA&#10;AAAAAAAAAAAAHgQAAGRycy9kb3ducmV2LnhtbFBLBQYAAAAABAAEAPMAAAAsBQAAAAA=&#10;" strokecolor="#4472c4 [3204]" strokeweight=".5pt">
                <v:stroke endarrow="block" joinstyle="miter"/>
              </v:shape>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55168" behindDoc="0" locked="0" layoutInCell="1" allowOverlap="1" wp14:anchorId="698E726B" wp14:editId="033CAF0B">
                <wp:simplePos x="0" y="0"/>
                <wp:positionH relativeFrom="column">
                  <wp:posOffset>3695700</wp:posOffset>
                </wp:positionH>
                <wp:positionV relativeFrom="paragraph">
                  <wp:posOffset>1033145</wp:posOffset>
                </wp:positionV>
                <wp:extent cx="742950" cy="438150"/>
                <wp:effectExtent l="38100" t="0" r="19050" b="57150"/>
                <wp:wrapNone/>
                <wp:docPr id="1825487376" name="Straight Arrow Connector 1"/>
                <wp:cNvGraphicFramePr/>
                <a:graphic xmlns:a="http://schemas.openxmlformats.org/drawingml/2006/main">
                  <a:graphicData uri="http://schemas.microsoft.com/office/word/2010/wordprocessingShape">
                    <wps:wsp>
                      <wps:cNvCnPr/>
                      <wps:spPr>
                        <a:xfrm flipH="1">
                          <a:off x="0" y="0"/>
                          <a:ext cx="7429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38CEDB9" id="Straight Arrow Connector 1" o:spid="_x0000_s1026" type="#_x0000_t32" style="position:absolute;margin-left:291pt;margin-top:81.35pt;width:58.5pt;height:34.5pt;flip:x;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oMxAEAANkDAAAOAAAAZHJzL2Uyb0RvYy54bWysU8uO1DAQvCPxD5bvTDLDAks0mT3M8jgg&#10;WC3wAV6nnVjyS3YzSf6etjOTRYCQQFxajt1VXV3d2d9M1rATxKS9a/l2U3MGTvpOu77lX7+8fXbN&#10;WULhOmG8g5bPkPjN4emT/Rga2PnBmw4iIxKXmjG0fEAMTVUlOYAVaeMDOHpUPlqB9Bn7qotiJHZr&#10;ql1dv6xGH7sQvYSU6PZ2eeSHwq8USPykVAJkpuWkDUuMJT7kWB32oumjCIOWZxniH1RYoR0VXalu&#10;BQr2LepfqKyW0SevcCO9rbxSWkLpgbrZ1j9183kQAUovZE4Kq03p/9HKj6eju4tkwxhSk8JdzF1M&#10;KlqmjA7vaaalL1LKpmLbvNoGEzJJl6+udq9fkLmSnq6eX2/pTHzVQpPpQkz4Drxl+dDyhFHofsCj&#10;d44G5ONSQpw+JFyAF0AGG5cjCm3euI7hHGiLMGrhegPnOjmletRfTjgbWOD3oJjuSOdSpqwWHE1k&#10;J0FLIaQEh9uVibIzTGljVmBdLPgj8JyfoVDW7m/AK6JU9g5XsNXOx99Vx+kiWS35FweWvrMFD76b&#10;y2SLNbQ/ZSbnXc8L+uN3gT/+kYfvAAAA//8DAFBLAwQUAAYACAAAACEA6iIoMuEAAAALAQAADwAA&#10;AGRycy9kb3ducmV2LnhtbEyPzU7DMBCE70i8g7VI3KjTINIkxKn4aQ70gERBiKMTL0kgXkex24a3&#10;73KC486Mvp0p1rMdxAEn3ztSsFxEIJAaZ3pqFby9VlcpCB80GT04QgU/6GFdnp8VOjfuSC942IVW&#10;MIR8rhV0IYy5lL7p0Gq/cCMSe59usjrwObXSTPrIcDvIOIoSaXVP/KHTIz502Hzv9pYpT9V9tvl6&#10;/ki3j1v7Xle23WRWqcuL+e4WRMA5/IXhtz5Xh5I71W5PxotBwU0a85bARhKvQHAiyTJWagXx9XIF&#10;sizk/w3lCQAA//8DAFBLAQItABQABgAIAAAAIQC2gziS/gAAAOEBAAATAAAAAAAAAAAAAAAAAAAA&#10;AABbQ29udGVudF9UeXBlc10ueG1sUEsBAi0AFAAGAAgAAAAhADj9If/WAAAAlAEAAAsAAAAAAAAA&#10;AAAAAAAALwEAAF9yZWxzLy5yZWxzUEsBAi0AFAAGAAgAAAAhAMA0KgzEAQAA2QMAAA4AAAAAAAAA&#10;AAAAAAAALgIAAGRycy9lMm9Eb2MueG1sUEsBAi0AFAAGAAgAAAAhAOoiKDLhAAAACwEAAA8AAAAA&#10;AAAAAAAAAAAAHgQAAGRycy9kb3ducmV2LnhtbFBLBQYAAAAABAAEAPMAAAAsBQAAAAA=&#10;" strokecolor="#4472c4 [3204]" strokeweight=".5pt">
                <v:stroke endarrow="block" joinstyle="miter"/>
              </v:shape>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6B795B77" wp14:editId="700F17F4">
                <wp:simplePos x="0" y="0"/>
                <wp:positionH relativeFrom="column">
                  <wp:posOffset>1704975</wp:posOffset>
                </wp:positionH>
                <wp:positionV relativeFrom="paragraph">
                  <wp:posOffset>995045</wp:posOffset>
                </wp:positionV>
                <wp:extent cx="809625" cy="438150"/>
                <wp:effectExtent l="38100" t="38100" r="28575" b="19050"/>
                <wp:wrapNone/>
                <wp:docPr id="644465433" name="Straight Arrow Connector 2"/>
                <wp:cNvGraphicFramePr/>
                <a:graphic xmlns:a="http://schemas.openxmlformats.org/drawingml/2006/main">
                  <a:graphicData uri="http://schemas.microsoft.com/office/word/2010/wordprocessingShape">
                    <wps:wsp>
                      <wps:cNvCnPr/>
                      <wps:spPr>
                        <a:xfrm flipH="1" flipV="1">
                          <a:off x="0" y="0"/>
                          <a:ext cx="8096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B1905" id="Straight Arrow Connector 2" o:spid="_x0000_s1026" type="#_x0000_t32" style="position:absolute;margin-left:134.25pt;margin-top:78.35pt;width:63.75pt;height:34.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D9ywEAAOMDAAAOAAAAZHJzL2Uyb0RvYy54bWysU02P1DAMvSPxH6LcmXYGdjVU09nDLB8H&#10;BCtguWdTp42ULyVm2vn3OOlMFwFCWsTFcmO/Z/vZ3d1M1rAjxKS9a/l6VXMGTvpOu77l91/fvthy&#10;llC4ThjvoOUnSPxm//zZbgwNbPzgTQeREYlLzRhaPiCGpqqSHMCKtPIBHAWVj1Ygfca+6qIYid2a&#10;alPX19XoYxeil5ASvd7OQb4v/EqBxE9KJUBmWk69YbGx2Idsq/1ONH0UYdDy3Ib4hy6s0I6KLlS3&#10;AgX7HvVvVFbL6JNXuJLeVl4pLaHMQNOs61+m+TKIAGUWEieFRab0/2jlx+PB3UWSYQypSeEu5ikm&#10;FS1TRof3tFNevG/ZyzHqmU1FwNMiIEzIJD1u69fXmyvOJIVevdyur4rA1UyYwSEmfAfesuy0PGEU&#10;uh/w4J2jVfk4lxDHDwmpJQJeABlsXLYotHnjOoanQPeEUQvXG8iLpPScUj1OUjw8GZjhn0Ex3VGf&#10;c5lyZHAwkR0FnYeQEhyuFybKzjCljVmAdZHgr8BzfoZCOcCngBdEqewdLmCrnY9/qo7TpWU1518U&#10;mOfOEjz47lR2XKShSypana8+n+rP3wX++G/ufwAAAP//AwBQSwMEFAAGAAgAAAAhAAQridPfAAAA&#10;CwEAAA8AAABkcnMvZG93bnJldi54bWxMj9FOg0AQRd9N/IfNmPhmFzFAQZbGEJvom1Y/YMqOgLK7&#10;lF1a7Nc7Punj5J7cObfcLGYQR5p876yC21UEgmzjdG9bBe9v25s1CB/QahycJQXf5GFTXV6UWGh3&#10;sq903IVWcIn1BSroQhgLKX3TkUG/ciNZzj7cZDDwObVST3jicjPIOIpSabC3/KHDkeqOmq/dbBQc&#10;lvrz8Zzj9uklOx+e+zqf6yRX6vpqebgHEWgJfzD86rM6VOy0d7PVXgwK4nSdMMpBkmYgmLjLU163&#10;5yhOMpBVKf9vqH4AAAD//wMAUEsBAi0AFAAGAAgAAAAhALaDOJL+AAAA4QEAABMAAAAAAAAAAAAA&#10;AAAAAAAAAFtDb250ZW50X1R5cGVzXS54bWxQSwECLQAUAAYACAAAACEAOP0h/9YAAACUAQAACwAA&#10;AAAAAAAAAAAAAAAvAQAAX3JlbHMvLnJlbHNQSwECLQAUAAYACAAAACEArDkg/csBAADjAwAADgAA&#10;AAAAAAAAAAAAAAAuAgAAZHJzL2Uyb0RvYy54bWxQSwECLQAUAAYACAAAACEABCuJ098AAAALAQAA&#10;DwAAAAAAAAAAAAAAAAAlBAAAZHJzL2Rvd25yZXYueG1sUEsFBgAAAAAEAAQA8wAAADEFAAAAAA==&#10;" strokecolor="#4472c4 [3204]" strokeweight=".5pt">
                <v:stroke endarrow="block" joinstyle="miter"/>
              </v:shape>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7A3BEC14" wp14:editId="3F725907">
                <wp:simplePos x="0" y="0"/>
                <wp:positionH relativeFrom="column">
                  <wp:posOffset>1724025</wp:posOffset>
                </wp:positionH>
                <wp:positionV relativeFrom="paragraph">
                  <wp:posOffset>1385570</wp:posOffset>
                </wp:positionV>
                <wp:extent cx="781050" cy="152400"/>
                <wp:effectExtent l="19050" t="57150" r="19050" b="19050"/>
                <wp:wrapNone/>
                <wp:docPr id="399222522" name="Straight Arrow Connector 2"/>
                <wp:cNvGraphicFramePr/>
                <a:graphic xmlns:a="http://schemas.openxmlformats.org/drawingml/2006/main">
                  <a:graphicData uri="http://schemas.microsoft.com/office/word/2010/wordprocessingShape">
                    <wps:wsp>
                      <wps:cNvCnPr/>
                      <wps:spPr>
                        <a:xfrm flipH="1" flipV="1">
                          <a:off x="0" y="0"/>
                          <a:ext cx="7810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A66452" id="Straight Arrow Connector 2" o:spid="_x0000_s1026" type="#_x0000_t32" style="position:absolute;margin-left:135.75pt;margin-top:109.1pt;width:61.5pt;height:1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45ygEAAOMDAAAOAAAAZHJzL2Uyb0RvYy54bWysU0uP1DAMviPxH6LcmbYjFlbVdPYwy+OA&#10;YMVj79nUaSPlpcRMp/8eJ53pIkBIi7hYbuzvs/3Z3d2crGFHiEl71/FmU3MGTvpeu6Hj376+fXHN&#10;WULhemG8g47PkPjN/vmz3RRa2PrRmx4iIxKX2il0fEQMbVUlOYIVaeMDOAoqH61A+oxD1UcxEbs1&#10;1bauX1WTj32IXkJK9Hq7BPm+8CsFEj8plQCZ6Tj1hsXGYh+yrfY70Q5RhFHLcxviH7qwQjsqulLd&#10;ChTse9S/UVkto09e4UZ6W3mltIQyA03T1L9M82UUAcosJE4Kq0zp/9HKj8eDu4skwxRSm8JdzFOc&#10;VLRMGR3e00558e6zl2PUMzsVAedVQDghk/T4+rqpr0hmSaHmavuyLgJXC2EGh5jwHXjLstPxhFHo&#10;YcSDd45W5eNSQhw/JKSWCHgBZLBx2aLQ5o3rGc6B7gmjFm4wkBdJ6TmlepykeDgbWOCfQTHdU59L&#10;mXJkcDCRHQWdh5ASHDYrE2VnmNLGrMC6SPBX4Dk/Q6Ec4FPAK6JU9g5XsNXOxz9Vx9OlZbXkXxRY&#10;5s4SPPh+Ljsu0tAlFa3OV59P9efvAn/8N/c/AAAA//8DAFBLAwQUAAYACAAAACEATC0Om+EAAAAL&#10;AQAADwAAAGRycy9kb3ducmV2LnhtbEyPwU7DMBBE70j8g7VI3KiT0NImxKlQRCW4QekHbONtEojt&#10;NHba0K9nOcFtd2Y0+zZfT6YTJxp866yCeBaBIFs53dpawe5jc7cC4QNajZ2zpOCbPKyL66scM+3O&#10;9p1O21ALLrE+QwVNCH0mpa8aMuhnrifL3sENBgOvQy31gGcuN51MouhBGmwtX2iwp7Kh6ms7GgXH&#10;qfx8vqS4eXlbXo6vbZmO5SJV6vZmenoEEWgKf2H4xWd0KJhp70arvegUJMt4wVEe4lUCghP36ZyV&#10;PSvzJAFZ5PL/D8UPAAAA//8DAFBLAQItABQABgAIAAAAIQC2gziS/gAAAOEBAAATAAAAAAAAAAAA&#10;AAAAAAAAAABbQ29udGVudF9UeXBlc10ueG1sUEsBAi0AFAAGAAgAAAAhADj9If/WAAAAlAEAAAsA&#10;AAAAAAAAAAAAAAAALwEAAF9yZWxzLy5yZWxzUEsBAi0AFAAGAAgAAAAhAA8RDjnKAQAA4wMAAA4A&#10;AAAAAAAAAAAAAAAALgIAAGRycy9lMm9Eb2MueG1sUEsBAi0AFAAGAAgAAAAhAEwtDpvhAAAACwEA&#10;AA8AAAAAAAAAAAAAAAAAJAQAAGRycy9kb3ducmV2LnhtbFBLBQYAAAAABAAEAPMAAAAyBQAAAAA=&#10;" strokecolor="#4472c4 [3204]" strokeweight=".5pt">
                <v:stroke endarrow="block" joinstyle="miter"/>
              </v:shape>
            </w:pict>
          </mc:Fallback>
        </mc:AlternateContent>
      </w:r>
      <w:r w:rsidR="00B57595" w:rsidRPr="003D1437">
        <w:rPr>
          <w:rFonts w:ascii="Traditional Arabic" w:hAnsi="Traditional Arabic" w:cs="Traditional Arabic"/>
          <w:noProof/>
          <w:sz w:val="28"/>
          <w:szCs w:val="28"/>
        </w:rPr>
        <w:drawing>
          <wp:inline distT="0" distB="0" distL="0" distR="0" wp14:anchorId="5862974C" wp14:editId="2DD39505">
            <wp:extent cx="5486400" cy="2441050"/>
            <wp:effectExtent l="0" t="0" r="0" b="0"/>
            <wp:docPr id="146711934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300E472" w14:textId="79FEC5CE" w:rsidR="00781B53" w:rsidRPr="003D1437" w:rsidRDefault="00781B53" w:rsidP="00781B53">
      <w:pPr>
        <w:pStyle w:val="Heading5"/>
        <w:rPr>
          <w:rtl/>
        </w:rPr>
      </w:pPr>
      <w:bookmarkStart w:id="28" w:name="_Toc235065033"/>
      <w:r w:rsidRPr="003D1437">
        <w:rPr>
          <w:rFonts w:hint="cs"/>
          <w:rtl/>
        </w:rPr>
        <w:t>شكل (1): انموذج الدراسة</w:t>
      </w:r>
      <w:bookmarkEnd w:id="28"/>
    </w:p>
    <w:p w14:paraId="7035282A" w14:textId="5C661357" w:rsidR="00066378" w:rsidRPr="003D1437" w:rsidRDefault="00066378" w:rsidP="00781B5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مشكلة الدراسة وأهدافها، يقدم البحث نموذجًا مقترحًا يوضح العلاقة بين متغيراته الرئيسية. يفترض النموذج أن تطبيقات الذكاء الاصطناعي (كمتغير مستقل بأبعاده: أتمتة المهام الإدارية، دعم اتخاذ القرار، أنظمة الإنذار المبكر) تؤثر بشكل إيجابي على كفاءة التخطيط الاستراتيجي (كمتغير تابع بأبعاده: كفاءة التحليل، وصياغة الأهداف، والتنفيذ والمتابعة، وتخصيص الموارد). كما يفترض النموذج أن هذه العلاقة ليست مباشرة بالكامل، بل يتوسطها متغير التكيف التكنولوجي. وتجدر الإشارة إلى أنه سيتم قياس المتغير الوسيط (التكيف التكنولوجي) كمتغير كلي واحد (كمؤشر عام) دون تحليل أبعاده الفرعية بشكل منفصل في نموذج الانحدار، وذلك بهدف تركيز التحليل الإحصائي على قياس القوة الإجمالية لتأثيره كوسيط في العلاقة بين المتغيرين المستقل والتابع.</w:t>
      </w:r>
    </w:p>
    <w:p w14:paraId="1F7C8B54" w14:textId="77777777" w:rsidR="00066378" w:rsidRPr="003D1437" w:rsidRDefault="00066378" w:rsidP="00066378">
      <w:pPr>
        <w:bidi/>
        <w:jc w:val="lowKashida"/>
        <w:rPr>
          <w:rFonts w:ascii="Traditional Arabic" w:hAnsi="Traditional Arabic" w:cs="Traditional Arabic"/>
          <w:sz w:val="28"/>
          <w:szCs w:val="28"/>
          <w:rtl/>
        </w:rPr>
      </w:pPr>
    </w:p>
    <w:p w14:paraId="4C90D387" w14:textId="621B3F5F" w:rsidR="00F45B45" w:rsidRPr="003D1437" w:rsidRDefault="00863B90" w:rsidP="002E289E">
      <w:pPr>
        <w:pStyle w:val="Heading2"/>
        <w:rPr>
          <w:rtl/>
        </w:rPr>
      </w:pPr>
      <w:bookmarkStart w:id="29" w:name="_Toc233422613"/>
      <w:bookmarkStart w:id="30" w:name="_Toc236402643"/>
      <w:r w:rsidRPr="003D1437">
        <w:rPr>
          <w:rFonts w:hint="cs"/>
          <w:rtl/>
        </w:rPr>
        <w:lastRenderedPageBreak/>
        <w:t>1.7</w:t>
      </w:r>
      <w:r w:rsidR="002E289E" w:rsidRPr="003D1437">
        <w:rPr>
          <w:rFonts w:hint="cs"/>
          <w:rtl/>
        </w:rPr>
        <w:t xml:space="preserve"> منهج الدراسة:</w:t>
      </w:r>
      <w:bookmarkEnd w:id="29"/>
      <w:bookmarkEnd w:id="30"/>
    </w:p>
    <w:p w14:paraId="35BE8450" w14:textId="57CBDF52" w:rsidR="002E289E" w:rsidRPr="003D1437" w:rsidRDefault="002E5E92" w:rsidP="002E289E">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لتحقيق أهداف الدراسة الحالية والإجابة على تساؤلاتها، سيتم الاعتماد على المنهج </w:t>
      </w:r>
      <w:r w:rsidRPr="003D1437">
        <w:rPr>
          <w:rFonts w:ascii="Traditional Arabic" w:hAnsi="Traditional Arabic" w:cs="Traditional Arabic" w:hint="cs"/>
          <w:sz w:val="28"/>
          <w:szCs w:val="28"/>
          <w:rtl/>
        </w:rPr>
        <w:t>الاستنباطي</w:t>
      </w:r>
      <w:r w:rsidRPr="003D1437">
        <w:rPr>
          <w:rFonts w:ascii="Traditional Arabic" w:hAnsi="Traditional Arabic" w:cs="Traditional Arabic"/>
          <w:sz w:val="28"/>
          <w:szCs w:val="28"/>
          <w:rtl/>
        </w:rPr>
        <w:t xml:space="preserve"> التحليلي، الذي يُعرَّف بأنه "أسلوب يهدف إلى وصف ظاهرة معينة وصفاً كمياً، وتحليلها من خلال تحديد خصائصها وأبعادها وتوصيف العلاقات بينها" (العساف، 2012)، </w:t>
      </w:r>
      <w:r w:rsidR="002940FB" w:rsidRPr="003D1437">
        <w:rPr>
          <w:rFonts w:ascii="Traditional Arabic" w:hAnsi="Traditional Arabic" w:cs="Traditional Arabic"/>
          <w:sz w:val="28"/>
          <w:szCs w:val="28"/>
          <w:rtl/>
        </w:rPr>
        <w:t>سيساعد هذا المنهج في وصف وتحليل واقع تأثير الذكاء الاصطناعي على كفاءة التخطيط الاستراتيجي، ودور التكيف التكنولوجي كعامل وسيط في هذه العلاقة داخل إدارة التعليم بمكة المكرمة، من خلال جمع بيانات تفصيلية وعميقة من الميدان وتفسيرها بالاعتماد على أسلوب الحصر الشامل لجميع الاستجابات المتاحة للوصول إلى استنتاجات دقيقة وثابتة إحصائياً</w:t>
      </w:r>
      <w:r w:rsidRPr="003D1437">
        <w:rPr>
          <w:rFonts w:ascii="Traditional Arabic" w:hAnsi="Traditional Arabic" w:cs="Traditional Arabic"/>
          <w:sz w:val="28"/>
          <w:szCs w:val="28"/>
          <w:rtl/>
        </w:rPr>
        <w:t>.</w:t>
      </w:r>
    </w:p>
    <w:p w14:paraId="6D094D5C" w14:textId="7165FEB0" w:rsidR="001765DD" w:rsidRPr="003D1437" w:rsidRDefault="00863B90" w:rsidP="00FE70A4">
      <w:pPr>
        <w:pStyle w:val="Heading2"/>
        <w:rPr>
          <w:rtl/>
        </w:rPr>
      </w:pPr>
      <w:bookmarkStart w:id="31" w:name="_Toc233422614"/>
      <w:bookmarkStart w:id="32" w:name="_Toc236402644"/>
      <w:r w:rsidRPr="003D1437">
        <w:rPr>
          <w:rFonts w:hint="cs"/>
          <w:rtl/>
        </w:rPr>
        <w:t>1.8</w:t>
      </w:r>
      <w:r w:rsidR="005341F3" w:rsidRPr="003D1437">
        <w:rPr>
          <w:rtl/>
        </w:rPr>
        <w:t xml:space="preserve"> </w:t>
      </w:r>
      <w:r w:rsidR="00E2318B" w:rsidRPr="003D1437">
        <w:rPr>
          <w:rtl/>
        </w:rPr>
        <w:t>مصطلح الدراسة:</w:t>
      </w:r>
      <w:bookmarkEnd w:id="31"/>
      <w:bookmarkEnd w:id="32"/>
    </w:p>
    <w:p w14:paraId="35752D1E" w14:textId="5B6184EE" w:rsidR="00E2318B" w:rsidRPr="003D1437" w:rsidRDefault="00E2318B" w:rsidP="005341F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من اهم مصطلحات الدراسة ما يلي:</w:t>
      </w:r>
    </w:p>
    <w:p w14:paraId="1F34292C" w14:textId="1822212F" w:rsidR="00E2318B" w:rsidRPr="003D1437" w:rsidRDefault="00E2318B">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الذكاء الاصطناعي:</w:t>
      </w:r>
      <w:r w:rsidRPr="003D1437">
        <w:rPr>
          <w:rFonts w:ascii="Traditional Arabic" w:hAnsi="Traditional Arabic" w:cs="Traditional Arabic"/>
          <w:sz w:val="28"/>
          <w:szCs w:val="28"/>
          <w:rtl/>
        </w:rPr>
        <w:t xml:space="preserve"> يُعرف بأنه مجال في علوم الحاسوب يهدف إلى تطوير الأنظمة القادرة على أداء المهام التي تتطلب ذكاءً بشريًا، مثل التعلم، الاستنباط، والفهم (السلمي والسلمي، 2023)</w:t>
      </w:r>
      <w:r w:rsidR="005341F3"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tl/>
        </w:rPr>
        <w:t xml:space="preserve">ويعرف اجرائيا بانه استخدام الخوارزميات والتقنيات الحاسوبية لتطوير أنظمة قادرة على تحليل البيانات، التعلم من التجارب السابقة، والتفاعل بشكل ذكي مع المستخدمين لتحسين جودة الخدمات التعليمية في المؤسسات التعليمية بمكة المكرمة </w:t>
      </w:r>
    </w:p>
    <w:p w14:paraId="4A9215D9" w14:textId="722449B2" w:rsidR="00E2318B" w:rsidRPr="003D1437" w:rsidRDefault="00E2318B">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تطبيقات الذكاء الاصطناعي:</w:t>
      </w:r>
      <w:r w:rsidRPr="003D1437">
        <w:rPr>
          <w:rFonts w:ascii="Traditional Arabic" w:hAnsi="Traditional Arabic" w:cs="Traditional Arabic"/>
          <w:sz w:val="28"/>
          <w:szCs w:val="28"/>
          <w:rtl/>
        </w:rPr>
        <w:t xml:space="preserve"> تشير تطبيقات الذكاء الاصطناعي إلى مجموعة من الأدوات والتقنيات التي تُستخدم لتنفيذ المهام بكفاءة وذكاء، مثل الأنظمة الذكية للدردشة، التعرف على الصور، والنظم التنبؤية (القحطاني، 2024).</w:t>
      </w:r>
      <w:r w:rsidR="005341F3"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tl/>
        </w:rPr>
        <w:t>ويعرف اجرائيا بانه البرمجيات التي تُستخدم في المجالات التعليمية مثل التعلم الذكي، تحليل بيانات الطلاب، وتخصيص المحتوى التعليمي بناءً على احتياجات المتعلمين لتحسين الفاعلية التعليمية والمشاركة.</w:t>
      </w:r>
    </w:p>
    <w:p w14:paraId="0BCE5164" w14:textId="77777777" w:rsidR="00D03A0A" w:rsidRPr="003D1437" w:rsidRDefault="00D03A0A">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w:t>
      </w:r>
      <w:r w:rsidRPr="003D1437">
        <w:rPr>
          <w:rFonts w:ascii="Traditional Arabic" w:hAnsi="Traditional Arabic" w:cs="Traditional Arabic" w:hint="cs"/>
          <w:b/>
          <w:bCs/>
          <w:sz w:val="28"/>
          <w:szCs w:val="28"/>
          <w:rtl/>
        </w:rPr>
        <w:t>ت</w:t>
      </w:r>
      <w:r w:rsidRPr="003D1437">
        <w:rPr>
          <w:rFonts w:ascii="Traditional Arabic" w:hAnsi="Traditional Arabic" w:cs="Traditional Arabic"/>
          <w:b/>
          <w:bCs/>
          <w:sz w:val="28"/>
          <w:szCs w:val="28"/>
          <w:rtl/>
        </w:rPr>
        <w:t>خط</w:t>
      </w:r>
      <w:r w:rsidRPr="003D1437">
        <w:rPr>
          <w:rFonts w:ascii="Traditional Arabic" w:hAnsi="Traditional Arabic" w:cs="Traditional Arabic" w:hint="cs"/>
          <w:b/>
          <w:bCs/>
          <w:sz w:val="28"/>
          <w:szCs w:val="28"/>
          <w:rtl/>
        </w:rPr>
        <w:t>ي</w:t>
      </w:r>
      <w:r w:rsidRPr="003D1437">
        <w:rPr>
          <w:rFonts w:ascii="Traditional Arabic" w:hAnsi="Traditional Arabic" w:cs="Traditional Arabic"/>
          <w:b/>
          <w:bCs/>
          <w:sz w:val="28"/>
          <w:szCs w:val="28"/>
          <w:rtl/>
        </w:rPr>
        <w:t>ط الاستراتيجي:</w:t>
      </w:r>
      <w:r w:rsidRPr="003D1437">
        <w:rPr>
          <w:rFonts w:ascii="Traditional Arabic" w:hAnsi="Traditional Arabic" w:cs="Traditional Arabic"/>
          <w:sz w:val="28"/>
          <w:szCs w:val="28"/>
          <w:rtl/>
        </w:rPr>
        <w:t xml:space="preserve"> عبارة عن مجموعة من الخطوات والمراحل التي تضعها المؤسسات لتحقيق أهداف محددة على المدى البعيد (أبو عليا، 2025). ويعرف اجرائيا بانه الإطار التنظيمي الذي يحدد الرؤية، المهمة، الأهداف، والطرق اللازمة لتحقيق التفوق المؤسسي في قطاع التعليم بمكة المكرمة، مع التركيز على توظيف تقنية الذكاء الاصطناعي.</w:t>
      </w:r>
    </w:p>
    <w:p w14:paraId="7DCBBAE8" w14:textId="291098E5" w:rsidR="00D03A0A" w:rsidRPr="003D1437" w:rsidRDefault="00D03A0A">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hint="cs"/>
          <w:b/>
          <w:bCs/>
          <w:sz w:val="28"/>
          <w:szCs w:val="28"/>
          <w:rtl/>
        </w:rPr>
        <w:t>كفاءة</w:t>
      </w:r>
      <w:r w:rsidRPr="003D1437">
        <w:rPr>
          <w:rFonts w:ascii="Traditional Arabic" w:hAnsi="Traditional Arabic" w:cs="Traditional Arabic"/>
          <w:b/>
          <w:bCs/>
          <w:sz w:val="28"/>
          <w:szCs w:val="28"/>
          <w:rtl/>
        </w:rPr>
        <w:t xml:space="preserve"> ال</w:t>
      </w:r>
      <w:r w:rsidRPr="003D1437">
        <w:rPr>
          <w:rFonts w:ascii="Traditional Arabic" w:hAnsi="Traditional Arabic" w:cs="Traditional Arabic" w:hint="cs"/>
          <w:b/>
          <w:bCs/>
          <w:sz w:val="28"/>
          <w:szCs w:val="28"/>
          <w:rtl/>
        </w:rPr>
        <w:t>ت</w:t>
      </w:r>
      <w:r w:rsidRPr="003D1437">
        <w:rPr>
          <w:rFonts w:ascii="Traditional Arabic" w:hAnsi="Traditional Arabic" w:cs="Traditional Arabic"/>
          <w:b/>
          <w:bCs/>
          <w:sz w:val="28"/>
          <w:szCs w:val="28"/>
          <w:rtl/>
        </w:rPr>
        <w:t>خطط الاستراتيجي:</w:t>
      </w:r>
      <w:r w:rsidRPr="003D1437">
        <w:rPr>
          <w:rFonts w:ascii="Traditional Arabic" w:hAnsi="Traditional Arabic" w:cs="Traditional Arabic"/>
          <w:sz w:val="28"/>
          <w:szCs w:val="28"/>
          <w:rtl/>
        </w:rPr>
        <w:t xml:space="preserve"> الإشارة إلى مدى نجاح ال</w:t>
      </w:r>
      <w:r w:rsidRPr="003D1437">
        <w:rPr>
          <w:rFonts w:ascii="Traditional Arabic" w:hAnsi="Traditional Arabic" w:cs="Traditional Arabic" w:hint="cs"/>
          <w:sz w:val="28"/>
          <w:szCs w:val="28"/>
          <w:rtl/>
        </w:rPr>
        <w:t>ت</w:t>
      </w:r>
      <w:r w:rsidRPr="003D1437">
        <w:rPr>
          <w:rFonts w:ascii="Traditional Arabic" w:hAnsi="Traditional Arabic" w:cs="Traditional Arabic"/>
          <w:sz w:val="28"/>
          <w:szCs w:val="28"/>
          <w:rtl/>
        </w:rPr>
        <w:t>خط</w:t>
      </w:r>
      <w:r w:rsidRPr="003D1437">
        <w:rPr>
          <w:rFonts w:ascii="Traditional Arabic" w:hAnsi="Traditional Arabic" w:cs="Traditional Arabic" w:hint="cs"/>
          <w:sz w:val="28"/>
          <w:szCs w:val="28"/>
          <w:rtl/>
        </w:rPr>
        <w:t>ي</w:t>
      </w:r>
      <w:r w:rsidRPr="003D1437">
        <w:rPr>
          <w:rFonts w:ascii="Traditional Arabic" w:hAnsi="Traditional Arabic" w:cs="Traditional Arabic"/>
          <w:sz w:val="28"/>
          <w:szCs w:val="28"/>
          <w:rtl/>
        </w:rPr>
        <w:t>ط الاستراتيجي في تحقيق الأهداف المرسومة وكفاءة استخدام الموارد (التمامي، 2023). ويعرف اجرائيا بانه قياس مدى تأثير التخطيط الاستراتيجي في تحسين الأداء التعليمي والإداري للإداريين في مؤسسات التعليم العام بمكة المكرمة، يتم تقييمها من خلال النتائج المحققة في الأداء التعليمي والتطوير المستمر للعمليات التعليمية.</w:t>
      </w:r>
    </w:p>
    <w:p w14:paraId="1BA7C34B"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أبعاد المتغير المستقل (تطبيقات الذكاء الاصطناعي):</w:t>
      </w:r>
    </w:p>
    <w:p w14:paraId="0DFBCF25"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مراجعة الأدبيات، سيتم قياس المتغير المستقل من خلال الأبعاد التطبيقية التالية في السياق الإداري لقطاع التعليم:</w:t>
      </w:r>
    </w:p>
    <w:p w14:paraId="10466914" w14:textId="77777777" w:rsidR="00F45B45" w:rsidRPr="003D1437" w:rsidRDefault="00F45B45">
      <w:pPr>
        <w:numPr>
          <w:ilvl w:val="0"/>
          <w:numId w:val="2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أتمتة المهام الإدارية (</w:t>
      </w:r>
      <w:r w:rsidRPr="003D1437">
        <w:rPr>
          <w:rFonts w:ascii="Traditional Arabic" w:hAnsi="Traditional Arabic" w:cs="Traditional Arabic"/>
          <w:b/>
          <w:bCs/>
          <w:sz w:val="28"/>
          <w:szCs w:val="28"/>
          <w:lang w:bidi="ar-EG"/>
        </w:rPr>
        <w:t>Automation of Administrative Tasks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لزيادة الكفاءة (</w:t>
      </w:r>
      <w:r w:rsidRPr="003D1437">
        <w:rPr>
          <w:rFonts w:ascii="Traditional Arabic" w:hAnsi="Traditional Arabic" w:cs="Traditional Arabic"/>
          <w:sz w:val="28"/>
          <w:szCs w:val="28"/>
          <w:lang w:bidi="ar-EG"/>
        </w:rPr>
        <w:t>Orosoo et al., 2023</w:t>
      </w:r>
      <w:r w:rsidRPr="003D1437">
        <w:rPr>
          <w:rFonts w:ascii="Traditional Arabic" w:hAnsi="Traditional Arabic" w:cs="Traditional Arabic"/>
          <w:sz w:val="28"/>
          <w:szCs w:val="28"/>
          <w:rtl/>
        </w:rPr>
        <w:t>). وتشمل أمثلته أتمتة عمليات القبول والتسجيل، والجدولة، وتوزيع الموارد (</w:t>
      </w:r>
      <w:r w:rsidRPr="003D1437">
        <w:rPr>
          <w:rFonts w:ascii="Traditional Arabic" w:hAnsi="Traditional Arabic" w:cs="Traditional Arabic"/>
          <w:sz w:val="28"/>
          <w:szCs w:val="28"/>
          <w:lang w:bidi="ar-EG"/>
        </w:rPr>
        <w:t>Sarjito, 2024; 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7839E54D" w14:textId="77777777" w:rsidR="00F45B45" w:rsidRPr="003D1437" w:rsidRDefault="00F45B45">
      <w:pPr>
        <w:numPr>
          <w:ilvl w:val="0"/>
          <w:numId w:val="2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دعم اتخاذ القرار وتحليل البيانات التعليمية (</w:t>
      </w:r>
      <w:r w:rsidRPr="003D1437">
        <w:rPr>
          <w:rFonts w:ascii="Traditional Arabic" w:hAnsi="Traditional Arabic" w:cs="Traditional Arabic"/>
          <w:b/>
          <w:bCs/>
          <w:sz w:val="28"/>
          <w:szCs w:val="28"/>
          <w:lang w:bidi="ar-EG"/>
        </w:rPr>
        <w:t>Decision Support and Data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قدرة الذكاء الاصطناعي على تحليل الكميات الهائلة من البيانات لتقديم رؤى قابلة للتنفيذ تدعم اتخاذ قرارات استراتيجية أفضل (</w:t>
      </w:r>
      <w:r w:rsidRPr="003D1437">
        <w:rPr>
          <w:rFonts w:ascii="Traditional Arabic" w:hAnsi="Traditional Arabic" w:cs="Traditional Arabic"/>
          <w:sz w:val="28"/>
          <w:szCs w:val="28"/>
          <w:lang w:bidi="ar-EG"/>
        </w:rPr>
        <w:t>Kaggwa et al., 2024</w:t>
      </w:r>
      <w:r w:rsidRPr="003D1437">
        <w:rPr>
          <w:rFonts w:ascii="Traditional Arabic" w:hAnsi="Traditional Arabic" w:cs="Traditional Arabic"/>
          <w:sz w:val="28"/>
          <w:szCs w:val="28"/>
          <w:rtl/>
        </w:rPr>
        <w:t>). ويشمل ذلك التحليلات التنبؤية ولوحات المعلومات الذكية (</w:t>
      </w:r>
      <w:r w:rsidRPr="003D1437">
        <w:rPr>
          <w:rFonts w:ascii="Traditional Arabic" w:hAnsi="Traditional Arabic" w:cs="Traditional Arabic"/>
          <w:sz w:val="28"/>
          <w:szCs w:val="28"/>
          <w:lang w:bidi="ar-EG"/>
        </w:rPr>
        <w:t>Al Muala et al., 2024</w:t>
      </w:r>
      <w:r w:rsidRPr="003D1437">
        <w:rPr>
          <w:rFonts w:ascii="Traditional Arabic" w:hAnsi="Traditional Arabic" w:cs="Traditional Arabic"/>
          <w:sz w:val="28"/>
          <w:szCs w:val="28"/>
          <w:rtl/>
        </w:rPr>
        <w:t>).</w:t>
      </w:r>
    </w:p>
    <w:p w14:paraId="601EAE49" w14:textId="77777777" w:rsidR="00F45B45" w:rsidRPr="003D1437" w:rsidRDefault="00F45B45">
      <w:pPr>
        <w:numPr>
          <w:ilvl w:val="0"/>
          <w:numId w:val="2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تطوير أنظمة الإنذار المبكر (</w:t>
      </w:r>
      <w:r w:rsidRPr="003D1437">
        <w:rPr>
          <w:rFonts w:ascii="Traditional Arabic" w:hAnsi="Traditional Arabic" w:cs="Traditional Arabic"/>
          <w:b/>
          <w:bCs/>
          <w:sz w:val="28"/>
          <w:szCs w:val="28"/>
          <w:lang w:bidi="ar-EG"/>
        </w:rPr>
        <w:t>Development of Early Warning Systems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تطبيقات الذكاء الاصطناعي بشكل استباقي لتحديد المشكلات المحتملة قبل تفاقمها، مثل تحديد الطلاب المعرضين لخطر التعثر الدراسي أو التسرب لاتخاذ إجراءات تدخلية مبكرة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5CAB31DB" w14:textId="4F1F6ED3"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أبعاد المتغير التابع (</w:t>
      </w:r>
      <w:r w:rsidR="00945E73" w:rsidRPr="003D1437">
        <w:rPr>
          <w:rFonts w:ascii="Traditional Arabic" w:hAnsi="Traditional Arabic" w:cs="Traditional Arabic"/>
          <w:b/>
          <w:bCs/>
          <w:sz w:val="28"/>
          <w:szCs w:val="28"/>
          <w:rtl/>
        </w:rPr>
        <w:t>كفاءة</w:t>
      </w:r>
      <w:r w:rsidRPr="003D1437">
        <w:rPr>
          <w:rFonts w:ascii="Traditional Arabic" w:hAnsi="Traditional Arabic" w:cs="Traditional Arabic"/>
          <w:b/>
          <w:bCs/>
          <w:sz w:val="28"/>
          <w:szCs w:val="28"/>
          <w:rtl/>
        </w:rPr>
        <w:t xml:space="preserve"> الخطط الاستراتيجية):</w:t>
      </w:r>
    </w:p>
    <w:p w14:paraId="2EA4885C"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سيتم قياس المتغير التابع من خلال الأبعاد العملية التالية التي تمثل مراحل عملية التخطيط:</w:t>
      </w:r>
    </w:p>
    <w:p w14:paraId="790FF72D"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التحليل الاستراتيجي (</w:t>
      </w:r>
      <w:r w:rsidRPr="003D1437">
        <w:rPr>
          <w:rFonts w:ascii="Traditional Arabic" w:hAnsi="Traditional Arabic" w:cs="Traditional Arabic"/>
          <w:b/>
          <w:bCs/>
          <w:sz w:val="28"/>
          <w:szCs w:val="28"/>
          <w:lang w:bidi="ar-EG"/>
        </w:rPr>
        <w:t>Efficiency of Strategic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يعبر هذا البعد عن قدرة المنظمة على جمع وتحليل المعلومات بعمق لفهم بيئتها الداخلية والخارجية، ويعتبر حجر الزاوية لجودة الخطة (الدجني، 2011).</w:t>
      </w:r>
    </w:p>
    <w:p w14:paraId="748A7DAB"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صياغة الأهداف الاستراتيجية (</w:t>
      </w:r>
      <w:r w:rsidRPr="003D1437">
        <w:rPr>
          <w:rFonts w:ascii="Traditional Arabic" w:hAnsi="Traditional Arabic" w:cs="Traditional Arabic"/>
          <w:b/>
          <w:bCs/>
          <w:sz w:val="28"/>
          <w:szCs w:val="28"/>
          <w:lang w:bidi="ar-EG"/>
        </w:rPr>
        <w:t>Efficiency of Formulating Strategic Goals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تتحقق هذه الكفاءة عندما تكون الأهداف التي تضعها المنظمة واضحة ومحددة وواقعية وقابلة للقياس ومتوافقة مع رؤية ورسالة المؤسسة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000400F0"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التنفيذ والمتابعة (</w:t>
      </w:r>
      <w:r w:rsidRPr="003D1437">
        <w:rPr>
          <w:rFonts w:ascii="Traditional Arabic" w:hAnsi="Traditional Arabic" w:cs="Traditional Arabic"/>
          <w:b/>
          <w:bCs/>
          <w:sz w:val="28"/>
          <w:szCs w:val="28"/>
          <w:lang w:bidi="ar-EG"/>
        </w:rPr>
        <w:t>Efficiency of Implementation and Monitoring</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يشمل هذا البعد تحويل الأهداف الاستراتيجية إلى مهام واضحة، ووجود آلية منتظمة لمراجعة التقدم المحرز من خلال مؤشرات الأداء الرئيسية (</w:t>
      </w:r>
      <w:r w:rsidRPr="003D1437">
        <w:rPr>
          <w:rFonts w:ascii="Traditional Arabic" w:hAnsi="Traditional Arabic" w:cs="Traditional Arabic"/>
          <w:sz w:val="28"/>
          <w:szCs w:val="28"/>
          <w:lang w:bidi="ar-EG"/>
        </w:rPr>
        <w:t>KPIs</w:t>
      </w:r>
      <w:r w:rsidRPr="003D1437">
        <w:rPr>
          <w:rFonts w:ascii="Traditional Arabic" w:hAnsi="Traditional Arabic" w:cs="Traditional Arabic"/>
          <w:sz w:val="28"/>
          <w:szCs w:val="28"/>
          <w:rtl/>
        </w:rPr>
        <w:t>) واتخاذ الإجراءات التصحيحية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34A49562"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تخصيص الموارد (</w:t>
      </w:r>
      <w:r w:rsidRPr="003D1437">
        <w:rPr>
          <w:rFonts w:ascii="Traditional Arabic" w:hAnsi="Traditional Arabic" w:cs="Traditional Arabic"/>
          <w:b/>
          <w:bCs/>
          <w:sz w:val="28"/>
          <w:szCs w:val="28"/>
          <w:lang w:bidi="ar-EG"/>
        </w:rPr>
        <w:t>Efficiency of Resource Allocation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تتجلى هذه الكفاءة في قدرة المنظمة على ربط أهدافها الاستراتيجية بالموارد اللازمة (المالية، البشرية، التكنولوجية) لتحقيقها بشكل فعال ومواءمتها مع الأولويات (</w:t>
      </w:r>
      <w:r w:rsidRPr="003D1437">
        <w:rPr>
          <w:rFonts w:ascii="Traditional Arabic" w:hAnsi="Traditional Arabic" w:cs="Traditional Arabic"/>
          <w:sz w:val="28"/>
          <w:szCs w:val="28"/>
          <w:lang w:bidi="ar-EG"/>
        </w:rPr>
        <w:t>Orosoo et al., 2023</w:t>
      </w:r>
      <w:r w:rsidRPr="003D1437">
        <w:rPr>
          <w:rFonts w:ascii="Traditional Arabic" w:hAnsi="Traditional Arabic" w:cs="Traditional Arabic"/>
          <w:sz w:val="28"/>
          <w:szCs w:val="28"/>
          <w:rtl/>
        </w:rPr>
        <w:t>).</w:t>
      </w:r>
    </w:p>
    <w:p w14:paraId="1986D7D9" w14:textId="77777777" w:rsidR="00781B53" w:rsidRPr="003D1437" w:rsidRDefault="00781B53" w:rsidP="00F45B45">
      <w:pPr>
        <w:bidi/>
        <w:jc w:val="lowKashida"/>
        <w:rPr>
          <w:rFonts w:ascii="Traditional Arabic" w:hAnsi="Traditional Arabic" w:cs="Traditional Arabic"/>
          <w:b/>
          <w:bCs/>
          <w:sz w:val="28"/>
          <w:szCs w:val="28"/>
          <w:rtl/>
          <w:lang w:bidi="ar-EG"/>
        </w:rPr>
      </w:pPr>
    </w:p>
    <w:p w14:paraId="2903B229" w14:textId="55F0FF81" w:rsidR="00F45B45" w:rsidRPr="003D1437" w:rsidRDefault="00F45B45" w:rsidP="00781B5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أبعاد المتغير الوسيط (التكيف التكنولوجي):</w:t>
      </w:r>
    </w:p>
    <w:p w14:paraId="0DD6A33B"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الأدبيات، سيتم قياس المتغير الوسيط من خلال الأبعاد المتكاملة التالية:</w:t>
      </w:r>
    </w:p>
    <w:p w14:paraId="7E40BF78" w14:textId="77777777" w:rsidR="00F45B45" w:rsidRPr="003D1437" w:rsidRDefault="00F45B45">
      <w:pPr>
        <w:numPr>
          <w:ilvl w:val="0"/>
          <w:numId w:val="2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الأبعاد الاستراتيجية (</w:t>
      </w:r>
      <w:r w:rsidRPr="003D1437">
        <w:rPr>
          <w:rFonts w:ascii="Traditional Arabic" w:hAnsi="Traditional Arabic" w:cs="Traditional Arabic"/>
          <w:b/>
          <w:bCs/>
          <w:sz w:val="28"/>
          <w:szCs w:val="28"/>
          <w:lang w:bidi="ar-EG"/>
        </w:rPr>
        <w:t>Strategic Dimensions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كيفية دمج التكنولوجيا في استراتيجية المنظمة، ويشمل مراحل الاستيعاب، والاستخدام، والدمج (</w:t>
      </w:r>
      <w:r w:rsidRPr="003D1437">
        <w:rPr>
          <w:rFonts w:ascii="Traditional Arabic" w:hAnsi="Traditional Arabic" w:cs="Traditional Arabic"/>
          <w:sz w:val="28"/>
          <w:szCs w:val="28"/>
          <w:lang w:bidi="ar-EG"/>
        </w:rPr>
        <w:t>Fosso Wamba, 2022; Emon</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Khan, 2025</w:t>
      </w:r>
      <w:r w:rsidRPr="003D1437">
        <w:rPr>
          <w:rFonts w:ascii="Traditional Arabic" w:hAnsi="Traditional Arabic" w:cs="Traditional Arabic"/>
          <w:sz w:val="28"/>
          <w:szCs w:val="28"/>
          <w:rtl/>
        </w:rPr>
        <w:t>).</w:t>
      </w:r>
    </w:p>
    <w:p w14:paraId="14FE6D86" w14:textId="77777777" w:rsidR="00F45B45" w:rsidRPr="003D1437" w:rsidRDefault="00F45B45">
      <w:pPr>
        <w:numPr>
          <w:ilvl w:val="0"/>
          <w:numId w:val="2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الأبعاد التنظيمية (</w:t>
      </w:r>
      <w:r w:rsidRPr="003D1437">
        <w:rPr>
          <w:rFonts w:ascii="Traditional Arabic" w:hAnsi="Traditional Arabic" w:cs="Traditional Arabic"/>
          <w:b/>
          <w:bCs/>
          <w:sz w:val="28"/>
          <w:szCs w:val="28"/>
          <w:lang w:bidi="ar-EG"/>
        </w:rPr>
        <w:t>Organizational Dimensions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يتناول هذا البعد خصائص المنظمة التي تسهل التكيف، وتشمل الثقافة التنظيمية الداعمة للابتكار، والهيكل التنظيمي المرن، وتوفر الموارد اللازمة (</w:t>
      </w:r>
      <w:r w:rsidRPr="003D1437">
        <w:rPr>
          <w:rFonts w:ascii="Traditional Arabic" w:hAnsi="Traditional Arabic" w:cs="Traditional Arabic"/>
          <w:sz w:val="28"/>
          <w:szCs w:val="28"/>
          <w:lang w:bidi="ar-EG"/>
        </w:rPr>
        <w:t>Anning-Dorson, 2021; Adiguzel, Cakir</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Ozbay, 2024</w:t>
      </w:r>
      <w:r w:rsidRPr="003D1437">
        <w:rPr>
          <w:rFonts w:ascii="Traditional Arabic" w:hAnsi="Traditional Arabic" w:cs="Traditional Arabic"/>
          <w:sz w:val="28"/>
          <w:szCs w:val="28"/>
          <w:rtl/>
        </w:rPr>
        <w:t>).</w:t>
      </w:r>
    </w:p>
    <w:p w14:paraId="7FBC6067" w14:textId="77777777" w:rsidR="00F45B45" w:rsidRDefault="00F45B45">
      <w:pPr>
        <w:numPr>
          <w:ilvl w:val="0"/>
          <w:numId w:val="29"/>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الأبعاد الفردية (</w:t>
      </w:r>
      <w:r w:rsidRPr="003D1437">
        <w:rPr>
          <w:rFonts w:ascii="Traditional Arabic" w:hAnsi="Traditional Arabic" w:cs="Traditional Arabic"/>
          <w:b/>
          <w:bCs/>
          <w:sz w:val="28"/>
          <w:szCs w:val="28"/>
          <w:lang w:bidi="ar-EG"/>
        </w:rPr>
        <w:t>Individual Dimensions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الأفراد داخل المنظمة، ويشمل جاهزيتهم النفسية والمعرفية، وامتلاكهم للمهارات الرقمية، ومدى قبولهم الطوعي والمستمر للتكنولوجيا (</w:t>
      </w:r>
      <w:r w:rsidRPr="003D1437">
        <w:rPr>
          <w:rFonts w:ascii="Traditional Arabic" w:hAnsi="Traditional Arabic" w:cs="Traditional Arabic"/>
          <w:sz w:val="28"/>
          <w:szCs w:val="28"/>
          <w:lang w:bidi="ar-EG"/>
        </w:rPr>
        <w:t>Asghar et al., 2023; Emon</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Khan, 2025</w:t>
      </w:r>
      <w:r w:rsidRPr="003D1437">
        <w:rPr>
          <w:rFonts w:ascii="Traditional Arabic" w:hAnsi="Traditional Arabic" w:cs="Traditional Arabic"/>
          <w:sz w:val="28"/>
          <w:szCs w:val="28"/>
          <w:rtl/>
        </w:rPr>
        <w:t>).</w:t>
      </w:r>
    </w:p>
    <w:p w14:paraId="4D014CE4" w14:textId="0338A639" w:rsidR="006D5279" w:rsidRPr="007D353E" w:rsidRDefault="006D5279" w:rsidP="006D5279">
      <w:pPr>
        <w:pStyle w:val="Heading2"/>
        <w:rPr>
          <w:rtl/>
        </w:rPr>
      </w:pPr>
      <w:bookmarkStart w:id="33" w:name="_Toc236402645"/>
      <w:r w:rsidRPr="007D353E">
        <w:rPr>
          <w:rtl/>
        </w:rPr>
        <w:t>1.9 منهجية وهيكل الدراسة</w:t>
      </w:r>
      <w:bookmarkEnd w:id="33"/>
    </w:p>
    <w:p w14:paraId="45EFA264"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sz w:val="28"/>
          <w:szCs w:val="28"/>
          <w:rtl/>
        </w:rPr>
        <w:t>اعتمدت هذه الدراسة على المنهج الوصفي التحليلي الكمي لاختبار أثر تطبيقات الذكاء الاصطناعي على كفاءة التخطيط الاستراتيجي ودور التكيف التكنولوجي كمتغير وسيط. وتكون مجتمع الدراسة المتاح من الكوادر الإدارية والقيادية والإشرافية بالإدارة العامة للتعليم بمنطقة مكة المكرمة، حيث أُتبع أسلوب الحصر الشامل وتم جمع البيانات الأولية عبر استبيان إلكتروني محكّم ومصمم وفق مقياس ليكرت الخماسي، وتمت معالجة البيانات إحصائياً باستخدام حزمة البرامج الإحصائية للعلوم الاجتماعية (</w:t>
      </w:r>
      <w:r w:rsidRPr="007D353E">
        <w:rPr>
          <w:rFonts w:ascii="Traditional Arabic" w:hAnsi="Traditional Arabic" w:cs="Traditional Arabic"/>
          <w:sz w:val="28"/>
          <w:szCs w:val="28"/>
        </w:rPr>
        <w:t>SPSS</w:t>
      </w:r>
      <w:r w:rsidRPr="007D353E">
        <w:rPr>
          <w:rFonts w:ascii="Traditional Arabic" w:hAnsi="Traditional Arabic" w:cs="Traditional Arabic"/>
          <w:sz w:val="28"/>
          <w:szCs w:val="28"/>
          <w:rtl/>
        </w:rPr>
        <w:t>) وتطبيق تحليل المسار الانحداري واختبارات المعادلات البنائية لتفسير العلاقات المباشرة وغير المباشرة واختبار الفرضيات.</w:t>
      </w:r>
    </w:p>
    <w:p w14:paraId="1535AED2"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sz w:val="28"/>
          <w:szCs w:val="28"/>
          <w:rtl/>
        </w:rPr>
        <w:t>ولتحقيق أهداف الدراسة وعرض نتائجها بشكل منطقي ومتسلسل، تم تنظيم الرسالة في خمسة فصول رئيسية على النحو التالي:</w:t>
      </w:r>
    </w:p>
    <w:p w14:paraId="4780759F"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الفصل الأول: الإطار المنهجي للدراسة:</w:t>
      </w:r>
      <w:r w:rsidRPr="007D353E">
        <w:rPr>
          <w:rFonts w:ascii="Traditional Arabic" w:hAnsi="Traditional Arabic" w:cs="Traditional Arabic"/>
          <w:sz w:val="28"/>
          <w:szCs w:val="28"/>
          <w:rtl/>
        </w:rPr>
        <w:t xml:space="preserve"> ويتناول المقدمة، ومشكلة الدراسة، وأهميتها، وأهدافها، وفرضياتها، ونموذجها، والمنهج المتبع، والمصطلحات، وملخص المنهجية وهيكل الدراسة.</w:t>
      </w:r>
    </w:p>
    <w:p w14:paraId="262D2B9B"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الفصل الثاني: الإطار النظري والدراسات السابقة:</w:t>
      </w:r>
      <w:r w:rsidRPr="007D353E">
        <w:rPr>
          <w:rFonts w:ascii="Traditional Arabic" w:hAnsi="Traditional Arabic" w:cs="Traditional Arabic"/>
          <w:sz w:val="28"/>
          <w:szCs w:val="28"/>
          <w:rtl/>
        </w:rPr>
        <w:t xml:space="preserve"> ويتضمن استعراضاً نظرياً شاملاً لمتغيرات الدراسة (الذكاء الاصطناعي، التكيف التكنولوجي، كفاءة التخطيط الاستراتيجي) والعلاقات بينها، إضافة إلى التعقيب على الأدبيات والدراسات السابقة وتحديد الفجوة البحثية.</w:t>
      </w:r>
    </w:p>
    <w:p w14:paraId="2DEEA0CB"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lastRenderedPageBreak/>
        <w:t>الفصل الثالث: منهجية الدراسة:</w:t>
      </w:r>
      <w:r w:rsidRPr="007D353E">
        <w:rPr>
          <w:rFonts w:ascii="Traditional Arabic" w:hAnsi="Traditional Arabic" w:cs="Traditional Arabic"/>
          <w:sz w:val="28"/>
          <w:szCs w:val="28"/>
          <w:rtl/>
        </w:rPr>
        <w:t xml:space="preserve"> ويشمل فلسفة الباحث، والمنهج، والتصميم، والاستراتيجية، والنطاق الزمني والجغرافي، ومجتمع وعينة الدراسة، وأداة جمع البيانات وقياس المتغيرات، وصدق وثبات الأداة، والأساليب الإحصائية المستخدمة.</w:t>
      </w:r>
    </w:p>
    <w:p w14:paraId="369B4A2A"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الفصل الرابع: نتائج الدراسة:</w:t>
      </w:r>
      <w:r w:rsidRPr="007D353E">
        <w:rPr>
          <w:rFonts w:ascii="Traditional Arabic" w:hAnsi="Traditional Arabic" w:cs="Traditional Arabic"/>
          <w:sz w:val="28"/>
          <w:szCs w:val="28"/>
          <w:rtl/>
        </w:rPr>
        <w:t xml:space="preserve"> ويقدم عرضاً تفصيلياً للنتائج الميدانية، والتحليلات الوصفية، واختبارات فرضيات الدراسة المباشرة وغير المباشرة وتحليل المسار الهيكلي.</w:t>
      </w:r>
    </w:p>
    <w:p w14:paraId="7E78EC7E"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الفصل الخامس: مناقشة النتائج والتوصيات:</w:t>
      </w:r>
      <w:r w:rsidRPr="007D353E">
        <w:rPr>
          <w:rFonts w:ascii="Traditional Arabic" w:hAnsi="Traditional Arabic" w:cs="Traditional Arabic"/>
          <w:sz w:val="28"/>
          <w:szCs w:val="28"/>
          <w:rtl/>
        </w:rPr>
        <w:t xml:space="preserve"> ويشتمل على تفسير النتائج ومناقشتها في ضوء الإطار النظري والدراسات السابقة، وصياغة التوصيات الإجرائية، واقتراح أبحاث مستقبلية، والختام.</w:t>
      </w:r>
    </w:p>
    <w:p w14:paraId="0015A9AB"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المراجع:</w:t>
      </w:r>
      <w:r w:rsidRPr="007D353E">
        <w:rPr>
          <w:rFonts w:ascii="Traditional Arabic" w:hAnsi="Traditional Arabic" w:cs="Traditional Arabic"/>
          <w:sz w:val="28"/>
          <w:szCs w:val="28"/>
          <w:rtl/>
        </w:rPr>
        <w:t xml:space="preserve"> وتضم قائمة بكافة المراجع العربية والأجنبية المُوثقة في الرسالة وفق نظام </w:t>
      </w:r>
      <w:r w:rsidRPr="007D353E">
        <w:rPr>
          <w:rFonts w:ascii="Traditional Arabic" w:hAnsi="Traditional Arabic" w:cs="Traditional Arabic"/>
          <w:sz w:val="28"/>
          <w:szCs w:val="28"/>
        </w:rPr>
        <w:t>APA</w:t>
      </w:r>
      <w:r w:rsidRPr="007D353E">
        <w:rPr>
          <w:rFonts w:ascii="Traditional Arabic" w:hAnsi="Traditional Arabic" w:cs="Traditional Arabic"/>
          <w:sz w:val="28"/>
          <w:szCs w:val="28"/>
          <w:rtl/>
        </w:rPr>
        <w:t>.</w:t>
      </w:r>
    </w:p>
    <w:p w14:paraId="5A1ABD64" w14:textId="77777777" w:rsidR="006D5279" w:rsidRPr="007D353E" w:rsidRDefault="006D5279" w:rsidP="006D5279">
      <w:pPr>
        <w:numPr>
          <w:ilvl w:val="1"/>
          <w:numId w:val="46"/>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الملاحق:</w:t>
      </w:r>
      <w:r w:rsidRPr="007D353E">
        <w:rPr>
          <w:rFonts w:ascii="Traditional Arabic" w:hAnsi="Traditional Arabic" w:cs="Traditional Arabic"/>
          <w:sz w:val="28"/>
          <w:szCs w:val="28"/>
          <w:rtl/>
        </w:rPr>
        <w:t xml:space="preserve"> وتتضمن أداة جمع البيانات (الاستبيان) والخطابات الرسمية ذات الصلة.</w:t>
      </w:r>
    </w:p>
    <w:p w14:paraId="0347B9BB" w14:textId="77777777" w:rsidR="006D5279" w:rsidRPr="006D5279" w:rsidRDefault="006D5279" w:rsidP="006D5279">
      <w:pPr>
        <w:bidi/>
        <w:jc w:val="lowKashida"/>
        <w:rPr>
          <w:rFonts w:ascii="Traditional Arabic" w:hAnsi="Traditional Arabic" w:cs="Traditional Arabic"/>
          <w:sz w:val="28"/>
          <w:szCs w:val="28"/>
          <w:rtl/>
        </w:rPr>
      </w:pPr>
    </w:p>
    <w:p w14:paraId="55AA4B76" w14:textId="77777777" w:rsidR="006D5279" w:rsidRPr="003D1437" w:rsidRDefault="006D5279" w:rsidP="006D5279">
      <w:pPr>
        <w:bidi/>
        <w:jc w:val="lowKashida"/>
        <w:rPr>
          <w:rFonts w:ascii="Traditional Arabic" w:hAnsi="Traditional Arabic" w:cs="Traditional Arabic"/>
          <w:sz w:val="28"/>
          <w:szCs w:val="28"/>
          <w:rtl/>
        </w:rPr>
      </w:pPr>
    </w:p>
    <w:p w14:paraId="469D33E4" w14:textId="77777777" w:rsidR="003A3444" w:rsidRPr="003D1437" w:rsidRDefault="003A3444" w:rsidP="003A3444">
      <w:pPr>
        <w:bidi/>
        <w:jc w:val="lowKashida"/>
        <w:rPr>
          <w:rFonts w:ascii="Traditional Arabic" w:hAnsi="Traditional Arabic" w:cs="Traditional Arabic"/>
          <w:sz w:val="28"/>
          <w:szCs w:val="28"/>
        </w:rPr>
      </w:pPr>
    </w:p>
    <w:p w14:paraId="568F8282" w14:textId="77777777" w:rsidR="0030632E" w:rsidRPr="003D1437" w:rsidRDefault="0030632E" w:rsidP="00FE70A4">
      <w:pPr>
        <w:pStyle w:val="Heading1"/>
        <w:rPr>
          <w:rtl/>
        </w:rPr>
        <w:sectPr w:rsidR="0030632E" w:rsidRPr="003D1437" w:rsidSect="005222BC">
          <w:pgSz w:w="12240" w:h="15840"/>
          <w:pgMar w:top="1440" w:right="1440" w:bottom="1440" w:left="1440" w:header="720" w:footer="720" w:gutter="0"/>
          <w:cols w:space="720"/>
          <w:docGrid w:linePitch="360"/>
        </w:sectPr>
      </w:pPr>
    </w:p>
    <w:p w14:paraId="41667241" w14:textId="77777777" w:rsidR="00781B53" w:rsidRPr="003D1437" w:rsidRDefault="00781B53" w:rsidP="00781B53">
      <w:pPr>
        <w:pStyle w:val="Heading1"/>
        <w:rPr>
          <w:rtl/>
        </w:rPr>
      </w:pPr>
      <w:bookmarkStart w:id="34" w:name="_Toc233422615"/>
    </w:p>
    <w:p w14:paraId="53B5EF13" w14:textId="77777777" w:rsidR="00781B53" w:rsidRPr="003D1437" w:rsidRDefault="00781B53" w:rsidP="00781B53">
      <w:pPr>
        <w:pStyle w:val="Heading1"/>
        <w:rPr>
          <w:rtl/>
        </w:rPr>
      </w:pPr>
    </w:p>
    <w:p w14:paraId="44F7C86E" w14:textId="77777777" w:rsidR="00781B53" w:rsidRPr="003D1437" w:rsidRDefault="00781B53" w:rsidP="00781B53">
      <w:pPr>
        <w:pStyle w:val="Heading1"/>
        <w:rPr>
          <w:rtl/>
        </w:rPr>
      </w:pPr>
    </w:p>
    <w:p w14:paraId="1E2981B0" w14:textId="77777777" w:rsidR="00781B53" w:rsidRPr="003D1437" w:rsidRDefault="00781B53" w:rsidP="00781B53">
      <w:pPr>
        <w:pStyle w:val="Heading1"/>
        <w:rPr>
          <w:rtl/>
        </w:rPr>
      </w:pPr>
    </w:p>
    <w:p w14:paraId="59C283D9" w14:textId="77777777" w:rsidR="00781B53" w:rsidRPr="003D1437" w:rsidRDefault="00781B53" w:rsidP="00781B53">
      <w:pPr>
        <w:pStyle w:val="Heading1"/>
        <w:rPr>
          <w:rtl/>
        </w:rPr>
      </w:pPr>
    </w:p>
    <w:p w14:paraId="08C9105E" w14:textId="77777777" w:rsidR="00781B53" w:rsidRPr="003D1437" w:rsidRDefault="00781B53" w:rsidP="00781B53">
      <w:pPr>
        <w:pStyle w:val="Heading1"/>
        <w:rPr>
          <w:rtl/>
        </w:rPr>
      </w:pPr>
    </w:p>
    <w:p w14:paraId="3291B5C0" w14:textId="77777777" w:rsidR="00781B53" w:rsidRPr="003D1437" w:rsidRDefault="00781B53" w:rsidP="00781B53">
      <w:pPr>
        <w:pStyle w:val="Heading1"/>
        <w:rPr>
          <w:rtl/>
        </w:rPr>
      </w:pPr>
    </w:p>
    <w:p w14:paraId="038C2F5D" w14:textId="24858D7D" w:rsidR="00781B53" w:rsidRPr="003D1437" w:rsidRDefault="00781B53" w:rsidP="00781B53">
      <w:pPr>
        <w:pStyle w:val="Heading1"/>
        <w:rPr>
          <w:b w:val="0"/>
          <w:bCs w:val="0"/>
          <w:sz w:val="48"/>
          <w:szCs w:val="48"/>
          <w:rtl/>
        </w:rPr>
      </w:pPr>
      <w:bookmarkStart w:id="35" w:name="_Toc235065272"/>
      <w:bookmarkStart w:id="36" w:name="_Toc236402646"/>
      <w:r w:rsidRPr="003D1437">
        <w:rPr>
          <w:rFonts w:hint="cs"/>
          <w:sz w:val="48"/>
          <w:szCs w:val="48"/>
          <w:rtl/>
        </w:rPr>
        <w:t>الفصل الثاني: ال</w:t>
      </w:r>
      <w:r w:rsidRPr="003D1437">
        <w:rPr>
          <w:sz w:val="48"/>
          <w:szCs w:val="48"/>
          <w:rtl/>
        </w:rPr>
        <w:t xml:space="preserve">إطار </w:t>
      </w:r>
      <w:r w:rsidRPr="003D1437">
        <w:rPr>
          <w:rFonts w:hint="cs"/>
          <w:sz w:val="48"/>
          <w:szCs w:val="48"/>
          <w:rtl/>
        </w:rPr>
        <w:t>ال</w:t>
      </w:r>
      <w:r w:rsidRPr="003D1437">
        <w:rPr>
          <w:sz w:val="48"/>
          <w:szCs w:val="48"/>
          <w:rtl/>
        </w:rPr>
        <w:t>نظري</w:t>
      </w:r>
      <w:bookmarkEnd w:id="35"/>
      <w:bookmarkEnd w:id="36"/>
    </w:p>
    <w:p w14:paraId="65136D75" w14:textId="77777777" w:rsidR="00781B53" w:rsidRPr="003D1437" w:rsidRDefault="00781B53" w:rsidP="006924ED">
      <w:pPr>
        <w:pStyle w:val="Heading1"/>
        <w:rPr>
          <w:rtl/>
        </w:rPr>
        <w:sectPr w:rsidR="00781B53" w:rsidRPr="003D1437" w:rsidSect="00781B53">
          <w:pgSz w:w="12240" w:h="15840"/>
          <w:pgMar w:top="1440" w:right="1440" w:bottom="1440" w:left="1440" w:header="720" w:footer="720" w:gutter="0"/>
          <w:cols w:space="720"/>
          <w:titlePg/>
          <w:docGrid w:linePitch="360"/>
        </w:sectPr>
      </w:pPr>
    </w:p>
    <w:p w14:paraId="1671CC1A" w14:textId="45C9EAE9" w:rsidR="0030632E" w:rsidRPr="003D1437" w:rsidRDefault="00071B42" w:rsidP="00781B53">
      <w:pPr>
        <w:pStyle w:val="Heading1"/>
        <w:rPr>
          <w:b w:val="0"/>
          <w:bCs w:val="0"/>
          <w:sz w:val="38"/>
          <w:szCs w:val="38"/>
          <w:rtl/>
        </w:rPr>
      </w:pPr>
      <w:bookmarkStart w:id="37" w:name="_Toc236402647"/>
      <w:r w:rsidRPr="003D1437">
        <w:rPr>
          <w:rFonts w:hint="cs"/>
          <w:rtl/>
        </w:rPr>
        <w:lastRenderedPageBreak/>
        <w:t>الفصل الثاني</w:t>
      </w:r>
      <w:bookmarkEnd w:id="34"/>
      <w:r w:rsidR="00781B53" w:rsidRPr="003D1437">
        <w:rPr>
          <w:rFonts w:hint="cs"/>
          <w:rtl/>
        </w:rPr>
        <w:t xml:space="preserve">: </w:t>
      </w:r>
      <w:r w:rsidR="0030632E" w:rsidRPr="003D1437">
        <w:rPr>
          <w:rFonts w:hint="cs"/>
          <w:sz w:val="38"/>
          <w:szCs w:val="38"/>
          <w:rtl/>
        </w:rPr>
        <w:t>ال</w:t>
      </w:r>
      <w:r w:rsidR="0030632E" w:rsidRPr="003D1437">
        <w:rPr>
          <w:sz w:val="38"/>
          <w:szCs w:val="38"/>
          <w:rtl/>
        </w:rPr>
        <w:t xml:space="preserve">إطار </w:t>
      </w:r>
      <w:r w:rsidR="0030632E" w:rsidRPr="003D1437">
        <w:rPr>
          <w:rFonts w:hint="cs"/>
          <w:sz w:val="38"/>
          <w:szCs w:val="38"/>
          <w:rtl/>
        </w:rPr>
        <w:t>ال</w:t>
      </w:r>
      <w:r w:rsidR="0030632E" w:rsidRPr="003D1437">
        <w:rPr>
          <w:sz w:val="38"/>
          <w:szCs w:val="38"/>
          <w:rtl/>
        </w:rPr>
        <w:t>نظري</w:t>
      </w:r>
      <w:bookmarkEnd w:id="37"/>
    </w:p>
    <w:p w14:paraId="26AFC7BB" w14:textId="4C317A05" w:rsidR="0030632E" w:rsidRPr="003D1437" w:rsidRDefault="0030632E" w:rsidP="006924ED">
      <w:pPr>
        <w:pStyle w:val="Heading2"/>
        <w:rPr>
          <w:rtl/>
        </w:rPr>
      </w:pPr>
      <w:bookmarkStart w:id="38" w:name="_Toc233422616"/>
      <w:bookmarkStart w:id="39" w:name="_Toc236402648"/>
      <w:r w:rsidRPr="003D1437">
        <w:rPr>
          <w:rFonts w:hint="cs"/>
          <w:rtl/>
        </w:rPr>
        <w:t>تمهيد</w:t>
      </w:r>
      <w:bookmarkEnd w:id="38"/>
      <w:bookmarkEnd w:id="39"/>
    </w:p>
    <w:p w14:paraId="65EB052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عصر يتسم بالتحولات الرقمية المتسارعة، أصبح الذكاء الاصطناعي (</w:t>
      </w:r>
      <w:r w:rsidRPr="003D1437">
        <w:rPr>
          <w:rFonts w:ascii="Traditional Arabic" w:hAnsi="Traditional Arabic" w:cs="Traditional Arabic"/>
          <w:sz w:val="28"/>
          <w:szCs w:val="28"/>
          <w:lang w:bidi="ar-EG"/>
        </w:rPr>
        <w:t>AI</w:t>
      </w:r>
      <w:r w:rsidRPr="003D1437">
        <w:rPr>
          <w:rFonts w:ascii="Traditional Arabic" w:hAnsi="Traditional Arabic" w:cs="Traditional Arabic"/>
          <w:sz w:val="28"/>
          <w:szCs w:val="28"/>
          <w:rtl/>
        </w:rPr>
        <w:t>) قوة دافعة رئيسية تعيد تشكيل مختلف القطاعات، بما في ذلك قطاع التعليم. إن قدرة الذكاء الاصطناعي على تحليل كميات هائلة من البيانات، وأتمتة العمليات المعقدة، وتقديم رؤى تنبؤية، تفتح آفاقًا جديدة لتعزيز كفاءة وفعالية المؤسسات التعليمية (</w:t>
      </w:r>
      <w:r w:rsidRPr="003D1437">
        <w:rPr>
          <w:rFonts w:ascii="Traditional Arabic" w:hAnsi="Traditional Arabic" w:cs="Traditional Arabic"/>
          <w:sz w:val="28"/>
          <w:szCs w:val="28"/>
          <w:lang w:bidi="ar-EG"/>
        </w:rPr>
        <w:t>Al-Surmi et al., 2022</w:t>
      </w:r>
      <w:r w:rsidRPr="003D1437">
        <w:rPr>
          <w:rFonts w:ascii="Traditional Arabic" w:hAnsi="Traditional Arabic" w:cs="Traditional Arabic"/>
          <w:sz w:val="28"/>
          <w:szCs w:val="28"/>
          <w:rtl/>
        </w:rPr>
        <w:t>). ومع ذلك، فإن تحقيق الفائدة القصوى من هذه التقنيات لا يعتمد فقط على توفرها، بل يرتبط بشكل جوهري بمدى قدرة المنظمات على التكيف معها ودمجها في نسيجها التشغيلي والاستراتيجي (</w:t>
      </w:r>
      <w:r w:rsidRPr="003D1437">
        <w:rPr>
          <w:rFonts w:ascii="Traditional Arabic" w:hAnsi="Traditional Arabic" w:cs="Traditional Arabic"/>
          <w:sz w:val="28"/>
          <w:szCs w:val="28"/>
          <w:lang w:bidi="ar-EG"/>
        </w:rPr>
        <w:t>Asghar et al., 2023</w:t>
      </w:r>
      <w:r w:rsidRPr="003D1437">
        <w:rPr>
          <w:rFonts w:ascii="Traditional Arabic" w:hAnsi="Traditional Arabic" w:cs="Traditional Arabic"/>
          <w:sz w:val="28"/>
          <w:szCs w:val="28"/>
          <w:rtl/>
        </w:rPr>
        <w:t>). من هنا، تبرز أهمية مفهوم "التكيف التكنولوجي" كعامل حاسم يحدد نجاح تبني الذكاء الاصطناعي وتأثيره على الأداء التنظيمي، وتحديداً على كفاءة التخطيط الاستراتيجي.</w:t>
      </w:r>
    </w:p>
    <w:p w14:paraId="04313F9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التخطيط الاستراتيجي حجر الزاوية في توجيه المؤسسات نحو تحقيق أهدافها المستقبلية، وضمان استدامتها في بيئة تنافسية ومتغيرة. وفي قطاع التعليم، يكتسب هذا التخطيط أهمية مضاعفة، حيث يتعلق الأمر ببناء مستقبل الأجيال وتنمية المجتمعات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 يمكن للذكاء الاصطناعي أن يثري عملية التخطيط الاستراتيجي من خلال تزويد صانعي القرار بتحليلات معمقة قائمة على الأدلة، مما يؤدي إلى اتخاذ قرارات أفضل وتحسين النتائج (</w:t>
      </w:r>
      <w:r w:rsidRPr="003D1437">
        <w:rPr>
          <w:rFonts w:ascii="Traditional Arabic" w:hAnsi="Traditional Arabic" w:cs="Traditional Arabic"/>
          <w:sz w:val="28"/>
          <w:szCs w:val="28"/>
          <w:lang w:bidi="ar-EG"/>
        </w:rPr>
        <w:t>Borges et al., 2021</w:t>
      </w:r>
      <w:r w:rsidRPr="003D1437">
        <w:rPr>
          <w:rFonts w:ascii="Traditional Arabic" w:hAnsi="Traditional Arabic" w:cs="Traditional Arabic"/>
          <w:sz w:val="28"/>
          <w:szCs w:val="28"/>
          <w:rtl/>
        </w:rPr>
        <w:t>). كما أن توظيف حلول التكنولوجيا الحديثة يضع المنظمات بين مطرقة ضرورة التطوير وسندان حتمية البقاء في السوق ومواجهة المنافسين (السيد وعلي، 2024).</w:t>
      </w:r>
    </w:p>
    <w:p w14:paraId="7060A9C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وعليه، يهدف هذا الإطار النظري المتكامل إلى استكشاف العلاقة الديناميكية بين الذكاء الاصطناعي، والتكيف التكنولوجي، وكفاءة التخطيط الاستراتيجي، مع التركيز على إدارة التعليم في مكة المكرمة كحالة دراسية. ويسعى هذا الإطار إلى تفكيك هذه العلاقة المعقدة من خلال تحليل دور التكيف التكنولوجي كمتغير وسيط، أي كجسر يعبر من خلاله تأثير الذكاء الاصطناعي ليصل إلى تعزيز كفاءة التخطيط الاستراتيجي.</w:t>
      </w:r>
    </w:p>
    <w:p w14:paraId="13DA643A" w14:textId="19C6B20E" w:rsidR="00627BF5" w:rsidRPr="003D1437" w:rsidRDefault="00627BF5" w:rsidP="006924ED">
      <w:pPr>
        <w:pStyle w:val="Heading2"/>
        <w:rPr>
          <w:rtl/>
        </w:rPr>
      </w:pPr>
      <w:bookmarkStart w:id="40" w:name="_Toc233422617"/>
      <w:bookmarkStart w:id="41" w:name="_Toc236402649"/>
      <w:r w:rsidRPr="003D1437">
        <w:rPr>
          <w:rtl/>
        </w:rPr>
        <w:t xml:space="preserve">المبحث الأول: </w:t>
      </w:r>
      <w:r w:rsidR="00D03A0A" w:rsidRPr="003D1437">
        <w:rPr>
          <w:rtl/>
        </w:rPr>
        <w:t>التكيف التكنولوجي</w:t>
      </w:r>
      <w:bookmarkEnd w:id="40"/>
      <w:bookmarkEnd w:id="41"/>
    </w:p>
    <w:p w14:paraId="3C43C91B" w14:textId="27EACCCF" w:rsidR="00627BF5" w:rsidRPr="003D1437" w:rsidRDefault="00D03A0A"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يتناول هذا المبحث المفهوم متعدد الأبعاد للتكيف التكنولوجي، مع التركيز على استيعاب وتطبيق التقنيات الحديثة داخل المؤسسات التعليمية. إن فهم كيفية تكيف المنظمات التعليمية مع الأدوات والأنظمة الجديدة يعد أمرًا بالغ الأهمية، حيث إنه يحدد مدى قدرتها على الاستفادة من الابتكارات مثل الذكاء الاصطناعي لتحسين عملياتها وأدائها العام</w:t>
      </w:r>
      <w:r w:rsidRPr="003D1437">
        <w:rPr>
          <w:rFonts w:ascii="Traditional Arabic" w:hAnsi="Traditional Arabic" w:cs="Traditional Arabic" w:hint="cs"/>
          <w:sz w:val="28"/>
          <w:szCs w:val="28"/>
          <w:rtl/>
        </w:rPr>
        <w:t>.</w:t>
      </w:r>
    </w:p>
    <w:p w14:paraId="3205F5E0" w14:textId="77777777" w:rsidR="00781B53" w:rsidRPr="003D1437" w:rsidRDefault="00781B53" w:rsidP="00071B42">
      <w:pPr>
        <w:bidi/>
        <w:jc w:val="lowKashida"/>
        <w:rPr>
          <w:rFonts w:ascii="Traditional Arabic" w:hAnsi="Traditional Arabic" w:cs="Traditional Arabic"/>
          <w:b/>
          <w:bCs/>
          <w:sz w:val="28"/>
          <w:szCs w:val="28"/>
          <w:rtl/>
        </w:rPr>
      </w:pPr>
    </w:p>
    <w:p w14:paraId="568D69B6" w14:textId="77777777" w:rsidR="00781B53" w:rsidRPr="003D1437" w:rsidRDefault="00781B53" w:rsidP="00781B53">
      <w:pPr>
        <w:bidi/>
        <w:jc w:val="lowKashida"/>
        <w:rPr>
          <w:rFonts w:ascii="Traditional Arabic" w:hAnsi="Traditional Arabic" w:cs="Traditional Arabic"/>
          <w:b/>
          <w:bCs/>
          <w:sz w:val="28"/>
          <w:szCs w:val="28"/>
          <w:rtl/>
        </w:rPr>
      </w:pPr>
    </w:p>
    <w:p w14:paraId="0F86E7F4" w14:textId="29B66D57" w:rsidR="00627BF5" w:rsidRPr="003D1437" w:rsidRDefault="00627BF5" w:rsidP="00863B90">
      <w:pPr>
        <w:pStyle w:val="Heading3"/>
        <w:rPr>
          <w:rtl/>
        </w:rPr>
      </w:pPr>
      <w:bookmarkStart w:id="42" w:name="_Toc236402650"/>
      <w:r w:rsidRPr="003D1437">
        <w:rPr>
          <w:rFonts w:hint="cs"/>
          <w:rtl/>
        </w:rPr>
        <w:lastRenderedPageBreak/>
        <w:t>أولا:</w:t>
      </w:r>
      <w:r w:rsidRPr="003D1437">
        <w:rPr>
          <w:rtl/>
        </w:rPr>
        <w:t xml:space="preserve"> ماهية التكيف التكنولوجي وأبعاده</w:t>
      </w:r>
      <w:bookmarkEnd w:id="42"/>
    </w:p>
    <w:p w14:paraId="457D38A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يمثل التكيف التكنولوجي عملية معقدة تتجاوز مجرد امتلاك التكنولوجيا لتشمل كيفية دمجها واستخدامها بفعالية لتحقيق الأهداف التنظيمية. يمكن النظر إليه من زوايا متعددة، تشمل الجوانب الاستراتيجية والتنظيمية والفردية، والتي تتفاعل معًا لتحديد مستوى نضج المنظمة في تبني الابتكارات.</w:t>
      </w:r>
    </w:p>
    <w:p w14:paraId="6FF2732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مفهوم التكيف التكنولوجي في المنظمات</w:t>
      </w:r>
    </w:p>
    <w:p w14:paraId="4338398B" w14:textId="7C9BAD32"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يُعرَّف التكيف التكنولوجي بأنه العملية التي من خلالها تقوم المنظمة بتبني ودمج واستخدام تقنيات جديدة لتحسين عملياتها، وتعزيز قدراتها، وتحقيق أهدافها الاستراتيجية. لا تقتصر هذه العملية على الجانب الفني المتمثل في تركيب الأجهزة والبرامج، بل تمتد لتشمل تغييرات في الهياكل التنظيمية، وثقافة العمل، ومهارات الموظفين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إنها قدرة المنظمة على الاستجابة للتغيرات البيئية من خلال إعادة تشكيل مواردها وقدراتها، خاصة تلك المتعلقة بالتكنولوجيا، وتعتبر جزءًا لا يتجزأ من المرونة التنظيمية، التي تُعرَّف بأنها قدرة المنظمة على تحمل الصعوبات والتكيف مع العوامل البيئية غير المؤكدة وغير المتوقعة باستخدام قدراتها التنظيمية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w:t>
      </w:r>
    </w:p>
    <w:p w14:paraId="5F0460F0" w14:textId="3D204A7E"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سياق التعليم، يعني التكيف التكنولوجي تحويل العمليات الإدارية والتعليمية التقليدية إلى نماذج أكثر كفاءة وفعالية مدعومة بالتكنولوجيا. على سبيل المثال، يمكن أن يساعد استخدام التكنولوجيا الموظفين على إنتاج المزيد من العمل بجهد أقل، كما أن تطوير التكنولوجيا يؤثر على الإنتاجية والكفاءة التنظيمية من خلال التغييرات في التقنيات والسياسات. ويتطلب هذا التكيف وجود مديرين يتمتعون بمهارات إدارية عالية لتوجيه هذه العملية وضمان تحقيقها للنتائج المرجوة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ويشير بعض الباحثين إلى أن المهارات الإدارية المتقدمة ضرورية لتطبيق التغيير التكنولوجي وتحديث التكنولوجيا بنجاح (</w:t>
      </w:r>
      <w:r w:rsidRPr="003D1437">
        <w:rPr>
          <w:rFonts w:ascii="Traditional Arabic" w:hAnsi="Traditional Arabic" w:cs="Traditional Arabic"/>
          <w:sz w:val="28"/>
          <w:szCs w:val="28"/>
        </w:rPr>
        <w:t>Beaudry and Francois, 2010</w:t>
      </w:r>
      <w:r w:rsidRPr="003D1437">
        <w:rPr>
          <w:rFonts w:ascii="Traditional Arabic" w:hAnsi="Traditional Arabic" w:cs="Traditional Arabic"/>
          <w:sz w:val="28"/>
          <w:szCs w:val="28"/>
          <w:rtl/>
        </w:rPr>
        <w:t>).</w:t>
      </w:r>
    </w:p>
    <w:p w14:paraId="1745A882" w14:textId="3038294D" w:rsidR="009234F9" w:rsidRPr="003D1437" w:rsidRDefault="009234F9" w:rsidP="009234F9">
      <w:pPr>
        <w:bidi/>
        <w:jc w:val="lowKashida"/>
        <w:rPr>
          <w:rFonts w:ascii="Traditional Arabic" w:hAnsi="Traditional Arabic" w:cs="Traditional Arabic"/>
          <w:b/>
          <w:bCs/>
          <w:sz w:val="28"/>
          <w:szCs w:val="28"/>
          <w:rtl/>
        </w:rPr>
      </w:pPr>
      <w:r w:rsidRPr="003D1437">
        <w:rPr>
          <w:rFonts w:ascii="Traditional Arabic" w:hAnsi="Traditional Arabic" w:cs="Traditional Arabic"/>
          <w:sz w:val="28"/>
          <w:szCs w:val="28"/>
          <w:rtl/>
        </w:rPr>
        <w:t xml:space="preserve">وفي ضوء ما سبق، يقترح الباحث التعريف الإجرائي التالي للتكيف التكنولوجي: </w:t>
      </w:r>
      <w:r w:rsidRPr="003D1437">
        <w:rPr>
          <w:rFonts w:ascii="Traditional Arabic" w:hAnsi="Traditional Arabic" w:cs="Traditional Arabic"/>
          <w:b/>
          <w:bCs/>
          <w:sz w:val="28"/>
          <w:szCs w:val="28"/>
          <w:rtl/>
        </w:rPr>
        <w:t>"مدى جاهزية وقدرة الإدارة العامة للتعليم بمكة المكرمة، على المستويات الاستراتيجية والتنظيمية والفردية، على استيعاب ودمج واستخدام تطبيقات الذكاء الاصطناعي ب</w:t>
      </w:r>
      <w:r w:rsidR="00945E73" w:rsidRPr="003D1437">
        <w:rPr>
          <w:rFonts w:ascii="Traditional Arabic" w:hAnsi="Traditional Arabic" w:cs="Traditional Arabic"/>
          <w:b/>
          <w:bCs/>
          <w:sz w:val="28"/>
          <w:szCs w:val="28"/>
          <w:rtl/>
        </w:rPr>
        <w:t>كفاءة</w:t>
      </w:r>
      <w:r w:rsidRPr="003D1437">
        <w:rPr>
          <w:rFonts w:ascii="Traditional Arabic" w:hAnsi="Traditional Arabic" w:cs="Traditional Arabic"/>
          <w:b/>
          <w:bCs/>
          <w:sz w:val="28"/>
          <w:szCs w:val="28"/>
          <w:rtl/>
        </w:rPr>
        <w:t>، بما يشمل البنية التحتية، والثقافة التنظيمية، والمهارات البشرية اللازمة لتحقيق أهدافها."</w:t>
      </w:r>
    </w:p>
    <w:p w14:paraId="59C4223E" w14:textId="50FB41A4" w:rsidR="009234F9" w:rsidRPr="003D1437" w:rsidRDefault="009234F9" w:rsidP="009234F9">
      <w:pPr>
        <w:bidi/>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 xml:space="preserve">2. </w:t>
      </w:r>
      <w:r w:rsidRPr="003D1437">
        <w:rPr>
          <w:rFonts w:ascii="Traditional Arabic" w:hAnsi="Traditional Arabic" w:cs="Traditional Arabic"/>
          <w:b/>
          <w:bCs/>
          <w:sz w:val="28"/>
          <w:szCs w:val="28"/>
          <w:rtl/>
        </w:rPr>
        <w:t>أبعاد التكيف التكنولوجي</w:t>
      </w:r>
    </w:p>
    <w:p w14:paraId="204A3446" w14:textId="546282EF"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مراجعة الأدبيات، تم تحديد الأبعاد التالية لقياس التكيف التكنولوجي:</w:t>
      </w:r>
    </w:p>
    <w:p w14:paraId="4607B00D" w14:textId="198B1805"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hint="cs"/>
          <w:b/>
          <w:bCs/>
          <w:sz w:val="28"/>
          <w:szCs w:val="28"/>
          <w:rtl/>
        </w:rPr>
        <w:t>أ</w:t>
      </w:r>
      <w:r w:rsidR="00627BF5" w:rsidRPr="003D1437">
        <w:rPr>
          <w:rFonts w:ascii="Traditional Arabic" w:hAnsi="Traditional Arabic" w:cs="Traditional Arabic"/>
          <w:b/>
          <w:bCs/>
          <w:sz w:val="28"/>
          <w:szCs w:val="28"/>
          <w:rtl/>
        </w:rPr>
        <w:t>. الأبعاد الاستراتيجية للتكيف التكنولوجي (الاستيعاب، الاستخدام، الدمج)</w:t>
      </w:r>
    </w:p>
    <w:p w14:paraId="2FF9CCE6"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تقسيم التكيف التكنولوجي من منظور استراتيجي إلى ثلاث مراحل أو أبعاد رئيسية:</w:t>
      </w:r>
    </w:p>
    <w:p w14:paraId="1D3655CB" w14:textId="7952ACB4" w:rsidR="00627BF5" w:rsidRPr="003D1437" w:rsidRDefault="00627BF5">
      <w:pPr>
        <w:numPr>
          <w:ilvl w:val="0"/>
          <w:numId w:val="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الاستيعاب (</w:t>
      </w:r>
      <w:r w:rsidRPr="003D1437">
        <w:rPr>
          <w:rFonts w:ascii="Traditional Arabic" w:hAnsi="Traditional Arabic" w:cs="Traditional Arabic"/>
          <w:b/>
          <w:bCs/>
          <w:sz w:val="28"/>
          <w:szCs w:val="28"/>
          <w:lang w:bidi="ar-EG"/>
        </w:rPr>
        <w:t>Assimilation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يمثل هذا البعد المرحلة الأولية التي تدرك فيها المنظمة أهمية التكنولوجيا الجديدة وتقرر تبنيها (</w:t>
      </w:r>
      <w:r w:rsidR="005B2603" w:rsidRPr="003D1437">
        <w:rPr>
          <w:rFonts w:ascii="Traditional Arabic" w:hAnsi="Traditional Arabic" w:cs="Traditional Arabic"/>
          <w:sz w:val="28"/>
          <w:szCs w:val="28"/>
        </w:rPr>
        <w:t>Fosso Wamba, 2022</w:t>
      </w:r>
      <w:r w:rsidR="005B2603" w:rsidRPr="003D1437">
        <w:rPr>
          <w:rFonts w:ascii="Traditional Arabic" w:hAnsi="Traditional Arabic" w:cs="Traditional Arabic"/>
          <w:sz w:val="28"/>
          <w:szCs w:val="28"/>
          <w:rtl/>
        </w:rPr>
        <w:t>). في هذه المرحلة، يتم تقييم الفوائد المحتملة والمخاطر المرتبطة بالتكنولوجيا، ووضع الخطط الأولية لكيفية الحصول عليها. يعتمد نجاح هذه المرحلة على قدرة المنظمة على استشعار التغيرات في البيئة التكنولوجية وتحديد الفرص التي يمكن اغتنامها (</w:t>
      </w:r>
      <w:r w:rsidR="005B2603" w:rsidRPr="003D1437">
        <w:rPr>
          <w:rFonts w:ascii="Traditional Arabic" w:hAnsi="Traditional Arabic" w:cs="Traditional Arabic"/>
          <w:sz w:val="28"/>
          <w:szCs w:val="28"/>
        </w:rPr>
        <w:t>Teece, 2007</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4886161A" w14:textId="52A652F4" w:rsidR="00627BF5" w:rsidRPr="003D1437" w:rsidRDefault="00627BF5">
      <w:pPr>
        <w:numPr>
          <w:ilvl w:val="0"/>
          <w:numId w:val="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الاستخدام (</w:t>
      </w:r>
      <w:r w:rsidRPr="003D1437">
        <w:rPr>
          <w:rFonts w:ascii="Traditional Arabic" w:hAnsi="Traditional Arabic" w:cs="Traditional Arabic"/>
          <w:b/>
          <w:bCs/>
          <w:sz w:val="28"/>
          <w:szCs w:val="28"/>
          <w:lang w:bidi="ar-EG"/>
        </w:rPr>
        <w:t>Usage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بعد استيعاب التكنولوجيا، يأتي بعد الاستخدام الفعلي لها في العمليات اليومية. لا يتعلق هذا البعد بمجرد استخدام التكنولوجيا، بل بمدى كثافة وعمق هذا الاستخدام (</w:t>
      </w:r>
      <w:r w:rsidR="005B2603" w:rsidRPr="003D1437">
        <w:rPr>
          <w:rFonts w:ascii="Traditional Arabic" w:hAnsi="Traditional Arabic" w:cs="Traditional Arabic"/>
          <w:sz w:val="28"/>
          <w:szCs w:val="28"/>
        </w:rPr>
        <w:t>Emon &amp; Khan, 2025</w:t>
      </w:r>
      <w:r w:rsidR="005B2603" w:rsidRPr="003D1437">
        <w:rPr>
          <w:rFonts w:ascii="Traditional Arabic" w:hAnsi="Traditional Arabic" w:cs="Traditional Arabic"/>
          <w:sz w:val="28"/>
          <w:szCs w:val="28"/>
          <w:rtl/>
        </w:rPr>
        <w:t>). على سبيل المثال، في إدارة التعليم، قد يشمل ذلك استخدام أنظمة معلومات الطلاب، أو منصات التعلم الإلكتروني، أو أدوات تحليل البيانات. وتعتبر الظروف الميسرة، مثل البنية التحتية والدعم الفني، عاملاً حاسماً في تعزيز الاستخدام الفعلي للتكنولوجيا (</w:t>
      </w:r>
      <w:r w:rsidR="005B2603" w:rsidRPr="003D1437">
        <w:rPr>
          <w:rFonts w:ascii="Traditional Arabic" w:hAnsi="Traditional Arabic" w:cs="Traditional Arabic"/>
          <w:sz w:val="28"/>
          <w:szCs w:val="28"/>
        </w:rPr>
        <w:t>Venkatesh et al., 2003</w:t>
      </w:r>
      <w:r w:rsidR="005B2603" w:rsidRPr="003D1437">
        <w:rPr>
          <w:rFonts w:ascii="Traditional Arabic" w:hAnsi="Traditional Arabic" w:cs="Traditional Arabic"/>
          <w:sz w:val="28"/>
          <w:szCs w:val="28"/>
          <w:rtl/>
        </w:rPr>
        <w:t>).</w:t>
      </w:r>
    </w:p>
    <w:p w14:paraId="5B0AB69D" w14:textId="1FD4BE95" w:rsidR="00627BF5" w:rsidRPr="003D1437" w:rsidRDefault="00627BF5">
      <w:pPr>
        <w:numPr>
          <w:ilvl w:val="0"/>
          <w:numId w:val="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الدمج (</w:t>
      </w:r>
      <w:r w:rsidRPr="003D1437">
        <w:rPr>
          <w:rFonts w:ascii="Traditional Arabic" w:hAnsi="Traditional Arabic" w:cs="Traditional Arabic"/>
          <w:b/>
          <w:bCs/>
          <w:sz w:val="28"/>
          <w:szCs w:val="28"/>
          <w:lang w:bidi="ar-EG"/>
        </w:rPr>
        <w:t>Integration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يمثل هذا البعد المستوى الأكثر نضجًا في التكيف التكنولوجي، حيث لا تعود التكنولوجيا مجرد أداة مساعدة، بل تصبح جزءًا لا يتجزأ من استراتيجية المنظمة وعملياتها الأساسية. يعني الدمج أن التكنولوجيا تدعم وتعزز جميع جوانب العمل، بدءًا من التخطيط الاستراتيجي وصولًا إلى تقديم الخدمات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 يتطلب الدمج الفعال مواءمة التكنولوجيا مع الهيكل التنظيمي وثقافة العمل، وهو ما يعزز القدرة على تحقيق ميزة تنافسية مستدامة (</w:t>
      </w:r>
      <w:r w:rsidR="005B2603" w:rsidRPr="003D1437">
        <w:rPr>
          <w:rFonts w:ascii="Traditional Arabic" w:hAnsi="Traditional Arabic" w:cs="Traditional Arabic"/>
          <w:sz w:val="28"/>
          <w:szCs w:val="28"/>
        </w:rPr>
        <w:t>Barney, 1991</w:t>
      </w:r>
      <w:r w:rsidR="005B2603" w:rsidRPr="003D1437">
        <w:rPr>
          <w:rFonts w:ascii="Traditional Arabic" w:hAnsi="Traditional Arabic" w:cs="Traditional Arabic"/>
          <w:sz w:val="28"/>
          <w:szCs w:val="28"/>
          <w:rtl/>
        </w:rPr>
        <w:t>). إن دمج أنظمة الذكاء الاصطناعي في أنظمة تخطيط موارد المؤسسات (</w:t>
      </w:r>
      <w:r w:rsidR="005B2603" w:rsidRPr="003D1437">
        <w:rPr>
          <w:rFonts w:ascii="Traditional Arabic" w:hAnsi="Traditional Arabic" w:cs="Traditional Arabic"/>
          <w:sz w:val="28"/>
          <w:szCs w:val="28"/>
        </w:rPr>
        <w:t>ERP</w:t>
      </w:r>
      <w:r w:rsidR="005B2603" w:rsidRPr="003D1437">
        <w:rPr>
          <w:rFonts w:ascii="Traditional Arabic" w:hAnsi="Traditional Arabic" w:cs="Traditional Arabic"/>
          <w:sz w:val="28"/>
          <w:szCs w:val="28"/>
          <w:rtl/>
        </w:rPr>
        <w:t>) يمثل تحولاً من الممارسات التقليدية، مما يسهل التفاعلات الشخصية، ويحسن النمذجة التنبؤية، وأتمتة الخدمة بكفاءة (</w:t>
      </w:r>
      <w:r w:rsidR="005B2603" w:rsidRPr="003D1437">
        <w:rPr>
          <w:rFonts w:ascii="Traditional Arabic" w:hAnsi="Traditional Arabic" w:cs="Traditional Arabic"/>
          <w:sz w:val="28"/>
          <w:szCs w:val="28"/>
        </w:rPr>
        <w:t>Journal, 2024</w:t>
      </w:r>
      <w:r w:rsidR="005B2603" w:rsidRPr="003D1437">
        <w:rPr>
          <w:rFonts w:ascii="Traditional Arabic" w:hAnsi="Traditional Arabic" w:cs="Traditional Arabic"/>
          <w:sz w:val="28"/>
          <w:szCs w:val="28"/>
          <w:rtl/>
        </w:rPr>
        <w:t>).</w:t>
      </w:r>
    </w:p>
    <w:p w14:paraId="450C96B4" w14:textId="164AFECA"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hint="cs"/>
          <w:b/>
          <w:bCs/>
          <w:sz w:val="28"/>
          <w:szCs w:val="28"/>
          <w:rtl/>
        </w:rPr>
        <w:t>ب</w:t>
      </w:r>
      <w:r w:rsidR="00627BF5" w:rsidRPr="003D1437">
        <w:rPr>
          <w:rFonts w:ascii="Traditional Arabic" w:hAnsi="Traditional Arabic" w:cs="Traditional Arabic"/>
          <w:b/>
          <w:bCs/>
          <w:sz w:val="28"/>
          <w:szCs w:val="28"/>
          <w:rtl/>
        </w:rPr>
        <w:t>. الأبعاد التنظيمية للتكيف التكنولوجي (الثقافة التنظيمية، الهيكل التنظيمي، الموارد)</w:t>
      </w:r>
    </w:p>
    <w:p w14:paraId="0EFE3FE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يتأثر نجاح التكيف التكنولوجي بشكل كبير بخصائص المنظمة نفسها. تشمل الأبعاد التنظيمية الرئيسية ما يلي:</w:t>
      </w:r>
    </w:p>
    <w:p w14:paraId="4AE713FB" w14:textId="542F769D" w:rsidR="00627BF5" w:rsidRPr="003D1437" w:rsidRDefault="00627BF5">
      <w:pPr>
        <w:numPr>
          <w:ilvl w:val="0"/>
          <w:numId w:val="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الثقافة التنظيمية (</w:t>
      </w:r>
      <w:r w:rsidRPr="003D1437">
        <w:rPr>
          <w:rFonts w:ascii="Traditional Arabic" w:hAnsi="Traditional Arabic" w:cs="Traditional Arabic"/>
          <w:b/>
          <w:bCs/>
          <w:sz w:val="28"/>
          <w:szCs w:val="28"/>
          <w:lang w:bidi="ar-EG"/>
        </w:rPr>
        <w:t>Organizational Culture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تشير الثقافة التنظيمية إلى القيم والمعتقدات والممارسات المشتركة داخل المنظمة. إن الثقافة التي تشجع على الابتكار، وتقبل التغيير، وتدعم التعلم المستمر، تسهل بشكل كبير عملية التكيف التكنولوجي (</w:t>
      </w:r>
      <w:r w:rsidR="005B2603" w:rsidRPr="003D1437">
        <w:rPr>
          <w:rFonts w:ascii="Traditional Arabic" w:hAnsi="Traditional Arabic" w:cs="Traditional Arabic"/>
          <w:sz w:val="28"/>
          <w:szCs w:val="28"/>
        </w:rPr>
        <w:t>Anning-Dorson, 2021</w:t>
      </w:r>
      <w:r w:rsidR="005B2603" w:rsidRPr="003D1437">
        <w:rPr>
          <w:rFonts w:ascii="Traditional Arabic" w:hAnsi="Traditional Arabic" w:cs="Traditional Arabic"/>
          <w:sz w:val="28"/>
          <w:szCs w:val="28"/>
          <w:rtl/>
        </w:rPr>
        <w:t>). وعندما تعزز القيادة ثقافة تقدر التجريب وتتعلم من الأخطاء، يكون الموظفون أكثر استعدادًا لتبني أدوات وتقنيات جديدة. يجادل بعض الباحثين بأن ثقافة الابتكار تلعب دورًا حاسمًا في تسهيل دمج تقنيات الذكاء الاصطناعي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w:t>
      </w:r>
    </w:p>
    <w:p w14:paraId="1DF65675" w14:textId="3664B23B" w:rsidR="00627BF5" w:rsidRPr="003D1437" w:rsidRDefault="00627BF5">
      <w:pPr>
        <w:numPr>
          <w:ilvl w:val="0"/>
          <w:numId w:val="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الهيكل التنظيمي (</w:t>
      </w:r>
      <w:r w:rsidRPr="003D1437">
        <w:rPr>
          <w:rFonts w:ascii="Traditional Arabic" w:hAnsi="Traditional Arabic" w:cs="Traditional Arabic"/>
          <w:b/>
          <w:bCs/>
          <w:sz w:val="28"/>
          <w:szCs w:val="28"/>
          <w:lang w:bidi="ar-EG"/>
        </w:rPr>
        <w:t>Organizational Structure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 xml:space="preserve">يمكن أن يكون الهيكل التنظيمي إما عامل تمكين أو عائق أمام التكيف التكنولوجي. الهياكل التنظيمية المرنة واللامركزية، التي تسمح بتدفق المعلومات بسلاسة وتشجع على التعاون بين الأقسام، تكون أكثر قدرة على التكيف مع التقنيات الجديدة مقارنة بالهياكل الهرمية والجامدة. على سبيل المثال، يمكن </w:t>
      </w:r>
      <w:r w:rsidR="005B2603" w:rsidRPr="003D1437">
        <w:rPr>
          <w:rFonts w:ascii="Traditional Arabic" w:hAnsi="Traditional Arabic" w:cs="Traditional Arabic"/>
          <w:sz w:val="28"/>
          <w:szCs w:val="28"/>
          <w:rtl/>
        </w:rPr>
        <w:lastRenderedPageBreak/>
        <w:t>للمنظمات التي تتمتع بمرونة هيكلية أن تغير بنيتها بسرعة للاستجابة لظروف العمل المتغيرة دون التأثير سلبًا على جودة الخدمة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0E5F8AEB" w14:textId="3C432BD2" w:rsidR="00627BF5" w:rsidRPr="003D1437" w:rsidRDefault="00627BF5">
      <w:pPr>
        <w:numPr>
          <w:ilvl w:val="0"/>
          <w:numId w:val="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الموارد (</w:t>
      </w:r>
      <w:r w:rsidRPr="003D1437">
        <w:rPr>
          <w:rFonts w:ascii="Traditional Arabic" w:hAnsi="Traditional Arabic" w:cs="Traditional Arabic"/>
          <w:b/>
          <w:bCs/>
          <w:sz w:val="28"/>
          <w:szCs w:val="28"/>
          <w:lang w:bidi="ar-EG"/>
        </w:rPr>
        <w:t>Resources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تعد الموارد المتاحة، سواء كانت مالية أو بشرية أو تكنولوجية، عاملاً حاسماً في عملية التكيف. يتطلب تبني تقنيات جديدة مثل الذكاء الاصطناعي استثمارات كبيرة في البنية التحتية، وتدريب الموظفين، وتوظيف خبراء متخصصين. تؤكد نظرية العرض المعتمد على الموارد (</w:t>
      </w:r>
      <w:r w:rsidR="005B2603" w:rsidRPr="003D1437">
        <w:rPr>
          <w:rFonts w:ascii="Traditional Arabic" w:hAnsi="Traditional Arabic" w:cs="Traditional Arabic"/>
          <w:sz w:val="28"/>
          <w:szCs w:val="28"/>
        </w:rPr>
        <w:t>RBV</w:t>
      </w:r>
      <w:r w:rsidR="005B2603" w:rsidRPr="003D1437">
        <w:rPr>
          <w:rFonts w:ascii="Traditional Arabic" w:hAnsi="Traditional Arabic" w:cs="Traditional Arabic"/>
          <w:sz w:val="28"/>
          <w:szCs w:val="28"/>
          <w:rtl/>
        </w:rPr>
        <w:t>) أن الموارد والقدرات الفريدة للمنظمة، مثل الجاهزية للذكاء الاصطناعي، هي أساس ميزتها التنافسية (</w:t>
      </w:r>
      <w:r w:rsidR="005B2603" w:rsidRPr="003D1437">
        <w:rPr>
          <w:rFonts w:ascii="Traditional Arabic" w:hAnsi="Traditional Arabic" w:cs="Traditional Arabic"/>
          <w:sz w:val="28"/>
          <w:szCs w:val="28"/>
        </w:rPr>
        <w:t>Adiguzel, Cakir, &amp; Ozbay, 2024; Barney, 1991</w:t>
      </w:r>
      <w:r w:rsidR="005B2603" w:rsidRPr="003D1437">
        <w:rPr>
          <w:rFonts w:ascii="Traditional Arabic" w:hAnsi="Traditional Arabic" w:cs="Traditional Arabic"/>
          <w:sz w:val="28"/>
          <w:szCs w:val="28"/>
          <w:rtl/>
        </w:rPr>
        <w:t>). لذلك، يجب على المنظمات تخصيص الموارد الكافية لضمان نجاح مبادرات التكيف التكنولوجي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026106A2" w14:textId="3D6B53CA"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hint="cs"/>
          <w:b/>
          <w:bCs/>
          <w:sz w:val="28"/>
          <w:szCs w:val="28"/>
          <w:rtl/>
        </w:rPr>
        <w:t>ج</w:t>
      </w:r>
      <w:r w:rsidR="00627BF5" w:rsidRPr="003D1437">
        <w:rPr>
          <w:rFonts w:ascii="Traditional Arabic" w:hAnsi="Traditional Arabic" w:cs="Traditional Arabic"/>
          <w:b/>
          <w:bCs/>
          <w:sz w:val="28"/>
          <w:szCs w:val="28"/>
          <w:rtl/>
        </w:rPr>
        <w:t>. الأبعاد الفردية للتكيف التكنولوجي (الجاهزية، المهارات، القبول)</w:t>
      </w:r>
    </w:p>
    <w:p w14:paraId="5F481D3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نهاية المطاف، يتم التكيف التكنولوجي من خلال الأفراد داخل المنظمة. لذلك، تعتبر الأبعاد الفردية ذات أهمية قصوى.</w:t>
      </w:r>
    </w:p>
    <w:p w14:paraId="6C968354" w14:textId="6913F300" w:rsidR="00627BF5" w:rsidRPr="003D1437" w:rsidRDefault="00627BF5">
      <w:pPr>
        <w:numPr>
          <w:ilvl w:val="0"/>
          <w:numId w:val="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الجاهزية (</w:t>
      </w:r>
      <w:r w:rsidRPr="003D1437">
        <w:rPr>
          <w:rFonts w:ascii="Traditional Arabic" w:hAnsi="Traditional Arabic" w:cs="Traditional Arabic"/>
          <w:b/>
          <w:bCs/>
          <w:sz w:val="28"/>
          <w:szCs w:val="28"/>
          <w:lang w:bidi="ar-EG"/>
        </w:rPr>
        <w:t>Readiness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تشير الجاهزية إلى مدى استعداد الموظفين نفسياً ومعرفياً لتبني التكنولوجيا الجديدة. تتأثر هذه الجاهزية بعوامل مثل تصورات الموظفين حول سهولة استخدام التكنولوجيا (</w:t>
      </w:r>
      <w:r w:rsidR="005B2603" w:rsidRPr="003D1437">
        <w:rPr>
          <w:rFonts w:ascii="Traditional Arabic" w:hAnsi="Traditional Arabic" w:cs="Traditional Arabic"/>
          <w:sz w:val="28"/>
          <w:szCs w:val="28"/>
        </w:rPr>
        <w:t>Effort Expectancy</w:t>
      </w:r>
      <w:r w:rsidR="005B2603" w:rsidRPr="003D1437">
        <w:rPr>
          <w:rFonts w:ascii="Traditional Arabic" w:hAnsi="Traditional Arabic" w:cs="Traditional Arabic"/>
          <w:sz w:val="28"/>
          <w:szCs w:val="28"/>
          <w:rtl/>
        </w:rPr>
        <w:t xml:space="preserve">) وفوائدها المتوقعة </w:t>
      </w:r>
      <w:r w:rsidR="005B2603" w:rsidRPr="003D1437">
        <w:rPr>
          <w:rFonts w:ascii="Traditional Arabic" w:hAnsi="Traditional Arabic" w:cs="Traditional Arabic"/>
          <w:sz w:val="28"/>
          <w:szCs w:val="28"/>
        </w:rPr>
        <w:t>(Performance Expectancy) (Venkatesh et al., 2003)</w:t>
      </w:r>
      <w:r w:rsidR="005B2603" w:rsidRPr="003D1437">
        <w:rPr>
          <w:rFonts w:ascii="Traditional Arabic" w:hAnsi="Traditional Arabic" w:cs="Traditional Arabic"/>
          <w:sz w:val="28"/>
          <w:szCs w:val="28"/>
          <w:rtl/>
        </w:rPr>
        <w:t>. إن الجاهزية للذكاء الاصطناعي (</w:t>
      </w:r>
      <w:r w:rsidR="005B2603" w:rsidRPr="003D1437">
        <w:rPr>
          <w:rFonts w:ascii="Traditional Arabic" w:hAnsi="Traditional Arabic" w:cs="Traditional Arabic"/>
          <w:sz w:val="28"/>
          <w:szCs w:val="28"/>
        </w:rPr>
        <w:t>AI Readiness</w:t>
      </w:r>
      <w:r w:rsidR="005B2603" w:rsidRPr="003D1437">
        <w:rPr>
          <w:rFonts w:ascii="Traditional Arabic" w:hAnsi="Traditional Arabic" w:cs="Traditional Arabic"/>
          <w:sz w:val="28"/>
          <w:szCs w:val="28"/>
          <w:rtl/>
        </w:rPr>
        <w:t>) هي استعداد المعرفة والمهارات لاستخدام تطبيقات الذكاء الاصطناعي بخبرة لأداء خدمة أو إنتاج (</w:t>
      </w:r>
      <w:r w:rsidR="005B2603" w:rsidRPr="003D1437">
        <w:rPr>
          <w:rFonts w:ascii="Traditional Arabic" w:hAnsi="Traditional Arabic" w:cs="Traditional Arabic"/>
          <w:sz w:val="28"/>
          <w:szCs w:val="28"/>
        </w:rPr>
        <w:t>Flavián et al., 2022</w:t>
      </w:r>
      <w:r w:rsidR="005B2603" w:rsidRPr="003D1437">
        <w:rPr>
          <w:rFonts w:ascii="Traditional Arabic" w:hAnsi="Traditional Arabic" w:cs="Traditional Arabic"/>
          <w:sz w:val="28"/>
          <w:szCs w:val="28"/>
          <w:rtl/>
        </w:rPr>
        <w:t>).</w:t>
      </w:r>
    </w:p>
    <w:p w14:paraId="65391A03" w14:textId="77777777" w:rsidR="00627BF5" w:rsidRPr="003D1437" w:rsidRDefault="00627BF5">
      <w:pPr>
        <w:numPr>
          <w:ilvl w:val="0"/>
          <w:numId w:val="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المهارات (</w:t>
      </w:r>
      <w:r w:rsidRPr="003D1437">
        <w:rPr>
          <w:rFonts w:ascii="Traditional Arabic" w:hAnsi="Traditional Arabic" w:cs="Traditional Arabic"/>
          <w:b/>
          <w:bCs/>
          <w:sz w:val="28"/>
          <w:szCs w:val="28"/>
          <w:lang w:bidi="ar-EG"/>
        </w:rPr>
        <w:t>Skills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يعد امتلاك الموظفين للمهارات الرقمية اللازمة شرطًا أساسيًا للاستخدام الفعال للتكنولوجيا. لا تقتصر هذه المهارات على القدرة على استخدام أجهزة الكمبيوتر، بل تشمل مهارات أكثر تقدمًا مثل تحليل البيانات، والتفكير النقدي، وحل المشكلات باستخدام الأدوات الرقمية (</w:t>
      </w:r>
      <w:r w:rsidRPr="003D1437">
        <w:rPr>
          <w:rFonts w:ascii="Traditional Arabic" w:hAnsi="Traditional Arabic" w:cs="Traditional Arabic"/>
          <w:sz w:val="28"/>
          <w:szCs w:val="28"/>
          <w:lang w:bidi="ar-EG"/>
        </w:rPr>
        <w:t>Orosoo et al., 2023</w:t>
      </w:r>
      <w:r w:rsidRPr="003D1437">
        <w:rPr>
          <w:rFonts w:ascii="Traditional Arabic" w:hAnsi="Traditional Arabic" w:cs="Traditional Arabic"/>
          <w:sz w:val="28"/>
          <w:szCs w:val="28"/>
          <w:rtl/>
        </w:rPr>
        <w:t>). تحتاج المنظمات إلى الاستثمار في برامج التدريب والتطوير لضمان امتلاك موظفيها للمهارات اللازمة لمواكبة التطورات التكنولوجية (</w:t>
      </w:r>
      <w:r w:rsidRPr="003D1437">
        <w:rPr>
          <w:rFonts w:ascii="Traditional Arabic" w:hAnsi="Traditional Arabic" w:cs="Traditional Arabic"/>
          <w:sz w:val="28"/>
          <w:szCs w:val="28"/>
          <w:lang w:bidi="ar-EG"/>
        </w:rPr>
        <w:t>Asghar et al., 2023</w:t>
      </w:r>
      <w:r w:rsidRPr="003D1437">
        <w:rPr>
          <w:rFonts w:ascii="Traditional Arabic" w:hAnsi="Traditional Arabic" w:cs="Traditional Arabic"/>
          <w:sz w:val="28"/>
          <w:szCs w:val="28"/>
          <w:rtl/>
        </w:rPr>
        <w:t>).</w:t>
      </w:r>
    </w:p>
    <w:p w14:paraId="5AA7BF87" w14:textId="3F94F14C" w:rsidR="00627BF5" w:rsidRPr="003D1437" w:rsidRDefault="00627BF5">
      <w:pPr>
        <w:numPr>
          <w:ilvl w:val="0"/>
          <w:numId w:val="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القبول (</w:t>
      </w:r>
      <w:r w:rsidRPr="003D1437">
        <w:rPr>
          <w:rFonts w:ascii="Traditional Arabic" w:hAnsi="Traditional Arabic" w:cs="Traditional Arabic"/>
          <w:b/>
          <w:bCs/>
          <w:sz w:val="28"/>
          <w:szCs w:val="28"/>
          <w:lang w:bidi="ar-EG"/>
        </w:rPr>
        <w:t>Acceptance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القبول هو المرحلة النهائية التي يقرر فيها الأفراد استخدام التكنولوجيا بشكل طوعي ومستمر. يتأثر القبول بمجموعة من العوامل المعرفية والعاطفية، بما في ذلك الموقف تجاه التكنولوجيا (</w:t>
      </w:r>
      <w:r w:rsidR="005B2603" w:rsidRPr="003D1437">
        <w:rPr>
          <w:rFonts w:ascii="Traditional Arabic" w:hAnsi="Traditional Arabic" w:cs="Traditional Arabic"/>
          <w:sz w:val="28"/>
          <w:szCs w:val="28"/>
        </w:rPr>
        <w:t>Attitude Towards Technology</w:t>
      </w:r>
      <w:r w:rsidR="005B2603" w:rsidRPr="003D1437">
        <w:rPr>
          <w:rFonts w:ascii="Traditional Arabic" w:hAnsi="Traditional Arabic" w:cs="Traditional Arabic"/>
          <w:sz w:val="28"/>
          <w:szCs w:val="28"/>
          <w:rtl/>
        </w:rPr>
        <w:t>) والتأثير الاجتماعي (</w:t>
      </w:r>
      <w:r w:rsidR="005B2603" w:rsidRPr="003D1437">
        <w:rPr>
          <w:rFonts w:ascii="Traditional Arabic" w:hAnsi="Traditional Arabic" w:cs="Traditional Arabic"/>
          <w:sz w:val="28"/>
          <w:szCs w:val="28"/>
        </w:rPr>
        <w:t>Social Influence</w:t>
      </w:r>
      <w:r w:rsidR="005B2603" w:rsidRPr="003D1437">
        <w:rPr>
          <w:rFonts w:ascii="Traditional Arabic" w:hAnsi="Traditional Arabic" w:cs="Traditional Arabic"/>
          <w:sz w:val="28"/>
          <w:szCs w:val="28"/>
          <w:rtl/>
        </w:rPr>
        <w:t>) من الزملاء والمشرفين (</w:t>
      </w:r>
      <w:r w:rsidR="005B2603" w:rsidRPr="003D1437">
        <w:rPr>
          <w:rFonts w:ascii="Traditional Arabic" w:hAnsi="Traditional Arabic" w:cs="Traditional Arabic"/>
          <w:sz w:val="28"/>
          <w:szCs w:val="28"/>
        </w:rPr>
        <w:t>Emon &amp; Khan, 2025</w:t>
      </w:r>
      <w:r w:rsidR="005B2603" w:rsidRPr="003D1437">
        <w:rPr>
          <w:rFonts w:ascii="Traditional Arabic" w:hAnsi="Traditional Arabic" w:cs="Traditional Arabic"/>
          <w:sz w:val="28"/>
          <w:szCs w:val="28"/>
          <w:rtl/>
        </w:rPr>
        <w:t>). يعد فهم هذه العوامل أمرًا ضروريًا لتصميم استراتيجيات فعالة لتشجيع قبول التكنولوجيا داخل المنظمة</w:t>
      </w:r>
      <w:r w:rsidRPr="003D1437">
        <w:rPr>
          <w:rFonts w:ascii="Traditional Arabic" w:hAnsi="Traditional Arabic" w:cs="Traditional Arabic"/>
          <w:sz w:val="28"/>
          <w:szCs w:val="28"/>
          <w:rtl/>
        </w:rPr>
        <w:t>.</w:t>
      </w:r>
    </w:p>
    <w:p w14:paraId="3E53DE61" w14:textId="77777777" w:rsidR="005B2603" w:rsidRPr="003D1437" w:rsidRDefault="005B2603" w:rsidP="00071B42">
      <w:pPr>
        <w:bidi/>
        <w:jc w:val="lowKashida"/>
        <w:rPr>
          <w:rFonts w:ascii="Traditional Arabic" w:hAnsi="Traditional Arabic" w:cs="Traditional Arabic"/>
          <w:b/>
          <w:bCs/>
          <w:sz w:val="28"/>
          <w:szCs w:val="28"/>
          <w:rtl/>
        </w:rPr>
      </w:pPr>
    </w:p>
    <w:p w14:paraId="67447ADD" w14:textId="4FF9D457" w:rsidR="00627BF5" w:rsidRPr="003D1437" w:rsidRDefault="00627BF5" w:rsidP="00863B90">
      <w:pPr>
        <w:pStyle w:val="Heading3"/>
        <w:rPr>
          <w:rtl/>
        </w:rPr>
      </w:pPr>
      <w:bookmarkStart w:id="43" w:name="_Toc236402651"/>
      <w:r w:rsidRPr="003D1437">
        <w:rPr>
          <w:rFonts w:hint="cs"/>
          <w:rtl/>
        </w:rPr>
        <w:lastRenderedPageBreak/>
        <w:t>ثانيا:</w:t>
      </w:r>
      <w:r w:rsidRPr="003D1437">
        <w:rPr>
          <w:rtl/>
        </w:rPr>
        <w:t xml:space="preserve"> نماذج ونظريات التكيف التكنولوجي</w:t>
      </w:r>
      <w:bookmarkEnd w:id="43"/>
    </w:p>
    <w:p w14:paraId="492A67F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لتفسير وفهم العوامل المعقدة التي تؤثر على قرارات الأفراد والمنظمات بتبني التقنيات الجديدة، طور الباحثون العديد من النماذج والنظريات. توفر هذه الأطر رؤى قيمة حول كيفية تسهيل عملية التكيف التكنولوجي.</w:t>
      </w:r>
    </w:p>
    <w:p w14:paraId="7AE28BD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نموذج قبول التكنولوجيا (</w:t>
      </w:r>
      <w:r w:rsidRPr="003D1437">
        <w:rPr>
          <w:rFonts w:ascii="Traditional Arabic" w:hAnsi="Traditional Arabic" w:cs="Traditional Arabic"/>
          <w:b/>
          <w:bCs/>
          <w:sz w:val="28"/>
          <w:szCs w:val="28"/>
          <w:lang w:bidi="ar-EG"/>
        </w:rPr>
        <w:t>TAM - Technology Acceptance Model</w:t>
      </w:r>
      <w:r w:rsidRPr="003D1437">
        <w:rPr>
          <w:rFonts w:ascii="Traditional Arabic" w:hAnsi="Traditional Arabic" w:cs="Traditional Arabic"/>
          <w:b/>
          <w:bCs/>
          <w:sz w:val="28"/>
          <w:szCs w:val="28"/>
          <w:rtl/>
        </w:rPr>
        <w:t>)</w:t>
      </w:r>
    </w:p>
    <w:p w14:paraId="601B007B" w14:textId="231AF1BB"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نموذج قبول التكنولوجيا (</w:t>
      </w:r>
      <w:r w:rsidRPr="003D1437">
        <w:rPr>
          <w:rFonts w:ascii="Traditional Arabic" w:hAnsi="Traditional Arabic" w:cs="Traditional Arabic"/>
          <w:sz w:val="28"/>
          <w:szCs w:val="28"/>
        </w:rPr>
        <w:t>TAM</w:t>
      </w:r>
      <w:r w:rsidRPr="003D1437">
        <w:rPr>
          <w:rFonts w:ascii="Traditional Arabic" w:hAnsi="Traditional Arabic" w:cs="Traditional Arabic"/>
          <w:sz w:val="28"/>
          <w:szCs w:val="28"/>
          <w:rtl/>
        </w:rPr>
        <w:t>)، الذي طوره ديفيس (</w:t>
      </w:r>
      <w:r w:rsidRPr="003D1437">
        <w:rPr>
          <w:rFonts w:ascii="Traditional Arabic" w:hAnsi="Traditional Arabic" w:cs="Traditional Arabic"/>
          <w:sz w:val="28"/>
          <w:szCs w:val="28"/>
        </w:rPr>
        <w:t>Davis, 1989</w:t>
      </w:r>
      <w:r w:rsidRPr="003D1437">
        <w:rPr>
          <w:rFonts w:ascii="Traditional Arabic" w:hAnsi="Traditional Arabic" w:cs="Traditional Arabic"/>
          <w:sz w:val="28"/>
          <w:szCs w:val="28"/>
          <w:rtl/>
        </w:rPr>
        <w:t>)، من أكثر النماذج شيوعًا واستخدامًا في دراسات تبني التكنولوجيا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يفترض هذا النموذج أن نية الفرد السلوكية لاستخدام تقنية معينة (</w:t>
      </w:r>
      <w:r w:rsidRPr="003D1437">
        <w:rPr>
          <w:rFonts w:ascii="Traditional Arabic" w:hAnsi="Traditional Arabic" w:cs="Traditional Arabic"/>
          <w:sz w:val="28"/>
          <w:szCs w:val="28"/>
        </w:rPr>
        <w:t>Behavioral Intention to Use</w:t>
      </w:r>
      <w:r w:rsidRPr="003D1437">
        <w:rPr>
          <w:rFonts w:ascii="Traditional Arabic" w:hAnsi="Traditional Arabic" w:cs="Traditional Arabic"/>
          <w:sz w:val="28"/>
          <w:szCs w:val="28"/>
          <w:rtl/>
        </w:rPr>
        <w:t>) تتحدد بشكل أساسي من خلال عاملين رئيسيين: الفائدة المتصورة (</w:t>
      </w:r>
      <w:r w:rsidRPr="003D1437">
        <w:rPr>
          <w:rFonts w:ascii="Traditional Arabic" w:hAnsi="Traditional Arabic" w:cs="Traditional Arabic"/>
          <w:sz w:val="28"/>
          <w:szCs w:val="28"/>
        </w:rPr>
        <w:t>Perceived Usefulness</w:t>
      </w:r>
      <w:r w:rsidRPr="003D1437">
        <w:rPr>
          <w:rFonts w:ascii="Traditional Arabic" w:hAnsi="Traditional Arabic" w:cs="Traditional Arabic"/>
          <w:sz w:val="28"/>
          <w:szCs w:val="28"/>
          <w:rtl/>
        </w:rPr>
        <w:t>) وهي الدرجة التي يعتقد بها الشخص أن استخدام تقنية معينة سيعزز من أدائه الوظيفي، وسهولة الاستخدام المتصورة (</w:t>
      </w:r>
      <w:r w:rsidRPr="003D1437">
        <w:rPr>
          <w:rFonts w:ascii="Traditional Arabic" w:hAnsi="Traditional Arabic" w:cs="Traditional Arabic"/>
          <w:sz w:val="28"/>
          <w:szCs w:val="28"/>
        </w:rPr>
        <w:t>Perceived Ease of Use</w:t>
      </w:r>
      <w:r w:rsidRPr="003D1437">
        <w:rPr>
          <w:rFonts w:ascii="Traditional Arabic" w:hAnsi="Traditional Arabic" w:cs="Traditional Arabic"/>
          <w:sz w:val="28"/>
          <w:szCs w:val="28"/>
          <w:rtl/>
        </w:rPr>
        <w:t>) وهي الدرجة التي يعتقد بها الشخص أن استخدام تقنية معينة سيكون خاليًا من الجهد. كلما زادت الفائدة المتصورة وسهولة الاستخدام، زادت احتمالية قبول الفرد للتكنولوجيا. يشير النموذج أيضًا إلى أن سهولة الاستخدام المتصورة تؤثر بشكل مباشر على الفائدة المتصورة؛ أي عندما تكون التكنولوجيا سهلة الاستخدام، قد يراها الأفراد أكثر فائدة (</w:t>
      </w:r>
      <w:r w:rsidRPr="003D1437">
        <w:rPr>
          <w:rFonts w:ascii="Traditional Arabic" w:hAnsi="Traditional Arabic" w:cs="Traditional Arabic"/>
          <w:sz w:val="28"/>
          <w:szCs w:val="28"/>
        </w:rPr>
        <w:t>Davis, Bagozzi, &amp; Warshaw, 1989</w:t>
      </w:r>
      <w:r w:rsidRPr="003D1437">
        <w:rPr>
          <w:rFonts w:ascii="Traditional Arabic" w:hAnsi="Traditional Arabic" w:cs="Traditional Arabic"/>
          <w:sz w:val="28"/>
          <w:szCs w:val="28"/>
          <w:rtl/>
        </w:rPr>
        <w:t>).</w:t>
      </w:r>
    </w:p>
    <w:p w14:paraId="06EE5F0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النظرية الموحدة لقبول واستخدام التكنولوجيا (</w:t>
      </w:r>
      <w:r w:rsidRPr="003D1437">
        <w:rPr>
          <w:rFonts w:ascii="Traditional Arabic" w:hAnsi="Traditional Arabic" w:cs="Traditional Arabic"/>
          <w:b/>
          <w:bCs/>
          <w:sz w:val="28"/>
          <w:szCs w:val="28"/>
          <w:lang w:bidi="ar-EG"/>
        </w:rPr>
        <w:t>UTAUT - Unified Theory of Acceptance and Use of Technology</w:t>
      </w:r>
      <w:r w:rsidRPr="003D1437">
        <w:rPr>
          <w:rFonts w:ascii="Traditional Arabic" w:hAnsi="Traditional Arabic" w:cs="Traditional Arabic"/>
          <w:b/>
          <w:bCs/>
          <w:sz w:val="28"/>
          <w:szCs w:val="28"/>
          <w:rtl/>
        </w:rPr>
        <w:t>)</w:t>
      </w:r>
    </w:p>
    <w:p w14:paraId="01BF678F" w14:textId="14E3821A"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قام فنكاتيش وزملاؤه بتطوير النظرية الموحدة لقبول واستخدام التكنولوجيا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من خلال دمج ثمانية نماذج ونظريات سابقة في إطار نظري واحد وشامل (</w:t>
      </w:r>
      <w:r w:rsidRPr="003D1437">
        <w:rPr>
          <w:rFonts w:ascii="Traditional Arabic" w:hAnsi="Traditional Arabic" w:cs="Traditional Arabic"/>
          <w:sz w:val="28"/>
          <w:szCs w:val="28"/>
        </w:rPr>
        <w:t>Venkatesh et al., 2003; Emon &amp; Khan, 2025</w:t>
      </w:r>
      <w:r w:rsidRPr="003D1437">
        <w:rPr>
          <w:rFonts w:ascii="Traditional Arabic" w:hAnsi="Traditional Arabic" w:cs="Traditional Arabic"/>
          <w:sz w:val="28"/>
          <w:szCs w:val="28"/>
          <w:rtl/>
        </w:rPr>
        <w:t xml:space="preserve">). تحدد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xml:space="preserve"> أربعة محددات رئيسية مباشرة للنية السلوكية والاستخدام الفعلي: توقع الأداء (</w:t>
      </w:r>
      <w:r w:rsidRPr="003D1437">
        <w:rPr>
          <w:rFonts w:ascii="Traditional Arabic" w:hAnsi="Traditional Arabic" w:cs="Traditional Arabic"/>
          <w:sz w:val="28"/>
          <w:szCs w:val="28"/>
        </w:rPr>
        <w:t>Performance Expectancy</w:t>
      </w:r>
      <w:r w:rsidRPr="003D1437">
        <w:rPr>
          <w:rFonts w:ascii="Traditional Arabic" w:hAnsi="Traditional Arabic" w:cs="Traditional Arabic"/>
          <w:sz w:val="28"/>
          <w:szCs w:val="28"/>
          <w:rtl/>
        </w:rPr>
        <w:t>)، وتوقع الجهد (</w:t>
      </w:r>
      <w:r w:rsidRPr="003D1437">
        <w:rPr>
          <w:rFonts w:ascii="Traditional Arabic" w:hAnsi="Traditional Arabic" w:cs="Traditional Arabic"/>
          <w:sz w:val="28"/>
          <w:szCs w:val="28"/>
        </w:rPr>
        <w:t>Effort Expectancy</w:t>
      </w:r>
      <w:r w:rsidRPr="003D1437">
        <w:rPr>
          <w:rFonts w:ascii="Traditional Arabic" w:hAnsi="Traditional Arabic" w:cs="Traditional Arabic"/>
          <w:sz w:val="28"/>
          <w:szCs w:val="28"/>
          <w:rtl/>
        </w:rPr>
        <w:t>)، والتأثير الاجتماعي (</w:t>
      </w:r>
      <w:r w:rsidRPr="003D1437">
        <w:rPr>
          <w:rFonts w:ascii="Traditional Arabic" w:hAnsi="Traditional Arabic" w:cs="Traditional Arabic"/>
          <w:sz w:val="28"/>
          <w:szCs w:val="28"/>
        </w:rPr>
        <w:t>Social Influence</w:t>
      </w:r>
      <w:r w:rsidRPr="003D1437">
        <w:rPr>
          <w:rFonts w:ascii="Traditional Arabic" w:hAnsi="Traditional Arabic" w:cs="Traditional Arabic"/>
          <w:sz w:val="28"/>
          <w:szCs w:val="28"/>
          <w:rtl/>
        </w:rPr>
        <w:t>)، والظروف الميسرة (</w:t>
      </w:r>
      <w:r w:rsidRPr="003D1437">
        <w:rPr>
          <w:rFonts w:ascii="Traditional Arabic" w:hAnsi="Traditional Arabic" w:cs="Traditional Arabic"/>
          <w:sz w:val="28"/>
          <w:szCs w:val="28"/>
        </w:rPr>
        <w:t>Facilitating Conditions</w:t>
      </w:r>
      <w:r w:rsidRPr="003D1437">
        <w:rPr>
          <w:rFonts w:ascii="Traditional Arabic" w:hAnsi="Traditional Arabic" w:cs="Traditional Arabic"/>
          <w:sz w:val="28"/>
          <w:szCs w:val="28"/>
          <w:rtl/>
        </w:rPr>
        <w:t>). وقد أظهرت الدراسات أن توقع الأداء هو أقوى مؤشر على النية السلوكية، بينما يؤثر التأثير الاجتماعي بشكل خاص في البيئات التي يكون فيها الامتثال للآخرين أمرًا مهمًا، كما هو الحال في الثقافات الجماعية (</w:t>
      </w:r>
      <w:r w:rsidRPr="003D1437">
        <w:rPr>
          <w:rFonts w:ascii="Traditional Arabic" w:hAnsi="Traditional Arabic" w:cs="Traditional Arabic"/>
          <w:sz w:val="28"/>
          <w:szCs w:val="28"/>
        </w:rPr>
        <w:t>Emon &amp; Khan, 2025</w:t>
      </w:r>
      <w:r w:rsidRPr="003D1437">
        <w:rPr>
          <w:rFonts w:ascii="Traditional Arabic" w:hAnsi="Traditional Arabic" w:cs="Traditional Arabic"/>
          <w:sz w:val="28"/>
          <w:szCs w:val="28"/>
          <w:rtl/>
        </w:rPr>
        <w:t xml:space="preserve">). وتؤثر الظروف الميسرة بشكل مباشر على سلوك الاستخدام الفعلي. بالإضافة إلى هذه المحددات الأربعة، تقترح نظرية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xml:space="preserve"> أن هناك متغيرات وسيطة مهمة مثل الجنس، والعمر، والخبرة، والطوعية في الاستخدام، والتي تؤثر على العلاقات بين المحددات الرئيسية والنية السلوكية، كما تم توسيع النموذج لاحقًا ليشمل متغيرات أخرى مثل الموقف تجاه التكنولوجيا، والذي يعمل كمتغير وسيط بين المحددات الرئيسية والنية السلوكية (</w:t>
      </w:r>
      <w:r w:rsidRPr="003D1437">
        <w:rPr>
          <w:rFonts w:ascii="Traditional Arabic" w:hAnsi="Traditional Arabic" w:cs="Traditional Arabic"/>
          <w:sz w:val="28"/>
          <w:szCs w:val="28"/>
        </w:rPr>
        <w:t>Venkatesh et al., 2003; Emon &amp; Khan, 2025</w:t>
      </w:r>
      <w:r w:rsidRPr="003D1437">
        <w:rPr>
          <w:rFonts w:ascii="Traditional Arabic" w:hAnsi="Traditional Arabic" w:cs="Traditional Arabic"/>
          <w:sz w:val="28"/>
          <w:szCs w:val="28"/>
          <w:rtl/>
        </w:rPr>
        <w:t>).</w:t>
      </w:r>
    </w:p>
    <w:p w14:paraId="428217FC" w14:textId="77777777" w:rsidR="005B2603" w:rsidRPr="003D1437" w:rsidRDefault="005B2603" w:rsidP="005B2603">
      <w:pPr>
        <w:bidi/>
        <w:jc w:val="lowKashida"/>
        <w:rPr>
          <w:rFonts w:ascii="Traditional Arabic" w:hAnsi="Traditional Arabic" w:cs="Traditional Arabic"/>
          <w:sz w:val="28"/>
          <w:szCs w:val="28"/>
          <w:rtl/>
        </w:rPr>
      </w:pPr>
    </w:p>
    <w:p w14:paraId="6AD20C4F" w14:textId="77777777" w:rsidR="005B2603" w:rsidRPr="003D1437" w:rsidRDefault="005B2603" w:rsidP="005B2603">
      <w:pPr>
        <w:bidi/>
        <w:jc w:val="lowKashida"/>
        <w:rPr>
          <w:rFonts w:ascii="Traditional Arabic" w:hAnsi="Traditional Arabic" w:cs="Traditional Arabic"/>
          <w:sz w:val="28"/>
          <w:szCs w:val="28"/>
          <w:rtl/>
        </w:rPr>
      </w:pPr>
    </w:p>
    <w:p w14:paraId="26F4834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3. نموذج نشر الابتكارات (</w:t>
      </w:r>
      <w:r w:rsidRPr="003D1437">
        <w:rPr>
          <w:rFonts w:ascii="Traditional Arabic" w:hAnsi="Traditional Arabic" w:cs="Traditional Arabic"/>
          <w:b/>
          <w:bCs/>
          <w:sz w:val="28"/>
          <w:szCs w:val="28"/>
          <w:lang w:bidi="ar-EG"/>
        </w:rPr>
        <w:t>Diffusion of Innovations Theory</w:t>
      </w:r>
      <w:r w:rsidRPr="003D1437">
        <w:rPr>
          <w:rFonts w:ascii="Traditional Arabic" w:hAnsi="Traditional Arabic" w:cs="Traditional Arabic"/>
          <w:b/>
          <w:bCs/>
          <w:sz w:val="28"/>
          <w:szCs w:val="28"/>
          <w:rtl/>
        </w:rPr>
        <w:t>)</w:t>
      </w:r>
    </w:p>
    <w:p w14:paraId="0D5D530E" w14:textId="65EA0A3A"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يقدم نموذج نشر الابتكارات، الذي طوره إيفريت روجرز، منظورًا أوسع لعملية التكيف، حيث يركز على كيفية انتشار الابتكار عبر الزمن بين أعضاء نظام اجتماعي معين (</w:t>
      </w:r>
      <w:r w:rsidRPr="003D1437">
        <w:rPr>
          <w:rFonts w:ascii="Traditional Arabic" w:hAnsi="Traditional Arabic" w:cs="Traditional Arabic"/>
          <w:sz w:val="28"/>
          <w:szCs w:val="28"/>
        </w:rPr>
        <w:t>Rogers, 1962; Mohammed et al., 2024</w:t>
      </w:r>
      <w:r w:rsidRPr="003D1437">
        <w:rPr>
          <w:rFonts w:ascii="Traditional Arabic" w:hAnsi="Traditional Arabic" w:cs="Traditional Arabic"/>
          <w:sz w:val="28"/>
          <w:szCs w:val="28"/>
          <w:rtl/>
        </w:rPr>
        <w:t>). يصف النموذج هذه العملية من خلال أربعة عناصر رئيسية: الابتكار وخصائصه (مثل الميزة النسبية والتوافق)، وقنوات الاتصال، والوقت، والنظام الاجتماعي. يقوم النموذج أيضًا بتصنيف المتبنين إلى فئات بناءً على مدى سرعة تبنيهم للابتكار: المبتكرون، والمتبنون الأوائل، والأغلبية المبكرة، والأغلبية المتأخرة، والمتقاعسون (</w:t>
      </w:r>
      <w:r w:rsidRPr="003D1437">
        <w:rPr>
          <w:rFonts w:ascii="Traditional Arabic" w:hAnsi="Traditional Arabic" w:cs="Traditional Arabic"/>
          <w:sz w:val="28"/>
          <w:szCs w:val="28"/>
        </w:rPr>
        <w:t>Rogers, 1962</w:t>
      </w:r>
      <w:r w:rsidRPr="003D1437">
        <w:rPr>
          <w:rFonts w:ascii="Traditional Arabic" w:hAnsi="Traditional Arabic" w:cs="Traditional Arabic"/>
          <w:sz w:val="28"/>
          <w:szCs w:val="28"/>
          <w:rtl/>
        </w:rPr>
        <w:t>).</w:t>
      </w:r>
    </w:p>
    <w:p w14:paraId="5047E7CC"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تطبيقات النماذج في السياق التعليمي</w:t>
      </w:r>
    </w:p>
    <w:p w14:paraId="71946149" w14:textId="3B6A224E"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في السياق التعليمي، توفر هذه النماذج أطرًا قيمة لفهم ومعالجة تحديات تبني التكنولوجيا. يمكن استخدام نموذج </w:t>
      </w:r>
      <w:r w:rsidRPr="003D1437">
        <w:rPr>
          <w:rFonts w:ascii="Traditional Arabic" w:hAnsi="Traditional Arabic" w:cs="Traditional Arabic"/>
          <w:sz w:val="28"/>
          <w:szCs w:val="28"/>
        </w:rPr>
        <w:t>TAM</w:t>
      </w:r>
      <w:r w:rsidRPr="003D1437">
        <w:rPr>
          <w:rFonts w:ascii="Traditional Arabic" w:hAnsi="Traditional Arabic" w:cs="Traditional Arabic"/>
          <w:sz w:val="28"/>
          <w:szCs w:val="28"/>
          <w:rtl/>
        </w:rPr>
        <w:t xml:space="preserve"> لتقييم مدى قبول المعلمين والطلاب لأنظمة التعلم الإلكتروني الجديدة. وتقدم نظرية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xml:space="preserve"> رؤية أكثر شمولاً من خلال النظر في عوامل إضافية؛ على سبيل المثال، يمكن أن يكون للتأثير الاجتماعي دور كبير في إدارة التعليم، حيث يتأثر قرار المعلم باستخدام تقنية جديدة بمدى استخدام زملائه لها ودعم الإدارة، كما أن الظروف الميسرة، مثل توفر الإنترنت الموثوق به والدعم الفني، تعد أمرًا بالغ الأهم-ية لنجاح أي مبادرة تكنولوجية في المدارس. ويساعد نموذج نشر الابتكارات صانعي السياسات على فهم أن تبني التكنولوجيا ليس حدثًا فوريًا، بل عملية تتكشف بمرور الوقت، ويسلط الضوء على أهمية التوافق، مما يعني أن أي تقنية جديدة يجب أن تكون متوافقة مع المناهج الدراسية الحالية والممارسات التربوية لضمان قبولها (</w:t>
      </w:r>
      <w:r w:rsidRPr="003D1437">
        <w:rPr>
          <w:rFonts w:ascii="Traditional Arabic" w:hAnsi="Traditional Arabic" w:cs="Traditional Arabic"/>
          <w:sz w:val="28"/>
          <w:szCs w:val="28"/>
        </w:rPr>
        <w:t>Emon &amp; Khan, 2025</w:t>
      </w:r>
      <w:r w:rsidRPr="003D1437">
        <w:rPr>
          <w:rFonts w:ascii="Traditional Arabic" w:hAnsi="Traditional Arabic" w:cs="Traditional Arabic"/>
          <w:sz w:val="28"/>
          <w:szCs w:val="28"/>
          <w:rtl/>
        </w:rPr>
        <w:t>).</w:t>
      </w:r>
    </w:p>
    <w:p w14:paraId="17C04D95" w14:textId="28EE793F" w:rsidR="00627BF5" w:rsidRPr="003D1437" w:rsidRDefault="00627BF5" w:rsidP="00863B90">
      <w:pPr>
        <w:pStyle w:val="Heading3"/>
        <w:rPr>
          <w:rtl/>
        </w:rPr>
      </w:pPr>
      <w:bookmarkStart w:id="44" w:name="_Toc236402652"/>
      <w:r w:rsidRPr="003D1437">
        <w:rPr>
          <w:rFonts w:hint="cs"/>
          <w:rtl/>
        </w:rPr>
        <w:t>ثالثا:</w:t>
      </w:r>
      <w:r w:rsidRPr="003D1437">
        <w:rPr>
          <w:rtl/>
        </w:rPr>
        <w:t xml:space="preserve"> مؤشرات قياس التكيف التكنولوجي في إدارة التعليم</w:t>
      </w:r>
      <w:bookmarkEnd w:id="44"/>
    </w:p>
    <w:p w14:paraId="476D0254"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لقياس درجة التكيف التكنولوجي في مؤسسة تعليمية بشكل فعال، من الضروري استخدام مجموعة شاملة من المؤشرات التي تغطي مختلف جوانب المنظمة. لا يكفي قياس عدد الأجهزة أو البرامج المتاحة، بل يجب تقييم كيفية استخدام هذه التقنيات وتأثيرها على العمليات والنتائج.</w:t>
      </w:r>
    </w:p>
    <w:p w14:paraId="3BFF290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مؤشرات على مستوى البنية التحتية التكنولوجية</w:t>
      </w:r>
    </w:p>
    <w:p w14:paraId="46D4F90F" w14:textId="61FE6D84"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تعتبر البنية التحتية هي الأساس الذي يقوم عليه أي تحول رقمي، وتمثل الظروف الميسرة التي تؤثر على التبني والاستخدام (</w:t>
      </w:r>
      <w:r w:rsidRPr="003D1437">
        <w:rPr>
          <w:rFonts w:ascii="Traditional Arabic" w:hAnsi="Traditional Arabic" w:cs="Traditional Arabic"/>
          <w:sz w:val="28"/>
          <w:szCs w:val="28"/>
        </w:rPr>
        <w:t>Venkatesh et al., 2003</w:t>
      </w:r>
      <w:r w:rsidRPr="003D1437">
        <w:rPr>
          <w:rFonts w:ascii="Traditional Arabic" w:hAnsi="Traditional Arabic" w:cs="Traditional Arabic"/>
          <w:sz w:val="28"/>
          <w:szCs w:val="28"/>
          <w:rtl/>
        </w:rPr>
        <w:t>). تشمل المؤشرات الرئيسية في هذا المستوى: توفر واتصال الشبكة، وتوفر الأجهزة وحداثتها، والقدرة على تخزين ومعالجة كميات كبيرة من البيانات بشكل آمن وفعال، بما في ذلك استكشاف الخدمات السحابية لمعالجة بيانات الذكاء الاصطناعي (</w:t>
      </w:r>
      <w:r w:rsidRPr="003D1437">
        <w:rPr>
          <w:rFonts w:ascii="Traditional Arabic" w:hAnsi="Traditional Arabic" w:cs="Traditional Arabic"/>
          <w:sz w:val="28"/>
          <w:szCs w:val="28"/>
        </w:rPr>
        <w:t>Adiguzel, Cakir, &amp; Ozbay, 2024; Kassa &amp; Worku, 2025</w:t>
      </w:r>
      <w:r w:rsidRPr="003D1437">
        <w:rPr>
          <w:rFonts w:ascii="Traditional Arabic" w:hAnsi="Traditional Arabic" w:cs="Traditional Arabic"/>
          <w:sz w:val="28"/>
          <w:szCs w:val="28"/>
          <w:rtl/>
        </w:rPr>
        <w:t>). كما يعد وجود سياسات وأدوات فعالة للأمن السيبراني لضمان أمن البنية التحتية للذكاء الاصطناعي من طرف إلى طرف، وضمان جودة البيانات وتكاملها لمنع الاستنتاجات الخاطئة، أمرًا بالغ الأهمية (</w:t>
      </w:r>
      <w:r w:rsidRPr="003D1437">
        <w:rPr>
          <w:rFonts w:ascii="Traditional Arabic" w:hAnsi="Traditional Arabic" w:cs="Traditional Arabic"/>
          <w:sz w:val="28"/>
          <w:szCs w:val="28"/>
        </w:rPr>
        <w:t>Kassa &amp; Worku, 2025; Chen &amp; Zhang, 2014</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73638B4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2. مؤشرات على مستوى السياسات واللوائح الداعمة</w:t>
      </w:r>
    </w:p>
    <w:p w14:paraId="4CE383BA" w14:textId="069AFCF3"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تلعب السياسات دورًا حاسمًا في توجيه وتشجيع التكيف التكنولوجي. يجب أن تكون هذه السياسات مرنة وقادرة على التكيف مع التطورات السريعة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وتشمل المؤشرات: وجود استراتيجية واضحة وموثقة للتحول الرقمي، وسياسات استخدام واضحة تحكم استخدام التكنولوجيا من قبل الموظفين والطلاب، ونسبة الميزانية الإجمالية المخصصة للاستثمار في التكنولوجيا، ووجود إطار عمل واضح لحوكمة البيانات يحدد ملكيتها وجودتها وكيفية الوصول إليها ومشاركتها، وهو أمر ضروري لتطبيقات الذكاء الاصطناعي الفعالة (</w:t>
      </w:r>
      <w:r w:rsidRPr="003D1437">
        <w:rPr>
          <w:rFonts w:ascii="Traditional Arabic" w:hAnsi="Traditional Arabic" w:cs="Traditional Arabic"/>
          <w:sz w:val="28"/>
          <w:szCs w:val="28"/>
        </w:rPr>
        <w:t>Adiguzel, Cakir, &amp; Ozbay, 2024; Ghavami, 2020</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4F415B8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مؤشرات على مستوى الكفاءات الرقمية للموارد البشرية</w:t>
      </w:r>
    </w:p>
    <w:p w14:paraId="19600AAE" w14:textId="4A0A17F7"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يعتمد نجاح التكيف التكنولوجي بشكل أساسي على مهارات وقدرات الأفراد (</w:t>
      </w:r>
      <w:r w:rsidRPr="003D1437">
        <w:rPr>
          <w:rFonts w:ascii="Traditional Arabic" w:hAnsi="Traditional Arabic" w:cs="Traditional Arabic"/>
          <w:sz w:val="28"/>
          <w:szCs w:val="28"/>
        </w:rPr>
        <w:t>Orosoo et al., 2023</w:t>
      </w:r>
      <w:r w:rsidRPr="003D1437">
        <w:rPr>
          <w:rFonts w:ascii="Traditional Arabic" w:hAnsi="Traditional Arabic" w:cs="Traditional Arabic"/>
          <w:sz w:val="28"/>
          <w:szCs w:val="28"/>
          <w:rtl/>
        </w:rPr>
        <w:t>). تشمل المؤشرات في هذا الجانب: عدد ونوعية برامج التدريب المقدمة للموظفين والمعلمين على استخدام التقنيات الجديدة وأدوات الذكاء الاصطناعي، حيث يعد التدريب أمرًا حاسمًا لتحسين مهارات القوى العاملة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بالإضافة إلى استخدام أدوات لتقييم مستوى المهارات الرقمية لدى الموظفين بشكل دوري، وقياس مدى جاهزيتهم للتعامل مع الذكاء الاصطناعي من خلال مقاييس تقيم الجوانب المعرفية والقدرة والرؤية والأخلاقيات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 كما أن وجود عدد كافٍ من الخبراء ذوي المهارات التقنية لدعم عمل الذكاء الاصطناعي يعد مؤشرًا مهمًا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14866C2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مؤشرات على مستوى استخدام التطبيقات التكنولوجية في العمليات الإدارية والتعليمية</w:t>
      </w:r>
    </w:p>
    <w:p w14:paraId="03EF33AA" w14:textId="5A946F2B"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يقيس هذا المستوى مدى دمج التكنولوجيا في صميم عمليات المنظمة. وتشمل المؤشرات: نسبة العمليات الإدارية التي تم أتمتتها، مثل قبول الطلاب وإعداد الجداول الدراسية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 بالإضافة إلى نسبة المعلمين والطلاب الذين يستخدمون أنظمة إدارة التعلم بانتظام، ومدى استخدام أدوات التحليل لاتخاذ قرارات مستنيرة فيما يتعلق بأداء الطلاب وتوزيع الموارد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 كما يعد مدى قدرة الأنظمة التكنولوجية المختلفة على تبادل البيانات والتواصل مع بعضها البعض (التكامل بين الأنظمة)، واستخدام القنوات الرقمية للتواصل والتفاعل مع أصحاب المصلحة، من المؤشرات الهامة على التكيف التكنولوجي المتقدم (</w:t>
      </w:r>
      <w:r w:rsidRPr="003D1437">
        <w:rPr>
          <w:rFonts w:ascii="Traditional Arabic" w:hAnsi="Traditional Arabic" w:cs="Traditional Arabic"/>
          <w:sz w:val="28"/>
          <w:szCs w:val="28"/>
        </w:rPr>
        <w:t>Sarjito, 2024; Adiguzel, Cakir, &amp; Ozbay, 2024</w:t>
      </w:r>
      <w:r w:rsidRPr="003D1437">
        <w:rPr>
          <w:rFonts w:ascii="Traditional Arabic" w:hAnsi="Traditional Arabic" w:cs="Traditional Arabic"/>
          <w:sz w:val="28"/>
          <w:szCs w:val="28"/>
          <w:rtl/>
        </w:rPr>
        <w:t>).</w:t>
      </w:r>
    </w:p>
    <w:p w14:paraId="08162662" w14:textId="0B79BC0F" w:rsidR="00627BF5" w:rsidRPr="003D1437" w:rsidRDefault="00627BF5" w:rsidP="006924ED">
      <w:pPr>
        <w:pStyle w:val="Heading2"/>
        <w:rPr>
          <w:rtl/>
        </w:rPr>
      </w:pPr>
      <w:bookmarkStart w:id="45" w:name="_Toc233422618"/>
      <w:bookmarkStart w:id="46" w:name="_Toc236402653"/>
      <w:r w:rsidRPr="003D1437">
        <w:rPr>
          <w:rtl/>
        </w:rPr>
        <w:t>المبحث الثاني: الذكاء الاصطناعي وتطبيقاته</w:t>
      </w:r>
      <w:bookmarkEnd w:id="45"/>
      <w:bookmarkEnd w:id="46"/>
      <w:r w:rsidRPr="003D1437">
        <w:rPr>
          <w:rtl/>
        </w:rPr>
        <w:t xml:space="preserve"> </w:t>
      </w:r>
    </w:p>
    <w:p w14:paraId="54CB45AE" w14:textId="58305374"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يستعرض هذا المبحث مفهوم الذكاء الاصطناعي (</w:t>
      </w:r>
      <w:r w:rsidRPr="003D1437">
        <w:rPr>
          <w:rFonts w:ascii="Traditional Arabic" w:hAnsi="Traditional Arabic" w:cs="Traditional Arabic"/>
          <w:sz w:val="28"/>
          <w:szCs w:val="28"/>
          <w:lang w:bidi="ar-EG"/>
        </w:rPr>
        <w:t>AI</w:t>
      </w:r>
      <w:r w:rsidRPr="003D1437">
        <w:rPr>
          <w:rFonts w:ascii="Traditional Arabic" w:hAnsi="Traditional Arabic" w:cs="Traditional Arabic"/>
          <w:sz w:val="28"/>
          <w:szCs w:val="28"/>
          <w:rtl/>
        </w:rPr>
        <w:t>) كقوة تكنولوجية تحويلية، وأنواعه المختلفة، وكيفية توظيف تقنياته الأساسية لدعم الأهداف الإدارية والتعليمية في المؤسسات الحديثة. لقد برز الذكاء الاصطناعي كعامل حاسم في تحسين أداء العديد من المجالات من خلال محاكاة الذكاء البشري، وهو يمثل تقنية متقدمة يمكن استخدامها لتعزيز الإنتاجية والفعالية في جميع قطاعات الصناعة. وفي جوهره، الذكاء الاصطناعي هو ذكاء تؤديه أجهزة الكمبيوتر، ويتجلى في مهام مثل التعرف على الصوت وحل المشكلات (</w:t>
      </w:r>
      <w:r w:rsidRPr="003D1437">
        <w:rPr>
          <w:rFonts w:ascii="Traditional Arabic" w:hAnsi="Traditional Arabic" w:cs="Traditional Arabic"/>
          <w:sz w:val="28"/>
          <w:szCs w:val="28"/>
          <w:lang w:bidi="ar-EG"/>
        </w:rPr>
        <w:t>Orosoo et al., 2023</w:t>
      </w:r>
      <w:r w:rsidRPr="003D1437">
        <w:rPr>
          <w:rFonts w:ascii="Traditional Arabic" w:hAnsi="Traditional Arabic" w:cs="Traditional Arabic"/>
          <w:sz w:val="28"/>
          <w:szCs w:val="28"/>
          <w:rtl/>
        </w:rPr>
        <w:t xml:space="preserve">). يعتبر الذكاء الاصطناعي من أكثر المجالات نجاحًا في الوقت الحاضر حيث خرج من طور البحث </w:t>
      </w:r>
      <w:r w:rsidRPr="003D1437">
        <w:rPr>
          <w:rFonts w:ascii="Traditional Arabic" w:hAnsi="Traditional Arabic" w:cs="Traditional Arabic"/>
          <w:sz w:val="28"/>
          <w:szCs w:val="28"/>
          <w:rtl/>
        </w:rPr>
        <w:lastRenderedPageBreak/>
        <w:t>إلى الاستعمال التجاري وقد أثبت كفاءته في مجالات متعددة مثل المجال الطبي، وإدارة الأعمال التجارية والصناعية والخدماتية وغيرها (السيد وعلي، 2024).</w:t>
      </w:r>
    </w:p>
    <w:p w14:paraId="153D1A60" w14:textId="64AC31F8" w:rsidR="00627BF5" w:rsidRPr="003D1437" w:rsidRDefault="00627BF5" w:rsidP="00863B90">
      <w:pPr>
        <w:pStyle w:val="Heading3"/>
        <w:rPr>
          <w:rtl/>
        </w:rPr>
      </w:pPr>
      <w:bookmarkStart w:id="47" w:name="_Toc236402654"/>
      <w:r w:rsidRPr="003D1437">
        <w:rPr>
          <w:rFonts w:hint="cs"/>
          <w:rtl/>
        </w:rPr>
        <w:t>أولا:</w:t>
      </w:r>
      <w:r w:rsidRPr="003D1437">
        <w:rPr>
          <w:rtl/>
        </w:rPr>
        <w:t xml:space="preserve"> مفاهيم أساسية للذكاء الاصطناعي</w:t>
      </w:r>
      <w:bookmarkEnd w:id="47"/>
    </w:p>
    <w:p w14:paraId="6429998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لفهم كيفية تأثير الذكاء الاصطناعي على التخطيط الاستراتيجي في التعليم، لا بد أولاً من تأسيس فهم واضح لماهية هذا المفهوم، وتاريخ نشأته، والتقنيات التي يقوم عليها، وأنواعه المختلفة التي تحدد نطاق تطبيقاته.</w:t>
      </w:r>
    </w:p>
    <w:p w14:paraId="2AF2F8C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تعريف الذكاء الاصطناعي وتطوره التاريخي</w:t>
      </w:r>
    </w:p>
    <w:p w14:paraId="6988B46F" w14:textId="15BAEF8C" w:rsidR="009234F9" w:rsidRPr="003D1437" w:rsidRDefault="009234F9" w:rsidP="009234F9">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لقد تعددت تعريفات الذكاء الاصطناعي في الأدبيات العلمية، مما يعكس الطبيعة المتطورة والمتعددة الأوجه لهذا المجال. فيُعرَّفه</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Pr>
        <w:t>Sarker</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2022</w:t>
      </w:r>
      <w:r w:rsidRPr="003D1437">
        <w:rPr>
          <w:rFonts w:ascii="Traditional Arabic" w:hAnsi="Traditional Arabic" w:cs="Traditional Arabic"/>
          <w:sz w:val="28"/>
          <w:szCs w:val="28"/>
          <w:rtl/>
        </w:rPr>
        <w:t>) بأنه فرع من فروع علوم الحاسوب مكرس لإنشاء آلات ذكية يمكنها أداء مهام مثل التعلم وحل المشكلات واتخاذ القرار. بينما يرى</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Pr>
        <w:t>Boucher</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2020</w:t>
      </w:r>
      <w:r w:rsidRPr="003D1437">
        <w:rPr>
          <w:rFonts w:ascii="Traditional Arabic" w:hAnsi="Traditional Arabic" w:cs="Traditional Arabic"/>
          <w:sz w:val="28"/>
          <w:szCs w:val="28"/>
          <w:rtl/>
        </w:rPr>
        <w:t xml:space="preserve">) أنه مجموعة من العمليات التي تتضمن تحليل البيانات والتكنولوجيا والتطبيقات والبرامج التي تجعل العمليات الحالية أكثر ذكاءً. أما </w:t>
      </w:r>
      <w:r w:rsidR="005B2603" w:rsidRPr="003D1437">
        <w:rPr>
          <w:rFonts w:ascii="Traditional Arabic" w:hAnsi="Traditional Arabic" w:cs="Traditional Arabic"/>
          <w:sz w:val="28"/>
          <w:szCs w:val="28"/>
          <w:rtl/>
        </w:rPr>
        <w:t xml:space="preserve">السيد وعلي </w:t>
      </w:r>
      <w:r w:rsidRPr="003D1437">
        <w:rPr>
          <w:rFonts w:ascii="Traditional Arabic" w:hAnsi="Traditional Arabic" w:cs="Traditional Arabic"/>
          <w:sz w:val="28"/>
          <w:szCs w:val="28"/>
          <w:rtl/>
        </w:rPr>
        <w:t>(2024) فيعرفانه بأنه يتعلق بصناعة آلات تشبه في ذكائها عقل الإنسان، وتقوم على مبدأ ممارسة شيء مصنوع (غير طبيعي) لنفس مهارات العقل البشري كالقدرة على الفهم والتفكير. وتتفق هذه التعريفات على جوهر الذكاء الاصطناعي وهو محاكاة القدرات الذهنية البشرية في الآلات.</w:t>
      </w:r>
    </w:p>
    <w:p w14:paraId="4AF4F3CB" w14:textId="6CF9DF71" w:rsidR="00627BF5" w:rsidRPr="003D1437" w:rsidRDefault="00627BF5"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يعود الفضل في صياغة مصطلح "الذكاء الاصطناعي" إلى العالم الأمريكي "جون مكارثي" في مؤتمر علمي بجامعة دارتموث عام 1956، حيث تم الإجماع على أن الذكاء الاصطناعي يتعلق بصناعة آلات تشبه في ذكائها عقل الإنسان (السيد وعلي، 2024). وتعتبر المقالة التي نشرها آلان تورينج في الخمسينيات، والتي أوضحت فكرة برمجة جهاز حوسبة ذكي، نقطة تحول مهمة في تاريخ الذكاء الاصطناعي، مما أدى في النهاية إلى ما يُعرف باختبار تورينج (</w:t>
      </w:r>
      <w:r w:rsidRPr="003D1437">
        <w:rPr>
          <w:rFonts w:ascii="Traditional Arabic" w:hAnsi="Traditional Arabic" w:cs="Traditional Arabic"/>
          <w:sz w:val="28"/>
          <w:szCs w:val="28"/>
          <w:lang w:bidi="ar-EG"/>
        </w:rPr>
        <w:t>Muthukrishnan et al., 2020</w:t>
      </w:r>
      <w:r w:rsidRPr="003D1437">
        <w:rPr>
          <w:rFonts w:ascii="Traditional Arabic" w:hAnsi="Traditional Arabic" w:cs="Traditional Arabic"/>
          <w:sz w:val="28"/>
          <w:szCs w:val="28"/>
          <w:rtl/>
        </w:rPr>
        <w:t>).</w:t>
      </w:r>
    </w:p>
    <w:p w14:paraId="32397DAD" w14:textId="6F270B3D"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إن فكرة الذكاء الاصطناعي تقوم على مبدأ ممارسة شيء مصنوع (غير طبيعي) لنفس مهارات العقل البشري (القدرة على الفهم والتفكير). ولهذا، فإن تصميم برامج وتطبيقات الذكاء الاصطناعي يعتمد بشكل أساسي على دراسة كيفية تفكير العقل البشري، وكيف يتعلم الإنسان ويتخذ قراراته، وكيف يسعى لحل المشكلات التي تواجهه، ومن ثم استخدام نتائج هذه الدراسة في تطوير برمجيات ذكية. وتتميز تقنيات الذكاء الاصطناعي بخصائص فريدة تميزها عن البرمجة التقليدية، منها</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(السيد وعلي، 2024)</w:t>
      </w:r>
      <w:r w:rsidRPr="003D1437">
        <w:rPr>
          <w:rFonts w:ascii="Traditional Arabic" w:hAnsi="Traditional Arabic" w:cs="Traditional Arabic"/>
          <w:sz w:val="28"/>
          <w:szCs w:val="28"/>
          <w:rtl/>
        </w:rPr>
        <w:t>:</w:t>
      </w:r>
    </w:p>
    <w:p w14:paraId="629721E6" w14:textId="77777777" w:rsidR="00627BF5" w:rsidRPr="003D1437" w:rsidRDefault="00627BF5">
      <w:pPr>
        <w:numPr>
          <w:ilvl w:val="0"/>
          <w:numId w:val="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تمثيل المعرفة بالرموز (</w:t>
      </w:r>
      <w:r w:rsidRPr="003D1437">
        <w:rPr>
          <w:rFonts w:ascii="Traditional Arabic" w:hAnsi="Traditional Arabic" w:cs="Traditional Arabic"/>
          <w:b/>
          <w:bCs/>
          <w:sz w:val="28"/>
          <w:szCs w:val="28"/>
          <w:lang w:bidi="ar-EG"/>
        </w:rPr>
        <w:t>Symbolic Representation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تتعامل نظم الذكاء الاصطناعي مع رموز غير عددية، على عكس نظم الحواسيب التقليدية التي تتعامل بشكل أساسي مع الكميات العددية والأرقام.</w:t>
      </w:r>
    </w:p>
    <w:p w14:paraId="5AFC5C67" w14:textId="77777777" w:rsidR="00627BF5" w:rsidRPr="003D1437" w:rsidRDefault="00627BF5">
      <w:pPr>
        <w:numPr>
          <w:ilvl w:val="0"/>
          <w:numId w:val="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استخدام الأسلوب التجريبي المتفائل (</w:t>
      </w:r>
      <w:r w:rsidRPr="003D1437">
        <w:rPr>
          <w:rFonts w:ascii="Traditional Arabic" w:hAnsi="Traditional Arabic" w:cs="Traditional Arabic"/>
          <w:b/>
          <w:bCs/>
          <w:sz w:val="28"/>
          <w:szCs w:val="28"/>
          <w:lang w:bidi="ar-EG"/>
        </w:rPr>
        <w:t>Using of Experience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تركز نظم الذكاء الاصطناعي على الوصول إلى حلول وافية وكافية للمشكلة، دون التأكيد على ضرورة الوصول إلى الحل الأمثل أو الدقيق كما هو الحال في النظم التقليدية.</w:t>
      </w:r>
    </w:p>
    <w:p w14:paraId="1E71D22F" w14:textId="77777777" w:rsidR="00627BF5" w:rsidRPr="003D1437" w:rsidRDefault="00627BF5">
      <w:pPr>
        <w:numPr>
          <w:ilvl w:val="0"/>
          <w:numId w:val="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قابلية التعامل مع المعلومات الناقصة (</w:t>
      </w:r>
      <w:r w:rsidRPr="003D1437">
        <w:rPr>
          <w:rFonts w:ascii="Traditional Arabic" w:hAnsi="Traditional Arabic" w:cs="Traditional Arabic"/>
          <w:b/>
          <w:bCs/>
          <w:sz w:val="28"/>
          <w:szCs w:val="28"/>
          <w:lang w:bidi="ar-EG"/>
        </w:rPr>
        <w:t>Ability to deal with incomplete data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تمتلك نظم الذكاء الاصطناعي القدرة على إيجاد بعض الحلول حتى لو كانت المعلومات المتاحة غير مكتملة، مع العلم أن نقص المعلومات قد يؤدي إلى نتائج أقل واقعية.</w:t>
      </w:r>
    </w:p>
    <w:p w14:paraId="0F9904BB" w14:textId="47E715A7" w:rsidR="00627BF5" w:rsidRPr="003D1437" w:rsidRDefault="00627BF5">
      <w:pPr>
        <w:numPr>
          <w:ilvl w:val="0"/>
          <w:numId w:val="7"/>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قابلية التعلم (</w:t>
      </w:r>
      <w:r w:rsidRPr="003D1437">
        <w:rPr>
          <w:rFonts w:ascii="Traditional Arabic" w:hAnsi="Traditional Arabic" w:cs="Traditional Arabic"/>
          <w:b/>
          <w:bCs/>
          <w:sz w:val="28"/>
          <w:szCs w:val="28"/>
          <w:lang w:bidi="ar-EG"/>
        </w:rPr>
        <w:t>Ability to learn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وهي من أهم صفات التصرف الذكي، حيث تتمتع هذه النظم بقابلية التعلم من الخبرات والممارسات السابقة، بالإضافة إلى قابلية تحسين الأداء بشكل مستمر.</w:t>
      </w:r>
    </w:p>
    <w:p w14:paraId="1E199862" w14:textId="77777777"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وفي ضوء ما سبق، يقترح الباحث التعريف الإجرائي التالي للذكاء الاصطناعي في هذه الدراسة: "مجموعة من الأنظمة والتقنيات الحاسوبية المتقدمة (مثل تعلم الآلة وتحليل البيانات) التي تمكّن الآلة من محاكاة القدرات الذهنية البشرية في الفهم والتحليل والتنبؤ، بهدف تعزيز وأتمتة العمليات الإدارية ودعم اتخاذ القرارات في قطاع التعليم العام."</w:t>
      </w:r>
    </w:p>
    <w:p w14:paraId="7C57417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أنواع الذكاء الاصطناعي (الضيق، العام، الفائق)</w:t>
      </w:r>
    </w:p>
    <w:p w14:paraId="3A784428" w14:textId="7D9CB00F"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تطورت أنظمة الذكاء الاصطناعي وتفرعت إلى أنواع متعددة، يمكن تصنيفها بناءً على قدراتها ومدى محاكاتها للذكاء البشري. الأنواع الرئيسية هي</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lang w:bidi="ar-EG"/>
        </w:rPr>
        <w:t>Orosoo et al., 2023</w:t>
      </w:r>
      <w:r w:rsidR="005B2603" w:rsidRPr="003D1437">
        <w:rPr>
          <w:rFonts w:ascii="Traditional Arabic" w:hAnsi="Traditional Arabic" w:cs="Traditional Arabic"/>
          <w:sz w:val="28"/>
          <w:szCs w:val="28"/>
          <w:rtl/>
        </w:rPr>
        <w:t>; السيد وعلي، 2024)</w:t>
      </w:r>
      <w:r w:rsidRPr="003D1437">
        <w:rPr>
          <w:rFonts w:ascii="Traditional Arabic" w:hAnsi="Traditional Arabic" w:cs="Traditional Arabic"/>
          <w:sz w:val="28"/>
          <w:szCs w:val="28"/>
          <w:rtl/>
        </w:rPr>
        <w:t>:</w:t>
      </w:r>
    </w:p>
    <w:p w14:paraId="32DB942A" w14:textId="7F1B2A1A" w:rsidR="00627BF5" w:rsidRPr="003D1437" w:rsidRDefault="00627BF5">
      <w:pPr>
        <w:numPr>
          <w:ilvl w:val="0"/>
          <w:numId w:val="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الذكاء الاصطناعي الضيق (</w:t>
      </w:r>
      <w:r w:rsidRPr="003D1437">
        <w:rPr>
          <w:rFonts w:ascii="Traditional Arabic" w:hAnsi="Traditional Arabic" w:cs="Traditional Arabic"/>
          <w:b/>
          <w:bCs/>
          <w:sz w:val="28"/>
          <w:szCs w:val="28"/>
          <w:lang w:bidi="ar-EG"/>
        </w:rPr>
        <w:t>Artificial Narrow Intelligence - ANI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يُعرف أيضًا بالذكاء الاصطناعي الضعيف، وهو النوع الأكثر شيوعًا وانتشارًا في وقتنا الحاضر. تم تصميم هذه الأنظمة لأداء مهمة محددة أو مجموعة محدودة من المهام ببراعة تفوق الإنسان أحيانًا. من الأمثلة على ذلك أنظمة التعرف على الوجه، والمساعدات الصوتية مثل </w:t>
      </w:r>
      <w:r w:rsidRPr="003D1437">
        <w:rPr>
          <w:rFonts w:ascii="Traditional Arabic" w:hAnsi="Traditional Arabic" w:cs="Traditional Arabic"/>
          <w:sz w:val="28"/>
          <w:szCs w:val="28"/>
          <w:lang w:bidi="ar-EG"/>
        </w:rPr>
        <w:t>Siri</w:t>
      </w:r>
      <w:r w:rsidRPr="003D1437">
        <w:rPr>
          <w:rFonts w:ascii="Traditional Arabic" w:hAnsi="Traditional Arabic" w:cs="Traditional Arabic"/>
          <w:sz w:val="28"/>
          <w:szCs w:val="28"/>
          <w:rtl/>
        </w:rPr>
        <w:t xml:space="preserve"> و </w:t>
      </w:r>
      <w:r w:rsidRPr="003D1437">
        <w:rPr>
          <w:rFonts w:ascii="Traditional Arabic" w:hAnsi="Traditional Arabic" w:cs="Traditional Arabic"/>
          <w:sz w:val="28"/>
          <w:szCs w:val="28"/>
          <w:lang w:bidi="ar-EG"/>
        </w:rPr>
        <w:t>Alexa</w:t>
      </w:r>
      <w:r w:rsidRPr="003D1437">
        <w:rPr>
          <w:rFonts w:ascii="Traditional Arabic" w:hAnsi="Traditional Arabic" w:cs="Traditional Arabic"/>
          <w:sz w:val="28"/>
          <w:szCs w:val="28"/>
          <w:rtl/>
        </w:rPr>
        <w:t>، ومحركات البحث، وبرامج ترجمة جوجل، فهذه الأنظمة تعمل ضمن سياق مبرمج مسبقًا ولا تمتلك وعيًا أو قدرة على التفكير خارج نطاق مهمتها المحددة.</w:t>
      </w:r>
    </w:p>
    <w:p w14:paraId="2CCFDCBC" w14:textId="23CEBC9F" w:rsidR="00627BF5" w:rsidRPr="003D1437" w:rsidRDefault="00627BF5">
      <w:pPr>
        <w:numPr>
          <w:ilvl w:val="0"/>
          <w:numId w:val="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الذكاء الاصطناعي العام (</w:t>
      </w:r>
      <w:r w:rsidRPr="003D1437">
        <w:rPr>
          <w:rFonts w:ascii="Traditional Arabic" w:hAnsi="Traditional Arabic" w:cs="Traditional Arabic"/>
          <w:b/>
          <w:bCs/>
          <w:sz w:val="28"/>
          <w:szCs w:val="28"/>
          <w:lang w:bidi="ar-EG"/>
        </w:rPr>
        <w:t>Artificial General Intelligence - AGI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يُعرف أيضًا بالذكاء الاصطناعي القوي، وهو يمثل المستوى التالي من التطور الذي لم يتم التوصل إليه بعد بشكل كامل. يهدف الذكاء الاصطناعي العام إلى إنشاء آلات تتمتع بقدرات فكرية ومعرفية تعادل قدرات الإنسان، بحيث يمكنها فهم أي مهمة فكرية وتعلمها وأداؤها بنفس كفاءة البشر. يتطلب الوصول إلى هذا المستوى تحقيق تقدم كبير في مجالات مثل التعلم الذاتي والتفكير المجرد وحل المشكلات المعقدة في بيئات متنوعة.</w:t>
      </w:r>
    </w:p>
    <w:p w14:paraId="3D53EB18" w14:textId="502B34FC" w:rsidR="00627BF5" w:rsidRPr="003D1437" w:rsidRDefault="00627BF5">
      <w:pPr>
        <w:numPr>
          <w:ilvl w:val="0"/>
          <w:numId w:val="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الذكاء الاصطناعي الفائق (</w:t>
      </w:r>
      <w:r w:rsidRPr="003D1437">
        <w:rPr>
          <w:rFonts w:ascii="Traditional Arabic" w:hAnsi="Traditional Arabic" w:cs="Traditional Arabic"/>
          <w:b/>
          <w:bCs/>
          <w:sz w:val="28"/>
          <w:szCs w:val="28"/>
          <w:lang w:bidi="ar-EG"/>
        </w:rPr>
        <w:t>Artificial Superintelligence - ASI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يمثل هذا النوع قمة التطور النظري للذكاء الاصطناعي، حيث تتجاوز قدرات الآلة الذكاء البشري في جميع المجالات تقريبًا، بما في ذلك الإبداع العلمي والحكمة العامة والمهارات الاجتماعية. يشمل الذكاء الاصطناعي الفائق تقنيات مزودة بقدرات إدراكية تفوق الذكاء البشري. لا يزال هذا النوع في نطاق الخيال العلمي والتكهنات المستقبلية، ويثير في الوقت نفسه نقاشات فلسفية وأخلاقية عميقة حول مستقبل البشرية.</w:t>
      </w:r>
    </w:p>
    <w:p w14:paraId="576EC68B" w14:textId="249C8609"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بالإضافة إلى هذا التصنيف، ظهر مؤخرًا مفهوم </w:t>
      </w:r>
      <w:r w:rsidRPr="003D1437">
        <w:rPr>
          <w:rFonts w:ascii="Traditional Arabic" w:hAnsi="Traditional Arabic" w:cs="Traditional Arabic"/>
          <w:b/>
          <w:bCs/>
          <w:sz w:val="28"/>
          <w:szCs w:val="28"/>
          <w:rtl/>
        </w:rPr>
        <w:t>الذكاء الاصطناعي التوليدي (</w:t>
      </w:r>
      <w:r w:rsidRPr="003D1437">
        <w:rPr>
          <w:rFonts w:ascii="Traditional Arabic" w:hAnsi="Traditional Arabic" w:cs="Traditional Arabic"/>
          <w:b/>
          <w:bCs/>
          <w:sz w:val="28"/>
          <w:szCs w:val="28"/>
          <w:lang w:bidi="ar-EG"/>
        </w:rPr>
        <w:t>Generative AI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الذي شهد إقبالًا عالميًا واسعًا. تعتمد هذه التقنية على نماذج ضخمة مدربة على كميات هائلة من البيانات لإنشاء محتوى جديد وأصلي، مثل النصوص والصور والموسيقى ومقاطع الفيديو، بناءً على توجيهات المستخدم.</w:t>
      </w:r>
    </w:p>
    <w:p w14:paraId="4FC39FA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التقنيات الرئيسية للذكاء الاصطناعي (تعلم الآلة، معالجة اللغات الطبيعية، الرؤية الحاسوبية)</w:t>
      </w:r>
    </w:p>
    <w:p w14:paraId="1ECFDB3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يعتمد الذكاء الاصطناعي على مجموعة من التقنيات الأساسية التي تمكنه من أداء وظائفه المعقدة. من أبرز هذه التقنيات:</w:t>
      </w:r>
    </w:p>
    <w:p w14:paraId="2719FD97" w14:textId="77777777"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تعلم الآلة (</w:t>
      </w:r>
      <w:r w:rsidRPr="003D1437">
        <w:rPr>
          <w:rFonts w:ascii="Traditional Arabic" w:hAnsi="Traditional Arabic" w:cs="Traditional Arabic"/>
          <w:b/>
          <w:bCs/>
          <w:sz w:val="28"/>
          <w:szCs w:val="28"/>
          <w:lang w:bidi="ar-EG"/>
        </w:rPr>
        <w:t>Machine Learning - ML</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هو فرع أساسي من الذكاء الاصطناعي يركز على تطوير خوارزميات تسمح لأجهزة الكمبيوتر بالتعلم من البيانات واتخاذ القرارات دون أن تكون مبرمجة بشكل صريح لكل مهمة (</w:t>
      </w:r>
      <w:r w:rsidRPr="003D1437">
        <w:rPr>
          <w:rFonts w:ascii="Traditional Arabic" w:hAnsi="Traditional Arabic" w:cs="Traditional Arabic"/>
          <w:sz w:val="28"/>
          <w:szCs w:val="28"/>
          <w:lang w:bidi="ar-EG"/>
        </w:rPr>
        <w:t>Al Muala et al., 2024</w:t>
      </w:r>
      <w:r w:rsidRPr="003D1437">
        <w:rPr>
          <w:rFonts w:ascii="Traditional Arabic" w:hAnsi="Traditional Arabic" w:cs="Traditional Arabic"/>
          <w:sz w:val="28"/>
          <w:szCs w:val="28"/>
          <w:rtl/>
        </w:rPr>
        <w:t>). بدلاً من اتباع قواعد ثابتة، تقوم نماذج تعلم الآلة بتحليل مجموعات البيانات الكبيرة لتحديد الأنماط والعلاقات، ومن ثم استخدام هذه الأنماط لعمل تنبؤات أو تصنيفات (</w:t>
      </w:r>
      <w:r w:rsidRPr="003D1437">
        <w:rPr>
          <w:rFonts w:ascii="Traditional Arabic" w:hAnsi="Traditional Arabic" w:cs="Traditional Arabic"/>
          <w:sz w:val="28"/>
          <w:szCs w:val="28"/>
          <w:lang w:bidi="ar-EG"/>
        </w:rPr>
        <w:t>Sarjito, 2024</w:t>
      </w:r>
      <w:r w:rsidRPr="003D1437">
        <w:rPr>
          <w:rFonts w:ascii="Traditional Arabic" w:hAnsi="Traditional Arabic" w:cs="Traditional Arabic"/>
          <w:sz w:val="28"/>
          <w:szCs w:val="28"/>
          <w:rtl/>
        </w:rPr>
        <w:t>). تستخدم هذه التقنية كميات كبيرة من البيانات وخوارزميات قوية لتطوير تنبؤات قوية بشكل متزايد حول المستقبل (</w:t>
      </w:r>
      <w:r w:rsidRPr="003D1437">
        <w:rPr>
          <w:rFonts w:ascii="Traditional Arabic" w:hAnsi="Traditional Arabic" w:cs="Traditional Arabic"/>
          <w:sz w:val="28"/>
          <w:szCs w:val="28"/>
          <w:lang w:bidi="ar-EG"/>
        </w:rPr>
        <w:t>Meltzer, 2019</w:t>
      </w:r>
      <w:r w:rsidRPr="003D1437">
        <w:rPr>
          <w:rFonts w:ascii="Traditional Arabic" w:hAnsi="Traditional Arabic" w:cs="Traditional Arabic"/>
          <w:sz w:val="28"/>
          <w:szCs w:val="28"/>
          <w:rtl/>
        </w:rPr>
        <w:t>). ومن الأمثلة على ذلك، التنبؤ بسلوك العملاء أو اكتشاف المعاملات الاحتيالية في القطاع المصرفي (</w:t>
      </w:r>
      <w:r w:rsidRPr="003D1437">
        <w:rPr>
          <w:rFonts w:ascii="Traditional Arabic" w:hAnsi="Traditional Arabic" w:cs="Traditional Arabic"/>
          <w:sz w:val="28"/>
          <w:szCs w:val="28"/>
          <w:lang w:bidi="ar-EG"/>
        </w:rPr>
        <w:t>Gyau et al., 2024</w:t>
      </w:r>
      <w:r w:rsidRPr="003D1437">
        <w:rPr>
          <w:rFonts w:ascii="Traditional Arabic" w:hAnsi="Traditional Arabic" w:cs="Traditional Arabic"/>
          <w:sz w:val="28"/>
          <w:szCs w:val="28"/>
          <w:rtl/>
        </w:rPr>
        <w:t>).</w:t>
      </w:r>
    </w:p>
    <w:p w14:paraId="2B224234" w14:textId="6D5B22BC"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معالجة اللغات الطبيعية (</w:t>
      </w:r>
      <w:r w:rsidRPr="003D1437">
        <w:rPr>
          <w:rFonts w:ascii="Traditional Arabic" w:hAnsi="Traditional Arabic" w:cs="Traditional Arabic"/>
          <w:b/>
          <w:bCs/>
          <w:sz w:val="28"/>
          <w:szCs w:val="28"/>
          <w:lang w:bidi="ar-EG"/>
        </w:rPr>
        <w:t>Natural Language Processing - NLP</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تقنية تمكن أجهزة الكمبيوتر من فهم وتفسير وتوليد اللغة البشرية (سواء كانت مكتوبة أو منطوقة) بطريقة ذات معنى (</w:t>
      </w:r>
      <w:r w:rsidRPr="003D1437">
        <w:rPr>
          <w:rFonts w:ascii="Traditional Arabic" w:hAnsi="Traditional Arabic" w:cs="Traditional Arabic"/>
          <w:sz w:val="28"/>
          <w:szCs w:val="28"/>
          <w:lang w:bidi="ar-EG"/>
        </w:rPr>
        <w:t>Al Muala et al., 2024</w:t>
      </w:r>
      <w:r w:rsidRPr="003D1437">
        <w:rPr>
          <w:rFonts w:ascii="Traditional Arabic" w:hAnsi="Traditional Arabic" w:cs="Traditional Arabic"/>
          <w:sz w:val="28"/>
          <w:szCs w:val="28"/>
          <w:rtl/>
        </w:rPr>
        <w:t>). تشمل تطبيقات معالجة اللغات الطبيعية الترجمة الآلية، وروبوتات الدردشة (</w:t>
      </w:r>
      <w:r w:rsidRPr="003D1437">
        <w:rPr>
          <w:rFonts w:ascii="Traditional Arabic" w:hAnsi="Traditional Arabic" w:cs="Traditional Arabic"/>
          <w:sz w:val="28"/>
          <w:szCs w:val="28"/>
          <w:lang w:bidi="ar-EG"/>
        </w:rPr>
        <w:t>Chatbots</w:t>
      </w:r>
      <w:r w:rsidRPr="003D1437">
        <w:rPr>
          <w:rFonts w:ascii="Traditional Arabic" w:hAnsi="Traditional Arabic" w:cs="Traditional Arabic"/>
          <w:sz w:val="28"/>
          <w:szCs w:val="28"/>
          <w:rtl/>
        </w:rPr>
        <w:t>)، وتحليل المشاعر في وسائل التواصل الاجتماعي، والمساعدات الصوتية. في قطاع التعليم، يمكن استخدامها لتحليل إجابات الطلاب النصية أو لإنشاء ملخصات تلقائية للمواد التعليمية</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lang w:bidi="ar-EG"/>
        </w:rPr>
        <w:t>Orosoo et al., 2023</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5C528F25" w14:textId="3F20AB48"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الرؤية الحاسوبية (</w:t>
      </w:r>
      <w:r w:rsidRPr="003D1437">
        <w:rPr>
          <w:rFonts w:ascii="Traditional Arabic" w:hAnsi="Traditional Arabic" w:cs="Traditional Arabic"/>
          <w:b/>
          <w:bCs/>
          <w:sz w:val="28"/>
          <w:szCs w:val="28"/>
          <w:lang w:bidi="ar-EG"/>
        </w:rPr>
        <w:t>Computer Vision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مجال من مجالات الذكاء الاصطناعي يدرب أجهزة الكمبيوتر على تفسير وفهم العالم المرئي. باستخدام الصور الرقمية من الكاميرات ومقاطع الفيديو والنماذج العميقة، يمكن للآلات تحديد وتصنيف الأشياء بدقة ثم التفاعل مع ما "تراه". من تطبيقاتها التعرف على الوجوه، وتحليل الصور الطبية، والسيارات ذاتية القيادة. في السياق التعليمي، يمكن استخدامها في أنظمة المراقبة الذكية للامتحانات أو لتحليل تفاعلات الطلاب في الفصول الدراسية</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lang w:bidi="ar-EG"/>
        </w:rPr>
        <w:t>Sarjito,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664A5881" w14:textId="77777777"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النظم الخبيرة (</w:t>
      </w:r>
      <w:r w:rsidRPr="003D1437">
        <w:rPr>
          <w:rFonts w:ascii="Traditional Arabic" w:hAnsi="Traditional Arabic" w:cs="Traditional Arabic"/>
          <w:b/>
          <w:bCs/>
          <w:sz w:val="28"/>
          <w:szCs w:val="28"/>
          <w:lang w:bidi="ar-EG"/>
        </w:rPr>
        <w:t>Expert Systems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برامج معلوماتية تهدف إلى محاكاة منطق الخبراء البشريين في مجال معرفي معين. تتكون هذه الأنظمة عادةً من "قاعدة معرفة" تحتوي على حقائق وقواعد متخصصة، و"ذاكرة عاملة" تحتوي على معلومات المشكلة الحالية، و"آلة استدلال" تستخدم المعرفة لحل المشكلات وتقديم التوصيات (السيد وعلي، 2024).</w:t>
      </w:r>
    </w:p>
    <w:p w14:paraId="4D323371" w14:textId="77777777"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الشبكات العصبية (</w:t>
      </w:r>
      <w:r w:rsidRPr="003D1437">
        <w:rPr>
          <w:rFonts w:ascii="Traditional Arabic" w:hAnsi="Traditional Arabic" w:cs="Traditional Arabic"/>
          <w:b/>
          <w:bCs/>
          <w:sz w:val="28"/>
          <w:szCs w:val="28"/>
          <w:lang w:bidi="ar-EG"/>
        </w:rPr>
        <w:t>Neural Networks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نوع من نظم الذكاء الاصطناعي تحاكي الشبكة العصبية الحيوية الموجودة في دماغ الإنسان. تتكون من عدد كبير من المعالجات المترابطة التي تعمل بأسلوب متوازٍ، وهي قادرة على كشف الأنماط المعقدة في البيانات وبناء نماذج توقعية من قواعد بيانات تاريخية كبيرة (السيد وعلي، 2024).</w:t>
      </w:r>
    </w:p>
    <w:p w14:paraId="19EC4314" w14:textId="77777777" w:rsidR="00627BF5" w:rsidRPr="003D1437" w:rsidRDefault="00627BF5">
      <w:pPr>
        <w:numPr>
          <w:ilvl w:val="0"/>
          <w:numId w:val="9"/>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نظم المنطق الضبابي (</w:t>
      </w:r>
      <w:r w:rsidRPr="003D1437">
        <w:rPr>
          <w:rFonts w:ascii="Traditional Arabic" w:hAnsi="Traditional Arabic" w:cs="Traditional Arabic"/>
          <w:b/>
          <w:bCs/>
          <w:sz w:val="28"/>
          <w:szCs w:val="28"/>
          <w:lang w:bidi="ar-EG"/>
        </w:rPr>
        <w:t>Fuzzy Logic</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هو أسلوب يعتمد على محاكاة طريقة الإدراك البشري من حيث تقدير القيم عن طريق بيانات غير دقيقة أو "ضبابية". على عكس أنظمة الحاسوب التقليدية التي تعتمد على بيانات محددة ومؤكدة، تتعامل أنظمة المنطق الضبابي مع البيانات الغامضة والاحتمالية، مما يسمح بالتبرير القائم على القيم التقريبية والبيانات غير الكاملة، وهو ما يشابه التفكير البشري (السيد وعلي، 2024).</w:t>
      </w:r>
    </w:p>
    <w:p w14:paraId="3F76FE86" w14:textId="5915D63F" w:rsidR="009234F9" w:rsidRPr="003D1437" w:rsidRDefault="009234F9" w:rsidP="009234F9">
      <w:pPr>
        <w:bidi/>
        <w:jc w:val="lowKashida"/>
        <w:rPr>
          <w:rFonts w:ascii="Traditional Arabic" w:hAnsi="Traditional Arabic" w:cs="Traditional Arabic"/>
          <w:b/>
          <w:bCs/>
          <w:sz w:val="28"/>
          <w:szCs w:val="28"/>
          <w:rtl/>
        </w:rPr>
      </w:pPr>
      <w:r w:rsidRPr="003D1437">
        <w:rPr>
          <w:rFonts w:ascii="Traditional Arabic" w:hAnsi="Traditional Arabic" w:cs="Traditional Arabic" w:hint="cs"/>
          <w:sz w:val="28"/>
          <w:szCs w:val="28"/>
          <w:rtl/>
        </w:rPr>
        <w:t xml:space="preserve">4. </w:t>
      </w:r>
      <w:r w:rsidRPr="003D1437">
        <w:rPr>
          <w:rFonts w:ascii="Traditional Arabic" w:hAnsi="Traditional Arabic" w:cs="Traditional Arabic"/>
          <w:b/>
          <w:bCs/>
          <w:sz w:val="28"/>
          <w:szCs w:val="28"/>
          <w:rtl/>
        </w:rPr>
        <w:t>أبعاد تطبيقات الذكاء الاصطناعي في قطاع التعليم</w:t>
      </w:r>
    </w:p>
    <w:p w14:paraId="530F3112" w14:textId="77777777"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مراجعة الأدبيات والتوجيهات البحثية، تم تحديد الأبعاد التالية لتطبيقات الذكاء الاصطناعي في السياق الإداري لقطاع التعليم، وهي التي سيتم قياسها في هذه الدراسة:</w:t>
      </w:r>
    </w:p>
    <w:p w14:paraId="08DA69F1" w14:textId="77777777"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 أتمتة المهام الإدارية (</w:t>
      </w:r>
      <w:r w:rsidRPr="003D1437">
        <w:rPr>
          <w:rFonts w:ascii="Traditional Arabic" w:hAnsi="Traditional Arabic" w:cs="Traditional Arabic"/>
          <w:b/>
          <w:bCs/>
          <w:sz w:val="28"/>
          <w:szCs w:val="28"/>
          <w:lang w:bidi="ar-EG"/>
        </w:rPr>
        <w:t>Automation of Administrative Tasks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مما يقلل من الجهد البشري ويزيد من الكفاءة. في قطاع التعليم، يمكن للذكاء الاصطناعي أن يحدث ثورة في هذا المجال (</w:t>
      </w:r>
      <w:r w:rsidRPr="003D1437">
        <w:rPr>
          <w:rFonts w:ascii="Traditional Arabic" w:hAnsi="Traditional Arabic" w:cs="Traditional Arabic"/>
          <w:sz w:val="28"/>
          <w:szCs w:val="28"/>
          <w:lang w:bidi="ar-EG"/>
        </w:rPr>
        <w:t>Orosoo et al., 2023</w:t>
      </w:r>
      <w:r w:rsidRPr="003D1437">
        <w:rPr>
          <w:rFonts w:ascii="Traditional Arabic" w:hAnsi="Traditional Arabic" w:cs="Traditional Arabic"/>
          <w:sz w:val="28"/>
          <w:szCs w:val="28"/>
          <w:rtl/>
        </w:rPr>
        <w:t>). تشمل التطبيقات في هذا البعد أتمتة عمليات القبول والتسجيل من خلال فرز الطلبات وتقييمها بناءً على معايير محددة مسبقاً (</w:t>
      </w:r>
      <w:r w:rsidRPr="003D1437">
        <w:rPr>
          <w:rFonts w:ascii="Traditional Arabic" w:hAnsi="Traditional Arabic" w:cs="Traditional Arabic"/>
          <w:sz w:val="28"/>
          <w:szCs w:val="28"/>
          <w:lang w:bidi="ar-EG"/>
        </w:rPr>
        <w:t>Sarjito, 2024</w:t>
      </w:r>
      <w:r w:rsidRPr="003D1437">
        <w:rPr>
          <w:rFonts w:ascii="Traditional Arabic" w:hAnsi="Traditional Arabic" w:cs="Traditional Arabic"/>
          <w:sz w:val="28"/>
          <w:szCs w:val="28"/>
          <w:rtl/>
        </w:rPr>
        <w:t>)، واستخدام روبوتات الدردشة (</w:t>
      </w:r>
      <w:r w:rsidRPr="003D1437">
        <w:rPr>
          <w:rFonts w:ascii="Traditional Arabic" w:hAnsi="Traditional Arabic" w:cs="Traditional Arabic"/>
          <w:sz w:val="28"/>
          <w:szCs w:val="28"/>
          <w:lang w:bidi="ar-EG"/>
        </w:rPr>
        <w:t>Chatbots</w:t>
      </w:r>
      <w:r w:rsidRPr="003D1437">
        <w:rPr>
          <w:rFonts w:ascii="Traditional Arabic" w:hAnsi="Traditional Arabic" w:cs="Traditional Arabic"/>
          <w:sz w:val="28"/>
          <w:szCs w:val="28"/>
          <w:rtl/>
        </w:rPr>
        <w:t>) للرد على استفسارات المستفيدين على مدار الساعة (السيد وعلي، 2024)، وأتمتة عمليات الجدولة المعقدة (مثل جداول الفصول الدراسية والامتحانات)، وتحسين عمليات توزيع الموارد من خلال التنبؤ بالاحتياجات المستقبلية بشكل استباقي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3E1EF354" w14:textId="26CB9C7F"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ب. دعم اتخاذ القرار وتحليل البيانات التعليمية (</w:t>
      </w:r>
      <w:r w:rsidRPr="003D1437">
        <w:rPr>
          <w:rFonts w:ascii="Traditional Arabic" w:hAnsi="Traditional Arabic" w:cs="Traditional Arabic"/>
          <w:b/>
          <w:bCs/>
          <w:sz w:val="28"/>
          <w:szCs w:val="28"/>
          <w:lang w:bidi="ar-EG"/>
        </w:rPr>
        <w:t>Decision Support and Data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قدرة الذكاء الاصطناعي على تحويل الكميات الهائلة من البيانات التي تولدها المؤسسات التعليمية إلى رؤى قابلة للتنفيذ تدعم اتخاذ قرارات إدارية واستراتيجية أفضل. يمكن لخوارزميات الذكاء الاصطناعي تحليل البيانات الضخمة (</w:t>
      </w:r>
      <w:r w:rsidRPr="003D1437">
        <w:rPr>
          <w:rFonts w:ascii="Traditional Arabic" w:hAnsi="Traditional Arabic" w:cs="Traditional Arabic"/>
          <w:sz w:val="28"/>
          <w:szCs w:val="28"/>
          <w:lang w:bidi="ar-EG"/>
        </w:rPr>
        <w:t>Big Data</w:t>
      </w:r>
      <w:r w:rsidRPr="003D1437">
        <w:rPr>
          <w:rFonts w:ascii="Traditional Arabic" w:hAnsi="Traditional Arabic" w:cs="Traditional Arabic"/>
          <w:sz w:val="28"/>
          <w:szCs w:val="28"/>
          <w:rtl/>
        </w:rPr>
        <w:t>) لتحديد الأنماط والاتجاهات التي قد لا تكون واضحة للمحللين البشريين، مثل تقييم فعالية البرامج التعليمية (</w:t>
      </w:r>
      <w:r w:rsidRPr="003D1437">
        <w:rPr>
          <w:rFonts w:ascii="Traditional Arabic" w:hAnsi="Traditional Arabic" w:cs="Traditional Arabic"/>
          <w:sz w:val="28"/>
          <w:szCs w:val="28"/>
          <w:lang w:bidi="ar-EG"/>
        </w:rPr>
        <w:t>Kaggwa et al., 2024</w:t>
      </w:r>
      <w:r w:rsidRPr="003D1437">
        <w:rPr>
          <w:rFonts w:ascii="Traditional Arabic" w:hAnsi="Traditional Arabic" w:cs="Traditional Arabic"/>
          <w:sz w:val="28"/>
          <w:szCs w:val="28"/>
          <w:rtl/>
        </w:rPr>
        <w:t>). كما تمكّن التحليلات التنبؤية (</w:t>
      </w:r>
      <w:r w:rsidRPr="003D1437">
        <w:rPr>
          <w:rFonts w:ascii="Traditional Arabic" w:hAnsi="Traditional Arabic" w:cs="Traditional Arabic"/>
          <w:sz w:val="28"/>
          <w:szCs w:val="28"/>
          <w:lang w:bidi="ar-EG"/>
        </w:rPr>
        <w:t>Predictive Analytics</w:t>
      </w:r>
      <w:r w:rsidRPr="003D1437">
        <w:rPr>
          <w:rFonts w:ascii="Traditional Arabic" w:hAnsi="Traditional Arabic" w:cs="Traditional Arabic"/>
          <w:sz w:val="28"/>
          <w:szCs w:val="28"/>
          <w:rtl/>
        </w:rPr>
        <w:t>) الإدارة من توقع النتائج المستقبلية واتخاذ إجراءات وقائية بدلاً من مجرد رد الفعل. ويتم ذلك من خلال لوحات المعلومات الذكية التي تعرض مؤشرات الأداء الرئيسية في الوقت الفعلي، مما يسهل اتخاذ القرارات السريعة والمستنيرة</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lang w:bidi="ar-EG"/>
        </w:rPr>
        <w:t>Al Muala et al.,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202B4279" w14:textId="5134D4B3"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ج. تطوير أنظمة الإنذار المبكر (</w:t>
      </w:r>
      <w:r w:rsidRPr="003D1437">
        <w:rPr>
          <w:rFonts w:ascii="Traditional Arabic" w:hAnsi="Traditional Arabic" w:cs="Traditional Arabic"/>
          <w:b/>
          <w:bCs/>
          <w:sz w:val="28"/>
          <w:szCs w:val="28"/>
          <w:lang w:bidi="ar-EG"/>
        </w:rPr>
        <w:t>Development of Early Warning Systems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تطبيقات الذكاء الاصطناعي بشكل استباقي لتحديد المشكلات المحتملة قبل تفاقمها. يعد التعثر الدراسي والتسرب من أكبر </w:t>
      </w:r>
      <w:r w:rsidRPr="003D1437">
        <w:rPr>
          <w:rFonts w:ascii="Traditional Arabic" w:hAnsi="Traditional Arabic" w:cs="Traditional Arabic"/>
          <w:sz w:val="28"/>
          <w:szCs w:val="28"/>
          <w:rtl/>
        </w:rPr>
        <w:lastRenderedPageBreak/>
        <w:t>التحديات التي تواجه أنظمة التعليم، ويمكن للذكاء الاصطناعي أن يوفر أدوات قوية للتعامل مع هذه المشكلة. يمكن لنماذج تعلم الآلة تحليل مجموعة واسعة من البيانات (الحضور، الدرجات، المشاركة) لتحديد الطلاب الذين يظهرون علامات مبكرة على احتمال التعثر أو التسرب. وبمجرد تحديد هؤلاء الطلاب، يمكن للنظام إرسال تنبيهات تلقائية للمعلمين والمرشدين والإدارة لاتخاذ إجراءات تدخلية مبكرة، واقتراح خطط دعم مخصصة لكل طالب</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rPr>
        <w:t>Kassa &amp; Worku, 2025</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0D6DDF97" w14:textId="7457EEE0" w:rsidR="00627BF5" w:rsidRPr="003D1437" w:rsidRDefault="00627BF5" w:rsidP="00863B90">
      <w:pPr>
        <w:pStyle w:val="Heading3"/>
        <w:rPr>
          <w:rtl/>
        </w:rPr>
      </w:pPr>
      <w:bookmarkStart w:id="48" w:name="_Toc236402655"/>
      <w:r w:rsidRPr="003D1437">
        <w:rPr>
          <w:rFonts w:hint="cs"/>
          <w:rtl/>
        </w:rPr>
        <w:t>ثانيا</w:t>
      </w:r>
      <w:r w:rsidRPr="003D1437">
        <w:rPr>
          <w:rtl/>
        </w:rPr>
        <w:t>: تطبيقات الذكاء الاصطناعي في إدارة التعليم</w:t>
      </w:r>
      <w:bookmarkEnd w:id="48"/>
    </w:p>
    <w:p w14:paraId="4B27586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يوفر الذكاء الاصطناعي لإدارة التعليم مجموعة قوية من الأدوات لتعزيز الكفاءة التشغيلية، ودعم اتخاذ القرارات القائمة على الأدلة، وتحسين تخصيص الموارد. يمكن للذكاء الاصطناعي أن يساعد في أتمتة المهام والعمليات المتكررة، مما يحرر الموارد البشرية القيمة للتركيز على المزيد من المهام الاستراتيجية عالية المستوى (</w:t>
      </w:r>
      <w:r w:rsidRPr="003D1437">
        <w:rPr>
          <w:rFonts w:ascii="Traditional Arabic" w:hAnsi="Traditional Arabic" w:cs="Traditional Arabic"/>
          <w:sz w:val="28"/>
          <w:szCs w:val="28"/>
          <w:lang w:bidi="ar-EG"/>
        </w:rPr>
        <w:t>Al Muala et al., 2024</w:t>
      </w:r>
      <w:r w:rsidRPr="003D1437">
        <w:rPr>
          <w:rFonts w:ascii="Traditional Arabic" w:hAnsi="Traditional Arabic" w:cs="Traditional Arabic"/>
          <w:sz w:val="28"/>
          <w:szCs w:val="28"/>
          <w:rtl/>
        </w:rPr>
        <w:t>).</w:t>
      </w:r>
    </w:p>
    <w:p w14:paraId="3F7667BE"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أتمتة المهام الإدارية (القبول والتسجيل، الجدولة، توزيع الموارد)</w:t>
      </w:r>
    </w:p>
    <w:p w14:paraId="3C76AA1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تعد العمليات الإدارية في المؤسسات التعليمية غالبًا ما تكون متكررة وتستهلك وقتًا طويلاً. يمكن للذكاء الاصطناعي أن يحدث ثورة في هذا المجال من خلال الأتمتة.</w:t>
      </w:r>
    </w:p>
    <w:p w14:paraId="2F67BB1A" w14:textId="77777777" w:rsidR="00627BF5" w:rsidRPr="003D1437" w:rsidRDefault="00627BF5">
      <w:pPr>
        <w:numPr>
          <w:ilvl w:val="0"/>
          <w:numId w:val="1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القبول والتسجيل:</w:t>
      </w:r>
      <w:r w:rsidRPr="003D1437">
        <w:rPr>
          <w:rFonts w:ascii="Traditional Arabic" w:hAnsi="Traditional Arabic" w:cs="Traditional Arabic"/>
          <w:sz w:val="28"/>
          <w:szCs w:val="28"/>
          <w:rtl/>
        </w:rPr>
        <w:t xml:space="preserve"> يمكن استخدام خوارزميات الذكاء الاصطناعي لفرز طلبات القبول وتقييمها بناءً على معايير محددة مسبقًا، مما يسرع العملية ويقلل من عبء العمل على الموظفين (</w:t>
      </w:r>
      <w:r w:rsidRPr="003D1437">
        <w:rPr>
          <w:rFonts w:ascii="Traditional Arabic" w:hAnsi="Traditional Arabic" w:cs="Traditional Arabic"/>
          <w:sz w:val="28"/>
          <w:szCs w:val="28"/>
          <w:lang w:bidi="ar-EG"/>
        </w:rPr>
        <w:t>Sarjito, 2024</w:t>
      </w:r>
      <w:r w:rsidRPr="003D1437">
        <w:rPr>
          <w:rFonts w:ascii="Traditional Arabic" w:hAnsi="Traditional Arabic" w:cs="Traditional Arabic"/>
          <w:sz w:val="28"/>
          <w:szCs w:val="28"/>
          <w:rtl/>
        </w:rPr>
        <w:t>). يمكن لروبوتات الدردشة (</w:t>
      </w:r>
      <w:r w:rsidRPr="003D1437">
        <w:rPr>
          <w:rFonts w:ascii="Traditional Arabic" w:hAnsi="Traditional Arabic" w:cs="Traditional Arabic"/>
          <w:sz w:val="28"/>
          <w:szCs w:val="28"/>
          <w:lang w:bidi="ar-EG"/>
        </w:rPr>
        <w:t>Chatbots</w:t>
      </w:r>
      <w:r w:rsidRPr="003D1437">
        <w:rPr>
          <w:rFonts w:ascii="Traditional Arabic" w:hAnsi="Traditional Arabic" w:cs="Traditional Arabic"/>
          <w:sz w:val="28"/>
          <w:szCs w:val="28"/>
          <w:rtl/>
        </w:rPr>
        <w:t>) الإجابة على استفسارات المتقدمين على مدار الساعة، وتقديم معلومات فورية حول متطلبات القبول وحالة الطلبات، مما يحسن تجربة المتقدمين (السيد وعلي، 2024).</w:t>
      </w:r>
    </w:p>
    <w:p w14:paraId="39819542" w14:textId="77777777" w:rsidR="00627BF5" w:rsidRPr="003D1437" w:rsidRDefault="00627BF5">
      <w:pPr>
        <w:numPr>
          <w:ilvl w:val="0"/>
          <w:numId w:val="1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الجدولة:</w:t>
      </w:r>
      <w:r w:rsidRPr="003D1437">
        <w:rPr>
          <w:rFonts w:ascii="Traditional Arabic" w:hAnsi="Traditional Arabic" w:cs="Traditional Arabic"/>
          <w:sz w:val="28"/>
          <w:szCs w:val="28"/>
          <w:rtl/>
        </w:rPr>
        <w:t xml:space="preserve"> يعد إعداد الجداول الدراسية وجداول الامتحانات عملية معقدة تتضمن العديد من المتغيرات، مثل توفر القاعات الدراسية، وجداول المعلمين، واحتياجات الطلاب. يمكن لأنظمة الذكاء الاصطناعي الذكية التعامل مع هذه التعقيدات وإنشاء جداول محسّنة في جزء صغير من الوقت الذي تستغرقه الطرق اليدوية، مع مراعاة جميع القيود وتحقيق أقصى استفادة من الموارد المتاحة (</w:t>
      </w:r>
      <w:r w:rsidRPr="003D1437">
        <w:rPr>
          <w:rFonts w:ascii="Traditional Arabic" w:hAnsi="Traditional Arabic" w:cs="Traditional Arabic"/>
          <w:sz w:val="28"/>
          <w:szCs w:val="28"/>
          <w:lang w:bidi="ar-EG"/>
        </w:rPr>
        <w:t>Orosoo et al., 2023</w:t>
      </w:r>
      <w:r w:rsidRPr="003D1437">
        <w:rPr>
          <w:rFonts w:ascii="Traditional Arabic" w:hAnsi="Traditional Arabic" w:cs="Traditional Arabic"/>
          <w:sz w:val="28"/>
          <w:szCs w:val="28"/>
          <w:rtl/>
        </w:rPr>
        <w:t>).</w:t>
      </w:r>
    </w:p>
    <w:p w14:paraId="3B47E363" w14:textId="77777777" w:rsidR="00627BF5" w:rsidRPr="003D1437" w:rsidRDefault="00627BF5">
      <w:pPr>
        <w:numPr>
          <w:ilvl w:val="0"/>
          <w:numId w:val="10"/>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توزيع الموارد:</w:t>
      </w:r>
      <w:r w:rsidRPr="003D1437">
        <w:rPr>
          <w:rFonts w:ascii="Traditional Arabic" w:hAnsi="Traditional Arabic" w:cs="Traditional Arabic"/>
          <w:sz w:val="28"/>
          <w:szCs w:val="28"/>
          <w:rtl/>
        </w:rPr>
        <w:t xml:space="preserve"> يمكن لأدوات الذكاء الاصطناعي تحليل البيانات التاريخية والتنبؤ بالاحتياجات المستقبلية من الموارد، مثل الكتب المدرسية، والمعدات المعملية، أو حتى عدد الموظفين المطلوبين في قسم معين. يتيح ذلك للإدارة اتخاذ قرارات استباقية بشأن المشتريات وتخصيص الموارد، مما يقلل من الهدر ويضمن توفر الموارد عند الحاجة إليها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4A2F710E" w14:textId="77777777" w:rsidR="005B2603" w:rsidRPr="003D1437" w:rsidRDefault="005B2603" w:rsidP="005B2603">
      <w:pPr>
        <w:bidi/>
        <w:jc w:val="lowKashida"/>
        <w:rPr>
          <w:rFonts w:ascii="Traditional Arabic" w:hAnsi="Traditional Arabic" w:cs="Traditional Arabic"/>
          <w:sz w:val="28"/>
          <w:szCs w:val="28"/>
          <w:rtl/>
        </w:rPr>
      </w:pPr>
    </w:p>
    <w:p w14:paraId="3BACFEFA" w14:textId="77777777" w:rsidR="005B2603" w:rsidRPr="003D1437" w:rsidRDefault="005B2603" w:rsidP="005B2603">
      <w:pPr>
        <w:bidi/>
        <w:jc w:val="lowKashida"/>
        <w:rPr>
          <w:rFonts w:ascii="Traditional Arabic" w:hAnsi="Traditional Arabic" w:cs="Traditional Arabic"/>
          <w:sz w:val="28"/>
          <w:szCs w:val="28"/>
          <w:rtl/>
        </w:rPr>
      </w:pPr>
    </w:p>
    <w:p w14:paraId="4FEB21B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2. دعم اتخاذ القرار وتحليل البيانات التعليمية</w:t>
      </w:r>
    </w:p>
    <w:p w14:paraId="0A79074E"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تولد المؤسسات التعليمية كميات هائلة من البيانات يوميًا. يمكن للذكاء الاصطناعي تحويل هذه البيانات إلى رؤى قابلة للتنفيذ تدعم اتخاذ قرارات إدارية واستراتيجية أفضل.</w:t>
      </w:r>
    </w:p>
    <w:p w14:paraId="6019FA0D" w14:textId="77777777" w:rsidR="00627BF5" w:rsidRPr="003D1437" w:rsidRDefault="00627BF5">
      <w:pPr>
        <w:numPr>
          <w:ilvl w:val="0"/>
          <w:numId w:val="1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البيانات الضخمة (</w:t>
      </w:r>
      <w:r w:rsidRPr="003D1437">
        <w:rPr>
          <w:rFonts w:ascii="Traditional Arabic" w:hAnsi="Traditional Arabic" w:cs="Traditional Arabic"/>
          <w:b/>
          <w:bCs/>
          <w:sz w:val="28"/>
          <w:szCs w:val="28"/>
          <w:lang w:bidi="ar-EG"/>
        </w:rPr>
        <w:t>Big Data Analytics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لخوارزميات الذكاء الاصطناعي تحليل مجموعات البيانات الكبيرة والمعقدة لتحديد الأنماط والاتجاهات التي قد لا تكون واضحة للمحللين البشريين، مثل تحليل معدلات النجاح والرسوب، وتحديد العوامل المؤثرة على أداء الطلاب، وتقييم فعالية البرامج التعليمية المختلفة (</w:t>
      </w:r>
      <w:r w:rsidRPr="003D1437">
        <w:rPr>
          <w:rFonts w:ascii="Traditional Arabic" w:hAnsi="Traditional Arabic" w:cs="Traditional Arabic"/>
          <w:sz w:val="28"/>
          <w:szCs w:val="28"/>
          <w:lang w:bidi="ar-EG"/>
        </w:rPr>
        <w:t>Sarjito, 2024; Kaggwa et al., 2024</w:t>
      </w:r>
      <w:r w:rsidRPr="003D1437">
        <w:rPr>
          <w:rFonts w:ascii="Traditional Arabic" w:hAnsi="Traditional Arabic" w:cs="Traditional Arabic"/>
          <w:sz w:val="28"/>
          <w:szCs w:val="28"/>
          <w:rtl/>
        </w:rPr>
        <w:t>).</w:t>
      </w:r>
    </w:p>
    <w:p w14:paraId="5F9A9FD5" w14:textId="77777777" w:rsidR="00627BF5" w:rsidRPr="003D1437" w:rsidRDefault="00627BF5">
      <w:pPr>
        <w:numPr>
          <w:ilvl w:val="0"/>
          <w:numId w:val="1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التحليلات التنبؤية (</w:t>
      </w:r>
      <w:r w:rsidRPr="003D1437">
        <w:rPr>
          <w:rFonts w:ascii="Traditional Arabic" w:hAnsi="Traditional Arabic" w:cs="Traditional Arabic"/>
          <w:b/>
          <w:bCs/>
          <w:sz w:val="28"/>
          <w:szCs w:val="28"/>
          <w:lang w:bidi="ar-EG"/>
        </w:rPr>
        <w:t>Predictive Analytics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من خلال تحليل البيانات التاريخية، يمكن لنماذج الذكاء الاصطناعي التنبؤ بالنتائج المستقبلية (</w:t>
      </w:r>
      <w:r w:rsidRPr="003D1437">
        <w:rPr>
          <w:rFonts w:ascii="Traditional Arabic" w:hAnsi="Traditional Arabic" w:cs="Traditional Arabic"/>
          <w:sz w:val="28"/>
          <w:szCs w:val="28"/>
          <w:lang w:bidi="ar-EG"/>
        </w:rPr>
        <w:t>Al Muala et al., 2024</w:t>
      </w:r>
      <w:r w:rsidRPr="003D1437">
        <w:rPr>
          <w:rFonts w:ascii="Traditional Arabic" w:hAnsi="Traditional Arabic" w:cs="Traditional Arabic"/>
          <w:sz w:val="28"/>
          <w:szCs w:val="28"/>
          <w:rtl/>
        </w:rPr>
        <w:t>). على سبيل المثال، يمكنها التنبؤ بالطلاب المعرضين لخطر التعثر الأكاديمي، أو توقع معدلات الالتحاق المستقبلية، أو التنبؤ بالاحتياجات من الميزانية. تتيح هذه القدرة التنبؤية للإدارة اتخاذ إجراءات وقائية وتخطيط استباقي بدلاً من مجرد الاستجابة للأحداث بعد وقوعها (</w:t>
      </w:r>
      <w:r w:rsidRPr="003D1437">
        <w:rPr>
          <w:rFonts w:ascii="Traditional Arabic" w:hAnsi="Traditional Arabic" w:cs="Traditional Arabic"/>
          <w:sz w:val="28"/>
          <w:szCs w:val="28"/>
          <w:lang w:bidi="ar-EG"/>
        </w:rPr>
        <w:t>Sarjito, 2024</w:t>
      </w:r>
      <w:r w:rsidRPr="003D1437">
        <w:rPr>
          <w:rFonts w:ascii="Traditional Arabic" w:hAnsi="Traditional Arabic" w:cs="Traditional Arabic"/>
          <w:sz w:val="28"/>
          <w:szCs w:val="28"/>
          <w:rtl/>
        </w:rPr>
        <w:t>).</w:t>
      </w:r>
    </w:p>
    <w:p w14:paraId="49F2A9C9" w14:textId="77777777" w:rsidR="00627BF5" w:rsidRPr="003D1437" w:rsidRDefault="00627BF5">
      <w:pPr>
        <w:numPr>
          <w:ilvl w:val="0"/>
          <w:numId w:val="1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لوحات المعلومات الذكية (</w:t>
      </w:r>
      <w:r w:rsidRPr="003D1437">
        <w:rPr>
          <w:rFonts w:ascii="Traditional Arabic" w:hAnsi="Traditional Arabic" w:cs="Traditional Arabic"/>
          <w:b/>
          <w:bCs/>
          <w:sz w:val="28"/>
          <w:szCs w:val="28"/>
          <w:lang w:bidi="ar-EG"/>
        </w:rPr>
        <w:t>Intelligent Dashboards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للذكاء الاصطناعي تشغيل لوحات معلومات ديناميكية تعرض مؤشرات الأداء الرئيسية (</w:t>
      </w:r>
      <w:r w:rsidRPr="003D1437">
        <w:rPr>
          <w:rFonts w:ascii="Traditional Arabic" w:hAnsi="Traditional Arabic" w:cs="Traditional Arabic"/>
          <w:sz w:val="28"/>
          <w:szCs w:val="28"/>
          <w:lang w:bidi="ar-EG"/>
        </w:rPr>
        <w:t>KPIs</w:t>
      </w:r>
      <w:r w:rsidRPr="003D1437">
        <w:rPr>
          <w:rFonts w:ascii="Traditional Arabic" w:hAnsi="Traditional Arabic" w:cs="Traditional Arabic"/>
          <w:sz w:val="28"/>
          <w:szCs w:val="28"/>
          <w:rtl/>
        </w:rPr>
        <w:t>) في الوقت الفعلي، مما يمنح المديرين رؤية شاملة وفورية لأداء المؤسسة. هذا يسهل اتخاذ القرارات السريعة والمستنيرة بناءً على أحدث البيانات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7D68641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تخصيص الموارد المالية والبشرية بكفاءة</w:t>
      </w:r>
    </w:p>
    <w:p w14:paraId="28D427D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تخصيص الموارد أحد أهم التحديات التي تواجه إدارات التعليم. يمكن للذكاء الاصطناعي أن يلعب دورًا محوريًا في تحسين كفاءة هذه العملية.</w:t>
      </w:r>
    </w:p>
    <w:p w14:paraId="6E09FF9B" w14:textId="77777777" w:rsidR="00627BF5" w:rsidRPr="003D1437" w:rsidRDefault="00627BF5">
      <w:pPr>
        <w:numPr>
          <w:ilvl w:val="0"/>
          <w:numId w:val="1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الموارد المالية:</w:t>
      </w:r>
      <w:r w:rsidRPr="003D1437">
        <w:rPr>
          <w:rFonts w:ascii="Traditional Arabic" w:hAnsi="Traditional Arabic" w:cs="Traditional Arabic"/>
          <w:sz w:val="28"/>
          <w:szCs w:val="28"/>
          <w:rtl/>
        </w:rPr>
        <w:t xml:space="preserve"> من خلال تحليل بيانات الإنفاق السابقة ومقارنتها بنتائج الأداء، يمكن للذكاء الاصطناعي مساعدة الإدارة في تحديد المجالات التي يتم فيها إهدار الأموال والمجالات التي تحتاج إلى مزيد من الاستثمار. يمكنه أيضًا المساعدة في بناء نماذج ميزانية أكثر دقة وواقعية بناءً على التوقعات المستقبلية (</w:t>
      </w:r>
      <w:r w:rsidRPr="003D1437">
        <w:rPr>
          <w:rFonts w:ascii="Traditional Arabic" w:hAnsi="Traditional Arabic" w:cs="Traditional Arabic"/>
          <w:sz w:val="28"/>
          <w:szCs w:val="28"/>
          <w:lang w:bidi="ar-EG"/>
        </w:rPr>
        <w:t>Gyau et al., 2024</w:t>
      </w:r>
      <w:r w:rsidRPr="003D1437">
        <w:rPr>
          <w:rFonts w:ascii="Traditional Arabic" w:hAnsi="Traditional Arabic" w:cs="Traditional Arabic"/>
          <w:sz w:val="28"/>
          <w:szCs w:val="28"/>
          <w:rtl/>
        </w:rPr>
        <w:t>).</w:t>
      </w:r>
    </w:p>
    <w:p w14:paraId="109FD19A" w14:textId="7FDEE289" w:rsidR="00627BF5" w:rsidRPr="003D1437" w:rsidRDefault="00627BF5">
      <w:pPr>
        <w:numPr>
          <w:ilvl w:val="0"/>
          <w:numId w:val="1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الموارد البشرية:</w:t>
      </w:r>
      <w:r w:rsidRPr="003D1437">
        <w:rPr>
          <w:rFonts w:ascii="Traditional Arabic" w:hAnsi="Traditional Arabic" w:cs="Traditional Arabic"/>
          <w:sz w:val="28"/>
          <w:szCs w:val="28"/>
          <w:rtl/>
        </w:rPr>
        <w:t xml:space="preserve"> يمكن استخدام الذكاء الاصطناعي في إدارة الموارد البشرية لتحسين عمليات التوظيف والاختيار، من خلال فحص السير الذاتية وتحديد أفضل المرشحين. كما يمكنه المساعدة في تخطيط القوى العاملة من خلال التنبؤ بالاحتياجات المستقبلية من المعلمين والموظفين بناءً على معدلات الالتحاق المتوقعة والتغيرات في المناهج الدراسية. بالإضافة إلى ذلك، يمكنه تحديد احتياجات التطوير المهني للمعلمين من خلال تحليل بيانات أدائهم وأداء طلابهم</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lang w:bidi="ar-EG"/>
        </w:rPr>
        <w:t>Orosoo et al., 2023</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5E38B0D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4. تطوير أنظمة الإنذار المبكر للتعثر الدراسي أو التسرب</w:t>
      </w:r>
    </w:p>
    <w:p w14:paraId="3FE46B1D" w14:textId="62767E7F" w:rsidR="00627BF5" w:rsidRPr="003D1437" w:rsidRDefault="007E7B32"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التعثر الدراسي والتسرب من أكبر التحديات التي تواجه أنظمة التعليم. يمكن للذكاء الاصطناعي أن يوفر أدوات قوية للتعامل مع هذه المشكلة بشكل استباقي ومن أهمها ما ذكره</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Pr>
        <w:t>Kassa &amp; Worku</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2025</w:t>
      </w:r>
      <w:r w:rsidRPr="003D1437">
        <w:rPr>
          <w:rFonts w:ascii="Traditional Arabic" w:hAnsi="Traditional Arabic" w:cs="Traditional Arabic"/>
          <w:sz w:val="28"/>
          <w:szCs w:val="28"/>
          <w:rtl/>
        </w:rPr>
        <w:t>) فيما يلي:</w:t>
      </w:r>
    </w:p>
    <w:p w14:paraId="38EE16EB" w14:textId="0255361C" w:rsidR="00627BF5" w:rsidRPr="003D1437" w:rsidRDefault="00627BF5">
      <w:pPr>
        <w:numPr>
          <w:ilvl w:val="0"/>
          <w:numId w:val="1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الطلاب المعرضين للخطر:</w:t>
      </w:r>
      <w:r w:rsidRPr="003D1437">
        <w:rPr>
          <w:rFonts w:ascii="Traditional Arabic" w:hAnsi="Traditional Arabic" w:cs="Traditional Arabic"/>
          <w:sz w:val="28"/>
          <w:szCs w:val="28"/>
          <w:rtl/>
        </w:rPr>
        <w:t xml:space="preserve"> يمكن لنماذج تعلم الآلة تحليل مجموعة واسعة من البيانات، بما في ذلك الحضور، والدرجات، والمشاركة في الفصل، وحتى البيانات السلوكية، لتحديد الطلاب الذين يظهرون علامات مبكرة على احتمال التعثر أو التسرب.</w:t>
      </w:r>
    </w:p>
    <w:p w14:paraId="20F217FB" w14:textId="77777777" w:rsidR="00627BF5" w:rsidRPr="003D1437" w:rsidRDefault="00627BF5">
      <w:pPr>
        <w:numPr>
          <w:ilvl w:val="0"/>
          <w:numId w:val="1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التدخل المبكر:</w:t>
      </w:r>
      <w:r w:rsidRPr="003D1437">
        <w:rPr>
          <w:rFonts w:ascii="Traditional Arabic" w:hAnsi="Traditional Arabic" w:cs="Traditional Arabic"/>
          <w:sz w:val="28"/>
          <w:szCs w:val="28"/>
          <w:rtl/>
        </w:rPr>
        <w:t xml:space="preserve"> بمجرد تحديد هؤلاء الطلاب، يمكن للنظام إرسال تنبيهات تلقائية إلى المعلمين والمرشدين الأكاديميين والإدارة لاتخاذ إجراءات تدخلية. يمكن للنظام أيضًا اقتراح خطط دعم مخصصة بناءً على نقاط الضعف المحددة لكل طالب.</w:t>
      </w:r>
    </w:p>
    <w:p w14:paraId="028EAD29" w14:textId="77777777" w:rsidR="00627BF5" w:rsidRPr="003D1437" w:rsidRDefault="00627BF5">
      <w:pPr>
        <w:numPr>
          <w:ilvl w:val="0"/>
          <w:numId w:val="1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الأسباب الجذرية:</w:t>
      </w:r>
      <w:r w:rsidRPr="003D1437">
        <w:rPr>
          <w:rFonts w:ascii="Traditional Arabic" w:hAnsi="Traditional Arabic" w:cs="Traditional Arabic"/>
          <w:sz w:val="28"/>
          <w:szCs w:val="28"/>
          <w:rtl/>
        </w:rPr>
        <w:t xml:space="preserve"> يمكن للذكاء الاصطناعي أيضًا تحليل البيانات على مستوى النظام لتحديد الأسباب الجذرية الشائعة للتعثر والتسرب، مثل صعوبات في مناهج معينة، أو نقص الدعم في مدارس محددة. تساعد هذه الرؤى الإدارة على تطوير استراتيجيات وقائية على مستوى أوسع لمعالجة هذه المشكلات من جذورها.</w:t>
      </w:r>
    </w:p>
    <w:p w14:paraId="2A2C5F62" w14:textId="683CF241" w:rsidR="00627BF5" w:rsidRPr="003D1437" w:rsidRDefault="00627BF5" w:rsidP="00863B90">
      <w:pPr>
        <w:pStyle w:val="Heading3"/>
        <w:rPr>
          <w:rtl/>
        </w:rPr>
      </w:pPr>
      <w:bookmarkStart w:id="49" w:name="_Toc236402656"/>
      <w:r w:rsidRPr="003D1437">
        <w:rPr>
          <w:rFonts w:hint="cs"/>
          <w:rtl/>
        </w:rPr>
        <w:t>ثالثا</w:t>
      </w:r>
      <w:r w:rsidRPr="003D1437">
        <w:rPr>
          <w:rtl/>
        </w:rPr>
        <w:t>: الذكاء الاصطناعي في خدمة العملية التعليمية</w:t>
      </w:r>
      <w:bookmarkEnd w:id="49"/>
    </w:p>
    <w:p w14:paraId="0353F8F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لا يقتصر تأثير الذكاء الاصطناعي على الجوانب الإدارية فحسب، بل يمتد إلى قلب العملية التعليمية، واعدًا بتحويل تجربة التعلم لكل من الطلاب والمعلمين. يمكن لتقنيات الذكاء الاصطناعي أن تجعل التعليم أكثر تخصيصًا وتفاعلية وكفاءة.</w:t>
      </w:r>
    </w:p>
    <w:p w14:paraId="4782BE5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تخصيص تجارب التعلم للطلاب</w:t>
      </w:r>
    </w:p>
    <w:p w14:paraId="7DCD3306"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أحد أكثر تطبيقات الذكاء الاصطناعي إثارة في التعليم هو قدرته على تخصيص مسارات التعلم لتلبية الاحتياجات الفردية لكل طالب.</w:t>
      </w:r>
    </w:p>
    <w:p w14:paraId="442B6417" w14:textId="77777777" w:rsidR="00627BF5" w:rsidRPr="003D1437" w:rsidRDefault="00627BF5">
      <w:pPr>
        <w:numPr>
          <w:ilvl w:val="0"/>
          <w:numId w:val="1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التعلم التكيفي (</w:t>
      </w:r>
      <w:r w:rsidRPr="003D1437">
        <w:rPr>
          <w:rFonts w:ascii="Traditional Arabic" w:hAnsi="Traditional Arabic" w:cs="Traditional Arabic"/>
          <w:b/>
          <w:bCs/>
          <w:sz w:val="28"/>
          <w:szCs w:val="28"/>
          <w:lang w:bidi="ar-EG"/>
        </w:rPr>
        <w:t>Adaptive Learning</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لمنصات التعلم التكيفي المدعومة بالذكاء الاصطناعي تعديل مستوى صعوبة المحتوى والأنشطة في الوقت الفعلي بناءً على أداء الطالب. إذا كان الطالب يعاني في مفهوم معين، يمكن للنظام تقديم مواد إضافية وممارسة مركزة. وإذا أظهر الطالب إتقانًا لمفهوم ما، يمكن للنظام الانتقال به إلى مواضيع أكثر تقدمًا، مما يضمن بقاء كل طالب في حالة تحدٍ ومشاركة مستمرة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4FABAA62" w14:textId="77777777" w:rsidR="00627BF5" w:rsidRPr="003D1437" w:rsidRDefault="00627BF5">
      <w:pPr>
        <w:numPr>
          <w:ilvl w:val="0"/>
          <w:numId w:val="1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توصيات المحتوى:</w:t>
      </w:r>
      <w:r w:rsidRPr="003D1437">
        <w:rPr>
          <w:rFonts w:ascii="Traditional Arabic" w:hAnsi="Traditional Arabic" w:cs="Traditional Arabic"/>
          <w:sz w:val="28"/>
          <w:szCs w:val="28"/>
          <w:rtl/>
        </w:rPr>
        <w:t xml:space="preserve"> على غرار الطريقة التي توصي بها خدمات البث بالأفلام، يمكن للذكاء الاصطناعي أن يوصي بموارد تعليمية مخصصة لكل طالب، مثل مقاطع الفيديو والمقالات والتمارين، بناءً على اهتماماته وأسلوب تعلمه وأهدافه الأكاديمية (السيد وعلي، 2024).</w:t>
      </w:r>
    </w:p>
    <w:p w14:paraId="07B45E40" w14:textId="77777777" w:rsidR="00627BF5" w:rsidRPr="003D1437" w:rsidRDefault="00627BF5">
      <w:pPr>
        <w:numPr>
          <w:ilvl w:val="0"/>
          <w:numId w:val="1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دعم فردي:</w:t>
      </w:r>
      <w:r w:rsidRPr="003D1437">
        <w:rPr>
          <w:rFonts w:ascii="Traditional Arabic" w:hAnsi="Traditional Arabic" w:cs="Traditional Arabic"/>
          <w:sz w:val="28"/>
          <w:szCs w:val="28"/>
          <w:rtl/>
        </w:rPr>
        <w:t xml:space="preserve"> يمكن لروبوتات الدردشة التعليمية أن تعمل كمدرسين خصوصيين افتراضيين، حيث تقدم المساعدة للطلاب على مدار الساعة طوال أيام الأسبوع، وتجيب على أسئلتهم، وتقدم تلميحات لحل المشكلات عندما يكون المعلم غير متاح (السيد وعلي، 2024).</w:t>
      </w:r>
    </w:p>
    <w:p w14:paraId="2D907F4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تطوير المحتوى التعليمي الذكي</w:t>
      </w:r>
    </w:p>
    <w:p w14:paraId="1B6F0828" w14:textId="6892A250"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للذكاء الاصطناعي أن يلعب دورًا مهمًا في إنشاء وتحسين المواد التعليمية</w:t>
      </w:r>
      <w:r w:rsidR="007E7B32" w:rsidRPr="003D1437">
        <w:rPr>
          <w:rFonts w:ascii="Traditional Arabic" w:hAnsi="Traditional Arabic" w:cs="Traditional Arabic" w:hint="cs"/>
          <w:sz w:val="28"/>
          <w:szCs w:val="28"/>
          <w:rtl/>
        </w:rPr>
        <w:t xml:space="preserve"> ومن اهم الأدوار ما يلي </w:t>
      </w:r>
      <w:r w:rsidR="007E7B32" w:rsidRPr="003D1437">
        <w:rPr>
          <w:rFonts w:ascii="Traditional Arabic" w:hAnsi="Traditional Arabic" w:cs="Traditional Arabic"/>
          <w:sz w:val="28"/>
          <w:szCs w:val="28"/>
          <w:rtl/>
        </w:rPr>
        <w:t>(السيد وعلي، 2024)</w:t>
      </w:r>
      <w:r w:rsidR="007E7B32" w:rsidRPr="003D1437">
        <w:rPr>
          <w:rFonts w:ascii="Traditional Arabic" w:hAnsi="Traditional Arabic" w:cs="Traditional Arabic" w:hint="cs"/>
          <w:sz w:val="28"/>
          <w:szCs w:val="28"/>
          <w:rtl/>
        </w:rPr>
        <w:t>:</w:t>
      </w:r>
    </w:p>
    <w:p w14:paraId="0D989FB4" w14:textId="76ED1D15" w:rsidR="00627BF5" w:rsidRPr="003D1437" w:rsidRDefault="00627BF5">
      <w:pPr>
        <w:numPr>
          <w:ilvl w:val="0"/>
          <w:numId w:val="1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إنشاء المحتوى:</w:t>
      </w:r>
      <w:r w:rsidRPr="003D1437">
        <w:rPr>
          <w:rFonts w:ascii="Traditional Arabic" w:hAnsi="Traditional Arabic" w:cs="Traditional Arabic"/>
          <w:sz w:val="28"/>
          <w:szCs w:val="28"/>
          <w:rtl/>
        </w:rPr>
        <w:t xml:space="preserve"> يمكن لخوارزميات الذكاء الاصطناعي التوليدي المساعدة في إنشاء مجموعة متنوعة من المحتويات التعليمية، مثل أسئلة الاختبارات، والملخصات، وحتى خطط الدروس الأولية، مما يوفر على المعلمين وقتًا ثمينًا.</w:t>
      </w:r>
    </w:p>
    <w:p w14:paraId="33338692" w14:textId="77777777" w:rsidR="00627BF5" w:rsidRPr="003D1437" w:rsidRDefault="00627BF5">
      <w:pPr>
        <w:numPr>
          <w:ilvl w:val="0"/>
          <w:numId w:val="1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المحتوى:</w:t>
      </w:r>
      <w:r w:rsidRPr="003D1437">
        <w:rPr>
          <w:rFonts w:ascii="Traditional Arabic" w:hAnsi="Traditional Arabic" w:cs="Traditional Arabic"/>
          <w:sz w:val="28"/>
          <w:szCs w:val="28"/>
          <w:rtl/>
        </w:rPr>
        <w:t xml:space="preserve"> يمكن لأدوات الذكاء الاصطناعي تحليل الكتب المدرسية والمواد التعليمية الحالية لتحديد المفاهيم الأساسية، وتقييم مستوى القراءة، واقتراح تحسينات لجعل المحتوى أكثر وضوحًا وجاذبية.</w:t>
      </w:r>
    </w:p>
    <w:p w14:paraId="5ABE6222" w14:textId="5C69B8C5" w:rsidR="00627BF5" w:rsidRPr="003D1437" w:rsidRDefault="00627BF5">
      <w:pPr>
        <w:numPr>
          <w:ilvl w:val="0"/>
          <w:numId w:val="1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المحتوى التفاعلي:</w:t>
      </w:r>
      <w:r w:rsidRPr="003D1437">
        <w:rPr>
          <w:rFonts w:ascii="Traditional Arabic" w:hAnsi="Traditional Arabic" w:cs="Traditional Arabic"/>
          <w:sz w:val="28"/>
          <w:szCs w:val="28"/>
          <w:rtl/>
        </w:rPr>
        <w:t xml:space="preserve"> يمكن استخدام الذكاء الاصطناعي لإنشاء محاكاة تفاعلية وبيئات تعلم افتراضية (</w:t>
      </w:r>
      <w:r w:rsidRPr="003D1437">
        <w:rPr>
          <w:rFonts w:ascii="Traditional Arabic" w:hAnsi="Traditional Arabic" w:cs="Traditional Arabic"/>
          <w:sz w:val="28"/>
          <w:szCs w:val="28"/>
          <w:lang w:bidi="ar-EG"/>
        </w:rPr>
        <w:t>Virtual Reality</w:t>
      </w:r>
      <w:r w:rsidRPr="003D1437">
        <w:rPr>
          <w:rFonts w:ascii="Traditional Arabic" w:hAnsi="Traditional Arabic" w:cs="Traditional Arabic"/>
          <w:sz w:val="28"/>
          <w:szCs w:val="28"/>
          <w:rtl/>
        </w:rPr>
        <w:t>) ومعززة (</w:t>
      </w:r>
      <w:r w:rsidRPr="003D1437">
        <w:rPr>
          <w:rFonts w:ascii="Traditional Arabic" w:hAnsi="Traditional Arabic" w:cs="Traditional Arabic"/>
          <w:sz w:val="28"/>
          <w:szCs w:val="28"/>
          <w:lang w:bidi="ar-EG"/>
        </w:rPr>
        <w:t>Augmented Reality</w:t>
      </w:r>
      <w:r w:rsidRPr="003D1437">
        <w:rPr>
          <w:rFonts w:ascii="Traditional Arabic" w:hAnsi="Traditional Arabic" w:cs="Traditional Arabic"/>
          <w:sz w:val="28"/>
          <w:szCs w:val="28"/>
          <w:rtl/>
        </w:rPr>
        <w:t>)، مما يسمح للطلاب بتجربة المفاهيم المجردة بطرق عملية وملموسة، وهو ما يعزز الفهم العميق والاحتفاظ بالمعلومات.</w:t>
      </w:r>
    </w:p>
    <w:p w14:paraId="54C79D0C"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أنظمة التقييم والتقويم الذكية</w:t>
      </w:r>
    </w:p>
    <w:p w14:paraId="08E0C861" w14:textId="6B215C99" w:rsidR="00627BF5" w:rsidRPr="003D1437" w:rsidRDefault="007E7B32"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للذكاء الاصطناعي تحويل عملية التقييم من مجرد قياس للمعرفة إلى أداة قوية للتعلم وتتمقل فيما يلي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w:t>
      </w:r>
      <w:r w:rsidRPr="003D1437">
        <w:rPr>
          <w:rFonts w:ascii="Traditional Arabic" w:hAnsi="Traditional Arabic" w:cs="Traditional Arabic" w:hint="cs"/>
          <w:sz w:val="28"/>
          <w:szCs w:val="28"/>
          <w:rtl/>
        </w:rPr>
        <w:t>:</w:t>
      </w:r>
    </w:p>
    <w:p w14:paraId="3273DDBF" w14:textId="1B3956AD"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التصحيح الآلي:</w:t>
      </w:r>
      <w:r w:rsidRPr="003D1437">
        <w:rPr>
          <w:rFonts w:ascii="Traditional Arabic" w:hAnsi="Traditional Arabic" w:cs="Traditional Arabic"/>
          <w:sz w:val="28"/>
          <w:szCs w:val="28"/>
          <w:rtl/>
        </w:rPr>
        <w:t xml:space="preserve"> يمكن للذكاء الاصطناعي تصحيح أنواع مختلفة من الأسئلة، بما في ذلك أسئلة الاختيار من متعدد والأسئلة العددية وحتى المقالات القصيرة، بشكل فوري ودقيق، مما يوفر للمعلمين ساعات من العمل اليدوي.</w:t>
      </w:r>
    </w:p>
    <w:p w14:paraId="220EBE2F" w14:textId="77777777"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التغذية الراجعة الفورية والمخصصة:</w:t>
      </w:r>
      <w:r w:rsidRPr="003D1437">
        <w:rPr>
          <w:rFonts w:ascii="Traditional Arabic" w:hAnsi="Traditional Arabic" w:cs="Traditional Arabic"/>
          <w:sz w:val="28"/>
          <w:szCs w:val="28"/>
          <w:rtl/>
        </w:rPr>
        <w:t xml:space="preserve"> بدلاً من انتظار الدرجات النهائية، يمكن للطلاب الحصول على تغذية راجعة فورية ومفصلة حول أدائهم في الواجبات والاختبارات. يمكن للذكاء الاصطناعي تحديد الأخطاء الشائعة، وشرح المفاهيم التي أسيء فهمها، وتقديم موارد مستهدفة للتحسين.</w:t>
      </w:r>
    </w:p>
    <w:p w14:paraId="2AA2C3BA" w14:textId="77777777"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مكافحة الانتحال:</w:t>
      </w:r>
      <w:r w:rsidRPr="003D1437">
        <w:rPr>
          <w:rFonts w:ascii="Traditional Arabic" w:hAnsi="Traditional Arabic" w:cs="Traditional Arabic"/>
          <w:sz w:val="28"/>
          <w:szCs w:val="28"/>
          <w:rtl/>
        </w:rPr>
        <w:t xml:space="preserve"> يمكن لأدوات الكشف عن الانتحال المدعومة بالذكاء الاصطناعي مقارنة أعمال الطلاب بقاعدة بيانات واسعة من المصادر لتحديد أي حالات للسرقة الأدبية، مما يعزز النزاهة الأكاديمية.</w:t>
      </w:r>
    </w:p>
    <w:p w14:paraId="413B8851" w14:textId="77777777"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التقييم التكويني المستمر:</w:t>
      </w:r>
      <w:r w:rsidRPr="003D1437">
        <w:rPr>
          <w:rFonts w:ascii="Traditional Arabic" w:hAnsi="Traditional Arabic" w:cs="Traditional Arabic"/>
          <w:sz w:val="28"/>
          <w:szCs w:val="28"/>
          <w:rtl/>
        </w:rPr>
        <w:t xml:space="preserve"> يمكن للذكاء الاصطناعي تتبع تقدم الطالب بشكل مستمر من خلال تفاعلاته اليومية مع المواد التعليمية، مما يوفر للمعلم صورة أكثر شمولاً وديناميكية لمستوى فهم الطالب مقارنة بالاختبارات التقليدية.</w:t>
      </w:r>
    </w:p>
    <w:p w14:paraId="23E96BC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4. دعم المعلمين في تحليل أداء الطلاب</w:t>
      </w:r>
    </w:p>
    <w:p w14:paraId="4CD8C820" w14:textId="4BE76439"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للذكاء الاصطناعي أن يكون مساعدًا قويًا للمعلمين، حيث يزودهم بالبيانات والرؤى التي يحتاجونها لدعم طلابهم بشكل أفضل</w:t>
      </w:r>
      <w:r w:rsidR="00682ED3" w:rsidRPr="003D1437">
        <w:rPr>
          <w:rFonts w:ascii="Traditional Arabic" w:hAnsi="Traditional Arabic" w:cs="Traditional Arabic" w:hint="cs"/>
          <w:sz w:val="28"/>
          <w:szCs w:val="28"/>
          <w:rtl/>
        </w:rPr>
        <w:t xml:space="preserve"> ومنها ما ذكره كلا من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rPr>
        <w:t xml:space="preserve">Kassa &amp; Worku, 2025; </w:t>
      </w:r>
      <w:r w:rsidR="00682ED3" w:rsidRPr="003D1437">
        <w:rPr>
          <w:rFonts w:ascii="Traditional Arabic" w:hAnsi="Traditional Arabic" w:cs="Traditional Arabic"/>
          <w:sz w:val="28"/>
          <w:szCs w:val="28"/>
          <w:lang w:bidi="ar-EG"/>
        </w:rPr>
        <w:t>Orosoo et al., 2023</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hint="cs"/>
          <w:sz w:val="28"/>
          <w:szCs w:val="28"/>
          <w:rtl/>
        </w:rPr>
        <w:t xml:space="preserve"> على النحو التالي:</w:t>
      </w:r>
    </w:p>
    <w:p w14:paraId="33823FC1" w14:textId="5EA84A16" w:rsidR="00627BF5" w:rsidRPr="003D1437" w:rsidRDefault="00627BF5">
      <w:pPr>
        <w:numPr>
          <w:ilvl w:val="0"/>
          <w:numId w:val="1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بيانات الفصل الدراسي:</w:t>
      </w:r>
      <w:r w:rsidRPr="003D1437">
        <w:rPr>
          <w:rFonts w:ascii="Traditional Arabic" w:hAnsi="Traditional Arabic" w:cs="Traditional Arabic"/>
          <w:sz w:val="28"/>
          <w:szCs w:val="28"/>
          <w:rtl/>
        </w:rPr>
        <w:t xml:space="preserve"> يمكن للذكاء الاصطناعي تحليل بيانات أداء الفصل الدراسي بأكمله لتحديد المفاهيم التي يجد معظم الطلاب صعوبة فيها. يسمح هذا للمعلم بتعديل خطط الدروس والتركيز على المجالات التي تحتاج إلى مزيد من الشرح والممارسة.</w:t>
      </w:r>
    </w:p>
    <w:p w14:paraId="26D49792" w14:textId="77777777" w:rsidR="00627BF5" w:rsidRPr="003D1437" w:rsidRDefault="00627BF5">
      <w:pPr>
        <w:numPr>
          <w:ilvl w:val="0"/>
          <w:numId w:val="1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فجوات التعلم الفردية:</w:t>
      </w:r>
      <w:r w:rsidRPr="003D1437">
        <w:rPr>
          <w:rFonts w:ascii="Traditional Arabic" w:hAnsi="Traditional Arabic" w:cs="Traditional Arabic"/>
          <w:sz w:val="28"/>
          <w:szCs w:val="28"/>
          <w:rtl/>
        </w:rPr>
        <w:t xml:space="preserve"> يمكن للنظام تزويد المعلم بتقارير مفصلة عن أداء كل طالب، وتسليط الضوء على نقاط القوة والضعف المحددة لديه، مما يمكن المعلم من تقديم دعم فردي ومستهدف.</w:t>
      </w:r>
    </w:p>
    <w:p w14:paraId="44C78851" w14:textId="54ABA2FF" w:rsidR="00627BF5" w:rsidRPr="003D1437" w:rsidRDefault="00627BF5">
      <w:pPr>
        <w:numPr>
          <w:ilvl w:val="0"/>
          <w:numId w:val="1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توفير الوقت للمهام التربوية:</w:t>
      </w:r>
      <w:r w:rsidRPr="003D1437">
        <w:rPr>
          <w:rFonts w:ascii="Traditional Arabic" w:hAnsi="Traditional Arabic" w:cs="Traditional Arabic"/>
          <w:sz w:val="28"/>
          <w:szCs w:val="28"/>
          <w:rtl/>
        </w:rPr>
        <w:t xml:space="preserve"> من خلال أتمتة المهام الإدارية والتقييمية، يحرر الذكاء الاصطناعي وقت المعلمين للتركيز على الجوانب الأكثر أهمية في التدريس، مثل التفاعل المباشر مع الطلاب، وتصميم تجارب تعلم مبتكرة، وتقديم الدعم العاطفي والاجتماعي. إن إزالة التحيزات من تقييم الأداء وتوفير رؤى قيمة حول مجالات التحسين تجعل العملية أكثر موضوعية.</w:t>
      </w:r>
    </w:p>
    <w:p w14:paraId="1F970928" w14:textId="77777777" w:rsidR="00627BF5" w:rsidRPr="003D1437" w:rsidRDefault="00627BF5" w:rsidP="006924ED">
      <w:pPr>
        <w:pStyle w:val="Heading2"/>
        <w:rPr>
          <w:rtl/>
        </w:rPr>
      </w:pPr>
      <w:bookmarkStart w:id="50" w:name="_Toc233422619"/>
      <w:bookmarkStart w:id="51" w:name="_Toc236402657"/>
      <w:r w:rsidRPr="003D1437">
        <w:rPr>
          <w:rtl/>
        </w:rPr>
        <w:t>المبحث الثالث: كفاءة التخطيط الاستراتيجي في المنظمات التعليمية</w:t>
      </w:r>
      <w:bookmarkEnd w:id="50"/>
      <w:bookmarkEnd w:id="51"/>
    </w:p>
    <w:p w14:paraId="0046F51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يركز هذا المبحث على تحديد مفهوم كفاءة التخطيط الاستراتيجي والعناصر الأساسية التي تضمن فعالية الخطة الاستراتيجية وقابليتها للتنفيذ الناجح في المؤسسات التعليمية. إن التخطيط الاستراتيجي ليس مجرد وثيقة، بل هو عملية ديناميكية تهدف إلى مواءمة موارد المنظمة مع الفرص والتحديات في بيئتها لتحقيق رؤيتها المستقبلية. في قطاع التعليم، تكتسب هذه العملية أهمية خاصة نظرًا لطبيعة أهدافه طويلة الأمد وتأثيره المباشر على المجتمع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3D341CC3" w14:textId="0176F723" w:rsidR="00627BF5" w:rsidRPr="003D1437" w:rsidRDefault="00627BF5" w:rsidP="00863B90">
      <w:pPr>
        <w:pStyle w:val="Heading3"/>
        <w:rPr>
          <w:rtl/>
        </w:rPr>
      </w:pPr>
      <w:bookmarkStart w:id="52" w:name="_Toc236402658"/>
      <w:r w:rsidRPr="003D1437">
        <w:rPr>
          <w:rFonts w:hint="cs"/>
          <w:rtl/>
        </w:rPr>
        <w:t>أولا</w:t>
      </w:r>
      <w:r w:rsidRPr="003D1437">
        <w:rPr>
          <w:rtl/>
        </w:rPr>
        <w:t>: مفهوم وأهمية التخطيط الاستراتيجي في التعليم</w:t>
      </w:r>
      <w:bookmarkEnd w:id="52"/>
    </w:p>
    <w:p w14:paraId="1340364B"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التخطيط الاستراتيجي بمثابة البوصلة التي توجه المؤسسة التعليمية في رحلتها نحو التميز والتطور، حيث يوفر رؤية واضحة للمستقبل وآلية منظمة لتحقيقها.</w:t>
      </w:r>
    </w:p>
    <w:p w14:paraId="216F87C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تعريف التخطيط الاستراتيجي وخصائصه</w:t>
      </w:r>
    </w:p>
    <w:p w14:paraId="12C2BCDE" w14:textId="2646165C"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يُعرَّف التخطيط الاستراتيجي بأنه عملية منظمة تشمل تطوير وتنفيذ ومراقبة الاستراتيجيات لتحقيق الأهداف التنظيمية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أما "</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الخطة الاستراتيجية، فهي تتجاوز مجرد وجود الخطة لتشمل مدى جودتها وقابليتها للتطبيق وقدرتها على تحقيق النتائج المرجوة في ظل بيئة متغيرة. ويمكن تعريف ال</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xml:space="preserve"> بأنها "مدى تحقيق الأهداف المحددة </w:t>
      </w:r>
      <w:r w:rsidRPr="003D1437">
        <w:rPr>
          <w:rFonts w:ascii="Traditional Arabic" w:hAnsi="Traditional Arabic" w:cs="Traditional Arabic"/>
          <w:sz w:val="28"/>
          <w:szCs w:val="28"/>
          <w:rtl/>
        </w:rPr>
        <w:lastRenderedPageBreak/>
        <w:t>مسبقاً" (</w:t>
      </w:r>
      <w:r w:rsidRPr="003D1437">
        <w:rPr>
          <w:rFonts w:ascii="Traditional Arabic" w:hAnsi="Traditional Arabic" w:cs="Traditional Arabic"/>
          <w:sz w:val="28"/>
          <w:szCs w:val="28"/>
        </w:rPr>
        <w:t>Awamleh &amp; Bustami, 2022</w:t>
      </w:r>
      <w:r w:rsidRPr="003D1437">
        <w:rPr>
          <w:rFonts w:ascii="Traditional Arabic" w:hAnsi="Traditional Arabic" w:cs="Traditional Arabic"/>
          <w:sz w:val="28"/>
          <w:szCs w:val="28"/>
          <w:rtl/>
        </w:rPr>
        <w:t xml:space="preserve">). وبشكل أكثر شمولاً، تشير </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xml:space="preserve"> الخطط الاستراتيجية إلى مدى نجاح المنظمة في مراحل التخطيط الأربعة: التحليل الدقيق، والصياغة الواضحة، والتنفيذ الناجح، والتقييم والمتابعة المستمرة (الدجني، 2011).</w:t>
      </w:r>
    </w:p>
    <w:p w14:paraId="4EB7CCE8" w14:textId="736154E4" w:rsidR="00627BF5"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وفي ضوء ما سبق، يقترح الباحث التعريف الإجرائي التالي ل</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xml:space="preserve"> الخطط الاستراتيجية: </w:t>
      </w:r>
      <w:r w:rsidRPr="003D1437">
        <w:rPr>
          <w:rFonts w:ascii="Traditional Arabic" w:hAnsi="Traditional Arabic" w:cs="Traditional Arabic"/>
          <w:b/>
          <w:bCs/>
          <w:sz w:val="28"/>
          <w:szCs w:val="28"/>
          <w:rtl/>
        </w:rPr>
        <w:t>"الدرجة التي تنجح بها الإدارة العامة للتعليم في مكة المكرمة في صياغة وتنفيذ خططها طويلة الأجل بكفاءة وجودة، وقدرتها على تحقيق أهدافها المحددة من خلال التحليل الدقيق للبيئة، وصياغة الأهداف الواقعية، والتنفيذ الفعال، والمتابعة المستمرة للأداء."</w:t>
      </w:r>
    </w:p>
    <w:p w14:paraId="7C3CB94B"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أهمية التخطيط الاستراتيجي لمواكبة المتغيرات في قطاع التعليم</w:t>
      </w:r>
    </w:p>
    <w:p w14:paraId="409D6A5B" w14:textId="56E63DDA"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عالم اليوم الذي يتسم بالتغير السريع والمنافسة الشديدة، يعد الابتكار في التخطيط الاستراتيجي أمرًا ضروريًا، خاصة في قطاع التعليم. غالبًا ما تفشل الأساليب التقليدية للتخطيط الاستراتيجي في معالجة التحديات المعاصرة بسبب محدوديتها في تحليل البيانات وعمليات صنع القرار والقدرة على الاستفادة بفعالية من الاتجاهات الجديدة. لذلك، تبرز أهمية التخطيط الاستراتيجي في النقاط التالية</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7206057D" w14:textId="77777777"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تحقيق الميزة التنافسية المستدامة:</w:t>
      </w:r>
      <w:r w:rsidRPr="003D1437">
        <w:rPr>
          <w:rFonts w:ascii="Traditional Arabic" w:hAnsi="Traditional Arabic" w:cs="Traditional Arabic"/>
          <w:sz w:val="28"/>
          <w:szCs w:val="28"/>
          <w:rtl/>
        </w:rPr>
        <w:t xml:space="preserve"> يساعد التخطيط الاستراتيجي المؤسسات التعليمية على تطوير مبادرات جديدة وتحسينها لكسب ميزة تنافسية مستدامة في بيئة تتأثر بالتغيرات السياسية والإدارية.</w:t>
      </w:r>
    </w:p>
    <w:p w14:paraId="6C0D83D8" w14:textId="79D86BD1"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مواكبة التقدم التكنولوجي:</w:t>
      </w:r>
      <w:r w:rsidRPr="003D1437">
        <w:rPr>
          <w:rFonts w:ascii="Traditional Arabic" w:hAnsi="Traditional Arabic" w:cs="Traditional Arabic"/>
          <w:sz w:val="28"/>
          <w:szCs w:val="28"/>
          <w:rtl/>
        </w:rPr>
        <w:t xml:space="preserve"> يواجه قطاع التعليم تحديات عالمية بسبب التقدم السريع في المعرفة والتكنولوجيا، بما في ذلك الذكاء الاصطناعي. يوفر التخطيط الاستراتيجي إطارًا لدمج هذه التقنيات والاستفادة منها لتحسين الأداء.</w:t>
      </w:r>
    </w:p>
    <w:p w14:paraId="5D87E3FD" w14:textId="77777777"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تحسين تخصيص الموارد:</w:t>
      </w:r>
      <w:r w:rsidRPr="003D1437">
        <w:rPr>
          <w:rFonts w:ascii="Traditional Arabic" w:hAnsi="Traditional Arabic" w:cs="Traditional Arabic"/>
          <w:sz w:val="28"/>
          <w:szCs w:val="28"/>
          <w:rtl/>
        </w:rPr>
        <w:t xml:space="preserve"> من خلال تحديد الأولويات بوضوح، يضمن التخطيط الاستراتيجي توجيه الموارد المحدودة نحو الأنشطة التي تحقق أكبر تأثير على الأهداف الاستراتيجية.</w:t>
      </w:r>
    </w:p>
    <w:p w14:paraId="414237C1" w14:textId="77777777"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تعزيز الأداء التنظيمي:</w:t>
      </w:r>
      <w:r w:rsidRPr="003D1437">
        <w:rPr>
          <w:rFonts w:ascii="Traditional Arabic" w:hAnsi="Traditional Arabic" w:cs="Traditional Arabic"/>
          <w:sz w:val="28"/>
          <w:szCs w:val="28"/>
          <w:rtl/>
        </w:rPr>
        <w:t xml:space="preserve"> يوفر التخطيط الاستراتيجي إطارًا للمساءلة والتقييم، مما يسمح للمؤسسة بقياس تقدمها نحو أهدافها وإجراء التعديلات اللازمة، وهو ما يؤدي في النهاة إلى تحسين الأداء العام.</w:t>
      </w:r>
    </w:p>
    <w:p w14:paraId="2461AE9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مراحل عملية التخطيط الاستراتيجي (التحليل، الصياغة، التنفيذ، التقييم)</w:t>
      </w:r>
    </w:p>
    <w:p w14:paraId="5273E1FF"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يمر التخطيط الاستراتيجي عادةً بأربع مراحل رئيسية مترابطة ومتكاملة: مرحلة التحليل لجمع المعلومات وفهم الوضع الحالي، ومرحلة الصياغة لتحديد الرؤية والرسالة والأهداف، ومرحلة التنفيذ لتحويل الخطط إلى أفعال، ومرحلة التقييم والمراقبة المستمرة للأداء ومقارنته بالأهداف المحددة في الخطة لاتخاذ الإجراءات التصحيحية اللازمة.</w:t>
      </w:r>
    </w:p>
    <w:p w14:paraId="2FB4149F" w14:textId="77777777" w:rsidR="00863B90" w:rsidRPr="003D1437" w:rsidRDefault="00863B90" w:rsidP="00071B42">
      <w:pPr>
        <w:bidi/>
        <w:jc w:val="lowKashida"/>
        <w:rPr>
          <w:rFonts w:ascii="Traditional Arabic" w:hAnsi="Traditional Arabic" w:cs="Traditional Arabic"/>
          <w:b/>
          <w:bCs/>
          <w:sz w:val="28"/>
          <w:szCs w:val="28"/>
          <w:rtl/>
        </w:rPr>
      </w:pPr>
    </w:p>
    <w:p w14:paraId="3A556940" w14:textId="77777777" w:rsidR="00863B90" w:rsidRPr="003D1437" w:rsidRDefault="00863B90" w:rsidP="00863B90">
      <w:pPr>
        <w:bidi/>
        <w:jc w:val="lowKashida"/>
        <w:rPr>
          <w:rFonts w:ascii="Traditional Arabic" w:hAnsi="Traditional Arabic" w:cs="Traditional Arabic"/>
          <w:b/>
          <w:bCs/>
          <w:sz w:val="28"/>
          <w:szCs w:val="28"/>
          <w:rtl/>
        </w:rPr>
      </w:pPr>
    </w:p>
    <w:p w14:paraId="3BE7DEB0" w14:textId="2A87E47D" w:rsidR="00627BF5" w:rsidRPr="003D1437" w:rsidRDefault="00071B42" w:rsidP="00863B90">
      <w:pPr>
        <w:pStyle w:val="Heading3"/>
        <w:rPr>
          <w:rtl/>
        </w:rPr>
      </w:pPr>
      <w:bookmarkStart w:id="53" w:name="_Toc236402659"/>
      <w:r w:rsidRPr="003D1437">
        <w:rPr>
          <w:rFonts w:hint="cs"/>
          <w:rtl/>
        </w:rPr>
        <w:lastRenderedPageBreak/>
        <w:t>ثانيا</w:t>
      </w:r>
      <w:r w:rsidR="00627BF5" w:rsidRPr="003D1437">
        <w:rPr>
          <w:rtl/>
        </w:rPr>
        <w:t>: أبعاد كفاءة التخطيط الاستراتيجي</w:t>
      </w:r>
      <w:bookmarkEnd w:id="53"/>
    </w:p>
    <w:p w14:paraId="4956E47F"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لا تقاس كفاءة التخطيط الاستراتيجي بمجرد وجود خطة مكتوبة، بل بمدى جودة كل مرحلة من مراحل العملية وقدرتها على تحقيق النتائج المرجوة. يمكن تقييم هذه الكفاءة من خلال عدة أبعاد رئيسية.</w:t>
      </w:r>
    </w:p>
    <w:p w14:paraId="2588BED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كفاءة التحليل الاستراتيجي (تحليل البيئة الداخلية والخارجية)</w:t>
      </w:r>
    </w:p>
    <w:p w14:paraId="0A0D3A3C" w14:textId="6EC622F9"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هذا البعد هو حجر الزاوية في أي خطة فعالة، ويعبر عن قدرة المنظمة على جمع وتحليل المعلومات بعمق لفهم بيئتها الداخلية (نقاط القوة والضعف) والخارجية (الفرص والتهديدات). تعتمد جودة الخطة بأكملها على دقة هذا التحليل (الدجني، 2011). وتتضمن كفاءة التحليل شمولية جمع البيانات، وعمق التحليل لاستخلاص الأنماط، واستخدام الأدوات المتقدمة التي يمكن أن يوفرها الذكاء الاصطناعي.</w:t>
      </w:r>
      <w:r w:rsidRPr="003D1437">
        <w:rPr>
          <w:rFonts w:ascii="Traditional Arabic" w:hAnsi="Traditional Arabic" w:cs="Traditional Arabic" w:hint="cs"/>
          <w:sz w:val="28"/>
          <w:szCs w:val="28"/>
          <w:rtl/>
        </w:rPr>
        <w:t xml:space="preserve"> </w:t>
      </w:r>
      <w:r w:rsidR="00627BF5" w:rsidRPr="003D1437">
        <w:rPr>
          <w:rFonts w:ascii="Traditional Arabic" w:hAnsi="Traditional Arabic" w:cs="Traditional Arabic"/>
          <w:sz w:val="28"/>
          <w:szCs w:val="28"/>
          <w:rtl/>
        </w:rPr>
        <w:t>تعتمد جودة الخطة الاستراتيجية بأكملها على دقة وعمق التحليل الأولي. تتضمن كفاءة التحليل ما يلي</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Kaggwa et al., 2024</w:t>
      </w:r>
      <w:r w:rsidR="00682ED3"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387FCF43" w14:textId="77777777" w:rsidR="00627BF5" w:rsidRPr="003D1437" w:rsidRDefault="00627BF5">
      <w:pPr>
        <w:numPr>
          <w:ilvl w:val="0"/>
          <w:numId w:val="1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شمولية جمع البيانات:</w:t>
      </w:r>
      <w:r w:rsidRPr="003D1437">
        <w:rPr>
          <w:rFonts w:ascii="Traditional Arabic" w:hAnsi="Traditional Arabic" w:cs="Traditional Arabic"/>
          <w:sz w:val="28"/>
          <w:szCs w:val="28"/>
          <w:rtl/>
        </w:rPr>
        <w:t xml:space="preserve"> القدرة على جمع بيانات شاملة وموثوقة حول البيئة الداخلية (الموارد المالية، البشرية، البنية التحتية، الثقافة التنظيمية) والخارجية (الاتجاهات التكنولوجية، السياسية، الاجتماعية، المنافسون).</w:t>
      </w:r>
    </w:p>
    <w:p w14:paraId="1A3F1169" w14:textId="77777777" w:rsidR="00627BF5" w:rsidRPr="003D1437" w:rsidRDefault="00627BF5">
      <w:pPr>
        <w:numPr>
          <w:ilvl w:val="0"/>
          <w:numId w:val="1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عمق التحليل:</w:t>
      </w:r>
      <w:r w:rsidRPr="003D1437">
        <w:rPr>
          <w:rFonts w:ascii="Traditional Arabic" w:hAnsi="Traditional Arabic" w:cs="Traditional Arabic"/>
          <w:sz w:val="28"/>
          <w:szCs w:val="28"/>
          <w:rtl/>
        </w:rPr>
        <w:t xml:space="preserve"> القدرة ليس فقط على جمع البيانات، بل على تحليلها لتحديد الأنماط والاتجاهات الكامنة، وتحديد نقاط القوة والضعف والفرص والتهديدات بدقة.</w:t>
      </w:r>
    </w:p>
    <w:p w14:paraId="008BBB58" w14:textId="77777777" w:rsidR="00627BF5" w:rsidRPr="003D1437" w:rsidRDefault="00627BF5">
      <w:pPr>
        <w:numPr>
          <w:ilvl w:val="0"/>
          <w:numId w:val="1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استخدام أدوات متقدمة:</w:t>
      </w:r>
      <w:r w:rsidRPr="003D1437">
        <w:rPr>
          <w:rFonts w:ascii="Traditional Arabic" w:hAnsi="Traditional Arabic" w:cs="Traditional Arabic"/>
          <w:sz w:val="28"/>
          <w:szCs w:val="28"/>
          <w:rtl/>
        </w:rPr>
        <w:t xml:space="preserve"> الاستفادة من التقنيات الحديثة مثل تحليلات البيانات الضخمة والذكاء الاصطناعي لإجراء تحليل أكثر تطورًا وتنبؤًا.</w:t>
      </w:r>
    </w:p>
    <w:p w14:paraId="0B9EDC6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كفاءة صياغة الأهداف الاستراتيجية (الواقعية، القابلية للقياس، الارتباط بالرؤية)</w:t>
      </w:r>
    </w:p>
    <w:p w14:paraId="687A7FE2" w14:textId="0F9E81AB"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تتحقق هذه الكفاءة عندما تكون الأهداف التي تضعها المنظمة واضحة ومحددة وقادرة على توجيه عمل المنظمة. يتطلب ذلك أن تكون الأهداف محددة (</w:t>
      </w:r>
      <w:r w:rsidRPr="003D1437">
        <w:rPr>
          <w:rFonts w:ascii="Traditional Arabic" w:hAnsi="Traditional Arabic" w:cs="Traditional Arabic"/>
          <w:sz w:val="28"/>
          <w:szCs w:val="28"/>
          <w:lang w:bidi="ar-EG"/>
        </w:rPr>
        <w:t>Specific</w:t>
      </w:r>
      <w:r w:rsidRPr="003D1437">
        <w:rPr>
          <w:rFonts w:ascii="Traditional Arabic" w:hAnsi="Traditional Arabic" w:cs="Traditional Arabic"/>
          <w:sz w:val="28"/>
          <w:szCs w:val="28"/>
          <w:rtl/>
        </w:rPr>
        <w:t>)، وقابلة للقياس (</w:t>
      </w:r>
      <w:r w:rsidRPr="003D1437">
        <w:rPr>
          <w:rFonts w:ascii="Traditional Arabic" w:hAnsi="Traditional Arabic" w:cs="Traditional Arabic"/>
          <w:sz w:val="28"/>
          <w:szCs w:val="28"/>
          <w:lang w:bidi="ar-EG"/>
        </w:rPr>
        <w:t>Measurable</w:t>
      </w:r>
      <w:r w:rsidRPr="003D1437">
        <w:rPr>
          <w:rFonts w:ascii="Traditional Arabic" w:hAnsi="Traditional Arabic" w:cs="Traditional Arabic"/>
          <w:sz w:val="28"/>
          <w:szCs w:val="28"/>
          <w:rtl/>
        </w:rPr>
        <w:t>)، وقابلة للتحقيق (</w:t>
      </w:r>
      <w:r w:rsidRPr="003D1437">
        <w:rPr>
          <w:rFonts w:ascii="Traditional Arabic" w:hAnsi="Traditional Arabic" w:cs="Traditional Arabic"/>
          <w:sz w:val="28"/>
          <w:szCs w:val="28"/>
          <w:lang w:bidi="ar-EG"/>
        </w:rPr>
        <w:t>Achievable</w:t>
      </w:r>
      <w:r w:rsidRPr="003D1437">
        <w:rPr>
          <w:rFonts w:ascii="Traditional Arabic" w:hAnsi="Traditional Arabic" w:cs="Traditional Arabic"/>
          <w:sz w:val="28"/>
          <w:szCs w:val="28"/>
          <w:rtl/>
        </w:rPr>
        <w:t>)، وذات صلة (</w:t>
      </w:r>
      <w:r w:rsidRPr="003D1437">
        <w:rPr>
          <w:rFonts w:ascii="Traditional Arabic" w:hAnsi="Traditional Arabic" w:cs="Traditional Arabic"/>
          <w:sz w:val="28"/>
          <w:szCs w:val="28"/>
          <w:lang w:bidi="ar-EG"/>
        </w:rPr>
        <w:t>Relevant</w:t>
      </w:r>
      <w:r w:rsidRPr="003D1437">
        <w:rPr>
          <w:rFonts w:ascii="Traditional Arabic" w:hAnsi="Traditional Arabic" w:cs="Traditional Arabic"/>
          <w:sz w:val="28"/>
          <w:szCs w:val="28"/>
          <w:rtl/>
        </w:rPr>
        <w:t>)، ومحددة زمنيًا (</w:t>
      </w:r>
      <w:r w:rsidRPr="003D1437">
        <w:rPr>
          <w:rFonts w:ascii="Traditional Arabic" w:hAnsi="Traditional Arabic" w:cs="Traditional Arabic"/>
          <w:sz w:val="28"/>
          <w:szCs w:val="28"/>
          <w:lang w:bidi="ar-EG"/>
        </w:rPr>
        <w:t>Time-bound</w:t>
      </w:r>
      <w:r w:rsidRPr="003D1437">
        <w:rPr>
          <w:rFonts w:ascii="Traditional Arabic" w:hAnsi="Traditional Arabic" w:cs="Traditional Arabic"/>
          <w:sz w:val="28"/>
          <w:szCs w:val="28"/>
          <w:rtl/>
        </w:rPr>
        <w:t>)، وهو ما يعرف بمبادئ (</w:t>
      </w:r>
      <w:r w:rsidRPr="003D1437">
        <w:rPr>
          <w:rFonts w:ascii="Traditional Arabic" w:hAnsi="Traditional Arabic" w:cs="Traditional Arabic"/>
          <w:sz w:val="28"/>
          <w:szCs w:val="28"/>
          <w:lang w:bidi="ar-EG"/>
        </w:rPr>
        <w:t>SMART</w:t>
      </w:r>
      <w:r w:rsidRPr="003D1437">
        <w:rPr>
          <w:rFonts w:ascii="Traditional Arabic" w:hAnsi="Traditional Arabic" w:cs="Traditional Arabic"/>
          <w:sz w:val="28"/>
          <w:szCs w:val="28"/>
          <w:rtl/>
        </w:rPr>
        <w:t>). كما يجب أن تنبع هذه الأهداف مباشرة من رؤية ورسالة المؤسسة</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r w:rsidRPr="003D1437">
        <w:rPr>
          <w:rFonts w:ascii="Traditional Arabic" w:hAnsi="Traditional Arabic" w:cs="Traditional Arabic" w:hint="cs"/>
          <w:sz w:val="28"/>
          <w:szCs w:val="28"/>
          <w:rtl/>
        </w:rPr>
        <w:t xml:space="preserve"> </w:t>
      </w:r>
      <w:r w:rsidR="00627BF5" w:rsidRPr="003D1437">
        <w:rPr>
          <w:rFonts w:ascii="Traditional Arabic" w:hAnsi="Traditional Arabic" w:cs="Traditional Arabic"/>
          <w:sz w:val="28"/>
          <w:szCs w:val="28"/>
          <w:rtl/>
        </w:rPr>
        <w:t>تتحقق كفاءة صياغة الأهداف عندما تكون هذه الأهداف محددة بشكل جيد وقادرة على توجيه عمل المؤسسة. تشمل معايير الكفاءة هنا</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3E890157" w14:textId="77777777" w:rsidR="00627BF5" w:rsidRPr="003D1437" w:rsidRDefault="00627BF5">
      <w:pPr>
        <w:numPr>
          <w:ilvl w:val="0"/>
          <w:numId w:val="2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مبادئ </w:t>
      </w:r>
      <w:r w:rsidRPr="003D1437">
        <w:rPr>
          <w:rFonts w:ascii="Traditional Arabic" w:hAnsi="Traditional Arabic" w:cs="Traditional Arabic"/>
          <w:b/>
          <w:bCs/>
          <w:sz w:val="28"/>
          <w:szCs w:val="28"/>
          <w:lang w:bidi="ar-EG"/>
        </w:rPr>
        <w:t>SMART</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يجب أن تكون الأهداف محددة (</w:t>
      </w:r>
      <w:r w:rsidRPr="003D1437">
        <w:rPr>
          <w:rFonts w:ascii="Traditional Arabic" w:hAnsi="Traditional Arabic" w:cs="Traditional Arabic"/>
          <w:sz w:val="28"/>
          <w:szCs w:val="28"/>
          <w:lang w:bidi="ar-EG"/>
        </w:rPr>
        <w:t>Specific</w:t>
      </w:r>
      <w:r w:rsidRPr="003D1437">
        <w:rPr>
          <w:rFonts w:ascii="Traditional Arabic" w:hAnsi="Traditional Arabic" w:cs="Traditional Arabic"/>
          <w:sz w:val="28"/>
          <w:szCs w:val="28"/>
          <w:rtl/>
        </w:rPr>
        <w:t>)، قابلة للقياس (</w:t>
      </w:r>
      <w:r w:rsidRPr="003D1437">
        <w:rPr>
          <w:rFonts w:ascii="Traditional Arabic" w:hAnsi="Traditional Arabic" w:cs="Traditional Arabic"/>
          <w:sz w:val="28"/>
          <w:szCs w:val="28"/>
          <w:lang w:bidi="ar-EG"/>
        </w:rPr>
        <w:t>Measurable</w:t>
      </w:r>
      <w:r w:rsidRPr="003D1437">
        <w:rPr>
          <w:rFonts w:ascii="Traditional Arabic" w:hAnsi="Traditional Arabic" w:cs="Traditional Arabic"/>
          <w:sz w:val="28"/>
          <w:szCs w:val="28"/>
          <w:rtl/>
        </w:rPr>
        <w:t>)، قابلة للتحقيق (</w:t>
      </w:r>
      <w:r w:rsidRPr="003D1437">
        <w:rPr>
          <w:rFonts w:ascii="Traditional Arabic" w:hAnsi="Traditional Arabic" w:cs="Traditional Arabic"/>
          <w:sz w:val="28"/>
          <w:szCs w:val="28"/>
          <w:lang w:bidi="ar-EG"/>
        </w:rPr>
        <w:t>Achievable</w:t>
      </w:r>
      <w:r w:rsidRPr="003D1437">
        <w:rPr>
          <w:rFonts w:ascii="Traditional Arabic" w:hAnsi="Traditional Arabic" w:cs="Traditional Arabic"/>
          <w:sz w:val="28"/>
          <w:szCs w:val="28"/>
          <w:rtl/>
        </w:rPr>
        <w:t>)، ذات صلة (</w:t>
      </w:r>
      <w:r w:rsidRPr="003D1437">
        <w:rPr>
          <w:rFonts w:ascii="Traditional Arabic" w:hAnsi="Traditional Arabic" w:cs="Traditional Arabic"/>
          <w:sz w:val="28"/>
          <w:szCs w:val="28"/>
          <w:lang w:bidi="ar-EG"/>
        </w:rPr>
        <w:t>Relevant</w:t>
      </w:r>
      <w:r w:rsidRPr="003D1437">
        <w:rPr>
          <w:rFonts w:ascii="Traditional Arabic" w:hAnsi="Traditional Arabic" w:cs="Traditional Arabic"/>
          <w:sz w:val="28"/>
          <w:szCs w:val="28"/>
          <w:rtl/>
        </w:rPr>
        <w:t>)، ومحددة زمنيًا (</w:t>
      </w:r>
      <w:r w:rsidRPr="003D1437">
        <w:rPr>
          <w:rFonts w:ascii="Traditional Arabic" w:hAnsi="Traditional Arabic" w:cs="Traditional Arabic"/>
          <w:sz w:val="28"/>
          <w:szCs w:val="28"/>
          <w:lang w:bidi="ar-EG"/>
        </w:rPr>
        <w:t>Time-bound</w:t>
      </w:r>
      <w:r w:rsidRPr="003D1437">
        <w:rPr>
          <w:rFonts w:ascii="Traditional Arabic" w:hAnsi="Traditional Arabic" w:cs="Traditional Arabic"/>
          <w:sz w:val="28"/>
          <w:szCs w:val="28"/>
          <w:rtl/>
        </w:rPr>
        <w:t>).</w:t>
      </w:r>
    </w:p>
    <w:p w14:paraId="29054EE8" w14:textId="77777777" w:rsidR="00627BF5" w:rsidRPr="003D1437" w:rsidRDefault="00627BF5">
      <w:pPr>
        <w:numPr>
          <w:ilvl w:val="0"/>
          <w:numId w:val="2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الارتباط بالرؤية والرسالة:</w:t>
      </w:r>
      <w:r w:rsidRPr="003D1437">
        <w:rPr>
          <w:rFonts w:ascii="Traditional Arabic" w:hAnsi="Traditional Arabic" w:cs="Traditional Arabic"/>
          <w:sz w:val="28"/>
          <w:szCs w:val="28"/>
          <w:rtl/>
        </w:rPr>
        <w:t xml:space="preserve"> يجب أن تنبع الأهداف الاستراتيجية مباشرة من رؤية ورسالة المؤسسة، وتعمل على تحقيقها.</w:t>
      </w:r>
    </w:p>
    <w:p w14:paraId="4BB0EE20" w14:textId="4EE137B7" w:rsidR="00627BF5" w:rsidRPr="003D1437" w:rsidRDefault="00627BF5">
      <w:pPr>
        <w:numPr>
          <w:ilvl w:val="0"/>
          <w:numId w:val="20"/>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lastRenderedPageBreak/>
        <w:t>المشاركة في الصياغة:</w:t>
      </w:r>
      <w:r w:rsidRPr="003D1437">
        <w:rPr>
          <w:rFonts w:ascii="Traditional Arabic" w:hAnsi="Traditional Arabic" w:cs="Traditional Arabic"/>
          <w:sz w:val="28"/>
          <w:szCs w:val="28"/>
          <w:rtl/>
        </w:rPr>
        <w:t xml:space="preserve"> إشراك أصحاب المصلحة الرئيسيين في عملية صياغة الأهداف يزيد من التزامهم بالخطة ويضمن أن تكون الأهداف واقعية وتعكس احتياجات الجميع.</w:t>
      </w:r>
    </w:p>
    <w:p w14:paraId="5DAC254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كفاءة تخصيص الموارد (المواءمة بين الأهداف والموارد المتاحة)</w:t>
      </w:r>
    </w:p>
    <w:p w14:paraId="301F04F6" w14:textId="02A20D5B" w:rsidR="00627BF5" w:rsidRPr="003D1437" w:rsidRDefault="00682ED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تتجلى هذه الكفاءة في قدرة المنظمة على ربط أهدافها الاستراتيجية بالموارد اللازمة (المالية، البشرية، التكنولوجية) لتحقيقها بشكل فعال. يتطلب ذلك المواءمة بين الأهداف والميزانيات، واستخدام الموارد بأفضل طريقة ممكنة لتعظيم العائد وتقليل الهدر، والقدرة على إعادة تخصيص الموارد بمرونة استجابة للتغيرات غير المتوقعة. تتجلى هذه الكفاءة في القدرة على ربط الأهداف الاستراتيجية بالموارد اللازمة لتحقيقها بشكل فعال</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Orosoo et al., 2023; Kassa &amp; Worku, 2025</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310E27FC" w14:textId="77777777" w:rsidR="00627BF5" w:rsidRPr="003D1437" w:rsidRDefault="00627BF5">
      <w:pPr>
        <w:numPr>
          <w:ilvl w:val="0"/>
          <w:numId w:val="2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المواءمة:</w:t>
      </w:r>
      <w:r w:rsidRPr="003D1437">
        <w:rPr>
          <w:rFonts w:ascii="Traditional Arabic" w:hAnsi="Traditional Arabic" w:cs="Traditional Arabic"/>
          <w:sz w:val="28"/>
          <w:szCs w:val="28"/>
          <w:rtl/>
        </w:rPr>
        <w:t xml:space="preserve"> التأكد من أن الميزانيات المخصصة، والقوى العاملة، والبنية التحتية التكنولوجية تتماشى مع الأولويات الاستراتيجية للمؤسسة.</w:t>
      </w:r>
    </w:p>
    <w:p w14:paraId="0720C77E" w14:textId="77777777" w:rsidR="00627BF5" w:rsidRPr="003D1437" w:rsidRDefault="00627BF5">
      <w:pPr>
        <w:numPr>
          <w:ilvl w:val="0"/>
          <w:numId w:val="2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التحسين (</w:t>
      </w:r>
      <w:r w:rsidRPr="003D1437">
        <w:rPr>
          <w:rFonts w:ascii="Traditional Arabic" w:hAnsi="Traditional Arabic" w:cs="Traditional Arabic"/>
          <w:b/>
          <w:bCs/>
          <w:sz w:val="28"/>
          <w:szCs w:val="28"/>
          <w:lang w:bidi="ar-EG"/>
        </w:rPr>
        <w:t>Optimization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استخدام الموارد بأفضل طريقة ممكنة لتعظيم العائد على الاستثمار وتقليل الهدر. يمكن أن يساعد الذكاء الاصطناعي في تحسين تخصيص الموارد من خلال نمذجة سيناريوهات مختلفة والتنبؤ بالاحتياجات المستقبلية.</w:t>
      </w:r>
    </w:p>
    <w:p w14:paraId="0F91D131" w14:textId="77777777" w:rsidR="00627BF5" w:rsidRPr="003D1437" w:rsidRDefault="00627BF5">
      <w:pPr>
        <w:numPr>
          <w:ilvl w:val="0"/>
          <w:numId w:val="2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المرونة:</w:t>
      </w:r>
      <w:r w:rsidRPr="003D1437">
        <w:rPr>
          <w:rFonts w:ascii="Traditional Arabic" w:hAnsi="Traditional Arabic" w:cs="Traditional Arabic"/>
          <w:sz w:val="28"/>
          <w:szCs w:val="28"/>
          <w:rtl/>
        </w:rPr>
        <w:t xml:space="preserve"> القدرة على إعادة تخصيص الموارد بسرعة استجابة للتغيرات غير المتوقعة أو الفرص الجديدة التي قد تظهر أثناء تنفيذ الخطة.</w:t>
      </w:r>
    </w:p>
    <w:p w14:paraId="681302E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كفاءة التنفيذ والمتابعة (وضوح خطط العمل، فعالية مؤشرات الأداء)</w:t>
      </w:r>
    </w:p>
    <w:p w14:paraId="3C63BB1A" w14:textId="4AC84997"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حتى أفضل الخطط المصاغة ستفشل إذا لم يتم تنفيذها ومتابعتها بكفاءة. يشمل هذا البعد تحويل الأهداف الاستراتيجية إلى مهام ومبادرات واضحة، وتحديد المسؤوليات والجداول الزمنية. كما يتضمن وجود آلية منتظمة لمراجعة التقدم المحرز من خلال مؤشرات الأداء الرئيسية (</w:t>
      </w:r>
      <w:r w:rsidRPr="003D1437">
        <w:rPr>
          <w:rFonts w:ascii="Traditional Arabic" w:hAnsi="Traditional Arabic" w:cs="Traditional Arabic"/>
          <w:sz w:val="28"/>
          <w:szCs w:val="28"/>
          <w:lang w:bidi="ar-EG"/>
        </w:rPr>
        <w:t>KPIs</w:t>
      </w:r>
      <w:r w:rsidRPr="003D1437">
        <w:rPr>
          <w:rFonts w:ascii="Traditional Arabic" w:hAnsi="Traditional Arabic" w:cs="Traditional Arabic"/>
          <w:sz w:val="28"/>
          <w:szCs w:val="28"/>
          <w:rtl/>
        </w:rPr>
        <w:t>)، وتحديد الانحرافات، واتخاذ الإجراءات التصحيحية اللازمة لضمان بقاء الخطة على المسار الصحيح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r w:rsidRPr="003D1437">
        <w:rPr>
          <w:rFonts w:ascii="Traditional Arabic" w:hAnsi="Traditional Arabic" w:cs="Traditional Arabic" w:hint="cs"/>
          <w:sz w:val="28"/>
          <w:szCs w:val="28"/>
          <w:rtl/>
        </w:rPr>
        <w:t xml:space="preserve"> </w:t>
      </w:r>
      <w:r w:rsidR="00627BF5" w:rsidRPr="003D1437">
        <w:rPr>
          <w:rFonts w:ascii="Traditional Arabic" w:hAnsi="Traditional Arabic" w:cs="Traditional Arabic"/>
          <w:sz w:val="28"/>
          <w:szCs w:val="28"/>
          <w:rtl/>
        </w:rPr>
        <w:t>حتى أفضل الخطط الاستراتيجية ستفشل إذا لم يتم تنفيذها ومتابعتها بكفاءة. وتشمل أبعاد هذه الكفاءة</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590DA418" w14:textId="77777777"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وضوح خطط العمل:</w:t>
      </w:r>
      <w:r w:rsidRPr="003D1437">
        <w:rPr>
          <w:rFonts w:ascii="Traditional Arabic" w:hAnsi="Traditional Arabic" w:cs="Traditional Arabic"/>
          <w:sz w:val="28"/>
          <w:szCs w:val="28"/>
          <w:rtl/>
        </w:rPr>
        <w:t xml:space="preserve"> تحويل الأهداف الاستراتيجية إلى مهام ومبادرات واضحة ومحددة، مع تحديد المسؤوليات والجداول الزمنية والمخرجات المتوقعة.</w:t>
      </w:r>
    </w:p>
    <w:p w14:paraId="7B5D09C7" w14:textId="77777777"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فعالية مؤشرات الأداء (</w:t>
      </w:r>
      <w:r w:rsidRPr="003D1437">
        <w:rPr>
          <w:rFonts w:ascii="Traditional Arabic" w:hAnsi="Traditional Arabic" w:cs="Traditional Arabic"/>
          <w:b/>
          <w:bCs/>
          <w:sz w:val="28"/>
          <w:szCs w:val="28"/>
          <w:lang w:bidi="ar-EG"/>
        </w:rPr>
        <w:t>KPIs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اختيار مؤشرات أداء تقيس التقدم نحو الأهداف الاستراتيجية بدقة وموضوعية. يجب أن تكون هذه المؤشرات سهلة الفهم وقابلة للتتبع.</w:t>
      </w:r>
    </w:p>
    <w:p w14:paraId="3B4D0810" w14:textId="5E34D9B5"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نظام المتابعة والتقييم:</w:t>
      </w:r>
      <w:r w:rsidRPr="003D1437">
        <w:rPr>
          <w:rFonts w:ascii="Traditional Arabic" w:hAnsi="Traditional Arabic" w:cs="Traditional Arabic"/>
          <w:sz w:val="28"/>
          <w:szCs w:val="28"/>
          <w:rtl/>
        </w:rPr>
        <w:t xml:space="preserve"> وجود آلية منتظمة لمراجعة التقدم المحرز في مؤشرات الأداء، وتحديد الانحرافات، والإبلاغ عنها إلى صانعي القرار لاتخاذ الإجراءات التصحيحية.</w:t>
      </w:r>
    </w:p>
    <w:p w14:paraId="153B0F87" w14:textId="77777777"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التواصل والمساءلة:</w:t>
      </w:r>
      <w:r w:rsidRPr="003D1437">
        <w:rPr>
          <w:rFonts w:ascii="Traditional Arabic" w:hAnsi="Traditional Arabic" w:cs="Traditional Arabic"/>
          <w:sz w:val="28"/>
          <w:szCs w:val="28"/>
          <w:rtl/>
        </w:rPr>
        <w:t xml:space="preserve"> ضمان توصيل الخطة ومسؤوليات التنفيذ بوضوح لجميع الموظفين، وإنشاء ثقافة المساءلة عن تحقيق النتائج.</w:t>
      </w:r>
    </w:p>
    <w:p w14:paraId="5194C933" w14:textId="3BBB619D" w:rsidR="00627BF5" w:rsidRPr="003D1437" w:rsidRDefault="00071B42" w:rsidP="00863B90">
      <w:pPr>
        <w:pStyle w:val="Heading3"/>
        <w:rPr>
          <w:rtl/>
        </w:rPr>
      </w:pPr>
      <w:bookmarkStart w:id="54" w:name="_Toc236402660"/>
      <w:r w:rsidRPr="003D1437">
        <w:rPr>
          <w:rFonts w:hint="cs"/>
          <w:rtl/>
        </w:rPr>
        <w:t>ثالثا</w:t>
      </w:r>
      <w:r w:rsidR="00627BF5" w:rsidRPr="003D1437">
        <w:rPr>
          <w:rtl/>
        </w:rPr>
        <w:t>: تحديات قياس كفاءة التخطيط الاستراتيجي في إدارة التعليم</w:t>
      </w:r>
      <w:bookmarkEnd w:id="54"/>
    </w:p>
    <w:p w14:paraId="53F7989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على الرغم من أهمية قياس كفاءة التخطيط الاستراتيجي، تواجه إدارات التعليم تحديات فريدة في هذا المجال، تنبع من طبيعة القطاع وأهدافه.</w:t>
      </w:r>
    </w:p>
    <w:p w14:paraId="5CA4FA38"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صعوبة قياس النتائج التعليمية غير الملموسة</w:t>
      </w:r>
    </w:p>
    <w:p w14:paraId="402026B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الكثير من أهداف التعليم هي أهداف نوعية وغير ملموسة، مما يجعل قياسها صعبًا، مثل "تنمية مهارات التفكير النقدي" أو "تعزيز قيم المواطنة" لدى الطلاب بشكل كمي ودقيق. تعتمد المؤشرات غالبًا على مقاييس غير مباشرة مثل نتائج الاستطلاعات أو التقييمات الذاتية، والتي قد لا تكون دقيقة دائمًا.</w:t>
      </w:r>
    </w:p>
    <w:p w14:paraId="2C7AE5D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تأثير العوامل الخارجية على تحقيق الأهداف</w:t>
      </w:r>
    </w:p>
    <w:p w14:paraId="01CF75DF" w14:textId="346E9EEC"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يتأثر قطاع التعليم بشدة بالعوامل الخارجية التي تقع خارج سيطرة الإدارة التعليمية. وتشمل هذه العوامل التغيرات في السياسات الحكومية، والظروف الاقتصادية للأسر، والاتجاهات الاجتماعية والثقافية في المجتمع. يمكن لهذه العوامل أن تؤثر بشكل كبير على نتائج الخطة الاستراتيجية، مما يجعل من الصعب عزل تأثير استراتيجيات الإدارة وحدها على الأداء. على سبيل المثال، يمكن أن تؤثر التغييرات في القيادة السياسية أو الإدارية العليا على الخطط الاستراتيجية القائمة وتتطلب مبادرات جديدة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0EE9918E"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مقاومة التغيير داخل المؤسسة التعليمية</w:t>
      </w:r>
    </w:p>
    <w:p w14:paraId="3181A824" w14:textId="5E563DD5"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غالبًا ما تواجه </w:t>
      </w:r>
      <w:r w:rsidR="00863B90" w:rsidRPr="003D1437">
        <w:rPr>
          <w:rFonts w:ascii="Traditional Arabic" w:hAnsi="Traditional Arabic" w:cs="Traditional Arabic"/>
          <w:sz w:val="28"/>
          <w:szCs w:val="28"/>
          <w:rtl/>
        </w:rPr>
        <w:t>المبادرات الاستراتيجية الجديدة، خاصة تلك التي تتضمن تغييرات تكنولوجية أو تنظيمية كبيرة، مقاومة من قبل بعض الموظفين والمعلمين. قد تنبع هذه المقاومة من الخوف من المجهول، أو نقص المهارات اللازمة، أو الشعور بأن التغييرات تهدد الأدوار التقليدية (</w:t>
      </w:r>
      <w:r w:rsidR="00863B90" w:rsidRPr="003D1437">
        <w:rPr>
          <w:rFonts w:ascii="Traditional Arabic" w:hAnsi="Traditional Arabic" w:cs="Traditional Arabic"/>
          <w:sz w:val="28"/>
          <w:szCs w:val="28"/>
        </w:rPr>
        <w:t>Kassa &amp; Worku, 2025</w:t>
      </w:r>
      <w:r w:rsidR="00863B90" w:rsidRPr="003D1437">
        <w:rPr>
          <w:rFonts w:ascii="Traditional Arabic" w:hAnsi="Traditional Arabic" w:cs="Traditional Arabic"/>
          <w:sz w:val="28"/>
          <w:szCs w:val="28"/>
          <w:rtl/>
        </w:rPr>
        <w:t>).</w:t>
      </w:r>
    </w:p>
    <w:p w14:paraId="561C365B"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الحاجة إلى أنظمة معلومات متطورة لدعم التقييم</w:t>
      </w:r>
    </w:p>
    <w:p w14:paraId="135E33A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يتطلب القياس الفعال لكفاءة التخطيط الاستراتيجي جمع وتحليل كميات كبيرة من البيانات من مصادر متعددة، وقد تفتقر العديد من إدارات التعليم إلى أنظمة المعلومات المتكاملة والمتطورة اللازمة لدعم هذه العملية. يمكن أن يؤدي نقص البيانات الموثوقة وفي الوقت </w:t>
      </w:r>
      <w:r w:rsidRPr="003D1437">
        <w:rPr>
          <w:rFonts w:ascii="Traditional Arabic" w:hAnsi="Traditional Arabic" w:cs="Traditional Arabic"/>
          <w:sz w:val="28"/>
          <w:szCs w:val="28"/>
          <w:rtl/>
        </w:rPr>
        <w:lastRenderedPageBreak/>
        <w:t>المناسب إلى صعوبة في تتبع مؤشرات الأداء الرئيسية بدقة، وتقييم تأثير المبادرات، واتخاذ قرارات تصحيحية مستنيرة (</w:t>
      </w:r>
      <w:r w:rsidRPr="003D1437">
        <w:rPr>
          <w:rFonts w:ascii="Traditional Arabic" w:hAnsi="Traditional Arabic" w:cs="Traditional Arabic"/>
          <w:sz w:val="28"/>
          <w:szCs w:val="28"/>
          <w:lang w:bidi="ar-EG"/>
        </w:rPr>
        <w:t>Sarjito, 2024</w:t>
      </w:r>
      <w:r w:rsidRPr="003D1437">
        <w:rPr>
          <w:rFonts w:ascii="Traditional Arabic" w:hAnsi="Traditional Arabic" w:cs="Traditional Arabic"/>
          <w:sz w:val="28"/>
          <w:szCs w:val="28"/>
          <w:rtl/>
        </w:rPr>
        <w:t>).</w:t>
      </w:r>
    </w:p>
    <w:p w14:paraId="3A75A952" w14:textId="77777777" w:rsidR="006C13FC" w:rsidRPr="003D1437" w:rsidRDefault="006C13FC" w:rsidP="006924ED">
      <w:pPr>
        <w:pStyle w:val="Heading2"/>
        <w:rPr>
          <w:rtl/>
        </w:rPr>
      </w:pPr>
      <w:bookmarkStart w:id="55" w:name="_Toc233422620"/>
      <w:bookmarkStart w:id="56" w:name="_Toc236402661"/>
      <w:r w:rsidRPr="003D1437">
        <w:rPr>
          <w:rtl/>
        </w:rPr>
        <w:t>المبحث الرابع: التأثير المباشر للذكاء الاصطناعي على كفاءة التخطيط الاستراتيجي</w:t>
      </w:r>
      <w:bookmarkEnd w:id="55"/>
      <w:bookmarkEnd w:id="56"/>
    </w:p>
    <w:p w14:paraId="4EED9212"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يحلل هذا المبحث العلاقة المباشرة بين استخدام تقنيات الذكاء الاصطناعي ومختلف مراحل وعناصر التخطيط الاستراتيجي، وكيف يمكن للذكاء الاصطناعي أن يعزز من كفاءتها بشكل جذري. لقد أحدثت التطورات في التكنولوجيا، وخاصة الذكاء الاصطناعي (</w:t>
      </w:r>
      <w:r w:rsidRPr="003D1437">
        <w:rPr>
          <w:rFonts w:ascii="Traditional Arabic" w:hAnsi="Traditional Arabic" w:cs="Traditional Arabic"/>
          <w:sz w:val="28"/>
          <w:szCs w:val="28"/>
        </w:rPr>
        <w:t>AI</w:t>
      </w:r>
      <w:r w:rsidRPr="003D1437">
        <w:rPr>
          <w:rFonts w:ascii="Traditional Arabic" w:hAnsi="Traditional Arabic" w:cs="Traditional Arabic"/>
          <w:sz w:val="28"/>
          <w:szCs w:val="28"/>
          <w:rtl/>
        </w:rPr>
        <w:t>) والتعلم الآلي (</w:t>
      </w:r>
      <w:r w:rsidRPr="003D1437">
        <w:rPr>
          <w:rFonts w:ascii="Traditional Arabic" w:hAnsi="Traditional Arabic" w:cs="Traditional Arabic"/>
          <w:sz w:val="28"/>
          <w:szCs w:val="28"/>
        </w:rPr>
        <w:t>ML</w:t>
      </w:r>
      <w:r w:rsidRPr="003D1437">
        <w:rPr>
          <w:rFonts w:ascii="Traditional Arabic" w:hAnsi="Traditional Arabic" w:cs="Traditional Arabic"/>
          <w:sz w:val="28"/>
          <w:szCs w:val="28"/>
          <w:rtl/>
        </w:rPr>
        <w:t>)، تحسينًا كبيرًا في القدرات الاستخباراتية لتوقع التهديدات بشكل أفضل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 إن دمج الذكاء الاصطناعي في التخطيط الاستراتيجي يمكّن المنظمات من اتخاذ قرارات مستنيرة ومبنية على الأدلة، مما يؤدي إلى تحسين النتائج وزيادة الكفاءة (</w:t>
      </w:r>
      <w:r w:rsidRPr="003D1437">
        <w:rPr>
          <w:rFonts w:ascii="Traditional Arabic" w:hAnsi="Traditional Arabic" w:cs="Traditional Arabic"/>
          <w:sz w:val="28"/>
          <w:szCs w:val="28"/>
        </w:rPr>
        <w:t>Mohammed, Shafi, Rusiman, &amp; Azmi, 2024</w:t>
      </w:r>
      <w:r w:rsidRPr="003D1437">
        <w:rPr>
          <w:rFonts w:ascii="Traditional Arabic" w:hAnsi="Traditional Arabic" w:cs="Traditional Arabic"/>
          <w:sz w:val="28"/>
          <w:szCs w:val="28"/>
          <w:rtl/>
        </w:rPr>
        <w:t>).</w:t>
      </w:r>
    </w:p>
    <w:p w14:paraId="0B0989DE" w14:textId="77777777" w:rsidR="006C13FC" w:rsidRPr="003D1437" w:rsidRDefault="006C13FC" w:rsidP="00863B90">
      <w:pPr>
        <w:pStyle w:val="Heading3"/>
        <w:rPr>
          <w:rtl/>
        </w:rPr>
      </w:pPr>
      <w:bookmarkStart w:id="57" w:name="_Toc236402662"/>
      <w:r w:rsidRPr="003D1437">
        <w:rPr>
          <w:rtl/>
        </w:rPr>
        <w:t>أولاً: دور الذكاء الاصطناعي في مرحلة التحليل الاستراتيجي</w:t>
      </w:r>
      <w:bookmarkEnd w:id="57"/>
    </w:p>
    <w:p w14:paraId="07FACE83" w14:textId="708784FE"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تُعد مرحلة التحليل الاستراتيجي الأساس الذي تُبنى عليه الخطة بأكملها. يوفر الذكاء الاصطناعي أدوات تحليلية فائقة القدرة تمكن المؤسسات التعليمية من </w:t>
      </w:r>
      <w:r w:rsidR="00863B90" w:rsidRPr="003D1437">
        <w:rPr>
          <w:rFonts w:ascii="Traditional Arabic" w:hAnsi="Traditional Arabic" w:cs="Traditional Arabic"/>
          <w:sz w:val="28"/>
          <w:szCs w:val="28"/>
          <w:rtl/>
        </w:rPr>
        <w:t>فهم بيئتها الداخلية والخارجية بعمق غير مسبوق (</w:t>
      </w:r>
      <w:r w:rsidR="00863B90" w:rsidRPr="003D1437">
        <w:rPr>
          <w:rFonts w:ascii="Traditional Arabic" w:hAnsi="Traditional Arabic" w:cs="Traditional Arabic"/>
          <w:sz w:val="28"/>
          <w:szCs w:val="28"/>
        </w:rPr>
        <w:t>Kaggwa, Eleogu, Okonkwo, Farayola, Uwaoma, &amp; Akinoso, 2024</w:t>
      </w:r>
      <w:r w:rsidR="00863B90" w:rsidRPr="003D1437">
        <w:rPr>
          <w:rFonts w:ascii="Traditional Arabic" w:hAnsi="Traditional Arabic" w:cs="Traditional Arabic"/>
          <w:sz w:val="28"/>
          <w:szCs w:val="28"/>
          <w:rtl/>
        </w:rPr>
        <w:t>).</w:t>
      </w:r>
    </w:p>
    <w:p w14:paraId="3BD1284B"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تحليل البيانات الضخمة لتحديد نقاط القوة والضعف الداخلية</w:t>
      </w:r>
    </w:p>
    <w:p w14:paraId="6203A1A2"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تمتلك المؤسسات التعليمية كميات هائلة من البيانات حول الطلاب والمعلمين والمناهج والعمليات الإدارية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 يمكن للذكاء الاصطناعي والتعلم الآلي معالجة وتحليل هذه البيانات الضخمة بكفاءة وسرعة لتحديد الأنماط والاتجاهات المخفية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 تستطيع الخوارزميات الذكية تحليل بيانات أداء الطلاب على مر السنين لتحديد نقاط القوة في برامج أكاديمية معينة، أو الكشف عن نقاط ضعف في طرق التدريس أو المناهج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كما يمكن تحليل بيانات الموارد البشرية لتحديد فجوات المهارات لدى الموظفين أو لقياس مستويات الرضا الوظيفي، مما يوفر للإدارة رؤية واضحة حول نقاط القوة والضعف الداخلية للمنظمة (</w:t>
      </w:r>
      <w:r w:rsidRPr="003D1437">
        <w:rPr>
          <w:rFonts w:ascii="Traditional Arabic" w:hAnsi="Traditional Arabic" w:cs="Traditional Arabic"/>
          <w:sz w:val="28"/>
          <w:szCs w:val="28"/>
        </w:rPr>
        <w:t>Orosoo, Raash, Santosh, Kaur, Bani-Younis, &amp; Rengarajan, 2023</w:t>
      </w:r>
      <w:r w:rsidRPr="003D1437">
        <w:rPr>
          <w:rFonts w:ascii="Traditional Arabic" w:hAnsi="Traditional Arabic" w:cs="Traditional Arabic"/>
          <w:sz w:val="28"/>
          <w:szCs w:val="28"/>
          <w:rtl/>
        </w:rPr>
        <w:t>). إن هذه القدرة على تحليل مجموعات البيانات الكبيرة من مصادر متنوعة تمنح رؤى حول المخاطر المحتملة التي قد لا تكون واضحة على الفور (</w:t>
      </w:r>
      <w:r w:rsidRPr="003D1437">
        <w:rPr>
          <w:rFonts w:ascii="Traditional Arabic" w:hAnsi="Traditional Arabic" w:cs="Traditional Arabic"/>
          <w:sz w:val="28"/>
          <w:szCs w:val="28"/>
        </w:rPr>
        <w:t>Jain, Chandrasekaran, &amp; Sharma, 2021</w:t>
      </w:r>
      <w:r w:rsidRPr="003D1437">
        <w:rPr>
          <w:rFonts w:ascii="Traditional Arabic" w:hAnsi="Traditional Arabic" w:cs="Traditional Arabic"/>
          <w:sz w:val="28"/>
          <w:szCs w:val="28"/>
          <w:rtl/>
        </w:rPr>
        <w:t>). كما يساعد الذكاء الاصطناعي في تحليل البيانات الضخمة بشكل دقيق وسريع، ويوفر نظرة شاملة على سلوك المستهلكين (أو الطلاب في هذا السياق) وتفضيلاتهم والتوجهات التي يتبعونها، مما يمكن المخططين من فهم عملائهم بشكل أفضل وتعديل خططهم وتحسينها وفقًا لذلك (السيد وعلي، 2024).</w:t>
      </w:r>
    </w:p>
    <w:p w14:paraId="745F48A2" w14:textId="77777777" w:rsidR="00863B90" w:rsidRPr="003D1437" w:rsidRDefault="00863B90" w:rsidP="00863B90">
      <w:pPr>
        <w:bidi/>
        <w:jc w:val="lowKashida"/>
        <w:rPr>
          <w:rFonts w:ascii="Traditional Arabic" w:hAnsi="Traditional Arabic" w:cs="Traditional Arabic"/>
          <w:sz w:val="28"/>
          <w:szCs w:val="28"/>
          <w:rtl/>
        </w:rPr>
      </w:pPr>
    </w:p>
    <w:p w14:paraId="6D243463" w14:textId="77777777" w:rsidR="00863B90" w:rsidRPr="003D1437" w:rsidRDefault="00863B90" w:rsidP="00863B90">
      <w:pPr>
        <w:bidi/>
        <w:jc w:val="lowKashida"/>
        <w:rPr>
          <w:rFonts w:ascii="Traditional Arabic" w:hAnsi="Traditional Arabic" w:cs="Traditional Arabic"/>
          <w:sz w:val="28"/>
          <w:szCs w:val="28"/>
          <w:rtl/>
        </w:rPr>
      </w:pPr>
    </w:p>
    <w:p w14:paraId="405C9C44"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2. رصد وتحليل الاتجاهات البيئية الخارجية والفرص والتهديدات</w:t>
      </w:r>
    </w:p>
    <w:p w14:paraId="3BE3C36E"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لا تعمل المؤسسات التعليمية في فراغ، بل تتأثر بالعديد من العوامل الخارجية. يمكن للذكاء الاصطناعي أن يلعب دورًا حاسمًا في رصد هذه العوامل وتحليلها.</w:t>
      </w:r>
    </w:p>
    <w:p w14:paraId="2BCD2DED" w14:textId="77777777" w:rsidR="006C13FC" w:rsidRPr="003D1437" w:rsidRDefault="006C13FC">
      <w:pPr>
        <w:numPr>
          <w:ilvl w:val="0"/>
          <w:numId w:val="3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رصد الاتجاهات:</w:t>
      </w:r>
      <w:r w:rsidRPr="003D1437">
        <w:rPr>
          <w:rFonts w:ascii="Traditional Arabic" w:hAnsi="Traditional Arabic" w:cs="Traditional Arabic"/>
          <w:sz w:val="28"/>
          <w:szCs w:val="28"/>
          <w:rtl/>
        </w:rPr>
        <w:t xml:space="preserve"> يمكن لخوارزميات الذكاء الاصطناعي مسح وتحليل مصادر خارجية ضخمة مثل وسائل التواصل الاجتماعي، والأخبار، والتقارير الحكومية، والأبحاث الأكاديمية لرصد الاتجاهات الناشئة في مجال التعليم، والتغيرات في سوق العمل، والتحولات الديموغرافية، والتقنيات الجديدة (</w:t>
      </w:r>
      <w:r w:rsidRPr="003D1437">
        <w:rPr>
          <w:rFonts w:ascii="Traditional Arabic" w:hAnsi="Traditional Arabic" w:cs="Traditional Arabic"/>
          <w:sz w:val="28"/>
          <w:szCs w:val="28"/>
        </w:rPr>
        <w:t>Al Muala, Obeidat, Alawamreh, Alhatmi, Eishah, &amp; Alrhabai, 2024</w:t>
      </w:r>
      <w:r w:rsidRPr="003D1437">
        <w:rPr>
          <w:rFonts w:ascii="Traditional Arabic" w:hAnsi="Traditional Arabic" w:cs="Traditional Arabic"/>
          <w:sz w:val="28"/>
          <w:szCs w:val="28"/>
          <w:rtl/>
        </w:rPr>
        <w:t>). على سبيل المثال، يمكن لخوارزميات التعلم الآلي تحليل خلاصات وسائل التواصل الاجتماعي وتقارير الأخبار والمصادر الأخرى لاكتشاف التهديدات الناشئة في الوقت الفعلي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7967A434" w14:textId="77777777" w:rsidR="006C13FC" w:rsidRPr="003D1437" w:rsidRDefault="006C13FC">
      <w:pPr>
        <w:numPr>
          <w:ilvl w:val="0"/>
          <w:numId w:val="3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المنافسين:</w:t>
      </w:r>
      <w:r w:rsidRPr="003D1437">
        <w:rPr>
          <w:rFonts w:ascii="Traditional Arabic" w:hAnsi="Traditional Arabic" w:cs="Traditional Arabic"/>
          <w:sz w:val="28"/>
          <w:szCs w:val="28"/>
          <w:rtl/>
        </w:rPr>
        <w:t xml:space="preserve"> يمكن للذكاء الاصطناعي تحليل أداء المؤسسات التعليمية المنافسة، واستراتيجياتها، وبرامجها، ونقاط قوتها، مما يساعد الإدارة على تحديد الفرص لتمييز نفسها وتحديد التهديدات التنافسية المحتملة (</w:t>
      </w:r>
      <w:r w:rsidRPr="003D1437">
        <w:rPr>
          <w:rFonts w:ascii="Traditional Arabic" w:hAnsi="Traditional Arabic" w:cs="Traditional Arabic"/>
          <w:sz w:val="28"/>
          <w:szCs w:val="28"/>
        </w:rPr>
        <w:t>Al Muala et al., 2024</w:t>
      </w:r>
      <w:r w:rsidRPr="003D1437">
        <w:rPr>
          <w:rFonts w:ascii="Traditional Arabic" w:hAnsi="Traditional Arabic" w:cs="Traditional Arabic"/>
          <w:sz w:val="28"/>
          <w:szCs w:val="28"/>
          <w:rtl/>
        </w:rPr>
        <w:t>).</w:t>
      </w:r>
    </w:p>
    <w:p w14:paraId="18134732" w14:textId="77777777" w:rsidR="006C13FC" w:rsidRPr="003D1437" w:rsidRDefault="006C13FC">
      <w:pPr>
        <w:numPr>
          <w:ilvl w:val="0"/>
          <w:numId w:val="3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الفرص والتهديدات:</w:t>
      </w:r>
      <w:r w:rsidRPr="003D1437">
        <w:rPr>
          <w:rFonts w:ascii="Traditional Arabic" w:hAnsi="Traditional Arabic" w:cs="Traditional Arabic"/>
          <w:sz w:val="28"/>
          <w:szCs w:val="28"/>
          <w:rtl/>
        </w:rPr>
        <w:t xml:space="preserve"> من خلال هذا الرصد والتحليل الشامل، يمكن للذكاء الاصطناعي مساعدة صانعي القرار على تحديد الفرص الجديدة، مثل الطلب المتزايد على مهارات معينة في سوق العمل، والتهديدات المحتملة، مثل ظهور تقنيات تعليمية جديدة قد تجعل الأساليب الحالية قديمة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w:t>
      </w:r>
    </w:p>
    <w:p w14:paraId="369EF6A5"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بناء سيناريوهات مستقبلية وتنبؤية</w:t>
      </w:r>
    </w:p>
    <w:p w14:paraId="0B68FB99"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إحدى أقوى قدرات الذكاء الاصطناعي هي التحليلات التنبؤية (</w:t>
      </w:r>
      <w:r w:rsidRPr="003D1437">
        <w:rPr>
          <w:rFonts w:ascii="Traditional Arabic" w:hAnsi="Traditional Arabic" w:cs="Traditional Arabic"/>
          <w:sz w:val="28"/>
          <w:szCs w:val="28"/>
        </w:rPr>
        <w:t>Predictive Analytics</w:t>
      </w:r>
      <w:r w:rsidRPr="003D1437">
        <w:rPr>
          <w:rFonts w:ascii="Traditional Arabic" w:hAnsi="Traditional Arabic" w:cs="Traditional Arabic"/>
          <w:sz w:val="28"/>
          <w:szCs w:val="28"/>
          <w:rtl/>
        </w:rPr>
        <w:t>)، والتي تستخدم البيانات التاريخية لتوقع الأحداث والاتجاهات المستقبلية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5588E663" w14:textId="77777777" w:rsidR="006C13FC" w:rsidRPr="003D1437" w:rsidRDefault="006C13FC">
      <w:pPr>
        <w:numPr>
          <w:ilvl w:val="0"/>
          <w:numId w:val="3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التخطيط بالسيناريو:</w:t>
      </w:r>
      <w:r w:rsidRPr="003D1437">
        <w:rPr>
          <w:rFonts w:ascii="Traditional Arabic" w:hAnsi="Traditional Arabic" w:cs="Traditional Arabic"/>
          <w:sz w:val="28"/>
          <w:szCs w:val="28"/>
          <w:rtl/>
        </w:rPr>
        <w:t xml:space="preserve"> يُعد تخطيط السيناريوهات أداة استراتيجية تُستخدم لتصور وإعداد سيناريوهات مستقبلية محتملة (آل الشيخ جعفر، 2024). يمكن للذكاء الاصطناعي تعزيز هذه العملية من خلال استخدام نماذج متطورة لمحاكاة نتائج السيناريوهات المختلفة، مما يسمح لصانعي السياسات باختبار فعالية الاستراتيجيات المتنوعة في بيئة افتراضية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7FFB3A94" w14:textId="77777777" w:rsidR="006C13FC" w:rsidRPr="003D1437" w:rsidRDefault="006C13FC">
      <w:pPr>
        <w:numPr>
          <w:ilvl w:val="0"/>
          <w:numId w:val="3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التنبؤ بالتهديدات:</w:t>
      </w:r>
      <w:r w:rsidRPr="003D1437">
        <w:rPr>
          <w:rFonts w:ascii="Traditional Arabic" w:hAnsi="Traditional Arabic" w:cs="Traditional Arabic"/>
          <w:sz w:val="28"/>
          <w:szCs w:val="28"/>
          <w:rtl/>
        </w:rPr>
        <w:t xml:space="preserve"> تسمح التحليلات التنبؤية للذكاء الاصطناعي بالتنبؤ الدقيق بالتهديدات من خلال معالجة البيانات التاريخية لاكتشاف الاتجاهات التي قد لا تكون واضحة للمحللين البشريين، مما يمكن صانعي السياسات من توقع التهديدات وتخفيفها قبل أن تتجسد (</w:t>
      </w:r>
      <w:r w:rsidRPr="003D1437">
        <w:rPr>
          <w:rFonts w:ascii="Traditional Arabic" w:hAnsi="Traditional Arabic" w:cs="Traditional Arabic"/>
          <w:sz w:val="28"/>
          <w:szCs w:val="28"/>
        </w:rPr>
        <w:t>Sayler, 2020</w:t>
      </w:r>
      <w:r w:rsidRPr="003D1437">
        <w:rPr>
          <w:rFonts w:ascii="Traditional Arabic" w:hAnsi="Traditional Arabic" w:cs="Traditional Arabic"/>
          <w:sz w:val="28"/>
          <w:szCs w:val="28"/>
          <w:rtl/>
        </w:rPr>
        <w:t>). على سبيل المثال، يمكن تحليل بيانات الصراع التاريخية للتنبؤ باحتمالية وشدة النزاعات المستقبلية في مناطق معينة (</w:t>
      </w:r>
      <w:r w:rsidRPr="003D1437">
        <w:rPr>
          <w:rFonts w:ascii="Traditional Arabic" w:hAnsi="Traditional Arabic" w:cs="Traditional Arabic"/>
          <w:sz w:val="28"/>
          <w:szCs w:val="28"/>
        </w:rPr>
        <w:t>Xu, Qin, &amp; Fang, 2020</w:t>
      </w:r>
      <w:r w:rsidRPr="003D1437">
        <w:rPr>
          <w:rFonts w:ascii="Traditional Arabic" w:hAnsi="Traditional Arabic" w:cs="Traditional Arabic"/>
          <w:sz w:val="28"/>
          <w:szCs w:val="28"/>
          <w:rtl/>
        </w:rPr>
        <w:t>).</w:t>
      </w:r>
    </w:p>
    <w:p w14:paraId="64033F11" w14:textId="77777777" w:rsidR="006C13FC" w:rsidRPr="003D1437" w:rsidRDefault="006C13FC">
      <w:pPr>
        <w:numPr>
          <w:ilvl w:val="0"/>
          <w:numId w:val="3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تعزيز الاستعداد:</w:t>
      </w:r>
      <w:r w:rsidRPr="003D1437">
        <w:rPr>
          <w:rFonts w:ascii="Traditional Arabic" w:hAnsi="Traditional Arabic" w:cs="Traditional Arabic"/>
          <w:sz w:val="28"/>
          <w:szCs w:val="28"/>
          <w:rtl/>
        </w:rPr>
        <w:t xml:space="preserve"> من خلال توفير فهم أفضل للمستقبل المحتمل، تساعد هذه السيناريوهات التنبؤية المؤسسة على تطوير استراتيجيات أكثر قوة ومرونة، والاستعداد لمجموعة واسعة من الاحتمالات بدلاً من التخطيط لمستقبل واحد فقط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2959C7C7" w14:textId="77777777" w:rsidR="006C13FC" w:rsidRPr="003D1437" w:rsidRDefault="006C13FC" w:rsidP="00863B90">
      <w:pPr>
        <w:pStyle w:val="Heading3"/>
        <w:rPr>
          <w:rtl/>
        </w:rPr>
      </w:pPr>
      <w:bookmarkStart w:id="58" w:name="_Toc236402663"/>
      <w:r w:rsidRPr="003D1437">
        <w:rPr>
          <w:rtl/>
        </w:rPr>
        <w:t>ثانياً: إسهامات الذكاء الاصطناعي في صياغة وتنفيذ الاستراتيجية</w:t>
      </w:r>
      <w:bookmarkEnd w:id="58"/>
    </w:p>
    <w:p w14:paraId="7451E30C"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بمجرد اكتمال مرحلة التحليل، ينتقل التركيز إلى صياغة الاستراتيجية وتنفيذها. يقدم الذكاء الاصطناعي هنا أدوات قوية لضمان أن تكون الأهداف قائمة على الأدلة، وأن يتم متابعة التنفيذ بفعالية.</w:t>
      </w:r>
    </w:p>
    <w:p w14:paraId="048047B0"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المساعدة في تحديد أولويات وأهداف استراتيجية قائمة على البيانات</w:t>
      </w:r>
    </w:p>
    <w:p w14:paraId="484AD605"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3D1437">
        <w:rPr>
          <w:rFonts w:ascii="Traditional Arabic" w:hAnsi="Traditional Arabic" w:cs="Traditional Arabic"/>
          <w:sz w:val="28"/>
          <w:szCs w:val="28"/>
        </w:rPr>
        <w:t>Kitsios &amp; Kamariotou, 2021</w:t>
      </w:r>
      <w:r w:rsidRPr="003D1437">
        <w:rPr>
          <w:rFonts w:ascii="Traditional Arabic" w:hAnsi="Traditional Arabic" w:cs="Traditional Arabic"/>
          <w:sz w:val="28"/>
          <w:szCs w:val="28"/>
          <w:rtl/>
        </w:rPr>
        <w:t>).</w:t>
      </w:r>
    </w:p>
    <w:p w14:paraId="7A0168A9"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نمذجة تأثير الاستراتيجيات البديلة قبل تطبيقها</w:t>
      </w:r>
    </w:p>
    <w:p w14:paraId="23191C59"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قبل الالتزام باستراتيجية معينة تتطلب استثمارات كبيرة، يمكن استخدام الذكاء الاصطناعي لنمذجة ومحاكاة التأثيرات المحتملة للاستراتيجيات البديلة. تسمح هذه المحاكاة لصانعي القرار بتقييم إيجابيات وسلبيات كل بديل، واختيار المسار الذي من المرجح أن يحقق أفضل النتائج، وتقليل المخاطر المرتبطة بالقرارات الاستراتيجية الكبرى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15614D0A"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أتمتة متابعة مؤشرات الأداء الرئيسية (</w:t>
      </w:r>
      <w:r w:rsidRPr="003D1437">
        <w:rPr>
          <w:rFonts w:ascii="Traditional Arabic" w:hAnsi="Traditional Arabic" w:cs="Traditional Arabic"/>
          <w:b/>
          <w:bCs/>
          <w:sz w:val="28"/>
          <w:szCs w:val="28"/>
        </w:rPr>
        <w:t>KPIs</w:t>
      </w:r>
      <w:r w:rsidRPr="003D1437">
        <w:rPr>
          <w:rFonts w:ascii="Traditional Arabic" w:hAnsi="Traditional Arabic" w:cs="Traditional Arabic"/>
          <w:b/>
          <w:bCs/>
          <w:sz w:val="28"/>
          <w:szCs w:val="28"/>
          <w:rtl/>
        </w:rPr>
        <w:t>)</w:t>
      </w:r>
    </w:p>
    <w:p w14:paraId="50D52FC8" w14:textId="3C8F5CD9"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3D1437">
        <w:rPr>
          <w:rFonts w:ascii="Traditional Arabic" w:hAnsi="Traditional Arabic" w:cs="Traditional Arabic"/>
          <w:sz w:val="28"/>
          <w:szCs w:val="28"/>
        </w:rPr>
        <w:t>Kitsios &amp; Kamariotou, 2021</w:t>
      </w:r>
      <w:r w:rsidRPr="003D1437">
        <w:rPr>
          <w:rFonts w:ascii="Traditional Arabic" w:hAnsi="Traditional Arabic" w:cs="Traditional Arabic"/>
          <w:sz w:val="28"/>
          <w:szCs w:val="28"/>
          <w:rtl/>
        </w:rPr>
        <w:t>).</w:t>
      </w:r>
    </w:p>
    <w:p w14:paraId="3D1CA526" w14:textId="77777777" w:rsidR="00863B90" w:rsidRPr="003D1437" w:rsidRDefault="00863B90" w:rsidP="00863B90">
      <w:pPr>
        <w:bidi/>
        <w:jc w:val="lowKashida"/>
        <w:rPr>
          <w:rFonts w:ascii="Traditional Arabic" w:hAnsi="Traditional Arabic" w:cs="Traditional Arabic"/>
          <w:sz w:val="28"/>
          <w:szCs w:val="28"/>
          <w:rtl/>
        </w:rPr>
      </w:pPr>
    </w:p>
    <w:p w14:paraId="1D96D982" w14:textId="77777777" w:rsidR="006C13FC" w:rsidRPr="003D1437" w:rsidRDefault="006C13FC" w:rsidP="00863B90">
      <w:pPr>
        <w:pStyle w:val="Heading3"/>
        <w:rPr>
          <w:rtl/>
        </w:rPr>
      </w:pPr>
      <w:bookmarkStart w:id="59" w:name="_Toc236402664"/>
      <w:r w:rsidRPr="003D1437">
        <w:rPr>
          <w:rtl/>
        </w:rPr>
        <w:lastRenderedPageBreak/>
        <w:t>ثالثاً: الذكاء الاصطناعي كأداة لتعزيز مرونة الخطة الاستراتيجية</w:t>
      </w:r>
      <w:bookmarkEnd w:id="59"/>
    </w:p>
    <w:p w14:paraId="3F231F80"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بيئة سريعة التغير، لم تعد الخطط الاستراتيجية الثابتة كافية. يجب أن تكون الخطط مرنة وقادرة على التكيف. يعمل الذكاء الاصطناعي على تعزيز هذه المرونة بشكل كبير.</w:t>
      </w:r>
    </w:p>
    <w:p w14:paraId="5965CEA3"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تمكين التقييم المستمر والتكيف الآني للخطة</w:t>
      </w:r>
    </w:p>
    <w:p w14:paraId="31B52958"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يوفر الذكاء الاصطناعي القدرة على المراقبة والتحليل في الوقت الفعلي، مما يسمح بتقييم مستمر لفعالية الخطة الاستراتيجية. إذا تغيرت الظروف البيئية أو إذا لم تحقق مبادرة معينة النتائج المتوقعة، يمكن للأنظمة الذكية تحديد ذلك على الفور. هذا يمكّن القادة من تعديل الخطة وتكييفها بشكل آني وفوري، بدلاً من الانتظار لشهور أو سنوات لمراجعة الخطة بشكل دوري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 إن دمج هذه التقنيات يضمن استراتيجية شاملة لمعالجة التحديات المتطورة بفعالية (</w:t>
      </w:r>
      <w:r w:rsidRPr="003D1437">
        <w:rPr>
          <w:rFonts w:ascii="Traditional Arabic" w:hAnsi="Traditional Arabic" w:cs="Traditional Arabic"/>
          <w:sz w:val="28"/>
          <w:szCs w:val="28"/>
        </w:rPr>
        <w:t>Dalkıran, Önel, Topcu, &amp; Demir, 2021</w:t>
      </w:r>
      <w:r w:rsidRPr="003D1437">
        <w:rPr>
          <w:rFonts w:ascii="Traditional Arabic" w:hAnsi="Traditional Arabic" w:cs="Traditional Arabic"/>
          <w:sz w:val="28"/>
          <w:szCs w:val="28"/>
          <w:rtl/>
        </w:rPr>
        <w:t>).</w:t>
      </w:r>
    </w:p>
    <w:p w14:paraId="0DFFDE8D"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تسهيل اتخاذ القرارات السريعة والمستنيرة</w:t>
      </w:r>
    </w:p>
    <w:p w14:paraId="2C0988F0"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من خلال توفير تحليلات دقيقة وفي الوقت المناسب، يُمكّن الذكاء الاصطناعي صانعي القرار من اتخاذ قرارات أسرع وأكثر استنارة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عندما تظهر فرصة جديدة أو تهديد غير متوقع، يمكن للذكاء الاصطناعي تقييم الوضع بسرعة، وتقديم البيانات ذات الصلة، وحتى اقتراح مسارات عمل ممكنة، مما يسمح للإدارة بالاستجابة بسرعة وحسم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هذا النهج الاستباقي يسمح بتوقع التهديدات وتخفيفها قبل أن تتجسد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04D71E22"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تحسين إدارة المخاطر الاستراتيجية</w:t>
      </w:r>
    </w:p>
    <w:p w14:paraId="4BABA1A4"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كل خطة استراتيجية تنطوي على مخاطر. يمكن للذكاء الاصطناعي تحسين إدارة هذه المخاطر بشكل كبير.</w:t>
      </w:r>
    </w:p>
    <w:p w14:paraId="1264FFA0" w14:textId="77777777" w:rsidR="006C13FC" w:rsidRPr="003D1437" w:rsidRDefault="006C13FC">
      <w:pPr>
        <w:numPr>
          <w:ilvl w:val="0"/>
          <w:numId w:val="3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المخاطر:</w:t>
      </w:r>
      <w:r w:rsidRPr="003D1437">
        <w:rPr>
          <w:rFonts w:ascii="Traditional Arabic" w:hAnsi="Traditional Arabic" w:cs="Traditional Arabic"/>
          <w:sz w:val="28"/>
          <w:szCs w:val="28"/>
          <w:rtl/>
        </w:rPr>
        <w:t xml:space="preserve"> يمكن لخوارزميات الذكاء الاصطناعي تحليل البيانات لتحديد المخاطر المحتملة التي قد تهدد نجاح الخطة، سواء كانت مخاطر مالية، أو تشغيلية، أو تتعلق بالسمعة (</w:t>
      </w:r>
      <w:r w:rsidRPr="003D1437">
        <w:rPr>
          <w:rFonts w:ascii="Traditional Arabic" w:hAnsi="Traditional Arabic" w:cs="Traditional Arabic"/>
          <w:sz w:val="28"/>
          <w:szCs w:val="28"/>
        </w:rPr>
        <w:t>Gyau, Appiah, Gyamfi, Achie, &amp; Naeem, 2024</w:t>
      </w:r>
      <w:r w:rsidRPr="003D1437">
        <w:rPr>
          <w:rFonts w:ascii="Traditional Arabic" w:hAnsi="Traditional Arabic" w:cs="Traditional Arabic"/>
          <w:sz w:val="28"/>
          <w:szCs w:val="28"/>
          <w:rtl/>
        </w:rPr>
        <w:t>).</w:t>
      </w:r>
    </w:p>
    <w:p w14:paraId="47AF57F2" w14:textId="77777777" w:rsidR="006C13FC" w:rsidRPr="003D1437" w:rsidRDefault="006C13FC">
      <w:pPr>
        <w:numPr>
          <w:ilvl w:val="0"/>
          <w:numId w:val="3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تقييم المخاطر:</w:t>
      </w:r>
      <w:r w:rsidRPr="003D1437">
        <w:rPr>
          <w:rFonts w:ascii="Traditional Arabic" w:hAnsi="Traditional Arabic" w:cs="Traditional Arabic"/>
          <w:sz w:val="28"/>
          <w:szCs w:val="28"/>
          <w:rtl/>
        </w:rPr>
        <w:t xml:space="preserve"> يمكن للذكاء الاصطناعي تقييم احتمالية حدوث كل خطر والتأثير المحتمل له، مما يساعد الإدارة على تحديد أولويات المخاطر التي تتطلب أكبر قدر من الاهتمام (آل الشيخ جعفر, 2024;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w:t>
      </w:r>
    </w:p>
    <w:p w14:paraId="2CCDA8F2" w14:textId="77777777" w:rsidR="006C13FC" w:rsidRPr="003D1437" w:rsidRDefault="006C13FC">
      <w:pPr>
        <w:numPr>
          <w:ilvl w:val="0"/>
          <w:numId w:val="3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تخفيف المخاطر:</w:t>
      </w:r>
      <w:r w:rsidRPr="003D1437">
        <w:rPr>
          <w:rFonts w:ascii="Traditional Arabic" w:hAnsi="Traditional Arabic" w:cs="Traditional Arabic"/>
          <w:sz w:val="28"/>
          <w:szCs w:val="28"/>
          <w:rtl/>
        </w:rPr>
        <w:t xml:space="preserve"> يمكن للأنظمة الذكية المساعدة في تطوير استراتيجيات لتخفيف المخاطر ومراقبة فعاليتها بمرور الوقت. على سبيل المثال، يمكن استخدام الذكاء الاصطناعي للكشف عن الأنشطة الاحتيالية التي قد تهدد الموارد المالية للمؤسسة (</w:t>
      </w:r>
      <w:r w:rsidRPr="003D1437">
        <w:rPr>
          <w:rFonts w:ascii="Traditional Arabic" w:hAnsi="Traditional Arabic" w:cs="Traditional Arabic"/>
          <w:sz w:val="28"/>
          <w:szCs w:val="28"/>
        </w:rPr>
        <w:t>Gyau et al., 2024</w:t>
      </w:r>
      <w:r w:rsidRPr="003D1437">
        <w:rPr>
          <w:rFonts w:ascii="Traditional Arabic" w:hAnsi="Traditional Arabic" w:cs="Traditional Arabic"/>
          <w:sz w:val="28"/>
          <w:szCs w:val="28"/>
          <w:rtl/>
        </w:rPr>
        <w:t>). من خلال هذه القدرات، يصبح الذكاء الاصطناعي أداة لا غنى عنها ليس فقط لصياغة استراتيجيات فعالة ولكن أيضًا لضمان بقائها حية وذات صلة في عالم دائم التغير.</w:t>
      </w:r>
    </w:p>
    <w:p w14:paraId="5EA69A5F" w14:textId="5D39D0AA" w:rsidR="00627BF5" w:rsidRPr="003D1437" w:rsidRDefault="00627BF5" w:rsidP="009F4AF3">
      <w:pPr>
        <w:pStyle w:val="Heading2"/>
        <w:rPr>
          <w:rtl/>
        </w:rPr>
      </w:pPr>
      <w:bookmarkStart w:id="60" w:name="_Toc233422621"/>
      <w:bookmarkStart w:id="61" w:name="_Toc236402665"/>
      <w:r w:rsidRPr="003D1437">
        <w:rPr>
          <w:rtl/>
        </w:rPr>
        <w:lastRenderedPageBreak/>
        <w:t>المبحث الخامس: الدور الوسيط للتكيف التكنولوجي في العلاقة بين الذكاء الاصطناعي وكفاءة التخطيط الاستراتيجي</w:t>
      </w:r>
      <w:bookmarkEnd w:id="60"/>
      <w:bookmarkEnd w:id="61"/>
    </w:p>
    <w:p w14:paraId="387D183C" w14:textId="45DC3DAD"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يعد هذا المبحث جوهر الدراسة، حيث يوضح الآليات التي من خلالها يعمل التكيف التكنولوجي على تفعيل وتعظيم تأثير تطبيقات الذكاء الاصطناعي </w:t>
      </w:r>
      <w:r w:rsidR="00863B90" w:rsidRPr="003D1437">
        <w:rPr>
          <w:rFonts w:ascii="Traditional Arabic" w:hAnsi="Traditional Arabic" w:cs="Traditional Arabic"/>
          <w:sz w:val="28"/>
          <w:szCs w:val="28"/>
          <w:rtl/>
        </w:rPr>
        <w:t>على كفاءة عملية التخطيط الاستراتيجي. إن مجرد امتلاك تقنيات الذكاء الاصطناعي لا يضمن تلقائيًا تحسين الأداء؛ بل إن التأثير الحقيقي يتوقف على قدرة المنظمة على التكيف مع هذه التقنيات ودمجها بفعالية في بنيتها وعملياتها (</w:t>
      </w:r>
      <w:r w:rsidR="00863B90" w:rsidRPr="003D1437">
        <w:rPr>
          <w:rFonts w:ascii="Traditional Arabic" w:hAnsi="Traditional Arabic" w:cs="Traditional Arabic"/>
          <w:sz w:val="28"/>
          <w:szCs w:val="28"/>
        </w:rPr>
        <w:t>Asghar et al., 2023</w:t>
      </w:r>
      <w:r w:rsidR="00863B90" w:rsidRPr="003D1437">
        <w:rPr>
          <w:rFonts w:ascii="Traditional Arabic" w:hAnsi="Traditional Arabic" w:cs="Traditional Arabic"/>
          <w:sz w:val="28"/>
          <w:szCs w:val="28"/>
          <w:rtl/>
        </w:rPr>
        <w:t>). يعمل التكيف التكنولوجي كقناة أو جسر تمر من خلاله التأثيرات المحتملة للذكاء الاصطناعي لتتحول إلى مكاسب ملموسة في كفاءة التخطيط. وقد أظهرت الأبحاث أن المرونة التنظيمية، التي هي نتاج التكيف، تعمل كمتغير وسيط حاسم في هذه العلاقة، حيث تضخم من تأثيرات الذكاء الاصطناعي وتسمح للشركات بإعادة هيكلة مواردها للاستفادة الكاملة من قدراته (</w:t>
      </w:r>
      <w:r w:rsidR="00863B90" w:rsidRPr="003D1437">
        <w:rPr>
          <w:rFonts w:ascii="Traditional Arabic" w:hAnsi="Traditional Arabic" w:cs="Traditional Arabic"/>
          <w:sz w:val="28"/>
          <w:szCs w:val="28"/>
        </w:rPr>
        <w:t>Adiguzel, Cakir, &amp; Ozbay, 2024</w:t>
      </w:r>
      <w:r w:rsidR="00863B90"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32179AF4" w14:textId="6D8FFE75" w:rsidR="00627BF5" w:rsidRPr="003D1437" w:rsidRDefault="00071B42" w:rsidP="00863B90">
      <w:pPr>
        <w:pStyle w:val="Heading3"/>
        <w:rPr>
          <w:rtl/>
        </w:rPr>
      </w:pPr>
      <w:bookmarkStart w:id="62" w:name="_Toc236402666"/>
      <w:r w:rsidRPr="003D1437">
        <w:rPr>
          <w:rFonts w:hint="cs"/>
          <w:rtl/>
        </w:rPr>
        <w:t>أولا</w:t>
      </w:r>
      <w:r w:rsidR="00627BF5" w:rsidRPr="003D1437">
        <w:rPr>
          <w:rtl/>
        </w:rPr>
        <w:t>: التكيف التكنولوجي كشرط لتبني الذكاء الاصطناعي</w:t>
      </w:r>
      <w:bookmarkEnd w:id="62"/>
    </w:p>
    <w:p w14:paraId="4EA03E5C"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قبل أن تتمكن أي مؤسسة من جني ثمار الذكاء الاصطناعي في التخطيط الاستراتيجي، يجب أن تكون هناك بيئة تنظيمية وتكنولوجية وبشرية مهيأة لتبني هذه التقنيات المتقدمة. يشكل التكيف التكنولوجي، بأبعاده المختلفة، هذا الشرط الأساسي.</w:t>
      </w:r>
    </w:p>
    <w:p w14:paraId="7485205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تأثير الجاهزية التكنولوجية على قرار تبني حلول الذكاء الاصطناعي</w:t>
      </w:r>
    </w:p>
    <w:p w14:paraId="3236B067" w14:textId="39E53652"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تُعرَّف الجاهزية </w:t>
      </w:r>
      <w:r w:rsidR="00863B90" w:rsidRPr="003D1437">
        <w:rPr>
          <w:rFonts w:ascii="Traditional Arabic" w:hAnsi="Traditional Arabic" w:cs="Traditional Arabic"/>
          <w:sz w:val="28"/>
          <w:szCs w:val="28"/>
          <w:rtl/>
        </w:rPr>
        <w:t>للذكاء الاصطناعي (</w:t>
      </w:r>
      <w:r w:rsidR="00863B90" w:rsidRPr="003D1437">
        <w:rPr>
          <w:rFonts w:ascii="Traditional Arabic" w:hAnsi="Traditional Arabic" w:cs="Traditional Arabic"/>
          <w:sz w:val="28"/>
          <w:szCs w:val="28"/>
        </w:rPr>
        <w:t>AI Readiness</w:t>
      </w:r>
      <w:r w:rsidR="00863B90" w:rsidRPr="003D1437">
        <w:rPr>
          <w:rFonts w:ascii="Traditional Arabic" w:hAnsi="Traditional Arabic" w:cs="Traditional Arabic"/>
          <w:sz w:val="28"/>
          <w:szCs w:val="28"/>
          <w:rtl/>
        </w:rPr>
        <w:t>) بأنها استعداد المنظمة لتبني ودمج تقنيات الذكاء الاصطناعي، وهي قدرة تنظيمية مهمة تشمل البنية التحتية التكنولوجية، وأصول البيانات، ومهارات الموظفين (</w:t>
      </w:r>
      <w:r w:rsidR="00863B90" w:rsidRPr="003D1437">
        <w:rPr>
          <w:rFonts w:ascii="Traditional Arabic" w:hAnsi="Traditional Arabic" w:cs="Traditional Arabic"/>
          <w:sz w:val="28"/>
          <w:szCs w:val="28"/>
        </w:rPr>
        <w:t>Alsheibani, Cheung, &amp; Messom, 2018; Adiguzel, Cakir, &amp; Ozbay, 2024</w:t>
      </w:r>
      <w:r w:rsidR="00863B90" w:rsidRPr="003D1437">
        <w:rPr>
          <w:rFonts w:ascii="Traditional Arabic" w:hAnsi="Traditional Arabic" w:cs="Traditional Arabic"/>
          <w:sz w:val="28"/>
          <w:szCs w:val="28"/>
          <w:rtl/>
        </w:rPr>
        <w:t>). إن قرار تبني حلول الذكاء الاصطناعي يتأثر بشكل مباشر بمدى جاهزية البنية التحتية لتكنولوجيا المعلومات والاتصالات (</w:t>
      </w:r>
      <w:r w:rsidR="00863B90" w:rsidRPr="003D1437">
        <w:rPr>
          <w:rFonts w:ascii="Traditional Arabic" w:hAnsi="Traditional Arabic" w:cs="Traditional Arabic"/>
          <w:sz w:val="28"/>
          <w:szCs w:val="28"/>
        </w:rPr>
        <w:t>ICT</w:t>
      </w:r>
      <w:r w:rsidR="00863B90" w:rsidRPr="003D1437">
        <w:rPr>
          <w:rFonts w:ascii="Traditional Arabic" w:hAnsi="Traditional Arabic" w:cs="Traditional Arabic"/>
          <w:sz w:val="28"/>
          <w:szCs w:val="28"/>
          <w:rtl/>
        </w:rPr>
        <w:t>) في المنظمة. فبدون شبكات قوية، وقدرات تخزين ومعالجة بيانات كافية، وأنظمة آمنة، يصبح من الصعب أو المستحيل تطبيق أدوات الذكاء الاصطناعي المعقدة (</w:t>
      </w:r>
      <w:r w:rsidR="00863B90" w:rsidRPr="003D1437">
        <w:rPr>
          <w:rFonts w:ascii="Traditional Arabic" w:hAnsi="Traditional Arabic" w:cs="Traditional Arabic"/>
          <w:sz w:val="28"/>
          <w:szCs w:val="28"/>
        </w:rPr>
        <w:t>Gyau et al., 2024; Kassa &amp; Worku, 2025</w:t>
      </w:r>
      <w:r w:rsidR="00863B90" w:rsidRPr="003D1437">
        <w:rPr>
          <w:rFonts w:ascii="Traditional Arabic" w:hAnsi="Traditional Arabic" w:cs="Traditional Arabic"/>
          <w:sz w:val="28"/>
          <w:szCs w:val="28"/>
          <w:rtl/>
        </w:rPr>
        <w:t>). يجب على المؤسسات التي تتمتع بمستوى منخفض من الجاهزية أن ترى الاستثمارات في الذكاء الاصطناعي على أنها مفرطة وصعبة الإدارة، مما قد يدفعها إلى تجاهل العوائد والفرص (</w:t>
      </w:r>
      <w:r w:rsidR="00863B90" w:rsidRPr="003D1437">
        <w:rPr>
          <w:rFonts w:ascii="Traditional Arabic" w:hAnsi="Traditional Arabic" w:cs="Traditional Arabic"/>
          <w:sz w:val="28"/>
          <w:szCs w:val="28"/>
        </w:rPr>
        <w:t>Denicolai, Zucchella, &amp; Magnani, 2021</w:t>
      </w:r>
      <w:r w:rsidR="00863B90" w:rsidRPr="003D1437">
        <w:rPr>
          <w:rFonts w:ascii="Traditional Arabic" w:hAnsi="Traditional Arabic" w:cs="Traditional Arabic"/>
          <w:sz w:val="28"/>
          <w:szCs w:val="28"/>
          <w:rtl/>
        </w:rPr>
        <w:t>).</w:t>
      </w:r>
    </w:p>
    <w:p w14:paraId="771A309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دور ثقافة الابتكار في تسهيل دمج تقنيات الذكاء الاصطناعي</w:t>
      </w:r>
    </w:p>
    <w:p w14:paraId="42C5F9A6" w14:textId="426EA071"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تلعب الثقافة التنظيمية دورًا حاسمًا في تبني أي تقنية جديدة. إن الثقافة التي تشجع على الابتكار والتجريب والتعلم المستمر تخلق بيئة خصبة لدمج الذكاء الاصطناعي (</w:t>
      </w:r>
      <w:r w:rsidRPr="003D1437">
        <w:rPr>
          <w:rFonts w:ascii="Traditional Arabic" w:hAnsi="Traditional Arabic" w:cs="Traditional Arabic"/>
          <w:sz w:val="28"/>
          <w:szCs w:val="28"/>
          <w:lang w:bidi="ar-EG"/>
        </w:rPr>
        <w:t>Anning-Dorson, 2021</w:t>
      </w:r>
      <w:r w:rsidRPr="003D1437">
        <w:rPr>
          <w:rFonts w:ascii="Traditional Arabic" w:hAnsi="Traditional Arabic" w:cs="Traditional Arabic"/>
          <w:sz w:val="28"/>
          <w:szCs w:val="28"/>
          <w:rtl/>
        </w:rPr>
        <w:t xml:space="preserve">). عندما يكون الموظفون والمديرون منفتحين على التغيير ولا يخشون الفشل، فإنهم يكونون أكثر استعدادًا لتجربة أدوات الذكاء الاصطناعي واستكشاف إمكانياتها. إن القيادة التي تدعم ثقافة </w:t>
      </w:r>
      <w:r w:rsidRPr="003D1437">
        <w:rPr>
          <w:rFonts w:ascii="Traditional Arabic" w:hAnsi="Traditional Arabic" w:cs="Traditional Arabic"/>
          <w:sz w:val="28"/>
          <w:szCs w:val="28"/>
          <w:rtl/>
        </w:rPr>
        <w:lastRenderedPageBreak/>
        <w:t xml:space="preserve">الابتكار وتوفر الموارد اللازمة لها هي </w:t>
      </w:r>
      <w:r w:rsidR="00863B90" w:rsidRPr="003D1437">
        <w:rPr>
          <w:rFonts w:ascii="Traditional Arabic" w:hAnsi="Traditional Arabic" w:cs="Traditional Arabic"/>
          <w:sz w:val="28"/>
          <w:szCs w:val="28"/>
          <w:rtl/>
        </w:rPr>
        <w:t>عامل تمكين رئيسي (</w:t>
      </w:r>
      <w:r w:rsidR="00863B90" w:rsidRPr="003D1437">
        <w:rPr>
          <w:rFonts w:ascii="Traditional Arabic" w:hAnsi="Traditional Arabic" w:cs="Traditional Arabic"/>
          <w:sz w:val="28"/>
          <w:szCs w:val="28"/>
        </w:rPr>
        <w:t>Adiguzel, Cakir, &amp; Ozbay, 2024; Asghar et al., 2023</w:t>
      </w:r>
      <w:r w:rsidR="00863B90" w:rsidRPr="003D1437">
        <w:rPr>
          <w:rFonts w:ascii="Traditional Arabic" w:hAnsi="Traditional Arabic" w:cs="Traditional Arabic"/>
          <w:sz w:val="28"/>
          <w:szCs w:val="28"/>
          <w:rtl/>
        </w:rPr>
        <w:t>). علاوة على ذلك، يمكن أن يؤثر التأثير الاجتماعي داخل المنظمة بشكل كبير على نية التبني؛ فعندما يرى الموظفون أن أقرانهم والقيادة يدعمون استخدام الذكاء الاصطناعي، فإنهم يطورون موقفًا إيجابيًا تجاهه (</w:t>
      </w:r>
      <w:r w:rsidR="00863B90" w:rsidRPr="003D1437">
        <w:rPr>
          <w:rFonts w:ascii="Traditional Arabic" w:hAnsi="Traditional Arabic" w:cs="Traditional Arabic"/>
          <w:sz w:val="28"/>
          <w:szCs w:val="28"/>
        </w:rPr>
        <w:t>Emon &amp; Khan, 2025</w:t>
      </w:r>
      <w:r w:rsidR="00863B90" w:rsidRPr="003D1437">
        <w:rPr>
          <w:rFonts w:ascii="Traditional Arabic" w:hAnsi="Traditional Arabic" w:cs="Traditional Arabic"/>
          <w:sz w:val="28"/>
          <w:szCs w:val="28"/>
          <w:rtl/>
        </w:rPr>
        <w:t>).</w:t>
      </w:r>
    </w:p>
    <w:p w14:paraId="4007408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أهمية المهارات الرقمية في استيعاب أدوات التخطيط الذكية</w:t>
      </w:r>
    </w:p>
    <w:p w14:paraId="7143521B" w14:textId="334BA154"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تتطلب أدوات الذكاء الاصطناعي مستوى معينًا من المهارات الرقمية والتحليلية لدى المستخدمين. لا يمكن تحقيق الفائدة الكاملة من هذه الأدوات إذا كان الموظفون </w:t>
      </w:r>
      <w:r w:rsidR="00863B90" w:rsidRPr="003D1437">
        <w:rPr>
          <w:rFonts w:ascii="Traditional Arabic" w:hAnsi="Traditional Arabic" w:cs="Traditional Arabic"/>
          <w:sz w:val="28"/>
          <w:szCs w:val="28"/>
          <w:rtl/>
        </w:rPr>
        <w:t>وصناع القرار يفتقرون إلى القدرة على فهم مخرجاتها أو التفاعل معها بفعالية (</w:t>
      </w:r>
      <w:r w:rsidR="00863B90" w:rsidRPr="003D1437">
        <w:rPr>
          <w:rFonts w:ascii="Traditional Arabic" w:hAnsi="Traditional Arabic" w:cs="Traditional Arabic"/>
          <w:sz w:val="28"/>
          <w:szCs w:val="28"/>
        </w:rPr>
        <w:t>Orosoo et al., 2023</w:t>
      </w:r>
      <w:r w:rsidR="00863B90" w:rsidRPr="003D1437">
        <w:rPr>
          <w:rFonts w:ascii="Traditional Arabic" w:hAnsi="Traditional Arabic" w:cs="Traditional Arabic"/>
          <w:sz w:val="28"/>
          <w:szCs w:val="28"/>
          <w:rtl/>
        </w:rPr>
        <w:t>). لذلك، يعد الاستثمار في تدريب وتطوير المهارات الرقمية للموظفين جزءًا لا يتجزأ من التكيف التكنولوجي، ويشمل ذلك المهارات التقنية (مثل فهم أساسيات تعلم الآلة) والمهارات التجارية (مثل القدرة على تحديد المشكلات التي يمكن للذكاء الاصطناعي حلها). إن امتلاك المنظمة للمواهب ذات المهارات التقنية المناسبة لدعم عمل الذكاء الاصطناعي هو أمر ضروري (</w:t>
      </w:r>
      <w:r w:rsidR="00863B90" w:rsidRPr="003D1437">
        <w:rPr>
          <w:rFonts w:ascii="Traditional Arabic" w:hAnsi="Traditional Arabic" w:cs="Traditional Arabic"/>
          <w:sz w:val="28"/>
          <w:szCs w:val="28"/>
        </w:rPr>
        <w:t>Asghar et al., 2023; Kassa &amp; Worku, 2025</w:t>
      </w:r>
      <w:r w:rsidR="00863B90" w:rsidRPr="003D1437">
        <w:rPr>
          <w:rFonts w:ascii="Traditional Arabic" w:hAnsi="Traditional Arabic" w:cs="Traditional Arabic"/>
          <w:sz w:val="28"/>
          <w:szCs w:val="28"/>
          <w:rtl/>
        </w:rPr>
        <w:t>).</w:t>
      </w:r>
    </w:p>
    <w:p w14:paraId="47CDBE70" w14:textId="2268F940" w:rsidR="00627BF5" w:rsidRPr="003D1437" w:rsidRDefault="00071B42" w:rsidP="00863B90">
      <w:pPr>
        <w:pStyle w:val="Heading3"/>
        <w:rPr>
          <w:rtl/>
        </w:rPr>
      </w:pPr>
      <w:bookmarkStart w:id="63" w:name="_Toc236402667"/>
      <w:r w:rsidRPr="003D1437">
        <w:rPr>
          <w:rFonts w:hint="cs"/>
          <w:rtl/>
        </w:rPr>
        <w:t>ثانيا</w:t>
      </w:r>
      <w:r w:rsidR="00627BF5" w:rsidRPr="003D1437">
        <w:rPr>
          <w:rtl/>
        </w:rPr>
        <w:t>: آليات تعزيز التكيف التكنولوجي لتأثير الذكاء الاصطناعي على التخطيط</w:t>
      </w:r>
      <w:bookmarkEnd w:id="63"/>
    </w:p>
    <w:p w14:paraId="3B0FBC6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يعمل التكيف التكنولوجي كوسيط من خلال عدة آليات محددة، فهو لا يسهل فقط تبني الذكاء الاصطناعي، بل يعزز أيضًا من تأثيره المباشر على كفاءة التخطيط الاستراتيجي.</w:t>
      </w:r>
    </w:p>
    <w:p w14:paraId="65BAD27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كيف يسهل التكيف التكنولوجي عملية جمع وتدفق البيانات اللازمة لخوارزميات الذكاء الاصطناعي</w:t>
      </w:r>
    </w:p>
    <w:p w14:paraId="4B2826E5" w14:textId="639C995B"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تعتبر خوارزميات الذكاء </w:t>
      </w:r>
      <w:r w:rsidR="00863B90" w:rsidRPr="003D1437">
        <w:rPr>
          <w:rFonts w:ascii="Traditional Arabic" w:hAnsi="Traditional Arabic" w:cs="Traditional Arabic"/>
          <w:sz w:val="28"/>
          <w:szCs w:val="28"/>
          <w:rtl/>
        </w:rPr>
        <w:t>الاصطناعي متعطشة للبيانات؛ حيث تعتمد جودة ودقة مخرجاتها على حجم ونوعية البيانات التي يتم تدريبها عليها (</w:t>
      </w:r>
      <w:r w:rsidR="00863B90" w:rsidRPr="003D1437">
        <w:rPr>
          <w:rFonts w:ascii="Traditional Arabic" w:hAnsi="Traditional Arabic" w:cs="Traditional Arabic"/>
          <w:sz w:val="28"/>
          <w:szCs w:val="28"/>
        </w:rPr>
        <w:t>Sarjito, 2024</w:t>
      </w:r>
      <w:r w:rsidR="00863B90" w:rsidRPr="003D1437">
        <w:rPr>
          <w:rFonts w:ascii="Traditional Arabic" w:hAnsi="Traditional Arabic" w:cs="Traditional Arabic"/>
          <w:sz w:val="28"/>
          <w:szCs w:val="28"/>
          <w:rtl/>
        </w:rPr>
        <w:t>). المؤسسات التي وصلت إلى مستوى عالٍ من التكيف تكون قد استثمرت بالفعل في أنظمة متكاملة لجمع وتخزين وإدارة البيانات. إن القدرة على دمج البيانات من مصادر داخلية متعددة مع بيانات خارجية في مستودع بيانات موحد، تسهل بشكل كبير عمل خوارزميات الذكاء الاصطناعي (</w:t>
      </w:r>
      <w:r w:rsidR="00863B90" w:rsidRPr="003D1437">
        <w:rPr>
          <w:rFonts w:ascii="Traditional Arabic" w:hAnsi="Traditional Arabic" w:cs="Traditional Arabic"/>
          <w:sz w:val="28"/>
          <w:szCs w:val="28"/>
        </w:rPr>
        <w:t>Gyau et al., 2024; Kassa &amp; Worku, 2025</w:t>
      </w:r>
      <w:r w:rsidR="00863B90" w:rsidRPr="003D1437">
        <w:rPr>
          <w:rFonts w:ascii="Traditional Arabic" w:hAnsi="Traditional Arabic" w:cs="Traditional Arabic"/>
          <w:sz w:val="28"/>
          <w:szCs w:val="28"/>
          <w:rtl/>
        </w:rPr>
        <w:t>). هذا التكامل في البنية التحتية لتكنولوجيا المعلومات والاتصالات هو الذي يتيح تدفق البيانات بسلاسة، مما يمكن نماذج الذكاء الاصطناعي من تقديم تحليلات شاملة ودقيقة لمرحلة التحليل الاستراتيجي (</w:t>
      </w:r>
      <w:r w:rsidR="00863B90" w:rsidRPr="003D1437">
        <w:rPr>
          <w:rFonts w:ascii="Traditional Arabic" w:hAnsi="Traditional Arabic" w:cs="Traditional Arabic"/>
          <w:sz w:val="28"/>
          <w:szCs w:val="28"/>
        </w:rPr>
        <w:t>Sarjito, 2024</w:t>
      </w:r>
      <w:r w:rsidR="00863B90" w:rsidRPr="003D1437">
        <w:rPr>
          <w:rFonts w:ascii="Traditional Arabic" w:hAnsi="Traditional Arabic" w:cs="Traditional Arabic"/>
          <w:sz w:val="28"/>
          <w:szCs w:val="28"/>
          <w:rtl/>
        </w:rPr>
        <w:t>).</w:t>
      </w:r>
    </w:p>
    <w:p w14:paraId="5E6903F8"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دور التكيف في تعزيز قبول صانعي القرار لمخرجات وتوصيات أنظمة الذكاء الاصطناعي</w:t>
      </w:r>
    </w:p>
    <w:p w14:paraId="7DCA26B1" w14:textId="10396941"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لن يكون لتوصيات الذكاء الاصطناعي أي تأثير إذا لم يثق بها صناع القرار ويتبنوها. يلعب التكيف التكنولوجي على المستوى الفردي والتنظيمي دورًا حاسمًا في بناء هذه الثقة. عندما يكون صناع القرار معتادين على استخدام التكنولوجيا في أعمالهم اليومية، ولديهم فهم أساسي لكيفية عملها، ويتمتعون بموقف إيجابي تجاهها، فإنهم يكونون أكثر تقبلاً للتوصيات الناتجة عن أنظمة الذكاء الاصطناعي. إن </w:t>
      </w:r>
      <w:r w:rsidRPr="003D1437">
        <w:rPr>
          <w:rFonts w:ascii="Traditional Arabic" w:hAnsi="Traditional Arabic" w:cs="Traditional Arabic"/>
          <w:sz w:val="28"/>
          <w:szCs w:val="28"/>
          <w:rtl/>
        </w:rPr>
        <w:lastRenderedPageBreak/>
        <w:t xml:space="preserve">الثقافة التنظيمية التي تقدر القرارات </w:t>
      </w:r>
      <w:r w:rsidR="00863B90" w:rsidRPr="003D1437">
        <w:rPr>
          <w:rFonts w:ascii="Traditional Arabic" w:hAnsi="Traditional Arabic" w:cs="Traditional Arabic"/>
          <w:sz w:val="28"/>
          <w:szCs w:val="28"/>
          <w:rtl/>
        </w:rPr>
        <w:t>القائمة على البيانات، والتي هي سمة من سمات التكيف التكنولوجي المتقدم، تشجع القادة على الاعتماد على الرؤى التحليلية التي تقدمها هذه الأنظمة (</w:t>
      </w:r>
      <w:r w:rsidR="00863B90" w:rsidRPr="003D1437">
        <w:rPr>
          <w:rFonts w:ascii="Traditional Arabic" w:hAnsi="Traditional Arabic" w:cs="Traditional Arabic"/>
          <w:sz w:val="28"/>
          <w:szCs w:val="28"/>
        </w:rPr>
        <w:t>Emon &amp; Khan, 2025; Mohammed et al., 2024</w:t>
      </w:r>
      <w:r w:rsidR="00863B90" w:rsidRPr="003D1437">
        <w:rPr>
          <w:rFonts w:ascii="Traditional Arabic" w:hAnsi="Traditional Arabic" w:cs="Traditional Arabic"/>
          <w:sz w:val="28"/>
          <w:szCs w:val="28"/>
          <w:rtl/>
        </w:rPr>
        <w:t>).</w:t>
      </w:r>
    </w:p>
    <w:p w14:paraId="4F3B603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أثر دمج الأنظمة (</w:t>
      </w:r>
      <w:r w:rsidRPr="003D1437">
        <w:rPr>
          <w:rFonts w:ascii="Traditional Arabic" w:hAnsi="Traditional Arabic" w:cs="Traditional Arabic"/>
          <w:b/>
          <w:bCs/>
          <w:sz w:val="28"/>
          <w:szCs w:val="28"/>
          <w:lang w:bidi="ar-EG"/>
        </w:rPr>
        <w:t>System Integration</w:t>
      </w:r>
      <w:r w:rsidRPr="003D1437">
        <w:rPr>
          <w:rFonts w:ascii="Traditional Arabic" w:hAnsi="Traditional Arabic" w:cs="Traditional Arabic"/>
          <w:b/>
          <w:bCs/>
          <w:sz w:val="28"/>
          <w:szCs w:val="28"/>
          <w:rtl/>
        </w:rPr>
        <w:t>) في تفعيل أدوات الذكاء الاصطناعي عبر مراحل التخطيط</w:t>
      </w:r>
    </w:p>
    <w:p w14:paraId="33E61670" w14:textId="1BE8BDE0"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لكي يكون الذكاء الاصطناعي فعالاً حقًا في التخطيط الاستراتيجي، يجب أن يتم دمجه عبر جميع مراحل العملية. إن التكيف التكنولوجي المتقدم، الذي يتجلى في التكامل السلس بين الأنظمة المختلفة، هو ما يجعل ذلك ممكنًا (</w:t>
      </w:r>
      <w:r w:rsidRPr="003D1437">
        <w:rPr>
          <w:rFonts w:ascii="Traditional Arabic" w:hAnsi="Traditional Arabic" w:cs="Traditional Arabic"/>
          <w:sz w:val="28"/>
          <w:szCs w:val="28"/>
          <w:lang w:bidi="ar-EG"/>
        </w:rPr>
        <w:t>Sarjito, 2024</w:t>
      </w:r>
      <w:r w:rsidRPr="003D1437">
        <w:rPr>
          <w:rFonts w:ascii="Traditional Arabic" w:hAnsi="Traditional Arabic" w:cs="Traditional Arabic"/>
          <w:sz w:val="28"/>
          <w:szCs w:val="28"/>
          <w:rtl/>
        </w:rPr>
        <w:t xml:space="preserve">). على سبيل المثال، يمكن لنظام ذكاء </w:t>
      </w:r>
      <w:r w:rsidR="00863B90" w:rsidRPr="003D1437">
        <w:rPr>
          <w:rFonts w:ascii="Traditional Arabic" w:hAnsi="Traditional Arabic" w:cs="Traditional Arabic"/>
          <w:sz w:val="28"/>
          <w:szCs w:val="28"/>
          <w:rtl/>
        </w:rPr>
        <w:t>اصطناعي مدمج أن يسحب البيانات تلقائيًا من نظام المالية والموارد البشرية لتحليل نقاط القوة والضعف، ثم يساعد في صياغة أهداف قابلة للقياس، وبعد ذلك يتتبع مؤشرات الأداء الرئيسية من خلال سحب البيانات الحية من أنظمة التشغيل. بدون هذا التكامل، ستبقى أدوات الذكاء الاصطناعي معزولة ومحدودة الفائدة. وبالتالي، فإن التكيف التكنولوجي يوفر العمود الفقري التقني الذي يسمح للذكاء الاصطناعي بتعزيز كفاءة عملية التخطيط الاستراتيجي بأكملها (</w:t>
      </w:r>
      <w:r w:rsidR="00863B90" w:rsidRPr="003D1437">
        <w:rPr>
          <w:rFonts w:ascii="Traditional Arabic" w:hAnsi="Traditional Arabic" w:cs="Traditional Arabic"/>
          <w:sz w:val="28"/>
          <w:szCs w:val="28"/>
        </w:rPr>
        <w:t>Sarjito, 2024; Adiguzel, Cakir, &amp; Ozbay, 2024</w:t>
      </w:r>
      <w:r w:rsidR="00863B90" w:rsidRPr="003D1437">
        <w:rPr>
          <w:rFonts w:ascii="Traditional Arabic" w:hAnsi="Traditional Arabic" w:cs="Traditional Arabic"/>
          <w:sz w:val="28"/>
          <w:szCs w:val="28"/>
          <w:rtl/>
        </w:rPr>
        <w:t>).</w:t>
      </w:r>
    </w:p>
    <w:p w14:paraId="5F74F3A4" w14:textId="1D17862C" w:rsidR="00627BF5" w:rsidRPr="003D1437" w:rsidRDefault="00071B42" w:rsidP="00863B90">
      <w:pPr>
        <w:pStyle w:val="Heading3"/>
        <w:rPr>
          <w:rtl/>
        </w:rPr>
      </w:pPr>
      <w:bookmarkStart w:id="64" w:name="_Toc236402668"/>
      <w:r w:rsidRPr="003D1437">
        <w:rPr>
          <w:rFonts w:hint="cs"/>
          <w:rtl/>
        </w:rPr>
        <w:t>ثانيا</w:t>
      </w:r>
      <w:r w:rsidR="00627BF5" w:rsidRPr="003D1437">
        <w:rPr>
          <w:rtl/>
        </w:rPr>
        <w:t>: النموذج النظري المقترح للعلاقة بين المتغيرات</w:t>
      </w:r>
      <w:bookmarkEnd w:id="64"/>
    </w:p>
    <w:p w14:paraId="24B3C0C8"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التحليل السابق، يمكن صياغة نموذج نظري يوضح العلاقة المعقدة بين الذكاء الاصطناعي، والتكيف التكنولوجي، وكفاءة التخطيط الاستراتيجي. هذا النموذج لا يصف فقط العلاقات المباشرة، بل يركز بشكل أساسي على الدور الوسيط للتكيف التكنولوجي.</w:t>
      </w:r>
    </w:p>
    <w:p w14:paraId="1EF7893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صياغة الفرضية الرئيسية: يعزز التكيف التكنولوجي التأثير الإيجابي للذكاء الاصطناعي على كفاءة التخطيط الاستراتيجي</w:t>
      </w:r>
    </w:p>
    <w:p w14:paraId="195773D9" w14:textId="2093A841" w:rsidR="00627BF5" w:rsidRPr="003D1437" w:rsidRDefault="006C13FC"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الفرضية الأساسية التي يقوم عليها هذا الإطار النظري هي أن التأثير الإيجابي المحتمل للذكاء الاصطناعي على كفاءة التخطيط الاستراتيجي ليس تأثيرًا مباشرًا وحتميًا، بل هو تأثير يتم تضخيمه وتفعيله من خلال مستوى التكيف التكنولوجي في المؤسسة. بعبارة أخرى، كلما زاد مستوى التكيف التكنولوجي للمؤسسة التعليمية، زادت قدرتها على الاستفادة من الذكاء الاصطناعي لتحسين عمليات التخطيط الاستراتيجي. أظهرت الدراسات أن المرونة التنظيمية، وهي نتاج التكيف، تعمل كمتغير وسيط مهم في العلاقات التي تفسر الأداء (</w:t>
      </w:r>
      <w:r w:rsidRPr="003D1437">
        <w:rPr>
          <w:rFonts w:ascii="Traditional Arabic" w:hAnsi="Traditional Arabic" w:cs="Traditional Arabic"/>
          <w:sz w:val="28"/>
          <w:szCs w:val="28"/>
        </w:rPr>
        <w:t>Adiguzel, Cakir, &amp; Ozbay, 2024; Hamel and Välikangas, 2003</w:t>
      </w:r>
      <w:r w:rsidRPr="003D1437">
        <w:rPr>
          <w:rFonts w:ascii="Traditional Arabic" w:hAnsi="Traditional Arabic" w:cs="Traditional Arabic"/>
          <w:sz w:val="28"/>
          <w:szCs w:val="28"/>
          <w:rtl/>
        </w:rPr>
        <w:t>).</w:t>
      </w:r>
    </w:p>
    <w:p w14:paraId="4B040B2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توضيح مسار التأثير: من الذكاء الاصطناعي إلى كفاءة التخطيط الاستراتيجي عبر التكيف التكنولوجي</w:t>
      </w:r>
    </w:p>
    <w:p w14:paraId="25CB4811" w14:textId="33D70BC8" w:rsidR="006C13FC" w:rsidRPr="003D1437" w:rsidRDefault="006C13FC" w:rsidP="006924ED">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توضيح مسار التأثير المقترح على النحو التالي: الذكاء الاصطناعي (المتغير المستقل) يمثل الإمكانيات والقدرات التحليلية والتنبؤية التي توفرها تقنياته (</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 ويعمل التكيف التكنولوجي (المتغير الوسيط) على تمثيل قدرة وجاهزية المؤسسة (بنيتها التحتية، وثقافتها، ومواردها البشرية) على استيعاب ودمج واستخدام هذه الإمكانيات بفعالية (</w:t>
      </w:r>
      <w:r w:rsidRPr="003D1437">
        <w:rPr>
          <w:rFonts w:ascii="Traditional Arabic" w:hAnsi="Traditional Arabic" w:cs="Traditional Arabic"/>
          <w:sz w:val="28"/>
          <w:szCs w:val="28"/>
        </w:rPr>
        <w:t>Asghar et al., 2023; Emon &amp; Khan, 2025</w:t>
      </w:r>
      <w:r w:rsidRPr="003D1437">
        <w:rPr>
          <w:rFonts w:ascii="Traditional Arabic" w:hAnsi="Traditional Arabic" w:cs="Traditional Arabic"/>
          <w:sz w:val="28"/>
          <w:szCs w:val="28"/>
          <w:rtl/>
        </w:rPr>
        <w:t xml:space="preserve">). وتكون كفاءة التخطيط الاستراتيجي (المتغير التابع) هي النتيجة النهائية، وهي تحسين جودة </w:t>
      </w:r>
      <w:r w:rsidRPr="003D1437">
        <w:rPr>
          <w:rFonts w:ascii="Traditional Arabic" w:hAnsi="Traditional Arabic" w:cs="Traditional Arabic"/>
          <w:sz w:val="28"/>
          <w:szCs w:val="28"/>
          <w:rtl/>
        </w:rPr>
        <w:lastRenderedPageBreak/>
        <w:t>وفعالية عملية التخطيط الاستراتيجي بأبعادها المختلفة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المسار هو كالتالي: يوفر الذكاء الاصطناعي أدوات قوية، لكن هذه الأدوات تتطلب بيئة متكيفة تكنولوجيًا لتفعيلها. هذا التفعيل، الذي يتم من خلال آليات مثل تسهيل تدفق البيانات وزيادة قبول المخرجات وتكامل الأنظمة، هو ما يؤدي في النهاية إلى تعزيز كفاءة التخطيط الاستراتيجي.</w:t>
      </w:r>
    </w:p>
    <w:p w14:paraId="45DBAFA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تحديد المتطلبات التنظيمية والبشرية لتفعيل هذا الدور الوسيط في إدارة التعليم بمكة المكرمة</w:t>
      </w:r>
    </w:p>
    <w:p w14:paraId="17ED7042" w14:textId="084A6A81" w:rsidR="00627BF5" w:rsidRPr="003D1437" w:rsidRDefault="006C13FC"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لتفعيل هذا الدور الوسيط للتكيف التكنولوجي، يجب على إدارة التعليم في مكة المكرمة التركيز على مجموعة من المتطلبات الأساسية، منها ما هو تنظيمي ومنها ما هو بشري. تشمل المتطلبات التنظيمية: التزام القيادة الاستراتيجية بتوفير الرؤية والموارد، والاستثمار في البنية التحتية لتكنولوجيا المعلومات والاتصالات، وتطوير ثقافة تنظيمية مرنة، وتكييف الهياكل والسياسات (</w:t>
      </w:r>
      <w:r w:rsidRPr="003D1437">
        <w:rPr>
          <w:rFonts w:ascii="Traditional Arabic" w:hAnsi="Traditional Arabic" w:cs="Traditional Arabic"/>
          <w:sz w:val="28"/>
          <w:szCs w:val="28"/>
        </w:rPr>
        <w:t>Asghar et al., 2023; Gyau et al., 2024; Adiguzel, Cakir, &amp; Ozbay, 2024</w:t>
      </w:r>
      <w:r w:rsidRPr="003D1437">
        <w:rPr>
          <w:rFonts w:ascii="Traditional Arabic" w:hAnsi="Traditional Arabic" w:cs="Traditional Arabic"/>
          <w:sz w:val="28"/>
          <w:szCs w:val="28"/>
          <w:rtl/>
        </w:rPr>
        <w:t>). أما المتطلبات البشرية فتشمل: إطلاق برامج تدريبية شاملة لرفع الكفاءات الرقمية والتحليلية لدى الموظفين وصناع القرار، واستقطاب المواهب المتخصصة في مجالات علوم البيانات والذكاء الاصطناعي، وتطبيق استراتيجيات فعالة لإدارة التغيير لمعالجة المقاومة المحتملة وإشراك الموظفين في عملية التحول (</w:t>
      </w:r>
      <w:r w:rsidRPr="003D1437">
        <w:rPr>
          <w:rFonts w:ascii="Traditional Arabic" w:hAnsi="Traditional Arabic" w:cs="Traditional Arabic"/>
          <w:sz w:val="28"/>
          <w:szCs w:val="28"/>
        </w:rPr>
        <w:t>Orosoo et al., 2023; Kassa &amp; Worku, 2025</w:t>
      </w:r>
      <w:r w:rsidRPr="003D1437">
        <w:rPr>
          <w:rFonts w:ascii="Traditional Arabic" w:hAnsi="Traditional Arabic" w:cs="Traditional Arabic"/>
          <w:sz w:val="28"/>
          <w:szCs w:val="28"/>
          <w:rtl/>
        </w:rPr>
        <w:t>).</w:t>
      </w:r>
    </w:p>
    <w:p w14:paraId="065A5066" w14:textId="77777777" w:rsidR="00071B42" w:rsidRPr="003D1437" w:rsidRDefault="00071B42" w:rsidP="00071B42">
      <w:pPr>
        <w:bidi/>
        <w:jc w:val="lowKashida"/>
        <w:rPr>
          <w:rFonts w:ascii="Traditional Arabic" w:hAnsi="Traditional Arabic" w:cs="Traditional Arabic"/>
          <w:sz w:val="28"/>
          <w:szCs w:val="28"/>
          <w:rtl/>
          <w:lang w:bidi="ar-EG"/>
        </w:rPr>
        <w:sectPr w:rsidR="00071B42" w:rsidRPr="003D1437">
          <w:pgSz w:w="12240" w:h="15840"/>
          <w:pgMar w:top="1440" w:right="1440" w:bottom="1440" w:left="1440" w:header="720" w:footer="720" w:gutter="0"/>
          <w:cols w:space="720"/>
          <w:docGrid w:linePitch="360"/>
        </w:sectPr>
      </w:pPr>
    </w:p>
    <w:p w14:paraId="018C7F64" w14:textId="042DE794" w:rsidR="00071B42" w:rsidRPr="003D1437" w:rsidRDefault="00071B42" w:rsidP="009F4AF3">
      <w:pPr>
        <w:pStyle w:val="Heading2"/>
        <w:rPr>
          <w:rtl/>
        </w:rPr>
      </w:pPr>
      <w:bookmarkStart w:id="65" w:name="_Toc233422622"/>
      <w:bookmarkStart w:id="66" w:name="_Toc236402669"/>
      <w:r w:rsidRPr="003D1437">
        <w:rPr>
          <w:rtl/>
        </w:rPr>
        <w:lastRenderedPageBreak/>
        <w:t xml:space="preserve">المبحث </w:t>
      </w:r>
      <w:r w:rsidRPr="003D1437">
        <w:rPr>
          <w:rFonts w:hint="cs"/>
          <w:rtl/>
        </w:rPr>
        <w:t>السادس</w:t>
      </w:r>
      <w:r w:rsidRPr="003D1437">
        <w:rPr>
          <w:rtl/>
        </w:rPr>
        <w:t>: الدراسات السابقة</w:t>
      </w:r>
      <w:bookmarkEnd w:id="65"/>
      <w:bookmarkEnd w:id="66"/>
    </w:p>
    <w:p w14:paraId="7D79A7A1" w14:textId="42576FC6" w:rsidR="00581914" w:rsidRPr="003D1437" w:rsidRDefault="00581914" w:rsidP="00863B90">
      <w:pPr>
        <w:pStyle w:val="Heading3"/>
        <w:rPr>
          <w:rtl/>
        </w:rPr>
      </w:pPr>
      <w:bookmarkStart w:id="67" w:name="_Toc236402670"/>
      <w:r w:rsidRPr="003D1437">
        <w:rPr>
          <w:rtl/>
        </w:rPr>
        <w:t xml:space="preserve">المحور الأول: </w:t>
      </w:r>
      <w:r w:rsidR="006C13FC" w:rsidRPr="003D1437">
        <w:rPr>
          <w:rtl/>
        </w:rPr>
        <w:t>دراسات ربطت بين المتغير المستقل (الذكاء الاصطناعي) والمتغير التابع (كفاءة التخطيط الاستراتيجي)</w:t>
      </w:r>
      <w:bookmarkEnd w:id="67"/>
    </w:p>
    <w:p w14:paraId="3F20C4B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Mohammed, M. G. E., Shafi, M. A., Rusiman, M. S</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Azmi, N. A. H. M</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Enhancing Organizational Performance Through Strategic Planning and AI Integration: A Study on Predictive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بشكل رئيسي إلى استكشاف الدور الذي يلعبه الذكاء الاصطناعي في تعزيز عمليات التخطيط الاستراتيجي والأداء التنظيمي، مع التركيز بشكل خاص على القطاع العام في إمارة أبو ظبي. تمثلت الإجراءات المنهجية في اعتماد نهج كمي، حيث تم جمع البيانات الأولية من خلال مسح شامل باستخدام استبانة إلكترونية. تكونت عينة الدراسة من 205 من المسؤولين التنفيذيين والموظفين الإداريين من المستويات العليا والوسطى في القطاع العام بأبو ظبي، ممن لهم صلة مباشرة بعمليات التخطيط الاستراتيجي، وتم اختيارهم باستخدام مزيج من العينات الطبقية والعشوائية لضمان التمثيل. تم تحليل البيانات التي تم جمعها باستخدام برنامج التحليل الإحصائي للعلوم الاجتماعية (</w:t>
      </w:r>
      <w:r w:rsidRPr="003D1437">
        <w:rPr>
          <w:rFonts w:ascii="Traditional Arabic" w:hAnsi="Traditional Arabic" w:cs="Traditional Arabic"/>
          <w:sz w:val="28"/>
          <w:szCs w:val="28"/>
          <w:lang w:bidi="ar-EG"/>
        </w:rPr>
        <w:t>SPSS</w:t>
      </w:r>
      <w:r w:rsidRPr="003D1437">
        <w:rPr>
          <w:rFonts w:ascii="Traditional Arabic" w:hAnsi="Traditional Arabic" w:cs="Traditional Arabic"/>
          <w:sz w:val="28"/>
          <w:szCs w:val="28"/>
          <w:rtl/>
        </w:rPr>
        <w:t>)، حيث تم توظيف الإحصاء الوصفي وتحليل الارتباط واختبارات (</w:t>
      </w:r>
      <w:r w:rsidRPr="003D1437">
        <w:rPr>
          <w:rFonts w:ascii="Traditional Arabic" w:hAnsi="Traditional Arabic" w:cs="Traditional Arabic"/>
          <w:sz w:val="28"/>
          <w:szCs w:val="28"/>
          <w:lang w:bidi="ar-EG"/>
        </w:rPr>
        <w:t>t-test</w:t>
      </w:r>
      <w:r w:rsidRPr="003D1437">
        <w:rPr>
          <w:rFonts w:ascii="Traditional Arabic" w:hAnsi="Traditional Arabic" w:cs="Traditional Arabic"/>
          <w:sz w:val="28"/>
          <w:szCs w:val="28"/>
          <w:rtl/>
        </w:rPr>
        <w:t>) وتحليل الانحدار التدريجي. ومن أهم النتائج التي توصلت إليها الدراسة أن دمج الذكاء الاصطناعي في عملية التخطيط الاستراتيجي له تأثير إيجابي وجوهري على أداء المؤسسات العامة، حيث يساهم في تحسين دقة صنع القرار، ورفع مستوى الكفاءة والفعالية، وتعزيز جودة تقديم الخدمات العامة. وبناءً على ذلك، أوصت الدراسة بضرورة قيام صانعي السياسات ومديري القطاع العام بتبني استراتيجيات واضحة لدمج الذكاء الاصطناعي في خططهم لتحقيق الأهداف طويلة الأمد، كما أوصت بأن تتناول الأبحاث المستقبلية سياقات تنظيمية وجغرافية متنوعة وتطبيقات محددة للذكاء الاصطناعي لضمان استخدامه بشكل مسؤول وفعال.</w:t>
      </w:r>
    </w:p>
    <w:p w14:paraId="6727DA13"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2. دراسة </w:t>
      </w:r>
      <w:r w:rsidRPr="003D1437">
        <w:rPr>
          <w:rFonts w:ascii="Traditional Arabic" w:hAnsi="Traditional Arabic" w:cs="Traditional Arabic"/>
          <w:b/>
          <w:bCs/>
          <w:sz w:val="28"/>
          <w:szCs w:val="28"/>
          <w:lang w:bidi="ar-EG"/>
        </w:rPr>
        <w:t>Sarjito, A</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The Impact of Intelligence Gathering, Risk Analysis, and Scenario Planning on Defense Policy Formulation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تأكيد الدور الحاسم الذي يلعبه الذكاء الاصطناعي في تعزيز عمليات جمع المعلومات الاستخباراتية وتحليل المخاطر وتخطيط السيناريوهات، وتأثير ذلك على صياغة سياسات الدفاع المعاصرة. اعتمدت الدراسة على منهج بحثي نوعي، وتحديداً من خلال أسلوب تحليل البيانات الثانوية، حيث تم فحص ومراجعة مجموعة واسعة من التقارير الحكومية، والوثائق العسكرية الاستراتيجية، والأدبيات الأكاديمية ذات الصلة. لم تعتمد الدراسة على عينة إحصائية بل على تحليل محتوى هذه الوثائق. توصلت النتائج إلى أن تقنيات الذكاء الاصطناعي والتعلم الآلي تحدث ثورة في معالجة البيانات وتحليلها، مما يمكّن من إجراء تقييمات للتهديدات أكثر دقة وفي الوقت المناسب، كما أن التحليلات التنبؤية القائمة على الذكاء الاصطناعي تسمح بتوقع التهديدات المستقبلية وتخفيفها قبل وقوعها. وأوصت الدراسة بضرورة قيام وكالات الدفاع بتعزيز التكامل بين التقنيات المتقدمة مثل الذكاء الاصطناعي والأساليب التحليلية متعددة التخصصات في عمليات جمع المعلومات وتحليل المخاطر وتخطيط السيناريوهات، وذلك من أجل تطوير سياسات دفاعية تتمتع بالمرونة والقدرة على التكيف مع التحديات الأمنية المتطورة.</w:t>
      </w:r>
    </w:p>
    <w:p w14:paraId="7EE6082E"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 xml:space="preserve">3. دراسة </w:t>
      </w:r>
      <w:r w:rsidRPr="003D1437">
        <w:rPr>
          <w:rFonts w:ascii="Traditional Arabic" w:hAnsi="Traditional Arabic" w:cs="Traditional Arabic"/>
          <w:b/>
          <w:bCs/>
          <w:sz w:val="28"/>
          <w:szCs w:val="28"/>
          <w:lang w:bidi="ar-EG"/>
        </w:rPr>
        <w:t>Al Muala, I., Obeidat, A. M., Alawamreh, A. R., et al</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Unraveling the influence of artificial intelligence, organizational, and environmental factors in strategic planning: Implications and practical insights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استكشاف مدى تأثير الذكاء الاصطناعي، إلى جانب العوامل التنظيمية والبيئية، على عمليات التخطيط الاستراتيجي في المؤسسات. تم اتباع المنهج الكمي، واستخدمت الدراسة تصميم المسح الميداني المقطعي لجمع البيانات. تم اختيار عينة عشوائية بسيطة مكونة من 230 موظفًا من جامعتي الزرقاء والأردنية في الأردن. تم استخدام الاستبانة كأداة لجمع البيانات، وتم تحليلها باستخدام نمذجة المربعات الصغرى الجزئية (</w:t>
      </w:r>
      <w:r w:rsidRPr="003D1437">
        <w:rPr>
          <w:rFonts w:ascii="Traditional Arabic" w:hAnsi="Traditional Arabic" w:cs="Traditional Arabic"/>
          <w:sz w:val="28"/>
          <w:szCs w:val="28"/>
          <w:lang w:bidi="ar-EG"/>
        </w:rPr>
        <w:t>Smart PLS</w:t>
      </w:r>
      <w:r w:rsidRPr="003D1437">
        <w:rPr>
          <w:rFonts w:ascii="Traditional Arabic" w:hAnsi="Traditional Arabic" w:cs="Traditional Arabic"/>
          <w:sz w:val="28"/>
          <w:szCs w:val="28"/>
          <w:rtl/>
        </w:rPr>
        <w:t>). ومن أهم النتائج التي توصلت إليها الدراسة أن الذكاء الاصطناعي، في السياق المحدد للدراسة، لم يظهر تأثيرًا ذا دلالة إحصائية على عمليات التخطيط الاستراتيجي، في حين أن العوامل البيئية الخارجية كان لها التأثير الأكبر. وبناءً على هذه النتيجة، أوصت الدراسة بأن تقوم المؤسسات بتقييم مستوى نضجها في استخدام الذكاء الاصطناعي بعناية قبل تخصيص موارد كبيرة له في مجال التخطيط، وأوصت بضرورة تبني نهج متوازن يدمج أدوات الذكاء الاصطناعي كمساعد لأساليب التخطيط الاستراتيجي التقليدية بدلاً من الاعتماد عليها بشكل كامل.</w:t>
      </w:r>
    </w:p>
    <w:p w14:paraId="59D4C186"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4. دراسة </w:t>
      </w:r>
      <w:r w:rsidRPr="003D1437">
        <w:rPr>
          <w:rFonts w:ascii="Traditional Arabic" w:hAnsi="Traditional Arabic" w:cs="Traditional Arabic"/>
          <w:b/>
          <w:bCs/>
          <w:sz w:val="28"/>
          <w:szCs w:val="28"/>
          <w:lang w:bidi="ar-EG"/>
        </w:rPr>
        <w:t>Kaggwa, S., Eleogu, T. F., Okonkwo, F., et al</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AI in Decision Making: Transforming Business Strategies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تحليل الدور المحوري الذي يلعبه الذكاء الاصطناعي في تحويل استراتيجيات الأعمال من خلال تعزيز عمليات التخطيط الاستراتيجي، وتحليل السوق، وصنع القرار لتحقيق ميزة تنافسية. اعتمدت الدراسة على منهج بحثي مختلط (</w:t>
      </w:r>
      <w:r w:rsidRPr="003D1437">
        <w:rPr>
          <w:rFonts w:ascii="Traditional Arabic" w:hAnsi="Traditional Arabic" w:cs="Traditional Arabic"/>
          <w:sz w:val="28"/>
          <w:szCs w:val="28"/>
          <w:lang w:bidi="ar-EG"/>
        </w:rPr>
        <w:t>Mixed-Methods</w:t>
      </w:r>
      <w:r w:rsidRPr="003D1437">
        <w:rPr>
          <w:rFonts w:ascii="Traditional Arabic" w:hAnsi="Traditional Arabic" w:cs="Traditional Arabic"/>
          <w:sz w:val="28"/>
          <w:szCs w:val="28"/>
          <w:rtl/>
        </w:rPr>
        <w:t>)، يجمع بين الأساليب النوعية والكمية؛ حيث تم إجراء مقابلات نوعية متعمقة مع خبراء وقادة في الصناعة، بالإضافة إلى تحليل كمي لمقاييس أداء الأعمال قبل وبعد تطبيق مبادرات الذكاء الاصطناعي في عينة من الشركات. أظهرت النتائج أن الذكاء الاصطناعي يلعب دورًا حاسمًا في مرحلة التحليل الاستراتيجي من خلال قدرته على تحليل البيانات الضخمة (</w:t>
      </w:r>
      <w:r w:rsidRPr="003D1437">
        <w:rPr>
          <w:rFonts w:ascii="Traditional Arabic" w:hAnsi="Traditional Arabic" w:cs="Traditional Arabic"/>
          <w:sz w:val="28"/>
          <w:szCs w:val="28"/>
          <w:lang w:bidi="ar-EG"/>
        </w:rPr>
        <w:t>Big Data</w:t>
      </w:r>
      <w:r w:rsidRPr="003D1437">
        <w:rPr>
          <w:rFonts w:ascii="Traditional Arabic" w:hAnsi="Traditional Arabic" w:cs="Traditional Arabic"/>
          <w:sz w:val="28"/>
          <w:szCs w:val="28"/>
          <w:rtl/>
        </w:rPr>
        <w:t>) لتقديم رؤى توجه القرارات المستنيرة، كما أن تطبيقه في تحليل السوق يمكّن الشركات من التنبؤ بالاتجاهات المستقبلية وتعديل استراتيجياتها بشكل استباقي. وأوصت الدراسة بأن تتجه الأبحاث المستقبلية نحو استكشاف التأثير المتكامل للذكاء الاصطناعي على كل من الأبعاد التشغيلية والاستراتيجية لأداء الشركات.</w:t>
      </w:r>
    </w:p>
    <w:p w14:paraId="52111269"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Tuffaha, M</w:t>
      </w:r>
      <w:r w:rsidRPr="003D1437">
        <w:rPr>
          <w:rFonts w:ascii="Traditional Arabic" w:hAnsi="Traditional Arabic" w:cs="Traditional Arabic"/>
          <w:b/>
          <w:bCs/>
          <w:sz w:val="28"/>
          <w:szCs w:val="28"/>
          <w:rtl/>
        </w:rPr>
        <w:t xml:space="preserve">. (2021) بعنوان: </w:t>
      </w:r>
      <w:r w:rsidRPr="003D1437">
        <w:rPr>
          <w:rFonts w:ascii="Traditional Arabic" w:hAnsi="Traditional Arabic" w:cs="Traditional Arabic"/>
          <w:b/>
          <w:bCs/>
          <w:sz w:val="28"/>
          <w:szCs w:val="28"/>
          <w:lang w:bidi="ar-EG"/>
        </w:rPr>
        <w:t>The Impact of Artificial Intelligence on Business Strategy and Decision-Making in the Modern Era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تقييم التأثير العميق للذكاء الاصطناعي على استراتيجيات الأعمال وعمليات صنع القرار في بيئة الأعمال المعاصرة. اتبعت الدراسة منهجًا نوعيًا، حيث قامت على مراجعة منهجية منظمة للأدبيات (</w:t>
      </w:r>
      <w:r w:rsidRPr="003D1437">
        <w:rPr>
          <w:rFonts w:ascii="Traditional Arabic" w:hAnsi="Traditional Arabic" w:cs="Traditional Arabic"/>
          <w:sz w:val="28"/>
          <w:szCs w:val="28"/>
          <w:lang w:bidi="ar-EG"/>
        </w:rPr>
        <w:t>Systematic Literature Review</w:t>
      </w:r>
      <w:r w:rsidRPr="003D1437">
        <w:rPr>
          <w:rFonts w:ascii="Traditional Arabic" w:hAnsi="Traditional Arabic" w:cs="Traditional Arabic"/>
          <w:sz w:val="28"/>
          <w:szCs w:val="28"/>
          <w:rtl/>
        </w:rPr>
        <w:t xml:space="preserve">) شملت الأبحاث الأكاديمية والتقارير الصناعية والكتب المتخصصة في هذا المجال. توصلت النتائج إلى أن الذكاء الاصطناعي لا يمثل مجرد أداة لتحسين الكفاءة، بل هو قوة تحويلية تعيد تشكيل كيفية صياغة الاستراتيجيات وتنفيذها، وذلك من خلال تمكين التخصيص الشامل </w:t>
      </w:r>
      <w:r w:rsidRPr="003D1437">
        <w:rPr>
          <w:rFonts w:ascii="Traditional Arabic" w:hAnsi="Traditional Arabic" w:cs="Traditional Arabic"/>
          <w:sz w:val="28"/>
          <w:szCs w:val="28"/>
          <w:rtl/>
        </w:rPr>
        <w:lastRenderedPageBreak/>
        <w:t>للخدمات، وتحسين الكفاءة التشغيلية، وفتح المجال لنماذج أعمال جديدة قائمة على البيانات لم تكن ممكنة في السابق. وأوصت الدراسة بأن يقوم القادة والمديرون الاستراتيجيون بتطوير استراتيجيات واضحة ومدروسة لتبني الذكاء الاصطناعي، مع ضرورة التركيز بشكل كبير على معالجة الأبعاد الأخلاقية وتأثيره على القوى العاملة من خلال برامج إعادة التأهيل والتدريب.</w:t>
      </w:r>
    </w:p>
    <w:p w14:paraId="73FC3316" w14:textId="2EA9E579" w:rsidR="00581914" w:rsidRPr="003D1437" w:rsidRDefault="00581914" w:rsidP="00863B90">
      <w:pPr>
        <w:pStyle w:val="Heading3"/>
        <w:rPr>
          <w:rtl/>
        </w:rPr>
      </w:pPr>
      <w:bookmarkStart w:id="68" w:name="_Toc236402671"/>
      <w:r w:rsidRPr="003D1437">
        <w:rPr>
          <w:rtl/>
        </w:rPr>
        <w:t xml:space="preserve">المحور الثاني: </w:t>
      </w:r>
      <w:r w:rsidR="00AB402B" w:rsidRPr="003D1437">
        <w:rPr>
          <w:rtl/>
        </w:rPr>
        <w:t>دراسات ربطت بين المتغير المستقل (الذكاء الاصطناعي) والمتغير الوسيط (التكيف التكنولوجي)</w:t>
      </w:r>
      <w:bookmarkEnd w:id="68"/>
    </w:p>
    <w:p w14:paraId="2D40D73E"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Emon, M. M. H</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Khan, T</w:t>
      </w:r>
      <w:r w:rsidRPr="003D1437">
        <w:rPr>
          <w:rFonts w:ascii="Traditional Arabic" w:hAnsi="Traditional Arabic" w:cs="Traditional Arabic"/>
          <w:b/>
          <w:bCs/>
          <w:sz w:val="28"/>
          <w:szCs w:val="28"/>
          <w:rtl/>
        </w:rPr>
        <w:t xml:space="preserve">. (2025) بعنوان: </w:t>
      </w:r>
      <w:r w:rsidRPr="003D1437">
        <w:rPr>
          <w:rFonts w:ascii="Traditional Arabic" w:hAnsi="Traditional Arabic" w:cs="Traditional Arabic"/>
          <w:b/>
          <w:bCs/>
          <w:sz w:val="28"/>
          <w:szCs w:val="28"/>
          <w:lang w:bidi="ar-EG"/>
        </w:rPr>
        <w:t>The mediating role of attitude towards the technology in shaping artificial intelligence usage among professionals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استكشاف العوامل التي تؤثر على تبني المهنيين لتكنولوجيا الذكاء الاصطناعي، مع التركيز بشكل خاص على اختبار الدور الوسيط للمواقف تجاه التكنولوجيا في عملية التبني. استندت الدراسة في إطارها النظري إلى النظرية الموحدة لقبول واستخدام التكنولوجيا (</w:t>
      </w:r>
      <w:r w:rsidRPr="003D1437">
        <w:rPr>
          <w:rFonts w:ascii="Traditional Arabic" w:hAnsi="Traditional Arabic" w:cs="Traditional Arabic"/>
          <w:sz w:val="28"/>
          <w:szCs w:val="28"/>
          <w:lang w:bidi="ar-EG"/>
        </w:rPr>
        <w:t>UTAUT</w:t>
      </w:r>
      <w:r w:rsidRPr="003D1437">
        <w:rPr>
          <w:rFonts w:ascii="Traditional Arabic" w:hAnsi="Traditional Arabic" w:cs="Traditional Arabic"/>
          <w:sz w:val="28"/>
          <w:szCs w:val="28"/>
          <w:rtl/>
        </w:rPr>
        <w:t>)، واتبعت نهجًا كميًا. تم جمع البيانات من خلال استبانة إلكترونية وزعت على المهنيين في مختلف القطاعات في بنغلاديش، حيث تم تحليل 330 استجابة صالحة. تم استخدام نمذجة المعادلات البنائية بالمربعات الصغرى الجزئية (</w:t>
      </w:r>
      <w:r w:rsidRPr="003D1437">
        <w:rPr>
          <w:rFonts w:ascii="Traditional Arabic" w:hAnsi="Traditional Arabic" w:cs="Traditional Arabic"/>
          <w:sz w:val="28"/>
          <w:szCs w:val="28"/>
          <w:lang w:bidi="ar-EG"/>
        </w:rPr>
        <w:t>PLS-SEM</w:t>
      </w:r>
      <w:r w:rsidRPr="003D1437">
        <w:rPr>
          <w:rFonts w:ascii="Traditional Arabic" w:hAnsi="Traditional Arabic" w:cs="Traditional Arabic"/>
          <w:sz w:val="28"/>
          <w:szCs w:val="28"/>
          <w:rtl/>
        </w:rPr>
        <w:t>) كأداة تحليلية. أظهرت النتائج أن عوامل مثل توقع الأداء والتأثير الاجتماعي تؤثر بشكل كبير على نية استخدام الذكاء الاصطناعي، وأن هذا التأثير يتم بشكل كبير من خلال "الموقف الإيجابي تجاه التكنولوجيا" الذي يعمل كمتغير وسيط. وأوصت الدراسة بضرورة قيام المؤسسات وصانعي السياسات بتصميم استراتيجيات لا تركز فقط على الفوائد التقنية للذكاء الاصطناعي، بل تستهدف أيضًا بناء مواقف إيجابية وثقة لدى المهنيين لتعزيز عملية التكيف والتبني.</w:t>
      </w:r>
    </w:p>
    <w:p w14:paraId="2B8E2FEE"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2. دراسة </w:t>
      </w:r>
      <w:r w:rsidRPr="003D1437">
        <w:rPr>
          <w:rFonts w:ascii="Traditional Arabic" w:hAnsi="Traditional Arabic" w:cs="Traditional Arabic"/>
          <w:b/>
          <w:bCs/>
          <w:sz w:val="28"/>
          <w:szCs w:val="28"/>
          <w:lang w:bidi="ar-EG"/>
        </w:rPr>
        <w:t>Adiguzel, Z., Cakir, F. S</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Ozbay, F</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Examination of the effects of artificial intelligence readiness on lean sustainability and value creation in the mediation variable effect of organizational flexibility in technology-focused companies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فهم العلاقة بين مستوى جاهزية المؤسسة للذكاء الاصطناعي (</w:t>
      </w:r>
      <w:r w:rsidRPr="003D1437">
        <w:rPr>
          <w:rFonts w:ascii="Traditional Arabic" w:hAnsi="Traditional Arabic" w:cs="Traditional Arabic"/>
          <w:sz w:val="28"/>
          <w:szCs w:val="28"/>
          <w:lang w:bidi="ar-EG"/>
        </w:rPr>
        <w:t>AI Readiness</w:t>
      </w:r>
      <w:r w:rsidRPr="003D1437">
        <w:rPr>
          <w:rFonts w:ascii="Traditional Arabic" w:hAnsi="Traditional Arabic" w:cs="Traditional Arabic"/>
          <w:sz w:val="28"/>
          <w:szCs w:val="28"/>
          <w:rtl/>
        </w:rPr>
        <w:t>) وقدرتها على تحقيق أهداف الأداء (مثل الاستدامة وخلق القيمة)، مع اختبار الدور الوسيط للمرونة التنظيمية، التي تعتبر مكونًا أساسيًا للتكيف التكنولوجي. اتبعت الدراسة نهجًا كميًا، حيث تم تطبيق استبانة على عينة مكونة من 456 من كبار الموظفين والمديرين في شركات التكنولوجيا العاملة في المجمعات التقنية (</w:t>
      </w:r>
      <w:r w:rsidRPr="003D1437">
        <w:rPr>
          <w:rFonts w:ascii="Traditional Arabic" w:hAnsi="Traditional Arabic" w:cs="Traditional Arabic"/>
          <w:sz w:val="28"/>
          <w:szCs w:val="28"/>
          <w:lang w:bidi="ar-EG"/>
        </w:rPr>
        <w:t>Technoparks</w:t>
      </w:r>
      <w:r w:rsidRPr="003D1437">
        <w:rPr>
          <w:rFonts w:ascii="Traditional Arabic" w:hAnsi="Traditional Arabic" w:cs="Traditional Arabic"/>
          <w:sz w:val="28"/>
          <w:szCs w:val="28"/>
          <w:rtl/>
        </w:rPr>
        <w:t xml:space="preserve">) في إسطنبول، تركيا. تم تحليل البيانات باستخدام برنامج </w:t>
      </w:r>
      <w:r w:rsidRPr="003D1437">
        <w:rPr>
          <w:rFonts w:ascii="Traditional Arabic" w:hAnsi="Traditional Arabic" w:cs="Traditional Arabic"/>
          <w:sz w:val="28"/>
          <w:szCs w:val="28"/>
          <w:lang w:bidi="ar-EG"/>
        </w:rPr>
        <w:t>SmartPLS</w:t>
      </w:r>
      <w:r w:rsidRPr="003D1437">
        <w:rPr>
          <w:rFonts w:ascii="Traditional Arabic" w:hAnsi="Traditional Arabic" w:cs="Traditional Arabic"/>
          <w:sz w:val="28"/>
          <w:szCs w:val="28"/>
          <w:rtl/>
        </w:rPr>
        <w:t>. أظهرت النتائج أن الجاهزية للذكاء الاصطناعي تؤثر إيجابًا على الأداء، وأن "المرونة التنظيمية" تلعب دورًا وسيطًا مهمًا وحيويًا في هذه العلاقة. وأوصت الدراسة بأن تعمل الشركات ليس فقط على اقتناء تقنيات الذكاء الاصطناعي، بل يجب أن تركز بشكل استراتيجي على بناء قدرات ديناميكية وثقافة تنظيمية مرنة لتكون قادرة على التكيف مع التغيرات التي تفرضها هذه التقنيات.</w:t>
      </w:r>
    </w:p>
    <w:p w14:paraId="421B38DC" w14:textId="77777777" w:rsidR="00863B90" w:rsidRPr="003D1437" w:rsidRDefault="00863B90" w:rsidP="00863B90">
      <w:pPr>
        <w:bidi/>
        <w:jc w:val="lowKashida"/>
        <w:rPr>
          <w:rFonts w:ascii="Traditional Arabic" w:hAnsi="Traditional Arabic" w:cs="Traditional Arabic"/>
          <w:sz w:val="28"/>
          <w:szCs w:val="28"/>
          <w:rtl/>
        </w:rPr>
      </w:pPr>
    </w:p>
    <w:p w14:paraId="08D17F1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3. دراسة عبد الرحيم إسماعيل، عبد الرحيم نادر (2021) بعنوان: الدور الوسيط للتوجه نحو التقنيات الحديثة في العلاقة بين استخدام الذكاء الاصطناعي والابتكار التسويقي.</w:t>
      </w:r>
      <w:r w:rsidRPr="003D1437">
        <w:rPr>
          <w:rFonts w:ascii="Traditional Arabic" w:hAnsi="Traditional Arabic" w:cs="Traditional Arabic"/>
          <w:sz w:val="28"/>
          <w:szCs w:val="28"/>
          <w:rtl/>
        </w:rPr>
        <w:t xml:space="preserve"> هدفت هذه الدراسة إلى اختبار الدور الوسيط للتوجه نحو التقنيات الحديثة (كأحد مظاهر التكيف) في العلاقة بين استخدام المؤسسة لتطبيقات الذكاء الاصطناعي وقدرتها على تحقيق الابتكار التسويقي. استخدمت الدراسة المنهج الوصفي التحليلي، وتم جمع البيانات من خلال استبانة إلكترونية موجهة لعينة مكونة من 298 مديرًا في قطاع متاجر التجزئة الإلكترونية في جمهورية مصر العربية. تم التحليل الإحصائي باستخدام نمذجة المعادلات البنائية (</w:t>
      </w:r>
      <w:r w:rsidRPr="003D1437">
        <w:rPr>
          <w:rFonts w:ascii="Traditional Arabic" w:hAnsi="Traditional Arabic" w:cs="Traditional Arabic"/>
          <w:sz w:val="28"/>
          <w:szCs w:val="28"/>
          <w:lang w:bidi="ar-EG"/>
        </w:rPr>
        <w:t>SEM</w:t>
      </w:r>
      <w:r w:rsidRPr="003D1437">
        <w:rPr>
          <w:rFonts w:ascii="Traditional Arabic" w:hAnsi="Traditional Arabic" w:cs="Traditional Arabic"/>
          <w:sz w:val="28"/>
          <w:szCs w:val="28"/>
          <w:rtl/>
        </w:rPr>
        <w:t xml:space="preserve">) عبر برنامج </w:t>
      </w:r>
      <w:r w:rsidRPr="003D1437">
        <w:rPr>
          <w:rFonts w:ascii="Traditional Arabic" w:hAnsi="Traditional Arabic" w:cs="Traditional Arabic"/>
          <w:sz w:val="28"/>
          <w:szCs w:val="28"/>
          <w:lang w:bidi="ar-EG"/>
        </w:rPr>
        <w:t>AMOS</w:t>
      </w:r>
      <w:r w:rsidRPr="003D1437">
        <w:rPr>
          <w:rFonts w:ascii="Traditional Arabic" w:hAnsi="Traditional Arabic" w:cs="Traditional Arabic"/>
          <w:sz w:val="28"/>
          <w:szCs w:val="28"/>
          <w:rtl/>
        </w:rPr>
        <w:t>. أظهرت النتائج وجود تأثير إيجابي ومباشر لاستخدام الذكاء الاصطناعي على الابتكار التسويقي، كما أثبتت النتائج صحة الفرضية الرئيسية بوجود دور وسيط مهم وإيجابي للتوجه نحو التقنيات الحديثة في هذه العلاقة. وأوصت الدراسة بضرورة قيام متاجر التجزئة الإلكترونية بتبني ثقافة تنظيمية تشجع على المخاطرة المحسوبة واستخدام التقنيات الحديثة والذكاء الاصطناعي لتعزيز قدراتها التنافسية والابتكارية.</w:t>
      </w:r>
    </w:p>
    <w:p w14:paraId="6805C06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دراسة صلاح، وفاء (2020) بعنوان: أثر استخدام الذكاء الاصطناعي على فعالية أساليب التسويق الرقمي.</w:t>
      </w:r>
      <w:r w:rsidRPr="003D1437">
        <w:rPr>
          <w:rFonts w:ascii="Traditional Arabic" w:hAnsi="Traditional Arabic" w:cs="Traditional Arabic"/>
          <w:sz w:val="28"/>
          <w:szCs w:val="28"/>
          <w:rtl/>
        </w:rPr>
        <w:t xml:space="preserve"> هدفت هذه الدراسة إلى قياس أثر تبني تطبيقات الذكاء الاصطناعي على مدى فعالية أساليب التسويق الرقمي. استخدمت الدراسة المنهج شبه التجريبي، حيث تم تصميم حملتين إعلانيتين متكافئتين على فيسبوك، إحداهما تقليدية والأخرى مدعومة بخوارزميات الذكاء الاصطناعي في الاستهداف. تم عرض الحملتين على عينتين مستقلتين من مستخدمي فيسبوك في مصر، وبعد ذلك تم قياس الفعالية من خلال استمارة استقصاء لتقييم مدى جذب الانتباه وإثارة الاهتمام لدى كل عينة. أظهرت النتائج وجود فروق ذات دلالة إحصائية لصالح الحملة المدعومة بالذكاء الاصطناعي، مما يثبت أن تبني هذه التكنولوجيا يعزز من فاعلية الأدوات الرقمية. وأوصت الدراسة بضرورة اهتمام الشركات المصرية بتبني تطبيقات الذكاء الاصطناعي في حملاتها التسويقية لزيادة دقة الاستهداف ورفع مستوى فعاليتها.</w:t>
      </w:r>
    </w:p>
    <w:p w14:paraId="3FB396A6"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Alsheibani, S., Cheung, Y</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Messom, C</w:t>
      </w:r>
      <w:r w:rsidRPr="003D1437">
        <w:rPr>
          <w:rFonts w:ascii="Traditional Arabic" w:hAnsi="Traditional Arabic" w:cs="Traditional Arabic"/>
          <w:b/>
          <w:bCs/>
          <w:sz w:val="28"/>
          <w:szCs w:val="28"/>
          <w:rtl/>
        </w:rPr>
        <w:t xml:space="preserve">. (2018) بعنوان: </w:t>
      </w:r>
      <w:r w:rsidRPr="003D1437">
        <w:rPr>
          <w:rFonts w:ascii="Traditional Arabic" w:hAnsi="Traditional Arabic" w:cs="Traditional Arabic"/>
          <w:b/>
          <w:bCs/>
          <w:sz w:val="28"/>
          <w:szCs w:val="28"/>
          <w:lang w:bidi="ar-EG"/>
        </w:rPr>
        <w:t>Artificial intelligence adoption: AI-readiness at firm-level</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تطوير وتأكيد نموذج نظري ومقياس عملي لقياس "جاهزية الشركات" لتبني الذكاء الاصطناعي، وهو مفهوم أساسي في التكيف التكنولوجي. اعتمدت الدراسة على نهج مختلط، حيث تم تطوير النموذج في المرحلة الأولى من خلال مراجعة الأدبيات وإجراء مقابلات نوعية مع خبراء الصناعة، ثم تم اختبار النموذج والمقياس في المرحلة الثانية بشكل كمي من خلال استطلاع للرأي شمل عينة من الشركات. توصلت النتائج إلى أن جاهزية تبني الذكاء الاصطناعي هي بنية متعددة الأبعاد تتكون من عوامل مترابطة تشمل: جاهزية الاستراتيجية، وجاهزية التكنولوجيا، وجاهزية البيانات، وجاهزية الأفراد، وجاهزية العمليات. وأوصت الدراسة بأن تقوم الشركات الراغبة في تبني الذكاء الاصطناعي بتقييم مستوى جاهزيتها عبر هذه الأبعاد الخمسة أولاً لتحديد نقاط الضعف ووضع خطط استباقية للتغلب عليها قبل استثمار مبالغ طائلة في التكنولوجيا.</w:t>
      </w:r>
    </w:p>
    <w:p w14:paraId="757F4B6F" w14:textId="77777777" w:rsidR="00AB402B" w:rsidRPr="003D1437" w:rsidRDefault="00AB402B" w:rsidP="00AB402B">
      <w:pPr>
        <w:bidi/>
        <w:jc w:val="lowKashida"/>
        <w:rPr>
          <w:rFonts w:ascii="Traditional Arabic" w:hAnsi="Traditional Arabic" w:cs="Traditional Arabic"/>
          <w:b/>
          <w:bCs/>
          <w:sz w:val="28"/>
          <w:szCs w:val="28"/>
          <w:rtl/>
        </w:rPr>
      </w:pPr>
    </w:p>
    <w:p w14:paraId="0ACECEF7" w14:textId="77777777" w:rsidR="00AB402B" w:rsidRPr="003D1437" w:rsidRDefault="00AB402B" w:rsidP="00AB402B">
      <w:pPr>
        <w:bidi/>
        <w:jc w:val="lowKashida"/>
        <w:rPr>
          <w:rFonts w:ascii="Traditional Arabic" w:hAnsi="Traditional Arabic" w:cs="Traditional Arabic"/>
          <w:b/>
          <w:bCs/>
          <w:sz w:val="28"/>
          <w:szCs w:val="28"/>
          <w:rtl/>
        </w:rPr>
      </w:pPr>
    </w:p>
    <w:p w14:paraId="67A7269C" w14:textId="2F7DDE88" w:rsidR="00581914" w:rsidRPr="003D1437" w:rsidRDefault="00581914" w:rsidP="00863B90">
      <w:pPr>
        <w:pStyle w:val="Heading3"/>
        <w:rPr>
          <w:rtl/>
        </w:rPr>
      </w:pPr>
      <w:bookmarkStart w:id="69" w:name="_Toc236402672"/>
      <w:r w:rsidRPr="003D1437">
        <w:rPr>
          <w:rtl/>
        </w:rPr>
        <w:lastRenderedPageBreak/>
        <w:t xml:space="preserve">المحور الثالث: </w:t>
      </w:r>
      <w:r w:rsidR="00AB402B" w:rsidRPr="003D1437">
        <w:rPr>
          <w:rtl/>
        </w:rPr>
        <w:t>دراسات ربطت بين المتغير الوسيط (التكيف التكنولوجي) والمتغير التابع (كفاءة التخطيط الاستراتيجي أو الأداء)</w:t>
      </w:r>
      <w:bookmarkEnd w:id="69"/>
      <w:r w:rsidR="00AB402B" w:rsidRPr="003D1437">
        <w:rPr>
          <w:rFonts w:hint="cs"/>
          <w:rtl/>
        </w:rPr>
        <w:t xml:space="preserve"> </w:t>
      </w:r>
    </w:p>
    <w:p w14:paraId="12811361"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Asghar, N., Khattak, A., Danish, M. H., Bokhari, I. H</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Waris, M</w:t>
      </w:r>
      <w:r w:rsidRPr="003D1437">
        <w:rPr>
          <w:rFonts w:ascii="Traditional Arabic" w:hAnsi="Traditional Arabic" w:cs="Traditional Arabic"/>
          <w:b/>
          <w:bCs/>
          <w:sz w:val="28"/>
          <w:szCs w:val="28"/>
          <w:rtl/>
        </w:rPr>
        <w:t xml:space="preserve">. (2023) بعنوان: </w:t>
      </w:r>
      <w:r w:rsidRPr="003D1437">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تحليل تأثير كل من المهارات الإدارية والتكيف التكنولوجي على أداء الشركات، مع اختبار الدور الوسيط لابتكار العمليات وابتكار المنتجات. تم اعتماد المنهج الكمي، حيث جُمعت البيانات من عينة قصدية مكونة من 150 مديرًا في شركات صناعية بمدينة لاهور، باكستان. تم استخدام تقنية </w:t>
      </w:r>
      <w:r w:rsidRPr="003D1437">
        <w:rPr>
          <w:rFonts w:ascii="Traditional Arabic" w:hAnsi="Traditional Arabic" w:cs="Traditional Arabic"/>
          <w:sz w:val="28"/>
          <w:szCs w:val="28"/>
          <w:lang w:bidi="ar-EG"/>
        </w:rPr>
        <w:t>PLS-SEM</w:t>
      </w:r>
      <w:r w:rsidRPr="003D1437">
        <w:rPr>
          <w:rFonts w:ascii="Traditional Arabic" w:hAnsi="Traditional Arabic" w:cs="Traditional Arabic"/>
          <w:sz w:val="28"/>
          <w:szCs w:val="28"/>
          <w:rtl/>
        </w:rPr>
        <w:t xml:space="preserve"> لتحليل البيانات. كشفت النتائج أن التكيف التكنولوجي يرتبط بشكل إيجابي ومباشر بابتكار العمليات والمنتجات، والتي بدورها تؤثر إيجابياً على الأداء العام للشركة، مما يشير إلى أن التكيف هو محرك للابتكار الذي يقود إلى أداء استراتيجي أفضل. وأوصت الدراسة بضرورة قيام الشركات بتوفير دورات تدريبية متعمقة للموظفين حول التطورات التقنية لتعزيز قدرة الشركة على التكيف، ومن ثم تحسين الأداء.</w:t>
      </w:r>
    </w:p>
    <w:p w14:paraId="7CD1288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2. دراسة </w:t>
      </w:r>
      <w:r w:rsidRPr="003D1437">
        <w:rPr>
          <w:rFonts w:ascii="Traditional Arabic" w:hAnsi="Traditional Arabic" w:cs="Traditional Arabic"/>
          <w:b/>
          <w:bCs/>
          <w:sz w:val="28"/>
          <w:szCs w:val="28"/>
          <w:lang w:bidi="ar-EG"/>
        </w:rPr>
        <w:t>Awamleh, A. R</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Bustami, R</w:t>
      </w:r>
      <w:r w:rsidRPr="003D1437">
        <w:rPr>
          <w:rFonts w:ascii="Traditional Arabic" w:hAnsi="Traditional Arabic" w:cs="Traditional Arabic"/>
          <w:b/>
          <w:bCs/>
          <w:sz w:val="28"/>
          <w:szCs w:val="28"/>
          <w:rtl/>
        </w:rPr>
        <w:t xml:space="preserve">. (2022) بعنوان: </w:t>
      </w:r>
      <w:r w:rsidRPr="003D1437">
        <w:rPr>
          <w:rFonts w:ascii="Traditional Arabic" w:hAnsi="Traditional Arabic" w:cs="Traditional Arabic"/>
          <w:b/>
          <w:bCs/>
          <w:sz w:val="28"/>
          <w:szCs w:val="28"/>
          <w:lang w:bidi="ar-EG"/>
        </w:rPr>
        <w:t>Examine the Mediating Role of the Information Technology Capabilities on the Relationship Between Strategic Planning and Organizational Performance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بشكل مباشر إلى فحص الدور الوسيط لقدرات تكنولوجيا المعلومات (التي تعبر عن مستوى التكيف التكنولوجي) في العلاقة بين التخطيط الاستراتيجي والأداء التنظيمي. تم استخدام المنهج الكمي الوصفي التحليلي، حيث وزعت استبانة على عينة من المديرين في عدد من الشركات الأردنية. تم استخدام نمذجة المعادلات البنائية (</w:t>
      </w:r>
      <w:r w:rsidRPr="003D1437">
        <w:rPr>
          <w:rFonts w:ascii="Traditional Arabic" w:hAnsi="Traditional Arabic" w:cs="Traditional Arabic"/>
          <w:sz w:val="28"/>
          <w:szCs w:val="28"/>
          <w:lang w:bidi="ar-EG"/>
        </w:rPr>
        <w:t>SEM</w:t>
      </w:r>
      <w:r w:rsidRPr="003D1437">
        <w:rPr>
          <w:rFonts w:ascii="Traditional Arabic" w:hAnsi="Traditional Arabic" w:cs="Traditional Arabic"/>
          <w:sz w:val="28"/>
          <w:szCs w:val="28"/>
          <w:rtl/>
        </w:rPr>
        <w:t>) لتحليل البيانات. أظهرت النتائج أن التخطيط الاستراتيجي يؤثر إيجاباً على الأداء التنظيمي، وأن قدرات تكنولوجيا المعلومات تلعب دورًا وسيطًا جزئيًا وهامًا في تعزيز هذا التأثير. وبناءً عليه، أوصت الدراسة بضرورة قيام الشركات بالاستثمار في تطوير قدراتها في مجال تكنولوجيا المعلومات وتكاملها مع عمليات التخطيط الاستراتيجي لتحقيق أقصى قدر من الأداء.</w:t>
      </w:r>
    </w:p>
    <w:p w14:paraId="7F0BECDF"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3. دراسة </w:t>
      </w:r>
      <w:r w:rsidRPr="003D1437">
        <w:rPr>
          <w:rFonts w:ascii="Traditional Arabic" w:hAnsi="Traditional Arabic" w:cs="Traditional Arabic"/>
          <w:b/>
          <w:bCs/>
          <w:sz w:val="28"/>
          <w:szCs w:val="28"/>
          <w:lang w:bidi="ar-EG"/>
        </w:rPr>
        <w:t>Anning-Dorson, T</w:t>
      </w:r>
      <w:r w:rsidRPr="003D1437">
        <w:rPr>
          <w:rFonts w:ascii="Traditional Arabic" w:hAnsi="Traditional Arabic" w:cs="Traditional Arabic"/>
          <w:b/>
          <w:bCs/>
          <w:sz w:val="28"/>
          <w:szCs w:val="28"/>
          <w:rtl/>
        </w:rPr>
        <w:t xml:space="preserve">. (2021) بعنوان: </w:t>
      </w:r>
      <w:r w:rsidRPr="003D1437">
        <w:rPr>
          <w:rFonts w:ascii="Traditional Arabic" w:hAnsi="Traditional Arabic" w:cs="Traditional Arabic"/>
          <w:b/>
          <w:bCs/>
          <w:sz w:val="28"/>
          <w:szCs w:val="28"/>
          <w:lang w:bidi="ar-EG"/>
        </w:rPr>
        <w:t>Organizational culture and leadership as antecedents to organizational flexibility: implications for SME competitiveness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بحث دور الثقافة التنظيمية والقيادة كعوامل مؤثرة على المرونة التنظيمية، والتي تعتبر جانبًا أساسيًا من التكيف التكنولوجي وتؤثر على الأداء الاستراتيجي والتنافسي. تم استخدام المنهج الكمي، بجمع بيانات عبر استبانة من عينة من الشركات الصغيرة والمتوسطة في غانا. تم استخدام تحليل الانحدار الهرمي لاختبار الفرضيات. أظهرت النتائج أن الثقافة التنظيمية التي تدعم الابتكار والقيادة التحويلية تعزز بشكل كبير من المرونة التنظيمية، مما يؤدي بدوره إلى تحسين الأداء التنافسي للشركة. وأوصت الدراسة بأن يعمل قادة الشركات الصغيرة والمتوسطة على بناء ثقافة مرنة ومنفتحة على التغيير التكنولوجي كجزء من استراتيجيتهم التنافسية.</w:t>
      </w:r>
    </w:p>
    <w:p w14:paraId="078B2BB7"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 xml:space="preserve">4. دراسة </w:t>
      </w:r>
      <w:r w:rsidRPr="003D1437">
        <w:rPr>
          <w:rFonts w:ascii="Traditional Arabic" w:hAnsi="Traditional Arabic" w:cs="Traditional Arabic"/>
          <w:b/>
          <w:bCs/>
          <w:sz w:val="28"/>
          <w:szCs w:val="28"/>
          <w:lang w:bidi="ar-EG"/>
        </w:rPr>
        <w:t>Bustinza, O. F., Vendrell-Herrero, F., Perez-Arostegui, M</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Parry, G</w:t>
      </w:r>
      <w:r w:rsidRPr="003D1437">
        <w:rPr>
          <w:rFonts w:ascii="Traditional Arabic" w:hAnsi="Traditional Arabic" w:cs="Traditional Arabic"/>
          <w:b/>
          <w:bCs/>
          <w:sz w:val="28"/>
          <w:szCs w:val="28"/>
          <w:rtl/>
        </w:rPr>
        <w:t xml:space="preserve">. (2019) بعنوان: </w:t>
      </w:r>
      <w:r w:rsidRPr="003D1437">
        <w:rPr>
          <w:rFonts w:ascii="Traditional Arabic" w:hAnsi="Traditional Arabic" w:cs="Traditional Arabic"/>
          <w:b/>
          <w:bCs/>
          <w:sz w:val="28"/>
          <w:szCs w:val="28"/>
          <w:lang w:bidi="ar-EG"/>
        </w:rPr>
        <w:t>Technological capabilities, resilience capabilities, and organizational effectiveness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استكشاف العلاقة بين القدرات التكنولوجية وقدرات المرونة (</w:t>
      </w:r>
      <w:r w:rsidRPr="003D1437">
        <w:rPr>
          <w:rFonts w:ascii="Traditional Arabic" w:hAnsi="Traditional Arabic" w:cs="Traditional Arabic"/>
          <w:sz w:val="28"/>
          <w:szCs w:val="28"/>
          <w:lang w:bidi="ar-EG"/>
        </w:rPr>
        <w:t>Resilience</w:t>
      </w:r>
      <w:r w:rsidRPr="003D1437">
        <w:rPr>
          <w:rFonts w:ascii="Traditional Arabic" w:hAnsi="Traditional Arabic" w:cs="Traditional Arabic"/>
          <w:sz w:val="28"/>
          <w:szCs w:val="28"/>
          <w:rtl/>
        </w:rPr>
        <w:t>) والفعالية التنظيمية. باستخدام نهج كمي قائم على استطلاع الرأي في قطاع التصنيع الأوروبي، تم جمع البيانات من عينة من الشركات وتحليلها إحصائياً. أظهرت النتائج أن القدرات التكنولوجية المتقدمة (مؤشر للتكيف التكنولوجي) تعزز من قدرة المنظمة على الصمود والتكيف في وجه التحديات، مما ينعكس إيجاباً على فعاليتها وأدائها الاستراتيجي. وأوصت الدراسة بأن الاستثمار في القدرات التكنولوجية لا ينبغي أن يُنظر إليه على أنه مجرد تحسين للكفاءة، بل كاستثمار استراتيجي في قدرة المنظمة على البقاء والازدهار في البيئات المضطربة.</w:t>
      </w:r>
    </w:p>
    <w:p w14:paraId="0118B2F9"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Walker, R. M., Damanpour, F</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Devece, C. A</w:t>
      </w:r>
      <w:r w:rsidRPr="003D1437">
        <w:rPr>
          <w:rFonts w:ascii="Traditional Arabic" w:hAnsi="Traditional Arabic" w:cs="Traditional Arabic"/>
          <w:b/>
          <w:bCs/>
          <w:sz w:val="28"/>
          <w:szCs w:val="28"/>
          <w:rtl/>
        </w:rPr>
        <w:t xml:space="preserve">. (2011) بعنوان: </w:t>
      </w:r>
      <w:r w:rsidRPr="003D1437">
        <w:rPr>
          <w:rFonts w:ascii="Traditional Arabic" w:hAnsi="Traditional Arabic" w:cs="Traditional Arabic"/>
          <w:b/>
          <w:bCs/>
          <w:sz w:val="28"/>
          <w:szCs w:val="28"/>
          <w:lang w:bidi="ar-EG"/>
        </w:rPr>
        <w:t>Management innovation and organizational performance: The mediating effect of performance management</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بحث تأثير الابتكار الإداري على الأداء التنظيمي، مع اختبار الدور الوسيط لإدارة الأداء. وقد تم تعريف الابتكار الإداري على أنه التغيير في الممارسات الإدارية، والذي يشمل كيفية تكيف الإدارة مع التقنيات الجديدة. اعتمدت الدراسة على بيانات كمية تم جمعها من عينة من منظمات القطاع العام في إسبانيا. تم تحليل البيانات باستخدام نمذجة المعادلات البنائية. أظهرت النتائج أن الابتكارات في الأساليب الإدارية تؤثر بشكل إيجابي على الأداء التنظيمي، وأن هذا التأثير يتم جزئيًا من خلال أنظمة إدارة الأداء المحسنة. وأوصت الدراسة بأن يركز المديرون على الابتكار في أساليبهم الإدارية، بما في ذلك التكيف مع التكنولوجيا، كوسيلة لتحسين الأداء العام.</w:t>
      </w:r>
    </w:p>
    <w:p w14:paraId="2B96A35F" w14:textId="4D055AC3" w:rsidR="00581914" w:rsidRPr="003D1437" w:rsidRDefault="00581914" w:rsidP="00863B90">
      <w:pPr>
        <w:pStyle w:val="Heading3"/>
        <w:rPr>
          <w:rtl/>
        </w:rPr>
      </w:pPr>
      <w:bookmarkStart w:id="70" w:name="_Toc236402673"/>
      <w:r w:rsidRPr="003D1437">
        <w:rPr>
          <w:rtl/>
        </w:rPr>
        <w:t xml:space="preserve">المحور الرابع: </w:t>
      </w:r>
      <w:r w:rsidR="00AB402B" w:rsidRPr="003D1437">
        <w:rPr>
          <w:rtl/>
        </w:rPr>
        <w:t>دراسات تناولت المتغيرات الثلاثة (الذكاء الاصطناعي، التكيف التكنولوجي، وكفاءة التخطيط الاستراتيجي أو الأداء)</w:t>
      </w:r>
      <w:bookmarkEnd w:id="70"/>
    </w:p>
    <w:p w14:paraId="4D062DBB"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Kassa, B. Y</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Worku, E. K</w:t>
      </w:r>
      <w:r w:rsidRPr="003D1437">
        <w:rPr>
          <w:rFonts w:ascii="Traditional Arabic" w:hAnsi="Traditional Arabic" w:cs="Traditional Arabic"/>
          <w:b/>
          <w:bCs/>
          <w:sz w:val="28"/>
          <w:szCs w:val="28"/>
          <w:rtl/>
        </w:rPr>
        <w:t xml:space="preserve">. (2025) بعنوان: </w:t>
      </w:r>
      <w:r w:rsidRPr="003D1437">
        <w:rPr>
          <w:rFonts w:ascii="Traditional Arabic" w:hAnsi="Traditional Arabic" w:cs="Traditional Arabic"/>
          <w:b/>
          <w:bCs/>
          <w:sz w:val="28"/>
          <w:szCs w:val="28"/>
          <w:lang w:bidi="ar-EG"/>
        </w:rPr>
        <w:t>The impact of artificial intelligence on organizational performance: The mediating role of employee productivity</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تعتبر هذه الدراسة قريبة جدًا حيث تناولت الذكاء الاصطناعي كمتغير مستقل والأداء التنظيمي (نتيجة التخطيط الفعال) كمتغير تابع. ورغم أنها استخدمت "إنتاجية الموظفين" كمتغير وسيط، إلا أن هذه الإنتاجية تتأثر بشكل مباشر بمدى تكيف الموظفين مع أدوات الذكاء الاصطناعي، مما يجعلها دراسة ذات صلة قوية. هدفت الدراسة إلى قياس هذا التأثير الوسيط، واستخدمت المنهج الكمي على عينة من 172 موظفًا في إثيوبيا. أظهرت النتائج وجود دور وسيط جزئي ومهم لإنتاجية الموظفين. وأوصت الدراسة بالتركيز على خلق بيئة عمل تشجع الإنتاجية للاستفادة من الذكاء الاصطناعي.</w:t>
      </w:r>
    </w:p>
    <w:p w14:paraId="273A7CD6" w14:textId="77777777" w:rsidR="00863B90" w:rsidRPr="003D1437" w:rsidRDefault="00863B90" w:rsidP="00863B90">
      <w:pPr>
        <w:bidi/>
        <w:jc w:val="lowKashida"/>
        <w:rPr>
          <w:rFonts w:ascii="Traditional Arabic" w:hAnsi="Traditional Arabic" w:cs="Traditional Arabic"/>
          <w:sz w:val="28"/>
          <w:szCs w:val="28"/>
          <w:rtl/>
        </w:rPr>
      </w:pPr>
    </w:p>
    <w:p w14:paraId="01154973"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 xml:space="preserve">2. دراسة </w:t>
      </w:r>
      <w:r w:rsidRPr="003D1437">
        <w:rPr>
          <w:rFonts w:ascii="Traditional Arabic" w:hAnsi="Traditional Arabic" w:cs="Traditional Arabic"/>
          <w:b/>
          <w:bCs/>
          <w:sz w:val="28"/>
          <w:szCs w:val="28"/>
          <w:lang w:bidi="ar-EG"/>
        </w:rPr>
        <w:t>Adiguzel, Z., Cakir, F. S</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Ozbay, F</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Examination of the effects of artificial intelligence readiness on lean sustainability and value creation in the mediation variable effect of organizational flexibility in technology-focused companies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هذه الدراسة هي الأقرب لنموذج الدراسة الحالية، حيث تناولت "الجاهزية للذكاء الاصطناعي" (جانب من تبني الذكاء الاصطناعي)، و"المرونة التنظيمية" (جانب أساسي من التكيف التكنولوجي) كمتغير وسيط، و"خلق القيمة" (نتيجة استراتيجية) كمتغير تابع. استخدمت الدراسة المنهج الكمي على عينة من 456 موظفًا في تركيا. أثبتت النتائج صحة النموذج الوسيط المقترح. وأوصت الدراسة بتعزيز المرونة التنظيمية كآلية حيوية لترجمة الاستعداد للذكاء الاصطناعي إلى أداء ملموس.</w:t>
      </w:r>
    </w:p>
    <w:p w14:paraId="28AF68C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3. دراسة </w:t>
      </w:r>
      <w:r w:rsidRPr="003D1437">
        <w:rPr>
          <w:rFonts w:ascii="Traditional Arabic" w:hAnsi="Traditional Arabic" w:cs="Traditional Arabic"/>
          <w:b/>
          <w:bCs/>
          <w:sz w:val="28"/>
          <w:szCs w:val="28"/>
          <w:lang w:bidi="ar-EG"/>
        </w:rPr>
        <w:t>Asghar, N., Khattak, A., Danish, M. H., et al</w:t>
      </w:r>
      <w:r w:rsidRPr="003D1437">
        <w:rPr>
          <w:rFonts w:ascii="Traditional Arabic" w:hAnsi="Traditional Arabic" w:cs="Traditional Arabic"/>
          <w:b/>
          <w:bCs/>
          <w:sz w:val="28"/>
          <w:szCs w:val="28"/>
          <w:rtl/>
        </w:rPr>
        <w:t xml:space="preserve">. (2023) بعنوان: </w:t>
      </w:r>
      <w:r w:rsidRPr="003D1437">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تطرقت هذه الدراسة بشكل مباشر إلى "التكيف التكنولوجي" وتأثيره على "الأداء"، ولكنها لم تتناول "الذكاء الاصطناعي" بشكل صريح كمتغير مستقل، بل تناولته ضمنيًا كجزء من التكيف التكنولوجي. كما استخدمت الابتكار كمتغير وسيط. استخدمت المنهج الكمي على عينة من 150 مديرًا في باكستان. أظهرت النتائج أن التكيف التكنولوجي يعزز الابتكار الذي بدوره يحسن الأداء. وأوصت الدراسة بالتركيز على المهارات الإدارية لتوجيه عملية التكيف التكنولوجي نحو الابتكار.</w:t>
      </w:r>
    </w:p>
    <w:p w14:paraId="6C53E71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4. دراسة </w:t>
      </w:r>
      <w:r w:rsidRPr="003D1437">
        <w:rPr>
          <w:rFonts w:ascii="Traditional Arabic" w:hAnsi="Traditional Arabic" w:cs="Traditional Arabic"/>
          <w:b/>
          <w:bCs/>
          <w:sz w:val="28"/>
          <w:szCs w:val="28"/>
          <w:lang w:bidi="ar-EG"/>
        </w:rPr>
        <w:t>Gyau, E. B., Appiah, M., Gyamfi, B. A., et al</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Transforming banking: Examining the role of AI technology innovation in boosting banks financial performance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ربطت هذه الدراسة بين ابتكار تكنولوجيا الذكاء الاصطناعي والأداء المالي، وأشارت إلى أن هذا التأثير يتم من خلال متغيرات وسيطة مثل "تطور تكنولوجيا المعلومات والاتصالات" (</w:t>
      </w:r>
      <w:r w:rsidRPr="003D1437">
        <w:rPr>
          <w:rFonts w:ascii="Traditional Arabic" w:hAnsi="Traditional Arabic" w:cs="Traditional Arabic"/>
          <w:sz w:val="28"/>
          <w:szCs w:val="28"/>
          <w:lang w:bidi="ar-EG"/>
        </w:rPr>
        <w:t>ICT Development</w:t>
      </w:r>
      <w:r w:rsidRPr="003D1437">
        <w:rPr>
          <w:rFonts w:ascii="Traditional Arabic" w:hAnsi="Traditional Arabic" w:cs="Traditional Arabic"/>
          <w:sz w:val="28"/>
          <w:szCs w:val="28"/>
          <w:rtl/>
        </w:rPr>
        <w:t>)، وهو مفهوم قريب جدًا من التكيف التكنولوجي. استخدمت الدراسة بيانات لوحية من 20 دولة. أظهرت النتائج أن تطور تكنولوجيا المعلومات والاتصالات يلعب دورًا وسيطًا حاسمًا. وأوصت الدراسة بالاستثمار في البنية التحتية لتكنولوجيا المعلومات والاتصالات لتسخير فوائد الذكاء الاصطناعي.</w:t>
      </w:r>
    </w:p>
    <w:p w14:paraId="69D49323"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Kitsios</w:t>
      </w:r>
      <w:r w:rsidRPr="003D1437">
        <w:rPr>
          <w:rFonts w:ascii="Traditional Arabic" w:hAnsi="Traditional Arabic" w:cs="Traditional Arabic"/>
          <w:b/>
          <w:bCs/>
          <w:sz w:val="28"/>
          <w:szCs w:val="28"/>
          <w:rtl/>
        </w:rPr>
        <w:t xml:space="preserve">, </w:t>
      </w:r>
      <w:r w:rsidRPr="003D1437">
        <w:rPr>
          <w:rFonts w:ascii="Traditional Arabic" w:hAnsi="Traditional Arabic" w:cs="Traditional Arabic"/>
          <w:b/>
          <w:bCs/>
          <w:sz w:val="28"/>
          <w:szCs w:val="28"/>
          <w:lang w:bidi="ar-EG"/>
        </w:rPr>
        <w:t>F</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Kamariotou, M</w:t>
      </w:r>
      <w:r w:rsidRPr="003D1437">
        <w:rPr>
          <w:rFonts w:ascii="Traditional Arabic" w:hAnsi="Traditional Arabic" w:cs="Traditional Arabic"/>
          <w:b/>
          <w:bCs/>
          <w:sz w:val="28"/>
          <w:szCs w:val="28"/>
          <w:rtl/>
        </w:rPr>
        <w:t xml:space="preserve">. (2021) بعنوان: </w:t>
      </w:r>
      <w:r w:rsidRPr="003D1437">
        <w:rPr>
          <w:rFonts w:ascii="Traditional Arabic" w:hAnsi="Traditional Arabic" w:cs="Traditional Arabic"/>
          <w:b/>
          <w:bCs/>
          <w:sz w:val="28"/>
          <w:szCs w:val="28"/>
          <w:lang w:bidi="ar-EG"/>
        </w:rPr>
        <w:t>Artificial intelligence and business strategy towards digital transformation: A research agenda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رغم أنها دراسة نظرية (مراجعة أدبيات)، إلا أنها ربطت بشكل مباشر بين المفاهيم الثلاثة. هدفت إلى وضع أجندة بحثية حول دور الذكاء الاصطناعي في استراتيجية الأعمال نحو التحول الرقمي (وهو المفهوم الأوسع للتكيف التكنولوجي). أكدت الدراسة أن الذكاء الاصطناعي هو </w:t>
      </w:r>
      <w:r w:rsidRPr="003D1437">
        <w:rPr>
          <w:rFonts w:ascii="Traditional Arabic" w:hAnsi="Traditional Arabic" w:cs="Traditional Arabic"/>
          <w:sz w:val="28"/>
          <w:szCs w:val="28"/>
          <w:rtl/>
        </w:rPr>
        <w:lastRenderedPageBreak/>
        <w:t>أصل استراتيجي، وأن نجاحه يعتمد على قدرة المنظمة على التحول الرقمي. وأوصت الدراسة بضرورة إجراء أبحاث تجريبية لفحص هذه العلاقات المعقدة، وهو ما تقوم به الدراسة الحالية.</w:t>
      </w:r>
    </w:p>
    <w:p w14:paraId="1B1D9609" w14:textId="77777777" w:rsidR="00581914" w:rsidRPr="003D1437" w:rsidRDefault="00581914" w:rsidP="00863B90">
      <w:pPr>
        <w:pStyle w:val="Heading3"/>
        <w:rPr>
          <w:rtl/>
        </w:rPr>
      </w:pPr>
      <w:bookmarkStart w:id="71" w:name="_Toc236402674"/>
      <w:r w:rsidRPr="003D1437">
        <w:rPr>
          <w:rtl/>
        </w:rPr>
        <w:t>التعقيب على الدراسات السابقة</w:t>
      </w:r>
      <w:bookmarkEnd w:id="71"/>
    </w:p>
    <w:p w14:paraId="59119575" w14:textId="6A77A05C"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أولاً: من حيث أهداف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توافقت غالبية الدراسات السابقة في هدفها العام المتمثل في استكشاف تأثير التقنيات المتقدمة، وتحديداً الذكاء الاصطناعي، على جوانب الأداء المختلفة في المنظمات. فدراسات مثل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Bustinza et al., 2019</w:t>
      </w:r>
      <w:r w:rsidR="00AB402B" w:rsidRPr="003D1437">
        <w:rPr>
          <w:rFonts w:ascii="Traditional Arabic" w:hAnsi="Traditional Arabic" w:cs="Traditional Arabic"/>
          <w:sz w:val="28"/>
          <w:szCs w:val="28"/>
          <w:rtl/>
        </w:rPr>
        <w:t>) اتفقت في قياس الأثر على الأداء التنظيمي أو الاستراتيجي. كما توافقت دراسات (السيد وعلي، 2024)، و(صلاح، 2020) في تركيزها على التطبيقات العملية للذكاء الاصطناعي في مجالات محددة كالتسويق. بينما اختلفت دراسات أخرى في زاوية تناولها، حيث ركزت دراسة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Alsheibani et al., 2018</w:t>
      </w:r>
      <w:r w:rsidR="00AB402B" w:rsidRPr="003D1437">
        <w:rPr>
          <w:rFonts w:ascii="Traditional Arabic" w:hAnsi="Traditional Arabic" w:cs="Traditional Arabic"/>
          <w:sz w:val="28"/>
          <w:szCs w:val="28"/>
          <w:rtl/>
        </w:rPr>
        <w:t>) على عوامل تبني التكنولوجيا وجاهزيتها، وتناولت دراسة (</w:t>
      </w:r>
      <w:r w:rsidR="00AB402B" w:rsidRPr="003D1437">
        <w:rPr>
          <w:rFonts w:ascii="Traditional Arabic" w:hAnsi="Traditional Arabic" w:cs="Traditional Arabic"/>
          <w:sz w:val="28"/>
          <w:szCs w:val="28"/>
        </w:rPr>
        <w:t>Sarjito, 2024</w:t>
      </w:r>
      <w:r w:rsidR="00AB402B" w:rsidRPr="003D1437">
        <w:rPr>
          <w:rFonts w:ascii="Traditional Arabic" w:hAnsi="Traditional Arabic" w:cs="Traditional Arabic"/>
          <w:sz w:val="28"/>
          <w:szCs w:val="28"/>
          <w:rtl/>
        </w:rPr>
        <w:t>) الموضوع من منظور السياسات الدفاعية، وقدمت دراسة (</w:t>
      </w:r>
      <w:r w:rsidR="00AB402B" w:rsidRPr="003D1437">
        <w:rPr>
          <w:rFonts w:ascii="Traditional Arabic" w:hAnsi="Traditional Arabic" w:cs="Traditional Arabic"/>
          <w:sz w:val="28"/>
          <w:szCs w:val="28"/>
        </w:rPr>
        <w:t>Kitsios &amp; Kamariotou, 2021</w:t>
      </w:r>
      <w:r w:rsidR="00AB402B" w:rsidRPr="003D1437">
        <w:rPr>
          <w:rFonts w:ascii="Traditional Arabic" w:hAnsi="Traditional Arabic" w:cs="Traditional Arabic"/>
          <w:sz w:val="28"/>
          <w:szCs w:val="28"/>
          <w:rtl/>
        </w:rPr>
        <w:t>) إطاراً نظرياً وأجندة بحثية مستقبلية، في حين أن دراسة (</w:t>
      </w:r>
      <w:r w:rsidR="00AB402B" w:rsidRPr="003D1437">
        <w:rPr>
          <w:rFonts w:ascii="Traditional Arabic" w:hAnsi="Traditional Arabic" w:cs="Traditional Arabic"/>
          <w:sz w:val="28"/>
          <w:szCs w:val="28"/>
        </w:rPr>
        <w:t>Al Muala et al., 2024</w:t>
      </w:r>
      <w:r w:rsidR="00AB402B" w:rsidRPr="003D1437">
        <w:rPr>
          <w:rFonts w:ascii="Traditional Arabic" w:hAnsi="Traditional Arabic" w:cs="Traditional Arabic"/>
          <w:sz w:val="28"/>
          <w:szCs w:val="28"/>
          <w:rtl/>
        </w:rPr>
        <w:t>) قدمت نتيجة مغايرة بعدم وجود تأثير كبير للذكاء الاصطناعي في سياقها المحدد، واختبرت دراسة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جاهزية الذكاء الاصطناعي وعلاقتها بالمرونة التنظيمية.</w:t>
      </w:r>
    </w:p>
    <w:p w14:paraId="129FA091" w14:textId="31655360"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ثانياً: من حيث منهج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 xml:space="preserve">توافقت معظم الدراسات التجريبية في اعتمادها على المنهج الكمي كمسار رئيسي لاختبار الفرضيات، مثل دراسات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(Gyau et al.,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(Awamleh &amp; Bustami, 2022)</w:t>
      </w:r>
      <w:r w:rsidR="00AB402B" w:rsidRPr="003D1437">
        <w:rPr>
          <w:rFonts w:ascii="Traditional Arabic" w:hAnsi="Traditional Arabic" w:cs="Traditional Arabic"/>
          <w:sz w:val="28"/>
          <w:szCs w:val="28"/>
          <w:rtl/>
        </w:rPr>
        <w:t>، و(عبد الرحيم إسماعيل، 2021)، و(</w:t>
      </w:r>
      <w:r w:rsidR="00AB402B" w:rsidRPr="003D1437">
        <w:rPr>
          <w:rFonts w:ascii="Traditional Arabic" w:hAnsi="Traditional Arabic" w:cs="Traditional Arabic"/>
          <w:sz w:val="28"/>
          <w:szCs w:val="28"/>
        </w:rPr>
        <w:t>Bustinza et al., 2019</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Walker, R. M., et al., 2011</w:t>
      </w:r>
      <w:r w:rsidR="00AB402B" w:rsidRPr="003D1437">
        <w:rPr>
          <w:rFonts w:ascii="Traditional Arabic" w:hAnsi="Traditional Arabic" w:cs="Traditional Arabic"/>
          <w:sz w:val="28"/>
          <w:szCs w:val="28"/>
          <w:rtl/>
        </w:rPr>
        <w:t>). واختلفت دراسات أخرى في منهجيتها، حيث استخدمت دراسة (</w:t>
      </w:r>
      <w:r w:rsidR="00AB402B" w:rsidRPr="003D1437">
        <w:rPr>
          <w:rFonts w:ascii="Traditional Arabic" w:hAnsi="Traditional Arabic" w:cs="Traditional Arabic"/>
          <w:sz w:val="28"/>
          <w:szCs w:val="28"/>
        </w:rPr>
        <w:t>Sarjito,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Tuffaha, M., 2021</w:t>
      </w:r>
      <w:r w:rsidR="00AB402B" w:rsidRPr="003D1437">
        <w:rPr>
          <w:rFonts w:ascii="Traditional Arabic" w:hAnsi="Traditional Arabic" w:cs="Traditional Arabic"/>
          <w:sz w:val="28"/>
          <w:szCs w:val="28"/>
          <w:rtl/>
        </w:rPr>
        <w:t>) المنهج النوعي القائم على تحليل البيانات الثانوية ومراجعة الأدبيات، واعتمدت دراسة (السيد وعلي، 2024) على دراسة الحالة، بينما استخدمت دراسة (صلاح، 2020) المنهج شبه التجريبي. كما أن دراسات مثل (</w:t>
      </w:r>
      <w:r w:rsidR="00AB402B" w:rsidRPr="003D1437">
        <w:rPr>
          <w:rFonts w:ascii="Traditional Arabic" w:hAnsi="Traditional Arabic" w:cs="Traditional Arabic"/>
          <w:sz w:val="28"/>
          <w:szCs w:val="28"/>
        </w:rPr>
        <w:t>Kitsios &amp; Kamariotou, 2021</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Olan et al., 2022</w:t>
      </w:r>
      <w:r w:rsidR="00AB402B" w:rsidRPr="003D1437">
        <w:rPr>
          <w:rFonts w:ascii="Traditional Arabic" w:hAnsi="Traditional Arabic" w:cs="Traditional Arabic"/>
          <w:sz w:val="28"/>
          <w:szCs w:val="28"/>
          <w:rtl/>
        </w:rPr>
        <w:t>) كانت دراسات نظرية اعتمدت على مراجعة الأدبيات</w:t>
      </w:r>
      <w:r w:rsidRPr="003D1437">
        <w:rPr>
          <w:rFonts w:ascii="Traditional Arabic" w:hAnsi="Traditional Arabic" w:cs="Traditional Arabic"/>
          <w:sz w:val="28"/>
          <w:szCs w:val="28"/>
          <w:rtl/>
        </w:rPr>
        <w:t>.</w:t>
      </w:r>
    </w:p>
    <w:p w14:paraId="10DFA635" w14:textId="618C3B4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ثالثاً: من حيث أداة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 xml:space="preserve">توافقت الغالبية العظمى من الدراسات الكمية على استخدام الاستبانة كأداة رئيسية لجمع البيانات من عيناتها، كما في دراسات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Awamleh &amp; Bustami, 2022</w:t>
      </w:r>
      <w:r w:rsidR="00AB402B" w:rsidRPr="003D1437">
        <w:rPr>
          <w:rFonts w:ascii="Traditional Arabic" w:hAnsi="Traditional Arabic" w:cs="Traditional Arabic"/>
          <w:sz w:val="28"/>
          <w:szCs w:val="28"/>
          <w:rtl/>
        </w:rPr>
        <w:t>). واختلفت دراسات أخرى بشكل واضح، حيث اعتمدت دراسة (</w:t>
      </w:r>
      <w:r w:rsidR="00AB402B" w:rsidRPr="003D1437">
        <w:rPr>
          <w:rFonts w:ascii="Traditional Arabic" w:hAnsi="Traditional Arabic" w:cs="Traditional Arabic"/>
          <w:sz w:val="28"/>
          <w:szCs w:val="28"/>
        </w:rPr>
        <w:t>Gyau et al., 2024</w:t>
      </w:r>
      <w:r w:rsidR="00AB402B" w:rsidRPr="003D1437">
        <w:rPr>
          <w:rFonts w:ascii="Traditional Arabic" w:hAnsi="Traditional Arabic" w:cs="Traditional Arabic"/>
          <w:sz w:val="28"/>
          <w:szCs w:val="28"/>
          <w:rtl/>
        </w:rPr>
        <w:t>) على بيانات لوحية (</w:t>
      </w:r>
      <w:r w:rsidR="00AB402B" w:rsidRPr="003D1437">
        <w:rPr>
          <w:rFonts w:ascii="Traditional Arabic" w:hAnsi="Traditional Arabic" w:cs="Traditional Arabic"/>
          <w:sz w:val="28"/>
          <w:szCs w:val="28"/>
        </w:rPr>
        <w:t>Panel Data</w:t>
      </w:r>
      <w:r w:rsidR="00AB402B" w:rsidRPr="003D1437">
        <w:rPr>
          <w:rFonts w:ascii="Traditional Arabic" w:hAnsi="Traditional Arabic" w:cs="Traditional Arabic"/>
          <w:sz w:val="28"/>
          <w:szCs w:val="28"/>
          <w:rtl/>
        </w:rPr>
        <w:t>) من قواعد بيانات عالمية، بينما استخدمت دراسة (</w:t>
      </w:r>
      <w:r w:rsidR="00AB402B" w:rsidRPr="003D1437">
        <w:rPr>
          <w:rFonts w:ascii="Traditional Arabic" w:hAnsi="Traditional Arabic" w:cs="Traditional Arabic"/>
          <w:sz w:val="28"/>
          <w:szCs w:val="28"/>
        </w:rPr>
        <w:t>Sarjito,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Tuffaha, M., 2021</w:t>
      </w:r>
      <w:r w:rsidR="00AB402B" w:rsidRPr="003D1437">
        <w:rPr>
          <w:rFonts w:ascii="Traditional Arabic" w:hAnsi="Traditional Arabic" w:cs="Traditional Arabic"/>
          <w:sz w:val="28"/>
          <w:szCs w:val="28"/>
          <w:rtl/>
        </w:rPr>
        <w:t>) تحليل الوثائق والتقارير الرسمية، واستخدمت دراسة (صلاح، 2020) مزيجاً من التصميم التجريبي واستمارة الاستقصاء</w:t>
      </w:r>
      <w:r w:rsidRPr="003D1437">
        <w:rPr>
          <w:rFonts w:ascii="Traditional Arabic" w:hAnsi="Traditional Arabic" w:cs="Traditional Arabic"/>
          <w:sz w:val="28"/>
          <w:szCs w:val="28"/>
          <w:rtl/>
        </w:rPr>
        <w:t>.</w:t>
      </w:r>
    </w:p>
    <w:p w14:paraId="6EF7F653" w14:textId="3518514A"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رابعاً: من حيث مكان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تنوعت البيئات الجغرافية والتنظيمية للدراسات السابقة بشكل كبير، مما يظهر الاهتمام العالمي بالموضوع. فقد أجريت دراسات في سياقات عربية متنوعة مثل مصر (عبد الرحيم إسماعيل، 2021)، والأردن (</w:t>
      </w:r>
      <w:r w:rsidR="00AB402B" w:rsidRPr="003D1437">
        <w:rPr>
          <w:rFonts w:ascii="Traditional Arabic" w:hAnsi="Traditional Arabic" w:cs="Traditional Arabic"/>
          <w:sz w:val="28"/>
          <w:szCs w:val="28"/>
        </w:rPr>
        <w:t>Al Muala et al., 2024</w:t>
      </w:r>
      <w:r w:rsidR="00AB402B" w:rsidRPr="003D1437">
        <w:rPr>
          <w:rFonts w:ascii="Traditional Arabic" w:hAnsi="Traditional Arabic" w:cs="Traditional Arabic"/>
          <w:sz w:val="28"/>
          <w:szCs w:val="28"/>
          <w:rtl/>
        </w:rPr>
        <w:t>)، والإمارات (</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كما شملت دولاً آسيوية أخرى مثل باكستان (</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وبنغلاديش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ودولاً أوروبية مثل تركيا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وأفريقية مثل إثيوبيا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وغانا (</w:t>
      </w:r>
      <w:r w:rsidR="00AB402B" w:rsidRPr="003D1437">
        <w:rPr>
          <w:rFonts w:ascii="Traditional Arabic" w:hAnsi="Traditional Arabic" w:cs="Traditional Arabic"/>
          <w:sz w:val="28"/>
          <w:szCs w:val="28"/>
        </w:rPr>
        <w:t>Anning-Dorson, 2021</w:t>
      </w:r>
      <w:r w:rsidR="00AB402B" w:rsidRPr="003D1437">
        <w:rPr>
          <w:rFonts w:ascii="Traditional Arabic" w:hAnsi="Traditional Arabic" w:cs="Traditional Arabic"/>
          <w:sz w:val="28"/>
          <w:szCs w:val="28"/>
          <w:rtl/>
        </w:rPr>
        <w:t>). واختلفت دراسة (</w:t>
      </w:r>
      <w:r w:rsidR="00AB402B" w:rsidRPr="003D1437">
        <w:rPr>
          <w:rFonts w:ascii="Traditional Arabic" w:hAnsi="Traditional Arabic" w:cs="Traditional Arabic"/>
          <w:sz w:val="28"/>
          <w:szCs w:val="28"/>
        </w:rPr>
        <w:t>Gyau et al., 2024</w:t>
      </w:r>
      <w:r w:rsidR="00AB402B" w:rsidRPr="003D1437">
        <w:rPr>
          <w:rFonts w:ascii="Traditional Arabic" w:hAnsi="Traditional Arabic" w:cs="Traditional Arabic"/>
          <w:sz w:val="28"/>
          <w:szCs w:val="28"/>
          <w:rtl/>
        </w:rPr>
        <w:t>) بكونها دراسة متعددة البلدان (20 دولة)، بينما كانت دراسات أخرى مثل (</w:t>
      </w:r>
      <w:r w:rsidR="00AB402B" w:rsidRPr="003D1437">
        <w:rPr>
          <w:rFonts w:ascii="Traditional Arabic" w:hAnsi="Traditional Arabic" w:cs="Traditional Arabic"/>
          <w:sz w:val="28"/>
          <w:szCs w:val="28"/>
        </w:rPr>
        <w:t>Sarjito,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Kitsios &amp; Kamariotou, 2021</w:t>
      </w:r>
      <w:r w:rsidR="00AB402B" w:rsidRPr="003D1437">
        <w:rPr>
          <w:rFonts w:ascii="Traditional Arabic" w:hAnsi="Traditional Arabic" w:cs="Traditional Arabic"/>
          <w:sz w:val="28"/>
          <w:szCs w:val="28"/>
          <w:rtl/>
        </w:rPr>
        <w:t>) غير مرتبطة بمكان محدد</w:t>
      </w:r>
      <w:r w:rsidRPr="003D1437">
        <w:rPr>
          <w:rFonts w:ascii="Traditional Arabic" w:hAnsi="Traditional Arabic" w:cs="Traditional Arabic"/>
          <w:sz w:val="28"/>
          <w:szCs w:val="28"/>
          <w:rtl/>
        </w:rPr>
        <w:t>.</w:t>
      </w:r>
    </w:p>
    <w:p w14:paraId="39B1BB66" w14:textId="39ECE3AD"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خامساً: من حيث عينة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توافقت مجموعة من الدراسات في تركيزها على المديرين والموظفين كعينة للدراسة، مثل دراسات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(الموظفين)، و(</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(كبار الموظفين)، و(</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Awamleh &amp; Bustami, 2022</w:t>
      </w:r>
      <w:r w:rsidR="00AB402B" w:rsidRPr="003D1437">
        <w:rPr>
          <w:rFonts w:ascii="Traditional Arabic" w:hAnsi="Traditional Arabic" w:cs="Traditional Arabic"/>
          <w:sz w:val="28"/>
          <w:szCs w:val="28"/>
          <w:rtl/>
        </w:rPr>
        <w:t>) (المديرين)، و(</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(المسؤولين التنفيذيين). واختلفت دراسات أخرى في عيناتها، حيث استهدفت دراسة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شريحة "المهنيين" بشكل عام، واستهدفت دراسة (</w:t>
      </w:r>
      <w:r w:rsidR="00AB402B" w:rsidRPr="003D1437">
        <w:rPr>
          <w:rFonts w:ascii="Traditional Arabic" w:hAnsi="Traditional Arabic" w:cs="Traditional Arabic"/>
          <w:sz w:val="28"/>
          <w:szCs w:val="28"/>
        </w:rPr>
        <w:t>Alsheibani et al., 2018</w:t>
      </w:r>
      <w:r w:rsidR="00AB402B" w:rsidRPr="003D1437">
        <w:rPr>
          <w:rFonts w:ascii="Traditional Arabic" w:hAnsi="Traditional Arabic" w:cs="Traditional Arabic"/>
          <w:sz w:val="28"/>
          <w:szCs w:val="28"/>
          <w:rtl/>
        </w:rPr>
        <w:t>) "الشركات" كوحدة تحليل. أما الدراسات النوعية والنظرية مثل (السيد وعلي، 2024) و(</w:t>
      </w:r>
      <w:r w:rsidR="00AB402B" w:rsidRPr="003D1437">
        <w:rPr>
          <w:rFonts w:ascii="Traditional Arabic" w:hAnsi="Traditional Arabic" w:cs="Traditional Arabic"/>
          <w:sz w:val="28"/>
          <w:szCs w:val="28"/>
        </w:rPr>
        <w:t>Sarjito, 2024</w:t>
      </w:r>
      <w:r w:rsidR="00AB402B" w:rsidRPr="003D1437">
        <w:rPr>
          <w:rFonts w:ascii="Traditional Arabic" w:hAnsi="Traditional Arabic" w:cs="Traditional Arabic"/>
          <w:sz w:val="28"/>
          <w:szCs w:val="28"/>
          <w:rtl/>
        </w:rPr>
        <w:t>) فلم تعتمد على عينات إحصائية</w:t>
      </w:r>
      <w:r w:rsidRPr="003D1437">
        <w:rPr>
          <w:rFonts w:ascii="Traditional Arabic" w:hAnsi="Traditional Arabic" w:cs="Traditional Arabic"/>
          <w:sz w:val="28"/>
          <w:szCs w:val="28"/>
          <w:rtl/>
        </w:rPr>
        <w:t>.</w:t>
      </w:r>
    </w:p>
    <w:p w14:paraId="726F0B99" w14:textId="77777777" w:rsidR="00581914" w:rsidRPr="003D1437" w:rsidRDefault="00581914" w:rsidP="00863B90">
      <w:pPr>
        <w:pStyle w:val="Heading3"/>
        <w:rPr>
          <w:rtl/>
        </w:rPr>
      </w:pPr>
      <w:bookmarkStart w:id="72" w:name="_Toc236402675"/>
      <w:r w:rsidRPr="003D1437">
        <w:rPr>
          <w:rtl/>
        </w:rPr>
        <w:t>ما يميز الدراسة الحالية عن السابقة والفجوة البحثية</w:t>
      </w:r>
      <w:bookmarkEnd w:id="72"/>
    </w:p>
    <w:p w14:paraId="52FFEC0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تتميز الدراسة الحالية عن الدراسات السابقة في عدة جوانب جوهرية، فهي لا تكرر ما سبق، بل تبني عليه لتضيف معرفة جديدة وأصيلة. أولاً، تتميز الدراسة بـ تركيب متغيراتها في نموذج نظري متكامل، حيث تجمع بين الذكاء الاصطناعي، والتكيف التكنولوجي، وكفاءة التخطيط الاستراتيجي، مع التركيز بشكل خاص على اختبار الدور الوسيط للتكيف التكنولوجي، وهو ما لم تتطرق إليه الدراسات المتاحة بهذا العمق والتركيب. ثانياً، تتميز بـ التركيز الدقيق على "كفاءة التخطيط الاستراتيجي" كمتغير تابع، وتفكيكه إلى أبعاده المختلفة، مما يوفر فهماً أعمق للعمليات الاستراتيجية نفسها. ثالثاً، تتميز الدراسة بـ تطبيقها في سياق فريد ومهم، وهو "إدارة التعليم في مكة المكرمة"، مما يضيف معرفة متخصصة ومبنية على الواقع المحلي السعودي، ويساهم في تحقيق مستهدفات رؤية 2030.</w:t>
      </w:r>
    </w:p>
    <w:p w14:paraId="3F0DEBC8" w14:textId="77777777" w:rsidR="00581914" w:rsidRPr="003D1437" w:rsidRDefault="00581914" w:rsidP="00863B90">
      <w:pPr>
        <w:pStyle w:val="Heading3"/>
        <w:rPr>
          <w:rtl/>
        </w:rPr>
      </w:pPr>
      <w:bookmarkStart w:id="73" w:name="_Toc236402676"/>
      <w:r w:rsidRPr="003D1437">
        <w:rPr>
          <w:rtl/>
        </w:rPr>
        <w:t>الفجوة البحثية التي تسعى الدراسة لمعالجتها:</w:t>
      </w:r>
      <w:bookmarkEnd w:id="73"/>
    </w:p>
    <w:p w14:paraId="141B367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المراجعة المعمقة للدراسات السابقة، تعالج الدراسة الحالية عدة فجوات بحثية مترابطة باستخدام الإطار المنهجي الموضح:</w:t>
      </w:r>
    </w:p>
    <w:p w14:paraId="73045E45" w14:textId="43C79FEE" w:rsidR="00581914" w:rsidRPr="003D1437" w:rsidRDefault="00581914">
      <w:pPr>
        <w:numPr>
          <w:ilvl w:val="0"/>
          <w:numId w:val="2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فجوة معرفية ونظرية: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تتمثل الفجوة الرئيسية في نقص المعرفة حول آلية التأثير التي يعمل بها الذكاء الاصطناعي على التخطيط الاستراتيجي. فبينما أظهرت دراسات مثل (</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وجود تأثير مباشر، وأشارت دراسات مثل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xml:space="preserve">) إلى أهمية المرونة التنظيمية كمتغير وسيط، فإن الدراسة الحالية تسعى لإضافة معرفة جديدة من خلال اختبار "التكيف التكنولوجي" كمفهوم شامل (يشمل البنية التحتية، الثقافة، </w:t>
      </w:r>
      <w:r w:rsidR="00AB402B" w:rsidRPr="003D1437">
        <w:rPr>
          <w:rFonts w:ascii="Traditional Arabic" w:hAnsi="Traditional Arabic" w:cs="Traditional Arabic"/>
          <w:sz w:val="28"/>
          <w:szCs w:val="28"/>
          <w:rtl/>
        </w:rPr>
        <w:lastRenderedPageBreak/>
        <w:t>والمهارات) كمتغير وسيط. كما أنها تضيف إطاراً نظرياً جديداً يربط بين نظريات تبني التكنولوجيا والإدارة الاستراتيجية، وهو ما لم يتم ربطه بهذه الطريقة من قبل</w:t>
      </w:r>
      <w:r w:rsidRPr="003D1437">
        <w:rPr>
          <w:rFonts w:ascii="Traditional Arabic" w:hAnsi="Traditional Arabic" w:cs="Traditional Arabic"/>
          <w:sz w:val="28"/>
          <w:szCs w:val="28"/>
          <w:rtl/>
        </w:rPr>
        <w:t>.</w:t>
      </w:r>
    </w:p>
    <w:p w14:paraId="09A17960" w14:textId="703F4B4F" w:rsidR="00581914" w:rsidRPr="003D1437" w:rsidRDefault="00581914">
      <w:pPr>
        <w:numPr>
          <w:ilvl w:val="0"/>
          <w:numId w:val="2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فجوة مكانية: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هناك ندرة واضحة في الدراسات التجريبية التي تناولت هذا الموضوع في قطاع التعليم العام بالمملكة العربية السعودية. فدراسة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طبقت نموذجاً مشابهاً في قطاع التكنولوجيا بتركيا، ودراسة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طبقت في قطاع الاتصالات بإثيوبيا. وبالتالي، فإن تطبيق هذا النموذج في بيئة مختلفة تماماً (قطاع التعليم الحكومي في مكة المكرمة) سيسد فجوة مكانية وسياقية مهمة</w:t>
      </w:r>
      <w:r w:rsidRPr="003D1437">
        <w:rPr>
          <w:rFonts w:ascii="Traditional Arabic" w:hAnsi="Traditional Arabic" w:cs="Traditional Arabic"/>
          <w:sz w:val="28"/>
          <w:szCs w:val="28"/>
          <w:rtl/>
        </w:rPr>
        <w:t>.</w:t>
      </w:r>
    </w:p>
    <w:p w14:paraId="12BA188B" w14:textId="77777777" w:rsidR="00581914" w:rsidRPr="003D1437" w:rsidRDefault="00581914">
      <w:pPr>
        <w:numPr>
          <w:ilvl w:val="0"/>
          <w:numId w:val="2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فجوة منهجية:</w:t>
      </w:r>
      <w:r w:rsidRPr="003D1437">
        <w:rPr>
          <w:rFonts w:ascii="Traditional Arabic" w:hAnsi="Traditional Arabic" w:cs="Traditional Arabic"/>
          <w:sz w:val="28"/>
          <w:szCs w:val="28"/>
          <w:rtl/>
        </w:rPr>
        <w:t xml:space="preserve"> بينما استخدمت معظم الدراسات السابقة المنهج الكمي، فإن الدراسة الحالية تقترح نموذجاً وسيطاً ثلاثياً لم يتم اختباره على عينة من الإداريين في قطاع التعليم العام من قبل، مما يمثل إضافة منهجية من حيث العينة المطبقة وتصميم النموذج.</w:t>
      </w:r>
    </w:p>
    <w:p w14:paraId="37997440" w14:textId="77777777" w:rsidR="0091737E" w:rsidRPr="003D1437" w:rsidRDefault="0091737E" w:rsidP="00071B42">
      <w:pPr>
        <w:bidi/>
        <w:jc w:val="lowKashida"/>
        <w:rPr>
          <w:rFonts w:ascii="Traditional Arabic" w:hAnsi="Traditional Arabic" w:cs="Traditional Arabic"/>
          <w:b/>
          <w:bCs/>
          <w:sz w:val="28"/>
          <w:szCs w:val="28"/>
          <w:rtl/>
        </w:rPr>
        <w:sectPr w:rsidR="0091737E" w:rsidRPr="003D1437">
          <w:pgSz w:w="12240" w:h="15840"/>
          <w:pgMar w:top="1440" w:right="1440" w:bottom="1440" w:left="1440" w:header="720" w:footer="720" w:gutter="0"/>
          <w:cols w:space="720"/>
          <w:docGrid w:linePitch="360"/>
        </w:sectPr>
      </w:pPr>
    </w:p>
    <w:p w14:paraId="6AF3D7A9" w14:textId="77777777" w:rsidR="00863B90" w:rsidRPr="003D1437" w:rsidRDefault="00863B90" w:rsidP="00863B90">
      <w:pPr>
        <w:pStyle w:val="Heading1"/>
        <w:rPr>
          <w:rtl/>
        </w:rPr>
      </w:pPr>
      <w:bookmarkStart w:id="74" w:name="_Toc233422623"/>
    </w:p>
    <w:p w14:paraId="0E5D4EAE" w14:textId="77777777" w:rsidR="00863B90" w:rsidRPr="003D1437" w:rsidRDefault="00863B90" w:rsidP="00863B90">
      <w:pPr>
        <w:pStyle w:val="Heading1"/>
        <w:rPr>
          <w:rtl/>
        </w:rPr>
      </w:pPr>
    </w:p>
    <w:p w14:paraId="16C3EEBD" w14:textId="77777777" w:rsidR="00863B90" w:rsidRPr="003D1437" w:rsidRDefault="00863B90" w:rsidP="00863B90">
      <w:pPr>
        <w:pStyle w:val="Heading1"/>
        <w:rPr>
          <w:rtl/>
        </w:rPr>
      </w:pPr>
    </w:p>
    <w:p w14:paraId="2C0F525B" w14:textId="77777777" w:rsidR="00863B90" w:rsidRPr="003D1437" w:rsidRDefault="00863B90" w:rsidP="00863B90">
      <w:pPr>
        <w:pStyle w:val="Heading1"/>
        <w:rPr>
          <w:rtl/>
        </w:rPr>
      </w:pPr>
    </w:p>
    <w:p w14:paraId="783AB20D" w14:textId="77777777" w:rsidR="00863B90" w:rsidRPr="003D1437" w:rsidRDefault="00863B90" w:rsidP="00863B90">
      <w:pPr>
        <w:pStyle w:val="Heading1"/>
        <w:rPr>
          <w:rtl/>
        </w:rPr>
      </w:pPr>
    </w:p>
    <w:p w14:paraId="2F43D647" w14:textId="77777777" w:rsidR="00863B90" w:rsidRPr="003D1437" w:rsidRDefault="00863B90" w:rsidP="00863B90">
      <w:pPr>
        <w:pStyle w:val="Heading1"/>
        <w:rPr>
          <w:rtl/>
        </w:rPr>
      </w:pPr>
    </w:p>
    <w:p w14:paraId="4B513DF4" w14:textId="77777777" w:rsidR="00863B90" w:rsidRPr="003D1437" w:rsidRDefault="00863B90" w:rsidP="00863B90">
      <w:pPr>
        <w:pStyle w:val="Heading1"/>
        <w:rPr>
          <w:rtl/>
        </w:rPr>
      </w:pPr>
    </w:p>
    <w:p w14:paraId="0B4EE98B" w14:textId="5880412D" w:rsidR="00863B90" w:rsidRPr="003D1437" w:rsidRDefault="00863B90" w:rsidP="00863B90">
      <w:pPr>
        <w:pStyle w:val="Heading1"/>
        <w:rPr>
          <w:sz w:val="48"/>
          <w:szCs w:val="48"/>
          <w:rtl/>
        </w:rPr>
      </w:pPr>
      <w:bookmarkStart w:id="75" w:name="_Toc235065303"/>
      <w:bookmarkStart w:id="76" w:name="_Toc236402677"/>
      <w:r w:rsidRPr="003D1437">
        <w:rPr>
          <w:sz w:val="48"/>
          <w:szCs w:val="48"/>
          <w:rtl/>
        </w:rPr>
        <w:t xml:space="preserve">الفصل الثالث: </w:t>
      </w:r>
      <w:r w:rsidRPr="003D1437">
        <w:rPr>
          <w:rFonts w:hint="cs"/>
          <w:sz w:val="48"/>
          <w:szCs w:val="48"/>
          <w:rtl/>
        </w:rPr>
        <w:t>منهجية الدراسة</w:t>
      </w:r>
      <w:bookmarkEnd w:id="75"/>
      <w:bookmarkEnd w:id="76"/>
    </w:p>
    <w:p w14:paraId="76C73D52" w14:textId="77777777" w:rsidR="00863B90" w:rsidRPr="003D1437" w:rsidRDefault="00863B90" w:rsidP="0091737E">
      <w:pPr>
        <w:pStyle w:val="Heading1"/>
        <w:rPr>
          <w:rtl/>
        </w:rPr>
        <w:sectPr w:rsidR="00863B90" w:rsidRPr="003D1437" w:rsidSect="00BF2DEE">
          <w:pgSz w:w="12240" w:h="15840"/>
          <w:pgMar w:top="1440" w:right="1440" w:bottom="1440" w:left="1440" w:header="720" w:footer="720" w:gutter="0"/>
          <w:cols w:space="720"/>
          <w:titlePg/>
          <w:docGrid w:linePitch="360"/>
        </w:sectPr>
      </w:pPr>
    </w:p>
    <w:p w14:paraId="5955B4DB" w14:textId="410A3525" w:rsidR="0091737E" w:rsidRPr="003D1437" w:rsidRDefault="0091737E" w:rsidP="0091737E">
      <w:pPr>
        <w:pStyle w:val="Heading1"/>
        <w:rPr>
          <w:rtl/>
        </w:rPr>
      </w:pPr>
      <w:bookmarkStart w:id="77" w:name="_Toc236402678"/>
      <w:r w:rsidRPr="003D1437">
        <w:rPr>
          <w:rtl/>
        </w:rPr>
        <w:lastRenderedPageBreak/>
        <w:t xml:space="preserve">الفصل الثالث: </w:t>
      </w:r>
      <w:r w:rsidR="00CD2C71" w:rsidRPr="003D1437">
        <w:rPr>
          <w:rFonts w:hint="cs"/>
          <w:rtl/>
        </w:rPr>
        <w:t>منهجية الدراسة</w:t>
      </w:r>
      <w:bookmarkEnd w:id="74"/>
      <w:bookmarkEnd w:id="77"/>
    </w:p>
    <w:p w14:paraId="480812D8" w14:textId="77777777" w:rsidR="0091737E" w:rsidRPr="003D1437" w:rsidRDefault="0091737E" w:rsidP="006924ED">
      <w:pPr>
        <w:pStyle w:val="Heading2"/>
        <w:rPr>
          <w:rtl/>
        </w:rPr>
      </w:pPr>
      <w:bookmarkStart w:id="78" w:name="_Toc233422624"/>
      <w:bookmarkStart w:id="79" w:name="_Toc236402679"/>
      <w:r w:rsidRPr="003D1437">
        <w:rPr>
          <w:rtl/>
        </w:rPr>
        <w:t>تمهيد</w:t>
      </w:r>
      <w:bookmarkEnd w:id="78"/>
      <w:bookmarkEnd w:id="79"/>
    </w:p>
    <w:p w14:paraId="78C7C7C6"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يهدف هذا الفصل إلى عرض الإجراءات المنهجية التي تم اتباعها لتحقيق أهداف الدراسة والإجابة عن تساؤلاتها واختبار فرضياتها. يبدأ الفصل بتوضيح فلسفة الباحث ومن ثم تحديد المنهج البحثي المتبع، يليه تصميم الدراسة واستراتيجيتها، وتحديد النطاق الزماني والمكاني. بعد ذلك، يتناول الفصل وصفاً تفصيلياً لمجتمع الدراسة وكيفية اختيار العينة وحساب حجمها المناسب. كما يعرض الفصل أداة الدراسة المستخدمة (الاستبيان)، وكيفية تصميمها، وقياس متغيراتها، والإجراءات المتبعة للتحقق من صدقها وثباتها. وأخيراً، يوضح الفصل الأساليب الإحصائية التي سيتم استخدامها لتحليل البيانات التي تم جمعها بهدف الوصول إلى نتائج دقيقة وموثوقة تسهم في الإجابة على أسئلة الدراسة واختبار فرضياتها.</w:t>
      </w:r>
    </w:p>
    <w:p w14:paraId="23420A35" w14:textId="77777777" w:rsidR="0091737E" w:rsidRPr="003D1437" w:rsidRDefault="0091737E" w:rsidP="006924ED">
      <w:pPr>
        <w:pStyle w:val="Heading2"/>
        <w:rPr>
          <w:rtl/>
        </w:rPr>
      </w:pPr>
      <w:bookmarkStart w:id="80" w:name="_Toc233422625"/>
      <w:bookmarkStart w:id="81" w:name="_Toc236402680"/>
      <w:r w:rsidRPr="003D1437">
        <w:rPr>
          <w:rtl/>
        </w:rPr>
        <w:t>3.1 فلسفة الباحث البحثية</w:t>
      </w:r>
      <w:bookmarkEnd w:id="80"/>
      <w:bookmarkEnd w:id="81"/>
    </w:p>
    <w:p w14:paraId="378E67D9" w14:textId="4C694E6F" w:rsidR="0091737E" w:rsidRPr="003D1437" w:rsidRDefault="0091737E" w:rsidP="0091737E">
      <w:pPr>
        <w:bidi/>
        <w:jc w:val="lowKashida"/>
        <w:rPr>
          <w:rFonts w:ascii="Traditional Arabic" w:hAnsi="Traditional Arabic" w:cs="Traditional Arabic"/>
          <w:sz w:val="28"/>
          <w:szCs w:val="28"/>
          <w:rtl/>
        </w:rPr>
      </w:pPr>
      <w:bookmarkStart w:id="82" w:name="_Hlk212514430"/>
      <w:r w:rsidRPr="003D1437">
        <w:rPr>
          <w:rFonts w:ascii="Traditional Arabic" w:hAnsi="Traditional Arabic" w:cs="Traditional Arabic"/>
          <w:sz w:val="28"/>
          <w:szCs w:val="28"/>
          <w:rtl/>
        </w:rPr>
        <w:t xml:space="preserve">تنطلق هذه الدراسة من </w:t>
      </w:r>
      <w:r w:rsidRPr="003D1437">
        <w:rPr>
          <w:rFonts w:ascii="Traditional Arabic" w:hAnsi="Traditional Arabic" w:cs="Traditional Arabic"/>
          <w:b/>
          <w:bCs/>
          <w:sz w:val="28"/>
          <w:szCs w:val="28"/>
          <w:rtl/>
        </w:rPr>
        <w:t>الفلسفة الوضعية (</w:t>
      </w:r>
      <w:r w:rsidRPr="003D1437">
        <w:rPr>
          <w:rFonts w:ascii="Traditional Arabic" w:hAnsi="Traditional Arabic" w:cs="Traditional Arabic"/>
          <w:b/>
          <w:bCs/>
          <w:sz w:val="28"/>
          <w:szCs w:val="28"/>
        </w:rPr>
        <w:t>Positivism</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كأساس إبستمولوجي ومنهجي. تفترض هذه الفلسفة وجود حقيقة موضوعية قابلة للقياس والملاحظة بشكل مستقل عن الباحث، وتسعى إلى اكتشاف القوانين والعلاقات السببية بين الظواهر من خلال المنهج العلمي التجريبي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يعتبر هذا المنطلق الفلسفي مناسبًا لهذه الدراسة لأنه يتماشى مع هدفها في قياس العلاقات بين متغيرات محددة (الذكاء الاصطناعي، التكيف التكنولوجي، كفاءة التخطيط الاستراتيجي) باستخدام أدوات قياس كمية (الاستبيان) وتحليل البيانات إحصائيًا لاختبار الفرضيات والوصول إلى نتائج قابلة للتعميم على مجتمع الدراسة. تسعى الدراسة إلى تقديم تفسيرات موضوعية ومبنية على الأدلة الرقمية لتأثير الذكاء الاصطناعي ودور التكيف التكنولوجي في سياق إدارة التعليم، وهو ما يتوافق مع مبادئ البحث الوضعي الذي يركز على الموضوعية والقياس الكمي واختبار الفرضيات</w:t>
      </w:r>
      <w:bookmarkEnd w:id="82"/>
      <w:r w:rsidRPr="003D1437">
        <w:rPr>
          <w:rFonts w:ascii="Traditional Arabic" w:hAnsi="Traditional Arabic" w:cs="Traditional Arabic"/>
          <w:sz w:val="28"/>
          <w:szCs w:val="28"/>
          <w:rtl/>
        </w:rPr>
        <w:t xml:space="preserve">. </w:t>
      </w:r>
    </w:p>
    <w:p w14:paraId="2A244084" w14:textId="77777777" w:rsidR="0091737E" w:rsidRPr="003D1437" w:rsidRDefault="0091737E" w:rsidP="006924ED">
      <w:pPr>
        <w:pStyle w:val="Heading2"/>
        <w:rPr>
          <w:rtl/>
        </w:rPr>
      </w:pPr>
      <w:bookmarkStart w:id="83" w:name="_Toc233422626"/>
      <w:bookmarkStart w:id="84" w:name="_Toc236402681"/>
      <w:r w:rsidRPr="003D1437">
        <w:rPr>
          <w:rtl/>
        </w:rPr>
        <w:t>3.2 المنهج البحثي</w:t>
      </w:r>
      <w:bookmarkEnd w:id="83"/>
      <w:bookmarkEnd w:id="84"/>
    </w:p>
    <w:p w14:paraId="4BCBD49B" w14:textId="51E03CD8"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لتحقيق أهداف الدراسة الحالية والإجابة عن تساؤلاتها، تم الاعتماد على النهج الوصفي التحليلي (</w:t>
      </w:r>
      <w:r w:rsidRPr="003D1437">
        <w:rPr>
          <w:rFonts w:ascii="Traditional Arabic" w:hAnsi="Traditional Arabic" w:cs="Traditional Arabic"/>
          <w:sz w:val="28"/>
          <w:szCs w:val="28"/>
        </w:rPr>
        <w:t>Descriptive Analytical Approach</w:t>
      </w:r>
      <w:r w:rsidRPr="003D1437">
        <w:rPr>
          <w:rFonts w:ascii="Traditional Arabic" w:hAnsi="Traditional Arabic" w:cs="Traditional Arabic"/>
          <w:sz w:val="28"/>
          <w:szCs w:val="28"/>
          <w:rtl/>
        </w:rPr>
        <w:t>). يُعرّف المنهج الوصفي بأنه "أسلوب من أساليب التحليل المرتكز على معلومات كافية ودقيقة عن ظاهرة أو موضوع محدد خلال فترة أو فترات زمنية معلومة وذلك من أجل الحصول على نتائج علمية ثم تفسيرها بطريقة موضوعية بما ينسجم مع المعطيات الفعلية للظاهرة" (عبيدات وآخرون، 2014). ويقوم هذا المنهج على وصف الظاهرة المدروسة وتحديد خصائصها وأبعادها، ومن ثم تحليل العلاقات بين متغيراتها للوصول إلى استنتاجات وتفسيرات علمية.</w:t>
      </w:r>
    </w:p>
    <w:p w14:paraId="7BA7E780" w14:textId="60017088" w:rsidR="0091737E" w:rsidRPr="003D1437" w:rsidRDefault="0088660D" w:rsidP="0088660D">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كما تستخدم الدراسة البيانات الكمية (</w:t>
      </w:r>
      <w:r w:rsidRPr="003D1437">
        <w:rPr>
          <w:rFonts w:ascii="Traditional Arabic" w:hAnsi="Traditional Arabic" w:cs="Traditional Arabic"/>
          <w:sz w:val="28"/>
          <w:szCs w:val="28"/>
        </w:rPr>
        <w:t>Quantitative Data</w:t>
      </w:r>
      <w:r w:rsidRPr="003D1437">
        <w:rPr>
          <w:rFonts w:ascii="Traditional Arabic" w:hAnsi="Traditional Arabic" w:cs="Traditional Arabic"/>
          <w:sz w:val="28"/>
          <w:szCs w:val="28"/>
          <w:rtl/>
        </w:rPr>
        <w:t>) بشكل أساسي، والتي تشير إلى البيانات التي يمكن قياسها عدديًا أو التعبير عنها بأرقام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xml:space="preserve">). سيتم جمع هذه البيانات من خلال أداة الاستبيان الموجهة لعينة </w:t>
      </w:r>
      <w:r w:rsidRPr="003D1437">
        <w:rPr>
          <w:rFonts w:ascii="Traditional Arabic" w:hAnsi="Traditional Arabic" w:cs="Traditional Arabic"/>
          <w:sz w:val="28"/>
          <w:szCs w:val="28"/>
          <w:rtl/>
        </w:rPr>
        <w:lastRenderedPageBreak/>
        <w:t>الدراسة، ومن ثم تحليلها باستخدام الأساليب الإحصائية المناسبة لاختبار الفرضيات وتحديد طبيعة وقوة العلاقات بين متغيرات الدراسة (الذكاء الاصطناعي، التكيف التكنولوجي، وكفاءة التخطيط الاستراتيجي).</w:t>
      </w:r>
    </w:p>
    <w:p w14:paraId="736918E0" w14:textId="77777777" w:rsidR="0091737E" w:rsidRPr="003D1437" w:rsidRDefault="0091737E" w:rsidP="006924ED">
      <w:pPr>
        <w:pStyle w:val="Heading2"/>
        <w:rPr>
          <w:rtl/>
        </w:rPr>
      </w:pPr>
      <w:bookmarkStart w:id="85" w:name="_Toc233422627"/>
      <w:bookmarkStart w:id="86" w:name="_Toc236402682"/>
      <w:r w:rsidRPr="003D1437">
        <w:rPr>
          <w:rtl/>
        </w:rPr>
        <w:t>3.3 تصميم البحث</w:t>
      </w:r>
      <w:bookmarkEnd w:id="85"/>
      <w:bookmarkEnd w:id="86"/>
    </w:p>
    <w:p w14:paraId="21EC417D" w14:textId="46610885"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تشبيه تصميم هذه الدراسة بـ "بصلة البحث" (</w:t>
      </w:r>
      <w:r w:rsidRPr="003D1437">
        <w:rPr>
          <w:rFonts w:ascii="Traditional Arabic" w:hAnsi="Traditional Arabic" w:cs="Traditional Arabic"/>
          <w:sz w:val="28"/>
          <w:szCs w:val="28"/>
        </w:rPr>
        <w:t>Research Onion</w:t>
      </w:r>
      <w:r w:rsidRPr="003D1437">
        <w:rPr>
          <w:rFonts w:ascii="Traditional Arabic" w:hAnsi="Traditional Arabic" w:cs="Traditional Arabic"/>
          <w:sz w:val="28"/>
          <w:szCs w:val="28"/>
          <w:rtl/>
        </w:rPr>
        <w:t>)، حيث يتم الانتقال من الطبقات الخارجية العامة إلى الطبقات الداخلية الأكثر تحديداً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xml:space="preserve">). فبعد تحديد الفلسفة البحثية والمنهج العام (الوصفي التحليلي الكمي)، يتم تحديد استراتيجية البحث وتصميمه بشكل أدق. </w:t>
      </w:r>
      <w:r w:rsidR="002940FB" w:rsidRPr="003D1437">
        <w:rPr>
          <w:rFonts w:ascii="Traditional Arabic" w:hAnsi="Traditional Arabic" w:cs="Traditional Arabic"/>
          <w:sz w:val="28"/>
          <w:szCs w:val="28"/>
          <w:rtl/>
        </w:rPr>
        <w:t>تتبع هذه الدراسة التصميم المقطعي (</w:t>
      </w:r>
      <w:r w:rsidR="002940FB" w:rsidRPr="003D1437">
        <w:rPr>
          <w:rFonts w:ascii="Traditional Arabic" w:hAnsi="Traditional Arabic" w:cs="Traditional Arabic"/>
          <w:sz w:val="28"/>
          <w:szCs w:val="28"/>
        </w:rPr>
        <w:t>Cross-sectional Design</w:t>
      </w:r>
      <w:r w:rsidR="002940FB" w:rsidRPr="003D1437">
        <w:rPr>
          <w:rFonts w:ascii="Traditional Arabic" w:hAnsi="Traditional Arabic" w:cs="Traditional Arabic"/>
          <w:sz w:val="28"/>
          <w:szCs w:val="28"/>
          <w:rtl/>
        </w:rPr>
        <w:t>)، حيث يتم جمع البيانات من مجتمع الدراسة المتاح في نقطة زمنية واحدة محددة. يعتبر هذا التصميم مناسبًا بشكل خاص للدراسات المسحية التي تهدف إلى وصف خصائص مجتمع البحث أو استكشاف العلاقات بين المتغيرات في وقت معين (</w:t>
      </w:r>
      <w:r w:rsidR="002940FB" w:rsidRPr="003D1437">
        <w:rPr>
          <w:rFonts w:ascii="Traditional Arabic" w:hAnsi="Traditional Arabic" w:cs="Traditional Arabic"/>
          <w:sz w:val="28"/>
          <w:szCs w:val="28"/>
        </w:rPr>
        <w:t>Bryman &amp; Bell, 2011</w:t>
      </w:r>
      <w:r w:rsidR="002940FB" w:rsidRPr="003D1437">
        <w:rPr>
          <w:rFonts w:ascii="Traditional Arabic" w:hAnsi="Traditional Arabic" w:cs="Traditional Arabic"/>
          <w:sz w:val="28"/>
          <w:szCs w:val="28"/>
          <w:rtl/>
        </w:rPr>
        <w:t>)، وهو ما يتماشى مع طبيعة هذه الدراسة التي تستخدم الاستبيان كأداة رئيسية لجمع بيانات كمية من مجتمع الدراسة المستهدف وفق أسلوب الحصر الشامل</w:t>
      </w:r>
      <w:r w:rsidRPr="003D1437">
        <w:rPr>
          <w:rFonts w:ascii="Traditional Arabic" w:hAnsi="Traditional Arabic" w:cs="Traditional Arabic"/>
          <w:sz w:val="28"/>
          <w:szCs w:val="28"/>
          <w:rtl/>
        </w:rPr>
        <w:t>.</w:t>
      </w:r>
    </w:p>
    <w:p w14:paraId="2E66C9C2" w14:textId="77777777" w:rsidR="0091737E" w:rsidRPr="003D1437" w:rsidRDefault="0091737E" w:rsidP="006924ED">
      <w:pPr>
        <w:pStyle w:val="Heading2"/>
        <w:rPr>
          <w:rtl/>
        </w:rPr>
      </w:pPr>
      <w:bookmarkStart w:id="87" w:name="_Toc233422628"/>
      <w:bookmarkStart w:id="88" w:name="_Toc236402683"/>
      <w:r w:rsidRPr="003D1437">
        <w:rPr>
          <w:rtl/>
        </w:rPr>
        <w:t>3.4 استراتيجية البحث</w:t>
      </w:r>
      <w:bookmarkEnd w:id="87"/>
      <w:bookmarkEnd w:id="88"/>
    </w:p>
    <w:p w14:paraId="3856DFA2" w14:textId="730E7683" w:rsidR="0091737E" w:rsidRPr="003D1437" w:rsidRDefault="002940FB"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تعتمد هذه الدراسة على استراتيجية المسح (</w:t>
      </w:r>
      <w:r w:rsidRPr="003D1437">
        <w:rPr>
          <w:rFonts w:ascii="Traditional Arabic" w:hAnsi="Traditional Arabic" w:cs="Traditional Arabic"/>
          <w:sz w:val="28"/>
          <w:szCs w:val="28"/>
        </w:rPr>
        <w:t>Survey Strategy</w:t>
      </w:r>
      <w:r w:rsidRPr="003D1437">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مجتمع الدراسة المستهدف، وذلك باستخدام أداة موحدة مثل الاستبيان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تسمح استراتيجية المسح بجمع بيانات حول آراء واتجاهات وسلوكيات المبحوثين الذين شملهم الحصر الشامل تجاه متغيرات الدراسة</w:t>
      </w:r>
      <w:r w:rsidR="0088660D" w:rsidRPr="003D1437">
        <w:rPr>
          <w:rFonts w:ascii="Traditional Arabic" w:hAnsi="Traditional Arabic" w:cs="Traditional Arabic"/>
          <w:sz w:val="28"/>
          <w:szCs w:val="28"/>
          <w:rtl/>
        </w:rPr>
        <w:t xml:space="preserve">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9C63447" w14:textId="77777777" w:rsidR="0091737E" w:rsidRPr="003D1437" w:rsidRDefault="0091737E" w:rsidP="006924ED">
      <w:pPr>
        <w:pStyle w:val="Heading2"/>
        <w:rPr>
          <w:rtl/>
        </w:rPr>
      </w:pPr>
      <w:bookmarkStart w:id="89" w:name="_Toc233422629"/>
      <w:bookmarkStart w:id="90" w:name="_Toc236402684"/>
      <w:r w:rsidRPr="003D1437">
        <w:rPr>
          <w:rtl/>
        </w:rPr>
        <w:t>3.5 النطاق الزمني والجغرافي</w:t>
      </w:r>
      <w:bookmarkEnd w:id="89"/>
      <w:bookmarkEnd w:id="90"/>
    </w:p>
    <w:p w14:paraId="03D04A69" w14:textId="77777777" w:rsidR="0091737E" w:rsidRPr="003D1437" w:rsidRDefault="0091737E">
      <w:pPr>
        <w:numPr>
          <w:ilvl w:val="0"/>
          <w:numId w:val="3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النطاق الجغرافي:</w:t>
      </w:r>
      <w:r w:rsidRPr="003D1437">
        <w:rPr>
          <w:rFonts w:ascii="Traditional Arabic" w:hAnsi="Traditional Arabic" w:cs="Traditional Arabic"/>
          <w:sz w:val="28"/>
          <w:szCs w:val="28"/>
          <w:rtl/>
        </w:rPr>
        <w:t xml:space="preserve"> سيتم تطبيق هذه الدراسة في </w:t>
      </w:r>
      <w:r w:rsidRPr="003D1437">
        <w:rPr>
          <w:rFonts w:ascii="Traditional Arabic" w:hAnsi="Traditional Arabic" w:cs="Traditional Arabic"/>
          <w:b/>
          <w:bCs/>
          <w:sz w:val="28"/>
          <w:szCs w:val="28"/>
          <w:rtl/>
        </w:rPr>
        <w:t>المملكة العربية السعودية</w:t>
      </w:r>
      <w:r w:rsidRPr="003D1437">
        <w:rPr>
          <w:rFonts w:ascii="Traditional Arabic" w:hAnsi="Traditional Arabic" w:cs="Traditional Arabic"/>
          <w:sz w:val="28"/>
          <w:szCs w:val="28"/>
          <w:rtl/>
        </w:rPr>
        <w:t xml:space="preserve">، مع التركيز بشكل خاص على </w:t>
      </w:r>
      <w:r w:rsidRPr="003D1437">
        <w:rPr>
          <w:rFonts w:ascii="Traditional Arabic" w:hAnsi="Traditional Arabic" w:cs="Traditional Arabic"/>
          <w:b/>
          <w:bCs/>
          <w:sz w:val="28"/>
          <w:szCs w:val="28"/>
          <w:rtl/>
        </w:rPr>
        <w:t>إدارة التعليم في منطقة مكة المكرمة</w:t>
      </w:r>
      <w:r w:rsidRPr="003D1437">
        <w:rPr>
          <w:rFonts w:ascii="Traditional Arabic" w:hAnsi="Traditional Arabic" w:cs="Traditional Arabic"/>
          <w:sz w:val="28"/>
          <w:szCs w:val="28"/>
          <w:rtl/>
        </w:rPr>
        <w:t xml:space="preserve"> كمجتمع للدراسة.</w:t>
      </w:r>
    </w:p>
    <w:p w14:paraId="68C33D9D" w14:textId="77777777" w:rsidR="0091737E" w:rsidRPr="003D1437" w:rsidRDefault="0091737E">
      <w:pPr>
        <w:numPr>
          <w:ilvl w:val="0"/>
          <w:numId w:val="34"/>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النطاق الزمني:</w:t>
      </w:r>
      <w:r w:rsidRPr="003D1437">
        <w:rPr>
          <w:rFonts w:ascii="Traditional Arabic" w:hAnsi="Traditional Arabic" w:cs="Traditional Arabic"/>
          <w:sz w:val="28"/>
          <w:szCs w:val="28"/>
          <w:rtl/>
        </w:rPr>
        <w:t xml:space="preserve"> من المتوقع أن تستغرق عملية تنفيذ الدراسة وإنهائها فترة زمنية تقدر بـ </w:t>
      </w:r>
      <w:r w:rsidRPr="003D1437">
        <w:rPr>
          <w:rFonts w:ascii="Traditional Arabic" w:hAnsi="Traditional Arabic" w:cs="Traditional Arabic"/>
          <w:b/>
          <w:bCs/>
          <w:sz w:val="28"/>
          <w:szCs w:val="28"/>
          <w:rtl/>
        </w:rPr>
        <w:t>ستة (6) أسابيع</w:t>
      </w:r>
      <w:r w:rsidRPr="003D1437">
        <w:rPr>
          <w:rFonts w:ascii="Traditional Arabic" w:hAnsi="Traditional Arabic" w:cs="Traditional Arabic"/>
          <w:sz w:val="28"/>
          <w:szCs w:val="28"/>
          <w:rtl/>
        </w:rPr>
        <w:t>، تشمل هذه الفترة تصميم أداة الدراسة، والحصول على الموافقات اللازمة، وتوزيع الاستبيانات وجمعها، ومن ثم تحليل البيانات إحصائيًا وكتابة النتائج والتوصيات النهائية.</w:t>
      </w:r>
    </w:p>
    <w:p w14:paraId="5D5D62A0" w14:textId="77777777" w:rsidR="00863B90" w:rsidRPr="003D1437" w:rsidRDefault="00863B90" w:rsidP="00863B90">
      <w:pPr>
        <w:bidi/>
        <w:jc w:val="lowKashida"/>
        <w:rPr>
          <w:rFonts w:ascii="Traditional Arabic" w:hAnsi="Traditional Arabic" w:cs="Traditional Arabic"/>
          <w:sz w:val="28"/>
          <w:szCs w:val="28"/>
          <w:rtl/>
        </w:rPr>
      </w:pPr>
    </w:p>
    <w:p w14:paraId="4C8AAEA9" w14:textId="77777777" w:rsidR="00863B90" w:rsidRPr="003D1437" w:rsidRDefault="00863B90" w:rsidP="00863B90">
      <w:pPr>
        <w:bidi/>
        <w:jc w:val="lowKashida"/>
        <w:rPr>
          <w:rFonts w:ascii="Traditional Arabic" w:hAnsi="Traditional Arabic" w:cs="Traditional Arabic"/>
          <w:sz w:val="28"/>
          <w:szCs w:val="28"/>
          <w:rtl/>
        </w:rPr>
      </w:pPr>
    </w:p>
    <w:p w14:paraId="5B17E78F" w14:textId="77777777" w:rsidR="0091737E" w:rsidRPr="003D1437" w:rsidRDefault="0091737E" w:rsidP="006924ED">
      <w:pPr>
        <w:pStyle w:val="Heading2"/>
        <w:rPr>
          <w:rtl/>
        </w:rPr>
      </w:pPr>
      <w:bookmarkStart w:id="91" w:name="_Toc233422630"/>
      <w:bookmarkStart w:id="92" w:name="_Toc236402685"/>
      <w:r w:rsidRPr="003D1437">
        <w:rPr>
          <w:rtl/>
        </w:rPr>
        <w:lastRenderedPageBreak/>
        <w:t>3.6 مجتمع الدراسة</w:t>
      </w:r>
      <w:bookmarkEnd w:id="91"/>
      <w:bookmarkEnd w:id="92"/>
    </w:p>
    <w:p w14:paraId="3F1B4DEA" w14:textId="51442537"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تعتمد هذه الدراسة على استراتيجية المسح (</w:t>
      </w:r>
      <w:r w:rsidRPr="003D1437">
        <w:rPr>
          <w:rFonts w:ascii="Traditional Arabic" w:hAnsi="Traditional Arabic" w:cs="Traditional Arabic"/>
          <w:sz w:val="28"/>
          <w:szCs w:val="28"/>
        </w:rPr>
        <w:t>Survey Strategy</w:t>
      </w:r>
      <w:r w:rsidRPr="003D1437">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عينة ممثلة للمجتمع، وذلك باستخدام أداة موحدة مثل الاستبيان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تسمح استراتيجية المسح بجمع بيانات حول آراء واتجاهات وسلوكيات أفراد العينة تجاه متغيرات الدراسة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CF64BE5" w14:textId="5200C11D" w:rsidR="0091737E" w:rsidRPr="003D1437" w:rsidRDefault="0091737E" w:rsidP="0088660D">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بناءً على تحليل الملفات الإحصائية المرفقة </w:t>
      </w:r>
      <w:r w:rsidR="0088660D" w:rsidRPr="003D1437">
        <w:rPr>
          <w:rFonts w:ascii="Traditional Arabic" w:hAnsi="Traditional Arabic" w:cs="Traditional Arabic" w:hint="cs"/>
          <w:sz w:val="28"/>
          <w:szCs w:val="28"/>
          <w:rtl/>
        </w:rPr>
        <w:t>(وزارة التعليم، 2024)</w:t>
      </w:r>
      <w:r w:rsidRPr="003D1437">
        <w:rPr>
          <w:rFonts w:ascii="Traditional Arabic" w:hAnsi="Traditional Arabic" w:cs="Traditional Arabic"/>
          <w:sz w:val="28"/>
          <w:szCs w:val="28"/>
          <w:rtl/>
        </w:rPr>
        <w:t xml:space="preserve"> يحتوي على بيانات تفصيلية حسب إدارات التعليم لعام (1445 هـ الموافق 2023-2024). لتحديد حجم المجتمع الإحصائي التقريبي. وفقًا لهذه البيانات، يوضح الجدول التالي أعداد المعلمين والإداريين في الإدارة العامة للتعليم بمنطقة مكة المكرمة لعام 1445هـ في مراحل التعليم العام الحكومي والأهلي (بنين وبنات):</w:t>
      </w:r>
    </w:p>
    <w:p w14:paraId="4FCA72F2" w14:textId="255605F4" w:rsidR="0091737E" w:rsidRPr="003D1437" w:rsidRDefault="0091737E" w:rsidP="00A14B40">
      <w:pPr>
        <w:pStyle w:val="Heading4"/>
        <w:rPr>
          <w:color w:val="auto"/>
          <w:rtl/>
        </w:rPr>
      </w:pPr>
      <w:bookmarkStart w:id="93" w:name="_Toc235065198"/>
      <w:r w:rsidRPr="003D1437">
        <w:rPr>
          <w:color w:val="auto"/>
          <w:rtl/>
        </w:rPr>
        <w:t>جدول (</w:t>
      </w:r>
      <w:r w:rsidR="00863B90" w:rsidRPr="003D1437">
        <w:rPr>
          <w:rFonts w:hint="cs"/>
          <w:color w:val="auto"/>
          <w:rtl/>
        </w:rPr>
        <w:t>1</w:t>
      </w:r>
      <w:r w:rsidRPr="003D1437">
        <w:rPr>
          <w:color w:val="auto"/>
          <w:rtl/>
        </w:rPr>
        <w:t>): إحصائيات المعلمين والإداريين في الإدارة العامة للتعليم بمنطقة مكة المكرمة لعام 1445هـ (2023-2024)</w:t>
      </w:r>
      <w:bookmarkEnd w:id="93"/>
    </w:p>
    <w:tbl>
      <w:tblPr>
        <w:tblStyle w:val="PlainTable5"/>
        <w:bidiVisual/>
        <w:tblW w:w="5000" w:type="pct"/>
        <w:tblLook w:val="04A0" w:firstRow="1" w:lastRow="0" w:firstColumn="1" w:lastColumn="0" w:noHBand="0" w:noVBand="1"/>
      </w:tblPr>
      <w:tblGrid>
        <w:gridCol w:w="4246"/>
        <w:gridCol w:w="5114"/>
      </w:tblGrid>
      <w:tr w:rsidR="003D1437" w:rsidRPr="003D1437" w14:paraId="5508D5E2" w14:textId="77777777" w:rsidTr="00A854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pct"/>
            <w:shd w:val="clear" w:color="auto" w:fill="auto"/>
            <w:hideMark/>
          </w:tcPr>
          <w:p w14:paraId="24A89731" w14:textId="77777777" w:rsidR="0091737E" w:rsidRPr="003D1437" w:rsidRDefault="0091737E" w:rsidP="0088660D">
            <w:pPr>
              <w:bidi/>
              <w:spacing w:after="160"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الفئة</w:t>
            </w:r>
          </w:p>
        </w:tc>
        <w:tc>
          <w:tcPr>
            <w:tcW w:w="2732" w:type="pct"/>
            <w:shd w:val="clear" w:color="auto" w:fill="auto"/>
            <w:hideMark/>
          </w:tcPr>
          <w:p w14:paraId="72BCEE24"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العدد</w:t>
            </w:r>
          </w:p>
        </w:tc>
      </w:tr>
      <w:tr w:rsidR="003D1437" w:rsidRPr="003D1437" w14:paraId="07D19F4D"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pct"/>
            <w:shd w:val="clear" w:color="auto" w:fill="auto"/>
            <w:hideMark/>
          </w:tcPr>
          <w:p w14:paraId="4F023437" w14:textId="77777777" w:rsidR="0091737E" w:rsidRPr="003D1437" w:rsidRDefault="0091737E"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المعلمون</w:t>
            </w:r>
          </w:p>
        </w:tc>
        <w:tc>
          <w:tcPr>
            <w:tcW w:w="2732" w:type="pct"/>
            <w:shd w:val="clear" w:color="auto" w:fill="auto"/>
            <w:hideMark/>
          </w:tcPr>
          <w:p w14:paraId="2299F826" w14:textId="77777777" w:rsidR="0091737E" w:rsidRPr="003D1437" w:rsidRDefault="0091737E"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37,273</w:t>
            </w:r>
          </w:p>
        </w:tc>
      </w:tr>
      <w:tr w:rsidR="003D1437" w:rsidRPr="003D1437" w14:paraId="22D32A10" w14:textId="77777777" w:rsidTr="00A854F1">
        <w:tc>
          <w:tcPr>
            <w:cnfStyle w:val="001000000000" w:firstRow="0" w:lastRow="0" w:firstColumn="1" w:lastColumn="0" w:oddVBand="0" w:evenVBand="0" w:oddHBand="0" w:evenHBand="0" w:firstRowFirstColumn="0" w:firstRowLastColumn="0" w:lastRowFirstColumn="0" w:lastRowLastColumn="0"/>
            <w:tcW w:w="2268" w:type="pct"/>
            <w:shd w:val="clear" w:color="auto" w:fill="auto"/>
            <w:hideMark/>
          </w:tcPr>
          <w:p w14:paraId="0FD90A1E" w14:textId="77777777" w:rsidR="0091737E" w:rsidRPr="003D1437" w:rsidRDefault="0091737E"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الإداريون</w:t>
            </w:r>
          </w:p>
        </w:tc>
        <w:tc>
          <w:tcPr>
            <w:tcW w:w="2732" w:type="pct"/>
            <w:hideMark/>
          </w:tcPr>
          <w:p w14:paraId="1465DCC5" w14:textId="77777777" w:rsidR="0091737E" w:rsidRPr="003D1437" w:rsidRDefault="0091737E"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5,612</w:t>
            </w:r>
          </w:p>
        </w:tc>
      </w:tr>
      <w:tr w:rsidR="003D1437" w:rsidRPr="003D1437" w14:paraId="62478A66"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pct"/>
            <w:shd w:val="clear" w:color="auto" w:fill="auto"/>
            <w:hideMark/>
          </w:tcPr>
          <w:p w14:paraId="1A018001" w14:textId="77777777" w:rsidR="0091737E" w:rsidRPr="003D1437" w:rsidRDefault="0091737E"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b/>
                <w:bCs/>
                <w:sz w:val="28"/>
                <w:szCs w:val="28"/>
                <w:rtl/>
              </w:rPr>
              <w:t>الإجمالي</w:t>
            </w:r>
          </w:p>
        </w:tc>
        <w:tc>
          <w:tcPr>
            <w:tcW w:w="2732" w:type="pct"/>
            <w:shd w:val="clear" w:color="auto" w:fill="auto"/>
            <w:hideMark/>
          </w:tcPr>
          <w:p w14:paraId="4698782F" w14:textId="77777777" w:rsidR="0091737E" w:rsidRPr="003D1437" w:rsidRDefault="0091737E"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b/>
                <w:bCs/>
                <w:sz w:val="28"/>
                <w:szCs w:val="28"/>
              </w:rPr>
              <w:t>42,885</w:t>
            </w:r>
          </w:p>
        </w:tc>
      </w:tr>
    </w:tbl>
    <w:p w14:paraId="1546D6EC"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المصدر:</w:t>
      </w:r>
      <w:r w:rsidRPr="003D1437">
        <w:rPr>
          <w:rFonts w:ascii="Traditional Arabic" w:hAnsi="Traditional Arabic" w:cs="Traditional Arabic"/>
          <w:sz w:val="28"/>
          <w:szCs w:val="28"/>
          <w:rtl/>
        </w:rPr>
        <w:t xml:space="preserve"> (وزارة التعليم، 1445هـ). </w:t>
      </w:r>
      <w:r w:rsidRPr="003D1437">
        <w:rPr>
          <w:rFonts w:ascii="Traditional Arabic" w:hAnsi="Traditional Arabic" w:cs="Traditional Arabic"/>
          <w:i/>
          <w:iCs/>
          <w:sz w:val="28"/>
          <w:szCs w:val="28"/>
          <w:rtl/>
        </w:rPr>
        <w:t>معلومات إحصائية عن التعليم العام</w:t>
      </w:r>
      <w:r w:rsidRPr="003D1437">
        <w:rPr>
          <w:rFonts w:ascii="Traditional Arabic" w:hAnsi="Traditional Arabic" w:cs="Traditional Arabic"/>
          <w:sz w:val="28"/>
          <w:szCs w:val="28"/>
          <w:rtl/>
        </w:rPr>
        <w:t>.</w:t>
      </w:r>
    </w:p>
    <w:p w14:paraId="59AFE0BE" w14:textId="2882CBB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نظراً لأن الدراسة تستهدف العاملين في الوظائف الإدارية والقيادية والإشرافية ذات الصلة بالتخطيط والتكنولوجيا، فإن فئة </w:t>
      </w:r>
      <w:r w:rsidRPr="003D1437">
        <w:rPr>
          <w:rFonts w:ascii="Traditional Arabic" w:hAnsi="Traditional Arabic" w:cs="Traditional Arabic"/>
          <w:b/>
          <w:bCs/>
          <w:sz w:val="28"/>
          <w:szCs w:val="28"/>
          <w:rtl/>
        </w:rPr>
        <w:t>"الإداريون"</w:t>
      </w:r>
      <w:r w:rsidRPr="003D1437">
        <w:rPr>
          <w:rFonts w:ascii="Traditional Arabic" w:hAnsi="Traditional Arabic" w:cs="Traditional Arabic"/>
          <w:sz w:val="28"/>
          <w:szCs w:val="28"/>
          <w:rtl/>
        </w:rPr>
        <w:t xml:space="preserve"> البالغ عددهم </w:t>
      </w:r>
      <w:r w:rsidRPr="003D1437">
        <w:rPr>
          <w:rFonts w:ascii="Traditional Arabic" w:hAnsi="Traditional Arabic" w:cs="Traditional Arabic"/>
          <w:b/>
          <w:bCs/>
          <w:sz w:val="28"/>
          <w:szCs w:val="28"/>
          <w:rtl/>
        </w:rPr>
        <w:t>5,612</w:t>
      </w:r>
      <w:r w:rsidRPr="003D1437">
        <w:rPr>
          <w:rFonts w:ascii="Traditional Arabic" w:hAnsi="Traditional Arabic" w:cs="Traditional Arabic"/>
          <w:sz w:val="28"/>
          <w:szCs w:val="28"/>
          <w:rtl/>
        </w:rPr>
        <w:t xml:space="preserve"> تعتبر الأقرب لتمثيل مجتمع الدراسة. </w:t>
      </w:r>
      <w:r w:rsidRPr="003D1437">
        <w:rPr>
          <w:rFonts w:ascii="Traditional Arabic" w:hAnsi="Traditional Arabic" w:cs="Traditional Arabic"/>
          <w:b/>
          <w:bCs/>
          <w:sz w:val="28"/>
          <w:szCs w:val="28"/>
          <w:rtl/>
        </w:rPr>
        <w:t xml:space="preserve">لذا، سيتم اعتماد الرقم </w:t>
      </w:r>
      <w:r w:rsidRPr="003D1437">
        <w:rPr>
          <w:rFonts w:ascii="Traditional Arabic" w:hAnsi="Traditional Arabic" w:cs="Traditional Arabic"/>
          <w:b/>
          <w:bCs/>
          <w:sz w:val="28"/>
          <w:szCs w:val="28"/>
        </w:rPr>
        <w:t>M = 5,612</w:t>
      </w:r>
      <w:r w:rsidRPr="003D1437">
        <w:rPr>
          <w:rFonts w:ascii="Traditional Arabic" w:hAnsi="Traditional Arabic" w:cs="Traditional Arabic"/>
          <w:sz w:val="28"/>
          <w:szCs w:val="28"/>
          <w:rtl/>
        </w:rPr>
        <w:t xml:space="preserve"> لحساب حجم العينة، مع الإقرار بأن هذا الرقم قد يشمل فئات إدارية أوسع من المستهدفة بشكل دقيق، ولكنه يمثل أفضل تقدير متاح من البيانات المرفقة.</w:t>
      </w:r>
    </w:p>
    <w:p w14:paraId="007FE6B1" w14:textId="77777777" w:rsidR="0091737E" w:rsidRPr="003D1437" w:rsidRDefault="0091737E" w:rsidP="006924ED">
      <w:pPr>
        <w:pStyle w:val="Heading2"/>
        <w:rPr>
          <w:rtl/>
        </w:rPr>
      </w:pPr>
      <w:bookmarkStart w:id="94" w:name="_Toc233422631"/>
      <w:bookmarkStart w:id="95" w:name="_Toc236402686"/>
      <w:r w:rsidRPr="003D1437">
        <w:rPr>
          <w:rtl/>
        </w:rPr>
        <w:t>3.7 عينة الدراسة وتقنية أخذ العينات</w:t>
      </w:r>
      <w:bookmarkEnd w:id="94"/>
      <w:bookmarkEnd w:id="95"/>
    </w:p>
    <w:p w14:paraId="5D3332EF" w14:textId="694C8182" w:rsidR="002940FB" w:rsidRPr="003D1437" w:rsidRDefault="002940FB" w:rsidP="002940FB">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نظراً لطبيعة الدراسة الحالية التي تستهدف فئة نوعية من الإداريين والقيادات ذات الصلة المباشرة بالتخطيط الاستراتيجي والتكنولوجيا في الإدارة العامة للتعليم بمنطقة مكة المكرمة، فقد اعتمدت الباحثة على أسلوب الحصر الشامل (</w:t>
      </w:r>
      <w:r w:rsidRPr="003D1437">
        <w:rPr>
          <w:rFonts w:ascii="Traditional Arabic" w:hAnsi="Traditional Arabic" w:cs="Traditional Arabic"/>
          <w:sz w:val="28"/>
          <w:szCs w:val="28"/>
        </w:rPr>
        <w:t>Census Method</w:t>
      </w:r>
      <w:r w:rsidRPr="003D1437">
        <w:rPr>
          <w:rFonts w:ascii="Traditional Arabic" w:hAnsi="Traditional Arabic" w:cs="Traditional Arabic"/>
          <w:sz w:val="28"/>
          <w:szCs w:val="28"/>
          <w:rtl/>
        </w:rPr>
        <w:t>) للمجتمع المتاح والفعلي الذي استجاب للأداة، بدلاً من سحب عينة إحصائية جزئية.</w:t>
      </w:r>
    </w:p>
    <w:p w14:paraId="48BFA23D" w14:textId="77D30D8F" w:rsidR="0088660D" w:rsidRPr="003D1437" w:rsidRDefault="002940FB" w:rsidP="002940FB">
      <w:pPr>
        <w:bidi/>
        <w:jc w:val="lowKashida"/>
        <w:rPr>
          <w:rFonts w:ascii="Traditional Arabic" w:hAnsi="Traditional Arabic" w:cs="Traditional Arabic"/>
          <w:b/>
          <w:bCs/>
          <w:sz w:val="28"/>
          <w:szCs w:val="28"/>
          <w:rtl/>
        </w:rPr>
      </w:pPr>
      <w:r w:rsidRPr="003D1437">
        <w:rPr>
          <w:rFonts w:ascii="Traditional Arabic" w:hAnsi="Traditional Arabic" w:cs="Traditional Arabic"/>
          <w:sz w:val="28"/>
          <w:szCs w:val="28"/>
          <w:rtl/>
        </w:rPr>
        <w:lastRenderedPageBreak/>
        <w:t>ويُعرّف الحصر الشامل بأنه جمع البيانات من جميع مفردات المجتمع محل الدراسة دون استثناء لضمان دقة النتائج وانتفاء خطأ المعاينة (</w:t>
      </w:r>
      <w:r w:rsidRPr="003D1437">
        <w:rPr>
          <w:rFonts w:ascii="Traditional Arabic" w:hAnsi="Traditional Arabic" w:cs="Traditional Arabic"/>
          <w:sz w:val="28"/>
          <w:szCs w:val="28"/>
        </w:rPr>
        <w:t>Cochran, 1977</w:t>
      </w:r>
      <w:r w:rsidRPr="003D1437">
        <w:rPr>
          <w:rFonts w:ascii="Traditional Arabic" w:hAnsi="Traditional Arabic" w:cs="Traditional Arabic"/>
          <w:sz w:val="28"/>
          <w:szCs w:val="28"/>
          <w:rtl/>
        </w:rPr>
        <w:t>). وبناءً على ذلك، تم توزيع أداة الدراسة إلكترونياً على مجتمع الموظفين الإداريين المستهدفين، وبلغ عدد الاستجابات الصحيحة والكاملة التي خضعت للتحليل النهائي (81) مفردة، يمثلون المجتمع الفعلي المتاح للدراسة والذي يمتلك المعرفة الكافية بموضوع الذكاء الاصطناعي والتخطيط الاستراتيجي في إدارة التعليم بمكة المكرمة."</w:t>
      </w:r>
    </w:p>
    <w:p w14:paraId="595AAD3F" w14:textId="4A26A52B" w:rsidR="0091737E" w:rsidRPr="003D1437" w:rsidRDefault="0091737E" w:rsidP="006924ED">
      <w:pPr>
        <w:pStyle w:val="Heading2"/>
        <w:rPr>
          <w:rtl/>
        </w:rPr>
      </w:pPr>
      <w:bookmarkStart w:id="96" w:name="_Toc233422632"/>
      <w:bookmarkStart w:id="97" w:name="_Toc236402687"/>
      <w:r w:rsidRPr="003D1437">
        <w:rPr>
          <w:rtl/>
        </w:rPr>
        <w:t>3.</w:t>
      </w:r>
      <w:r w:rsidR="00CD2C71" w:rsidRPr="003D1437">
        <w:rPr>
          <w:rFonts w:hint="cs"/>
          <w:rtl/>
        </w:rPr>
        <w:t>8</w:t>
      </w:r>
      <w:r w:rsidRPr="003D1437">
        <w:rPr>
          <w:rtl/>
        </w:rPr>
        <w:t xml:space="preserve"> أسلوب جمع البيانات وأداة الدراسة</w:t>
      </w:r>
      <w:bookmarkEnd w:id="96"/>
      <w:bookmarkEnd w:id="97"/>
    </w:p>
    <w:p w14:paraId="06B5265A" w14:textId="0E8F32AF"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تم الاعتماد على الاستبيان الإلكتروني كأداة رئيسية لجمع البيانات الأولية من عينة الدراسة. تم تصميم الاستبيان باستخدام نماذج جوجل (</w:t>
      </w:r>
      <w:r w:rsidRPr="003D1437">
        <w:rPr>
          <w:rFonts w:ascii="Traditional Arabic" w:hAnsi="Traditional Arabic" w:cs="Traditional Arabic"/>
          <w:sz w:val="28"/>
          <w:szCs w:val="28"/>
        </w:rPr>
        <w:t>Google Forms</w:t>
      </w:r>
      <w:r w:rsidRPr="003D1437">
        <w:rPr>
          <w:rFonts w:ascii="Traditional Arabic" w:hAnsi="Traditional Arabic" w:cs="Traditional Arabic"/>
          <w:sz w:val="28"/>
          <w:szCs w:val="28"/>
          <w:rtl/>
        </w:rPr>
        <w:t>) وتوزيعه إلكترونياً على أفراد العينة المختارة بعد الحصول على الموافقات الرسمية اللازمة. تم التواصل مع المستجيبين وتوضيح أهداف الدراسة وأهميتها وتشجيعهم على المشاركة، مع التأكيد على سرية البيانات واستخدامها لأغراض البحث العلمي فقط</w:t>
      </w:r>
      <w:r w:rsidR="0091737E" w:rsidRPr="003D1437">
        <w:rPr>
          <w:rFonts w:ascii="Traditional Arabic" w:hAnsi="Traditional Arabic" w:cs="Traditional Arabic"/>
          <w:sz w:val="28"/>
          <w:szCs w:val="28"/>
          <w:rtl/>
        </w:rPr>
        <w:t>.</w:t>
      </w:r>
    </w:p>
    <w:p w14:paraId="6E8D03B7"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يتكون الاستبيان من الأجزاء التالية:</w:t>
      </w:r>
    </w:p>
    <w:p w14:paraId="4C948942" w14:textId="75FEB954" w:rsidR="00151DC2" w:rsidRDefault="0091737E">
      <w:pPr>
        <w:numPr>
          <w:ilvl w:val="0"/>
          <w:numId w:val="35"/>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الجزء الأول: البيانات الديموغرافية:</w:t>
      </w:r>
      <w:r w:rsidRPr="003D1437">
        <w:rPr>
          <w:rFonts w:ascii="Traditional Arabic" w:hAnsi="Traditional Arabic" w:cs="Traditional Arabic"/>
          <w:sz w:val="28"/>
          <w:szCs w:val="28"/>
          <w:rtl/>
        </w:rPr>
        <w:t xml:space="preserve"> ويشمل متغيرات أساسية لوصف خصائص عينة الدراسة </w:t>
      </w:r>
      <w:r w:rsidR="00151DC2" w:rsidRPr="003D1437">
        <w:rPr>
          <w:rFonts w:ascii="Traditional Arabic" w:hAnsi="Traditional Arabic" w:cs="Traditional Arabic" w:hint="cs"/>
          <w:sz w:val="28"/>
          <w:szCs w:val="28"/>
          <w:rtl/>
        </w:rPr>
        <w:t xml:space="preserve">وهي على النحو التالي وتم قياسه على النحو التالي: </w:t>
      </w:r>
      <w:r w:rsidR="00151DC2" w:rsidRPr="003D1437">
        <w:rPr>
          <w:rFonts w:ascii="Traditional Arabic" w:hAnsi="Traditional Arabic" w:cs="Traditional Arabic"/>
          <w:b/>
          <w:bCs/>
          <w:sz w:val="28"/>
          <w:szCs w:val="28"/>
          <w:rtl/>
        </w:rPr>
        <w:t>الجنس</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ذكر</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أنثى</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b/>
          <w:bCs/>
          <w:sz w:val="28"/>
          <w:szCs w:val="28"/>
          <w:rtl/>
        </w:rPr>
        <w:t>العمر</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أقل من 30 سنة</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من 30 إلى أقل من 40 سنة</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من 40 إلى أقل من 50 سنة</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50 سنة فأكثر</w:t>
      </w:r>
      <w:r w:rsidR="00151DC2" w:rsidRPr="003D1437">
        <w:rPr>
          <w:rFonts w:ascii="Traditional Arabic" w:hAnsi="Traditional Arabic" w:cs="Traditional Arabic" w:hint="cs"/>
          <w:sz w:val="28"/>
          <w:szCs w:val="28"/>
          <w:rtl/>
        </w:rPr>
        <w:t xml:space="preserve">= 4)، </w:t>
      </w:r>
      <w:r w:rsidR="00151DC2" w:rsidRPr="003D1437">
        <w:rPr>
          <w:rFonts w:ascii="Traditional Arabic" w:hAnsi="Traditional Arabic" w:cs="Traditional Arabic"/>
          <w:b/>
          <w:bCs/>
          <w:sz w:val="28"/>
          <w:szCs w:val="28"/>
          <w:rtl/>
        </w:rPr>
        <w:t>المؤهل العلمي</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دبلوم</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بكالوريوس</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دراسات عليا (ماجستير/دكتوراه)</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أخرى</w:t>
      </w:r>
      <w:r w:rsidR="00151DC2" w:rsidRPr="003D1437">
        <w:rPr>
          <w:rFonts w:ascii="Traditional Arabic" w:hAnsi="Traditional Arabic" w:cs="Traditional Arabic" w:hint="cs"/>
          <w:sz w:val="28"/>
          <w:szCs w:val="28"/>
          <w:rtl/>
        </w:rPr>
        <w:t xml:space="preserve">= 4)، </w:t>
      </w:r>
      <w:r w:rsidR="00151DC2" w:rsidRPr="003D1437">
        <w:rPr>
          <w:rFonts w:ascii="Traditional Arabic" w:hAnsi="Traditional Arabic" w:cs="Traditional Arabic"/>
          <w:b/>
          <w:bCs/>
          <w:sz w:val="28"/>
          <w:szCs w:val="28"/>
          <w:rtl/>
        </w:rPr>
        <w:t>المسمى الوظيفي</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مدير إدارة / مساعد مدير</w:t>
      </w:r>
      <w:r w:rsidR="00151DC2" w:rsidRPr="003D1437">
        <w:rPr>
          <w:rFonts w:ascii="Traditional Arabic" w:hAnsi="Traditional Arabic" w:cs="Traditional Arabic" w:hint="cs"/>
          <w:sz w:val="28"/>
          <w:szCs w:val="28"/>
          <w:rtl/>
        </w:rPr>
        <w:t xml:space="preserve">=1، </w:t>
      </w:r>
      <w:r w:rsidR="00151DC2" w:rsidRPr="003D1437">
        <w:rPr>
          <w:rFonts w:ascii="Traditional Arabic" w:hAnsi="Traditional Arabic" w:cs="Traditional Arabic"/>
          <w:sz w:val="28"/>
          <w:szCs w:val="28"/>
          <w:rtl/>
        </w:rPr>
        <w:t>رئيس قسم</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مشرف تربوي</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أخصائي تخطيط / تقنية معلومات</w:t>
      </w:r>
      <w:r w:rsidR="00151DC2" w:rsidRPr="003D1437">
        <w:rPr>
          <w:rFonts w:ascii="Traditional Arabic" w:hAnsi="Traditional Arabic" w:cs="Traditional Arabic" w:hint="cs"/>
          <w:sz w:val="28"/>
          <w:szCs w:val="28"/>
          <w:rtl/>
        </w:rPr>
        <w:t xml:space="preserve">= 4، </w:t>
      </w:r>
      <w:r w:rsidR="00151DC2" w:rsidRPr="003D1437">
        <w:rPr>
          <w:rFonts w:ascii="Traditional Arabic" w:hAnsi="Traditional Arabic" w:cs="Traditional Arabic"/>
          <w:sz w:val="28"/>
          <w:szCs w:val="28"/>
          <w:rtl/>
        </w:rPr>
        <w:t>موظف إداري</w:t>
      </w:r>
      <w:r w:rsidR="00151DC2" w:rsidRPr="003D1437">
        <w:rPr>
          <w:rFonts w:ascii="Traditional Arabic" w:hAnsi="Traditional Arabic" w:cs="Traditional Arabic" w:hint="cs"/>
          <w:sz w:val="28"/>
          <w:szCs w:val="28"/>
          <w:rtl/>
        </w:rPr>
        <w:t xml:space="preserve">= 5، </w:t>
      </w:r>
      <w:r w:rsidR="00151DC2" w:rsidRPr="003D1437">
        <w:rPr>
          <w:rFonts w:ascii="Traditional Arabic" w:hAnsi="Traditional Arabic" w:cs="Traditional Arabic"/>
          <w:sz w:val="28"/>
          <w:szCs w:val="28"/>
          <w:rtl/>
        </w:rPr>
        <w:t>أخر</w:t>
      </w:r>
      <w:r w:rsidR="00151DC2" w:rsidRPr="003D1437">
        <w:rPr>
          <w:rFonts w:ascii="Traditional Arabic" w:hAnsi="Traditional Arabic" w:cs="Traditional Arabic" w:hint="cs"/>
          <w:sz w:val="28"/>
          <w:szCs w:val="28"/>
          <w:rtl/>
        </w:rPr>
        <w:t xml:space="preserve">= 6)، </w:t>
      </w:r>
      <w:r w:rsidR="00151DC2" w:rsidRPr="003D1437">
        <w:rPr>
          <w:rFonts w:ascii="Traditional Arabic" w:hAnsi="Traditional Arabic" w:cs="Traditional Arabic"/>
          <w:b/>
          <w:bCs/>
          <w:sz w:val="28"/>
          <w:szCs w:val="28"/>
          <w:rtl/>
        </w:rPr>
        <w:t>سنوات الخبرة في العمل الحالي</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أقل من 5 سنوات</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من 5 إلى أقل من 10 سنوات</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من 10 إلى أقل من 15 سنة</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15 سنة فأكثر</w:t>
      </w:r>
      <w:r w:rsidR="00151DC2" w:rsidRPr="003D1437">
        <w:rPr>
          <w:rFonts w:ascii="Traditional Arabic" w:hAnsi="Traditional Arabic" w:cs="Traditional Arabic" w:hint="cs"/>
          <w:sz w:val="28"/>
          <w:szCs w:val="28"/>
          <w:rtl/>
        </w:rPr>
        <w:t>= 4).</w:t>
      </w:r>
    </w:p>
    <w:p w14:paraId="1F2F1055" w14:textId="77777777" w:rsidR="006D5279" w:rsidRPr="007D353E" w:rsidRDefault="006D5279" w:rsidP="006D5279">
      <w:pPr>
        <w:numPr>
          <w:ilvl w:val="0"/>
          <w:numId w:val="35"/>
        </w:numPr>
        <w:tabs>
          <w:tab w:val="num" w:pos="1440"/>
        </w:tabs>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الجزء الثاني: قياس المتغير المستقل (الذكاء الاصطناعي):</w:t>
      </w:r>
      <w:r w:rsidRPr="007D353E">
        <w:rPr>
          <w:rFonts w:ascii="Traditional Arabic" w:hAnsi="Traditional Arabic" w:cs="Traditional Arabic"/>
          <w:sz w:val="28"/>
          <w:szCs w:val="28"/>
          <w:rtl/>
        </w:rPr>
        <w:t xml:space="preserve"> تم قياس هذا المتغير من خلال </w:t>
      </w:r>
      <w:r w:rsidRPr="007D353E">
        <w:rPr>
          <w:rFonts w:ascii="Traditional Arabic" w:hAnsi="Traditional Arabic" w:cs="Traditional Arabic"/>
          <w:b/>
          <w:bCs/>
          <w:sz w:val="28"/>
          <w:szCs w:val="28"/>
          <w:rtl/>
        </w:rPr>
        <w:t>15 بنداً</w:t>
      </w:r>
      <w:r w:rsidRPr="007D353E">
        <w:rPr>
          <w:rFonts w:ascii="Traditional Arabic" w:hAnsi="Traditional Arabic" w:cs="Traditional Arabic"/>
          <w:sz w:val="28"/>
          <w:szCs w:val="28"/>
          <w:rtl/>
        </w:rPr>
        <w:t xml:space="preserve"> مقسمة بالتساوي على ثلاثة أبعاد رئيسية (بواقع 5 بنود لكل بُعد) تم تطويرها بالاستناد إلى الأدبيات المرجعية:</w:t>
      </w:r>
    </w:p>
    <w:p w14:paraId="6B9257BB" w14:textId="77777777" w:rsidR="006D5279" w:rsidRPr="007D353E" w:rsidRDefault="006D5279" w:rsidP="006D5279">
      <w:pPr>
        <w:pStyle w:val="ListParagraph"/>
        <w:numPr>
          <w:ilvl w:val="0"/>
          <w:numId w:val="48"/>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أتمتة المهام الإدارية:</w:t>
      </w:r>
      <w:r w:rsidRPr="007D353E">
        <w:rPr>
          <w:rFonts w:ascii="Traditional Arabic" w:hAnsi="Traditional Arabic" w:cs="Traditional Arabic"/>
          <w:sz w:val="28"/>
          <w:szCs w:val="28"/>
          <w:rtl/>
        </w:rPr>
        <w:t xml:space="preserve"> وقسيت عبر </w:t>
      </w:r>
      <w:r w:rsidRPr="007D353E">
        <w:rPr>
          <w:rFonts w:ascii="Traditional Arabic" w:hAnsi="Traditional Arabic" w:cs="Traditional Arabic"/>
          <w:b/>
          <w:bCs/>
          <w:sz w:val="28"/>
          <w:szCs w:val="28"/>
          <w:rtl/>
        </w:rPr>
        <w:t>5 بنود</w:t>
      </w:r>
      <w:r w:rsidRPr="007D353E">
        <w:rPr>
          <w:rFonts w:ascii="Traditional Arabic" w:hAnsi="Traditional Arabic" w:cs="Traditional Arabic"/>
          <w:sz w:val="28"/>
          <w:szCs w:val="28"/>
          <w:rtl/>
        </w:rPr>
        <w:t xml:space="preserve"> (البنود من 1 إلى 5).</w:t>
      </w:r>
    </w:p>
    <w:p w14:paraId="683C8C61" w14:textId="77777777" w:rsidR="006D5279" w:rsidRPr="007D353E" w:rsidRDefault="006D5279" w:rsidP="006D5279">
      <w:pPr>
        <w:pStyle w:val="ListParagraph"/>
        <w:numPr>
          <w:ilvl w:val="0"/>
          <w:numId w:val="48"/>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دعم اتخاذ القرار:</w:t>
      </w:r>
      <w:r w:rsidRPr="007D353E">
        <w:rPr>
          <w:rFonts w:ascii="Traditional Arabic" w:hAnsi="Traditional Arabic" w:cs="Traditional Arabic"/>
          <w:sz w:val="28"/>
          <w:szCs w:val="28"/>
          <w:rtl/>
        </w:rPr>
        <w:t xml:space="preserve"> وقسيت عبر </w:t>
      </w:r>
      <w:r w:rsidRPr="007D353E">
        <w:rPr>
          <w:rFonts w:ascii="Traditional Arabic" w:hAnsi="Traditional Arabic" w:cs="Traditional Arabic"/>
          <w:b/>
          <w:bCs/>
          <w:sz w:val="28"/>
          <w:szCs w:val="28"/>
          <w:rtl/>
        </w:rPr>
        <w:t>5 بنود</w:t>
      </w:r>
      <w:r w:rsidRPr="007D353E">
        <w:rPr>
          <w:rFonts w:ascii="Traditional Arabic" w:hAnsi="Traditional Arabic" w:cs="Traditional Arabic"/>
          <w:sz w:val="28"/>
          <w:szCs w:val="28"/>
          <w:rtl/>
        </w:rPr>
        <w:t xml:space="preserve"> (البنود من 6 إلى 10).</w:t>
      </w:r>
    </w:p>
    <w:p w14:paraId="75E2515B" w14:textId="77777777" w:rsidR="006D5279" w:rsidRPr="007D353E" w:rsidRDefault="006D5279" w:rsidP="006D5279">
      <w:pPr>
        <w:pStyle w:val="ListParagraph"/>
        <w:numPr>
          <w:ilvl w:val="0"/>
          <w:numId w:val="48"/>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أنظمة الإنذار المبكر:</w:t>
      </w:r>
      <w:r w:rsidRPr="007D353E">
        <w:rPr>
          <w:rFonts w:ascii="Traditional Arabic" w:hAnsi="Traditional Arabic" w:cs="Traditional Arabic"/>
          <w:sz w:val="28"/>
          <w:szCs w:val="28"/>
          <w:rtl/>
        </w:rPr>
        <w:t xml:space="preserve"> وقسيت عبر </w:t>
      </w:r>
      <w:r w:rsidRPr="007D353E">
        <w:rPr>
          <w:rFonts w:ascii="Traditional Arabic" w:hAnsi="Traditional Arabic" w:cs="Traditional Arabic"/>
          <w:b/>
          <w:bCs/>
          <w:sz w:val="28"/>
          <w:szCs w:val="28"/>
          <w:rtl/>
        </w:rPr>
        <w:t>5 بنود</w:t>
      </w:r>
      <w:r w:rsidRPr="007D353E">
        <w:rPr>
          <w:rFonts w:ascii="Traditional Arabic" w:hAnsi="Traditional Arabic" w:cs="Traditional Arabic"/>
          <w:sz w:val="28"/>
          <w:szCs w:val="28"/>
          <w:rtl/>
        </w:rPr>
        <w:t xml:space="preserve"> (البنود من 11 إلى 15).</w:t>
      </w:r>
    </w:p>
    <w:p w14:paraId="06581463" w14:textId="77777777" w:rsidR="006D5279" w:rsidRPr="007D353E" w:rsidRDefault="006D5279" w:rsidP="006D5279">
      <w:pPr>
        <w:numPr>
          <w:ilvl w:val="0"/>
          <w:numId w:val="35"/>
        </w:numPr>
        <w:tabs>
          <w:tab w:val="num" w:pos="1440"/>
        </w:tabs>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الجزء الثالث: قياس المتغير الوسيط (التكيف التكنولوجي):</w:t>
      </w:r>
      <w:r w:rsidRPr="007D353E">
        <w:rPr>
          <w:rFonts w:ascii="Traditional Arabic" w:hAnsi="Traditional Arabic" w:cs="Traditional Arabic"/>
          <w:sz w:val="28"/>
          <w:szCs w:val="28"/>
          <w:rtl/>
        </w:rPr>
        <w:t xml:space="preserve"> تم قياس هذا المتغير كمؤشر عام كلي يعكس مدى استعداد وقدرة الإدارة على تبني واستخدام التقنيات الحديثة بفعالية، وذلك عبر </w:t>
      </w:r>
      <w:r w:rsidRPr="007D353E">
        <w:rPr>
          <w:rFonts w:ascii="Traditional Arabic" w:hAnsi="Traditional Arabic" w:cs="Traditional Arabic"/>
          <w:b/>
          <w:bCs/>
          <w:sz w:val="28"/>
          <w:szCs w:val="28"/>
          <w:rtl/>
        </w:rPr>
        <w:t>8 بنود</w:t>
      </w:r>
      <w:r w:rsidRPr="007D353E">
        <w:rPr>
          <w:rFonts w:ascii="Traditional Arabic" w:hAnsi="Traditional Arabic" w:cs="Traditional Arabic"/>
          <w:sz w:val="28"/>
          <w:szCs w:val="28"/>
          <w:rtl/>
        </w:rPr>
        <w:t xml:space="preserve"> شمولية (البنود من 16 إلى 23).</w:t>
      </w:r>
    </w:p>
    <w:p w14:paraId="7C12C50C" w14:textId="77777777" w:rsidR="006D5279" w:rsidRPr="007D353E" w:rsidRDefault="006D5279" w:rsidP="006D5279">
      <w:pPr>
        <w:numPr>
          <w:ilvl w:val="0"/>
          <w:numId w:val="35"/>
        </w:numPr>
        <w:tabs>
          <w:tab w:val="num" w:pos="1440"/>
        </w:tabs>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الجزء الرابع: قياس المتغير التابع (كفاءة التخطيط الاستراتيجي):</w:t>
      </w:r>
      <w:r w:rsidRPr="007D353E">
        <w:rPr>
          <w:rFonts w:ascii="Traditional Arabic" w:hAnsi="Traditional Arabic" w:cs="Traditional Arabic"/>
          <w:sz w:val="28"/>
          <w:szCs w:val="28"/>
          <w:rtl/>
        </w:rPr>
        <w:t xml:space="preserve"> تم قياس هذا المتغير من خلال </w:t>
      </w:r>
      <w:r w:rsidRPr="007D353E">
        <w:rPr>
          <w:rFonts w:ascii="Traditional Arabic" w:hAnsi="Traditional Arabic" w:cs="Traditional Arabic"/>
          <w:b/>
          <w:bCs/>
          <w:sz w:val="28"/>
          <w:szCs w:val="28"/>
          <w:rtl/>
        </w:rPr>
        <w:t>20 بنداً</w:t>
      </w:r>
      <w:r w:rsidRPr="007D353E">
        <w:rPr>
          <w:rFonts w:ascii="Traditional Arabic" w:hAnsi="Traditional Arabic" w:cs="Traditional Arabic"/>
          <w:sz w:val="28"/>
          <w:szCs w:val="28"/>
          <w:rtl/>
        </w:rPr>
        <w:t xml:space="preserve"> مقسمة بالتساوي على أربعة أبعاد رئيسية (بواقع 5 بنود لكل بُعد):</w:t>
      </w:r>
    </w:p>
    <w:p w14:paraId="771E4834" w14:textId="77777777" w:rsidR="006D5279" w:rsidRPr="006D5279" w:rsidRDefault="006D5279" w:rsidP="006D5279">
      <w:pPr>
        <w:pStyle w:val="ListParagraph"/>
        <w:numPr>
          <w:ilvl w:val="0"/>
          <w:numId w:val="48"/>
        </w:numPr>
        <w:bidi/>
        <w:jc w:val="lowKashida"/>
        <w:rPr>
          <w:rFonts w:ascii="Traditional Arabic" w:hAnsi="Traditional Arabic" w:cs="Traditional Arabic"/>
          <w:sz w:val="28"/>
          <w:szCs w:val="28"/>
          <w:rtl/>
        </w:rPr>
      </w:pPr>
      <w:r w:rsidRPr="006D5279">
        <w:rPr>
          <w:rFonts w:ascii="Traditional Arabic" w:hAnsi="Traditional Arabic" w:cs="Traditional Arabic"/>
          <w:b/>
          <w:bCs/>
          <w:sz w:val="28"/>
          <w:szCs w:val="28"/>
          <w:rtl/>
        </w:rPr>
        <w:lastRenderedPageBreak/>
        <w:t>كفاءة التحليل الاستراتيجي:</w:t>
      </w:r>
      <w:r w:rsidRPr="006D5279">
        <w:rPr>
          <w:rFonts w:ascii="Traditional Arabic" w:hAnsi="Traditional Arabic" w:cs="Traditional Arabic"/>
          <w:sz w:val="28"/>
          <w:szCs w:val="28"/>
          <w:rtl/>
        </w:rPr>
        <w:t xml:space="preserve"> وقسيت عبر </w:t>
      </w:r>
      <w:r w:rsidRPr="006D5279">
        <w:rPr>
          <w:rFonts w:ascii="Traditional Arabic" w:hAnsi="Traditional Arabic" w:cs="Traditional Arabic"/>
          <w:b/>
          <w:bCs/>
          <w:sz w:val="28"/>
          <w:szCs w:val="28"/>
          <w:rtl/>
        </w:rPr>
        <w:t>5 بنود</w:t>
      </w:r>
      <w:r w:rsidRPr="006D5279">
        <w:rPr>
          <w:rFonts w:ascii="Traditional Arabic" w:hAnsi="Traditional Arabic" w:cs="Traditional Arabic"/>
          <w:sz w:val="28"/>
          <w:szCs w:val="28"/>
          <w:rtl/>
        </w:rPr>
        <w:t xml:space="preserve"> (البنود من 24 إلى 28).</w:t>
      </w:r>
    </w:p>
    <w:p w14:paraId="5FC4F3FE" w14:textId="77777777" w:rsidR="006D5279" w:rsidRPr="007D353E" w:rsidRDefault="006D5279" w:rsidP="006D5279">
      <w:pPr>
        <w:pStyle w:val="ListParagraph"/>
        <w:numPr>
          <w:ilvl w:val="0"/>
          <w:numId w:val="48"/>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كفاءة صياغة الأهداف الاستراتيجية:</w:t>
      </w:r>
      <w:r w:rsidRPr="007D353E">
        <w:rPr>
          <w:rFonts w:ascii="Traditional Arabic" w:hAnsi="Traditional Arabic" w:cs="Traditional Arabic"/>
          <w:sz w:val="28"/>
          <w:szCs w:val="28"/>
          <w:rtl/>
        </w:rPr>
        <w:t xml:space="preserve"> وقسيت عبر </w:t>
      </w:r>
      <w:r w:rsidRPr="007D353E">
        <w:rPr>
          <w:rFonts w:ascii="Traditional Arabic" w:hAnsi="Traditional Arabic" w:cs="Traditional Arabic"/>
          <w:b/>
          <w:bCs/>
          <w:sz w:val="28"/>
          <w:szCs w:val="28"/>
          <w:rtl/>
        </w:rPr>
        <w:t>5 بنود</w:t>
      </w:r>
      <w:r w:rsidRPr="007D353E">
        <w:rPr>
          <w:rFonts w:ascii="Traditional Arabic" w:hAnsi="Traditional Arabic" w:cs="Traditional Arabic"/>
          <w:sz w:val="28"/>
          <w:szCs w:val="28"/>
          <w:rtl/>
        </w:rPr>
        <w:t xml:space="preserve"> (البنود من 29 إلى 33).</w:t>
      </w:r>
    </w:p>
    <w:p w14:paraId="21D12FEA" w14:textId="77777777" w:rsidR="006D5279" w:rsidRPr="007D353E" w:rsidRDefault="006D5279" w:rsidP="006D5279">
      <w:pPr>
        <w:pStyle w:val="ListParagraph"/>
        <w:numPr>
          <w:ilvl w:val="0"/>
          <w:numId w:val="48"/>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كفاءة التنفيذ والمتابعة:</w:t>
      </w:r>
      <w:r w:rsidRPr="007D353E">
        <w:rPr>
          <w:rFonts w:ascii="Traditional Arabic" w:hAnsi="Traditional Arabic" w:cs="Traditional Arabic"/>
          <w:sz w:val="28"/>
          <w:szCs w:val="28"/>
          <w:rtl/>
        </w:rPr>
        <w:t xml:space="preserve"> وقسيت عبر </w:t>
      </w:r>
      <w:r w:rsidRPr="007D353E">
        <w:rPr>
          <w:rFonts w:ascii="Traditional Arabic" w:hAnsi="Traditional Arabic" w:cs="Traditional Arabic"/>
          <w:b/>
          <w:bCs/>
          <w:sz w:val="28"/>
          <w:szCs w:val="28"/>
          <w:rtl/>
        </w:rPr>
        <w:t>5 بنود</w:t>
      </w:r>
      <w:r w:rsidRPr="007D353E">
        <w:rPr>
          <w:rFonts w:ascii="Traditional Arabic" w:hAnsi="Traditional Arabic" w:cs="Traditional Arabic"/>
          <w:sz w:val="28"/>
          <w:szCs w:val="28"/>
          <w:rtl/>
        </w:rPr>
        <w:t xml:space="preserve"> (البنود من 34 إلى 38).</w:t>
      </w:r>
    </w:p>
    <w:p w14:paraId="7127F946" w14:textId="77777777" w:rsidR="006D5279" w:rsidRPr="007D353E" w:rsidRDefault="006D5279" w:rsidP="006D5279">
      <w:pPr>
        <w:pStyle w:val="ListParagraph"/>
        <w:numPr>
          <w:ilvl w:val="0"/>
          <w:numId w:val="48"/>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كفاءة تخصيص الموارد:</w:t>
      </w:r>
      <w:r w:rsidRPr="007D353E">
        <w:rPr>
          <w:rFonts w:ascii="Traditional Arabic" w:hAnsi="Traditional Arabic" w:cs="Traditional Arabic"/>
          <w:sz w:val="28"/>
          <w:szCs w:val="28"/>
          <w:rtl/>
        </w:rPr>
        <w:t xml:space="preserve"> وقسيت عبر </w:t>
      </w:r>
      <w:r w:rsidRPr="007D353E">
        <w:rPr>
          <w:rFonts w:ascii="Traditional Arabic" w:hAnsi="Traditional Arabic" w:cs="Traditional Arabic"/>
          <w:b/>
          <w:bCs/>
          <w:sz w:val="28"/>
          <w:szCs w:val="28"/>
          <w:rtl/>
        </w:rPr>
        <w:t>5 بنود</w:t>
      </w:r>
      <w:r w:rsidRPr="007D353E">
        <w:rPr>
          <w:rFonts w:ascii="Traditional Arabic" w:hAnsi="Traditional Arabic" w:cs="Traditional Arabic"/>
          <w:sz w:val="28"/>
          <w:szCs w:val="28"/>
          <w:rtl/>
        </w:rPr>
        <w:t xml:space="preserve"> (البنود من 39 إلى 43).</w:t>
      </w:r>
    </w:p>
    <w:p w14:paraId="2592E765"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sz w:val="28"/>
          <w:szCs w:val="28"/>
          <w:rtl/>
        </w:rPr>
        <w:t xml:space="preserve">وبذلك يتكون الاستبيان في صورته النهائية من </w:t>
      </w:r>
      <w:r w:rsidRPr="007D353E">
        <w:rPr>
          <w:rFonts w:ascii="Traditional Arabic" w:hAnsi="Traditional Arabic" w:cs="Traditional Arabic"/>
          <w:b/>
          <w:bCs/>
          <w:sz w:val="28"/>
          <w:szCs w:val="28"/>
          <w:rtl/>
        </w:rPr>
        <w:t>43 بنداً</w:t>
      </w:r>
      <w:r w:rsidRPr="007D353E">
        <w:rPr>
          <w:rFonts w:ascii="Traditional Arabic" w:hAnsi="Traditional Arabic" w:cs="Traditional Arabic"/>
          <w:sz w:val="28"/>
          <w:szCs w:val="28"/>
          <w:rtl/>
        </w:rPr>
        <w:t xml:space="preserve"> موضوعياً تقيس متغيرات نموذج الدراسة، إضافة إلى </w:t>
      </w:r>
      <w:r w:rsidRPr="007D353E">
        <w:rPr>
          <w:rFonts w:ascii="Traditional Arabic" w:hAnsi="Traditional Arabic" w:cs="Traditional Arabic"/>
          <w:b/>
          <w:bCs/>
          <w:sz w:val="28"/>
          <w:szCs w:val="28"/>
          <w:rtl/>
        </w:rPr>
        <w:t>5 أسئلة</w:t>
      </w:r>
      <w:r w:rsidRPr="007D353E">
        <w:rPr>
          <w:rFonts w:ascii="Traditional Arabic" w:hAnsi="Traditional Arabic" w:cs="Traditional Arabic"/>
          <w:sz w:val="28"/>
          <w:szCs w:val="28"/>
          <w:rtl/>
        </w:rPr>
        <w:t xml:space="preserve"> متعلقة بالبيانات الديموغرافية والوظيفية.</w:t>
      </w:r>
    </w:p>
    <w:p w14:paraId="282DEC9A" w14:textId="1B6D7A9A"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مقياس الاستجابة:</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تم قياس جميع بنود المتغيرات المستقلة والوسيطة والتابعة باستخدام مقياس ليكرت الخماسي (</w:t>
      </w:r>
      <w:r w:rsidR="0088660D" w:rsidRPr="003D1437">
        <w:rPr>
          <w:rFonts w:ascii="Traditional Arabic" w:hAnsi="Traditional Arabic" w:cs="Traditional Arabic"/>
          <w:sz w:val="28"/>
          <w:szCs w:val="28"/>
        </w:rPr>
        <w:t>Five-point Likert Scale</w:t>
      </w:r>
      <w:r w:rsidR="0088660D" w:rsidRPr="003D1437">
        <w:rPr>
          <w:rFonts w:ascii="Traditional Arabic" w:hAnsi="Traditional Arabic" w:cs="Traditional Arabic"/>
          <w:sz w:val="28"/>
          <w:szCs w:val="28"/>
          <w:rtl/>
        </w:rPr>
        <w:t>)، حيث يُطلب من المستجيب تحديد درجة موافقته على كل عبارة وفقاً للتدريج التالي: (موافق بشدة=5، موافق=4، محايد=3، غير موافق=2، غير موافق بشدة=1). يُعتبر مقياس ليكرت من المقاييس الشائعة والموثوقة في قياس الاتجاهات والآراء في البحوث الاجتماعية والإدارية (</w:t>
      </w:r>
      <w:r w:rsidR="0088660D" w:rsidRPr="003D1437">
        <w:rPr>
          <w:rFonts w:ascii="Traditional Arabic" w:hAnsi="Traditional Arabic" w:cs="Traditional Arabic"/>
          <w:sz w:val="28"/>
          <w:szCs w:val="28"/>
        </w:rPr>
        <w:t>Likert, 1932</w:t>
      </w:r>
      <w:r w:rsidR="0088660D" w:rsidRPr="003D1437">
        <w:rPr>
          <w:rFonts w:ascii="Traditional Arabic" w:hAnsi="Traditional Arabic" w:cs="Traditional Arabic"/>
          <w:sz w:val="28"/>
          <w:szCs w:val="28"/>
          <w:rtl/>
        </w:rPr>
        <w:t>).</w:t>
      </w:r>
    </w:p>
    <w:p w14:paraId="04DA99E7" w14:textId="531BDD81"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اختبار صحة الاستبيان (الدراسة التجريبية):</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قبل توزيع الاستبيان على العينة النهائية، سيتم إجراء دراسة تجريبية (</w:t>
      </w:r>
      <w:r w:rsidR="0088660D" w:rsidRPr="003D1437">
        <w:rPr>
          <w:rFonts w:ascii="Traditional Arabic" w:hAnsi="Traditional Arabic" w:cs="Traditional Arabic"/>
          <w:sz w:val="28"/>
          <w:szCs w:val="28"/>
        </w:rPr>
        <w:t>Pilot Study</w:t>
      </w:r>
      <w:r w:rsidR="0088660D" w:rsidRPr="003D1437">
        <w:rPr>
          <w:rFonts w:ascii="Traditional Arabic" w:hAnsi="Traditional Arabic" w:cs="Traditional Arabic"/>
          <w:sz w:val="28"/>
          <w:szCs w:val="28"/>
          <w:rtl/>
        </w:rPr>
        <w:t>) على عينة صغيرة وممثلة لمجتمع الدراسة (حوالي 30-40 مفردة) بهدف:</w:t>
      </w:r>
    </w:p>
    <w:p w14:paraId="514EF11C"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التحقق من وضوح العبارات ودقتها اللغوية وملاءمتها للمستجيبين.</w:t>
      </w:r>
    </w:p>
    <w:p w14:paraId="5C848FDE"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تقدير الوقت المستغرق للإجابة على الاستبيان.</w:t>
      </w:r>
    </w:p>
    <w:p w14:paraId="6490298A"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الحصول على ملاحظات أولية حول تصميم الاستبيان وتنسيقه.</w:t>
      </w:r>
    </w:p>
    <w:p w14:paraId="09967092"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إجراء تحليل مبدئي للبيانات لاختبار الصدق والثبات الأولي للأداة (مثل حساب معامل ألفا كرونباخ). بناءً على نتائج الدراسة التجريبية، سيتم إجراء التعديلات اللازمة على الاستبيان قبل توزيعه بشكله النهائي.</w:t>
      </w:r>
    </w:p>
    <w:p w14:paraId="2BC6B691" w14:textId="6A0428C6" w:rsidR="0091737E" w:rsidRPr="003D1437" w:rsidRDefault="0091737E" w:rsidP="002E304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إدخال وتحليل البيانات:</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بعد جمع الاستبيانات المكتملة، سيتم ترميز البيانات وإدخالها في برنامج الحزم الإحصائية للعلوم الاجتماعية (</w:t>
      </w:r>
      <w:r w:rsidR="0088660D" w:rsidRPr="003D1437">
        <w:rPr>
          <w:rFonts w:ascii="Traditional Arabic" w:hAnsi="Traditional Arabic" w:cs="Traditional Arabic"/>
          <w:sz w:val="28"/>
          <w:szCs w:val="28"/>
        </w:rPr>
        <w:t>SPSS</w:t>
      </w:r>
      <w:r w:rsidR="0088660D" w:rsidRPr="003D1437">
        <w:rPr>
          <w:rFonts w:ascii="Traditional Arabic" w:hAnsi="Traditional Arabic" w:cs="Traditional Arabic"/>
          <w:sz w:val="28"/>
          <w:szCs w:val="28"/>
          <w:rtl/>
        </w:rPr>
        <w:t xml:space="preserve">) الإصدار 25 أو أحدث. </w:t>
      </w:r>
    </w:p>
    <w:p w14:paraId="0156A8EE"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تفسير مقياس ليكرت:</w:t>
      </w:r>
      <w:r w:rsidRPr="003D1437">
        <w:rPr>
          <w:rFonts w:ascii="Traditional Arabic" w:hAnsi="Traditional Arabic" w:cs="Traditional Arabic"/>
          <w:sz w:val="28"/>
          <w:szCs w:val="28"/>
          <w:rtl/>
        </w:rPr>
        <w:t xml:space="preserve"> لتحليل وتفسير استجابات العينة على مقياس ليكرت الخماسي، سيتم اتباع الخطوات التالية:</w:t>
      </w:r>
    </w:p>
    <w:p w14:paraId="749B542D"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حساب المتوسط الحسابي (</w:t>
      </w:r>
      <w:r w:rsidRPr="003D1437">
        <w:rPr>
          <w:rFonts w:ascii="Traditional Arabic" w:hAnsi="Traditional Arabic" w:cs="Traditional Arabic"/>
          <w:b/>
          <w:bCs/>
          <w:sz w:val="28"/>
          <w:szCs w:val="28"/>
        </w:rPr>
        <w:t>Mean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لكل عبارة ولكل بُعد ولكل متغير رئيسي، يتم حساب المتوسط الحسابي لمجموع استجابات أفراد العينة.</w:t>
      </w:r>
    </w:p>
    <w:p w14:paraId="05F93884"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حساب الأهمية النسبية (</w:t>
      </w:r>
      <w:r w:rsidRPr="003D1437">
        <w:rPr>
          <w:rFonts w:ascii="Traditional Arabic" w:hAnsi="Traditional Arabic" w:cs="Traditional Arabic"/>
          <w:b/>
          <w:bCs/>
          <w:sz w:val="28"/>
          <w:szCs w:val="28"/>
        </w:rPr>
        <w:t>Relative Importance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تحويل المتوسط الحسابي إلى نسبة مئوية لتقدير مستوى الأهمية أو درجة الموافقة، وذلك بقسمة المتوسط الحسابي على أعلى قيمة في المقياس (5) وضرب الناتج في 100. (الأهمية النسبية = (المتوسط / 5) * 100).</w:t>
      </w:r>
    </w:p>
    <w:p w14:paraId="44F9C9D7"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طول الفئة والمدى:</w:t>
      </w:r>
      <w:r w:rsidRPr="003D1437">
        <w:rPr>
          <w:rFonts w:ascii="Traditional Arabic" w:hAnsi="Traditional Arabic" w:cs="Traditional Arabic"/>
          <w:sz w:val="28"/>
          <w:szCs w:val="28"/>
          <w:rtl/>
        </w:rPr>
        <w:t xml:space="preserve"> لتصنيف مستوى المتغير (منخفض، متوسط، مرتفع) بناءً على المتوسط الحسابي، يتم حساب طول الفئة: (أعلى قيمة - أقل قيمة) / عدد الفئات = (5 - 1) / 3 = 4 / 3 </w:t>
      </w:r>
      <w:r w:rsidRPr="003D1437">
        <w:rPr>
          <w:rFonts w:ascii="Cambria Math" w:hAnsi="Cambria Math" w:cs="Cambria Math" w:hint="cs"/>
          <w:sz w:val="28"/>
          <w:szCs w:val="28"/>
          <w:rtl/>
        </w:rPr>
        <w:t>≈</w:t>
      </w:r>
      <w:r w:rsidRPr="003D1437">
        <w:rPr>
          <w:rFonts w:ascii="Traditional Arabic" w:hAnsi="Traditional Arabic" w:cs="Traditional Arabic"/>
          <w:sz w:val="28"/>
          <w:szCs w:val="28"/>
          <w:rtl/>
        </w:rPr>
        <w:t xml:space="preserve"> 1.33.</w:t>
      </w:r>
    </w:p>
    <w:p w14:paraId="3DC10530"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التصنيف:</w:t>
      </w:r>
      <w:r w:rsidRPr="003D1437">
        <w:rPr>
          <w:rFonts w:ascii="Traditional Arabic" w:hAnsi="Traditional Arabic" w:cs="Traditional Arabic"/>
          <w:sz w:val="28"/>
          <w:szCs w:val="28"/>
          <w:rtl/>
        </w:rPr>
        <w:t xml:space="preserve"> بناءً على طول الفئة المحسوب، يتم تحديد مدى كل تصنيف كما يلي:</w:t>
      </w:r>
    </w:p>
    <w:p w14:paraId="30F0D23D" w14:textId="77777777" w:rsidR="0091737E" w:rsidRPr="003D1437" w:rsidRDefault="0091737E">
      <w:pPr>
        <w:numPr>
          <w:ilvl w:val="1"/>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منخفض:</w:t>
      </w:r>
      <w:r w:rsidRPr="003D1437">
        <w:rPr>
          <w:rFonts w:ascii="Traditional Arabic" w:hAnsi="Traditional Arabic" w:cs="Traditional Arabic"/>
          <w:sz w:val="28"/>
          <w:szCs w:val="28"/>
          <w:rtl/>
        </w:rPr>
        <w:t xml:space="preserve"> من 1.00 إلى أقل من (1 + 1.33) = </w:t>
      </w:r>
      <w:r w:rsidRPr="003D1437">
        <w:rPr>
          <w:rFonts w:ascii="Traditional Arabic" w:hAnsi="Traditional Arabic" w:cs="Traditional Arabic"/>
          <w:b/>
          <w:bCs/>
          <w:sz w:val="28"/>
          <w:szCs w:val="28"/>
          <w:rtl/>
        </w:rPr>
        <w:t>2.33</w:t>
      </w:r>
      <w:r w:rsidRPr="003D1437">
        <w:rPr>
          <w:rFonts w:ascii="Traditional Arabic" w:hAnsi="Traditional Arabic" w:cs="Traditional Arabic"/>
          <w:sz w:val="28"/>
          <w:szCs w:val="28"/>
          <w:rtl/>
        </w:rPr>
        <w:t>.</w:t>
      </w:r>
    </w:p>
    <w:p w14:paraId="21BE32CC" w14:textId="77777777" w:rsidR="0091737E" w:rsidRPr="003D1437" w:rsidRDefault="0091737E">
      <w:pPr>
        <w:numPr>
          <w:ilvl w:val="1"/>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متوسط:</w:t>
      </w:r>
      <w:r w:rsidRPr="003D1437">
        <w:rPr>
          <w:rFonts w:ascii="Traditional Arabic" w:hAnsi="Traditional Arabic" w:cs="Traditional Arabic"/>
          <w:sz w:val="28"/>
          <w:szCs w:val="28"/>
          <w:rtl/>
        </w:rPr>
        <w:t xml:space="preserve"> من 2.33 إلى أقل من (2.33 + 1.33) = </w:t>
      </w:r>
      <w:r w:rsidRPr="003D1437">
        <w:rPr>
          <w:rFonts w:ascii="Traditional Arabic" w:hAnsi="Traditional Arabic" w:cs="Traditional Arabic"/>
          <w:b/>
          <w:bCs/>
          <w:sz w:val="28"/>
          <w:szCs w:val="28"/>
          <w:rtl/>
        </w:rPr>
        <w:t>3.66</w:t>
      </w:r>
      <w:r w:rsidRPr="003D1437">
        <w:rPr>
          <w:rFonts w:ascii="Traditional Arabic" w:hAnsi="Traditional Arabic" w:cs="Traditional Arabic"/>
          <w:sz w:val="28"/>
          <w:szCs w:val="28"/>
          <w:rtl/>
        </w:rPr>
        <w:t>.</w:t>
      </w:r>
    </w:p>
    <w:p w14:paraId="18AF7E46" w14:textId="77777777" w:rsidR="0091737E" w:rsidRPr="003D1437" w:rsidRDefault="0091737E">
      <w:pPr>
        <w:numPr>
          <w:ilvl w:val="1"/>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مرتفع:</w:t>
      </w:r>
      <w:r w:rsidRPr="003D1437">
        <w:rPr>
          <w:rFonts w:ascii="Traditional Arabic" w:hAnsi="Traditional Arabic" w:cs="Traditional Arabic"/>
          <w:sz w:val="28"/>
          <w:szCs w:val="28"/>
          <w:rtl/>
        </w:rPr>
        <w:t xml:space="preserve"> من 3.66 إلى </w:t>
      </w:r>
      <w:r w:rsidRPr="003D1437">
        <w:rPr>
          <w:rFonts w:ascii="Traditional Arabic" w:hAnsi="Traditional Arabic" w:cs="Traditional Arabic"/>
          <w:b/>
          <w:bCs/>
          <w:sz w:val="28"/>
          <w:szCs w:val="28"/>
          <w:rtl/>
        </w:rPr>
        <w:t>5.00</w:t>
      </w:r>
      <w:r w:rsidRPr="003D1437">
        <w:rPr>
          <w:rFonts w:ascii="Traditional Arabic" w:hAnsi="Traditional Arabic" w:cs="Traditional Arabic"/>
          <w:sz w:val="28"/>
          <w:szCs w:val="28"/>
          <w:rtl/>
        </w:rPr>
        <w:t>.</w:t>
      </w:r>
    </w:p>
    <w:p w14:paraId="1F8C05D2" w14:textId="77777777" w:rsidR="0091737E" w:rsidRPr="003D1437" w:rsidRDefault="0091737E" w:rsidP="0091737E">
      <w:pPr>
        <w:bidi/>
        <w:jc w:val="lowKashida"/>
        <w:rPr>
          <w:rFonts w:ascii="Traditional Arabic" w:hAnsi="Traditional Arabic" w:cs="Traditional Arabic"/>
          <w:sz w:val="28"/>
          <w:szCs w:val="28"/>
          <w:rtl/>
        </w:rPr>
      </w:pPr>
      <w:bookmarkStart w:id="98" w:name="_Hlk212515012"/>
      <w:r w:rsidRPr="003D1437">
        <w:rPr>
          <w:rFonts w:ascii="Traditional Arabic" w:hAnsi="Traditional Arabic" w:cs="Traditional Arabic"/>
          <w:sz w:val="28"/>
          <w:szCs w:val="28"/>
          <w:rtl/>
        </w:rPr>
        <w:t>سيتم استخدام هذا التصنيف لتفسير مستوى كل متغير من متغيرات الدراسة لدى عينة البحث.</w:t>
      </w:r>
    </w:p>
    <w:p w14:paraId="59C7FA37" w14:textId="0F27977A" w:rsidR="0091737E" w:rsidRPr="003D1437" w:rsidRDefault="0091737E" w:rsidP="00A14B40">
      <w:pPr>
        <w:pStyle w:val="Heading4"/>
        <w:rPr>
          <w:color w:val="auto"/>
          <w:rtl/>
        </w:rPr>
      </w:pPr>
      <w:bookmarkStart w:id="99" w:name="_Toc235065199"/>
      <w:r w:rsidRPr="003D1437">
        <w:rPr>
          <w:color w:val="auto"/>
          <w:rtl/>
        </w:rPr>
        <w:t>جدول (</w:t>
      </w:r>
      <w:r w:rsidR="00A854F1" w:rsidRPr="003D1437">
        <w:rPr>
          <w:rFonts w:hint="cs"/>
          <w:color w:val="auto"/>
          <w:rtl/>
        </w:rPr>
        <w:t>2</w:t>
      </w:r>
      <w:r w:rsidRPr="003D1437">
        <w:rPr>
          <w:color w:val="auto"/>
          <w:rtl/>
        </w:rPr>
        <w:t>): أبعاد ومتغيرات الدراسة وكيفية قياسها ومصادرها</w:t>
      </w:r>
      <w:bookmarkEnd w:id="99"/>
    </w:p>
    <w:tbl>
      <w:tblPr>
        <w:tblStyle w:val="PlainTable3"/>
        <w:bidiVisual/>
        <w:tblW w:w="0" w:type="auto"/>
        <w:tblLook w:val="04A0" w:firstRow="1" w:lastRow="0" w:firstColumn="1" w:lastColumn="0" w:noHBand="0" w:noVBand="1"/>
      </w:tblPr>
      <w:tblGrid>
        <w:gridCol w:w="1766"/>
        <w:gridCol w:w="1786"/>
        <w:gridCol w:w="1043"/>
        <w:gridCol w:w="4765"/>
      </w:tblGrid>
      <w:tr w:rsidR="003D1437" w:rsidRPr="003D1437" w14:paraId="4CC403A3" w14:textId="77777777" w:rsidTr="00A854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7D70145" w14:textId="77777777" w:rsidR="0091737E" w:rsidRPr="003D1437" w:rsidRDefault="0091737E" w:rsidP="0088660D">
            <w:pPr>
              <w:bidi/>
              <w:spacing w:after="160"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المتغير الرئيسي</w:t>
            </w:r>
          </w:p>
        </w:tc>
        <w:tc>
          <w:tcPr>
            <w:tcW w:w="0" w:type="auto"/>
            <w:hideMark/>
          </w:tcPr>
          <w:p w14:paraId="3E58A67B"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البُعد / المؤشر</w:t>
            </w:r>
          </w:p>
        </w:tc>
        <w:tc>
          <w:tcPr>
            <w:tcW w:w="0" w:type="auto"/>
            <w:hideMark/>
          </w:tcPr>
          <w:p w14:paraId="69F7A488"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عدد البنود (مقترح)</w:t>
            </w:r>
          </w:p>
        </w:tc>
        <w:tc>
          <w:tcPr>
            <w:tcW w:w="0" w:type="auto"/>
            <w:hideMark/>
          </w:tcPr>
          <w:p w14:paraId="5C6FEC2B"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المصدر المرجعي لتطوير البنود (أمثلة مقترحة)</w:t>
            </w:r>
          </w:p>
        </w:tc>
      </w:tr>
      <w:tr w:rsidR="003D1437" w:rsidRPr="003D1437" w14:paraId="0CA65237"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auto"/>
            <w:hideMark/>
          </w:tcPr>
          <w:p w14:paraId="543371E5" w14:textId="370EFC2B"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المتغير المستقل</w:t>
            </w:r>
            <w:r w:rsidRPr="003D1437">
              <w:rPr>
                <w:rFonts w:ascii="Traditional Arabic" w:hAnsi="Traditional Arabic" w:cs="Traditional Arabic"/>
                <w:sz w:val="28"/>
                <w:szCs w:val="28"/>
              </w:rPr>
              <w:t>:</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الذكاء الاصطناعي</w:t>
            </w:r>
          </w:p>
        </w:tc>
        <w:tc>
          <w:tcPr>
            <w:tcW w:w="0" w:type="auto"/>
            <w:shd w:val="clear" w:color="auto" w:fill="auto"/>
            <w:hideMark/>
          </w:tcPr>
          <w:p w14:paraId="54A5394E" w14:textId="4845BB42"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1</w:t>
            </w:r>
            <w:r w:rsidRPr="003D1437">
              <w:rPr>
                <w:rFonts w:ascii="Traditional Arabic" w:hAnsi="Traditional Arabic" w:cs="Traditional Arabic"/>
                <w:sz w:val="28"/>
                <w:szCs w:val="28"/>
                <w:rtl/>
              </w:rPr>
              <w:t>. أتمتة المهام الإدارية</w:t>
            </w:r>
          </w:p>
        </w:tc>
        <w:tc>
          <w:tcPr>
            <w:tcW w:w="0" w:type="auto"/>
            <w:shd w:val="clear" w:color="auto" w:fill="auto"/>
            <w:hideMark/>
          </w:tcPr>
          <w:p w14:paraId="619448C4" w14:textId="459BD52F"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shd w:val="clear" w:color="auto" w:fill="auto"/>
            <w:hideMark/>
          </w:tcPr>
          <w:p w14:paraId="10B86278" w14:textId="27B19E1E"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Sarjito, 2024</w:t>
            </w:r>
            <w:r w:rsidRPr="003D1437">
              <w:rPr>
                <w:rFonts w:ascii="Traditional Arabic" w:hAnsi="Traditional Arabic" w:cs="Traditional Arabic"/>
                <w:sz w:val="28"/>
                <w:szCs w:val="28"/>
                <w:rtl/>
              </w:rPr>
              <w:t xml:space="preserve">; السيد وعلي، 2024; </w:t>
            </w:r>
            <w:r w:rsidRPr="003D1437">
              <w:rPr>
                <w:rFonts w:ascii="Traditional Arabic" w:hAnsi="Traditional Arabic" w:cs="Traditional Arabic"/>
                <w:sz w:val="28"/>
                <w:szCs w:val="28"/>
              </w:rPr>
              <w:t>Orosoo et al., 2023</w:t>
            </w:r>
            <w:r w:rsidRPr="003D1437">
              <w:rPr>
                <w:rFonts w:ascii="Traditional Arabic" w:hAnsi="Traditional Arabic" w:cs="Traditional Arabic"/>
                <w:sz w:val="28"/>
                <w:szCs w:val="28"/>
                <w:rtl/>
              </w:rPr>
              <w:t>)</w:t>
            </w:r>
          </w:p>
        </w:tc>
      </w:tr>
      <w:tr w:rsidR="003D1437" w:rsidRPr="003D1437" w14:paraId="6DF474FE" w14:textId="77777777" w:rsidTr="00A854F1">
        <w:tc>
          <w:tcPr>
            <w:cnfStyle w:val="001000000000" w:firstRow="0" w:lastRow="0" w:firstColumn="1" w:lastColumn="0" w:oddVBand="0" w:evenVBand="0" w:oddHBand="0" w:evenHBand="0" w:firstRowFirstColumn="0" w:firstRowLastColumn="0" w:lastRowFirstColumn="0" w:lastRowLastColumn="0"/>
            <w:tcW w:w="0" w:type="auto"/>
            <w:vMerge/>
            <w:hideMark/>
          </w:tcPr>
          <w:p w14:paraId="63ACB96E"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hideMark/>
          </w:tcPr>
          <w:p w14:paraId="7452ACAA" w14:textId="54301880"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2</w:t>
            </w:r>
            <w:r w:rsidRPr="003D1437">
              <w:rPr>
                <w:rFonts w:ascii="Traditional Arabic" w:hAnsi="Traditional Arabic" w:cs="Traditional Arabic"/>
                <w:sz w:val="28"/>
                <w:szCs w:val="28"/>
                <w:rtl/>
              </w:rPr>
              <w:t>. دعم اتخاذ القرار</w:t>
            </w:r>
          </w:p>
        </w:tc>
        <w:tc>
          <w:tcPr>
            <w:tcW w:w="0" w:type="auto"/>
            <w:hideMark/>
          </w:tcPr>
          <w:p w14:paraId="22B6F1B1" w14:textId="064E4B89"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hideMark/>
          </w:tcPr>
          <w:p w14:paraId="5F62D78F" w14:textId="3664A10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Kaggwa et al., 2024; Mohammed et al., 2024; Kitsios &amp; Kamariotou, 2021</w:t>
            </w:r>
            <w:r w:rsidRPr="003D1437">
              <w:rPr>
                <w:rFonts w:ascii="Traditional Arabic" w:hAnsi="Traditional Arabic" w:cs="Traditional Arabic"/>
                <w:sz w:val="28"/>
                <w:szCs w:val="28"/>
                <w:rtl/>
              </w:rPr>
              <w:t>)</w:t>
            </w:r>
          </w:p>
        </w:tc>
      </w:tr>
      <w:tr w:rsidR="003D1437" w:rsidRPr="003D1437" w14:paraId="4CD1948E"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hideMark/>
          </w:tcPr>
          <w:p w14:paraId="563931A1"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shd w:val="clear" w:color="auto" w:fill="auto"/>
            <w:hideMark/>
          </w:tcPr>
          <w:p w14:paraId="6B31C2FB" w14:textId="73AA0ED3"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3</w:t>
            </w:r>
            <w:r w:rsidRPr="003D1437">
              <w:rPr>
                <w:rFonts w:ascii="Traditional Arabic" w:hAnsi="Traditional Arabic" w:cs="Traditional Arabic"/>
                <w:sz w:val="28"/>
                <w:szCs w:val="28"/>
                <w:rtl/>
              </w:rPr>
              <w:t>. أنظمة الإنذار المبكر</w:t>
            </w:r>
          </w:p>
        </w:tc>
        <w:tc>
          <w:tcPr>
            <w:tcW w:w="0" w:type="auto"/>
            <w:shd w:val="clear" w:color="auto" w:fill="auto"/>
            <w:hideMark/>
          </w:tcPr>
          <w:p w14:paraId="6F11FAB0" w14:textId="1D1E3967"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shd w:val="clear" w:color="auto" w:fill="auto"/>
            <w:hideMark/>
          </w:tcPr>
          <w:p w14:paraId="1FCB142C" w14:textId="1923AB24"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w:t>
            </w:r>
          </w:p>
        </w:tc>
      </w:tr>
      <w:tr w:rsidR="003D1437" w:rsidRPr="003D1437" w14:paraId="141632E3" w14:textId="77777777" w:rsidTr="00A854F1">
        <w:tc>
          <w:tcPr>
            <w:cnfStyle w:val="001000000000" w:firstRow="0" w:lastRow="0" w:firstColumn="1" w:lastColumn="0" w:oddVBand="0" w:evenVBand="0" w:oddHBand="0" w:evenHBand="0" w:firstRowFirstColumn="0" w:firstRowLastColumn="0" w:lastRowFirstColumn="0" w:lastRowLastColumn="0"/>
            <w:tcW w:w="0" w:type="auto"/>
            <w:hideMark/>
          </w:tcPr>
          <w:p w14:paraId="1F3CEABF" w14:textId="77777777"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المتغير الوسيط</w:t>
            </w:r>
            <w:r w:rsidRPr="003D1437">
              <w:rPr>
                <w:rFonts w:ascii="Traditional Arabic" w:hAnsi="Traditional Arabic" w:cs="Traditional Arabic"/>
                <w:sz w:val="28"/>
                <w:szCs w:val="28"/>
              </w:rPr>
              <w:t>:</w:t>
            </w:r>
          </w:p>
        </w:tc>
        <w:tc>
          <w:tcPr>
            <w:tcW w:w="0" w:type="auto"/>
            <w:hideMark/>
          </w:tcPr>
          <w:p w14:paraId="7F066F15" w14:textId="7777777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b/>
                <w:bCs/>
                <w:sz w:val="28"/>
                <w:szCs w:val="28"/>
                <w:rtl/>
              </w:rPr>
              <w:t>التكيف التكنولوجي (كمؤشر عام)</w:t>
            </w:r>
          </w:p>
        </w:tc>
        <w:tc>
          <w:tcPr>
            <w:tcW w:w="0" w:type="auto"/>
            <w:hideMark/>
          </w:tcPr>
          <w:p w14:paraId="34E086B2" w14:textId="55EB595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8</w:t>
            </w:r>
          </w:p>
        </w:tc>
        <w:tc>
          <w:tcPr>
            <w:tcW w:w="0" w:type="auto"/>
            <w:hideMark/>
          </w:tcPr>
          <w:p w14:paraId="249C1D21" w14:textId="0EA47363"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Venkatesh et al., 2003; Davis, 1989; Asghar et al., 2023; Adiguzel, Cakir, &amp; Ozbay, 2024; Rogers, 1962</w:t>
            </w:r>
            <w:r w:rsidRPr="003D1437">
              <w:rPr>
                <w:rFonts w:ascii="Traditional Arabic" w:hAnsi="Traditional Arabic" w:cs="Traditional Arabic"/>
                <w:sz w:val="28"/>
                <w:szCs w:val="28"/>
                <w:rtl/>
              </w:rPr>
              <w:t>)</w:t>
            </w:r>
          </w:p>
        </w:tc>
      </w:tr>
      <w:tr w:rsidR="003D1437" w:rsidRPr="003D1437" w14:paraId="3B77C8A7"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hideMark/>
          </w:tcPr>
          <w:p w14:paraId="32AAF546" w14:textId="02045B9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shd w:val="clear" w:color="auto" w:fill="auto"/>
            <w:hideMark/>
          </w:tcPr>
          <w:p w14:paraId="63904ADB" w14:textId="51F95DD4"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0" w:type="auto"/>
            <w:shd w:val="clear" w:color="auto" w:fill="auto"/>
            <w:hideMark/>
          </w:tcPr>
          <w:p w14:paraId="319497E4" w14:textId="77777777"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0" w:type="auto"/>
            <w:shd w:val="clear" w:color="auto" w:fill="auto"/>
            <w:hideMark/>
          </w:tcPr>
          <w:p w14:paraId="2C93C19F" w14:textId="77777777"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3D1437" w:rsidRPr="003D1437" w14:paraId="469E1BD8" w14:textId="77777777" w:rsidTr="00A854F1">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D598AFA" w14:textId="2DC0CB4E"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المتغير التابع: كفاءة التخطيط الاستراتيجي</w:t>
            </w:r>
          </w:p>
        </w:tc>
        <w:tc>
          <w:tcPr>
            <w:tcW w:w="0" w:type="auto"/>
            <w:hideMark/>
          </w:tcPr>
          <w:p w14:paraId="6F3590A1" w14:textId="42233D48"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1</w:t>
            </w:r>
            <w:r w:rsidRPr="003D1437">
              <w:rPr>
                <w:rFonts w:ascii="Traditional Arabic" w:hAnsi="Traditional Arabic" w:cs="Traditional Arabic"/>
                <w:sz w:val="28"/>
                <w:szCs w:val="28"/>
                <w:rtl/>
              </w:rPr>
              <w:t>. كفاءة التحليل الاستراتيجي</w:t>
            </w:r>
          </w:p>
        </w:tc>
        <w:tc>
          <w:tcPr>
            <w:tcW w:w="0" w:type="auto"/>
            <w:hideMark/>
          </w:tcPr>
          <w:p w14:paraId="74FA5B68" w14:textId="5C7C6B61"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hideMark/>
          </w:tcPr>
          <w:p w14:paraId="4391ACC7" w14:textId="3A009020"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it-IT"/>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lang w:val="it-IT"/>
              </w:rPr>
              <w:t>Sarjito, 2024; Al Muala et al., 2024; Mohammed et al., 2024</w:t>
            </w:r>
            <w:r w:rsidRPr="003D1437">
              <w:rPr>
                <w:rFonts w:ascii="Traditional Arabic" w:hAnsi="Traditional Arabic" w:cs="Traditional Arabic"/>
                <w:sz w:val="28"/>
                <w:szCs w:val="28"/>
                <w:rtl/>
              </w:rPr>
              <w:t>)</w:t>
            </w:r>
          </w:p>
        </w:tc>
      </w:tr>
      <w:tr w:rsidR="003D1437" w:rsidRPr="003D1437" w14:paraId="6AD94ED3"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hideMark/>
          </w:tcPr>
          <w:p w14:paraId="3A9F073C" w14:textId="77777777" w:rsidR="0088660D" w:rsidRPr="003D1437" w:rsidRDefault="0088660D" w:rsidP="0088660D">
            <w:pPr>
              <w:bidi/>
              <w:spacing w:after="160" w:line="259" w:lineRule="auto"/>
              <w:jc w:val="center"/>
              <w:rPr>
                <w:rFonts w:ascii="Traditional Arabic" w:hAnsi="Traditional Arabic" w:cs="Traditional Arabic"/>
                <w:sz w:val="28"/>
                <w:szCs w:val="28"/>
                <w:lang w:val="it-IT"/>
              </w:rPr>
            </w:pPr>
          </w:p>
        </w:tc>
        <w:tc>
          <w:tcPr>
            <w:tcW w:w="0" w:type="auto"/>
            <w:shd w:val="clear" w:color="auto" w:fill="auto"/>
            <w:hideMark/>
          </w:tcPr>
          <w:p w14:paraId="01E55381" w14:textId="458555E2"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2</w:t>
            </w:r>
            <w:r w:rsidRPr="003D1437">
              <w:rPr>
                <w:rFonts w:ascii="Traditional Arabic" w:hAnsi="Traditional Arabic" w:cs="Traditional Arabic"/>
                <w:sz w:val="28"/>
                <w:szCs w:val="28"/>
                <w:rtl/>
              </w:rPr>
              <w:t>. كفاءة صياغة الأهداف الاستراتيجية</w:t>
            </w:r>
          </w:p>
        </w:tc>
        <w:tc>
          <w:tcPr>
            <w:tcW w:w="0" w:type="auto"/>
            <w:shd w:val="clear" w:color="auto" w:fill="auto"/>
            <w:hideMark/>
          </w:tcPr>
          <w:p w14:paraId="55C13302" w14:textId="52106EB0"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shd w:val="clear" w:color="auto" w:fill="auto"/>
            <w:hideMark/>
          </w:tcPr>
          <w:p w14:paraId="6FCEC7F1" w14:textId="77777777"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(Mohammed et al., 2024)</w:t>
            </w:r>
          </w:p>
        </w:tc>
      </w:tr>
      <w:tr w:rsidR="003D1437" w:rsidRPr="003D1437" w14:paraId="5574659F" w14:textId="77777777" w:rsidTr="00A854F1">
        <w:tc>
          <w:tcPr>
            <w:cnfStyle w:val="001000000000" w:firstRow="0" w:lastRow="0" w:firstColumn="1" w:lastColumn="0" w:oddVBand="0" w:evenVBand="0" w:oddHBand="0" w:evenHBand="0" w:firstRowFirstColumn="0" w:firstRowLastColumn="0" w:lastRowFirstColumn="0" w:lastRowLastColumn="0"/>
            <w:tcW w:w="0" w:type="auto"/>
            <w:vMerge/>
            <w:hideMark/>
          </w:tcPr>
          <w:p w14:paraId="2DB1F29C"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hideMark/>
          </w:tcPr>
          <w:p w14:paraId="1EB50B30" w14:textId="710C812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3</w:t>
            </w:r>
            <w:r w:rsidRPr="003D1437">
              <w:rPr>
                <w:rFonts w:ascii="Traditional Arabic" w:hAnsi="Traditional Arabic" w:cs="Traditional Arabic"/>
                <w:sz w:val="28"/>
                <w:szCs w:val="28"/>
                <w:rtl/>
              </w:rPr>
              <w:t>. كفاءة التنفيذ والمتابعة</w:t>
            </w:r>
          </w:p>
        </w:tc>
        <w:tc>
          <w:tcPr>
            <w:tcW w:w="0" w:type="auto"/>
            <w:hideMark/>
          </w:tcPr>
          <w:p w14:paraId="227AF2FA" w14:textId="6D95101C"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hideMark/>
          </w:tcPr>
          <w:p w14:paraId="61C81FAF" w14:textId="76EF47F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Mohammed et al., 2024; Kassa &amp; Worku, 2025</w:t>
            </w:r>
            <w:r w:rsidRPr="003D1437">
              <w:rPr>
                <w:rFonts w:ascii="Traditional Arabic" w:hAnsi="Traditional Arabic" w:cs="Traditional Arabic"/>
                <w:sz w:val="28"/>
                <w:szCs w:val="28"/>
                <w:rtl/>
              </w:rPr>
              <w:t>)</w:t>
            </w:r>
          </w:p>
        </w:tc>
      </w:tr>
      <w:tr w:rsidR="003D1437" w:rsidRPr="003D1437" w14:paraId="78A8DB24"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hideMark/>
          </w:tcPr>
          <w:p w14:paraId="6D6B77ED"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shd w:val="clear" w:color="auto" w:fill="auto"/>
            <w:hideMark/>
          </w:tcPr>
          <w:p w14:paraId="4EE49FE8" w14:textId="5D0D2CCB"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4</w:t>
            </w:r>
            <w:r w:rsidRPr="003D1437">
              <w:rPr>
                <w:rFonts w:ascii="Traditional Arabic" w:hAnsi="Traditional Arabic" w:cs="Traditional Arabic"/>
                <w:sz w:val="28"/>
                <w:szCs w:val="28"/>
                <w:rtl/>
              </w:rPr>
              <w:t>. كفاءة تخصيص الموارد</w:t>
            </w:r>
          </w:p>
        </w:tc>
        <w:tc>
          <w:tcPr>
            <w:tcW w:w="0" w:type="auto"/>
            <w:shd w:val="clear" w:color="auto" w:fill="auto"/>
            <w:hideMark/>
          </w:tcPr>
          <w:p w14:paraId="33D754D5" w14:textId="00923D63"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shd w:val="clear" w:color="auto" w:fill="auto"/>
            <w:hideMark/>
          </w:tcPr>
          <w:p w14:paraId="66DE4924" w14:textId="7FCF4976"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Orosoo et al., 2023; Kassa &amp; Worku, 2025</w:t>
            </w:r>
            <w:r w:rsidRPr="003D1437">
              <w:rPr>
                <w:rFonts w:ascii="Traditional Arabic" w:hAnsi="Traditional Arabic" w:cs="Traditional Arabic"/>
                <w:sz w:val="28"/>
                <w:szCs w:val="28"/>
                <w:rtl/>
              </w:rPr>
              <w:t>)</w:t>
            </w:r>
          </w:p>
        </w:tc>
      </w:tr>
      <w:tr w:rsidR="003D1437" w:rsidRPr="003D1437" w14:paraId="03C39AA6" w14:textId="77777777" w:rsidTr="00A854F1">
        <w:tc>
          <w:tcPr>
            <w:cnfStyle w:val="001000000000" w:firstRow="0" w:lastRow="0" w:firstColumn="1" w:lastColumn="0" w:oddVBand="0" w:evenVBand="0" w:oddHBand="0" w:evenHBand="0" w:firstRowFirstColumn="0" w:firstRowLastColumn="0" w:lastRowFirstColumn="0" w:lastRowLastColumn="0"/>
            <w:tcW w:w="0" w:type="auto"/>
            <w:hideMark/>
          </w:tcPr>
          <w:p w14:paraId="00EBF7F5" w14:textId="77777777"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البيانات الديموغرافية</w:t>
            </w:r>
          </w:p>
        </w:tc>
        <w:tc>
          <w:tcPr>
            <w:tcW w:w="0" w:type="auto"/>
            <w:hideMark/>
          </w:tcPr>
          <w:p w14:paraId="7794197D" w14:textId="0D74031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الجنس، العمر، المؤهل، المسمى الوظيفي، الخبرة</w:t>
            </w:r>
          </w:p>
        </w:tc>
        <w:tc>
          <w:tcPr>
            <w:tcW w:w="0" w:type="auto"/>
            <w:hideMark/>
          </w:tcPr>
          <w:p w14:paraId="07A2C60D" w14:textId="7777777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hideMark/>
          </w:tcPr>
          <w:p w14:paraId="0A94A67C" w14:textId="7777777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تصميم الباحث</w:t>
            </w:r>
          </w:p>
        </w:tc>
      </w:tr>
    </w:tbl>
    <w:p w14:paraId="7810020E" w14:textId="77777777" w:rsidR="0088660D" w:rsidRPr="003D1437" w:rsidRDefault="0088660D" w:rsidP="0091737E">
      <w:pPr>
        <w:bidi/>
        <w:jc w:val="lowKashida"/>
        <w:rPr>
          <w:rFonts w:ascii="Traditional Arabic" w:hAnsi="Traditional Arabic" w:cs="Traditional Arabic"/>
          <w:sz w:val="28"/>
          <w:szCs w:val="28"/>
          <w:rtl/>
        </w:rPr>
      </w:pPr>
    </w:p>
    <w:p w14:paraId="37CE68A7" w14:textId="2BBB71E6" w:rsidR="0091737E" w:rsidRPr="003D1437" w:rsidRDefault="0091737E" w:rsidP="006924ED">
      <w:pPr>
        <w:pStyle w:val="Heading2"/>
        <w:rPr>
          <w:rtl/>
        </w:rPr>
      </w:pPr>
      <w:bookmarkStart w:id="100" w:name="_Toc233422633"/>
      <w:bookmarkStart w:id="101" w:name="_Toc236402688"/>
      <w:bookmarkEnd w:id="98"/>
      <w:r w:rsidRPr="003D1437">
        <w:rPr>
          <w:rtl/>
        </w:rPr>
        <w:t>3.</w:t>
      </w:r>
      <w:r w:rsidR="00CD2C71" w:rsidRPr="003D1437">
        <w:rPr>
          <w:rFonts w:hint="cs"/>
          <w:rtl/>
        </w:rPr>
        <w:t>9</w:t>
      </w:r>
      <w:r w:rsidRPr="003D1437">
        <w:rPr>
          <w:rtl/>
        </w:rPr>
        <w:t xml:space="preserve"> أنواع البيانات</w:t>
      </w:r>
      <w:bookmarkEnd w:id="100"/>
      <w:bookmarkEnd w:id="101"/>
    </w:p>
    <w:p w14:paraId="04919E8C"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لتحقيق أهداف الدراسة والإجابة عن تساؤلاتها، تم الاعتماد على نوعين رئيسيين من البيانات:</w:t>
      </w:r>
    </w:p>
    <w:p w14:paraId="617C0619" w14:textId="192BD6C5" w:rsidR="0091737E" w:rsidRPr="003D1437" w:rsidRDefault="0091737E">
      <w:pPr>
        <w:numPr>
          <w:ilvl w:val="0"/>
          <w:numId w:val="3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البيانات الأولية (</w:t>
      </w:r>
      <w:r w:rsidRPr="003D1437">
        <w:rPr>
          <w:rFonts w:ascii="Traditional Arabic" w:hAnsi="Traditional Arabic" w:cs="Traditional Arabic"/>
          <w:b/>
          <w:bCs/>
          <w:sz w:val="28"/>
          <w:szCs w:val="28"/>
        </w:rPr>
        <w:t>Primary Data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وهي البيانات التي تم جمعها خصيصاً لأغراض هذه الدراسة ولم تكن متاحة من قبل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xml:space="preserve">). تم الحصول على هذه البيانات بشكل أساسي من خلال أداة </w:t>
      </w:r>
      <w:r w:rsidRPr="003D1437">
        <w:rPr>
          <w:rFonts w:ascii="Traditional Arabic" w:hAnsi="Traditional Arabic" w:cs="Traditional Arabic"/>
          <w:b/>
          <w:bCs/>
          <w:sz w:val="28"/>
          <w:szCs w:val="28"/>
          <w:rtl/>
        </w:rPr>
        <w:t>الاستبيان</w:t>
      </w:r>
      <w:r w:rsidRPr="003D1437">
        <w:rPr>
          <w:rFonts w:ascii="Traditional Arabic" w:hAnsi="Traditional Arabic" w:cs="Traditional Arabic"/>
          <w:sz w:val="28"/>
          <w:szCs w:val="28"/>
          <w:rtl/>
        </w:rPr>
        <w:t xml:space="preserve"> التي تم تصميمها وتوزيعها على أفراد العينة المختارة من العاملين في الإدارة العامة للتعليم بمنطقة مكة المكرمة. هدفت الاستبانة إلى قياس آراء واتجاهات المستجيبين تجاه متغيرات الدراسة الرئيسية (الذكاء الاصطناعي، التكيف التكنولوجي، وكفاءة التخطيط الاستراتيجي). </w:t>
      </w:r>
    </w:p>
    <w:p w14:paraId="6E02D17C" w14:textId="366CD898" w:rsidR="0088660D" w:rsidRPr="003D1437" w:rsidRDefault="0091737E">
      <w:pPr>
        <w:numPr>
          <w:ilvl w:val="0"/>
          <w:numId w:val="38"/>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البيانات الثانوية (</w:t>
      </w:r>
      <w:r w:rsidRPr="003D1437">
        <w:rPr>
          <w:rFonts w:ascii="Traditional Arabic" w:hAnsi="Traditional Arabic" w:cs="Traditional Arabic"/>
          <w:b/>
          <w:bCs/>
          <w:sz w:val="28"/>
          <w:szCs w:val="28"/>
        </w:rPr>
        <w:t>Secondary Data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وهي البيانات التي تم جمعها مسبقاً لأغراض أخرى ولكنها ذات صلة بموضوع الدراسة الحالي (</w:t>
      </w:r>
      <w:r w:rsidR="0088660D" w:rsidRPr="003D1437">
        <w:rPr>
          <w:rFonts w:ascii="Traditional Arabic" w:hAnsi="Traditional Arabic" w:cs="Traditional Arabic"/>
          <w:sz w:val="28"/>
          <w:szCs w:val="28"/>
        </w:rPr>
        <w:t>Sekaran &amp; Bougie, 2016</w:t>
      </w:r>
      <w:r w:rsidR="0088660D" w:rsidRPr="003D1437">
        <w:rPr>
          <w:rFonts w:ascii="Traditional Arabic" w:hAnsi="Traditional Arabic" w:cs="Traditional Arabic"/>
          <w:sz w:val="28"/>
          <w:szCs w:val="28"/>
          <w:rtl/>
        </w:rPr>
        <w:t>). تم الاستعانة بالبيانات الثانوية في بناء الإطار النظري والدراسات السابقة، وشملت الكتب ، والمقالات العلمية المنشورة في الدوريات والمؤتمرات، والرسائل الجامعية، والتقارير الرسمية الصادرة عن الهيئات الحكومية (مثل الهيئة العامة للإحصاء ووزارة التعليم)، والمواقع الإلكترونية الموثوقة ذات الصلة بموضوع الذكاء الاصطناعي والتكيف التكنولوجي والتخطيط الاستراتيجي في قطاع التعليم</w:t>
      </w:r>
      <w:r w:rsidRPr="003D1437">
        <w:rPr>
          <w:rFonts w:ascii="Traditional Arabic" w:hAnsi="Traditional Arabic" w:cs="Traditional Arabic"/>
          <w:sz w:val="28"/>
          <w:szCs w:val="28"/>
          <w:rtl/>
        </w:rPr>
        <w:t>.</w:t>
      </w:r>
    </w:p>
    <w:p w14:paraId="4264C57E" w14:textId="2F6F528F" w:rsidR="0091737E" w:rsidRPr="003D1437" w:rsidRDefault="0091737E" w:rsidP="006924ED">
      <w:pPr>
        <w:pStyle w:val="Heading2"/>
        <w:rPr>
          <w:rtl/>
        </w:rPr>
      </w:pPr>
      <w:bookmarkStart w:id="102" w:name="_Toc236402689"/>
      <w:bookmarkStart w:id="103" w:name="_Toc233422634"/>
      <w:r w:rsidRPr="003D1437">
        <w:rPr>
          <w:rtl/>
        </w:rPr>
        <w:lastRenderedPageBreak/>
        <w:t>3.</w:t>
      </w:r>
      <w:r w:rsidR="00CD2C71" w:rsidRPr="003D1437">
        <w:rPr>
          <w:rFonts w:hint="cs"/>
          <w:rtl/>
        </w:rPr>
        <w:t>10</w:t>
      </w:r>
      <w:r w:rsidRPr="003D1437">
        <w:rPr>
          <w:rtl/>
        </w:rPr>
        <w:t xml:space="preserve"> صدق المقياس</w:t>
      </w:r>
      <w:bookmarkEnd w:id="102"/>
      <w:r w:rsidRPr="003D1437">
        <w:rPr>
          <w:rtl/>
        </w:rPr>
        <w:t xml:space="preserve"> </w:t>
      </w:r>
      <w:bookmarkEnd w:id="103"/>
    </w:p>
    <w:p w14:paraId="7711B6D7" w14:textId="7DA05422" w:rsidR="00237F90" w:rsidRPr="003D1437" w:rsidRDefault="0088660D" w:rsidP="00237F90">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يشير صدق المقياس إلى مدى قدرة أداة القياس (الاستبيان في هذه الحالة) على قياس ما يفترض أن تقيسه بالفعل (</w:t>
      </w:r>
      <w:r w:rsidRPr="003D1437">
        <w:rPr>
          <w:rFonts w:ascii="Traditional Arabic" w:hAnsi="Traditional Arabic" w:cs="Traditional Arabic"/>
          <w:sz w:val="28"/>
          <w:szCs w:val="28"/>
        </w:rPr>
        <w:t>Sekaran &amp; Bougie, 2016</w:t>
      </w:r>
      <w:r w:rsidRPr="003D1437">
        <w:rPr>
          <w:rFonts w:ascii="Traditional Arabic" w:hAnsi="Traditional Arabic" w:cs="Traditional Arabic"/>
          <w:sz w:val="28"/>
          <w:szCs w:val="28"/>
          <w:rtl/>
        </w:rPr>
        <w:t>). لضمان صدق مقاييس الدراسة الحالية، تم الاعتماد على نوعين رئيسيين من الصدق</w:t>
      </w:r>
      <w:r w:rsidR="0091737E" w:rsidRPr="003D1437">
        <w:rPr>
          <w:rFonts w:ascii="Traditional Arabic" w:hAnsi="Traditional Arabic" w:cs="Traditional Arabic"/>
          <w:sz w:val="28"/>
          <w:szCs w:val="28"/>
          <w:rtl/>
        </w:rPr>
        <w:t>:</w:t>
      </w:r>
    </w:p>
    <w:p w14:paraId="2ADDAD27" w14:textId="3072379A" w:rsidR="0091737E" w:rsidRPr="003D1437" w:rsidRDefault="0091737E" w:rsidP="00863B90">
      <w:pPr>
        <w:pStyle w:val="Heading3"/>
        <w:rPr>
          <w:rtl/>
        </w:rPr>
      </w:pPr>
      <w:bookmarkStart w:id="104" w:name="_Toc233422635"/>
      <w:bookmarkStart w:id="105" w:name="_Toc236402690"/>
      <w:r w:rsidRPr="003D1437">
        <w:rPr>
          <w:rtl/>
        </w:rPr>
        <w:t>3.</w:t>
      </w:r>
      <w:r w:rsidR="00CD2C71" w:rsidRPr="003D1437">
        <w:rPr>
          <w:rFonts w:hint="cs"/>
          <w:rtl/>
        </w:rPr>
        <w:t>10</w:t>
      </w:r>
      <w:r w:rsidRPr="003D1437">
        <w:rPr>
          <w:rtl/>
        </w:rPr>
        <w:t>.1 الصدق الظاهري</w:t>
      </w:r>
      <w:bookmarkEnd w:id="104"/>
      <w:bookmarkEnd w:id="105"/>
    </w:p>
    <w:p w14:paraId="15486FD0"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يهتم الصدق الظاهري بمدى مناسبة مظهر الأداة ومحتواها للغرض الذي صممت من أجله، ومدى وضوح العبارات وملاءمتها للمستجيبين (</w:t>
      </w:r>
      <w:r w:rsidRPr="003D1437">
        <w:rPr>
          <w:rFonts w:ascii="Traditional Arabic" w:hAnsi="Traditional Arabic" w:cs="Traditional Arabic"/>
          <w:sz w:val="28"/>
          <w:szCs w:val="28"/>
        </w:rPr>
        <w:t>Taherdoost, 2016</w:t>
      </w:r>
      <w:r w:rsidRPr="003D1437">
        <w:rPr>
          <w:rFonts w:ascii="Traditional Arabic" w:hAnsi="Traditional Arabic" w:cs="Traditional Arabic"/>
          <w:sz w:val="28"/>
          <w:szCs w:val="28"/>
          <w:rtl/>
        </w:rPr>
        <w:t>). لتحقيق الصدق الظاهري للاستبيان، تم عرضه بصورته الأولية على المشرف الأكاديمي وعدد من المحكمين المختصين في مجال الإدارة والتخطيط الاستراتيجي وتكنولوجيا المعلومات، وكذلك في مجال القياس والتقويم التربوي والإحصاء. طُلب منهم تقييم مدى وضوح العبارات، ودقتها اللغوية، وانتمائها للمحور الذي تقيسه، ومدى تغطية الأبعاد المختلفة للمتغيرات. بناءً على ملاحظاتهم وتوصياتهم، تم إجراء التعديلات اللازمة على الاستبيان قبل اعتماده بصورته النهائية.</w:t>
      </w:r>
    </w:p>
    <w:p w14:paraId="16F62C59" w14:textId="5CBEFD8E" w:rsidR="0091737E" w:rsidRPr="003D1437" w:rsidRDefault="0091737E" w:rsidP="00863B90">
      <w:pPr>
        <w:pStyle w:val="Heading3"/>
        <w:rPr>
          <w:rtl/>
        </w:rPr>
      </w:pPr>
      <w:bookmarkStart w:id="106" w:name="_Toc236402691"/>
      <w:bookmarkStart w:id="107" w:name="_Toc233422636"/>
      <w:r w:rsidRPr="003D1437">
        <w:rPr>
          <w:rtl/>
        </w:rPr>
        <w:t>3.</w:t>
      </w:r>
      <w:r w:rsidR="00CD2C71" w:rsidRPr="003D1437">
        <w:rPr>
          <w:rFonts w:hint="cs"/>
          <w:rtl/>
        </w:rPr>
        <w:t>10</w:t>
      </w:r>
      <w:r w:rsidRPr="003D1437">
        <w:rPr>
          <w:rtl/>
        </w:rPr>
        <w:t>.2 الصدق البنائي</w:t>
      </w:r>
      <w:bookmarkEnd w:id="106"/>
      <w:r w:rsidRPr="003D1437">
        <w:rPr>
          <w:rtl/>
        </w:rPr>
        <w:t xml:space="preserve"> </w:t>
      </w:r>
      <w:bookmarkEnd w:id="107"/>
    </w:p>
    <w:p w14:paraId="7D100521" w14:textId="083AAAD8" w:rsidR="0091737E" w:rsidRPr="003D1437" w:rsidRDefault="0088660D" w:rsidP="0091737E">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يقيس الصدق البنائي مدى نجاح الأداة في قياس المفهوم أو البناء النظري الذي يفترض أن تقيسه (</w:t>
      </w:r>
      <w:r w:rsidRPr="003D1437">
        <w:rPr>
          <w:rFonts w:ascii="Traditional Arabic" w:hAnsi="Traditional Arabic" w:cs="Traditional Arabic"/>
          <w:sz w:val="28"/>
          <w:szCs w:val="28"/>
        </w:rPr>
        <w:t>Hair et al., 2010</w:t>
      </w:r>
      <w:r w:rsidRPr="003D1437">
        <w:rPr>
          <w:rFonts w:ascii="Traditional Arabic" w:hAnsi="Traditional Arabic" w:cs="Traditional Arabic"/>
          <w:sz w:val="28"/>
          <w:szCs w:val="28"/>
          <w:rtl/>
        </w:rPr>
        <w:t>). أحد الأساليب الشائعة لتقييم الصدق البنائي هو فحص الصدق التقاربي (</w:t>
      </w:r>
      <w:r w:rsidRPr="003D1437">
        <w:rPr>
          <w:rFonts w:ascii="Traditional Arabic" w:hAnsi="Traditional Arabic" w:cs="Traditional Arabic"/>
          <w:sz w:val="28"/>
          <w:szCs w:val="28"/>
        </w:rPr>
        <w:t>Convergent Validity</w:t>
      </w:r>
      <w:r w:rsidRPr="003D1437">
        <w:rPr>
          <w:rFonts w:ascii="Traditional Arabic" w:hAnsi="Traditional Arabic" w:cs="Traditional Arabic"/>
          <w:sz w:val="28"/>
          <w:szCs w:val="28"/>
          <w:rtl/>
        </w:rPr>
        <w:t>) و الصدق التمييزي (</w:t>
      </w:r>
      <w:r w:rsidRPr="003D1437">
        <w:rPr>
          <w:rFonts w:ascii="Traditional Arabic" w:hAnsi="Traditional Arabic" w:cs="Traditional Arabic"/>
          <w:sz w:val="28"/>
          <w:szCs w:val="28"/>
        </w:rPr>
        <w:t>Discriminant Validity</w:t>
      </w:r>
      <w:r w:rsidRPr="003D1437">
        <w:rPr>
          <w:rFonts w:ascii="Traditional Arabic" w:hAnsi="Traditional Arabic" w:cs="Traditional Arabic"/>
          <w:sz w:val="28"/>
          <w:szCs w:val="28"/>
          <w:rtl/>
        </w:rPr>
        <w:t>). يمكن تقييم الصدق التقاربي من خلال التأكد من أن بنود البعد الواحد ترتبط ببعضها البعض بدرجة عالية. وسيتم فحص ذلك إحصائياً بعد جمع البيانات من خلال حساب معاملات الارتباط بيرسون (</w:t>
      </w:r>
      <w:r w:rsidRPr="003D1437">
        <w:rPr>
          <w:rFonts w:ascii="Traditional Arabic" w:hAnsi="Traditional Arabic" w:cs="Traditional Arabic"/>
          <w:sz w:val="28"/>
          <w:szCs w:val="28"/>
        </w:rPr>
        <w:t>Pearson Correlation Coefficient</w:t>
      </w:r>
      <w:r w:rsidRPr="003D1437">
        <w:rPr>
          <w:rFonts w:ascii="Traditional Arabic" w:hAnsi="Traditional Arabic" w:cs="Traditional Arabic"/>
          <w:sz w:val="28"/>
          <w:szCs w:val="28"/>
          <w:rtl/>
        </w:rPr>
        <w:t>) بين كل بند والمجموع الكلي للبعد الذي ينتمي إليه، وكذلك بين كل بعد والمجموع الكلي للمتغير الذي يمثله. يُتوقع أن تكون معاملات الارتباط هذه موجبة وذات دلالة إحصائية (</w:t>
      </w:r>
      <w:r w:rsidRPr="003D1437">
        <w:rPr>
          <w:rFonts w:ascii="Traditional Arabic" w:hAnsi="Traditional Arabic" w:cs="Traditional Arabic"/>
          <w:sz w:val="28"/>
          <w:szCs w:val="28"/>
        </w:rPr>
        <w:t>Pallant, 2010</w:t>
      </w:r>
      <w:r w:rsidRPr="003D1437">
        <w:rPr>
          <w:rFonts w:ascii="Traditional Arabic" w:hAnsi="Traditional Arabic" w:cs="Traditional Arabic"/>
          <w:sz w:val="28"/>
          <w:szCs w:val="28"/>
          <w:rtl/>
        </w:rPr>
        <w:t>). كما سيتم تقييم الصدق التمييزي للتأكد من أن الأبعاد المختلفة للمتغيرات هي بالفعل متميزة عن بعضها البعض.</w:t>
      </w:r>
    </w:p>
    <w:p w14:paraId="2443FDF0" w14:textId="77777777" w:rsidR="00237F90" w:rsidRPr="003D1437" w:rsidRDefault="00237F90" w:rsidP="00237F90">
      <w:pPr>
        <w:bidi/>
        <w:spacing w:after="200" w:line="276" w:lineRule="auto"/>
        <w:rPr>
          <w:rFonts w:ascii="Times New Roman" w:hAnsi="Times New Roman" w:cs="Traditional Arabic"/>
          <w:kern w:val="0"/>
          <w:szCs w:val="32"/>
          <w:rtl/>
          <w:lang w:bidi="ar-EG"/>
          <w14:ligatures w14:val="none"/>
        </w:rPr>
      </w:pPr>
      <w:r w:rsidRPr="003D1437">
        <w:rPr>
          <w:rFonts w:ascii="Times New Roman" w:hAnsi="Times New Roman" w:cs="Traditional Arabic"/>
          <w:kern w:val="0"/>
          <w:szCs w:val="32"/>
          <w:rtl/>
          <w14:ligatures w14:val="none"/>
        </w:rPr>
        <w:t>للتحقق من الصدق البنائي لأداة الدراسة، تم حساب معامل ارتباط بيرسون بين درجة كل بعد من الأبعاد الفرعية والدرجة الكلية للمتغير الرئيسي الذي ينتمي إليه، لضمان أن الأبعاد تقيس بالفعل ما صُممت لقياسه، وجاءت النتائج كما يوضحها الجدول التالي</w:t>
      </w:r>
      <w:r w:rsidRPr="003D1437">
        <w:rPr>
          <w:rFonts w:ascii="Times New Roman" w:hAnsi="Times New Roman" w:cs="Traditional Arabic"/>
          <w:kern w:val="0"/>
          <w:szCs w:val="32"/>
          <w:lang w:bidi="ar-EG"/>
          <w14:ligatures w14:val="none"/>
        </w:rPr>
        <w:t>:</w:t>
      </w:r>
    </w:p>
    <w:p w14:paraId="77BA6F67" w14:textId="77777777" w:rsidR="00A854F1" w:rsidRPr="003D1437" w:rsidRDefault="00A854F1" w:rsidP="00A854F1">
      <w:pPr>
        <w:bidi/>
        <w:spacing w:after="200" w:line="276" w:lineRule="auto"/>
        <w:rPr>
          <w:rFonts w:ascii="Times New Roman" w:hAnsi="Times New Roman" w:cs="Traditional Arabic"/>
          <w:kern w:val="0"/>
          <w:szCs w:val="32"/>
          <w:rtl/>
          <w:lang w:bidi="ar-EG"/>
          <w14:ligatures w14:val="none"/>
        </w:rPr>
      </w:pPr>
    </w:p>
    <w:p w14:paraId="21F9AE83" w14:textId="77777777" w:rsidR="00A854F1" w:rsidRPr="003D1437" w:rsidRDefault="00A854F1" w:rsidP="00A854F1">
      <w:pPr>
        <w:bidi/>
        <w:spacing w:after="200" w:line="276" w:lineRule="auto"/>
        <w:rPr>
          <w:rFonts w:ascii="Times New Roman" w:hAnsi="Times New Roman" w:cs="Traditional Arabic"/>
          <w:kern w:val="0"/>
          <w:szCs w:val="32"/>
          <w:rtl/>
          <w:lang w:bidi="ar-EG"/>
          <w14:ligatures w14:val="none"/>
        </w:rPr>
      </w:pPr>
    </w:p>
    <w:p w14:paraId="1A8C5314" w14:textId="77777777" w:rsidR="00A854F1" w:rsidRPr="003D1437" w:rsidRDefault="00A854F1" w:rsidP="00A854F1">
      <w:pPr>
        <w:bidi/>
        <w:spacing w:after="200" w:line="276" w:lineRule="auto"/>
        <w:rPr>
          <w:rFonts w:ascii="Times New Roman" w:hAnsi="Times New Roman" w:cs="Traditional Arabic"/>
          <w:kern w:val="0"/>
          <w:szCs w:val="32"/>
          <w:lang w:bidi="ar-EG"/>
          <w14:ligatures w14:val="none"/>
        </w:rPr>
      </w:pPr>
    </w:p>
    <w:p w14:paraId="5F7199A8" w14:textId="383196CF" w:rsidR="00237F90" w:rsidRPr="003D1437" w:rsidRDefault="00237F90" w:rsidP="00A14B40">
      <w:pPr>
        <w:pStyle w:val="Heading4"/>
        <w:rPr>
          <w:color w:val="auto"/>
          <w:rtl/>
        </w:rPr>
      </w:pPr>
      <w:bookmarkStart w:id="108" w:name="_Toc235065200"/>
      <w:r w:rsidRPr="003D1437">
        <w:rPr>
          <w:color w:val="auto"/>
          <w:rtl/>
        </w:rPr>
        <w:lastRenderedPageBreak/>
        <w:t>جدول</w:t>
      </w:r>
      <w:r w:rsidRPr="003D1437">
        <w:rPr>
          <w:color w:val="auto"/>
        </w:rPr>
        <w:t xml:space="preserve"> </w:t>
      </w:r>
      <w:r w:rsidR="006924ED" w:rsidRPr="003D1437">
        <w:rPr>
          <w:rFonts w:hint="cs"/>
          <w:color w:val="auto"/>
          <w:rtl/>
        </w:rPr>
        <w:t>(</w:t>
      </w:r>
      <w:r w:rsidR="00A854F1" w:rsidRPr="003D1437">
        <w:rPr>
          <w:rFonts w:hint="cs"/>
          <w:color w:val="auto"/>
          <w:rtl/>
        </w:rPr>
        <w:t xml:space="preserve">3): </w:t>
      </w:r>
      <w:r w:rsidR="00A854F1" w:rsidRPr="003D1437">
        <w:rPr>
          <w:color w:val="auto"/>
          <w:rtl/>
        </w:rPr>
        <w:t>معاملات</w:t>
      </w:r>
      <w:r w:rsidRPr="003D1437">
        <w:rPr>
          <w:color w:val="auto"/>
          <w:rtl/>
        </w:rPr>
        <w:t xml:space="preserve"> ارتباط بيرسون بين الأبعاد والدرجة الكلية للمتغيرات (الصدق البنائي)</w:t>
      </w:r>
      <w:bookmarkEnd w:id="108"/>
    </w:p>
    <w:tbl>
      <w:tblPr>
        <w:bidiVisual/>
        <w:tblW w:w="5000" w:type="pct"/>
        <w:tblLook w:val="04A0" w:firstRow="1" w:lastRow="0" w:firstColumn="1" w:lastColumn="0" w:noHBand="0" w:noVBand="1"/>
      </w:tblPr>
      <w:tblGrid>
        <w:gridCol w:w="2567"/>
        <w:gridCol w:w="2454"/>
        <w:gridCol w:w="2587"/>
        <w:gridCol w:w="1752"/>
      </w:tblGrid>
      <w:tr w:rsidR="003D1437" w:rsidRPr="003D1437" w14:paraId="497369E7" w14:textId="77777777" w:rsidTr="00154EE3">
        <w:trPr>
          <w:trHeight w:val="340"/>
        </w:trPr>
        <w:tc>
          <w:tcPr>
            <w:tcW w:w="1371" w:type="pct"/>
            <w:tcBorders>
              <w:top w:val="single" w:sz="4" w:space="0" w:color="auto"/>
              <w:bottom w:val="single" w:sz="4" w:space="0" w:color="auto"/>
            </w:tcBorders>
            <w:vAlign w:val="center"/>
            <w:hideMark/>
          </w:tcPr>
          <w:p w14:paraId="2420A816"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14:ligatures w14:val="none"/>
              </w:rPr>
            </w:pPr>
            <w:r w:rsidRPr="003D1437">
              <w:rPr>
                <w:rFonts w:ascii="Traditional Arabic" w:eastAsia="Times New Roman" w:hAnsi="Traditional Arabic" w:cs="Traditional Arabic" w:hint="cs"/>
                <w:b/>
                <w:bCs/>
                <w:kern w:val="0"/>
                <w:sz w:val="32"/>
                <w:szCs w:val="32"/>
                <w:rtl/>
                <w14:ligatures w14:val="none"/>
              </w:rPr>
              <w:t>المتغير الرئيسي</w:t>
            </w:r>
          </w:p>
        </w:tc>
        <w:tc>
          <w:tcPr>
            <w:tcW w:w="1311" w:type="pct"/>
            <w:tcBorders>
              <w:top w:val="single" w:sz="4" w:space="0" w:color="auto"/>
              <w:bottom w:val="single" w:sz="4" w:space="0" w:color="auto"/>
            </w:tcBorders>
            <w:vAlign w:val="center"/>
            <w:hideMark/>
          </w:tcPr>
          <w:p w14:paraId="13DD169B"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الأبعاد الفرعية</w:t>
            </w:r>
          </w:p>
        </w:tc>
        <w:tc>
          <w:tcPr>
            <w:tcW w:w="1382" w:type="pct"/>
            <w:tcBorders>
              <w:top w:val="single" w:sz="4" w:space="0" w:color="auto"/>
              <w:bottom w:val="single" w:sz="4" w:space="0" w:color="auto"/>
            </w:tcBorders>
            <w:vAlign w:val="center"/>
            <w:hideMark/>
          </w:tcPr>
          <w:p w14:paraId="23B8FE25"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معامل الارتباط</w:t>
            </w:r>
            <w:r w:rsidRPr="003D1437">
              <w:rPr>
                <w:rFonts w:ascii="Times New Roman" w:eastAsia="Times New Roman" w:hAnsi="Times New Roman" w:cs="Times New Roman"/>
                <w:b/>
                <w:bCs/>
                <w:kern w:val="0"/>
                <w:rtl/>
                <w14:ligatures w14:val="none"/>
              </w:rPr>
              <w:t xml:space="preserve"> (</w:t>
            </w:r>
            <w:r w:rsidRPr="003D1437">
              <w:rPr>
                <w:rFonts w:ascii="Times New Roman" w:eastAsia="Times New Roman" w:hAnsi="Times New Roman" w:cs="Times New Roman"/>
                <w:b/>
                <w:bCs/>
                <w:kern w:val="0"/>
                <w14:ligatures w14:val="none"/>
              </w:rPr>
              <w:t>r</w:t>
            </w:r>
            <w:r w:rsidRPr="003D1437">
              <w:rPr>
                <w:rFonts w:ascii="Times New Roman" w:eastAsia="Times New Roman" w:hAnsi="Times New Roman" w:cs="Times New Roman"/>
                <w:b/>
                <w:bCs/>
                <w:kern w:val="0"/>
                <w:rtl/>
                <w14:ligatures w14:val="none"/>
              </w:rPr>
              <w:t>)</w:t>
            </w:r>
          </w:p>
        </w:tc>
        <w:tc>
          <w:tcPr>
            <w:tcW w:w="936" w:type="pct"/>
            <w:tcBorders>
              <w:top w:val="single" w:sz="4" w:space="0" w:color="auto"/>
              <w:bottom w:val="single" w:sz="4" w:space="0" w:color="auto"/>
            </w:tcBorders>
            <w:vAlign w:val="center"/>
            <w:hideMark/>
          </w:tcPr>
          <w:p w14:paraId="0AFA9003" w14:textId="77777777" w:rsidR="00237F90" w:rsidRPr="003D1437" w:rsidRDefault="00237F90" w:rsidP="006E493C">
            <w:pPr>
              <w:bidi/>
              <w:spacing w:after="0" w:line="240" w:lineRule="auto"/>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مستوى الدلالة</w:t>
            </w:r>
            <w:r w:rsidRPr="003D1437">
              <w:rPr>
                <w:rFonts w:ascii="Times New Roman" w:eastAsia="Times New Roman" w:hAnsi="Times New Roman" w:cs="Times New Roman"/>
                <w:b/>
                <w:bCs/>
                <w:kern w:val="0"/>
                <w:rtl/>
                <w14:ligatures w14:val="none"/>
              </w:rPr>
              <w:t xml:space="preserve"> (</w:t>
            </w:r>
            <w:r w:rsidRPr="003D1437">
              <w:rPr>
                <w:rFonts w:ascii="Times New Roman" w:eastAsia="Times New Roman" w:hAnsi="Times New Roman" w:cs="Times New Roman"/>
                <w:b/>
                <w:bCs/>
                <w:kern w:val="0"/>
                <w14:ligatures w14:val="none"/>
              </w:rPr>
              <w:t>Sig</w:t>
            </w:r>
            <w:r w:rsidRPr="003D1437">
              <w:rPr>
                <w:rFonts w:ascii="Times New Roman" w:eastAsia="Times New Roman" w:hAnsi="Times New Roman" w:cs="Times New Roman"/>
                <w:b/>
                <w:bCs/>
                <w:kern w:val="0"/>
                <w:rtl/>
                <w14:ligatures w14:val="none"/>
              </w:rPr>
              <w:t>)</w:t>
            </w:r>
          </w:p>
        </w:tc>
      </w:tr>
      <w:tr w:rsidR="003D1437" w:rsidRPr="003D1437" w14:paraId="445F0A0E" w14:textId="77777777" w:rsidTr="009B6CD4">
        <w:trPr>
          <w:trHeight w:val="340"/>
        </w:trPr>
        <w:tc>
          <w:tcPr>
            <w:tcW w:w="1371" w:type="pct"/>
            <w:vMerge w:val="restart"/>
            <w:tcBorders>
              <w:top w:val="single" w:sz="4" w:space="0" w:color="auto"/>
            </w:tcBorders>
            <w:hideMark/>
          </w:tcPr>
          <w:p w14:paraId="6BB2A034" w14:textId="77777777" w:rsidR="00237F90" w:rsidRPr="003D1437" w:rsidRDefault="00237F90" w:rsidP="009B6CD4">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الذكاء الاصطناعي</w:t>
            </w:r>
          </w:p>
        </w:tc>
        <w:tc>
          <w:tcPr>
            <w:tcW w:w="1311" w:type="pct"/>
            <w:tcBorders>
              <w:top w:val="single" w:sz="4" w:space="0" w:color="auto"/>
            </w:tcBorders>
            <w:vAlign w:val="center"/>
            <w:hideMark/>
          </w:tcPr>
          <w:p w14:paraId="3EB8CA33"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أتمتة المهام الإدارية</w:t>
            </w:r>
          </w:p>
        </w:tc>
        <w:tc>
          <w:tcPr>
            <w:tcW w:w="1382" w:type="pct"/>
            <w:tcBorders>
              <w:top w:val="single" w:sz="4" w:space="0" w:color="auto"/>
            </w:tcBorders>
            <w:vAlign w:val="center"/>
            <w:hideMark/>
          </w:tcPr>
          <w:p w14:paraId="5231E22A"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0.838**</w:t>
            </w:r>
          </w:p>
        </w:tc>
        <w:tc>
          <w:tcPr>
            <w:tcW w:w="936" w:type="pct"/>
            <w:tcBorders>
              <w:top w:val="single" w:sz="4" w:space="0" w:color="auto"/>
            </w:tcBorders>
            <w:vAlign w:val="center"/>
            <w:hideMark/>
          </w:tcPr>
          <w:p w14:paraId="5EBE44B7"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42C28D03" w14:textId="77777777" w:rsidTr="00154EE3">
        <w:trPr>
          <w:trHeight w:val="340"/>
        </w:trPr>
        <w:tc>
          <w:tcPr>
            <w:tcW w:w="1371" w:type="pct"/>
            <w:vMerge/>
            <w:vAlign w:val="center"/>
            <w:hideMark/>
          </w:tcPr>
          <w:p w14:paraId="0D11924E"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76267E4B"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دعم اتخاذ القرار</w:t>
            </w:r>
          </w:p>
        </w:tc>
        <w:tc>
          <w:tcPr>
            <w:tcW w:w="1382" w:type="pct"/>
            <w:vAlign w:val="center"/>
            <w:hideMark/>
          </w:tcPr>
          <w:p w14:paraId="3DC7F9C8"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0.903**</w:t>
            </w:r>
          </w:p>
        </w:tc>
        <w:tc>
          <w:tcPr>
            <w:tcW w:w="936" w:type="pct"/>
            <w:vAlign w:val="center"/>
            <w:hideMark/>
          </w:tcPr>
          <w:p w14:paraId="3BC65548"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6C2C5011" w14:textId="77777777" w:rsidTr="00154EE3">
        <w:trPr>
          <w:trHeight w:val="340"/>
        </w:trPr>
        <w:tc>
          <w:tcPr>
            <w:tcW w:w="1371" w:type="pct"/>
            <w:vMerge/>
            <w:vAlign w:val="center"/>
            <w:hideMark/>
          </w:tcPr>
          <w:p w14:paraId="3CA88E79"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296E7E64"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أنظمة الإنذار المبكر</w:t>
            </w:r>
          </w:p>
        </w:tc>
        <w:tc>
          <w:tcPr>
            <w:tcW w:w="1382" w:type="pct"/>
            <w:vAlign w:val="center"/>
            <w:hideMark/>
          </w:tcPr>
          <w:p w14:paraId="0EF39248"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0.841**</w:t>
            </w:r>
          </w:p>
        </w:tc>
        <w:tc>
          <w:tcPr>
            <w:tcW w:w="936" w:type="pct"/>
            <w:vAlign w:val="center"/>
            <w:hideMark/>
          </w:tcPr>
          <w:p w14:paraId="313F805D"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73CE81F9" w14:textId="77777777" w:rsidTr="009B6CD4">
        <w:trPr>
          <w:trHeight w:val="340"/>
        </w:trPr>
        <w:tc>
          <w:tcPr>
            <w:tcW w:w="1371" w:type="pct"/>
            <w:vMerge w:val="restart"/>
            <w:hideMark/>
          </w:tcPr>
          <w:p w14:paraId="7B0885AC" w14:textId="77777777" w:rsidR="00237F90" w:rsidRPr="003D1437" w:rsidRDefault="00237F90" w:rsidP="009B6CD4">
            <w:pPr>
              <w:bidi/>
              <w:spacing w:after="0" w:line="240" w:lineRule="auto"/>
              <w:rPr>
                <w:rFonts w:ascii="Traditional Arabic" w:eastAsia="Times New Roman" w:hAnsi="Traditional Arabic" w:cs="Traditional Arabic"/>
                <w:b/>
                <w:bCs/>
                <w:kern w:val="0"/>
                <w:sz w:val="30"/>
                <w:szCs w:val="30"/>
                <w:rtl/>
                <w14:ligatures w14:val="none"/>
              </w:rPr>
            </w:pPr>
            <w:r w:rsidRPr="003D1437">
              <w:rPr>
                <w:rFonts w:ascii="Traditional Arabic" w:eastAsia="Times New Roman" w:hAnsi="Traditional Arabic" w:cs="Traditional Arabic" w:hint="cs"/>
                <w:b/>
                <w:bCs/>
                <w:kern w:val="0"/>
                <w:sz w:val="30"/>
                <w:szCs w:val="30"/>
                <w:rtl/>
                <w14:ligatures w14:val="none"/>
              </w:rPr>
              <w:t>كفاءة التخطيط الاستراتيجي</w:t>
            </w:r>
          </w:p>
        </w:tc>
        <w:tc>
          <w:tcPr>
            <w:tcW w:w="1311" w:type="pct"/>
            <w:vAlign w:val="center"/>
            <w:hideMark/>
          </w:tcPr>
          <w:p w14:paraId="10FD0E19"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كفاءة التحليل الاستراتيجي</w:t>
            </w:r>
          </w:p>
        </w:tc>
        <w:tc>
          <w:tcPr>
            <w:tcW w:w="1382" w:type="pct"/>
            <w:vAlign w:val="center"/>
            <w:hideMark/>
          </w:tcPr>
          <w:p w14:paraId="57129D3D"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0.825**</w:t>
            </w:r>
          </w:p>
        </w:tc>
        <w:tc>
          <w:tcPr>
            <w:tcW w:w="936" w:type="pct"/>
            <w:vAlign w:val="center"/>
            <w:hideMark/>
          </w:tcPr>
          <w:p w14:paraId="002703EE"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4B3C17D8" w14:textId="77777777" w:rsidTr="00154EE3">
        <w:trPr>
          <w:trHeight w:val="340"/>
        </w:trPr>
        <w:tc>
          <w:tcPr>
            <w:tcW w:w="1371" w:type="pct"/>
            <w:vMerge/>
            <w:vAlign w:val="center"/>
            <w:hideMark/>
          </w:tcPr>
          <w:p w14:paraId="545D165B"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122F94AD"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كفاءة صياغة الأهداف الاستراتيجية</w:t>
            </w:r>
          </w:p>
        </w:tc>
        <w:tc>
          <w:tcPr>
            <w:tcW w:w="1382" w:type="pct"/>
            <w:vAlign w:val="center"/>
            <w:hideMark/>
          </w:tcPr>
          <w:p w14:paraId="46676EBD"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0.856**</w:t>
            </w:r>
          </w:p>
        </w:tc>
        <w:tc>
          <w:tcPr>
            <w:tcW w:w="936" w:type="pct"/>
            <w:vAlign w:val="center"/>
            <w:hideMark/>
          </w:tcPr>
          <w:p w14:paraId="091023DA"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3E63E987" w14:textId="77777777" w:rsidTr="00154EE3">
        <w:trPr>
          <w:trHeight w:val="340"/>
        </w:trPr>
        <w:tc>
          <w:tcPr>
            <w:tcW w:w="1371" w:type="pct"/>
            <w:vMerge/>
            <w:vAlign w:val="center"/>
            <w:hideMark/>
          </w:tcPr>
          <w:p w14:paraId="5B6B9568"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494F8BC0"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كفاءة التنفيذ والمتابعة</w:t>
            </w:r>
          </w:p>
        </w:tc>
        <w:tc>
          <w:tcPr>
            <w:tcW w:w="1382" w:type="pct"/>
            <w:vAlign w:val="center"/>
            <w:hideMark/>
          </w:tcPr>
          <w:p w14:paraId="0BB11DD8"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0.868**</w:t>
            </w:r>
          </w:p>
        </w:tc>
        <w:tc>
          <w:tcPr>
            <w:tcW w:w="936" w:type="pct"/>
            <w:vAlign w:val="center"/>
            <w:hideMark/>
          </w:tcPr>
          <w:p w14:paraId="24D299D3"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03CB8791" w14:textId="77777777" w:rsidTr="00154EE3">
        <w:trPr>
          <w:trHeight w:val="340"/>
        </w:trPr>
        <w:tc>
          <w:tcPr>
            <w:tcW w:w="1371" w:type="pct"/>
            <w:vMerge/>
            <w:tcBorders>
              <w:bottom w:val="single" w:sz="4" w:space="0" w:color="auto"/>
            </w:tcBorders>
            <w:vAlign w:val="center"/>
            <w:hideMark/>
          </w:tcPr>
          <w:p w14:paraId="1A02AA86"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tcBorders>
              <w:bottom w:val="single" w:sz="4" w:space="0" w:color="auto"/>
            </w:tcBorders>
            <w:vAlign w:val="center"/>
            <w:hideMark/>
          </w:tcPr>
          <w:p w14:paraId="73549F48"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كفاءة تخصيص الموارد</w:t>
            </w:r>
          </w:p>
        </w:tc>
        <w:tc>
          <w:tcPr>
            <w:tcW w:w="1382" w:type="pct"/>
            <w:tcBorders>
              <w:bottom w:val="single" w:sz="4" w:space="0" w:color="auto"/>
            </w:tcBorders>
            <w:vAlign w:val="center"/>
            <w:hideMark/>
          </w:tcPr>
          <w:p w14:paraId="106F8DBD"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0.736**</w:t>
            </w:r>
          </w:p>
        </w:tc>
        <w:tc>
          <w:tcPr>
            <w:tcW w:w="936" w:type="pct"/>
            <w:tcBorders>
              <w:bottom w:val="single" w:sz="4" w:space="0" w:color="auto"/>
            </w:tcBorders>
            <w:vAlign w:val="center"/>
            <w:hideMark/>
          </w:tcPr>
          <w:p w14:paraId="229D3373"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bl>
    <w:p w14:paraId="321C6F69" w14:textId="77777777" w:rsidR="00237F90" w:rsidRPr="003D1437" w:rsidRDefault="00237F90" w:rsidP="00237F90">
      <w:pPr>
        <w:bidi/>
        <w:spacing w:after="200" w:line="276" w:lineRule="auto"/>
        <w:rPr>
          <w:rFonts w:ascii="Times New Roman" w:hAnsi="Times New Roman" w:cs="Traditional Arabic"/>
          <w:kern w:val="0"/>
          <w:szCs w:val="32"/>
          <w:lang w:bidi="ar-EG"/>
          <w14:ligatures w14:val="none"/>
        </w:rPr>
      </w:pPr>
      <w:r w:rsidRPr="003D1437">
        <w:rPr>
          <w:rFonts w:ascii="Times New Roman" w:hAnsi="Times New Roman" w:cs="Traditional Arabic" w:hint="cs"/>
          <w:kern w:val="0"/>
          <w:szCs w:val="32"/>
          <w:rtl/>
          <w:lang w:bidi="ar-EG"/>
          <w14:ligatures w14:val="none"/>
        </w:rPr>
        <w:t xml:space="preserve">(**) دال احصائيا عند </w:t>
      </w:r>
      <w:r w:rsidRPr="003D1437">
        <w:rPr>
          <w:rFonts w:ascii="Times New Roman" w:hAnsi="Times New Roman" w:cs="Traditional Arabic"/>
          <w:kern w:val="0"/>
          <w:szCs w:val="32"/>
          <w:lang w:bidi="ar-EG"/>
          <w14:ligatures w14:val="none"/>
        </w:rPr>
        <w:t>&lt;0.01</w:t>
      </w:r>
    </w:p>
    <w:p w14:paraId="4A6D64E3" w14:textId="4F746EC7" w:rsidR="00237F90" w:rsidRPr="003D1437" w:rsidRDefault="00237F90" w:rsidP="00A854F1">
      <w:pPr>
        <w:bidi/>
        <w:spacing w:after="200" w:line="276" w:lineRule="auto"/>
        <w:jc w:val="lowKashida"/>
        <w:rPr>
          <w:rFonts w:ascii="Times New Roman" w:hAnsi="Times New Roman" w:cs="Traditional Arabic"/>
          <w:kern w:val="0"/>
          <w:szCs w:val="32"/>
          <w:lang w:bidi="ar-EG"/>
          <w14:ligatures w14:val="none"/>
        </w:rPr>
      </w:pPr>
      <w:r w:rsidRPr="003D1437">
        <w:rPr>
          <w:rFonts w:ascii="Times New Roman" w:hAnsi="Times New Roman" w:cs="Traditional Arabic"/>
          <w:kern w:val="0"/>
          <w:szCs w:val="32"/>
          <w:rtl/>
          <w14:ligatures w14:val="none"/>
        </w:rPr>
        <w:t>يتبين من الجدول أعلاه أن جميع معاملات الارتباط بين الأبعاد والدرجات الكلية لمتغيراتها جاءت موجبة ومرتفعة (تراوحت بين 0.736 و 0.903)، ودالة إحصائياً عند مستوى (0.01). مما يؤكد التمتع بدرجة عالية من الصدق البنائي والاتساق الداخلي لأداة الدراسة</w:t>
      </w:r>
      <w:r w:rsidRPr="003D1437">
        <w:rPr>
          <w:rFonts w:ascii="Times New Roman" w:hAnsi="Times New Roman" w:cs="Traditional Arabic"/>
          <w:kern w:val="0"/>
          <w:szCs w:val="32"/>
          <w:lang w:bidi="ar-EG"/>
          <w14:ligatures w14:val="none"/>
        </w:rPr>
        <w:t>.</w:t>
      </w:r>
    </w:p>
    <w:p w14:paraId="5BAA3675" w14:textId="1D6E6DAD" w:rsidR="0091737E" w:rsidRPr="003D1437" w:rsidRDefault="0091737E" w:rsidP="006924ED">
      <w:pPr>
        <w:pStyle w:val="Heading2"/>
        <w:rPr>
          <w:rtl/>
        </w:rPr>
      </w:pPr>
      <w:bookmarkStart w:id="109" w:name="_Toc233422637"/>
      <w:bookmarkStart w:id="110" w:name="_Toc236402692"/>
      <w:r w:rsidRPr="003D1437">
        <w:rPr>
          <w:rtl/>
        </w:rPr>
        <w:t>3.</w:t>
      </w:r>
      <w:r w:rsidR="00CD2C71" w:rsidRPr="003D1437">
        <w:rPr>
          <w:rFonts w:hint="cs"/>
          <w:rtl/>
        </w:rPr>
        <w:t>11</w:t>
      </w:r>
      <w:r w:rsidRPr="003D1437">
        <w:rPr>
          <w:rtl/>
        </w:rPr>
        <w:t xml:space="preserve"> ثبات المقياس</w:t>
      </w:r>
      <w:bookmarkEnd w:id="109"/>
      <w:bookmarkEnd w:id="110"/>
    </w:p>
    <w:p w14:paraId="2BF81EB1" w14:textId="3A445779" w:rsidR="0091737E" w:rsidRPr="003D1437" w:rsidRDefault="0088660D" w:rsidP="0091737E">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يشير ثبات المقياس إلى مدى اتساق الأداة واستقرارها في قياس الظاهرة عبر الزمن أو عبر البنود المختلفة التي تقيس نفس المفهوم (</w:t>
      </w:r>
      <w:r w:rsidRPr="003D1437">
        <w:rPr>
          <w:rFonts w:ascii="Traditional Arabic" w:hAnsi="Traditional Arabic" w:cs="Traditional Arabic"/>
          <w:sz w:val="28"/>
          <w:szCs w:val="28"/>
        </w:rPr>
        <w:t>Sekaran &amp; Bougie, 2016</w:t>
      </w:r>
      <w:r w:rsidRPr="003D1437">
        <w:rPr>
          <w:rFonts w:ascii="Traditional Arabic" w:hAnsi="Traditional Arabic" w:cs="Traditional Arabic"/>
          <w:sz w:val="28"/>
          <w:szCs w:val="28"/>
          <w:rtl/>
        </w:rPr>
        <w:t>). بمعنى آخر، هل تعطي الأداة نتائج متقاربة إذا تم تطبيقها مرة أخرى على نفس الأفراد في ظروف مماثلة؟ لتقييم الاتساق الداخلي (</w:t>
      </w:r>
      <w:r w:rsidRPr="003D1437">
        <w:rPr>
          <w:rFonts w:ascii="Traditional Arabic" w:hAnsi="Traditional Arabic" w:cs="Traditional Arabic"/>
          <w:sz w:val="28"/>
          <w:szCs w:val="28"/>
        </w:rPr>
        <w:t>Internal Consistency</w:t>
      </w:r>
      <w:r w:rsidRPr="003D1437">
        <w:rPr>
          <w:rFonts w:ascii="Traditional Arabic" w:hAnsi="Traditional Arabic" w:cs="Traditional Arabic"/>
          <w:sz w:val="28"/>
          <w:szCs w:val="28"/>
          <w:rtl/>
        </w:rPr>
        <w:t>) لمقاييس الدراسة، وهو النوع الأكثر شيوعاً لقياس الثبات في الدراسات المسحية، سيتم استخدام معامل ألفا كرونباخ (</w:t>
      </w:r>
      <w:r w:rsidRPr="003D1437">
        <w:rPr>
          <w:rFonts w:ascii="Traditional Arabic" w:hAnsi="Traditional Arabic" w:cs="Traditional Arabic"/>
          <w:sz w:val="28"/>
          <w:szCs w:val="28"/>
        </w:rPr>
        <w:t>Cronbach's Alpha Coefficient</w:t>
      </w:r>
      <w:r w:rsidRPr="003D1437">
        <w:rPr>
          <w:rFonts w:ascii="Traditional Arabic" w:hAnsi="Traditional Arabic" w:cs="Traditional Arabic"/>
          <w:sz w:val="28"/>
          <w:szCs w:val="28"/>
          <w:rtl/>
        </w:rPr>
        <w:t>). يقيس هذا المعامل مدى ترابط مجموعة من البنود التي يفترض أنها تقيس بناءً نظرياً واحداً (</w:t>
      </w:r>
      <w:r w:rsidRPr="003D1437">
        <w:rPr>
          <w:rFonts w:ascii="Traditional Arabic" w:hAnsi="Traditional Arabic" w:cs="Traditional Arabic"/>
          <w:sz w:val="28"/>
          <w:szCs w:val="28"/>
        </w:rPr>
        <w:t>Cronbach, 1951</w:t>
      </w:r>
      <w:r w:rsidRPr="003D1437">
        <w:rPr>
          <w:rFonts w:ascii="Traditional Arabic" w:hAnsi="Traditional Arabic" w:cs="Traditional Arabic"/>
          <w:sz w:val="28"/>
          <w:szCs w:val="28"/>
          <w:rtl/>
        </w:rPr>
        <w:t>). سيتم حساب معامل ألفا كرونباخ لكل بُعد من أبعاد متغيرات الدراسة (الذكاء الاصطناعي، التكيف التكنولوجي، كفاءة التخطيط الاستراتيجي) بعد جمع البيانات. وتشير الأدبيات إلى أن قيمة ألفا كرونباخ التي تساوي 0.70 أو أعلى تعتبر مقبولة بشكل عام للإشارة إلى ثبات جيد للمقياس في البحوث الاجتماعية والإدارية (</w:t>
      </w:r>
      <w:r w:rsidRPr="003D1437">
        <w:rPr>
          <w:rFonts w:ascii="Traditional Arabic" w:hAnsi="Traditional Arabic" w:cs="Traditional Arabic"/>
          <w:sz w:val="28"/>
          <w:szCs w:val="28"/>
        </w:rPr>
        <w:t>Hair et al., 2010; Pallant, 2010</w:t>
      </w:r>
      <w:r w:rsidRPr="003D1437">
        <w:rPr>
          <w:rFonts w:ascii="Traditional Arabic" w:hAnsi="Traditional Arabic" w:cs="Traditional Arabic"/>
          <w:sz w:val="28"/>
          <w:szCs w:val="28"/>
          <w:rtl/>
        </w:rPr>
        <w:t>)</w:t>
      </w:r>
      <w:r w:rsidR="0091737E" w:rsidRPr="003D1437">
        <w:rPr>
          <w:rFonts w:ascii="Traditional Arabic" w:hAnsi="Traditional Arabic" w:cs="Traditional Arabic"/>
          <w:sz w:val="28"/>
          <w:szCs w:val="28"/>
          <w:rtl/>
        </w:rPr>
        <w:t>.</w:t>
      </w:r>
    </w:p>
    <w:p w14:paraId="44666BB2" w14:textId="77777777" w:rsidR="00237F90" w:rsidRPr="003D1437" w:rsidRDefault="00237F90" w:rsidP="00237F90">
      <w:pPr>
        <w:bidi/>
        <w:spacing w:after="200" w:line="276" w:lineRule="auto"/>
        <w:rPr>
          <w:rFonts w:ascii="Times New Roman" w:hAnsi="Times New Roman" w:cs="Traditional Arabic"/>
          <w:kern w:val="0"/>
          <w:szCs w:val="32"/>
          <w:rtl/>
          <w:lang w:bidi="ar-EG"/>
          <w14:ligatures w14:val="none"/>
        </w:rPr>
      </w:pPr>
      <w:r w:rsidRPr="003D1437">
        <w:rPr>
          <w:rFonts w:ascii="Times New Roman" w:hAnsi="Times New Roman" w:cs="Traditional Arabic"/>
          <w:kern w:val="0"/>
          <w:szCs w:val="32"/>
          <w:rtl/>
          <w14:ligatures w14:val="none"/>
        </w:rPr>
        <w:lastRenderedPageBreak/>
        <w:t>للتأكد من ثبات أداة الدراسة، تم استخدام معامل</w:t>
      </w:r>
      <w:r w:rsidRPr="003D1437">
        <w:rPr>
          <w:rFonts w:ascii="Times New Roman" w:hAnsi="Times New Roman" w:cs="Traditional Arabic"/>
          <w:kern w:val="0"/>
          <w:szCs w:val="32"/>
          <w:lang w:bidi="ar-EG"/>
          <w14:ligatures w14:val="none"/>
        </w:rPr>
        <w:t xml:space="preserve"> (</w:t>
      </w:r>
      <w:r w:rsidRPr="003D1437">
        <w:rPr>
          <w:rFonts w:ascii="Times New Roman" w:hAnsi="Times New Roman" w:cs="Traditional Arabic"/>
          <w:kern w:val="0"/>
          <w:szCs w:val="32"/>
          <w:rtl/>
          <w14:ligatures w14:val="none"/>
        </w:rPr>
        <w:t>ألفا كرونباخ</w:t>
      </w:r>
      <w:r w:rsidRPr="003D1437">
        <w:rPr>
          <w:rFonts w:ascii="Times New Roman" w:hAnsi="Times New Roman" w:cs="Traditional Arabic"/>
          <w:kern w:val="0"/>
          <w:szCs w:val="32"/>
          <w:lang w:bidi="ar-EG"/>
          <w14:ligatures w14:val="none"/>
        </w:rPr>
        <w:t xml:space="preserve"> - Cronbach's Alpha) </w:t>
      </w:r>
      <w:r w:rsidRPr="003D1437">
        <w:rPr>
          <w:rFonts w:ascii="Times New Roman" w:hAnsi="Times New Roman" w:cs="Traditional Arabic"/>
          <w:kern w:val="0"/>
          <w:szCs w:val="32"/>
          <w:rtl/>
          <w14:ligatures w14:val="none"/>
        </w:rPr>
        <w:t>للمتغيرات الرئيسية، وجاءت النتائج كالتالي</w:t>
      </w:r>
      <w:r w:rsidRPr="003D1437">
        <w:rPr>
          <w:rFonts w:ascii="Times New Roman" w:hAnsi="Times New Roman" w:cs="Traditional Arabic"/>
          <w:kern w:val="0"/>
          <w:szCs w:val="32"/>
          <w:lang w:bidi="ar-EG"/>
          <w14:ligatures w14:val="none"/>
        </w:rPr>
        <w:t>:</w:t>
      </w:r>
    </w:p>
    <w:p w14:paraId="283E54DF" w14:textId="0B88C7AB" w:rsidR="00237F90" w:rsidRPr="003D1437" w:rsidRDefault="00237F90" w:rsidP="00A14B40">
      <w:pPr>
        <w:pStyle w:val="Heading4"/>
        <w:rPr>
          <w:color w:val="auto"/>
        </w:rPr>
      </w:pPr>
      <w:bookmarkStart w:id="111" w:name="_Toc235065201"/>
      <w:r w:rsidRPr="003D1437">
        <w:rPr>
          <w:color w:val="auto"/>
          <w:rtl/>
        </w:rPr>
        <w:t>جدول</w:t>
      </w:r>
      <w:r w:rsidRPr="003D1437">
        <w:rPr>
          <w:color w:val="auto"/>
        </w:rPr>
        <w:t xml:space="preserve"> </w:t>
      </w:r>
      <w:r w:rsidR="006924ED" w:rsidRPr="003D1437">
        <w:rPr>
          <w:rFonts w:hint="cs"/>
          <w:color w:val="auto"/>
          <w:rtl/>
        </w:rPr>
        <w:t>(</w:t>
      </w:r>
      <w:r w:rsidR="00A854F1" w:rsidRPr="003D1437">
        <w:rPr>
          <w:rFonts w:hint="cs"/>
          <w:color w:val="auto"/>
          <w:rtl/>
        </w:rPr>
        <w:t>4</w:t>
      </w:r>
      <w:r w:rsidR="006924ED" w:rsidRPr="003D1437">
        <w:rPr>
          <w:rFonts w:hint="cs"/>
          <w:color w:val="auto"/>
          <w:rtl/>
        </w:rPr>
        <w:t xml:space="preserve">): </w:t>
      </w:r>
      <w:r w:rsidRPr="003D1437">
        <w:rPr>
          <w:color w:val="auto"/>
          <w:rtl/>
        </w:rPr>
        <w:t>معاملات الثبات (ألفا كرونباخ) لمتغيرات الدراسة</w:t>
      </w:r>
      <w:bookmarkEnd w:id="111"/>
    </w:p>
    <w:tbl>
      <w:tblPr>
        <w:bidiVisual/>
        <w:tblW w:w="5000" w:type="pct"/>
        <w:tblLook w:val="04A0" w:firstRow="1" w:lastRow="0" w:firstColumn="1" w:lastColumn="0" w:noHBand="0" w:noVBand="1"/>
      </w:tblPr>
      <w:tblGrid>
        <w:gridCol w:w="3600"/>
        <w:gridCol w:w="3192"/>
        <w:gridCol w:w="2568"/>
      </w:tblGrid>
      <w:tr w:rsidR="003D1437" w:rsidRPr="003D1437" w14:paraId="5F442FF7" w14:textId="77777777" w:rsidTr="004E4C5F">
        <w:trPr>
          <w:trHeight w:val="20"/>
        </w:trPr>
        <w:tc>
          <w:tcPr>
            <w:tcW w:w="1923" w:type="pct"/>
            <w:tcBorders>
              <w:top w:val="single" w:sz="4" w:space="0" w:color="auto"/>
              <w:bottom w:val="single" w:sz="4" w:space="0" w:color="auto"/>
            </w:tcBorders>
            <w:vAlign w:val="center"/>
            <w:hideMark/>
          </w:tcPr>
          <w:p w14:paraId="7A4AB43E"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14:ligatures w14:val="none"/>
              </w:rPr>
            </w:pPr>
            <w:r w:rsidRPr="003D1437">
              <w:rPr>
                <w:rFonts w:ascii="Traditional Arabic" w:eastAsia="Times New Roman" w:hAnsi="Traditional Arabic" w:cs="Traditional Arabic" w:hint="cs"/>
                <w:b/>
                <w:bCs/>
                <w:kern w:val="0"/>
                <w:sz w:val="32"/>
                <w:szCs w:val="32"/>
                <w:rtl/>
                <w14:ligatures w14:val="none"/>
              </w:rPr>
              <w:t>المتغير</w:t>
            </w:r>
          </w:p>
        </w:tc>
        <w:tc>
          <w:tcPr>
            <w:tcW w:w="1705" w:type="pct"/>
            <w:tcBorders>
              <w:top w:val="single" w:sz="4" w:space="0" w:color="auto"/>
              <w:bottom w:val="single" w:sz="4" w:space="0" w:color="auto"/>
            </w:tcBorders>
            <w:vAlign w:val="center"/>
            <w:hideMark/>
          </w:tcPr>
          <w:p w14:paraId="1EF1A86F"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معامل ألفا كرونباخ</w:t>
            </w:r>
          </w:p>
        </w:tc>
        <w:tc>
          <w:tcPr>
            <w:tcW w:w="1372" w:type="pct"/>
            <w:tcBorders>
              <w:top w:val="single" w:sz="4" w:space="0" w:color="auto"/>
              <w:bottom w:val="single" w:sz="4" w:space="0" w:color="auto"/>
            </w:tcBorders>
            <w:vAlign w:val="center"/>
            <w:hideMark/>
          </w:tcPr>
          <w:p w14:paraId="37D7722E" w14:textId="77777777" w:rsidR="00237F90" w:rsidRPr="003D1437" w:rsidRDefault="00237F90" w:rsidP="006E493C">
            <w:pPr>
              <w:bidi/>
              <w:spacing w:after="0" w:line="240" w:lineRule="auto"/>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مستوى الثبات</w:t>
            </w:r>
          </w:p>
        </w:tc>
      </w:tr>
      <w:tr w:rsidR="003D1437" w:rsidRPr="003D1437" w14:paraId="739D6E57" w14:textId="77777777" w:rsidTr="004E4C5F">
        <w:trPr>
          <w:trHeight w:val="20"/>
        </w:trPr>
        <w:tc>
          <w:tcPr>
            <w:tcW w:w="1923" w:type="pct"/>
            <w:tcBorders>
              <w:top w:val="single" w:sz="4" w:space="0" w:color="auto"/>
            </w:tcBorders>
            <w:vAlign w:val="center"/>
            <w:hideMark/>
          </w:tcPr>
          <w:p w14:paraId="55F10E17" w14:textId="77777777" w:rsidR="00237F90" w:rsidRPr="003D1437" w:rsidRDefault="00237F90" w:rsidP="006E493C">
            <w:pPr>
              <w:bidi/>
              <w:spacing w:after="0" w:line="240" w:lineRule="auto"/>
              <w:ind w:firstLineChars="100" w:firstLine="320"/>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الذكاء الاصطناعي</w:t>
            </w:r>
          </w:p>
        </w:tc>
        <w:tc>
          <w:tcPr>
            <w:tcW w:w="1705" w:type="pct"/>
            <w:tcBorders>
              <w:top w:val="single" w:sz="4" w:space="0" w:color="auto"/>
            </w:tcBorders>
            <w:vAlign w:val="center"/>
            <w:hideMark/>
          </w:tcPr>
          <w:p w14:paraId="1BB66FC2"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0.905</w:t>
            </w:r>
          </w:p>
        </w:tc>
        <w:tc>
          <w:tcPr>
            <w:tcW w:w="1372" w:type="pct"/>
            <w:tcBorders>
              <w:top w:val="single" w:sz="4" w:space="0" w:color="auto"/>
            </w:tcBorders>
            <w:vAlign w:val="center"/>
            <w:hideMark/>
          </w:tcPr>
          <w:p w14:paraId="40EA326E"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ممتاز جداً</w:t>
            </w:r>
          </w:p>
        </w:tc>
      </w:tr>
      <w:tr w:rsidR="003D1437" w:rsidRPr="003D1437" w14:paraId="605A64D8" w14:textId="77777777" w:rsidTr="004E4C5F">
        <w:trPr>
          <w:trHeight w:val="20"/>
        </w:trPr>
        <w:tc>
          <w:tcPr>
            <w:tcW w:w="1923" w:type="pct"/>
            <w:vAlign w:val="center"/>
            <w:hideMark/>
          </w:tcPr>
          <w:p w14:paraId="799EEB46" w14:textId="77777777" w:rsidR="00237F90" w:rsidRPr="003D1437" w:rsidRDefault="00237F90" w:rsidP="006E493C">
            <w:pPr>
              <w:bidi/>
              <w:spacing w:after="0" w:line="240" w:lineRule="auto"/>
              <w:ind w:firstLineChars="100" w:firstLine="320"/>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التكيف التكنولوجي</w:t>
            </w:r>
          </w:p>
        </w:tc>
        <w:tc>
          <w:tcPr>
            <w:tcW w:w="1705" w:type="pct"/>
            <w:vAlign w:val="center"/>
            <w:hideMark/>
          </w:tcPr>
          <w:p w14:paraId="60B4DD61"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0.879</w:t>
            </w:r>
          </w:p>
        </w:tc>
        <w:tc>
          <w:tcPr>
            <w:tcW w:w="1372" w:type="pct"/>
            <w:vAlign w:val="center"/>
            <w:hideMark/>
          </w:tcPr>
          <w:p w14:paraId="159DC34F"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مرتفع ومقبول جداً</w:t>
            </w:r>
          </w:p>
        </w:tc>
      </w:tr>
      <w:tr w:rsidR="003D1437" w:rsidRPr="003D1437" w14:paraId="601FF884" w14:textId="77777777" w:rsidTr="004E4C5F">
        <w:trPr>
          <w:trHeight w:val="20"/>
        </w:trPr>
        <w:tc>
          <w:tcPr>
            <w:tcW w:w="1923" w:type="pct"/>
            <w:tcBorders>
              <w:bottom w:val="single" w:sz="4" w:space="0" w:color="auto"/>
            </w:tcBorders>
            <w:vAlign w:val="center"/>
            <w:hideMark/>
          </w:tcPr>
          <w:p w14:paraId="06DBA6B0" w14:textId="77777777" w:rsidR="00237F90" w:rsidRPr="003D1437" w:rsidRDefault="00237F90" w:rsidP="006E493C">
            <w:pPr>
              <w:bidi/>
              <w:spacing w:after="0" w:line="240" w:lineRule="auto"/>
              <w:ind w:firstLineChars="100" w:firstLine="320"/>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كفاءة التخطيط الاستراتيجي</w:t>
            </w:r>
          </w:p>
        </w:tc>
        <w:tc>
          <w:tcPr>
            <w:tcW w:w="1705" w:type="pct"/>
            <w:tcBorders>
              <w:bottom w:val="single" w:sz="4" w:space="0" w:color="auto"/>
            </w:tcBorders>
            <w:vAlign w:val="center"/>
            <w:hideMark/>
          </w:tcPr>
          <w:p w14:paraId="339656D9"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0.942</w:t>
            </w:r>
          </w:p>
        </w:tc>
        <w:tc>
          <w:tcPr>
            <w:tcW w:w="1372" w:type="pct"/>
            <w:tcBorders>
              <w:bottom w:val="single" w:sz="4" w:space="0" w:color="auto"/>
            </w:tcBorders>
            <w:vAlign w:val="center"/>
            <w:hideMark/>
          </w:tcPr>
          <w:p w14:paraId="298EA36B"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ممتاز جداً</w:t>
            </w:r>
          </w:p>
        </w:tc>
      </w:tr>
    </w:tbl>
    <w:p w14:paraId="3ADCEB74" w14:textId="4489B237" w:rsidR="00237F90" w:rsidRPr="003D1437" w:rsidRDefault="00237F90" w:rsidP="00237F90">
      <w:pPr>
        <w:bidi/>
        <w:spacing w:after="200" w:line="276" w:lineRule="auto"/>
        <w:rPr>
          <w:rFonts w:ascii="Times New Roman" w:hAnsi="Times New Roman" w:cs="Traditional Arabic"/>
          <w:kern w:val="0"/>
          <w:szCs w:val="32"/>
          <w:rtl/>
          <w:lang w:bidi="ar-EG"/>
          <w14:ligatures w14:val="none"/>
        </w:rPr>
      </w:pPr>
      <w:r w:rsidRPr="003D1437">
        <w:rPr>
          <w:rFonts w:ascii="Times New Roman" w:hAnsi="Times New Roman" w:cs="Traditional Arabic"/>
          <w:kern w:val="0"/>
          <w:szCs w:val="32"/>
          <w:rtl/>
          <w14:ligatures w14:val="none"/>
        </w:rPr>
        <w:t>يتضح من الجدول أن جميع قيم معاملات (ألفا كرونباخ) مرتفعة وتجاوزت الحد الأدنى المقبول إحصائياً (0.70)، حيث تراوحت بين (0.879) و(0.942). مما يؤكد أن استبانة الدراسة تتمتع بدرجة ثبات عالية وموثوقية ممتازة تبرر الاعتماد على نتائجها</w:t>
      </w:r>
      <w:r w:rsidRPr="003D1437">
        <w:rPr>
          <w:rFonts w:ascii="Times New Roman" w:hAnsi="Times New Roman" w:cs="Traditional Arabic"/>
          <w:kern w:val="0"/>
          <w:szCs w:val="32"/>
          <w:lang w:bidi="ar-EG"/>
          <w14:ligatures w14:val="none"/>
        </w:rPr>
        <w:t>.</w:t>
      </w:r>
    </w:p>
    <w:p w14:paraId="62DB4FAF" w14:textId="77777777" w:rsidR="0091737E" w:rsidRPr="003D1437" w:rsidRDefault="0091737E" w:rsidP="00863B90">
      <w:pPr>
        <w:pStyle w:val="Heading3"/>
        <w:rPr>
          <w:rtl/>
        </w:rPr>
      </w:pPr>
      <w:bookmarkStart w:id="112" w:name="_Toc233422638"/>
      <w:bookmarkStart w:id="113" w:name="_Toc236402693"/>
      <w:r w:rsidRPr="003D1437">
        <w:rPr>
          <w:rtl/>
        </w:rPr>
        <w:t>3.12 تحليل البيانات</w:t>
      </w:r>
      <w:bookmarkEnd w:id="112"/>
      <w:bookmarkEnd w:id="113"/>
    </w:p>
    <w:p w14:paraId="128CDF71" w14:textId="2D5DED67"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نظراً لطبيعة نموذج الدراسة الذي يتضمن متغيرًا وسيطًا (التكيف التكنولوجي) واختبار تأثيرات مباشرة وغير مباشرة، سيتم الاعتماد على تحليل المسار (</w:t>
      </w:r>
      <w:r w:rsidRPr="003D1437">
        <w:rPr>
          <w:rFonts w:ascii="Traditional Arabic" w:hAnsi="Traditional Arabic" w:cs="Traditional Arabic"/>
          <w:sz w:val="28"/>
          <w:szCs w:val="28"/>
        </w:rPr>
        <w:t>Path Analysis</w:t>
      </w:r>
      <w:r w:rsidRPr="003D1437">
        <w:rPr>
          <w:rFonts w:ascii="Traditional Arabic" w:hAnsi="Traditional Arabic" w:cs="Traditional Arabic"/>
          <w:sz w:val="28"/>
          <w:szCs w:val="28"/>
          <w:rtl/>
        </w:rPr>
        <w:t>) وهو امتداد لتحليل الانحدار المتعدد يستخدم لاختبار مدى ملائمة نموذج نظري محدد للبيانات التجريبية (</w:t>
      </w:r>
      <w:r w:rsidRPr="003D1437">
        <w:rPr>
          <w:rFonts w:ascii="Traditional Arabic" w:hAnsi="Traditional Arabic" w:cs="Traditional Arabic"/>
          <w:sz w:val="28"/>
          <w:szCs w:val="28"/>
        </w:rPr>
        <w:t>Hair et al., 2010</w:t>
      </w:r>
      <w:r w:rsidRPr="003D1437">
        <w:rPr>
          <w:rFonts w:ascii="Traditional Arabic" w:hAnsi="Traditional Arabic" w:cs="Traditional Arabic"/>
          <w:sz w:val="28"/>
          <w:szCs w:val="28"/>
          <w:rtl/>
        </w:rPr>
        <w:t>). يتيح تحليل المسار تقدير قوة واتجاه العلاقات المباشرة وغير المباشرة بين مجموعة من المتغيرات في النموذج المقترح</w:t>
      </w:r>
      <w:r w:rsidR="0091737E" w:rsidRPr="003D1437">
        <w:rPr>
          <w:rFonts w:ascii="Traditional Arabic" w:hAnsi="Traditional Arabic" w:cs="Traditional Arabic"/>
          <w:sz w:val="28"/>
          <w:szCs w:val="28"/>
          <w:rtl/>
        </w:rPr>
        <w:t>.</w:t>
      </w:r>
    </w:p>
    <w:p w14:paraId="4164B6FC"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هذه الدراسة، يهدف تحليل المسار إلى اختبار الفرضيات التالية من خلال تقدير المعاملات في المعادلات الهيكلية التالية (باستخدام تحليل الانحدار المتعدد كأداة تنفيذ):</w:t>
      </w:r>
    </w:p>
    <w:p w14:paraId="4FCCBF95" w14:textId="77777777" w:rsidR="0091737E" w:rsidRPr="003D1437" w:rsidRDefault="0091737E">
      <w:pPr>
        <w:numPr>
          <w:ilvl w:val="0"/>
          <w:numId w:val="3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المعادلة الأولى (اختبار تأثير الذكاء الاصطناعي على المتغير الوسيط):</w:t>
      </w:r>
    </w:p>
    <w:p w14:paraId="7CDE8F64" w14:textId="3D0C1B13"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w:t>
      </w:r>
      <w:r w:rsidR="0088660D" w:rsidRPr="003D1437">
        <w:rPr>
          <w:rFonts w:ascii="Traditional Arabic" w:hAnsi="Traditional Arabic" w:cs="Traditional Arabic"/>
          <w:sz w:val="28"/>
          <w:szCs w:val="28"/>
          <w:rtl/>
        </w:rPr>
        <w:t xml:space="preserve">التكنولوجي = </w:t>
      </w:r>
      <w:r w:rsidR="0088660D" w:rsidRPr="003D1437">
        <w:rPr>
          <w:rFonts w:ascii="Cambria" w:hAnsi="Cambria" w:cs="Cambria"/>
          <w:sz w:val="28"/>
          <w:szCs w:val="28"/>
        </w:rPr>
        <w:t>β₀</w:t>
      </w:r>
      <w:r w:rsidR="0088660D" w:rsidRPr="003D1437">
        <w:rPr>
          <w:rFonts w:ascii="Traditional Arabic" w:hAnsi="Traditional Arabic" w:cs="Traditional Arabic"/>
          <w:sz w:val="28"/>
          <w:szCs w:val="28"/>
        </w:rPr>
        <w:t xml:space="preserve"> + </w:t>
      </w:r>
      <w:r w:rsidR="0088660D" w:rsidRPr="003D1437">
        <w:rPr>
          <w:rFonts w:ascii="Cambria" w:hAnsi="Cambria" w:cs="Cambria"/>
          <w:sz w:val="28"/>
          <w:szCs w:val="28"/>
        </w:rPr>
        <w:t>β₁</w:t>
      </w:r>
      <w:r w:rsidR="0088660D" w:rsidRPr="003D1437">
        <w:rPr>
          <w:rFonts w:ascii="Traditional Arabic" w:hAnsi="Traditional Arabic" w:cs="Traditional Arabic"/>
          <w:sz w:val="28"/>
          <w:szCs w:val="28"/>
          <w:rtl/>
        </w:rPr>
        <w:t xml:space="preserve">(الذكاء الاصطناعي) + </w:t>
      </w:r>
      <w:r w:rsidR="0088660D" w:rsidRPr="003D1437">
        <w:rPr>
          <w:rFonts w:ascii="Cambria" w:hAnsi="Cambria" w:cs="Cambria"/>
          <w:sz w:val="28"/>
          <w:szCs w:val="28"/>
        </w:rPr>
        <w:t>ε</w:t>
      </w:r>
      <w:r w:rsidR="0088660D" w:rsidRPr="003D1437">
        <w:rPr>
          <w:rFonts w:ascii="Cambria Math" w:hAnsi="Cambria Math" w:cs="Cambria Math"/>
          <w:sz w:val="28"/>
          <w:szCs w:val="28"/>
        </w:rPr>
        <w:t>₁</w:t>
      </w:r>
    </w:p>
    <w:p w14:paraId="012FEE7C"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حيث </w:t>
      </w:r>
      <w:r w:rsidRPr="003D1437">
        <w:rPr>
          <w:rFonts w:ascii="Cambria" w:hAnsi="Cambria" w:cs="Cambria"/>
          <w:sz w:val="28"/>
          <w:szCs w:val="28"/>
        </w:rPr>
        <w:t>β₁</w:t>
      </w:r>
      <w:r w:rsidRPr="003D1437">
        <w:rPr>
          <w:rFonts w:ascii="Traditional Arabic" w:hAnsi="Traditional Arabic" w:cs="Traditional Arabic"/>
          <w:sz w:val="28"/>
          <w:szCs w:val="28"/>
          <w:rtl/>
        </w:rPr>
        <w:t xml:space="preserve"> يمثل التأثير المباشر للذكاء الاصطناعي على التكيف التكنولوجي.</w:t>
      </w:r>
    </w:p>
    <w:p w14:paraId="26DCC7F7" w14:textId="77777777" w:rsidR="0091737E" w:rsidRPr="003D1437" w:rsidRDefault="0091737E">
      <w:pPr>
        <w:numPr>
          <w:ilvl w:val="0"/>
          <w:numId w:val="3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المعادلة الثانية (اختبار التأثيرات المباشرة للمتغير المستقل والوسيط على المتغير التابع):</w:t>
      </w:r>
    </w:p>
    <w:p w14:paraId="7EF01C0E"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كفاءة التخطيط الاستراتيجي = </w:t>
      </w:r>
      <w:r w:rsidRPr="003D1437">
        <w:rPr>
          <w:rFonts w:ascii="Cambria" w:hAnsi="Cambria" w:cs="Cambria"/>
          <w:sz w:val="28"/>
          <w:szCs w:val="28"/>
        </w:rPr>
        <w:t>β₀</w:t>
      </w:r>
      <w:r w:rsidRPr="003D1437">
        <w:rPr>
          <w:rFonts w:ascii="Traditional Arabic" w:hAnsi="Traditional Arabic" w:cs="Traditional Arabic"/>
          <w:sz w:val="28"/>
          <w:szCs w:val="28"/>
        </w:rPr>
        <w:t xml:space="preserve"> + </w:t>
      </w:r>
      <w:r w:rsidRPr="003D1437">
        <w:rPr>
          <w:rFonts w:ascii="Cambria" w:hAnsi="Cambria" w:cs="Cambria"/>
          <w:sz w:val="28"/>
          <w:szCs w:val="28"/>
        </w:rPr>
        <w:t>β₂</w:t>
      </w:r>
      <w:r w:rsidRPr="003D1437">
        <w:rPr>
          <w:rFonts w:ascii="Traditional Arabic" w:hAnsi="Traditional Arabic" w:cs="Traditional Arabic"/>
          <w:sz w:val="28"/>
          <w:szCs w:val="28"/>
          <w:rtl/>
        </w:rPr>
        <w:t xml:space="preserve">(الذكاء الاصطناعي) + </w:t>
      </w:r>
      <w:r w:rsidRPr="003D1437">
        <w:rPr>
          <w:rFonts w:ascii="Cambria" w:hAnsi="Cambria" w:cs="Cambria"/>
          <w:sz w:val="28"/>
          <w:szCs w:val="28"/>
        </w:rPr>
        <w:t>β₃</w:t>
      </w:r>
      <w:r w:rsidRPr="003D1437">
        <w:rPr>
          <w:rFonts w:ascii="Traditional Arabic" w:hAnsi="Traditional Arabic" w:cs="Traditional Arabic"/>
          <w:sz w:val="28"/>
          <w:szCs w:val="28"/>
          <w:rtl/>
        </w:rPr>
        <w:t xml:space="preserve">(التكيف التكنولوجي) + </w:t>
      </w:r>
      <w:r w:rsidRPr="003D1437">
        <w:rPr>
          <w:rFonts w:ascii="Cambria" w:hAnsi="Cambria" w:cs="Cambria"/>
          <w:sz w:val="28"/>
          <w:szCs w:val="28"/>
        </w:rPr>
        <w:t>ε₂</w:t>
      </w:r>
    </w:p>
    <w:p w14:paraId="5C713BCF"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حيث </w:t>
      </w:r>
      <w:r w:rsidRPr="003D1437">
        <w:rPr>
          <w:rFonts w:ascii="Cambria" w:hAnsi="Cambria" w:cs="Cambria"/>
          <w:sz w:val="28"/>
          <w:szCs w:val="28"/>
        </w:rPr>
        <w:t>β₂</w:t>
      </w:r>
      <w:r w:rsidRPr="003D1437">
        <w:rPr>
          <w:rFonts w:ascii="Traditional Arabic" w:hAnsi="Traditional Arabic" w:cs="Traditional Arabic"/>
          <w:sz w:val="28"/>
          <w:szCs w:val="28"/>
          <w:rtl/>
        </w:rPr>
        <w:t xml:space="preserve"> يمثل التأثير المباشر للذكاء الاصطناعي على كفاءة التخطيط الاستراتيجي (في وجود المتغير الوسيط).</w:t>
      </w:r>
    </w:p>
    <w:p w14:paraId="7F105A06"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وحيث </w:t>
      </w:r>
      <w:r w:rsidRPr="003D1437">
        <w:rPr>
          <w:rFonts w:ascii="Cambria" w:hAnsi="Cambria" w:cs="Cambria"/>
          <w:sz w:val="28"/>
          <w:szCs w:val="28"/>
        </w:rPr>
        <w:t>β₃</w:t>
      </w:r>
      <w:r w:rsidRPr="003D1437">
        <w:rPr>
          <w:rFonts w:ascii="Traditional Arabic" w:hAnsi="Traditional Arabic" w:cs="Traditional Arabic"/>
          <w:sz w:val="28"/>
          <w:szCs w:val="28"/>
          <w:rtl/>
        </w:rPr>
        <w:t xml:space="preserve"> يمثل التأثير المباشر للتكيف التكنولوجي على كفاءة التخطيط الاستراتيجي.</w:t>
      </w:r>
    </w:p>
    <w:p w14:paraId="43711AB9" w14:textId="46F41CDF" w:rsidR="002E3043" w:rsidRPr="003D1437" w:rsidRDefault="0088660D" w:rsidP="002E304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سيتم بعد ذلك حساب التأثير غير المباشر (</w:t>
      </w:r>
      <w:r w:rsidRPr="003D1437">
        <w:rPr>
          <w:rFonts w:ascii="Traditional Arabic" w:hAnsi="Traditional Arabic" w:cs="Traditional Arabic"/>
          <w:sz w:val="28"/>
          <w:szCs w:val="28"/>
        </w:rPr>
        <w:t>Indirect Effect</w:t>
      </w:r>
      <w:r w:rsidRPr="003D1437">
        <w:rPr>
          <w:rFonts w:ascii="Traditional Arabic" w:hAnsi="Traditional Arabic" w:cs="Traditional Arabic"/>
          <w:sz w:val="28"/>
          <w:szCs w:val="28"/>
          <w:rtl/>
        </w:rPr>
        <w:t xml:space="preserve">) للذكاء الاصطناعي على كفاءة التخطيط الاستراتيجي من خلال التكيف التكنولوجي (وهو حاصل ضرب </w:t>
      </w:r>
      <w:r w:rsidRPr="003D1437">
        <w:rPr>
          <w:rFonts w:ascii="Cambria" w:hAnsi="Cambria" w:cs="Cambria"/>
          <w:sz w:val="28"/>
          <w:szCs w:val="28"/>
        </w:rPr>
        <w:t>β₁</w:t>
      </w:r>
      <w:r w:rsidRPr="003D1437">
        <w:rPr>
          <w:rFonts w:ascii="Traditional Arabic" w:hAnsi="Traditional Arabic" w:cs="Traditional Arabic"/>
          <w:sz w:val="28"/>
          <w:szCs w:val="28"/>
        </w:rPr>
        <w:t xml:space="preserve"> * </w:t>
      </w:r>
      <w:r w:rsidRPr="003D1437">
        <w:rPr>
          <w:rFonts w:ascii="Cambria" w:hAnsi="Cambria" w:cs="Cambria"/>
          <w:sz w:val="28"/>
          <w:szCs w:val="28"/>
        </w:rPr>
        <w:t>β₃</w:t>
      </w:r>
      <w:r w:rsidRPr="003D1437">
        <w:rPr>
          <w:rFonts w:ascii="Traditional Arabic" w:hAnsi="Traditional Arabic" w:cs="Traditional Arabic"/>
          <w:sz w:val="28"/>
          <w:szCs w:val="28"/>
          <w:rtl/>
        </w:rPr>
        <w:t xml:space="preserve">)، واختبار دلالته الإحصائية (باستخدام اختبار </w:t>
      </w:r>
      <w:r w:rsidRPr="003D1437">
        <w:rPr>
          <w:rFonts w:ascii="Cambria" w:hAnsi="Cambria" w:cs="Cambria"/>
          <w:sz w:val="28"/>
          <w:szCs w:val="28"/>
        </w:rPr>
        <w:t>Собел</w:t>
      </w:r>
      <w:r w:rsidRPr="003D1437">
        <w:rPr>
          <w:rFonts w:ascii="Traditional Arabic" w:hAnsi="Traditional Arabic" w:cs="Traditional Arabic"/>
          <w:sz w:val="28"/>
          <w:szCs w:val="28"/>
          <w:rtl/>
        </w:rPr>
        <w:t xml:space="preserve"> أو </w:t>
      </w:r>
      <w:r w:rsidRPr="003D1437">
        <w:rPr>
          <w:rFonts w:ascii="Traditional Arabic" w:hAnsi="Traditional Arabic" w:cs="Traditional Arabic"/>
          <w:sz w:val="28"/>
          <w:szCs w:val="28"/>
        </w:rPr>
        <w:t>bootstrapping</w:t>
      </w:r>
      <w:r w:rsidRPr="003D1437">
        <w:rPr>
          <w:rFonts w:ascii="Traditional Arabic" w:hAnsi="Traditional Arabic" w:cs="Traditional Arabic"/>
          <w:sz w:val="28"/>
          <w:szCs w:val="28"/>
          <w:rtl/>
        </w:rPr>
        <w:t xml:space="preserve"> إذا لزم الأمر). سيسمح ذلك بتحديد ما إذا كان التكيف التكنولوجي يلعب دور الوساطة (الجزئية أو الكاملة) في العلاقة بين الذكاء الاصطناعي وكفاءة التخطيط الاستراتيجي، وبالتالي اختبار الفرضية الرئيسية للدراسة والفرضيات الفرعية المتعلقة بالتأثيرات المباشرة وغير المباشرة</w:t>
      </w:r>
      <w:r w:rsidR="0091737E" w:rsidRPr="003D1437">
        <w:rPr>
          <w:rFonts w:ascii="Traditional Arabic" w:hAnsi="Traditional Arabic" w:cs="Traditional Arabic"/>
          <w:sz w:val="28"/>
          <w:szCs w:val="28"/>
          <w:rtl/>
        </w:rPr>
        <w:t>.</w:t>
      </w:r>
      <w:r w:rsidR="002E3043" w:rsidRPr="003D1437">
        <w:rPr>
          <w:rFonts w:ascii="Traditional Arabic" w:hAnsi="Traditional Arabic" w:cs="Traditional Arabic" w:hint="cs"/>
          <w:sz w:val="28"/>
          <w:szCs w:val="28"/>
          <w:rtl/>
        </w:rPr>
        <w:t xml:space="preserve"> </w:t>
      </w:r>
      <w:r w:rsidR="002E3043" w:rsidRPr="003D1437">
        <w:rPr>
          <w:rFonts w:ascii="Traditional Arabic" w:hAnsi="Traditional Arabic" w:cs="Traditional Arabic"/>
          <w:sz w:val="28"/>
          <w:szCs w:val="28"/>
          <w:rtl/>
        </w:rPr>
        <w:t>التأثيرات المباشرة وغير المباشرة</w:t>
      </w:r>
      <w:r w:rsidR="002E3043" w:rsidRPr="003D1437">
        <w:rPr>
          <w:rFonts w:ascii="Traditional Arabic" w:hAnsi="Traditional Arabic" w:cs="Traditional Arabic" w:hint="cs"/>
          <w:sz w:val="28"/>
          <w:szCs w:val="28"/>
          <w:rtl/>
        </w:rPr>
        <w:t xml:space="preserve"> سيتم الحصول عليها من خلال استخدام المعادلة الهيكلية وفقا لاسلوب المسار.</w:t>
      </w:r>
      <w:r w:rsidR="0091737E" w:rsidRPr="003D1437">
        <w:rPr>
          <w:rFonts w:ascii="Traditional Arabic" w:hAnsi="Traditional Arabic" w:cs="Traditional Arabic"/>
          <w:sz w:val="28"/>
          <w:szCs w:val="28"/>
          <w:rtl/>
        </w:rPr>
        <w:t xml:space="preserve"> </w:t>
      </w:r>
      <w:r w:rsidR="002E3043" w:rsidRPr="003D1437">
        <w:rPr>
          <w:rFonts w:ascii="Traditional Arabic" w:hAnsi="Traditional Arabic" w:cs="Traditional Arabic" w:hint="cs"/>
          <w:sz w:val="28"/>
          <w:szCs w:val="28"/>
          <w:rtl/>
        </w:rPr>
        <w:t>ب</w:t>
      </w:r>
      <w:r w:rsidR="002E3043" w:rsidRPr="003D1437">
        <w:rPr>
          <w:rFonts w:ascii="Traditional Arabic" w:hAnsi="Traditional Arabic" w:cs="Traditional Arabic"/>
          <w:sz w:val="28"/>
          <w:szCs w:val="28"/>
          <w:rtl/>
        </w:rPr>
        <w:t xml:space="preserve">           .</w:t>
      </w:r>
    </w:p>
    <w:p w14:paraId="02FCBCD3" w14:textId="7E235871"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الحساب أعلاه، وباستخدام حجم المجتمع المحدد من البيانات الإحصائية، فإن حجم العينة المطلوب للدراسة هو 360 مفردة تقريباً. سيتم اختيار أفراد العينة باستخدام أسلوب العينة العشوائية البسيطة (</w:t>
      </w:r>
      <w:r w:rsidRPr="003D1437">
        <w:rPr>
          <w:rFonts w:ascii="Traditional Arabic" w:hAnsi="Traditional Arabic" w:cs="Traditional Arabic"/>
          <w:sz w:val="28"/>
          <w:szCs w:val="28"/>
        </w:rPr>
        <w:t>Simple Random Sampling</w:t>
      </w:r>
      <w:r w:rsidRPr="003D1437">
        <w:rPr>
          <w:rFonts w:ascii="Traditional Arabic" w:hAnsi="Traditional Arabic" w:cs="Traditional Arabic"/>
          <w:sz w:val="28"/>
          <w:szCs w:val="28"/>
          <w:rtl/>
        </w:rPr>
        <w:t>) من القوائم الرسمية للعاملين الإداريين في إدارة التعليم بمكة المكرمة، لضمان التمثيل الجيد للمجتمع</w:t>
      </w:r>
      <w:r w:rsidR="0091737E" w:rsidRPr="003D1437">
        <w:rPr>
          <w:rFonts w:ascii="Traditional Arabic" w:hAnsi="Traditional Arabic" w:cs="Traditional Arabic"/>
          <w:sz w:val="28"/>
          <w:szCs w:val="28"/>
          <w:rtl/>
        </w:rPr>
        <w:t>.</w:t>
      </w:r>
    </w:p>
    <w:p w14:paraId="58EF31B2" w14:textId="134CE18F" w:rsidR="002F2637" w:rsidRPr="003D1437" w:rsidRDefault="002F2637" w:rsidP="00863B90">
      <w:pPr>
        <w:pStyle w:val="Heading3"/>
      </w:pPr>
      <w:bookmarkStart w:id="114" w:name="_Toc233422639"/>
      <w:bookmarkStart w:id="115" w:name="_Toc236402694"/>
      <w:r w:rsidRPr="003D1437">
        <w:rPr>
          <w:rFonts w:hint="cs"/>
          <w:rtl/>
        </w:rPr>
        <w:t xml:space="preserve">3.13 </w:t>
      </w:r>
      <w:r w:rsidRPr="003D1437">
        <w:rPr>
          <w:rtl/>
        </w:rPr>
        <w:t>حدود الدراسة:</w:t>
      </w:r>
      <w:bookmarkEnd w:id="114"/>
      <w:bookmarkEnd w:id="115"/>
    </w:p>
    <w:p w14:paraId="6B525C1E" w14:textId="77777777" w:rsidR="002F2637" w:rsidRPr="003D1437" w:rsidRDefault="002F2637" w:rsidP="002F263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تلتزم الدراسة بالحدود التالية لضمان تركيز البحث ودقة نتائجه:</w:t>
      </w:r>
    </w:p>
    <w:p w14:paraId="51A4DEA9" w14:textId="77777777" w:rsidR="002F2637" w:rsidRPr="003D1437" w:rsidRDefault="002F2637">
      <w:pPr>
        <w:numPr>
          <w:ilvl w:val="0"/>
          <w:numId w:val="2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الحدود الموضوعية:</w:t>
      </w:r>
      <w:r w:rsidRPr="003D1437">
        <w:rPr>
          <w:rFonts w:ascii="Traditional Arabic" w:hAnsi="Traditional Arabic" w:cs="Traditional Arabic"/>
          <w:sz w:val="28"/>
          <w:szCs w:val="28"/>
          <w:rtl/>
        </w:rPr>
        <w:t xml:space="preserve"> يقتصر موضوع هذه الدراسة على قياس أثر تطبيقات الذكاء الاصطناعي (كمتغير مستقل) على كفاءة التخطيط الاستراتيجي (كمتغير تابع)، مع دراسة الدور الوسيط للتكيف التكنولوجي (كمتغير وسيط) لدى الإداريين في قطاع التعليم. ولا تتناول الدراسة متغيرات أخرى قد تؤثر على كفاءة التخطيط الاستراتيجي.</w:t>
      </w:r>
    </w:p>
    <w:p w14:paraId="3CFEEBA9" w14:textId="77777777" w:rsidR="002F2637" w:rsidRPr="003D1437" w:rsidRDefault="002F2637">
      <w:pPr>
        <w:numPr>
          <w:ilvl w:val="0"/>
          <w:numId w:val="2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الحدود المكانية:</w:t>
      </w:r>
      <w:r w:rsidRPr="003D1437">
        <w:rPr>
          <w:rFonts w:ascii="Traditional Arabic" w:hAnsi="Traditional Arabic" w:cs="Traditional Arabic"/>
          <w:sz w:val="28"/>
          <w:szCs w:val="28"/>
          <w:rtl/>
        </w:rPr>
        <w:t xml:space="preserve"> سيتم تطبيق هذه الدراسة في الإدارة العامة للتعليم بمنطقة مكة المكرمة، والمكاتب التعليمية التابعة لها داخل مدينة مكة المكرمة. وبالتالي، فإن نتائج الدراسة ترتبط بهذا النطاق الجغرافي وقد لا يمكن تعميمها على إدارات تعليمية أخرى.</w:t>
      </w:r>
    </w:p>
    <w:p w14:paraId="1AA38C50" w14:textId="77777777" w:rsidR="002F2637" w:rsidRPr="003D1437" w:rsidRDefault="002F2637">
      <w:pPr>
        <w:numPr>
          <w:ilvl w:val="0"/>
          <w:numId w:val="25"/>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الحدود الزمانية:</w:t>
      </w:r>
      <w:r w:rsidRPr="003D1437">
        <w:rPr>
          <w:rFonts w:ascii="Traditional Arabic" w:hAnsi="Traditional Arabic" w:cs="Traditional Arabic"/>
          <w:sz w:val="28"/>
          <w:szCs w:val="28"/>
          <w:rtl/>
        </w:rPr>
        <w:t xml:space="preserve"> سيتم جمع بيانات هذه الدراسة الميدانية خلال العام الدراسي 1447هـ / 2025-2026م.</w:t>
      </w:r>
    </w:p>
    <w:p w14:paraId="4A3344D9" w14:textId="77777777" w:rsidR="00C3359D" w:rsidRPr="003D1437" w:rsidRDefault="00C3359D" w:rsidP="00C3359D">
      <w:pPr>
        <w:bidi/>
        <w:jc w:val="lowKashida"/>
        <w:rPr>
          <w:rFonts w:ascii="Traditional Arabic" w:hAnsi="Traditional Arabic" w:cs="Traditional Arabic"/>
          <w:sz w:val="28"/>
          <w:szCs w:val="28"/>
          <w:rtl/>
        </w:rPr>
      </w:pPr>
    </w:p>
    <w:p w14:paraId="2BE52302" w14:textId="77777777" w:rsidR="00A854F1" w:rsidRPr="003D1437" w:rsidRDefault="00A854F1" w:rsidP="00A854F1">
      <w:pPr>
        <w:bidi/>
        <w:jc w:val="lowKashida"/>
        <w:rPr>
          <w:rFonts w:ascii="Traditional Arabic" w:hAnsi="Traditional Arabic" w:cs="Traditional Arabic"/>
          <w:sz w:val="28"/>
          <w:szCs w:val="28"/>
          <w:rtl/>
        </w:rPr>
        <w:sectPr w:rsidR="00A854F1" w:rsidRPr="003D1437">
          <w:pgSz w:w="12240" w:h="15840"/>
          <w:pgMar w:top="1440" w:right="1440" w:bottom="1440" w:left="1440" w:header="720" w:footer="720" w:gutter="0"/>
          <w:cols w:space="720"/>
          <w:docGrid w:linePitch="360"/>
        </w:sectPr>
      </w:pPr>
    </w:p>
    <w:p w14:paraId="11532790" w14:textId="77777777" w:rsidR="00A854F1" w:rsidRPr="003D1437" w:rsidRDefault="00A854F1" w:rsidP="00A854F1">
      <w:pPr>
        <w:pStyle w:val="Heading1"/>
        <w:rPr>
          <w:rtl/>
        </w:rPr>
      </w:pPr>
    </w:p>
    <w:p w14:paraId="27681C96" w14:textId="77777777" w:rsidR="00A854F1" w:rsidRPr="003D1437" w:rsidRDefault="00A854F1" w:rsidP="00A854F1">
      <w:pPr>
        <w:pStyle w:val="Heading1"/>
        <w:rPr>
          <w:rtl/>
        </w:rPr>
      </w:pPr>
    </w:p>
    <w:p w14:paraId="6510A2B9" w14:textId="77777777" w:rsidR="00A854F1" w:rsidRPr="003D1437" w:rsidRDefault="00A854F1" w:rsidP="00A854F1">
      <w:pPr>
        <w:pStyle w:val="Heading1"/>
        <w:rPr>
          <w:rtl/>
        </w:rPr>
      </w:pPr>
    </w:p>
    <w:p w14:paraId="029145A2" w14:textId="77777777" w:rsidR="00A854F1" w:rsidRPr="003D1437" w:rsidRDefault="00A854F1" w:rsidP="00A854F1">
      <w:pPr>
        <w:pStyle w:val="Heading1"/>
        <w:rPr>
          <w:rtl/>
        </w:rPr>
      </w:pPr>
    </w:p>
    <w:p w14:paraId="335F6A4B" w14:textId="77777777" w:rsidR="00A854F1" w:rsidRPr="003D1437" w:rsidRDefault="00A854F1" w:rsidP="00A854F1">
      <w:pPr>
        <w:pStyle w:val="Heading1"/>
        <w:rPr>
          <w:rtl/>
        </w:rPr>
      </w:pPr>
    </w:p>
    <w:p w14:paraId="645B07AB" w14:textId="77777777" w:rsidR="00A854F1" w:rsidRPr="003D1437" w:rsidRDefault="00A854F1" w:rsidP="00A854F1">
      <w:pPr>
        <w:pStyle w:val="Heading1"/>
        <w:rPr>
          <w:rtl/>
        </w:rPr>
      </w:pPr>
    </w:p>
    <w:p w14:paraId="6BB5EA22" w14:textId="77777777" w:rsidR="00A854F1" w:rsidRPr="003D1437" w:rsidRDefault="00A854F1" w:rsidP="00A854F1">
      <w:pPr>
        <w:pStyle w:val="Heading1"/>
        <w:rPr>
          <w:rtl/>
        </w:rPr>
      </w:pPr>
    </w:p>
    <w:p w14:paraId="1DC35E16" w14:textId="134225EE" w:rsidR="00A854F1" w:rsidRPr="003D1437" w:rsidRDefault="00A854F1" w:rsidP="00A854F1">
      <w:pPr>
        <w:pStyle w:val="Heading1"/>
        <w:rPr>
          <w:sz w:val="48"/>
          <w:szCs w:val="48"/>
          <w:lang w:bidi="ar-EG"/>
        </w:rPr>
      </w:pPr>
      <w:bookmarkStart w:id="116" w:name="_Toc235065321"/>
      <w:bookmarkStart w:id="117" w:name="_Toc236402695"/>
      <w:r w:rsidRPr="003D1437">
        <w:rPr>
          <w:sz w:val="48"/>
          <w:szCs w:val="48"/>
          <w:rtl/>
        </w:rPr>
        <w:t>الفصل الرابع: نتائج الدراسة</w:t>
      </w:r>
      <w:bookmarkEnd w:id="116"/>
      <w:bookmarkEnd w:id="117"/>
    </w:p>
    <w:p w14:paraId="5149F128" w14:textId="77777777" w:rsidR="00A854F1" w:rsidRPr="003D1437" w:rsidRDefault="00A854F1" w:rsidP="00A854F1">
      <w:pPr>
        <w:bidi/>
        <w:jc w:val="lowKashida"/>
        <w:rPr>
          <w:rFonts w:ascii="Traditional Arabic" w:hAnsi="Traditional Arabic" w:cs="Traditional Arabic"/>
          <w:sz w:val="28"/>
          <w:szCs w:val="28"/>
          <w:rtl/>
        </w:rPr>
        <w:sectPr w:rsidR="00A854F1" w:rsidRPr="003D1437" w:rsidSect="00BF2DEE">
          <w:pgSz w:w="12240" w:h="15840"/>
          <w:pgMar w:top="1440" w:right="1440" w:bottom="1440" w:left="1440" w:header="720" w:footer="720" w:gutter="0"/>
          <w:cols w:space="720"/>
          <w:titlePg/>
          <w:docGrid w:linePitch="360"/>
        </w:sectPr>
      </w:pPr>
    </w:p>
    <w:p w14:paraId="78F5FE49" w14:textId="77777777" w:rsidR="00C3359D" w:rsidRPr="003D1437" w:rsidRDefault="00C3359D" w:rsidP="00D50BF8">
      <w:pPr>
        <w:pStyle w:val="Heading1"/>
        <w:rPr>
          <w:lang w:bidi="ar-EG"/>
        </w:rPr>
      </w:pPr>
      <w:bookmarkStart w:id="118" w:name="_Toc233422640"/>
      <w:bookmarkStart w:id="119" w:name="_Toc236402696"/>
      <w:r w:rsidRPr="003D1437">
        <w:rPr>
          <w:rtl/>
        </w:rPr>
        <w:lastRenderedPageBreak/>
        <w:t>الفصل الرابع: نتائج الدراسة</w:t>
      </w:r>
      <w:bookmarkEnd w:id="118"/>
      <w:bookmarkEnd w:id="119"/>
    </w:p>
    <w:p w14:paraId="3C302E46" w14:textId="77777777" w:rsidR="00A14B40" w:rsidRPr="003D1437" w:rsidRDefault="00A14B40" w:rsidP="00A14B40">
      <w:pPr>
        <w:pStyle w:val="Heading2"/>
      </w:pPr>
      <w:bookmarkStart w:id="120" w:name="_Toc236402697"/>
      <w:bookmarkStart w:id="121" w:name="_Toc233422641"/>
      <w:r w:rsidRPr="003D1437">
        <w:rPr>
          <w:rtl/>
        </w:rPr>
        <w:t>تمهيد</w:t>
      </w:r>
      <w:bookmarkEnd w:id="120"/>
    </w:p>
    <w:p w14:paraId="1F6C07BA" w14:textId="77777777" w:rsidR="00A14B40" w:rsidRPr="003D1437" w:rsidRDefault="00A14B40" w:rsidP="00A14B40">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يستعرض هذا الفصل نتائج الدراسة الميدانية والتحليلات الإحصائية التي تم التوصل إليها من خلال تطبيق أسلوب الحصر الشامل على الموظفين الإداريين والقيادات في الإدارة العامة للتعليم بمنطقة مكة المكرمة والبالغ عددهم </w:t>
      </w:r>
      <w:r w:rsidRPr="003D1437">
        <w:rPr>
          <w:rFonts w:ascii="Traditional Arabic" w:hAnsi="Traditional Arabic" w:cs="Traditional Arabic"/>
          <w:sz w:val="28"/>
          <w:szCs w:val="28"/>
        </w:rPr>
        <w:t xml:space="preserve">81 </w:t>
      </w:r>
      <w:r w:rsidRPr="003D1437">
        <w:rPr>
          <w:rFonts w:ascii="Traditional Arabic" w:hAnsi="Traditional Arabic" w:cs="Traditional Arabic"/>
          <w:sz w:val="28"/>
          <w:szCs w:val="28"/>
          <w:rtl/>
        </w:rPr>
        <w:t>مستجيباً؛ حيث يبدأ الفصل بتقديم وصف تفصيلي للخصائص الديموغرافية والوظيفية لعينة الدراسة، يليه تحليل وصفي للمتوسطات الحسابية والانحرافات المعيارية لتقدير مستويات الموافقة على المتغيرات وأبعادها الفرعية، ثم ينتقل إلى فحص مصفوفة ارتباط بيرسون لتحديد طبيعة العلاقات التبادلية وقوتها، والتحقق من مؤشرات جودة توافق النموذج الهيكلي وقدرته التفسيرية، وصولاً إلى الاختبار الإحصائي للفرضيات الفرعية والرئيسية باستخدام أساليب الانحدار المتعدد وتحليل المسار المتطور، وذلك للكشف بدقة وعمق عن دور التكيف التكنولوجي كمتغير وسيط في العلاقة بين تطبيقات الذكاء الاصطناعي وكفاءة التخطيط الاستراتيجي</w:t>
      </w:r>
      <w:r w:rsidRPr="003D1437">
        <w:rPr>
          <w:rFonts w:ascii="Traditional Arabic" w:hAnsi="Traditional Arabic" w:cs="Traditional Arabic"/>
          <w:sz w:val="28"/>
          <w:szCs w:val="28"/>
        </w:rPr>
        <w:t>.</w:t>
      </w:r>
    </w:p>
    <w:p w14:paraId="359E7483" w14:textId="1ACA44FF" w:rsidR="00D50BF8" w:rsidRPr="003D1437" w:rsidRDefault="00A14B40" w:rsidP="00D50BF8">
      <w:pPr>
        <w:pStyle w:val="Heading2"/>
        <w:rPr>
          <w:rtl/>
        </w:rPr>
      </w:pPr>
      <w:bookmarkStart w:id="122" w:name="_Toc236402698"/>
      <w:r w:rsidRPr="003D1437">
        <w:rPr>
          <w:rFonts w:hint="cs"/>
          <w:rtl/>
        </w:rPr>
        <w:t xml:space="preserve">4.1 </w:t>
      </w:r>
      <w:r w:rsidR="00C3359D" w:rsidRPr="003D1437">
        <w:rPr>
          <w:rtl/>
        </w:rPr>
        <w:t>الخصائص الديموغرافية والوظيفية لعينة الدراسة</w:t>
      </w:r>
      <w:r w:rsidR="00C3359D" w:rsidRPr="003D1437">
        <w:rPr>
          <w:rFonts w:hint="cs"/>
          <w:rtl/>
        </w:rPr>
        <w:t>:</w:t>
      </w:r>
      <w:bookmarkEnd w:id="121"/>
      <w:bookmarkEnd w:id="122"/>
    </w:p>
    <w:p w14:paraId="102941D1" w14:textId="5A9B8A88" w:rsidR="00C3359D" w:rsidRPr="003D1437" w:rsidRDefault="002940FB" w:rsidP="00D50BF8">
      <w:pPr>
        <w:bidi/>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rtl/>
        </w:rPr>
        <w:t>للتعرف على طبيعة مجتمع الدراسة المتاح ومدى تنوعه، تم حساب التكرارات والنسب المئوية للمتغيرات الديموغرافية والوظيفية لجميع أفراد المجتمع الذين خضعوا للحصر الشامل والبالغ عددهم (81) مستجيباً، ويوضح الجدول التالي توزيعهم وفقاً لخصائصهم:</w:t>
      </w:r>
    </w:p>
    <w:p w14:paraId="19CE95D1" w14:textId="24A9562F" w:rsidR="00C3359D" w:rsidRPr="003D1437" w:rsidRDefault="00C3359D" w:rsidP="00A14B40">
      <w:pPr>
        <w:pStyle w:val="Heading4"/>
        <w:rPr>
          <w:color w:val="auto"/>
        </w:rPr>
      </w:pPr>
      <w:bookmarkStart w:id="123" w:name="_Toc235065202"/>
      <w:r w:rsidRPr="003D1437">
        <w:rPr>
          <w:color w:val="auto"/>
          <w:rtl/>
        </w:rPr>
        <w:t>جدول (</w:t>
      </w:r>
      <w:r w:rsidR="00A14B40" w:rsidRPr="003D1437">
        <w:rPr>
          <w:rFonts w:hint="cs"/>
          <w:color w:val="auto"/>
          <w:rtl/>
        </w:rPr>
        <w:t>5</w:t>
      </w:r>
      <w:r w:rsidRPr="003D1437">
        <w:rPr>
          <w:color w:val="auto"/>
          <w:rtl/>
        </w:rPr>
        <w:t>): توزيع أفراد عينة الدراسة حسب المتغيرات الديموغرافية والوظيفية (ن = 81)</w:t>
      </w:r>
      <w:bookmarkEnd w:id="123"/>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3517"/>
        <w:gridCol w:w="1818"/>
        <w:gridCol w:w="2119"/>
      </w:tblGrid>
      <w:tr w:rsidR="003D1437" w:rsidRPr="003D1437" w14:paraId="06D20A15" w14:textId="77777777" w:rsidTr="003A6141">
        <w:trPr>
          <w:trHeight w:val="454"/>
        </w:trPr>
        <w:tc>
          <w:tcPr>
            <w:tcW w:w="1018" w:type="pct"/>
            <w:tcBorders>
              <w:top w:val="single" w:sz="4" w:space="0" w:color="auto"/>
              <w:bottom w:val="single" w:sz="4" w:space="0" w:color="auto"/>
            </w:tcBorders>
            <w:hideMark/>
          </w:tcPr>
          <w:p w14:paraId="255630D2"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المتغير</w:t>
            </w:r>
          </w:p>
        </w:tc>
        <w:tc>
          <w:tcPr>
            <w:tcW w:w="1879" w:type="pct"/>
            <w:tcBorders>
              <w:top w:val="single" w:sz="4" w:space="0" w:color="auto"/>
              <w:bottom w:val="single" w:sz="4" w:space="0" w:color="auto"/>
            </w:tcBorders>
            <w:hideMark/>
          </w:tcPr>
          <w:p w14:paraId="769B9D1C"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الفئات</w:t>
            </w:r>
          </w:p>
        </w:tc>
        <w:tc>
          <w:tcPr>
            <w:tcW w:w="971" w:type="pct"/>
            <w:tcBorders>
              <w:top w:val="single" w:sz="4" w:space="0" w:color="auto"/>
              <w:bottom w:val="single" w:sz="4" w:space="0" w:color="auto"/>
            </w:tcBorders>
            <w:vAlign w:val="center"/>
            <w:hideMark/>
          </w:tcPr>
          <w:p w14:paraId="4AE73D8C" w14:textId="77777777" w:rsidR="00C3359D" w:rsidRPr="003D1437" w:rsidRDefault="00C3359D" w:rsidP="003A6141">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التكرار</w:t>
            </w:r>
          </w:p>
        </w:tc>
        <w:tc>
          <w:tcPr>
            <w:tcW w:w="1132" w:type="pct"/>
            <w:tcBorders>
              <w:top w:val="single" w:sz="4" w:space="0" w:color="auto"/>
              <w:bottom w:val="single" w:sz="4" w:space="0" w:color="auto"/>
            </w:tcBorders>
            <w:vAlign w:val="center"/>
            <w:hideMark/>
          </w:tcPr>
          <w:p w14:paraId="2430FFCC" w14:textId="77777777" w:rsidR="00C3359D" w:rsidRPr="003D1437" w:rsidRDefault="00C3359D" w:rsidP="003A6141">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النسبة المئوية (%)</w:t>
            </w:r>
          </w:p>
        </w:tc>
      </w:tr>
      <w:tr w:rsidR="003D1437" w:rsidRPr="003D1437" w14:paraId="2A7BE3AE" w14:textId="77777777" w:rsidTr="003A6141">
        <w:trPr>
          <w:trHeight w:val="454"/>
        </w:trPr>
        <w:tc>
          <w:tcPr>
            <w:tcW w:w="1018" w:type="pct"/>
            <w:vMerge w:val="restart"/>
            <w:tcBorders>
              <w:top w:val="single" w:sz="4" w:space="0" w:color="auto"/>
            </w:tcBorders>
            <w:hideMark/>
          </w:tcPr>
          <w:p w14:paraId="42D97A5B"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الجنس</w:t>
            </w:r>
          </w:p>
          <w:p w14:paraId="2C37CDC6"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sz w:val="28"/>
                <w:szCs w:val="28"/>
                <w:lang w:bidi="ar-EG"/>
              </w:rPr>
              <w:t> </w:t>
            </w:r>
          </w:p>
        </w:tc>
        <w:tc>
          <w:tcPr>
            <w:tcW w:w="1879" w:type="pct"/>
            <w:tcBorders>
              <w:top w:val="single" w:sz="4" w:space="0" w:color="auto"/>
            </w:tcBorders>
            <w:hideMark/>
          </w:tcPr>
          <w:p w14:paraId="73DE012A"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ذكر</w:t>
            </w:r>
          </w:p>
        </w:tc>
        <w:tc>
          <w:tcPr>
            <w:tcW w:w="971" w:type="pct"/>
            <w:tcBorders>
              <w:top w:val="single" w:sz="4" w:space="0" w:color="auto"/>
            </w:tcBorders>
            <w:vAlign w:val="center"/>
            <w:hideMark/>
          </w:tcPr>
          <w:p w14:paraId="26DF991A"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21</w:t>
            </w:r>
          </w:p>
        </w:tc>
        <w:tc>
          <w:tcPr>
            <w:tcW w:w="1132" w:type="pct"/>
            <w:tcBorders>
              <w:top w:val="single" w:sz="4" w:space="0" w:color="auto"/>
            </w:tcBorders>
            <w:vAlign w:val="center"/>
            <w:hideMark/>
          </w:tcPr>
          <w:p w14:paraId="6B014333"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25.90%</w:t>
            </w:r>
          </w:p>
        </w:tc>
      </w:tr>
      <w:tr w:rsidR="003D1437" w:rsidRPr="003D1437" w14:paraId="74B2D28C" w14:textId="77777777" w:rsidTr="003A6141">
        <w:trPr>
          <w:trHeight w:val="454"/>
        </w:trPr>
        <w:tc>
          <w:tcPr>
            <w:tcW w:w="1018" w:type="pct"/>
            <w:vMerge/>
            <w:hideMark/>
          </w:tcPr>
          <w:p w14:paraId="6DDA5044"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B463A89"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أنثى</w:t>
            </w:r>
          </w:p>
        </w:tc>
        <w:tc>
          <w:tcPr>
            <w:tcW w:w="971" w:type="pct"/>
            <w:vAlign w:val="center"/>
            <w:hideMark/>
          </w:tcPr>
          <w:p w14:paraId="0040811A"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60</w:t>
            </w:r>
          </w:p>
        </w:tc>
        <w:tc>
          <w:tcPr>
            <w:tcW w:w="1132" w:type="pct"/>
            <w:vAlign w:val="center"/>
            <w:hideMark/>
          </w:tcPr>
          <w:p w14:paraId="45A56224"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74.10%</w:t>
            </w:r>
          </w:p>
        </w:tc>
      </w:tr>
      <w:tr w:rsidR="003D1437" w:rsidRPr="003D1437" w14:paraId="483C9CCB" w14:textId="77777777" w:rsidTr="003A6141">
        <w:trPr>
          <w:trHeight w:val="454"/>
        </w:trPr>
        <w:tc>
          <w:tcPr>
            <w:tcW w:w="1018" w:type="pct"/>
            <w:vMerge w:val="restart"/>
            <w:hideMark/>
          </w:tcPr>
          <w:p w14:paraId="0B443A6D"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العمر</w:t>
            </w:r>
          </w:p>
          <w:p w14:paraId="53821AEC"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414FB9D5"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2A990203"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4AEEFA91"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أقل من 30 سنة</w:t>
            </w:r>
          </w:p>
        </w:tc>
        <w:tc>
          <w:tcPr>
            <w:tcW w:w="971" w:type="pct"/>
            <w:vAlign w:val="center"/>
            <w:hideMark/>
          </w:tcPr>
          <w:p w14:paraId="4D0F5F79"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11</w:t>
            </w:r>
          </w:p>
        </w:tc>
        <w:tc>
          <w:tcPr>
            <w:tcW w:w="1132" w:type="pct"/>
            <w:vAlign w:val="center"/>
            <w:hideMark/>
          </w:tcPr>
          <w:p w14:paraId="61CE73C8"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13.60%</w:t>
            </w:r>
          </w:p>
        </w:tc>
      </w:tr>
      <w:tr w:rsidR="003D1437" w:rsidRPr="003D1437" w14:paraId="4314D376" w14:textId="77777777" w:rsidTr="003A6141">
        <w:trPr>
          <w:trHeight w:val="454"/>
        </w:trPr>
        <w:tc>
          <w:tcPr>
            <w:tcW w:w="1018" w:type="pct"/>
            <w:vMerge/>
            <w:hideMark/>
          </w:tcPr>
          <w:p w14:paraId="5857E91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F9707C7"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30 إلى أقل من 40 سنة</w:t>
            </w:r>
          </w:p>
        </w:tc>
        <w:tc>
          <w:tcPr>
            <w:tcW w:w="971" w:type="pct"/>
            <w:vAlign w:val="center"/>
            <w:hideMark/>
          </w:tcPr>
          <w:p w14:paraId="20123C01"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14</w:t>
            </w:r>
          </w:p>
        </w:tc>
        <w:tc>
          <w:tcPr>
            <w:tcW w:w="1132" w:type="pct"/>
            <w:vAlign w:val="center"/>
            <w:hideMark/>
          </w:tcPr>
          <w:p w14:paraId="7694BC9D"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17.30%</w:t>
            </w:r>
          </w:p>
        </w:tc>
      </w:tr>
      <w:tr w:rsidR="003D1437" w:rsidRPr="003D1437" w14:paraId="39B1A7CE" w14:textId="77777777" w:rsidTr="003A6141">
        <w:trPr>
          <w:trHeight w:val="454"/>
        </w:trPr>
        <w:tc>
          <w:tcPr>
            <w:tcW w:w="1018" w:type="pct"/>
            <w:vMerge/>
            <w:hideMark/>
          </w:tcPr>
          <w:p w14:paraId="11013C99"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77E6E2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40 إلى أقل من 50 سنة</w:t>
            </w:r>
          </w:p>
        </w:tc>
        <w:tc>
          <w:tcPr>
            <w:tcW w:w="971" w:type="pct"/>
            <w:vAlign w:val="center"/>
            <w:hideMark/>
          </w:tcPr>
          <w:p w14:paraId="4855C82E"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31</w:t>
            </w:r>
          </w:p>
        </w:tc>
        <w:tc>
          <w:tcPr>
            <w:tcW w:w="1132" w:type="pct"/>
            <w:vAlign w:val="center"/>
            <w:hideMark/>
          </w:tcPr>
          <w:p w14:paraId="1DED7517"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38.30%</w:t>
            </w:r>
          </w:p>
        </w:tc>
      </w:tr>
      <w:tr w:rsidR="003D1437" w:rsidRPr="003D1437" w14:paraId="40DC0DC3" w14:textId="77777777" w:rsidTr="003A6141">
        <w:trPr>
          <w:trHeight w:val="454"/>
        </w:trPr>
        <w:tc>
          <w:tcPr>
            <w:tcW w:w="1018" w:type="pct"/>
            <w:vMerge/>
            <w:hideMark/>
          </w:tcPr>
          <w:p w14:paraId="6F7F695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5FA2BB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50 سنة فأكثر</w:t>
            </w:r>
          </w:p>
        </w:tc>
        <w:tc>
          <w:tcPr>
            <w:tcW w:w="971" w:type="pct"/>
            <w:vAlign w:val="center"/>
            <w:hideMark/>
          </w:tcPr>
          <w:p w14:paraId="696AF88B"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25</w:t>
            </w:r>
          </w:p>
        </w:tc>
        <w:tc>
          <w:tcPr>
            <w:tcW w:w="1132" w:type="pct"/>
            <w:vAlign w:val="center"/>
            <w:hideMark/>
          </w:tcPr>
          <w:p w14:paraId="47CDE521"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30.90%</w:t>
            </w:r>
          </w:p>
        </w:tc>
      </w:tr>
      <w:tr w:rsidR="003D1437" w:rsidRPr="003D1437" w14:paraId="696E840F" w14:textId="77777777" w:rsidTr="003A6141">
        <w:trPr>
          <w:trHeight w:val="454"/>
        </w:trPr>
        <w:tc>
          <w:tcPr>
            <w:tcW w:w="1018" w:type="pct"/>
            <w:vMerge w:val="restart"/>
            <w:hideMark/>
          </w:tcPr>
          <w:p w14:paraId="5508C575"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المؤهل العلمي</w:t>
            </w:r>
          </w:p>
          <w:p w14:paraId="4C8C0E9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34199991"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5525252B"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0D0FC621"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دبلوم</w:t>
            </w:r>
          </w:p>
        </w:tc>
        <w:tc>
          <w:tcPr>
            <w:tcW w:w="971" w:type="pct"/>
            <w:vAlign w:val="center"/>
            <w:hideMark/>
          </w:tcPr>
          <w:p w14:paraId="31309BDB"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7</w:t>
            </w:r>
          </w:p>
        </w:tc>
        <w:tc>
          <w:tcPr>
            <w:tcW w:w="1132" w:type="pct"/>
            <w:vAlign w:val="center"/>
            <w:hideMark/>
          </w:tcPr>
          <w:p w14:paraId="30D7FF6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8.60%</w:t>
            </w:r>
          </w:p>
        </w:tc>
      </w:tr>
      <w:tr w:rsidR="003D1437" w:rsidRPr="003D1437" w14:paraId="01C9A68F" w14:textId="77777777" w:rsidTr="003A6141">
        <w:trPr>
          <w:trHeight w:val="454"/>
        </w:trPr>
        <w:tc>
          <w:tcPr>
            <w:tcW w:w="1018" w:type="pct"/>
            <w:vMerge/>
            <w:hideMark/>
          </w:tcPr>
          <w:p w14:paraId="4FCD2BA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0FCD2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بكالوريوس</w:t>
            </w:r>
          </w:p>
        </w:tc>
        <w:tc>
          <w:tcPr>
            <w:tcW w:w="971" w:type="pct"/>
            <w:vAlign w:val="center"/>
            <w:hideMark/>
          </w:tcPr>
          <w:p w14:paraId="323F23B2"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48</w:t>
            </w:r>
          </w:p>
        </w:tc>
        <w:tc>
          <w:tcPr>
            <w:tcW w:w="1132" w:type="pct"/>
            <w:vAlign w:val="center"/>
            <w:hideMark/>
          </w:tcPr>
          <w:p w14:paraId="3B49302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59.30%</w:t>
            </w:r>
          </w:p>
        </w:tc>
      </w:tr>
      <w:tr w:rsidR="003D1437" w:rsidRPr="003D1437" w14:paraId="61FB3ADB" w14:textId="77777777" w:rsidTr="003A6141">
        <w:trPr>
          <w:trHeight w:val="454"/>
        </w:trPr>
        <w:tc>
          <w:tcPr>
            <w:tcW w:w="1018" w:type="pct"/>
            <w:vMerge/>
            <w:hideMark/>
          </w:tcPr>
          <w:p w14:paraId="3007739F"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28EB730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دراسات عليا (ماجستير/دكتوراه)</w:t>
            </w:r>
          </w:p>
        </w:tc>
        <w:tc>
          <w:tcPr>
            <w:tcW w:w="971" w:type="pct"/>
            <w:vAlign w:val="center"/>
            <w:hideMark/>
          </w:tcPr>
          <w:p w14:paraId="6BA8C355"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19</w:t>
            </w:r>
          </w:p>
        </w:tc>
        <w:tc>
          <w:tcPr>
            <w:tcW w:w="1132" w:type="pct"/>
            <w:vAlign w:val="center"/>
            <w:hideMark/>
          </w:tcPr>
          <w:p w14:paraId="445A9462"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23.50%</w:t>
            </w:r>
          </w:p>
        </w:tc>
      </w:tr>
      <w:tr w:rsidR="003D1437" w:rsidRPr="003D1437" w14:paraId="3EE81B96" w14:textId="77777777" w:rsidTr="003A6141">
        <w:trPr>
          <w:trHeight w:val="454"/>
        </w:trPr>
        <w:tc>
          <w:tcPr>
            <w:tcW w:w="1018" w:type="pct"/>
            <w:vMerge/>
            <w:hideMark/>
          </w:tcPr>
          <w:p w14:paraId="7E0DD9CB"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46932B6"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أخرى</w:t>
            </w:r>
          </w:p>
        </w:tc>
        <w:tc>
          <w:tcPr>
            <w:tcW w:w="971" w:type="pct"/>
            <w:vAlign w:val="center"/>
            <w:hideMark/>
          </w:tcPr>
          <w:p w14:paraId="02CB549A"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7</w:t>
            </w:r>
          </w:p>
        </w:tc>
        <w:tc>
          <w:tcPr>
            <w:tcW w:w="1132" w:type="pct"/>
            <w:vAlign w:val="center"/>
            <w:hideMark/>
          </w:tcPr>
          <w:p w14:paraId="4D793B63"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8.60%</w:t>
            </w:r>
          </w:p>
        </w:tc>
      </w:tr>
      <w:tr w:rsidR="003D1437" w:rsidRPr="003D1437" w14:paraId="765BBA2A" w14:textId="77777777" w:rsidTr="003A6141">
        <w:trPr>
          <w:trHeight w:val="454"/>
        </w:trPr>
        <w:tc>
          <w:tcPr>
            <w:tcW w:w="1018" w:type="pct"/>
            <w:vMerge w:val="restart"/>
            <w:hideMark/>
          </w:tcPr>
          <w:p w14:paraId="69771312"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المسمى الوظيفي</w:t>
            </w:r>
          </w:p>
          <w:p w14:paraId="1823819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25304957"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487A5843"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1898CB06"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38B16000"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07BCAA08"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مدير إدارة / مساعد مدير</w:t>
            </w:r>
          </w:p>
        </w:tc>
        <w:tc>
          <w:tcPr>
            <w:tcW w:w="971" w:type="pct"/>
            <w:vAlign w:val="center"/>
            <w:hideMark/>
          </w:tcPr>
          <w:p w14:paraId="6BD3BA10"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8</w:t>
            </w:r>
          </w:p>
        </w:tc>
        <w:tc>
          <w:tcPr>
            <w:tcW w:w="1132" w:type="pct"/>
            <w:vAlign w:val="center"/>
            <w:hideMark/>
          </w:tcPr>
          <w:p w14:paraId="3495EAC1"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9.90%</w:t>
            </w:r>
          </w:p>
        </w:tc>
      </w:tr>
      <w:tr w:rsidR="003D1437" w:rsidRPr="003D1437" w14:paraId="301BCB84" w14:textId="77777777" w:rsidTr="003A6141">
        <w:trPr>
          <w:trHeight w:val="454"/>
        </w:trPr>
        <w:tc>
          <w:tcPr>
            <w:tcW w:w="1018" w:type="pct"/>
            <w:vMerge/>
            <w:hideMark/>
          </w:tcPr>
          <w:p w14:paraId="3801C51C"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6F393B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رئيس قسم</w:t>
            </w:r>
          </w:p>
        </w:tc>
        <w:tc>
          <w:tcPr>
            <w:tcW w:w="971" w:type="pct"/>
            <w:vAlign w:val="center"/>
            <w:hideMark/>
          </w:tcPr>
          <w:p w14:paraId="3976DDCC"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7</w:t>
            </w:r>
          </w:p>
        </w:tc>
        <w:tc>
          <w:tcPr>
            <w:tcW w:w="1132" w:type="pct"/>
            <w:vAlign w:val="center"/>
            <w:hideMark/>
          </w:tcPr>
          <w:p w14:paraId="2027C0CA"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8.60%</w:t>
            </w:r>
          </w:p>
        </w:tc>
      </w:tr>
      <w:tr w:rsidR="003D1437" w:rsidRPr="003D1437" w14:paraId="2FC6BC62" w14:textId="77777777" w:rsidTr="003A6141">
        <w:trPr>
          <w:trHeight w:val="454"/>
        </w:trPr>
        <w:tc>
          <w:tcPr>
            <w:tcW w:w="1018" w:type="pct"/>
            <w:vMerge/>
            <w:hideMark/>
          </w:tcPr>
          <w:p w14:paraId="355B6164"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B41C63"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مشرف تربوي</w:t>
            </w:r>
          </w:p>
        </w:tc>
        <w:tc>
          <w:tcPr>
            <w:tcW w:w="971" w:type="pct"/>
            <w:vAlign w:val="center"/>
            <w:hideMark/>
          </w:tcPr>
          <w:p w14:paraId="51B1BA63"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w:t>
            </w:r>
          </w:p>
        </w:tc>
        <w:tc>
          <w:tcPr>
            <w:tcW w:w="1132" w:type="pct"/>
            <w:vAlign w:val="center"/>
            <w:hideMark/>
          </w:tcPr>
          <w:p w14:paraId="2A483930"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3.70%</w:t>
            </w:r>
          </w:p>
        </w:tc>
      </w:tr>
      <w:tr w:rsidR="003D1437" w:rsidRPr="003D1437" w14:paraId="7E52ED7D" w14:textId="77777777" w:rsidTr="003A6141">
        <w:trPr>
          <w:trHeight w:val="454"/>
        </w:trPr>
        <w:tc>
          <w:tcPr>
            <w:tcW w:w="1018" w:type="pct"/>
            <w:vMerge/>
            <w:hideMark/>
          </w:tcPr>
          <w:p w14:paraId="7635BC30"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6816D4F"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أخصائي تخطيط / تقنية معلومات</w:t>
            </w:r>
          </w:p>
        </w:tc>
        <w:tc>
          <w:tcPr>
            <w:tcW w:w="971" w:type="pct"/>
            <w:vAlign w:val="center"/>
            <w:hideMark/>
          </w:tcPr>
          <w:p w14:paraId="2E4B2A85"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w:t>
            </w:r>
          </w:p>
        </w:tc>
        <w:tc>
          <w:tcPr>
            <w:tcW w:w="1132" w:type="pct"/>
            <w:vAlign w:val="center"/>
            <w:hideMark/>
          </w:tcPr>
          <w:p w14:paraId="14AAFA59"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2.50%</w:t>
            </w:r>
          </w:p>
        </w:tc>
      </w:tr>
      <w:tr w:rsidR="003D1437" w:rsidRPr="003D1437" w14:paraId="640DC60A" w14:textId="77777777" w:rsidTr="003A6141">
        <w:trPr>
          <w:trHeight w:val="454"/>
        </w:trPr>
        <w:tc>
          <w:tcPr>
            <w:tcW w:w="1018" w:type="pct"/>
            <w:vMerge/>
            <w:hideMark/>
          </w:tcPr>
          <w:p w14:paraId="4E6DC75A"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48593BF"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موظف إداري</w:t>
            </w:r>
          </w:p>
        </w:tc>
        <w:tc>
          <w:tcPr>
            <w:tcW w:w="971" w:type="pct"/>
            <w:vAlign w:val="center"/>
            <w:hideMark/>
          </w:tcPr>
          <w:p w14:paraId="7381EE3C"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15</w:t>
            </w:r>
          </w:p>
        </w:tc>
        <w:tc>
          <w:tcPr>
            <w:tcW w:w="1132" w:type="pct"/>
            <w:vAlign w:val="center"/>
            <w:hideMark/>
          </w:tcPr>
          <w:p w14:paraId="5A9D6A8F"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18.50%</w:t>
            </w:r>
          </w:p>
        </w:tc>
      </w:tr>
      <w:tr w:rsidR="003D1437" w:rsidRPr="003D1437" w14:paraId="59E97594" w14:textId="77777777" w:rsidTr="003A6141">
        <w:trPr>
          <w:trHeight w:val="454"/>
        </w:trPr>
        <w:tc>
          <w:tcPr>
            <w:tcW w:w="1018" w:type="pct"/>
            <w:vMerge/>
            <w:hideMark/>
          </w:tcPr>
          <w:p w14:paraId="7F736284"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8976FF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أخرى</w:t>
            </w:r>
          </w:p>
        </w:tc>
        <w:tc>
          <w:tcPr>
            <w:tcW w:w="971" w:type="pct"/>
            <w:vAlign w:val="center"/>
            <w:hideMark/>
          </w:tcPr>
          <w:p w14:paraId="34AE527C"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46</w:t>
            </w:r>
          </w:p>
        </w:tc>
        <w:tc>
          <w:tcPr>
            <w:tcW w:w="1132" w:type="pct"/>
            <w:vAlign w:val="center"/>
            <w:hideMark/>
          </w:tcPr>
          <w:p w14:paraId="1E9F2209"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56.80%</w:t>
            </w:r>
          </w:p>
        </w:tc>
      </w:tr>
      <w:tr w:rsidR="003D1437" w:rsidRPr="003D1437" w14:paraId="68CD60CA" w14:textId="77777777" w:rsidTr="003A6141">
        <w:trPr>
          <w:trHeight w:val="454"/>
        </w:trPr>
        <w:tc>
          <w:tcPr>
            <w:tcW w:w="1018" w:type="pct"/>
            <w:vMerge w:val="restart"/>
            <w:hideMark/>
          </w:tcPr>
          <w:p w14:paraId="6C50A573"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سنوات الخبرة</w:t>
            </w:r>
          </w:p>
          <w:p w14:paraId="6CE82230"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20747D8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30017CA4"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44176111"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أقل من 5 سنوات</w:t>
            </w:r>
          </w:p>
        </w:tc>
        <w:tc>
          <w:tcPr>
            <w:tcW w:w="971" w:type="pct"/>
            <w:vAlign w:val="center"/>
            <w:hideMark/>
          </w:tcPr>
          <w:p w14:paraId="4FF39993"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20</w:t>
            </w:r>
          </w:p>
        </w:tc>
        <w:tc>
          <w:tcPr>
            <w:tcW w:w="1132" w:type="pct"/>
            <w:vAlign w:val="center"/>
            <w:hideMark/>
          </w:tcPr>
          <w:p w14:paraId="4F57726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24.70%</w:t>
            </w:r>
          </w:p>
        </w:tc>
      </w:tr>
      <w:tr w:rsidR="003D1437" w:rsidRPr="003D1437" w14:paraId="4C83AC7F" w14:textId="77777777" w:rsidTr="003A6141">
        <w:trPr>
          <w:trHeight w:val="454"/>
        </w:trPr>
        <w:tc>
          <w:tcPr>
            <w:tcW w:w="1018" w:type="pct"/>
            <w:vMerge/>
            <w:hideMark/>
          </w:tcPr>
          <w:p w14:paraId="2A07112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C29007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5 إلى أقل من 10 سنوات</w:t>
            </w:r>
          </w:p>
        </w:tc>
        <w:tc>
          <w:tcPr>
            <w:tcW w:w="971" w:type="pct"/>
            <w:vAlign w:val="center"/>
            <w:hideMark/>
          </w:tcPr>
          <w:p w14:paraId="7C03E17E"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8</w:t>
            </w:r>
          </w:p>
        </w:tc>
        <w:tc>
          <w:tcPr>
            <w:tcW w:w="1132" w:type="pct"/>
            <w:vAlign w:val="center"/>
            <w:hideMark/>
          </w:tcPr>
          <w:p w14:paraId="3BEEA02D"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9.90%</w:t>
            </w:r>
          </w:p>
        </w:tc>
      </w:tr>
      <w:tr w:rsidR="003D1437" w:rsidRPr="003D1437" w14:paraId="1F265DEE" w14:textId="77777777" w:rsidTr="003A6141">
        <w:trPr>
          <w:trHeight w:val="454"/>
        </w:trPr>
        <w:tc>
          <w:tcPr>
            <w:tcW w:w="1018" w:type="pct"/>
            <w:vMerge/>
            <w:hideMark/>
          </w:tcPr>
          <w:p w14:paraId="727D6F4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5123139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10 إلى أقل من 15 سنة</w:t>
            </w:r>
          </w:p>
        </w:tc>
        <w:tc>
          <w:tcPr>
            <w:tcW w:w="971" w:type="pct"/>
            <w:vAlign w:val="center"/>
            <w:hideMark/>
          </w:tcPr>
          <w:p w14:paraId="49B474FB"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14</w:t>
            </w:r>
          </w:p>
        </w:tc>
        <w:tc>
          <w:tcPr>
            <w:tcW w:w="1132" w:type="pct"/>
            <w:vAlign w:val="center"/>
            <w:hideMark/>
          </w:tcPr>
          <w:p w14:paraId="2AF8A032"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17.30%</w:t>
            </w:r>
          </w:p>
        </w:tc>
      </w:tr>
      <w:tr w:rsidR="003D1437" w:rsidRPr="003D1437" w14:paraId="5AC4D690" w14:textId="77777777" w:rsidTr="003A6141">
        <w:trPr>
          <w:trHeight w:val="454"/>
        </w:trPr>
        <w:tc>
          <w:tcPr>
            <w:tcW w:w="1018" w:type="pct"/>
            <w:vMerge/>
            <w:tcBorders>
              <w:bottom w:val="single" w:sz="4" w:space="0" w:color="auto"/>
            </w:tcBorders>
            <w:hideMark/>
          </w:tcPr>
          <w:p w14:paraId="1DEE3D0B"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tcBorders>
              <w:bottom w:val="single" w:sz="4" w:space="0" w:color="auto"/>
            </w:tcBorders>
            <w:hideMark/>
          </w:tcPr>
          <w:p w14:paraId="57A890B5"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15 سنة فأكثر</w:t>
            </w:r>
          </w:p>
        </w:tc>
        <w:tc>
          <w:tcPr>
            <w:tcW w:w="971" w:type="pct"/>
            <w:tcBorders>
              <w:bottom w:val="single" w:sz="4" w:space="0" w:color="auto"/>
            </w:tcBorders>
            <w:vAlign w:val="center"/>
            <w:hideMark/>
          </w:tcPr>
          <w:p w14:paraId="78C4550E"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w:t>
            </w:r>
          </w:p>
        </w:tc>
        <w:tc>
          <w:tcPr>
            <w:tcW w:w="1132" w:type="pct"/>
            <w:tcBorders>
              <w:bottom w:val="single" w:sz="4" w:space="0" w:color="auto"/>
            </w:tcBorders>
            <w:vAlign w:val="center"/>
            <w:hideMark/>
          </w:tcPr>
          <w:p w14:paraId="1EFFEA1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48.10%</w:t>
            </w:r>
          </w:p>
        </w:tc>
      </w:tr>
    </w:tbl>
    <w:p w14:paraId="36DA039D" w14:textId="5B21CEC9" w:rsidR="00C3359D" w:rsidRPr="003D1437" w:rsidRDefault="00C3359D" w:rsidP="00C3359D">
      <w:pPr>
        <w:bidi/>
        <w:jc w:val="lowKashida"/>
        <w:rPr>
          <w:rFonts w:ascii="Traditional Arabic" w:hAnsi="Traditional Arabic" w:cs="Traditional Arabic"/>
          <w:b/>
          <w:bCs/>
          <w:sz w:val="28"/>
          <w:szCs w:val="28"/>
          <w:rtl/>
          <w:lang w:bidi="ar-EG"/>
        </w:rPr>
      </w:pPr>
      <w:r w:rsidRPr="003D1437">
        <w:rPr>
          <w:rFonts w:ascii="Traditional Arabic" w:hAnsi="Traditional Arabic" w:cs="Traditional Arabic" w:hint="cs"/>
          <w:b/>
          <w:bCs/>
          <w:sz w:val="28"/>
          <w:szCs w:val="28"/>
          <w:rtl/>
          <w:lang w:bidi="ar-EG"/>
        </w:rPr>
        <w:t>فى الجدول (</w:t>
      </w:r>
      <w:r w:rsidR="00A14B40" w:rsidRPr="003D1437">
        <w:rPr>
          <w:rFonts w:ascii="Traditional Arabic" w:hAnsi="Traditional Arabic" w:cs="Traditional Arabic" w:hint="cs"/>
          <w:b/>
          <w:bCs/>
          <w:sz w:val="28"/>
          <w:szCs w:val="28"/>
          <w:rtl/>
          <w:lang w:bidi="ar-EG"/>
        </w:rPr>
        <w:t>5</w:t>
      </w:r>
      <w:r w:rsidRPr="003D1437">
        <w:rPr>
          <w:rFonts w:ascii="Traditional Arabic" w:hAnsi="Traditional Arabic" w:cs="Traditional Arabic" w:hint="cs"/>
          <w:b/>
          <w:bCs/>
          <w:sz w:val="28"/>
          <w:szCs w:val="28"/>
          <w:rtl/>
          <w:lang w:bidi="ar-EG"/>
        </w:rPr>
        <w:t>):</w:t>
      </w:r>
    </w:p>
    <w:p w14:paraId="64C96717" w14:textId="4892D789" w:rsidR="00C3359D" w:rsidRPr="003D1437" w:rsidRDefault="002940FB" w:rsidP="00972E18">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كانت نسبة (الإناث) هي الأعلى بين المبحوثين (74.1%)، مقابل (25.9%) لـ (الذكور). وتمركز أكبر عدد من الأفراد في (الأعمار)، حيث كانت أغلب الفئة محصورة بين (40 إلى أقل من 50 سنة) بنسبة (38.3%)، تليها فئة (50 سنة فأكثر) بنسبة (30.9%). وبهذا نرى أن مجتمع الدراسة يتمتع بـ (الخبرة)، وهي فئة عمرية ناضجة وبالوعي الكافي، مما يعزز من إدراكهم لأهمية التخطيط الاستراتيجي. وبالنسبة لمستوى المؤهل العلمي للمستجيبين، فإنهم كانوا في الغالب من حملة درجة (البكالوريوس) بنسبة (59.3%)، ثم (الدراسات العليا) بنسبة (23.5%). وهذا يشير إلى مستوى تعليمي ووعي عالٍ، مما يجعلهم بأتم استعداد لاستيعاب المفاهيم المطروحة معهم مثل 'الذكاء الاصطناعي' ويبدون آراءً موضوعية ودقيقة. كما نلاحظ أن أفراد المجتمع المستقصى اختلفوا في المسمى الوظيفي، حيث كانت فئة (أخرى) هي النسبة الأعلى (56.8%)</w:t>
      </w:r>
      <w:r w:rsidR="00C3359D" w:rsidRPr="003D1437">
        <w:rPr>
          <w:rFonts w:ascii="Traditional Arabic" w:hAnsi="Traditional Arabic" w:cs="Traditional Arabic"/>
          <w:sz w:val="28"/>
          <w:szCs w:val="28"/>
          <w:rtl/>
        </w:rPr>
        <w:t xml:space="preserve">، تليهم (موظف إداري) بنسبة (18.5%). كذلك تمثل </w:t>
      </w:r>
      <w:r w:rsidR="001C4639" w:rsidRPr="003D1437">
        <w:rPr>
          <w:rFonts w:ascii="Traditional Arabic" w:hAnsi="Traditional Arabic" w:cs="Traditional Arabic" w:hint="cs"/>
          <w:sz w:val="28"/>
          <w:szCs w:val="28"/>
          <w:rtl/>
        </w:rPr>
        <w:t>وظائف</w:t>
      </w:r>
      <w:r w:rsidR="00C3359D" w:rsidRPr="003D1437">
        <w:rPr>
          <w:rFonts w:ascii="Traditional Arabic" w:hAnsi="Traditional Arabic" w:cs="Traditional Arabic"/>
          <w:sz w:val="28"/>
          <w:szCs w:val="28"/>
          <w:rtl/>
        </w:rPr>
        <w:t xml:space="preserve"> الإدارة (مدير/مساعد، ورئيس قسم) بنسبة (18.5%) مجمعة، الأمر الذي يؤكد تعددية النقاط بين أعضاء الإدارة العليا والمستوى التنفيذي. وكانت نسبة من لديهم </w:t>
      </w:r>
      <w:r w:rsidR="00C3359D" w:rsidRPr="003D1437">
        <w:rPr>
          <w:rFonts w:ascii="Traditional Arabic" w:hAnsi="Traditional Arabic" w:cs="Traditional Arabic" w:hint="cs"/>
          <w:sz w:val="28"/>
          <w:szCs w:val="28"/>
          <w:rtl/>
        </w:rPr>
        <w:t>خبرة</w:t>
      </w:r>
      <w:r w:rsidR="00C3359D" w:rsidRPr="003D1437">
        <w:rPr>
          <w:rFonts w:ascii="Traditional Arabic" w:hAnsi="Traditional Arabic" w:cs="Traditional Arabic"/>
          <w:sz w:val="28"/>
          <w:szCs w:val="28"/>
          <w:rtl/>
        </w:rPr>
        <w:t xml:space="preserve"> (15 </w:t>
      </w:r>
      <w:r w:rsidR="00C3359D" w:rsidRPr="003D1437">
        <w:rPr>
          <w:rFonts w:ascii="Traditional Arabic" w:hAnsi="Traditional Arabic" w:cs="Traditional Arabic" w:hint="cs"/>
          <w:sz w:val="28"/>
          <w:szCs w:val="28"/>
          <w:rtl/>
        </w:rPr>
        <w:t>سنة</w:t>
      </w:r>
      <w:r w:rsidR="00C3359D" w:rsidRPr="003D1437">
        <w:rPr>
          <w:rFonts w:ascii="Traditional Arabic" w:hAnsi="Traditional Arabic" w:cs="Traditional Arabic"/>
          <w:sz w:val="28"/>
          <w:szCs w:val="28"/>
          <w:rtl/>
        </w:rPr>
        <w:t xml:space="preserve"> </w:t>
      </w:r>
      <w:r w:rsidR="00C3359D" w:rsidRPr="003D1437">
        <w:rPr>
          <w:rFonts w:ascii="Traditional Arabic" w:hAnsi="Traditional Arabic" w:cs="Traditional Arabic" w:hint="cs"/>
          <w:sz w:val="28"/>
          <w:szCs w:val="28"/>
          <w:rtl/>
        </w:rPr>
        <w:t>فأكثر</w:t>
      </w:r>
      <w:r w:rsidR="00C3359D" w:rsidRPr="003D1437">
        <w:rPr>
          <w:rFonts w:ascii="Traditional Arabic" w:hAnsi="Traditional Arabic" w:cs="Traditional Arabic"/>
          <w:sz w:val="28"/>
          <w:szCs w:val="28"/>
          <w:rtl/>
        </w:rPr>
        <w:t xml:space="preserve">) </w:t>
      </w:r>
      <w:r w:rsidR="00C3359D" w:rsidRPr="003D1437">
        <w:rPr>
          <w:rFonts w:ascii="Traditional Arabic" w:hAnsi="Traditional Arabic" w:cs="Traditional Arabic" w:hint="cs"/>
          <w:sz w:val="28"/>
          <w:szCs w:val="28"/>
          <w:rtl/>
        </w:rPr>
        <w:t>هي</w:t>
      </w:r>
      <w:r w:rsidR="00C3359D" w:rsidRPr="003D1437">
        <w:rPr>
          <w:rFonts w:ascii="Traditional Arabic" w:hAnsi="Traditional Arabic" w:cs="Traditional Arabic"/>
          <w:sz w:val="28"/>
          <w:szCs w:val="28"/>
          <w:rtl/>
        </w:rPr>
        <w:t xml:space="preserve"> </w:t>
      </w:r>
      <w:r w:rsidR="00C3359D" w:rsidRPr="003D1437">
        <w:rPr>
          <w:rFonts w:ascii="Traditional Arabic" w:hAnsi="Traditional Arabic" w:cs="Traditional Arabic" w:hint="cs"/>
          <w:sz w:val="28"/>
          <w:szCs w:val="28"/>
          <w:rtl/>
        </w:rPr>
        <w:t>الأكبر</w:t>
      </w:r>
      <w:r w:rsidR="00C3359D" w:rsidRPr="003D1437">
        <w:rPr>
          <w:rFonts w:ascii="Traditional Arabic" w:hAnsi="Traditional Arabic" w:cs="Traditional Arabic"/>
          <w:sz w:val="28"/>
          <w:szCs w:val="28"/>
          <w:rtl/>
        </w:rPr>
        <w:t xml:space="preserve"> (48.1%).</w:t>
      </w:r>
      <w:r w:rsidR="00972E18" w:rsidRPr="003D1437">
        <w:rPr>
          <w:rFonts w:ascii="Traditional Arabic" w:hAnsi="Traditional Arabic" w:cs="Traditional Arabic" w:hint="cs"/>
          <w:sz w:val="28"/>
          <w:szCs w:val="28"/>
          <w:rtl/>
        </w:rPr>
        <w:t xml:space="preserve"> </w:t>
      </w:r>
      <w:r w:rsidR="00C3359D" w:rsidRPr="003D1437">
        <w:rPr>
          <w:rFonts w:ascii="Traditional Arabic" w:hAnsi="Traditional Arabic" w:cs="Traditional Arabic"/>
          <w:sz w:val="28"/>
          <w:szCs w:val="28"/>
          <w:rtl/>
        </w:rPr>
        <w:t>وهذا يشكل علامة إيجابية واضحة على أن الردود جاءت من أشخاص على دراية تامة ولديهم خبرة إدارية طويلة في تعليم منطقة مكة المكرمة، وهذا يعزز من موثوقية و صلابة النتائج، خاصة عندما نقوم بتقييم كفاءة التخطيط الاستراتيجي وتأثره بهذ</w:t>
      </w:r>
      <w:r w:rsidR="00A56644" w:rsidRPr="003D1437">
        <w:rPr>
          <w:rFonts w:ascii="Traditional Arabic" w:hAnsi="Traditional Arabic" w:cs="Traditional Arabic" w:hint="cs"/>
          <w:sz w:val="28"/>
          <w:szCs w:val="28"/>
          <w:rtl/>
        </w:rPr>
        <w:t>ه</w:t>
      </w:r>
      <w:r w:rsidR="00C3359D" w:rsidRPr="003D1437">
        <w:rPr>
          <w:rFonts w:ascii="Traditional Arabic" w:hAnsi="Traditional Arabic" w:cs="Traditional Arabic"/>
          <w:sz w:val="28"/>
          <w:szCs w:val="28"/>
          <w:rtl/>
        </w:rPr>
        <w:t xml:space="preserve"> التكنولوجي</w:t>
      </w:r>
      <w:r w:rsidR="00A56644" w:rsidRPr="003D1437">
        <w:rPr>
          <w:rFonts w:ascii="Traditional Arabic" w:hAnsi="Traditional Arabic" w:cs="Traditional Arabic" w:hint="cs"/>
          <w:sz w:val="28"/>
          <w:szCs w:val="28"/>
          <w:rtl/>
        </w:rPr>
        <w:t>ا</w:t>
      </w:r>
      <w:r w:rsidR="00C3359D" w:rsidRPr="003D1437">
        <w:rPr>
          <w:rFonts w:ascii="Traditional Arabic" w:hAnsi="Traditional Arabic" w:cs="Traditional Arabic"/>
          <w:sz w:val="28"/>
          <w:szCs w:val="28"/>
          <w:rtl/>
        </w:rPr>
        <w:t xml:space="preserve"> </w:t>
      </w:r>
      <w:r w:rsidR="00C3359D" w:rsidRPr="003D1437">
        <w:rPr>
          <w:rFonts w:ascii="Times New Roman" w:hAnsi="Times New Roman" w:cs="Times New Roman" w:hint="cs"/>
          <w:sz w:val="28"/>
          <w:szCs w:val="28"/>
          <w:rtl/>
        </w:rPr>
        <w:t>​‍​‌‍​‍‌</w:t>
      </w:r>
      <w:r w:rsidR="00C3359D" w:rsidRPr="003D1437">
        <w:rPr>
          <w:rFonts w:ascii="Traditional Arabic" w:hAnsi="Traditional Arabic" w:cs="Traditional Arabic" w:hint="cs"/>
          <w:sz w:val="28"/>
          <w:szCs w:val="28"/>
          <w:rtl/>
        </w:rPr>
        <w:t>الجديد</w:t>
      </w:r>
      <w:r w:rsidR="00A56644" w:rsidRPr="003D1437">
        <w:rPr>
          <w:rFonts w:ascii="Traditional Arabic" w:hAnsi="Traditional Arabic" w:cs="Traditional Arabic" w:hint="cs"/>
          <w:sz w:val="28"/>
          <w:szCs w:val="28"/>
          <w:rtl/>
        </w:rPr>
        <w:t>ه</w:t>
      </w:r>
      <w:r w:rsidR="00C3359D" w:rsidRPr="003D1437">
        <w:rPr>
          <w:rFonts w:ascii="Traditional Arabic" w:hAnsi="Traditional Arabic" w:cs="Traditional Arabic"/>
          <w:sz w:val="28"/>
          <w:szCs w:val="28"/>
          <w:lang w:bidi="ar-EG"/>
        </w:rPr>
        <w:t>.</w:t>
      </w:r>
    </w:p>
    <w:p w14:paraId="0807643E" w14:textId="0F62DDC9" w:rsidR="00C3359D" w:rsidRPr="003D1437" w:rsidRDefault="00C3359D" w:rsidP="00A14B40">
      <w:pPr>
        <w:pStyle w:val="Heading4"/>
        <w:rPr>
          <w:color w:val="auto"/>
          <w:rtl/>
        </w:rPr>
      </w:pPr>
      <w:bookmarkStart w:id="124" w:name="_Toc235065203"/>
      <w:r w:rsidRPr="003D1437">
        <w:rPr>
          <w:color w:val="auto"/>
          <w:rtl/>
        </w:rPr>
        <w:t>جدول (</w:t>
      </w:r>
      <w:r w:rsidR="00A14B40" w:rsidRPr="003D1437">
        <w:rPr>
          <w:rFonts w:hint="cs"/>
          <w:color w:val="auto"/>
          <w:rtl/>
        </w:rPr>
        <w:t>6</w:t>
      </w:r>
      <w:r w:rsidRPr="003D1437">
        <w:rPr>
          <w:color w:val="auto"/>
          <w:rtl/>
        </w:rPr>
        <w:t>): المتوسطات الحسابية والانحرافات المعيارية لمتغيرات الدراسة</w:t>
      </w:r>
      <w:bookmarkEnd w:id="124"/>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261"/>
        <w:gridCol w:w="2351"/>
        <w:gridCol w:w="2099"/>
      </w:tblGrid>
      <w:tr w:rsidR="003D1437" w:rsidRPr="003D1437" w14:paraId="6CBDD401" w14:textId="77777777" w:rsidTr="009912B5">
        <w:trPr>
          <w:trHeight w:val="680"/>
        </w:trPr>
        <w:tc>
          <w:tcPr>
            <w:tcW w:w="1415" w:type="pct"/>
            <w:tcBorders>
              <w:top w:val="single" w:sz="4" w:space="0" w:color="auto"/>
              <w:bottom w:val="single" w:sz="4" w:space="0" w:color="auto"/>
            </w:tcBorders>
            <w:vAlign w:val="center"/>
            <w:hideMark/>
          </w:tcPr>
          <w:p w14:paraId="1E9D658F"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hint="cs"/>
                <w:b/>
                <w:bCs/>
                <w:sz w:val="28"/>
                <w:szCs w:val="28"/>
                <w:rtl/>
              </w:rPr>
              <w:t>المتغير / الأبعاد</w:t>
            </w:r>
          </w:p>
        </w:tc>
        <w:tc>
          <w:tcPr>
            <w:tcW w:w="1208" w:type="pct"/>
            <w:tcBorders>
              <w:top w:val="single" w:sz="4" w:space="0" w:color="auto"/>
              <w:bottom w:val="single" w:sz="4" w:space="0" w:color="auto"/>
            </w:tcBorders>
            <w:vAlign w:val="center"/>
            <w:hideMark/>
          </w:tcPr>
          <w:p w14:paraId="174DD9EC"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المتوسط الحسابي</w:t>
            </w:r>
          </w:p>
        </w:tc>
        <w:tc>
          <w:tcPr>
            <w:tcW w:w="1256" w:type="pct"/>
            <w:tcBorders>
              <w:top w:val="single" w:sz="4" w:space="0" w:color="auto"/>
              <w:bottom w:val="single" w:sz="4" w:space="0" w:color="auto"/>
            </w:tcBorders>
            <w:vAlign w:val="center"/>
            <w:hideMark/>
          </w:tcPr>
          <w:p w14:paraId="20ADE457"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الانحراف المعياري</w:t>
            </w:r>
          </w:p>
        </w:tc>
        <w:tc>
          <w:tcPr>
            <w:tcW w:w="1121" w:type="pct"/>
            <w:tcBorders>
              <w:top w:val="single" w:sz="4" w:space="0" w:color="auto"/>
              <w:bottom w:val="single" w:sz="4" w:space="0" w:color="auto"/>
            </w:tcBorders>
            <w:vAlign w:val="center"/>
            <w:hideMark/>
          </w:tcPr>
          <w:p w14:paraId="4A1D9A86"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مستوى الموافقة</w:t>
            </w:r>
          </w:p>
        </w:tc>
      </w:tr>
      <w:tr w:rsidR="003D1437" w:rsidRPr="003D1437" w14:paraId="2203270A" w14:textId="77777777" w:rsidTr="009912B5">
        <w:trPr>
          <w:trHeight w:val="680"/>
        </w:trPr>
        <w:tc>
          <w:tcPr>
            <w:tcW w:w="1415" w:type="pct"/>
            <w:tcBorders>
              <w:top w:val="single" w:sz="4" w:space="0" w:color="auto"/>
            </w:tcBorders>
            <w:vAlign w:val="center"/>
            <w:hideMark/>
          </w:tcPr>
          <w:p w14:paraId="497B1596"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المتغير المستقل: الذكاء الاصطناعي</w:t>
            </w:r>
          </w:p>
        </w:tc>
        <w:tc>
          <w:tcPr>
            <w:tcW w:w="1208" w:type="pct"/>
            <w:tcBorders>
              <w:top w:val="single" w:sz="4" w:space="0" w:color="auto"/>
            </w:tcBorders>
            <w:vAlign w:val="center"/>
            <w:hideMark/>
          </w:tcPr>
          <w:p w14:paraId="11F7F2A3"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3.91</w:t>
            </w:r>
          </w:p>
        </w:tc>
        <w:tc>
          <w:tcPr>
            <w:tcW w:w="1256" w:type="pct"/>
            <w:tcBorders>
              <w:top w:val="single" w:sz="4" w:space="0" w:color="auto"/>
            </w:tcBorders>
            <w:vAlign w:val="center"/>
            <w:hideMark/>
          </w:tcPr>
          <w:p w14:paraId="70241434"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0.51</w:t>
            </w:r>
          </w:p>
        </w:tc>
        <w:tc>
          <w:tcPr>
            <w:tcW w:w="1121" w:type="pct"/>
            <w:tcBorders>
              <w:top w:val="single" w:sz="4" w:space="0" w:color="auto"/>
            </w:tcBorders>
            <w:vAlign w:val="center"/>
            <w:hideMark/>
          </w:tcPr>
          <w:p w14:paraId="3328098D"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مرتفع</w:t>
            </w:r>
          </w:p>
        </w:tc>
      </w:tr>
      <w:tr w:rsidR="003D1437" w:rsidRPr="003D1437" w14:paraId="512522F5" w14:textId="77777777" w:rsidTr="009912B5">
        <w:trPr>
          <w:trHeight w:val="680"/>
        </w:trPr>
        <w:tc>
          <w:tcPr>
            <w:tcW w:w="1415" w:type="pct"/>
            <w:vAlign w:val="center"/>
            <w:hideMark/>
          </w:tcPr>
          <w:p w14:paraId="6DFD62AD"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أتمتة المهام الإدارية</w:t>
            </w:r>
          </w:p>
        </w:tc>
        <w:tc>
          <w:tcPr>
            <w:tcW w:w="1208" w:type="pct"/>
            <w:vAlign w:val="center"/>
            <w:hideMark/>
          </w:tcPr>
          <w:p w14:paraId="2CBF81F5"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3.97</w:t>
            </w:r>
          </w:p>
        </w:tc>
        <w:tc>
          <w:tcPr>
            <w:tcW w:w="1256" w:type="pct"/>
            <w:vAlign w:val="center"/>
            <w:hideMark/>
          </w:tcPr>
          <w:p w14:paraId="49E95843"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0.59</w:t>
            </w:r>
          </w:p>
        </w:tc>
        <w:tc>
          <w:tcPr>
            <w:tcW w:w="1121" w:type="pct"/>
            <w:vAlign w:val="center"/>
            <w:hideMark/>
          </w:tcPr>
          <w:p w14:paraId="17EBEE64"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05594E46" w14:textId="77777777" w:rsidTr="009912B5">
        <w:trPr>
          <w:trHeight w:val="680"/>
        </w:trPr>
        <w:tc>
          <w:tcPr>
            <w:tcW w:w="1415" w:type="pct"/>
            <w:vAlign w:val="center"/>
            <w:hideMark/>
          </w:tcPr>
          <w:p w14:paraId="18BAE66D"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أنظمة الإنذار المبكر</w:t>
            </w:r>
          </w:p>
        </w:tc>
        <w:tc>
          <w:tcPr>
            <w:tcW w:w="1208" w:type="pct"/>
            <w:vAlign w:val="center"/>
            <w:hideMark/>
          </w:tcPr>
          <w:p w14:paraId="552699C5"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3.91</w:t>
            </w:r>
          </w:p>
        </w:tc>
        <w:tc>
          <w:tcPr>
            <w:tcW w:w="1256" w:type="pct"/>
            <w:vAlign w:val="center"/>
            <w:hideMark/>
          </w:tcPr>
          <w:p w14:paraId="44E600EB"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0.53</w:t>
            </w:r>
          </w:p>
        </w:tc>
        <w:tc>
          <w:tcPr>
            <w:tcW w:w="1121" w:type="pct"/>
            <w:vAlign w:val="center"/>
            <w:hideMark/>
          </w:tcPr>
          <w:p w14:paraId="46BE15DB"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4A732018" w14:textId="77777777" w:rsidTr="009912B5">
        <w:trPr>
          <w:trHeight w:val="680"/>
        </w:trPr>
        <w:tc>
          <w:tcPr>
            <w:tcW w:w="1415" w:type="pct"/>
            <w:vAlign w:val="center"/>
            <w:hideMark/>
          </w:tcPr>
          <w:p w14:paraId="4E1C937E"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دعم اتخاذ القرار</w:t>
            </w:r>
          </w:p>
        </w:tc>
        <w:tc>
          <w:tcPr>
            <w:tcW w:w="1208" w:type="pct"/>
            <w:vAlign w:val="center"/>
            <w:hideMark/>
          </w:tcPr>
          <w:p w14:paraId="39532E3A"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3.86</w:t>
            </w:r>
          </w:p>
        </w:tc>
        <w:tc>
          <w:tcPr>
            <w:tcW w:w="1256" w:type="pct"/>
            <w:vAlign w:val="center"/>
            <w:hideMark/>
          </w:tcPr>
          <w:p w14:paraId="47213EA9"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0.64</w:t>
            </w:r>
          </w:p>
        </w:tc>
        <w:tc>
          <w:tcPr>
            <w:tcW w:w="1121" w:type="pct"/>
            <w:vAlign w:val="center"/>
            <w:hideMark/>
          </w:tcPr>
          <w:p w14:paraId="616DC032"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6C5C23E6" w14:textId="77777777" w:rsidTr="009912B5">
        <w:trPr>
          <w:trHeight w:val="680"/>
        </w:trPr>
        <w:tc>
          <w:tcPr>
            <w:tcW w:w="1415" w:type="pct"/>
            <w:vAlign w:val="center"/>
            <w:hideMark/>
          </w:tcPr>
          <w:p w14:paraId="3DA32212"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المتغير الوسيط: التكيف التكنولوجي</w:t>
            </w:r>
          </w:p>
        </w:tc>
        <w:tc>
          <w:tcPr>
            <w:tcW w:w="1208" w:type="pct"/>
            <w:vAlign w:val="center"/>
            <w:hideMark/>
          </w:tcPr>
          <w:p w14:paraId="365ECEDA"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3.83</w:t>
            </w:r>
          </w:p>
        </w:tc>
        <w:tc>
          <w:tcPr>
            <w:tcW w:w="1256" w:type="pct"/>
            <w:vAlign w:val="center"/>
            <w:hideMark/>
          </w:tcPr>
          <w:p w14:paraId="6E325184"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0.56</w:t>
            </w:r>
          </w:p>
        </w:tc>
        <w:tc>
          <w:tcPr>
            <w:tcW w:w="1121" w:type="pct"/>
            <w:vAlign w:val="center"/>
            <w:hideMark/>
          </w:tcPr>
          <w:p w14:paraId="1B6E2A5E"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مرتفع</w:t>
            </w:r>
          </w:p>
        </w:tc>
      </w:tr>
      <w:tr w:rsidR="003D1437" w:rsidRPr="003D1437" w14:paraId="75E18638" w14:textId="77777777" w:rsidTr="009912B5">
        <w:trPr>
          <w:trHeight w:val="680"/>
        </w:trPr>
        <w:tc>
          <w:tcPr>
            <w:tcW w:w="1415" w:type="pct"/>
            <w:vAlign w:val="center"/>
            <w:hideMark/>
          </w:tcPr>
          <w:p w14:paraId="25DA20E6"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المتغير التابع: كفاءة التخطيط الاستراتيجي</w:t>
            </w:r>
          </w:p>
        </w:tc>
        <w:tc>
          <w:tcPr>
            <w:tcW w:w="1208" w:type="pct"/>
            <w:vAlign w:val="center"/>
            <w:hideMark/>
          </w:tcPr>
          <w:p w14:paraId="3C2CD239"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3.9</w:t>
            </w:r>
          </w:p>
        </w:tc>
        <w:tc>
          <w:tcPr>
            <w:tcW w:w="1256" w:type="pct"/>
            <w:vAlign w:val="center"/>
            <w:hideMark/>
          </w:tcPr>
          <w:p w14:paraId="1E89B72A"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0.5</w:t>
            </w:r>
          </w:p>
        </w:tc>
        <w:tc>
          <w:tcPr>
            <w:tcW w:w="1121" w:type="pct"/>
            <w:vAlign w:val="center"/>
            <w:hideMark/>
          </w:tcPr>
          <w:p w14:paraId="244493A9"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مرتفع</w:t>
            </w:r>
          </w:p>
        </w:tc>
      </w:tr>
      <w:tr w:rsidR="003D1437" w:rsidRPr="003D1437" w14:paraId="456FB153" w14:textId="77777777" w:rsidTr="009912B5">
        <w:trPr>
          <w:trHeight w:val="680"/>
        </w:trPr>
        <w:tc>
          <w:tcPr>
            <w:tcW w:w="1415" w:type="pct"/>
            <w:vAlign w:val="center"/>
            <w:hideMark/>
          </w:tcPr>
          <w:p w14:paraId="67E70BA7"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التحليل الاستراتيجي</w:t>
            </w:r>
          </w:p>
        </w:tc>
        <w:tc>
          <w:tcPr>
            <w:tcW w:w="1208" w:type="pct"/>
            <w:vAlign w:val="center"/>
            <w:hideMark/>
          </w:tcPr>
          <w:p w14:paraId="25B6E282"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3.93</w:t>
            </w:r>
          </w:p>
        </w:tc>
        <w:tc>
          <w:tcPr>
            <w:tcW w:w="1256" w:type="pct"/>
            <w:vAlign w:val="center"/>
            <w:hideMark/>
          </w:tcPr>
          <w:p w14:paraId="741C4AB9"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0.57</w:t>
            </w:r>
          </w:p>
        </w:tc>
        <w:tc>
          <w:tcPr>
            <w:tcW w:w="1121" w:type="pct"/>
            <w:vAlign w:val="center"/>
            <w:hideMark/>
          </w:tcPr>
          <w:p w14:paraId="7C6B8F91"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02600760" w14:textId="77777777" w:rsidTr="009912B5">
        <w:trPr>
          <w:trHeight w:val="680"/>
        </w:trPr>
        <w:tc>
          <w:tcPr>
            <w:tcW w:w="1415" w:type="pct"/>
            <w:vAlign w:val="center"/>
            <w:hideMark/>
          </w:tcPr>
          <w:p w14:paraId="68F29C89"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صياغة الأهداف</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الاستراتيجية</w:t>
            </w:r>
          </w:p>
        </w:tc>
        <w:tc>
          <w:tcPr>
            <w:tcW w:w="1208" w:type="pct"/>
            <w:vAlign w:val="center"/>
            <w:hideMark/>
          </w:tcPr>
          <w:p w14:paraId="3E6C1660"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3.93</w:t>
            </w:r>
          </w:p>
        </w:tc>
        <w:tc>
          <w:tcPr>
            <w:tcW w:w="1256" w:type="pct"/>
            <w:vAlign w:val="center"/>
            <w:hideMark/>
          </w:tcPr>
          <w:p w14:paraId="53A33C36"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0.6</w:t>
            </w:r>
          </w:p>
        </w:tc>
        <w:tc>
          <w:tcPr>
            <w:tcW w:w="1121" w:type="pct"/>
            <w:vAlign w:val="center"/>
            <w:hideMark/>
          </w:tcPr>
          <w:p w14:paraId="3849CD91"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5B9FD62F" w14:textId="77777777" w:rsidTr="009912B5">
        <w:trPr>
          <w:trHeight w:val="680"/>
        </w:trPr>
        <w:tc>
          <w:tcPr>
            <w:tcW w:w="1415" w:type="pct"/>
            <w:vAlign w:val="center"/>
            <w:hideMark/>
          </w:tcPr>
          <w:p w14:paraId="39079D3B"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التنفيذ والمتابعة</w:t>
            </w:r>
          </w:p>
        </w:tc>
        <w:tc>
          <w:tcPr>
            <w:tcW w:w="1208" w:type="pct"/>
            <w:vAlign w:val="center"/>
            <w:hideMark/>
          </w:tcPr>
          <w:p w14:paraId="7427B27B"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3.93</w:t>
            </w:r>
          </w:p>
        </w:tc>
        <w:tc>
          <w:tcPr>
            <w:tcW w:w="1256" w:type="pct"/>
            <w:vAlign w:val="center"/>
            <w:hideMark/>
          </w:tcPr>
          <w:p w14:paraId="31F7058E"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0.59</w:t>
            </w:r>
          </w:p>
        </w:tc>
        <w:tc>
          <w:tcPr>
            <w:tcW w:w="1121" w:type="pct"/>
            <w:vAlign w:val="center"/>
            <w:hideMark/>
          </w:tcPr>
          <w:p w14:paraId="6C9CEF93"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55ABCA85" w14:textId="77777777" w:rsidTr="009912B5">
        <w:trPr>
          <w:trHeight w:val="680"/>
        </w:trPr>
        <w:tc>
          <w:tcPr>
            <w:tcW w:w="1415" w:type="pct"/>
            <w:tcBorders>
              <w:bottom w:val="single" w:sz="4" w:space="0" w:color="auto"/>
            </w:tcBorders>
            <w:vAlign w:val="center"/>
            <w:hideMark/>
          </w:tcPr>
          <w:p w14:paraId="1DE8A59D"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تخصيص الموارد</w:t>
            </w:r>
          </w:p>
        </w:tc>
        <w:tc>
          <w:tcPr>
            <w:tcW w:w="1208" w:type="pct"/>
            <w:tcBorders>
              <w:bottom w:val="single" w:sz="4" w:space="0" w:color="auto"/>
            </w:tcBorders>
            <w:vAlign w:val="center"/>
            <w:hideMark/>
          </w:tcPr>
          <w:p w14:paraId="01263807"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3.83</w:t>
            </w:r>
          </w:p>
        </w:tc>
        <w:tc>
          <w:tcPr>
            <w:tcW w:w="1256" w:type="pct"/>
            <w:tcBorders>
              <w:bottom w:val="single" w:sz="4" w:space="0" w:color="auto"/>
            </w:tcBorders>
            <w:vAlign w:val="center"/>
            <w:hideMark/>
          </w:tcPr>
          <w:p w14:paraId="32401CAA"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0.67</w:t>
            </w:r>
          </w:p>
        </w:tc>
        <w:tc>
          <w:tcPr>
            <w:tcW w:w="1121" w:type="pct"/>
            <w:tcBorders>
              <w:bottom w:val="single" w:sz="4" w:space="0" w:color="auto"/>
            </w:tcBorders>
            <w:vAlign w:val="center"/>
            <w:hideMark/>
          </w:tcPr>
          <w:p w14:paraId="60988178"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bl>
    <w:p w14:paraId="06B22F0F" w14:textId="4C6B88BC" w:rsidR="008B0CE6" w:rsidRPr="003D1437" w:rsidRDefault="002940FB" w:rsidP="002940FB">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يتضـح من الجدول (</w:t>
      </w:r>
      <w:r w:rsidR="00A14B40" w:rsidRPr="003D1437">
        <w:rPr>
          <w:rFonts w:ascii="Traditional Arabic" w:hAnsi="Traditional Arabic" w:cs="Traditional Arabic" w:hint="cs"/>
          <w:sz w:val="28"/>
          <w:szCs w:val="28"/>
          <w:rtl/>
        </w:rPr>
        <w:t>6</w:t>
      </w:r>
      <w:r w:rsidRPr="003D1437">
        <w:rPr>
          <w:rFonts w:ascii="Traditional Arabic" w:hAnsi="Traditional Arabic" w:cs="Traditional Arabic"/>
          <w:sz w:val="28"/>
          <w:szCs w:val="28"/>
          <w:rtl/>
        </w:rPr>
        <w:t>) أن إجابات مجتمع الدراسة المبحوث جاءت بمستوى موافقة (مرتفع) على جميع المتغيرات والأبعاد</w:t>
      </w:r>
      <w:r w:rsidR="008B0CE6" w:rsidRPr="003D1437">
        <w:rPr>
          <w:rFonts w:ascii="Traditional Arabic" w:hAnsi="Traditional Arabic" w:cs="Traditional Arabic"/>
          <w:sz w:val="28"/>
          <w:szCs w:val="28"/>
          <w:rtl/>
        </w:rPr>
        <w:t xml:space="preserve">. حيث سجل المتغير المستقل (الذكاء الاصطناعي) متوسطاً حسابياً بلغ (3.91)، مما يعكس وعياً عالياً بأهمية توظيف تقنياته. كما سجل المتغير الوسيط (التكيف التكنولوجي) متوسطاً مرتفعاً بلغ (3.83). في حين سجل المتغير التابع (كفاءة التخطيط الاستراتيجي) متوسطاً بلغ (3.90). </w:t>
      </w:r>
      <w:r w:rsidRPr="003D1437">
        <w:rPr>
          <w:rFonts w:ascii="Traditional Arabic" w:hAnsi="Traditional Arabic" w:cs="Traditional Arabic"/>
          <w:sz w:val="28"/>
          <w:szCs w:val="28"/>
          <w:rtl/>
        </w:rPr>
        <w:t>تشير هذه النتائج إلى جاهزية ممتازة ومستوى عالٍ من كفاءة التخطيط لدى الإداريين المستقصين بأسلوب الحصر الشامل في قطاع التعليم بمكة المكرمة</w:t>
      </w:r>
      <w:r w:rsidR="008B0CE6" w:rsidRPr="003D1437">
        <w:rPr>
          <w:rFonts w:ascii="Traditional Arabic" w:hAnsi="Traditional Arabic" w:cs="Traditional Arabic"/>
          <w:sz w:val="28"/>
          <w:szCs w:val="28"/>
          <w:rtl/>
        </w:rPr>
        <w:t>.</w:t>
      </w:r>
    </w:p>
    <w:p w14:paraId="076D4D18" w14:textId="34536A49" w:rsidR="00237F90" w:rsidRPr="003D1437" w:rsidRDefault="00A14B40" w:rsidP="006924ED">
      <w:pPr>
        <w:pStyle w:val="Heading2"/>
        <w:rPr>
          <w:lang w:bidi="ar-EG"/>
        </w:rPr>
      </w:pPr>
      <w:bookmarkStart w:id="125" w:name="_Toc233422642"/>
      <w:bookmarkStart w:id="126" w:name="_Toc236402699"/>
      <w:r w:rsidRPr="003D1437">
        <w:rPr>
          <w:rFonts w:hint="cs"/>
          <w:rtl/>
        </w:rPr>
        <w:t xml:space="preserve">4.2 </w:t>
      </w:r>
      <w:r w:rsidR="00237F90" w:rsidRPr="003D1437">
        <w:rPr>
          <w:rtl/>
        </w:rPr>
        <w:t>مصفوفة الارتباط (للمتغيرات الكلية وأبعادها الفرعية)</w:t>
      </w:r>
      <w:r w:rsidR="00237F90" w:rsidRPr="003D1437">
        <w:rPr>
          <w:lang w:bidi="ar-EG"/>
        </w:rPr>
        <w:t>:</w:t>
      </w:r>
      <w:bookmarkEnd w:id="125"/>
      <w:bookmarkEnd w:id="126"/>
    </w:p>
    <w:p w14:paraId="07333CF5" w14:textId="709DB17D" w:rsidR="00237F90" w:rsidRPr="003D1437" w:rsidRDefault="00237F90" w:rsidP="00A14B40">
      <w:pPr>
        <w:bidi/>
        <w:spacing w:after="200" w:line="276"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لاختبار قوة واتجاه العلاقات بين متغيرات الدراسة الرئيسية وأبعادها الفرعية، تم استخراج مصف</w:t>
      </w:r>
      <w:r w:rsidR="004D05F9" w:rsidRPr="003D1437">
        <w:rPr>
          <w:rtl/>
        </w:rPr>
        <w:t xml:space="preserve"> </w:t>
      </w:r>
      <w:r w:rsidR="004D05F9" w:rsidRPr="003D1437">
        <w:rPr>
          <w:rFonts w:ascii="Traditional Arabic" w:hAnsi="Traditional Arabic" w:cs="Traditional Arabic"/>
          <w:sz w:val="28"/>
          <w:szCs w:val="28"/>
          <w:rtl/>
        </w:rPr>
        <w:t>وفة ارتباط بيرسون (</w:t>
      </w:r>
      <w:r w:rsidR="004D05F9" w:rsidRPr="003D1437">
        <w:rPr>
          <w:rFonts w:ascii="Traditional Arabic" w:hAnsi="Traditional Arabic" w:cs="Traditional Arabic"/>
          <w:sz w:val="28"/>
          <w:szCs w:val="28"/>
        </w:rPr>
        <w:t>Pearson Correlation</w:t>
      </w:r>
      <w:r w:rsidR="004D05F9" w:rsidRPr="003D1437">
        <w:rPr>
          <w:rFonts w:ascii="Traditional Arabic" w:hAnsi="Traditional Arabic" w:cs="Traditional Arabic"/>
          <w:sz w:val="28"/>
          <w:szCs w:val="28"/>
          <w:rtl/>
        </w:rPr>
        <w:t>)  كما يوضحها</w:t>
      </w:r>
      <w:r w:rsidRPr="003D1437">
        <w:rPr>
          <w:rFonts w:ascii="Traditional Arabic" w:hAnsi="Traditional Arabic" w:cs="Traditional Arabic"/>
          <w:sz w:val="28"/>
          <w:szCs w:val="28"/>
          <w:rtl/>
        </w:rPr>
        <w:t xml:space="preserve"> الجدول التالي</w:t>
      </w:r>
      <w:r w:rsidRPr="003D1437">
        <w:rPr>
          <w:rFonts w:ascii="Traditional Arabic" w:hAnsi="Traditional Arabic" w:cs="Traditional Arabic"/>
          <w:sz w:val="28"/>
          <w:szCs w:val="28"/>
          <w:lang w:bidi="ar-EG"/>
        </w:rPr>
        <w:t>:</w:t>
      </w:r>
    </w:p>
    <w:p w14:paraId="53B62F10" w14:textId="6DB2AF5D" w:rsidR="00237F90" w:rsidRPr="003D1437" w:rsidRDefault="00640D63" w:rsidP="00A14B40">
      <w:pPr>
        <w:pStyle w:val="Heading4"/>
        <w:rPr>
          <w:color w:val="auto"/>
        </w:rPr>
      </w:pPr>
      <w:bookmarkStart w:id="127" w:name="_Toc235065204"/>
      <w:r w:rsidRPr="003D1437">
        <w:rPr>
          <w:color w:val="auto"/>
          <w:rtl/>
        </w:rPr>
        <w:t>جدول (</w:t>
      </w:r>
      <w:r w:rsidR="00A14B40" w:rsidRPr="003D1437">
        <w:rPr>
          <w:rFonts w:hint="cs"/>
          <w:color w:val="auto"/>
          <w:rtl/>
        </w:rPr>
        <w:t>7</w:t>
      </w:r>
      <w:r w:rsidRPr="003D1437">
        <w:rPr>
          <w:color w:val="auto"/>
          <w:rtl/>
        </w:rPr>
        <w:t xml:space="preserve">): مصفوفة </w:t>
      </w:r>
      <w:r w:rsidR="00237F90" w:rsidRPr="003D1437">
        <w:rPr>
          <w:color w:val="auto"/>
          <w:rtl/>
        </w:rPr>
        <w:t>الارتباط لبيرسون بين متغيرات الدراسة وأبعادها الفرعية</w:t>
      </w:r>
      <w:bookmarkEnd w:id="127"/>
    </w:p>
    <w:tbl>
      <w:tblPr>
        <w:bidiVisual/>
        <w:tblW w:w="5000" w:type="pct"/>
        <w:tblLook w:val="04A0" w:firstRow="1" w:lastRow="0" w:firstColumn="1" w:lastColumn="0" w:noHBand="0" w:noVBand="1"/>
      </w:tblPr>
      <w:tblGrid>
        <w:gridCol w:w="993"/>
        <w:gridCol w:w="796"/>
        <w:gridCol w:w="794"/>
        <w:gridCol w:w="794"/>
        <w:gridCol w:w="990"/>
        <w:gridCol w:w="990"/>
        <w:gridCol w:w="794"/>
        <w:gridCol w:w="797"/>
        <w:gridCol w:w="794"/>
        <w:gridCol w:w="794"/>
        <w:gridCol w:w="824"/>
      </w:tblGrid>
      <w:tr w:rsidR="003D1437" w:rsidRPr="003D1437" w14:paraId="77EB1F76" w14:textId="77777777" w:rsidTr="00A16A88">
        <w:trPr>
          <w:trHeight w:val="58"/>
        </w:trPr>
        <w:tc>
          <w:tcPr>
            <w:tcW w:w="530" w:type="pct"/>
            <w:tcBorders>
              <w:top w:val="single" w:sz="4" w:space="0" w:color="auto"/>
              <w:bottom w:val="single" w:sz="4" w:space="0" w:color="auto"/>
            </w:tcBorders>
            <w:vAlign w:val="center"/>
            <w:hideMark/>
          </w:tcPr>
          <w:p w14:paraId="0F384B29"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rPr>
              <w:t>المتغير / البعد</w:t>
            </w:r>
          </w:p>
        </w:tc>
        <w:tc>
          <w:tcPr>
            <w:tcW w:w="425" w:type="pct"/>
            <w:tcBorders>
              <w:top w:val="single" w:sz="4" w:space="0" w:color="auto"/>
              <w:bottom w:val="single" w:sz="4" w:space="0" w:color="auto"/>
            </w:tcBorders>
            <w:vAlign w:val="center"/>
            <w:hideMark/>
          </w:tcPr>
          <w:p w14:paraId="7DA82F4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أتمتة المهام</w:t>
            </w:r>
          </w:p>
        </w:tc>
        <w:tc>
          <w:tcPr>
            <w:tcW w:w="424" w:type="pct"/>
            <w:tcBorders>
              <w:top w:val="single" w:sz="4" w:space="0" w:color="auto"/>
              <w:bottom w:val="single" w:sz="4" w:space="0" w:color="auto"/>
            </w:tcBorders>
            <w:vAlign w:val="center"/>
            <w:hideMark/>
          </w:tcPr>
          <w:p w14:paraId="382A5FEE"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دعم القرار</w:t>
            </w:r>
          </w:p>
        </w:tc>
        <w:tc>
          <w:tcPr>
            <w:tcW w:w="424" w:type="pct"/>
            <w:tcBorders>
              <w:top w:val="single" w:sz="4" w:space="0" w:color="auto"/>
              <w:bottom w:val="single" w:sz="4" w:space="0" w:color="auto"/>
            </w:tcBorders>
            <w:vAlign w:val="center"/>
            <w:hideMark/>
          </w:tcPr>
          <w:p w14:paraId="4CAEFCA9"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الإنذار المبكر</w:t>
            </w:r>
          </w:p>
        </w:tc>
        <w:tc>
          <w:tcPr>
            <w:tcW w:w="529" w:type="pct"/>
            <w:tcBorders>
              <w:top w:val="single" w:sz="4" w:space="0" w:color="auto"/>
              <w:bottom w:val="single" w:sz="4" w:space="0" w:color="auto"/>
            </w:tcBorders>
            <w:vAlign w:val="center"/>
            <w:hideMark/>
          </w:tcPr>
          <w:p w14:paraId="701FB902"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rtl/>
                <w:lang w:bidi="ar-EG"/>
              </w:rPr>
              <w:t>الذكاء الاصطناعي ككل</w:t>
            </w:r>
          </w:p>
        </w:tc>
        <w:tc>
          <w:tcPr>
            <w:tcW w:w="529" w:type="pct"/>
            <w:tcBorders>
              <w:top w:val="single" w:sz="4" w:space="0" w:color="auto"/>
              <w:bottom w:val="single" w:sz="4" w:space="0" w:color="auto"/>
            </w:tcBorders>
            <w:vAlign w:val="center"/>
            <w:hideMark/>
          </w:tcPr>
          <w:p w14:paraId="0C0964DC"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rtl/>
                <w:lang w:bidi="ar-EG"/>
              </w:rPr>
              <w:t>التكيف التكنولوجي</w:t>
            </w:r>
          </w:p>
        </w:tc>
        <w:tc>
          <w:tcPr>
            <w:tcW w:w="424" w:type="pct"/>
            <w:tcBorders>
              <w:top w:val="single" w:sz="4" w:space="0" w:color="auto"/>
              <w:bottom w:val="single" w:sz="4" w:space="0" w:color="auto"/>
            </w:tcBorders>
            <w:vAlign w:val="center"/>
            <w:hideMark/>
          </w:tcPr>
          <w:p w14:paraId="5F6F0B62"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كفاءة التحليل</w:t>
            </w:r>
          </w:p>
        </w:tc>
        <w:tc>
          <w:tcPr>
            <w:tcW w:w="426" w:type="pct"/>
            <w:tcBorders>
              <w:top w:val="single" w:sz="4" w:space="0" w:color="auto"/>
              <w:bottom w:val="single" w:sz="4" w:space="0" w:color="auto"/>
            </w:tcBorders>
            <w:vAlign w:val="center"/>
            <w:hideMark/>
          </w:tcPr>
          <w:p w14:paraId="4214A909"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صياغة الأهداف</w:t>
            </w:r>
          </w:p>
        </w:tc>
        <w:tc>
          <w:tcPr>
            <w:tcW w:w="424" w:type="pct"/>
            <w:tcBorders>
              <w:top w:val="single" w:sz="4" w:space="0" w:color="auto"/>
              <w:bottom w:val="single" w:sz="4" w:space="0" w:color="auto"/>
            </w:tcBorders>
            <w:vAlign w:val="center"/>
            <w:hideMark/>
          </w:tcPr>
          <w:p w14:paraId="2DA59078"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التنفيذ والمتابعة</w:t>
            </w:r>
          </w:p>
        </w:tc>
        <w:tc>
          <w:tcPr>
            <w:tcW w:w="424" w:type="pct"/>
            <w:tcBorders>
              <w:top w:val="single" w:sz="4" w:space="0" w:color="auto"/>
              <w:bottom w:val="single" w:sz="4" w:space="0" w:color="auto"/>
            </w:tcBorders>
            <w:vAlign w:val="center"/>
            <w:hideMark/>
          </w:tcPr>
          <w:p w14:paraId="43A40909"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تخصيص الموارد</w:t>
            </w:r>
          </w:p>
        </w:tc>
        <w:tc>
          <w:tcPr>
            <w:tcW w:w="440" w:type="pct"/>
            <w:tcBorders>
              <w:top w:val="single" w:sz="4" w:space="0" w:color="auto"/>
              <w:bottom w:val="single" w:sz="4" w:space="0" w:color="auto"/>
            </w:tcBorders>
            <w:vAlign w:val="center"/>
            <w:hideMark/>
          </w:tcPr>
          <w:p w14:paraId="06FB7604"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rtl/>
                <w:lang w:bidi="ar-EG"/>
              </w:rPr>
              <w:t>كفاءة التخطيط ككل</w:t>
            </w:r>
          </w:p>
        </w:tc>
      </w:tr>
      <w:tr w:rsidR="003D1437" w:rsidRPr="003D1437" w14:paraId="3B7CD8F3" w14:textId="77777777" w:rsidTr="00A16A88">
        <w:trPr>
          <w:trHeight w:val="58"/>
        </w:trPr>
        <w:tc>
          <w:tcPr>
            <w:tcW w:w="530" w:type="pct"/>
            <w:tcBorders>
              <w:top w:val="single" w:sz="4" w:space="0" w:color="auto"/>
            </w:tcBorders>
            <w:vAlign w:val="center"/>
            <w:hideMark/>
          </w:tcPr>
          <w:p w14:paraId="1222F1EC"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rtl/>
                <w:lang w:bidi="ar-EG"/>
              </w:rPr>
              <w:lastRenderedPageBreak/>
              <w:t>أتمتة المهام</w:t>
            </w:r>
          </w:p>
        </w:tc>
        <w:tc>
          <w:tcPr>
            <w:tcW w:w="425" w:type="pct"/>
            <w:tcBorders>
              <w:top w:val="single" w:sz="4" w:space="0" w:color="auto"/>
            </w:tcBorders>
            <w:vAlign w:val="center"/>
            <w:hideMark/>
          </w:tcPr>
          <w:p w14:paraId="61A7AE8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tcBorders>
              <w:top w:val="single" w:sz="4" w:space="0" w:color="auto"/>
            </w:tcBorders>
            <w:vAlign w:val="center"/>
            <w:hideMark/>
          </w:tcPr>
          <w:p w14:paraId="78DFF318"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427DCF70"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529" w:type="pct"/>
            <w:tcBorders>
              <w:top w:val="single" w:sz="4" w:space="0" w:color="auto"/>
            </w:tcBorders>
            <w:vAlign w:val="center"/>
            <w:hideMark/>
          </w:tcPr>
          <w:p w14:paraId="6F8BCEE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529" w:type="pct"/>
            <w:tcBorders>
              <w:top w:val="single" w:sz="4" w:space="0" w:color="auto"/>
            </w:tcBorders>
            <w:vAlign w:val="center"/>
            <w:hideMark/>
          </w:tcPr>
          <w:p w14:paraId="618E7918"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31C878A5"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tcBorders>
              <w:top w:val="single" w:sz="4" w:space="0" w:color="auto"/>
            </w:tcBorders>
            <w:vAlign w:val="center"/>
            <w:hideMark/>
          </w:tcPr>
          <w:p w14:paraId="72C90D22"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2609BE39"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5ED367B2"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tcBorders>
              <w:top w:val="single" w:sz="4" w:space="0" w:color="auto"/>
            </w:tcBorders>
            <w:vAlign w:val="center"/>
            <w:hideMark/>
          </w:tcPr>
          <w:p w14:paraId="6F3E1371"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474140CD" w14:textId="77777777" w:rsidTr="00A16A88">
        <w:trPr>
          <w:trHeight w:val="68"/>
        </w:trPr>
        <w:tc>
          <w:tcPr>
            <w:tcW w:w="530" w:type="pct"/>
            <w:vAlign w:val="center"/>
          </w:tcPr>
          <w:p w14:paraId="3F9BC8B4" w14:textId="77777777" w:rsidR="00237F90" w:rsidRPr="003D1437" w:rsidRDefault="00237F90" w:rsidP="006E493C">
            <w:pPr>
              <w:bidi/>
              <w:spacing w:after="0" w:line="240" w:lineRule="auto"/>
              <w:rPr>
                <w:rFonts w:ascii="Traditional Arabic" w:eastAsia="Times New Roman" w:hAnsi="Traditional Arabic" w:cs="Traditional Arabic"/>
                <w:lang w:bidi="ar-EG"/>
              </w:rPr>
            </w:pPr>
            <w:r w:rsidRPr="003D1437">
              <w:rPr>
                <w:rFonts w:ascii="Traditional Arabic" w:eastAsia="Times New Roman" w:hAnsi="Traditional Arabic" w:cs="Traditional Arabic"/>
                <w:rtl/>
                <w:lang w:bidi="ar-EG"/>
              </w:rPr>
              <w:t>دعم القرار</w:t>
            </w:r>
          </w:p>
        </w:tc>
        <w:tc>
          <w:tcPr>
            <w:tcW w:w="425" w:type="pct"/>
            <w:vAlign w:val="center"/>
            <w:hideMark/>
          </w:tcPr>
          <w:p w14:paraId="566F86D8"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0.627</w:t>
            </w:r>
          </w:p>
        </w:tc>
        <w:tc>
          <w:tcPr>
            <w:tcW w:w="424" w:type="pct"/>
            <w:vAlign w:val="center"/>
            <w:hideMark/>
          </w:tcPr>
          <w:p w14:paraId="0F94E41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vAlign w:val="center"/>
            <w:hideMark/>
          </w:tcPr>
          <w:p w14:paraId="5DFDFA40"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529" w:type="pct"/>
            <w:vAlign w:val="center"/>
            <w:hideMark/>
          </w:tcPr>
          <w:p w14:paraId="73764B2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529" w:type="pct"/>
            <w:vAlign w:val="center"/>
            <w:hideMark/>
          </w:tcPr>
          <w:p w14:paraId="1C2F0D10"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5414E146"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vAlign w:val="center"/>
            <w:hideMark/>
          </w:tcPr>
          <w:p w14:paraId="401318B1"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37A7051C"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1D7BCF9A"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31D804EA"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01D64654" w14:textId="77777777" w:rsidTr="00A16A88">
        <w:trPr>
          <w:trHeight w:val="68"/>
        </w:trPr>
        <w:tc>
          <w:tcPr>
            <w:tcW w:w="530" w:type="pct"/>
            <w:vAlign w:val="center"/>
            <w:hideMark/>
          </w:tcPr>
          <w:p w14:paraId="2D5FD05D"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الإنذار المبكر</w:t>
            </w:r>
          </w:p>
        </w:tc>
        <w:tc>
          <w:tcPr>
            <w:tcW w:w="425" w:type="pct"/>
            <w:vAlign w:val="center"/>
            <w:hideMark/>
          </w:tcPr>
          <w:p w14:paraId="4FC95C1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0.53</w:t>
            </w:r>
          </w:p>
        </w:tc>
        <w:tc>
          <w:tcPr>
            <w:tcW w:w="424" w:type="pct"/>
            <w:vAlign w:val="center"/>
            <w:hideMark/>
          </w:tcPr>
          <w:p w14:paraId="7ADEFC8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0.682</w:t>
            </w:r>
          </w:p>
        </w:tc>
        <w:tc>
          <w:tcPr>
            <w:tcW w:w="424" w:type="pct"/>
            <w:vAlign w:val="center"/>
            <w:hideMark/>
          </w:tcPr>
          <w:p w14:paraId="578AB1E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529" w:type="pct"/>
            <w:vAlign w:val="center"/>
            <w:hideMark/>
          </w:tcPr>
          <w:p w14:paraId="7ED75290"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529" w:type="pct"/>
            <w:vAlign w:val="center"/>
            <w:hideMark/>
          </w:tcPr>
          <w:p w14:paraId="25875D3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5510E1F9"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vAlign w:val="center"/>
            <w:hideMark/>
          </w:tcPr>
          <w:p w14:paraId="03B9EE1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0EF0B484"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4349E799"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0546A28A"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4F7C5A4E" w14:textId="77777777" w:rsidTr="00A16A88">
        <w:trPr>
          <w:trHeight w:val="68"/>
        </w:trPr>
        <w:tc>
          <w:tcPr>
            <w:tcW w:w="530" w:type="pct"/>
            <w:vAlign w:val="center"/>
            <w:hideMark/>
          </w:tcPr>
          <w:p w14:paraId="1454AEDA"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lang w:bidi="ar-EG"/>
              </w:rPr>
              <w:t>الذكاء الاصطناعي ككل</w:t>
            </w:r>
          </w:p>
        </w:tc>
        <w:tc>
          <w:tcPr>
            <w:tcW w:w="425" w:type="pct"/>
            <w:vAlign w:val="center"/>
            <w:hideMark/>
          </w:tcPr>
          <w:p w14:paraId="0FC4ACB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0.838</w:t>
            </w:r>
          </w:p>
        </w:tc>
        <w:tc>
          <w:tcPr>
            <w:tcW w:w="424" w:type="pct"/>
            <w:vAlign w:val="center"/>
            <w:hideMark/>
          </w:tcPr>
          <w:p w14:paraId="072329A6"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0.903</w:t>
            </w:r>
          </w:p>
        </w:tc>
        <w:tc>
          <w:tcPr>
            <w:tcW w:w="424" w:type="pct"/>
            <w:vAlign w:val="center"/>
            <w:hideMark/>
          </w:tcPr>
          <w:p w14:paraId="6B01831E"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0.841</w:t>
            </w:r>
          </w:p>
        </w:tc>
        <w:tc>
          <w:tcPr>
            <w:tcW w:w="529" w:type="pct"/>
            <w:vAlign w:val="center"/>
            <w:hideMark/>
          </w:tcPr>
          <w:p w14:paraId="3410107B"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1</w:t>
            </w:r>
          </w:p>
        </w:tc>
        <w:tc>
          <w:tcPr>
            <w:tcW w:w="529" w:type="pct"/>
            <w:vAlign w:val="center"/>
            <w:hideMark/>
          </w:tcPr>
          <w:p w14:paraId="67551ED1"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vAlign w:val="center"/>
            <w:hideMark/>
          </w:tcPr>
          <w:p w14:paraId="478C137D"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vAlign w:val="center"/>
            <w:hideMark/>
          </w:tcPr>
          <w:p w14:paraId="63D47AE6"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697BB73F"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4A31E917"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77C80532"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3573566F" w14:textId="77777777" w:rsidTr="00A16A88">
        <w:trPr>
          <w:trHeight w:val="68"/>
        </w:trPr>
        <w:tc>
          <w:tcPr>
            <w:tcW w:w="530" w:type="pct"/>
            <w:vAlign w:val="center"/>
            <w:hideMark/>
          </w:tcPr>
          <w:p w14:paraId="70A14803"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lang w:bidi="ar-EG"/>
              </w:rPr>
              <w:t>التكيف التكنولوجي</w:t>
            </w:r>
          </w:p>
        </w:tc>
        <w:tc>
          <w:tcPr>
            <w:tcW w:w="425" w:type="pct"/>
            <w:vAlign w:val="center"/>
            <w:hideMark/>
          </w:tcPr>
          <w:p w14:paraId="76548795"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0.422</w:t>
            </w:r>
          </w:p>
        </w:tc>
        <w:tc>
          <w:tcPr>
            <w:tcW w:w="424" w:type="pct"/>
            <w:vAlign w:val="center"/>
            <w:hideMark/>
          </w:tcPr>
          <w:p w14:paraId="23E25FEF"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0.39</w:t>
            </w:r>
          </w:p>
        </w:tc>
        <w:tc>
          <w:tcPr>
            <w:tcW w:w="424" w:type="pct"/>
            <w:vAlign w:val="center"/>
            <w:hideMark/>
          </w:tcPr>
          <w:p w14:paraId="3E87109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0.489</w:t>
            </w:r>
          </w:p>
        </w:tc>
        <w:tc>
          <w:tcPr>
            <w:tcW w:w="529" w:type="pct"/>
            <w:vAlign w:val="center"/>
            <w:hideMark/>
          </w:tcPr>
          <w:p w14:paraId="5E94569B"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0.499</w:t>
            </w:r>
          </w:p>
        </w:tc>
        <w:tc>
          <w:tcPr>
            <w:tcW w:w="529" w:type="pct"/>
            <w:vAlign w:val="center"/>
            <w:hideMark/>
          </w:tcPr>
          <w:p w14:paraId="7BCB6BC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1</w:t>
            </w:r>
          </w:p>
        </w:tc>
        <w:tc>
          <w:tcPr>
            <w:tcW w:w="424" w:type="pct"/>
            <w:vAlign w:val="center"/>
            <w:hideMark/>
          </w:tcPr>
          <w:p w14:paraId="45F2613F"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6" w:type="pct"/>
            <w:vAlign w:val="center"/>
            <w:hideMark/>
          </w:tcPr>
          <w:p w14:paraId="7E899150"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7E98ABAF"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41FF6211"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7D620C00"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6DDA2BA7" w14:textId="77777777" w:rsidTr="00A16A88">
        <w:trPr>
          <w:trHeight w:val="68"/>
        </w:trPr>
        <w:tc>
          <w:tcPr>
            <w:tcW w:w="530" w:type="pct"/>
            <w:vAlign w:val="center"/>
            <w:hideMark/>
          </w:tcPr>
          <w:p w14:paraId="24C7B2AC"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كفاءة التحليل</w:t>
            </w:r>
          </w:p>
        </w:tc>
        <w:tc>
          <w:tcPr>
            <w:tcW w:w="425" w:type="pct"/>
            <w:vAlign w:val="center"/>
            <w:hideMark/>
          </w:tcPr>
          <w:p w14:paraId="1C1E3BD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0.541</w:t>
            </w:r>
          </w:p>
        </w:tc>
        <w:tc>
          <w:tcPr>
            <w:tcW w:w="424" w:type="pct"/>
            <w:vAlign w:val="center"/>
            <w:hideMark/>
          </w:tcPr>
          <w:p w14:paraId="4EEB5CC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0.646</w:t>
            </w:r>
          </w:p>
        </w:tc>
        <w:tc>
          <w:tcPr>
            <w:tcW w:w="424" w:type="pct"/>
            <w:vAlign w:val="center"/>
            <w:hideMark/>
          </w:tcPr>
          <w:p w14:paraId="36535A25"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0.527</w:t>
            </w:r>
          </w:p>
        </w:tc>
        <w:tc>
          <w:tcPr>
            <w:tcW w:w="529" w:type="pct"/>
            <w:vAlign w:val="center"/>
            <w:hideMark/>
          </w:tcPr>
          <w:p w14:paraId="36B6101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0.666</w:t>
            </w:r>
          </w:p>
        </w:tc>
        <w:tc>
          <w:tcPr>
            <w:tcW w:w="529" w:type="pct"/>
            <w:vAlign w:val="center"/>
            <w:hideMark/>
          </w:tcPr>
          <w:p w14:paraId="0194033F"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0.619</w:t>
            </w:r>
          </w:p>
        </w:tc>
        <w:tc>
          <w:tcPr>
            <w:tcW w:w="424" w:type="pct"/>
            <w:vAlign w:val="center"/>
            <w:hideMark/>
          </w:tcPr>
          <w:p w14:paraId="264D46E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6" w:type="pct"/>
            <w:vAlign w:val="center"/>
            <w:hideMark/>
          </w:tcPr>
          <w:p w14:paraId="7DA5DC8A"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vAlign w:val="center"/>
            <w:hideMark/>
          </w:tcPr>
          <w:p w14:paraId="5F0A908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335887E8"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66628D78"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0CE8E331" w14:textId="77777777" w:rsidTr="00A16A88">
        <w:trPr>
          <w:trHeight w:val="68"/>
        </w:trPr>
        <w:tc>
          <w:tcPr>
            <w:tcW w:w="530" w:type="pct"/>
            <w:vAlign w:val="center"/>
            <w:hideMark/>
          </w:tcPr>
          <w:p w14:paraId="65C9978F"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صياغة الأهداف</w:t>
            </w:r>
          </w:p>
        </w:tc>
        <w:tc>
          <w:tcPr>
            <w:tcW w:w="425" w:type="pct"/>
            <w:vAlign w:val="center"/>
            <w:hideMark/>
          </w:tcPr>
          <w:p w14:paraId="01C8266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0.496</w:t>
            </w:r>
          </w:p>
        </w:tc>
        <w:tc>
          <w:tcPr>
            <w:tcW w:w="424" w:type="pct"/>
            <w:vAlign w:val="center"/>
            <w:hideMark/>
          </w:tcPr>
          <w:p w14:paraId="76756AD8"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0.613</w:t>
            </w:r>
          </w:p>
        </w:tc>
        <w:tc>
          <w:tcPr>
            <w:tcW w:w="424" w:type="pct"/>
            <w:vAlign w:val="center"/>
            <w:hideMark/>
          </w:tcPr>
          <w:p w14:paraId="1190DA3C"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0.526</w:t>
            </w:r>
          </w:p>
        </w:tc>
        <w:tc>
          <w:tcPr>
            <w:tcW w:w="529" w:type="pct"/>
            <w:vAlign w:val="center"/>
            <w:hideMark/>
          </w:tcPr>
          <w:p w14:paraId="7D10DA4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0.635</w:t>
            </w:r>
          </w:p>
        </w:tc>
        <w:tc>
          <w:tcPr>
            <w:tcW w:w="529" w:type="pct"/>
            <w:vAlign w:val="center"/>
            <w:hideMark/>
          </w:tcPr>
          <w:p w14:paraId="0A92D5A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0.416</w:t>
            </w:r>
          </w:p>
        </w:tc>
        <w:tc>
          <w:tcPr>
            <w:tcW w:w="424" w:type="pct"/>
            <w:vAlign w:val="center"/>
            <w:hideMark/>
          </w:tcPr>
          <w:p w14:paraId="3E1A0A1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0.67</w:t>
            </w:r>
          </w:p>
        </w:tc>
        <w:tc>
          <w:tcPr>
            <w:tcW w:w="426" w:type="pct"/>
            <w:vAlign w:val="center"/>
            <w:hideMark/>
          </w:tcPr>
          <w:p w14:paraId="08028361"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vAlign w:val="center"/>
            <w:hideMark/>
          </w:tcPr>
          <w:p w14:paraId="6376E459"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vAlign w:val="center"/>
            <w:hideMark/>
          </w:tcPr>
          <w:p w14:paraId="63230871"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5207B649"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390A6202" w14:textId="77777777" w:rsidTr="00A16A88">
        <w:trPr>
          <w:trHeight w:val="68"/>
        </w:trPr>
        <w:tc>
          <w:tcPr>
            <w:tcW w:w="530" w:type="pct"/>
            <w:vAlign w:val="center"/>
            <w:hideMark/>
          </w:tcPr>
          <w:p w14:paraId="5D608C04"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التنفيذ والمتابعة</w:t>
            </w:r>
          </w:p>
        </w:tc>
        <w:tc>
          <w:tcPr>
            <w:tcW w:w="425" w:type="pct"/>
            <w:vAlign w:val="center"/>
            <w:hideMark/>
          </w:tcPr>
          <w:p w14:paraId="5BE85EA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0.419</w:t>
            </w:r>
          </w:p>
        </w:tc>
        <w:tc>
          <w:tcPr>
            <w:tcW w:w="424" w:type="pct"/>
            <w:vAlign w:val="center"/>
            <w:hideMark/>
          </w:tcPr>
          <w:p w14:paraId="7C84076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0.474</w:t>
            </w:r>
          </w:p>
        </w:tc>
        <w:tc>
          <w:tcPr>
            <w:tcW w:w="424" w:type="pct"/>
            <w:vAlign w:val="center"/>
            <w:hideMark/>
          </w:tcPr>
          <w:p w14:paraId="701CF958"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0.541</w:t>
            </w:r>
          </w:p>
        </w:tc>
        <w:tc>
          <w:tcPr>
            <w:tcW w:w="529" w:type="pct"/>
            <w:vAlign w:val="center"/>
            <w:hideMark/>
          </w:tcPr>
          <w:p w14:paraId="229699C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0.551</w:t>
            </w:r>
          </w:p>
        </w:tc>
        <w:tc>
          <w:tcPr>
            <w:tcW w:w="529" w:type="pct"/>
            <w:vAlign w:val="center"/>
            <w:hideMark/>
          </w:tcPr>
          <w:p w14:paraId="06966E6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0.487</w:t>
            </w:r>
          </w:p>
        </w:tc>
        <w:tc>
          <w:tcPr>
            <w:tcW w:w="424" w:type="pct"/>
            <w:vAlign w:val="center"/>
            <w:hideMark/>
          </w:tcPr>
          <w:p w14:paraId="5415B8E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0.601</w:t>
            </w:r>
          </w:p>
        </w:tc>
        <w:tc>
          <w:tcPr>
            <w:tcW w:w="426" w:type="pct"/>
            <w:vAlign w:val="center"/>
            <w:hideMark/>
          </w:tcPr>
          <w:p w14:paraId="6063A08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0.77</w:t>
            </w:r>
          </w:p>
        </w:tc>
        <w:tc>
          <w:tcPr>
            <w:tcW w:w="424" w:type="pct"/>
            <w:vAlign w:val="center"/>
            <w:hideMark/>
          </w:tcPr>
          <w:p w14:paraId="69124BBC"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vAlign w:val="center"/>
            <w:hideMark/>
          </w:tcPr>
          <w:p w14:paraId="7DF04C53"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40" w:type="pct"/>
            <w:vAlign w:val="center"/>
            <w:hideMark/>
          </w:tcPr>
          <w:p w14:paraId="06AD14FA"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587276EA" w14:textId="77777777" w:rsidTr="00A16A88">
        <w:trPr>
          <w:trHeight w:val="68"/>
        </w:trPr>
        <w:tc>
          <w:tcPr>
            <w:tcW w:w="530" w:type="pct"/>
            <w:vAlign w:val="center"/>
            <w:hideMark/>
          </w:tcPr>
          <w:p w14:paraId="5E5EC07D"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تخصيص الموارد</w:t>
            </w:r>
          </w:p>
        </w:tc>
        <w:tc>
          <w:tcPr>
            <w:tcW w:w="425" w:type="pct"/>
            <w:vAlign w:val="center"/>
            <w:hideMark/>
          </w:tcPr>
          <w:p w14:paraId="740B6C7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0.382</w:t>
            </w:r>
          </w:p>
        </w:tc>
        <w:tc>
          <w:tcPr>
            <w:tcW w:w="424" w:type="pct"/>
            <w:vAlign w:val="center"/>
            <w:hideMark/>
          </w:tcPr>
          <w:p w14:paraId="754D61D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0.371</w:t>
            </w:r>
          </w:p>
        </w:tc>
        <w:tc>
          <w:tcPr>
            <w:tcW w:w="424" w:type="pct"/>
            <w:vAlign w:val="center"/>
            <w:hideMark/>
          </w:tcPr>
          <w:p w14:paraId="34AEF63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0.346</w:t>
            </w:r>
          </w:p>
        </w:tc>
        <w:tc>
          <w:tcPr>
            <w:tcW w:w="529" w:type="pct"/>
            <w:vAlign w:val="center"/>
            <w:hideMark/>
          </w:tcPr>
          <w:p w14:paraId="372904C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0.425</w:t>
            </w:r>
          </w:p>
        </w:tc>
        <w:tc>
          <w:tcPr>
            <w:tcW w:w="529" w:type="pct"/>
            <w:vAlign w:val="center"/>
            <w:hideMark/>
          </w:tcPr>
          <w:p w14:paraId="3BA9543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0.714</w:t>
            </w:r>
          </w:p>
        </w:tc>
        <w:tc>
          <w:tcPr>
            <w:tcW w:w="424" w:type="pct"/>
            <w:vAlign w:val="center"/>
            <w:hideMark/>
          </w:tcPr>
          <w:p w14:paraId="6A10502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0.47</w:t>
            </w:r>
          </w:p>
        </w:tc>
        <w:tc>
          <w:tcPr>
            <w:tcW w:w="426" w:type="pct"/>
            <w:vAlign w:val="center"/>
            <w:hideMark/>
          </w:tcPr>
          <w:p w14:paraId="0EDF5B95"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0.396</w:t>
            </w:r>
          </w:p>
        </w:tc>
        <w:tc>
          <w:tcPr>
            <w:tcW w:w="424" w:type="pct"/>
            <w:vAlign w:val="center"/>
            <w:hideMark/>
          </w:tcPr>
          <w:p w14:paraId="29C9293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0.491</w:t>
            </w:r>
          </w:p>
        </w:tc>
        <w:tc>
          <w:tcPr>
            <w:tcW w:w="424" w:type="pct"/>
            <w:vAlign w:val="center"/>
            <w:hideMark/>
          </w:tcPr>
          <w:p w14:paraId="253DE9E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40" w:type="pct"/>
            <w:vAlign w:val="center"/>
            <w:hideMark/>
          </w:tcPr>
          <w:p w14:paraId="53435075" w14:textId="77777777" w:rsidR="00237F90" w:rsidRPr="003D1437" w:rsidRDefault="00237F90" w:rsidP="006E493C">
            <w:pPr>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rPr>
              <w:t> </w:t>
            </w:r>
          </w:p>
        </w:tc>
      </w:tr>
      <w:tr w:rsidR="003D1437" w:rsidRPr="003D1437" w14:paraId="3861CC24" w14:textId="77777777" w:rsidTr="00A16A88">
        <w:trPr>
          <w:trHeight w:val="68"/>
        </w:trPr>
        <w:tc>
          <w:tcPr>
            <w:tcW w:w="530" w:type="pct"/>
            <w:tcBorders>
              <w:bottom w:val="single" w:sz="4" w:space="0" w:color="auto"/>
            </w:tcBorders>
            <w:vAlign w:val="center"/>
            <w:hideMark/>
          </w:tcPr>
          <w:p w14:paraId="3A48C3C1"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lang w:bidi="ar-EG"/>
              </w:rPr>
              <w:t>كفاءة التخطيط ككل</w:t>
            </w:r>
          </w:p>
        </w:tc>
        <w:tc>
          <w:tcPr>
            <w:tcW w:w="425" w:type="pct"/>
            <w:tcBorders>
              <w:bottom w:val="single" w:sz="4" w:space="0" w:color="auto"/>
            </w:tcBorders>
            <w:vAlign w:val="center"/>
            <w:hideMark/>
          </w:tcPr>
          <w:p w14:paraId="148A874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0.558</w:t>
            </w:r>
          </w:p>
        </w:tc>
        <w:tc>
          <w:tcPr>
            <w:tcW w:w="424" w:type="pct"/>
            <w:tcBorders>
              <w:bottom w:val="single" w:sz="4" w:space="0" w:color="auto"/>
            </w:tcBorders>
            <w:vAlign w:val="center"/>
            <w:hideMark/>
          </w:tcPr>
          <w:p w14:paraId="217553B1"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0.636</w:t>
            </w:r>
          </w:p>
        </w:tc>
        <w:tc>
          <w:tcPr>
            <w:tcW w:w="424" w:type="pct"/>
            <w:tcBorders>
              <w:bottom w:val="single" w:sz="4" w:space="0" w:color="auto"/>
            </w:tcBorders>
            <w:vAlign w:val="center"/>
            <w:hideMark/>
          </w:tcPr>
          <w:p w14:paraId="2D18620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0.587</w:t>
            </w:r>
          </w:p>
        </w:tc>
        <w:tc>
          <w:tcPr>
            <w:tcW w:w="529" w:type="pct"/>
            <w:tcBorders>
              <w:bottom w:val="single" w:sz="4" w:space="0" w:color="auto"/>
            </w:tcBorders>
            <w:vAlign w:val="center"/>
            <w:hideMark/>
          </w:tcPr>
          <w:p w14:paraId="1B7661C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0.689</w:t>
            </w:r>
          </w:p>
        </w:tc>
        <w:tc>
          <w:tcPr>
            <w:tcW w:w="529" w:type="pct"/>
            <w:tcBorders>
              <w:bottom w:val="single" w:sz="4" w:space="0" w:color="auto"/>
            </w:tcBorders>
            <w:vAlign w:val="center"/>
            <w:hideMark/>
          </w:tcPr>
          <w:p w14:paraId="27917C43"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0.687</w:t>
            </w:r>
          </w:p>
        </w:tc>
        <w:tc>
          <w:tcPr>
            <w:tcW w:w="424" w:type="pct"/>
            <w:tcBorders>
              <w:bottom w:val="single" w:sz="4" w:space="0" w:color="auto"/>
            </w:tcBorders>
            <w:vAlign w:val="center"/>
            <w:hideMark/>
          </w:tcPr>
          <w:p w14:paraId="1358EAF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0.825</w:t>
            </w:r>
          </w:p>
        </w:tc>
        <w:tc>
          <w:tcPr>
            <w:tcW w:w="426" w:type="pct"/>
            <w:tcBorders>
              <w:bottom w:val="single" w:sz="4" w:space="0" w:color="auto"/>
            </w:tcBorders>
            <w:vAlign w:val="center"/>
            <w:hideMark/>
          </w:tcPr>
          <w:p w14:paraId="5539AF6F"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0.856</w:t>
            </w:r>
          </w:p>
        </w:tc>
        <w:tc>
          <w:tcPr>
            <w:tcW w:w="424" w:type="pct"/>
            <w:tcBorders>
              <w:bottom w:val="single" w:sz="4" w:space="0" w:color="auto"/>
            </w:tcBorders>
            <w:vAlign w:val="center"/>
            <w:hideMark/>
          </w:tcPr>
          <w:p w14:paraId="210C22A6"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0.868</w:t>
            </w:r>
          </w:p>
        </w:tc>
        <w:tc>
          <w:tcPr>
            <w:tcW w:w="424" w:type="pct"/>
            <w:tcBorders>
              <w:bottom w:val="single" w:sz="4" w:space="0" w:color="auto"/>
            </w:tcBorders>
            <w:vAlign w:val="center"/>
            <w:hideMark/>
          </w:tcPr>
          <w:p w14:paraId="6999EE4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0.736</w:t>
            </w:r>
          </w:p>
        </w:tc>
        <w:tc>
          <w:tcPr>
            <w:tcW w:w="440" w:type="pct"/>
            <w:tcBorders>
              <w:bottom w:val="single" w:sz="4" w:space="0" w:color="auto"/>
            </w:tcBorders>
            <w:vAlign w:val="center"/>
            <w:hideMark/>
          </w:tcPr>
          <w:p w14:paraId="5158026C"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1</w:t>
            </w:r>
          </w:p>
        </w:tc>
      </w:tr>
    </w:tbl>
    <w:p w14:paraId="1AE151EE" w14:textId="77777777" w:rsidR="00237F90" w:rsidRPr="003D1437" w:rsidRDefault="00237F90" w:rsidP="00237F90">
      <w:pPr>
        <w:bidi/>
        <w:rPr>
          <w:rFonts w:ascii="Traditional Arabic" w:hAnsi="Traditional Arabic" w:cs="Traditional Arabic"/>
          <w:sz w:val="28"/>
          <w:szCs w:val="28"/>
          <w:lang w:bidi="ar-EG"/>
        </w:rPr>
      </w:pPr>
      <w:r w:rsidRPr="003D1437">
        <w:rPr>
          <w:rFonts w:ascii="Traditional Arabic" w:hAnsi="Traditional Arabic" w:cs="Traditional Arabic"/>
          <w:sz w:val="28"/>
          <w:szCs w:val="28"/>
          <w:rtl/>
          <w:lang w:bidi="ar-EG"/>
        </w:rPr>
        <w:t>(جميع الارتباطات دالة إحصائياً عند مستوى الدلالة 0.01)</w:t>
      </w:r>
    </w:p>
    <w:p w14:paraId="5110CA90" w14:textId="10307E74" w:rsidR="00237F90" w:rsidRPr="003D1437" w:rsidRDefault="00237F90" w:rsidP="00A14B40">
      <w:p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تشير بيانات مصفوفة الارتباط في </w:t>
      </w:r>
      <w:r w:rsidR="002864B4" w:rsidRPr="003D1437">
        <w:rPr>
          <w:rFonts w:ascii="Traditional Arabic" w:hAnsi="Traditional Arabic" w:cs="Traditional Arabic"/>
          <w:sz w:val="28"/>
          <w:szCs w:val="28"/>
          <w:rtl/>
        </w:rPr>
        <w:t>الجدول (</w:t>
      </w:r>
      <w:r w:rsidR="00A14B40" w:rsidRPr="003D1437">
        <w:rPr>
          <w:rFonts w:ascii="Traditional Arabic" w:hAnsi="Traditional Arabic" w:cs="Traditional Arabic" w:hint="cs"/>
          <w:sz w:val="28"/>
          <w:szCs w:val="28"/>
          <w:rtl/>
        </w:rPr>
        <w:t>7</w:t>
      </w:r>
      <w:r w:rsidR="002864B4" w:rsidRPr="003D1437">
        <w:rPr>
          <w:rFonts w:ascii="Traditional Arabic" w:hAnsi="Traditional Arabic" w:cs="Traditional Arabic"/>
          <w:sz w:val="28"/>
          <w:szCs w:val="28"/>
          <w:rtl/>
        </w:rPr>
        <w:t xml:space="preserve">) إلى وجود </w:t>
      </w:r>
      <w:r w:rsidRPr="003D1437">
        <w:rPr>
          <w:rFonts w:ascii="Traditional Arabic" w:hAnsi="Traditional Arabic" w:cs="Traditional Arabic"/>
          <w:sz w:val="28"/>
          <w:szCs w:val="28"/>
          <w:rtl/>
        </w:rPr>
        <w:t>علاقات طردية موجبة وذات دلالة إحصائية عند مستوى الدلالة (0.01) بين متغيرات الدراسة وأبعادها الفرعية. وعند تحليل علاقات الارتباط بين المتغيرات المختلفة وترتيبها من الأعلى إلى الأدنى، يتضح ما يلي</w:t>
      </w:r>
      <w:r w:rsidRPr="003D1437">
        <w:rPr>
          <w:rFonts w:ascii="Traditional Arabic" w:hAnsi="Traditional Arabic" w:cs="Traditional Arabic"/>
          <w:sz w:val="28"/>
          <w:szCs w:val="28"/>
        </w:rPr>
        <w:t>:</w:t>
      </w:r>
    </w:p>
    <w:p w14:paraId="0C37CB82"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الأولى</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ظهر أقوى ارتباط تبادلي بين (التكيف التكنولوجي) وبُعد (كفاءة تخصيص الموارد) بمعامل ارتباط قوي بلغ </w:t>
      </w:r>
      <w:r w:rsidRPr="003D1437">
        <w:rPr>
          <w:rFonts w:ascii="Traditional Arabic" w:hAnsi="Traditional Arabic" w:cs="Traditional Arabic"/>
          <w:b/>
          <w:bCs/>
          <w:sz w:val="28"/>
          <w:szCs w:val="28"/>
        </w:rPr>
        <w:t>(r = 0.714)</w:t>
      </w:r>
      <w:r w:rsidRPr="003D1437">
        <w:rPr>
          <w:rFonts w:ascii="Traditional Arabic" w:hAnsi="Traditional Arabic" w:cs="Traditional Arabic"/>
          <w:sz w:val="28"/>
          <w:szCs w:val="28"/>
        </w:rPr>
        <w:t>.</w:t>
      </w:r>
    </w:p>
    <w:p w14:paraId="538701DB"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الثانية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العلاقة بين المتغير المستقل الكلي (الذكاء الاصطناعي) والمتغير التابع الكلي (كفاءة التخطيط الاستراتيجي) بمعامل ارتباط قوي بلغ (</w:t>
      </w:r>
      <w:r w:rsidRPr="003D1437">
        <w:rPr>
          <w:rFonts w:ascii="Traditional Arabic" w:hAnsi="Traditional Arabic" w:cs="Traditional Arabic"/>
          <w:sz w:val="28"/>
          <w:szCs w:val="28"/>
        </w:rPr>
        <w:t xml:space="preserve">r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xml:space="preserve"> 0.689</w:t>
      </w:r>
      <w:r w:rsidRPr="003D1437">
        <w:rPr>
          <w:rFonts w:ascii="Traditional Arabic" w:hAnsi="Traditional Arabic" w:cs="Traditional Arabic"/>
          <w:sz w:val="28"/>
          <w:szCs w:val="28"/>
          <w:rtl/>
        </w:rPr>
        <w:t>).</w:t>
      </w:r>
    </w:p>
    <w:p w14:paraId="7D5F2145"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الثالثة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العلاقة بين المتغير الوسيط (التكيف التكنولوجي) والمتغير التابع الكلي (كفاءة التخطيط الاستراتيجي) بمعامل ارتباط قوي بلغ (</w:t>
      </w:r>
      <w:r w:rsidRPr="003D1437">
        <w:rPr>
          <w:rFonts w:ascii="Traditional Arabic" w:hAnsi="Traditional Arabic" w:cs="Traditional Arabic"/>
          <w:sz w:val="28"/>
          <w:szCs w:val="28"/>
        </w:rPr>
        <w:t xml:space="preserve">r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xml:space="preserve"> 0.687</w:t>
      </w:r>
      <w:r w:rsidRPr="003D1437">
        <w:rPr>
          <w:rFonts w:ascii="Traditional Arabic" w:hAnsi="Traditional Arabic" w:cs="Traditional Arabic"/>
          <w:sz w:val="28"/>
          <w:szCs w:val="28"/>
          <w:rtl/>
        </w:rPr>
        <w:t>).</w:t>
      </w:r>
    </w:p>
    <w:p w14:paraId="458C57CA"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lastRenderedPageBreak/>
        <w:t>المرتبة الرابعة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على مستوى الأبعاد الفرعية، ظهر ارتباط قوي بين بُعد (دعم اتخاذ القرار) وبُعد (كفاءة التحليل الاستراتيجي) بمعامل ارتباط بلغ (</w:t>
      </w:r>
      <w:r w:rsidRPr="003D1437">
        <w:rPr>
          <w:rFonts w:ascii="Traditional Arabic" w:hAnsi="Traditional Arabic" w:cs="Traditional Arabic"/>
          <w:sz w:val="28"/>
          <w:szCs w:val="28"/>
        </w:rPr>
        <w:t>r</w:t>
      </w:r>
      <w:r w:rsidRPr="003D1437">
        <w:rPr>
          <w:rFonts w:ascii="Traditional Arabic" w:hAnsi="Traditional Arabic" w:cs="Traditional Arabic"/>
          <w:b/>
          <w:bCs/>
          <w:sz w:val="28"/>
          <w:szCs w:val="28"/>
        </w:rPr>
        <w:t xml:space="preserve"> =</w:t>
      </w:r>
      <w:r w:rsidRPr="003D1437">
        <w:rPr>
          <w:rFonts w:ascii="Traditional Arabic" w:hAnsi="Traditional Arabic" w:cs="Traditional Arabic"/>
          <w:sz w:val="28"/>
          <w:szCs w:val="28"/>
        </w:rPr>
        <w:t xml:space="preserve"> 0.646</w:t>
      </w:r>
      <w:r w:rsidRPr="003D1437">
        <w:rPr>
          <w:rFonts w:ascii="Traditional Arabic" w:hAnsi="Traditional Arabic" w:cs="Traditional Arabic"/>
          <w:sz w:val="28"/>
          <w:szCs w:val="28"/>
          <w:rtl/>
        </w:rPr>
        <w:t>).</w:t>
      </w:r>
    </w:p>
    <w:p w14:paraId="3410C6D0"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الخامسة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العلاقة بين المتغير المستقل (الذكاء الاصطناعي) والمتغير الوسيط (التكيف التكنولوجي) بمعامل ارتباط بلغ</w:t>
      </w:r>
      <w:r w:rsidRPr="003D1437">
        <w:rPr>
          <w:rFonts w:ascii="Traditional Arabic" w:hAnsi="Traditional Arabic" w:cs="Traditional Arabic"/>
          <w:sz w:val="28"/>
          <w:szCs w:val="28"/>
        </w:rPr>
        <w:t xml:space="preserve">  </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r</w:t>
      </w:r>
      <w:r w:rsidRPr="003D1437">
        <w:rPr>
          <w:rFonts w:ascii="Traditional Arabic" w:hAnsi="Traditional Arabic" w:cs="Traditional Arabic"/>
          <w:b/>
          <w:bCs/>
          <w:sz w:val="28"/>
          <w:szCs w:val="28"/>
        </w:rPr>
        <w:t xml:space="preserve"> =</w:t>
      </w:r>
      <w:r w:rsidRPr="003D1437">
        <w:rPr>
          <w:rFonts w:ascii="Traditional Arabic" w:hAnsi="Traditional Arabic" w:cs="Traditional Arabic"/>
          <w:sz w:val="28"/>
          <w:szCs w:val="28"/>
        </w:rPr>
        <w:t xml:space="preserve"> 0.499</w:t>
      </w:r>
      <w:r w:rsidRPr="003D1437">
        <w:rPr>
          <w:rFonts w:ascii="Traditional Arabic" w:hAnsi="Traditional Arabic" w:cs="Traditional Arabic"/>
          <w:sz w:val="28"/>
          <w:szCs w:val="28"/>
          <w:rtl/>
        </w:rPr>
        <w:t>).</w:t>
      </w:r>
    </w:p>
    <w:p w14:paraId="02A7D8A8" w14:textId="77777777" w:rsidR="00237F90" w:rsidRPr="003D1437" w:rsidRDefault="00237F90" w:rsidP="00A14B40">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الارتباطات التي تتجاوز 0.80 في المصفوفة تمثل الارتباط الداخلي بين البعد والمجموع الكلي للمتغير الذي ينتمي إليه، وقد تم توظيفها في الفصل الثالث لإثبات الصدق البنائي للأداة</w:t>
      </w:r>
      <w:r w:rsidRPr="003D1437">
        <w:rPr>
          <w:rFonts w:ascii="Traditional Arabic" w:hAnsi="Traditional Arabic" w:cs="Traditional Arabic"/>
          <w:sz w:val="28"/>
          <w:szCs w:val="28"/>
        </w:rPr>
        <w:t>.</w:t>
      </w:r>
    </w:p>
    <w:p w14:paraId="3F0D08C8" w14:textId="3184FA1B" w:rsidR="00237F90" w:rsidRPr="003D1437" w:rsidRDefault="00237F90" w:rsidP="00A14B40">
      <w:p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وتؤكد هذه النتائج والمؤشرات الأولية وجود ترابط حقيقي وقوي بين الذكاء الاصطناعي، والتكيف التكنولوجي، وكفاءة التخطيط الاستراتيجي بأبعادها المختلفة، مما يبرر الانتقال لاختبار التأثيرات السببية بينها من خلال تحليل الانحدار</w:t>
      </w:r>
      <w:r w:rsidRPr="003D1437">
        <w:rPr>
          <w:rFonts w:ascii="Traditional Arabic" w:hAnsi="Traditional Arabic" w:cs="Traditional Arabic"/>
          <w:sz w:val="28"/>
          <w:szCs w:val="28"/>
        </w:rPr>
        <w:t>.</w:t>
      </w:r>
    </w:p>
    <w:p w14:paraId="7216B34D" w14:textId="40792281" w:rsidR="00237F90" w:rsidRPr="003D1437" w:rsidRDefault="00A14B40" w:rsidP="00A14B40">
      <w:pPr>
        <w:pStyle w:val="Heading2"/>
        <w:rPr>
          <w:lang w:bidi="ar-EG"/>
        </w:rPr>
      </w:pPr>
      <w:bookmarkStart w:id="128" w:name="_Toc236402700"/>
      <w:r w:rsidRPr="003D1437">
        <w:rPr>
          <w:rFonts w:hint="cs"/>
          <w:rtl/>
        </w:rPr>
        <w:t xml:space="preserve">4.3 </w:t>
      </w:r>
      <w:r w:rsidRPr="003D1437">
        <w:rPr>
          <w:rtl/>
        </w:rPr>
        <w:t>مؤشرات جودة توافق النموذج (</w:t>
      </w:r>
      <w:r w:rsidRPr="003D1437">
        <w:t>Model Fit Indices</w:t>
      </w:r>
      <w:r w:rsidRPr="003D1437">
        <w:rPr>
          <w:rtl/>
        </w:rPr>
        <w:t>):</w:t>
      </w:r>
      <w:bookmarkEnd w:id="128"/>
    </w:p>
    <w:p w14:paraId="6BE97839" w14:textId="77777777" w:rsidR="00237F90" w:rsidRPr="003D1437" w:rsidRDefault="00237F90" w:rsidP="00A14B40">
      <w:pPr>
        <w:bidi/>
        <w:spacing w:line="360"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قبل الشروع في تفسير معاملات المسار، تم التحقق من مؤشرات جودة توافق النموذج الهيكلي المقترح مع بيانات عينة الدراسة، ويوضح الجدول التالي النتائج</w:t>
      </w:r>
      <w:r w:rsidRPr="003D1437">
        <w:rPr>
          <w:rFonts w:ascii="Traditional Arabic" w:hAnsi="Traditional Arabic" w:cs="Traditional Arabic"/>
          <w:sz w:val="28"/>
          <w:szCs w:val="28"/>
          <w:lang w:bidi="ar-EG"/>
        </w:rPr>
        <w:t>:</w:t>
      </w:r>
    </w:p>
    <w:p w14:paraId="76B6083B" w14:textId="277D50DE" w:rsidR="00237F90" w:rsidRPr="003D1437" w:rsidRDefault="00237F90" w:rsidP="00A14B40">
      <w:pPr>
        <w:pStyle w:val="Heading4"/>
        <w:rPr>
          <w:color w:val="auto"/>
          <w:rtl/>
        </w:rPr>
      </w:pPr>
      <w:bookmarkStart w:id="129" w:name="_Toc235065205"/>
      <w:r w:rsidRPr="003D1437">
        <w:rPr>
          <w:color w:val="auto"/>
          <w:rtl/>
        </w:rPr>
        <w:t>جدول (</w:t>
      </w:r>
      <w:r w:rsidR="0040059B" w:rsidRPr="003D1437">
        <w:rPr>
          <w:rFonts w:hint="cs"/>
          <w:color w:val="auto"/>
          <w:rtl/>
        </w:rPr>
        <w:t>8</w:t>
      </w:r>
      <w:r w:rsidRPr="003D1437">
        <w:rPr>
          <w:color w:val="auto"/>
          <w:rtl/>
        </w:rPr>
        <w:t>): مؤشرات جودة توافق نموذج تحليل المسار</w:t>
      </w:r>
      <w:bookmarkEnd w:id="129"/>
    </w:p>
    <w:tbl>
      <w:tblPr>
        <w:bidiVisual/>
        <w:tblW w:w="5000" w:type="pct"/>
        <w:tblLook w:val="04A0" w:firstRow="1" w:lastRow="0" w:firstColumn="1" w:lastColumn="0" w:noHBand="0" w:noVBand="1"/>
      </w:tblPr>
      <w:tblGrid>
        <w:gridCol w:w="1910"/>
        <w:gridCol w:w="1876"/>
        <w:gridCol w:w="2125"/>
        <w:gridCol w:w="1792"/>
        <w:gridCol w:w="1657"/>
      </w:tblGrid>
      <w:tr w:rsidR="003D1437" w:rsidRPr="003D1437" w14:paraId="35358429" w14:textId="77777777" w:rsidTr="006E493C">
        <w:trPr>
          <w:trHeight w:val="680"/>
        </w:trPr>
        <w:tc>
          <w:tcPr>
            <w:tcW w:w="1020" w:type="pct"/>
            <w:tcBorders>
              <w:top w:val="single" w:sz="4" w:space="0" w:color="auto"/>
              <w:bottom w:val="single" w:sz="4" w:space="0" w:color="auto"/>
            </w:tcBorders>
            <w:vAlign w:val="center"/>
            <w:hideMark/>
          </w:tcPr>
          <w:p w14:paraId="4066C46E"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14:ligatures w14:val="none"/>
              </w:rPr>
            </w:pPr>
            <w:r w:rsidRPr="003D1437">
              <w:rPr>
                <w:rFonts w:ascii="Traditional Arabic" w:eastAsia="Times New Roman" w:hAnsi="Traditional Arabic" w:cs="Traditional Arabic"/>
                <w:b/>
                <w:bCs/>
                <w:kern w:val="0"/>
                <w:sz w:val="28"/>
                <w:szCs w:val="28"/>
                <w:rtl/>
                <w14:ligatures w14:val="none"/>
              </w:rPr>
              <w:t>المؤشر (</w:t>
            </w:r>
            <w:r w:rsidRPr="003D1437">
              <w:rPr>
                <w:rFonts w:ascii="Traditional Arabic" w:eastAsia="Times New Roman" w:hAnsi="Traditional Arabic" w:cs="Traditional Arabic"/>
                <w:b/>
                <w:bCs/>
                <w:kern w:val="0"/>
                <w:sz w:val="28"/>
                <w:szCs w:val="28"/>
                <w14:ligatures w14:val="none"/>
              </w:rPr>
              <w:t>Index</w:t>
            </w:r>
            <w:r w:rsidRPr="003D1437">
              <w:rPr>
                <w:rFonts w:ascii="Traditional Arabic" w:eastAsia="Times New Roman" w:hAnsi="Traditional Arabic" w:cs="Traditional Arabic"/>
                <w:b/>
                <w:bCs/>
                <w:kern w:val="0"/>
                <w:sz w:val="28"/>
                <w:szCs w:val="28"/>
                <w:rtl/>
                <w14:ligatures w14:val="none"/>
              </w:rPr>
              <w:t>)</w:t>
            </w:r>
          </w:p>
        </w:tc>
        <w:tc>
          <w:tcPr>
            <w:tcW w:w="1002" w:type="pct"/>
            <w:tcBorders>
              <w:top w:val="single" w:sz="4" w:space="0" w:color="auto"/>
              <w:bottom w:val="single" w:sz="4" w:space="0" w:color="auto"/>
            </w:tcBorders>
            <w:vAlign w:val="center"/>
            <w:hideMark/>
          </w:tcPr>
          <w:p w14:paraId="418A99AF"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الرمز</w:t>
            </w:r>
          </w:p>
        </w:tc>
        <w:tc>
          <w:tcPr>
            <w:tcW w:w="1135" w:type="pct"/>
            <w:tcBorders>
              <w:top w:val="single" w:sz="4" w:space="0" w:color="auto"/>
              <w:bottom w:val="single" w:sz="4" w:space="0" w:color="auto"/>
            </w:tcBorders>
            <w:vAlign w:val="center"/>
            <w:hideMark/>
          </w:tcPr>
          <w:p w14:paraId="7D36B3B9"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القيمة المستخرجة</w:t>
            </w:r>
          </w:p>
        </w:tc>
        <w:tc>
          <w:tcPr>
            <w:tcW w:w="957" w:type="pct"/>
            <w:tcBorders>
              <w:top w:val="single" w:sz="4" w:space="0" w:color="auto"/>
              <w:bottom w:val="single" w:sz="4" w:space="0" w:color="auto"/>
            </w:tcBorders>
            <w:vAlign w:val="center"/>
            <w:hideMark/>
          </w:tcPr>
          <w:p w14:paraId="3699C8A7"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المحك المرجعي للقبول</w:t>
            </w:r>
          </w:p>
        </w:tc>
        <w:tc>
          <w:tcPr>
            <w:tcW w:w="885" w:type="pct"/>
            <w:tcBorders>
              <w:top w:val="single" w:sz="4" w:space="0" w:color="auto"/>
              <w:bottom w:val="single" w:sz="4" w:space="0" w:color="auto"/>
            </w:tcBorders>
            <w:vAlign w:val="center"/>
            <w:hideMark/>
          </w:tcPr>
          <w:p w14:paraId="44B37FAA"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النتيجة</w:t>
            </w:r>
          </w:p>
        </w:tc>
      </w:tr>
      <w:tr w:rsidR="003D1437" w:rsidRPr="003D1437" w14:paraId="5D90C924" w14:textId="77777777" w:rsidTr="006E493C">
        <w:trPr>
          <w:trHeight w:val="680"/>
        </w:trPr>
        <w:tc>
          <w:tcPr>
            <w:tcW w:w="1020" w:type="pct"/>
            <w:tcBorders>
              <w:top w:val="single" w:sz="4" w:space="0" w:color="auto"/>
            </w:tcBorders>
            <w:vAlign w:val="center"/>
            <w:hideMark/>
          </w:tcPr>
          <w:p w14:paraId="611BE5D8"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مؤشر حسن المطابقة</w:t>
            </w:r>
          </w:p>
        </w:tc>
        <w:tc>
          <w:tcPr>
            <w:tcW w:w="1002" w:type="pct"/>
            <w:tcBorders>
              <w:top w:val="single" w:sz="4" w:space="0" w:color="auto"/>
            </w:tcBorders>
            <w:vAlign w:val="center"/>
            <w:hideMark/>
          </w:tcPr>
          <w:p w14:paraId="064D7E37"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GFI</w:t>
            </w:r>
          </w:p>
        </w:tc>
        <w:tc>
          <w:tcPr>
            <w:tcW w:w="1135" w:type="pct"/>
            <w:tcBorders>
              <w:top w:val="single" w:sz="4" w:space="0" w:color="auto"/>
            </w:tcBorders>
            <w:vAlign w:val="center"/>
            <w:hideMark/>
          </w:tcPr>
          <w:p w14:paraId="65EFC94A"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1</w:t>
            </w:r>
          </w:p>
        </w:tc>
        <w:tc>
          <w:tcPr>
            <w:tcW w:w="957" w:type="pct"/>
            <w:tcBorders>
              <w:top w:val="single" w:sz="4" w:space="0" w:color="auto"/>
            </w:tcBorders>
            <w:vAlign w:val="center"/>
            <w:hideMark/>
          </w:tcPr>
          <w:p w14:paraId="3B09F666"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أكبر من 0.90</w:t>
            </w:r>
          </w:p>
        </w:tc>
        <w:tc>
          <w:tcPr>
            <w:tcW w:w="885" w:type="pct"/>
            <w:tcBorders>
              <w:top w:val="single" w:sz="4" w:space="0" w:color="auto"/>
            </w:tcBorders>
            <w:vAlign w:val="center"/>
            <w:hideMark/>
          </w:tcPr>
          <w:p w14:paraId="083E6AB8"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مطابق تماماً</w:t>
            </w:r>
          </w:p>
        </w:tc>
      </w:tr>
      <w:tr w:rsidR="003D1437" w:rsidRPr="003D1437" w14:paraId="147DE3FF" w14:textId="77777777" w:rsidTr="006E493C">
        <w:trPr>
          <w:trHeight w:val="680"/>
        </w:trPr>
        <w:tc>
          <w:tcPr>
            <w:tcW w:w="1020" w:type="pct"/>
            <w:vAlign w:val="center"/>
            <w:hideMark/>
          </w:tcPr>
          <w:p w14:paraId="1681620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مؤشر المطابقة المقارن</w:t>
            </w:r>
          </w:p>
        </w:tc>
        <w:tc>
          <w:tcPr>
            <w:tcW w:w="1002" w:type="pct"/>
            <w:vAlign w:val="center"/>
            <w:hideMark/>
          </w:tcPr>
          <w:p w14:paraId="7C9AEC0D"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CFI</w:t>
            </w:r>
          </w:p>
        </w:tc>
        <w:tc>
          <w:tcPr>
            <w:tcW w:w="1135" w:type="pct"/>
            <w:vAlign w:val="center"/>
            <w:hideMark/>
          </w:tcPr>
          <w:p w14:paraId="5E5EA76E"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1</w:t>
            </w:r>
          </w:p>
        </w:tc>
        <w:tc>
          <w:tcPr>
            <w:tcW w:w="957" w:type="pct"/>
            <w:vAlign w:val="center"/>
            <w:hideMark/>
          </w:tcPr>
          <w:p w14:paraId="704A18C6"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أكبر من 0.90</w:t>
            </w:r>
          </w:p>
        </w:tc>
        <w:tc>
          <w:tcPr>
            <w:tcW w:w="885" w:type="pct"/>
            <w:vAlign w:val="center"/>
            <w:hideMark/>
          </w:tcPr>
          <w:p w14:paraId="65A560C2"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مطابق تماماً</w:t>
            </w:r>
          </w:p>
        </w:tc>
      </w:tr>
      <w:tr w:rsidR="003D1437" w:rsidRPr="003D1437" w14:paraId="01CFFD1E" w14:textId="77777777" w:rsidTr="006E493C">
        <w:trPr>
          <w:trHeight w:val="680"/>
        </w:trPr>
        <w:tc>
          <w:tcPr>
            <w:tcW w:w="1020" w:type="pct"/>
            <w:vAlign w:val="center"/>
            <w:hideMark/>
          </w:tcPr>
          <w:p w14:paraId="3CA0683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مؤشر توكر-لويس</w:t>
            </w:r>
          </w:p>
        </w:tc>
        <w:tc>
          <w:tcPr>
            <w:tcW w:w="1002" w:type="pct"/>
            <w:vAlign w:val="center"/>
            <w:hideMark/>
          </w:tcPr>
          <w:p w14:paraId="70CB7AE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TLI</w:t>
            </w:r>
          </w:p>
        </w:tc>
        <w:tc>
          <w:tcPr>
            <w:tcW w:w="1135" w:type="pct"/>
            <w:vAlign w:val="center"/>
            <w:hideMark/>
          </w:tcPr>
          <w:p w14:paraId="49378142"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1</w:t>
            </w:r>
          </w:p>
        </w:tc>
        <w:tc>
          <w:tcPr>
            <w:tcW w:w="957" w:type="pct"/>
            <w:vAlign w:val="center"/>
            <w:hideMark/>
          </w:tcPr>
          <w:p w14:paraId="71668C6D"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أكبر من 0.90</w:t>
            </w:r>
          </w:p>
        </w:tc>
        <w:tc>
          <w:tcPr>
            <w:tcW w:w="885" w:type="pct"/>
            <w:vAlign w:val="center"/>
            <w:hideMark/>
          </w:tcPr>
          <w:p w14:paraId="06262E6F"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مطابق تماماً</w:t>
            </w:r>
          </w:p>
        </w:tc>
      </w:tr>
      <w:tr w:rsidR="003D1437" w:rsidRPr="003D1437" w14:paraId="18DCCF3E" w14:textId="77777777" w:rsidTr="006E493C">
        <w:trPr>
          <w:trHeight w:val="680"/>
        </w:trPr>
        <w:tc>
          <w:tcPr>
            <w:tcW w:w="1020" w:type="pct"/>
            <w:vAlign w:val="center"/>
            <w:hideMark/>
          </w:tcPr>
          <w:p w14:paraId="232E227F"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جذر متوسط مربع خطأ الاقتراب</w:t>
            </w:r>
          </w:p>
        </w:tc>
        <w:tc>
          <w:tcPr>
            <w:tcW w:w="1002" w:type="pct"/>
            <w:vAlign w:val="center"/>
            <w:hideMark/>
          </w:tcPr>
          <w:p w14:paraId="3BEE1744"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RMSEA</w:t>
            </w:r>
          </w:p>
        </w:tc>
        <w:tc>
          <w:tcPr>
            <w:tcW w:w="1135" w:type="pct"/>
            <w:vAlign w:val="center"/>
            <w:hideMark/>
          </w:tcPr>
          <w:p w14:paraId="37FF4DDE"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0</w:t>
            </w:r>
          </w:p>
        </w:tc>
        <w:tc>
          <w:tcPr>
            <w:tcW w:w="957" w:type="pct"/>
            <w:vAlign w:val="center"/>
            <w:hideMark/>
          </w:tcPr>
          <w:p w14:paraId="585B0009"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أقل من 0.08</w:t>
            </w:r>
          </w:p>
        </w:tc>
        <w:tc>
          <w:tcPr>
            <w:tcW w:w="885" w:type="pct"/>
            <w:vAlign w:val="center"/>
            <w:hideMark/>
          </w:tcPr>
          <w:p w14:paraId="361D3090"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ممتاز</w:t>
            </w:r>
          </w:p>
        </w:tc>
      </w:tr>
      <w:tr w:rsidR="00237F90" w:rsidRPr="003D1437" w14:paraId="5F060B51" w14:textId="77777777" w:rsidTr="006E493C">
        <w:trPr>
          <w:trHeight w:val="680"/>
        </w:trPr>
        <w:tc>
          <w:tcPr>
            <w:tcW w:w="1020" w:type="pct"/>
            <w:tcBorders>
              <w:bottom w:val="single" w:sz="4" w:space="0" w:color="auto"/>
            </w:tcBorders>
            <w:vAlign w:val="center"/>
            <w:hideMark/>
          </w:tcPr>
          <w:p w14:paraId="6A074993"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متوسط مربع البواقي المعياري</w:t>
            </w:r>
          </w:p>
        </w:tc>
        <w:tc>
          <w:tcPr>
            <w:tcW w:w="1002" w:type="pct"/>
            <w:tcBorders>
              <w:bottom w:val="single" w:sz="4" w:space="0" w:color="auto"/>
            </w:tcBorders>
            <w:vAlign w:val="center"/>
            <w:hideMark/>
          </w:tcPr>
          <w:p w14:paraId="349E7441"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SRMR</w:t>
            </w:r>
          </w:p>
        </w:tc>
        <w:tc>
          <w:tcPr>
            <w:tcW w:w="1135" w:type="pct"/>
            <w:tcBorders>
              <w:bottom w:val="single" w:sz="4" w:space="0" w:color="auto"/>
            </w:tcBorders>
            <w:vAlign w:val="center"/>
            <w:hideMark/>
          </w:tcPr>
          <w:p w14:paraId="3DDEB203"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0</w:t>
            </w:r>
          </w:p>
        </w:tc>
        <w:tc>
          <w:tcPr>
            <w:tcW w:w="957" w:type="pct"/>
            <w:tcBorders>
              <w:bottom w:val="single" w:sz="4" w:space="0" w:color="auto"/>
            </w:tcBorders>
            <w:vAlign w:val="center"/>
            <w:hideMark/>
          </w:tcPr>
          <w:p w14:paraId="235FF31C"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أقل من 0.05</w:t>
            </w:r>
          </w:p>
        </w:tc>
        <w:tc>
          <w:tcPr>
            <w:tcW w:w="885" w:type="pct"/>
            <w:tcBorders>
              <w:bottom w:val="single" w:sz="4" w:space="0" w:color="auto"/>
            </w:tcBorders>
            <w:vAlign w:val="center"/>
            <w:hideMark/>
          </w:tcPr>
          <w:p w14:paraId="32FE40B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ممتاز</w:t>
            </w:r>
          </w:p>
        </w:tc>
      </w:tr>
    </w:tbl>
    <w:p w14:paraId="05ED03E9" w14:textId="77777777" w:rsidR="00237F90" w:rsidRPr="003D1437" w:rsidRDefault="00237F90" w:rsidP="00237F90">
      <w:pPr>
        <w:bidi/>
        <w:rPr>
          <w:rFonts w:ascii="Traditional Arabic" w:hAnsi="Traditional Arabic" w:cs="Traditional Arabic"/>
          <w:sz w:val="28"/>
          <w:szCs w:val="28"/>
          <w:lang w:bidi="ar-EG"/>
        </w:rPr>
      </w:pPr>
    </w:p>
    <w:p w14:paraId="70BBC12E" w14:textId="04C05184" w:rsidR="00237F90" w:rsidRPr="003D1437" w:rsidRDefault="00237F90" w:rsidP="00237F90">
      <w:pPr>
        <w:bidi/>
        <w:spacing w:line="360" w:lineRule="auto"/>
        <w:rPr>
          <w:rFonts w:ascii="Traditional Arabic" w:hAnsi="Traditional Arabic" w:cs="Traditional Arabic"/>
          <w:sz w:val="28"/>
          <w:szCs w:val="28"/>
          <w:lang w:bidi="ar-EG"/>
        </w:rPr>
      </w:pPr>
      <w:r w:rsidRPr="003D1437">
        <w:rPr>
          <w:rFonts w:ascii="Traditional Arabic" w:hAnsi="Traditional Arabic" w:cs="Traditional Arabic"/>
          <w:sz w:val="28"/>
          <w:szCs w:val="28"/>
          <w:rtl/>
        </w:rPr>
        <w:lastRenderedPageBreak/>
        <w:t>يتضح من الجدول (</w:t>
      </w:r>
      <w:r w:rsidR="0040059B" w:rsidRPr="003D1437">
        <w:rPr>
          <w:rFonts w:ascii="Traditional Arabic" w:hAnsi="Traditional Arabic" w:cs="Traditional Arabic" w:hint="cs"/>
          <w:sz w:val="28"/>
          <w:szCs w:val="28"/>
          <w:rtl/>
        </w:rPr>
        <w:t>8</w:t>
      </w:r>
      <w:r w:rsidRPr="003D1437">
        <w:rPr>
          <w:rFonts w:ascii="Traditional Arabic" w:hAnsi="Traditional Arabic" w:cs="Traditional Arabic"/>
          <w:sz w:val="28"/>
          <w:szCs w:val="28"/>
          <w:rtl/>
        </w:rPr>
        <w:t>) أن جميع مؤشرات جودة التوافق قد حققت القيم المثلى. ونظراً لأن النموذج المستخدم هو نموذج وساطة بسيط يتضمن ثلاثة متغيرات تم تقدير جميع المسارات الممكنة بينها، فقد نتج عن ذلك ما يُعرف إحصائياً بـ "النموذج المشبع</w:t>
      </w:r>
      <w:r w:rsidRPr="003D1437">
        <w:rPr>
          <w:rFonts w:ascii="Traditional Arabic" w:hAnsi="Traditional Arabic" w:cs="Traditional Arabic"/>
          <w:sz w:val="28"/>
          <w:szCs w:val="28"/>
          <w:lang w:bidi="ar-EG"/>
        </w:rPr>
        <w:t xml:space="preserve">" (Saturated Model) </w:t>
      </w:r>
      <w:r w:rsidRPr="003D1437">
        <w:rPr>
          <w:rFonts w:ascii="Traditional Arabic" w:hAnsi="Traditional Arabic" w:cs="Traditional Arabic"/>
          <w:sz w:val="28"/>
          <w:szCs w:val="28"/>
          <w:rtl/>
        </w:rPr>
        <w:t>ذو درجات حرية</w:t>
      </w:r>
      <w:r w:rsidRPr="003D1437">
        <w:rPr>
          <w:rFonts w:ascii="Traditional Arabic" w:hAnsi="Traditional Arabic" w:cs="Traditional Arabic"/>
          <w:sz w:val="28"/>
          <w:szCs w:val="28"/>
          <w:lang w:bidi="ar-EG"/>
        </w:rPr>
        <w:t xml:space="preserve"> (df </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 xml:space="preserve"> 0)</w:t>
      </w:r>
      <w:r w:rsidRPr="003D1437">
        <w:rPr>
          <w:rFonts w:ascii="Traditional Arabic" w:hAnsi="Traditional Arabic" w:cs="Traditional Arabic"/>
          <w:sz w:val="28"/>
          <w:szCs w:val="28"/>
          <w:rtl/>
        </w:rPr>
        <w:t>، وهو ما يفسر التطابق التام للمؤشرات، ويؤكد الصلاحية المطلقة للنموذج لاختبار فرضيات الدراسة</w:t>
      </w:r>
      <w:r w:rsidRPr="003D1437">
        <w:rPr>
          <w:rFonts w:ascii="Traditional Arabic" w:hAnsi="Traditional Arabic" w:cs="Traditional Arabic"/>
          <w:sz w:val="28"/>
          <w:szCs w:val="28"/>
          <w:lang w:bidi="ar-EG"/>
        </w:rPr>
        <w:t>.</w:t>
      </w:r>
    </w:p>
    <w:p w14:paraId="6DEF031C" w14:textId="77777777" w:rsidR="00237F90" w:rsidRPr="003D1437" w:rsidRDefault="00237F90" w:rsidP="00237F90">
      <w:pPr>
        <w:bidi/>
        <w:rPr>
          <w:rFonts w:ascii="Traditional Arabic" w:hAnsi="Traditional Arabic" w:cs="Traditional Arabic"/>
          <w:i/>
          <w:iCs/>
          <w:sz w:val="28"/>
          <w:szCs w:val="28"/>
          <w:rtl/>
          <w:lang w:bidi="ar-EG"/>
        </w:rPr>
      </w:pPr>
    </w:p>
    <w:p w14:paraId="05573DB0" w14:textId="77777777" w:rsidR="00237F90" w:rsidRPr="003D1437" w:rsidRDefault="00237F90" w:rsidP="00237F90">
      <w:pPr>
        <w:bidi/>
        <w:rPr>
          <w:rFonts w:ascii="Traditional Arabic" w:hAnsi="Traditional Arabic" w:cs="Traditional Arabic"/>
          <w:sz w:val="28"/>
          <w:szCs w:val="28"/>
          <w:rtl/>
          <w:lang w:bidi="ar-EG"/>
        </w:rPr>
      </w:pPr>
      <w:r w:rsidRPr="003D1437">
        <w:rPr>
          <w:rFonts w:ascii="Traditional Arabic" w:hAnsi="Traditional Arabic" w:cs="Traditional Arabic"/>
          <w:noProof/>
          <w:sz w:val="28"/>
          <w:szCs w:val="28"/>
          <w:rtl/>
          <w:lang w:val="ar-EG" w:bidi="ar-EG"/>
        </w:rPr>
        <w:drawing>
          <wp:inline distT="0" distB="0" distL="0" distR="0" wp14:anchorId="2AA9B359" wp14:editId="4B523932">
            <wp:extent cx="5943600" cy="4144010"/>
            <wp:effectExtent l="0" t="0" r="0" b="8890"/>
            <wp:docPr id="143784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40848" name="Picture 1437840848"/>
                    <pic:cNvPicPr/>
                  </pic:nvPicPr>
                  <pic:blipFill>
                    <a:blip r:embed="rId15">
                      <a:extLst>
                        <a:ext uri="{28A0092B-C50C-407E-A947-70E740481C1C}">
                          <a14:useLocalDpi xmlns:a14="http://schemas.microsoft.com/office/drawing/2010/main" val="0"/>
                        </a:ext>
                      </a:extLst>
                    </a:blip>
                    <a:stretch>
                      <a:fillRect/>
                    </a:stretch>
                  </pic:blipFill>
                  <pic:spPr>
                    <a:xfrm>
                      <a:off x="0" y="0"/>
                      <a:ext cx="5943600" cy="4144010"/>
                    </a:xfrm>
                    <a:prstGeom prst="rect">
                      <a:avLst/>
                    </a:prstGeom>
                  </pic:spPr>
                </pic:pic>
              </a:graphicData>
            </a:graphic>
          </wp:inline>
        </w:drawing>
      </w:r>
    </w:p>
    <w:p w14:paraId="7EE64DCB" w14:textId="6B66533F" w:rsidR="00237F90" w:rsidRPr="003D1437" w:rsidRDefault="00237F90" w:rsidP="0040059B">
      <w:pPr>
        <w:pStyle w:val="Heading5"/>
      </w:pPr>
      <w:bookmarkStart w:id="130" w:name="_Toc235065034"/>
      <w:r w:rsidRPr="003D1437">
        <w:rPr>
          <w:rtl/>
        </w:rPr>
        <w:t>شكل (</w:t>
      </w:r>
      <w:r w:rsidR="0040059B" w:rsidRPr="003D1437">
        <w:rPr>
          <w:rFonts w:hint="cs"/>
          <w:rtl/>
        </w:rPr>
        <w:t>2</w:t>
      </w:r>
      <w:r w:rsidRPr="003D1437">
        <w:rPr>
          <w:rtl/>
        </w:rPr>
        <w:t>): النموذج الهيكلي لمسارات الدراسة (التأثيرات المباشرة لمعاملات بيتا المعيارية)</w:t>
      </w:r>
      <w:bookmarkEnd w:id="130"/>
    </w:p>
    <w:p w14:paraId="6443622D" w14:textId="08318A32" w:rsidR="00237F90" w:rsidRPr="003D1437" w:rsidRDefault="0040059B" w:rsidP="0040059B">
      <w:pPr>
        <w:pStyle w:val="Heading2"/>
        <w:rPr>
          <w:lang w:bidi="ar-EG"/>
        </w:rPr>
      </w:pPr>
      <w:bookmarkStart w:id="131" w:name="_Toc233422644"/>
      <w:bookmarkStart w:id="132" w:name="_Toc236402701"/>
      <w:r w:rsidRPr="003D1437">
        <w:rPr>
          <w:rFonts w:hint="cs"/>
          <w:rtl/>
        </w:rPr>
        <w:t xml:space="preserve">4.4 </w:t>
      </w:r>
      <w:r w:rsidR="00237F90" w:rsidRPr="003D1437">
        <w:rPr>
          <w:rtl/>
        </w:rPr>
        <w:t>القدرة التفسيرية للنموذج (معامل التحديد (</w:t>
      </w:r>
      <w:r w:rsidR="00237F90" w:rsidRPr="003D1437">
        <w:t>R</w:t>
      </w:r>
      <w:r w:rsidR="00237F90" w:rsidRPr="003D1437">
        <w:rPr>
          <w:vertAlign w:val="superscript"/>
        </w:rPr>
        <w:t>2</w:t>
      </w:r>
      <w:r w:rsidR="00237F90" w:rsidRPr="003D1437">
        <w:rPr>
          <w:rtl/>
        </w:rPr>
        <w:t>))</w:t>
      </w:r>
      <w:bookmarkEnd w:id="131"/>
      <w:bookmarkEnd w:id="132"/>
    </w:p>
    <w:p w14:paraId="706BA873" w14:textId="557BBC71" w:rsidR="00237F90" w:rsidRPr="003D1437" w:rsidRDefault="00237F90" w:rsidP="0040059B">
      <w:pPr>
        <w:bidi/>
        <w:spacing w:line="360"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أظهرت نتائج تحليل المسار أن قيمة معامل التحديد (</w:t>
      </w:r>
      <w:r w:rsidRPr="003D1437">
        <w:rPr>
          <w:rFonts w:ascii="Traditional Arabic" w:hAnsi="Traditional Arabic" w:cs="Traditional Arabic"/>
          <w:sz w:val="28"/>
          <w:szCs w:val="28"/>
        </w:rPr>
        <w:t>R</w:t>
      </w:r>
      <w:r w:rsidRPr="003D1437">
        <w:rPr>
          <w:rFonts w:ascii="Traditional Arabic" w:hAnsi="Traditional Arabic" w:cs="Traditional Arabic"/>
          <w:sz w:val="28"/>
          <w:szCs w:val="28"/>
          <w:vertAlign w:val="superscript"/>
        </w:rPr>
        <w:t>2</w:t>
      </w:r>
      <w:r w:rsidRPr="003D1437">
        <w:rPr>
          <w:rFonts w:ascii="Traditional Arabic" w:hAnsi="Traditional Arabic" w:cs="Traditional Arabic"/>
          <w:sz w:val="28"/>
          <w:szCs w:val="28"/>
          <w:rtl/>
        </w:rPr>
        <w:t>) للمتغير الوسيط (التكيف التكنولوجي) بلغت (0.249)، مما يعني أن الذكاء الاصطناعي يفسر ما نسبته (24.9%) من التباين في مستوى التكيف التكنولوجي. في حين بلغت قيمة (</w:t>
      </w:r>
      <w:r w:rsidRPr="003D1437">
        <w:rPr>
          <w:rFonts w:ascii="Traditional Arabic" w:hAnsi="Traditional Arabic" w:cs="Traditional Arabic"/>
          <w:sz w:val="28"/>
          <w:szCs w:val="28"/>
        </w:rPr>
        <w:t>R</w:t>
      </w:r>
      <w:r w:rsidRPr="003D1437">
        <w:rPr>
          <w:rFonts w:ascii="Traditional Arabic" w:hAnsi="Traditional Arabic" w:cs="Traditional Arabic"/>
          <w:sz w:val="28"/>
          <w:szCs w:val="28"/>
          <w:vertAlign w:val="superscript"/>
        </w:rPr>
        <w:t>2</w:t>
      </w:r>
      <w:r w:rsidRPr="003D1437">
        <w:rPr>
          <w:rFonts w:ascii="Traditional Arabic" w:hAnsi="Traditional Arabic" w:cs="Traditional Arabic"/>
          <w:sz w:val="28"/>
          <w:szCs w:val="28"/>
          <w:rtl/>
        </w:rPr>
        <w:t>)</w:t>
      </w:r>
      <w:r w:rsidRPr="003D1437">
        <w:rPr>
          <w:rFonts w:ascii="Traditional Arabic" w:hAnsi="Traditional Arabic" w:cs="Traditional Arabic"/>
          <w:sz w:val="28"/>
          <w:szCs w:val="28"/>
          <w:lang w:bidi="ar-EG"/>
        </w:rPr>
        <w:t xml:space="preserve"> </w:t>
      </w:r>
      <w:r w:rsidRPr="003D1437">
        <w:rPr>
          <w:rFonts w:ascii="Traditional Arabic" w:hAnsi="Traditional Arabic" w:cs="Traditional Arabic"/>
          <w:sz w:val="28"/>
          <w:szCs w:val="28"/>
          <w:rtl/>
        </w:rPr>
        <w:t xml:space="preserve">للمتغير التابع </w:t>
      </w:r>
      <w:r w:rsidRPr="003D1437">
        <w:rPr>
          <w:rFonts w:ascii="Traditional Arabic" w:hAnsi="Traditional Arabic" w:cs="Traditional Arabic"/>
          <w:sz w:val="28"/>
          <w:szCs w:val="28"/>
          <w:rtl/>
        </w:rPr>
        <w:lastRenderedPageBreak/>
        <w:t>(كفاءة التخطيط الاستراتيجي) (0.632)، وهذا يدل على أن المتغير المستقل والوسيط مجتمعين يفسران ما نسبته (63.2%) من التباين والتغيرات الحاصلة في كفاءة التخطيط الاستراتيجي، وهي نسبة تفسيرية قوية جداً</w:t>
      </w:r>
      <w:r w:rsidRPr="003D1437">
        <w:rPr>
          <w:rFonts w:ascii="Traditional Arabic" w:hAnsi="Traditional Arabic" w:cs="Traditional Arabic"/>
          <w:sz w:val="28"/>
          <w:szCs w:val="28"/>
          <w:lang w:bidi="ar-EG"/>
        </w:rPr>
        <w:t>.</w:t>
      </w:r>
    </w:p>
    <w:p w14:paraId="638B2AC7" w14:textId="4B0D089B" w:rsidR="008A1445" w:rsidRPr="003D1437" w:rsidRDefault="0040059B" w:rsidP="0040059B">
      <w:pPr>
        <w:pStyle w:val="Heading2"/>
        <w:rPr>
          <w:rtl/>
        </w:rPr>
      </w:pPr>
      <w:bookmarkStart w:id="133" w:name="_Toc233422645"/>
      <w:bookmarkStart w:id="134" w:name="_Toc236402702"/>
      <w:r w:rsidRPr="003D1437">
        <w:rPr>
          <w:rFonts w:hint="cs"/>
          <w:rtl/>
        </w:rPr>
        <w:t>4.5</w:t>
      </w:r>
      <w:r w:rsidR="008A1445" w:rsidRPr="003D1437">
        <w:rPr>
          <w:rtl/>
        </w:rPr>
        <w:t xml:space="preserve"> اختبار فرضيات الدراسة</w:t>
      </w:r>
      <w:bookmarkEnd w:id="133"/>
      <w:bookmarkEnd w:id="134"/>
    </w:p>
    <w:p w14:paraId="6CF4FE64" w14:textId="77777777"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بناءً على النموذج النظري للدراسة والذي يتسم بالعمق لتضمنه أبعاداً فرعية للمتغيرات، ولتحديد قوة التأثيرات بدقة (الأقوى والأضعف)، تم استخدام تحليل الانحدار المتعدد (</w:t>
      </w:r>
      <w:r w:rsidRPr="003D1437">
        <w:rPr>
          <w:rFonts w:ascii="Traditional Arabic" w:hAnsi="Traditional Arabic" w:cs="Traditional Arabic"/>
          <w:sz w:val="28"/>
          <w:szCs w:val="28"/>
        </w:rPr>
        <w:t>Multiple Regression</w:t>
      </w:r>
      <w:r w:rsidRPr="003D1437">
        <w:rPr>
          <w:rFonts w:ascii="Traditional Arabic" w:hAnsi="Traditional Arabic" w:cs="Traditional Arabic"/>
          <w:sz w:val="28"/>
          <w:szCs w:val="28"/>
          <w:rtl/>
        </w:rPr>
        <w:t>) لاختبار الفرضيتين الأولى والثانية، وتحليل المسار للتباينات المتعددة (</w:t>
      </w:r>
      <w:r w:rsidRPr="003D1437">
        <w:rPr>
          <w:rFonts w:ascii="Traditional Arabic" w:hAnsi="Traditional Arabic" w:cs="Traditional Arabic"/>
          <w:sz w:val="28"/>
          <w:szCs w:val="28"/>
        </w:rPr>
        <w:t>Multivariate Path Analysis</w:t>
      </w:r>
      <w:r w:rsidRPr="003D1437">
        <w:rPr>
          <w:rFonts w:ascii="Traditional Arabic" w:hAnsi="Traditional Arabic" w:cs="Traditional Arabic"/>
          <w:sz w:val="28"/>
          <w:szCs w:val="28"/>
          <w:rtl/>
        </w:rPr>
        <w:t>) لاختبار الفرضية الثالثة، وتحليل المسار (</w:t>
      </w:r>
      <w:r w:rsidRPr="003D1437">
        <w:rPr>
          <w:rFonts w:ascii="Traditional Arabic" w:hAnsi="Traditional Arabic" w:cs="Traditional Arabic"/>
          <w:sz w:val="28"/>
          <w:szCs w:val="28"/>
        </w:rPr>
        <w:t>Path Analysis</w:t>
      </w:r>
      <w:r w:rsidRPr="003D1437">
        <w:rPr>
          <w:rFonts w:ascii="Traditional Arabic" w:hAnsi="Traditional Arabic" w:cs="Traditional Arabic"/>
          <w:sz w:val="28"/>
          <w:szCs w:val="28"/>
          <w:rtl/>
        </w:rPr>
        <w:t>) للفرضية الرئيسية، وذلك على النحو التالي:</w:t>
      </w:r>
    </w:p>
    <w:p w14:paraId="0DD023F7" w14:textId="626840CA" w:rsidR="008A1445" w:rsidRPr="003D1437" w:rsidRDefault="0040059B" w:rsidP="0040059B">
      <w:pPr>
        <w:bidi/>
        <w:spacing w:after="200" w:line="360" w:lineRule="auto"/>
        <w:jc w:val="lowKashida"/>
        <w:rPr>
          <w:rFonts w:ascii="Traditional Arabic" w:hAnsi="Traditional Arabic" w:cs="Traditional Arabic"/>
          <w:sz w:val="28"/>
          <w:szCs w:val="28"/>
        </w:rPr>
      </w:pPr>
      <w:bookmarkStart w:id="135" w:name="_Toc233422646"/>
      <w:bookmarkStart w:id="136" w:name="_Toc236402703"/>
      <w:r w:rsidRPr="003D1437">
        <w:rPr>
          <w:rStyle w:val="Heading3Char"/>
          <w:rFonts w:hint="cs"/>
          <w:rtl/>
        </w:rPr>
        <w:t xml:space="preserve">4.5.1 </w:t>
      </w:r>
      <w:r w:rsidR="00E465F4" w:rsidRPr="003D1437">
        <w:rPr>
          <w:rStyle w:val="Heading3Char"/>
          <w:rtl/>
        </w:rPr>
        <w:t>التحقق من افتراضات تحليل الانحدار المتعدد (</w:t>
      </w:r>
      <w:r w:rsidR="00E465F4" w:rsidRPr="003D1437">
        <w:rPr>
          <w:rStyle w:val="Heading3Char"/>
        </w:rPr>
        <w:t>Regression Assumptions</w:t>
      </w:r>
      <w:r w:rsidR="00E465F4" w:rsidRPr="003D1437">
        <w:rPr>
          <w:rStyle w:val="Heading3Char"/>
          <w:rtl/>
        </w:rPr>
        <w:t>):</w:t>
      </w:r>
      <w:bookmarkEnd w:id="135"/>
      <w:bookmarkEnd w:id="136"/>
      <w:r w:rsidR="008A1445" w:rsidRPr="003D1437">
        <w:rPr>
          <w:rFonts w:ascii="Traditional Arabic" w:hAnsi="Traditional Arabic" w:cs="Traditional Arabic"/>
          <w:sz w:val="28"/>
          <w:szCs w:val="28"/>
        </w:rPr>
        <w:br/>
      </w:r>
      <w:r w:rsidR="008A1445" w:rsidRPr="003D1437">
        <w:rPr>
          <w:rFonts w:ascii="Traditional Arabic" w:hAnsi="Traditional Arabic" w:cs="Traditional Arabic"/>
          <w:sz w:val="28"/>
          <w:szCs w:val="28"/>
          <w:rtl/>
        </w:rPr>
        <w:t>قبل الشروع في اختبار فرضيات الدراسة باستخدام تحليل الانحدار، تم التحقق من استيفاء البيانات للافتراضات الإحصائية الأساسية لضمان دقة النتائج، وذلك من خلال اختبارين</w:t>
      </w:r>
      <w:r w:rsidR="008A1445" w:rsidRPr="003D1437">
        <w:rPr>
          <w:rFonts w:ascii="Traditional Arabic" w:hAnsi="Traditional Arabic" w:cs="Traditional Arabic"/>
          <w:sz w:val="28"/>
          <w:szCs w:val="28"/>
        </w:rPr>
        <w:t>:</w:t>
      </w:r>
    </w:p>
    <w:p w14:paraId="050061EC" w14:textId="0CB40B24" w:rsidR="008A1445" w:rsidRPr="003D1437" w:rsidRDefault="00F80A92">
      <w:pPr>
        <w:numPr>
          <w:ilvl w:val="0"/>
          <w:numId w:val="42"/>
        </w:num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اختبار التداخل الخطي المتعدد (</w:t>
      </w:r>
      <w:r w:rsidRPr="003D1437">
        <w:rPr>
          <w:rFonts w:ascii="Traditional Arabic" w:hAnsi="Traditional Arabic" w:cs="Traditional Arabic"/>
          <w:b/>
          <w:bCs/>
          <w:sz w:val="28"/>
          <w:szCs w:val="28"/>
        </w:rPr>
        <w:t>Multicollinearity</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تم استخراج قيم معامل </w:t>
      </w:r>
      <w:r w:rsidR="008A1445" w:rsidRPr="003D1437">
        <w:rPr>
          <w:rFonts w:ascii="Traditional Arabic" w:hAnsi="Traditional Arabic" w:cs="Traditional Arabic"/>
          <w:sz w:val="28"/>
          <w:szCs w:val="28"/>
          <w:rtl/>
        </w:rPr>
        <w:t>تضخم التباين</w:t>
      </w:r>
      <w:r w:rsidR="008A1445" w:rsidRPr="003D1437">
        <w:rPr>
          <w:rFonts w:ascii="Traditional Arabic" w:hAnsi="Traditional Arabic" w:cs="Traditional Arabic"/>
          <w:sz w:val="28"/>
          <w:szCs w:val="28"/>
        </w:rPr>
        <w:t xml:space="preserve"> (VIF) </w:t>
      </w:r>
      <w:r w:rsidR="008A1445" w:rsidRPr="003D1437">
        <w:rPr>
          <w:rFonts w:ascii="Traditional Arabic" w:hAnsi="Traditional Arabic" w:cs="Traditional Arabic"/>
          <w:sz w:val="28"/>
          <w:szCs w:val="28"/>
          <w:rtl/>
        </w:rPr>
        <w:t>ومستوى السماحية (</w:t>
      </w:r>
      <w:r w:rsidR="008A1445" w:rsidRPr="003D1437">
        <w:rPr>
          <w:rFonts w:ascii="Traditional Arabic" w:hAnsi="Traditional Arabic" w:cs="Traditional Arabic"/>
          <w:sz w:val="28"/>
          <w:szCs w:val="28"/>
        </w:rPr>
        <w:t>Tolerance</w:t>
      </w:r>
      <w:r w:rsidR="008A1445" w:rsidRPr="003D1437">
        <w:rPr>
          <w:rFonts w:ascii="Traditional Arabic" w:hAnsi="Traditional Arabic" w:cs="Traditional Arabic"/>
          <w:sz w:val="28"/>
          <w:szCs w:val="28"/>
          <w:rtl/>
        </w:rPr>
        <w:t>) للتأكد من عدم وجود ارتباط عالٍ جداً بين الأبعاد المستقلة. وأظهرت النتائج أن جميع قيم</w:t>
      </w:r>
      <w:r w:rsidR="008A1445" w:rsidRPr="003D1437">
        <w:rPr>
          <w:rFonts w:ascii="Traditional Arabic" w:hAnsi="Traditional Arabic" w:cs="Traditional Arabic"/>
          <w:sz w:val="28"/>
          <w:szCs w:val="28"/>
        </w:rPr>
        <w:t xml:space="preserve"> (VIF) </w:t>
      </w:r>
      <w:r w:rsidR="008A1445" w:rsidRPr="003D1437">
        <w:rPr>
          <w:rFonts w:ascii="Traditional Arabic" w:hAnsi="Traditional Arabic" w:cs="Traditional Arabic"/>
          <w:sz w:val="28"/>
          <w:szCs w:val="28"/>
          <w:rtl/>
        </w:rPr>
        <w:t>جاءت أقل من الحد المسموح به (10)، مما يؤكد خلو النموذج من مشكلة التداخل الخطي</w:t>
      </w:r>
      <w:r w:rsidR="008A1445" w:rsidRPr="003D1437">
        <w:rPr>
          <w:rFonts w:ascii="Traditional Arabic" w:hAnsi="Traditional Arabic" w:cs="Traditional Arabic"/>
          <w:sz w:val="28"/>
          <w:szCs w:val="28"/>
        </w:rPr>
        <w:t>.</w:t>
      </w:r>
    </w:p>
    <w:p w14:paraId="2AA52FB4" w14:textId="7C89D8E0" w:rsidR="00201AFC" w:rsidRPr="003D1437" w:rsidRDefault="00F80A92">
      <w:pPr>
        <w:numPr>
          <w:ilvl w:val="0"/>
          <w:numId w:val="42"/>
        </w:num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اختبار استقلالية البواقي (</w:t>
      </w:r>
      <w:r w:rsidRPr="003D1437">
        <w:rPr>
          <w:rFonts w:ascii="Traditional Arabic" w:hAnsi="Traditional Arabic" w:cs="Traditional Arabic"/>
          <w:b/>
          <w:bCs/>
          <w:sz w:val="28"/>
          <w:szCs w:val="28"/>
        </w:rPr>
        <w:t>Autocorrelation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تم استخدام </w:t>
      </w:r>
      <w:r w:rsidR="008A1445" w:rsidRPr="003D1437">
        <w:rPr>
          <w:rFonts w:ascii="Traditional Arabic" w:hAnsi="Traditional Arabic" w:cs="Traditional Arabic"/>
          <w:sz w:val="28"/>
          <w:szCs w:val="28"/>
          <w:rtl/>
        </w:rPr>
        <w:t>اختبار ديربن-واتسون</w:t>
      </w:r>
      <w:r w:rsidR="008A1445" w:rsidRPr="003D1437">
        <w:rPr>
          <w:rFonts w:ascii="Traditional Arabic" w:hAnsi="Traditional Arabic" w:cs="Traditional Arabic"/>
          <w:sz w:val="28"/>
          <w:szCs w:val="28"/>
        </w:rPr>
        <w:t xml:space="preserve"> (Durbin-Watson) </w:t>
      </w:r>
      <w:r w:rsidR="008A1445" w:rsidRPr="003D1437">
        <w:rPr>
          <w:rFonts w:ascii="Traditional Arabic" w:hAnsi="Traditional Arabic" w:cs="Traditional Arabic"/>
          <w:sz w:val="28"/>
          <w:szCs w:val="28"/>
          <w:rtl/>
        </w:rPr>
        <w:t>للتأكد من عدم ارتباط الأخطاء العشوائية، وبلغت قيمة الاختبار للنماذج المقدرة حوالي (1.88)، وهي تقع ضمن المدى المقبول إحصائياً (بين 1.5 و 2.5)، مما يؤكد استقلالية البواقي وصلاحية النماذج</w:t>
      </w:r>
      <w:r w:rsidR="008A1445" w:rsidRPr="003D1437">
        <w:rPr>
          <w:rFonts w:ascii="Traditional Arabic" w:hAnsi="Traditional Arabic" w:cs="Traditional Arabic"/>
          <w:sz w:val="28"/>
          <w:szCs w:val="28"/>
        </w:rPr>
        <w:t>.</w:t>
      </w:r>
    </w:p>
    <w:p w14:paraId="31F75F6B" w14:textId="77777777" w:rsidR="008A1445" w:rsidRPr="003D1437" w:rsidRDefault="008A1445" w:rsidP="0040059B">
      <w:pPr>
        <w:pStyle w:val="Heading3"/>
        <w:rPr>
          <w:rtl/>
        </w:rPr>
      </w:pPr>
      <w:bookmarkStart w:id="137" w:name="_Toc233422647"/>
      <w:bookmarkStart w:id="138" w:name="_Toc236402704"/>
      <w:r w:rsidRPr="003D1437">
        <w:rPr>
          <w:rtl/>
        </w:rPr>
        <w:t>1. اختبار الفرضية الفرعية الأولى:</w:t>
      </w:r>
      <w:bookmarkEnd w:id="137"/>
      <w:bookmarkEnd w:id="138"/>
    </w:p>
    <w:p w14:paraId="7A146974" w14:textId="77777777" w:rsidR="008A1445"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كفاءة الخطط الاستراتيجية ككل".</w:t>
      </w:r>
    </w:p>
    <w:p w14:paraId="2193A960" w14:textId="1D05FB5C" w:rsidR="00EC4863"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تم استخدام تحليل الانحدار المتعدد، ويوضح الجدول التالي النتائج:</w:t>
      </w:r>
    </w:p>
    <w:p w14:paraId="397A754E" w14:textId="225AEAC8" w:rsidR="008A1445" w:rsidRPr="003D1437" w:rsidRDefault="008A1445" w:rsidP="005222BC">
      <w:pPr>
        <w:pStyle w:val="Heading4"/>
        <w:rPr>
          <w:rtl/>
        </w:rPr>
      </w:pPr>
      <w:bookmarkStart w:id="139" w:name="_Toc235065206"/>
      <w:r w:rsidRPr="003D1437">
        <w:rPr>
          <w:rtl/>
        </w:rPr>
        <w:t>جدول (</w:t>
      </w:r>
      <w:r w:rsidR="0040059B" w:rsidRPr="003D1437">
        <w:rPr>
          <w:rFonts w:hint="cs"/>
          <w:rtl/>
        </w:rPr>
        <w:t>9</w:t>
      </w:r>
      <w:r w:rsidRPr="003D1437">
        <w:rPr>
          <w:rtl/>
        </w:rPr>
        <w:t xml:space="preserve">): نتائج تحليل الانحدار المتعدد لأثر </w:t>
      </w:r>
      <w:r w:rsidR="0051268E" w:rsidRPr="003D1437">
        <w:rPr>
          <w:rtl/>
        </w:rPr>
        <w:t xml:space="preserve">الذكاء الاصطناعي </w:t>
      </w:r>
      <w:r w:rsidR="0040059B" w:rsidRPr="003D1437">
        <w:rPr>
          <w:rFonts w:hint="cs"/>
          <w:rtl/>
        </w:rPr>
        <w:t>وأبعاده</w:t>
      </w:r>
      <w:r w:rsidRPr="003D1437">
        <w:rPr>
          <w:rtl/>
        </w:rPr>
        <w:t xml:space="preserve"> على كفاءة التخطيط</w:t>
      </w:r>
      <w:bookmarkEnd w:id="139"/>
    </w:p>
    <w:tbl>
      <w:tblPr>
        <w:bidiVisual/>
        <w:tblW w:w="5000" w:type="pct"/>
        <w:tblCellMar>
          <w:left w:w="0" w:type="dxa"/>
          <w:right w:w="0" w:type="dxa"/>
        </w:tblCellMar>
        <w:tblLook w:val="04A0" w:firstRow="1" w:lastRow="0" w:firstColumn="1" w:lastColumn="0" w:noHBand="0" w:noVBand="1"/>
      </w:tblPr>
      <w:tblGrid>
        <w:gridCol w:w="2727"/>
        <w:gridCol w:w="2593"/>
        <w:gridCol w:w="1000"/>
        <w:gridCol w:w="947"/>
        <w:gridCol w:w="947"/>
        <w:gridCol w:w="1146"/>
      </w:tblGrid>
      <w:tr w:rsidR="003D1437" w:rsidRPr="003D1437" w14:paraId="13190EAC" w14:textId="77777777" w:rsidTr="009C5AAC">
        <w:trPr>
          <w:tblHeader/>
        </w:trPr>
        <w:tc>
          <w:tcPr>
            <w:tcW w:w="1457" w:type="pct"/>
            <w:tcBorders>
              <w:top w:val="single" w:sz="4" w:space="0" w:color="auto"/>
              <w:bottom w:val="single" w:sz="4" w:space="0" w:color="auto"/>
            </w:tcBorders>
            <w:tcMar>
              <w:top w:w="240" w:type="dxa"/>
              <w:left w:w="180" w:type="dxa"/>
              <w:bottom w:w="240" w:type="dxa"/>
              <w:right w:w="0" w:type="dxa"/>
            </w:tcMar>
            <w:vAlign w:val="center"/>
            <w:hideMark/>
          </w:tcPr>
          <w:p w14:paraId="29F3125F" w14:textId="77777777" w:rsidR="008A1445" w:rsidRPr="003D1437" w:rsidRDefault="008A1445" w:rsidP="004B5225">
            <w:pPr>
              <w:bidi/>
              <w:spacing w:after="0" w:line="24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المتغير التابع</w:t>
            </w:r>
          </w:p>
        </w:tc>
        <w:tc>
          <w:tcPr>
            <w:tcW w:w="1385" w:type="pct"/>
            <w:tcBorders>
              <w:top w:val="single" w:sz="4" w:space="0" w:color="auto"/>
              <w:bottom w:val="single" w:sz="4" w:space="0" w:color="auto"/>
            </w:tcBorders>
            <w:tcMar>
              <w:top w:w="240" w:type="dxa"/>
              <w:left w:w="180" w:type="dxa"/>
              <w:bottom w:w="240" w:type="dxa"/>
              <w:right w:w="0" w:type="dxa"/>
            </w:tcMar>
            <w:vAlign w:val="center"/>
            <w:hideMark/>
          </w:tcPr>
          <w:p w14:paraId="6D14829A"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المتغيرات المستقلة (الأبعاد)</w:t>
            </w:r>
          </w:p>
        </w:tc>
        <w:tc>
          <w:tcPr>
            <w:tcW w:w="534" w:type="pct"/>
            <w:tcBorders>
              <w:top w:val="single" w:sz="4" w:space="0" w:color="auto"/>
              <w:bottom w:val="single" w:sz="4" w:space="0" w:color="auto"/>
            </w:tcBorders>
            <w:tcMar>
              <w:top w:w="240" w:type="dxa"/>
              <w:left w:w="180" w:type="dxa"/>
              <w:bottom w:w="240" w:type="dxa"/>
              <w:right w:w="0" w:type="dxa"/>
            </w:tcMar>
            <w:vAlign w:val="center"/>
            <w:hideMark/>
          </w:tcPr>
          <w:p w14:paraId="46E341B6"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المعامل </w:t>
            </w:r>
            <w:r w:rsidRPr="003D1437">
              <w:rPr>
                <w:rFonts w:ascii="Cambria" w:hAnsi="Cambria" w:cs="Cambria"/>
                <w:b/>
                <w:bCs/>
                <w:sz w:val="28"/>
                <w:szCs w:val="28"/>
              </w:rPr>
              <w:t>β</w:t>
            </w:r>
          </w:p>
        </w:tc>
        <w:tc>
          <w:tcPr>
            <w:tcW w:w="506" w:type="pct"/>
            <w:tcBorders>
              <w:top w:val="single" w:sz="4" w:space="0" w:color="auto"/>
              <w:bottom w:val="single" w:sz="4" w:space="0" w:color="auto"/>
            </w:tcBorders>
            <w:tcMar>
              <w:top w:w="240" w:type="dxa"/>
              <w:left w:w="180" w:type="dxa"/>
              <w:bottom w:w="240" w:type="dxa"/>
              <w:right w:w="0" w:type="dxa"/>
            </w:tcMar>
            <w:vAlign w:val="center"/>
            <w:hideMark/>
          </w:tcPr>
          <w:p w14:paraId="175CAF06"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قيمة </w:t>
            </w:r>
            <w:r w:rsidRPr="003D1437">
              <w:rPr>
                <w:rFonts w:ascii="Traditional Arabic" w:hAnsi="Traditional Arabic" w:cs="Traditional Arabic"/>
                <w:b/>
                <w:bCs/>
                <w:sz w:val="28"/>
                <w:szCs w:val="28"/>
              </w:rPr>
              <w:t>T</w:t>
            </w:r>
          </w:p>
        </w:tc>
        <w:tc>
          <w:tcPr>
            <w:tcW w:w="506" w:type="pct"/>
            <w:tcBorders>
              <w:top w:val="single" w:sz="4" w:space="0" w:color="auto"/>
              <w:bottom w:val="single" w:sz="4" w:space="0" w:color="auto"/>
            </w:tcBorders>
            <w:tcMar>
              <w:top w:w="240" w:type="dxa"/>
              <w:left w:w="180" w:type="dxa"/>
              <w:bottom w:w="240" w:type="dxa"/>
              <w:right w:w="0" w:type="dxa"/>
            </w:tcMar>
            <w:vAlign w:val="center"/>
            <w:hideMark/>
          </w:tcPr>
          <w:p w14:paraId="59B32CBB"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Pr>
              <w:t>Sig T</w:t>
            </w:r>
          </w:p>
        </w:tc>
        <w:tc>
          <w:tcPr>
            <w:tcW w:w="612" w:type="pct"/>
            <w:tcBorders>
              <w:top w:val="single" w:sz="4" w:space="0" w:color="auto"/>
              <w:bottom w:val="single" w:sz="4" w:space="0" w:color="auto"/>
            </w:tcBorders>
            <w:tcMar>
              <w:top w:w="240" w:type="dxa"/>
              <w:left w:w="0" w:type="dxa"/>
              <w:bottom w:w="240" w:type="dxa"/>
              <w:right w:w="0" w:type="dxa"/>
            </w:tcMar>
            <w:vAlign w:val="center"/>
            <w:hideMark/>
          </w:tcPr>
          <w:p w14:paraId="49C7DA93"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القرار</w:t>
            </w:r>
          </w:p>
        </w:tc>
      </w:tr>
      <w:tr w:rsidR="003D1437" w:rsidRPr="003D1437" w14:paraId="5232AF2F" w14:textId="77777777" w:rsidTr="009C5AAC">
        <w:tc>
          <w:tcPr>
            <w:tcW w:w="1457" w:type="pct"/>
            <w:vMerge w:val="restart"/>
            <w:tcBorders>
              <w:top w:val="single" w:sz="4" w:space="0" w:color="auto"/>
            </w:tcBorders>
            <w:tcMar>
              <w:top w:w="240" w:type="dxa"/>
              <w:left w:w="180" w:type="dxa"/>
              <w:bottom w:w="240" w:type="dxa"/>
              <w:right w:w="0" w:type="dxa"/>
            </w:tcMar>
            <w:vAlign w:val="center"/>
            <w:hideMark/>
          </w:tcPr>
          <w:p w14:paraId="4354AB16"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كفاءة التخطيط الاستراتيجي</w:t>
            </w:r>
          </w:p>
        </w:tc>
        <w:tc>
          <w:tcPr>
            <w:tcW w:w="1385" w:type="pct"/>
            <w:tcBorders>
              <w:top w:val="single" w:sz="4" w:space="0" w:color="auto"/>
            </w:tcBorders>
            <w:tcMar>
              <w:top w:w="240" w:type="dxa"/>
              <w:left w:w="180" w:type="dxa"/>
              <w:bottom w:w="240" w:type="dxa"/>
              <w:right w:w="0" w:type="dxa"/>
            </w:tcMar>
            <w:vAlign w:val="center"/>
            <w:hideMark/>
          </w:tcPr>
          <w:p w14:paraId="2234333A"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أتمتة المهام الإدارية</w:t>
            </w:r>
          </w:p>
        </w:tc>
        <w:tc>
          <w:tcPr>
            <w:tcW w:w="534" w:type="pct"/>
            <w:tcBorders>
              <w:top w:val="single" w:sz="4" w:space="0" w:color="auto"/>
            </w:tcBorders>
            <w:tcMar>
              <w:top w:w="240" w:type="dxa"/>
              <w:left w:w="180" w:type="dxa"/>
              <w:bottom w:w="240" w:type="dxa"/>
              <w:right w:w="0" w:type="dxa"/>
            </w:tcMar>
            <w:vAlign w:val="center"/>
            <w:hideMark/>
          </w:tcPr>
          <w:p w14:paraId="479DEF71"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0.185</w:t>
            </w:r>
          </w:p>
        </w:tc>
        <w:tc>
          <w:tcPr>
            <w:tcW w:w="506" w:type="pct"/>
            <w:tcBorders>
              <w:top w:val="single" w:sz="4" w:space="0" w:color="auto"/>
            </w:tcBorders>
            <w:tcMar>
              <w:top w:w="240" w:type="dxa"/>
              <w:left w:w="180" w:type="dxa"/>
              <w:bottom w:w="240" w:type="dxa"/>
              <w:right w:w="0" w:type="dxa"/>
            </w:tcMar>
            <w:vAlign w:val="center"/>
            <w:hideMark/>
          </w:tcPr>
          <w:p w14:paraId="10F7A4C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2.053</w:t>
            </w:r>
          </w:p>
        </w:tc>
        <w:tc>
          <w:tcPr>
            <w:tcW w:w="506" w:type="pct"/>
            <w:tcBorders>
              <w:top w:val="single" w:sz="4" w:space="0" w:color="auto"/>
            </w:tcBorders>
            <w:tcMar>
              <w:top w:w="240" w:type="dxa"/>
              <w:left w:w="180" w:type="dxa"/>
              <w:bottom w:w="240" w:type="dxa"/>
              <w:right w:w="0" w:type="dxa"/>
            </w:tcMar>
            <w:vAlign w:val="center"/>
            <w:hideMark/>
          </w:tcPr>
          <w:p w14:paraId="077A5C1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0.043</w:t>
            </w:r>
          </w:p>
        </w:tc>
        <w:tc>
          <w:tcPr>
            <w:tcW w:w="612" w:type="pct"/>
            <w:tcBorders>
              <w:top w:val="single" w:sz="4" w:space="0" w:color="auto"/>
            </w:tcBorders>
            <w:tcMar>
              <w:top w:w="240" w:type="dxa"/>
              <w:left w:w="0" w:type="dxa"/>
              <w:bottom w:w="240" w:type="dxa"/>
              <w:right w:w="0" w:type="dxa"/>
            </w:tcMar>
            <w:vAlign w:val="center"/>
            <w:hideMark/>
          </w:tcPr>
          <w:p w14:paraId="7C2C7FE0"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r w:rsidR="003D1437" w:rsidRPr="003D1437" w14:paraId="27C075FA" w14:textId="77777777" w:rsidTr="009C5AAC">
        <w:tc>
          <w:tcPr>
            <w:tcW w:w="1457" w:type="pct"/>
            <w:vMerge/>
            <w:tcMar>
              <w:top w:w="240" w:type="dxa"/>
              <w:left w:w="180" w:type="dxa"/>
              <w:bottom w:w="240" w:type="dxa"/>
              <w:right w:w="0" w:type="dxa"/>
            </w:tcMar>
            <w:vAlign w:val="center"/>
            <w:hideMark/>
          </w:tcPr>
          <w:p w14:paraId="7D776CD2" w14:textId="77777777" w:rsidR="008A1445" w:rsidRPr="003D1437" w:rsidRDefault="008A1445" w:rsidP="004B5225">
            <w:pPr>
              <w:bidi/>
              <w:spacing w:after="0" w:line="240" w:lineRule="auto"/>
              <w:rPr>
                <w:rFonts w:ascii="Traditional Arabic" w:hAnsi="Traditional Arabic" w:cs="Traditional Arabic"/>
                <w:b/>
                <w:bCs/>
                <w:sz w:val="28"/>
                <w:szCs w:val="28"/>
                <w:rtl/>
              </w:rPr>
            </w:pPr>
          </w:p>
        </w:tc>
        <w:tc>
          <w:tcPr>
            <w:tcW w:w="1385" w:type="pct"/>
            <w:tcMar>
              <w:top w:w="240" w:type="dxa"/>
              <w:left w:w="180" w:type="dxa"/>
              <w:bottom w:w="240" w:type="dxa"/>
              <w:right w:w="0" w:type="dxa"/>
            </w:tcMar>
            <w:vAlign w:val="center"/>
            <w:hideMark/>
          </w:tcPr>
          <w:p w14:paraId="6996B0D1" w14:textId="77777777" w:rsidR="008A1445" w:rsidRPr="003D1437" w:rsidRDefault="008A1445" w:rsidP="004B5225">
            <w:pPr>
              <w:bidi/>
              <w:spacing w:after="0" w:line="24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tl/>
              </w:rPr>
              <w:t>دعم اتخاذ القرار</w:t>
            </w:r>
          </w:p>
        </w:tc>
        <w:tc>
          <w:tcPr>
            <w:tcW w:w="534" w:type="pct"/>
            <w:tcMar>
              <w:top w:w="240" w:type="dxa"/>
              <w:left w:w="180" w:type="dxa"/>
              <w:bottom w:w="240" w:type="dxa"/>
              <w:right w:w="0" w:type="dxa"/>
            </w:tcMar>
            <w:vAlign w:val="center"/>
            <w:hideMark/>
          </w:tcPr>
          <w:p w14:paraId="550A3DEE" w14:textId="77777777" w:rsidR="008A1445" w:rsidRPr="003D1437" w:rsidRDefault="008A1445" w:rsidP="004B5225">
            <w:pPr>
              <w:bidi/>
              <w:spacing w:after="0" w:line="240"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0.255</w:t>
            </w:r>
          </w:p>
        </w:tc>
        <w:tc>
          <w:tcPr>
            <w:tcW w:w="506" w:type="pct"/>
            <w:tcMar>
              <w:top w:w="240" w:type="dxa"/>
              <w:left w:w="180" w:type="dxa"/>
              <w:bottom w:w="240" w:type="dxa"/>
              <w:right w:w="0" w:type="dxa"/>
            </w:tcMar>
            <w:vAlign w:val="center"/>
            <w:hideMark/>
          </w:tcPr>
          <w:p w14:paraId="04F6C4E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2.653</w:t>
            </w:r>
          </w:p>
        </w:tc>
        <w:tc>
          <w:tcPr>
            <w:tcW w:w="506" w:type="pct"/>
            <w:tcMar>
              <w:top w:w="240" w:type="dxa"/>
              <w:left w:w="180" w:type="dxa"/>
              <w:bottom w:w="240" w:type="dxa"/>
              <w:right w:w="0" w:type="dxa"/>
            </w:tcMar>
            <w:vAlign w:val="center"/>
            <w:hideMark/>
          </w:tcPr>
          <w:p w14:paraId="09ECABE9"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0.010</w:t>
            </w:r>
          </w:p>
        </w:tc>
        <w:tc>
          <w:tcPr>
            <w:tcW w:w="612" w:type="pct"/>
            <w:tcMar>
              <w:top w:w="240" w:type="dxa"/>
              <w:left w:w="0" w:type="dxa"/>
              <w:bottom w:w="240" w:type="dxa"/>
              <w:right w:w="0" w:type="dxa"/>
            </w:tcMar>
            <w:vAlign w:val="center"/>
            <w:hideMark/>
          </w:tcPr>
          <w:p w14:paraId="578BC2E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r w:rsidR="003D1437" w:rsidRPr="003D1437" w14:paraId="277D653F" w14:textId="77777777" w:rsidTr="009C5AAC">
        <w:tc>
          <w:tcPr>
            <w:tcW w:w="1457" w:type="pct"/>
            <w:vMerge/>
            <w:tcBorders>
              <w:bottom w:val="single" w:sz="4" w:space="0" w:color="auto"/>
            </w:tcBorders>
            <w:tcMar>
              <w:top w:w="240" w:type="dxa"/>
              <w:left w:w="180" w:type="dxa"/>
              <w:bottom w:w="240" w:type="dxa"/>
              <w:right w:w="0" w:type="dxa"/>
            </w:tcMar>
            <w:vAlign w:val="center"/>
            <w:hideMark/>
          </w:tcPr>
          <w:p w14:paraId="1D7AC6CC" w14:textId="77777777" w:rsidR="008A1445" w:rsidRPr="003D1437" w:rsidRDefault="008A1445" w:rsidP="004B5225">
            <w:pPr>
              <w:bidi/>
              <w:spacing w:after="0" w:line="240" w:lineRule="auto"/>
              <w:rPr>
                <w:rFonts w:ascii="Traditional Arabic" w:hAnsi="Traditional Arabic" w:cs="Traditional Arabic"/>
                <w:b/>
                <w:bCs/>
                <w:sz w:val="28"/>
                <w:szCs w:val="28"/>
                <w:rtl/>
              </w:rPr>
            </w:pPr>
          </w:p>
        </w:tc>
        <w:tc>
          <w:tcPr>
            <w:tcW w:w="1385" w:type="pct"/>
            <w:tcBorders>
              <w:bottom w:val="single" w:sz="4" w:space="0" w:color="auto"/>
            </w:tcBorders>
            <w:tcMar>
              <w:top w:w="240" w:type="dxa"/>
              <w:left w:w="180" w:type="dxa"/>
              <w:bottom w:w="240" w:type="dxa"/>
              <w:right w:w="0" w:type="dxa"/>
            </w:tcMar>
            <w:vAlign w:val="center"/>
            <w:hideMark/>
          </w:tcPr>
          <w:p w14:paraId="0A2944D2" w14:textId="77777777" w:rsidR="008A1445" w:rsidRPr="003D1437" w:rsidRDefault="008A1445" w:rsidP="004B5225">
            <w:pPr>
              <w:bidi/>
              <w:spacing w:after="0" w:line="24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tl/>
              </w:rPr>
              <w:t>أنظمة الإنذار المبكر</w:t>
            </w:r>
          </w:p>
        </w:tc>
        <w:tc>
          <w:tcPr>
            <w:tcW w:w="534" w:type="pct"/>
            <w:tcBorders>
              <w:bottom w:val="single" w:sz="4" w:space="0" w:color="auto"/>
            </w:tcBorders>
            <w:tcMar>
              <w:top w:w="240" w:type="dxa"/>
              <w:left w:w="180" w:type="dxa"/>
              <w:bottom w:w="240" w:type="dxa"/>
              <w:right w:w="0" w:type="dxa"/>
            </w:tcMar>
            <w:vAlign w:val="center"/>
            <w:hideMark/>
          </w:tcPr>
          <w:p w14:paraId="6C41F56B" w14:textId="77777777" w:rsidR="008A1445" w:rsidRPr="003D1437" w:rsidRDefault="008A1445" w:rsidP="004B5225">
            <w:pPr>
              <w:bidi/>
              <w:spacing w:after="0" w:line="240"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0.230</w:t>
            </w:r>
          </w:p>
        </w:tc>
        <w:tc>
          <w:tcPr>
            <w:tcW w:w="506" w:type="pct"/>
            <w:tcBorders>
              <w:bottom w:val="single" w:sz="4" w:space="0" w:color="auto"/>
            </w:tcBorders>
            <w:tcMar>
              <w:top w:w="240" w:type="dxa"/>
              <w:left w:w="180" w:type="dxa"/>
              <w:bottom w:w="240" w:type="dxa"/>
              <w:right w:w="0" w:type="dxa"/>
            </w:tcMar>
            <w:vAlign w:val="center"/>
            <w:hideMark/>
          </w:tcPr>
          <w:p w14:paraId="3970EE80"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2.133</w:t>
            </w:r>
          </w:p>
        </w:tc>
        <w:tc>
          <w:tcPr>
            <w:tcW w:w="506" w:type="pct"/>
            <w:tcBorders>
              <w:bottom w:val="single" w:sz="4" w:space="0" w:color="auto"/>
            </w:tcBorders>
            <w:tcMar>
              <w:top w:w="240" w:type="dxa"/>
              <w:left w:w="180" w:type="dxa"/>
              <w:bottom w:w="240" w:type="dxa"/>
              <w:right w:w="0" w:type="dxa"/>
            </w:tcMar>
            <w:vAlign w:val="center"/>
            <w:hideMark/>
          </w:tcPr>
          <w:p w14:paraId="3C7A7C3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0.036</w:t>
            </w:r>
          </w:p>
        </w:tc>
        <w:tc>
          <w:tcPr>
            <w:tcW w:w="612" w:type="pct"/>
            <w:tcBorders>
              <w:bottom w:val="single" w:sz="4" w:space="0" w:color="auto"/>
            </w:tcBorders>
            <w:tcMar>
              <w:top w:w="240" w:type="dxa"/>
              <w:left w:w="0" w:type="dxa"/>
              <w:bottom w:w="240" w:type="dxa"/>
              <w:right w:w="0" w:type="dxa"/>
            </w:tcMar>
            <w:vAlign w:val="center"/>
            <w:hideMark/>
          </w:tcPr>
          <w:p w14:paraId="41FD24E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bl>
    <w:p w14:paraId="10A1E5A0" w14:textId="77777777" w:rsidR="008A1445" w:rsidRPr="003D1437" w:rsidRDefault="008A1445" w:rsidP="008A1445">
      <w:pPr>
        <w:spacing w:line="36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Pr>
        <w:t>R</w:t>
      </w:r>
      <w:r w:rsidRPr="003D1437">
        <w:rPr>
          <w:rFonts w:ascii="Traditional Arabic" w:hAnsi="Traditional Arabic" w:cs="Traditional Arabic"/>
          <w:b/>
          <w:bCs/>
          <w:sz w:val="28"/>
          <w:szCs w:val="28"/>
          <w:vertAlign w:val="superscript"/>
        </w:rPr>
        <w:t xml:space="preserve">2 </w:t>
      </w:r>
      <w:r w:rsidRPr="003D1437">
        <w:rPr>
          <w:rFonts w:ascii="Traditional Arabic" w:hAnsi="Traditional Arabic" w:cs="Traditional Arabic"/>
          <w:b/>
          <w:bCs/>
          <w:sz w:val="28"/>
          <w:szCs w:val="28"/>
        </w:rPr>
        <w:t>= 0.477, F = 23.381, Sig F &lt; 0.001</w:t>
      </w:r>
    </w:p>
    <w:p w14:paraId="2A7CD7E1" w14:textId="12729A26" w:rsidR="00F557E4"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تشير النتائج إلى أن نموذج الانحدار دال إحصائياً (</w:t>
      </w:r>
      <w:r w:rsidRPr="003D1437">
        <w:rPr>
          <w:rFonts w:ascii="Traditional Arabic" w:hAnsi="Traditional Arabic" w:cs="Traditional Arabic"/>
          <w:sz w:val="28"/>
          <w:szCs w:val="28"/>
        </w:rPr>
        <w:t>F</w:t>
      </w:r>
      <w:r w:rsidR="00497449" w:rsidRPr="003D1437">
        <w:rPr>
          <w:rFonts w:ascii="Traditional Arabic" w:hAnsi="Traditional Arabic" w:cs="Traditional Arabic"/>
          <w:sz w:val="28"/>
          <w:szCs w:val="28"/>
        </w:rPr>
        <w:t xml:space="preserve">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23.38</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P&lt;0.01</w:t>
      </w:r>
      <w:r w:rsidRPr="003D1437">
        <w:rPr>
          <w:rFonts w:ascii="Traditional Arabic" w:hAnsi="Traditional Arabic" w:cs="Traditional Arabic"/>
          <w:sz w:val="28"/>
          <w:szCs w:val="28"/>
          <w:rtl/>
        </w:rPr>
        <w:t>)، وأن أبعاد الذكاء الاصطناعي مجتمعة تفسر ما نسبته (47.7%) من التباين في كفاءة التخطيط. وعند تفكيك التأثير لمعرفة الأبعاد الأكثر تأثيراً، نجد أن جميع الأبعاد كان لها تأثير إيجابي دال إحصائياً. وقد تصدر بُعد (دعم اتخاذ القرار) المرتبة الأولى كأقوى المتغيرات تأثيراً (</w:t>
      </w:r>
      <w:r w:rsidRPr="003D1437">
        <w:rPr>
          <w:rFonts w:ascii="Cambria" w:hAnsi="Cambria" w:cs="Cambria"/>
          <w:sz w:val="28"/>
          <w:szCs w:val="28"/>
        </w:rPr>
        <w:t>β</w:t>
      </w:r>
      <w:r w:rsidR="007C5FC5" w:rsidRPr="003D1437">
        <w:rPr>
          <w:rFonts w:ascii="Traditional Arabic" w:hAnsi="Traditional Arabic" w:cs="Traditional Arabic"/>
          <w:b/>
          <w:bCs/>
          <w:sz w:val="28"/>
          <w:szCs w:val="28"/>
        </w:rPr>
        <w:t xml:space="preserve"> =</w:t>
      </w:r>
      <w:r w:rsidRPr="003D1437">
        <w:rPr>
          <w:rFonts w:ascii="Traditional Arabic" w:hAnsi="Traditional Arabic" w:cs="Traditional Arabic"/>
          <w:sz w:val="28"/>
          <w:szCs w:val="28"/>
        </w:rPr>
        <w:t>0.255</w:t>
      </w:r>
      <w:r w:rsidRPr="003D1437">
        <w:rPr>
          <w:rFonts w:ascii="Traditional Arabic" w:hAnsi="Traditional Arabic" w:cs="Traditional Arabic"/>
          <w:sz w:val="28"/>
          <w:szCs w:val="28"/>
          <w:rtl/>
        </w:rPr>
        <w:t>)، تلاه بُعد (أنظمة الإنذار المبكر) (</w:t>
      </w:r>
      <w:r w:rsidRPr="003D1437">
        <w:rPr>
          <w:rFonts w:ascii="Cambria" w:hAnsi="Cambria" w:cs="Cambria"/>
          <w:sz w:val="28"/>
          <w:szCs w:val="28"/>
        </w:rPr>
        <w:t>β</w:t>
      </w:r>
      <w:r w:rsidR="00497449" w:rsidRPr="003D1437">
        <w:rPr>
          <w:rFonts w:ascii="Cambria" w:hAnsi="Cambria" w:cs="Cambria"/>
          <w:sz w:val="28"/>
          <w:szCs w:val="28"/>
        </w:rPr>
        <w:t xml:space="preserve">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0.230</w:t>
      </w:r>
      <w:r w:rsidRPr="003D1437">
        <w:rPr>
          <w:rFonts w:ascii="Traditional Arabic" w:hAnsi="Traditional Arabic" w:cs="Traditional Arabic"/>
          <w:sz w:val="28"/>
          <w:szCs w:val="28"/>
          <w:rtl/>
        </w:rPr>
        <w:t>)، ثم جاء بُعد (أتمتة المهام الإدارية) في المرتبة الثالثة (</w:t>
      </w:r>
      <w:r w:rsidRPr="003D1437">
        <w:rPr>
          <w:rFonts w:ascii="Cambria" w:hAnsi="Cambria" w:cs="Cambria"/>
          <w:sz w:val="28"/>
          <w:szCs w:val="28"/>
        </w:rPr>
        <w:t>β</w:t>
      </w:r>
      <w:r w:rsidR="004F0D80" w:rsidRPr="003D1437">
        <w:rPr>
          <w:rFonts w:ascii="Traditional Arabic" w:hAnsi="Traditional Arabic" w:cs="Traditional Arabic"/>
          <w:sz w:val="28"/>
          <w:szCs w:val="28"/>
        </w:rPr>
        <w:t xml:space="preserve"> </w:t>
      </w:r>
      <w:r w:rsidR="004F0D80"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0.185</w:t>
      </w:r>
      <w:r w:rsidRPr="003D1437">
        <w:rPr>
          <w:rFonts w:ascii="Traditional Arabic" w:hAnsi="Traditional Arabic" w:cs="Traditional Arabic"/>
          <w:sz w:val="28"/>
          <w:szCs w:val="28"/>
          <w:rtl/>
        </w:rPr>
        <w:t>). وبذلك تُقبل الفرضية الفرعية الأولى.</w:t>
      </w:r>
    </w:p>
    <w:p w14:paraId="26BB2BAA" w14:textId="0D8A1AF8" w:rsidR="00F557E4" w:rsidRPr="003D1437" w:rsidRDefault="0040059B" w:rsidP="0040059B">
      <w:pPr>
        <w:pStyle w:val="Heading3"/>
        <w:rPr>
          <w:rtl/>
        </w:rPr>
      </w:pPr>
      <w:bookmarkStart w:id="140" w:name="_Toc233422648"/>
      <w:bookmarkStart w:id="141" w:name="_Toc236402705"/>
      <w:r w:rsidRPr="003D1437">
        <w:rPr>
          <w:rFonts w:hint="cs"/>
          <w:rtl/>
        </w:rPr>
        <w:t>4.5.2</w:t>
      </w:r>
      <w:r w:rsidR="00F557E4" w:rsidRPr="003D1437">
        <w:rPr>
          <w:rtl/>
        </w:rPr>
        <w:t xml:space="preserve"> </w:t>
      </w:r>
      <w:r w:rsidR="008A1445" w:rsidRPr="003D1437">
        <w:rPr>
          <w:rtl/>
        </w:rPr>
        <w:t>اختبار الفرضية الفرعية الثانية:</w:t>
      </w:r>
      <w:bookmarkEnd w:id="140"/>
      <w:bookmarkEnd w:id="141"/>
    </w:p>
    <w:p w14:paraId="5A7D7E2A" w14:textId="77777777" w:rsidR="008A1445" w:rsidRPr="003D1437" w:rsidRDefault="008A1445" w:rsidP="0040059B">
      <w:pPr>
        <w:bidi/>
        <w:spacing w:after="200" w:line="276"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التكيف التكنولوجي".</w:t>
      </w:r>
    </w:p>
    <w:p w14:paraId="1B5E0A6B" w14:textId="62880970" w:rsidR="008A1445" w:rsidRPr="003D1437" w:rsidRDefault="008A1445" w:rsidP="0040059B">
      <w:pPr>
        <w:pStyle w:val="Heading4"/>
        <w:rPr>
          <w:color w:val="auto"/>
          <w:rtl/>
        </w:rPr>
      </w:pPr>
      <w:bookmarkStart w:id="142" w:name="_Toc235065207"/>
      <w:r w:rsidRPr="003D1437">
        <w:rPr>
          <w:color w:val="auto"/>
          <w:rtl/>
        </w:rPr>
        <w:t>جدول (</w:t>
      </w:r>
      <w:r w:rsidR="0040059B" w:rsidRPr="003D1437">
        <w:rPr>
          <w:rFonts w:hint="cs"/>
          <w:color w:val="auto"/>
          <w:rtl/>
        </w:rPr>
        <w:t>10</w:t>
      </w:r>
      <w:r w:rsidRPr="003D1437">
        <w:rPr>
          <w:color w:val="auto"/>
          <w:rtl/>
        </w:rPr>
        <w:t>): نتائج تحليل الانحدار المتعدد لأثر</w:t>
      </w:r>
      <w:r w:rsidR="00A213E8" w:rsidRPr="003D1437">
        <w:rPr>
          <w:color w:val="auto"/>
          <w:rtl/>
        </w:rPr>
        <w:t xml:space="preserve"> الذكاء الاصطناعي </w:t>
      </w:r>
      <w:r w:rsidR="0040059B" w:rsidRPr="003D1437">
        <w:rPr>
          <w:rFonts w:hint="cs"/>
          <w:color w:val="auto"/>
          <w:rtl/>
        </w:rPr>
        <w:t>وأبعاده</w:t>
      </w:r>
      <w:r w:rsidR="00A213E8" w:rsidRPr="003D1437">
        <w:rPr>
          <w:color w:val="auto"/>
          <w:rtl/>
        </w:rPr>
        <w:t xml:space="preserve"> </w:t>
      </w:r>
      <w:r w:rsidRPr="003D1437">
        <w:rPr>
          <w:color w:val="auto"/>
          <w:rtl/>
        </w:rPr>
        <w:t>على التكيف التكنولوجي</w:t>
      </w:r>
      <w:bookmarkEnd w:id="142"/>
    </w:p>
    <w:tbl>
      <w:tblPr>
        <w:bidiVisual/>
        <w:tblW w:w="5000" w:type="pct"/>
        <w:tblCellMar>
          <w:left w:w="0" w:type="dxa"/>
          <w:right w:w="0" w:type="dxa"/>
        </w:tblCellMar>
        <w:tblLook w:val="04A0" w:firstRow="1" w:lastRow="0" w:firstColumn="1" w:lastColumn="0" w:noHBand="0" w:noVBand="1"/>
      </w:tblPr>
      <w:tblGrid>
        <w:gridCol w:w="2081"/>
        <w:gridCol w:w="2763"/>
        <w:gridCol w:w="1174"/>
        <w:gridCol w:w="1174"/>
        <w:gridCol w:w="1009"/>
        <w:gridCol w:w="1159"/>
      </w:tblGrid>
      <w:tr w:rsidR="003D1437" w:rsidRPr="003D1437" w14:paraId="25CDB591" w14:textId="77777777" w:rsidTr="006F046C">
        <w:tc>
          <w:tcPr>
            <w:tcW w:w="1112" w:type="pct"/>
            <w:tcBorders>
              <w:top w:val="single" w:sz="4" w:space="0" w:color="auto"/>
              <w:bottom w:val="single" w:sz="4" w:space="0" w:color="auto"/>
            </w:tcBorders>
            <w:tcMar>
              <w:top w:w="240" w:type="dxa"/>
              <w:left w:w="180" w:type="dxa"/>
              <w:bottom w:w="240" w:type="dxa"/>
              <w:right w:w="0" w:type="dxa"/>
            </w:tcMar>
            <w:vAlign w:val="center"/>
            <w:hideMark/>
          </w:tcPr>
          <w:p w14:paraId="01C279B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المتغير التابع</w:t>
            </w:r>
          </w:p>
        </w:tc>
        <w:tc>
          <w:tcPr>
            <w:tcW w:w="1476" w:type="pct"/>
            <w:tcBorders>
              <w:top w:val="single" w:sz="4" w:space="0" w:color="auto"/>
              <w:bottom w:val="single" w:sz="4" w:space="0" w:color="auto"/>
            </w:tcBorders>
            <w:tcMar>
              <w:top w:w="240" w:type="dxa"/>
              <w:left w:w="180" w:type="dxa"/>
              <w:bottom w:w="240" w:type="dxa"/>
              <w:right w:w="0" w:type="dxa"/>
            </w:tcMar>
            <w:vAlign w:val="center"/>
            <w:hideMark/>
          </w:tcPr>
          <w:p w14:paraId="1CC37ECD"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المتغيرات المستقلة (الأبعاد)</w:t>
            </w:r>
          </w:p>
        </w:tc>
        <w:tc>
          <w:tcPr>
            <w:tcW w:w="627" w:type="pct"/>
            <w:tcBorders>
              <w:top w:val="single" w:sz="4" w:space="0" w:color="auto"/>
              <w:bottom w:val="single" w:sz="4" w:space="0" w:color="auto"/>
            </w:tcBorders>
            <w:tcMar>
              <w:top w:w="240" w:type="dxa"/>
              <w:left w:w="180" w:type="dxa"/>
              <w:bottom w:w="240" w:type="dxa"/>
              <w:right w:w="0" w:type="dxa"/>
            </w:tcMar>
            <w:vAlign w:val="center"/>
            <w:hideMark/>
          </w:tcPr>
          <w:p w14:paraId="12E44FDA"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المعامل </w:t>
            </w:r>
            <w:r w:rsidRPr="003D1437">
              <w:rPr>
                <w:rFonts w:ascii="Cambria" w:hAnsi="Cambria" w:cs="Cambria"/>
                <w:b/>
                <w:bCs/>
                <w:sz w:val="28"/>
                <w:szCs w:val="28"/>
                <w:lang w:bidi="ar-EG"/>
              </w:rPr>
              <w:t>β</w:t>
            </w:r>
          </w:p>
        </w:tc>
        <w:tc>
          <w:tcPr>
            <w:tcW w:w="627" w:type="pct"/>
            <w:tcBorders>
              <w:top w:val="single" w:sz="4" w:space="0" w:color="auto"/>
              <w:bottom w:val="single" w:sz="4" w:space="0" w:color="auto"/>
            </w:tcBorders>
            <w:tcMar>
              <w:top w:w="240" w:type="dxa"/>
              <w:left w:w="180" w:type="dxa"/>
              <w:bottom w:w="240" w:type="dxa"/>
              <w:right w:w="0" w:type="dxa"/>
            </w:tcMar>
            <w:vAlign w:val="center"/>
            <w:hideMark/>
          </w:tcPr>
          <w:p w14:paraId="5BD80C5A"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قيمة </w:t>
            </w:r>
            <w:r w:rsidRPr="003D1437">
              <w:rPr>
                <w:rFonts w:ascii="Traditional Arabic" w:hAnsi="Traditional Arabic" w:cs="Traditional Arabic"/>
                <w:b/>
                <w:bCs/>
                <w:sz w:val="28"/>
                <w:szCs w:val="28"/>
                <w:lang w:bidi="ar-EG"/>
              </w:rPr>
              <w:t>T</w:t>
            </w:r>
          </w:p>
        </w:tc>
        <w:tc>
          <w:tcPr>
            <w:tcW w:w="539" w:type="pct"/>
            <w:tcBorders>
              <w:top w:val="single" w:sz="4" w:space="0" w:color="auto"/>
              <w:bottom w:val="single" w:sz="4" w:space="0" w:color="auto"/>
            </w:tcBorders>
            <w:tcMar>
              <w:top w:w="240" w:type="dxa"/>
              <w:left w:w="180" w:type="dxa"/>
              <w:bottom w:w="240" w:type="dxa"/>
              <w:right w:w="0" w:type="dxa"/>
            </w:tcMar>
            <w:vAlign w:val="center"/>
            <w:hideMark/>
          </w:tcPr>
          <w:p w14:paraId="0A5EAE5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lang w:bidi="ar-EG"/>
              </w:rPr>
              <w:t>Sig T</w:t>
            </w:r>
          </w:p>
        </w:tc>
        <w:tc>
          <w:tcPr>
            <w:tcW w:w="619" w:type="pct"/>
            <w:tcBorders>
              <w:top w:val="single" w:sz="4" w:space="0" w:color="auto"/>
              <w:bottom w:val="single" w:sz="4" w:space="0" w:color="auto"/>
            </w:tcBorders>
            <w:tcMar>
              <w:top w:w="240" w:type="dxa"/>
              <w:left w:w="0" w:type="dxa"/>
              <w:bottom w:w="240" w:type="dxa"/>
              <w:right w:w="0" w:type="dxa"/>
            </w:tcMar>
            <w:vAlign w:val="center"/>
            <w:hideMark/>
          </w:tcPr>
          <w:p w14:paraId="6D530AA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القرار</w:t>
            </w:r>
          </w:p>
        </w:tc>
      </w:tr>
      <w:tr w:rsidR="003D1437" w:rsidRPr="003D1437" w14:paraId="2EFFDF1A" w14:textId="77777777" w:rsidTr="006F046C">
        <w:tc>
          <w:tcPr>
            <w:tcW w:w="1112" w:type="pct"/>
            <w:vMerge w:val="restart"/>
            <w:tcBorders>
              <w:top w:val="single" w:sz="4" w:space="0" w:color="auto"/>
            </w:tcBorders>
            <w:tcMar>
              <w:top w:w="240" w:type="dxa"/>
              <w:left w:w="180" w:type="dxa"/>
              <w:bottom w:w="240" w:type="dxa"/>
              <w:right w:w="0" w:type="dxa"/>
            </w:tcMar>
            <w:vAlign w:val="center"/>
            <w:hideMark/>
          </w:tcPr>
          <w:p w14:paraId="5FBB34FF"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التكيف التكنولوجي</w:t>
            </w:r>
          </w:p>
        </w:tc>
        <w:tc>
          <w:tcPr>
            <w:tcW w:w="1476" w:type="pct"/>
            <w:tcBorders>
              <w:top w:val="single" w:sz="4" w:space="0" w:color="auto"/>
            </w:tcBorders>
            <w:tcMar>
              <w:top w:w="240" w:type="dxa"/>
              <w:left w:w="180" w:type="dxa"/>
              <w:bottom w:w="240" w:type="dxa"/>
              <w:right w:w="0" w:type="dxa"/>
            </w:tcMar>
            <w:vAlign w:val="center"/>
            <w:hideMark/>
          </w:tcPr>
          <w:p w14:paraId="2BECF2C1"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أتمتة المهام الإدارية</w:t>
            </w:r>
          </w:p>
        </w:tc>
        <w:tc>
          <w:tcPr>
            <w:tcW w:w="627" w:type="pct"/>
            <w:tcBorders>
              <w:top w:val="single" w:sz="4" w:space="0" w:color="auto"/>
            </w:tcBorders>
            <w:tcMar>
              <w:top w:w="240" w:type="dxa"/>
              <w:left w:w="180" w:type="dxa"/>
              <w:bottom w:w="240" w:type="dxa"/>
              <w:right w:w="0" w:type="dxa"/>
            </w:tcMar>
            <w:vAlign w:val="center"/>
            <w:hideMark/>
          </w:tcPr>
          <w:p w14:paraId="3C29A0F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0.217</w:t>
            </w:r>
          </w:p>
        </w:tc>
        <w:tc>
          <w:tcPr>
            <w:tcW w:w="627" w:type="pct"/>
            <w:tcBorders>
              <w:top w:val="single" w:sz="4" w:space="0" w:color="auto"/>
            </w:tcBorders>
            <w:tcMar>
              <w:top w:w="240" w:type="dxa"/>
              <w:left w:w="180" w:type="dxa"/>
              <w:bottom w:w="240" w:type="dxa"/>
              <w:right w:w="0" w:type="dxa"/>
            </w:tcMar>
            <w:vAlign w:val="center"/>
            <w:hideMark/>
          </w:tcPr>
          <w:p w14:paraId="24110F2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1.811</w:t>
            </w:r>
          </w:p>
        </w:tc>
        <w:tc>
          <w:tcPr>
            <w:tcW w:w="539" w:type="pct"/>
            <w:tcBorders>
              <w:top w:val="single" w:sz="4" w:space="0" w:color="auto"/>
            </w:tcBorders>
            <w:tcMar>
              <w:top w:w="240" w:type="dxa"/>
              <w:left w:w="180" w:type="dxa"/>
              <w:bottom w:w="240" w:type="dxa"/>
              <w:right w:w="0" w:type="dxa"/>
            </w:tcMar>
            <w:vAlign w:val="center"/>
            <w:hideMark/>
          </w:tcPr>
          <w:p w14:paraId="3D801D52"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0.074</w:t>
            </w:r>
          </w:p>
        </w:tc>
        <w:tc>
          <w:tcPr>
            <w:tcW w:w="619" w:type="pct"/>
            <w:tcBorders>
              <w:top w:val="single" w:sz="4" w:space="0" w:color="auto"/>
            </w:tcBorders>
            <w:tcMar>
              <w:top w:w="240" w:type="dxa"/>
              <w:left w:w="0" w:type="dxa"/>
              <w:bottom w:w="240" w:type="dxa"/>
              <w:right w:w="0" w:type="dxa"/>
            </w:tcMar>
            <w:vAlign w:val="center"/>
            <w:hideMark/>
          </w:tcPr>
          <w:p w14:paraId="76F1A2C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w:t>
            </w:r>
          </w:p>
        </w:tc>
      </w:tr>
      <w:tr w:rsidR="003D1437" w:rsidRPr="003D1437" w14:paraId="2C345652" w14:textId="77777777" w:rsidTr="006F046C">
        <w:tc>
          <w:tcPr>
            <w:tcW w:w="1112" w:type="pct"/>
            <w:vMerge/>
            <w:tcMar>
              <w:top w:w="240" w:type="dxa"/>
              <w:left w:w="180" w:type="dxa"/>
              <w:bottom w:w="240" w:type="dxa"/>
              <w:right w:w="0" w:type="dxa"/>
            </w:tcMar>
            <w:vAlign w:val="center"/>
            <w:hideMark/>
          </w:tcPr>
          <w:p w14:paraId="291EC4AF" w14:textId="77777777" w:rsidR="008A1445" w:rsidRPr="003D1437" w:rsidRDefault="008A1445" w:rsidP="004B5225">
            <w:pPr>
              <w:bidi/>
              <w:spacing w:after="0" w:line="240" w:lineRule="auto"/>
              <w:rPr>
                <w:rFonts w:ascii="Traditional Arabic" w:hAnsi="Traditional Arabic" w:cs="Traditional Arabic"/>
                <w:sz w:val="28"/>
                <w:szCs w:val="28"/>
                <w:rtl/>
              </w:rPr>
            </w:pPr>
          </w:p>
        </w:tc>
        <w:tc>
          <w:tcPr>
            <w:tcW w:w="1476" w:type="pct"/>
            <w:tcMar>
              <w:top w:w="240" w:type="dxa"/>
              <w:left w:w="180" w:type="dxa"/>
              <w:bottom w:w="240" w:type="dxa"/>
              <w:right w:w="0" w:type="dxa"/>
            </w:tcMar>
            <w:vAlign w:val="center"/>
            <w:hideMark/>
          </w:tcPr>
          <w:p w14:paraId="1C6C380E" w14:textId="77777777" w:rsidR="008A1445" w:rsidRPr="003D1437" w:rsidRDefault="008A1445" w:rsidP="004B5225">
            <w:pPr>
              <w:bidi/>
              <w:spacing w:after="0" w:line="240" w:lineRule="auto"/>
              <w:rPr>
                <w:rFonts w:ascii="Traditional Arabic" w:hAnsi="Traditional Arabic" w:cs="Traditional Arabic"/>
                <w:sz w:val="28"/>
                <w:szCs w:val="28"/>
                <w:lang w:bidi="ar-EG"/>
              </w:rPr>
            </w:pPr>
            <w:r w:rsidRPr="003D1437">
              <w:rPr>
                <w:rFonts w:ascii="Traditional Arabic" w:hAnsi="Traditional Arabic" w:cs="Traditional Arabic"/>
                <w:sz w:val="28"/>
                <w:szCs w:val="28"/>
                <w:rtl/>
              </w:rPr>
              <w:t>دعم اتخاذ القرار</w:t>
            </w:r>
          </w:p>
        </w:tc>
        <w:tc>
          <w:tcPr>
            <w:tcW w:w="627" w:type="pct"/>
            <w:tcMar>
              <w:top w:w="240" w:type="dxa"/>
              <w:left w:w="180" w:type="dxa"/>
              <w:bottom w:w="240" w:type="dxa"/>
              <w:right w:w="0" w:type="dxa"/>
            </w:tcMar>
            <w:vAlign w:val="center"/>
          </w:tcPr>
          <w:p w14:paraId="7EAF39B0" w14:textId="77777777" w:rsidR="008A1445" w:rsidRPr="003D1437" w:rsidRDefault="008A1445" w:rsidP="004B5225">
            <w:pPr>
              <w:spacing w:after="0" w:line="240"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-0.007</w:t>
            </w:r>
          </w:p>
        </w:tc>
        <w:tc>
          <w:tcPr>
            <w:tcW w:w="627" w:type="pct"/>
            <w:tcMar>
              <w:top w:w="240" w:type="dxa"/>
              <w:left w:w="180" w:type="dxa"/>
              <w:bottom w:w="240" w:type="dxa"/>
              <w:right w:w="0" w:type="dxa"/>
            </w:tcMar>
            <w:vAlign w:val="center"/>
          </w:tcPr>
          <w:p w14:paraId="23451584" w14:textId="77777777" w:rsidR="008A1445" w:rsidRPr="003D1437" w:rsidRDefault="008A1445" w:rsidP="004B5225">
            <w:pPr>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Pr>
              <w:t>-0.053</w:t>
            </w:r>
          </w:p>
        </w:tc>
        <w:tc>
          <w:tcPr>
            <w:tcW w:w="539" w:type="pct"/>
            <w:tcMar>
              <w:top w:w="240" w:type="dxa"/>
              <w:left w:w="180" w:type="dxa"/>
              <w:bottom w:w="240" w:type="dxa"/>
              <w:right w:w="0" w:type="dxa"/>
            </w:tcMar>
            <w:vAlign w:val="center"/>
            <w:hideMark/>
          </w:tcPr>
          <w:p w14:paraId="2C57371B"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0.958</w:t>
            </w:r>
          </w:p>
        </w:tc>
        <w:tc>
          <w:tcPr>
            <w:tcW w:w="619" w:type="pct"/>
            <w:tcMar>
              <w:top w:w="240" w:type="dxa"/>
              <w:left w:w="0" w:type="dxa"/>
              <w:bottom w:w="240" w:type="dxa"/>
              <w:right w:w="0" w:type="dxa"/>
            </w:tcMar>
            <w:vAlign w:val="center"/>
            <w:hideMark/>
          </w:tcPr>
          <w:p w14:paraId="28E9CB9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w:t>
            </w:r>
          </w:p>
        </w:tc>
      </w:tr>
      <w:tr w:rsidR="003D1437" w:rsidRPr="003D1437" w14:paraId="7B0BB700" w14:textId="77777777" w:rsidTr="006F046C">
        <w:tc>
          <w:tcPr>
            <w:tcW w:w="1112" w:type="pct"/>
            <w:vMerge/>
            <w:tcBorders>
              <w:bottom w:val="single" w:sz="4" w:space="0" w:color="auto"/>
            </w:tcBorders>
            <w:tcMar>
              <w:top w:w="240" w:type="dxa"/>
              <w:left w:w="180" w:type="dxa"/>
              <w:bottom w:w="240" w:type="dxa"/>
              <w:right w:w="0" w:type="dxa"/>
            </w:tcMar>
            <w:vAlign w:val="center"/>
            <w:hideMark/>
          </w:tcPr>
          <w:p w14:paraId="6EE041EE" w14:textId="77777777" w:rsidR="008A1445" w:rsidRPr="003D1437" w:rsidRDefault="008A1445" w:rsidP="004B5225">
            <w:pPr>
              <w:bidi/>
              <w:spacing w:after="0" w:line="240" w:lineRule="auto"/>
              <w:rPr>
                <w:rFonts w:ascii="Traditional Arabic" w:hAnsi="Traditional Arabic" w:cs="Traditional Arabic"/>
                <w:sz w:val="28"/>
                <w:szCs w:val="28"/>
                <w:rtl/>
              </w:rPr>
            </w:pPr>
          </w:p>
        </w:tc>
        <w:tc>
          <w:tcPr>
            <w:tcW w:w="1476" w:type="pct"/>
            <w:tcBorders>
              <w:bottom w:val="single" w:sz="4" w:space="0" w:color="auto"/>
            </w:tcBorders>
            <w:tcMar>
              <w:top w:w="240" w:type="dxa"/>
              <w:left w:w="180" w:type="dxa"/>
              <w:bottom w:w="240" w:type="dxa"/>
              <w:right w:w="0" w:type="dxa"/>
            </w:tcMar>
            <w:vAlign w:val="center"/>
            <w:hideMark/>
          </w:tcPr>
          <w:p w14:paraId="2C4E45DE" w14:textId="77777777" w:rsidR="008A1445" w:rsidRPr="003D1437" w:rsidRDefault="008A1445" w:rsidP="004B5225">
            <w:pPr>
              <w:bidi/>
              <w:spacing w:after="0" w:line="240" w:lineRule="auto"/>
              <w:rPr>
                <w:rFonts w:ascii="Traditional Arabic" w:hAnsi="Traditional Arabic" w:cs="Traditional Arabic"/>
                <w:sz w:val="28"/>
                <w:szCs w:val="28"/>
                <w:lang w:bidi="ar-EG"/>
              </w:rPr>
            </w:pPr>
            <w:r w:rsidRPr="003D1437">
              <w:rPr>
                <w:rFonts w:ascii="Traditional Arabic" w:hAnsi="Traditional Arabic" w:cs="Traditional Arabic"/>
                <w:sz w:val="28"/>
                <w:szCs w:val="28"/>
                <w:rtl/>
              </w:rPr>
              <w:t>أنظمة الإنذار المبكر</w:t>
            </w:r>
          </w:p>
        </w:tc>
        <w:tc>
          <w:tcPr>
            <w:tcW w:w="627" w:type="pct"/>
            <w:tcBorders>
              <w:bottom w:val="single" w:sz="4" w:space="0" w:color="auto"/>
            </w:tcBorders>
            <w:tcMar>
              <w:top w:w="240" w:type="dxa"/>
              <w:left w:w="180" w:type="dxa"/>
              <w:bottom w:w="240" w:type="dxa"/>
              <w:right w:w="0" w:type="dxa"/>
            </w:tcMar>
            <w:vAlign w:val="center"/>
            <w:hideMark/>
          </w:tcPr>
          <w:p w14:paraId="51DB199C" w14:textId="77777777" w:rsidR="008A1445" w:rsidRPr="003D1437" w:rsidRDefault="008A1445" w:rsidP="004B5225">
            <w:pPr>
              <w:bidi/>
              <w:spacing w:after="0" w:line="240"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rtl/>
              </w:rPr>
              <w:t>0.398</w:t>
            </w:r>
          </w:p>
        </w:tc>
        <w:tc>
          <w:tcPr>
            <w:tcW w:w="627" w:type="pct"/>
            <w:tcBorders>
              <w:bottom w:val="single" w:sz="4" w:space="0" w:color="auto"/>
            </w:tcBorders>
            <w:tcMar>
              <w:top w:w="240" w:type="dxa"/>
              <w:left w:w="180" w:type="dxa"/>
              <w:bottom w:w="240" w:type="dxa"/>
              <w:right w:w="0" w:type="dxa"/>
            </w:tcMar>
            <w:vAlign w:val="center"/>
            <w:hideMark/>
          </w:tcPr>
          <w:p w14:paraId="5D7245D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2.771</w:t>
            </w:r>
          </w:p>
        </w:tc>
        <w:tc>
          <w:tcPr>
            <w:tcW w:w="539" w:type="pct"/>
            <w:tcBorders>
              <w:bottom w:val="single" w:sz="4" w:space="0" w:color="auto"/>
            </w:tcBorders>
            <w:tcMar>
              <w:top w:w="240" w:type="dxa"/>
              <w:left w:w="180" w:type="dxa"/>
              <w:bottom w:w="240" w:type="dxa"/>
              <w:right w:w="0" w:type="dxa"/>
            </w:tcMar>
            <w:vAlign w:val="center"/>
            <w:hideMark/>
          </w:tcPr>
          <w:p w14:paraId="03EE56F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0.007</w:t>
            </w:r>
          </w:p>
        </w:tc>
        <w:tc>
          <w:tcPr>
            <w:tcW w:w="619" w:type="pct"/>
            <w:tcBorders>
              <w:bottom w:val="single" w:sz="4" w:space="0" w:color="auto"/>
            </w:tcBorders>
            <w:tcMar>
              <w:top w:w="240" w:type="dxa"/>
              <w:left w:w="0" w:type="dxa"/>
              <w:bottom w:w="240" w:type="dxa"/>
              <w:right w:w="0" w:type="dxa"/>
            </w:tcMar>
            <w:vAlign w:val="center"/>
            <w:hideMark/>
          </w:tcPr>
          <w:p w14:paraId="698A55D5"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bl>
    <w:p w14:paraId="0B78670D" w14:textId="77777777" w:rsidR="008A1445" w:rsidRPr="003D1437" w:rsidRDefault="008A1445" w:rsidP="008A1445">
      <w:pPr>
        <w:rPr>
          <w:rFonts w:ascii="Traditional Arabic" w:hAnsi="Traditional Arabic" w:cs="Traditional Arabic"/>
          <w:b/>
          <w:bCs/>
          <w:sz w:val="28"/>
          <w:szCs w:val="28"/>
          <w:rtl/>
        </w:rPr>
      </w:pPr>
      <w:r w:rsidRPr="003D1437">
        <w:rPr>
          <w:rFonts w:ascii="Traditional Arabic" w:hAnsi="Traditional Arabic" w:cs="Traditional Arabic"/>
          <w:b/>
          <w:bCs/>
          <w:sz w:val="28"/>
          <w:szCs w:val="28"/>
        </w:rPr>
        <w:t>R</w:t>
      </w:r>
      <w:r w:rsidRPr="003D1437">
        <w:rPr>
          <w:rFonts w:ascii="Traditional Arabic" w:hAnsi="Traditional Arabic" w:cs="Traditional Arabic"/>
          <w:b/>
          <w:bCs/>
          <w:sz w:val="28"/>
          <w:szCs w:val="28"/>
          <w:vertAlign w:val="superscript"/>
        </w:rPr>
        <w:t xml:space="preserve">2 </w:t>
      </w:r>
      <w:r w:rsidRPr="003D1437">
        <w:rPr>
          <w:rFonts w:ascii="Traditional Arabic" w:hAnsi="Traditional Arabic" w:cs="Traditional Arabic"/>
          <w:b/>
          <w:bCs/>
          <w:sz w:val="28"/>
          <w:szCs w:val="28"/>
        </w:rPr>
        <w:t>= 0.276, F = 9.802, Sig F &lt; 0.001</w:t>
      </w:r>
    </w:p>
    <w:p w14:paraId="25160E81" w14:textId="77777777"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أظهر النموذج دلالة إحصائية شاملة (</w:t>
      </w:r>
      <w:r w:rsidRPr="003D1437">
        <w:rPr>
          <w:rFonts w:ascii="Traditional Arabic" w:hAnsi="Traditional Arabic" w:cs="Traditional Arabic"/>
          <w:sz w:val="28"/>
          <w:szCs w:val="28"/>
          <w:lang w:bidi="ar-EG"/>
        </w:rPr>
        <w:t>F</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9.80</w:t>
      </w:r>
      <w:r w:rsidRPr="003D1437">
        <w:rPr>
          <w:rFonts w:ascii="Traditional Arabic" w:hAnsi="Traditional Arabic" w:cs="Traditional Arabic"/>
          <w:sz w:val="28"/>
          <w:szCs w:val="28"/>
          <w:rtl/>
        </w:rPr>
        <w:t>)، بقدرة تفسيرية تبلغ (27.6%). ولكن بالنظر إلى التأثيرات الفردية للأبعاد، يتبين أن المتغير المُحرك والمسؤول الأول عن هذا التأثير هو بُعد (أنظمة الإنذار المبكر) حيث ظهر له تأثير إيجابي قوي ودال إحصائياً (</w:t>
      </w:r>
      <w:r w:rsidRPr="003D1437">
        <w:rPr>
          <w:rFonts w:ascii="Cambria" w:hAnsi="Cambria" w:cs="Cambria"/>
          <w:sz w:val="28"/>
          <w:szCs w:val="28"/>
          <w:lang w:bidi="ar-EG"/>
        </w:rPr>
        <w:t>β</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0.398</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lang w:bidi="ar-EG"/>
        </w:rPr>
        <w:t>P</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0.007</w:t>
      </w:r>
      <w:r w:rsidRPr="003D1437">
        <w:rPr>
          <w:rFonts w:ascii="Traditional Arabic" w:hAnsi="Traditional Arabic" w:cs="Traditional Arabic"/>
          <w:sz w:val="28"/>
          <w:szCs w:val="28"/>
          <w:rtl/>
        </w:rPr>
        <w:t>). في حين لم يظهر تأثير دال إحصائياً لبُعدي (دعم اتخاذ القرار) و(أتمتة المهام) عند مستوى 0.05. هذا يشير إلى أن استعداد المؤسسة للتكيف التكنولوجي يرتبط بشكل جوهري بقدرة الأنظمة على الإنذار المبكر أكثر من ارتباطه بالأتمتة الروتينية. وبناءً عليه تُقبل الفرضية بشكل جزئي (مقتصرة على الإنذار المبكر).</w:t>
      </w:r>
    </w:p>
    <w:p w14:paraId="5A3727DB" w14:textId="047AAFF5" w:rsidR="008A1445" w:rsidRPr="003D1437" w:rsidRDefault="0040059B" w:rsidP="0040059B">
      <w:pPr>
        <w:pStyle w:val="Heading3"/>
        <w:rPr>
          <w:rtl/>
        </w:rPr>
      </w:pPr>
      <w:bookmarkStart w:id="143" w:name="_Toc233422649"/>
      <w:bookmarkStart w:id="144" w:name="_Toc236402706"/>
      <w:r w:rsidRPr="003D1437">
        <w:rPr>
          <w:rFonts w:hint="cs"/>
          <w:rtl/>
        </w:rPr>
        <w:t>4.5.3</w:t>
      </w:r>
      <w:r w:rsidR="008A1445" w:rsidRPr="003D1437">
        <w:rPr>
          <w:rtl/>
        </w:rPr>
        <w:t xml:space="preserve"> اختبار الفرضية الفرعية الثالثة:</w:t>
      </w:r>
      <w:bookmarkEnd w:id="143"/>
      <w:bookmarkEnd w:id="144"/>
    </w:p>
    <w:p w14:paraId="1100D0DB" w14:textId="77777777" w:rsidR="008A1445"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ذو دلالة إحصائية عند مستوى 0.05 للتكيف التكنولوجي على أبعاد كفاءة الخطط الاستراتيجية".</w:t>
      </w:r>
    </w:p>
    <w:p w14:paraId="6A5A025B" w14:textId="17FF899F"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لتجنب تضخم الخطأ الإحصائي الناتج عن تكرار الانحدار البسيط، وللتعامل مع أبعاد كفاءة التخطيط الاستراتيجي كمنظومة متكاملة، تم استخدام الأسلوب الأكثر تقدماً وهو تحليل المسار للتباينات المتعددة (</w:t>
      </w:r>
      <w:r w:rsidRPr="003D1437">
        <w:rPr>
          <w:rFonts w:ascii="Traditional Arabic" w:hAnsi="Traditional Arabic" w:cs="Traditional Arabic"/>
          <w:sz w:val="28"/>
          <w:szCs w:val="28"/>
          <w:lang w:bidi="ar-EG"/>
        </w:rPr>
        <w:t>Multivariate Path Analysis</w:t>
      </w:r>
      <w:r w:rsidRPr="003D1437">
        <w:rPr>
          <w:rFonts w:ascii="Traditional Arabic" w:hAnsi="Traditional Arabic" w:cs="Traditional Arabic"/>
          <w:sz w:val="28"/>
          <w:szCs w:val="28"/>
          <w:rtl/>
        </w:rPr>
        <w:t>). هذا الأسلوب يسمح باختبار أثر (التكيف التكنولوجي) على الأبعاد الأربعة التابعة في نموذج هيكلي واحد وبشكل متزامن. ويوضح الجدول التالي النتائج مرتبة تنازلياً حسب قوة التأثير:</w:t>
      </w:r>
    </w:p>
    <w:p w14:paraId="1A194CC8" w14:textId="14C539EA" w:rsidR="008A1445" w:rsidRPr="003D1437" w:rsidRDefault="008A1445" w:rsidP="005222BC">
      <w:pPr>
        <w:pStyle w:val="Heading4"/>
        <w:rPr>
          <w:rtl/>
        </w:rPr>
      </w:pPr>
      <w:bookmarkStart w:id="145" w:name="_Toc235065208"/>
      <w:r w:rsidRPr="003D1437">
        <w:rPr>
          <w:rtl/>
        </w:rPr>
        <w:t>جدول (</w:t>
      </w:r>
      <w:r w:rsidR="0040059B" w:rsidRPr="003D1437">
        <w:rPr>
          <w:rFonts w:hint="cs"/>
          <w:rtl/>
        </w:rPr>
        <w:t>11</w:t>
      </w:r>
      <w:r w:rsidRPr="003D1437">
        <w:rPr>
          <w:rtl/>
        </w:rPr>
        <w:t>): نتائج تحليل المسار المتعدد لأثر التكيف التكنولوجي على أبعاد كفاءة التخطيط</w:t>
      </w:r>
      <w:bookmarkEnd w:id="145"/>
    </w:p>
    <w:tbl>
      <w:tblPr>
        <w:bidiVisual/>
        <w:tblW w:w="0" w:type="auto"/>
        <w:tblCellMar>
          <w:left w:w="0" w:type="dxa"/>
          <w:right w:w="0" w:type="dxa"/>
        </w:tblCellMar>
        <w:tblLook w:val="04A0" w:firstRow="1" w:lastRow="0" w:firstColumn="1" w:lastColumn="0" w:noHBand="0" w:noVBand="1"/>
      </w:tblPr>
      <w:tblGrid>
        <w:gridCol w:w="1993"/>
        <w:gridCol w:w="1587"/>
        <w:gridCol w:w="1175"/>
        <w:gridCol w:w="1287"/>
        <w:gridCol w:w="1039"/>
        <w:gridCol w:w="1323"/>
        <w:gridCol w:w="956"/>
      </w:tblGrid>
      <w:tr w:rsidR="003D1437" w:rsidRPr="003D1437" w14:paraId="5B96F056" w14:textId="77777777" w:rsidTr="00587CC8">
        <w:tc>
          <w:tcPr>
            <w:tcW w:w="1993" w:type="dxa"/>
            <w:tcBorders>
              <w:top w:val="single" w:sz="4" w:space="0" w:color="auto"/>
              <w:bottom w:val="single" w:sz="4" w:space="0" w:color="auto"/>
            </w:tcBorders>
            <w:tcMar>
              <w:top w:w="240" w:type="dxa"/>
              <w:left w:w="180" w:type="dxa"/>
              <w:bottom w:w="240" w:type="dxa"/>
              <w:right w:w="0" w:type="dxa"/>
            </w:tcMar>
            <w:vAlign w:val="center"/>
            <w:hideMark/>
          </w:tcPr>
          <w:p w14:paraId="57A34176"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مسار التأثير المباشر</w:t>
            </w:r>
          </w:p>
        </w:tc>
        <w:tc>
          <w:tcPr>
            <w:tcW w:w="1587" w:type="dxa"/>
            <w:tcBorders>
              <w:top w:val="single" w:sz="4" w:space="0" w:color="auto"/>
              <w:bottom w:val="single" w:sz="4" w:space="0" w:color="auto"/>
            </w:tcBorders>
            <w:tcMar>
              <w:top w:w="240" w:type="dxa"/>
              <w:left w:w="180" w:type="dxa"/>
              <w:bottom w:w="240" w:type="dxa"/>
              <w:right w:w="0" w:type="dxa"/>
            </w:tcMar>
            <w:vAlign w:val="center"/>
            <w:hideMark/>
          </w:tcPr>
          <w:p w14:paraId="2D133D89"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المتغير التابع (الأبعاد)</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562C794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معامل التحديد </w:t>
            </w:r>
            <w:r w:rsidRPr="003D1437">
              <w:rPr>
                <w:rFonts w:ascii="Traditional Arabic" w:hAnsi="Traditional Arabic" w:cs="Traditional Arabic"/>
                <w:b/>
                <w:bCs/>
                <w:sz w:val="28"/>
                <w:szCs w:val="28"/>
                <w:lang w:bidi="ar-EG"/>
              </w:rPr>
              <w:t>R2</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3365239"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معامل المسار المعياري </w:t>
            </w:r>
            <w:r w:rsidRPr="003D1437">
              <w:rPr>
                <w:rFonts w:ascii="Cambria" w:hAnsi="Cambria" w:cs="Cambria"/>
                <w:b/>
                <w:bCs/>
                <w:sz w:val="28"/>
                <w:szCs w:val="28"/>
                <w:lang w:bidi="ar-EG"/>
              </w:rPr>
              <w:t>β</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55FD009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القيمة الحرجة </w:t>
            </w:r>
            <w:r w:rsidRPr="003D1437">
              <w:rPr>
                <w:rFonts w:ascii="Traditional Arabic" w:hAnsi="Traditional Arabic" w:cs="Traditional Arabic"/>
                <w:b/>
                <w:bCs/>
                <w:sz w:val="28"/>
                <w:szCs w:val="28"/>
                <w:lang w:bidi="ar-EG"/>
              </w:rPr>
              <w:t>Z</w:t>
            </w:r>
          </w:p>
        </w:tc>
        <w:tc>
          <w:tcPr>
            <w:tcW w:w="0" w:type="auto"/>
            <w:tcBorders>
              <w:top w:val="single" w:sz="4" w:space="0" w:color="auto"/>
              <w:bottom w:val="single" w:sz="4" w:space="0" w:color="auto"/>
            </w:tcBorders>
            <w:tcMar>
              <w:top w:w="240" w:type="dxa"/>
              <w:left w:w="180" w:type="dxa"/>
              <w:bottom w:w="240" w:type="dxa"/>
              <w:right w:w="0" w:type="dxa"/>
            </w:tcMar>
            <w:vAlign w:val="center"/>
          </w:tcPr>
          <w:p w14:paraId="660D71CF"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الدلالة (</w:t>
            </w:r>
            <w:r w:rsidRPr="003D1437">
              <w:rPr>
                <w:rFonts w:ascii="Traditional Arabic" w:hAnsi="Traditional Arabic" w:cs="Traditional Arabic"/>
                <w:b/>
                <w:bCs/>
                <w:sz w:val="28"/>
                <w:szCs w:val="28"/>
              </w:rPr>
              <w:t>P-value</w:t>
            </w:r>
            <w:r w:rsidRPr="003D1437">
              <w:rPr>
                <w:rFonts w:ascii="Traditional Arabic" w:hAnsi="Traditional Arabic" w:cs="Traditional Arabic"/>
                <w:b/>
                <w:bCs/>
                <w:sz w:val="28"/>
                <w:szCs w:val="28"/>
                <w:rtl/>
              </w:rPr>
              <w:t>)</w:t>
            </w:r>
          </w:p>
        </w:tc>
        <w:tc>
          <w:tcPr>
            <w:tcW w:w="0" w:type="auto"/>
            <w:tcBorders>
              <w:top w:val="single" w:sz="4" w:space="0" w:color="auto"/>
              <w:bottom w:val="single" w:sz="4" w:space="0" w:color="auto"/>
            </w:tcBorders>
            <w:tcMar>
              <w:top w:w="240" w:type="dxa"/>
              <w:left w:w="0" w:type="dxa"/>
              <w:bottom w:w="240" w:type="dxa"/>
              <w:right w:w="0" w:type="dxa"/>
            </w:tcMar>
            <w:vAlign w:val="center"/>
            <w:hideMark/>
          </w:tcPr>
          <w:p w14:paraId="2CD3FCD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الترتيب</w:t>
            </w:r>
          </w:p>
        </w:tc>
      </w:tr>
      <w:tr w:rsidR="003D1437" w:rsidRPr="003D1437" w14:paraId="2BFF700D" w14:textId="77777777" w:rsidTr="00587CC8">
        <w:tc>
          <w:tcPr>
            <w:tcW w:w="1993" w:type="dxa"/>
            <w:tcBorders>
              <w:top w:val="single" w:sz="4" w:space="0" w:color="auto"/>
            </w:tcBorders>
            <w:tcMar>
              <w:top w:w="240" w:type="dxa"/>
              <w:left w:w="180" w:type="dxa"/>
              <w:bottom w:w="240" w:type="dxa"/>
              <w:right w:w="0" w:type="dxa"/>
            </w:tcMar>
            <w:vAlign w:val="center"/>
            <w:hideMark/>
          </w:tcPr>
          <w:p w14:paraId="488EEA3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التكيف التكنولوجي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sz w:val="28"/>
                <w:szCs w:val="28"/>
                <w:rtl/>
              </w:rPr>
              <w:t xml:space="preserve"> </w:t>
            </w:r>
          </w:p>
        </w:tc>
        <w:tc>
          <w:tcPr>
            <w:tcW w:w="1587" w:type="dxa"/>
            <w:tcBorders>
              <w:top w:val="single" w:sz="4" w:space="0" w:color="auto"/>
            </w:tcBorders>
            <w:tcMar>
              <w:top w:w="240" w:type="dxa"/>
              <w:left w:w="180" w:type="dxa"/>
              <w:bottom w:w="240" w:type="dxa"/>
              <w:right w:w="0" w:type="dxa"/>
            </w:tcMar>
            <w:vAlign w:val="center"/>
            <w:hideMark/>
          </w:tcPr>
          <w:p w14:paraId="2DBCD537"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تخصيص الموارد</w:t>
            </w:r>
          </w:p>
        </w:tc>
        <w:tc>
          <w:tcPr>
            <w:tcW w:w="0" w:type="auto"/>
            <w:tcBorders>
              <w:top w:val="single" w:sz="4" w:space="0" w:color="auto"/>
            </w:tcBorders>
            <w:tcMar>
              <w:top w:w="240" w:type="dxa"/>
              <w:left w:w="180" w:type="dxa"/>
              <w:bottom w:w="240" w:type="dxa"/>
              <w:right w:w="0" w:type="dxa"/>
            </w:tcMar>
            <w:vAlign w:val="center"/>
            <w:hideMark/>
          </w:tcPr>
          <w:p w14:paraId="404C7B84"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0.510</w:t>
            </w:r>
          </w:p>
        </w:tc>
        <w:tc>
          <w:tcPr>
            <w:tcW w:w="0" w:type="auto"/>
            <w:tcBorders>
              <w:top w:val="single" w:sz="4" w:space="0" w:color="auto"/>
            </w:tcBorders>
            <w:tcMar>
              <w:top w:w="240" w:type="dxa"/>
              <w:left w:w="180" w:type="dxa"/>
              <w:bottom w:w="240" w:type="dxa"/>
              <w:right w:w="0" w:type="dxa"/>
            </w:tcMar>
            <w:vAlign w:val="center"/>
            <w:hideMark/>
          </w:tcPr>
          <w:p w14:paraId="512B5D4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0.714</w:t>
            </w:r>
          </w:p>
        </w:tc>
        <w:tc>
          <w:tcPr>
            <w:tcW w:w="0" w:type="auto"/>
            <w:tcBorders>
              <w:top w:val="single" w:sz="4" w:space="0" w:color="auto"/>
            </w:tcBorders>
            <w:tcMar>
              <w:top w:w="240" w:type="dxa"/>
              <w:left w:w="180" w:type="dxa"/>
              <w:bottom w:w="240" w:type="dxa"/>
              <w:right w:w="0" w:type="dxa"/>
            </w:tcMar>
            <w:vAlign w:val="center"/>
            <w:hideMark/>
          </w:tcPr>
          <w:p w14:paraId="07A757D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9.190</w:t>
            </w:r>
          </w:p>
        </w:tc>
        <w:tc>
          <w:tcPr>
            <w:tcW w:w="0" w:type="auto"/>
            <w:tcBorders>
              <w:top w:val="single" w:sz="4" w:space="0" w:color="auto"/>
            </w:tcBorders>
            <w:tcMar>
              <w:top w:w="240" w:type="dxa"/>
              <w:left w:w="180" w:type="dxa"/>
              <w:bottom w:w="240" w:type="dxa"/>
              <w:right w:w="0" w:type="dxa"/>
            </w:tcMar>
            <w:vAlign w:val="center"/>
            <w:hideMark/>
          </w:tcPr>
          <w:p w14:paraId="39E0EF01"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Borders>
              <w:top w:val="single" w:sz="4" w:space="0" w:color="auto"/>
            </w:tcBorders>
            <w:tcMar>
              <w:top w:w="240" w:type="dxa"/>
              <w:left w:w="0" w:type="dxa"/>
              <w:bottom w:w="240" w:type="dxa"/>
              <w:right w:w="0" w:type="dxa"/>
            </w:tcMar>
            <w:vAlign w:val="center"/>
            <w:hideMark/>
          </w:tcPr>
          <w:p w14:paraId="053DB96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الأول (الأقوى)</w:t>
            </w:r>
          </w:p>
        </w:tc>
      </w:tr>
      <w:tr w:rsidR="003D1437" w:rsidRPr="003D1437" w14:paraId="47B748FB" w14:textId="77777777" w:rsidTr="00587CC8">
        <w:tc>
          <w:tcPr>
            <w:tcW w:w="1993" w:type="dxa"/>
            <w:tcMar>
              <w:top w:w="240" w:type="dxa"/>
              <w:left w:w="180" w:type="dxa"/>
              <w:bottom w:w="240" w:type="dxa"/>
              <w:right w:w="0" w:type="dxa"/>
            </w:tcMar>
            <w:vAlign w:val="center"/>
            <w:hideMark/>
          </w:tcPr>
          <w:p w14:paraId="017A7A51"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التكنولوجي </w:t>
            </w:r>
            <w:r w:rsidRPr="003D1437">
              <w:rPr>
                <w:rFonts w:ascii="Traditional Arabic" w:hAnsi="Traditional Arabic" w:cs="Traditional Arabic"/>
                <w:b/>
                <w:bCs/>
                <w:sz w:val="28"/>
                <w:szCs w:val="28"/>
              </w:rPr>
              <w:sym w:font="Wingdings" w:char="F0DF"/>
            </w:r>
          </w:p>
        </w:tc>
        <w:tc>
          <w:tcPr>
            <w:tcW w:w="1587" w:type="dxa"/>
            <w:tcMar>
              <w:top w:w="240" w:type="dxa"/>
              <w:left w:w="180" w:type="dxa"/>
              <w:bottom w:w="240" w:type="dxa"/>
              <w:right w:w="0" w:type="dxa"/>
            </w:tcMar>
            <w:vAlign w:val="center"/>
            <w:hideMark/>
          </w:tcPr>
          <w:p w14:paraId="52B335DD"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التحليل الاستراتيجي</w:t>
            </w:r>
          </w:p>
        </w:tc>
        <w:tc>
          <w:tcPr>
            <w:tcW w:w="0" w:type="auto"/>
            <w:tcMar>
              <w:top w:w="240" w:type="dxa"/>
              <w:left w:w="180" w:type="dxa"/>
              <w:bottom w:w="240" w:type="dxa"/>
              <w:right w:w="0" w:type="dxa"/>
            </w:tcMar>
            <w:vAlign w:val="center"/>
            <w:hideMark/>
          </w:tcPr>
          <w:p w14:paraId="4026413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0.383</w:t>
            </w:r>
          </w:p>
        </w:tc>
        <w:tc>
          <w:tcPr>
            <w:tcW w:w="0" w:type="auto"/>
            <w:tcMar>
              <w:top w:w="240" w:type="dxa"/>
              <w:left w:w="180" w:type="dxa"/>
              <w:bottom w:w="240" w:type="dxa"/>
              <w:right w:w="0" w:type="dxa"/>
            </w:tcMar>
            <w:vAlign w:val="center"/>
            <w:hideMark/>
          </w:tcPr>
          <w:p w14:paraId="16A0CFCC"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0.619</w:t>
            </w:r>
          </w:p>
        </w:tc>
        <w:tc>
          <w:tcPr>
            <w:tcW w:w="0" w:type="auto"/>
            <w:tcMar>
              <w:top w:w="240" w:type="dxa"/>
              <w:left w:w="180" w:type="dxa"/>
              <w:bottom w:w="240" w:type="dxa"/>
              <w:right w:w="0" w:type="dxa"/>
            </w:tcMar>
            <w:vAlign w:val="center"/>
            <w:hideMark/>
          </w:tcPr>
          <w:p w14:paraId="32507F6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7.085</w:t>
            </w:r>
          </w:p>
        </w:tc>
        <w:tc>
          <w:tcPr>
            <w:tcW w:w="0" w:type="auto"/>
            <w:tcMar>
              <w:top w:w="240" w:type="dxa"/>
              <w:left w:w="180" w:type="dxa"/>
              <w:bottom w:w="240" w:type="dxa"/>
              <w:right w:w="0" w:type="dxa"/>
            </w:tcMar>
            <w:vAlign w:val="center"/>
            <w:hideMark/>
          </w:tcPr>
          <w:p w14:paraId="55347865"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Mar>
              <w:top w:w="240" w:type="dxa"/>
              <w:left w:w="0" w:type="dxa"/>
              <w:bottom w:w="240" w:type="dxa"/>
              <w:right w:w="0" w:type="dxa"/>
            </w:tcMar>
            <w:vAlign w:val="center"/>
            <w:hideMark/>
          </w:tcPr>
          <w:p w14:paraId="58FB9CB2"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الثاني</w:t>
            </w:r>
          </w:p>
        </w:tc>
      </w:tr>
      <w:tr w:rsidR="003D1437" w:rsidRPr="003D1437" w14:paraId="5594AAE7" w14:textId="77777777" w:rsidTr="00587CC8">
        <w:tc>
          <w:tcPr>
            <w:tcW w:w="1993" w:type="dxa"/>
            <w:tcMar>
              <w:top w:w="240" w:type="dxa"/>
              <w:left w:w="180" w:type="dxa"/>
              <w:bottom w:w="240" w:type="dxa"/>
              <w:right w:w="0" w:type="dxa"/>
            </w:tcMar>
            <w:vAlign w:val="center"/>
            <w:hideMark/>
          </w:tcPr>
          <w:p w14:paraId="5D77A9B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التكنولوجي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sz w:val="28"/>
                <w:szCs w:val="28"/>
                <w:rtl/>
              </w:rPr>
              <w:t xml:space="preserve"> </w:t>
            </w:r>
          </w:p>
        </w:tc>
        <w:tc>
          <w:tcPr>
            <w:tcW w:w="1587" w:type="dxa"/>
            <w:tcMar>
              <w:top w:w="240" w:type="dxa"/>
              <w:left w:w="180" w:type="dxa"/>
              <w:bottom w:w="240" w:type="dxa"/>
              <w:right w:w="0" w:type="dxa"/>
            </w:tcMar>
            <w:vAlign w:val="center"/>
            <w:hideMark/>
          </w:tcPr>
          <w:p w14:paraId="52B7885B"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التنفيذ والمتابعة</w:t>
            </w:r>
          </w:p>
        </w:tc>
        <w:tc>
          <w:tcPr>
            <w:tcW w:w="0" w:type="auto"/>
            <w:tcMar>
              <w:top w:w="240" w:type="dxa"/>
              <w:left w:w="180" w:type="dxa"/>
              <w:bottom w:w="240" w:type="dxa"/>
              <w:right w:w="0" w:type="dxa"/>
            </w:tcMar>
            <w:vAlign w:val="center"/>
            <w:hideMark/>
          </w:tcPr>
          <w:p w14:paraId="65F6FCF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0.237</w:t>
            </w:r>
          </w:p>
        </w:tc>
        <w:tc>
          <w:tcPr>
            <w:tcW w:w="0" w:type="auto"/>
            <w:tcMar>
              <w:top w:w="240" w:type="dxa"/>
              <w:left w:w="180" w:type="dxa"/>
              <w:bottom w:w="240" w:type="dxa"/>
              <w:right w:w="0" w:type="dxa"/>
            </w:tcMar>
            <w:vAlign w:val="center"/>
            <w:hideMark/>
          </w:tcPr>
          <w:p w14:paraId="4F52D3B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0.487</w:t>
            </w:r>
          </w:p>
        </w:tc>
        <w:tc>
          <w:tcPr>
            <w:tcW w:w="0" w:type="auto"/>
            <w:tcMar>
              <w:top w:w="240" w:type="dxa"/>
              <w:left w:w="180" w:type="dxa"/>
              <w:bottom w:w="240" w:type="dxa"/>
              <w:right w:w="0" w:type="dxa"/>
            </w:tcMar>
            <w:vAlign w:val="center"/>
            <w:hideMark/>
          </w:tcPr>
          <w:p w14:paraId="3790DA5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5.012</w:t>
            </w:r>
          </w:p>
        </w:tc>
        <w:tc>
          <w:tcPr>
            <w:tcW w:w="0" w:type="auto"/>
            <w:tcMar>
              <w:top w:w="240" w:type="dxa"/>
              <w:left w:w="180" w:type="dxa"/>
              <w:bottom w:w="240" w:type="dxa"/>
              <w:right w:w="0" w:type="dxa"/>
            </w:tcMar>
            <w:vAlign w:val="center"/>
            <w:hideMark/>
          </w:tcPr>
          <w:p w14:paraId="4B15F52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Mar>
              <w:top w:w="240" w:type="dxa"/>
              <w:left w:w="0" w:type="dxa"/>
              <w:bottom w:w="240" w:type="dxa"/>
              <w:right w:w="0" w:type="dxa"/>
            </w:tcMar>
            <w:vAlign w:val="center"/>
            <w:hideMark/>
          </w:tcPr>
          <w:p w14:paraId="246BC5EC"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الثالث</w:t>
            </w:r>
          </w:p>
        </w:tc>
      </w:tr>
      <w:tr w:rsidR="008A1445" w:rsidRPr="003D1437" w14:paraId="224078EF" w14:textId="77777777" w:rsidTr="00587CC8">
        <w:tc>
          <w:tcPr>
            <w:tcW w:w="1993" w:type="dxa"/>
            <w:tcBorders>
              <w:bottom w:val="single" w:sz="4" w:space="0" w:color="auto"/>
            </w:tcBorders>
            <w:tcMar>
              <w:top w:w="240" w:type="dxa"/>
              <w:left w:w="180" w:type="dxa"/>
              <w:bottom w:w="240" w:type="dxa"/>
              <w:right w:w="0" w:type="dxa"/>
            </w:tcMar>
            <w:vAlign w:val="center"/>
            <w:hideMark/>
          </w:tcPr>
          <w:p w14:paraId="436D344A"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التكنولوجي </w:t>
            </w:r>
            <w:r w:rsidRPr="003D1437">
              <w:rPr>
                <w:rFonts w:ascii="Traditional Arabic" w:hAnsi="Traditional Arabic" w:cs="Traditional Arabic"/>
                <w:b/>
                <w:bCs/>
                <w:sz w:val="28"/>
                <w:szCs w:val="28"/>
              </w:rPr>
              <w:sym w:font="Wingdings" w:char="F0DF"/>
            </w:r>
          </w:p>
        </w:tc>
        <w:tc>
          <w:tcPr>
            <w:tcW w:w="1587" w:type="dxa"/>
            <w:tcBorders>
              <w:bottom w:val="single" w:sz="4" w:space="0" w:color="auto"/>
            </w:tcBorders>
            <w:tcMar>
              <w:top w:w="240" w:type="dxa"/>
              <w:left w:w="180" w:type="dxa"/>
              <w:bottom w:w="240" w:type="dxa"/>
              <w:right w:w="0" w:type="dxa"/>
            </w:tcMar>
            <w:vAlign w:val="center"/>
            <w:hideMark/>
          </w:tcPr>
          <w:p w14:paraId="4F7BC297"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صياغة الأهداف</w:t>
            </w:r>
          </w:p>
        </w:tc>
        <w:tc>
          <w:tcPr>
            <w:tcW w:w="0" w:type="auto"/>
            <w:tcBorders>
              <w:bottom w:val="single" w:sz="4" w:space="0" w:color="auto"/>
            </w:tcBorders>
            <w:tcMar>
              <w:top w:w="240" w:type="dxa"/>
              <w:left w:w="180" w:type="dxa"/>
              <w:bottom w:w="240" w:type="dxa"/>
              <w:right w:w="0" w:type="dxa"/>
            </w:tcMar>
            <w:vAlign w:val="center"/>
            <w:hideMark/>
          </w:tcPr>
          <w:p w14:paraId="59E4EE2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0.173</w:t>
            </w:r>
          </w:p>
        </w:tc>
        <w:tc>
          <w:tcPr>
            <w:tcW w:w="0" w:type="auto"/>
            <w:tcBorders>
              <w:bottom w:val="single" w:sz="4" w:space="0" w:color="auto"/>
            </w:tcBorders>
            <w:tcMar>
              <w:top w:w="240" w:type="dxa"/>
              <w:left w:w="180" w:type="dxa"/>
              <w:bottom w:w="240" w:type="dxa"/>
              <w:right w:w="0" w:type="dxa"/>
            </w:tcMar>
            <w:vAlign w:val="center"/>
            <w:hideMark/>
          </w:tcPr>
          <w:p w14:paraId="3E920D9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0.416</w:t>
            </w:r>
          </w:p>
        </w:tc>
        <w:tc>
          <w:tcPr>
            <w:tcW w:w="0" w:type="auto"/>
            <w:tcBorders>
              <w:bottom w:val="single" w:sz="4" w:space="0" w:color="auto"/>
            </w:tcBorders>
            <w:tcMar>
              <w:top w:w="240" w:type="dxa"/>
              <w:left w:w="180" w:type="dxa"/>
              <w:bottom w:w="240" w:type="dxa"/>
              <w:right w:w="0" w:type="dxa"/>
            </w:tcMar>
            <w:vAlign w:val="center"/>
            <w:hideMark/>
          </w:tcPr>
          <w:p w14:paraId="04201A2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4.114</w:t>
            </w:r>
          </w:p>
        </w:tc>
        <w:tc>
          <w:tcPr>
            <w:tcW w:w="0" w:type="auto"/>
            <w:tcBorders>
              <w:bottom w:val="single" w:sz="4" w:space="0" w:color="auto"/>
            </w:tcBorders>
            <w:tcMar>
              <w:top w:w="240" w:type="dxa"/>
              <w:left w:w="180" w:type="dxa"/>
              <w:bottom w:w="240" w:type="dxa"/>
              <w:right w:w="0" w:type="dxa"/>
            </w:tcMar>
            <w:vAlign w:val="center"/>
            <w:hideMark/>
          </w:tcPr>
          <w:p w14:paraId="5E97D16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Borders>
              <w:bottom w:val="single" w:sz="4" w:space="0" w:color="auto"/>
            </w:tcBorders>
            <w:tcMar>
              <w:top w:w="240" w:type="dxa"/>
              <w:left w:w="0" w:type="dxa"/>
              <w:bottom w:w="240" w:type="dxa"/>
              <w:right w:w="0" w:type="dxa"/>
            </w:tcMar>
            <w:vAlign w:val="center"/>
            <w:hideMark/>
          </w:tcPr>
          <w:p w14:paraId="014A80EB"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الرابع (الأضعف)</w:t>
            </w:r>
          </w:p>
        </w:tc>
      </w:tr>
    </w:tbl>
    <w:p w14:paraId="1E6C4032" w14:textId="77777777" w:rsidR="008A1445" w:rsidRPr="003D1437" w:rsidRDefault="008A1445" w:rsidP="008A1445">
      <w:pPr>
        <w:bidi/>
        <w:spacing w:after="200" w:line="276" w:lineRule="auto"/>
        <w:rPr>
          <w:rFonts w:ascii="Traditional Arabic" w:hAnsi="Traditional Arabic" w:cs="Traditional Arabic"/>
          <w:sz w:val="28"/>
          <w:szCs w:val="28"/>
          <w:rtl/>
        </w:rPr>
      </w:pPr>
    </w:p>
    <w:p w14:paraId="39E77533" w14:textId="77777777" w:rsidR="008A1445" w:rsidRPr="003D1437" w:rsidRDefault="008A1445" w:rsidP="0040059B">
      <w:pPr>
        <w:bidi/>
        <w:spacing w:after="200" w:line="360" w:lineRule="auto"/>
        <w:jc w:val="both"/>
        <w:rPr>
          <w:rFonts w:ascii="Traditional Arabic" w:hAnsi="Traditional Arabic" w:cs="Traditional Arabic"/>
          <w:sz w:val="28"/>
          <w:szCs w:val="28"/>
          <w:rtl/>
        </w:rPr>
      </w:pPr>
      <w:r w:rsidRPr="003D1437">
        <w:rPr>
          <w:rFonts w:ascii="Traditional Arabic" w:hAnsi="Traditional Arabic" w:cs="Traditional Arabic"/>
          <w:sz w:val="28"/>
          <w:szCs w:val="28"/>
          <w:rtl/>
        </w:rPr>
        <w:t>تشير نتائج نموذج المسار المتعدد إلى أن التكيف التكنولوجي يمتلك تأثيراً إيجابياً ومباشراً ودالاً إحصائياً (</w:t>
      </w:r>
      <w:r w:rsidRPr="003D1437">
        <w:rPr>
          <w:rFonts w:ascii="Traditional Arabic" w:hAnsi="Traditional Arabic" w:cs="Traditional Arabic"/>
          <w:sz w:val="28"/>
          <w:szCs w:val="28"/>
          <w:lang w:bidi="ar-EG"/>
        </w:rPr>
        <w:t>P</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0.000</w:t>
      </w:r>
      <w:r w:rsidRPr="003D1437">
        <w:rPr>
          <w:rFonts w:ascii="Traditional Arabic" w:hAnsi="Traditional Arabic" w:cs="Traditional Arabic"/>
          <w:sz w:val="28"/>
          <w:szCs w:val="28"/>
          <w:rtl/>
        </w:rPr>
        <w:t>) على جميع أبعاد كفاءة التخطيط الاستراتيجي بشكل متزامن. وعند مقارنة معاملات المسار (</w:t>
      </w:r>
      <w:r w:rsidRPr="003D1437">
        <w:rPr>
          <w:rFonts w:ascii="Cambria" w:hAnsi="Cambria" w:cs="Cambria"/>
          <w:sz w:val="28"/>
          <w:szCs w:val="28"/>
          <w:lang w:bidi="ar-EG"/>
        </w:rPr>
        <w:t>β</w:t>
      </w:r>
      <w:r w:rsidRPr="003D1437">
        <w:rPr>
          <w:rFonts w:ascii="Traditional Arabic" w:hAnsi="Traditional Arabic" w:cs="Traditional Arabic"/>
          <w:sz w:val="28"/>
          <w:szCs w:val="28"/>
          <w:rtl/>
        </w:rPr>
        <w:t>) لمعرفة الأبعاد الأكثر تأثراً، يتضح أن التكيف التكنولوجي ينعكس أثره الأقوى والأعمق على بُعد (كفاءة تخصيص الموارد) بمعامل تأثير بلغ (</w:t>
      </w:r>
      <w:r w:rsidRPr="003D1437">
        <w:rPr>
          <w:rFonts w:ascii="Cambria" w:hAnsi="Cambria" w:cs="Cambria"/>
          <w:sz w:val="28"/>
          <w:szCs w:val="28"/>
          <w:lang w:bidi="ar-EG"/>
        </w:rPr>
        <w:t>β</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0.714</w:t>
      </w:r>
      <w:r w:rsidRPr="003D1437">
        <w:rPr>
          <w:rFonts w:ascii="Traditional Arabic" w:hAnsi="Traditional Arabic" w:cs="Traditional Arabic"/>
          <w:sz w:val="28"/>
          <w:szCs w:val="28"/>
          <w:rtl/>
        </w:rPr>
        <w:t>)، وهو يفسر (51%) من التباين في هذا البعد.</w:t>
      </w:r>
    </w:p>
    <w:p w14:paraId="7F87FC1A" w14:textId="77777777" w:rsidR="008A1445" w:rsidRPr="003D1437" w:rsidRDefault="008A1445" w:rsidP="0040059B">
      <w:pPr>
        <w:bidi/>
        <w:spacing w:after="200" w:line="360" w:lineRule="auto"/>
        <w:jc w:val="both"/>
        <w:rPr>
          <w:rFonts w:ascii="Traditional Arabic" w:hAnsi="Traditional Arabic" w:cs="Traditional Arabic"/>
          <w:sz w:val="28"/>
          <w:szCs w:val="28"/>
          <w:rtl/>
        </w:rPr>
      </w:pPr>
      <w:r w:rsidRPr="003D1437">
        <w:rPr>
          <w:rFonts w:ascii="Traditional Arabic" w:hAnsi="Traditional Arabic" w:cs="Traditional Arabic"/>
          <w:sz w:val="28"/>
          <w:szCs w:val="28"/>
          <w:rtl/>
        </w:rPr>
        <w:t>في المقابل، جاء تأثيره على بُعد (كفاءة صياغة الأهداف) في المرتبة الأخيرة كأضعف تأثير بمعامل (</w:t>
      </w:r>
      <w:r w:rsidRPr="003D1437">
        <w:rPr>
          <w:rFonts w:ascii="Cambria" w:hAnsi="Cambria" w:cs="Cambria"/>
          <w:sz w:val="28"/>
          <w:szCs w:val="28"/>
          <w:lang w:bidi="ar-EG"/>
        </w:rPr>
        <w:t>β</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0.416</w:t>
      </w:r>
      <w:r w:rsidRPr="003D1437">
        <w:rPr>
          <w:rFonts w:ascii="Traditional Arabic" w:hAnsi="Traditional Arabic" w:cs="Traditional Arabic"/>
          <w:sz w:val="28"/>
          <w:szCs w:val="28"/>
          <w:rtl/>
        </w:rPr>
        <w:t>). تؤكد هذه النتيجة المتقدمة أن قدرة الإداريين على التكيف التكنولوجي تسهم بشكل رئيسي وفوري في الجانب التشغيلي والمالي (تخصيص الموارد والتحليل) أكثر من إسهامها في الجانب النظري (صياغة الأهداف). وبناءً على هذه المعطيات تُقبل الفرضية الفرعية الثالثة بالكامل.</w:t>
      </w:r>
    </w:p>
    <w:p w14:paraId="1EDF8069" w14:textId="3DF43435" w:rsidR="008A1445" w:rsidRPr="003D1437" w:rsidRDefault="0040059B" w:rsidP="0040059B">
      <w:pPr>
        <w:pStyle w:val="Heading3"/>
        <w:jc w:val="both"/>
        <w:rPr>
          <w:rtl/>
        </w:rPr>
      </w:pPr>
      <w:bookmarkStart w:id="146" w:name="_Toc233422650"/>
      <w:bookmarkStart w:id="147" w:name="_Toc236402707"/>
      <w:r w:rsidRPr="003D1437">
        <w:rPr>
          <w:rFonts w:hint="cs"/>
          <w:rtl/>
        </w:rPr>
        <w:t xml:space="preserve">4.5.4 </w:t>
      </w:r>
      <w:r w:rsidR="008A1445" w:rsidRPr="003D1437">
        <w:rPr>
          <w:rtl/>
        </w:rPr>
        <w:t>اختبار الفرضية الرئيسية (التأثير غير المباشر والممر الوسيط):</w:t>
      </w:r>
      <w:bookmarkEnd w:id="146"/>
      <w:bookmarkEnd w:id="147"/>
    </w:p>
    <w:p w14:paraId="7F4E057F" w14:textId="77777777" w:rsidR="008A1445"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غير مباشر ذو دلالة إحصائية للذكاء الاصطناعي (بأبعاده الفرعية) على كفاءة التخطيط الاستراتيجي في ظل وجود التكيف التكنولوجي كمتغير وسيط".</w:t>
      </w:r>
    </w:p>
    <w:p w14:paraId="01C343FC" w14:textId="147B1C97"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لاختبار هذه الفرضية المعقدة ومعرفة أي الأبعاد يمر تأثيرها عبر الوسيط، تم استخدام نموذج المعادلة الهيكلية (</w:t>
      </w:r>
      <w:r w:rsidRPr="003D1437">
        <w:rPr>
          <w:rFonts w:ascii="Traditional Arabic" w:hAnsi="Traditional Arabic" w:cs="Traditional Arabic"/>
          <w:sz w:val="28"/>
          <w:szCs w:val="28"/>
        </w:rPr>
        <w:t>SEM</w:t>
      </w:r>
      <w:r w:rsidRPr="003D1437">
        <w:rPr>
          <w:rFonts w:ascii="Traditional Arabic" w:hAnsi="Traditional Arabic" w:cs="Traditional Arabic"/>
          <w:sz w:val="28"/>
          <w:szCs w:val="28"/>
          <w:rtl/>
        </w:rPr>
        <w:t>) لتحليل المسار. وقد أظهر النموذج توافقاً تاماً مع البيانات (</w:t>
      </w:r>
      <w:r w:rsidRPr="003D1437">
        <w:rPr>
          <w:rFonts w:ascii="Traditional Arabic" w:hAnsi="Traditional Arabic" w:cs="Traditional Arabic"/>
          <w:sz w:val="28"/>
          <w:szCs w:val="28"/>
        </w:rPr>
        <w:t>Saturated Model</w:t>
      </w:r>
      <w:r w:rsidRPr="003D1437">
        <w:rPr>
          <w:rFonts w:ascii="Traditional Arabic" w:hAnsi="Traditional Arabic" w:cs="Traditional Arabic"/>
          <w:sz w:val="28"/>
          <w:szCs w:val="28"/>
          <w:rtl/>
        </w:rPr>
        <w:t>) حيث بلغت مؤشرات جودة التوافق (</w:t>
      </w:r>
      <w:r w:rsidRPr="003D1437">
        <w:rPr>
          <w:rFonts w:ascii="Traditional Arabic" w:hAnsi="Traditional Arabic" w:cs="Traditional Arabic"/>
          <w:sz w:val="28"/>
          <w:szCs w:val="28"/>
        </w:rPr>
        <w:t>CFI</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1.00</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TLI</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1.00</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RMSEA=0.00</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SRMR</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0.00</w:t>
      </w:r>
      <w:r w:rsidRPr="003D1437">
        <w:rPr>
          <w:rFonts w:ascii="Traditional Arabic" w:hAnsi="Traditional Arabic" w:cs="Traditional Arabic"/>
          <w:sz w:val="28"/>
          <w:szCs w:val="28"/>
          <w:rtl/>
        </w:rPr>
        <w:t>).ويوضح الجدول التالي مسارات التأثير غير المباشر:</w:t>
      </w:r>
    </w:p>
    <w:p w14:paraId="3B13CA21" w14:textId="22FFAC18" w:rsidR="008A1445" w:rsidRPr="003D1437" w:rsidRDefault="008A1445" w:rsidP="0040059B">
      <w:pPr>
        <w:pStyle w:val="Heading4"/>
        <w:rPr>
          <w:color w:val="auto"/>
          <w:rtl/>
        </w:rPr>
      </w:pPr>
      <w:bookmarkStart w:id="148" w:name="_Toc235065209"/>
      <w:r w:rsidRPr="003D1437">
        <w:rPr>
          <w:color w:val="auto"/>
          <w:rtl/>
        </w:rPr>
        <w:t>جدول (</w:t>
      </w:r>
      <w:r w:rsidR="0040059B" w:rsidRPr="003D1437">
        <w:rPr>
          <w:rFonts w:hint="cs"/>
          <w:color w:val="auto"/>
          <w:rtl/>
        </w:rPr>
        <w:t>12</w:t>
      </w:r>
      <w:r w:rsidRPr="003D1437">
        <w:rPr>
          <w:color w:val="auto"/>
          <w:rtl/>
        </w:rPr>
        <w:t>): التأثيرات غير المباشرة لأبعاد الذكاء الاصطناعي عبر التكيف التكنولوجي (تحليل المسار)</w:t>
      </w:r>
      <w:bookmarkEnd w:id="148"/>
    </w:p>
    <w:tbl>
      <w:tblPr>
        <w:bidiVisual/>
        <w:tblW w:w="0" w:type="auto"/>
        <w:tblCellMar>
          <w:left w:w="0" w:type="dxa"/>
          <w:right w:w="0" w:type="dxa"/>
        </w:tblCellMar>
        <w:tblLook w:val="04A0" w:firstRow="1" w:lastRow="0" w:firstColumn="1" w:lastColumn="0" w:noHBand="0" w:noVBand="1"/>
      </w:tblPr>
      <w:tblGrid>
        <w:gridCol w:w="3734"/>
        <w:gridCol w:w="1246"/>
        <w:gridCol w:w="1223"/>
        <w:gridCol w:w="1545"/>
        <w:gridCol w:w="1612"/>
      </w:tblGrid>
      <w:tr w:rsidR="003D1437" w:rsidRPr="003D1437" w14:paraId="34058E5B" w14:textId="77777777" w:rsidTr="00370CE0">
        <w:trPr>
          <w:tblHeader/>
        </w:trPr>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13E149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مسار العلاقة (من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rPr>
              <w:t xml:space="preserve"> عبر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rPr>
              <w:t xml:space="preserve"> إلى)</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45A8524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التأثير غير المباشر</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65691F7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القيمة الحرجة </w:t>
            </w:r>
            <w:r w:rsidRPr="003D1437">
              <w:rPr>
                <w:rFonts w:ascii="Traditional Arabic" w:hAnsi="Traditional Arabic" w:cs="Traditional Arabic"/>
                <w:b/>
                <w:bCs/>
                <w:sz w:val="28"/>
                <w:szCs w:val="28"/>
                <w:lang w:bidi="ar-EG"/>
              </w:rPr>
              <w:t>Z</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CE9344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الدلالة (</w:t>
            </w:r>
            <w:r w:rsidRPr="003D1437">
              <w:rPr>
                <w:rFonts w:ascii="Traditional Arabic" w:hAnsi="Traditional Arabic" w:cs="Traditional Arabic"/>
                <w:b/>
                <w:bCs/>
                <w:sz w:val="28"/>
                <w:szCs w:val="28"/>
                <w:lang w:bidi="ar-EG"/>
              </w:rPr>
              <w:t>P-value</w:t>
            </w:r>
            <w:r w:rsidRPr="003D1437">
              <w:rPr>
                <w:rFonts w:ascii="Traditional Arabic" w:hAnsi="Traditional Arabic" w:cs="Traditional Arabic"/>
                <w:b/>
                <w:bCs/>
                <w:sz w:val="28"/>
                <w:szCs w:val="28"/>
                <w:rtl/>
              </w:rPr>
              <w:t>)</w:t>
            </w:r>
          </w:p>
        </w:tc>
        <w:tc>
          <w:tcPr>
            <w:tcW w:w="0" w:type="auto"/>
            <w:tcBorders>
              <w:top w:val="single" w:sz="4" w:space="0" w:color="auto"/>
              <w:bottom w:val="single" w:sz="4" w:space="0" w:color="auto"/>
            </w:tcBorders>
            <w:tcMar>
              <w:top w:w="240" w:type="dxa"/>
              <w:left w:w="0" w:type="dxa"/>
              <w:bottom w:w="240" w:type="dxa"/>
              <w:right w:w="0" w:type="dxa"/>
            </w:tcMar>
            <w:vAlign w:val="center"/>
            <w:hideMark/>
          </w:tcPr>
          <w:p w14:paraId="69887BE2"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النتيجة (قرار الوساطة)</w:t>
            </w:r>
          </w:p>
        </w:tc>
      </w:tr>
      <w:tr w:rsidR="003D1437" w:rsidRPr="003D1437" w14:paraId="0FD896E6" w14:textId="77777777" w:rsidTr="00370CE0">
        <w:tc>
          <w:tcPr>
            <w:tcW w:w="0" w:type="auto"/>
            <w:tcBorders>
              <w:top w:val="single" w:sz="4" w:space="0" w:color="auto"/>
            </w:tcBorders>
            <w:tcMar>
              <w:top w:w="240" w:type="dxa"/>
              <w:left w:w="180" w:type="dxa"/>
              <w:bottom w:w="240" w:type="dxa"/>
              <w:right w:w="0" w:type="dxa"/>
            </w:tcMar>
            <w:vAlign w:val="center"/>
            <w:hideMark/>
          </w:tcPr>
          <w:p w14:paraId="5432F932"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كفاءة التخطيط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b/>
                <w:bCs/>
                <w:sz w:val="28"/>
                <w:szCs w:val="28"/>
                <w:rtl/>
              </w:rPr>
              <w:t xml:space="preserve">التكيف التكنولوجي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rPr>
              <w:t xml:space="preserve"> أتمتة المهام</w:t>
            </w:r>
          </w:p>
        </w:tc>
        <w:tc>
          <w:tcPr>
            <w:tcW w:w="0" w:type="auto"/>
            <w:tcBorders>
              <w:top w:val="single" w:sz="4" w:space="0" w:color="auto"/>
            </w:tcBorders>
            <w:tcMar>
              <w:top w:w="240" w:type="dxa"/>
              <w:left w:w="180" w:type="dxa"/>
              <w:bottom w:w="240" w:type="dxa"/>
              <w:right w:w="0" w:type="dxa"/>
            </w:tcMar>
            <w:vAlign w:val="center"/>
            <w:hideMark/>
          </w:tcPr>
          <w:p w14:paraId="428EDF9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0.092</w:t>
            </w:r>
          </w:p>
        </w:tc>
        <w:tc>
          <w:tcPr>
            <w:tcW w:w="0" w:type="auto"/>
            <w:tcBorders>
              <w:top w:val="single" w:sz="4" w:space="0" w:color="auto"/>
            </w:tcBorders>
            <w:tcMar>
              <w:top w:w="240" w:type="dxa"/>
              <w:left w:w="180" w:type="dxa"/>
              <w:bottom w:w="240" w:type="dxa"/>
              <w:right w:w="0" w:type="dxa"/>
            </w:tcMar>
            <w:vAlign w:val="center"/>
            <w:hideMark/>
          </w:tcPr>
          <w:p w14:paraId="7E2450F5"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1.777</w:t>
            </w:r>
          </w:p>
        </w:tc>
        <w:tc>
          <w:tcPr>
            <w:tcW w:w="0" w:type="auto"/>
            <w:tcBorders>
              <w:top w:val="single" w:sz="4" w:space="0" w:color="auto"/>
            </w:tcBorders>
            <w:tcMar>
              <w:top w:w="240" w:type="dxa"/>
              <w:left w:w="180" w:type="dxa"/>
              <w:bottom w:w="240" w:type="dxa"/>
              <w:right w:w="0" w:type="dxa"/>
            </w:tcMar>
            <w:vAlign w:val="center"/>
            <w:hideMark/>
          </w:tcPr>
          <w:p w14:paraId="5242D48B"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0.076</w:t>
            </w:r>
          </w:p>
        </w:tc>
        <w:tc>
          <w:tcPr>
            <w:tcW w:w="0" w:type="auto"/>
            <w:tcBorders>
              <w:top w:val="single" w:sz="4" w:space="0" w:color="auto"/>
            </w:tcBorders>
            <w:tcMar>
              <w:top w:w="240" w:type="dxa"/>
              <w:left w:w="0" w:type="dxa"/>
              <w:bottom w:w="240" w:type="dxa"/>
              <w:right w:w="0" w:type="dxa"/>
            </w:tcMar>
            <w:vAlign w:val="center"/>
            <w:hideMark/>
          </w:tcPr>
          <w:p w14:paraId="68E0B6FA"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 (لا توجد وساطة)</w:t>
            </w:r>
          </w:p>
        </w:tc>
      </w:tr>
      <w:tr w:rsidR="003D1437" w:rsidRPr="003D1437" w14:paraId="3EBD524D" w14:textId="77777777" w:rsidTr="00370CE0">
        <w:tc>
          <w:tcPr>
            <w:tcW w:w="0" w:type="auto"/>
            <w:tcMar>
              <w:top w:w="240" w:type="dxa"/>
              <w:left w:w="180" w:type="dxa"/>
              <w:bottom w:w="240" w:type="dxa"/>
              <w:right w:w="0" w:type="dxa"/>
            </w:tcMar>
            <w:vAlign w:val="center"/>
            <w:hideMark/>
          </w:tcPr>
          <w:p w14:paraId="3F4153DA" w14:textId="4895B409" w:rsidR="008A1445" w:rsidRPr="003D1437" w:rsidRDefault="008A1445" w:rsidP="007677A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كفاءة التخطيط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b/>
                <w:bCs/>
                <w:sz w:val="28"/>
                <w:szCs w:val="28"/>
                <w:rtl/>
              </w:rPr>
              <w:t xml:space="preserve">التكيف التكنولوجي </w:t>
            </w:r>
            <w:r w:rsidRPr="003D1437">
              <w:rPr>
                <w:rFonts w:ascii="Traditional Arabic" w:hAnsi="Traditional Arabic" w:cs="Traditional Arabic"/>
                <w:b/>
                <w:bCs/>
                <w:sz w:val="28"/>
                <w:szCs w:val="28"/>
              </w:rPr>
              <w:sym w:font="Wingdings" w:char="F0DF"/>
            </w:r>
            <w:r w:rsidR="007677A5" w:rsidRPr="003D1437">
              <w:rPr>
                <w:rFonts w:ascii="Traditional Arabic" w:hAnsi="Traditional Arabic" w:cs="Traditional Arabic"/>
                <w:b/>
                <w:bCs/>
                <w:sz w:val="28"/>
                <w:szCs w:val="28"/>
              </w:rPr>
              <w:t xml:space="preserve"> </w:t>
            </w:r>
            <w:r w:rsidRPr="003D1437">
              <w:rPr>
                <w:rFonts w:ascii="Traditional Arabic" w:hAnsi="Traditional Arabic" w:cs="Traditional Arabic"/>
                <w:b/>
                <w:bCs/>
                <w:sz w:val="28"/>
                <w:szCs w:val="28"/>
                <w:rtl/>
              </w:rPr>
              <w:t>دعم اتخاذ القرار</w:t>
            </w:r>
          </w:p>
        </w:tc>
        <w:tc>
          <w:tcPr>
            <w:tcW w:w="0" w:type="auto"/>
            <w:tcMar>
              <w:top w:w="240" w:type="dxa"/>
              <w:left w:w="180" w:type="dxa"/>
              <w:bottom w:w="240" w:type="dxa"/>
              <w:right w:w="0" w:type="dxa"/>
            </w:tcMar>
            <w:vAlign w:val="center"/>
          </w:tcPr>
          <w:p w14:paraId="483AA9CA" w14:textId="77777777" w:rsidR="008A1445" w:rsidRPr="003D1437" w:rsidRDefault="008A1445" w:rsidP="004B5225">
            <w:pPr>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Pr>
              <w:t>-0.003</w:t>
            </w:r>
          </w:p>
        </w:tc>
        <w:tc>
          <w:tcPr>
            <w:tcW w:w="0" w:type="auto"/>
            <w:tcMar>
              <w:top w:w="240" w:type="dxa"/>
              <w:left w:w="180" w:type="dxa"/>
              <w:bottom w:w="240" w:type="dxa"/>
              <w:right w:w="0" w:type="dxa"/>
            </w:tcMar>
            <w:vAlign w:val="center"/>
          </w:tcPr>
          <w:p w14:paraId="0D9081D4" w14:textId="77777777" w:rsidR="008A1445" w:rsidRPr="003D1437" w:rsidRDefault="008A1445" w:rsidP="004B5225">
            <w:pPr>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Pr>
              <w:t>-0.054</w:t>
            </w:r>
          </w:p>
        </w:tc>
        <w:tc>
          <w:tcPr>
            <w:tcW w:w="0" w:type="auto"/>
            <w:tcMar>
              <w:top w:w="240" w:type="dxa"/>
              <w:left w:w="180" w:type="dxa"/>
              <w:bottom w:w="240" w:type="dxa"/>
              <w:right w:w="0" w:type="dxa"/>
            </w:tcMar>
            <w:vAlign w:val="center"/>
            <w:hideMark/>
          </w:tcPr>
          <w:p w14:paraId="7BD15484"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0.957</w:t>
            </w:r>
          </w:p>
        </w:tc>
        <w:tc>
          <w:tcPr>
            <w:tcW w:w="0" w:type="auto"/>
            <w:tcMar>
              <w:top w:w="240" w:type="dxa"/>
              <w:left w:w="0" w:type="dxa"/>
              <w:bottom w:w="240" w:type="dxa"/>
              <w:right w:w="0" w:type="dxa"/>
            </w:tcMar>
            <w:vAlign w:val="center"/>
            <w:hideMark/>
          </w:tcPr>
          <w:p w14:paraId="28A43621"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 (لا توجد وساطة)</w:t>
            </w:r>
          </w:p>
        </w:tc>
      </w:tr>
      <w:tr w:rsidR="008A1445" w:rsidRPr="003D1437" w14:paraId="182EF298" w14:textId="77777777" w:rsidTr="00370CE0">
        <w:tc>
          <w:tcPr>
            <w:tcW w:w="0" w:type="auto"/>
            <w:tcBorders>
              <w:bottom w:val="single" w:sz="4" w:space="0" w:color="auto"/>
            </w:tcBorders>
            <w:tcMar>
              <w:top w:w="240" w:type="dxa"/>
              <w:left w:w="180" w:type="dxa"/>
              <w:bottom w:w="240" w:type="dxa"/>
              <w:right w:w="0" w:type="dxa"/>
            </w:tcMar>
            <w:vAlign w:val="center"/>
            <w:hideMark/>
          </w:tcPr>
          <w:p w14:paraId="467C46A9" w14:textId="176378E4" w:rsidR="008A1445" w:rsidRPr="003D1437" w:rsidRDefault="008A1445" w:rsidP="007677A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كفاءة التخطيط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b/>
                <w:bCs/>
                <w:sz w:val="28"/>
                <w:szCs w:val="28"/>
                <w:rtl/>
              </w:rPr>
              <w:t xml:space="preserve">التكيف التكنولوجي </w:t>
            </w:r>
            <w:r w:rsidRPr="003D1437">
              <w:rPr>
                <w:rFonts w:ascii="Traditional Arabic" w:hAnsi="Traditional Arabic" w:cs="Traditional Arabic"/>
                <w:b/>
                <w:bCs/>
                <w:sz w:val="28"/>
                <w:szCs w:val="28"/>
              </w:rPr>
              <w:sym w:font="Wingdings" w:char="F0DF"/>
            </w:r>
            <w:r w:rsidR="007677A5" w:rsidRPr="003D1437">
              <w:rPr>
                <w:rFonts w:ascii="Traditional Arabic" w:hAnsi="Traditional Arabic" w:cs="Traditional Arabic"/>
                <w:b/>
                <w:bCs/>
                <w:sz w:val="28"/>
                <w:szCs w:val="28"/>
              </w:rPr>
              <w:t xml:space="preserve"> </w:t>
            </w:r>
            <w:r w:rsidRPr="003D1437">
              <w:rPr>
                <w:rFonts w:ascii="Traditional Arabic" w:hAnsi="Traditional Arabic" w:cs="Traditional Arabic"/>
                <w:b/>
                <w:bCs/>
                <w:sz w:val="28"/>
                <w:szCs w:val="28"/>
                <w:rtl/>
              </w:rPr>
              <w:t>أنظمة الإنذار المبكر</w:t>
            </w:r>
          </w:p>
        </w:tc>
        <w:tc>
          <w:tcPr>
            <w:tcW w:w="0" w:type="auto"/>
            <w:tcBorders>
              <w:bottom w:val="single" w:sz="4" w:space="0" w:color="auto"/>
            </w:tcBorders>
            <w:tcMar>
              <w:top w:w="240" w:type="dxa"/>
              <w:left w:w="180" w:type="dxa"/>
              <w:bottom w:w="240" w:type="dxa"/>
              <w:right w:w="0" w:type="dxa"/>
            </w:tcMar>
            <w:vAlign w:val="center"/>
            <w:hideMark/>
          </w:tcPr>
          <w:p w14:paraId="28AF8D1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0.168</w:t>
            </w:r>
          </w:p>
        </w:tc>
        <w:tc>
          <w:tcPr>
            <w:tcW w:w="0" w:type="auto"/>
            <w:tcBorders>
              <w:bottom w:val="single" w:sz="4" w:space="0" w:color="auto"/>
            </w:tcBorders>
            <w:tcMar>
              <w:top w:w="240" w:type="dxa"/>
              <w:left w:w="180" w:type="dxa"/>
              <w:bottom w:w="240" w:type="dxa"/>
              <w:right w:w="0" w:type="dxa"/>
            </w:tcMar>
            <w:vAlign w:val="center"/>
            <w:hideMark/>
          </w:tcPr>
          <w:p w14:paraId="71C3E48C"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2.576</w:t>
            </w:r>
          </w:p>
        </w:tc>
        <w:tc>
          <w:tcPr>
            <w:tcW w:w="0" w:type="auto"/>
            <w:tcBorders>
              <w:bottom w:val="single" w:sz="4" w:space="0" w:color="auto"/>
            </w:tcBorders>
            <w:tcMar>
              <w:top w:w="240" w:type="dxa"/>
              <w:left w:w="180" w:type="dxa"/>
              <w:bottom w:w="240" w:type="dxa"/>
              <w:right w:w="0" w:type="dxa"/>
            </w:tcMar>
            <w:vAlign w:val="center"/>
            <w:hideMark/>
          </w:tcPr>
          <w:p w14:paraId="0323B61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0.010</w:t>
            </w:r>
          </w:p>
        </w:tc>
        <w:tc>
          <w:tcPr>
            <w:tcW w:w="0" w:type="auto"/>
            <w:tcBorders>
              <w:bottom w:val="single" w:sz="4" w:space="0" w:color="auto"/>
            </w:tcBorders>
            <w:tcMar>
              <w:top w:w="240" w:type="dxa"/>
              <w:left w:w="0" w:type="dxa"/>
              <w:bottom w:w="240" w:type="dxa"/>
              <w:right w:w="0" w:type="dxa"/>
            </w:tcMar>
            <w:vAlign w:val="center"/>
            <w:hideMark/>
          </w:tcPr>
          <w:p w14:paraId="0C0E35B4"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دال إحصائياً (توجد وساطة)</w:t>
            </w:r>
          </w:p>
        </w:tc>
      </w:tr>
    </w:tbl>
    <w:p w14:paraId="5C1D5E2A" w14:textId="77777777" w:rsidR="008A1445" w:rsidRPr="003D1437" w:rsidRDefault="008A1445" w:rsidP="008A1445">
      <w:pPr>
        <w:bidi/>
        <w:spacing w:after="200" w:line="276" w:lineRule="auto"/>
        <w:rPr>
          <w:rFonts w:ascii="Traditional Arabic" w:hAnsi="Traditional Arabic" w:cs="Traditional Arabic"/>
          <w:b/>
          <w:bCs/>
          <w:sz w:val="28"/>
          <w:szCs w:val="28"/>
          <w:rtl/>
        </w:rPr>
      </w:pPr>
    </w:p>
    <w:p w14:paraId="6DB2619C" w14:textId="77777777" w:rsidR="008A1445" w:rsidRPr="003D1437" w:rsidRDefault="008A1445" w:rsidP="0040059B">
      <w:pPr>
        <w:widowControl w:val="0"/>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يكشف تحليل المسار التفصيلي عن نتيجة علمية دقيقة جداً؛ وهي أن الدور الوسيط لـ "التكيف التكنولوجي" لا يحدث بشكل مطلق لجميع أدوات الذكاء الاصطناعي. فقد ثبت أن التأثير غير المباشر يكون دالاً إحصائياً فقط عند الاعتماد على بُعد (أنظمة الإنذار المبكر) بتأثير بلغ (0.168) ودلالة (0.010). بينما لا يلعب التكيف التكنولوجي دور الوسيط عند استخدام الذكاء الاصطناعي في (أتمتة المهام) أو (دعم اتخاذ القرار).</w:t>
      </w:r>
    </w:p>
    <w:p w14:paraId="6F5798DA" w14:textId="77777777" w:rsidR="008A1445" w:rsidRPr="003D1437" w:rsidRDefault="008A1445" w:rsidP="0040059B">
      <w:pPr>
        <w:widowControl w:val="0"/>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تُعد هذه النتيجة الجوهرية إضافة حقيقية للمعرفة، حيث تثبت أن أنظمة الذكاء الاصطناعي التنبؤية (الإنذار المبكر) تتطلب مستويات عالية من التكيف التكنولوجي لتنعكس آثارها الإيجابية على كفاءة التخطيط الاستراتيجي. وبناءً عليه تُقبل الفرضية الرئيسية جزئياً </w:t>
      </w:r>
      <w:r w:rsidRPr="003D1437">
        <w:rPr>
          <w:rFonts w:ascii="Traditional Arabic" w:hAnsi="Traditional Arabic" w:cs="Traditional Arabic"/>
          <w:sz w:val="28"/>
          <w:szCs w:val="28"/>
          <w:rtl/>
        </w:rPr>
        <w:lastRenderedPageBreak/>
        <w:t>(لصالح بُعد أنظمة الإنذار المبكر).</w:t>
      </w:r>
    </w:p>
    <w:p w14:paraId="0E8FD4B7" w14:textId="67A0E1B6" w:rsidR="008A1445" w:rsidRPr="003D1437" w:rsidRDefault="008A1445" w:rsidP="0040059B">
      <w:pPr>
        <w:pStyle w:val="Heading4"/>
        <w:rPr>
          <w:color w:val="auto"/>
        </w:rPr>
      </w:pPr>
      <w:bookmarkStart w:id="149" w:name="_Toc235065210"/>
      <w:r w:rsidRPr="003D1437">
        <w:rPr>
          <w:color w:val="auto"/>
          <w:rtl/>
        </w:rPr>
        <w:t>جدول (</w:t>
      </w:r>
      <w:r w:rsidR="0040059B" w:rsidRPr="003D1437">
        <w:rPr>
          <w:rFonts w:hint="cs"/>
          <w:color w:val="auto"/>
          <w:rtl/>
        </w:rPr>
        <w:t>13</w:t>
      </w:r>
      <w:r w:rsidRPr="003D1437">
        <w:rPr>
          <w:color w:val="auto"/>
          <w:rtl/>
        </w:rPr>
        <w:t>): ملخص نتائج اختبار فرضيات الدراسة</w:t>
      </w:r>
      <w:bookmarkEnd w:id="149"/>
    </w:p>
    <w:tbl>
      <w:tblPr>
        <w:bidiVisual/>
        <w:tblW w:w="0" w:type="auto"/>
        <w:tblLayout w:type="fixed"/>
        <w:tblCellMar>
          <w:left w:w="0" w:type="dxa"/>
          <w:right w:w="0" w:type="dxa"/>
        </w:tblCellMar>
        <w:tblLook w:val="04A0" w:firstRow="1" w:lastRow="0" w:firstColumn="1" w:lastColumn="0" w:noHBand="0" w:noVBand="1"/>
      </w:tblPr>
      <w:tblGrid>
        <w:gridCol w:w="2271"/>
        <w:gridCol w:w="3393"/>
        <w:gridCol w:w="2239"/>
        <w:gridCol w:w="1441"/>
      </w:tblGrid>
      <w:tr w:rsidR="003D1437" w:rsidRPr="003D1437" w14:paraId="113A0025" w14:textId="77777777" w:rsidTr="0040059B">
        <w:trPr>
          <w:trHeight w:val="170"/>
        </w:trPr>
        <w:tc>
          <w:tcPr>
            <w:tcW w:w="2271" w:type="dxa"/>
            <w:tcBorders>
              <w:top w:val="single" w:sz="4" w:space="0" w:color="auto"/>
              <w:bottom w:val="single" w:sz="4" w:space="0" w:color="auto"/>
            </w:tcBorders>
            <w:tcMar>
              <w:top w:w="240" w:type="dxa"/>
              <w:left w:w="180" w:type="dxa"/>
              <w:bottom w:w="240" w:type="dxa"/>
              <w:right w:w="0" w:type="dxa"/>
            </w:tcMar>
            <w:vAlign w:val="center"/>
            <w:hideMark/>
          </w:tcPr>
          <w:p w14:paraId="3EE02B26" w14:textId="77777777" w:rsidR="008A1445" w:rsidRPr="003D1437" w:rsidRDefault="008A1445" w:rsidP="004B5225">
            <w:pPr>
              <w:bidi/>
              <w:spacing w:after="0" w:line="240" w:lineRule="auto"/>
              <w:rPr>
                <w:rFonts w:ascii="Traditional Arabic" w:hAnsi="Traditional Arabic" w:cs="Traditional Arabic"/>
                <w:sz w:val="28"/>
                <w:szCs w:val="28"/>
                <w:lang w:bidi="ar-EG"/>
              </w:rPr>
            </w:pPr>
            <w:r w:rsidRPr="003D1437">
              <w:rPr>
                <w:rFonts w:ascii="Traditional Arabic" w:hAnsi="Traditional Arabic" w:cs="Traditional Arabic"/>
                <w:b/>
                <w:bCs/>
                <w:sz w:val="28"/>
                <w:szCs w:val="28"/>
                <w:rtl/>
              </w:rPr>
              <w:t>التساؤل</w:t>
            </w:r>
          </w:p>
        </w:tc>
        <w:tc>
          <w:tcPr>
            <w:tcW w:w="3393" w:type="dxa"/>
            <w:tcBorders>
              <w:top w:val="single" w:sz="4" w:space="0" w:color="auto"/>
              <w:bottom w:val="single" w:sz="4" w:space="0" w:color="auto"/>
            </w:tcBorders>
            <w:tcMar>
              <w:top w:w="240" w:type="dxa"/>
              <w:left w:w="180" w:type="dxa"/>
              <w:bottom w:w="240" w:type="dxa"/>
              <w:right w:w="0" w:type="dxa"/>
            </w:tcMar>
            <w:vAlign w:val="center"/>
            <w:hideMark/>
          </w:tcPr>
          <w:p w14:paraId="38E4334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p>
        </w:tc>
        <w:tc>
          <w:tcPr>
            <w:tcW w:w="2239" w:type="dxa"/>
            <w:tcBorders>
              <w:top w:val="single" w:sz="4" w:space="0" w:color="auto"/>
              <w:bottom w:val="single" w:sz="4" w:space="0" w:color="auto"/>
            </w:tcBorders>
            <w:tcMar>
              <w:top w:w="240" w:type="dxa"/>
              <w:left w:w="180" w:type="dxa"/>
              <w:bottom w:w="240" w:type="dxa"/>
              <w:right w:w="0" w:type="dxa"/>
            </w:tcMar>
            <w:vAlign w:val="center"/>
            <w:hideMark/>
          </w:tcPr>
          <w:p w14:paraId="258F5EBE"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أسلوب التحليل الإحصائي</w:t>
            </w:r>
          </w:p>
        </w:tc>
        <w:tc>
          <w:tcPr>
            <w:tcW w:w="1441" w:type="dxa"/>
            <w:tcBorders>
              <w:top w:val="single" w:sz="4" w:space="0" w:color="auto"/>
              <w:bottom w:val="single" w:sz="4" w:space="0" w:color="auto"/>
            </w:tcBorders>
            <w:tcMar>
              <w:top w:w="240" w:type="dxa"/>
              <w:left w:w="0" w:type="dxa"/>
              <w:bottom w:w="240" w:type="dxa"/>
              <w:right w:w="0" w:type="dxa"/>
            </w:tcMar>
            <w:vAlign w:val="center"/>
            <w:hideMark/>
          </w:tcPr>
          <w:p w14:paraId="08326ADB"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النتيجة</w:t>
            </w:r>
          </w:p>
        </w:tc>
      </w:tr>
      <w:tr w:rsidR="003D1437" w:rsidRPr="003D1437" w14:paraId="31A98ACB" w14:textId="77777777" w:rsidTr="0040059B">
        <w:trPr>
          <w:trHeight w:val="170"/>
        </w:trPr>
        <w:tc>
          <w:tcPr>
            <w:tcW w:w="2271" w:type="dxa"/>
            <w:tcBorders>
              <w:top w:val="single" w:sz="4" w:space="0" w:color="auto"/>
            </w:tcBorders>
            <w:tcMar>
              <w:top w:w="240" w:type="dxa"/>
              <w:left w:w="180" w:type="dxa"/>
              <w:bottom w:w="240" w:type="dxa"/>
              <w:right w:w="0" w:type="dxa"/>
            </w:tcMar>
            <w:vAlign w:val="center"/>
            <w:hideMark/>
          </w:tcPr>
          <w:p w14:paraId="792441D6"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أثر تطبيقات الذكاء الاصطناعي على كفاءة التخطيط الاستراتيجي؟</w:t>
            </w:r>
          </w:p>
        </w:tc>
        <w:tc>
          <w:tcPr>
            <w:tcW w:w="3393" w:type="dxa"/>
            <w:tcBorders>
              <w:top w:val="single" w:sz="4" w:space="0" w:color="auto"/>
            </w:tcBorders>
            <w:tcMar>
              <w:top w:w="240" w:type="dxa"/>
              <w:left w:w="180" w:type="dxa"/>
              <w:bottom w:w="240" w:type="dxa"/>
              <w:right w:w="0" w:type="dxa"/>
            </w:tcMar>
            <w:vAlign w:val="center"/>
            <w:hideMark/>
          </w:tcPr>
          <w:p w14:paraId="7EFEA9FF"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الفرعية الأولى:</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كفاءة الخطط الاستراتيجية ككل.</w:t>
            </w:r>
          </w:p>
        </w:tc>
        <w:tc>
          <w:tcPr>
            <w:tcW w:w="2239" w:type="dxa"/>
            <w:tcBorders>
              <w:top w:val="single" w:sz="4" w:space="0" w:color="auto"/>
            </w:tcBorders>
            <w:tcMar>
              <w:top w:w="240" w:type="dxa"/>
              <w:left w:w="180" w:type="dxa"/>
              <w:bottom w:w="240" w:type="dxa"/>
              <w:right w:w="0" w:type="dxa"/>
            </w:tcMar>
            <w:vAlign w:val="center"/>
            <w:hideMark/>
          </w:tcPr>
          <w:p w14:paraId="0ACC943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الانحدار المتعدد (</w:t>
            </w:r>
            <w:r w:rsidRPr="003D1437">
              <w:rPr>
                <w:rFonts w:ascii="Traditional Arabic" w:hAnsi="Traditional Arabic" w:cs="Traditional Arabic"/>
                <w:sz w:val="28"/>
                <w:szCs w:val="28"/>
                <w:lang w:bidi="ar-EG"/>
              </w:rPr>
              <w:t>Multiple Regression</w:t>
            </w:r>
            <w:r w:rsidRPr="003D1437">
              <w:rPr>
                <w:rFonts w:ascii="Traditional Arabic" w:hAnsi="Traditional Arabic" w:cs="Traditional Arabic"/>
                <w:sz w:val="28"/>
                <w:szCs w:val="28"/>
                <w:rtl/>
              </w:rPr>
              <w:t>)</w:t>
            </w:r>
          </w:p>
        </w:tc>
        <w:tc>
          <w:tcPr>
            <w:tcW w:w="1441" w:type="dxa"/>
            <w:tcBorders>
              <w:top w:val="single" w:sz="4" w:space="0" w:color="auto"/>
            </w:tcBorders>
            <w:tcMar>
              <w:top w:w="240" w:type="dxa"/>
              <w:left w:w="0" w:type="dxa"/>
              <w:bottom w:w="240" w:type="dxa"/>
              <w:right w:w="0" w:type="dxa"/>
            </w:tcMar>
            <w:vAlign w:val="center"/>
            <w:hideMark/>
          </w:tcPr>
          <w:p w14:paraId="67E652B4" w14:textId="049CB34F"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w:t>
            </w:r>
          </w:p>
          <w:p w14:paraId="09FFB40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(لجميع الأبعاد، والأقوى هو دعم اتخاذ القرار)</w:t>
            </w:r>
          </w:p>
        </w:tc>
      </w:tr>
      <w:tr w:rsidR="003D1437" w:rsidRPr="003D1437" w14:paraId="095F9A58" w14:textId="77777777" w:rsidTr="0040059B">
        <w:trPr>
          <w:trHeight w:val="1191"/>
        </w:trPr>
        <w:tc>
          <w:tcPr>
            <w:tcW w:w="2271" w:type="dxa"/>
            <w:tcMar>
              <w:top w:w="240" w:type="dxa"/>
              <w:left w:w="180" w:type="dxa"/>
              <w:bottom w:w="240" w:type="dxa"/>
              <w:right w:w="0" w:type="dxa"/>
            </w:tcMar>
            <w:vAlign w:val="center"/>
            <w:hideMark/>
          </w:tcPr>
          <w:p w14:paraId="503E4DF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أثر تطبيقات الذكاء الاصطناعي على التكيف التكنولوجي؟</w:t>
            </w:r>
          </w:p>
        </w:tc>
        <w:tc>
          <w:tcPr>
            <w:tcW w:w="3393" w:type="dxa"/>
            <w:tcMar>
              <w:top w:w="240" w:type="dxa"/>
              <w:left w:w="180" w:type="dxa"/>
              <w:bottom w:w="240" w:type="dxa"/>
              <w:right w:w="0" w:type="dxa"/>
            </w:tcMar>
            <w:vAlign w:val="center"/>
            <w:hideMark/>
          </w:tcPr>
          <w:p w14:paraId="0141A366"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الفرعية الثانية:</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التكيف التكنولوجي.</w:t>
            </w:r>
          </w:p>
        </w:tc>
        <w:tc>
          <w:tcPr>
            <w:tcW w:w="2239" w:type="dxa"/>
            <w:tcMar>
              <w:top w:w="240" w:type="dxa"/>
              <w:left w:w="180" w:type="dxa"/>
              <w:bottom w:w="240" w:type="dxa"/>
              <w:right w:w="0" w:type="dxa"/>
            </w:tcMar>
            <w:vAlign w:val="center"/>
            <w:hideMark/>
          </w:tcPr>
          <w:p w14:paraId="4E26290A"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الانحدار المتعدد (</w:t>
            </w:r>
            <w:r w:rsidRPr="003D1437">
              <w:rPr>
                <w:rFonts w:ascii="Traditional Arabic" w:hAnsi="Traditional Arabic" w:cs="Traditional Arabic"/>
                <w:sz w:val="28"/>
                <w:szCs w:val="28"/>
                <w:lang w:bidi="ar-EG"/>
              </w:rPr>
              <w:t>Multiple Regression</w:t>
            </w:r>
            <w:r w:rsidRPr="003D1437">
              <w:rPr>
                <w:rFonts w:ascii="Traditional Arabic" w:hAnsi="Traditional Arabic" w:cs="Traditional Arabic"/>
                <w:sz w:val="28"/>
                <w:szCs w:val="28"/>
                <w:rtl/>
              </w:rPr>
              <w:t>)</w:t>
            </w:r>
          </w:p>
        </w:tc>
        <w:tc>
          <w:tcPr>
            <w:tcW w:w="1441" w:type="dxa"/>
            <w:tcMar>
              <w:top w:w="240" w:type="dxa"/>
              <w:left w:w="0" w:type="dxa"/>
              <w:bottom w:w="240" w:type="dxa"/>
              <w:right w:w="0" w:type="dxa"/>
            </w:tcMar>
            <w:vAlign w:val="center"/>
            <w:hideMark/>
          </w:tcPr>
          <w:p w14:paraId="31D48D6D" w14:textId="0A978D48"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 جزئياً</w:t>
            </w:r>
          </w:p>
          <w:p w14:paraId="42426D1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(فقط لصالح بُعد أنظمة الإنذار المبكر)</w:t>
            </w:r>
          </w:p>
        </w:tc>
      </w:tr>
      <w:tr w:rsidR="003D1437" w:rsidRPr="003D1437" w14:paraId="675F7A32" w14:textId="77777777" w:rsidTr="0040059B">
        <w:trPr>
          <w:trHeight w:val="170"/>
        </w:trPr>
        <w:tc>
          <w:tcPr>
            <w:tcW w:w="2271" w:type="dxa"/>
            <w:tcMar>
              <w:top w:w="240" w:type="dxa"/>
              <w:left w:w="180" w:type="dxa"/>
              <w:bottom w:w="240" w:type="dxa"/>
              <w:right w:w="0" w:type="dxa"/>
            </w:tcMar>
            <w:vAlign w:val="center"/>
            <w:hideMark/>
          </w:tcPr>
          <w:p w14:paraId="33B0E209"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أثر التكيف التكنولوجي على كفاءة التخطيط الاستراتيجي؟</w:t>
            </w:r>
          </w:p>
        </w:tc>
        <w:tc>
          <w:tcPr>
            <w:tcW w:w="3393" w:type="dxa"/>
            <w:tcMar>
              <w:top w:w="240" w:type="dxa"/>
              <w:left w:w="180" w:type="dxa"/>
              <w:bottom w:w="240" w:type="dxa"/>
              <w:right w:w="0" w:type="dxa"/>
            </w:tcMar>
            <w:vAlign w:val="center"/>
            <w:hideMark/>
          </w:tcPr>
          <w:p w14:paraId="23DC325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الفرعية الثالثة:</w:t>
            </w:r>
            <w:r w:rsidRPr="003D1437">
              <w:rPr>
                <w:rFonts w:ascii="Traditional Arabic" w:hAnsi="Traditional Arabic" w:cs="Traditional Arabic"/>
                <w:sz w:val="28"/>
                <w:szCs w:val="28"/>
                <w:rtl/>
              </w:rPr>
              <w:t xml:space="preserve"> يوجد تأثير ذو دلالة إحصائية عند مستوى دلالة 0.05 للتكيف التكنولوجي على أبعاد كفاءة الخطط الاستراتيجية.</w:t>
            </w:r>
          </w:p>
        </w:tc>
        <w:tc>
          <w:tcPr>
            <w:tcW w:w="2239" w:type="dxa"/>
            <w:tcMar>
              <w:top w:w="240" w:type="dxa"/>
              <w:left w:w="180" w:type="dxa"/>
              <w:bottom w:w="240" w:type="dxa"/>
              <w:right w:w="0" w:type="dxa"/>
            </w:tcMar>
            <w:vAlign w:val="center"/>
            <w:hideMark/>
          </w:tcPr>
          <w:p w14:paraId="5184CB0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تحليل المسار للتباينات المتعددة (</w:t>
            </w:r>
            <w:r w:rsidRPr="003D1437">
              <w:rPr>
                <w:rFonts w:ascii="Traditional Arabic" w:hAnsi="Traditional Arabic" w:cs="Traditional Arabic"/>
                <w:sz w:val="28"/>
                <w:szCs w:val="28"/>
                <w:lang w:bidi="ar-EG"/>
              </w:rPr>
              <w:t>Multivariate Path Analysis</w:t>
            </w:r>
            <w:r w:rsidRPr="003D1437">
              <w:rPr>
                <w:rFonts w:ascii="Traditional Arabic" w:hAnsi="Traditional Arabic" w:cs="Traditional Arabic"/>
                <w:sz w:val="28"/>
                <w:szCs w:val="28"/>
                <w:rtl/>
              </w:rPr>
              <w:t>)</w:t>
            </w:r>
          </w:p>
        </w:tc>
        <w:tc>
          <w:tcPr>
            <w:tcW w:w="1441" w:type="dxa"/>
            <w:tcMar>
              <w:top w:w="240" w:type="dxa"/>
              <w:left w:w="0" w:type="dxa"/>
              <w:bottom w:w="240" w:type="dxa"/>
              <w:right w:w="0" w:type="dxa"/>
            </w:tcMar>
            <w:vAlign w:val="center"/>
            <w:hideMark/>
          </w:tcPr>
          <w:p w14:paraId="6A60C4C2" w14:textId="7313C3BE"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w:t>
            </w:r>
          </w:p>
          <w:p w14:paraId="1D692FE7"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(لجميع الأبعاد، والأقوى هو كفاءة تخصيص الموارد)</w:t>
            </w:r>
          </w:p>
        </w:tc>
      </w:tr>
      <w:tr w:rsidR="003D1437" w:rsidRPr="003D1437" w14:paraId="77102550" w14:textId="77777777" w:rsidTr="0040059B">
        <w:trPr>
          <w:trHeight w:val="170"/>
        </w:trPr>
        <w:tc>
          <w:tcPr>
            <w:tcW w:w="2271" w:type="dxa"/>
            <w:tcBorders>
              <w:bottom w:val="single" w:sz="4" w:space="0" w:color="auto"/>
            </w:tcBorders>
            <w:tcMar>
              <w:top w:w="240" w:type="dxa"/>
              <w:left w:w="180" w:type="dxa"/>
              <w:bottom w:w="240" w:type="dxa"/>
              <w:right w:w="0" w:type="dxa"/>
            </w:tcMar>
            <w:vAlign w:val="center"/>
            <w:hideMark/>
          </w:tcPr>
          <w:p w14:paraId="54DFC2BA"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هو دور التكيف التكنولوجي كمتغير وسيط في العلاقة بين الذكاء الاصطناعي وكفاءة التخطيط؟</w:t>
            </w:r>
          </w:p>
        </w:tc>
        <w:tc>
          <w:tcPr>
            <w:tcW w:w="3393" w:type="dxa"/>
            <w:tcBorders>
              <w:bottom w:val="single" w:sz="4" w:space="0" w:color="auto"/>
            </w:tcBorders>
            <w:tcMar>
              <w:top w:w="240" w:type="dxa"/>
              <w:left w:w="180" w:type="dxa"/>
              <w:bottom w:w="240" w:type="dxa"/>
              <w:right w:w="0" w:type="dxa"/>
            </w:tcMar>
            <w:vAlign w:val="center"/>
            <w:hideMark/>
          </w:tcPr>
          <w:p w14:paraId="273E4F5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الرئيسية:</w:t>
            </w:r>
            <w:r w:rsidRPr="003D1437">
              <w:rPr>
                <w:rFonts w:ascii="Traditional Arabic" w:hAnsi="Traditional Arabic" w:cs="Traditional Arabic"/>
                <w:sz w:val="28"/>
                <w:szCs w:val="28"/>
                <w:rtl/>
              </w:rPr>
              <w:t xml:space="preserve"> يوجد تأثير غير مباشر ذو دلالة إحصائية للذكاء الاصطناعي (بأبعاده الفرعية) على كفاءة التخطيط الاستراتيجي في ظل وجود التكيف التكنولوجي كمتغير وسيط.</w:t>
            </w:r>
          </w:p>
        </w:tc>
        <w:tc>
          <w:tcPr>
            <w:tcW w:w="2239" w:type="dxa"/>
            <w:tcBorders>
              <w:bottom w:val="single" w:sz="4" w:space="0" w:color="auto"/>
            </w:tcBorders>
            <w:tcMar>
              <w:top w:w="240" w:type="dxa"/>
              <w:left w:w="180" w:type="dxa"/>
              <w:bottom w:w="240" w:type="dxa"/>
              <w:right w:w="0" w:type="dxa"/>
            </w:tcMar>
            <w:vAlign w:val="center"/>
            <w:hideMark/>
          </w:tcPr>
          <w:p w14:paraId="1C77449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تحليل المسار التفصيلي لاختبار الوساطة (</w:t>
            </w:r>
            <w:r w:rsidRPr="003D1437">
              <w:rPr>
                <w:rFonts w:ascii="Traditional Arabic" w:hAnsi="Traditional Arabic" w:cs="Traditional Arabic"/>
                <w:sz w:val="28"/>
                <w:szCs w:val="28"/>
              </w:rPr>
              <w:t>Detailed Path Analysis</w:t>
            </w:r>
            <w:r w:rsidRPr="003D1437">
              <w:rPr>
                <w:rFonts w:ascii="Traditional Arabic" w:hAnsi="Traditional Arabic" w:cs="Traditional Arabic"/>
                <w:sz w:val="28"/>
                <w:szCs w:val="28"/>
                <w:rtl/>
              </w:rPr>
              <w:t>)</w:t>
            </w:r>
          </w:p>
        </w:tc>
        <w:tc>
          <w:tcPr>
            <w:tcW w:w="1441" w:type="dxa"/>
            <w:tcBorders>
              <w:bottom w:val="single" w:sz="4" w:space="0" w:color="auto"/>
            </w:tcBorders>
            <w:tcMar>
              <w:top w:w="240" w:type="dxa"/>
              <w:left w:w="0" w:type="dxa"/>
              <w:bottom w:w="240" w:type="dxa"/>
              <w:right w:w="0" w:type="dxa"/>
            </w:tcMar>
            <w:vAlign w:val="center"/>
            <w:hideMark/>
          </w:tcPr>
          <w:p w14:paraId="4C4A2048" w14:textId="58493FE4"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 جزئياً</w:t>
            </w:r>
          </w:p>
          <w:p w14:paraId="52C5530E"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(الوساطة تحدث فقط عبر بُعد أنظمة الإنذار المبكر)</w:t>
            </w:r>
          </w:p>
        </w:tc>
      </w:tr>
    </w:tbl>
    <w:p w14:paraId="4174571D" w14:textId="77777777" w:rsidR="008A1445" w:rsidRPr="003D1437" w:rsidRDefault="008A1445" w:rsidP="008A1445">
      <w:pPr>
        <w:bidi/>
        <w:rPr>
          <w:sz w:val="28"/>
          <w:szCs w:val="28"/>
          <w:lang w:bidi="ar-EG"/>
        </w:rPr>
      </w:pPr>
    </w:p>
    <w:p w14:paraId="66474D3F" w14:textId="77777777" w:rsidR="00237F90" w:rsidRPr="003D1437" w:rsidRDefault="00237F90" w:rsidP="00237F90">
      <w:pPr>
        <w:bidi/>
        <w:rPr>
          <w:sz w:val="28"/>
          <w:szCs w:val="28"/>
          <w:lang w:bidi="ar-EG"/>
        </w:rPr>
      </w:pPr>
    </w:p>
    <w:p w14:paraId="11408A54" w14:textId="77777777" w:rsidR="0040059B" w:rsidRPr="003D1437" w:rsidRDefault="0040059B" w:rsidP="00C3359D">
      <w:pPr>
        <w:bidi/>
        <w:jc w:val="lowKashida"/>
        <w:rPr>
          <w:rFonts w:ascii="Traditional Arabic" w:hAnsi="Traditional Arabic" w:cs="Traditional Arabic"/>
          <w:sz w:val="28"/>
          <w:szCs w:val="28"/>
          <w:rtl/>
          <w:lang w:bidi="ar-EG"/>
        </w:rPr>
        <w:sectPr w:rsidR="0040059B" w:rsidRPr="003D1437">
          <w:pgSz w:w="12240" w:h="15840"/>
          <w:pgMar w:top="1440" w:right="1440" w:bottom="1440" w:left="1440" w:header="720" w:footer="720" w:gutter="0"/>
          <w:cols w:space="720"/>
          <w:docGrid w:linePitch="360"/>
        </w:sectPr>
      </w:pPr>
    </w:p>
    <w:p w14:paraId="30B2BD50" w14:textId="77777777" w:rsidR="0040059B" w:rsidRPr="003D1437" w:rsidRDefault="0040059B" w:rsidP="0040059B">
      <w:pPr>
        <w:pStyle w:val="Heading1"/>
        <w:rPr>
          <w:rtl/>
        </w:rPr>
      </w:pPr>
    </w:p>
    <w:p w14:paraId="57151B62" w14:textId="77777777" w:rsidR="0040059B" w:rsidRPr="003D1437" w:rsidRDefault="0040059B" w:rsidP="0040059B">
      <w:pPr>
        <w:pStyle w:val="Heading1"/>
        <w:rPr>
          <w:rtl/>
        </w:rPr>
      </w:pPr>
    </w:p>
    <w:p w14:paraId="25A4E553" w14:textId="77777777" w:rsidR="0040059B" w:rsidRPr="003D1437" w:rsidRDefault="0040059B" w:rsidP="0040059B">
      <w:pPr>
        <w:pStyle w:val="Heading1"/>
        <w:rPr>
          <w:rtl/>
        </w:rPr>
      </w:pPr>
    </w:p>
    <w:p w14:paraId="5A093C39" w14:textId="77777777" w:rsidR="0040059B" w:rsidRPr="003D1437" w:rsidRDefault="0040059B" w:rsidP="0040059B">
      <w:pPr>
        <w:pStyle w:val="Heading1"/>
        <w:rPr>
          <w:rtl/>
        </w:rPr>
      </w:pPr>
    </w:p>
    <w:p w14:paraId="64820595" w14:textId="77777777" w:rsidR="0040059B" w:rsidRPr="003D1437" w:rsidRDefault="0040059B" w:rsidP="0040059B">
      <w:pPr>
        <w:pStyle w:val="Heading1"/>
        <w:rPr>
          <w:rtl/>
        </w:rPr>
      </w:pPr>
    </w:p>
    <w:p w14:paraId="5559A024" w14:textId="77777777" w:rsidR="0040059B" w:rsidRPr="003D1437" w:rsidRDefault="0040059B" w:rsidP="0040059B">
      <w:pPr>
        <w:pStyle w:val="Heading1"/>
        <w:rPr>
          <w:rtl/>
        </w:rPr>
      </w:pPr>
    </w:p>
    <w:p w14:paraId="34DF2AE8" w14:textId="77777777" w:rsidR="0040059B" w:rsidRPr="003D1437" w:rsidRDefault="0040059B" w:rsidP="0040059B">
      <w:pPr>
        <w:pStyle w:val="Heading1"/>
        <w:rPr>
          <w:rtl/>
        </w:rPr>
      </w:pPr>
    </w:p>
    <w:p w14:paraId="5C1A1D32" w14:textId="5BD497EC" w:rsidR="0040059B" w:rsidRPr="003D1437" w:rsidRDefault="0040059B" w:rsidP="0040059B">
      <w:pPr>
        <w:pStyle w:val="Heading1"/>
        <w:rPr>
          <w:sz w:val="48"/>
          <w:szCs w:val="48"/>
        </w:rPr>
      </w:pPr>
      <w:bookmarkStart w:id="150" w:name="_Toc235065334"/>
      <w:bookmarkStart w:id="151" w:name="_Toc236402708"/>
      <w:r w:rsidRPr="003D1437">
        <w:rPr>
          <w:sz w:val="48"/>
          <w:szCs w:val="48"/>
          <w:rtl/>
        </w:rPr>
        <w:t xml:space="preserve">الفصل الخامس: </w:t>
      </w:r>
      <w:r w:rsidRPr="003D1437">
        <w:rPr>
          <w:rFonts w:hint="cs"/>
          <w:sz w:val="48"/>
          <w:szCs w:val="48"/>
          <w:rtl/>
        </w:rPr>
        <w:t>مناقشة</w:t>
      </w:r>
      <w:r w:rsidRPr="003D1437">
        <w:rPr>
          <w:sz w:val="48"/>
          <w:szCs w:val="48"/>
          <w:rtl/>
        </w:rPr>
        <w:t xml:space="preserve"> النتائج والتوصيات</w:t>
      </w:r>
      <w:bookmarkEnd w:id="150"/>
      <w:bookmarkEnd w:id="151"/>
    </w:p>
    <w:p w14:paraId="6EF00CA6" w14:textId="77777777" w:rsidR="00A16A88" w:rsidRPr="003D1437" w:rsidRDefault="00A16A88" w:rsidP="00C3359D">
      <w:pPr>
        <w:bidi/>
        <w:jc w:val="lowKashida"/>
        <w:rPr>
          <w:rFonts w:ascii="Traditional Arabic" w:hAnsi="Traditional Arabic" w:cs="Traditional Arabic"/>
          <w:sz w:val="28"/>
          <w:szCs w:val="28"/>
          <w:rtl/>
          <w:lang w:bidi="ar-EG"/>
        </w:rPr>
        <w:sectPr w:rsidR="00A16A88" w:rsidRPr="003D1437" w:rsidSect="00BF2DEE">
          <w:pgSz w:w="12240" w:h="15840"/>
          <w:pgMar w:top="1440" w:right="1440" w:bottom="1440" w:left="1440" w:header="720" w:footer="720" w:gutter="0"/>
          <w:cols w:space="720"/>
          <w:titlePg/>
          <w:docGrid w:linePitch="360"/>
        </w:sectPr>
      </w:pPr>
    </w:p>
    <w:p w14:paraId="35C713EF" w14:textId="5F85D7CC" w:rsidR="00A16A88" w:rsidRPr="003D1437" w:rsidRDefault="00A16A88" w:rsidP="00A16A88">
      <w:pPr>
        <w:pStyle w:val="Heading1"/>
      </w:pPr>
      <w:bookmarkStart w:id="152" w:name="_Toc233422651"/>
      <w:bookmarkStart w:id="153" w:name="_Toc236402709"/>
      <w:r w:rsidRPr="003D1437">
        <w:rPr>
          <w:rtl/>
        </w:rPr>
        <w:lastRenderedPageBreak/>
        <w:t xml:space="preserve">الفصل الخامس: </w:t>
      </w:r>
      <w:r w:rsidR="0040059B" w:rsidRPr="003D1437">
        <w:rPr>
          <w:rFonts w:hint="cs"/>
          <w:rtl/>
        </w:rPr>
        <w:t>مناقشة</w:t>
      </w:r>
      <w:r w:rsidR="0040059B" w:rsidRPr="003D1437">
        <w:rPr>
          <w:rtl/>
        </w:rPr>
        <w:t xml:space="preserve"> </w:t>
      </w:r>
      <w:r w:rsidRPr="003D1437">
        <w:rPr>
          <w:rtl/>
        </w:rPr>
        <w:t>النتائج والتوصيات</w:t>
      </w:r>
      <w:bookmarkEnd w:id="152"/>
      <w:bookmarkEnd w:id="153"/>
    </w:p>
    <w:p w14:paraId="31547E09" w14:textId="77777777" w:rsidR="00A16A88" w:rsidRPr="003D1437" w:rsidRDefault="00A16A88" w:rsidP="00A16A88">
      <w:pPr>
        <w:pStyle w:val="Heading2"/>
        <w:rPr>
          <w:rtl/>
        </w:rPr>
      </w:pPr>
      <w:bookmarkStart w:id="154" w:name="_Toc233422652"/>
      <w:bookmarkStart w:id="155" w:name="_Toc236402710"/>
      <w:r w:rsidRPr="003D1437">
        <w:rPr>
          <w:rtl/>
        </w:rPr>
        <w:t>تمهيد</w:t>
      </w:r>
      <w:bookmarkEnd w:id="154"/>
      <w:bookmarkEnd w:id="155"/>
    </w:p>
    <w:p w14:paraId="1173DA51" w14:textId="77777777" w:rsidR="00A16A88" w:rsidRDefault="00A16A88" w:rsidP="00A16A88">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يمثل هذا الفصل التتويج العلمي والدراسة الختامية للبحث، حيث يستعرض قراءة شمولية وموجزة لأبرز النتائج التجريبية التي تم التوصل إليها في الجانب الميداني بعد تطبيق أسلوب الحصر الشامل على الإداريين بإدارة التعليم بمكة المكرمة. وبناءً على ما أسفرت عنه التحليلات الإحصائية المتقدمة واختبارات النماذج الهيكلية، يقدم الفصل حزمة من التوصيات الإجرائية المركزة المقترنة بآليات تنفيذ عمليّة لخدمة صناع القرار، تليها مقترحات لعناوين بحثية مستقبلية تسد الثغرات المعرفية المستجدة، وينتهي بخاتمة مركزة تلخص الأثر العلمي للدراسة.</w:t>
      </w:r>
      <w:bookmarkStart w:id="156" w:name="_Hlk235063905"/>
    </w:p>
    <w:p w14:paraId="75F0B3D9" w14:textId="77777777" w:rsidR="00F561E6" w:rsidRPr="00EA78EC" w:rsidRDefault="00F561E6" w:rsidP="00F561E6">
      <w:pPr>
        <w:bidi/>
        <w:spacing w:line="278" w:lineRule="auto"/>
        <w:jc w:val="lowKashida"/>
        <w:rPr>
          <w:rFonts w:ascii="Traditional Arabic" w:hAnsi="Traditional Arabic" w:cs="Traditional Arabic"/>
          <w:b/>
          <w:bCs/>
          <w:sz w:val="28"/>
          <w:szCs w:val="28"/>
        </w:rPr>
      </w:pPr>
      <w:r w:rsidRPr="00EA78EC">
        <w:rPr>
          <w:rFonts w:ascii="Traditional Arabic" w:hAnsi="Traditional Arabic" w:cs="Traditional Arabic"/>
          <w:b/>
          <w:bCs/>
          <w:sz w:val="28"/>
          <w:szCs w:val="28"/>
          <w:rtl/>
        </w:rPr>
        <w:t>5.1 ملخص النتائج ومناقشتها وتفسيرها النظري</w:t>
      </w:r>
    </w:p>
    <w:p w14:paraId="034E0E08"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أولاً: الخصائص الديموغرافية والوظيفية (بنية مجتمع الدراسة)</w:t>
      </w:r>
    </w:p>
    <w:p w14:paraId="647CFCAE"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sz w:val="28"/>
          <w:szCs w:val="28"/>
          <w:rtl/>
        </w:rPr>
        <w:t xml:space="preserve">كشفت نتائج الخصائص الديموغرافية والوظيفية لأفراد مجتمع الدراسة عن بيئة إدارية ناضجة ومستقرة ومؤهلة تأهيلاً عالياً في الإدارة العامة للتعليم بمنطقة مكة المكرمة؛ حيث أظهر الحصر الشامل تمركزاً غالبة في الفئات العمرية المتقدمة التي تتجاوز أربعين عاماً، مع امتلاك معظم المبحوثين لخبرات إدارية طويلة وممتدة، فضلاً عن كون الأغلبية العظمى من حملة الدرجات الجامعية والدراسات العليا. تُعزى هذه المؤشرات الإيجابية إلى دقة التعيين والترقّي في المناصب القيادية والإشرافية بإدارة التعليم. وتمنح هذه البنية دلالة نوعية حاسمة؛ فالخبرة الإدارية العميقة والمؤهل الأكاديمي المرتفع يعززان بشكل قطعي موثوقية الاستجابات وصلابتها، نظراً لوعي المبحوثين العميق بمخرجات العمليات الإدارية وقدرتهم الفكرية على تقييم المفاهيم الحديثة كالذكاء الاصطناعي والتخطيط الاستراتيجي موضوعياً. تتوافق هذه النتيجة بنيوياً مع دراسة </w:t>
      </w:r>
      <w:r w:rsidRPr="007D353E">
        <w:rPr>
          <w:rFonts w:ascii="Traditional Arabic" w:hAnsi="Traditional Arabic" w:cs="Traditional Arabic"/>
          <w:sz w:val="28"/>
          <w:szCs w:val="28"/>
        </w:rPr>
        <w:t>Mohammed et al</w:t>
      </w:r>
      <w:r w:rsidRPr="007D353E">
        <w:rPr>
          <w:rFonts w:ascii="Traditional Arabic" w:hAnsi="Traditional Arabic" w:cs="Traditional Arabic"/>
          <w:sz w:val="28"/>
          <w:szCs w:val="28"/>
          <w:rtl/>
        </w:rPr>
        <w:t xml:space="preserve">. (2024) ودراسة </w:t>
      </w:r>
      <w:r w:rsidRPr="007D353E">
        <w:rPr>
          <w:rFonts w:ascii="Traditional Arabic" w:hAnsi="Traditional Arabic" w:cs="Traditional Arabic"/>
          <w:sz w:val="28"/>
          <w:szCs w:val="28"/>
        </w:rPr>
        <w:t>Adiguzel et al</w:t>
      </w:r>
      <w:r w:rsidRPr="007D353E">
        <w:rPr>
          <w:rFonts w:ascii="Traditional Arabic" w:hAnsi="Traditional Arabic" w:cs="Traditional Arabic"/>
          <w:sz w:val="28"/>
          <w:szCs w:val="28"/>
          <w:rtl/>
        </w:rPr>
        <w:t>. (2024) اللتين ركزتا على استهداف كبار الموظفين والمسؤولين التنفيذيين كمصدر أساسي لبيانات استشراف التكنولوجيا.</w:t>
      </w:r>
    </w:p>
    <w:p w14:paraId="29F68CC3"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ثانياً: التحليل الوصفي لمتغيرات الدراسة الرئيسية</w:t>
      </w:r>
    </w:p>
    <w:p w14:paraId="7282CE62" w14:textId="52834CA5" w:rsidR="006D5279" w:rsidRPr="007D353E" w:rsidRDefault="006D5279" w:rsidP="006D5279">
      <w:pPr>
        <w:bidi/>
        <w:jc w:val="lowKashida"/>
        <w:rPr>
          <w:rFonts w:ascii="Traditional Arabic" w:hAnsi="Traditional Arabic" w:cs="Traditional Arabic"/>
          <w:sz w:val="28"/>
          <w:szCs w:val="28"/>
          <w:rtl/>
        </w:rPr>
      </w:pPr>
      <w:r w:rsidRPr="006D5279">
        <w:rPr>
          <w:rFonts w:ascii="Traditional Arabic" w:hAnsi="Traditional Arabic" w:cs="Traditional Arabic"/>
          <w:sz w:val="28"/>
          <w:szCs w:val="28"/>
          <w:rtl/>
        </w:rPr>
        <w:t xml:space="preserve">أظهرت نتائج التحليل الوصفي العام توافقاً كبيراً ومستوى موافقة مرتفعاً لدى أفراد مجتمع الدراسة تجاه كافة متغيرات البحث؛ حيث جاء المتغير المستقل (تطبيقات الذكاء الاصطناعي) في درجة موافقة مرتفعة، تلاه المتغير التابع (كفاءة التخطيط الاستراتيجي) بمرتبة موافقة مرتفعة أيضاً، ثم المتغير الوسيط (التكيف التكنولوجي) بمستوى موافقة مرتفع. يُعزى هذا الارتفاع العام في التقييم إلى البيئة الرقمية الداعمة التي فرضتها وزارة التعليم بالمملكة كجزء من التحول الرقمي الشامل. ويشير ذلك إلى وعي تنظيمي متقدم لدى القيادات الإدارية في مكة المكرمة بأهمية التكنولوجيا، وجودة واضحة في ممارسات التخطيط وصياغة الأهداف. تتسق هذه النتيجة طردياً مع الطرح النظري لـ </w:t>
      </w:r>
      <w:r w:rsidRPr="006D5279">
        <w:rPr>
          <w:rFonts w:ascii="Traditional Arabic" w:hAnsi="Traditional Arabic" w:cs="Traditional Arabic"/>
          <w:sz w:val="28"/>
          <w:szCs w:val="28"/>
        </w:rPr>
        <w:t>Kitsios &amp; Kamariotou</w:t>
      </w:r>
      <w:r w:rsidRPr="006D5279">
        <w:rPr>
          <w:rFonts w:ascii="Traditional Arabic" w:hAnsi="Traditional Arabic" w:cs="Traditional Arabic"/>
          <w:sz w:val="28"/>
          <w:szCs w:val="28"/>
          <w:rtl/>
        </w:rPr>
        <w:t xml:space="preserve"> (2021) اللذين أكدا أن التحول الرقمي يرفع من مستوى إدراك القادة لأهمية الأدوات الذكية في صياغة الاستراتيجيات</w:t>
      </w:r>
      <w:r w:rsidRPr="007D353E">
        <w:rPr>
          <w:rFonts w:ascii="Traditional Arabic" w:hAnsi="Traditional Arabic" w:cs="Traditional Arabic"/>
          <w:sz w:val="28"/>
          <w:szCs w:val="28"/>
          <w:rtl/>
        </w:rPr>
        <w:t>.</w:t>
      </w:r>
    </w:p>
    <w:p w14:paraId="1F3472A0"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lastRenderedPageBreak/>
        <w:t>ثالثاً: اختبار الفرضية الفرعية الأولى (أثر الذكاء الاصطناعي على كفاءة التخطيط الاستراتيجي)</w:t>
      </w:r>
    </w:p>
    <w:p w14:paraId="3A1E22B1" w14:textId="351DC69E" w:rsidR="006D5279" w:rsidRPr="007D353E" w:rsidRDefault="006D5279" w:rsidP="006D5279">
      <w:pPr>
        <w:bidi/>
        <w:jc w:val="lowKashida"/>
        <w:rPr>
          <w:rFonts w:ascii="Traditional Arabic" w:hAnsi="Traditional Arabic" w:cs="Traditional Arabic"/>
          <w:sz w:val="28"/>
          <w:szCs w:val="28"/>
          <w:rtl/>
        </w:rPr>
      </w:pPr>
      <w:r w:rsidRPr="006D5279">
        <w:rPr>
          <w:rFonts w:ascii="Traditional Arabic" w:hAnsi="Traditional Arabic" w:cs="Traditional Arabic"/>
          <w:sz w:val="28"/>
          <w:szCs w:val="28"/>
          <w:rtl/>
        </w:rPr>
        <w:t xml:space="preserve">أثبتت النتائج الإحصائية قبول الفرضية الفرعية الأولى بالكامل؛ حيث تبين وجود تأثير إيجابي دال إحصائياً لأبعاد الذكاء الاصطناعي مجتمعة على كفاءة التخطيط الاستراتيجي وبقدرة تفسيرية مرتفعة. وعند تفكيك هذا الأثر لمعرفة الأبعاد الأكثر إسهاماً، تصدر بُعد "دعم اتخاذ القرار" المرتبة الأولى كأقوى الأبعاد تأثيراً، يليه في المرتبة الثانية بُعد "أنظمة الإنذار المبكر"، بينما جاء بُعد "أتمتة المهام الإدارية" في المرتبة الثالثة والأخيرة. يفسر تفوق بُعد "دعم اتخاذ القرار" بأن صياغة التخطيط الاستراتيجي عملية فكرية تحتاج بالدرجة الأولى إلى تحديد الأنماط والاتجاهات المخفية في البيانات التعليمية وتقديم رؤى قائمة على الأدلة. هذا التوافق الإجرائي ساهم مباشرة في رفع جودة صياغة الأهداف والتحليل بعمق. أما حلول الأتمتة الروتينية (مثل فرز البيانات وجدولة المواعيد)، فرغم دلالتها، إلا أن تأثيرها ظل محصوراً في تفريغ وقت الموظفين دون التدخل المباشر في عمق الرؤية الاستراتيجية. تتوافق هذه النتيجة تماماً مع دراسة </w:t>
      </w:r>
      <w:r w:rsidRPr="006D5279">
        <w:rPr>
          <w:rFonts w:ascii="Traditional Arabic" w:hAnsi="Traditional Arabic" w:cs="Traditional Arabic"/>
          <w:sz w:val="28"/>
          <w:szCs w:val="28"/>
        </w:rPr>
        <w:t>Mohammed et al</w:t>
      </w:r>
      <w:r w:rsidRPr="006D5279">
        <w:rPr>
          <w:rFonts w:ascii="Traditional Arabic" w:hAnsi="Traditional Arabic" w:cs="Traditional Arabic"/>
          <w:sz w:val="28"/>
          <w:szCs w:val="28"/>
          <w:rtl/>
        </w:rPr>
        <w:t xml:space="preserve">. (2024)، ودراسة </w:t>
      </w:r>
      <w:r w:rsidRPr="006D5279">
        <w:rPr>
          <w:rFonts w:ascii="Traditional Arabic" w:hAnsi="Traditional Arabic" w:cs="Traditional Arabic"/>
          <w:sz w:val="28"/>
          <w:szCs w:val="28"/>
        </w:rPr>
        <w:t>Kaggwa et al</w:t>
      </w:r>
      <w:r w:rsidRPr="006D5279">
        <w:rPr>
          <w:rFonts w:ascii="Traditional Arabic" w:hAnsi="Traditional Arabic" w:cs="Traditional Arabic"/>
          <w:sz w:val="28"/>
          <w:szCs w:val="28"/>
          <w:rtl/>
        </w:rPr>
        <w:t xml:space="preserve">. (2024)، ودراسة </w:t>
      </w:r>
      <w:r w:rsidRPr="006D5279">
        <w:rPr>
          <w:rFonts w:ascii="Traditional Arabic" w:hAnsi="Traditional Arabic" w:cs="Traditional Arabic"/>
          <w:sz w:val="28"/>
          <w:szCs w:val="28"/>
        </w:rPr>
        <w:t>Tuffaha</w:t>
      </w:r>
      <w:r w:rsidRPr="006D5279">
        <w:rPr>
          <w:rFonts w:ascii="Traditional Arabic" w:hAnsi="Traditional Arabic" w:cs="Traditional Arabic"/>
          <w:sz w:val="28"/>
          <w:szCs w:val="28"/>
          <w:rtl/>
        </w:rPr>
        <w:t xml:space="preserve"> (2021)، والتي أكدت جميعها أن المساهمة الجوهرية للذكاء الاصطناعي تكمن في تحويل معالجة البيانات الضخمة إلى رؤى تنبؤية تدعم صياغة السياسات بمرونة تامة. تختلف هذه النتيجة بشكل واضح مع دراسة </w:t>
      </w:r>
      <w:r w:rsidRPr="006D5279">
        <w:rPr>
          <w:rFonts w:ascii="Traditional Arabic" w:hAnsi="Traditional Arabic" w:cs="Traditional Arabic"/>
          <w:sz w:val="28"/>
          <w:szCs w:val="28"/>
        </w:rPr>
        <w:t>Al Muala et al</w:t>
      </w:r>
      <w:r w:rsidRPr="006D5279">
        <w:rPr>
          <w:rFonts w:ascii="Traditional Arabic" w:hAnsi="Traditional Arabic" w:cs="Traditional Arabic"/>
          <w:sz w:val="28"/>
          <w:szCs w:val="28"/>
          <w:rtl/>
        </w:rPr>
        <w:t>. (2024) التي أظهرت عدم وجود تأثير دال إحصائياً للذكاء الاصطناعي على التخطيط الاستراتيجي؛ ويُعزى هذا الاختلاف إلى التباين في مستوى نضج البنية التحتية وحوكمة البيانات بين قطاع التعليم العام السعودي والبيئات التعليمية الأخرى</w:t>
      </w:r>
      <w:r w:rsidRPr="007D353E">
        <w:rPr>
          <w:rFonts w:ascii="Traditional Arabic" w:hAnsi="Traditional Arabic" w:cs="Traditional Arabic"/>
          <w:sz w:val="28"/>
          <w:szCs w:val="28"/>
          <w:rtl/>
        </w:rPr>
        <w:t>.</w:t>
      </w:r>
    </w:p>
    <w:p w14:paraId="3125AD7A"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رابعاً: اختبار الفرضية الفرعية الثانية (أثر الذكاء الاصطناعي على التكيف التكنولوجي)</w:t>
      </w:r>
    </w:p>
    <w:p w14:paraId="0D7CFE9C" w14:textId="434C9627" w:rsidR="006D5279" w:rsidRPr="007D353E" w:rsidRDefault="006D5279" w:rsidP="006D5279">
      <w:pPr>
        <w:bidi/>
        <w:jc w:val="lowKashida"/>
        <w:rPr>
          <w:rFonts w:ascii="Traditional Arabic" w:hAnsi="Traditional Arabic" w:cs="Traditional Arabic"/>
          <w:sz w:val="28"/>
          <w:szCs w:val="28"/>
          <w:rtl/>
        </w:rPr>
      </w:pPr>
      <w:r w:rsidRPr="006D5279">
        <w:rPr>
          <w:rFonts w:ascii="Traditional Arabic" w:hAnsi="Traditional Arabic" w:cs="Traditional Arabic"/>
          <w:sz w:val="28"/>
          <w:szCs w:val="28"/>
          <w:rtl/>
        </w:rPr>
        <w:t xml:space="preserve">أسفر الاختبار عن قبول الفرضية الفرعية الثانية بشكل جزئي؛ حيث أظهرت النتائج أن بُعد "أنظمة الإنذار المبكر" هو البُعد المستقل الوحيد الذي يمتلك تأثيراً إيجابياً مباشراً ودالاً إحصائياً على التكيف التكنولوجي، في حين لم يظهر تأثير دال إحصائياً لبُعدي "دعم اتخاذ القرار" و"أتمتة المهام الإدارية". تُعزى هذه النتيجة الفريدة إلى أن أنظمة الإنذار المبكر (مثل التنبؤ بالتعثر الدراسي أو رصد المؤشرات التشغيلية استباقياً) تتسم بطبيعة إجرائية استباقية تفرض على الإدارة التدخل السريع. هذا الضغط التشغيلي يجبر العاملين فوراً على تطوير المهارات الرقمية الأساسية ويحفز ثقافة العمل على التجريب وتبني الابتكار للتعامل مع التنبيهات اللحظية. في المقابل، فإن أتمتة المهام الإدارية أو أدوات دعم القرار قد تظل اختيارية أو محصورة في فئات قيادية معينة، مما يقلل من دفعها للمنظمة ككل نحو التكيف المستمر. تتكامل هذه النتيجة مع دراسة </w:t>
      </w:r>
      <w:r w:rsidRPr="006D5279">
        <w:rPr>
          <w:rFonts w:ascii="Traditional Arabic" w:hAnsi="Traditional Arabic" w:cs="Traditional Arabic"/>
          <w:sz w:val="28"/>
          <w:szCs w:val="28"/>
        </w:rPr>
        <w:t>Adiguzel et al</w:t>
      </w:r>
      <w:r w:rsidRPr="006D5279">
        <w:rPr>
          <w:rFonts w:ascii="Traditional Arabic" w:hAnsi="Traditional Arabic" w:cs="Traditional Arabic"/>
          <w:sz w:val="28"/>
          <w:szCs w:val="28"/>
          <w:rtl/>
        </w:rPr>
        <w:t xml:space="preserve">. (2024) ودراسة </w:t>
      </w:r>
      <w:r w:rsidRPr="006D5279">
        <w:rPr>
          <w:rFonts w:ascii="Traditional Arabic" w:hAnsi="Traditional Arabic" w:cs="Traditional Arabic"/>
          <w:sz w:val="28"/>
          <w:szCs w:val="28"/>
        </w:rPr>
        <w:t>Emon &amp; Khan</w:t>
      </w:r>
      <w:r w:rsidRPr="006D5279">
        <w:rPr>
          <w:rFonts w:ascii="Traditional Arabic" w:hAnsi="Traditional Arabic" w:cs="Traditional Arabic"/>
          <w:sz w:val="28"/>
          <w:szCs w:val="28"/>
          <w:rtl/>
        </w:rPr>
        <w:t xml:space="preserve"> (2025) من حيث أن مرونة المنظمة وجاهزيتها الرقمية لا تتأثر بمجرد وجود أدوات تكنولوجية ساكنة، بل بمدى محاكاة تلك الأدوات للأزمات والحلول الاستباقية التي تدفع الأفراد طوعاً وبشكل مستمر نحو التكيف واستخدام التكنولوجيا</w:t>
      </w:r>
      <w:r w:rsidRPr="007D353E">
        <w:rPr>
          <w:rFonts w:ascii="Traditional Arabic" w:hAnsi="Traditional Arabic" w:cs="Traditional Arabic"/>
          <w:sz w:val="28"/>
          <w:szCs w:val="28"/>
          <w:rtl/>
        </w:rPr>
        <w:t>.</w:t>
      </w:r>
    </w:p>
    <w:p w14:paraId="0F405F9F"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خامساً: اختبار الفرضية الفرعية الثالثة (أثر التكيف التكنولوجي على أبعاد كفاءة التخطيط الاستراتيجي)</w:t>
      </w:r>
    </w:p>
    <w:p w14:paraId="33A10C09" w14:textId="329F78C0" w:rsidR="006D5279" w:rsidRPr="007D353E" w:rsidRDefault="006D5279" w:rsidP="006D5279">
      <w:pPr>
        <w:bidi/>
        <w:jc w:val="lowKashida"/>
        <w:rPr>
          <w:rFonts w:ascii="Traditional Arabic" w:hAnsi="Traditional Arabic" w:cs="Traditional Arabic"/>
          <w:sz w:val="28"/>
          <w:szCs w:val="28"/>
          <w:rtl/>
        </w:rPr>
      </w:pPr>
      <w:r w:rsidRPr="006D5279">
        <w:rPr>
          <w:rFonts w:ascii="Traditional Arabic" w:hAnsi="Traditional Arabic" w:cs="Traditional Arabic"/>
          <w:sz w:val="28"/>
          <w:szCs w:val="28"/>
          <w:rtl/>
        </w:rPr>
        <w:t xml:space="preserve">أكّدت نتائج التحليل الهيكلي قبول الفرضية الفرعية الثالثة بالكامل؛ حيث تبين أن التكيف التكنولوجي يمتلك تأثيراً إيجابياً ومباشراً ودالاً إحصائياً على جميع أبعاد كفاءة التخطيط الاستراتيجي بشكل متزامن. وعند ترتيب قوة هذا التأثير على الأبعاد التابعة، جاء </w:t>
      </w:r>
      <w:r w:rsidRPr="006D5279">
        <w:rPr>
          <w:rFonts w:ascii="Traditional Arabic" w:hAnsi="Traditional Arabic" w:cs="Traditional Arabic"/>
          <w:sz w:val="28"/>
          <w:szCs w:val="28"/>
          <w:rtl/>
        </w:rPr>
        <w:lastRenderedPageBreak/>
        <w:t xml:space="preserve">الأثر الأقوى والأعمق للتكيف التكنولوجي منصباً على بُعد "كفاءة تخصيص الموارد" في المرتبة الأولى، يليه في المرتبة الثانية بُعد "كفاءة التحليل الاستراتيجي"، ثم في المرتبة الثالثة بُعد "كفاءة التنفيذ والمتابعة"، بينما جاء تأثيره على "كفاءة صياغة الأهداف الاستراتيجية" في المرتبة الرابعة والأخيرة كأضعف تأثير. يفسر التأثير الفائق للتكيف على "تخصيص الموارد" بأن دمج التقنيات الجديدة والاقتران بالمرونة الإجرائية ينعكسان مباشرة على القدرة العملية للمنظمة في إعادة تخصيص الموارد المادية والبشرية بمرونة استجابة للتغيرات الطارئة. في حين أن بُعد "صياغة الأهداف" هو عملية بشرية عقلانية تعتمد على النزعة القيادية والرؤية المؤسسية، وبالتالي فإن التكيف التكنولوجي يمثل أداة داعمة لها وليس محركاً هيكلياً لخصائصها، مما يفسر منطقياً كونه الأثر الأضعف في النموذج. تتفق هذه النتيجة تماماً مع دراسة </w:t>
      </w:r>
      <w:r w:rsidRPr="006D5279">
        <w:rPr>
          <w:rFonts w:ascii="Traditional Arabic" w:hAnsi="Traditional Arabic" w:cs="Traditional Arabic"/>
          <w:sz w:val="28"/>
          <w:szCs w:val="28"/>
        </w:rPr>
        <w:t>Asghar et al</w:t>
      </w:r>
      <w:r w:rsidRPr="006D5279">
        <w:rPr>
          <w:rFonts w:ascii="Traditional Arabic" w:hAnsi="Traditional Arabic" w:cs="Traditional Arabic"/>
          <w:sz w:val="28"/>
          <w:szCs w:val="28"/>
          <w:rtl/>
        </w:rPr>
        <w:t xml:space="preserve">. (2023)، ودراسة </w:t>
      </w:r>
      <w:r w:rsidRPr="006D5279">
        <w:rPr>
          <w:rFonts w:ascii="Traditional Arabic" w:hAnsi="Traditional Arabic" w:cs="Traditional Arabic"/>
          <w:sz w:val="28"/>
          <w:szCs w:val="28"/>
        </w:rPr>
        <w:t>Awamleh &amp; Bustami</w:t>
      </w:r>
      <w:r w:rsidRPr="006D5279">
        <w:rPr>
          <w:rFonts w:ascii="Traditional Arabic" w:hAnsi="Traditional Arabic" w:cs="Traditional Arabic"/>
          <w:sz w:val="28"/>
          <w:szCs w:val="28"/>
          <w:rtl/>
        </w:rPr>
        <w:t xml:space="preserve"> (2022)، ودراسة </w:t>
      </w:r>
      <w:r w:rsidRPr="006D5279">
        <w:rPr>
          <w:rFonts w:ascii="Traditional Arabic" w:hAnsi="Traditional Arabic" w:cs="Traditional Arabic"/>
          <w:sz w:val="28"/>
          <w:szCs w:val="28"/>
        </w:rPr>
        <w:t>Bustinza et al</w:t>
      </w:r>
      <w:r w:rsidRPr="006D5279">
        <w:rPr>
          <w:rFonts w:ascii="Traditional Arabic" w:hAnsi="Traditional Arabic" w:cs="Traditional Arabic"/>
          <w:sz w:val="28"/>
          <w:szCs w:val="28"/>
          <w:rtl/>
        </w:rPr>
        <w:t>. (2019) التي أثبتت أن القدرة على الدمج التكنولوجي الفعال هي القناة الحقيقية لتحقيق المرونة التشغيلية وإعادة هيكلة الأصول بكفاءة.</w:t>
      </w:r>
    </w:p>
    <w:p w14:paraId="445794BA"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سادساً: اختبار الفرضية الرئيسية (الدور الوسيط للتكيف التكنولوجي)</w:t>
      </w:r>
    </w:p>
    <w:p w14:paraId="3F70C109" w14:textId="1FC07949" w:rsidR="00F561E6" w:rsidRPr="006D5279" w:rsidRDefault="006D5279" w:rsidP="006D5279">
      <w:pPr>
        <w:tabs>
          <w:tab w:val="num" w:pos="1440"/>
        </w:tabs>
        <w:bidi/>
        <w:spacing w:line="278" w:lineRule="auto"/>
        <w:jc w:val="lowKashida"/>
        <w:rPr>
          <w:rFonts w:ascii="Traditional Arabic" w:hAnsi="Traditional Arabic" w:cs="Traditional Arabic"/>
          <w:sz w:val="28"/>
          <w:szCs w:val="28"/>
          <w:rtl/>
        </w:rPr>
      </w:pPr>
      <w:r w:rsidRPr="006D5279">
        <w:rPr>
          <w:rFonts w:ascii="Traditional Arabic" w:hAnsi="Traditional Arabic" w:cs="Traditional Arabic"/>
          <w:sz w:val="28"/>
          <w:szCs w:val="28"/>
          <w:rtl/>
        </w:rPr>
        <w:t xml:space="preserve">جاءت النتيجة الجوهرية عند اختبار الفرضية الرئيسية بـ قبول الفرضية الرئيسية بشكل جزئي؛ إذ كشف تحليل المسار التفصيلي أن الدور الوسيط لـ (التكيف التكنولوجي) لا يحدث بشكل مطلق لكافة أدوات الذكاء الاصطناعي، بل إن التكيف التكنولوجي يلعب دور الوسيط الكلي والدال إحصائياً فقط في العلاقة بين بُعد "أنظمة الإنذار المبكر" وكفاءة التخطيط الاستراتيجي، بينما لم تثبت أي وساطة معنوية للتكيف في مسارات "أتمتة المهام" أو "دعم اتخاذ القرار". تعني هذه النتيجة علمياً أن أدوات الذكاء الاصطناعي التنبؤية المعقدة (الإنذار المبكر) لا يمكن لمخرجاتها أن تترجم إلى مخرجات تخطيطية كفؤة ما لم تمر بممر وسيط من "التكيف التكنولوجي" الشامل (بنية تحتية متطورة، مهارات رقمية للأفراد، ثقافة مرنة تتقبل المخرجات). بدون هذا التكيف، تظل أنظمة الإنذار مجرد تنبيهات معزولة خالية من الأثر الفعلي. أما "دعم اتخاذ القرار" و"أتمتة المهام"، فإن تأثيرهما على كفاءة التخطيط هو تأثير مباشر بطبيعته ولا يحتاج بالضرورة إلى إعادة تشكيل الثقافة التنظيمية أو المهارات الفردية المعقدة لكي يحقق أهدافه التخطيطية الأولية. تتلاقى هذه النتيجة الجوهرية مع الطرح النظري لدراسة </w:t>
      </w:r>
      <w:r w:rsidRPr="006D5279">
        <w:rPr>
          <w:rFonts w:ascii="Traditional Arabic" w:hAnsi="Traditional Arabic" w:cs="Traditional Arabic"/>
          <w:sz w:val="28"/>
          <w:szCs w:val="28"/>
        </w:rPr>
        <w:t>Kitsios &amp; Kamariotou</w:t>
      </w:r>
      <w:r w:rsidRPr="006D5279">
        <w:rPr>
          <w:rFonts w:ascii="Traditional Arabic" w:hAnsi="Traditional Arabic" w:cs="Traditional Arabic"/>
          <w:sz w:val="28"/>
          <w:szCs w:val="28"/>
          <w:rtl/>
        </w:rPr>
        <w:t xml:space="preserve"> (2011) ودراسة </w:t>
      </w:r>
      <w:r w:rsidRPr="006D5279">
        <w:rPr>
          <w:rFonts w:ascii="Traditional Arabic" w:hAnsi="Traditional Arabic" w:cs="Traditional Arabic"/>
          <w:sz w:val="28"/>
          <w:szCs w:val="28"/>
        </w:rPr>
        <w:t>Gyau et al</w:t>
      </w:r>
      <w:r w:rsidRPr="006D5279">
        <w:rPr>
          <w:rFonts w:ascii="Traditional Arabic" w:hAnsi="Traditional Arabic" w:cs="Traditional Arabic"/>
          <w:sz w:val="28"/>
          <w:szCs w:val="28"/>
          <w:rtl/>
        </w:rPr>
        <w:t>. (2024) اللتين أكدتا أن نجاح تقنيات الذكاء الاصطناعي التنبؤية مشروط بحجم الاستيعاب والتحول الرقمي الشامل للمنظمة.</w:t>
      </w:r>
    </w:p>
    <w:p w14:paraId="63AA441E"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5.2 التوصيات الإجرائية التنفيذية والجهات المسؤولة</w:t>
      </w:r>
    </w:p>
    <w:p w14:paraId="1604288A" w14:textId="77777777" w:rsidR="00F561E6" w:rsidRPr="00EA78EC" w:rsidRDefault="00F561E6" w:rsidP="00F561E6">
      <w:pPr>
        <w:bidi/>
        <w:spacing w:line="278" w:lineRule="auto"/>
        <w:jc w:val="lowKashida"/>
        <w:rPr>
          <w:rFonts w:ascii="Traditional Arabic" w:hAnsi="Traditional Arabic" w:cs="Traditional Arabic"/>
          <w:sz w:val="28"/>
          <w:szCs w:val="28"/>
          <w:rtl/>
        </w:rPr>
      </w:pPr>
      <w:r w:rsidRPr="00EA78EC">
        <w:rPr>
          <w:rFonts w:ascii="Traditional Arabic" w:hAnsi="Traditional Arabic" w:cs="Traditional Arabic"/>
          <w:sz w:val="28"/>
          <w:szCs w:val="28"/>
          <w:rtl/>
        </w:rPr>
        <w:t>بناءً على الفرضيات التي قُبلت كلياً أو جزئياً، والنتائج الإحصائية الدقيقة المستخرجة من واقع البيئة الإدارية لإدارة التعليم بمكة المكرمة، يصيغ الباحث التوصيات التالية مقترنة بآليات تنفيذها والجهات الإدارية المنوط بها التطبيق لضمان تحويلها إلى إجراءات عملية:</w:t>
      </w:r>
    </w:p>
    <w:p w14:paraId="3893F05A"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الأولى: (مبنية على نتيجة قبول الفرضية الفرعية الأولى - تفوق بُعد دعم اتخاذ القرار)</w:t>
      </w:r>
    </w:p>
    <w:p w14:paraId="35D55002" w14:textId="151B4BA5" w:rsidR="00F561E6" w:rsidRPr="00EA78EC" w:rsidRDefault="00F561E6" w:rsidP="00F561E6">
      <w:pPr>
        <w:tabs>
          <w:tab w:val="num" w:pos="1440"/>
        </w:tabs>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lastRenderedPageBreak/>
        <w:t xml:space="preserve">على </w:t>
      </w:r>
      <w:r w:rsidRPr="00EA78EC">
        <w:rPr>
          <w:rFonts w:ascii="Traditional Arabic" w:hAnsi="Traditional Arabic" w:cs="Traditional Arabic"/>
          <w:sz w:val="28"/>
          <w:szCs w:val="28"/>
          <w:rtl/>
        </w:rPr>
        <w:t>إدارة التخطيط والتطوير بالتعاون والتنسيق التقني الكامل مع إدارة تقنية المعلومات بالإدارة العامة للتعليم بمنطقة مكة المكرمة</w:t>
      </w:r>
      <w:r w:rsidRPr="00F561E6">
        <w:rPr>
          <w:rFonts w:ascii="Traditional Arabic" w:hAnsi="Traditional Arabic" w:cs="Traditional Arabic"/>
          <w:sz w:val="28"/>
          <w:szCs w:val="28"/>
          <w:rtl/>
        </w:rPr>
        <w:t xml:space="preserve"> </w:t>
      </w:r>
      <w:r w:rsidRPr="00EA78EC">
        <w:rPr>
          <w:rFonts w:ascii="Traditional Arabic" w:hAnsi="Traditional Arabic" w:cs="Traditional Arabic"/>
          <w:sz w:val="28"/>
          <w:szCs w:val="28"/>
          <w:rtl/>
        </w:rPr>
        <w:t>توطيد ممارسات التخطيط والتحليل الاستراتيجي القائم على البيانات، عبر بناء وتفعيل نظم دعم القرار الذكية واللوحات الرقمية التفاعلية اللحظية.</w:t>
      </w:r>
      <w:r w:rsidRPr="00F561E6">
        <w:rPr>
          <w:rFonts w:ascii="Traditional Arabic" w:hAnsi="Traditional Arabic" w:cs="Traditional Arabic" w:hint="cs"/>
          <w:sz w:val="28"/>
          <w:szCs w:val="28"/>
          <w:rtl/>
        </w:rPr>
        <w:t xml:space="preserve"> وتتم من خلال: </w:t>
      </w:r>
      <w:r w:rsidRPr="00EA78EC">
        <w:rPr>
          <w:rFonts w:ascii="Traditional Arabic" w:hAnsi="Traditional Arabic" w:cs="Traditional Arabic"/>
          <w:sz w:val="28"/>
          <w:szCs w:val="28"/>
          <w:rtl/>
        </w:rPr>
        <w:t xml:space="preserve">تصميم وإطلاق منصة رقمية مركزية موحدة تحت مسمى </w:t>
      </w:r>
      <w:r w:rsidRPr="00EA78EC">
        <w:rPr>
          <w:rFonts w:ascii="Traditional Arabic" w:hAnsi="Traditional Arabic" w:cs="Traditional Arabic"/>
          <w:i/>
          <w:iCs/>
          <w:sz w:val="28"/>
          <w:szCs w:val="28"/>
          <w:rtl/>
        </w:rPr>
        <w:t>(لوحة القرار الاستراتيجي الذكي)</w:t>
      </w:r>
      <w:r w:rsidRPr="00EA78EC">
        <w:rPr>
          <w:rFonts w:ascii="Traditional Arabic" w:hAnsi="Traditional Arabic" w:cs="Traditional Arabic"/>
          <w:sz w:val="28"/>
          <w:szCs w:val="28"/>
          <w:rtl/>
        </w:rPr>
        <w:t xml:space="preserve"> ترتبط بقواعد البيانات الكبرى للوزارة (نظام نور، نظام فارس، الأنظمة المالية).</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تزويد المنصة بخوارزميات ذكاء اصطناعي تقوم بسحب وتصنيف وتحليل البيانات بشكل تلقائي لإجراء التحليل البيئي الرباعي (</w:t>
      </w:r>
      <w:r w:rsidRPr="00EA78EC">
        <w:rPr>
          <w:rFonts w:ascii="Traditional Arabic" w:hAnsi="Traditional Arabic" w:cs="Traditional Arabic"/>
          <w:sz w:val="28"/>
          <w:szCs w:val="28"/>
        </w:rPr>
        <w:t>SWOT</w:t>
      </w:r>
      <w:r w:rsidRPr="00EA78EC">
        <w:rPr>
          <w:rFonts w:ascii="Traditional Arabic" w:hAnsi="Traditional Arabic" w:cs="Traditional Arabic"/>
          <w:sz w:val="28"/>
          <w:szCs w:val="28"/>
          <w:rtl/>
        </w:rPr>
        <w:t>) بصفة دورية ومستمرة.</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إتاحة واجهات مخصصة (</w:t>
      </w:r>
      <w:r w:rsidRPr="00EA78EC">
        <w:rPr>
          <w:rFonts w:ascii="Traditional Arabic" w:hAnsi="Traditional Arabic" w:cs="Traditional Arabic"/>
          <w:sz w:val="28"/>
          <w:szCs w:val="28"/>
        </w:rPr>
        <w:t>Intelligent Dashboards</w:t>
      </w:r>
      <w:r w:rsidRPr="00EA78EC">
        <w:rPr>
          <w:rFonts w:ascii="Traditional Arabic" w:hAnsi="Traditional Arabic" w:cs="Traditional Arabic"/>
          <w:sz w:val="28"/>
          <w:szCs w:val="28"/>
          <w:rtl/>
        </w:rPr>
        <w:t>) للمخططين والقيادات تعرض مؤشرات الأداء الاستراتيجي والسيناريوهات البديلة وتأثيراتها المتوقعة قبل إقرار الميزانيات أو الخطط التشغيلية.</w:t>
      </w:r>
    </w:p>
    <w:p w14:paraId="50AC4648"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الثانية: (مبنية على نتيجة قبول الفرضية الرئيسية والفرعية الثانية - محورية أنظمة الإنذار المبكر وتأثيرها الممرر عبر الوسيط)</w:t>
      </w:r>
    </w:p>
    <w:p w14:paraId="79740B31" w14:textId="0E319D1B" w:rsidR="00F561E6" w:rsidRPr="00EA78EC" w:rsidRDefault="00F561E6" w:rsidP="00F561E6">
      <w:pPr>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إدارة التوجيه الطلابي وإدارة الإشراف التربوي، بالتكامل التقني مع مركز نظم المعلومات وحوكمة البيانات.</w:t>
      </w:r>
      <w:r w:rsidRPr="00F561E6">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الاستثمار التنظيمي والتقني المكثف في تطوير وتغذية أنظمة الإنذار المبكر الذكية كشرط أساسي لتفعيل أثر التكنولوجيا في كفاءة التخطيط الاستراتيجي والتشغيلي.</w:t>
      </w:r>
      <w:r w:rsidRPr="00F561E6">
        <w:rPr>
          <w:rFonts w:ascii="Traditional Arabic" w:hAnsi="Traditional Arabic" w:cs="Traditional Arabic" w:hint="cs"/>
          <w:sz w:val="28"/>
          <w:szCs w:val="28"/>
          <w:rtl/>
        </w:rPr>
        <w:t xml:space="preserve"> وتم من خلال: </w:t>
      </w:r>
      <w:r w:rsidRPr="00EA78EC">
        <w:rPr>
          <w:rFonts w:ascii="Traditional Arabic" w:hAnsi="Traditional Arabic" w:cs="Traditional Arabic"/>
          <w:sz w:val="28"/>
          <w:szCs w:val="28"/>
          <w:rtl/>
        </w:rPr>
        <w:t>تبني وتغذية نماذج تعلم الآلة (</w:t>
      </w:r>
      <w:r w:rsidRPr="00EA78EC">
        <w:rPr>
          <w:rFonts w:ascii="Traditional Arabic" w:hAnsi="Traditional Arabic" w:cs="Traditional Arabic"/>
          <w:sz w:val="28"/>
          <w:szCs w:val="28"/>
        </w:rPr>
        <w:t>Machine Learning</w:t>
      </w:r>
      <w:r w:rsidRPr="00EA78EC">
        <w:rPr>
          <w:rFonts w:ascii="Traditional Arabic" w:hAnsi="Traditional Arabic" w:cs="Traditional Arabic"/>
          <w:sz w:val="28"/>
          <w:szCs w:val="28"/>
          <w:rtl/>
        </w:rPr>
        <w:t>) ببيانات الحضور، والدرجات، والسلوكيات المتراكمة تاريخياً، للتنبؤ الاستباقي بحالات الفجوات التعليمية، والتعثر الدراسي، ومعدلات التسرب على مستوى مكاتب التعليم والمدارس.</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ربط مخرجات هذه الأنظمة التنبؤية بآلية تقييم المخاطر الاستراتيجية، بحيث يُرسل النظام تنبيهات آلية مبكرة ومقترحات لخطط تدخل مخصصة لدعم المدارس أو الأقسام ذات المؤشرات المنخفضة قبل تفاقم المشكلات.</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اشتراط دمج تقارير الإنذار المبكر الدورية كمدخل رئيسي إلزامي عند مراجعة وتعديل الخطة الاستراتيجية السنوية للإدارة.</w:t>
      </w:r>
    </w:p>
    <w:p w14:paraId="30165D38"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الثالثة: (مبنية على نتيجة قبول الفرضية الفرعية الثالثة - التأثير الأقوى للتكيف التكنولوجي على كفاءة تخصيص الموارد)</w:t>
      </w:r>
    </w:p>
    <w:p w14:paraId="74804B46" w14:textId="6812E2E8" w:rsidR="00F561E6" w:rsidRPr="00EA78EC" w:rsidRDefault="00F561E6" w:rsidP="00F561E6">
      <w:pPr>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إدارة الشؤون المالية والإدارية (إدارة الميزانية) بالتنسيق مع إدارة الموارد البشرية مواءمة عمليات التكيف الرقمي والأنظمة المستحدثة مع آليات وممارسات تخصيص الموارد المالية والبشرية لتعزيز المرونة والتشغيل الاستراتيجي الكفء.</w:t>
      </w:r>
      <w:r w:rsidRPr="00F561E6">
        <w:rPr>
          <w:rFonts w:ascii="Traditional Arabic" w:hAnsi="Traditional Arabic" w:cs="Traditional Arabic" w:hint="cs"/>
          <w:sz w:val="28"/>
          <w:szCs w:val="28"/>
          <w:rtl/>
        </w:rPr>
        <w:t xml:space="preserve"> وتتم من خلال: </w:t>
      </w:r>
      <w:r w:rsidRPr="00EA78EC">
        <w:rPr>
          <w:rFonts w:ascii="Traditional Arabic" w:hAnsi="Traditional Arabic" w:cs="Traditional Arabic"/>
          <w:sz w:val="28"/>
          <w:szCs w:val="28"/>
          <w:rtl/>
        </w:rPr>
        <w:t>إعادة تصميم منظومة الحوكمة الإدارية بما يسمح بتبني نموذج (التخصيص الديناميكي للموارد)، وهو نموذج يمنح الإدارة مرونة عالية في نقل الأصول المادية، الميزانيات التقديرية، والكوادر البشرية بين الأقسام ومكاتب التعليم استجابةً للمتغيرات الطارئة والسيناريوهات المستخرجة تقنياً.</w:t>
      </w:r>
      <w:r w:rsidRPr="00F561E6">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ربط توزيع الميزانيات السنوية بمؤشرات النضج الرقمي والتكيف التكنولوجي للأقسام لضمان توجيه الاستثمارات نحو البيئات الأكثر جاهزية لتحقيق العائد الأعلى على الاستثمار.</w:t>
      </w:r>
    </w:p>
    <w:p w14:paraId="152FDAC6"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الرابعة: (مبنية على الفرضية الفرعية الثانية - عدم تأثير الأتمتة الروتينية على التكيف التكنولوجي الكلي)</w:t>
      </w:r>
    </w:p>
    <w:p w14:paraId="553A9371" w14:textId="535600F0" w:rsidR="00F561E6" w:rsidRPr="00EA78EC" w:rsidRDefault="00F561E6" w:rsidP="00F561E6">
      <w:pPr>
        <w:tabs>
          <w:tab w:val="num" w:pos="1440"/>
        </w:tabs>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lastRenderedPageBreak/>
        <w:t xml:space="preserve">على </w:t>
      </w:r>
      <w:r w:rsidRPr="00EA78EC">
        <w:rPr>
          <w:rFonts w:ascii="Traditional Arabic" w:hAnsi="Traditional Arabic" w:cs="Traditional Arabic"/>
          <w:sz w:val="28"/>
          <w:szCs w:val="28"/>
          <w:rtl/>
        </w:rPr>
        <w:t>إدارة التدريب والابتعاث بالتعاون مع إدارة الموارد البشرية نقل ثقافة التدريب والتطوير من مجرد الاستخدام الرقمي التقليدي (الأتمتة والأعمال المكتبية) إلى ثقافة "التكيف التقني والتحليلي المستدام" لبناء الجاهزية الفردية للموظفين.</w:t>
      </w:r>
      <w:r>
        <w:rPr>
          <w:rFonts w:ascii="Traditional Arabic" w:hAnsi="Traditional Arabic" w:cs="Traditional Arabic" w:hint="cs"/>
          <w:sz w:val="28"/>
          <w:szCs w:val="28"/>
          <w:rtl/>
        </w:rPr>
        <w:t xml:space="preserve"> </w:t>
      </w:r>
      <w:r w:rsidRPr="00F561E6">
        <w:rPr>
          <w:rFonts w:ascii="Traditional Arabic" w:hAnsi="Traditional Arabic" w:cs="Traditional Arabic" w:hint="cs"/>
          <w:sz w:val="28"/>
          <w:szCs w:val="28"/>
          <w:rtl/>
        </w:rPr>
        <w:t xml:space="preserve">وتتم من خلال: </w:t>
      </w:r>
      <w:r w:rsidRPr="00EA78EC">
        <w:rPr>
          <w:rFonts w:ascii="Traditional Arabic" w:hAnsi="Traditional Arabic" w:cs="Traditional Arabic"/>
          <w:sz w:val="28"/>
          <w:szCs w:val="28"/>
          <w:rtl/>
        </w:rPr>
        <w:t>صياغة وتطبيق خطة تدريبية نوعية مكثفة بالتعاون مع الجامعات السعودية والجهات التقنية الرائدة (مثل سدايا)، تركز بالكامل على تزويد الكوادر الإدارية والمشرفين بمهارات "علم البيانات"، التفكير النقدي، وكيفية تفسير وتحليل المخرجات والتوصيات الصادرة عن أنظمة الذكاء الاصطناعي، بدلاً من برامج محو الأمية الحاسوبية التقليدية.</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تطبيق أدوات ومقاييس دورية لتقييم مستويات الجاهزية الفردية (</w:t>
      </w:r>
      <w:r w:rsidRPr="00EA78EC">
        <w:rPr>
          <w:rFonts w:ascii="Traditional Arabic" w:hAnsi="Traditional Arabic" w:cs="Traditional Arabic"/>
          <w:sz w:val="28"/>
          <w:szCs w:val="28"/>
        </w:rPr>
        <w:t>AI Readiness</w:t>
      </w:r>
      <w:r w:rsidRPr="00EA78EC">
        <w:rPr>
          <w:rFonts w:ascii="Traditional Arabic" w:hAnsi="Traditional Arabic" w:cs="Traditional Arabic"/>
          <w:sz w:val="28"/>
          <w:szCs w:val="28"/>
          <w:rtl/>
        </w:rPr>
        <w:t>) لقياس الجوانب النفسية والمعرفية ومدى قبول الموظفين للتقنيات والعمل بها كجزء من تقييم الأداء الوظيفي السنوي.</w:t>
      </w:r>
    </w:p>
    <w:p w14:paraId="38BBFDEA"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الخامسة: (مبنية على النتيجة العامة والمؤشرات الديموغرافية - نضج خبرات عينة الدراسة والحصر الشامل)</w:t>
      </w:r>
    </w:p>
    <w:p w14:paraId="05EA465D" w14:textId="10DD1520" w:rsidR="00F561E6" w:rsidRPr="00EA78EC" w:rsidRDefault="005222BC" w:rsidP="005222BC">
      <w:pPr>
        <w:tabs>
          <w:tab w:val="num" w:pos="1440"/>
        </w:tabs>
        <w:bidi/>
        <w:spacing w:line="278" w:lineRule="auto"/>
        <w:jc w:val="lowKashida"/>
        <w:rPr>
          <w:rFonts w:ascii="Traditional Arabic" w:hAnsi="Traditional Arabic" w:cs="Traditional Arabic"/>
          <w:sz w:val="28"/>
          <w:szCs w:val="28"/>
          <w:rtl/>
        </w:rPr>
      </w:pPr>
      <w:r w:rsidRPr="005222BC">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مكتب مدير عام التعليم بمنطقة مكة المكرمة</w:t>
      </w:r>
      <w:r w:rsidR="00F561E6" w:rsidRPr="00EA78EC">
        <w:rPr>
          <w:rFonts w:ascii="Traditional Arabic" w:hAnsi="Traditional Arabic" w:cs="Traditional Arabic"/>
          <w:sz w:val="28"/>
          <w:szCs w:val="28"/>
          <w:rtl/>
        </w:rPr>
        <w:t xml:space="preserve"> استثمار مستويات النضج والخبرة الطويلة لدى القيادات التعليمية الحالية بمكة المكرمة في بناء (المخطط الاستراتيجي المرن للتحول الذكي).</w:t>
      </w:r>
      <w:r w:rsidRPr="005222BC">
        <w:rPr>
          <w:rFonts w:ascii="Traditional Arabic" w:hAnsi="Traditional Arabic" w:cs="Traditional Arabic" w:hint="cs"/>
          <w:sz w:val="28"/>
          <w:szCs w:val="28"/>
          <w:rtl/>
        </w:rPr>
        <w:t xml:space="preserve"> وتتم من خلال: </w:t>
      </w:r>
      <w:r w:rsidR="00F561E6" w:rsidRPr="00EA78EC">
        <w:rPr>
          <w:rFonts w:ascii="Traditional Arabic" w:hAnsi="Traditional Arabic" w:cs="Traditional Arabic"/>
          <w:sz w:val="28"/>
          <w:szCs w:val="28"/>
          <w:rtl/>
        </w:rPr>
        <w:t>تشكيل مجلس استشاري أو لجنة عليا تحت مسمى (لجنة التخطيط الاستراتيجي والذكاء الاصطناعي) تضم قيادات التخطيط الاستراتيجي وخبراء تقنية المعلومات ذوي الخبرات الطويلة بالإدارة.</w:t>
      </w:r>
      <w:r w:rsidRPr="005222BC">
        <w:rPr>
          <w:rFonts w:ascii="Traditional Arabic" w:hAnsi="Traditional Arabic" w:cs="Traditional Arabic" w:hint="cs"/>
          <w:sz w:val="28"/>
          <w:szCs w:val="28"/>
          <w:rtl/>
        </w:rPr>
        <w:t xml:space="preserve"> </w:t>
      </w:r>
      <w:r w:rsidR="00F561E6" w:rsidRPr="00EA78EC">
        <w:rPr>
          <w:rFonts w:ascii="Traditional Arabic" w:hAnsi="Traditional Arabic" w:cs="Traditional Arabic"/>
          <w:sz w:val="28"/>
          <w:szCs w:val="28"/>
          <w:rtl/>
        </w:rPr>
        <w:t>تتولى هذه اللجنة مراجعة السياسات واللوائح الحالية وتحديثها بمرونة لتكون قادرة على استيعاب الطفرات التقنية المستجدة (مثل الذكاء الاصطناعي التوليدي) وصياغة وثيقة استراتيجية متكاملة توضح خريطة طريق واضحة لدمج الأدوات الذكية في مكاتب ومدارس مكة المكرمة تماشياً مع مستهدفات رؤية المملكة 2030.</w:t>
      </w:r>
    </w:p>
    <w:p w14:paraId="2FE03F13" w14:textId="77777777" w:rsidR="00A16A88" w:rsidRDefault="00A16A88" w:rsidP="00A16A88">
      <w:pPr>
        <w:pStyle w:val="Heading2"/>
        <w:rPr>
          <w:rtl/>
        </w:rPr>
      </w:pPr>
      <w:bookmarkStart w:id="157" w:name="_Toc233422654"/>
      <w:bookmarkStart w:id="158" w:name="_Toc236402711"/>
      <w:bookmarkEnd w:id="156"/>
      <w:r w:rsidRPr="003D1437">
        <w:rPr>
          <w:rtl/>
        </w:rPr>
        <w:t>5.3 الدراسات المستقبلية</w:t>
      </w:r>
      <w:bookmarkEnd w:id="157"/>
      <w:bookmarkEnd w:id="158"/>
    </w:p>
    <w:p w14:paraId="0DA00C36" w14:textId="77777777" w:rsidR="006D5279" w:rsidRPr="007D353E" w:rsidRDefault="006D5279" w:rsidP="006D5279">
      <w:pPr>
        <w:bidi/>
        <w:jc w:val="lowKashida"/>
        <w:rPr>
          <w:rFonts w:ascii="Traditional Arabic" w:hAnsi="Traditional Arabic" w:cs="Traditional Arabic"/>
          <w:sz w:val="28"/>
          <w:szCs w:val="28"/>
          <w:rtl/>
        </w:rPr>
      </w:pPr>
      <w:r w:rsidRPr="007D353E">
        <w:rPr>
          <w:rFonts w:ascii="Traditional Arabic" w:hAnsi="Traditional Arabic" w:cs="Traditional Arabic"/>
          <w:sz w:val="28"/>
          <w:szCs w:val="28"/>
          <w:rtl/>
        </w:rPr>
        <w:t>جاءت نتائج هذه الدراسة ومخرجاتها الميدانية في إطار حدود موضوعية وزمانية ومكانية محددة؛ حيث اقتصرت على فحص أثر الذكاء الاصطناعي على كفاءة التخطيط الاستراتيجي عبر التكيف التكنولوجي كمتغير وسيط لدى الإداريين والقيادات بالإدارة العامة للتعليم بمنطقة مكة المكرمة وفي ظل بيئة تنظيمية وثقافية تابعة للتعليم العام الحكومي بالمملكة العربية السعودية. وبناءً على هذه الحدود والسياق الثقافي والتطبيقي، واستكمالاً لجهود البحث العلمي لسد الثغرات البحثية المستجدة، يوصي الباحث بإجراء الدراسات والأبحاث المستقبلية التالية في سياقات ومجالات تطبيقية متنوعة:</w:t>
      </w:r>
    </w:p>
    <w:p w14:paraId="50013B66" w14:textId="77777777" w:rsidR="006D5279" w:rsidRPr="007D353E" w:rsidRDefault="006D5279" w:rsidP="006D5279">
      <w:pPr>
        <w:numPr>
          <w:ilvl w:val="1"/>
          <w:numId w:val="49"/>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أثر الذكاء الاصطناعي التوليدي (</w:t>
      </w:r>
      <w:r w:rsidRPr="007D353E">
        <w:rPr>
          <w:rFonts w:ascii="Traditional Arabic" w:hAnsi="Traditional Arabic" w:cs="Traditional Arabic"/>
          <w:b/>
          <w:bCs/>
          <w:sz w:val="28"/>
          <w:szCs w:val="28"/>
        </w:rPr>
        <w:t>Generative AI</w:t>
      </w:r>
      <w:r w:rsidRPr="007D353E">
        <w:rPr>
          <w:rFonts w:ascii="Traditional Arabic" w:hAnsi="Traditional Arabic" w:cs="Traditional Arabic"/>
          <w:b/>
          <w:bCs/>
          <w:sz w:val="28"/>
          <w:szCs w:val="28"/>
          <w:rtl/>
        </w:rPr>
        <w:t>) على جودة صياغة الأهداف الاستراتيجية:</w:t>
      </w:r>
      <w:r w:rsidRPr="007D353E">
        <w:rPr>
          <w:rFonts w:ascii="Traditional Arabic" w:hAnsi="Traditional Arabic" w:cs="Traditional Arabic"/>
          <w:sz w:val="28"/>
          <w:szCs w:val="28"/>
          <w:rtl/>
        </w:rPr>
        <w:t xml:space="preserve"> دراسة تطبيقية مقارنة بين مؤسسات التعليم العام والتعليم الجامعي السعودي.</w:t>
      </w:r>
    </w:p>
    <w:p w14:paraId="5A509258" w14:textId="77777777" w:rsidR="006D5279" w:rsidRPr="007D353E" w:rsidRDefault="006D5279" w:rsidP="006D5279">
      <w:pPr>
        <w:numPr>
          <w:ilvl w:val="1"/>
          <w:numId w:val="49"/>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دور القيادة الرقمية كمتغير معدل (</w:t>
      </w:r>
      <w:r w:rsidRPr="007D353E">
        <w:rPr>
          <w:rFonts w:ascii="Traditional Arabic" w:hAnsi="Traditional Arabic" w:cs="Traditional Arabic"/>
          <w:b/>
          <w:bCs/>
          <w:sz w:val="28"/>
          <w:szCs w:val="28"/>
        </w:rPr>
        <w:t>Moderator</w:t>
      </w:r>
      <w:r w:rsidRPr="007D353E">
        <w:rPr>
          <w:rFonts w:ascii="Traditional Arabic" w:hAnsi="Traditional Arabic" w:cs="Traditional Arabic"/>
          <w:b/>
          <w:bCs/>
          <w:sz w:val="28"/>
          <w:szCs w:val="28"/>
          <w:rtl/>
        </w:rPr>
        <w:t>) في العلاقة بين تطبيقات الذكاء الاصطناعي والمرونة التنظيمية:</w:t>
      </w:r>
      <w:r w:rsidRPr="007D353E">
        <w:rPr>
          <w:rFonts w:ascii="Traditional Arabic" w:hAnsi="Traditional Arabic" w:cs="Traditional Arabic"/>
          <w:sz w:val="28"/>
          <w:szCs w:val="28"/>
          <w:rtl/>
        </w:rPr>
        <w:t xml:space="preserve"> بالتطبيق على قطاع التعليم الخاص والأهلي بالمملكة.</w:t>
      </w:r>
    </w:p>
    <w:p w14:paraId="600B0F16" w14:textId="77777777" w:rsidR="006D5279" w:rsidRPr="007D353E" w:rsidRDefault="006D5279" w:rsidP="006D5279">
      <w:pPr>
        <w:numPr>
          <w:ilvl w:val="1"/>
          <w:numId w:val="49"/>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دراسة مقاطعة ثقافية (</w:t>
      </w:r>
      <w:r w:rsidRPr="007D353E">
        <w:rPr>
          <w:rFonts w:ascii="Traditional Arabic" w:hAnsi="Traditional Arabic" w:cs="Traditional Arabic"/>
          <w:b/>
          <w:bCs/>
          <w:sz w:val="28"/>
          <w:szCs w:val="28"/>
        </w:rPr>
        <w:t>Cross-Cultural Study</w:t>
      </w:r>
      <w:r w:rsidRPr="007D353E">
        <w:rPr>
          <w:rFonts w:ascii="Traditional Arabic" w:hAnsi="Traditional Arabic" w:cs="Traditional Arabic"/>
          <w:b/>
          <w:bCs/>
          <w:sz w:val="28"/>
          <w:szCs w:val="28"/>
          <w:rtl/>
        </w:rPr>
        <w:t>) لتقييم الجاهزية التنظيمية وتبني الحوكمة الرقمية للبيانات الضخمة:</w:t>
      </w:r>
      <w:r w:rsidRPr="007D353E">
        <w:rPr>
          <w:rFonts w:ascii="Traditional Arabic" w:hAnsi="Traditional Arabic" w:cs="Traditional Arabic"/>
          <w:sz w:val="28"/>
          <w:szCs w:val="28"/>
          <w:rtl/>
        </w:rPr>
        <w:t xml:space="preserve"> مقارنة بين إدارات التعليم بالمملكة العربية السعودية وبعض الدول الإقليمية.</w:t>
      </w:r>
    </w:p>
    <w:p w14:paraId="234EA605" w14:textId="77777777" w:rsidR="006D5279" w:rsidRPr="007D353E" w:rsidRDefault="006D5279" w:rsidP="006D5279">
      <w:pPr>
        <w:numPr>
          <w:ilvl w:val="1"/>
          <w:numId w:val="49"/>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lastRenderedPageBreak/>
        <w:t>دراسة تتبع طولي (</w:t>
      </w:r>
      <w:r w:rsidRPr="007D353E">
        <w:rPr>
          <w:rFonts w:ascii="Traditional Arabic" w:hAnsi="Traditional Arabic" w:cs="Traditional Arabic"/>
          <w:b/>
          <w:bCs/>
          <w:sz w:val="28"/>
          <w:szCs w:val="28"/>
        </w:rPr>
        <w:t>Longitudinal Study</w:t>
      </w:r>
      <w:r w:rsidRPr="007D353E">
        <w:rPr>
          <w:rFonts w:ascii="Traditional Arabic" w:hAnsi="Traditional Arabic" w:cs="Traditional Arabic"/>
          <w:b/>
          <w:bCs/>
          <w:sz w:val="28"/>
          <w:szCs w:val="28"/>
          <w:rtl/>
        </w:rPr>
        <w:t>) لتقييم العائد على الاستثمار في أنظمة الإنذار المبكر الذكية:</w:t>
      </w:r>
      <w:r w:rsidRPr="007D353E">
        <w:rPr>
          <w:rFonts w:ascii="Traditional Arabic" w:hAnsi="Traditional Arabic" w:cs="Traditional Arabic"/>
          <w:sz w:val="28"/>
          <w:szCs w:val="28"/>
          <w:rtl/>
        </w:rPr>
        <w:t xml:space="preserve"> وأثرها الممتد عبر الزمن على مخرجات التخطيط التشغيلي بالمدارس.</w:t>
      </w:r>
    </w:p>
    <w:p w14:paraId="2683007D" w14:textId="1B43DE4B" w:rsidR="006D5279" w:rsidRPr="006D5279" w:rsidRDefault="006D5279" w:rsidP="009271C6">
      <w:pPr>
        <w:numPr>
          <w:ilvl w:val="1"/>
          <w:numId w:val="49"/>
        </w:numPr>
        <w:bidi/>
        <w:jc w:val="lowKashida"/>
        <w:rPr>
          <w:rFonts w:ascii="Traditional Arabic" w:hAnsi="Traditional Arabic" w:cs="Traditional Arabic"/>
          <w:sz w:val="28"/>
          <w:szCs w:val="28"/>
          <w:rtl/>
        </w:rPr>
      </w:pPr>
      <w:r w:rsidRPr="007D353E">
        <w:rPr>
          <w:rFonts w:ascii="Traditional Arabic" w:hAnsi="Traditional Arabic" w:cs="Traditional Arabic"/>
          <w:b/>
          <w:bCs/>
          <w:sz w:val="28"/>
          <w:szCs w:val="28"/>
          <w:rtl/>
        </w:rPr>
        <w:t>محددات قبول واستخدام أنظمة دعم القرار الذكية لدى القيادات التربوية:</w:t>
      </w:r>
      <w:r w:rsidRPr="007D353E">
        <w:rPr>
          <w:rFonts w:ascii="Traditional Arabic" w:hAnsi="Traditional Arabic" w:cs="Traditional Arabic"/>
          <w:sz w:val="28"/>
          <w:szCs w:val="28"/>
          <w:rtl/>
        </w:rPr>
        <w:t xml:space="preserve"> دراسة ميدانية مسحية ممتدة في ضوء النظرية الموحدة لقبول واستخدام التكنولوجيا (</w:t>
      </w:r>
      <w:r w:rsidRPr="007D353E">
        <w:rPr>
          <w:rFonts w:ascii="Traditional Arabic" w:hAnsi="Traditional Arabic" w:cs="Traditional Arabic"/>
          <w:sz w:val="28"/>
          <w:szCs w:val="28"/>
        </w:rPr>
        <w:t>UTAUT2</w:t>
      </w:r>
      <w:r w:rsidRPr="007D353E">
        <w:rPr>
          <w:rFonts w:ascii="Traditional Arabic" w:hAnsi="Traditional Arabic" w:cs="Traditional Arabic"/>
          <w:sz w:val="28"/>
          <w:szCs w:val="28"/>
          <w:rtl/>
        </w:rPr>
        <w:t>).</w:t>
      </w:r>
    </w:p>
    <w:p w14:paraId="0AA724DD" w14:textId="77777777" w:rsidR="00A16A88" w:rsidRPr="003D1437" w:rsidRDefault="00A16A88" w:rsidP="00A16A88">
      <w:pPr>
        <w:pStyle w:val="Heading2"/>
        <w:rPr>
          <w:rtl/>
        </w:rPr>
      </w:pPr>
      <w:bookmarkStart w:id="159" w:name="_Toc233422655"/>
      <w:bookmarkStart w:id="160" w:name="_Toc236402712"/>
      <w:r w:rsidRPr="003D1437">
        <w:rPr>
          <w:rtl/>
        </w:rPr>
        <w:t>5.4 خاتمة</w:t>
      </w:r>
      <w:bookmarkEnd w:id="159"/>
      <w:bookmarkEnd w:id="160"/>
    </w:p>
    <w:p w14:paraId="493DD98C" w14:textId="77777777" w:rsidR="00A16A88" w:rsidRPr="003D1437" w:rsidRDefault="00A16A88" w:rsidP="00A16A88">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تخلص هذه الدراسة إلى أن دمج تقنيات الذكاء الاصطناعي في البيئة الإدارية لإدارة التعليم بمكة المكرمة لم يعد خياراً ترفياً، بل هو ركيزة محورية لتطوير منظومة التخطيط الاستراتيجي ومواكبة مستهدفات رؤية المملكة 2030. شريطة ألّا يُنظر إلى التكنولوجيا كأدوات تقنية منفصلة، بل كعنصر يتكامل مع بنية تنظيمية مرنة وثقافة عمل مشجعة للابتكار، وكوادر بشرية تمتلك المهارات والجاهزية النفسية والمعرفية لاستيعاب هذه القفزات وتحويلها إلى مكاسب تشغيلية ملموسة.</w:t>
      </w:r>
    </w:p>
    <w:p w14:paraId="64CFB097" w14:textId="77777777" w:rsidR="00A16A88" w:rsidRPr="003D1437" w:rsidRDefault="00A16A88" w:rsidP="00A16A88">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إن القيمة الحقيقية لهذا البحث تتبلور في تقديم نموذج عملي يبرهن على أن الأنظمة التنبؤية المتطورة (كالإنذار المبكر) هي الجسر الحقيقي الذي يربط بين الذكاء الاصطناعي والتكيف التنظيمي. مما يضع أمام صناع القرار في وزارة التعليم خريطة طريق واضحة تركز على مواءمة الاستثمارات التقنية مع تطوير الثقافة والمهارات البشرية بالتوازي، لضمان صياغة وتنفيذ خطط استراتيجية فائقة المرونة والكفاءة قادرة على قيادة مستقبل التعليم بتميز واقتدار.</w:t>
      </w:r>
    </w:p>
    <w:p w14:paraId="150D9577" w14:textId="6CE795F1" w:rsidR="00C3359D" w:rsidRPr="003D1437" w:rsidRDefault="00C3359D" w:rsidP="00C3359D">
      <w:pPr>
        <w:bidi/>
        <w:jc w:val="lowKashida"/>
        <w:rPr>
          <w:rFonts w:ascii="Traditional Arabic" w:hAnsi="Traditional Arabic" w:cs="Traditional Arabic"/>
          <w:sz w:val="28"/>
          <w:szCs w:val="28"/>
          <w:rtl/>
        </w:rPr>
        <w:sectPr w:rsidR="00C3359D" w:rsidRPr="003D1437">
          <w:pgSz w:w="12240" w:h="15840"/>
          <w:pgMar w:top="1440" w:right="1440" w:bottom="1440" w:left="1440" w:header="720" w:footer="720" w:gutter="0"/>
          <w:cols w:space="720"/>
          <w:docGrid w:linePitch="360"/>
        </w:sectPr>
      </w:pPr>
    </w:p>
    <w:p w14:paraId="24BF2ACD" w14:textId="77777777" w:rsidR="00BF2DEE" w:rsidRDefault="00BF2DEE" w:rsidP="00BF2DEE">
      <w:pPr>
        <w:pStyle w:val="Heading1"/>
        <w:rPr>
          <w:rtl/>
          <w:lang w:bidi="ar-EG"/>
        </w:rPr>
      </w:pPr>
      <w:bookmarkStart w:id="161" w:name="_Toc233422656"/>
    </w:p>
    <w:p w14:paraId="4353F701" w14:textId="77777777" w:rsidR="00BF2DEE" w:rsidRDefault="00BF2DEE" w:rsidP="00BF2DEE">
      <w:pPr>
        <w:pStyle w:val="Heading1"/>
        <w:rPr>
          <w:rtl/>
          <w:lang w:bidi="ar-EG"/>
        </w:rPr>
      </w:pPr>
    </w:p>
    <w:p w14:paraId="7D668A78" w14:textId="77777777" w:rsidR="00BF2DEE" w:rsidRDefault="00BF2DEE" w:rsidP="00BF2DEE">
      <w:pPr>
        <w:pStyle w:val="Heading1"/>
        <w:rPr>
          <w:rtl/>
          <w:lang w:bidi="ar-EG"/>
        </w:rPr>
      </w:pPr>
    </w:p>
    <w:p w14:paraId="2C21A34E" w14:textId="77777777" w:rsidR="00BF2DEE" w:rsidRDefault="00BF2DEE" w:rsidP="00BF2DEE">
      <w:pPr>
        <w:pStyle w:val="Heading1"/>
        <w:rPr>
          <w:rtl/>
          <w:lang w:bidi="ar-EG"/>
        </w:rPr>
      </w:pPr>
    </w:p>
    <w:p w14:paraId="2FDAD14A" w14:textId="77777777" w:rsidR="00BF2DEE" w:rsidRDefault="00BF2DEE" w:rsidP="00BF2DEE">
      <w:pPr>
        <w:pStyle w:val="Heading1"/>
        <w:rPr>
          <w:rtl/>
          <w:lang w:bidi="ar-EG"/>
        </w:rPr>
      </w:pPr>
    </w:p>
    <w:p w14:paraId="0BE6D2CB" w14:textId="77777777" w:rsidR="00BF2DEE" w:rsidRDefault="00BF2DEE" w:rsidP="00BF2DEE">
      <w:pPr>
        <w:pStyle w:val="Heading1"/>
        <w:rPr>
          <w:rtl/>
          <w:lang w:bidi="ar-EG"/>
        </w:rPr>
      </w:pPr>
    </w:p>
    <w:p w14:paraId="4DB0179F" w14:textId="77777777" w:rsidR="00BF2DEE" w:rsidRDefault="00BF2DEE" w:rsidP="00BF2DEE">
      <w:pPr>
        <w:pStyle w:val="Heading1"/>
        <w:rPr>
          <w:rtl/>
          <w:lang w:bidi="ar-EG"/>
        </w:rPr>
      </w:pPr>
    </w:p>
    <w:p w14:paraId="7AFE8B5D" w14:textId="31315C56" w:rsidR="00BF2DEE" w:rsidRPr="00BF2DEE" w:rsidRDefault="00BF2DEE" w:rsidP="00BF2DEE">
      <w:pPr>
        <w:pStyle w:val="Heading1"/>
        <w:rPr>
          <w:sz w:val="48"/>
          <w:szCs w:val="48"/>
          <w:rtl/>
        </w:rPr>
      </w:pPr>
      <w:bookmarkStart w:id="162" w:name="_Toc235065339"/>
      <w:bookmarkStart w:id="163" w:name="_Toc236402713"/>
      <w:r w:rsidRPr="00BF2DEE">
        <w:rPr>
          <w:sz w:val="48"/>
          <w:szCs w:val="48"/>
          <w:rtl/>
        </w:rPr>
        <w:t>المراجع</w:t>
      </w:r>
      <w:bookmarkEnd w:id="162"/>
      <w:bookmarkEnd w:id="163"/>
    </w:p>
    <w:p w14:paraId="775E9A41" w14:textId="77777777" w:rsidR="00BF2DEE" w:rsidRDefault="00BF2DEE" w:rsidP="00A16A88">
      <w:pPr>
        <w:pStyle w:val="Heading1"/>
        <w:rPr>
          <w:rtl/>
        </w:rPr>
        <w:sectPr w:rsidR="00BF2DEE">
          <w:pgSz w:w="12240" w:h="15840"/>
          <w:pgMar w:top="1440" w:right="1440" w:bottom="1440" w:left="1440" w:header="720" w:footer="720" w:gutter="0"/>
          <w:cols w:space="720"/>
          <w:docGrid w:linePitch="360"/>
        </w:sectPr>
      </w:pPr>
    </w:p>
    <w:p w14:paraId="50CD0F91" w14:textId="19564646" w:rsidR="00627BF5" w:rsidRPr="003D1437" w:rsidRDefault="00627BF5" w:rsidP="00A16A88">
      <w:pPr>
        <w:pStyle w:val="Heading1"/>
        <w:rPr>
          <w:rtl/>
        </w:rPr>
      </w:pPr>
      <w:bookmarkStart w:id="164" w:name="_Toc236402714"/>
      <w:r w:rsidRPr="003D1437">
        <w:rPr>
          <w:rtl/>
        </w:rPr>
        <w:lastRenderedPageBreak/>
        <w:t>المراجع</w:t>
      </w:r>
      <w:bookmarkEnd w:id="161"/>
      <w:bookmarkEnd w:id="164"/>
    </w:p>
    <w:p w14:paraId="7673A095" w14:textId="28E0391F" w:rsidR="005D6D31" w:rsidRPr="003D1437" w:rsidRDefault="005D6D31" w:rsidP="00A16A88">
      <w:pPr>
        <w:pStyle w:val="Heading2"/>
        <w:rPr>
          <w:rtl/>
        </w:rPr>
      </w:pPr>
      <w:bookmarkStart w:id="165" w:name="_Toc233422657"/>
      <w:bookmarkStart w:id="166" w:name="_Toc236402715"/>
      <w:r w:rsidRPr="003D1437">
        <w:rPr>
          <w:rFonts w:hint="cs"/>
          <w:rtl/>
        </w:rPr>
        <w:t>أولا: المراجع العربية:</w:t>
      </w:r>
      <w:bookmarkEnd w:id="165"/>
      <w:bookmarkEnd w:id="166"/>
    </w:p>
    <w:p w14:paraId="43EF0BD0" w14:textId="0BD145E9" w:rsidR="001C1F0E" w:rsidRPr="003D1437" w:rsidRDefault="001C1F0E" w:rsidP="005D6D31">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أبو القمبيز، محمد هشام. (2024). </w:t>
      </w:r>
      <w:r w:rsidRPr="003D1437">
        <w:rPr>
          <w:rFonts w:ascii="Traditional Arabic" w:hAnsi="Traditional Arabic" w:cs="Traditional Arabic"/>
          <w:i/>
          <w:iCs/>
          <w:sz w:val="28"/>
          <w:szCs w:val="28"/>
          <w:rtl/>
        </w:rPr>
        <w:t>قوة الذكاء الاصطناعي في تحليل وقياس الأداء التسويقي: كيف يمكن تحقيق النجاح القائم على البيانات؟</w:t>
      </w:r>
    </w:p>
    <w:p w14:paraId="44A50B98"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أبو سارة، ذياب. (2023). الذكاء الاصطناعي غموض الواقع وطموح المستقبل. </w:t>
      </w:r>
      <w:r w:rsidRPr="003D1437">
        <w:rPr>
          <w:rFonts w:ascii="Traditional Arabic" w:hAnsi="Traditional Arabic" w:cs="Traditional Arabic"/>
          <w:i/>
          <w:iCs/>
          <w:sz w:val="28"/>
          <w:szCs w:val="28"/>
          <w:rtl/>
        </w:rPr>
        <w:t>مجلة الفرقان الأسبوعية، 1194</w:t>
      </w:r>
      <w:r w:rsidRPr="003D1437">
        <w:rPr>
          <w:rFonts w:ascii="Traditional Arabic" w:hAnsi="Traditional Arabic" w:cs="Traditional Arabic"/>
          <w:sz w:val="28"/>
          <w:szCs w:val="28"/>
          <w:rtl/>
        </w:rPr>
        <w:t>، 22.</w:t>
      </w:r>
    </w:p>
    <w:p w14:paraId="0ABAA8AE" w14:textId="77777777" w:rsidR="001C1F0E" w:rsidRPr="003D1437" w:rsidRDefault="001C1F0E" w:rsidP="00B66319">
      <w:pPr>
        <w:bidi/>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أبو سالم، أروى مازن</w:t>
      </w:r>
      <w:r w:rsidRPr="003D1437">
        <w:rPr>
          <w:rFonts w:ascii="Traditional Arabic" w:hAnsi="Traditional Arabic" w:cs="Traditional Arabic"/>
          <w:sz w:val="28"/>
          <w:szCs w:val="28"/>
          <w:lang w:bidi="ar-EG"/>
        </w:rPr>
        <w:t xml:space="preserve">. (2024). </w:t>
      </w:r>
      <w:r w:rsidRPr="003D1437">
        <w:rPr>
          <w:rFonts w:ascii="Traditional Arabic" w:hAnsi="Traditional Arabic" w:cs="Traditional Arabic"/>
          <w:i/>
          <w:iCs/>
          <w:sz w:val="28"/>
          <w:szCs w:val="28"/>
          <w:rtl/>
        </w:rPr>
        <w:t>أبعاد التحول الرقمي وأثره على التطوير الوظيفي: تقييم الدور الوسيط للبنية التحتية التكنولوجية في الإدارة العامة للتعليم بمدينة تبوك</w:t>
      </w:r>
      <w:r w:rsidRPr="003D1437">
        <w:rPr>
          <w:rFonts w:ascii="Traditional Arabic" w:hAnsi="Traditional Arabic" w:cs="Traditional Arabic"/>
          <w:sz w:val="28"/>
          <w:szCs w:val="28"/>
          <w:lang w:bidi="ar-EG"/>
        </w:rPr>
        <w:t>.</w:t>
      </w:r>
    </w:p>
    <w:p w14:paraId="35E5C240"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أحمد، بسمة توفيق، وموسى، تامر محمد. (2023). أثر الذكاء الاصطناعي التسويقي على إدارة علاقات العملاء (</w:t>
      </w:r>
      <w:r w:rsidRPr="003D1437">
        <w:rPr>
          <w:rFonts w:ascii="Traditional Arabic" w:hAnsi="Traditional Arabic" w:cs="Traditional Arabic"/>
          <w:sz w:val="28"/>
          <w:szCs w:val="28"/>
        </w:rPr>
        <w:t>CRM</w:t>
      </w:r>
      <w:r w:rsidRPr="003D1437">
        <w:rPr>
          <w:rFonts w:ascii="Traditional Arabic" w:hAnsi="Traditional Arabic" w:cs="Traditional Arabic"/>
          <w:sz w:val="28"/>
          <w:szCs w:val="28"/>
          <w:rtl/>
        </w:rPr>
        <w:t xml:space="preserve">) بالتطبيق على عملاء الأسواق الالكترونية بمصر. </w:t>
      </w:r>
      <w:r w:rsidRPr="003D1437">
        <w:rPr>
          <w:rFonts w:ascii="Traditional Arabic" w:hAnsi="Traditional Arabic" w:cs="Traditional Arabic"/>
          <w:i/>
          <w:iCs/>
          <w:sz w:val="28"/>
          <w:szCs w:val="28"/>
          <w:rtl/>
        </w:rPr>
        <w:t>المجلة العلمية للدراسات والبحوث المالية والتجارية، 4</w:t>
      </w:r>
      <w:r w:rsidRPr="003D1437">
        <w:rPr>
          <w:rFonts w:ascii="Traditional Arabic" w:hAnsi="Traditional Arabic" w:cs="Traditional Arabic"/>
          <w:sz w:val="28"/>
          <w:szCs w:val="28"/>
          <w:rtl/>
        </w:rPr>
        <w:t>(2)، 308-348.</w:t>
      </w:r>
    </w:p>
    <w:p w14:paraId="4A59DD14"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الأسدودي، نها نبيل. (2023). تطبيق آليات الذكاء الاصطناعي في التسويق الرقمي وأثرها في تحقيق الميزة التنافسية: دراسة ميدانية على الخبراء. </w:t>
      </w:r>
      <w:r w:rsidRPr="003D1437">
        <w:rPr>
          <w:rFonts w:ascii="Traditional Arabic" w:hAnsi="Traditional Arabic" w:cs="Traditional Arabic"/>
          <w:i/>
          <w:iCs/>
          <w:sz w:val="28"/>
          <w:szCs w:val="28"/>
          <w:rtl/>
        </w:rPr>
        <w:t>مجلة البحوث الإعلامية، 67</w:t>
      </w:r>
      <w:r w:rsidRPr="003D1437">
        <w:rPr>
          <w:rFonts w:ascii="Traditional Arabic" w:hAnsi="Traditional Arabic" w:cs="Traditional Arabic"/>
          <w:sz w:val="28"/>
          <w:szCs w:val="28"/>
          <w:rtl/>
        </w:rPr>
        <w:t>، 853-906.</w:t>
      </w:r>
    </w:p>
    <w:p w14:paraId="74831B35" w14:textId="77777777" w:rsidR="001C1F0E" w:rsidRPr="003D1437" w:rsidRDefault="001C1F0E"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آل الشيخ جعفر، ولاية علي أفضل عبد الكريم. (2024). </w:t>
      </w:r>
      <w:r w:rsidRPr="003D1437">
        <w:rPr>
          <w:rFonts w:ascii="Traditional Arabic" w:hAnsi="Traditional Arabic" w:cs="Traditional Arabic"/>
          <w:i/>
          <w:iCs/>
          <w:sz w:val="28"/>
          <w:szCs w:val="28"/>
          <w:rtl/>
        </w:rPr>
        <w:t>أثر التحول الرقمي على إدارة مخاطر التأمين باستخدام تحليل السيناريوهات واختبار الإجهاد</w:t>
      </w:r>
      <w:r w:rsidRPr="003D1437">
        <w:rPr>
          <w:rFonts w:ascii="Traditional Arabic" w:hAnsi="Traditional Arabic" w:cs="Traditional Arabic"/>
          <w:sz w:val="28"/>
          <w:szCs w:val="28"/>
          <w:rtl/>
        </w:rPr>
        <w:t>. المجلة العربية للنشر العلمي، (71).</w:t>
      </w:r>
    </w:p>
    <w:p w14:paraId="64B7C360"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البرعي، أحمد سعد علي. (2022). تطبيقات الذكاء الاصطناعي والروبوت من منظور الفقه الإسلامي. </w:t>
      </w:r>
      <w:r w:rsidRPr="003D1437">
        <w:rPr>
          <w:rFonts w:ascii="Traditional Arabic" w:hAnsi="Traditional Arabic" w:cs="Traditional Arabic"/>
          <w:i/>
          <w:iCs/>
          <w:sz w:val="28"/>
          <w:szCs w:val="28"/>
          <w:rtl/>
        </w:rPr>
        <w:t>مجلة دار الإفتاء المصرية، 14</w:t>
      </w:r>
      <w:r w:rsidRPr="003D1437">
        <w:rPr>
          <w:rFonts w:ascii="Traditional Arabic" w:hAnsi="Traditional Arabic" w:cs="Traditional Arabic"/>
          <w:sz w:val="28"/>
          <w:szCs w:val="28"/>
          <w:rtl/>
        </w:rPr>
        <w:t>(48)، 34-65.</w:t>
      </w:r>
    </w:p>
    <w:p w14:paraId="741A2EDC" w14:textId="77777777" w:rsidR="001C1F0E" w:rsidRPr="003D1437" w:rsidRDefault="001C1F0E" w:rsidP="001C1F0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السيد، معين أمين، وعلي، حمو. (2024). </w:t>
      </w:r>
      <w:r w:rsidRPr="003D1437">
        <w:rPr>
          <w:rFonts w:ascii="Traditional Arabic" w:hAnsi="Traditional Arabic" w:cs="Traditional Arabic"/>
          <w:i/>
          <w:iCs/>
          <w:sz w:val="28"/>
          <w:szCs w:val="28"/>
          <w:rtl/>
        </w:rPr>
        <w:t>فعالية استخدام منظمات الاعمال لتطبيقات الذكاء الاصطناعي في تعزيز قدرات التسويق الرقمي: تجربة شركة أمازون</w:t>
      </w:r>
      <w:r w:rsidRPr="003D1437">
        <w:rPr>
          <w:rFonts w:ascii="Traditional Arabic" w:hAnsi="Traditional Arabic" w:cs="Traditional Arabic"/>
          <w:sz w:val="28"/>
          <w:szCs w:val="28"/>
          <w:rtl/>
        </w:rPr>
        <w:t>.</w:t>
      </w:r>
    </w:p>
    <w:p w14:paraId="2B84ABA7" w14:textId="77777777" w:rsidR="001C1F0E" w:rsidRPr="003D1437" w:rsidRDefault="001C1F0E" w:rsidP="001C1F0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العساف، صالح بن حمد. (2012). المدخل إلى البحث في العلوم السلوكية. دار الزهراء للنشر والتوزيع.</w:t>
      </w:r>
    </w:p>
    <w:p w14:paraId="1BB9F7B8" w14:textId="77777777" w:rsidR="001C1F0E" w:rsidRPr="003D1437" w:rsidRDefault="001C1F0E" w:rsidP="001C1F0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الهادي، محمد محمد. (2021). تأثير الذكاء الاصطناعي وتأثيره على العمل والوظائف. </w:t>
      </w:r>
      <w:r w:rsidRPr="003D1437">
        <w:rPr>
          <w:rFonts w:ascii="Traditional Arabic" w:hAnsi="Traditional Arabic" w:cs="Traditional Arabic"/>
          <w:i/>
          <w:iCs/>
          <w:sz w:val="28"/>
          <w:szCs w:val="28"/>
          <w:rtl/>
        </w:rPr>
        <w:t>المجلة المصرية للمعلومات (كمبيونت)، 24</w:t>
      </w:r>
      <w:r w:rsidRPr="003D1437">
        <w:rPr>
          <w:rFonts w:ascii="Traditional Arabic" w:hAnsi="Traditional Arabic" w:cs="Traditional Arabic"/>
          <w:sz w:val="28"/>
          <w:szCs w:val="28"/>
          <w:rtl/>
        </w:rPr>
        <w:t>، 22-30.</w:t>
      </w:r>
    </w:p>
    <w:p w14:paraId="78CF3547"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بوزرب، خير الدين، وسحنون، هبة. (2019). الذكاء الاصطناعي وتطبيقاته في القطاع المصرفي، قراءة في التجربة الهندية مع دراسة حالة بنك </w:t>
      </w:r>
      <w:r w:rsidRPr="003D1437">
        <w:rPr>
          <w:rFonts w:ascii="Traditional Arabic" w:hAnsi="Traditional Arabic" w:cs="Traditional Arabic"/>
          <w:sz w:val="28"/>
          <w:szCs w:val="28"/>
          <w:lang w:bidi="ar-EG"/>
        </w:rPr>
        <w:t>HDFC</w:t>
      </w:r>
      <w:r w:rsidRPr="003D1437">
        <w:rPr>
          <w:rFonts w:ascii="Traditional Arabic" w:hAnsi="Traditional Arabic" w:cs="Traditional Arabic"/>
          <w:sz w:val="28"/>
          <w:szCs w:val="28"/>
          <w:rtl/>
        </w:rPr>
        <w:t xml:space="preserve">. في </w:t>
      </w:r>
      <w:r w:rsidRPr="003D1437">
        <w:rPr>
          <w:rFonts w:ascii="Traditional Arabic" w:hAnsi="Traditional Arabic" w:cs="Traditional Arabic"/>
          <w:i/>
          <w:iCs/>
          <w:sz w:val="28"/>
          <w:szCs w:val="28"/>
          <w:rtl/>
        </w:rPr>
        <w:t>تطبيقات الذكاء الاصطناعي كتوجه حديث لتعزيز تنافسية منظمات الأعمال</w:t>
      </w:r>
      <w:r w:rsidRPr="003D1437">
        <w:rPr>
          <w:rFonts w:ascii="Traditional Arabic" w:hAnsi="Traditional Arabic" w:cs="Traditional Arabic"/>
          <w:sz w:val="28"/>
          <w:szCs w:val="28"/>
          <w:rtl/>
        </w:rPr>
        <w:t xml:space="preserve"> (ط. 1، ص. 156). المركز الديمقراطي العربي للدراسات الاستراتيجية والسياسات الاقتصادية.</w:t>
      </w:r>
    </w:p>
    <w:p w14:paraId="403BEB37"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بوسبعين، تسعديت، وعربان، عميروش. (2019). تدقيق نظم المعلومات المحاسبية باستخدام تطبيقات النظم الخبيرة (</w:t>
      </w:r>
      <w:r w:rsidRPr="003D1437">
        <w:rPr>
          <w:rFonts w:ascii="Traditional Arabic" w:hAnsi="Traditional Arabic" w:cs="Traditional Arabic"/>
          <w:sz w:val="28"/>
          <w:szCs w:val="28"/>
          <w:lang w:bidi="ar-EG"/>
        </w:rPr>
        <w:t>System Expert</w:t>
      </w:r>
      <w:r w:rsidRPr="003D1437">
        <w:rPr>
          <w:rFonts w:ascii="Traditional Arabic" w:hAnsi="Traditional Arabic" w:cs="Traditional Arabic"/>
          <w:sz w:val="28"/>
          <w:szCs w:val="28"/>
          <w:rtl/>
        </w:rPr>
        <w:t xml:space="preserve">) للذكاء الاصطناعي في ظل بيئة تكنولوجيا المعلومات والاتصال. </w:t>
      </w:r>
      <w:r w:rsidRPr="003D1437">
        <w:rPr>
          <w:rFonts w:ascii="Traditional Arabic" w:hAnsi="Traditional Arabic" w:cs="Traditional Arabic"/>
          <w:i/>
          <w:iCs/>
          <w:sz w:val="28"/>
          <w:szCs w:val="28"/>
          <w:rtl/>
        </w:rPr>
        <w:t>مجلة المحاسبة التدقيق والمالية، 1</w:t>
      </w:r>
      <w:r w:rsidRPr="003D1437">
        <w:rPr>
          <w:rFonts w:ascii="Traditional Arabic" w:hAnsi="Traditional Arabic" w:cs="Traditional Arabic"/>
          <w:sz w:val="28"/>
          <w:szCs w:val="28"/>
          <w:rtl/>
        </w:rPr>
        <w:t>(2)، 35.</w:t>
      </w:r>
    </w:p>
    <w:p w14:paraId="55BB71B9" w14:textId="77777777" w:rsidR="001C1F0E" w:rsidRPr="003D1437" w:rsidRDefault="001C1F0E" w:rsidP="00CA6C7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الحمامي، علاء، والسعدون، غصون. (2016). </w:t>
      </w:r>
      <w:r w:rsidRPr="003D1437">
        <w:rPr>
          <w:rFonts w:ascii="Traditional Arabic" w:hAnsi="Traditional Arabic" w:cs="Traditional Arabic"/>
          <w:i/>
          <w:iCs/>
          <w:sz w:val="28"/>
          <w:szCs w:val="28"/>
          <w:rtl/>
        </w:rPr>
        <w:t>تطبيقات تكنولوجيا المعلومات في الأعمال الالكترونية المتطورة</w:t>
      </w:r>
      <w:r w:rsidRPr="003D1437">
        <w:rPr>
          <w:rFonts w:ascii="Traditional Arabic" w:hAnsi="Traditional Arabic" w:cs="Traditional Arabic"/>
          <w:sz w:val="28"/>
          <w:szCs w:val="28"/>
          <w:rtl/>
        </w:rPr>
        <w:t xml:space="preserve"> (ط. 1). دار وائل للنشر والتوزيع.</w:t>
      </w:r>
    </w:p>
    <w:p w14:paraId="1306B0C2"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خوالد، أبوبكر، وبن عبد العزيز، سفيان. (2019). تصورات موظفي الإدارتين العليا والوسطى لأثر تطبيقات الذكاء الاصطناعي على تحقيق الميزة التنافسية لمنظمات الأعمال: دراسة ميدانية بمؤسسة فرتيال عنابة. في </w:t>
      </w:r>
      <w:r w:rsidRPr="003D1437">
        <w:rPr>
          <w:rFonts w:ascii="Traditional Arabic" w:hAnsi="Traditional Arabic" w:cs="Traditional Arabic"/>
          <w:i/>
          <w:iCs/>
          <w:sz w:val="28"/>
          <w:szCs w:val="28"/>
          <w:rtl/>
        </w:rPr>
        <w:t>تطبيقات الذكاء الاصطناعي كتوجه حديث لتعزيز تنافسية منظمات الأعمال</w:t>
      </w:r>
      <w:r w:rsidRPr="003D1437">
        <w:rPr>
          <w:rFonts w:ascii="Traditional Arabic" w:hAnsi="Traditional Arabic" w:cs="Traditional Arabic"/>
          <w:sz w:val="28"/>
          <w:szCs w:val="28"/>
          <w:rtl/>
        </w:rPr>
        <w:t xml:space="preserve"> (ط. 1، ص. 236). المركز الديمقراطي العربي للدراسات الاستراتيجية والسياسات الاقتصادية.</w:t>
      </w:r>
    </w:p>
    <w:p w14:paraId="02B7C132" w14:textId="77777777" w:rsidR="001C1F0E" w:rsidRPr="003D1437" w:rsidRDefault="001C1F0E" w:rsidP="00CA6C77">
      <w:pPr>
        <w:bidi/>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الدجني، عطية حسين</w:t>
      </w:r>
      <w:r w:rsidRPr="003D1437">
        <w:rPr>
          <w:rFonts w:ascii="Traditional Arabic" w:hAnsi="Traditional Arabic" w:cs="Traditional Arabic"/>
          <w:sz w:val="28"/>
          <w:szCs w:val="28"/>
          <w:lang w:bidi="ar-EG"/>
        </w:rPr>
        <w:t xml:space="preserve">. (2011). </w:t>
      </w:r>
      <w:r w:rsidRPr="003D1437">
        <w:rPr>
          <w:rFonts w:ascii="Traditional Arabic" w:hAnsi="Traditional Arabic" w:cs="Traditional Arabic"/>
          <w:i/>
          <w:iCs/>
          <w:sz w:val="28"/>
          <w:szCs w:val="28"/>
          <w:rtl/>
        </w:rPr>
        <w:t>أثر القدرات التسويقية في العلاقة بين التوجه الاستراتيجي والأداء التسويقي: دراسة تطبيقية على قطاع الصناعات الغذائية في قطاع غزة</w:t>
      </w:r>
      <w:r w:rsidRPr="003D1437">
        <w:rPr>
          <w:rFonts w:ascii="Traditional Arabic" w:hAnsi="Traditional Arabic" w:cs="Traditional Arabic"/>
          <w:sz w:val="28"/>
          <w:szCs w:val="28"/>
          <w:lang w:bidi="ar-EG"/>
        </w:rPr>
        <w:t>.</w:t>
      </w:r>
    </w:p>
    <w:p w14:paraId="5E7B4FE9" w14:textId="77777777" w:rsidR="001C1F0E" w:rsidRPr="003D1437" w:rsidRDefault="001C1F0E" w:rsidP="00CA6C7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الزيدانيين، محمد مطر. (2012). </w:t>
      </w:r>
      <w:r w:rsidRPr="003D1437">
        <w:rPr>
          <w:rFonts w:ascii="Traditional Arabic" w:hAnsi="Traditional Arabic" w:cs="Traditional Arabic"/>
          <w:i/>
          <w:iCs/>
          <w:sz w:val="28"/>
          <w:szCs w:val="28"/>
          <w:rtl/>
        </w:rPr>
        <w:t>أثر جودة تكنولوجيا نظام المعلومات الإدارية المدركة والمستخدمة في التميز التنظيمي في شركة الاتصالات الأردنية</w:t>
      </w:r>
      <w:r w:rsidRPr="003D1437">
        <w:rPr>
          <w:rFonts w:ascii="Traditional Arabic" w:hAnsi="Traditional Arabic" w:cs="Traditional Arabic"/>
          <w:sz w:val="28"/>
          <w:szCs w:val="28"/>
          <w:rtl/>
        </w:rPr>
        <w:t xml:space="preserve"> [رسالة دكتوراه، جامعة أم درمان الإسلامية].</w:t>
      </w:r>
    </w:p>
    <w:p w14:paraId="40B5B08C"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صلاح إبراهيم السيد، شريف، وخاطر، محمد، وآخرون. (2023). دور الذكاء الاصطناعي بإدارة علاقات العملاء في تحقيق الميزة التنافسية. </w:t>
      </w:r>
      <w:r w:rsidRPr="003D1437">
        <w:rPr>
          <w:rFonts w:ascii="Traditional Arabic" w:hAnsi="Traditional Arabic" w:cs="Traditional Arabic"/>
          <w:i/>
          <w:iCs/>
          <w:sz w:val="28"/>
          <w:szCs w:val="28"/>
          <w:rtl/>
        </w:rPr>
        <w:t>المجلة العربية للإدارة، 46</w:t>
      </w:r>
      <w:r w:rsidRPr="003D1437">
        <w:rPr>
          <w:rFonts w:ascii="Traditional Arabic" w:hAnsi="Traditional Arabic" w:cs="Traditional Arabic"/>
          <w:sz w:val="28"/>
          <w:szCs w:val="28"/>
          <w:rtl/>
        </w:rPr>
        <w:t>(2)، 1-20.</w:t>
      </w:r>
    </w:p>
    <w:p w14:paraId="1542C84C"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صلاح، وفاء. (2020). أثر استخدام الذكاء الاصطناعي على فعالية أساليب التسويق الرقمي. </w:t>
      </w:r>
      <w:r w:rsidRPr="003D1437">
        <w:rPr>
          <w:rFonts w:ascii="Traditional Arabic" w:hAnsi="Traditional Arabic" w:cs="Traditional Arabic"/>
          <w:i/>
          <w:iCs/>
          <w:sz w:val="28"/>
          <w:szCs w:val="28"/>
          <w:rtl/>
        </w:rPr>
        <w:t>المجلة المصرية لبحوث الرأي العام، 19</w:t>
      </w:r>
      <w:r w:rsidRPr="003D1437">
        <w:rPr>
          <w:rFonts w:ascii="Traditional Arabic" w:hAnsi="Traditional Arabic" w:cs="Traditional Arabic"/>
          <w:sz w:val="28"/>
          <w:szCs w:val="28"/>
          <w:rtl/>
        </w:rPr>
        <w:t>(3)، 501-558.</w:t>
      </w:r>
    </w:p>
    <w:p w14:paraId="3E0AD27E"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عبد الرحيم إسماعيل، عبد الرحيم نادر. (2021). الدور الوسيط للتوجه نحو التقنيات الحديثة في العلاقة بين استخدام الذكاء الاصطناعي والابتكار التسويقي: دراسة تطبيقية على قطاع متاجر التجزئة الالكترونية في مصر. </w:t>
      </w:r>
      <w:r w:rsidRPr="003D1437">
        <w:rPr>
          <w:rFonts w:ascii="Traditional Arabic" w:hAnsi="Traditional Arabic" w:cs="Traditional Arabic"/>
          <w:i/>
          <w:iCs/>
          <w:sz w:val="28"/>
          <w:szCs w:val="28"/>
          <w:rtl/>
        </w:rPr>
        <w:t>مجلة البحوث المالية والتجارية، 22</w:t>
      </w:r>
      <w:r w:rsidRPr="003D1437">
        <w:rPr>
          <w:rFonts w:ascii="Traditional Arabic" w:hAnsi="Traditional Arabic" w:cs="Traditional Arabic"/>
          <w:sz w:val="28"/>
          <w:szCs w:val="28"/>
          <w:rtl/>
        </w:rPr>
        <w:t>(3)، 1084-1131.</w:t>
      </w:r>
    </w:p>
    <w:p w14:paraId="060200FA"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عبيدات، ذوقان، وعبد الحق، كايد، وصبره، عدنان. (2014). البحث العلمي: مفهومه وأدواته وأساليبه. دار الفكر.</w:t>
      </w:r>
    </w:p>
    <w:p w14:paraId="4039FF2B"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عثامنية، أمينة. (2019). المفاهيم الأساسية للذكاء الاصطناعي. في </w:t>
      </w:r>
      <w:r w:rsidRPr="003D1437">
        <w:rPr>
          <w:rFonts w:ascii="Traditional Arabic" w:hAnsi="Traditional Arabic" w:cs="Traditional Arabic"/>
          <w:i/>
          <w:iCs/>
          <w:sz w:val="28"/>
          <w:szCs w:val="28"/>
          <w:rtl/>
        </w:rPr>
        <w:t>تطبيقات الذكاء الاصطناعي كتوجه حديث لتعزيز تنافسية منظمات الأعمال</w:t>
      </w:r>
      <w:r w:rsidRPr="003D1437">
        <w:rPr>
          <w:rFonts w:ascii="Traditional Arabic" w:hAnsi="Traditional Arabic" w:cs="Traditional Arabic"/>
          <w:sz w:val="28"/>
          <w:szCs w:val="28"/>
          <w:rtl/>
        </w:rPr>
        <w:t xml:space="preserve"> (ط. 1، ص. 17). المركز الديمقراطي العربي للدراسات الاستراتيجية والسياسات الاقتصادية.</w:t>
      </w:r>
    </w:p>
    <w:p w14:paraId="4F034B8C"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كشكول، حسين محمد علي، والحمداني، محمد مجيد، وآخرون. (2022). التسويق الرقمي المصرفي كآلية لتدعيم وتعزيز رأس المال الزبوني للمصارف التجارية. </w:t>
      </w:r>
      <w:r w:rsidRPr="003D1437">
        <w:rPr>
          <w:rFonts w:ascii="Traditional Arabic" w:hAnsi="Traditional Arabic" w:cs="Traditional Arabic"/>
          <w:i/>
          <w:iCs/>
          <w:sz w:val="28"/>
          <w:szCs w:val="28"/>
          <w:rtl/>
        </w:rPr>
        <w:t>المؤتمر العلمي الدولي حول الثورة الرقمية كأداة للتنمية المستدامة وأداة للتخطيط الاقتصادي والإداري في العراق</w:t>
      </w:r>
      <w:r w:rsidRPr="003D1437">
        <w:rPr>
          <w:rFonts w:ascii="Traditional Arabic" w:hAnsi="Traditional Arabic" w:cs="Traditional Arabic"/>
          <w:sz w:val="28"/>
          <w:szCs w:val="28"/>
          <w:rtl/>
        </w:rPr>
        <w:t>.</w:t>
      </w:r>
    </w:p>
    <w:p w14:paraId="4C760E3A"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مجدي، نرمين. (2020). </w:t>
      </w:r>
      <w:r w:rsidRPr="003D1437">
        <w:rPr>
          <w:rFonts w:ascii="Traditional Arabic" w:hAnsi="Traditional Arabic" w:cs="Traditional Arabic"/>
          <w:i/>
          <w:iCs/>
          <w:sz w:val="28"/>
          <w:szCs w:val="28"/>
          <w:rtl/>
        </w:rPr>
        <w:t>الذكاء الاصطناعي وتعلم الآلة</w:t>
      </w:r>
      <w:r w:rsidRPr="003D1437">
        <w:rPr>
          <w:rFonts w:ascii="Traditional Arabic" w:hAnsi="Traditional Arabic" w:cs="Traditional Arabic"/>
          <w:sz w:val="28"/>
          <w:szCs w:val="28"/>
          <w:rtl/>
        </w:rPr>
        <w:t>. سلسلة كتيبات تعريفية، العدد الثالث، صندوق النقد العربي.</w:t>
      </w:r>
    </w:p>
    <w:p w14:paraId="680CB523"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محمد علي، غازي فيصل، وزعلان، عبد الفتاح جاسم. (2023). التسويق الرقمي المصرفي ودوره في التموضع الذهني للعاملين: دراسة استطلاعية لآراء عينة من العاملين في مجموعة من المصارف الأهلية في الفرات الأوسط. </w:t>
      </w:r>
      <w:r w:rsidRPr="003D1437">
        <w:rPr>
          <w:rFonts w:ascii="Traditional Arabic" w:hAnsi="Traditional Arabic" w:cs="Traditional Arabic"/>
          <w:i/>
          <w:iCs/>
          <w:sz w:val="28"/>
          <w:szCs w:val="28"/>
          <w:rtl/>
        </w:rPr>
        <w:t>مجلة علمية، 9</w:t>
      </w:r>
      <w:r w:rsidRPr="003D1437">
        <w:rPr>
          <w:rFonts w:ascii="Traditional Arabic" w:hAnsi="Traditional Arabic" w:cs="Traditional Arabic"/>
          <w:sz w:val="28"/>
          <w:szCs w:val="28"/>
          <w:rtl/>
        </w:rPr>
        <w:t>(2)، 242.</w:t>
      </w:r>
    </w:p>
    <w:p w14:paraId="4A8DF966"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مرابطي، سناء. (2019). استخدام الشبكات العصبية الاصطناعية في التنبؤ بأسعار البترول الخام برنت. </w:t>
      </w:r>
      <w:r w:rsidRPr="003D1437">
        <w:rPr>
          <w:rFonts w:ascii="Traditional Arabic" w:hAnsi="Traditional Arabic" w:cs="Traditional Arabic"/>
          <w:i/>
          <w:iCs/>
          <w:sz w:val="28"/>
          <w:szCs w:val="28"/>
          <w:rtl/>
        </w:rPr>
        <w:t>مجلة الدراسات المالية والمحاسبية والإدارية، 6</w:t>
      </w:r>
      <w:r w:rsidRPr="003D1437">
        <w:rPr>
          <w:rFonts w:ascii="Traditional Arabic" w:hAnsi="Traditional Arabic" w:cs="Traditional Arabic"/>
          <w:sz w:val="28"/>
          <w:szCs w:val="28"/>
          <w:rtl/>
        </w:rPr>
        <w:t>(4)، 160.</w:t>
      </w:r>
    </w:p>
    <w:p w14:paraId="43A5974B"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معامير، عبد اللطيف، وخماخم، رمضان. (2022). </w:t>
      </w:r>
      <w:r w:rsidRPr="003D1437">
        <w:rPr>
          <w:rFonts w:ascii="Traditional Arabic" w:hAnsi="Traditional Arabic" w:cs="Traditional Arabic"/>
          <w:i/>
          <w:iCs/>
          <w:sz w:val="28"/>
          <w:szCs w:val="28"/>
          <w:rtl/>
        </w:rPr>
        <w:t>تطبيقات الذكاء الاصطناعي في تسهيل قرار الشراء وتوزيع المنتجات، حالة شركة أمازون</w:t>
      </w:r>
      <w:r w:rsidRPr="003D1437">
        <w:rPr>
          <w:rFonts w:ascii="Traditional Arabic" w:hAnsi="Traditional Arabic" w:cs="Traditional Arabic"/>
          <w:sz w:val="28"/>
          <w:szCs w:val="28"/>
          <w:rtl/>
        </w:rPr>
        <w:t>.</w:t>
      </w:r>
    </w:p>
    <w:p w14:paraId="0EA4918D"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وادي، سري خالد، وكلور، حسين رحيمي. (2024). ترويج صناعة الأزياء من خلال التسويق الرقمي: علاقة استراتيجيات التسويق الرقمي بسلوك المستهلك واتجاهات الموضة والجمال. </w:t>
      </w:r>
      <w:r w:rsidRPr="003D1437">
        <w:rPr>
          <w:rFonts w:ascii="Traditional Arabic" w:hAnsi="Traditional Arabic" w:cs="Traditional Arabic"/>
          <w:i/>
          <w:iCs/>
          <w:sz w:val="28"/>
          <w:szCs w:val="28"/>
          <w:rtl/>
        </w:rPr>
        <w:t>مجلة العلوم الاقتصادية والإدارية، 16</w:t>
      </w:r>
      <w:r w:rsidRPr="003D1437">
        <w:rPr>
          <w:rFonts w:ascii="Traditional Arabic" w:hAnsi="Traditional Arabic" w:cs="Traditional Arabic"/>
          <w:sz w:val="28"/>
          <w:szCs w:val="28"/>
          <w:rtl/>
        </w:rPr>
        <w:t xml:space="preserve">(50)، 42-59. </w:t>
      </w:r>
    </w:p>
    <w:p w14:paraId="679AFBBB"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وزارة التعليم (1445هـ). معلومات إحصائية عن التعليم العام. المملكة العربية السعودية. </w:t>
      </w:r>
    </w:p>
    <w:p w14:paraId="5A709973" w14:textId="77777777" w:rsidR="001C1F0E" w:rsidRPr="003D1437" w:rsidRDefault="001C1F0E" w:rsidP="00071B42">
      <w:pPr>
        <w:bidi/>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rtl/>
        </w:rPr>
        <w:t xml:space="preserve">ياسين، سعد غالب. (2017). </w:t>
      </w:r>
      <w:r w:rsidRPr="003D1437">
        <w:rPr>
          <w:rFonts w:ascii="Traditional Arabic" w:hAnsi="Traditional Arabic" w:cs="Traditional Arabic"/>
          <w:i/>
          <w:iCs/>
          <w:sz w:val="28"/>
          <w:szCs w:val="28"/>
          <w:rtl/>
        </w:rPr>
        <w:t>الإدارة الالكترونية</w:t>
      </w:r>
      <w:r w:rsidRPr="003D1437">
        <w:rPr>
          <w:rFonts w:ascii="Traditional Arabic" w:hAnsi="Traditional Arabic" w:cs="Traditional Arabic"/>
          <w:sz w:val="28"/>
          <w:szCs w:val="28"/>
          <w:rtl/>
        </w:rPr>
        <w:t>. دار اليازوري للنشر والتوزيع.</w:t>
      </w:r>
    </w:p>
    <w:p w14:paraId="49E787AB" w14:textId="4E4A19EC" w:rsidR="001C1F0E" w:rsidRPr="003D1437" w:rsidRDefault="005D6D31" w:rsidP="00A16A88">
      <w:pPr>
        <w:pStyle w:val="Heading2"/>
        <w:rPr>
          <w:lang w:bidi="ar-EG"/>
        </w:rPr>
      </w:pPr>
      <w:bookmarkStart w:id="167" w:name="_Toc233422658"/>
      <w:bookmarkStart w:id="168" w:name="_Toc236402716"/>
      <w:r w:rsidRPr="003D1437">
        <w:rPr>
          <w:rFonts w:hint="cs"/>
          <w:rtl/>
          <w:lang w:bidi="ar-EG"/>
        </w:rPr>
        <w:t>ثانيا: المراجع الأجنبية:</w:t>
      </w:r>
      <w:bookmarkEnd w:id="167"/>
      <w:bookmarkEnd w:id="168"/>
    </w:p>
    <w:p w14:paraId="75CB71D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Abrokwah-Larbi, K., &amp; Awuku-Larbi, Y. (2024). The impact of artificial intelligence in marketing on the performance of business organizations: Evidence from SMEs in an emerging economy. Journal of Entrepreneurship in Emerging Economies, 16(4), 1090-1117.</w:t>
      </w:r>
    </w:p>
    <w:p w14:paraId="18DA3CAA" w14:textId="77777777" w:rsidR="0088660D" w:rsidRPr="003D1437" w:rsidRDefault="0088660D" w:rsidP="00B66319">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Abualoush, S., Obeidat, A., Aljawarneh, N., Al-Qudah, S., &amp; Bataineh, K. (2022). The effect of knowledge sharing on the relationship between empowerment, service innovative behavior and entrepreneurship. International Journal of Data and Network Science, 6(2), 419-428.</w:t>
      </w:r>
    </w:p>
    <w:p w14:paraId="0756023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Abuselidze, G., &amp; Mamaladze, L. (2021). The impact of artificial intelligence on employment before and during pandemic: A comparative analysis. Journal of Physics: Conference Series, 1840(1), 012040.</w:t>
      </w:r>
    </w:p>
    <w:p w14:paraId="09A034F4"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Acypreste, R. D., &amp; Paraná, E. (2022). Artificial Intelligence and employment: a systematic review. Brazilian Journal of Political Economy, 42(4), 1014-1032.</w:t>
      </w:r>
    </w:p>
    <w:p w14:paraId="621C2BDC"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Adebisi, J. F. (2013). Time management practices and its effect on business performance. Canadian Social Science, 9(1), 165-168.</w:t>
      </w:r>
    </w:p>
    <w:p w14:paraId="6DCB921A" w14:textId="77777777" w:rsidR="0088660D" w:rsidRPr="003D1437" w:rsidRDefault="0088660D" w:rsidP="00B66319">
      <w:pPr>
        <w:jc w:val="lowKashida"/>
        <w:rPr>
          <w:rFonts w:ascii="Traditional Arabic" w:hAnsi="Traditional Arabic" w:cs="Traditional Arabic"/>
          <w:sz w:val="28"/>
          <w:szCs w:val="28"/>
          <w:lang w:val="it-IT" w:bidi="ar-EG"/>
        </w:rPr>
      </w:pPr>
      <w:r w:rsidRPr="003D1437">
        <w:rPr>
          <w:rFonts w:ascii="Traditional Arabic" w:hAnsi="Traditional Arabic" w:cs="Traditional Arabic"/>
          <w:sz w:val="28"/>
          <w:szCs w:val="28"/>
          <w:lang w:bidi="ar-EG"/>
        </w:rPr>
        <w:t xml:space="preserve">Ade-Ibijola, A., &amp; Okonkwo, C. (2023). Artificial Intelligence in Africa: Emerging Challenges. In D. O. Eke, K. Wakunuma, &amp; S. Akintoye (Eds.), Responsible AI in Africa. Social and Cultural Studies of Robots and AI (pp. 101-117). </w:t>
      </w:r>
      <w:r w:rsidRPr="003D1437">
        <w:rPr>
          <w:rFonts w:ascii="Traditional Arabic" w:hAnsi="Traditional Arabic" w:cs="Traditional Arabic"/>
          <w:sz w:val="28"/>
          <w:szCs w:val="28"/>
          <w:lang w:val="it-IT" w:bidi="ar-EG"/>
        </w:rPr>
        <w:t>Springer International Publishing.</w:t>
      </w:r>
    </w:p>
    <w:p w14:paraId="35B0E0F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Adewusi, A. O., Okoli, U. I., Olorunsogo, T., Adaga, E., Daraojimba, D. O., &amp; Obi, O. C. (2024). </w:t>
      </w:r>
      <w:r w:rsidRPr="003D1437">
        <w:rPr>
          <w:rFonts w:ascii="Traditional Arabic" w:hAnsi="Traditional Arabic" w:cs="Traditional Arabic"/>
          <w:sz w:val="28"/>
          <w:szCs w:val="28"/>
          <w:lang w:bidi="ar-EG"/>
        </w:rPr>
        <w:t>Artificial intelligence in cybersecurity: Protecting national infrastructure: A USA. World Journal of Advanced Research and Reviews, 21(1), 2263-2275.</w:t>
      </w:r>
    </w:p>
    <w:p w14:paraId="5DB31E6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Adhvaryu, A. (2018). Managerial quality and worker productivity in developing countries. IZA World of Labor, 429.</w:t>
      </w:r>
    </w:p>
    <w:p w14:paraId="3BA2118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Adiguzel, Z., Cakir, F. S., &amp; Ozbay, F. (2024). Examination of the effects of artificial intelligence readiness on lean sustainability and value creation in the mediation variable effect of organizational flexibility in technology-focused companies. Kybernetes. https://doi.org/10.1108/K-01-2024-0046</w:t>
      </w:r>
    </w:p>
    <w:p w14:paraId="53869BFD"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Adu, D. A., Abedin, M. Z., Saa, V. Y., &amp; Boateng, F. (2024). Bank sustainability, climate change initiatives and financial performance. The role of corporate governance. International Review of Financial Analysis, 103438.</w:t>
      </w:r>
    </w:p>
    <w:p w14:paraId="6E1B2B1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Aguegboh, E. S., Agu, C. V., &amp; Nnetu-Okolieuwa, V. L. (2023). ICT adoption, bank performance &amp; development in sub-Saharan Africa: A dynamic panel analysis. Information Technology for Development, 29(2-3), 406-422.</w:t>
      </w:r>
    </w:p>
    <w:p w14:paraId="2351576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Ahmad, I., &amp; Ahmad, S. B. (2021). Effect of managerial skills on the performance of small and medium-sized enterprises: A case study in Pakistan. The Journal of Asian Finance, Economics &amp; Business, 8(4), 161-170.</w:t>
      </w:r>
    </w:p>
    <w:p w14:paraId="0292742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Ahmed, T., Khan, M. S., Thitivesa, D., Siraphatthada, Y., &amp; Phumdara, T. (2020). Impact of employees engagement and knowledge sharing on organizational performance: Study of HR challenges in COVID-19 pandemic. Human Systems Management, 39(4), 589-601.</w:t>
      </w:r>
    </w:p>
    <w:p w14:paraId="477F4B1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Akhgar, B., Saathoff, G. B., Arabnia, H. R., Hill, R., Staniforth, A., &amp; Bayerl, P. S. (2015). Application of big data for national security: a practitioner's guide to emerging technologies. Butterworth-Heinemann.</w:t>
      </w:r>
    </w:p>
    <w:p w14:paraId="7971B24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Akhmaddhian, S. (2020). Discourse on Creating a Special Environmental Court in Indonesia to Resolve Environmental Disputes. Bestuur, 8(2), 129-138.</w:t>
      </w:r>
    </w:p>
    <w:p w14:paraId="19D0A88E" w14:textId="77777777" w:rsidR="0088660D" w:rsidRPr="003D1437" w:rsidRDefault="0088660D" w:rsidP="00B66319">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val="it-IT" w:bidi="ar-EG"/>
        </w:rPr>
        <w:t xml:space="preserve">Akhmaddhian, S., Supartono, T., Yuhandra, E., Budiman, H., &amp; Rahmat, D. (2021). </w:t>
      </w:r>
      <w:r w:rsidRPr="003D1437">
        <w:rPr>
          <w:rFonts w:ascii="Traditional Arabic" w:hAnsi="Traditional Arabic" w:cs="Traditional Arabic"/>
          <w:sz w:val="28"/>
          <w:szCs w:val="28"/>
          <w:lang w:bidi="ar-EG"/>
        </w:rPr>
        <w:t>The government policy on the covid-19 handling viewed from environmental and biodiversity perspectives. IOP Conference Series: Earth and Environmental Science, 819(1), 012044.</w:t>
      </w:r>
    </w:p>
    <w:p w14:paraId="74DF1EE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 Karim, R. (2019). Impact of different training and development programs on employee performance in Bangladesh perspective. International Journal of Entrepreneurial Research, 1(2), 8-14.</w:t>
      </w:r>
    </w:p>
    <w:p w14:paraId="2EB29E6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 Muala, I., Obeidat, A. M., Alawamreh, A. R., Alhatmi, B., Eishah, S. A., &amp; Alrhabai, Z. H. F. (2024). Unraveling the influence of artificial intelligence, organizational, and environmental factors in strategic planning: Implications and practical insights. Journal of Theoretical and Applied Information Technology, 102(4), 1433-1441.</w:t>
      </w:r>
    </w:p>
    <w:p w14:paraId="1572A3E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Al Naqbi, H., Bahroun, Z., &amp; Ahmed, V. (2024). Enhancing Work Productivity through Generative Artificial Intelligence: A Comprehensive Literature Review. Sustainability, 16(3), 1166.</w:t>
      </w:r>
    </w:p>
    <w:p w14:paraId="6A07161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Al-Busaidi, K. A., &amp; Al-Muharrami, S. (2021). Beyond profitability: ICT investments and financial institutions performance measures in developing economies. Journal of Enterprise Information Management, 34(3), 900-921.</w:t>
      </w:r>
    </w:p>
    <w:p w14:paraId="2CE707C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Alegre, J., &amp; Chiva, R. (2008). Assessing the impact of organizational learning capability on product innovation performance: An empirical test. Technovation, 28(6), 315-326.</w:t>
      </w:r>
    </w:p>
    <w:p w14:paraId="3623646B" w14:textId="77777777" w:rsidR="0088660D" w:rsidRPr="003D1437" w:rsidRDefault="0088660D" w:rsidP="00B66319">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Alizadeh, R., Lund, P. D., Beynaghi, A., Abolghasemi, M., &amp; Maknoon, R. (2016). An integrated scenario-based robust planning approach for foresight and strategic management with application to energy industry. Technological Forecasting and Social Change, 104, 162-171.</w:t>
      </w:r>
    </w:p>
    <w:p w14:paraId="06D03D0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Alsheibani, S., Cheung, Y., &amp; Messom, C. (2018). </w:t>
      </w:r>
      <w:r w:rsidRPr="003D1437">
        <w:rPr>
          <w:rFonts w:ascii="Traditional Arabic" w:hAnsi="Traditional Arabic" w:cs="Traditional Arabic"/>
          <w:sz w:val="28"/>
          <w:szCs w:val="28"/>
          <w:lang w:bidi="ar-EG"/>
        </w:rPr>
        <w:t>Artificial intelligence adoption: AI-readiness at firm-level. PACIS, 4, 231-245.</w:t>
      </w:r>
    </w:p>
    <w:p w14:paraId="7DC12AEC"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Al-Surmi, A., Cao, G., &amp; Duan, Y. (2022). AI-based decision-making, combining strategies to improve operational performance.</w:t>
      </w:r>
    </w:p>
    <w:p w14:paraId="76989E9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Al-Zahrani, A., &amp; Al-Hebbi, M. (2022). Big data major security issues: challenges and defense strategies. Tehni</w:t>
      </w:r>
      <w:r w:rsidRPr="003D1437">
        <w:rPr>
          <w:rFonts w:ascii="Cambria" w:hAnsi="Cambria" w:cs="Cambria"/>
          <w:sz w:val="28"/>
          <w:szCs w:val="28"/>
          <w:lang w:bidi="ar-EG"/>
        </w:rPr>
        <w:t>č</w:t>
      </w:r>
      <w:r w:rsidRPr="003D1437">
        <w:rPr>
          <w:rFonts w:ascii="Traditional Arabic" w:hAnsi="Traditional Arabic" w:cs="Traditional Arabic"/>
          <w:sz w:val="28"/>
          <w:szCs w:val="28"/>
          <w:lang w:bidi="ar-EG"/>
        </w:rPr>
        <w:t>ki Glasnik, 16(2), 197-204.</w:t>
      </w:r>
    </w:p>
    <w:p w14:paraId="5808CE4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Amornkitvikai, Y., Harvie, C., &amp; Sangkaew, P. (2022). The role of wages, skills development, and R&amp;D on productivity: Evidence from Thai manufacturing firms. Journal of Economic Studies, 50(2), 324-342.</w:t>
      </w:r>
    </w:p>
    <w:p w14:paraId="64DDBE3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Anginer, D., Demirguc-Kunt, A., &amp; Zhu, M. (2014). How does competition affect bank systemic risk? Journal of Financial Intermediation, 23(1), 1-26.</w:t>
      </w:r>
    </w:p>
    <w:p w14:paraId="29D7816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Anning-Dorson, T. (2021). Organizational culture and leadership as antecedents to organizational flexibility: implications for SME competitiveness. Journal of Entrepreneurship in Emerging Economies, 13(5), 1309-1325.</w:t>
      </w:r>
    </w:p>
    <w:p w14:paraId="4B8C071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Asghar, N., Khattak, A., Danish, M. H., Bokhari, I. H., &amp; Waris, M. (2023). Managerial skills, technology adaptation and firm performance: Mediating role of process innovation and product innovation. Cogent Business &amp; Management, 10(3), 2281485. https://doi.org/10.1080/23311975.2023.2281485</w:t>
      </w:r>
    </w:p>
    <w:p w14:paraId="55F8B97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Asongu, S. A., &amp; Biekpe, N. (2018). ICT, information asymmetry and market power in African banking industry. Research in International Business and Finance, 44, 518-531.</w:t>
      </w:r>
    </w:p>
    <w:p w14:paraId="41EF3E2E"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Athanasoglou, P. P., Brissimis, S. N., &amp; Delis, M. D. (2008). Bank-specific, industry-specific and macroeconomic determinants of bank profitability. Journal of international financial Markets, Institutions and Money, 18(2), 121-136.</w:t>
      </w:r>
    </w:p>
    <w:p w14:paraId="1231368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Awamleh, A. R., &amp; Bustami, R. (2022). Examine the Mediating Role of the Information Technology Capabilities on the Relationship Between Strategic Planning and Organizational Performance.</w:t>
      </w:r>
    </w:p>
    <w:p w14:paraId="05061F1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Baiocchi, D., Blum, I., &amp; Richardson, A. (2018). Defining and Assessing Adversary Threats to Space: Toward a Research Agenda. RAND Corporation.</w:t>
      </w:r>
    </w:p>
    <w:p w14:paraId="56E31F0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Balmer, R. E., Levin, S. L., &amp; Schmidt, S. (2020). Artificial Intelligence Applications in Telecommunications and other network industries. Telecommunications Policy, 44(6), 101977.</w:t>
      </w:r>
    </w:p>
    <w:p w14:paraId="622A246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Banna, H., &amp; Alam, M. R. (2021). Impact of digital financial inclusion on ASEAN banking stability: Implications for the post-Covid-19 era. Studies in Economics and Finance, 38(2), 504-523.</w:t>
      </w:r>
    </w:p>
    <w:p w14:paraId="05C4AED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Barney, J. (1991). Firm resources and sustained competitive advantage. Journal of Management, 17(1), 99-120.</w:t>
      </w:r>
    </w:p>
    <w:p w14:paraId="6573180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Batae, O. M., Dragomir, V. D., &amp; Feleag</w:t>
      </w:r>
      <w:r w:rsidRPr="003D1437">
        <w:rPr>
          <w:rFonts w:ascii="Cambria" w:hAnsi="Cambria" w:cs="Cambria"/>
          <w:sz w:val="28"/>
          <w:szCs w:val="28"/>
          <w:lang w:bidi="ar-EG"/>
        </w:rPr>
        <w:t>ă</w:t>
      </w:r>
      <w:r w:rsidRPr="003D1437">
        <w:rPr>
          <w:rFonts w:ascii="Traditional Arabic" w:hAnsi="Traditional Arabic" w:cs="Traditional Arabic"/>
          <w:sz w:val="28"/>
          <w:szCs w:val="28"/>
          <w:lang w:bidi="ar-EG"/>
        </w:rPr>
        <w:t>, L. (2021). The relationship between environmental, social, and financial performance in the banking sector: A European study. Journal of Cleaner Production, 290, 125791.</w:t>
      </w:r>
    </w:p>
    <w:p w14:paraId="0B6DED2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Beaudry, P., &amp; Francois, P. (2010). Managerial skills acquisition and the theory of economic development. The Review of Economic Studies, 77(1), 90-126.</w:t>
      </w:r>
    </w:p>
    <w:p w14:paraId="132EFF5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Benkharafa, M. (2013). The role of artificial intelligence in managing health projects: An applied study on the Ministry of Health in the Kingdom of Saudi Arabia.</w:t>
      </w:r>
    </w:p>
    <w:p w14:paraId="0D06FCE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Borges, A. F., Laurindo, F. J., Spínola, M. M., Gonçalves, R. F., &amp; Mattos, C. A. (2021). The strategic use of artificial intelligence in the digital era: Systematic literature review and future research directions. International Journal of Information Management, 57, 102225.</w:t>
      </w:r>
    </w:p>
    <w:p w14:paraId="6021289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Boucher, P. (2020). Artificial intelligence: How does it work, why does it matter, and what can we do about it? European Parliamentary Research Service.</w:t>
      </w:r>
    </w:p>
    <w:p w14:paraId="73203B84"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Braganza, A., Chen, W., Canhoto, A., &amp; Sap, S. (2021). Productive employment and decent work: The impact of AI adoption on psychological contracts, job engagement and employee trust. Journal of Business Research, 131, 485-494.</w:t>
      </w:r>
    </w:p>
    <w:p w14:paraId="36983C67"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Bryman, A</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Bell, E</w:t>
      </w:r>
      <w:r w:rsidRPr="003D1437">
        <w:rPr>
          <w:rFonts w:ascii="Traditional Arabic" w:hAnsi="Traditional Arabic" w:cs="Traditional Arabic"/>
          <w:sz w:val="28"/>
          <w:szCs w:val="28"/>
          <w:rtl/>
          <w:lang w:bidi="ar-EG"/>
        </w:rPr>
        <w:t xml:space="preserve">. (2011). </w:t>
      </w:r>
      <w:r w:rsidRPr="003D1437">
        <w:rPr>
          <w:rFonts w:ascii="Traditional Arabic" w:hAnsi="Traditional Arabic" w:cs="Traditional Arabic"/>
          <w:sz w:val="28"/>
          <w:szCs w:val="28"/>
          <w:lang w:bidi="ar-EG"/>
        </w:rPr>
        <w:t>Business research methods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(3rd ed.). Oxford University Press</w:t>
      </w:r>
      <w:r w:rsidRPr="003D1437">
        <w:rPr>
          <w:rFonts w:ascii="Traditional Arabic" w:hAnsi="Traditional Arabic" w:cs="Traditional Arabic"/>
          <w:sz w:val="28"/>
          <w:szCs w:val="28"/>
          <w:rtl/>
          <w:lang w:bidi="ar-EG"/>
        </w:rPr>
        <w:t>.</w:t>
      </w:r>
    </w:p>
    <w:p w14:paraId="0952023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Buchak, G., Matvos, G., Piskorski, T., &amp; Seru, A. (2024). Beyond the balance sheet model of banking: Implications for bank regulation and monetary policy. Journal of Political Economy, 132(2), 616-693.</w:t>
      </w:r>
    </w:p>
    <w:p w14:paraId="2A2C378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Chatterjee, S., Rana, N. P., Tamilmani, K., &amp; Sharma, A. (2021). The effect of AI-based CRM on organization performance and competitive advantage: An empirical analysis in the B2B context. Industrial Marketing Management, 97, 205-219.</w:t>
      </w:r>
    </w:p>
    <w:p w14:paraId="7D59E77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Chen, C. L. P., &amp; Zhang, C.-Y. (2014). Data-intensive applications, challenges, techniques and technologies: A survey on Big Data. Information Sciences, 275, 314-347.</w:t>
      </w:r>
    </w:p>
    <w:p w14:paraId="7D11A26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Chhaidar, A., Abdelhedi, M., &amp; Abdelkafi, I. (2023). The effect of financial technology investment level on European banks' profitability. Journal of the Knowledge Economy, 14(3), 2959-2981.</w:t>
      </w:r>
    </w:p>
    <w:p w14:paraId="288F880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Clarke, R. A., &amp; Knake, R. K. (2020). The Fifth Domain: Defending our country, our companies, and ourselves in the age of cyber threats. Penguin.</w:t>
      </w:r>
    </w:p>
    <w:p w14:paraId="256178B0"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Cochran, W. G</w:t>
      </w:r>
      <w:r w:rsidRPr="003D1437">
        <w:rPr>
          <w:rFonts w:ascii="Traditional Arabic" w:hAnsi="Traditional Arabic" w:cs="Traditional Arabic"/>
          <w:sz w:val="28"/>
          <w:szCs w:val="28"/>
          <w:rtl/>
          <w:lang w:bidi="ar-EG"/>
        </w:rPr>
        <w:t xml:space="preserve">. (1977). </w:t>
      </w:r>
      <w:r w:rsidRPr="003D1437">
        <w:rPr>
          <w:rFonts w:ascii="Traditional Arabic" w:hAnsi="Traditional Arabic" w:cs="Traditional Arabic"/>
          <w:sz w:val="28"/>
          <w:szCs w:val="28"/>
          <w:lang w:bidi="ar-EG"/>
        </w:rPr>
        <w:t>Sampling techniques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(3rd ed.). John Wiley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Sons</w:t>
      </w:r>
      <w:r w:rsidRPr="003D1437">
        <w:rPr>
          <w:rFonts w:ascii="Traditional Arabic" w:hAnsi="Traditional Arabic" w:cs="Traditional Arabic"/>
          <w:sz w:val="28"/>
          <w:szCs w:val="28"/>
          <w:rtl/>
          <w:lang w:bidi="ar-EG"/>
        </w:rPr>
        <w:t>.</w:t>
      </w:r>
    </w:p>
    <w:p w14:paraId="275FC81D"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Creswell, J. W</w:t>
      </w:r>
      <w:r w:rsidRPr="003D1437">
        <w:rPr>
          <w:rFonts w:ascii="Traditional Arabic" w:hAnsi="Traditional Arabic" w:cs="Traditional Arabic"/>
          <w:sz w:val="28"/>
          <w:szCs w:val="28"/>
          <w:rtl/>
          <w:lang w:bidi="ar-EG"/>
        </w:rPr>
        <w:t xml:space="preserve">. (2014). </w:t>
      </w:r>
      <w:r w:rsidRPr="003D1437">
        <w:rPr>
          <w:rFonts w:ascii="Traditional Arabic" w:hAnsi="Traditional Arabic" w:cs="Traditional Arabic"/>
          <w:sz w:val="28"/>
          <w:szCs w:val="28"/>
          <w:lang w:bidi="ar-EG"/>
        </w:rPr>
        <w:t>Research design: Qualitative, quantitative, and mixed methods approaches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(4th ed.). Sage publications</w:t>
      </w:r>
      <w:r w:rsidRPr="003D1437">
        <w:rPr>
          <w:rFonts w:ascii="Traditional Arabic" w:hAnsi="Traditional Arabic" w:cs="Traditional Arabic"/>
          <w:sz w:val="28"/>
          <w:szCs w:val="28"/>
          <w:rtl/>
          <w:lang w:bidi="ar-EG"/>
        </w:rPr>
        <w:t>.</w:t>
      </w:r>
    </w:p>
    <w:p w14:paraId="208CC1A6"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Cronbach, L. J. (1951). Coefficient alpha and the internal structure of tests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Psychometrika, 16</w:t>
      </w:r>
      <w:r w:rsidRPr="003D1437">
        <w:rPr>
          <w:rFonts w:ascii="Traditional Arabic" w:hAnsi="Traditional Arabic" w:cs="Traditional Arabic"/>
          <w:sz w:val="28"/>
          <w:szCs w:val="28"/>
          <w:rtl/>
          <w:lang w:bidi="ar-EG"/>
        </w:rPr>
        <w:t>(3), 297–334.</w:t>
      </w:r>
    </w:p>
    <w:p w14:paraId="52EDD13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Dalkıran, E., Önel, T., Topcu, O., &amp; Demir, K. A. (2021). Automated integration of real-time and non-real-time defense systems. Defence Technology, 17(2), 657-670.</w:t>
      </w:r>
    </w:p>
    <w:p w14:paraId="0880625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Damioli, G., Van Roy, V., &amp; Vertesy, D. (2021). The impact of artificial intelligence on labor productivity. Eurasian Business Review, 11(1), 1-25.</w:t>
      </w:r>
    </w:p>
    <w:p w14:paraId="40491C9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Davis, F. D. (1989). Perceived usefulness, perceived ease of use, and user acceptance of information technology. MIS Quarterly, 319-340.</w:t>
      </w:r>
    </w:p>
    <w:p w14:paraId="4FD9974E"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Davis, F. D. (1989). Perceived usefulness, perceived ease of</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use, and user acceptance of information technology</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MIS Quarterly, 13</w:t>
      </w:r>
      <w:r w:rsidRPr="003D1437">
        <w:rPr>
          <w:rFonts w:ascii="Traditional Arabic" w:hAnsi="Traditional Arabic" w:cs="Traditional Arabic"/>
          <w:sz w:val="28"/>
          <w:szCs w:val="28"/>
          <w:rtl/>
          <w:lang w:bidi="ar-EG"/>
        </w:rPr>
        <w:t>(3), 319-340.</w:t>
      </w:r>
    </w:p>
    <w:p w14:paraId="698E60C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Davis, F. D., Bagozzi, R. P., &amp; Warshaw, P. R. (1989). User acceptance of computer technology: a comparison of two theoretical models. Management science, 35(8), 982-1003.</w:t>
      </w:r>
    </w:p>
    <w:p w14:paraId="1622A8A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De Bandt, O., Camara, B., Maitre, A., &amp; Pessarossi, P. (2018). Optimal capital, regulatory requirements and bank performance in times of crisis: Evidence from France. Journal of Financial Stability, 39, 175-186.</w:t>
      </w:r>
    </w:p>
    <w:p w14:paraId="4AACCEA8"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Denicolai, S., Zucchella, A., &amp; Magnani, G. (2021). Internationalization, digitalization, and sustainability: are SMEs ready? A survey on synergies and substituting effects among growth paths. Technological Forecasting and Social Change, 166, 120650.</w:t>
      </w:r>
    </w:p>
    <w:p w14:paraId="6280E184"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Duong, K. D., Tran, P. M. D., Nguyen, P. Y. N., &amp; Pham, H. (2023). How do funding diversity and non-performing loans affect bank performance in different economic cycles? Cogent Business &amp; Management, 10(2), 2215076.</w:t>
      </w:r>
    </w:p>
    <w:p w14:paraId="055860A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Dwivedi, Y. K., Hughes, L., Ismagilova, E., Aarts, G., Coombs, C., Crick, T., ... &amp; Williams, M. D. (2021). Artificial Intelligence (AI): Multidisciplinary perspectives on emerging challenges, opportunities, and agenda for research, practice and policy. International Journal of Information Management, 57, 101994.</w:t>
      </w:r>
    </w:p>
    <w:p w14:paraId="2A81403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Emon, M. M. H., &amp; Khan, T. (2025). The mediating role of attitude towards the technology in shaping artificial intelligence usage among professionals. Telematics and Informatics Reports, 17, 100188. https://doi.org/10.1016/j.teler.2025.100188</w:t>
      </w:r>
    </w:p>
    <w:p w14:paraId="3B88308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Flavián, C., Pérez-Rueda, A., Belanche, D., &amp; Casaló, L. V. (2022). Intention to use analytical artificial intelligence (AI) in services the effect of technology readiness and awareness. Journal of Service Management, 33(2), 293-320.</w:t>
      </w:r>
    </w:p>
    <w:p w14:paraId="72BA82A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Fosso Wamba, S. (2022). Impact of artificial intelligence assimilation on firm performance: The mediating effects of organizational agility and customer agility. International Journal of Information Management, 67, 102544.</w:t>
      </w:r>
    </w:p>
    <w:p w14:paraId="783267A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Gao, J., Ren, L., Yang, Y., Zhang, D., &amp; Li, L. (2022). The impact of artificial intelligence technology stimuli on smart customer experience and the moderating effect of technology readiness. International Journal of Emerging Markets, 17(4), 1123-1142.</w:t>
      </w:r>
    </w:p>
    <w:p w14:paraId="40BF539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Ghavami, P. (2020). Big data management: Data governance principles for big data analytics. Walter de Gruyter GmbH &amp; Co KG.</w:t>
      </w:r>
    </w:p>
    <w:p w14:paraId="06F6FE0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Gyau, E. B., Appiah, M., Gyamfi, B. A., Achie, T., &amp; Naeem, M. A. (2024). Transforming banking: Examining the role of AI technology innovation in boosting banks financial performance. International Review of Financial Analysis, 96, 103700. https://doi.org/10.1016/j.irfa.2024.103700</w:t>
      </w:r>
    </w:p>
    <w:p w14:paraId="4C7B5C02"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Hair, J. F., Black, W. C., Babin, B. J</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Anderson, R. E</w:t>
      </w:r>
      <w:r w:rsidRPr="003D1437">
        <w:rPr>
          <w:rFonts w:ascii="Traditional Arabic" w:hAnsi="Traditional Arabic" w:cs="Traditional Arabic"/>
          <w:sz w:val="28"/>
          <w:szCs w:val="28"/>
          <w:rtl/>
          <w:lang w:bidi="ar-EG"/>
        </w:rPr>
        <w:t xml:space="preserve">. (2010). </w:t>
      </w:r>
      <w:r w:rsidRPr="003D1437">
        <w:rPr>
          <w:rFonts w:ascii="Traditional Arabic" w:hAnsi="Traditional Arabic" w:cs="Traditional Arabic"/>
          <w:sz w:val="28"/>
          <w:szCs w:val="28"/>
          <w:lang w:bidi="ar-EG"/>
        </w:rPr>
        <w:t>Multivariate data analysis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(7th ed.). Prentice Hall</w:t>
      </w:r>
      <w:r w:rsidRPr="003D1437">
        <w:rPr>
          <w:rFonts w:ascii="Traditional Arabic" w:hAnsi="Traditional Arabic" w:cs="Traditional Arabic"/>
          <w:sz w:val="28"/>
          <w:szCs w:val="28"/>
          <w:rtl/>
          <w:lang w:bidi="ar-EG"/>
        </w:rPr>
        <w:t>.</w:t>
      </w:r>
    </w:p>
    <w:p w14:paraId="338584EE"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Hamel, G., &amp; Välikangas, L. (2003). The quest for resilience. Harvard Business Review, 81(9), 52-63.</w:t>
      </w:r>
    </w:p>
    <w:p w14:paraId="24496DE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Hassan, M., Aziz, L. A. R., &amp; Andriansyah, Y. (2023). The role artificial intelligence in modern banking: An exploration of Al-driven approaches for enhanced fraud prevention, risk management, and regulatory compliance. Reviews of Contemporary Business Analytics, 6(1), 110-132.</w:t>
      </w:r>
    </w:p>
    <w:p w14:paraId="3009659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Jain, R., Chandrasekaran, A., &amp; Sharma, R. (2021). Big Data and Artificial Intelligence in Cyber Defense. Journal of Cyber Security Technology, 5(2), 67-83.</w:t>
      </w:r>
    </w:p>
    <w:p w14:paraId="738C5B8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Journal, E. S. T. (2024). Enhancing Customer Relationship Management in ERP Systems through AI: Personalized Interactions, Predictive Modeling, and Service Automation. International Journal of Science and Research (IJSR), 13(3), 892-897.</w:t>
      </w:r>
    </w:p>
    <w:p w14:paraId="6AA030EB" w14:textId="77777777" w:rsidR="0088660D" w:rsidRPr="003D1437" w:rsidRDefault="0088660D" w:rsidP="001C1F0E">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lastRenderedPageBreak/>
        <w:t>Kaggwa, S., Eleogu, T. F., Okonkwo, F., Farayola, O. A., Uwaoma, P.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Akinoso, A. (2024). AI in Decision Making: Transforming Business Strategies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of Research and Scientific Innovation, X(XII), 423-444</w:t>
      </w:r>
      <w:r w:rsidRPr="003D1437">
        <w:rPr>
          <w:rFonts w:ascii="Traditional Arabic" w:hAnsi="Traditional Arabic" w:cs="Traditional Arabic"/>
          <w:sz w:val="28"/>
          <w:szCs w:val="28"/>
          <w:rtl/>
          <w:lang w:bidi="ar-EG"/>
        </w:rPr>
        <w:t>.</w:t>
      </w:r>
    </w:p>
    <w:p w14:paraId="1E819059"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Kaggwa, S., Eleogu, T. F., Okonkwo, F., Farayola, O. A., Uwaoma, P.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Akinoso, A. (2024). AI in Decision Making: Transforming Business Strategies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of Research and Scientific Innovation, X(XII), 423-444</w:t>
      </w:r>
      <w:r w:rsidRPr="003D1437">
        <w:rPr>
          <w:rFonts w:ascii="Traditional Arabic" w:hAnsi="Traditional Arabic" w:cs="Traditional Arabic"/>
          <w:sz w:val="28"/>
          <w:szCs w:val="28"/>
          <w:rtl/>
          <w:lang w:bidi="ar-EG"/>
        </w:rPr>
        <w:t>.</w:t>
      </w:r>
    </w:p>
    <w:p w14:paraId="6B8B6C2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Kar, A. K., &amp; Swain, R. B. (2014). Interest rates and financial performance of microfinance institutions: Recent global evidence. The European Journal of Development Research, 26, 87-106.</w:t>
      </w:r>
    </w:p>
    <w:p w14:paraId="5EC16C2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Kassa, B. Y., &amp; Worku, E. K. (2025). The impact of artificial intelligence on organizational performance: The mediating role of employee productivity. Journal of Open Innovation: Technology, Market, and Complexity, 11, 100474. https://doi.org/10.1016/j.joitmc.2025.100474</w:t>
      </w:r>
    </w:p>
    <w:p w14:paraId="3D603AB0"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Kassa, B. 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Worku, E. K. (2025). The impact of artificial intelligence on organizational performance: The mediating role of employee productivity</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Journal of Open Innovation: Technology, Market, and Complexity, 11</w:t>
      </w:r>
      <w:r w:rsidRPr="003D1437">
        <w:rPr>
          <w:rFonts w:ascii="Traditional Arabic" w:hAnsi="Traditional Arabic" w:cs="Traditional Arabic"/>
          <w:sz w:val="28"/>
          <w:szCs w:val="28"/>
          <w:rtl/>
          <w:lang w:bidi="ar-EG"/>
        </w:rPr>
        <w:t>, 100474.</w:t>
      </w:r>
    </w:p>
    <w:p w14:paraId="2FB8563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Kitsios, F., &amp; Kamariotou, M. (2021). Artificial intelligence and business strategy towards digital transformation: A research agenda. Sustainability, 13(4), 2025. https://doi.org/10.3390/su13042025</w:t>
      </w:r>
    </w:p>
    <w:p w14:paraId="4DCF70FD" w14:textId="77777777" w:rsidR="0088660D" w:rsidRPr="003D1437" w:rsidRDefault="0088660D" w:rsidP="001C1F0E">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Kitsios, F</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Kamariotou, M. (2021). Artificial intelligence and business strategy towards digital transformation: A research agenda</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Sustainability, 13</w:t>
      </w:r>
      <w:r w:rsidRPr="003D1437">
        <w:rPr>
          <w:rFonts w:ascii="Traditional Arabic" w:hAnsi="Traditional Arabic" w:cs="Traditional Arabic"/>
          <w:sz w:val="28"/>
          <w:szCs w:val="28"/>
          <w:rtl/>
          <w:lang w:bidi="ar-EG"/>
        </w:rPr>
        <w:t>(4), 2025.</w:t>
      </w:r>
    </w:p>
    <w:p w14:paraId="2A2E75EC"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Kitsios, F</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Kamariotou, M. (2021). Artificial intelligence and business strategy towards digital transformation: A research agenda</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Sustainability, 13</w:t>
      </w:r>
      <w:r w:rsidRPr="003D1437">
        <w:rPr>
          <w:rFonts w:ascii="Traditional Arabic" w:hAnsi="Traditional Arabic" w:cs="Traditional Arabic"/>
          <w:sz w:val="28"/>
          <w:szCs w:val="28"/>
          <w:rtl/>
          <w:lang w:bidi="ar-EG"/>
        </w:rPr>
        <w:t>(4), 2025.</w:t>
      </w:r>
    </w:p>
    <w:p w14:paraId="536EBAAC"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Ledhem, M. A., &amp; Mekidiche, M. (2020). Economic growth and financial performance of Islamic banks: A CAMELS approach. Islamic Economic Studies, 28(1), 47-62.</w:t>
      </w:r>
    </w:p>
    <w:p w14:paraId="59FC2D74"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Likert, R. (1932). A technique for the measurement of attitudes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Archives of Psychology, 22</w:t>
      </w:r>
      <w:r w:rsidRPr="003D1437">
        <w:rPr>
          <w:rFonts w:ascii="Traditional Arabic" w:hAnsi="Traditional Arabic" w:cs="Traditional Arabic"/>
          <w:sz w:val="28"/>
          <w:szCs w:val="28"/>
          <w:rtl/>
          <w:lang w:bidi="ar-EG"/>
        </w:rPr>
        <w:t>(140), 55.</w:t>
      </w:r>
    </w:p>
    <w:p w14:paraId="3A68943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Meltzer, J. P. (2019). Artificial intelligence primer: what is needed to maximize Al's economic, social, and trade opportunities. Senior Fellow, Global Economy and Development, Brookings India, (12), 1-23.</w:t>
      </w:r>
    </w:p>
    <w:p w14:paraId="590B742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Mikalef, P., &amp; Gupta, M. (2021). Artificial intelligence capability: Conceptualization, measurement calibration, and empirical study on its impact on organizational creativity and firm performance. Information and Management, 58(3), 103434.</w:t>
      </w:r>
    </w:p>
    <w:p w14:paraId="2773B20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Mikalef, P., Lemmer, K., Schaefer, C., Ylinen, M., Fjørtoft, S. O., Torvatn, H. Y., ... &amp; Niehaves, B. (2023). Examining how AI capabilities can foster organizational performance in public organizations. Government Information Quarterly, 40(2), 101797.</w:t>
      </w:r>
    </w:p>
    <w:p w14:paraId="1C821A7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Mohammed, M. G. E., Shafi, M. A., Rusiman, M. S., &amp; Azmi, N. A. H. M. (2024). Enhancing Organizational Performance Through Strategic Planning and AI Integration: A Study on Predictive Analysis. Journal of Technology Management and Business, 11(2), 83-97. https://doi.org/10.30880/jtmb.2024.11.02.007</w:t>
      </w:r>
    </w:p>
    <w:p w14:paraId="463E82ED"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Mohammed, M. G. E., Shafi, M. A., Rusiman, M. S</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Azmi, N. A. H. M. (2024). Enhancing Organizational Performance Through Strategic Planning and AI Integration: A Study on Predictive Analysis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Journal of Technology Management and Business, 11</w:t>
      </w:r>
      <w:r w:rsidRPr="003D1437">
        <w:rPr>
          <w:rFonts w:ascii="Traditional Arabic" w:hAnsi="Traditional Arabic" w:cs="Traditional Arabic"/>
          <w:sz w:val="28"/>
          <w:szCs w:val="28"/>
          <w:rtl/>
          <w:lang w:bidi="ar-EG"/>
        </w:rPr>
        <w:t>(2), 83-97.</w:t>
      </w:r>
    </w:p>
    <w:p w14:paraId="6731984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Muthukrishnan, N., Maleki, F., Ovens, K., Reinhold, C., Forghani, B., &amp; Forghani, R. (2020). Brief history of artificial intelligence. Neuroimaging Clinics of North America, 30(4), 393-399.</w:t>
      </w:r>
    </w:p>
    <w:p w14:paraId="74AD033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Olan, F., Ogiemwonyi Arakpogun, E., Suklan, J., Nakpodia, F., Damij, N., &amp; Jayawickrama, U. (2022). Artificial intelligence and knowledge sharing: Contributing factors to organizational performance. Journal of Business Research, 145, 605-615. https://doi.org/10.1016/j.jbusres.2022.03.008</w:t>
      </w:r>
    </w:p>
    <w:p w14:paraId="2C6119C4" w14:textId="77777777" w:rsidR="0088660D" w:rsidRPr="003D1437" w:rsidRDefault="0088660D" w:rsidP="00B66319">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Orosoo, M., Raash, N., Santosh, K., Kaur, C., Bani-Younis, J. M. A., &amp; Rengarajan, M. (2023). Exploring the influence of artificial intelligence technology in managing human resource management. Journal of Theoretical and Applied Information Technology, 101(23), 7847-7855.</w:t>
      </w:r>
    </w:p>
    <w:p w14:paraId="24264474"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Orosoo, M., Raash, N., Santosh, K., Kaur, C., Bani-Younis, J. M. A</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Rengarajan, M. (2023). Exploring the influence of artificial intelligence technology in managing human resource management</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Journal of Theoretical and Applied Information Technology, 101</w:t>
      </w:r>
      <w:r w:rsidRPr="003D1437">
        <w:rPr>
          <w:rFonts w:ascii="Traditional Arabic" w:hAnsi="Traditional Arabic" w:cs="Traditional Arabic"/>
          <w:sz w:val="28"/>
          <w:szCs w:val="28"/>
          <w:rtl/>
          <w:lang w:bidi="ar-EG"/>
        </w:rPr>
        <w:t>(23), 7847-7855.</w:t>
      </w:r>
    </w:p>
    <w:p w14:paraId="6B1CDE38"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Otaiku, A. A. (2018). A framework for hybrid warfare: Threats, challenges and solutions. J Def Manag, 8(178), 374-2167.</w:t>
      </w:r>
    </w:p>
    <w:p w14:paraId="4D86008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Özçelik, A. (2024). The role of artificial intelligence in strategic management and decision-making processes.</w:t>
      </w:r>
    </w:p>
    <w:p w14:paraId="28CE3FF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Ozili, P. K. (2020). Non-performing loans in European systemic and non-systemic banks. Journal of Financial Economic Policy, 12(3), 409-424.</w:t>
      </w:r>
    </w:p>
    <w:p w14:paraId="0B77A352"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Pallant, J</w:t>
      </w:r>
      <w:r w:rsidRPr="003D1437">
        <w:rPr>
          <w:rFonts w:ascii="Traditional Arabic" w:hAnsi="Traditional Arabic" w:cs="Traditional Arabic"/>
          <w:sz w:val="28"/>
          <w:szCs w:val="28"/>
          <w:rtl/>
          <w:lang w:bidi="ar-EG"/>
        </w:rPr>
        <w:t xml:space="preserve">. (2010). </w:t>
      </w:r>
      <w:r w:rsidRPr="003D1437">
        <w:rPr>
          <w:rFonts w:ascii="Traditional Arabic" w:hAnsi="Traditional Arabic" w:cs="Traditional Arabic"/>
          <w:sz w:val="28"/>
          <w:szCs w:val="28"/>
          <w:lang w:bidi="ar-EG"/>
        </w:rPr>
        <w:t>SPSS survival manual: A step by step guide to data analysis using SPSS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(4th ed.). McGraw Hill</w:t>
      </w:r>
      <w:r w:rsidRPr="003D1437">
        <w:rPr>
          <w:rFonts w:ascii="Traditional Arabic" w:hAnsi="Traditional Arabic" w:cs="Traditional Arabic"/>
          <w:sz w:val="28"/>
          <w:szCs w:val="28"/>
          <w:rtl/>
          <w:lang w:bidi="ar-EG"/>
        </w:rPr>
        <w:t>.</w:t>
      </w:r>
    </w:p>
    <w:p w14:paraId="07C13F0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Partovi, E., &amp; Matousek, R. (2019). Bank efficiency and non-performing loans: Evidence from Turkey. Research in International Business and Finance, 48, 287-309.</w:t>
      </w:r>
    </w:p>
    <w:p w14:paraId="1B9CD3C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Patial, A. (2023). AI-powered banking From customer service to risk management.</w:t>
      </w:r>
    </w:p>
    <w:p w14:paraId="6A745A8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Plastiras, G., Terzi, M., Kyrkou, C., &amp; Theocharides, T. (2018). Edge intelligence: Challenges and opportunities of near-sensor machine learning applications. In 2018 </w:t>
      </w:r>
      <w:r w:rsidRPr="003D1437">
        <w:rPr>
          <w:rFonts w:ascii="Traditional Arabic" w:hAnsi="Traditional Arabic" w:cs="Traditional Arabic"/>
          <w:sz w:val="28"/>
          <w:szCs w:val="28"/>
          <w:lang w:bidi="ar-EG"/>
        </w:rPr>
        <w:lastRenderedPageBreak/>
        <w:t>IEEE 29th International Conference on Application-Specific Systems, Architectures and Processors (ASAP) (pp. 1-7).</w:t>
      </w:r>
    </w:p>
    <w:p w14:paraId="0CC17E2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Qi, L., Al-Shami, S. S. A., Abdelwahed, N. A. A., Al-shami, A. M., &amp; Majid, I. B. A. (2024). </w:t>
      </w:r>
      <w:r w:rsidRPr="003D1437">
        <w:rPr>
          <w:rFonts w:ascii="Traditional Arabic" w:hAnsi="Traditional Arabic" w:cs="Traditional Arabic"/>
          <w:sz w:val="28"/>
          <w:szCs w:val="28"/>
          <w:lang w:bidi="ar-EG"/>
        </w:rPr>
        <w:t>Strategies for Adoption of Innovative Information Technology for Competitive Advantage.</w:t>
      </w:r>
    </w:p>
    <w:p w14:paraId="76107B5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Rane, N. (2023). Enhancing customer loyalty through Artificial Intelligence (AI), Internet of Things (IoT), and Big Data technologies: improving customer satisfaction, engagement, relationship, and experience.</w:t>
      </w:r>
    </w:p>
    <w:p w14:paraId="7158EA7C"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Reis Mourão, P. J., &amp; Popescu, L. A. (2023). Investment, growth and competitiveness: The multiplier-accelerator in the 21st century. Journal of Competitiveness, 15(3).</w:t>
      </w:r>
    </w:p>
    <w:p w14:paraId="7B28794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Rijal, S., Sihombing, T. M., Akbar, I. A., Desembrianita, E., &amp; Lubis, R. F. (2023). The Role of Competitive Advantage, Product Innovation, and Business Networks on Regional Economic Performance. Sanskara Ekonomi dan Kewirausahaan, 1(03), 173-185.</w:t>
      </w:r>
    </w:p>
    <w:p w14:paraId="5AC177B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Rogers, E. M. (1962). Diffusion of innovations. Free Press.</w:t>
      </w:r>
    </w:p>
    <w:p w14:paraId="4B1AF9CE"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Rogers, E. M</w:t>
      </w:r>
      <w:r w:rsidRPr="003D1437">
        <w:rPr>
          <w:rFonts w:ascii="Traditional Arabic" w:hAnsi="Traditional Arabic" w:cs="Traditional Arabic"/>
          <w:sz w:val="28"/>
          <w:szCs w:val="28"/>
          <w:rtl/>
          <w:lang w:bidi="ar-EG"/>
        </w:rPr>
        <w:t xml:space="preserve">. (1962). </w:t>
      </w:r>
      <w:r w:rsidRPr="003D1437">
        <w:rPr>
          <w:rFonts w:ascii="Traditional Arabic" w:hAnsi="Traditional Arabic" w:cs="Traditional Arabic"/>
          <w:sz w:val="28"/>
          <w:szCs w:val="28"/>
          <w:lang w:bidi="ar-EG"/>
        </w:rPr>
        <w:t>Diffusion of innovations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Free Press</w:t>
      </w:r>
      <w:r w:rsidRPr="003D1437">
        <w:rPr>
          <w:rFonts w:ascii="Traditional Arabic" w:hAnsi="Traditional Arabic" w:cs="Traditional Arabic"/>
          <w:sz w:val="28"/>
          <w:szCs w:val="28"/>
          <w:rtl/>
          <w:lang w:bidi="ar-EG"/>
        </w:rPr>
        <w:t>.</w:t>
      </w:r>
    </w:p>
    <w:p w14:paraId="64EE288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Sarjito, A. (2024). The Impact of Intelligence Gathering, Risk Analysis, and Scenario Planning on Defense Policy Formulation. International Journal Administration, Business &amp; Organization, 5(3), 27-46. https://doi.org/10.61242/ijabo.24.396</w:t>
      </w:r>
    </w:p>
    <w:p w14:paraId="1F94C072"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Sarjito, A. (2024). The Impact of Intelligence Gathering, Risk Analysis, and Scenario Planning on Defense Policy Formulation</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Administration, Business</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Organization, 5</w:t>
      </w:r>
      <w:r w:rsidRPr="003D1437">
        <w:rPr>
          <w:rFonts w:ascii="Traditional Arabic" w:hAnsi="Traditional Arabic" w:cs="Traditional Arabic"/>
          <w:sz w:val="28"/>
          <w:szCs w:val="28"/>
          <w:rtl/>
          <w:lang w:bidi="ar-EG"/>
        </w:rPr>
        <w:t>(3), 27-46.</w:t>
      </w:r>
    </w:p>
    <w:p w14:paraId="28A7984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Sarker, I. H. (2022). AI-Based Modeling: Techniques, Applications and Research Issues Towards Automation, Intelligent and Smart Systems. SN Computer Science, 3(2), 158.</w:t>
      </w:r>
    </w:p>
    <w:p w14:paraId="4088A9FD"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Saunders, M., Lewis, P</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Thornhill, A</w:t>
      </w:r>
      <w:r w:rsidRPr="003D1437">
        <w:rPr>
          <w:rFonts w:ascii="Traditional Arabic" w:hAnsi="Traditional Arabic" w:cs="Traditional Arabic"/>
          <w:sz w:val="28"/>
          <w:szCs w:val="28"/>
          <w:rtl/>
          <w:lang w:bidi="ar-EG"/>
        </w:rPr>
        <w:t xml:space="preserve">. (2009). </w:t>
      </w:r>
      <w:r w:rsidRPr="003D1437">
        <w:rPr>
          <w:rFonts w:ascii="Traditional Arabic" w:hAnsi="Traditional Arabic" w:cs="Traditional Arabic"/>
          <w:sz w:val="28"/>
          <w:szCs w:val="28"/>
          <w:lang w:bidi="ar-EG"/>
        </w:rPr>
        <w:t>Research methods for business students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(5th ed.). Pearson Education</w:t>
      </w:r>
      <w:r w:rsidRPr="003D1437">
        <w:rPr>
          <w:rFonts w:ascii="Traditional Arabic" w:hAnsi="Traditional Arabic" w:cs="Traditional Arabic"/>
          <w:sz w:val="28"/>
          <w:szCs w:val="28"/>
          <w:rtl/>
          <w:lang w:bidi="ar-EG"/>
        </w:rPr>
        <w:t>.</w:t>
      </w:r>
    </w:p>
    <w:p w14:paraId="55EE2779" w14:textId="77777777" w:rsidR="0088660D" w:rsidRPr="003D1437" w:rsidRDefault="0088660D" w:rsidP="0088660D">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Saunders, M., Lewis, P</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Thornhill, A</w:t>
      </w:r>
      <w:r w:rsidRPr="003D1437">
        <w:rPr>
          <w:rFonts w:ascii="Traditional Arabic" w:hAnsi="Traditional Arabic" w:cs="Traditional Arabic"/>
          <w:sz w:val="28"/>
          <w:szCs w:val="28"/>
          <w:rtl/>
          <w:lang w:bidi="ar-EG"/>
        </w:rPr>
        <w:t xml:space="preserve">. (2009). </w:t>
      </w:r>
      <w:r w:rsidRPr="003D1437">
        <w:rPr>
          <w:rFonts w:ascii="Traditional Arabic" w:hAnsi="Traditional Arabic" w:cs="Traditional Arabic"/>
          <w:sz w:val="28"/>
          <w:szCs w:val="28"/>
          <w:lang w:bidi="ar-EG"/>
        </w:rPr>
        <w:t>Research methods for business students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(5th ed.). Pearson Education</w:t>
      </w:r>
      <w:r w:rsidRPr="003D1437">
        <w:rPr>
          <w:rFonts w:ascii="Traditional Arabic" w:hAnsi="Traditional Arabic" w:cs="Traditional Arabic"/>
          <w:sz w:val="28"/>
          <w:szCs w:val="28"/>
          <w:rtl/>
          <w:lang w:bidi="ar-EG"/>
        </w:rPr>
        <w:t>.</w:t>
      </w:r>
    </w:p>
    <w:p w14:paraId="2C6D419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Sayler, K. M. (2020). Artificial intelligence and national security. Congressional Research Service, 45178.</w:t>
      </w:r>
    </w:p>
    <w:p w14:paraId="767B437B" w14:textId="77777777" w:rsidR="0088660D" w:rsidRPr="003D1437" w:rsidRDefault="0088660D" w:rsidP="001C1F0E">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Sayler, K. M</w:t>
      </w:r>
      <w:r w:rsidRPr="003D1437">
        <w:rPr>
          <w:rFonts w:ascii="Traditional Arabic" w:hAnsi="Traditional Arabic" w:cs="Traditional Arabic"/>
          <w:sz w:val="28"/>
          <w:szCs w:val="28"/>
          <w:rtl/>
          <w:lang w:bidi="ar-EG"/>
        </w:rPr>
        <w:t xml:space="preserve">. (2020). </w:t>
      </w:r>
      <w:r w:rsidRPr="003D1437">
        <w:rPr>
          <w:rFonts w:ascii="Traditional Arabic" w:hAnsi="Traditional Arabic" w:cs="Traditional Arabic"/>
          <w:sz w:val="28"/>
          <w:szCs w:val="28"/>
          <w:lang w:bidi="ar-EG"/>
        </w:rPr>
        <w:t>Artificial intelligence and national security</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Congressional Research Service, 45178</w:t>
      </w:r>
      <w:r w:rsidRPr="003D1437">
        <w:rPr>
          <w:rFonts w:ascii="Traditional Arabic" w:hAnsi="Traditional Arabic" w:cs="Traditional Arabic"/>
          <w:sz w:val="28"/>
          <w:szCs w:val="28"/>
          <w:rtl/>
          <w:lang w:bidi="ar-EG"/>
        </w:rPr>
        <w:t>.</w:t>
      </w:r>
    </w:p>
    <w:p w14:paraId="71D8B3E7"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Sekaran,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Bougie, R</w:t>
      </w:r>
      <w:r w:rsidRPr="003D1437">
        <w:rPr>
          <w:rFonts w:ascii="Traditional Arabic" w:hAnsi="Traditional Arabic" w:cs="Traditional Arabic"/>
          <w:sz w:val="28"/>
          <w:szCs w:val="28"/>
          <w:rtl/>
          <w:lang w:bidi="ar-EG"/>
        </w:rPr>
        <w:t xml:space="preserve">. (2016). </w:t>
      </w:r>
      <w:r w:rsidRPr="003D1437">
        <w:rPr>
          <w:rFonts w:ascii="Traditional Arabic" w:hAnsi="Traditional Arabic" w:cs="Traditional Arabic"/>
          <w:sz w:val="28"/>
          <w:szCs w:val="28"/>
          <w:lang w:bidi="ar-EG"/>
        </w:rPr>
        <w:t>Research methods for business: A skill building approach</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(7th ed.). John Wiley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Sons</w:t>
      </w:r>
      <w:r w:rsidRPr="003D1437">
        <w:rPr>
          <w:rFonts w:ascii="Traditional Arabic" w:hAnsi="Traditional Arabic" w:cs="Traditional Arabic"/>
          <w:sz w:val="28"/>
          <w:szCs w:val="28"/>
          <w:rtl/>
          <w:lang w:bidi="ar-EG"/>
        </w:rPr>
        <w:t>.</w:t>
      </w:r>
    </w:p>
    <w:p w14:paraId="217A8641"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Sekaran,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Bougie, R</w:t>
      </w:r>
      <w:r w:rsidRPr="003D1437">
        <w:rPr>
          <w:rFonts w:ascii="Traditional Arabic" w:hAnsi="Traditional Arabic" w:cs="Traditional Arabic"/>
          <w:sz w:val="28"/>
          <w:szCs w:val="28"/>
          <w:rtl/>
          <w:lang w:bidi="ar-EG"/>
        </w:rPr>
        <w:t xml:space="preserve">. (2016). </w:t>
      </w:r>
      <w:r w:rsidRPr="003D1437">
        <w:rPr>
          <w:rFonts w:ascii="Traditional Arabic" w:hAnsi="Traditional Arabic" w:cs="Traditional Arabic"/>
          <w:sz w:val="28"/>
          <w:szCs w:val="28"/>
          <w:lang w:bidi="ar-EG"/>
        </w:rPr>
        <w:t>Research methods for business: A skill building approach</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(7th ed.). John Wiley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Sons</w:t>
      </w:r>
      <w:r w:rsidRPr="003D1437">
        <w:rPr>
          <w:rFonts w:ascii="Traditional Arabic" w:hAnsi="Traditional Arabic" w:cs="Traditional Arabic"/>
          <w:sz w:val="28"/>
          <w:szCs w:val="28"/>
          <w:rtl/>
          <w:lang w:bidi="ar-EG"/>
        </w:rPr>
        <w:t>.</w:t>
      </w:r>
    </w:p>
    <w:p w14:paraId="747D1D4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Shiyyab, F. S., Alzoubi, A. B., Obidat, Q. M., &amp; Alshurafat, H. (2023). The impact of artificial intelligence disclosure on financial performance. International Journal of Financial Studies, 11(3), 115.</w:t>
      </w:r>
    </w:p>
    <w:p w14:paraId="7ED98A2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Singh, P., &amp; Tucker, D. (2019). The Role of Artificial Intelligence in Strategic Planning.</w:t>
      </w:r>
    </w:p>
    <w:p w14:paraId="7A9503B4"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Taherdoost, H. (2016). Validity and Reliability of the Research Instrument; How to Test the Validation of a Questionnaire/Survey in a Research</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of Academic Research in Management (IJARM), 5</w:t>
      </w:r>
      <w:r w:rsidRPr="003D1437">
        <w:rPr>
          <w:rFonts w:ascii="Traditional Arabic" w:hAnsi="Traditional Arabic" w:cs="Traditional Arabic"/>
          <w:sz w:val="28"/>
          <w:szCs w:val="28"/>
          <w:rtl/>
          <w:lang w:bidi="ar-EG"/>
        </w:rPr>
        <w:t>(3), 28-36.</w:t>
      </w:r>
    </w:p>
    <w:p w14:paraId="41BC0A0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Teece, D. J. (2007). Explicating dynamic capabilities: the nature and microfoundations of (sustainable) enterprise performance. Strategic Management Journal, 28(13), 1319-1350.</w:t>
      </w:r>
    </w:p>
    <w:p w14:paraId="65D87458"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Thornton, J., &amp; Di Tommaso, C. (2021). The effect of non-performing loans on credit expansion: Do capital and profitability matter? Evidence from European banks. International journal of finance &amp; economics, 26(3), 4822-4839.</w:t>
      </w:r>
    </w:p>
    <w:p w14:paraId="3BF445B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Tuffaha, M. (2021). The Impact of Artificial Intelligence on Business Strategy and Decision-Making in the Modern Era.</w:t>
      </w:r>
    </w:p>
    <w:p w14:paraId="2523269E"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Vandersmissen, M., Del-Rey-Chamorro, F. M., &amp; al., e. (2024). </w:t>
      </w:r>
      <w:r w:rsidRPr="003D1437">
        <w:rPr>
          <w:rFonts w:ascii="Traditional Arabic" w:hAnsi="Traditional Arabic" w:cs="Traditional Arabic"/>
          <w:sz w:val="28"/>
          <w:szCs w:val="28"/>
          <w:lang w:bidi="ar-EG"/>
        </w:rPr>
        <w:t>Enhancing corporate performance through transformational leadership in AI-driven ERP systems.</w:t>
      </w:r>
    </w:p>
    <w:p w14:paraId="508D4A8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Venkatesh, V., Morris, M. G., Davis, G. B., &amp; Davis, F. D. (2003). User acceptance of information technology: Toward a unified view. MIS quarterly, 425-478.</w:t>
      </w:r>
    </w:p>
    <w:p w14:paraId="5770C953"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Venkatesh, V., Morris, M. G., Davis, G. B</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Davis, F. D. (2003). User acceptance of information technology: Toward a unified view</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MIS quarterly, 27</w:t>
      </w:r>
      <w:r w:rsidRPr="003D1437">
        <w:rPr>
          <w:rFonts w:ascii="Traditional Arabic" w:hAnsi="Traditional Arabic" w:cs="Traditional Arabic"/>
          <w:sz w:val="28"/>
          <w:szCs w:val="28"/>
          <w:rtl/>
          <w:lang w:bidi="ar-EG"/>
        </w:rPr>
        <w:t>(3), 425-478.</w:t>
      </w:r>
    </w:p>
    <w:p w14:paraId="1CE85C68"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Xu, C., Qin, J., &amp; Fang, Z. (2020). </w:t>
      </w:r>
      <w:r w:rsidRPr="003D1437">
        <w:rPr>
          <w:rFonts w:ascii="Traditional Arabic" w:hAnsi="Traditional Arabic" w:cs="Traditional Arabic"/>
          <w:sz w:val="28"/>
          <w:szCs w:val="28"/>
          <w:lang w:bidi="ar-EG"/>
        </w:rPr>
        <w:t>Predicting regional conflicts using machine learning and big data analytics. Journal of Conflict Resolution, 64(9), 1789-1816.</w:t>
      </w:r>
    </w:p>
    <w:p w14:paraId="192DC0CC" w14:textId="77777777" w:rsidR="0088660D" w:rsidRPr="003D1437" w:rsidRDefault="0088660D" w:rsidP="00B66319">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Yurttadur, M., Celiktas, E., &amp; Celiktas, E. (2019). The place of non-performing loans in the Turkish banking sector. Procedia Computer Science, 158, 766-771.</w:t>
      </w:r>
    </w:p>
    <w:p w14:paraId="15EC1984" w14:textId="77777777" w:rsidR="008B65D3" w:rsidRPr="003D1437" w:rsidRDefault="008B65D3" w:rsidP="008B65D3">
      <w:pPr>
        <w:bidi/>
        <w:jc w:val="lowKashida"/>
        <w:rPr>
          <w:rFonts w:ascii="Traditional Arabic" w:hAnsi="Traditional Arabic" w:cs="Traditional Arabic"/>
          <w:sz w:val="28"/>
          <w:szCs w:val="28"/>
          <w:rtl/>
          <w:lang w:bidi="ar-EG"/>
        </w:rPr>
        <w:sectPr w:rsidR="008B65D3" w:rsidRPr="003D1437">
          <w:pgSz w:w="12240" w:h="15840"/>
          <w:pgMar w:top="1440" w:right="1440" w:bottom="1440" w:left="1440" w:header="720" w:footer="720" w:gutter="0"/>
          <w:cols w:space="720"/>
          <w:docGrid w:linePitch="360"/>
        </w:sectPr>
      </w:pPr>
    </w:p>
    <w:p w14:paraId="03D08440" w14:textId="77777777" w:rsidR="00BF2DEE" w:rsidRDefault="00BF2DEE" w:rsidP="00BF2DEE">
      <w:pPr>
        <w:pStyle w:val="Heading1"/>
        <w:rPr>
          <w:rtl/>
        </w:rPr>
      </w:pPr>
      <w:bookmarkStart w:id="169" w:name="_Toc233422659"/>
    </w:p>
    <w:p w14:paraId="2C4CA40C" w14:textId="77777777" w:rsidR="00BF2DEE" w:rsidRDefault="00BF2DEE" w:rsidP="00BF2DEE">
      <w:pPr>
        <w:pStyle w:val="Heading1"/>
        <w:rPr>
          <w:rtl/>
        </w:rPr>
      </w:pPr>
    </w:p>
    <w:p w14:paraId="5323A107" w14:textId="77777777" w:rsidR="00BF2DEE" w:rsidRDefault="00BF2DEE" w:rsidP="00BF2DEE">
      <w:pPr>
        <w:pStyle w:val="Heading1"/>
        <w:rPr>
          <w:rtl/>
        </w:rPr>
      </w:pPr>
    </w:p>
    <w:p w14:paraId="36A90FAA" w14:textId="77777777" w:rsidR="00BF2DEE" w:rsidRDefault="00BF2DEE" w:rsidP="00BF2DEE">
      <w:pPr>
        <w:pStyle w:val="Heading1"/>
        <w:rPr>
          <w:rtl/>
        </w:rPr>
      </w:pPr>
    </w:p>
    <w:p w14:paraId="15AD1C30" w14:textId="77777777" w:rsidR="00BF2DEE" w:rsidRDefault="00BF2DEE" w:rsidP="00BF2DEE">
      <w:pPr>
        <w:pStyle w:val="Heading1"/>
        <w:rPr>
          <w:rtl/>
        </w:rPr>
      </w:pPr>
    </w:p>
    <w:p w14:paraId="1ABEFF5B" w14:textId="77777777" w:rsidR="00BF2DEE" w:rsidRDefault="00BF2DEE" w:rsidP="00BF2DEE">
      <w:pPr>
        <w:pStyle w:val="Heading1"/>
        <w:rPr>
          <w:rtl/>
        </w:rPr>
      </w:pPr>
    </w:p>
    <w:p w14:paraId="22A6AC4D" w14:textId="77777777" w:rsidR="00BF2DEE" w:rsidRDefault="00BF2DEE" w:rsidP="00BF2DEE">
      <w:pPr>
        <w:pStyle w:val="Heading1"/>
        <w:rPr>
          <w:rtl/>
        </w:rPr>
      </w:pPr>
    </w:p>
    <w:p w14:paraId="2570D8CF" w14:textId="77777777" w:rsidR="00BF2DEE" w:rsidRDefault="00BF2DEE" w:rsidP="00BF2DEE">
      <w:pPr>
        <w:pStyle w:val="Heading1"/>
        <w:rPr>
          <w:rtl/>
        </w:rPr>
      </w:pPr>
    </w:p>
    <w:p w14:paraId="529071C4" w14:textId="6F2CD193" w:rsidR="00BF2DEE" w:rsidRPr="00BF2DEE" w:rsidRDefault="00BF2DEE" w:rsidP="00BF2DEE">
      <w:pPr>
        <w:pStyle w:val="Heading1"/>
        <w:rPr>
          <w:sz w:val="48"/>
          <w:szCs w:val="48"/>
          <w:rtl/>
        </w:rPr>
      </w:pPr>
      <w:bookmarkStart w:id="170" w:name="_Toc235065343"/>
      <w:bookmarkStart w:id="171" w:name="_Toc236402717"/>
      <w:r w:rsidRPr="00BF2DEE">
        <w:rPr>
          <w:rFonts w:hint="cs"/>
          <w:sz w:val="48"/>
          <w:szCs w:val="48"/>
          <w:rtl/>
        </w:rPr>
        <w:t>الملاحق</w:t>
      </w:r>
      <w:bookmarkEnd w:id="170"/>
      <w:bookmarkEnd w:id="171"/>
    </w:p>
    <w:p w14:paraId="77871A6E" w14:textId="77777777" w:rsidR="00BF2DEE" w:rsidRDefault="00BF2DEE" w:rsidP="00A16A88">
      <w:pPr>
        <w:pStyle w:val="Heading1"/>
        <w:rPr>
          <w:rtl/>
        </w:rPr>
        <w:sectPr w:rsidR="00BF2DEE">
          <w:pgSz w:w="12240" w:h="15840"/>
          <w:pgMar w:top="1440" w:right="1440" w:bottom="1440" w:left="1440" w:header="720" w:footer="720" w:gutter="0"/>
          <w:cols w:space="720"/>
          <w:docGrid w:linePitch="360"/>
        </w:sectPr>
      </w:pPr>
    </w:p>
    <w:p w14:paraId="6D3A7C54" w14:textId="1D34CD50" w:rsidR="00A16A88" w:rsidRPr="003D1437" w:rsidRDefault="00A16A88" w:rsidP="00A16A88">
      <w:pPr>
        <w:pStyle w:val="Heading1"/>
        <w:rPr>
          <w:rtl/>
        </w:rPr>
      </w:pPr>
      <w:bookmarkStart w:id="172" w:name="_Toc236402718"/>
      <w:r w:rsidRPr="003D1437">
        <w:rPr>
          <w:rFonts w:hint="cs"/>
          <w:rtl/>
        </w:rPr>
        <w:lastRenderedPageBreak/>
        <w:t>الملاحق</w:t>
      </w:r>
      <w:bookmarkEnd w:id="169"/>
      <w:bookmarkEnd w:id="172"/>
    </w:p>
    <w:p w14:paraId="09D4D1D3" w14:textId="51E5855F" w:rsidR="008B65D3" w:rsidRPr="003D1437" w:rsidRDefault="008B65D3" w:rsidP="00A16A88">
      <w:pPr>
        <w:bidi/>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استبيان الدراسة</w:t>
      </w:r>
    </w:p>
    <w:p w14:paraId="44823DA1" w14:textId="77777777" w:rsidR="008B65D3" w:rsidRPr="003D1437" w:rsidRDefault="008B65D3" w:rsidP="008B65D3">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"دور التكيف التكنولوجي كعامل وسيط في تعزيز تأثير الذكاء الاصطناعي على كفاءة التخطيط الاستراتيجي بإدارة التعليم في مكة المكرمة"</w:t>
      </w:r>
    </w:p>
    <w:p w14:paraId="5383293F" w14:textId="32ED0762"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السادة الكرام / أعضاء الهيئة الإدارية والقيادية والإشرافية بإدارة التعليم بمكة المكرمة، تحية طيبة وبعد،</w:t>
      </w:r>
    </w:p>
    <w:p w14:paraId="69D234F8"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يقوم الباحث بإجراء دراسة علمية تهدف إلى فهم العلاقة بين استخدام تطبيقات الذكاء الاصطناعي وكفاءة التخطيط الاستراتيجي في إدارتكم الموقرة، مع التركيز على دور التكيف مع التقنيات الحديثة كعامل مؤثر في هذه العلاقة.</w:t>
      </w:r>
    </w:p>
    <w:p w14:paraId="4046FB31" w14:textId="4A4105C1"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نأمل منكم التكرم بالمشاركة في هذه الدراسة من خلال الإجابة على فقرات هذا الاستبيان، والذي لن يستغرق من وقتكم الثمين أكثر من 10-15 دقيقة بإذن الله. نؤكد لكم أن جميع البيانات التي سيتم جمعها ستُعامل بسرية تامة ولن تُستخدم إلا لأغراض البحث العلمي فقط. </w:t>
      </w:r>
    </w:p>
    <w:p w14:paraId="7E1F4C41"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مشاركتكم القيمة ورأيكم الصريح سيكون لهما أثر كبير في إثراء البحث العلمي وتقديم توصيات عملية قد تساهم في تطوير الأداء الاستراتيجي لإدارة التعليم.</w:t>
      </w:r>
    </w:p>
    <w:p w14:paraId="11BD686E" w14:textId="3B869E12"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نشكر لكم مقدماً حسن تعاونكم ووقتكم الثمين.</w:t>
      </w:r>
    </w:p>
    <w:p w14:paraId="2A5BFF88"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الباحث</w:t>
      </w:r>
    </w:p>
    <w:p w14:paraId="4FFC3001"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الأول: البيانات الديموغرافية</w:t>
      </w:r>
    </w:p>
    <w:p w14:paraId="18CA66B0"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يرجى التكرم بوضع علامة (</w:t>
      </w:r>
      <w:r w:rsidRPr="003D1437">
        <w:rPr>
          <w:rFonts w:ascii="Segoe UI Symbol" w:hAnsi="Segoe UI Symbol" w:cs="Segoe UI Symbol" w:hint="cs"/>
          <w:sz w:val="28"/>
          <w:szCs w:val="28"/>
          <w:rtl/>
        </w:rPr>
        <w:t>✓</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في</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المربع</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المناسب</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أو</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كتابة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المعلومة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المطلوبة</w:t>
      </w:r>
      <w:r w:rsidRPr="003D1437">
        <w:rPr>
          <w:rFonts w:ascii="Traditional Arabic" w:hAnsi="Traditional Arabic" w:cs="Traditional Arabic"/>
          <w:sz w:val="28"/>
          <w:szCs w:val="28"/>
          <w:rtl/>
        </w:rPr>
        <w:t>:</w:t>
      </w:r>
    </w:p>
    <w:p w14:paraId="27D23CFD"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الجنس:</w:t>
      </w:r>
    </w:p>
    <w:p w14:paraId="477A8196"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ذكر</w:t>
      </w:r>
    </w:p>
    <w:p w14:paraId="41CA42DD"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أنثى</w:t>
      </w:r>
    </w:p>
    <w:p w14:paraId="0773FD4B"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العمر:</w:t>
      </w:r>
    </w:p>
    <w:p w14:paraId="07C8D408"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أقل من 30 سنة</w:t>
      </w:r>
    </w:p>
    <w:p w14:paraId="3E7AE9B5"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من 30 إلى أقل من 40 سنة</w:t>
      </w:r>
    </w:p>
    <w:p w14:paraId="0C64A471"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 من 40 إلى أقل من 50 سنة</w:t>
      </w:r>
    </w:p>
    <w:p w14:paraId="0C0534CF"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50 سنة فأكثر</w:t>
      </w:r>
    </w:p>
    <w:p w14:paraId="3EC78DB1"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المؤهل العلمي:</w:t>
      </w:r>
    </w:p>
    <w:p w14:paraId="08938463"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دبلوم</w:t>
      </w:r>
    </w:p>
    <w:p w14:paraId="1E4A8F93"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بكالوريوس</w:t>
      </w:r>
    </w:p>
    <w:p w14:paraId="2D72CA6D"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دراسات عليا (ماجستير/دكتوراه)</w:t>
      </w:r>
    </w:p>
    <w:p w14:paraId="27CC9124" w14:textId="0E21A3F5"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 ] أخرى </w:t>
      </w:r>
    </w:p>
    <w:p w14:paraId="6DE8C7E0"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المسمى الوظيفي:</w:t>
      </w:r>
    </w:p>
    <w:p w14:paraId="1648C640"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مدير إدارة / مساعد مدير</w:t>
      </w:r>
    </w:p>
    <w:p w14:paraId="00EA520E"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رئيس قسم</w:t>
      </w:r>
    </w:p>
    <w:p w14:paraId="385A9D88"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مشرف تربوي</w:t>
      </w:r>
    </w:p>
    <w:p w14:paraId="075A37F6"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أخصائي تخطيط / تقنية معلومات</w:t>
      </w:r>
    </w:p>
    <w:p w14:paraId="2B21973C"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موظف إداري</w:t>
      </w:r>
    </w:p>
    <w:p w14:paraId="42B39B7C" w14:textId="601554BF"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أخرى</w:t>
      </w:r>
    </w:p>
    <w:p w14:paraId="7F60B0D8"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سنوات الخبرة في العمل الحالي:</w:t>
      </w:r>
    </w:p>
    <w:p w14:paraId="3B6D55A4"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أقل من 5 سنوات</w:t>
      </w:r>
    </w:p>
    <w:p w14:paraId="6C7B4220"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من 5 إلى أقل من 10 سنوات</w:t>
      </w:r>
    </w:p>
    <w:p w14:paraId="4FA4C5C0"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من 10 إلى أقل من 15 سنة</w:t>
      </w:r>
    </w:p>
    <w:p w14:paraId="7F4347F7"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15 سنة فأكثر</w:t>
      </w:r>
    </w:p>
    <w:p w14:paraId="532CBA2D" w14:textId="7E83CAFA" w:rsidR="008B65D3" w:rsidRPr="003D1437" w:rsidRDefault="008B65D3" w:rsidP="008B65D3">
      <w:pPr>
        <w:bidi/>
        <w:jc w:val="lowKashida"/>
        <w:rPr>
          <w:rFonts w:ascii="Traditional Arabic" w:hAnsi="Traditional Arabic" w:cs="Traditional Arabic"/>
          <w:sz w:val="28"/>
          <w:szCs w:val="28"/>
          <w:rtl/>
        </w:rPr>
      </w:pPr>
    </w:p>
    <w:p w14:paraId="51974DB4" w14:textId="77777777" w:rsidR="008B65D3" w:rsidRPr="003D1437" w:rsidRDefault="008B65D3" w:rsidP="008B65D3">
      <w:pPr>
        <w:bidi/>
        <w:jc w:val="lowKashida"/>
        <w:rPr>
          <w:rFonts w:ascii="Traditional Arabic" w:hAnsi="Traditional Arabic" w:cs="Traditional Arabic"/>
          <w:sz w:val="28"/>
          <w:szCs w:val="28"/>
          <w:rtl/>
        </w:rPr>
      </w:pPr>
    </w:p>
    <w:p w14:paraId="1772B165" w14:textId="77777777" w:rsidR="008B65D3" w:rsidRPr="003D1437" w:rsidRDefault="008B65D3" w:rsidP="008B65D3">
      <w:pPr>
        <w:bidi/>
        <w:jc w:val="lowKashida"/>
        <w:rPr>
          <w:rFonts w:ascii="Traditional Arabic" w:hAnsi="Traditional Arabic" w:cs="Traditional Arabic"/>
          <w:sz w:val="28"/>
          <w:szCs w:val="28"/>
          <w:rtl/>
        </w:rPr>
      </w:pPr>
    </w:p>
    <w:p w14:paraId="75EF3C77"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الثاني: فقرات الاستبيان</w:t>
      </w:r>
    </w:p>
    <w:p w14:paraId="75EFA58D"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يرجى قراءة كل عبارة بعناية وتحديد درجة موافقتك عليها بوضع علامة (</w:t>
      </w:r>
      <w:r w:rsidRPr="003D1437">
        <w:rPr>
          <w:rFonts w:ascii="Segoe UI Symbol" w:hAnsi="Segoe UI Symbol" w:cs="Segoe UI Symbol" w:hint="cs"/>
          <w:sz w:val="28"/>
          <w:szCs w:val="28"/>
          <w:rtl/>
        </w:rPr>
        <w:t>✓</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في</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الخانة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التي</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تعبر</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عن</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رأيك</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بدقة،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مستخدماً</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المقياس</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التالي</w:t>
      </w:r>
      <w:r w:rsidRPr="003D1437">
        <w:rPr>
          <w:rFonts w:ascii="Traditional Arabic" w:hAnsi="Traditional Arabic" w:cs="Traditional Arabic"/>
          <w:sz w:val="28"/>
          <w:szCs w:val="28"/>
          <w:rtl/>
        </w:rPr>
        <w:t xml:space="preserve">: </w:t>
      </w:r>
      <w:r w:rsidRPr="003D1437">
        <w:rPr>
          <w:rFonts w:ascii="Traditional Arabic" w:hAnsi="Traditional Arabic" w:cs="Traditional Arabic"/>
          <w:b/>
          <w:bCs/>
          <w:sz w:val="28"/>
          <w:szCs w:val="28"/>
          <w:rtl/>
        </w:rPr>
        <w:t>(5) موافق بشدة، (4) موافق، (3) محايد، (2) غير موافق، (1) غير موافق بشدة.</w:t>
      </w:r>
    </w:p>
    <w:tbl>
      <w:tblPr>
        <w:tblStyle w:val="TableGrid"/>
        <w:bidiVisual/>
        <w:tblW w:w="0" w:type="auto"/>
        <w:tblLook w:val="04A0" w:firstRow="1" w:lastRow="0" w:firstColumn="1" w:lastColumn="0" w:noHBand="0" w:noVBand="1"/>
      </w:tblPr>
      <w:tblGrid>
        <w:gridCol w:w="491"/>
        <w:gridCol w:w="4376"/>
        <w:gridCol w:w="1113"/>
        <w:gridCol w:w="905"/>
        <w:gridCol w:w="729"/>
        <w:gridCol w:w="764"/>
        <w:gridCol w:w="972"/>
      </w:tblGrid>
      <w:tr w:rsidR="003D1437" w:rsidRPr="003D1437" w14:paraId="347272FA" w14:textId="77777777" w:rsidTr="008B65D3">
        <w:tc>
          <w:tcPr>
            <w:tcW w:w="0" w:type="auto"/>
            <w:vAlign w:val="center"/>
            <w:hideMark/>
          </w:tcPr>
          <w:p w14:paraId="05AF0A09" w14:textId="77777777" w:rsidR="008B65D3" w:rsidRPr="003D1437" w:rsidRDefault="008B65D3" w:rsidP="008B65D3">
            <w:pPr>
              <w:bidi/>
              <w:spacing w:after="160"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م</w:t>
            </w:r>
          </w:p>
        </w:tc>
        <w:tc>
          <w:tcPr>
            <w:tcW w:w="0" w:type="auto"/>
            <w:vAlign w:val="center"/>
            <w:hideMark/>
          </w:tcPr>
          <w:p w14:paraId="2E6C0993" w14:textId="77777777" w:rsidR="008B65D3" w:rsidRPr="003D1437" w:rsidRDefault="008B65D3" w:rsidP="00FE617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العبارات</w:t>
            </w:r>
          </w:p>
        </w:tc>
        <w:tc>
          <w:tcPr>
            <w:tcW w:w="0" w:type="auto"/>
            <w:vAlign w:val="center"/>
            <w:hideMark/>
          </w:tcPr>
          <w:p w14:paraId="01B812EA" w14:textId="306D44F6"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غير موافق بشدة (1)</w:t>
            </w:r>
          </w:p>
        </w:tc>
        <w:tc>
          <w:tcPr>
            <w:tcW w:w="0" w:type="auto"/>
            <w:vAlign w:val="center"/>
            <w:hideMark/>
          </w:tcPr>
          <w:p w14:paraId="0DBA4B91" w14:textId="33743E3B"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غير موافق (2)</w:t>
            </w:r>
          </w:p>
        </w:tc>
        <w:tc>
          <w:tcPr>
            <w:tcW w:w="0" w:type="auto"/>
            <w:vAlign w:val="center"/>
            <w:hideMark/>
          </w:tcPr>
          <w:p w14:paraId="3EF1A1C4" w14:textId="03B9A380"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محايد (3)</w:t>
            </w:r>
          </w:p>
        </w:tc>
        <w:tc>
          <w:tcPr>
            <w:tcW w:w="0" w:type="auto"/>
            <w:vAlign w:val="center"/>
            <w:hideMark/>
          </w:tcPr>
          <w:p w14:paraId="56D7AD80" w14:textId="518ACD23"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موافق (4)</w:t>
            </w:r>
          </w:p>
        </w:tc>
        <w:tc>
          <w:tcPr>
            <w:tcW w:w="0" w:type="auto"/>
            <w:vAlign w:val="center"/>
            <w:hideMark/>
          </w:tcPr>
          <w:p w14:paraId="2B27E46A" w14:textId="22F0CEC6"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موافق بشدة (5)</w:t>
            </w:r>
          </w:p>
        </w:tc>
      </w:tr>
      <w:tr w:rsidR="003D1437" w:rsidRPr="003D1437" w14:paraId="3CC1BF97" w14:textId="77777777" w:rsidTr="00260994">
        <w:tc>
          <w:tcPr>
            <w:tcW w:w="0" w:type="auto"/>
            <w:gridSpan w:val="7"/>
            <w:vAlign w:val="center"/>
          </w:tcPr>
          <w:p w14:paraId="0C05274F" w14:textId="17EA50B0" w:rsidR="008B65D3" w:rsidRPr="003D1437" w:rsidRDefault="008B65D3" w:rsidP="00FE6173">
            <w:pPr>
              <w:bidi/>
              <w:jc w:val="center"/>
              <w:rPr>
                <w:rFonts w:ascii="Traditional Arabic" w:hAnsi="Traditional Arabic" w:cs="Traditional Arabic"/>
                <w:sz w:val="28"/>
                <w:szCs w:val="28"/>
              </w:rPr>
            </w:pPr>
            <w:r w:rsidRPr="003D1437">
              <w:rPr>
                <w:rFonts w:ascii="Traditional Arabic" w:hAnsi="Traditional Arabic" w:cs="Traditional Arabic"/>
                <w:b/>
                <w:bCs/>
                <w:sz w:val="28"/>
                <w:szCs w:val="28"/>
                <w:rtl/>
              </w:rPr>
              <w:t>الذكاء الاصطناعي</w:t>
            </w:r>
          </w:p>
        </w:tc>
      </w:tr>
      <w:tr w:rsidR="003D1437" w:rsidRPr="003D1437" w14:paraId="1E5796B4" w14:textId="77777777" w:rsidTr="00DA5BF7">
        <w:tc>
          <w:tcPr>
            <w:tcW w:w="0" w:type="auto"/>
            <w:gridSpan w:val="7"/>
            <w:vAlign w:val="center"/>
            <w:hideMark/>
          </w:tcPr>
          <w:p w14:paraId="48952FCD" w14:textId="67719C5F"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Pr>
              <w:t>1</w:t>
            </w:r>
            <w:r w:rsidRPr="003D1437">
              <w:rPr>
                <w:rFonts w:ascii="Traditional Arabic" w:hAnsi="Traditional Arabic" w:cs="Traditional Arabic"/>
                <w:b/>
                <w:bCs/>
                <w:sz w:val="28"/>
                <w:szCs w:val="28"/>
                <w:rtl/>
              </w:rPr>
              <w:t>. أتمتة المهام الإدارية</w:t>
            </w:r>
          </w:p>
        </w:tc>
      </w:tr>
      <w:tr w:rsidR="003D1437" w:rsidRPr="003D1437" w14:paraId="22611C3D" w14:textId="77777777" w:rsidTr="008B65D3">
        <w:tc>
          <w:tcPr>
            <w:tcW w:w="0" w:type="auto"/>
            <w:vAlign w:val="center"/>
            <w:hideMark/>
          </w:tcPr>
          <w:p w14:paraId="213D38F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w:t>
            </w:r>
          </w:p>
        </w:tc>
        <w:tc>
          <w:tcPr>
            <w:tcW w:w="0" w:type="auto"/>
            <w:vAlign w:val="center"/>
            <w:hideMark/>
          </w:tcPr>
          <w:p w14:paraId="64D8DE9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أنظمة الذكاء الاصطناعي لأتمتة المهام الإدارية الروتينية (مثل إدخال البيانات، جدولة المواعيد)</w:t>
            </w:r>
            <w:r w:rsidRPr="003D1437">
              <w:rPr>
                <w:rFonts w:ascii="Traditional Arabic" w:hAnsi="Traditional Arabic" w:cs="Traditional Arabic"/>
                <w:sz w:val="28"/>
                <w:szCs w:val="28"/>
              </w:rPr>
              <w:t>.</w:t>
            </w:r>
          </w:p>
        </w:tc>
        <w:tc>
          <w:tcPr>
            <w:tcW w:w="0" w:type="auto"/>
            <w:vAlign w:val="center"/>
            <w:hideMark/>
          </w:tcPr>
          <w:p w14:paraId="6EE1680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61C94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74CF0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E3694D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89B0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27138DEB" w14:textId="77777777" w:rsidTr="008B65D3">
        <w:tc>
          <w:tcPr>
            <w:tcW w:w="0" w:type="auto"/>
            <w:vAlign w:val="center"/>
            <w:hideMark/>
          </w:tcPr>
          <w:p w14:paraId="028513D3"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w:t>
            </w:r>
          </w:p>
        </w:tc>
        <w:tc>
          <w:tcPr>
            <w:tcW w:w="0" w:type="auto"/>
            <w:vAlign w:val="center"/>
            <w:hideMark/>
          </w:tcPr>
          <w:p w14:paraId="74FA173D"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الأتمتة المعتمدة على الذكاء الاصطناعي في تقليل الوقت المستغرق لإنجاز الأعمال الإدارية</w:t>
            </w:r>
            <w:r w:rsidRPr="003D1437">
              <w:rPr>
                <w:rFonts w:ascii="Traditional Arabic" w:hAnsi="Traditional Arabic" w:cs="Traditional Arabic"/>
                <w:sz w:val="28"/>
                <w:szCs w:val="28"/>
              </w:rPr>
              <w:t>.</w:t>
            </w:r>
          </w:p>
        </w:tc>
        <w:tc>
          <w:tcPr>
            <w:tcW w:w="0" w:type="auto"/>
            <w:vAlign w:val="center"/>
            <w:hideMark/>
          </w:tcPr>
          <w:p w14:paraId="395A689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6B0BD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B2570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1C08CA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E144A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23DC4B1E" w14:textId="77777777" w:rsidTr="008B65D3">
        <w:tc>
          <w:tcPr>
            <w:tcW w:w="0" w:type="auto"/>
            <w:vAlign w:val="center"/>
            <w:hideMark/>
          </w:tcPr>
          <w:p w14:paraId="34383348"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w:t>
            </w:r>
          </w:p>
        </w:tc>
        <w:tc>
          <w:tcPr>
            <w:tcW w:w="0" w:type="auto"/>
            <w:vAlign w:val="center"/>
            <w:hideMark/>
          </w:tcPr>
          <w:p w14:paraId="00F01CBC"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تساعد تطبيقات الذكاء الاصطناعي في تقليل الأخطاء البشرية في العمليات الإدارية المتكررة</w:t>
            </w:r>
            <w:r w:rsidRPr="003D1437">
              <w:rPr>
                <w:rFonts w:ascii="Traditional Arabic" w:hAnsi="Traditional Arabic" w:cs="Traditional Arabic"/>
                <w:sz w:val="28"/>
                <w:szCs w:val="28"/>
              </w:rPr>
              <w:t>.</w:t>
            </w:r>
          </w:p>
        </w:tc>
        <w:tc>
          <w:tcPr>
            <w:tcW w:w="0" w:type="auto"/>
            <w:vAlign w:val="center"/>
            <w:hideMark/>
          </w:tcPr>
          <w:p w14:paraId="168B00B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A60FB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B6CD0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E404B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F95E0C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4D7DE89F" w14:textId="77777777" w:rsidTr="008B65D3">
        <w:tc>
          <w:tcPr>
            <w:tcW w:w="0" w:type="auto"/>
            <w:vAlign w:val="center"/>
            <w:hideMark/>
          </w:tcPr>
          <w:p w14:paraId="553A932A"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w:t>
            </w:r>
          </w:p>
        </w:tc>
        <w:tc>
          <w:tcPr>
            <w:tcW w:w="0" w:type="auto"/>
            <w:vAlign w:val="center"/>
            <w:hideMark/>
          </w:tcPr>
          <w:p w14:paraId="2317FDF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استخدام الذكاء الاصطناعي لتحسين كفاءة عمليات القبول والتسجيل أو توزيع الموارد بالإدارة</w:t>
            </w:r>
            <w:r w:rsidRPr="003D1437">
              <w:rPr>
                <w:rFonts w:ascii="Traditional Arabic" w:hAnsi="Traditional Arabic" w:cs="Traditional Arabic"/>
                <w:sz w:val="28"/>
                <w:szCs w:val="28"/>
              </w:rPr>
              <w:t>.</w:t>
            </w:r>
          </w:p>
        </w:tc>
        <w:tc>
          <w:tcPr>
            <w:tcW w:w="0" w:type="auto"/>
            <w:vAlign w:val="center"/>
            <w:hideMark/>
          </w:tcPr>
          <w:p w14:paraId="6A75BDE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03E97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B2149B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14A04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55BE9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031F0344" w14:textId="77777777" w:rsidTr="008B65D3">
        <w:tc>
          <w:tcPr>
            <w:tcW w:w="0" w:type="auto"/>
            <w:vAlign w:val="center"/>
            <w:hideMark/>
          </w:tcPr>
          <w:p w14:paraId="7251EAF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vAlign w:val="center"/>
            <w:hideMark/>
          </w:tcPr>
          <w:p w14:paraId="2F58585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تسهم الأتمتة في تحرير وقت الموظفين للتركيز على مهام أكثر استراتيجية وإبداعية</w:t>
            </w:r>
            <w:r w:rsidRPr="003D1437">
              <w:rPr>
                <w:rFonts w:ascii="Traditional Arabic" w:hAnsi="Traditional Arabic" w:cs="Traditional Arabic"/>
                <w:sz w:val="28"/>
                <w:szCs w:val="28"/>
              </w:rPr>
              <w:t>.</w:t>
            </w:r>
          </w:p>
        </w:tc>
        <w:tc>
          <w:tcPr>
            <w:tcW w:w="0" w:type="auto"/>
            <w:vAlign w:val="center"/>
            <w:hideMark/>
          </w:tcPr>
          <w:p w14:paraId="6B40DAD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17510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C4FE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8E36E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0857D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300F4CD7" w14:textId="77777777" w:rsidTr="003E41DE">
        <w:tc>
          <w:tcPr>
            <w:tcW w:w="0" w:type="auto"/>
            <w:gridSpan w:val="7"/>
            <w:vAlign w:val="center"/>
            <w:hideMark/>
          </w:tcPr>
          <w:p w14:paraId="2FB0E35E" w14:textId="21393204"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2. دعم اتخاذ القرار</w:t>
            </w:r>
          </w:p>
        </w:tc>
      </w:tr>
      <w:tr w:rsidR="003D1437" w:rsidRPr="003D1437" w14:paraId="67C3144A" w14:textId="77777777" w:rsidTr="008B65D3">
        <w:tc>
          <w:tcPr>
            <w:tcW w:w="0" w:type="auto"/>
            <w:vAlign w:val="center"/>
            <w:hideMark/>
          </w:tcPr>
          <w:p w14:paraId="560396B7"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6</w:t>
            </w:r>
          </w:p>
        </w:tc>
        <w:tc>
          <w:tcPr>
            <w:tcW w:w="0" w:type="auto"/>
            <w:vAlign w:val="center"/>
            <w:hideMark/>
          </w:tcPr>
          <w:p w14:paraId="0E6D8FC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توفر أنظمة الذكاء الاصطناعي تحليلات دقيقة للبيانات لدعم عملية صنع القرار الاستراتيجي</w:t>
            </w:r>
            <w:r w:rsidRPr="003D1437">
              <w:rPr>
                <w:rFonts w:ascii="Traditional Arabic" w:hAnsi="Traditional Arabic" w:cs="Traditional Arabic"/>
                <w:sz w:val="28"/>
                <w:szCs w:val="28"/>
              </w:rPr>
              <w:t>.</w:t>
            </w:r>
          </w:p>
        </w:tc>
        <w:tc>
          <w:tcPr>
            <w:tcW w:w="0" w:type="auto"/>
            <w:vAlign w:val="center"/>
            <w:hideMark/>
          </w:tcPr>
          <w:p w14:paraId="1C31927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CCE2E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28B10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1CF4F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0EFBA1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076AC273" w14:textId="77777777" w:rsidTr="008B65D3">
        <w:tc>
          <w:tcPr>
            <w:tcW w:w="0" w:type="auto"/>
            <w:vAlign w:val="center"/>
            <w:hideMark/>
          </w:tcPr>
          <w:p w14:paraId="41EE587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7</w:t>
            </w:r>
          </w:p>
        </w:tc>
        <w:tc>
          <w:tcPr>
            <w:tcW w:w="0" w:type="auto"/>
            <w:vAlign w:val="center"/>
            <w:hideMark/>
          </w:tcPr>
          <w:p w14:paraId="6302D4F9"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تساعد أدوات الذكاء الاصطناعي في تحديد الأنماط والاتجاهات المخفية في البيانات التعليمية والإدارية</w:t>
            </w:r>
            <w:r w:rsidRPr="003D1437">
              <w:rPr>
                <w:rFonts w:ascii="Traditional Arabic" w:hAnsi="Traditional Arabic" w:cs="Traditional Arabic"/>
                <w:sz w:val="28"/>
                <w:szCs w:val="28"/>
              </w:rPr>
              <w:t>.</w:t>
            </w:r>
          </w:p>
        </w:tc>
        <w:tc>
          <w:tcPr>
            <w:tcW w:w="0" w:type="auto"/>
            <w:vAlign w:val="center"/>
            <w:hideMark/>
          </w:tcPr>
          <w:p w14:paraId="7EB13C1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5AD37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7701E9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51E83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462E4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47D966AC" w14:textId="77777777" w:rsidTr="008B65D3">
        <w:tc>
          <w:tcPr>
            <w:tcW w:w="0" w:type="auto"/>
            <w:vAlign w:val="center"/>
            <w:hideMark/>
          </w:tcPr>
          <w:p w14:paraId="25B26908"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8</w:t>
            </w:r>
          </w:p>
        </w:tc>
        <w:tc>
          <w:tcPr>
            <w:tcW w:w="0" w:type="auto"/>
            <w:vAlign w:val="center"/>
            <w:hideMark/>
          </w:tcPr>
          <w:p w14:paraId="2849F03D"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الاعتماد على مخرجات الذكاء الاصطناعي (مثل التنبؤات والتوصيات) في اتخاذ قرارات هامة بالإدارة</w:t>
            </w:r>
            <w:r w:rsidRPr="003D1437">
              <w:rPr>
                <w:rFonts w:ascii="Traditional Arabic" w:hAnsi="Traditional Arabic" w:cs="Traditional Arabic"/>
                <w:sz w:val="28"/>
                <w:szCs w:val="28"/>
              </w:rPr>
              <w:t>.</w:t>
            </w:r>
          </w:p>
        </w:tc>
        <w:tc>
          <w:tcPr>
            <w:tcW w:w="0" w:type="auto"/>
            <w:vAlign w:val="center"/>
            <w:hideMark/>
          </w:tcPr>
          <w:p w14:paraId="3792214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12DDA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ACE597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ADF3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61B7E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764590BB" w14:textId="77777777" w:rsidTr="008B65D3">
        <w:tc>
          <w:tcPr>
            <w:tcW w:w="0" w:type="auto"/>
            <w:vAlign w:val="center"/>
            <w:hideMark/>
          </w:tcPr>
          <w:p w14:paraId="7A44A614"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9</w:t>
            </w:r>
          </w:p>
        </w:tc>
        <w:tc>
          <w:tcPr>
            <w:tcW w:w="0" w:type="auto"/>
            <w:vAlign w:val="center"/>
            <w:hideMark/>
          </w:tcPr>
          <w:p w14:paraId="5720331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تحليلات الذكاء الاصطناعي في تحسين جودة القرارات المتخذة وسرعتها</w:t>
            </w:r>
            <w:r w:rsidRPr="003D1437">
              <w:rPr>
                <w:rFonts w:ascii="Traditional Arabic" w:hAnsi="Traditional Arabic" w:cs="Traditional Arabic"/>
                <w:sz w:val="28"/>
                <w:szCs w:val="28"/>
              </w:rPr>
              <w:t>.</w:t>
            </w:r>
          </w:p>
        </w:tc>
        <w:tc>
          <w:tcPr>
            <w:tcW w:w="0" w:type="auto"/>
            <w:vAlign w:val="center"/>
            <w:hideMark/>
          </w:tcPr>
          <w:p w14:paraId="095404E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4D7AD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26F8C2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5FED5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21C9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171F5D59" w14:textId="77777777" w:rsidTr="008B65D3">
        <w:tc>
          <w:tcPr>
            <w:tcW w:w="0" w:type="auto"/>
            <w:vAlign w:val="center"/>
            <w:hideMark/>
          </w:tcPr>
          <w:p w14:paraId="65CE48CC"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10</w:t>
            </w:r>
          </w:p>
        </w:tc>
        <w:tc>
          <w:tcPr>
            <w:tcW w:w="0" w:type="auto"/>
            <w:vAlign w:val="center"/>
            <w:hideMark/>
          </w:tcPr>
          <w:p w14:paraId="609844A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يوفر الذكاء الاصطناعي رؤى قائمة على الأدلة تساعد في تحديد الأولويات الاستراتيجية بشكل أفضل</w:t>
            </w:r>
            <w:r w:rsidRPr="003D1437">
              <w:rPr>
                <w:rFonts w:ascii="Traditional Arabic" w:hAnsi="Traditional Arabic" w:cs="Traditional Arabic"/>
                <w:sz w:val="28"/>
                <w:szCs w:val="28"/>
              </w:rPr>
              <w:t>.</w:t>
            </w:r>
          </w:p>
        </w:tc>
        <w:tc>
          <w:tcPr>
            <w:tcW w:w="0" w:type="auto"/>
            <w:vAlign w:val="center"/>
            <w:hideMark/>
          </w:tcPr>
          <w:p w14:paraId="4C8FE81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C746C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F3B96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B1D891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208F1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1C023BD6" w14:textId="77777777" w:rsidTr="00C646F7">
        <w:tc>
          <w:tcPr>
            <w:tcW w:w="0" w:type="auto"/>
            <w:gridSpan w:val="7"/>
            <w:vAlign w:val="center"/>
            <w:hideMark/>
          </w:tcPr>
          <w:p w14:paraId="759CD0C6" w14:textId="2DD7A2AB"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3. أنظمة الإنذار المبكر</w:t>
            </w:r>
          </w:p>
        </w:tc>
      </w:tr>
      <w:tr w:rsidR="003D1437" w:rsidRPr="003D1437" w14:paraId="78CD952C" w14:textId="77777777" w:rsidTr="008B65D3">
        <w:tc>
          <w:tcPr>
            <w:tcW w:w="0" w:type="auto"/>
            <w:vAlign w:val="center"/>
            <w:hideMark/>
          </w:tcPr>
          <w:p w14:paraId="1CBE369E"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11</w:t>
            </w:r>
          </w:p>
        </w:tc>
        <w:tc>
          <w:tcPr>
            <w:tcW w:w="0" w:type="auto"/>
            <w:vAlign w:val="center"/>
            <w:hideMark/>
          </w:tcPr>
          <w:p w14:paraId="2A4E215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أنظمة الذكاء الاصطناعي للتنبؤ بالطلاب المعرضين لخطر التعثر الدراسي أو التسرب</w:t>
            </w:r>
            <w:r w:rsidRPr="003D1437">
              <w:rPr>
                <w:rFonts w:ascii="Traditional Arabic" w:hAnsi="Traditional Arabic" w:cs="Traditional Arabic"/>
                <w:sz w:val="28"/>
                <w:szCs w:val="28"/>
              </w:rPr>
              <w:t>.</w:t>
            </w:r>
          </w:p>
        </w:tc>
        <w:tc>
          <w:tcPr>
            <w:tcW w:w="0" w:type="auto"/>
            <w:vAlign w:val="center"/>
            <w:hideMark/>
          </w:tcPr>
          <w:p w14:paraId="1262072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BA643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A3C9D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83A6A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D5B8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70BE4EF8" w14:textId="77777777" w:rsidTr="008B65D3">
        <w:tc>
          <w:tcPr>
            <w:tcW w:w="0" w:type="auto"/>
            <w:vAlign w:val="center"/>
            <w:hideMark/>
          </w:tcPr>
          <w:p w14:paraId="01E0A33D"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12</w:t>
            </w:r>
          </w:p>
        </w:tc>
        <w:tc>
          <w:tcPr>
            <w:tcW w:w="0" w:type="auto"/>
            <w:vAlign w:val="center"/>
            <w:hideMark/>
          </w:tcPr>
          <w:p w14:paraId="1C3CF15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تساعد أدوات الذكاء الاصطناعي في تحديد المشكلات التشغيلية أو الإدارية المحتملة قبل تفاقمها</w:t>
            </w:r>
            <w:r w:rsidRPr="003D1437">
              <w:rPr>
                <w:rFonts w:ascii="Traditional Arabic" w:hAnsi="Traditional Arabic" w:cs="Traditional Arabic"/>
                <w:sz w:val="28"/>
                <w:szCs w:val="28"/>
              </w:rPr>
              <w:t>.</w:t>
            </w:r>
          </w:p>
        </w:tc>
        <w:tc>
          <w:tcPr>
            <w:tcW w:w="0" w:type="auto"/>
            <w:vAlign w:val="center"/>
            <w:hideMark/>
          </w:tcPr>
          <w:p w14:paraId="690378E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542687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FAEBE0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DBCE4B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A00A7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30899700" w14:textId="77777777" w:rsidTr="008B65D3">
        <w:tc>
          <w:tcPr>
            <w:tcW w:w="0" w:type="auto"/>
            <w:vAlign w:val="center"/>
            <w:hideMark/>
          </w:tcPr>
          <w:p w14:paraId="4FE874D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13</w:t>
            </w:r>
          </w:p>
        </w:tc>
        <w:tc>
          <w:tcPr>
            <w:tcW w:w="0" w:type="auto"/>
            <w:vAlign w:val="center"/>
            <w:hideMark/>
          </w:tcPr>
          <w:p w14:paraId="06BDDB05"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توفر أنظمة الإنذار المبكر تنبيهات استباقية للمسؤولين لاتخاذ الإجراءات التصحيحية اللازمة</w:t>
            </w:r>
            <w:r w:rsidRPr="003D1437">
              <w:rPr>
                <w:rFonts w:ascii="Traditional Arabic" w:hAnsi="Traditional Arabic" w:cs="Traditional Arabic"/>
                <w:sz w:val="28"/>
                <w:szCs w:val="28"/>
              </w:rPr>
              <w:t>.</w:t>
            </w:r>
          </w:p>
        </w:tc>
        <w:tc>
          <w:tcPr>
            <w:tcW w:w="0" w:type="auto"/>
            <w:vAlign w:val="center"/>
            <w:hideMark/>
          </w:tcPr>
          <w:p w14:paraId="3C8801D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BB89B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E3D6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AA6FDD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654EB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5B30A2F6" w14:textId="77777777" w:rsidTr="008B65D3">
        <w:tc>
          <w:tcPr>
            <w:tcW w:w="0" w:type="auto"/>
            <w:vAlign w:val="center"/>
            <w:hideMark/>
          </w:tcPr>
          <w:p w14:paraId="2972B0A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14</w:t>
            </w:r>
          </w:p>
        </w:tc>
        <w:tc>
          <w:tcPr>
            <w:tcW w:w="0" w:type="auto"/>
            <w:vAlign w:val="center"/>
            <w:hideMark/>
          </w:tcPr>
          <w:p w14:paraId="10691AC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أنظمة الإنذار المبكر في تحسين إدارة المخاطر المتعلقة بأداء الطلاب أو سير العمل بالإدارة</w:t>
            </w:r>
            <w:r w:rsidRPr="003D1437">
              <w:rPr>
                <w:rFonts w:ascii="Traditional Arabic" w:hAnsi="Traditional Arabic" w:cs="Traditional Arabic"/>
                <w:sz w:val="28"/>
                <w:szCs w:val="28"/>
              </w:rPr>
              <w:t>.</w:t>
            </w:r>
          </w:p>
        </w:tc>
        <w:tc>
          <w:tcPr>
            <w:tcW w:w="0" w:type="auto"/>
            <w:vAlign w:val="center"/>
            <w:hideMark/>
          </w:tcPr>
          <w:p w14:paraId="2B36307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ED568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41EA14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1E589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39885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CD166A5" w14:textId="77777777" w:rsidTr="008B65D3">
        <w:tc>
          <w:tcPr>
            <w:tcW w:w="0" w:type="auto"/>
            <w:vAlign w:val="center"/>
            <w:hideMark/>
          </w:tcPr>
          <w:p w14:paraId="73E88F08"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15</w:t>
            </w:r>
          </w:p>
        </w:tc>
        <w:tc>
          <w:tcPr>
            <w:tcW w:w="0" w:type="auto"/>
            <w:vAlign w:val="center"/>
            <w:hideMark/>
          </w:tcPr>
          <w:p w14:paraId="6C33B1B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تحليل مخرجات أنظمة الإنذار المبكر لتطوير خطط تدخل ودعم فعالة</w:t>
            </w:r>
            <w:r w:rsidRPr="003D1437">
              <w:rPr>
                <w:rFonts w:ascii="Traditional Arabic" w:hAnsi="Traditional Arabic" w:cs="Traditional Arabic"/>
                <w:sz w:val="28"/>
                <w:szCs w:val="28"/>
              </w:rPr>
              <w:t>.</w:t>
            </w:r>
          </w:p>
        </w:tc>
        <w:tc>
          <w:tcPr>
            <w:tcW w:w="0" w:type="auto"/>
            <w:vAlign w:val="center"/>
            <w:hideMark/>
          </w:tcPr>
          <w:p w14:paraId="163643A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CD322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0A0AF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54595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F31DF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1F75A9A8" w14:textId="77777777" w:rsidTr="006E3CAE">
        <w:tc>
          <w:tcPr>
            <w:tcW w:w="0" w:type="auto"/>
            <w:gridSpan w:val="7"/>
            <w:vAlign w:val="center"/>
            <w:hideMark/>
          </w:tcPr>
          <w:p w14:paraId="52D3B939" w14:textId="1D996A66" w:rsidR="00FE6173" w:rsidRPr="003D1437" w:rsidRDefault="00FE6173" w:rsidP="00FE6173">
            <w:pPr>
              <w:bidi/>
              <w:spacing w:after="160" w:line="259" w:lineRule="auto"/>
              <w:jc w:val="center"/>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التكيف التكنولوجي (كمؤشر عام)</w:t>
            </w:r>
          </w:p>
        </w:tc>
      </w:tr>
      <w:tr w:rsidR="00BF2DEE" w:rsidRPr="003D1437" w14:paraId="69550831" w14:textId="77777777" w:rsidTr="008B65D3">
        <w:tc>
          <w:tcPr>
            <w:tcW w:w="0" w:type="auto"/>
            <w:vAlign w:val="center"/>
            <w:hideMark/>
          </w:tcPr>
          <w:p w14:paraId="7FFA65B9"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16</w:t>
            </w:r>
          </w:p>
        </w:tc>
        <w:tc>
          <w:tcPr>
            <w:tcW w:w="0" w:type="auto"/>
            <w:vAlign w:val="center"/>
            <w:hideMark/>
          </w:tcPr>
          <w:p w14:paraId="36E9F6EE"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يظهر العاملون في الإدارة استعدادًا لتعلم واستخدام التقنيات الجديدة</w:t>
            </w:r>
            <w:r w:rsidRPr="003D1437">
              <w:rPr>
                <w:rFonts w:ascii="Traditional Arabic" w:hAnsi="Traditional Arabic" w:cs="Traditional Arabic"/>
                <w:sz w:val="28"/>
                <w:szCs w:val="28"/>
              </w:rPr>
              <w:t>.</w:t>
            </w:r>
          </w:p>
        </w:tc>
        <w:tc>
          <w:tcPr>
            <w:tcW w:w="0" w:type="auto"/>
            <w:vAlign w:val="center"/>
            <w:hideMark/>
          </w:tcPr>
          <w:p w14:paraId="48B2DE5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081C8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3A281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522345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3F741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D02BD28" w14:textId="77777777" w:rsidTr="008B65D3">
        <w:tc>
          <w:tcPr>
            <w:tcW w:w="0" w:type="auto"/>
            <w:vAlign w:val="center"/>
            <w:hideMark/>
          </w:tcPr>
          <w:p w14:paraId="7E28335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17</w:t>
            </w:r>
          </w:p>
        </w:tc>
        <w:tc>
          <w:tcPr>
            <w:tcW w:w="0" w:type="auto"/>
            <w:vAlign w:val="center"/>
            <w:hideMark/>
          </w:tcPr>
          <w:p w14:paraId="13F2A337"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تتوفر البنية التحتية التكنولوجية اللازمة (شبكات، أجهزة) لدعم استخدام التقنيات الحديثة بفعالية</w:t>
            </w:r>
            <w:r w:rsidRPr="003D1437">
              <w:rPr>
                <w:rFonts w:ascii="Traditional Arabic" w:hAnsi="Traditional Arabic" w:cs="Traditional Arabic"/>
                <w:sz w:val="28"/>
                <w:szCs w:val="28"/>
              </w:rPr>
              <w:t>.</w:t>
            </w:r>
          </w:p>
        </w:tc>
        <w:tc>
          <w:tcPr>
            <w:tcW w:w="0" w:type="auto"/>
            <w:vAlign w:val="center"/>
            <w:hideMark/>
          </w:tcPr>
          <w:p w14:paraId="5E6C313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A9330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1816F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43515C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90972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6357EF17" w14:textId="77777777" w:rsidTr="008B65D3">
        <w:tc>
          <w:tcPr>
            <w:tcW w:w="0" w:type="auto"/>
            <w:vAlign w:val="center"/>
            <w:hideMark/>
          </w:tcPr>
          <w:p w14:paraId="4D1F7E2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18</w:t>
            </w:r>
          </w:p>
        </w:tc>
        <w:tc>
          <w:tcPr>
            <w:tcW w:w="0" w:type="auto"/>
            <w:vAlign w:val="center"/>
            <w:hideMark/>
          </w:tcPr>
          <w:p w14:paraId="01217A2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تشجع ثقافة العمل في الإدارة على التجريب وتبني الابتكارات التكنولوجية</w:t>
            </w:r>
            <w:r w:rsidRPr="003D1437">
              <w:rPr>
                <w:rFonts w:ascii="Traditional Arabic" w:hAnsi="Traditional Arabic" w:cs="Traditional Arabic"/>
                <w:sz w:val="28"/>
                <w:szCs w:val="28"/>
              </w:rPr>
              <w:t>.</w:t>
            </w:r>
          </w:p>
        </w:tc>
        <w:tc>
          <w:tcPr>
            <w:tcW w:w="0" w:type="auto"/>
            <w:vAlign w:val="center"/>
            <w:hideMark/>
          </w:tcPr>
          <w:p w14:paraId="7C5881B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75F96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AED4C8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9D3FF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7ABC2A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B79E92C" w14:textId="77777777" w:rsidTr="008B65D3">
        <w:tc>
          <w:tcPr>
            <w:tcW w:w="0" w:type="auto"/>
            <w:vAlign w:val="center"/>
            <w:hideMark/>
          </w:tcPr>
          <w:p w14:paraId="3F7C1E7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19</w:t>
            </w:r>
          </w:p>
        </w:tc>
        <w:tc>
          <w:tcPr>
            <w:tcW w:w="0" w:type="auto"/>
            <w:vAlign w:val="center"/>
            <w:hideMark/>
          </w:tcPr>
          <w:p w14:paraId="42DED23A"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يمتلك الموظفون المهارات الرقمية الأساسية اللازمة للتعامل مع الأنظمة والتطبيقات الجديدة</w:t>
            </w:r>
            <w:r w:rsidRPr="003D1437">
              <w:rPr>
                <w:rFonts w:ascii="Traditional Arabic" w:hAnsi="Traditional Arabic" w:cs="Traditional Arabic"/>
                <w:sz w:val="28"/>
                <w:szCs w:val="28"/>
              </w:rPr>
              <w:t>.</w:t>
            </w:r>
          </w:p>
        </w:tc>
        <w:tc>
          <w:tcPr>
            <w:tcW w:w="0" w:type="auto"/>
            <w:vAlign w:val="center"/>
            <w:hideMark/>
          </w:tcPr>
          <w:p w14:paraId="7933C58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2E7AD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2AF14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678127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68D32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763F357" w14:textId="77777777" w:rsidTr="008B65D3">
        <w:tc>
          <w:tcPr>
            <w:tcW w:w="0" w:type="auto"/>
            <w:vAlign w:val="center"/>
            <w:hideMark/>
          </w:tcPr>
          <w:p w14:paraId="5EF2FAA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20</w:t>
            </w:r>
          </w:p>
        </w:tc>
        <w:tc>
          <w:tcPr>
            <w:tcW w:w="0" w:type="auto"/>
            <w:vAlign w:val="center"/>
            <w:hideMark/>
          </w:tcPr>
          <w:p w14:paraId="098CB8A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توفر الإدارة التدريب والدعم الكافي للموظفين عند إدخال تقنيات جديدة</w:t>
            </w:r>
            <w:r w:rsidRPr="003D1437">
              <w:rPr>
                <w:rFonts w:ascii="Traditional Arabic" w:hAnsi="Traditional Arabic" w:cs="Traditional Arabic"/>
                <w:sz w:val="28"/>
                <w:szCs w:val="28"/>
              </w:rPr>
              <w:t>.</w:t>
            </w:r>
          </w:p>
        </w:tc>
        <w:tc>
          <w:tcPr>
            <w:tcW w:w="0" w:type="auto"/>
            <w:vAlign w:val="center"/>
            <w:hideMark/>
          </w:tcPr>
          <w:p w14:paraId="7694B97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9C83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62C59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4358A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BAC988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39003FD6" w14:textId="77777777" w:rsidTr="008B65D3">
        <w:tc>
          <w:tcPr>
            <w:tcW w:w="0" w:type="auto"/>
            <w:vAlign w:val="center"/>
            <w:hideMark/>
          </w:tcPr>
          <w:p w14:paraId="507B4651"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21</w:t>
            </w:r>
          </w:p>
        </w:tc>
        <w:tc>
          <w:tcPr>
            <w:tcW w:w="0" w:type="auto"/>
            <w:vAlign w:val="center"/>
            <w:hideMark/>
          </w:tcPr>
          <w:p w14:paraId="1841C995"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يُنظر إلى استخدام التكنولوجيا الحديثة على أنه مفيد ويحسن من أداء العمل بشكل عام</w:t>
            </w:r>
            <w:r w:rsidRPr="003D1437">
              <w:rPr>
                <w:rFonts w:ascii="Traditional Arabic" w:hAnsi="Traditional Arabic" w:cs="Traditional Arabic"/>
                <w:sz w:val="28"/>
                <w:szCs w:val="28"/>
              </w:rPr>
              <w:t>.</w:t>
            </w:r>
          </w:p>
        </w:tc>
        <w:tc>
          <w:tcPr>
            <w:tcW w:w="0" w:type="auto"/>
            <w:vAlign w:val="center"/>
            <w:hideMark/>
          </w:tcPr>
          <w:p w14:paraId="2EDF152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F3B193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4091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1E49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FDE4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23DD237" w14:textId="77777777" w:rsidTr="008B65D3">
        <w:tc>
          <w:tcPr>
            <w:tcW w:w="0" w:type="auto"/>
            <w:vAlign w:val="center"/>
            <w:hideMark/>
          </w:tcPr>
          <w:p w14:paraId="599DC4FD"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22</w:t>
            </w:r>
          </w:p>
        </w:tc>
        <w:tc>
          <w:tcPr>
            <w:tcW w:w="0" w:type="auto"/>
            <w:vAlign w:val="center"/>
            <w:hideMark/>
          </w:tcPr>
          <w:p w14:paraId="1B35CEDC"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تتسم الإجراءات والسياسات بالمرونة الكافية لاستيعاب التغييرات التكنولوجية وتطبيقها</w:t>
            </w:r>
            <w:r w:rsidRPr="003D1437">
              <w:rPr>
                <w:rFonts w:ascii="Traditional Arabic" w:hAnsi="Traditional Arabic" w:cs="Traditional Arabic"/>
                <w:sz w:val="28"/>
                <w:szCs w:val="28"/>
              </w:rPr>
              <w:t>.</w:t>
            </w:r>
          </w:p>
        </w:tc>
        <w:tc>
          <w:tcPr>
            <w:tcW w:w="0" w:type="auto"/>
            <w:vAlign w:val="center"/>
            <w:hideMark/>
          </w:tcPr>
          <w:p w14:paraId="7A4D928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FC3A1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4E2CF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2110E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920E5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67373E0" w14:textId="77777777" w:rsidTr="008B65D3">
        <w:tc>
          <w:tcPr>
            <w:tcW w:w="0" w:type="auto"/>
            <w:vAlign w:val="center"/>
            <w:hideMark/>
          </w:tcPr>
          <w:p w14:paraId="38B645F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23</w:t>
            </w:r>
          </w:p>
        </w:tc>
        <w:tc>
          <w:tcPr>
            <w:tcW w:w="0" w:type="auto"/>
            <w:vAlign w:val="center"/>
            <w:hideMark/>
          </w:tcPr>
          <w:p w14:paraId="5A9B856E"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دمج التقنيات الجديدة بشكل فعال في سير العمليات اليومية للإدارة</w:t>
            </w:r>
            <w:r w:rsidRPr="003D1437">
              <w:rPr>
                <w:rFonts w:ascii="Traditional Arabic" w:hAnsi="Traditional Arabic" w:cs="Traditional Arabic"/>
                <w:sz w:val="28"/>
                <w:szCs w:val="28"/>
              </w:rPr>
              <w:t>.</w:t>
            </w:r>
          </w:p>
        </w:tc>
        <w:tc>
          <w:tcPr>
            <w:tcW w:w="0" w:type="auto"/>
            <w:vAlign w:val="center"/>
            <w:hideMark/>
          </w:tcPr>
          <w:p w14:paraId="1B5AA94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1CB3E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83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0FFC4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4EC8A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113F40F1" w14:textId="77777777" w:rsidTr="00EC529F">
        <w:tc>
          <w:tcPr>
            <w:tcW w:w="0" w:type="auto"/>
            <w:gridSpan w:val="7"/>
            <w:vAlign w:val="center"/>
            <w:hideMark/>
          </w:tcPr>
          <w:p w14:paraId="27F2309A" w14:textId="6BDD734C" w:rsidR="00FE6173" w:rsidRPr="003D1437" w:rsidRDefault="00FE6173" w:rsidP="00FE6173">
            <w:pPr>
              <w:bidi/>
              <w:spacing w:after="160" w:line="259" w:lineRule="auto"/>
              <w:jc w:val="center"/>
              <w:rPr>
                <w:rFonts w:ascii="Traditional Arabic" w:hAnsi="Traditional Arabic" w:cs="Traditional Arabic"/>
                <w:b/>
                <w:bCs/>
                <w:sz w:val="28"/>
                <w:szCs w:val="28"/>
              </w:rPr>
            </w:pPr>
            <w:r w:rsidRPr="003D1437">
              <w:rPr>
                <w:rFonts w:ascii="Traditional Arabic" w:hAnsi="Traditional Arabic" w:cs="Traditional Arabic"/>
                <w:b/>
                <w:bCs/>
                <w:sz w:val="28"/>
                <w:szCs w:val="28"/>
                <w:rtl/>
              </w:rPr>
              <w:t>كفاءة التخطيط الاستراتيجي</w:t>
            </w:r>
          </w:p>
        </w:tc>
      </w:tr>
      <w:tr w:rsidR="00BF2DEE" w:rsidRPr="003D1437" w14:paraId="78D4A386" w14:textId="77777777" w:rsidTr="0052571B">
        <w:tc>
          <w:tcPr>
            <w:tcW w:w="0" w:type="auto"/>
            <w:gridSpan w:val="7"/>
            <w:vAlign w:val="center"/>
            <w:hideMark/>
          </w:tcPr>
          <w:p w14:paraId="12CA6014" w14:textId="00B5A055"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1. كفاءة التحليل الاستراتيجي</w:t>
            </w:r>
          </w:p>
        </w:tc>
      </w:tr>
      <w:tr w:rsidR="00BF2DEE" w:rsidRPr="003D1437" w14:paraId="7DF78E50" w14:textId="77777777" w:rsidTr="008B65D3">
        <w:tc>
          <w:tcPr>
            <w:tcW w:w="0" w:type="auto"/>
            <w:vAlign w:val="center"/>
            <w:hideMark/>
          </w:tcPr>
          <w:p w14:paraId="109237BB"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24</w:t>
            </w:r>
          </w:p>
        </w:tc>
        <w:tc>
          <w:tcPr>
            <w:tcW w:w="0" w:type="auto"/>
            <w:vAlign w:val="center"/>
            <w:hideMark/>
          </w:tcPr>
          <w:p w14:paraId="025E767A"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جمع بيانات شاملة وموثوقة حول البيئة الداخلية والخارجية للإدارة عند وضع الخطط</w:t>
            </w:r>
            <w:r w:rsidRPr="003D1437">
              <w:rPr>
                <w:rFonts w:ascii="Traditional Arabic" w:hAnsi="Traditional Arabic" w:cs="Traditional Arabic"/>
                <w:sz w:val="28"/>
                <w:szCs w:val="28"/>
              </w:rPr>
              <w:t>.</w:t>
            </w:r>
          </w:p>
        </w:tc>
        <w:tc>
          <w:tcPr>
            <w:tcW w:w="0" w:type="auto"/>
            <w:vAlign w:val="center"/>
            <w:hideMark/>
          </w:tcPr>
          <w:p w14:paraId="7CF3D43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22825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EFA5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BA205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C3574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4AA800F" w14:textId="77777777" w:rsidTr="008B65D3">
        <w:tc>
          <w:tcPr>
            <w:tcW w:w="0" w:type="auto"/>
            <w:vAlign w:val="center"/>
            <w:hideMark/>
          </w:tcPr>
          <w:p w14:paraId="1D1B7F43"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25</w:t>
            </w:r>
          </w:p>
        </w:tc>
        <w:tc>
          <w:tcPr>
            <w:tcW w:w="0" w:type="auto"/>
            <w:vAlign w:val="center"/>
            <w:hideMark/>
          </w:tcPr>
          <w:p w14:paraId="3C7FF075" w14:textId="069789FA"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تحليل البيانات بعمق لتحديد نقاط القوة والضعف والفرص والتهديدات (</w:t>
            </w:r>
            <w:r w:rsidRPr="003D1437">
              <w:rPr>
                <w:rFonts w:ascii="Traditional Arabic" w:hAnsi="Traditional Arabic" w:cs="Traditional Arabic"/>
                <w:sz w:val="28"/>
                <w:szCs w:val="28"/>
              </w:rPr>
              <w:t>SWOT</w:t>
            </w:r>
            <w:r w:rsidRPr="003D1437">
              <w:rPr>
                <w:rFonts w:ascii="Traditional Arabic" w:hAnsi="Traditional Arabic" w:cs="Traditional Arabic"/>
                <w:sz w:val="28"/>
                <w:szCs w:val="28"/>
                <w:rtl/>
              </w:rPr>
              <w:t>) بدقة.</w:t>
            </w:r>
          </w:p>
        </w:tc>
        <w:tc>
          <w:tcPr>
            <w:tcW w:w="0" w:type="auto"/>
            <w:vAlign w:val="center"/>
            <w:hideMark/>
          </w:tcPr>
          <w:p w14:paraId="133895C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D745B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99972F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DB40B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4EC36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0ED2731" w14:textId="77777777" w:rsidTr="008B65D3">
        <w:tc>
          <w:tcPr>
            <w:tcW w:w="0" w:type="auto"/>
            <w:vAlign w:val="center"/>
            <w:hideMark/>
          </w:tcPr>
          <w:p w14:paraId="4BFFAA39"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26</w:t>
            </w:r>
          </w:p>
        </w:tc>
        <w:tc>
          <w:tcPr>
            <w:tcW w:w="0" w:type="auto"/>
            <w:vAlign w:val="center"/>
            <w:hideMark/>
          </w:tcPr>
          <w:p w14:paraId="6011E522"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أدوات تحليل متقدمة (بما في ذلك التكنولوجيا) لدعم عملية التحليل الاستراتيجي</w:t>
            </w:r>
            <w:r w:rsidRPr="003D1437">
              <w:rPr>
                <w:rFonts w:ascii="Traditional Arabic" w:hAnsi="Traditional Arabic" w:cs="Traditional Arabic"/>
                <w:sz w:val="28"/>
                <w:szCs w:val="28"/>
              </w:rPr>
              <w:t>.</w:t>
            </w:r>
          </w:p>
        </w:tc>
        <w:tc>
          <w:tcPr>
            <w:tcW w:w="0" w:type="auto"/>
            <w:vAlign w:val="center"/>
            <w:hideMark/>
          </w:tcPr>
          <w:p w14:paraId="299041C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37ABB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C31EB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07F064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0FF4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CA4C677" w14:textId="77777777" w:rsidTr="008B65D3">
        <w:tc>
          <w:tcPr>
            <w:tcW w:w="0" w:type="auto"/>
            <w:vAlign w:val="center"/>
            <w:hideMark/>
          </w:tcPr>
          <w:p w14:paraId="5505870C"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27</w:t>
            </w:r>
          </w:p>
        </w:tc>
        <w:tc>
          <w:tcPr>
            <w:tcW w:w="0" w:type="auto"/>
            <w:vAlign w:val="center"/>
            <w:hideMark/>
          </w:tcPr>
          <w:p w14:paraId="2E7C5BA0"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نتائج التحليل الاستراتيجي بشكل فعال في توجيه عملية صنع القرار الاستراتيجي</w:t>
            </w:r>
            <w:r w:rsidRPr="003D1437">
              <w:rPr>
                <w:rFonts w:ascii="Traditional Arabic" w:hAnsi="Traditional Arabic" w:cs="Traditional Arabic"/>
                <w:sz w:val="28"/>
                <w:szCs w:val="28"/>
              </w:rPr>
              <w:t>.</w:t>
            </w:r>
          </w:p>
        </w:tc>
        <w:tc>
          <w:tcPr>
            <w:tcW w:w="0" w:type="auto"/>
            <w:vAlign w:val="center"/>
            <w:hideMark/>
          </w:tcPr>
          <w:p w14:paraId="73D3E77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6367A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8BED6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E1F2E5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41494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91E8B3C" w14:textId="77777777" w:rsidTr="008B65D3">
        <w:tc>
          <w:tcPr>
            <w:tcW w:w="0" w:type="auto"/>
            <w:vAlign w:val="center"/>
            <w:hideMark/>
          </w:tcPr>
          <w:p w14:paraId="485E9A5F"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28</w:t>
            </w:r>
          </w:p>
        </w:tc>
        <w:tc>
          <w:tcPr>
            <w:tcW w:w="0" w:type="auto"/>
            <w:vAlign w:val="center"/>
            <w:hideMark/>
          </w:tcPr>
          <w:p w14:paraId="0A9B45F2"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تحديث التحليل البيئي بشكل دوري لمواكبة المتغيرات المستجدة</w:t>
            </w:r>
            <w:r w:rsidRPr="003D1437">
              <w:rPr>
                <w:rFonts w:ascii="Traditional Arabic" w:hAnsi="Traditional Arabic" w:cs="Traditional Arabic"/>
                <w:sz w:val="28"/>
                <w:szCs w:val="28"/>
              </w:rPr>
              <w:t>.</w:t>
            </w:r>
          </w:p>
        </w:tc>
        <w:tc>
          <w:tcPr>
            <w:tcW w:w="0" w:type="auto"/>
            <w:vAlign w:val="center"/>
            <w:hideMark/>
          </w:tcPr>
          <w:p w14:paraId="01D715B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695EF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C6D97E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6A60A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30A9C6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EDCCB4B" w14:textId="77777777" w:rsidTr="00BD19C8">
        <w:tc>
          <w:tcPr>
            <w:tcW w:w="0" w:type="auto"/>
            <w:gridSpan w:val="7"/>
            <w:vAlign w:val="center"/>
            <w:hideMark/>
          </w:tcPr>
          <w:p w14:paraId="7033D0C3" w14:textId="341BD803"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2. كفاءة صياغة الأهداف الاستراتيجية</w:t>
            </w:r>
          </w:p>
        </w:tc>
      </w:tr>
      <w:tr w:rsidR="00BF2DEE" w:rsidRPr="003D1437" w14:paraId="3225C2FB" w14:textId="77777777" w:rsidTr="008B65D3">
        <w:tc>
          <w:tcPr>
            <w:tcW w:w="0" w:type="auto"/>
            <w:vAlign w:val="center"/>
            <w:hideMark/>
          </w:tcPr>
          <w:p w14:paraId="476FB8DD"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29</w:t>
            </w:r>
          </w:p>
        </w:tc>
        <w:tc>
          <w:tcPr>
            <w:tcW w:w="0" w:type="auto"/>
            <w:vAlign w:val="center"/>
            <w:hideMark/>
          </w:tcPr>
          <w:p w14:paraId="26D690CA" w14:textId="494652E1"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تُصاغ الأهداف الاستراتيجية للإدارة بوضوح وتحديد (</w:t>
            </w:r>
            <w:r w:rsidRPr="003D1437">
              <w:rPr>
                <w:rFonts w:ascii="Traditional Arabic" w:hAnsi="Traditional Arabic" w:cs="Traditional Arabic"/>
                <w:sz w:val="28"/>
                <w:szCs w:val="28"/>
              </w:rPr>
              <w:t>Specific</w:t>
            </w:r>
            <w:r w:rsidRPr="003D1437">
              <w:rPr>
                <w:rFonts w:ascii="Traditional Arabic" w:hAnsi="Traditional Arabic" w:cs="Traditional Arabic"/>
                <w:sz w:val="28"/>
                <w:szCs w:val="28"/>
                <w:rtl/>
              </w:rPr>
              <w:t>).</w:t>
            </w:r>
          </w:p>
        </w:tc>
        <w:tc>
          <w:tcPr>
            <w:tcW w:w="0" w:type="auto"/>
            <w:vAlign w:val="center"/>
            <w:hideMark/>
          </w:tcPr>
          <w:p w14:paraId="107D6AF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67CD6C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E4761D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2142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4C174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86FA599" w14:textId="77777777" w:rsidTr="008B65D3">
        <w:tc>
          <w:tcPr>
            <w:tcW w:w="0" w:type="auto"/>
            <w:vAlign w:val="center"/>
            <w:hideMark/>
          </w:tcPr>
          <w:p w14:paraId="6DB5D60C"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30</w:t>
            </w:r>
          </w:p>
        </w:tc>
        <w:tc>
          <w:tcPr>
            <w:tcW w:w="0" w:type="auto"/>
            <w:vAlign w:val="center"/>
            <w:hideMark/>
          </w:tcPr>
          <w:p w14:paraId="2B155019" w14:textId="0942E420"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تكون الأهداف الاستراتيجية قابلة للقياس (</w:t>
            </w:r>
            <w:r w:rsidRPr="003D1437">
              <w:rPr>
                <w:rFonts w:ascii="Traditional Arabic" w:hAnsi="Traditional Arabic" w:cs="Traditional Arabic"/>
                <w:sz w:val="28"/>
                <w:szCs w:val="28"/>
              </w:rPr>
              <w:t>Measurable</w:t>
            </w:r>
            <w:r w:rsidRPr="003D1437">
              <w:rPr>
                <w:rFonts w:ascii="Traditional Arabic" w:hAnsi="Traditional Arabic" w:cs="Traditional Arabic"/>
                <w:sz w:val="28"/>
                <w:szCs w:val="28"/>
                <w:rtl/>
              </w:rPr>
              <w:t>) بمؤشرات واضحة.</w:t>
            </w:r>
          </w:p>
        </w:tc>
        <w:tc>
          <w:tcPr>
            <w:tcW w:w="0" w:type="auto"/>
            <w:vAlign w:val="center"/>
            <w:hideMark/>
          </w:tcPr>
          <w:p w14:paraId="6BAE978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F8556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F173B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EFF8E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E2CD18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C61D1F8" w14:textId="77777777" w:rsidTr="008B65D3">
        <w:tc>
          <w:tcPr>
            <w:tcW w:w="0" w:type="auto"/>
            <w:vAlign w:val="center"/>
            <w:hideMark/>
          </w:tcPr>
          <w:p w14:paraId="6E30D23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31</w:t>
            </w:r>
          </w:p>
        </w:tc>
        <w:tc>
          <w:tcPr>
            <w:tcW w:w="0" w:type="auto"/>
            <w:vAlign w:val="center"/>
            <w:hideMark/>
          </w:tcPr>
          <w:p w14:paraId="35724001" w14:textId="78CFC609"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تتسم الأهداف الاستراتيجية بالواقعية وقابلية التحقيق (</w:t>
            </w:r>
            <w:r w:rsidRPr="003D1437">
              <w:rPr>
                <w:rFonts w:ascii="Traditional Arabic" w:hAnsi="Traditional Arabic" w:cs="Traditional Arabic"/>
                <w:sz w:val="28"/>
                <w:szCs w:val="28"/>
              </w:rPr>
              <w:t>Achievable</w:t>
            </w:r>
            <w:r w:rsidRPr="003D1437">
              <w:rPr>
                <w:rFonts w:ascii="Traditional Arabic" w:hAnsi="Traditional Arabic" w:cs="Traditional Arabic"/>
                <w:sz w:val="28"/>
                <w:szCs w:val="28"/>
                <w:rtl/>
              </w:rPr>
              <w:t>) في ظل الموارد المتاحة.</w:t>
            </w:r>
          </w:p>
        </w:tc>
        <w:tc>
          <w:tcPr>
            <w:tcW w:w="0" w:type="auto"/>
            <w:vAlign w:val="center"/>
            <w:hideMark/>
          </w:tcPr>
          <w:p w14:paraId="7B0E45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8273E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A5107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774FA2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AD4CA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67EF8EA" w14:textId="77777777" w:rsidTr="008B65D3">
        <w:tc>
          <w:tcPr>
            <w:tcW w:w="0" w:type="auto"/>
            <w:vAlign w:val="center"/>
            <w:hideMark/>
          </w:tcPr>
          <w:p w14:paraId="4FC0FF5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32</w:t>
            </w:r>
          </w:p>
        </w:tc>
        <w:tc>
          <w:tcPr>
            <w:tcW w:w="0" w:type="auto"/>
            <w:vAlign w:val="center"/>
            <w:hideMark/>
          </w:tcPr>
          <w:p w14:paraId="08557668" w14:textId="53100AA9"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ترتبط الأهداف الاستراتيجية بشكل مباشر برؤية ورسالة الإدارة (</w:t>
            </w:r>
            <w:r w:rsidRPr="003D1437">
              <w:rPr>
                <w:rFonts w:ascii="Traditional Arabic" w:hAnsi="Traditional Arabic" w:cs="Traditional Arabic"/>
                <w:sz w:val="28"/>
                <w:szCs w:val="28"/>
              </w:rPr>
              <w:t>Relevant</w:t>
            </w:r>
            <w:r w:rsidRPr="003D1437">
              <w:rPr>
                <w:rFonts w:ascii="Traditional Arabic" w:hAnsi="Traditional Arabic" w:cs="Traditional Arabic"/>
                <w:sz w:val="28"/>
                <w:szCs w:val="28"/>
                <w:rtl/>
              </w:rPr>
              <w:t>).</w:t>
            </w:r>
          </w:p>
        </w:tc>
        <w:tc>
          <w:tcPr>
            <w:tcW w:w="0" w:type="auto"/>
            <w:vAlign w:val="center"/>
            <w:hideMark/>
          </w:tcPr>
          <w:p w14:paraId="51AC391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1701D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AF8BA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8E202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74236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A23AB51" w14:textId="77777777" w:rsidTr="008B65D3">
        <w:tc>
          <w:tcPr>
            <w:tcW w:w="0" w:type="auto"/>
            <w:vAlign w:val="center"/>
            <w:hideMark/>
          </w:tcPr>
          <w:p w14:paraId="7020026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33</w:t>
            </w:r>
          </w:p>
        </w:tc>
        <w:tc>
          <w:tcPr>
            <w:tcW w:w="0" w:type="auto"/>
            <w:vAlign w:val="center"/>
            <w:hideMark/>
          </w:tcPr>
          <w:p w14:paraId="485182E9" w14:textId="659B1E3E"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تحديد إطار زمني واضح (</w:t>
            </w:r>
            <w:r w:rsidRPr="003D1437">
              <w:rPr>
                <w:rFonts w:ascii="Traditional Arabic" w:hAnsi="Traditional Arabic" w:cs="Traditional Arabic"/>
                <w:sz w:val="28"/>
                <w:szCs w:val="28"/>
              </w:rPr>
              <w:t>Time-bound</w:t>
            </w:r>
            <w:r w:rsidRPr="003D1437">
              <w:rPr>
                <w:rFonts w:ascii="Traditional Arabic" w:hAnsi="Traditional Arabic" w:cs="Traditional Arabic"/>
                <w:sz w:val="28"/>
                <w:szCs w:val="28"/>
                <w:rtl/>
              </w:rPr>
              <w:t>) لتحقيق كل هدف استراتيجي.</w:t>
            </w:r>
          </w:p>
        </w:tc>
        <w:tc>
          <w:tcPr>
            <w:tcW w:w="0" w:type="auto"/>
            <w:vAlign w:val="center"/>
            <w:hideMark/>
          </w:tcPr>
          <w:p w14:paraId="7A17F09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76E4A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2E628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86FE6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D9BC9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8043B97" w14:textId="77777777" w:rsidTr="00A77881">
        <w:tc>
          <w:tcPr>
            <w:tcW w:w="0" w:type="auto"/>
            <w:gridSpan w:val="7"/>
            <w:vAlign w:val="center"/>
            <w:hideMark/>
          </w:tcPr>
          <w:p w14:paraId="2C4902FC" w14:textId="31CDDE68"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3. كفاءة التنفيذ والمتابعة</w:t>
            </w:r>
          </w:p>
        </w:tc>
      </w:tr>
      <w:tr w:rsidR="00BF2DEE" w:rsidRPr="003D1437" w14:paraId="0B1773A4" w14:textId="77777777" w:rsidTr="008B65D3">
        <w:tc>
          <w:tcPr>
            <w:tcW w:w="0" w:type="auto"/>
            <w:vAlign w:val="center"/>
            <w:hideMark/>
          </w:tcPr>
          <w:p w14:paraId="256ED29E"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34</w:t>
            </w:r>
          </w:p>
        </w:tc>
        <w:tc>
          <w:tcPr>
            <w:tcW w:w="0" w:type="auto"/>
            <w:vAlign w:val="center"/>
            <w:hideMark/>
          </w:tcPr>
          <w:p w14:paraId="45890D4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تحويل الأهداف الاستراتيجية إلى خطط عمل تنفيذية مفصلة وواضحة</w:t>
            </w:r>
            <w:r w:rsidRPr="003D1437">
              <w:rPr>
                <w:rFonts w:ascii="Traditional Arabic" w:hAnsi="Traditional Arabic" w:cs="Traditional Arabic"/>
                <w:sz w:val="28"/>
                <w:szCs w:val="28"/>
              </w:rPr>
              <w:t>.</w:t>
            </w:r>
          </w:p>
        </w:tc>
        <w:tc>
          <w:tcPr>
            <w:tcW w:w="0" w:type="auto"/>
            <w:vAlign w:val="center"/>
            <w:hideMark/>
          </w:tcPr>
          <w:p w14:paraId="35D05DA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A4995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69C879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0B4B0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B3AB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80E69C3" w14:textId="77777777" w:rsidTr="008B65D3">
        <w:tc>
          <w:tcPr>
            <w:tcW w:w="0" w:type="auto"/>
            <w:vAlign w:val="center"/>
            <w:hideMark/>
          </w:tcPr>
          <w:p w14:paraId="1DBC1E2A"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35</w:t>
            </w:r>
          </w:p>
        </w:tc>
        <w:tc>
          <w:tcPr>
            <w:tcW w:w="0" w:type="auto"/>
            <w:vAlign w:val="center"/>
            <w:hideMark/>
          </w:tcPr>
          <w:p w14:paraId="6470DA5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تُحدد المسؤوليات والجداول الزمنية بوضوح لتنفيذ المبادرات الاستراتيجية</w:t>
            </w:r>
            <w:r w:rsidRPr="003D1437">
              <w:rPr>
                <w:rFonts w:ascii="Traditional Arabic" w:hAnsi="Traditional Arabic" w:cs="Traditional Arabic"/>
                <w:sz w:val="28"/>
                <w:szCs w:val="28"/>
              </w:rPr>
              <w:t>.</w:t>
            </w:r>
          </w:p>
        </w:tc>
        <w:tc>
          <w:tcPr>
            <w:tcW w:w="0" w:type="auto"/>
            <w:vAlign w:val="center"/>
            <w:hideMark/>
          </w:tcPr>
          <w:p w14:paraId="5875CD7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584A7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70D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F28D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1DDE10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7BB11F1" w14:textId="77777777" w:rsidTr="008B65D3">
        <w:tc>
          <w:tcPr>
            <w:tcW w:w="0" w:type="auto"/>
            <w:vAlign w:val="center"/>
            <w:hideMark/>
          </w:tcPr>
          <w:p w14:paraId="3BFC3BBA"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36</w:t>
            </w:r>
          </w:p>
        </w:tc>
        <w:tc>
          <w:tcPr>
            <w:tcW w:w="0" w:type="auto"/>
            <w:vAlign w:val="center"/>
            <w:hideMark/>
          </w:tcPr>
          <w:p w14:paraId="57A41096" w14:textId="06EA2018"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استخدام مؤشرات أداء رئيسية (</w:t>
            </w:r>
            <w:r w:rsidRPr="003D1437">
              <w:rPr>
                <w:rFonts w:ascii="Traditional Arabic" w:hAnsi="Traditional Arabic" w:cs="Traditional Arabic"/>
                <w:sz w:val="28"/>
                <w:szCs w:val="28"/>
              </w:rPr>
              <w:t>KPIs</w:t>
            </w:r>
            <w:r w:rsidRPr="003D1437">
              <w:rPr>
                <w:rFonts w:ascii="Traditional Arabic" w:hAnsi="Traditional Arabic" w:cs="Traditional Arabic"/>
                <w:sz w:val="28"/>
                <w:szCs w:val="28"/>
                <w:rtl/>
              </w:rPr>
              <w:t>) فعالة لمتابعة التقدم نحو تحقيق الأهداف.</w:t>
            </w:r>
          </w:p>
        </w:tc>
        <w:tc>
          <w:tcPr>
            <w:tcW w:w="0" w:type="auto"/>
            <w:vAlign w:val="center"/>
            <w:hideMark/>
          </w:tcPr>
          <w:p w14:paraId="4C1D2CF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5233A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95660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78609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1DEA8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619E2F4D" w14:textId="77777777" w:rsidTr="008B65D3">
        <w:tc>
          <w:tcPr>
            <w:tcW w:w="0" w:type="auto"/>
            <w:vAlign w:val="center"/>
            <w:hideMark/>
          </w:tcPr>
          <w:p w14:paraId="2EAC01D0"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37</w:t>
            </w:r>
          </w:p>
        </w:tc>
        <w:tc>
          <w:tcPr>
            <w:tcW w:w="0" w:type="auto"/>
            <w:vAlign w:val="center"/>
            <w:hideMark/>
          </w:tcPr>
          <w:p w14:paraId="60870ED9"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توجد آلية منتظمة لمراجعة الأداء وتقديم التقارير حول مدى التقدم في تنفيذ الخطة</w:t>
            </w:r>
            <w:r w:rsidRPr="003D1437">
              <w:rPr>
                <w:rFonts w:ascii="Traditional Arabic" w:hAnsi="Traditional Arabic" w:cs="Traditional Arabic"/>
                <w:sz w:val="28"/>
                <w:szCs w:val="28"/>
              </w:rPr>
              <w:t>.</w:t>
            </w:r>
          </w:p>
        </w:tc>
        <w:tc>
          <w:tcPr>
            <w:tcW w:w="0" w:type="auto"/>
            <w:vAlign w:val="center"/>
            <w:hideMark/>
          </w:tcPr>
          <w:p w14:paraId="38517BF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0DFF9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12E83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562A3A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DF1B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BB9A6E9" w14:textId="77777777" w:rsidTr="008B65D3">
        <w:tc>
          <w:tcPr>
            <w:tcW w:w="0" w:type="auto"/>
            <w:vAlign w:val="center"/>
            <w:hideMark/>
          </w:tcPr>
          <w:p w14:paraId="0C897D8F"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38</w:t>
            </w:r>
          </w:p>
        </w:tc>
        <w:tc>
          <w:tcPr>
            <w:tcW w:w="0" w:type="auto"/>
            <w:vAlign w:val="center"/>
            <w:hideMark/>
          </w:tcPr>
          <w:p w14:paraId="246BA059"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اتخاذ إجراءات تصحيحية مناسبة عند حدوث انحرافات عن الخطة الاستراتيجية</w:t>
            </w:r>
            <w:r w:rsidRPr="003D1437">
              <w:rPr>
                <w:rFonts w:ascii="Traditional Arabic" w:hAnsi="Traditional Arabic" w:cs="Traditional Arabic"/>
                <w:sz w:val="28"/>
                <w:szCs w:val="28"/>
              </w:rPr>
              <w:t>.</w:t>
            </w:r>
          </w:p>
        </w:tc>
        <w:tc>
          <w:tcPr>
            <w:tcW w:w="0" w:type="auto"/>
            <w:vAlign w:val="center"/>
            <w:hideMark/>
          </w:tcPr>
          <w:p w14:paraId="4FF33FE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E7B5B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33392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24307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63E79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90790C5" w14:textId="77777777" w:rsidTr="00990852">
        <w:tc>
          <w:tcPr>
            <w:tcW w:w="0" w:type="auto"/>
            <w:gridSpan w:val="7"/>
            <w:vAlign w:val="center"/>
            <w:hideMark/>
          </w:tcPr>
          <w:p w14:paraId="05A86A6D" w14:textId="6F44A0DB"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4. كفاءة تخصيص الموارد</w:t>
            </w:r>
          </w:p>
        </w:tc>
      </w:tr>
      <w:tr w:rsidR="00BF2DEE" w:rsidRPr="003D1437" w14:paraId="59B23915" w14:textId="77777777" w:rsidTr="008B65D3">
        <w:tc>
          <w:tcPr>
            <w:tcW w:w="0" w:type="auto"/>
            <w:vAlign w:val="center"/>
            <w:hideMark/>
          </w:tcPr>
          <w:p w14:paraId="22499FBF"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39</w:t>
            </w:r>
          </w:p>
        </w:tc>
        <w:tc>
          <w:tcPr>
            <w:tcW w:w="0" w:type="auto"/>
            <w:vAlign w:val="center"/>
            <w:hideMark/>
          </w:tcPr>
          <w:p w14:paraId="074A9A63"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تخصيص الموارد المالية والبشرية بما يتوافق مع الأولويات المحددة في الخطة الاستراتيجية</w:t>
            </w:r>
            <w:r w:rsidRPr="003D1437">
              <w:rPr>
                <w:rFonts w:ascii="Traditional Arabic" w:hAnsi="Traditional Arabic" w:cs="Traditional Arabic"/>
                <w:sz w:val="28"/>
                <w:szCs w:val="28"/>
              </w:rPr>
              <w:t>.</w:t>
            </w:r>
          </w:p>
        </w:tc>
        <w:tc>
          <w:tcPr>
            <w:tcW w:w="0" w:type="auto"/>
            <w:vAlign w:val="center"/>
            <w:hideMark/>
          </w:tcPr>
          <w:p w14:paraId="54116E4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BF867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D9718D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A0C91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507C0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A91464F" w14:textId="77777777" w:rsidTr="008B65D3">
        <w:tc>
          <w:tcPr>
            <w:tcW w:w="0" w:type="auto"/>
            <w:vAlign w:val="center"/>
            <w:hideMark/>
          </w:tcPr>
          <w:p w14:paraId="2544CB40"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40</w:t>
            </w:r>
          </w:p>
        </w:tc>
        <w:tc>
          <w:tcPr>
            <w:tcW w:w="0" w:type="auto"/>
            <w:vAlign w:val="center"/>
            <w:hideMark/>
          </w:tcPr>
          <w:p w14:paraId="432895D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الموارد المتاحة بكفاءة لتعظيم النتائج المحققة من الخطة الاستراتيجية</w:t>
            </w:r>
            <w:r w:rsidRPr="003D1437">
              <w:rPr>
                <w:rFonts w:ascii="Traditional Arabic" w:hAnsi="Traditional Arabic" w:cs="Traditional Arabic"/>
                <w:sz w:val="28"/>
                <w:szCs w:val="28"/>
              </w:rPr>
              <w:t>.</w:t>
            </w:r>
          </w:p>
        </w:tc>
        <w:tc>
          <w:tcPr>
            <w:tcW w:w="0" w:type="auto"/>
            <w:vAlign w:val="center"/>
            <w:hideMark/>
          </w:tcPr>
          <w:p w14:paraId="0709BF9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C07ACD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7E9BA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2656E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E15BF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1608614F" w14:textId="77777777" w:rsidTr="008B65D3">
        <w:tc>
          <w:tcPr>
            <w:tcW w:w="0" w:type="auto"/>
            <w:vAlign w:val="center"/>
            <w:hideMark/>
          </w:tcPr>
          <w:p w14:paraId="0242EDB0"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41</w:t>
            </w:r>
          </w:p>
        </w:tc>
        <w:tc>
          <w:tcPr>
            <w:tcW w:w="0" w:type="auto"/>
            <w:vAlign w:val="center"/>
            <w:hideMark/>
          </w:tcPr>
          <w:p w14:paraId="49B3B884"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يوجد توازن بين الأهداف الاستراتيجية الطموحة والموارد المتاحة لتحقيقها</w:t>
            </w:r>
            <w:r w:rsidRPr="003D1437">
              <w:rPr>
                <w:rFonts w:ascii="Traditional Arabic" w:hAnsi="Traditional Arabic" w:cs="Traditional Arabic"/>
                <w:sz w:val="28"/>
                <w:szCs w:val="28"/>
              </w:rPr>
              <w:t>.</w:t>
            </w:r>
          </w:p>
        </w:tc>
        <w:tc>
          <w:tcPr>
            <w:tcW w:w="0" w:type="auto"/>
            <w:vAlign w:val="center"/>
            <w:hideMark/>
          </w:tcPr>
          <w:p w14:paraId="0EBA771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77B71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B7283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8DED4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D4212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7E5F28F" w14:textId="77777777" w:rsidTr="008B65D3">
        <w:tc>
          <w:tcPr>
            <w:tcW w:w="0" w:type="auto"/>
            <w:vAlign w:val="center"/>
            <w:hideMark/>
          </w:tcPr>
          <w:p w14:paraId="5A89D78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42</w:t>
            </w:r>
          </w:p>
        </w:tc>
        <w:tc>
          <w:tcPr>
            <w:tcW w:w="0" w:type="auto"/>
            <w:vAlign w:val="center"/>
            <w:hideMark/>
          </w:tcPr>
          <w:p w14:paraId="07975460"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تتم عملية تخصيص الموارد بشفافية ووفق معايير واضحة</w:t>
            </w:r>
            <w:r w:rsidRPr="003D1437">
              <w:rPr>
                <w:rFonts w:ascii="Traditional Arabic" w:hAnsi="Traditional Arabic" w:cs="Traditional Arabic"/>
                <w:sz w:val="28"/>
                <w:szCs w:val="28"/>
              </w:rPr>
              <w:t>.</w:t>
            </w:r>
          </w:p>
        </w:tc>
        <w:tc>
          <w:tcPr>
            <w:tcW w:w="0" w:type="auto"/>
            <w:vAlign w:val="center"/>
            <w:hideMark/>
          </w:tcPr>
          <w:p w14:paraId="538C93C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0D4B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1FC92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74FD8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2E7FB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8B65D3" w:rsidRPr="003D1437" w14:paraId="2A545410" w14:textId="77777777" w:rsidTr="008B65D3">
        <w:tc>
          <w:tcPr>
            <w:tcW w:w="0" w:type="auto"/>
            <w:vAlign w:val="center"/>
            <w:hideMark/>
          </w:tcPr>
          <w:p w14:paraId="2B972D7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43</w:t>
            </w:r>
          </w:p>
        </w:tc>
        <w:tc>
          <w:tcPr>
            <w:tcW w:w="0" w:type="auto"/>
            <w:vAlign w:val="center"/>
            <w:hideMark/>
          </w:tcPr>
          <w:p w14:paraId="4B0EC8D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يمكن إعادة تخصيص الموارد بمرونة نسبيًا للاستجابة للتغيرات الطارئة أو الفرص الجديدة</w:t>
            </w:r>
            <w:r w:rsidRPr="003D1437">
              <w:rPr>
                <w:rFonts w:ascii="Traditional Arabic" w:hAnsi="Traditional Arabic" w:cs="Traditional Arabic"/>
                <w:sz w:val="28"/>
                <w:szCs w:val="28"/>
              </w:rPr>
              <w:t>.</w:t>
            </w:r>
          </w:p>
        </w:tc>
        <w:tc>
          <w:tcPr>
            <w:tcW w:w="0" w:type="auto"/>
            <w:vAlign w:val="center"/>
            <w:hideMark/>
          </w:tcPr>
          <w:p w14:paraId="113AD8C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9B6F3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063C7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9497C0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276B8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bl>
    <w:p w14:paraId="48D354D6" w14:textId="77777777" w:rsidR="0091737E" w:rsidRPr="003D1437" w:rsidRDefault="0091737E" w:rsidP="008B65D3">
      <w:pPr>
        <w:bidi/>
        <w:jc w:val="lowKashida"/>
        <w:rPr>
          <w:rFonts w:ascii="Traditional Arabic" w:hAnsi="Traditional Arabic" w:cs="Traditional Arabic"/>
          <w:sz w:val="28"/>
          <w:szCs w:val="28"/>
          <w:rtl/>
        </w:rPr>
      </w:pPr>
    </w:p>
    <w:sectPr w:rsidR="0091737E" w:rsidRPr="003D14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32D32" w14:textId="77777777" w:rsidR="00B1051C" w:rsidRDefault="00B1051C" w:rsidP="005C37C8">
      <w:pPr>
        <w:spacing w:after="0" w:line="240" w:lineRule="auto"/>
      </w:pPr>
      <w:r>
        <w:separator/>
      </w:r>
    </w:p>
  </w:endnote>
  <w:endnote w:type="continuationSeparator" w:id="0">
    <w:p w14:paraId="400EDC81" w14:textId="77777777" w:rsidR="00B1051C" w:rsidRDefault="00B1051C" w:rsidP="005C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42555"/>
      <w:docPartObj>
        <w:docPartGallery w:val="Page Numbers (Bottom of Page)"/>
        <w:docPartUnique/>
      </w:docPartObj>
    </w:sdtPr>
    <w:sdtEndPr>
      <w:rPr>
        <w:noProof/>
      </w:rPr>
    </w:sdtEndPr>
    <w:sdtContent>
      <w:p w14:paraId="4B34A03D" w14:textId="0FD63485" w:rsidR="005C37C8" w:rsidRDefault="005C37C8" w:rsidP="005C3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7FF48" w14:textId="77777777" w:rsidR="00B1051C" w:rsidRDefault="00B1051C" w:rsidP="005C37C8">
      <w:pPr>
        <w:spacing w:after="0" w:line="240" w:lineRule="auto"/>
      </w:pPr>
      <w:r>
        <w:separator/>
      </w:r>
    </w:p>
  </w:footnote>
  <w:footnote w:type="continuationSeparator" w:id="0">
    <w:p w14:paraId="3F77FAE8" w14:textId="77777777" w:rsidR="00B1051C" w:rsidRDefault="00B1051C" w:rsidP="005C3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7134"/>
    <w:multiLevelType w:val="multilevel"/>
    <w:tmpl w:val="4484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A30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B6FB6"/>
    <w:multiLevelType w:val="multilevel"/>
    <w:tmpl w:val="DA4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06F93"/>
    <w:multiLevelType w:val="multilevel"/>
    <w:tmpl w:val="48820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1455D3"/>
    <w:multiLevelType w:val="multilevel"/>
    <w:tmpl w:val="7386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9329C"/>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16E1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D86010"/>
    <w:multiLevelType w:val="multilevel"/>
    <w:tmpl w:val="2094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73058D"/>
    <w:multiLevelType w:val="multilevel"/>
    <w:tmpl w:val="5DF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B7515"/>
    <w:multiLevelType w:val="multilevel"/>
    <w:tmpl w:val="F4C4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3099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C7BB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6B3043"/>
    <w:multiLevelType w:val="multilevel"/>
    <w:tmpl w:val="4E14D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1E0298"/>
    <w:multiLevelType w:val="multilevel"/>
    <w:tmpl w:val="5D4C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90D5F"/>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4624D4"/>
    <w:multiLevelType w:val="multilevel"/>
    <w:tmpl w:val="1EC61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980638"/>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47322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D429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130AA2"/>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8658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EB478C"/>
    <w:multiLevelType w:val="multilevel"/>
    <w:tmpl w:val="F1F4D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915D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BE2E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5A08EB"/>
    <w:multiLevelType w:val="multilevel"/>
    <w:tmpl w:val="AEF6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A342D1"/>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76721A"/>
    <w:multiLevelType w:val="hybridMultilevel"/>
    <w:tmpl w:val="3E2A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7B72A9"/>
    <w:multiLevelType w:val="multilevel"/>
    <w:tmpl w:val="20E4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345F02"/>
    <w:multiLevelType w:val="multilevel"/>
    <w:tmpl w:val="306A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3B04E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6649B7"/>
    <w:multiLevelType w:val="multilevel"/>
    <w:tmpl w:val="7D70D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EC55C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1D0C67"/>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613BCF"/>
    <w:multiLevelType w:val="hybridMultilevel"/>
    <w:tmpl w:val="50BCA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8E0F53"/>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060240"/>
    <w:multiLevelType w:val="multilevel"/>
    <w:tmpl w:val="1006120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A1301C"/>
    <w:multiLevelType w:val="multilevel"/>
    <w:tmpl w:val="DB1EC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3C3"/>
    <w:multiLevelType w:val="multilevel"/>
    <w:tmpl w:val="10F4D67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B3466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C2B2B"/>
    <w:multiLevelType w:val="multilevel"/>
    <w:tmpl w:val="B2E0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2085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E803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EF48BF"/>
    <w:multiLevelType w:val="multilevel"/>
    <w:tmpl w:val="00225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860F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FB1A52"/>
    <w:multiLevelType w:val="multilevel"/>
    <w:tmpl w:val="CD3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B463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243F1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D278F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6A5174"/>
    <w:multiLevelType w:val="multilevel"/>
    <w:tmpl w:val="4170B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0411102">
    <w:abstractNumId w:val="26"/>
  </w:num>
  <w:num w:numId="2" w16cid:durableId="271598070">
    <w:abstractNumId w:val="45"/>
  </w:num>
  <w:num w:numId="3" w16cid:durableId="1268930141">
    <w:abstractNumId w:val="23"/>
  </w:num>
  <w:num w:numId="4" w16cid:durableId="1575164685">
    <w:abstractNumId w:val="46"/>
  </w:num>
  <w:num w:numId="5" w16cid:durableId="1554390055">
    <w:abstractNumId w:val="41"/>
  </w:num>
  <w:num w:numId="6" w16cid:durableId="682975598">
    <w:abstractNumId w:val="14"/>
  </w:num>
  <w:num w:numId="7" w16cid:durableId="293953918">
    <w:abstractNumId w:val="40"/>
  </w:num>
  <w:num w:numId="8" w16cid:durableId="277220176">
    <w:abstractNumId w:val="38"/>
  </w:num>
  <w:num w:numId="9" w16cid:durableId="220337310">
    <w:abstractNumId w:val="6"/>
  </w:num>
  <w:num w:numId="10" w16cid:durableId="713432818">
    <w:abstractNumId w:val="11"/>
  </w:num>
  <w:num w:numId="11" w16cid:durableId="1997369416">
    <w:abstractNumId w:val="32"/>
  </w:num>
  <w:num w:numId="12" w16cid:durableId="547955890">
    <w:abstractNumId w:val="34"/>
  </w:num>
  <w:num w:numId="13" w16cid:durableId="1422607362">
    <w:abstractNumId w:val="5"/>
  </w:num>
  <w:num w:numId="14" w16cid:durableId="753433583">
    <w:abstractNumId w:val="19"/>
  </w:num>
  <w:num w:numId="15" w16cid:durableId="1054886545">
    <w:abstractNumId w:val="22"/>
  </w:num>
  <w:num w:numId="16" w16cid:durableId="1287197188">
    <w:abstractNumId w:val="31"/>
  </w:num>
  <w:num w:numId="17" w16cid:durableId="1775437556">
    <w:abstractNumId w:val="29"/>
  </w:num>
  <w:num w:numId="18" w16cid:durableId="1343774105">
    <w:abstractNumId w:val="47"/>
  </w:num>
  <w:num w:numId="19" w16cid:durableId="1633442138">
    <w:abstractNumId w:val="1"/>
  </w:num>
  <w:num w:numId="20" w16cid:durableId="23679739">
    <w:abstractNumId w:val="10"/>
  </w:num>
  <w:num w:numId="21" w16cid:durableId="923687918">
    <w:abstractNumId w:val="18"/>
  </w:num>
  <w:num w:numId="22" w16cid:durableId="1582642942">
    <w:abstractNumId w:val="43"/>
  </w:num>
  <w:num w:numId="23" w16cid:durableId="1803501733">
    <w:abstractNumId w:val="25"/>
  </w:num>
  <w:num w:numId="24" w16cid:durableId="823200463">
    <w:abstractNumId w:val="16"/>
  </w:num>
  <w:num w:numId="25" w16cid:durableId="1042245654">
    <w:abstractNumId w:val="17"/>
  </w:num>
  <w:num w:numId="26" w16cid:durableId="1159269882">
    <w:abstractNumId w:val="20"/>
  </w:num>
  <w:num w:numId="27" w16cid:durableId="1220902328">
    <w:abstractNumId w:val="39"/>
  </w:num>
  <w:num w:numId="28" w16cid:durableId="1267498259">
    <w:abstractNumId w:val="24"/>
  </w:num>
  <w:num w:numId="29" w16cid:durableId="1818648265">
    <w:abstractNumId w:val="7"/>
  </w:num>
  <w:num w:numId="30" w16cid:durableId="780223382">
    <w:abstractNumId w:val="44"/>
  </w:num>
  <w:num w:numId="31" w16cid:durableId="1840077899">
    <w:abstractNumId w:val="9"/>
  </w:num>
  <w:num w:numId="32" w16cid:durableId="1360469348">
    <w:abstractNumId w:val="2"/>
  </w:num>
  <w:num w:numId="33" w16cid:durableId="1385955491">
    <w:abstractNumId w:val="13"/>
  </w:num>
  <w:num w:numId="34" w16cid:durableId="1882865932">
    <w:abstractNumId w:val="27"/>
  </w:num>
  <w:num w:numId="35" w16cid:durableId="13961760">
    <w:abstractNumId w:val="30"/>
  </w:num>
  <w:num w:numId="36" w16cid:durableId="287510343">
    <w:abstractNumId w:val="8"/>
  </w:num>
  <w:num w:numId="37" w16cid:durableId="1616864786">
    <w:abstractNumId w:val="12"/>
  </w:num>
  <w:num w:numId="38" w16cid:durableId="1953131186">
    <w:abstractNumId w:val="28"/>
  </w:num>
  <w:num w:numId="39" w16cid:durableId="1472362380">
    <w:abstractNumId w:val="48"/>
  </w:num>
  <w:num w:numId="40" w16cid:durableId="1128013551">
    <w:abstractNumId w:val="3"/>
  </w:num>
  <w:num w:numId="41" w16cid:durableId="2132705219">
    <w:abstractNumId w:val="36"/>
  </w:num>
  <w:num w:numId="42" w16cid:durableId="330304235">
    <w:abstractNumId w:val="15"/>
  </w:num>
  <w:num w:numId="43" w16cid:durableId="1377774751">
    <w:abstractNumId w:val="4"/>
  </w:num>
  <w:num w:numId="44" w16cid:durableId="1975865598">
    <w:abstractNumId w:val="0"/>
  </w:num>
  <w:num w:numId="45" w16cid:durableId="1777171104">
    <w:abstractNumId w:val="37"/>
  </w:num>
  <w:num w:numId="46" w16cid:durableId="1848522350">
    <w:abstractNumId w:val="21"/>
  </w:num>
  <w:num w:numId="47" w16cid:durableId="1372921192">
    <w:abstractNumId w:val="35"/>
  </w:num>
  <w:num w:numId="48" w16cid:durableId="320432127">
    <w:abstractNumId w:val="33"/>
  </w:num>
  <w:num w:numId="49" w16cid:durableId="2069109577">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F9"/>
    <w:rsid w:val="00002D2B"/>
    <w:rsid w:val="0003532A"/>
    <w:rsid w:val="0006431E"/>
    <w:rsid w:val="00066378"/>
    <w:rsid w:val="000666ED"/>
    <w:rsid w:val="00070C7C"/>
    <w:rsid w:val="00071B42"/>
    <w:rsid w:val="00082560"/>
    <w:rsid w:val="00083C8B"/>
    <w:rsid w:val="00096382"/>
    <w:rsid w:val="000C3177"/>
    <w:rsid w:val="000D6BB4"/>
    <w:rsid w:val="000F3B52"/>
    <w:rsid w:val="00106E8D"/>
    <w:rsid w:val="00117783"/>
    <w:rsid w:val="001210DB"/>
    <w:rsid w:val="00142594"/>
    <w:rsid w:val="00151DC2"/>
    <w:rsid w:val="00154EE3"/>
    <w:rsid w:val="00164577"/>
    <w:rsid w:val="001765DD"/>
    <w:rsid w:val="00183F07"/>
    <w:rsid w:val="001905B9"/>
    <w:rsid w:val="00191E67"/>
    <w:rsid w:val="001B36C1"/>
    <w:rsid w:val="001B731C"/>
    <w:rsid w:val="001C1F0E"/>
    <w:rsid w:val="001C4639"/>
    <w:rsid w:val="001D343B"/>
    <w:rsid w:val="001D46D8"/>
    <w:rsid w:val="001E4CF5"/>
    <w:rsid w:val="001E5902"/>
    <w:rsid w:val="00201AFC"/>
    <w:rsid w:val="00203753"/>
    <w:rsid w:val="002210B8"/>
    <w:rsid w:val="00227BF4"/>
    <w:rsid w:val="00234BDF"/>
    <w:rsid w:val="00237F90"/>
    <w:rsid w:val="002616CC"/>
    <w:rsid w:val="00263416"/>
    <w:rsid w:val="00264C10"/>
    <w:rsid w:val="00275A25"/>
    <w:rsid w:val="002864B4"/>
    <w:rsid w:val="002940FB"/>
    <w:rsid w:val="002963F9"/>
    <w:rsid w:val="002968EE"/>
    <w:rsid w:val="002C6AA5"/>
    <w:rsid w:val="002D63E4"/>
    <w:rsid w:val="002E289E"/>
    <w:rsid w:val="002E3043"/>
    <w:rsid w:val="002E4BD5"/>
    <w:rsid w:val="002E4D99"/>
    <w:rsid w:val="002E5E92"/>
    <w:rsid w:val="002F2637"/>
    <w:rsid w:val="00303D97"/>
    <w:rsid w:val="0030632E"/>
    <w:rsid w:val="003275C5"/>
    <w:rsid w:val="00335A86"/>
    <w:rsid w:val="00344F06"/>
    <w:rsid w:val="00345C05"/>
    <w:rsid w:val="00360AA0"/>
    <w:rsid w:val="00361579"/>
    <w:rsid w:val="00362F38"/>
    <w:rsid w:val="00365EB3"/>
    <w:rsid w:val="00370CE0"/>
    <w:rsid w:val="003803C7"/>
    <w:rsid w:val="00384AE0"/>
    <w:rsid w:val="00391BAC"/>
    <w:rsid w:val="00391DC6"/>
    <w:rsid w:val="00393277"/>
    <w:rsid w:val="003A3444"/>
    <w:rsid w:val="003A6141"/>
    <w:rsid w:val="003B3C39"/>
    <w:rsid w:val="003D0EB4"/>
    <w:rsid w:val="003D1437"/>
    <w:rsid w:val="003D5700"/>
    <w:rsid w:val="003D5B99"/>
    <w:rsid w:val="003F4F83"/>
    <w:rsid w:val="0040059B"/>
    <w:rsid w:val="00404053"/>
    <w:rsid w:val="004054CA"/>
    <w:rsid w:val="00411CE3"/>
    <w:rsid w:val="00416DC5"/>
    <w:rsid w:val="0043741B"/>
    <w:rsid w:val="00446741"/>
    <w:rsid w:val="00452F1B"/>
    <w:rsid w:val="00472EF4"/>
    <w:rsid w:val="00487190"/>
    <w:rsid w:val="004874E4"/>
    <w:rsid w:val="00497449"/>
    <w:rsid w:val="004A7FED"/>
    <w:rsid w:val="004B56CC"/>
    <w:rsid w:val="004C2C5D"/>
    <w:rsid w:val="004D05F9"/>
    <w:rsid w:val="004E3C4A"/>
    <w:rsid w:val="004E4C5F"/>
    <w:rsid w:val="004F0D80"/>
    <w:rsid w:val="00504A2A"/>
    <w:rsid w:val="005053A9"/>
    <w:rsid w:val="0051268E"/>
    <w:rsid w:val="005222BC"/>
    <w:rsid w:val="005265C4"/>
    <w:rsid w:val="005313D9"/>
    <w:rsid w:val="005341F3"/>
    <w:rsid w:val="00565787"/>
    <w:rsid w:val="00581914"/>
    <w:rsid w:val="00587CC8"/>
    <w:rsid w:val="00593FE2"/>
    <w:rsid w:val="005A21CB"/>
    <w:rsid w:val="005B2603"/>
    <w:rsid w:val="005C37C8"/>
    <w:rsid w:val="005C623C"/>
    <w:rsid w:val="005D6D31"/>
    <w:rsid w:val="005F2A0E"/>
    <w:rsid w:val="00603064"/>
    <w:rsid w:val="00603454"/>
    <w:rsid w:val="00607965"/>
    <w:rsid w:val="00613A2A"/>
    <w:rsid w:val="006206C0"/>
    <w:rsid w:val="006248A6"/>
    <w:rsid w:val="00627BF5"/>
    <w:rsid w:val="0063755C"/>
    <w:rsid w:val="00640D63"/>
    <w:rsid w:val="00646978"/>
    <w:rsid w:val="00666FEF"/>
    <w:rsid w:val="00682ED3"/>
    <w:rsid w:val="006845E2"/>
    <w:rsid w:val="006924ED"/>
    <w:rsid w:val="006935B8"/>
    <w:rsid w:val="006A428D"/>
    <w:rsid w:val="006A6653"/>
    <w:rsid w:val="006A7394"/>
    <w:rsid w:val="006B41D7"/>
    <w:rsid w:val="006C13FC"/>
    <w:rsid w:val="006D1F39"/>
    <w:rsid w:val="006D5279"/>
    <w:rsid w:val="006E6F7E"/>
    <w:rsid w:val="006F046C"/>
    <w:rsid w:val="007021DB"/>
    <w:rsid w:val="007100FF"/>
    <w:rsid w:val="0073401F"/>
    <w:rsid w:val="007341BA"/>
    <w:rsid w:val="00734D4D"/>
    <w:rsid w:val="00766FCF"/>
    <w:rsid w:val="007677A5"/>
    <w:rsid w:val="00772328"/>
    <w:rsid w:val="00772791"/>
    <w:rsid w:val="00781B53"/>
    <w:rsid w:val="00783C6A"/>
    <w:rsid w:val="007849B3"/>
    <w:rsid w:val="007A7C9A"/>
    <w:rsid w:val="007B2319"/>
    <w:rsid w:val="007B6EFF"/>
    <w:rsid w:val="007C5FC5"/>
    <w:rsid w:val="007D18A5"/>
    <w:rsid w:val="007E2EC3"/>
    <w:rsid w:val="007E5100"/>
    <w:rsid w:val="007E7B32"/>
    <w:rsid w:val="007F247D"/>
    <w:rsid w:val="0080069A"/>
    <w:rsid w:val="0080317E"/>
    <w:rsid w:val="00837CD2"/>
    <w:rsid w:val="0086322E"/>
    <w:rsid w:val="00863B90"/>
    <w:rsid w:val="00877E3B"/>
    <w:rsid w:val="0088660D"/>
    <w:rsid w:val="008877C9"/>
    <w:rsid w:val="008A1445"/>
    <w:rsid w:val="008A18BA"/>
    <w:rsid w:val="008B0CE6"/>
    <w:rsid w:val="008B65D3"/>
    <w:rsid w:val="008D76BB"/>
    <w:rsid w:val="008E3473"/>
    <w:rsid w:val="008F12FA"/>
    <w:rsid w:val="009032C5"/>
    <w:rsid w:val="00905E41"/>
    <w:rsid w:val="009068F2"/>
    <w:rsid w:val="00916F3C"/>
    <w:rsid w:val="0091737E"/>
    <w:rsid w:val="009234F9"/>
    <w:rsid w:val="009271C6"/>
    <w:rsid w:val="00932BF8"/>
    <w:rsid w:val="00934FB6"/>
    <w:rsid w:val="0094407B"/>
    <w:rsid w:val="00945E73"/>
    <w:rsid w:val="009627C4"/>
    <w:rsid w:val="00967A49"/>
    <w:rsid w:val="00972E18"/>
    <w:rsid w:val="00990B60"/>
    <w:rsid w:val="009912B5"/>
    <w:rsid w:val="00991F69"/>
    <w:rsid w:val="00994D91"/>
    <w:rsid w:val="009964C4"/>
    <w:rsid w:val="00997077"/>
    <w:rsid w:val="009B6CD4"/>
    <w:rsid w:val="009C5AAC"/>
    <w:rsid w:val="009C5C72"/>
    <w:rsid w:val="009C65F7"/>
    <w:rsid w:val="009D2A81"/>
    <w:rsid w:val="009F4AF3"/>
    <w:rsid w:val="00A14B40"/>
    <w:rsid w:val="00A16A88"/>
    <w:rsid w:val="00A213E8"/>
    <w:rsid w:val="00A307EE"/>
    <w:rsid w:val="00A35106"/>
    <w:rsid w:val="00A36D52"/>
    <w:rsid w:val="00A45087"/>
    <w:rsid w:val="00A45122"/>
    <w:rsid w:val="00A4701B"/>
    <w:rsid w:val="00A56644"/>
    <w:rsid w:val="00A62AEE"/>
    <w:rsid w:val="00A6474B"/>
    <w:rsid w:val="00A854F1"/>
    <w:rsid w:val="00A93F65"/>
    <w:rsid w:val="00A977FF"/>
    <w:rsid w:val="00AA7A2A"/>
    <w:rsid w:val="00AB402B"/>
    <w:rsid w:val="00AB6D27"/>
    <w:rsid w:val="00AE306D"/>
    <w:rsid w:val="00AE7563"/>
    <w:rsid w:val="00B1051C"/>
    <w:rsid w:val="00B57595"/>
    <w:rsid w:val="00B66319"/>
    <w:rsid w:val="00B74A6B"/>
    <w:rsid w:val="00B839DA"/>
    <w:rsid w:val="00BB6273"/>
    <w:rsid w:val="00BE134B"/>
    <w:rsid w:val="00BE6981"/>
    <w:rsid w:val="00BE7F26"/>
    <w:rsid w:val="00BF2DEE"/>
    <w:rsid w:val="00BF4118"/>
    <w:rsid w:val="00BF747D"/>
    <w:rsid w:val="00BF7DCD"/>
    <w:rsid w:val="00C06F57"/>
    <w:rsid w:val="00C133AE"/>
    <w:rsid w:val="00C15861"/>
    <w:rsid w:val="00C15E78"/>
    <w:rsid w:val="00C2168F"/>
    <w:rsid w:val="00C23C11"/>
    <w:rsid w:val="00C3210F"/>
    <w:rsid w:val="00C326CE"/>
    <w:rsid w:val="00C3359D"/>
    <w:rsid w:val="00C335E6"/>
    <w:rsid w:val="00C5058F"/>
    <w:rsid w:val="00C547F1"/>
    <w:rsid w:val="00C5602A"/>
    <w:rsid w:val="00C56917"/>
    <w:rsid w:val="00C66B4B"/>
    <w:rsid w:val="00C833F2"/>
    <w:rsid w:val="00C96796"/>
    <w:rsid w:val="00CA6C77"/>
    <w:rsid w:val="00CA6EA6"/>
    <w:rsid w:val="00CB145A"/>
    <w:rsid w:val="00CB478D"/>
    <w:rsid w:val="00CC1224"/>
    <w:rsid w:val="00CD2C71"/>
    <w:rsid w:val="00CD533B"/>
    <w:rsid w:val="00CE2741"/>
    <w:rsid w:val="00CF459B"/>
    <w:rsid w:val="00D03A0A"/>
    <w:rsid w:val="00D30FE8"/>
    <w:rsid w:val="00D31A42"/>
    <w:rsid w:val="00D50BF8"/>
    <w:rsid w:val="00D5427C"/>
    <w:rsid w:val="00D63FFD"/>
    <w:rsid w:val="00D713C9"/>
    <w:rsid w:val="00D71EAC"/>
    <w:rsid w:val="00DB54D4"/>
    <w:rsid w:val="00DC71B9"/>
    <w:rsid w:val="00DD6011"/>
    <w:rsid w:val="00DF3922"/>
    <w:rsid w:val="00DF41F3"/>
    <w:rsid w:val="00E06BA5"/>
    <w:rsid w:val="00E1253B"/>
    <w:rsid w:val="00E2107D"/>
    <w:rsid w:val="00E2318B"/>
    <w:rsid w:val="00E331C8"/>
    <w:rsid w:val="00E34643"/>
    <w:rsid w:val="00E405D9"/>
    <w:rsid w:val="00E465F4"/>
    <w:rsid w:val="00E64458"/>
    <w:rsid w:val="00E76252"/>
    <w:rsid w:val="00E93AFC"/>
    <w:rsid w:val="00E93C48"/>
    <w:rsid w:val="00EA2BED"/>
    <w:rsid w:val="00EA6E96"/>
    <w:rsid w:val="00EB399F"/>
    <w:rsid w:val="00EB7F87"/>
    <w:rsid w:val="00EC4863"/>
    <w:rsid w:val="00ED64FE"/>
    <w:rsid w:val="00EE0C28"/>
    <w:rsid w:val="00F06B1F"/>
    <w:rsid w:val="00F11F05"/>
    <w:rsid w:val="00F167F2"/>
    <w:rsid w:val="00F17216"/>
    <w:rsid w:val="00F222E7"/>
    <w:rsid w:val="00F22820"/>
    <w:rsid w:val="00F45B45"/>
    <w:rsid w:val="00F51B8D"/>
    <w:rsid w:val="00F557E4"/>
    <w:rsid w:val="00F561E6"/>
    <w:rsid w:val="00F57A46"/>
    <w:rsid w:val="00F60540"/>
    <w:rsid w:val="00F626B9"/>
    <w:rsid w:val="00F80A92"/>
    <w:rsid w:val="00F80DCC"/>
    <w:rsid w:val="00F847B9"/>
    <w:rsid w:val="00F94469"/>
    <w:rsid w:val="00F97B96"/>
    <w:rsid w:val="00FB3E53"/>
    <w:rsid w:val="00FB4CD5"/>
    <w:rsid w:val="00FC6DF3"/>
    <w:rsid w:val="00FE6173"/>
    <w:rsid w:val="00FE6589"/>
    <w:rsid w:val="00FE70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28BE"/>
  <w15:chartTrackingRefBased/>
  <w15:docId w15:val="{F873D941-EC36-4E7B-AFBB-4935209E5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AFC"/>
  </w:style>
  <w:style w:type="paragraph" w:styleId="Heading1">
    <w:name w:val="heading 1"/>
    <w:basedOn w:val="Normal"/>
    <w:next w:val="Normal"/>
    <w:link w:val="Heading1Char"/>
    <w:uiPriority w:val="9"/>
    <w:qFormat/>
    <w:rsid w:val="00FE70A4"/>
    <w:pPr>
      <w:bidi/>
      <w:jc w:val="center"/>
      <w:outlineLvl w:val="0"/>
    </w:pPr>
    <w:rPr>
      <w:rFonts w:ascii="Traditional Arabic" w:hAnsi="Traditional Arabic" w:cs="Traditional Arabic"/>
      <w:b/>
      <w:bCs/>
      <w:sz w:val="36"/>
      <w:szCs w:val="36"/>
    </w:rPr>
  </w:style>
  <w:style w:type="paragraph" w:styleId="Heading2">
    <w:name w:val="heading 2"/>
    <w:basedOn w:val="Normal"/>
    <w:next w:val="Normal"/>
    <w:link w:val="Heading2Char"/>
    <w:uiPriority w:val="9"/>
    <w:unhideWhenUsed/>
    <w:qFormat/>
    <w:rsid w:val="00FE70A4"/>
    <w:pPr>
      <w:bidi/>
      <w:jc w:val="lowKashida"/>
      <w:outlineLvl w:val="1"/>
    </w:pPr>
    <w:rPr>
      <w:rFonts w:ascii="Traditional Arabic" w:hAnsi="Traditional Arabic" w:cs="Traditional Arabic"/>
      <w:b/>
      <w:bCs/>
      <w:sz w:val="32"/>
      <w:szCs w:val="32"/>
    </w:rPr>
  </w:style>
  <w:style w:type="paragraph" w:styleId="Heading3">
    <w:name w:val="heading 3"/>
    <w:basedOn w:val="Normal"/>
    <w:next w:val="Normal"/>
    <w:link w:val="Heading3Char"/>
    <w:uiPriority w:val="9"/>
    <w:unhideWhenUsed/>
    <w:qFormat/>
    <w:rsid w:val="00863B90"/>
    <w:pPr>
      <w:bidi/>
      <w:jc w:val="lowKashida"/>
      <w:outlineLvl w:val="2"/>
    </w:pPr>
    <w:rPr>
      <w:rFonts w:ascii="Traditional Arabic" w:hAnsi="Traditional Arabic" w:cs="Traditional Arabic"/>
      <w:b/>
      <w:bCs/>
      <w:sz w:val="28"/>
      <w:szCs w:val="28"/>
    </w:rPr>
  </w:style>
  <w:style w:type="paragraph" w:styleId="Heading4">
    <w:name w:val="heading 4"/>
    <w:basedOn w:val="Normal"/>
    <w:next w:val="Normal"/>
    <w:link w:val="Heading4Char"/>
    <w:uiPriority w:val="9"/>
    <w:unhideWhenUsed/>
    <w:qFormat/>
    <w:rsid w:val="00A14B40"/>
    <w:pPr>
      <w:bidi/>
      <w:spacing w:after="200" w:line="276" w:lineRule="auto"/>
      <w:jc w:val="lowKashida"/>
      <w:outlineLvl w:val="3"/>
    </w:pPr>
    <w:rPr>
      <w:rFonts w:ascii="Times New Roman" w:hAnsi="Times New Roman" w:cs="Traditional Arabic"/>
      <w:b/>
      <w:bCs/>
      <w:color w:val="222222"/>
      <w:kern w:val="0"/>
      <w:sz w:val="28"/>
      <w:szCs w:val="28"/>
      <w:lang w:bidi="ar-EG"/>
      <w14:ligatures w14:val="none"/>
    </w:rPr>
  </w:style>
  <w:style w:type="paragraph" w:styleId="Heading5">
    <w:name w:val="heading 5"/>
    <w:basedOn w:val="Normal"/>
    <w:next w:val="Normal"/>
    <w:link w:val="Heading5Char"/>
    <w:uiPriority w:val="9"/>
    <w:unhideWhenUsed/>
    <w:qFormat/>
    <w:rsid w:val="00781B53"/>
    <w:pPr>
      <w:keepNext/>
      <w:keepLines/>
      <w:bidi/>
      <w:spacing w:before="80" w:after="40"/>
      <w:jc w:val="center"/>
      <w:outlineLvl w:val="4"/>
    </w:pPr>
    <w:rPr>
      <w:rFonts w:ascii="Traditional Arabic" w:eastAsiaTheme="majorEastAsia" w:hAnsi="Traditional Arabic" w:cs="Traditional Arabic"/>
      <w:b/>
      <w:bCs/>
      <w:sz w:val="28"/>
      <w:szCs w:val="28"/>
      <w:lang w:bidi="ar-EG"/>
    </w:rPr>
  </w:style>
  <w:style w:type="paragraph" w:styleId="Heading6">
    <w:name w:val="heading 6"/>
    <w:basedOn w:val="Normal"/>
    <w:next w:val="Normal"/>
    <w:link w:val="Heading6Char"/>
    <w:uiPriority w:val="9"/>
    <w:semiHidden/>
    <w:unhideWhenUsed/>
    <w:qFormat/>
    <w:rsid w:val="0029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0A4"/>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rsid w:val="00FE70A4"/>
    <w:rPr>
      <w:rFonts w:ascii="Traditional Arabic" w:hAnsi="Traditional Arabic" w:cs="Traditional Arabic"/>
      <w:b/>
      <w:bCs/>
      <w:sz w:val="32"/>
      <w:szCs w:val="32"/>
    </w:rPr>
  </w:style>
  <w:style w:type="character" w:customStyle="1" w:styleId="Heading3Char">
    <w:name w:val="Heading 3 Char"/>
    <w:basedOn w:val="DefaultParagraphFont"/>
    <w:link w:val="Heading3"/>
    <w:uiPriority w:val="9"/>
    <w:rsid w:val="00863B90"/>
    <w:rPr>
      <w:rFonts w:ascii="Traditional Arabic" w:hAnsi="Traditional Arabic" w:cs="Traditional Arabic"/>
      <w:b/>
      <w:bCs/>
      <w:sz w:val="28"/>
      <w:szCs w:val="28"/>
    </w:rPr>
  </w:style>
  <w:style w:type="character" w:customStyle="1" w:styleId="Heading4Char">
    <w:name w:val="Heading 4 Char"/>
    <w:basedOn w:val="DefaultParagraphFont"/>
    <w:link w:val="Heading4"/>
    <w:uiPriority w:val="9"/>
    <w:rsid w:val="00A14B40"/>
    <w:rPr>
      <w:rFonts w:ascii="Times New Roman" w:hAnsi="Times New Roman" w:cs="Traditional Arabic"/>
      <w:b/>
      <w:bCs/>
      <w:color w:val="222222"/>
      <w:kern w:val="0"/>
      <w:sz w:val="28"/>
      <w:szCs w:val="28"/>
      <w:lang w:bidi="ar-EG"/>
      <w14:ligatures w14:val="none"/>
    </w:rPr>
  </w:style>
  <w:style w:type="character" w:customStyle="1" w:styleId="Heading5Char">
    <w:name w:val="Heading 5 Char"/>
    <w:basedOn w:val="DefaultParagraphFont"/>
    <w:link w:val="Heading5"/>
    <w:uiPriority w:val="9"/>
    <w:rsid w:val="00781B53"/>
    <w:rPr>
      <w:rFonts w:ascii="Traditional Arabic" w:eastAsiaTheme="majorEastAsia" w:hAnsi="Traditional Arabic" w:cs="Traditional Arabic"/>
      <w:b/>
      <w:bCs/>
      <w:sz w:val="28"/>
      <w:szCs w:val="28"/>
      <w:lang w:bidi="ar-EG"/>
    </w:rPr>
  </w:style>
  <w:style w:type="character" w:customStyle="1" w:styleId="Heading6Char">
    <w:name w:val="Heading 6 Char"/>
    <w:basedOn w:val="DefaultParagraphFont"/>
    <w:link w:val="Heading6"/>
    <w:uiPriority w:val="9"/>
    <w:semiHidden/>
    <w:rsid w:val="0029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3F9"/>
    <w:rPr>
      <w:rFonts w:eastAsiaTheme="majorEastAsia" w:cstheme="majorBidi"/>
      <w:color w:val="272727" w:themeColor="text1" w:themeTint="D8"/>
    </w:rPr>
  </w:style>
  <w:style w:type="paragraph" w:styleId="Title">
    <w:name w:val="Title"/>
    <w:basedOn w:val="Normal"/>
    <w:next w:val="Normal"/>
    <w:link w:val="TitleChar"/>
    <w:uiPriority w:val="10"/>
    <w:qFormat/>
    <w:rsid w:val="0029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3F9"/>
    <w:pPr>
      <w:spacing w:before="160"/>
      <w:jc w:val="center"/>
    </w:pPr>
    <w:rPr>
      <w:i/>
      <w:iCs/>
      <w:color w:val="404040" w:themeColor="text1" w:themeTint="BF"/>
    </w:rPr>
  </w:style>
  <w:style w:type="character" w:customStyle="1" w:styleId="QuoteChar">
    <w:name w:val="Quote Char"/>
    <w:basedOn w:val="DefaultParagraphFont"/>
    <w:link w:val="Quote"/>
    <w:uiPriority w:val="29"/>
    <w:rsid w:val="002963F9"/>
    <w:rPr>
      <w:i/>
      <w:iCs/>
      <w:color w:val="404040" w:themeColor="text1" w:themeTint="BF"/>
    </w:rPr>
  </w:style>
  <w:style w:type="paragraph" w:styleId="ListParagraph">
    <w:name w:val="List Paragraph"/>
    <w:basedOn w:val="Normal"/>
    <w:uiPriority w:val="34"/>
    <w:qFormat/>
    <w:rsid w:val="002963F9"/>
    <w:pPr>
      <w:ind w:left="720"/>
      <w:contextualSpacing/>
    </w:pPr>
  </w:style>
  <w:style w:type="character" w:styleId="IntenseEmphasis">
    <w:name w:val="Intense Emphasis"/>
    <w:basedOn w:val="DefaultParagraphFont"/>
    <w:uiPriority w:val="21"/>
    <w:qFormat/>
    <w:rsid w:val="002963F9"/>
    <w:rPr>
      <w:i/>
      <w:iCs/>
      <w:color w:val="2F5496" w:themeColor="accent1" w:themeShade="BF"/>
    </w:rPr>
  </w:style>
  <w:style w:type="paragraph" w:styleId="IntenseQuote">
    <w:name w:val="Intense Quote"/>
    <w:basedOn w:val="Normal"/>
    <w:next w:val="Normal"/>
    <w:link w:val="IntenseQuoteChar"/>
    <w:uiPriority w:val="30"/>
    <w:qFormat/>
    <w:rsid w:val="00296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63F9"/>
    <w:rPr>
      <w:i/>
      <w:iCs/>
      <w:color w:val="2F5496" w:themeColor="accent1" w:themeShade="BF"/>
    </w:rPr>
  </w:style>
  <w:style w:type="character" w:styleId="IntenseReference">
    <w:name w:val="Intense Reference"/>
    <w:basedOn w:val="DefaultParagraphFont"/>
    <w:uiPriority w:val="32"/>
    <w:qFormat/>
    <w:rsid w:val="002963F9"/>
    <w:rPr>
      <w:b/>
      <w:bCs/>
      <w:smallCaps/>
      <w:color w:val="2F5496" w:themeColor="accent1" w:themeShade="BF"/>
      <w:spacing w:val="5"/>
    </w:rPr>
  </w:style>
  <w:style w:type="character" w:styleId="Hyperlink">
    <w:name w:val="Hyperlink"/>
    <w:basedOn w:val="DefaultParagraphFont"/>
    <w:uiPriority w:val="99"/>
    <w:unhideWhenUsed/>
    <w:rsid w:val="004A7FED"/>
    <w:rPr>
      <w:color w:val="0563C1" w:themeColor="hyperlink"/>
      <w:u w:val="single"/>
    </w:rPr>
  </w:style>
  <w:style w:type="character" w:styleId="UnresolvedMention">
    <w:name w:val="Unresolved Mention"/>
    <w:basedOn w:val="DefaultParagraphFont"/>
    <w:uiPriority w:val="99"/>
    <w:semiHidden/>
    <w:unhideWhenUsed/>
    <w:rsid w:val="004A7FED"/>
    <w:rPr>
      <w:color w:val="605E5C"/>
      <w:shd w:val="clear" w:color="auto" w:fill="E1DFDD"/>
    </w:rPr>
  </w:style>
  <w:style w:type="paragraph" w:styleId="TOC1">
    <w:name w:val="toc 1"/>
    <w:basedOn w:val="Normal"/>
    <w:next w:val="Normal"/>
    <w:autoRedefine/>
    <w:uiPriority w:val="39"/>
    <w:unhideWhenUsed/>
    <w:rsid w:val="00FE70A4"/>
    <w:pPr>
      <w:tabs>
        <w:tab w:val="right" w:leader="dot" w:pos="9350"/>
      </w:tabs>
      <w:bidi/>
      <w:spacing w:after="100"/>
    </w:pPr>
    <w:rPr>
      <w:rFonts w:ascii="Traditional Arabic" w:hAnsi="Traditional Arabic" w:cs="Traditional Arabic"/>
      <w:b/>
      <w:bCs/>
      <w:noProof/>
    </w:rPr>
  </w:style>
  <w:style w:type="paragraph" w:styleId="TOC2">
    <w:name w:val="toc 2"/>
    <w:basedOn w:val="Normal"/>
    <w:next w:val="Normal"/>
    <w:autoRedefine/>
    <w:uiPriority w:val="39"/>
    <w:unhideWhenUsed/>
    <w:rsid w:val="00FE70A4"/>
    <w:pPr>
      <w:spacing w:after="100"/>
      <w:ind w:left="220"/>
    </w:pPr>
  </w:style>
  <w:style w:type="paragraph" w:styleId="Header">
    <w:name w:val="header"/>
    <w:basedOn w:val="Normal"/>
    <w:link w:val="HeaderChar"/>
    <w:uiPriority w:val="99"/>
    <w:unhideWhenUsed/>
    <w:rsid w:val="005C3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7C8"/>
  </w:style>
  <w:style w:type="paragraph" w:styleId="Footer">
    <w:name w:val="footer"/>
    <w:basedOn w:val="Normal"/>
    <w:link w:val="FooterChar"/>
    <w:uiPriority w:val="99"/>
    <w:unhideWhenUsed/>
    <w:rsid w:val="005C3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7C8"/>
  </w:style>
  <w:style w:type="paragraph" w:customStyle="1" w:styleId="msonormal0">
    <w:name w:val="msonormal"/>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632E"/>
    <w:rPr>
      <w:b/>
      <w:bCs/>
    </w:rPr>
  </w:style>
  <w:style w:type="character" w:styleId="Emphasis">
    <w:name w:val="Emphasis"/>
    <w:basedOn w:val="DefaultParagraphFont"/>
    <w:uiPriority w:val="20"/>
    <w:qFormat/>
    <w:rsid w:val="0030632E"/>
    <w:rPr>
      <w:i/>
      <w:iCs/>
    </w:rPr>
  </w:style>
  <w:style w:type="character" w:customStyle="1" w:styleId="mat-mdc-button-persistent-ripple">
    <w:name w:val="mat-mdc-button-persistent-ripple"/>
    <w:basedOn w:val="DefaultParagraphFont"/>
    <w:rsid w:val="0030632E"/>
  </w:style>
  <w:style w:type="character" w:customStyle="1" w:styleId="mat-focus-indicator">
    <w:name w:val="mat-focus-indicator"/>
    <w:basedOn w:val="DefaultParagraphFont"/>
    <w:rsid w:val="0030632E"/>
  </w:style>
  <w:style w:type="character" w:customStyle="1" w:styleId="mat-mdc-button-touch-target">
    <w:name w:val="mat-mdc-button-touch-target"/>
    <w:basedOn w:val="DefaultParagraphFont"/>
    <w:rsid w:val="0030632E"/>
  </w:style>
  <w:style w:type="character" w:customStyle="1" w:styleId="mdc-buttonlabel">
    <w:name w:val="mdc-button__label"/>
    <w:basedOn w:val="DefaultParagraphFont"/>
    <w:rsid w:val="0030632E"/>
  </w:style>
  <w:style w:type="character" w:customStyle="1" w:styleId="mat-ripple">
    <w:name w:val="mat-ripple"/>
    <w:basedOn w:val="DefaultParagraphFont"/>
    <w:rsid w:val="0030632E"/>
  </w:style>
  <w:style w:type="paragraph" w:customStyle="1" w:styleId="gds-label-m-alt">
    <w:name w:val="gds-label-m-alt"/>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ser-query-container">
    <w:name w:val="user-query-container"/>
    <w:basedOn w:val="DefaultParagraphFont"/>
    <w:rsid w:val="00627BF5"/>
  </w:style>
  <w:style w:type="character" w:customStyle="1" w:styleId="user-query-bubble-with-background">
    <w:name w:val="user-query-bubble-with-background"/>
    <w:basedOn w:val="DefaultParagraphFont"/>
    <w:rsid w:val="00627BF5"/>
  </w:style>
  <w:style w:type="character" w:customStyle="1" w:styleId="horizontal-container">
    <w:name w:val="horizontal-container"/>
    <w:basedOn w:val="DefaultParagraphFont"/>
    <w:rsid w:val="00627BF5"/>
  </w:style>
  <w:style w:type="paragraph" w:customStyle="1" w:styleId="query-text-line">
    <w:name w:val="query-text-line"/>
    <w:basedOn w:val="Normal"/>
    <w:rsid w:val="00627BF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tns-c2368219710-116">
    <w:name w:val="ng-tns-c2368219710-116"/>
    <w:basedOn w:val="DefaultParagraphFont"/>
    <w:rsid w:val="00627BF5"/>
  </w:style>
  <w:style w:type="character" w:customStyle="1" w:styleId="ng-tns-c2368219710-122">
    <w:name w:val="ng-tns-c2368219710-122"/>
    <w:basedOn w:val="DefaultParagraphFont"/>
    <w:rsid w:val="00627BF5"/>
  </w:style>
  <w:style w:type="character" w:customStyle="1" w:styleId="citation-177">
    <w:name w:val="citation-177"/>
    <w:basedOn w:val="DefaultParagraphFont"/>
    <w:rsid w:val="00627BF5"/>
  </w:style>
  <w:style w:type="character" w:customStyle="1" w:styleId="citation-176">
    <w:name w:val="citation-176"/>
    <w:basedOn w:val="DefaultParagraphFont"/>
    <w:rsid w:val="00627BF5"/>
  </w:style>
  <w:style w:type="character" w:customStyle="1" w:styleId="citation-175">
    <w:name w:val="citation-175"/>
    <w:basedOn w:val="DefaultParagraphFont"/>
    <w:rsid w:val="00627BF5"/>
  </w:style>
  <w:style w:type="character" w:customStyle="1" w:styleId="citation-174">
    <w:name w:val="citation-174"/>
    <w:basedOn w:val="DefaultParagraphFont"/>
    <w:rsid w:val="00627BF5"/>
  </w:style>
  <w:style w:type="character" w:customStyle="1" w:styleId="citation-173">
    <w:name w:val="citation-173"/>
    <w:basedOn w:val="DefaultParagraphFont"/>
    <w:rsid w:val="00627BF5"/>
  </w:style>
  <w:style w:type="character" w:customStyle="1" w:styleId="citation-172">
    <w:name w:val="citation-172"/>
    <w:basedOn w:val="DefaultParagraphFont"/>
    <w:rsid w:val="00627BF5"/>
  </w:style>
  <w:style w:type="character" w:customStyle="1" w:styleId="citation-171">
    <w:name w:val="citation-171"/>
    <w:basedOn w:val="DefaultParagraphFont"/>
    <w:rsid w:val="00627BF5"/>
  </w:style>
  <w:style w:type="character" w:customStyle="1" w:styleId="citation-170">
    <w:name w:val="citation-170"/>
    <w:basedOn w:val="DefaultParagraphFont"/>
    <w:rsid w:val="00627BF5"/>
  </w:style>
  <w:style w:type="character" w:customStyle="1" w:styleId="citation-169">
    <w:name w:val="citation-169"/>
    <w:basedOn w:val="DefaultParagraphFont"/>
    <w:rsid w:val="00627BF5"/>
  </w:style>
  <w:style w:type="character" w:customStyle="1" w:styleId="citation-168">
    <w:name w:val="citation-168"/>
    <w:basedOn w:val="DefaultParagraphFont"/>
    <w:rsid w:val="00627BF5"/>
  </w:style>
  <w:style w:type="character" w:customStyle="1" w:styleId="citation-167">
    <w:name w:val="citation-167"/>
    <w:basedOn w:val="DefaultParagraphFont"/>
    <w:rsid w:val="00627BF5"/>
  </w:style>
  <w:style w:type="character" w:customStyle="1" w:styleId="citation-166">
    <w:name w:val="citation-166"/>
    <w:basedOn w:val="DefaultParagraphFont"/>
    <w:rsid w:val="00627BF5"/>
  </w:style>
  <w:style w:type="character" w:customStyle="1" w:styleId="citation-165">
    <w:name w:val="citation-165"/>
    <w:basedOn w:val="DefaultParagraphFont"/>
    <w:rsid w:val="00627BF5"/>
  </w:style>
  <w:style w:type="character" w:customStyle="1" w:styleId="citation-164">
    <w:name w:val="citation-164"/>
    <w:basedOn w:val="DefaultParagraphFont"/>
    <w:rsid w:val="00627BF5"/>
  </w:style>
  <w:style w:type="character" w:customStyle="1" w:styleId="citation-163">
    <w:name w:val="citation-163"/>
    <w:basedOn w:val="DefaultParagraphFont"/>
    <w:rsid w:val="00627BF5"/>
  </w:style>
  <w:style w:type="character" w:customStyle="1" w:styleId="citation-162">
    <w:name w:val="citation-162"/>
    <w:basedOn w:val="DefaultParagraphFont"/>
    <w:rsid w:val="00627BF5"/>
  </w:style>
  <w:style w:type="character" w:customStyle="1" w:styleId="citation-161">
    <w:name w:val="citation-161"/>
    <w:basedOn w:val="DefaultParagraphFont"/>
    <w:rsid w:val="00627BF5"/>
  </w:style>
  <w:style w:type="character" w:customStyle="1" w:styleId="citation-160">
    <w:name w:val="citation-160"/>
    <w:basedOn w:val="DefaultParagraphFont"/>
    <w:rsid w:val="00627BF5"/>
  </w:style>
  <w:style w:type="character" w:customStyle="1" w:styleId="citation-159">
    <w:name w:val="citation-159"/>
    <w:basedOn w:val="DefaultParagraphFont"/>
    <w:rsid w:val="00627BF5"/>
  </w:style>
  <w:style w:type="character" w:customStyle="1" w:styleId="citation-158">
    <w:name w:val="citation-158"/>
    <w:basedOn w:val="DefaultParagraphFont"/>
    <w:rsid w:val="00627BF5"/>
  </w:style>
  <w:style w:type="character" w:customStyle="1" w:styleId="citation-157">
    <w:name w:val="citation-157"/>
    <w:basedOn w:val="DefaultParagraphFont"/>
    <w:rsid w:val="00627BF5"/>
  </w:style>
  <w:style w:type="character" w:customStyle="1" w:styleId="citation-156">
    <w:name w:val="citation-156"/>
    <w:basedOn w:val="DefaultParagraphFont"/>
    <w:rsid w:val="00627BF5"/>
  </w:style>
  <w:style w:type="character" w:customStyle="1" w:styleId="citation-155">
    <w:name w:val="citation-155"/>
    <w:basedOn w:val="DefaultParagraphFont"/>
    <w:rsid w:val="00627BF5"/>
  </w:style>
  <w:style w:type="character" w:customStyle="1" w:styleId="citation-154">
    <w:name w:val="citation-154"/>
    <w:basedOn w:val="DefaultParagraphFont"/>
    <w:rsid w:val="00627BF5"/>
  </w:style>
  <w:style w:type="character" w:customStyle="1" w:styleId="citation-153">
    <w:name w:val="citation-153"/>
    <w:basedOn w:val="DefaultParagraphFont"/>
    <w:rsid w:val="00627BF5"/>
  </w:style>
  <w:style w:type="character" w:customStyle="1" w:styleId="citation-152">
    <w:name w:val="citation-152"/>
    <w:basedOn w:val="DefaultParagraphFont"/>
    <w:rsid w:val="00627BF5"/>
  </w:style>
  <w:style w:type="character" w:customStyle="1" w:styleId="citation-151">
    <w:name w:val="citation-151"/>
    <w:basedOn w:val="DefaultParagraphFont"/>
    <w:rsid w:val="00627BF5"/>
  </w:style>
  <w:style w:type="character" w:customStyle="1" w:styleId="citation-150">
    <w:name w:val="citation-150"/>
    <w:basedOn w:val="DefaultParagraphFont"/>
    <w:rsid w:val="00627BF5"/>
  </w:style>
  <w:style w:type="character" w:customStyle="1" w:styleId="citation-149">
    <w:name w:val="citation-149"/>
    <w:basedOn w:val="DefaultParagraphFont"/>
    <w:rsid w:val="00627BF5"/>
  </w:style>
  <w:style w:type="character" w:customStyle="1" w:styleId="citation-148">
    <w:name w:val="citation-148"/>
    <w:basedOn w:val="DefaultParagraphFont"/>
    <w:rsid w:val="00627BF5"/>
  </w:style>
  <w:style w:type="character" w:customStyle="1" w:styleId="citation-147">
    <w:name w:val="citation-147"/>
    <w:basedOn w:val="DefaultParagraphFont"/>
    <w:rsid w:val="00627BF5"/>
  </w:style>
  <w:style w:type="character" w:customStyle="1" w:styleId="citation-146">
    <w:name w:val="citation-146"/>
    <w:basedOn w:val="DefaultParagraphFont"/>
    <w:rsid w:val="00627BF5"/>
  </w:style>
  <w:style w:type="character" w:customStyle="1" w:styleId="citation-145">
    <w:name w:val="citation-145"/>
    <w:basedOn w:val="DefaultParagraphFont"/>
    <w:rsid w:val="00627BF5"/>
  </w:style>
  <w:style w:type="character" w:customStyle="1" w:styleId="citation-144">
    <w:name w:val="citation-144"/>
    <w:basedOn w:val="DefaultParagraphFont"/>
    <w:rsid w:val="00627BF5"/>
  </w:style>
  <w:style w:type="character" w:customStyle="1" w:styleId="citation-143">
    <w:name w:val="citation-143"/>
    <w:basedOn w:val="DefaultParagraphFont"/>
    <w:rsid w:val="00627BF5"/>
  </w:style>
  <w:style w:type="character" w:customStyle="1" w:styleId="citation-142">
    <w:name w:val="citation-142"/>
    <w:basedOn w:val="DefaultParagraphFont"/>
    <w:rsid w:val="00627BF5"/>
  </w:style>
  <w:style w:type="character" w:customStyle="1" w:styleId="ng-tns-c2368219710-128">
    <w:name w:val="ng-tns-c2368219710-128"/>
    <w:basedOn w:val="DefaultParagraphFont"/>
    <w:rsid w:val="00627BF5"/>
  </w:style>
  <w:style w:type="character" w:customStyle="1" w:styleId="citation-281">
    <w:name w:val="citation-281"/>
    <w:basedOn w:val="DefaultParagraphFont"/>
    <w:rsid w:val="00627BF5"/>
  </w:style>
  <w:style w:type="character" w:customStyle="1" w:styleId="citation-280">
    <w:name w:val="citation-280"/>
    <w:basedOn w:val="DefaultParagraphFont"/>
    <w:rsid w:val="00627BF5"/>
  </w:style>
  <w:style w:type="character" w:customStyle="1" w:styleId="citation-279">
    <w:name w:val="citation-279"/>
    <w:basedOn w:val="DefaultParagraphFont"/>
    <w:rsid w:val="00627BF5"/>
  </w:style>
  <w:style w:type="character" w:customStyle="1" w:styleId="citation-278">
    <w:name w:val="citation-278"/>
    <w:basedOn w:val="DefaultParagraphFont"/>
    <w:rsid w:val="00627BF5"/>
  </w:style>
  <w:style w:type="character" w:customStyle="1" w:styleId="citation-277">
    <w:name w:val="citation-277"/>
    <w:basedOn w:val="DefaultParagraphFont"/>
    <w:rsid w:val="00627BF5"/>
  </w:style>
  <w:style w:type="character" w:customStyle="1" w:styleId="citation-276">
    <w:name w:val="citation-276"/>
    <w:basedOn w:val="DefaultParagraphFont"/>
    <w:rsid w:val="00627BF5"/>
  </w:style>
  <w:style w:type="character" w:customStyle="1" w:styleId="citation-275">
    <w:name w:val="citation-275"/>
    <w:basedOn w:val="DefaultParagraphFont"/>
    <w:rsid w:val="00627BF5"/>
  </w:style>
  <w:style w:type="character" w:customStyle="1" w:styleId="citation-274">
    <w:name w:val="citation-274"/>
    <w:basedOn w:val="DefaultParagraphFont"/>
    <w:rsid w:val="00627BF5"/>
  </w:style>
  <w:style w:type="character" w:customStyle="1" w:styleId="citation-273">
    <w:name w:val="citation-273"/>
    <w:basedOn w:val="DefaultParagraphFont"/>
    <w:rsid w:val="00627BF5"/>
  </w:style>
  <w:style w:type="character" w:customStyle="1" w:styleId="citation-272">
    <w:name w:val="citation-272"/>
    <w:basedOn w:val="DefaultParagraphFont"/>
    <w:rsid w:val="00627BF5"/>
  </w:style>
  <w:style w:type="character" w:customStyle="1" w:styleId="citation-271">
    <w:name w:val="citation-271"/>
    <w:basedOn w:val="DefaultParagraphFont"/>
    <w:rsid w:val="00627BF5"/>
  </w:style>
  <w:style w:type="character" w:customStyle="1" w:styleId="citation-270">
    <w:name w:val="citation-270"/>
    <w:basedOn w:val="DefaultParagraphFont"/>
    <w:rsid w:val="00627BF5"/>
  </w:style>
  <w:style w:type="character" w:customStyle="1" w:styleId="citation-269">
    <w:name w:val="citation-269"/>
    <w:basedOn w:val="DefaultParagraphFont"/>
    <w:rsid w:val="00627BF5"/>
  </w:style>
  <w:style w:type="character" w:customStyle="1" w:styleId="citation-268">
    <w:name w:val="citation-268"/>
    <w:basedOn w:val="DefaultParagraphFont"/>
    <w:rsid w:val="00627BF5"/>
  </w:style>
  <w:style w:type="character" w:customStyle="1" w:styleId="citation-267">
    <w:name w:val="citation-267"/>
    <w:basedOn w:val="DefaultParagraphFont"/>
    <w:rsid w:val="00627BF5"/>
  </w:style>
  <w:style w:type="character" w:customStyle="1" w:styleId="citation-266">
    <w:name w:val="citation-266"/>
    <w:basedOn w:val="DefaultParagraphFont"/>
    <w:rsid w:val="00627BF5"/>
  </w:style>
  <w:style w:type="character" w:customStyle="1" w:styleId="citation-265">
    <w:name w:val="citation-265"/>
    <w:basedOn w:val="DefaultParagraphFont"/>
    <w:rsid w:val="00627BF5"/>
  </w:style>
  <w:style w:type="character" w:customStyle="1" w:styleId="citation-264">
    <w:name w:val="citation-264"/>
    <w:basedOn w:val="DefaultParagraphFont"/>
    <w:rsid w:val="00627BF5"/>
  </w:style>
  <w:style w:type="character" w:customStyle="1" w:styleId="citation-263">
    <w:name w:val="citation-263"/>
    <w:basedOn w:val="DefaultParagraphFont"/>
    <w:rsid w:val="00627BF5"/>
  </w:style>
  <w:style w:type="character" w:customStyle="1" w:styleId="citation-262">
    <w:name w:val="citation-262"/>
    <w:basedOn w:val="DefaultParagraphFont"/>
    <w:rsid w:val="00627BF5"/>
  </w:style>
  <w:style w:type="character" w:customStyle="1" w:styleId="citation-261">
    <w:name w:val="citation-261"/>
    <w:basedOn w:val="DefaultParagraphFont"/>
    <w:rsid w:val="00627BF5"/>
  </w:style>
  <w:style w:type="character" w:customStyle="1" w:styleId="citation-260">
    <w:name w:val="citation-260"/>
    <w:basedOn w:val="DefaultParagraphFont"/>
    <w:rsid w:val="00627BF5"/>
  </w:style>
  <w:style w:type="character" w:customStyle="1" w:styleId="citation-259">
    <w:name w:val="citation-259"/>
    <w:basedOn w:val="DefaultParagraphFont"/>
    <w:rsid w:val="00627BF5"/>
  </w:style>
  <w:style w:type="character" w:customStyle="1" w:styleId="citation-258">
    <w:name w:val="citation-258"/>
    <w:basedOn w:val="DefaultParagraphFont"/>
    <w:rsid w:val="00627BF5"/>
  </w:style>
  <w:style w:type="character" w:customStyle="1" w:styleId="citation-257">
    <w:name w:val="citation-257"/>
    <w:basedOn w:val="DefaultParagraphFont"/>
    <w:rsid w:val="00627BF5"/>
  </w:style>
  <w:style w:type="character" w:customStyle="1" w:styleId="citation-256">
    <w:name w:val="citation-256"/>
    <w:basedOn w:val="DefaultParagraphFont"/>
    <w:rsid w:val="00627BF5"/>
  </w:style>
  <w:style w:type="character" w:customStyle="1" w:styleId="citation-255">
    <w:name w:val="citation-255"/>
    <w:basedOn w:val="DefaultParagraphFont"/>
    <w:rsid w:val="00627BF5"/>
  </w:style>
  <w:style w:type="character" w:customStyle="1" w:styleId="citation-254">
    <w:name w:val="citation-254"/>
    <w:basedOn w:val="DefaultParagraphFont"/>
    <w:rsid w:val="00627BF5"/>
  </w:style>
  <w:style w:type="character" w:customStyle="1" w:styleId="citation-253">
    <w:name w:val="citation-253"/>
    <w:basedOn w:val="DefaultParagraphFont"/>
    <w:rsid w:val="00627BF5"/>
  </w:style>
  <w:style w:type="character" w:customStyle="1" w:styleId="citation-252">
    <w:name w:val="citation-252"/>
    <w:basedOn w:val="DefaultParagraphFont"/>
    <w:rsid w:val="00627BF5"/>
  </w:style>
  <w:style w:type="character" w:customStyle="1" w:styleId="citation-251">
    <w:name w:val="citation-251"/>
    <w:basedOn w:val="DefaultParagraphFont"/>
    <w:rsid w:val="00627BF5"/>
  </w:style>
  <w:style w:type="character" w:customStyle="1" w:styleId="citation-250">
    <w:name w:val="citation-250"/>
    <w:basedOn w:val="DefaultParagraphFont"/>
    <w:rsid w:val="00627BF5"/>
  </w:style>
  <w:style w:type="character" w:customStyle="1" w:styleId="citation-249">
    <w:name w:val="citation-249"/>
    <w:basedOn w:val="DefaultParagraphFont"/>
    <w:rsid w:val="00627BF5"/>
  </w:style>
  <w:style w:type="character" w:customStyle="1" w:styleId="citation-248">
    <w:name w:val="citation-248"/>
    <w:basedOn w:val="DefaultParagraphFont"/>
    <w:rsid w:val="00627BF5"/>
  </w:style>
  <w:style w:type="character" w:customStyle="1" w:styleId="citation-247">
    <w:name w:val="citation-247"/>
    <w:basedOn w:val="DefaultParagraphFont"/>
    <w:rsid w:val="00627BF5"/>
  </w:style>
  <w:style w:type="character" w:customStyle="1" w:styleId="citation-246">
    <w:name w:val="citation-246"/>
    <w:basedOn w:val="DefaultParagraphFont"/>
    <w:rsid w:val="00627BF5"/>
  </w:style>
  <w:style w:type="character" w:customStyle="1" w:styleId="citation-245">
    <w:name w:val="citation-245"/>
    <w:basedOn w:val="DefaultParagraphFont"/>
    <w:rsid w:val="00627BF5"/>
  </w:style>
  <w:style w:type="character" w:customStyle="1" w:styleId="citation-244">
    <w:name w:val="citation-244"/>
    <w:basedOn w:val="DefaultParagraphFont"/>
    <w:rsid w:val="00627BF5"/>
  </w:style>
  <w:style w:type="character" w:customStyle="1" w:styleId="citation-243">
    <w:name w:val="citation-243"/>
    <w:basedOn w:val="DefaultParagraphFont"/>
    <w:rsid w:val="00627BF5"/>
  </w:style>
  <w:style w:type="character" w:customStyle="1" w:styleId="citation-242">
    <w:name w:val="citation-242"/>
    <w:basedOn w:val="DefaultParagraphFont"/>
    <w:rsid w:val="00627BF5"/>
  </w:style>
  <w:style w:type="character" w:customStyle="1" w:styleId="citation-241">
    <w:name w:val="citation-241"/>
    <w:basedOn w:val="DefaultParagraphFont"/>
    <w:rsid w:val="00627BF5"/>
  </w:style>
  <w:style w:type="character" w:customStyle="1" w:styleId="citation-240">
    <w:name w:val="citation-240"/>
    <w:basedOn w:val="DefaultParagraphFont"/>
    <w:rsid w:val="00627BF5"/>
  </w:style>
  <w:style w:type="character" w:customStyle="1" w:styleId="citation-239">
    <w:name w:val="citation-239"/>
    <w:basedOn w:val="DefaultParagraphFont"/>
    <w:rsid w:val="00627BF5"/>
  </w:style>
  <w:style w:type="character" w:customStyle="1" w:styleId="citation-238">
    <w:name w:val="citation-238"/>
    <w:basedOn w:val="DefaultParagraphFont"/>
    <w:rsid w:val="00627BF5"/>
  </w:style>
  <w:style w:type="character" w:customStyle="1" w:styleId="citation-237">
    <w:name w:val="citation-237"/>
    <w:basedOn w:val="DefaultParagraphFont"/>
    <w:rsid w:val="00627BF5"/>
  </w:style>
  <w:style w:type="character" w:customStyle="1" w:styleId="citation-236">
    <w:name w:val="citation-236"/>
    <w:basedOn w:val="DefaultParagraphFont"/>
    <w:rsid w:val="00627BF5"/>
  </w:style>
  <w:style w:type="character" w:customStyle="1" w:styleId="citation-235">
    <w:name w:val="citation-235"/>
    <w:basedOn w:val="DefaultParagraphFont"/>
    <w:rsid w:val="00627BF5"/>
  </w:style>
  <w:style w:type="character" w:customStyle="1" w:styleId="citation-234">
    <w:name w:val="citation-234"/>
    <w:basedOn w:val="DefaultParagraphFont"/>
    <w:rsid w:val="00627BF5"/>
  </w:style>
  <w:style w:type="character" w:customStyle="1" w:styleId="citation-233">
    <w:name w:val="citation-233"/>
    <w:basedOn w:val="DefaultParagraphFont"/>
    <w:rsid w:val="00627BF5"/>
  </w:style>
  <w:style w:type="character" w:customStyle="1" w:styleId="citation-232">
    <w:name w:val="citation-232"/>
    <w:basedOn w:val="DefaultParagraphFont"/>
    <w:rsid w:val="00627BF5"/>
  </w:style>
  <w:style w:type="character" w:customStyle="1" w:styleId="citation-231">
    <w:name w:val="citation-231"/>
    <w:basedOn w:val="DefaultParagraphFont"/>
    <w:rsid w:val="00627BF5"/>
  </w:style>
  <w:style w:type="character" w:customStyle="1" w:styleId="citation-230">
    <w:name w:val="citation-230"/>
    <w:basedOn w:val="DefaultParagraphFont"/>
    <w:rsid w:val="00627BF5"/>
  </w:style>
  <w:style w:type="character" w:customStyle="1" w:styleId="ng-tns-c2368219710-134">
    <w:name w:val="ng-tns-c2368219710-134"/>
    <w:basedOn w:val="DefaultParagraphFont"/>
    <w:rsid w:val="00627BF5"/>
  </w:style>
  <w:style w:type="table" w:styleId="TableGrid">
    <w:name w:val="Table Grid"/>
    <w:basedOn w:val="TableNormal"/>
    <w:uiPriority w:val="39"/>
    <w:rsid w:val="00886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F4AF3"/>
    <w:pPr>
      <w:spacing w:after="100"/>
      <w:ind w:left="440"/>
    </w:pPr>
  </w:style>
  <w:style w:type="table" w:styleId="PlainTable3">
    <w:name w:val="Plain Table 3"/>
    <w:basedOn w:val="TableNormal"/>
    <w:uiPriority w:val="43"/>
    <w:rsid w:val="00A854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854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leofFigures">
    <w:name w:val="table of figures"/>
    <w:basedOn w:val="Normal"/>
    <w:next w:val="Normal"/>
    <w:uiPriority w:val="99"/>
    <w:unhideWhenUsed/>
    <w:rsid w:val="005222BC"/>
    <w:pPr>
      <w:spacing w:after="0"/>
    </w:pPr>
  </w:style>
  <w:style w:type="paragraph" w:styleId="TOC4">
    <w:name w:val="toc 4"/>
    <w:basedOn w:val="Normal"/>
    <w:next w:val="Normal"/>
    <w:autoRedefine/>
    <w:uiPriority w:val="39"/>
    <w:unhideWhenUsed/>
    <w:rsid w:val="008D76BB"/>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D76BB"/>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D76BB"/>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D76BB"/>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D76BB"/>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D76BB"/>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782">
      <w:bodyDiv w:val="1"/>
      <w:marLeft w:val="0"/>
      <w:marRight w:val="0"/>
      <w:marTop w:val="0"/>
      <w:marBottom w:val="0"/>
      <w:divBdr>
        <w:top w:val="none" w:sz="0" w:space="0" w:color="auto"/>
        <w:left w:val="none" w:sz="0" w:space="0" w:color="auto"/>
        <w:bottom w:val="none" w:sz="0" w:space="0" w:color="auto"/>
        <w:right w:val="none" w:sz="0" w:space="0" w:color="auto"/>
      </w:divBdr>
    </w:div>
    <w:div w:id="23604067">
      <w:bodyDiv w:val="1"/>
      <w:marLeft w:val="0"/>
      <w:marRight w:val="0"/>
      <w:marTop w:val="0"/>
      <w:marBottom w:val="0"/>
      <w:divBdr>
        <w:top w:val="none" w:sz="0" w:space="0" w:color="auto"/>
        <w:left w:val="none" w:sz="0" w:space="0" w:color="auto"/>
        <w:bottom w:val="none" w:sz="0" w:space="0" w:color="auto"/>
        <w:right w:val="none" w:sz="0" w:space="0" w:color="auto"/>
      </w:divBdr>
    </w:div>
    <w:div w:id="52781030">
      <w:bodyDiv w:val="1"/>
      <w:marLeft w:val="0"/>
      <w:marRight w:val="0"/>
      <w:marTop w:val="0"/>
      <w:marBottom w:val="0"/>
      <w:divBdr>
        <w:top w:val="none" w:sz="0" w:space="0" w:color="auto"/>
        <w:left w:val="none" w:sz="0" w:space="0" w:color="auto"/>
        <w:bottom w:val="none" w:sz="0" w:space="0" w:color="auto"/>
        <w:right w:val="none" w:sz="0" w:space="0" w:color="auto"/>
      </w:divBdr>
      <w:divsChild>
        <w:div w:id="1030061325">
          <w:marLeft w:val="-720"/>
          <w:marRight w:val="0"/>
          <w:marTop w:val="0"/>
          <w:marBottom w:val="0"/>
          <w:divBdr>
            <w:top w:val="none" w:sz="0" w:space="0" w:color="auto"/>
            <w:left w:val="none" w:sz="0" w:space="0" w:color="auto"/>
            <w:bottom w:val="none" w:sz="0" w:space="0" w:color="auto"/>
            <w:right w:val="none" w:sz="0" w:space="0" w:color="auto"/>
          </w:divBdr>
        </w:div>
      </w:divsChild>
    </w:div>
    <w:div w:id="81882634">
      <w:bodyDiv w:val="1"/>
      <w:marLeft w:val="0"/>
      <w:marRight w:val="0"/>
      <w:marTop w:val="0"/>
      <w:marBottom w:val="0"/>
      <w:divBdr>
        <w:top w:val="none" w:sz="0" w:space="0" w:color="auto"/>
        <w:left w:val="none" w:sz="0" w:space="0" w:color="auto"/>
        <w:bottom w:val="none" w:sz="0" w:space="0" w:color="auto"/>
        <w:right w:val="none" w:sz="0" w:space="0" w:color="auto"/>
      </w:divBdr>
    </w:div>
    <w:div w:id="84232441">
      <w:bodyDiv w:val="1"/>
      <w:marLeft w:val="0"/>
      <w:marRight w:val="0"/>
      <w:marTop w:val="0"/>
      <w:marBottom w:val="0"/>
      <w:divBdr>
        <w:top w:val="none" w:sz="0" w:space="0" w:color="auto"/>
        <w:left w:val="none" w:sz="0" w:space="0" w:color="auto"/>
        <w:bottom w:val="none" w:sz="0" w:space="0" w:color="auto"/>
        <w:right w:val="none" w:sz="0" w:space="0" w:color="auto"/>
      </w:divBdr>
    </w:div>
    <w:div w:id="155654939">
      <w:bodyDiv w:val="1"/>
      <w:marLeft w:val="0"/>
      <w:marRight w:val="0"/>
      <w:marTop w:val="0"/>
      <w:marBottom w:val="0"/>
      <w:divBdr>
        <w:top w:val="none" w:sz="0" w:space="0" w:color="auto"/>
        <w:left w:val="none" w:sz="0" w:space="0" w:color="auto"/>
        <w:bottom w:val="none" w:sz="0" w:space="0" w:color="auto"/>
        <w:right w:val="none" w:sz="0" w:space="0" w:color="auto"/>
      </w:divBdr>
    </w:div>
    <w:div w:id="267586199">
      <w:bodyDiv w:val="1"/>
      <w:marLeft w:val="0"/>
      <w:marRight w:val="0"/>
      <w:marTop w:val="0"/>
      <w:marBottom w:val="0"/>
      <w:divBdr>
        <w:top w:val="none" w:sz="0" w:space="0" w:color="auto"/>
        <w:left w:val="none" w:sz="0" w:space="0" w:color="auto"/>
        <w:bottom w:val="none" w:sz="0" w:space="0" w:color="auto"/>
        <w:right w:val="none" w:sz="0" w:space="0" w:color="auto"/>
      </w:divBdr>
    </w:div>
    <w:div w:id="289089898">
      <w:bodyDiv w:val="1"/>
      <w:marLeft w:val="0"/>
      <w:marRight w:val="0"/>
      <w:marTop w:val="0"/>
      <w:marBottom w:val="0"/>
      <w:divBdr>
        <w:top w:val="none" w:sz="0" w:space="0" w:color="auto"/>
        <w:left w:val="none" w:sz="0" w:space="0" w:color="auto"/>
        <w:bottom w:val="none" w:sz="0" w:space="0" w:color="auto"/>
        <w:right w:val="none" w:sz="0" w:space="0" w:color="auto"/>
      </w:divBdr>
    </w:div>
    <w:div w:id="305746143">
      <w:bodyDiv w:val="1"/>
      <w:marLeft w:val="0"/>
      <w:marRight w:val="0"/>
      <w:marTop w:val="0"/>
      <w:marBottom w:val="0"/>
      <w:divBdr>
        <w:top w:val="none" w:sz="0" w:space="0" w:color="auto"/>
        <w:left w:val="none" w:sz="0" w:space="0" w:color="auto"/>
        <w:bottom w:val="none" w:sz="0" w:space="0" w:color="auto"/>
        <w:right w:val="none" w:sz="0" w:space="0" w:color="auto"/>
      </w:divBdr>
    </w:div>
    <w:div w:id="377708160">
      <w:bodyDiv w:val="1"/>
      <w:marLeft w:val="0"/>
      <w:marRight w:val="0"/>
      <w:marTop w:val="0"/>
      <w:marBottom w:val="0"/>
      <w:divBdr>
        <w:top w:val="none" w:sz="0" w:space="0" w:color="auto"/>
        <w:left w:val="none" w:sz="0" w:space="0" w:color="auto"/>
        <w:bottom w:val="none" w:sz="0" w:space="0" w:color="auto"/>
        <w:right w:val="none" w:sz="0" w:space="0" w:color="auto"/>
      </w:divBdr>
      <w:divsChild>
        <w:div w:id="1890800275">
          <w:marLeft w:val="0"/>
          <w:marRight w:val="0"/>
          <w:marTop w:val="0"/>
          <w:marBottom w:val="0"/>
          <w:divBdr>
            <w:top w:val="none" w:sz="0" w:space="0" w:color="auto"/>
            <w:left w:val="none" w:sz="0" w:space="0" w:color="auto"/>
            <w:bottom w:val="none" w:sz="0" w:space="0" w:color="auto"/>
            <w:right w:val="none" w:sz="0" w:space="0" w:color="auto"/>
          </w:divBdr>
          <w:divsChild>
            <w:div w:id="552229070">
              <w:marLeft w:val="0"/>
              <w:marRight w:val="0"/>
              <w:marTop w:val="0"/>
              <w:marBottom w:val="0"/>
              <w:divBdr>
                <w:top w:val="none" w:sz="0" w:space="0" w:color="auto"/>
                <w:left w:val="none" w:sz="0" w:space="0" w:color="auto"/>
                <w:bottom w:val="none" w:sz="0" w:space="0" w:color="auto"/>
                <w:right w:val="none" w:sz="0" w:space="0" w:color="auto"/>
              </w:divBdr>
              <w:divsChild>
                <w:div w:id="1889223082">
                  <w:marLeft w:val="0"/>
                  <w:marRight w:val="0"/>
                  <w:marTop w:val="0"/>
                  <w:marBottom w:val="0"/>
                  <w:divBdr>
                    <w:top w:val="none" w:sz="0" w:space="0" w:color="auto"/>
                    <w:left w:val="none" w:sz="0" w:space="0" w:color="auto"/>
                    <w:bottom w:val="none" w:sz="0" w:space="0" w:color="auto"/>
                    <w:right w:val="none" w:sz="0" w:space="0" w:color="auto"/>
                  </w:divBdr>
                  <w:divsChild>
                    <w:div w:id="572349062">
                      <w:marLeft w:val="0"/>
                      <w:marRight w:val="0"/>
                      <w:marTop w:val="0"/>
                      <w:marBottom w:val="0"/>
                      <w:divBdr>
                        <w:top w:val="none" w:sz="0" w:space="0" w:color="auto"/>
                        <w:left w:val="none" w:sz="0" w:space="0" w:color="auto"/>
                        <w:bottom w:val="none" w:sz="0" w:space="0" w:color="auto"/>
                        <w:right w:val="none" w:sz="0" w:space="0" w:color="auto"/>
                      </w:divBdr>
                      <w:divsChild>
                        <w:div w:id="2116362400">
                          <w:marLeft w:val="0"/>
                          <w:marRight w:val="0"/>
                          <w:marTop w:val="0"/>
                          <w:marBottom w:val="0"/>
                          <w:divBdr>
                            <w:top w:val="none" w:sz="0" w:space="0" w:color="auto"/>
                            <w:left w:val="none" w:sz="0" w:space="0" w:color="auto"/>
                            <w:bottom w:val="none" w:sz="0" w:space="0" w:color="auto"/>
                            <w:right w:val="none" w:sz="0" w:space="0" w:color="auto"/>
                          </w:divBdr>
                          <w:divsChild>
                            <w:div w:id="228228528">
                              <w:marLeft w:val="0"/>
                              <w:marRight w:val="0"/>
                              <w:marTop w:val="0"/>
                              <w:marBottom w:val="0"/>
                              <w:divBdr>
                                <w:top w:val="none" w:sz="0" w:space="0" w:color="auto"/>
                                <w:left w:val="none" w:sz="0" w:space="0" w:color="auto"/>
                                <w:bottom w:val="none" w:sz="0" w:space="0" w:color="auto"/>
                                <w:right w:val="none" w:sz="0" w:space="0" w:color="auto"/>
                              </w:divBdr>
                              <w:divsChild>
                                <w:div w:id="141582280">
                                  <w:marLeft w:val="0"/>
                                  <w:marRight w:val="0"/>
                                  <w:marTop w:val="0"/>
                                  <w:marBottom w:val="0"/>
                                  <w:divBdr>
                                    <w:top w:val="none" w:sz="0" w:space="0" w:color="auto"/>
                                    <w:left w:val="none" w:sz="0" w:space="0" w:color="auto"/>
                                    <w:bottom w:val="none" w:sz="0" w:space="0" w:color="auto"/>
                                    <w:right w:val="none" w:sz="0" w:space="0" w:color="auto"/>
                                  </w:divBdr>
                                  <w:divsChild>
                                    <w:div w:id="10217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773945">
          <w:marLeft w:val="0"/>
          <w:marRight w:val="0"/>
          <w:marTop w:val="0"/>
          <w:marBottom w:val="0"/>
          <w:divBdr>
            <w:top w:val="none" w:sz="0" w:space="0" w:color="auto"/>
            <w:left w:val="none" w:sz="0" w:space="0" w:color="auto"/>
            <w:bottom w:val="none" w:sz="0" w:space="0" w:color="auto"/>
            <w:right w:val="none" w:sz="0" w:space="0" w:color="auto"/>
          </w:divBdr>
        </w:div>
        <w:div w:id="210846309">
          <w:marLeft w:val="0"/>
          <w:marRight w:val="0"/>
          <w:marTop w:val="0"/>
          <w:marBottom w:val="0"/>
          <w:divBdr>
            <w:top w:val="none" w:sz="0" w:space="0" w:color="auto"/>
            <w:left w:val="none" w:sz="0" w:space="0" w:color="auto"/>
            <w:bottom w:val="none" w:sz="0" w:space="0" w:color="auto"/>
            <w:right w:val="none" w:sz="0" w:space="0" w:color="auto"/>
          </w:divBdr>
        </w:div>
        <w:div w:id="1094473287">
          <w:marLeft w:val="0"/>
          <w:marRight w:val="0"/>
          <w:marTop w:val="0"/>
          <w:marBottom w:val="0"/>
          <w:divBdr>
            <w:top w:val="none" w:sz="0" w:space="0" w:color="auto"/>
            <w:left w:val="none" w:sz="0" w:space="0" w:color="auto"/>
            <w:bottom w:val="none" w:sz="0" w:space="0" w:color="auto"/>
            <w:right w:val="none" w:sz="0" w:space="0" w:color="auto"/>
          </w:divBdr>
          <w:divsChild>
            <w:div w:id="387069320">
              <w:marLeft w:val="0"/>
              <w:marRight w:val="0"/>
              <w:marTop w:val="0"/>
              <w:marBottom w:val="0"/>
              <w:divBdr>
                <w:top w:val="none" w:sz="0" w:space="0" w:color="auto"/>
                <w:left w:val="none" w:sz="0" w:space="0" w:color="auto"/>
                <w:bottom w:val="none" w:sz="0" w:space="0" w:color="auto"/>
                <w:right w:val="none" w:sz="0" w:space="0" w:color="auto"/>
              </w:divBdr>
              <w:divsChild>
                <w:div w:id="1914966498">
                  <w:marLeft w:val="0"/>
                  <w:marRight w:val="0"/>
                  <w:marTop w:val="0"/>
                  <w:marBottom w:val="0"/>
                  <w:divBdr>
                    <w:top w:val="none" w:sz="0" w:space="0" w:color="auto"/>
                    <w:left w:val="none" w:sz="0" w:space="0" w:color="auto"/>
                    <w:bottom w:val="none" w:sz="0" w:space="0" w:color="auto"/>
                    <w:right w:val="none" w:sz="0" w:space="0" w:color="auto"/>
                  </w:divBdr>
                  <w:divsChild>
                    <w:div w:id="1307006089">
                      <w:marLeft w:val="0"/>
                      <w:marRight w:val="0"/>
                      <w:marTop w:val="0"/>
                      <w:marBottom w:val="0"/>
                      <w:divBdr>
                        <w:top w:val="none" w:sz="0" w:space="0" w:color="auto"/>
                        <w:left w:val="none" w:sz="0" w:space="0" w:color="auto"/>
                        <w:bottom w:val="none" w:sz="0" w:space="0" w:color="auto"/>
                        <w:right w:val="none" w:sz="0" w:space="0" w:color="auto"/>
                      </w:divBdr>
                      <w:divsChild>
                        <w:div w:id="1032346465">
                          <w:marLeft w:val="0"/>
                          <w:marRight w:val="0"/>
                          <w:marTop w:val="0"/>
                          <w:marBottom w:val="0"/>
                          <w:divBdr>
                            <w:top w:val="none" w:sz="0" w:space="0" w:color="auto"/>
                            <w:left w:val="none" w:sz="0" w:space="0" w:color="auto"/>
                            <w:bottom w:val="none" w:sz="0" w:space="0" w:color="auto"/>
                            <w:right w:val="none" w:sz="0" w:space="0" w:color="auto"/>
                          </w:divBdr>
                          <w:divsChild>
                            <w:div w:id="974413522">
                              <w:marLeft w:val="0"/>
                              <w:marRight w:val="0"/>
                              <w:marTop w:val="0"/>
                              <w:marBottom w:val="0"/>
                              <w:divBdr>
                                <w:top w:val="none" w:sz="0" w:space="0" w:color="auto"/>
                                <w:left w:val="none" w:sz="0" w:space="0" w:color="auto"/>
                                <w:bottom w:val="none" w:sz="0" w:space="0" w:color="auto"/>
                                <w:right w:val="none" w:sz="0" w:space="0" w:color="auto"/>
                              </w:divBdr>
                              <w:divsChild>
                                <w:div w:id="8270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20492">
                      <w:marLeft w:val="0"/>
                      <w:marRight w:val="0"/>
                      <w:marTop w:val="0"/>
                      <w:marBottom w:val="0"/>
                      <w:divBdr>
                        <w:top w:val="none" w:sz="0" w:space="0" w:color="auto"/>
                        <w:left w:val="none" w:sz="0" w:space="0" w:color="auto"/>
                        <w:bottom w:val="none" w:sz="0" w:space="0" w:color="auto"/>
                        <w:right w:val="none" w:sz="0" w:space="0" w:color="auto"/>
                      </w:divBdr>
                      <w:divsChild>
                        <w:div w:id="1233926986">
                          <w:marLeft w:val="0"/>
                          <w:marRight w:val="0"/>
                          <w:marTop w:val="0"/>
                          <w:marBottom w:val="0"/>
                          <w:divBdr>
                            <w:top w:val="none" w:sz="0" w:space="0" w:color="auto"/>
                            <w:left w:val="none" w:sz="0" w:space="0" w:color="auto"/>
                            <w:bottom w:val="none" w:sz="0" w:space="0" w:color="auto"/>
                            <w:right w:val="none" w:sz="0" w:space="0" w:color="auto"/>
                          </w:divBdr>
                          <w:divsChild>
                            <w:div w:id="716664608">
                              <w:marLeft w:val="0"/>
                              <w:marRight w:val="0"/>
                              <w:marTop w:val="0"/>
                              <w:marBottom w:val="0"/>
                              <w:divBdr>
                                <w:top w:val="none" w:sz="0" w:space="0" w:color="auto"/>
                                <w:left w:val="none" w:sz="0" w:space="0" w:color="auto"/>
                                <w:bottom w:val="none" w:sz="0" w:space="0" w:color="auto"/>
                                <w:right w:val="none" w:sz="0" w:space="0" w:color="auto"/>
                              </w:divBdr>
                            </w:div>
                            <w:div w:id="10346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508697">
          <w:marLeft w:val="0"/>
          <w:marRight w:val="0"/>
          <w:marTop w:val="0"/>
          <w:marBottom w:val="0"/>
          <w:divBdr>
            <w:top w:val="none" w:sz="0" w:space="0" w:color="auto"/>
            <w:left w:val="none" w:sz="0" w:space="0" w:color="auto"/>
            <w:bottom w:val="none" w:sz="0" w:space="0" w:color="auto"/>
            <w:right w:val="none" w:sz="0" w:space="0" w:color="auto"/>
          </w:divBdr>
        </w:div>
      </w:divsChild>
    </w:div>
    <w:div w:id="415440537">
      <w:bodyDiv w:val="1"/>
      <w:marLeft w:val="0"/>
      <w:marRight w:val="0"/>
      <w:marTop w:val="0"/>
      <w:marBottom w:val="0"/>
      <w:divBdr>
        <w:top w:val="none" w:sz="0" w:space="0" w:color="auto"/>
        <w:left w:val="none" w:sz="0" w:space="0" w:color="auto"/>
        <w:bottom w:val="none" w:sz="0" w:space="0" w:color="auto"/>
        <w:right w:val="none" w:sz="0" w:space="0" w:color="auto"/>
      </w:divBdr>
    </w:div>
    <w:div w:id="470440508">
      <w:bodyDiv w:val="1"/>
      <w:marLeft w:val="0"/>
      <w:marRight w:val="0"/>
      <w:marTop w:val="0"/>
      <w:marBottom w:val="0"/>
      <w:divBdr>
        <w:top w:val="none" w:sz="0" w:space="0" w:color="auto"/>
        <w:left w:val="none" w:sz="0" w:space="0" w:color="auto"/>
        <w:bottom w:val="none" w:sz="0" w:space="0" w:color="auto"/>
        <w:right w:val="none" w:sz="0" w:space="0" w:color="auto"/>
      </w:divBdr>
    </w:div>
    <w:div w:id="529611894">
      <w:bodyDiv w:val="1"/>
      <w:marLeft w:val="0"/>
      <w:marRight w:val="0"/>
      <w:marTop w:val="0"/>
      <w:marBottom w:val="0"/>
      <w:divBdr>
        <w:top w:val="none" w:sz="0" w:space="0" w:color="auto"/>
        <w:left w:val="none" w:sz="0" w:space="0" w:color="auto"/>
        <w:bottom w:val="none" w:sz="0" w:space="0" w:color="auto"/>
        <w:right w:val="none" w:sz="0" w:space="0" w:color="auto"/>
      </w:divBdr>
      <w:divsChild>
        <w:div w:id="2097701788">
          <w:marLeft w:val="0"/>
          <w:marRight w:val="0"/>
          <w:marTop w:val="0"/>
          <w:marBottom w:val="0"/>
          <w:divBdr>
            <w:top w:val="none" w:sz="0" w:space="0" w:color="auto"/>
            <w:left w:val="none" w:sz="0" w:space="0" w:color="auto"/>
            <w:bottom w:val="none" w:sz="0" w:space="0" w:color="auto"/>
            <w:right w:val="none" w:sz="0" w:space="0" w:color="auto"/>
          </w:divBdr>
          <w:divsChild>
            <w:div w:id="627975287">
              <w:marLeft w:val="0"/>
              <w:marRight w:val="0"/>
              <w:marTop w:val="0"/>
              <w:marBottom w:val="0"/>
              <w:divBdr>
                <w:top w:val="none" w:sz="0" w:space="0" w:color="auto"/>
                <w:left w:val="none" w:sz="0" w:space="0" w:color="auto"/>
                <w:bottom w:val="none" w:sz="0" w:space="0" w:color="auto"/>
                <w:right w:val="none" w:sz="0" w:space="0" w:color="auto"/>
              </w:divBdr>
              <w:divsChild>
                <w:div w:id="1468011112">
                  <w:marLeft w:val="0"/>
                  <w:marRight w:val="0"/>
                  <w:marTop w:val="0"/>
                  <w:marBottom w:val="0"/>
                  <w:divBdr>
                    <w:top w:val="none" w:sz="0" w:space="0" w:color="auto"/>
                    <w:left w:val="none" w:sz="0" w:space="0" w:color="auto"/>
                    <w:bottom w:val="none" w:sz="0" w:space="0" w:color="auto"/>
                    <w:right w:val="none" w:sz="0" w:space="0" w:color="auto"/>
                  </w:divBdr>
                  <w:divsChild>
                    <w:div w:id="1800420282">
                      <w:marLeft w:val="0"/>
                      <w:marRight w:val="0"/>
                      <w:marTop w:val="0"/>
                      <w:marBottom w:val="0"/>
                      <w:divBdr>
                        <w:top w:val="none" w:sz="0" w:space="0" w:color="auto"/>
                        <w:left w:val="none" w:sz="0" w:space="0" w:color="auto"/>
                        <w:bottom w:val="none" w:sz="0" w:space="0" w:color="auto"/>
                        <w:right w:val="none" w:sz="0" w:space="0" w:color="auto"/>
                      </w:divBdr>
                      <w:divsChild>
                        <w:div w:id="820534855">
                          <w:marLeft w:val="0"/>
                          <w:marRight w:val="0"/>
                          <w:marTop w:val="0"/>
                          <w:marBottom w:val="0"/>
                          <w:divBdr>
                            <w:top w:val="none" w:sz="0" w:space="0" w:color="auto"/>
                            <w:left w:val="none" w:sz="0" w:space="0" w:color="auto"/>
                            <w:bottom w:val="none" w:sz="0" w:space="0" w:color="auto"/>
                            <w:right w:val="none" w:sz="0" w:space="0" w:color="auto"/>
                          </w:divBdr>
                          <w:divsChild>
                            <w:div w:id="138040584">
                              <w:marLeft w:val="0"/>
                              <w:marRight w:val="0"/>
                              <w:marTop w:val="0"/>
                              <w:marBottom w:val="0"/>
                              <w:divBdr>
                                <w:top w:val="none" w:sz="0" w:space="0" w:color="auto"/>
                                <w:left w:val="none" w:sz="0" w:space="0" w:color="auto"/>
                                <w:bottom w:val="none" w:sz="0" w:space="0" w:color="auto"/>
                                <w:right w:val="none" w:sz="0" w:space="0" w:color="auto"/>
                              </w:divBdr>
                              <w:divsChild>
                                <w:div w:id="1622105388">
                                  <w:marLeft w:val="0"/>
                                  <w:marRight w:val="0"/>
                                  <w:marTop w:val="0"/>
                                  <w:marBottom w:val="0"/>
                                  <w:divBdr>
                                    <w:top w:val="none" w:sz="0" w:space="0" w:color="auto"/>
                                    <w:left w:val="none" w:sz="0" w:space="0" w:color="auto"/>
                                    <w:bottom w:val="none" w:sz="0" w:space="0" w:color="auto"/>
                                    <w:right w:val="none" w:sz="0" w:space="0" w:color="auto"/>
                                  </w:divBdr>
                                  <w:divsChild>
                                    <w:div w:id="78165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50642">
          <w:marLeft w:val="0"/>
          <w:marRight w:val="0"/>
          <w:marTop w:val="0"/>
          <w:marBottom w:val="0"/>
          <w:divBdr>
            <w:top w:val="none" w:sz="0" w:space="0" w:color="auto"/>
            <w:left w:val="none" w:sz="0" w:space="0" w:color="auto"/>
            <w:bottom w:val="none" w:sz="0" w:space="0" w:color="auto"/>
            <w:right w:val="none" w:sz="0" w:space="0" w:color="auto"/>
          </w:divBdr>
        </w:div>
        <w:div w:id="1574923233">
          <w:marLeft w:val="0"/>
          <w:marRight w:val="0"/>
          <w:marTop w:val="0"/>
          <w:marBottom w:val="0"/>
          <w:divBdr>
            <w:top w:val="none" w:sz="0" w:space="0" w:color="auto"/>
            <w:left w:val="none" w:sz="0" w:space="0" w:color="auto"/>
            <w:bottom w:val="none" w:sz="0" w:space="0" w:color="auto"/>
            <w:right w:val="none" w:sz="0" w:space="0" w:color="auto"/>
          </w:divBdr>
        </w:div>
        <w:div w:id="1674146593">
          <w:marLeft w:val="0"/>
          <w:marRight w:val="0"/>
          <w:marTop w:val="0"/>
          <w:marBottom w:val="0"/>
          <w:divBdr>
            <w:top w:val="none" w:sz="0" w:space="0" w:color="auto"/>
            <w:left w:val="none" w:sz="0" w:space="0" w:color="auto"/>
            <w:bottom w:val="none" w:sz="0" w:space="0" w:color="auto"/>
            <w:right w:val="none" w:sz="0" w:space="0" w:color="auto"/>
          </w:divBdr>
          <w:divsChild>
            <w:div w:id="2099592682">
              <w:marLeft w:val="0"/>
              <w:marRight w:val="0"/>
              <w:marTop w:val="0"/>
              <w:marBottom w:val="0"/>
              <w:divBdr>
                <w:top w:val="none" w:sz="0" w:space="0" w:color="auto"/>
                <w:left w:val="none" w:sz="0" w:space="0" w:color="auto"/>
                <w:bottom w:val="none" w:sz="0" w:space="0" w:color="auto"/>
                <w:right w:val="none" w:sz="0" w:space="0" w:color="auto"/>
              </w:divBdr>
              <w:divsChild>
                <w:div w:id="695692118">
                  <w:marLeft w:val="0"/>
                  <w:marRight w:val="0"/>
                  <w:marTop w:val="0"/>
                  <w:marBottom w:val="0"/>
                  <w:divBdr>
                    <w:top w:val="none" w:sz="0" w:space="0" w:color="auto"/>
                    <w:left w:val="none" w:sz="0" w:space="0" w:color="auto"/>
                    <w:bottom w:val="none" w:sz="0" w:space="0" w:color="auto"/>
                    <w:right w:val="none" w:sz="0" w:space="0" w:color="auto"/>
                  </w:divBdr>
                  <w:divsChild>
                    <w:div w:id="175660279">
                      <w:marLeft w:val="0"/>
                      <w:marRight w:val="0"/>
                      <w:marTop w:val="0"/>
                      <w:marBottom w:val="0"/>
                      <w:divBdr>
                        <w:top w:val="none" w:sz="0" w:space="0" w:color="auto"/>
                        <w:left w:val="none" w:sz="0" w:space="0" w:color="auto"/>
                        <w:bottom w:val="none" w:sz="0" w:space="0" w:color="auto"/>
                        <w:right w:val="none" w:sz="0" w:space="0" w:color="auto"/>
                      </w:divBdr>
                      <w:divsChild>
                        <w:div w:id="1782722267">
                          <w:marLeft w:val="0"/>
                          <w:marRight w:val="0"/>
                          <w:marTop w:val="0"/>
                          <w:marBottom w:val="0"/>
                          <w:divBdr>
                            <w:top w:val="none" w:sz="0" w:space="0" w:color="auto"/>
                            <w:left w:val="none" w:sz="0" w:space="0" w:color="auto"/>
                            <w:bottom w:val="none" w:sz="0" w:space="0" w:color="auto"/>
                            <w:right w:val="none" w:sz="0" w:space="0" w:color="auto"/>
                          </w:divBdr>
                          <w:divsChild>
                            <w:div w:id="1114641202">
                              <w:marLeft w:val="0"/>
                              <w:marRight w:val="0"/>
                              <w:marTop w:val="0"/>
                              <w:marBottom w:val="0"/>
                              <w:divBdr>
                                <w:top w:val="none" w:sz="0" w:space="0" w:color="auto"/>
                                <w:left w:val="none" w:sz="0" w:space="0" w:color="auto"/>
                                <w:bottom w:val="none" w:sz="0" w:space="0" w:color="auto"/>
                                <w:right w:val="none" w:sz="0" w:space="0" w:color="auto"/>
                              </w:divBdr>
                              <w:divsChild>
                                <w:div w:id="11688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50476">
                      <w:marLeft w:val="0"/>
                      <w:marRight w:val="0"/>
                      <w:marTop w:val="0"/>
                      <w:marBottom w:val="0"/>
                      <w:divBdr>
                        <w:top w:val="none" w:sz="0" w:space="0" w:color="auto"/>
                        <w:left w:val="none" w:sz="0" w:space="0" w:color="auto"/>
                        <w:bottom w:val="none" w:sz="0" w:space="0" w:color="auto"/>
                        <w:right w:val="none" w:sz="0" w:space="0" w:color="auto"/>
                      </w:divBdr>
                      <w:divsChild>
                        <w:div w:id="368410315">
                          <w:marLeft w:val="0"/>
                          <w:marRight w:val="0"/>
                          <w:marTop w:val="0"/>
                          <w:marBottom w:val="0"/>
                          <w:divBdr>
                            <w:top w:val="none" w:sz="0" w:space="0" w:color="auto"/>
                            <w:left w:val="none" w:sz="0" w:space="0" w:color="auto"/>
                            <w:bottom w:val="none" w:sz="0" w:space="0" w:color="auto"/>
                            <w:right w:val="none" w:sz="0" w:space="0" w:color="auto"/>
                          </w:divBdr>
                          <w:divsChild>
                            <w:div w:id="425274833">
                              <w:marLeft w:val="0"/>
                              <w:marRight w:val="0"/>
                              <w:marTop w:val="0"/>
                              <w:marBottom w:val="0"/>
                              <w:divBdr>
                                <w:top w:val="none" w:sz="0" w:space="0" w:color="auto"/>
                                <w:left w:val="none" w:sz="0" w:space="0" w:color="auto"/>
                                <w:bottom w:val="none" w:sz="0" w:space="0" w:color="auto"/>
                                <w:right w:val="none" w:sz="0" w:space="0" w:color="auto"/>
                              </w:divBdr>
                            </w:div>
                            <w:div w:id="123974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733928">
          <w:marLeft w:val="0"/>
          <w:marRight w:val="0"/>
          <w:marTop w:val="0"/>
          <w:marBottom w:val="0"/>
          <w:divBdr>
            <w:top w:val="none" w:sz="0" w:space="0" w:color="auto"/>
            <w:left w:val="none" w:sz="0" w:space="0" w:color="auto"/>
            <w:bottom w:val="none" w:sz="0" w:space="0" w:color="auto"/>
            <w:right w:val="none" w:sz="0" w:space="0" w:color="auto"/>
          </w:divBdr>
        </w:div>
      </w:divsChild>
    </w:div>
    <w:div w:id="566383161">
      <w:bodyDiv w:val="1"/>
      <w:marLeft w:val="0"/>
      <w:marRight w:val="0"/>
      <w:marTop w:val="0"/>
      <w:marBottom w:val="0"/>
      <w:divBdr>
        <w:top w:val="none" w:sz="0" w:space="0" w:color="auto"/>
        <w:left w:val="none" w:sz="0" w:space="0" w:color="auto"/>
        <w:bottom w:val="none" w:sz="0" w:space="0" w:color="auto"/>
        <w:right w:val="none" w:sz="0" w:space="0" w:color="auto"/>
      </w:divBdr>
    </w:div>
    <w:div w:id="581062050">
      <w:bodyDiv w:val="1"/>
      <w:marLeft w:val="0"/>
      <w:marRight w:val="0"/>
      <w:marTop w:val="0"/>
      <w:marBottom w:val="0"/>
      <w:divBdr>
        <w:top w:val="none" w:sz="0" w:space="0" w:color="auto"/>
        <w:left w:val="none" w:sz="0" w:space="0" w:color="auto"/>
        <w:bottom w:val="none" w:sz="0" w:space="0" w:color="auto"/>
        <w:right w:val="none" w:sz="0" w:space="0" w:color="auto"/>
      </w:divBdr>
      <w:divsChild>
        <w:div w:id="1136294071">
          <w:marLeft w:val="-720"/>
          <w:marRight w:val="0"/>
          <w:marTop w:val="0"/>
          <w:marBottom w:val="0"/>
          <w:divBdr>
            <w:top w:val="none" w:sz="0" w:space="0" w:color="auto"/>
            <w:left w:val="none" w:sz="0" w:space="0" w:color="auto"/>
            <w:bottom w:val="none" w:sz="0" w:space="0" w:color="auto"/>
            <w:right w:val="none" w:sz="0" w:space="0" w:color="auto"/>
          </w:divBdr>
        </w:div>
      </w:divsChild>
    </w:div>
    <w:div w:id="608465886">
      <w:bodyDiv w:val="1"/>
      <w:marLeft w:val="0"/>
      <w:marRight w:val="0"/>
      <w:marTop w:val="0"/>
      <w:marBottom w:val="0"/>
      <w:divBdr>
        <w:top w:val="none" w:sz="0" w:space="0" w:color="auto"/>
        <w:left w:val="none" w:sz="0" w:space="0" w:color="auto"/>
        <w:bottom w:val="none" w:sz="0" w:space="0" w:color="auto"/>
        <w:right w:val="none" w:sz="0" w:space="0" w:color="auto"/>
      </w:divBdr>
    </w:div>
    <w:div w:id="622544032">
      <w:bodyDiv w:val="1"/>
      <w:marLeft w:val="0"/>
      <w:marRight w:val="0"/>
      <w:marTop w:val="0"/>
      <w:marBottom w:val="0"/>
      <w:divBdr>
        <w:top w:val="none" w:sz="0" w:space="0" w:color="auto"/>
        <w:left w:val="none" w:sz="0" w:space="0" w:color="auto"/>
        <w:bottom w:val="none" w:sz="0" w:space="0" w:color="auto"/>
        <w:right w:val="none" w:sz="0" w:space="0" w:color="auto"/>
      </w:divBdr>
      <w:divsChild>
        <w:div w:id="852230932">
          <w:marLeft w:val="0"/>
          <w:marRight w:val="0"/>
          <w:marTop w:val="0"/>
          <w:marBottom w:val="0"/>
          <w:divBdr>
            <w:top w:val="none" w:sz="0" w:space="0" w:color="auto"/>
            <w:left w:val="none" w:sz="0" w:space="0" w:color="auto"/>
            <w:bottom w:val="none" w:sz="0" w:space="0" w:color="auto"/>
            <w:right w:val="none" w:sz="0" w:space="0" w:color="auto"/>
          </w:divBdr>
          <w:divsChild>
            <w:div w:id="1403674715">
              <w:marLeft w:val="0"/>
              <w:marRight w:val="0"/>
              <w:marTop w:val="0"/>
              <w:marBottom w:val="0"/>
              <w:divBdr>
                <w:top w:val="none" w:sz="0" w:space="0" w:color="auto"/>
                <w:left w:val="none" w:sz="0" w:space="0" w:color="auto"/>
                <w:bottom w:val="none" w:sz="0" w:space="0" w:color="auto"/>
                <w:right w:val="none" w:sz="0" w:space="0" w:color="auto"/>
              </w:divBdr>
              <w:divsChild>
                <w:div w:id="1407921294">
                  <w:marLeft w:val="0"/>
                  <w:marRight w:val="0"/>
                  <w:marTop w:val="0"/>
                  <w:marBottom w:val="0"/>
                  <w:divBdr>
                    <w:top w:val="none" w:sz="0" w:space="0" w:color="auto"/>
                    <w:left w:val="none" w:sz="0" w:space="0" w:color="auto"/>
                    <w:bottom w:val="none" w:sz="0" w:space="0" w:color="auto"/>
                    <w:right w:val="none" w:sz="0" w:space="0" w:color="auto"/>
                  </w:divBdr>
                  <w:divsChild>
                    <w:div w:id="1433428040">
                      <w:marLeft w:val="0"/>
                      <w:marRight w:val="0"/>
                      <w:marTop w:val="0"/>
                      <w:marBottom w:val="0"/>
                      <w:divBdr>
                        <w:top w:val="none" w:sz="0" w:space="0" w:color="auto"/>
                        <w:left w:val="none" w:sz="0" w:space="0" w:color="auto"/>
                        <w:bottom w:val="none" w:sz="0" w:space="0" w:color="auto"/>
                        <w:right w:val="none" w:sz="0" w:space="0" w:color="auto"/>
                      </w:divBdr>
                      <w:divsChild>
                        <w:div w:id="1898514658">
                          <w:marLeft w:val="0"/>
                          <w:marRight w:val="0"/>
                          <w:marTop w:val="0"/>
                          <w:marBottom w:val="0"/>
                          <w:divBdr>
                            <w:top w:val="none" w:sz="0" w:space="0" w:color="auto"/>
                            <w:left w:val="none" w:sz="0" w:space="0" w:color="auto"/>
                            <w:bottom w:val="none" w:sz="0" w:space="0" w:color="auto"/>
                            <w:right w:val="none" w:sz="0" w:space="0" w:color="auto"/>
                          </w:divBdr>
                          <w:divsChild>
                            <w:div w:id="481045113">
                              <w:marLeft w:val="0"/>
                              <w:marRight w:val="0"/>
                              <w:marTop w:val="0"/>
                              <w:marBottom w:val="0"/>
                              <w:divBdr>
                                <w:top w:val="none" w:sz="0" w:space="0" w:color="auto"/>
                                <w:left w:val="none" w:sz="0" w:space="0" w:color="auto"/>
                                <w:bottom w:val="none" w:sz="0" w:space="0" w:color="auto"/>
                                <w:right w:val="none" w:sz="0" w:space="0" w:color="auto"/>
                              </w:divBdr>
                              <w:divsChild>
                                <w:div w:id="1035693628">
                                  <w:marLeft w:val="0"/>
                                  <w:marRight w:val="0"/>
                                  <w:marTop w:val="0"/>
                                  <w:marBottom w:val="0"/>
                                  <w:divBdr>
                                    <w:top w:val="none" w:sz="0" w:space="0" w:color="auto"/>
                                    <w:left w:val="none" w:sz="0" w:space="0" w:color="auto"/>
                                    <w:bottom w:val="none" w:sz="0" w:space="0" w:color="auto"/>
                                    <w:right w:val="none" w:sz="0" w:space="0" w:color="auto"/>
                                  </w:divBdr>
                                  <w:divsChild>
                                    <w:div w:id="18814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620939">
          <w:marLeft w:val="0"/>
          <w:marRight w:val="0"/>
          <w:marTop w:val="0"/>
          <w:marBottom w:val="0"/>
          <w:divBdr>
            <w:top w:val="none" w:sz="0" w:space="0" w:color="auto"/>
            <w:left w:val="none" w:sz="0" w:space="0" w:color="auto"/>
            <w:bottom w:val="none" w:sz="0" w:space="0" w:color="auto"/>
            <w:right w:val="none" w:sz="0" w:space="0" w:color="auto"/>
          </w:divBdr>
        </w:div>
        <w:div w:id="191649799">
          <w:marLeft w:val="0"/>
          <w:marRight w:val="0"/>
          <w:marTop w:val="0"/>
          <w:marBottom w:val="0"/>
          <w:divBdr>
            <w:top w:val="none" w:sz="0" w:space="0" w:color="auto"/>
            <w:left w:val="none" w:sz="0" w:space="0" w:color="auto"/>
            <w:bottom w:val="none" w:sz="0" w:space="0" w:color="auto"/>
            <w:right w:val="none" w:sz="0" w:space="0" w:color="auto"/>
          </w:divBdr>
        </w:div>
        <w:div w:id="2146970136">
          <w:marLeft w:val="0"/>
          <w:marRight w:val="0"/>
          <w:marTop w:val="0"/>
          <w:marBottom w:val="0"/>
          <w:divBdr>
            <w:top w:val="none" w:sz="0" w:space="0" w:color="auto"/>
            <w:left w:val="none" w:sz="0" w:space="0" w:color="auto"/>
            <w:bottom w:val="none" w:sz="0" w:space="0" w:color="auto"/>
            <w:right w:val="none" w:sz="0" w:space="0" w:color="auto"/>
          </w:divBdr>
          <w:divsChild>
            <w:div w:id="808330249">
              <w:marLeft w:val="0"/>
              <w:marRight w:val="0"/>
              <w:marTop w:val="0"/>
              <w:marBottom w:val="0"/>
              <w:divBdr>
                <w:top w:val="none" w:sz="0" w:space="0" w:color="auto"/>
                <w:left w:val="none" w:sz="0" w:space="0" w:color="auto"/>
                <w:bottom w:val="none" w:sz="0" w:space="0" w:color="auto"/>
                <w:right w:val="none" w:sz="0" w:space="0" w:color="auto"/>
              </w:divBdr>
              <w:divsChild>
                <w:div w:id="1650207705">
                  <w:marLeft w:val="0"/>
                  <w:marRight w:val="0"/>
                  <w:marTop w:val="0"/>
                  <w:marBottom w:val="0"/>
                  <w:divBdr>
                    <w:top w:val="none" w:sz="0" w:space="0" w:color="auto"/>
                    <w:left w:val="none" w:sz="0" w:space="0" w:color="auto"/>
                    <w:bottom w:val="none" w:sz="0" w:space="0" w:color="auto"/>
                    <w:right w:val="none" w:sz="0" w:space="0" w:color="auto"/>
                  </w:divBdr>
                  <w:divsChild>
                    <w:div w:id="907303762">
                      <w:marLeft w:val="0"/>
                      <w:marRight w:val="0"/>
                      <w:marTop w:val="0"/>
                      <w:marBottom w:val="0"/>
                      <w:divBdr>
                        <w:top w:val="none" w:sz="0" w:space="0" w:color="auto"/>
                        <w:left w:val="none" w:sz="0" w:space="0" w:color="auto"/>
                        <w:bottom w:val="none" w:sz="0" w:space="0" w:color="auto"/>
                        <w:right w:val="none" w:sz="0" w:space="0" w:color="auto"/>
                      </w:divBdr>
                      <w:divsChild>
                        <w:div w:id="72237389">
                          <w:marLeft w:val="0"/>
                          <w:marRight w:val="0"/>
                          <w:marTop w:val="0"/>
                          <w:marBottom w:val="0"/>
                          <w:divBdr>
                            <w:top w:val="none" w:sz="0" w:space="0" w:color="auto"/>
                            <w:left w:val="none" w:sz="0" w:space="0" w:color="auto"/>
                            <w:bottom w:val="none" w:sz="0" w:space="0" w:color="auto"/>
                            <w:right w:val="none" w:sz="0" w:space="0" w:color="auto"/>
                          </w:divBdr>
                          <w:divsChild>
                            <w:div w:id="609162792">
                              <w:marLeft w:val="0"/>
                              <w:marRight w:val="0"/>
                              <w:marTop w:val="0"/>
                              <w:marBottom w:val="0"/>
                              <w:divBdr>
                                <w:top w:val="none" w:sz="0" w:space="0" w:color="auto"/>
                                <w:left w:val="none" w:sz="0" w:space="0" w:color="auto"/>
                                <w:bottom w:val="none" w:sz="0" w:space="0" w:color="auto"/>
                                <w:right w:val="none" w:sz="0" w:space="0" w:color="auto"/>
                              </w:divBdr>
                              <w:divsChild>
                                <w:div w:id="5825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805">
                      <w:marLeft w:val="0"/>
                      <w:marRight w:val="0"/>
                      <w:marTop w:val="0"/>
                      <w:marBottom w:val="0"/>
                      <w:divBdr>
                        <w:top w:val="none" w:sz="0" w:space="0" w:color="auto"/>
                        <w:left w:val="none" w:sz="0" w:space="0" w:color="auto"/>
                        <w:bottom w:val="none" w:sz="0" w:space="0" w:color="auto"/>
                        <w:right w:val="none" w:sz="0" w:space="0" w:color="auto"/>
                      </w:divBdr>
                      <w:divsChild>
                        <w:div w:id="1212574252">
                          <w:marLeft w:val="0"/>
                          <w:marRight w:val="0"/>
                          <w:marTop w:val="0"/>
                          <w:marBottom w:val="0"/>
                          <w:divBdr>
                            <w:top w:val="none" w:sz="0" w:space="0" w:color="auto"/>
                            <w:left w:val="none" w:sz="0" w:space="0" w:color="auto"/>
                            <w:bottom w:val="none" w:sz="0" w:space="0" w:color="auto"/>
                            <w:right w:val="none" w:sz="0" w:space="0" w:color="auto"/>
                          </w:divBdr>
                          <w:divsChild>
                            <w:div w:id="2108578659">
                              <w:marLeft w:val="0"/>
                              <w:marRight w:val="0"/>
                              <w:marTop w:val="0"/>
                              <w:marBottom w:val="0"/>
                              <w:divBdr>
                                <w:top w:val="none" w:sz="0" w:space="0" w:color="auto"/>
                                <w:left w:val="none" w:sz="0" w:space="0" w:color="auto"/>
                                <w:bottom w:val="none" w:sz="0" w:space="0" w:color="auto"/>
                                <w:right w:val="none" w:sz="0" w:space="0" w:color="auto"/>
                              </w:divBdr>
                            </w:div>
                            <w:div w:id="4125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033485">
          <w:marLeft w:val="0"/>
          <w:marRight w:val="0"/>
          <w:marTop w:val="0"/>
          <w:marBottom w:val="0"/>
          <w:divBdr>
            <w:top w:val="none" w:sz="0" w:space="0" w:color="auto"/>
            <w:left w:val="none" w:sz="0" w:space="0" w:color="auto"/>
            <w:bottom w:val="none" w:sz="0" w:space="0" w:color="auto"/>
            <w:right w:val="none" w:sz="0" w:space="0" w:color="auto"/>
          </w:divBdr>
        </w:div>
      </w:divsChild>
    </w:div>
    <w:div w:id="644621823">
      <w:bodyDiv w:val="1"/>
      <w:marLeft w:val="0"/>
      <w:marRight w:val="0"/>
      <w:marTop w:val="0"/>
      <w:marBottom w:val="0"/>
      <w:divBdr>
        <w:top w:val="none" w:sz="0" w:space="0" w:color="auto"/>
        <w:left w:val="none" w:sz="0" w:space="0" w:color="auto"/>
        <w:bottom w:val="none" w:sz="0" w:space="0" w:color="auto"/>
        <w:right w:val="none" w:sz="0" w:space="0" w:color="auto"/>
      </w:divBdr>
    </w:div>
    <w:div w:id="725185165">
      <w:bodyDiv w:val="1"/>
      <w:marLeft w:val="0"/>
      <w:marRight w:val="0"/>
      <w:marTop w:val="0"/>
      <w:marBottom w:val="0"/>
      <w:divBdr>
        <w:top w:val="none" w:sz="0" w:space="0" w:color="auto"/>
        <w:left w:val="none" w:sz="0" w:space="0" w:color="auto"/>
        <w:bottom w:val="none" w:sz="0" w:space="0" w:color="auto"/>
        <w:right w:val="none" w:sz="0" w:space="0" w:color="auto"/>
      </w:divBdr>
    </w:div>
    <w:div w:id="780803154">
      <w:bodyDiv w:val="1"/>
      <w:marLeft w:val="0"/>
      <w:marRight w:val="0"/>
      <w:marTop w:val="0"/>
      <w:marBottom w:val="0"/>
      <w:divBdr>
        <w:top w:val="none" w:sz="0" w:space="0" w:color="auto"/>
        <w:left w:val="none" w:sz="0" w:space="0" w:color="auto"/>
        <w:bottom w:val="none" w:sz="0" w:space="0" w:color="auto"/>
        <w:right w:val="none" w:sz="0" w:space="0" w:color="auto"/>
      </w:divBdr>
    </w:div>
    <w:div w:id="823083107">
      <w:bodyDiv w:val="1"/>
      <w:marLeft w:val="0"/>
      <w:marRight w:val="0"/>
      <w:marTop w:val="0"/>
      <w:marBottom w:val="0"/>
      <w:divBdr>
        <w:top w:val="none" w:sz="0" w:space="0" w:color="auto"/>
        <w:left w:val="none" w:sz="0" w:space="0" w:color="auto"/>
        <w:bottom w:val="none" w:sz="0" w:space="0" w:color="auto"/>
        <w:right w:val="none" w:sz="0" w:space="0" w:color="auto"/>
      </w:divBdr>
    </w:div>
    <w:div w:id="945650180">
      <w:bodyDiv w:val="1"/>
      <w:marLeft w:val="0"/>
      <w:marRight w:val="0"/>
      <w:marTop w:val="0"/>
      <w:marBottom w:val="0"/>
      <w:divBdr>
        <w:top w:val="none" w:sz="0" w:space="0" w:color="auto"/>
        <w:left w:val="none" w:sz="0" w:space="0" w:color="auto"/>
        <w:bottom w:val="none" w:sz="0" w:space="0" w:color="auto"/>
        <w:right w:val="none" w:sz="0" w:space="0" w:color="auto"/>
      </w:divBdr>
    </w:div>
    <w:div w:id="982583404">
      <w:bodyDiv w:val="1"/>
      <w:marLeft w:val="0"/>
      <w:marRight w:val="0"/>
      <w:marTop w:val="0"/>
      <w:marBottom w:val="0"/>
      <w:divBdr>
        <w:top w:val="none" w:sz="0" w:space="0" w:color="auto"/>
        <w:left w:val="none" w:sz="0" w:space="0" w:color="auto"/>
        <w:bottom w:val="none" w:sz="0" w:space="0" w:color="auto"/>
        <w:right w:val="none" w:sz="0" w:space="0" w:color="auto"/>
      </w:divBdr>
      <w:divsChild>
        <w:div w:id="257448155">
          <w:marLeft w:val="0"/>
          <w:marRight w:val="0"/>
          <w:marTop w:val="0"/>
          <w:marBottom w:val="0"/>
          <w:divBdr>
            <w:top w:val="none" w:sz="0" w:space="0" w:color="auto"/>
            <w:left w:val="none" w:sz="0" w:space="0" w:color="auto"/>
            <w:bottom w:val="none" w:sz="0" w:space="0" w:color="auto"/>
            <w:right w:val="none" w:sz="0" w:space="0" w:color="auto"/>
          </w:divBdr>
          <w:divsChild>
            <w:div w:id="1089734920">
              <w:marLeft w:val="0"/>
              <w:marRight w:val="0"/>
              <w:marTop w:val="0"/>
              <w:marBottom w:val="0"/>
              <w:divBdr>
                <w:top w:val="none" w:sz="0" w:space="0" w:color="auto"/>
                <w:left w:val="none" w:sz="0" w:space="0" w:color="auto"/>
                <w:bottom w:val="none" w:sz="0" w:space="0" w:color="auto"/>
                <w:right w:val="none" w:sz="0" w:space="0" w:color="auto"/>
              </w:divBdr>
              <w:divsChild>
                <w:div w:id="1620910094">
                  <w:marLeft w:val="0"/>
                  <w:marRight w:val="0"/>
                  <w:marTop w:val="0"/>
                  <w:marBottom w:val="0"/>
                  <w:divBdr>
                    <w:top w:val="none" w:sz="0" w:space="0" w:color="auto"/>
                    <w:left w:val="none" w:sz="0" w:space="0" w:color="auto"/>
                    <w:bottom w:val="none" w:sz="0" w:space="0" w:color="auto"/>
                    <w:right w:val="none" w:sz="0" w:space="0" w:color="auto"/>
                  </w:divBdr>
                  <w:divsChild>
                    <w:div w:id="1862475891">
                      <w:marLeft w:val="0"/>
                      <w:marRight w:val="0"/>
                      <w:marTop w:val="0"/>
                      <w:marBottom w:val="0"/>
                      <w:divBdr>
                        <w:top w:val="none" w:sz="0" w:space="0" w:color="auto"/>
                        <w:left w:val="none" w:sz="0" w:space="0" w:color="auto"/>
                        <w:bottom w:val="none" w:sz="0" w:space="0" w:color="auto"/>
                        <w:right w:val="none" w:sz="0" w:space="0" w:color="auto"/>
                      </w:divBdr>
                      <w:divsChild>
                        <w:div w:id="1139155613">
                          <w:marLeft w:val="0"/>
                          <w:marRight w:val="0"/>
                          <w:marTop w:val="0"/>
                          <w:marBottom w:val="0"/>
                          <w:divBdr>
                            <w:top w:val="none" w:sz="0" w:space="0" w:color="auto"/>
                            <w:left w:val="none" w:sz="0" w:space="0" w:color="auto"/>
                            <w:bottom w:val="none" w:sz="0" w:space="0" w:color="auto"/>
                            <w:right w:val="none" w:sz="0" w:space="0" w:color="auto"/>
                          </w:divBdr>
                          <w:divsChild>
                            <w:div w:id="2013530284">
                              <w:marLeft w:val="0"/>
                              <w:marRight w:val="0"/>
                              <w:marTop w:val="0"/>
                              <w:marBottom w:val="0"/>
                              <w:divBdr>
                                <w:top w:val="none" w:sz="0" w:space="0" w:color="auto"/>
                                <w:left w:val="none" w:sz="0" w:space="0" w:color="auto"/>
                                <w:bottom w:val="none" w:sz="0" w:space="0" w:color="auto"/>
                                <w:right w:val="none" w:sz="0" w:space="0" w:color="auto"/>
                              </w:divBdr>
                              <w:divsChild>
                                <w:div w:id="510877202">
                                  <w:marLeft w:val="0"/>
                                  <w:marRight w:val="0"/>
                                  <w:marTop w:val="0"/>
                                  <w:marBottom w:val="0"/>
                                  <w:divBdr>
                                    <w:top w:val="none" w:sz="0" w:space="0" w:color="auto"/>
                                    <w:left w:val="none" w:sz="0" w:space="0" w:color="auto"/>
                                    <w:bottom w:val="none" w:sz="0" w:space="0" w:color="auto"/>
                                    <w:right w:val="none" w:sz="0" w:space="0" w:color="auto"/>
                                  </w:divBdr>
                                  <w:divsChild>
                                    <w:div w:id="70144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4532">
          <w:marLeft w:val="0"/>
          <w:marRight w:val="0"/>
          <w:marTop w:val="0"/>
          <w:marBottom w:val="0"/>
          <w:divBdr>
            <w:top w:val="none" w:sz="0" w:space="0" w:color="auto"/>
            <w:left w:val="none" w:sz="0" w:space="0" w:color="auto"/>
            <w:bottom w:val="none" w:sz="0" w:space="0" w:color="auto"/>
            <w:right w:val="none" w:sz="0" w:space="0" w:color="auto"/>
          </w:divBdr>
        </w:div>
        <w:div w:id="1644038346">
          <w:marLeft w:val="0"/>
          <w:marRight w:val="0"/>
          <w:marTop w:val="0"/>
          <w:marBottom w:val="0"/>
          <w:divBdr>
            <w:top w:val="none" w:sz="0" w:space="0" w:color="auto"/>
            <w:left w:val="none" w:sz="0" w:space="0" w:color="auto"/>
            <w:bottom w:val="none" w:sz="0" w:space="0" w:color="auto"/>
            <w:right w:val="none" w:sz="0" w:space="0" w:color="auto"/>
          </w:divBdr>
        </w:div>
        <w:div w:id="2026400325">
          <w:marLeft w:val="0"/>
          <w:marRight w:val="0"/>
          <w:marTop w:val="0"/>
          <w:marBottom w:val="0"/>
          <w:divBdr>
            <w:top w:val="none" w:sz="0" w:space="0" w:color="auto"/>
            <w:left w:val="none" w:sz="0" w:space="0" w:color="auto"/>
            <w:bottom w:val="none" w:sz="0" w:space="0" w:color="auto"/>
            <w:right w:val="none" w:sz="0" w:space="0" w:color="auto"/>
          </w:divBdr>
          <w:divsChild>
            <w:div w:id="2137945603">
              <w:marLeft w:val="0"/>
              <w:marRight w:val="0"/>
              <w:marTop w:val="0"/>
              <w:marBottom w:val="0"/>
              <w:divBdr>
                <w:top w:val="none" w:sz="0" w:space="0" w:color="auto"/>
                <w:left w:val="none" w:sz="0" w:space="0" w:color="auto"/>
                <w:bottom w:val="none" w:sz="0" w:space="0" w:color="auto"/>
                <w:right w:val="none" w:sz="0" w:space="0" w:color="auto"/>
              </w:divBdr>
              <w:divsChild>
                <w:div w:id="1911958511">
                  <w:marLeft w:val="0"/>
                  <w:marRight w:val="0"/>
                  <w:marTop w:val="0"/>
                  <w:marBottom w:val="0"/>
                  <w:divBdr>
                    <w:top w:val="none" w:sz="0" w:space="0" w:color="auto"/>
                    <w:left w:val="none" w:sz="0" w:space="0" w:color="auto"/>
                    <w:bottom w:val="none" w:sz="0" w:space="0" w:color="auto"/>
                    <w:right w:val="none" w:sz="0" w:space="0" w:color="auto"/>
                  </w:divBdr>
                  <w:divsChild>
                    <w:div w:id="1002202484">
                      <w:marLeft w:val="0"/>
                      <w:marRight w:val="0"/>
                      <w:marTop w:val="0"/>
                      <w:marBottom w:val="0"/>
                      <w:divBdr>
                        <w:top w:val="none" w:sz="0" w:space="0" w:color="auto"/>
                        <w:left w:val="none" w:sz="0" w:space="0" w:color="auto"/>
                        <w:bottom w:val="none" w:sz="0" w:space="0" w:color="auto"/>
                        <w:right w:val="none" w:sz="0" w:space="0" w:color="auto"/>
                      </w:divBdr>
                      <w:divsChild>
                        <w:div w:id="1312559667">
                          <w:marLeft w:val="0"/>
                          <w:marRight w:val="0"/>
                          <w:marTop w:val="0"/>
                          <w:marBottom w:val="0"/>
                          <w:divBdr>
                            <w:top w:val="none" w:sz="0" w:space="0" w:color="auto"/>
                            <w:left w:val="none" w:sz="0" w:space="0" w:color="auto"/>
                            <w:bottom w:val="none" w:sz="0" w:space="0" w:color="auto"/>
                            <w:right w:val="none" w:sz="0" w:space="0" w:color="auto"/>
                          </w:divBdr>
                          <w:divsChild>
                            <w:div w:id="62216137">
                              <w:marLeft w:val="0"/>
                              <w:marRight w:val="0"/>
                              <w:marTop w:val="0"/>
                              <w:marBottom w:val="0"/>
                              <w:divBdr>
                                <w:top w:val="none" w:sz="0" w:space="0" w:color="auto"/>
                                <w:left w:val="none" w:sz="0" w:space="0" w:color="auto"/>
                                <w:bottom w:val="none" w:sz="0" w:space="0" w:color="auto"/>
                                <w:right w:val="none" w:sz="0" w:space="0" w:color="auto"/>
                              </w:divBdr>
                              <w:divsChild>
                                <w:div w:id="12312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7356">
                      <w:marLeft w:val="0"/>
                      <w:marRight w:val="0"/>
                      <w:marTop w:val="0"/>
                      <w:marBottom w:val="0"/>
                      <w:divBdr>
                        <w:top w:val="none" w:sz="0" w:space="0" w:color="auto"/>
                        <w:left w:val="none" w:sz="0" w:space="0" w:color="auto"/>
                        <w:bottom w:val="none" w:sz="0" w:space="0" w:color="auto"/>
                        <w:right w:val="none" w:sz="0" w:space="0" w:color="auto"/>
                      </w:divBdr>
                      <w:divsChild>
                        <w:div w:id="60687662">
                          <w:marLeft w:val="0"/>
                          <w:marRight w:val="0"/>
                          <w:marTop w:val="0"/>
                          <w:marBottom w:val="0"/>
                          <w:divBdr>
                            <w:top w:val="none" w:sz="0" w:space="0" w:color="auto"/>
                            <w:left w:val="none" w:sz="0" w:space="0" w:color="auto"/>
                            <w:bottom w:val="none" w:sz="0" w:space="0" w:color="auto"/>
                            <w:right w:val="none" w:sz="0" w:space="0" w:color="auto"/>
                          </w:divBdr>
                          <w:divsChild>
                            <w:div w:id="965357824">
                              <w:marLeft w:val="0"/>
                              <w:marRight w:val="0"/>
                              <w:marTop w:val="0"/>
                              <w:marBottom w:val="0"/>
                              <w:divBdr>
                                <w:top w:val="none" w:sz="0" w:space="0" w:color="auto"/>
                                <w:left w:val="none" w:sz="0" w:space="0" w:color="auto"/>
                                <w:bottom w:val="none" w:sz="0" w:space="0" w:color="auto"/>
                                <w:right w:val="none" w:sz="0" w:space="0" w:color="auto"/>
                              </w:divBdr>
                            </w:div>
                            <w:div w:id="17039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39859">
          <w:marLeft w:val="0"/>
          <w:marRight w:val="0"/>
          <w:marTop w:val="0"/>
          <w:marBottom w:val="0"/>
          <w:divBdr>
            <w:top w:val="none" w:sz="0" w:space="0" w:color="auto"/>
            <w:left w:val="none" w:sz="0" w:space="0" w:color="auto"/>
            <w:bottom w:val="none" w:sz="0" w:space="0" w:color="auto"/>
            <w:right w:val="none" w:sz="0" w:space="0" w:color="auto"/>
          </w:divBdr>
        </w:div>
      </w:divsChild>
    </w:div>
    <w:div w:id="995383440">
      <w:bodyDiv w:val="1"/>
      <w:marLeft w:val="0"/>
      <w:marRight w:val="0"/>
      <w:marTop w:val="0"/>
      <w:marBottom w:val="0"/>
      <w:divBdr>
        <w:top w:val="none" w:sz="0" w:space="0" w:color="auto"/>
        <w:left w:val="none" w:sz="0" w:space="0" w:color="auto"/>
        <w:bottom w:val="none" w:sz="0" w:space="0" w:color="auto"/>
        <w:right w:val="none" w:sz="0" w:space="0" w:color="auto"/>
      </w:divBdr>
    </w:div>
    <w:div w:id="998650679">
      <w:bodyDiv w:val="1"/>
      <w:marLeft w:val="0"/>
      <w:marRight w:val="0"/>
      <w:marTop w:val="0"/>
      <w:marBottom w:val="0"/>
      <w:divBdr>
        <w:top w:val="none" w:sz="0" w:space="0" w:color="auto"/>
        <w:left w:val="none" w:sz="0" w:space="0" w:color="auto"/>
        <w:bottom w:val="none" w:sz="0" w:space="0" w:color="auto"/>
        <w:right w:val="none" w:sz="0" w:space="0" w:color="auto"/>
      </w:divBdr>
      <w:divsChild>
        <w:div w:id="360205164">
          <w:marLeft w:val="0"/>
          <w:marRight w:val="0"/>
          <w:marTop w:val="0"/>
          <w:marBottom w:val="0"/>
          <w:divBdr>
            <w:top w:val="none" w:sz="0" w:space="0" w:color="auto"/>
            <w:left w:val="none" w:sz="0" w:space="0" w:color="auto"/>
            <w:bottom w:val="none" w:sz="0" w:space="0" w:color="auto"/>
            <w:right w:val="none" w:sz="0" w:space="0" w:color="auto"/>
          </w:divBdr>
          <w:divsChild>
            <w:div w:id="2023315496">
              <w:marLeft w:val="0"/>
              <w:marRight w:val="0"/>
              <w:marTop w:val="0"/>
              <w:marBottom w:val="0"/>
              <w:divBdr>
                <w:top w:val="none" w:sz="0" w:space="0" w:color="auto"/>
                <w:left w:val="none" w:sz="0" w:space="0" w:color="auto"/>
                <w:bottom w:val="none" w:sz="0" w:space="0" w:color="auto"/>
                <w:right w:val="none" w:sz="0" w:space="0" w:color="auto"/>
              </w:divBdr>
              <w:divsChild>
                <w:div w:id="662202779">
                  <w:marLeft w:val="0"/>
                  <w:marRight w:val="0"/>
                  <w:marTop w:val="0"/>
                  <w:marBottom w:val="0"/>
                  <w:divBdr>
                    <w:top w:val="none" w:sz="0" w:space="0" w:color="auto"/>
                    <w:left w:val="none" w:sz="0" w:space="0" w:color="auto"/>
                    <w:bottom w:val="none" w:sz="0" w:space="0" w:color="auto"/>
                    <w:right w:val="none" w:sz="0" w:space="0" w:color="auto"/>
                  </w:divBdr>
                  <w:divsChild>
                    <w:div w:id="16783356">
                      <w:marLeft w:val="0"/>
                      <w:marRight w:val="0"/>
                      <w:marTop w:val="0"/>
                      <w:marBottom w:val="0"/>
                      <w:divBdr>
                        <w:top w:val="none" w:sz="0" w:space="0" w:color="auto"/>
                        <w:left w:val="none" w:sz="0" w:space="0" w:color="auto"/>
                        <w:bottom w:val="none" w:sz="0" w:space="0" w:color="auto"/>
                        <w:right w:val="none" w:sz="0" w:space="0" w:color="auto"/>
                      </w:divBdr>
                      <w:divsChild>
                        <w:div w:id="393040925">
                          <w:marLeft w:val="0"/>
                          <w:marRight w:val="0"/>
                          <w:marTop w:val="0"/>
                          <w:marBottom w:val="0"/>
                          <w:divBdr>
                            <w:top w:val="none" w:sz="0" w:space="0" w:color="auto"/>
                            <w:left w:val="none" w:sz="0" w:space="0" w:color="auto"/>
                            <w:bottom w:val="none" w:sz="0" w:space="0" w:color="auto"/>
                            <w:right w:val="none" w:sz="0" w:space="0" w:color="auto"/>
                          </w:divBdr>
                          <w:divsChild>
                            <w:div w:id="1007831579">
                              <w:marLeft w:val="0"/>
                              <w:marRight w:val="0"/>
                              <w:marTop w:val="0"/>
                              <w:marBottom w:val="0"/>
                              <w:divBdr>
                                <w:top w:val="none" w:sz="0" w:space="0" w:color="auto"/>
                                <w:left w:val="none" w:sz="0" w:space="0" w:color="auto"/>
                                <w:bottom w:val="none" w:sz="0" w:space="0" w:color="auto"/>
                                <w:right w:val="none" w:sz="0" w:space="0" w:color="auto"/>
                              </w:divBdr>
                              <w:divsChild>
                                <w:div w:id="748696664">
                                  <w:marLeft w:val="0"/>
                                  <w:marRight w:val="0"/>
                                  <w:marTop w:val="0"/>
                                  <w:marBottom w:val="0"/>
                                  <w:divBdr>
                                    <w:top w:val="none" w:sz="0" w:space="0" w:color="auto"/>
                                    <w:left w:val="none" w:sz="0" w:space="0" w:color="auto"/>
                                    <w:bottom w:val="none" w:sz="0" w:space="0" w:color="auto"/>
                                    <w:right w:val="none" w:sz="0" w:space="0" w:color="auto"/>
                                  </w:divBdr>
                                  <w:divsChild>
                                    <w:div w:id="77879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25636">
          <w:marLeft w:val="0"/>
          <w:marRight w:val="0"/>
          <w:marTop w:val="0"/>
          <w:marBottom w:val="0"/>
          <w:divBdr>
            <w:top w:val="none" w:sz="0" w:space="0" w:color="auto"/>
            <w:left w:val="none" w:sz="0" w:space="0" w:color="auto"/>
            <w:bottom w:val="none" w:sz="0" w:space="0" w:color="auto"/>
            <w:right w:val="none" w:sz="0" w:space="0" w:color="auto"/>
          </w:divBdr>
        </w:div>
        <w:div w:id="1703941146">
          <w:marLeft w:val="0"/>
          <w:marRight w:val="0"/>
          <w:marTop w:val="0"/>
          <w:marBottom w:val="0"/>
          <w:divBdr>
            <w:top w:val="none" w:sz="0" w:space="0" w:color="auto"/>
            <w:left w:val="none" w:sz="0" w:space="0" w:color="auto"/>
            <w:bottom w:val="none" w:sz="0" w:space="0" w:color="auto"/>
            <w:right w:val="none" w:sz="0" w:space="0" w:color="auto"/>
          </w:divBdr>
        </w:div>
        <w:div w:id="2000380269">
          <w:marLeft w:val="0"/>
          <w:marRight w:val="0"/>
          <w:marTop w:val="0"/>
          <w:marBottom w:val="0"/>
          <w:divBdr>
            <w:top w:val="none" w:sz="0" w:space="0" w:color="auto"/>
            <w:left w:val="none" w:sz="0" w:space="0" w:color="auto"/>
            <w:bottom w:val="none" w:sz="0" w:space="0" w:color="auto"/>
            <w:right w:val="none" w:sz="0" w:space="0" w:color="auto"/>
          </w:divBdr>
          <w:divsChild>
            <w:div w:id="1610964895">
              <w:marLeft w:val="0"/>
              <w:marRight w:val="0"/>
              <w:marTop w:val="0"/>
              <w:marBottom w:val="0"/>
              <w:divBdr>
                <w:top w:val="none" w:sz="0" w:space="0" w:color="auto"/>
                <w:left w:val="none" w:sz="0" w:space="0" w:color="auto"/>
                <w:bottom w:val="none" w:sz="0" w:space="0" w:color="auto"/>
                <w:right w:val="none" w:sz="0" w:space="0" w:color="auto"/>
              </w:divBdr>
              <w:divsChild>
                <w:div w:id="1341467300">
                  <w:marLeft w:val="0"/>
                  <w:marRight w:val="0"/>
                  <w:marTop w:val="0"/>
                  <w:marBottom w:val="0"/>
                  <w:divBdr>
                    <w:top w:val="none" w:sz="0" w:space="0" w:color="auto"/>
                    <w:left w:val="none" w:sz="0" w:space="0" w:color="auto"/>
                    <w:bottom w:val="none" w:sz="0" w:space="0" w:color="auto"/>
                    <w:right w:val="none" w:sz="0" w:space="0" w:color="auto"/>
                  </w:divBdr>
                  <w:divsChild>
                    <w:div w:id="698361451">
                      <w:marLeft w:val="0"/>
                      <w:marRight w:val="0"/>
                      <w:marTop w:val="0"/>
                      <w:marBottom w:val="0"/>
                      <w:divBdr>
                        <w:top w:val="none" w:sz="0" w:space="0" w:color="auto"/>
                        <w:left w:val="none" w:sz="0" w:space="0" w:color="auto"/>
                        <w:bottom w:val="none" w:sz="0" w:space="0" w:color="auto"/>
                        <w:right w:val="none" w:sz="0" w:space="0" w:color="auto"/>
                      </w:divBdr>
                      <w:divsChild>
                        <w:div w:id="1346515449">
                          <w:marLeft w:val="0"/>
                          <w:marRight w:val="0"/>
                          <w:marTop w:val="0"/>
                          <w:marBottom w:val="0"/>
                          <w:divBdr>
                            <w:top w:val="none" w:sz="0" w:space="0" w:color="auto"/>
                            <w:left w:val="none" w:sz="0" w:space="0" w:color="auto"/>
                            <w:bottom w:val="none" w:sz="0" w:space="0" w:color="auto"/>
                            <w:right w:val="none" w:sz="0" w:space="0" w:color="auto"/>
                          </w:divBdr>
                          <w:divsChild>
                            <w:div w:id="1862209359">
                              <w:marLeft w:val="0"/>
                              <w:marRight w:val="0"/>
                              <w:marTop w:val="0"/>
                              <w:marBottom w:val="0"/>
                              <w:divBdr>
                                <w:top w:val="none" w:sz="0" w:space="0" w:color="auto"/>
                                <w:left w:val="none" w:sz="0" w:space="0" w:color="auto"/>
                                <w:bottom w:val="none" w:sz="0" w:space="0" w:color="auto"/>
                                <w:right w:val="none" w:sz="0" w:space="0" w:color="auto"/>
                              </w:divBdr>
                              <w:divsChild>
                                <w:div w:id="11396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4517">
                      <w:marLeft w:val="0"/>
                      <w:marRight w:val="0"/>
                      <w:marTop w:val="0"/>
                      <w:marBottom w:val="0"/>
                      <w:divBdr>
                        <w:top w:val="none" w:sz="0" w:space="0" w:color="auto"/>
                        <w:left w:val="none" w:sz="0" w:space="0" w:color="auto"/>
                        <w:bottom w:val="none" w:sz="0" w:space="0" w:color="auto"/>
                        <w:right w:val="none" w:sz="0" w:space="0" w:color="auto"/>
                      </w:divBdr>
                      <w:divsChild>
                        <w:div w:id="759184166">
                          <w:marLeft w:val="0"/>
                          <w:marRight w:val="0"/>
                          <w:marTop w:val="0"/>
                          <w:marBottom w:val="0"/>
                          <w:divBdr>
                            <w:top w:val="none" w:sz="0" w:space="0" w:color="auto"/>
                            <w:left w:val="none" w:sz="0" w:space="0" w:color="auto"/>
                            <w:bottom w:val="none" w:sz="0" w:space="0" w:color="auto"/>
                            <w:right w:val="none" w:sz="0" w:space="0" w:color="auto"/>
                          </w:divBdr>
                          <w:divsChild>
                            <w:div w:id="1534463406">
                              <w:marLeft w:val="0"/>
                              <w:marRight w:val="0"/>
                              <w:marTop w:val="0"/>
                              <w:marBottom w:val="0"/>
                              <w:divBdr>
                                <w:top w:val="none" w:sz="0" w:space="0" w:color="auto"/>
                                <w:left w:val="none" w:sz="0" w:space="0" w:color="auto"/>
                                <w:bottom w:val="none" w:sz="0" w:space="0" w:color="auto"/>
                                <w:right w:val="none" w:sz="0" w:space="0" w:color="auto"/>
                              </w:divBdr>
                            </w:div>
                            <w:div w:id="12254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059244">
          <w:marLeft w:val="0"/>
          <w:marRight w:val="0"/>
          <w:marTop w:val="0"/>
          <w:marBottom w:val="0"/>
          <w:divBdr>
            <w:top w:val="none" w:sz="0" w:space="0" w:color="auto"/>
            <w:left w:val="none" w:sz="0" w:space="0" w:color="auto"/>
            <w:bottom w:val="none" w:sz="0" w:space="0" w:color="auto"/>
            <w:right w:val="none" w:sz="0" w:space="0" w:color="auto"/>
          </w:divBdr>
        </w:div>
      </w:divsChild>
    </w:div>
    <w:div w:id="1049188314">
      <w:bodyDiv w:val="1"/>
      <w:marLeft w:val="0"/>
      <w:marRight w:val="0"/>
      <w:marTop w:val="0"/>
      <w:marBottom w:val="0"/>
      <w:divBdr>
        <w:top w:val="none" w:sz="0" w:space="0" w:color="auto"/>
        <w:left w:val="none" w:sz="0" w:space="0" w:color="auto"/>
        <w:bottom w:val="none" w:sz="0" w:space="0" w:color="auto"/>
        <w:right w:val="none" w:sz="0" w:space="0" w:color="auto"/>
      </w:divBdr>
    </w:div>
    <w:div w:id="1084959827">
      <w:bodyDiv w:val="1"/>
      <w:marLeft w:val="0"/>
      <w:marRight w:val="0"/>
      <w:marTop w:val="0"/>
      <w:marBottom w:val="0"/>
      <w:divBdr>
        <w:top w:val="none" w:sz="0" w:space="0" w:color="auto"/>
        <w:left w:val="none" w:sz="0" w:space="0" w:color="auto"/>
        <w:bottom w:val="none" w:sz="0" w:space="0" w:color="auto"/>
        <w:right w:val="none" w:sz="0" w:space="0" w:color="auto"/>
      </w:divBdr>
      <w:divsChild>
        <w:div w:id="1933538749">
          <w:marLeft w:val="0"/>
          <w:marRight w:val="0"/>
          <w:marTop w:val="0"/>
          <w:marBottom w:val="0"/>
          <w:divBdr>
            <w:top w:val="none" w:sz="0" w:space="0" w:color="auto"/>
            <w:left w:val="none" w:sz="0" w:space="0" w:color="auto"/>
            <w:bottom w:val="none" w:sz="0" w:space="0" w:color="auto"/>
            <w:right w:val="none" w:sz="0" w:space="0" w:color="auto"/>
          </w:divBdr>
          <w:divsChild>
            <w:div w:id="2015107373">
              <w:marLeft w:val="0"/>
              <w:marRight w:val="0"/>
              <w:marTop w:val="0"/>
              <w:marBottom w:val="0"/>
              <w:divBdr>
                <w:top w:val="none" w:sz="0" w:space="0" w:color="auto"/>
                <w:left w:val="none" w:sz="0" w:space="0" w:color="auto"/>
                <w:bottom w:val="none" w:sz="0" w:space="0" w:color="auto"/>
                <w:right w:val="none" w:sz="0" w:space="0" w:color="auto"/>
              </w:divBdr>
              <w:divsChild>
                <w:div w:id="243879838">
                  <w:marLeft w:val="0"/>
                  <w:marRight w:val="0"/>
                  <w:marTop w:val="0"/>
                  <w:marBottom w:val="0"/>
                  <w:divBdr>
                    <w:top w:val="none" w:sz="0" w:space="0" w:color="auto"/>
                    <w:left w:val="none" w:sz="0" w:space="0" w:color="auto"/>
                    <w:bottom w:val="none" w:sz="0" w:space="0" w:color="auto"/>
                    <w:right w:val="none" w:sz="0" w:space="0" w:color="auto"/>
                  </w:divBdr>
                  <w:divsChild>
                    <w:div w:id="1679457376">
                      <w:marLeft w:val="0"/>
                      <w:marRight w:val="0"/>
                      <w:marTop w:val="0"/>
                      <w:marBottom w:val="0"/>
                      <w:divBdr>
                        <w:top w:val="none" w:sz="0" w:space="0" w:color="auto"/>
                        <w:left w:val="none" w:sz="0" w:space="0" w:color="auto"/>
                        <w:bottom w:val="none" w:sz="0" w:space="0" w:color="auto"/>
                        <w:right w:val="none" w:sz="0" w:space="0" w:color="auto"/>
                      </w:divBdr>
                      <w:divsChild>
                        <w:div w:id="1013262418">
                          <w:marLeft w:val="0"/>
                          <w:marRight w:val="0"/>
                          <w:marTop w:val="0"/>
                          <w:marBottom w:val="0"/>
                          <w:divBdr>
                            <w:top w:val="none" w:sz="0" w:space="0" w:color="auto"/>
                            <w:left w:val="none" w:sz="0" w:space="0" w:color="auto"/>
                            <w:bottom w:val="none" w:sz="0" w:space="0" w:color="auto"/>
                            <w:right w:val="none" w:sz="0" w:space="0" w:color="auto"/>
                          </w:divBdr>
                          <w:divsChild>
                            <w:div w:id="2006200411">
                              <w:marLeft w:val="0"/>
                              <w:marRight w:val="0"/>
                              <w:marTop w:val="0"/>
                              <w:marBottom w:val="0"/>
                              <w:divBdr>
                                <w:top w:val="none" w:sz="0" w:space="0" w:color="auto"/>
                                <w:left w:val="none" w:sz="0" w:space="0" w:color="auto"/>
                                <w:bottom w:val="none" w:sz="0" w:space="0" w:color="auto"/>
                                <w:right w:val="none" w:sz="0" w:space="0" w:color="auto"/>
                              </w:divBdr>
                              <w:divsChild>
                                <w:div w:id="1853568934">
                                  <w:marLeft w:val="0"/>
                                  <w:marRight w:val="0"/>
                                  <w:marTop w:val="0"/>
                                  <w:marBottom w:val="0"/>
                                  <w:divBdr>
                                    <w:top w:val="none" w:sz="0" w:space="0" w:color="auto"/>
                                    <w:left w:val="none" w:sz="0" w:space="0" w:color="auto"/>
                                    <w:bottom w:val="none" w:sz="0" w:space="0" w:color="auto"/>
                                    <w:right w:val="none" w:sz="0" w:space="0" w:color="auto"/>
                                  </w:divBdr>
                                  <w:divsChild>
                                    <w:div w:id="2539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542616">
          <w:marLeft w:val="0"/>
          <w:marRight w:val="0"/>
          <w:marTop w:val="0"/>
          <w:marBottom w:val="0"/>
          <w:divBdr>
            <w:top w:val="none" w:sz="0" w:space="0" w:color="auto"/>
            <w:left w:val="none" w:sz="0" w:space="0" w:color="auto"/>
            <w:bottom w:val="none" w:sz="0" w:space="0" w:color="auto"/>
            <w:right w:val="none" w:sz="0" w:space="0" w:color="auto"/>
          </w:divBdr>
        </w:div>
        <w:div w:id="6909118">
          <w:marLeft w:val="0"/>
          <w:marRight w:val="0"/>
          <w:marTop w:val="0"/>
          <w:marBottom w:val="0"/>
          <w:divBdr>
            <w:top w:val="none" w:sz="0" w:space="0" w:color="auto"/>
            <w:left w:val="none" w:sz="0" w:space="0" w:color="auto"/>
            <w:bottom w:val="none" w:sz="0" w:space="0" w:color="auto"/>
            <w:right w:val="none" w:sz="0" w:space="0" w:color="auto"/>
          </w:divBdr>
        </w:div>
        <w:div w:id="787890013">
          <w:marLeft w:val="0"/>
          <w:marRight w:val="0"/>
          <w:marTop w:val="0"/>
          <w:marBottom w:val="0"/>
          <w:divBdr>
            <w:top w:val="none" w:sz="0" w:space="0" w:color="auto"/>
            <w:left w:val="none" w:sz="0" w:space="0" w:color="auto"/>
            <w:bottom w:val="none" w:sz="0" w:space="0" w:color="auto"/>
            <w:right w:val="none" w:sz="0" w:space="0" w:color="auto"/>
          </w:divBdr>
          <w:divsChild>
            <w:div w:id="594477090">
              <w:marLeft w:val="0"/>
              <w:marRight w:val="0"/>
              <w:marTop w:val="0"/>
              <w:marBottom w:val="0"/>
              <w:divBdr>
                <w:top w:val="none" w:sz="0" w:space="0" w:color="auto"/>
                <w:left w:val="none" w:sz="0" w:space="0" w:color="auto"/>
                <w:bottom w:val="none" w:sz="0" w:space="0" w:color="auto"/>
                <w:right w:val="none" w:sz="0" w:space="0" w:color="auto"/>
              </w:divBdr>
              <w:divsChild>
                <w:div w:id="187450761">
                  <w:marLeft w:val="0"/>
                  <w:marRight w:val="0"/>
                  <w:marTop w:val="0"/>
                  <w:marBottom w:val="0"/>
                  <w:divBdr>
                    <w:top w:val="none" w:sz="0" w:space="0" w:color="auto"/>
                    <w:left w:val="none" w:sz="0" w:space="0" w:color="auto"/>
                    <w:bottom w:val="none" w:sz="0" w:space="0" w:color="auto"/>
                    <w:right w:val="none" w:sz="0" w:space="0" w:color="auto"/>
                  </w:divBdr>
                  <w:divsChild>
                    <w:div w:id="1013992471">
                      <w:marLeft w:val="0"/>
                      <w:marRight w:val="0"/>
                      <w:marTop w:val="0"/>
                      <w:marBottom w:val="0"/>
                      <w:divBdr>
                        <w:top w:val="none" w:sz="0" w:space="0" w:color="auto"/>
                        <w:left w:val="none" w:sz="0" w:space="0" w:color="auto"/>
                        <w:bottom w:val="none" w:sz="0" w:space="0" w:color="auto"/>
                        <w:right w:val="none" w:sz="0" w:space="0" w:color="auto"/>
                      </w:divBdr>
                      <w:divsChild>
                        <w:div w:id="133836027">
                          <w:marLeft w:val="0"/>
                          <w:marRight w:val="0"/>
                          <w:marTop w:val="0"/>
                          <w:marBottom w:val="0"/>
                          <w:divBdr>
                            <w:top w:val="none" w:sz="0" w:space="0" w:color="auto"/>
                            <w:left w:val="none" w:sz="0" w:space="0" w:color="auto"/>
                            <w:bottom w:val="none" w:sz="0" w:space="0" w:color="auto"/>
                            <w:right w:val="none" w:sz="0" w:space="0" w:color="auto"/>
                          </w:divBdr>
                          <w:divsChild>
                            <w:div w:id="689337045">
                              <w:marLeft w:val="0"/>
                              <w:marRight w:val="0"/>
                              <w:marTop w:val="0"/>
                              <w:marBottom w:val="0"/>
                              <w:divBdr>
                                <w:top w:val="none" w:sz="0" w:space="0" w:color="auto"/>
                                <w:left w:val="none" w:sz="0" w:space="0" w:color="auto"/>
                                <w:bottom w:val="none" w:sz="0" w:space="0" w:color="auto"/>
                                <w:right w:val="none" w:sz="0" w:space="0" w:color="auto"/>
                              </w:divBdr>
                              <w:divsChild>
                                <w:div w:id="15647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568682">
                      <w:marLeft w:val="0"/>
                      <w:marRight w:val="0"/>
                      <w:marTop w:val="0"/>
                      <w:marBottom w:val="0"/>
                      <w:divBdr>
                        <w:top w:val="none" w:sz="0" w:space="0" w:color="auto"/>
                        <w:left w:val="none" w:sz="0" w:space="0" w:color="auto"/>
                        <w:bottom w:val="none" w:sz="0" w:space="0" w:color="auto"/>
                        <w:right w:val="none" w:sz="0" w:space="0" w:color="auto"/>
                      </w:divBdr>
                      <w:divsChild>
                        <w:div w:id="1599479419">
                          <w:marLeft w:val="0"/>
                          <w:marRight w:val="0"/>
                          <w:marTop w:val="0"/>
                          <w:marBottom w:val="0"/>
                          <w:divBdr>
                            <w:top w:val="none" w:sz="0" w:space="0" w:color="auto"/>
                            <w:left w:val="none" w:sz="0" w:space="0" w:color="auto"/>
                            <w:bottom w:val="none" w:sz="0" w:space="0" w:color="auto"/>
                            <w:right w:val="none" w:sz="0" w:space="0" w:color="auto"/>
                          </w:divBdr>
                          <w:divsChild>
                            <w:div w:id="612400282">
                              <w:marLeft w:val="0"/>
                              <w:marRight w:val="0"/>
                              <w:marTop w:val="0"/>
                              <w:marBottom w:val="0"/>
                              <w:divBdr>
                                <w:top w:val="none" w:sz="0" w:space="0" w:color="auto"/>
                                <w:left w:val="none" w:sz="0" w:space="0" w:color="auto"/>
                                <w:bottom w:val="none" w:sz="0" w:space="0" w:color="auto"/>
                                <w:right w:val="none" w:sz="0" w:space="0" w:color="auto"/>
                              </w:divBdr>
                            </w:div>
                            <w:div w:id="15952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351911">
          <w:marLeft w:val="0"/>
          <w:marRight w:val="0"/>
          <w:marTop w:val="0"/>
          <w:marBottom w:val="0"/>
          <w:divBdr>
            <w:top w:val="none" w:sz="0" w:space="0" w:color="auto"/>
            <w:left w:val="none" w:sz="0" w:space="0" w:color="auto"/>
            <w:bottom w:val="none" w:sz="0" w:space="0" w:color="auto"/>
            <w:right w:val="none" w:sz="0" w:space="0" w:color="auto"/>
          </w:divBdr>
        </w:div>
      </w:divsChild>
    </w:div>
    <w:div w:id="1107578317">
      <w:bodyDiv w:val="1"/>
      <w:marLeft w:val="0"/>
      <w:marRight w:val="0"/>
      <w:marTop w:val="0"/>
      <w:marBottom w:val="0"/>
      <w:divBdr>
        <w:top w:val="none" w:sz="0" w:space="0" w:color="auto"/>
        <w:left w:val="none" w:sz="0" w:space="0" w:color="auto"/>
        <w:bottom w:val="none" w:sz="0" w:space="0" w:color="auto"/>
        <w:right w:val="none" w:sz="0" w:space="0" w:color="auto"/>
      </w:divBdr>
    </w:div>
    <w:div w:id="1165827738">
      <w:bodyDiv w:val="1"/>
      <w:marLeft w:val="0"/>
      <w:marRight w:val="0"/>
      <w:marTop w:val="0"/>
      <w:marBottom w:val="0"/>
      <w:divBdr>
        <w:top w:val="none" w:sz="0" w:space="0" w:color="auto"/>
        <w:left w:val="none" w:sz="0" w:space="0" w:color="auto"/>
        <w:bottom w:val="none" w:sz="0" w:space="0" w:color="auto"/>
        <w:right w:val="none" w:sz="0" w:space="0" w:color="auto"/>
      </w:divBdr>
      <w:divsChild>
        <w:div w:id="296497418">
          <w:marLeft w:val="0"/>
          <w:marRight w:val="0"/>
          <w:marTop w:val="0"/>
          <w:marBottom w:val="0"/>
          <w:divBdr>
            <w:top w:val="none" w:sz="0" w:space="0" w:color="auto"/>
            <w:left w:val="none" w:sz="0" w:space="0" w:color="auto"/>
            <w:bottom w:val="none" w:sz="0" w:space="0" w:color="auto"/>
            <w:right w:val="none" w:sz="0" w:space="0" w:color="auto"/>
          </w:divBdr>
          <w:divsChild>
            <w:div w:id="1685280365">
              <w:marLeft w:val="0"/>
              <w:marRight w:val="0"/>
              <w:marTop w:val="0"/>
              <w:marBottom w:val="0"/>
              <w:divBdr>
                <w:top w:val="none" w:sz="0" w:space="0" w:color="auto"/>
                <w:left w:val="none" w:sz="0" w:space="0" w:color="auto"/>
                <w:bottom w:val="none" w:sz="0" w:space="0" w:color="auto"/>
                <w:right w:val="none" w:sz="0" w:space="0" w:color="auto"/>
              </w:divBdr>
              <w:divsChild>
                <w:div w:id="788553043">
                  <w:marLeft w:val="0"/>
                  <w:marRight w:val="0"/>
                  <w:marTop w:val="0"/>
                  <w:marBottom w:val="0"/>
                  <w:divBdr>
                    <w:top w:val="none" w:sz="0" w:space="0" w:color="auto"/>
                    <w:left w:val="none" w:sz="0" w:space="0" w:color="auto"/>
                    <w:bottom w:val="none" w:sz="0" w:space="0" w:color="auto"/>
                    <w:right w:val="none" w:sz="0" w:space="0" w:color="auto"/>
                  </w:divBdr>
                  <w:divsChild>
                    <w:div w:id="1584489730">
                      <w:marLeft w:val="0"/>
                      <w:marRight w:val="0"/>
                      <w:marTop w:val="0"/>
                      <w:marBottom w:val="0"/>
                      <w:divBdr>
                        <w:top w:val="none" w:sz="0" w:space="0" w:color="auto"/>
                        <w:left w:val="none" w:sz="0" w:space="0" w:color="auto"/>
                        <w:bottom w:val="none" w:sz="0" w:space="0" w:color="auto"/>
                        <w:right w:val="none" w:sz="0" w:space="0" w:color="auto"/>
                      </w:divBdr>
                      <w:divsChild>
                        <w:div w:id="1312709280">
                          <w:marLeft w:val="0"/>
                          <w:marRight w:val="0"/>
                          <w:marTop w:val="0"/>
                          <w:marBottom w:val="0"/>
                          <w:divBdr>
                            <w:top w:val="none" w:sz="0" w:space="0" w:color="auto"/>
                            <w:left w:val="none" w:sz="0" w:space="0" w:color="auto"/>
                            <w:bottom w:val="none" w:sz="0" w:space="0" w:color="auto"/>
                            <w:right w:val="none" w:sz="0" w:space="0" w:color="auto"/>
                          </w:divBdr>
                          <w:divsChild>
                            <w:div w:id="1394960340">
                              <w:marLeft w:val="0"/>
                              <w:marRight w:val="0"/>
                              <w:marTop w:val="0"/>
                              <w:marBottom w:val="0"/>
                              <w:divBdr>
                                <w:top w:val="none" w:sz="0" w:space="0" w:color="auto"/>
                                <w:left w:val="none" w:sz="0" w:space="0" w:color="auto"/>
                                <w:bottom w:val="none" w:sz="0" w:space="0" w:color="auto"/>
                                <w:right w:val="none" w:sz="0" w:space="0" w:color="auto"/>
                              </w:divBdr>
                              <w:divsChild>
                                <w:div w:id="504712666">
                                  <w:marLeft w:val="0"/>
                                  <w:marRight w:val="0"/>
                                  <w:marTop w:val="0"/>
                                  <w:marBottom w:val="0"/>
                                  <w:divBdr>
                                    <w:top w:val="none" w:sz="0" w:space="0" w:color="auto"/>
                                    <w:left w:val="none" w:sz="0" w:space="0" w:color="auto"/>
                                    <w:bottom w:val="none" w:sz="0" w:space="0" w:color="auto"/>
                                    <w:right w:val="none" w:sz="0" w:space="0" w:color="auto"/>
                                  </w:divBdr>
                                  <w:divsChild>
                                    <w:div w:id="14367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228655">
              <w:marLeft w:val="0"/>
              <w:marRight w:val="0"/>
              <w:marTop w:val="0"/>
              <w:marBottom w:val="0"/>
              <w:divBdr>
                <w:top w:val="none" w:sz="0" w:space="0" w:color="auto"/>
                <w:left w:val="none" w:sz="0" w:space="0" w:color="auto"/>
                <w:bottom w:val="none" w:sz="0" w:space="0" w:color="auto"/>
                <w:right w:val="none" w:sz="0" w:space="0" w:color="auto"/>
              </w:divBdr>
              <w:divsChild>
                <w:div w:id="1159032452">
                  <w:marLeft w:val="0"/>
                  <w:marRight w:val="0"/>
                  <w:marTop w:val="0"/>
                  <w:marBottom w:val="0"/>
                  <w:divBdr>
                    <w:top w:val="none" w:sz="0" w:space="0" w:color="auto"/>
                    <w:left w:val="none" w:sz="0" w:space="0" w:color="auto"/>
                    <w:bottom w:val="none" w:sz="0" w:space="0" w:color="auto"/>
                    <w:right w:val="none" w:sz="0" w:space="0" w:color="auto"/>
                  </w:divBdr>
                  <w:divsChild>
                    <w:div w:id="561328003">
                      <w:marLeft w:val="0"/>
                      <w:marRight w:val="0"/>
                      <w:marTop w:val="0"/>
                      <w:marBottom w:val="0"/>
                      <w:divBdr>
                        <w:top w:val="none" w:sz="0" w:space="0" w:color="auto"/>
                        <w:left w:val="none" w:sz="0" w:space="0" w:color="auto"/>
                        <w:bottom w:val="none" w:sz="0" w:space="0" w:color="auto"/>
                        <w:right w:val="none" w:sz="0" w:space="0" w:color="auto"/>
                      </w:divBdr>
                      <w:divsChild>
                        <w:div w:id="8546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25441">
                  <w:marLeft w:val="0"/>
                  <w:marRight w:val="0"/>
                  <w:marTop w:val="0"/>
                  <w:marBottom w:val="0"/>
                  <w:divBdr>
                    <w:top w:val="none" w:sz="0" w:space="0" w:color="auto"/>
                    <w:left w:val="none" w:sz="0" w:space="0" w:color="auto"/>
                    <w:bottom w:val="none" w:sz="0" w:space="0" w:color="auto"/>
                    <w:right w:val="none" w:sz="0" w:space="0" w:color="auto"/>
                  </w:divBdr>
                  <w:divsChild>
                    <w:div w:id="417481014">
                      <w:marLeft w:val="0"/>
                      <w:marRight w:val="0"/>
                      <w:marTop w:val="0"/>
                      <w:marBottom w:val="0"/>
                      <w:divBdr>
                        <w:top w:val="none" w:sz="0" w:space="0" w:color="auto"/>
                        <w:left w:val="none" w:sz="0" w:space="0" w:color="auto"/>
                        <w:bottom w:val="none" w:sz="0" w:space="0" w:color="auto"/>
                        <w:right w:val="none" w:sz="0" w:space="0" w:color="auto"/>
                      </w:divBdr>
                      <w:divsChild>
                        <w:div w:id="302543300">
                          <w:marLeft w:val="0"/>
                          <w:marRight w:val="0"/>
                          <w:marTop w:val="0"/>
                          <w:marBottom w:val="0"/>
                          <w:divBdr>
                            <w:top w:val="none" w:sz="0" w:space="0" w:color="auto"/>
                            <w:left w:val="none" w:sz="0" w:space="0" w:color="auto"/>
                            <w:bottom w:val="none" w:sz="0" w:space="0" w:color="auto"/>
                            <w:right w:val="none" w:sz="0" w:space="0" w:color="auto"/>
                          </w:divBdr>
                          <w:divsChild>
                            <w:div w:id="968245923">
                              <w:marLeft w:val="0"/>
                              <w:marRight w:val="0"/>
                              <w:marTop w:val="0"/>
                              <w:marBottom w:val="0"/>
                              <w:divBdr>
                                <w:top w:val="none" w:sz="0" w:space="0" w:color="auto"/>
                                <w:left w:val="none" w:sz="0" w:space="0" w:color="auto"/>
                                <w:bottom w:val="none" w:sz="0" w:space="0" w:color="auto"/>
                                <w:right w:val="none" w:sz="0" w:space="0" w:color="auto"/>
                              </w:divBdr>
                              <w:divsChild>
                                <w:div w:id="1266422086">
                                  <w:marLeft w:val="0"/>
                                  <w:marRight w:val="0"/>
                                  <w:marTop w:val="0"/>
                                  <w:marBottom w:val="0"/>
                                  <w:divBdr>
                                    <w:top w:val="none" w:sz="0" w:space="0" w:color="auto"/>
                                    <w:left w:val="none" w:sz="0" w:space="0" w:color="auto"/>
                                    <w:bottom w:val="none" w:sz="0" w:space="0" w:color="auto"/>
                                    <w:right w:val="none" w:sz="0" w:space="0" w:color="auto"/>
                                  </w:divBdr>
                                  <w:divsChild>
                                    <w:div w:id="1106536580">
                                      <w:marLeft w:val="0"/>
                                      <w:marRight w:val="0"/>
                                      <w:marTop w:val="0"/>
                                      <w:marBottom w:val="0"/>
                                      <w:divBdr>
                                        <w:top w:val="none" w:sz="0" w:space="0" w:color="auto"/>
                                        <w:left w:val="none" w:sz="0" w:space="0" w:color="auto"/>
                                        <w:bottom w:val="none" w:sz="0" w:space="0" w:color="auto"/>
                                        <w:right w:val="none" w:sz="0" w:space="0" w:color="auto"/>
                                      </w:divBdr>
                                      <w:divsChild>
                                        <w:div w:id="1102846743">
                                          <w:marLeft w:val="0"/>
                                          <w:marRight w:val="0"/>
                                          <w:marTop w:val="0"/>
                                          <w:marBottom w:val="0"/>
                                          <w:divBdr>
                                            <w:top w:val="none" w:sz="0" w:space="0" w:color="auto"/>
                                            <w:left w:val="none" w:sz="0" w:space="0" w:color="auto"/>
                                            <w:bottom w:val="none" w:sz="0" w:space="0" w:color="auto"/>
                                            <w:right w:val="none" w:sz="0" w:space="0" w:color="auto"/>
                                          </w:divBdr>
                                          <w:divsChild>
                                            <w:div w:id="2074809834">
                                              <w:marLeft w:val="0"/>
                                              <w:marRight w:val="0"/>
                                              <w:marTop w:val="0"/>
                                              <w:marBottom w:val="0"/>
                                              <w:divBdr>
                                                <w:top w:val="none" w:sz="0" w:space="0" w:color="auto"/>
                                                <w:left w:val="none" w:sz="0" w:space="0" w:color="auto"/>
                                                <w:bottom w:val="none" w:sz="0" w:space="0" w:color="auto"/>
                                                <w:right w:val="none" w:sz="0" w:space="0" w:color="auto"/>
                                              </w:divBdr>
                                              <w:divsChild>
                                                <w:div w:id="2011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448760">
              <w:marLeft w:val="0"/>
              <w:marRight w:val="0"/>
              <w:marTop w:val="0"/>
              <w:marBottom w:val="0"/>
              <w:divBdr>
                <w:top w:val="none" w:sz="0" w:space="0" w:color="auto"/>
                <w:left w:val="none" w:sz="0" w:space="0" w:color="auto"/>
                <w:bottom w:val="none" w:sz="0" w:space="0" w:color="auto"/>
                <w:right w:val="none" w:sz="0" w:space="0" w:color="auto"/>
              </w:divBdr>
              <w:divsChild>
                <w:div w:id="247229384">
                  <w:marLeft w:val="0"/>
                  <w:marRight w:val="0"/>
                  <w:marTop w:val="0"/>
                  <w:marBottom w:val="0"/>
                  <w:divBdr>
                    <w:top w:val="none" w:sz="0" w:space="0" w:color="auto"/>
                    <w:left w:val="none" w:sz="0" w:space="0" w:color="auto"/>
                    <w:bottom w:val="none" w:sz="0" w:space="0" w:color="auto"/>
                    <w:right w:val="none" w:sz="0" w:space="0" w:color="auto"/>
                  </w:divBdr>
                  <w:divsChild>
                    <w:div w:id="1878464434">
                      <w:marLeft w:val="0"/>
                      <w:marRight w:val="0"/>
                      <w:marTop w:val="0"/>
                      <w:marBottom w:val="0"/>
                      <w:divBdr>
                        <w:top w:val="none" w:sz="0" w:space="0" w:color="auto"/>
                        <w:left w:val="none" w:sz="0" w:space="0" w:color="auto"/>
                        <w:bottom w:val="none" w:sz="0" w:space="0" w:color="auto"/>
                        <w:right w:val="none" w:sz="0" w:space="0" w:color="auto"/>
                      </w:divBdr>
                      <w:divsChild>
                        <w:div w:id="13279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0573">
                  <w:marLeft w:val="0"/>
                  <w:marRight w:val="0"/>
                  <w:marTop w:val="0"/>
                  <w:marBottom w:val="0"/>
                  <w:divBdr>
                    <w:top w:val="none" w:sz="0" w:space="0" w:color="auto"/>
                    <w:left w:val="none" w:sz="0" w:space="0" w:color="auto"/>
                    <w:bottom w:val="none" w:sz="0" w:space="0" w:color="auto"/>
                    <w:right w:val="none" w:sz="0" w:space="0" w:color="auto"/>
                  </w:divBdr>
                  <w:divsChild>
                    <w:div w:id="493762410">
                      <w:marLeft w:val="0"/>
                      <w:marRight w:val="0"/>
                      <w:marTop w:val="0"/>
                      <w:marBottom w:val="0"/>
                      <w:divBdr>
                        <w:top w:val="none" w:sz="0" w:space="0" w:color="auto"/>
                        <w:left w:val="none" w:sz="0" w:space="0" w:color="auto"/>
                        <w:bottom w:val="none" w:sz="0" w:space="0" w:color="auto"/>
                        <w:right w:val="none" w:sz="0" w:space="0" w:color="auto"/>
                      </w:divBdr>
                      <w:divsChild>
                        <w:div w:id="376859486">
                          <w:marLeft w:val="0"/>
                          <w:marRight w:val="0"/>
                          <w:marTop w:val="0"/>
                          <w:marBottom w:val="0"/>
                          <w:divBdr>
                            <w:top w:val="none" w:sz="0" w:space="0" w:color="auto"/>
                            <w:left w:val="none" w:sz="0" w:space="0" w:color="auto"/>
                            <w:bottom w:val="none" w:sz="0" w:space="0" w:color="auto"/>
                            <w:right w:val="none" w:sz="0" w:space="0" w:color="auto"/>
                          </w:divBdr>
                          <w:divsChild>
                            <w:div w:id="950547470">
                              <w:marLeft w:val="0"/>
                              <w:marRight w:val="0"/>
                              <w:marTop w:val="0"/>
                              <w:marBottom w:val="0"/>
                              <w:divBdr>
                                <w:top w:val="none" w:sz="0" w:space="0" w:color="auto"/>
                                <w:left w:val="none" w:sz="0" w:space="0" w:color="auto"/>
                                <w:bottom w:val="none" w:sz="0" w:space="0" w:color="auto"/>
                                <w:right w:val="none" w:sz="0" w:space="0" w:color="auto"/>
                              </w:divBdr>
                              <w:divsChild>
                                <w:div w:id="16347759">
                                  <w:marLeft w:val="0"/>
                                  <w:marRight w:val="0"/>
                                  <w:marTop w:val="0"/>
                                  <w:marBottom w:val="0"/>
                                  <w:divBdr>
                                    <w:top w:val="none" w:sz="0" w:space="0" w:color="auto"/>
                                    <w:left w:val="none" w:sz="0" w:space="0" w:color="auto"/>
                                    <w:bottom w:val="none" w:sz="0" w:space="0" w:color="auto"/>
                                    <w:right w:val="none" w:sz="0" w:space="0" w:color="auto"/>
                                  </w:divBdr>
                                  <w:divsChild>
                                    <w:div w:id="429393179">
                                      <w:marLeft w:val="0"/>
                                      <w:marRight w:val="0"/>
                                      <w:marTop w:val="0"/>
                                      <w:marBottom w:val="0"/>
                                      <w:divBdr>
                                        <w:top w:val="none" w:sz="0" w:space="0" w:color="auto"/>
                                        <w:left w:val="none" w:sz="0" w:space="0" w:color="auto"/>
                                        <w:bottom w:val="none" w:sz="0" w:space="0" w:color="auto"/>
                                        <w:right w:val="none" w:sz="0" w:space="0" w:color="auto"/>
                                      </w:divBdr>
                                      <w:divsChild>
                                        <w:div w:id="381905338">
                                          <w:marLeft w:val="0"/>
                                          <w:marRight w:val="0"/>
                                          <w:marTop w:val="0"/>
                                          <w:marBottom w:val="0"/>
                                          <w:divBdr>
                                            <w:top w:val="none" w:sz="0" w:space="0" w:color="auto"/>
                                            <w:left w:val="none" w:sz="0" w:space="0" w:color="auto"/>
                                            <w:bottom w:val="none" w:sz="0" w:space="0" w:color="auto"/>
                                            <w:right w:val="none" w:sz="0" w:space="0" w:color="auto"/>
                                          </w:divBdr>
                                          <w:divsChild>
                                            <w:div w:id="75130731">
                                              <w:marLeft w:val="0"/>
                                              <w:marRight w:val="0"/>
                                              <w:marTop w:val="0"/>
                                              <w:marBottom w:val="0"/>
                                              <w:divBdr>
                                                <w:top w:val="none" w:sz="0" w:space="0" w:color="auto"/>
                                                <w:left w:val="none" w:sz="0" w:space="0" w:color="auto"/>
                                                <w:bottom w:val="none" w:sz="0" w:space="0" w:color="auto"/>
                                                <w:right w:val="none" w:sz="0" w:space="0" w:color="auto"/>
                                              </w:divBdr>
                                              <w:divsChild>
                                                <w:div w:id="18790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87129">
                                      <w:marLeft w:val="0"/>
                                      <w:marRight w:val="0"/>
                                      <w:marTop w:val="0"/>
                                      <w:marBottom w:val="0"/>
                                      <w:divBdr>
                                        <w:top w:val="none" w:sz="0" w:space="0" w:color="auto"/>
                                        <w:left w:val="none" w:sz="0" w:space="0" w:color="auto"/>
                                        <w:bottom w:val="none" w:sz="0" w:space="0" w:color="auto"/>
                                        <w:right w:val="none" w:sz="0" w:space="0" w:color="auto"/>
                                      </w:divBdr>
                                    </w:div>
                                    <w:div w:id="16808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9312482">
              <w:marLeft w:val="0"/>
              <w:marRight w:val="0"/>
              <w:marTop w:val="0"/>
              <w:marBottom w:val="0"/>
              <w:divBdr>
                <w:top w:val="none" w:sz="0" w:space="0" w:color="auto"/>
                <w:left w:val="none" w:sz="0" w:space="0" w:color="auto"/>
                <w:bottom w:val="none" w:sz="0" w:space="0" w:color="auto"/>
                <w:right w:val="none" w:sz="0" w:space="0" w:color="auto"/>
              </w:divBdr>
              <w:divsChild>
                <w:div w:id="1335378169">
                  <w:marLeft w:val="0"/>
                  <w:marRight w:val="0"/>
                  <w:marTop w:val="0"/>
                  <w:marBottom w:val="0"/>
                  <w:divBdr>
                    <w:top w:val="none" w:sz="0" w:space="0" w:color="auto"/>
                    <w:left w:val="none" w:sz="0" w:space="0" w:color="auto"/>
                    <w:bottom w:val="none" w:sz="0" w:space="0" w:color="auto"/>
                    <w:right w:val="none" w:sz="0" w:space="0" w:color="auto"/>
                  </w:divBdr>
                  <w:divsChild>
                    <w:div w:id="1994403385">
                      <w:marLeft w:val="0"/>
                      <w:marRight w:val="0"/>
                      <w:marTop w:val="0"/>
                      <w:marBottom w:val="0"/>
                      <w:divBdr>
                        <w:top w:val="none" w:sz="0" w:space="0" w:color="auto"/>
                        <w:left w:val="none" w:sz="0" w:space="0" w:color="auto"/>
                        <w:bottom w:val="none" w:sz="0" w:space="0" w:color="auto"/>
                        <w:right w:val="none" w:sz="0" w:space="0" w:color="auto"/>
                      </w:divBdr>
                      <w:divsChild>
                        <w:div w:id="10090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4789">
                  <w:marLeft w:val="0"/>
                  <w:marRight w:val="0"/>
                  <w:marTop w:val="0"/>
                  <w:marBottom w:val="0"/>
                  <w:divBdr>
                    <w:top w:val="none" w:sz="0" w:space="0" w:color="auto"/>
                    <w:left w:val="none" w:sz="0" w:space="0" w:color="auto"/>
                    <w:bottom w:val="none" w:sz="0" w:space="0" w:color="auto"/>
                    <w:right w:val="none" w:sz="0" w:space="0" w:color="auto"/>
                  </w:divBdr>
                  <w:divsChild>
                    <w:div w:id="1618215334">
                      <w:marLeft w:val="0"/>
                      <w:marRight w:val="0"/>
                      <w:marTop w:val="0"/>
                      <w:marBottom w:val="0"/>
                      <w:divBdr>
                        <w:top w:val="none" w:sz="0" w:space="0" w:color="auto"/>
                        <w:left w:val="none" w:sz="0" w:space="0" w:color="auto"/>
                        <w:bottom w:val="none" w:sz="0" w:space="0" w:color="auto"/>
                        <w:right w:val="none" w:sz="0" w:space="0" w:color="auto"/>
                      </w:divBdr>
                      <w:divsChild>
                        <w:div w:id="462847394">
                          <w:marLeft w:val="0"/>
                          <w:marRight w:val="0"/>
                          <w:marTop w:val="0"/>
                          <w:marBottom w:val="0"/>
                          <w:divBdr>
                            <w:top w:val="none" w:sz="0" w:space="0" w:color="auto"/>
                            <w:left w:val="none" w:sz="0" w:space="0" w:color="auto"/>
                            <w:bottom w:val="none" w:sz="0" w:space="0" w:color="auto"/>
                            <w:right w:val="none" w:sz="0" w:space="0" w:color="auto"/>
                          </w:divBdr>
                          <w:divsChild>
                            <w:div w:id="2099204529">
                              <w:marLeft w:val="0"/>
                              <w:marRight w:val="0"/>
                              <w:marTop w:val="0"/>
                              <w:marBottom w:val="0"/>
                              <w:divBdr>
                                <w:top w:val="none" w:sz="0" w:space="0" w:color="auto"/>
                                <w:left w:val="none" w:sz="0" w:space="0" w:color="auto"/>
                                <w:bottom w:val="none" w:sz="0" w:space="0" w:color="auto"/>
                                <w:right w:val="none" w:sz="0" w:space="0" w:color="auto"/>
                              </w:divBdr>
                              <w:divsChild>
                                <w:div w:id="1613516805">
                                  <w:marLeft w:val="0"/>
                                  <w:marRight w:val="0"/>
                                  <w:marTop w:val="0"/>
                                  <w:marBottom w:val="0"/>
                                  <w:divBdr>
                                    <w:top w:val="none" w:sz="0" w:space="0" w:color="auto"/>
                                    <w:left w:val="none" w:sz="0" w:space="0" w:color="auto"/>
                                    <w:bottom w:val="none" w:sz="0" w:space="0" w:color="auto"/>
                                    <w:right w:val="none" w:sz="0" w:space="0" w:color="auto"/>
                                  </w:divBdr>
                                  <w:divsChild>
                                    <w:div w:id="791481176">
                                      <w:marLeft w:val="0"/>
                                      <w:marRight w:val="0"/>
                                      <w:marTop w:val="0"/>
                                      <w:marBottom w:val="0"/>
                                      <w:divBdr>
                                        <w:top w:val="none" w:sz="0" w:space="0" w:color="auto"/>
                                        <w:left w:val="none" w:sz="0" w:space="0" w:color="auto"/>
                                        <w:bottom w:val="none" w:sz="0" w:space="0" w:color="auto"/>
                                        <w:right w:val="none" w:sz="0" w:space="0" w:color="auto"/>
                                      </w:divBdr>
                                      <w:divsChild>
                                        <w:div w:id="243878448">
                                          <w:marLeft w:val="0"/>
                                          <w:marRight w:val="0"/>
                                          <w:marTop w:val="0"/>
                                          <w:marBottom w:val="0"/>
                                          <w:divBdr>
                                            <w:top w:val="none" w:sz="0" w:space="0" w:color="auto"/>
                                            <w:left w:val="none" w:sz="0" w:space="0" w:color="auto"/>
                                            <w:bottom w:val="none" w:sz="0" w:space="0" w:color="auto"/>
                                            <w:right w:val="none" w:sz="0" w:space="0" w:color="auto"/>
                                          </w:divBdr>
                                          <w:divsChild>
                                            <w:div w:id="1912303070">
                                              <w:marLeft w:val="0"/>
                                              <w:marRight w:val="0"/>
                                              <w:marTop w:val="0"/>
                                              <w:marBottom w:val="0"/>
                                              <w:divBdr>
                                                <w:top w:val="none" w:sz="0" w:space="0" w:color="auto"/>
                                                <w:left w:val="none" w:sz="0" w:space="0" w:color="auto"/>
                                                <w:bottom w:val="none" w:sz="0" w:space="0" w:color="auto"/>
                                                <w:right w:val="none" w:sz="0" w:space="0" w:color="auto"/>
                                              </w:divBdr>
                                              <w:divsChild>
                                                <w:div w:id="663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684059">
                                      <w:marLeft w:val="0"/>
                                      <w:marRight w:val="0"/>
                                      <w:marTop w:val="0"/>
                                      <w:marBottom w:val="0"/>
                                      <w:divBdr>
                                        <w:top w:val="none" w:sz="0" w:space="0" w:color="auto"/>
                                        <w:left w:val="none" w:sz="0" w:space="0" w:color="auto"/>
                                        <w:bottom w:val="none" w:sz="0" w:space="0" w:color="auto"/>
                                        <w:right w:val="none" w:sz="0" w:space="0" w:color="auto"/>
                                      </w:divBdr>
                                    </w:div>
                                    <w:div w:id="5721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5516">
              <w:marLeft w:val="0"/>
              <w:marRight w:val="0"/>
              <w:marTop w:val="0"/>
              <w:marBottom w:val="0"/>
              <w:divBdr>
                <w:top w:val="none" w:sz="0" w:space="0" w:color="auto"/>
                <w:left w:val="none" w:sz="0" w:space="0" w:color="auto"/>
                <w:bottom w:val="none" w:sz="0" w:space="0" w:color="auto"/>
                <w:right w:val="none" w:sz="0" w:space="0" w:color="auto"/>
              </w:divBdr>
              <w:divsChild>
                <w:div w:id="1180044828">
                  <w:marLeft w:val="0"/>
                  <w:marRight w:val="0"/>
                  <w:marTop w:val="0"/>
                  <w:marBottom w:val="0"/>
                  <w:divBdr>
                    <w:top w:val="none" w:sz="0" w:space="0" w:color="auto"/>
                    <w:left w:val="none" w:sz="0" w:space="0" w:color="auto"/>
                    <w:bottom w:val="none" w:sz="0" w:space="0" w:color="auto"/>
                    <w:right w:val="none" w:sz="0" w:space="0" w:color="auto"/>
                  </w:divBdr>
                  <w:divsChild>
                    <w:div w:id="684287378">
                      <w:marLeft w:val="0"/>
                      <w:marRight w:val="0"/>
                      <w:marTop w:val="0"/>
                      <w:marBottom w:val="0"/>
                      <w:divBdr>
                        <w:top w:val="none" w:sz="0" w:space="0" w:color="auto"/>
                        <w:left w:val="none" w:sz="0" w:space="0" w:color="auto"/>
                        <w:bottom w:val="none" w:sz="0" w:space="0" w:color="auto"/>
                        <w:right w:val="none" w:sz="0" w:space="0" w:color="auto"/>
                      </w:divBdr>
                      <w:divsChild>
                        <w:div w:id="13146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939806">
                  <w:marLeft w:val="0"/>
                  <w:marRight w:val="0"/>
                  <w:marTop w:val="0"/>
                  <w:marBottom w:val="0"/>
                  <w:divBdr>
                    <w:top w:val="none" w:sz="0" w:space="0" w:color="auto"/>
                    <w:left w:val="none" w:sz="0" w:space="0" w:color="auto"/>
                    <w:bottom w:val="none" w:sz="0" w:space="0" w:color="auto"/>
                    <w:right w:val="none" w:sz="0" w:space="0" w:color="auto"/>
                  </w:divBdr>
                  <w:divsChild>
                    <w:div w:id="1445032355">
                      <w:marLeft w:val="0"/>
                      <w:marRight w:val="0"/>
                      <w:marTop w:val="0"/>
                      <w:marBottom w:val="0"/>
                      <w:divBdr>
                        <w:top w:val="none" w:sz="0" w:space="0" w:color="auto"/>
                        <w:left w:val="none" w:sz="0" w:space="0" w:color="auto"/>
                        <w:bottom w:val="none" w:sz="0" w:space="0" w:color="auto"/>
                        <w:right w:val="none" w:sz="0" w:space="0" w:color="auto"/>
                      </w:divBdr>
                      <w:divsChild>
                        <w:div w:id="1186678641">
                          <w:marLeft w:val="0"/>
                          <w:marRight w:val="0"/>
                          <w:marTop w:val="0"/>
                          <w:marBottom w:val="0"/>
                          <w:divBdr>
                            <w:top w:val="none" w:sz="0" w:space="0" w:color="auto"/>
                            <w:left w:val="none" w:sz="0" w:space="0" w:color="auto"/>
                            <w:bottom w:val="none" w:sz="0" w:space="0" w:color="auto"/>
                            <w:right w:val="none" w:sz="0" w:space="0" w:color="auto"/>
                          </w:divBdr>
                          <w:divsChild>
                            <w:div w:id="391270761">
                              <w:marLeft w:val="0"/>
                              <w:marRight w:val="0"/>
                              <w:marTop w:val="0"/>
                              <w:marBottom w:val="0"/>
                              <w:divBdr>
                                <w:top w:val="none" w:sz="0" w:space="0" w:color="auto"/>
                                <w:left w:val="none" w:sz="0" w:space="0" w:color="auto"/>
                                <w:bottom w:val="none" w:sz="0" w:space="0" w:color="auto"/>
                                <w:right w:val="none" w:sz="0" w:space="0" w:color="auto"/>
                              </w:divBdr>
                              <w:divsChild>
                                <w:div w:id="338850327">
                                  <w:marLeft w:val="0"/>
                                  <w:marRight w:val="0"/>
                                  <w:marTop w:val="0"/>
                                  <w:marBottom w:val="0"/>
                                  <w:divBdr>
                                    <w:top w:val="none" w:sz="0" w:space="0" w:color="auto"/>
                                    <w:left w:val="none" w:sz="0" w:space="0" w:color="auto"/>
                                    <w:bottom w:val="none" w:sz="0" w:space="0" w:color="auto"/>
                                    <w:right w:val="none" w:sz="0" w:space="0" w:color="auto"/>
                                  </w:divBdr>
                                  <w:divsChild>
                                    <w:div w:id="231089400">
                                      <w:marLeft w:val="0"/>
                                      <w:marRight w:val="0"/>
                                      <w:marTop w:val="0"/>
                                      <w:marBottom w:val="0"/>
                                      <w:divBdr>
                                        <w:top w:val="none" w:sz="0" w:space="0" w:color="auto"/>
                                        <w:left w:val="none" w:sz="0" w:space="0" w:color="auto"/>
                                        <w:bottom w:val="none" w:sz="0" w:space="0" w:color="auto"/>
                                        <w:right w:val="none" w:sz="0" w:space="0" w:color="auto"/>
                                      </w:divBdr>
                                      <w:divsChild>
                                        <w:div w:id="290286713">
                                          <w:marLeft w:val="0"/>
                                          <w:marRight w:val="0"/>
                                          <w:marTop w:val="0"/>
                                          <w:marBottom w:val="0"/>
                                          <w:divBdr>
                                            <w:top w:val="none" w:sz="0" w:space="0" w:color="auto"/>
                                            <w:left w:val="none" w:sz="0" w:space="0" w:color="auto"/>
                                            <w:bottom w:val="none" w:sz="0" w:space="0" w:color="auto"/>
                                            <w:right w:val="none" w:sz="0" w:space="0" w:color="auto"/>
                                          </w:divBdr>
                                          <w:divsChild>
                                            <w:div w:id="1374580027">
                                              <w:marLeft w:val="0"/>
                                              <w:marRight w:val="0"/>
                                              <w:marTop w:val="0"/>
                                              <w:marBottom w:val="0"/>
                                              <w:divBdr>
                                                <w:top w:val="none" w:sz="0" w:space="0" w:color="auto"/>
                                                <w:left w:val="none" w:sz="0" w:space="0" w:color="auto"/>
                                                <w:bottom w:val="none" w:sz="0" w:space="0" w:color="auto"/>
                                                <w:right w:val="none" w:sz="0" w:space="0" w:color="auto"/>
                                              </w:divBdr>
                                              <w:divsChild>
                                                <w:div w:id="157373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277846">
          <w:marLeft w:val="0"/>
          <w:marRight w:val="0"/>
          <w:marTop w:val="0"/>
          <w:marBottom w:val="0"/>
          <w:divBdr>
            <w:top w:val="none" w:sz="0" w:space="0" w:color="auto"/>
            <w:left w:val="none" w:sz="0" w:space="0" w:color="auto"/>
            <w:bottom w:val="none" w:sz="0" w:space="0" w:color="auto"/>
            <w:right w:val="none" w:sz="0" w:space="0" w:color="auto"/>
          </w:divBdr>
        </w:div>
        <w:div w:id="1235817513">
          <w:marLeft w:val="0"/>
          <w:marRight w:val="0"/>
          <w:marTop w:val="0"/>
          <w:marBottom w:val="0"/>
          <w:divBdr>
            <w:top w:val="none" w:sz="0" w:space="0" w:color="auto"/>
            <w:left w:val="none" w:sz="0" w:space="0" w:color="auto"/>
            <w:bottom w:val="none" w:sz="0" w:space="0" w:color="auto"/>
            <w:right w:val="none" w:sz="0" w:space="0" w:color="auto"/>
          </w:divBdr>
        </w:div>
        <w:div w:id="1151216674">
          <w:marLeft w:val="0"/>
          <w:marRight w:val="0"/>
          <w:marTop w:val="0"/>
          <w:marBottom w:val="0"/>
          <w:divBdr>
            <w:top w:val="none" w:sz="0" w:space="0" w:color="auto"/>
            <w:left w:val="none" w:sz="0" w:space="0" w:color="auto"/>
            <w:bottom w:val="none" w:sz="0" w:space="0" w:color="auto"/>
            <w:right w:val="none" w:sz="0" w:space="0" w:color="auto"/>
          </w:divBdr>
          <w:divsChild>
            <w:div w:id="1660957458">
              <w:marLeft w:val="0"/>
              <w:marRight w:val="0"/>
              <w:marTop w:val="0"/>
              <w:marBottom w:val="0"/>
              <w:divBdr>
                <w:top w:val="none" w:sz="0" w:space="0" w:color="auto"/>
                <w:left w:val="none" w:sz="0" w:space="0" w:color="auto"/>
                <w:bottom w:val="none" w:sz="0" w:space="0" w:color="auto"/>
                <w:right w:val="none" w:sz="0" w:space="0" w:color="auto"/>
              </w:divBdr>
              <w:divsChild>
                <w:div w:id="764501308">
                  <w:marLeft w:val="0"/>
                  <w:marRight w:val="0"/>
                  <w:marTop w:val="0"/>
                  <w:marBottom w:val="0"/>
                  <w:divBdr>
                    <w:top w:val="none" w:sz="0" w:space="0" w:color="auto"/>
                    <w:left w:val="none" w:sz="0" w:space="0" w:color="auto"/>
                    <w:bottom w:val="none" w:sz="0" w:space="0" w:color="auto"/>
                    <w:right w:val="none" w:sz="0" w:space="0" w:color="auto"/>
                  </w:divBdr>
                  <w:divsChild>
                    <w:div w:id="1857840130">
                      <w:marLeft w:val="0"/>
                      <w:marRight w:val="0"/>
                      <w:marTop w:val="0"/>
                      <w:marBottom w:val="0"/>
                      <w:divBdr>
                        <w:top w:val="none" w:sz="0" w:space="0" w:color="auto"/>
                        <w:left w:val="none" w:sz="0" w:space="0" w:color="auto"/>
                        <w:bottom w:val="none" w:sz="0" w:space="0" w:color="auto"/>
                        <w:right w:val="none" w:sz="0" w:space="0" w:color="auto"/>
                      </w:divBdr>
                      <w:divsChild>
                        <w:div w:id="330111000">
                          <w:marLeft w:val="0"/>
                          <w:marRight w:val="0"/>
                          <w:marTop w:val="0"/>
                          <w:marBottom w:val="0"/>
                          <w:divBdr>
                            <w:top w:val="none" w:sz="0" w:space="0" w:color="auto"/>
                            <w:left w:val="none" w:sz="0" w:space="0" w:color="auto"/>
                            <w:bottom w:val="none" w:sz="0" w:space="0" w:color="auto"/>
                            <w:right w:val="none" w:sz="0" w:space="0" w:color="auto"/>
                          </w:divBdr>
                          <w:divsChild>
                            <w:div w:id="185797366">
                              <w:marLeft w:val="0"/>
                              <w:marRight w:val="0"/>
                              <w:marTop w:val="0"/>
                              <w:marBottom w:val="0"/>
                              <w:divBdr>
                                <w:top w:val="none" w:sz="0" w:space="0" w:color="auto"/>
                                <w:left w:val="none" w:sz="0" w:space="0" w:color="auto"/>
                                <w:bottom w:val="none" w:sz="0" w:space="0" w:color="auto"/>
                                <w:right w:val="none" w:sz="0" w:space="0" w:color="auto"/>
                              </w:divBdr>
                              <w:divsChild>
                                <w:div w:id="1629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2254">
                      <w:marLeft w:val="0"/>
                      <w:marRight w:val="0"/>
                      <w:marTop w:val="0"/>
                      <w:marBottom w:val="0"/>
                      <w:divBdr>
                        <w:top w:val="none" w:sz="0" w:space="0" w:color="auto"/>
                        <w:left w:val="none" w:sz="0" w:space="0" w:color="auto"/>
                        <w:bottom w:val="none" w:sz="0" w:space="0" w:color="auto"/>
                        <w:right w:val="none" w:sz="0" w:space="0" w:color="auto"/>
                      </w:divBdr>
                      <w:divsChild>
                        <w:div w:id="1719164825">
                          <w:marLeft w:val="0"/>
                          <w:marRight w:val="0"/>
                          <w:marTop w:val="0"/>
                          <w:marBottom w:val="0"/>
                          <w:divBdr>
                            <w:top w:val="none" w:sz="0" w:space="0" w:color="auto"/>
                            <w:left w:val="none" w:sz="0" w:space="0" w:color="auto"/>
                            <w:bottom w:val="none" w:sz="0" w:space="0" w:color="auto"/>
                            <w:right w:val="none" w:sz="0" w:space="0" w:color="auto"/>
                          </w:divBdr>
                          <w:divsChild>
                            <w:div w:id="901872467">
                              <w:marLeft w:val="0"/>
                              <w:marRight w:val="0"/>
                              <w:marTop w:val="0"/>
                              <w:marBottom w:val="0"/>
                              <w:divBdr>
                                <w:top w:val="none" w:sz="0" w:space="0" w:color="auto"/>
                                <w:left w:val="none" w:sz="0" w:space="0" w:color="auto"/>
                                <w:bottom w:val="none" w:sz="0" w:space="0" w:color="auto"/>
                                <w:right w:val="none" w:sz="0" w:space="0" w:color="auto"/>
                              </w:divBdr>
                            </w:div>
                            <w:div w:id="11668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211722">
          <w:marLeft w:val="0"/>
          <w:marRight w:val="0"/>
          <w:marTop w:val="0"/>
          <w:marBottom w:val="0"/>
          <w:divBdr>
            <w:top w:val="none" w:sz="0" w:space="0" w:color="auto"/>
            <w:left w:val="none" w:sz="0" w:space="0" w:color="auto"/>
            <w:bottom w:val="none" w:sz="0" w:space="0" w:color="auto"/>
            <w:right w:val="none" w:sz="0" w:space="0" w:color="auto"/>
          </w:divBdr>
        </w:div>
      </w:divsChild>
    </w:div>
    <w:div w:id="1175152871">
      <w:bodyDiv w:val="1"/>
      <w:marLeft w:val="0"/>
      <w:marRight w:val="0"/>
      <w:marTop w:val="0"/>
      <w:marBottom w:val="0"/>
      <w:divBdr>
        <w:top w:val="none" w:sz="0" w:space="0" w:color="auto"/>
        <w:left w:val="none" w:sz="0" w:space="0" w:color="auto"/>
        <w:bottom w:val="none" w:sz="0" w:space="0" w:color="auto"/>
        <w:right w:val="none" w:sz="0" w:space="0" w:color="auto"/>
      </w:divBdr>
      <w:divsChild>
        <w:div w:id="293145951">
          <w:marLeft w:val="0"/>
          <w:marRight w:val="0"/>
          <w:marTop w:val="0"/>
          <w:marBottom w:val="0"/>
          <w:divBdr>
            <w:top w:val="none" w:sz="0" w:space="0" w:color="auto"/>
            <w:left w:val="none" w:sz="0" w:space="0" w:color="auto"/>
            <w:bottom w:val="none" w:sz="0" w:space="0" w:color="auto"/>
            <w:right w:val="none" w:sz="0" w:space="0" w:color="auto"/>
          </w:divBdr>
          <w:divsChild>
            <w:div w:id="1281885695">
              <w:marLeft w:val="0"/>
              <w:marRight w:val="0"/>
              <w:marTop w:val="0"/>
              <w:marBottom w:val="0"/>
              <w:divBdr>
                <w:top w:val="none" w:sz="0" w:space="0" w:color="auto"/>
                <w:left w:val="none" w:sz="0" w:space="0" w:color="auto"/>
                <w:bottom w:val="none" w:sz="0" w:space="0" w:color="auto"/>
                <w:right w:val="none" w:sz="0" w:space="0" w:color="auto"/>
              </w:divBdr>
              <w:divsChild>
                <w:div w:id="1305621926">
                  <w:marLeft w:val="0"/>
                  <w:marRight w:val="0"/>
                  <w:marTop w:val="0"/>
                  <w:marBottom w:val="0"/>
                  <w:divBdr>
                    <w:top w:val="none" w:sz="0" w:space="0" w:color="auto"/>
                    <w:left w:val="none" w:sz="0" w:space="0" w:color="auto"/>
                    <w:bottom w:val="none" w:sz="0" w:space="0" w:color="auto"/>
                    <w:right w:val="none" w:sz="0" w:space="0" w:color="auto"/>
                  </w:divBdr>
                  <w:divsChild>
                    <w:div w:id="307785241">
                      <w:marLeft w:val="0"/>
                      <w:marRight w:val="0"/>
                      <w:marTop w:val="0"/>
                      <w:marBottom w:val="0"/>
                      <w:divBdr>
                        <w:top w:val="none" w:sz="0" w:space="0" w:color="auto"/>
                        <w:left w:val="none" w:sz="0" w:space="0" w:color="auto"/>
                        <w:bottom w:val="none" w:sz="0" w:space="0" w:color="auto"/>
                        <w:right w:val="none" w:sz="0" w:space="0" w:color="auto"/>
                      </w:divBdr>
                      <w:divsChild>
                        <w:div w:id="222134211">
                          <w:marLeft w:val="0"/>
                          <w:marRight w:val="0"/>
                          <w:marTop w:val="0"/>
                          <w:marBottom w:val="0"/>
                          <w:divBdr>
                            <w:top w:val="none" w:sz="0" w:space="0" w:color="auto"/>
                            <w:left w:val="none" w:sz="0" w:space="0" w:color="auto"/>
                            <w:bottom w:val="none" w:sz="0" w:space="0" w:color="auto"/>
                            <w:right w:val="none" w:sz="0" w:space="0" w:color="auto"/>
                          </w:divBdr>
                          <w:divsChild>
                            <w:div w:id="1939216830">
                              <w:marLeft w:val="0"/>
                              <w:marRight w:val="0"/>
                              <w:marTop w:val="0"/>
                              <w:marBottom w:val="0"/>
                              <w:divBdr>
                                <w:top w:val="none" w:sz="0" w:space="0" w:color="auto"/>
                                <w:left w:val="none" w:sz="0" w:space="0" w:color="auto"/>
                                <w:bottom w:val="none" w:sz="0" w:space="0" w:color="auto"/>
                                <w:right w:val="none" w:sz="0" w:space="0" w:color="auto"/>
                              </w:divBdr>
                              <w:divsChild>
                                <w:div w:id="1039479798">
                                  <w:marLeft w:val="0"/>
                                  <w:marRight w:val="0"/>
                                  <w:marTop w:val="0"/>
                                  <w:marBottom w:val="0"/>
                                  <w:divBdr>
                                    <w:top w:val="none" w:sz="0" w:space="0" w:color="auto"/>
                                    <w:left w:val="none" w:sz="0" w:space="0" w:color="auto"/>
                                    <w:bottom w:val="none" w:sz="0" w:space="0" w:color="auto"/>
                                    <w:right w:val="none" w:sz="0" w:space="0" w:color="auto"/>
                                  </w:divBdr>
                                  <w:divsChild>
                                    <w:div w:id="170879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06254">
          <w:marLeft w:val="0"/>
          <w:marRight w:val="0"/>
          <w:marTop w:val="0"/>
          <w:marBottom w:val="0"/>
          <w:divBdr>
            <w:top w:val="none" w:sz="0" w:space="0" w:color="auto"/>
            <w:left w:val="none" w:sz="0" w:space="0" w:color="auto"/>
            <w:bottom w:val="none" w:sz="0" w:space="0" w:color="auto"/>
            <w:right w:val="none" w:sz="0" w:space="0" w:color="auto"/>
          </w:divBdr>
        </w:div>
        <w:div w:id="1507163741">
          <w:marLeft w:val="0"/>
          <w:marRight w:val="0"/>
          <w:marTop w:val="0"/>
          <w:marBottom w:val="0"/>
          <w:divBdr>
            <w:top w:val="none" w:sz="0" w:space="0" w:color="auto"/>
            <w:left w:val="none" w:sz="0" w:space="0" w:color="auto"/>
            <w:bottom w:val="none" w:sz="0" w:space="0" w:color="auto"/>
            <w:right w:val="none" w:sz="0" w:space="0" w:color="auto"/>
          </w:divBdr>
        </w:div>
        <w:div w:id="189729589">
          <w:marLeft w:val="0"/>
          <w:marRight w:val="0"/>
          <w:marTop w:val="0"/>
          <w:marBottom w:val="0"/>
          <w:divBdr>
            <w:top w:val="none" w:sz="0" w:space="0" w:color="auto"/>
            <w:left w:val="none" w:sz="0" w:space="0" w:color="auto"/>
            <w:bottom w:val="none" w:sz="0" w:space="0" w:color="auto"/>
            <w:right w:val="none" w:sz="0" w:space="0" w:color="auto"/>
          </w:divBdr>
          <w:divsChild>
            <w:div w:id="772095724">
              <w:marLeft w:val="0"/>
              <w:marRight w:val="0"/>
              <w:marTop w:val="0"/>
              <w:marBottom w:val="0"/>
              <w:divBdr>
                <w:top w:val="none" w:sz="0" w:space="0" w:color="auto"/>
                <w:left w:val="none" w:sz="0" w:space="0" w:color="auto"/>
                <w:bottom w:val="none" w:sz="0" w:space="0" w:color="auto"/>
                <w:right w:val="none" w:sz="0" w:space="0" w:color="auto"/>
              </w:divBdr>
              <w:divsChild>
                <w:div w:id="1887643722">
                  <w:marLeft w:val="0"/>
                  <w:marRight w:val="0"/>
                  <w:marTop w:val="0"/>
                  <w:marBottom w:val="0"/>
                  <w:divBdr>
                    <w:top w:val="none" w:sz="0" w:space="0" w:color="auto"/>
                    <w:left w:val="none" w:sz="0" w:space="0" w:color="auto"/>
                    <w:bottom w:val="none" w:sz="0" w:space="0" w:color="auto"/>
                    <w:right w:val="none" w:sz="0" w:space="0" w:color="auto"/>
                  </w:divBdr>
                  <w:divsChild>
                    <w:div w:id="1337417037">
                      <w:marLeft w:val="0"/>
                      <w:marRight w:val="0"/>
                      <w:marTop w:val="0"/>
                      <w:marBottom w:val="0"/>
                      <w:divBdr>
                        <w:top w:val="none" w:sz="0" w:space="0" w:color="auto"/>
                        <w:left w:val="none" w:sz="0" w:space="0" w:color="auto"/>
                        <w:bottom w:val="none" w:sz="0" w:space="0" w:color="auto"/>
                        <w:right w:val="none" w:sz="0" w:space="0" w:color="auto"/>
                      </w:divBdr>
                      <w:divsChild>
                        <w:div w:id="1025207235">
                          <w:marLeft w:val="0"/>
                          <w:marRight w:val="0"/>
                          <w:marTop w:val="0"/>
                          <w:marBottom w:val="0"/>
                          <w:divBdr>
                            <w:top w:val="none" w:sz="0" w:space="0" w:color="auto"/>
                            <w:left w:val="none" w:sz="0" w:space="0" w:color="auto"/>
                            <w:bottom w:val="none" w:sz="0" w:space="0" w:color="auto"/>
                            <w:right w:val="none" w:sz="0" w:space="0" w:color="auto"/>
                          </w:divBdr>
                          <w:divsChild>
                            <w:div w:id="2020545916">
                              <w:marLeft w:val="0"/>
                              <w:marRight w:val="0"/>
                              <w:marTop w:val="0"/>
                              <w:marBottom w:val="0"/>
                              <w:divBdr>
                                <w:top w:val="none" w:sz="0" w:space="0" w:color="auto"/>
                                <w:left w:val="none" w:sz="0" w:space="0" w:color="auto"/>
                                <w:bottom w:val="none" w:sz="0" w:space="0" w:color="auto"/>
                                <w:right w:val="none" w:sz="0" w:space="0" w:color="auto"/>
                              </w:divBdr>
                              <w:divsChild>
                                <w:div w:id="160661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81040">
                      <w:marLeft w:val="0"/>
                      <w:marRight w:val="0"/>
                      <w:marTop w:val="0"/>
                      <w:marBottom w:val="0"/>
                      <w:divBdr>
                        <w:top w:val="none" w:sz="0" w:space="0" w:color="auto"/>
                        <w:left w:val="none" w:sz="0" w:space="0" w:color="auto"/>
                        <w:bottom w:val="none" w:sz="0" w:space="0" w:color="auto"/>
                        <w:right w:val="none" w:sz="0" w:space="0" w:color="auto"/>
                      </w:divBdr>
                      <w:divsChild>
                        <w:div w:id="360670975">
                          <w:marLeft w:val="0"/>
                          <w:marRight w:val="0"/>
                          <w:marTop w:val="0"/>
                          <w:marBottom w:val="0"/>
                          <w:divBdr>
                            <w:top w:val="none" w:sz="0" w:space="0" w:color="auto"/>
                            <w:left w:val="none" w:sz="0" w:space="0" w:color="auto"/>
                            <w:bottom w:val="none" w:sz="0" w:space="0" w:color="auto"/>
                            <w:right w:val="none" w:sz="0" w:space="0" w:color="auto"/>
                          </w:divBdr>
                          <w:divsChild>
                            <w:div w:id="2122146057">
                              <w:marLeft w:val="0"/>
                              <w:marRight w:val="0"/>
                              <w:marTop w:val="0"/>
                              <w:marBottom w:val="0"/>
                              <w:divBdr>
                                <w:top w:val="none" w:sz="0" w:space="0" w:color="auto"/>
                                <w:left w:val="none" w:sz="0" w:space="0" w:color="auto"/>
                                <w:bottom w:val="none" w:sz="0" w:space="0" w:color="auto"/>
                                <w:right w:val="none" w:sz="0" w:space="0" w:color="auto"/>
                              </w:divBdr>
                            </w:div>
                            <w:div w:id="8804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216906">
          <w:marLeft w:val="0"/>
          <w:marRight w:val="0"/>
          <w:marTop w:val="0"/>
          <w:marBottom w:val="0"/>
          <w:divBdr>
            <w:top w:val="none" w:sz="0" w:space="0" w:color="auto"/>
            <w:left w:val="none" w:sz="0" w:space="0" w:color="auto"/>
            <w:bottom w:val="none" w:sz="0" w:space="0" w:color="auto"/>
            <w:right w:val="none" w:sz="0" w:space="0" w:color="auto"/>
          </w:divBdr>
        </w:div>
      </w:divsChild>
    </w:div>
    <w:div w:id="1214924082">
      <w:bodyDiv w:val="1"/>
      <w:marLeft w:val="0"/>
      <w:marRight w:val="0"/>
      <w:marTop w:val="0"/>
      <w:marBottom w:val="0"/>
      <w:divBdr>
        <w:top w:val="none" w:sz="0" w:space="0" w:color="auto"/>
        <w:left w:val="none" w:sz="0" w:space="0" w:color="auto"/>
        <w:bottom w:val="none" w:sz="0" w:space="0" w:color="auto"/>
        <w:right w:val="none" w:sz="0" w:space="0" w:color="auto"/>
      </w:divBdr>
    </w:div>
    <w:div w:id="1318338796">
      <w:bodyDiv w:val="1"/>
      <w:marLeft w:val="0"/>
      <w:marRight w:val="0"/>
      <w:marTop w:val="0"/>
      <w:marBottom w:val="0"/>
      <w:divBdr>
        <w:top w:val="none" w:sz="0" w:space="0" w:color="auto"/>
        <w:left w:val="none" w:sz="0" w:space="0" w:color="auto"/>
        <w:bottom w:val="none" w:sz="0" w:space="0" w:color="auto"/>
        <w:right w:val="none" w:sz="0" w:space="0" w:color="auto"/>
      </w:divBdr>
    </w:div>
    <w:div w:id="1360467484">
      <w:bodyDiv w:val="1"/>
      <w:marLeft w:val="0"/>
      <w:marRight w:val="0"/>
      <w:marTop w:val="0"/>
      <w:marBottom w:val="0"/>
      <w:divBdr>
        <w:top w:val="none" w:sz="0" w:space="0" w:color="auto"/>
        <w:left w:val="none" w:sz="0" w:space="0" w:color="auto"/>
        <w:bottom w:val="none" w:sz="0" w:space="0" w:color="auto"/>
        <w:right w:val="none" w:sz="0" w:space="0" w:color="auto"/>
      </w:divBdr>
    </w:div>
    <w:div w:id="1363281072">
      <w:bodyDiv w:val="1"/>
      <w:marLeft w:val="0"/>
      <w:marRight w:val="0"/>
      <w:marTop w:val="0"/>
      <w:marBottom w:val="0"/>
      <w:divBdr>
        <w:top w:val="none" w:sz="0" w:space="0" w:color="auto"/>
        <w:left w:val="none" w:sz="0" w:space="0" w:color="auto"/>
        <w:bottom w:val="none" w:sz="0" w:space="0" w:color="auto"/>
        <w:right w:val="none" w:sz="0" w:space="0" w:color="auto"/>
      </w:divBdr>
    </w:div>
    <w:div w:id="1460535827">
      <w:bodyDiv w:val="1"/>
      <w:marLeft w:val="0"/>
      <w:marRight w:val="0"/>
      <w:marTop w:val="0"/>
      <w:marBottom w:val="0"/>
      <w:divBdr>
        <w:top w:val="none" w:sz="0" w:space="0" w:color="auto"/>
        <w:left w:val="none" w:sz="0" w:space="0" w:color="auto"/>
        <w:bottom w:val="none" w:sz="0" w:space="0" w:color="auto"/>
        <w:right w:val="none" w:sz="0" w:space="0" w:color="auto"/>
      </w:divBdr>
    </w:div>
    <w:div w:id="1568758645">
      <w:bodyDiv w:val="1"/>
      <w:marLeft w:val="0"/>
      <w:marRight w:val="0"/>
      <w:marTop w:val="0"/>
      <w:marBottom w:val="0"/>
      <w:divBdr>
        <w:top w:val="none" w:sz="0" w:space="0" w:color="auto"/>
        <w:left w:val="none" w:sz="0" w:space="0" w:color="auto"/>
        <w:bottom w:val="none" w:sz="0" w:space="0" w:color="auto"/>
        <w:right w:val="none" w:sz="0" w:space="0" w:color="auto"/>
      </w:divBdr>
    </w:div>
    <w:div w:id="1569804901">
      <w:bodyDiv w:val="1"/>
      <w:marLeft w:val="0"/>
      <w:marRight w:val="0"/>
      <w:marTop w:val="0"/>
      <w:marBottom w:val="0"/>
      <w:divBdr>
        <w:top w:val="none" w:sz="0" w:space="0" w:color="auto"/>
        <w:left w:val="none" w:sz="0" w:space="0" w:color="auto"/>
        <w:bottom w:val="none" w:sz="0" w:space="0" w:color="auto"/>
        <w:right w:val="none" w:sz="0" w:space="0" w:color="auto"/>
      </w:divBdr>
    </w:div>
    <w:div w:id="1623533981">
      <w:bodyDiv w:val="1"/>
      <w:marLeft w:val="0"/>
      <w:marRight w:val="0"/>
      <w:marTop w:val="0"/>
      <w:marBottom w:val="0"/>
      <w:divBdr>
        <w:top w:val="none" w:sz="0" w:space="0" w:color="auto"/>
        <w:left w:val="none" w:sz="0" w:space="0" w:color="auto"/>
        <w:bottom w:val="none" w:sz="0" w:space="0" w:color="auto"/>
        <w:right w:val="none" w:sz="0" w:space="0" w:color="auto"/>
      </w:divBdr>
      <w:divsChild>
        <w:div w:id="1156872944">
          <w:marLeft w:val="0"/>
          <w:marRight w:val="0"/>
          <w:marTop w:val="0"/>
          <w:marBottom w:val="0"/>
          <w:divBdr>
            <w:top w:val="none" w:sz="0" w:space="0" w:color="auto"/>
            <w:left w:val="none" w:sz="0" w:space="0" w:color="auto"/>
            <w:bottom w:val="none" w:sz="0" w:space="0" w:color="auto"/>
            <w:right w:val="none" w:sz="0" w:space="0" w:color="auto"/>
          </w:divBdr>
          <w:divsChild>
            <w:div w:id="2103065887">
              <w:marLeft w:val="0"/>
              <w:marRight w:val="0"/>
              <w:marTop w:val="0"/>
              <w:marBottom w:val="0"/>
              <w:divBdr>
                <w:top w:val="none" w:sz="0" w:space="0" w:color="auto"/>
                <w:left w:val="none" w:sz="0" w:space="0" w:color="auto"/>
                <w:bottom w:val="none" w:sz="0" w:space="0" w:color="auto"/>
                <w:right w:val="none" w:sz="0" w:space="0" w:color="auto"/>
              </w:divBdr>
              <w:divsChild>
                <w:div w:id="1258366738">
                  <w:marLeft w:val="0"/>
                  <w:marRight w:val="0"/>
                  <w:marTop w:val="0"/>
                  <w:marBottom w:val="0"/>
                  <w:divBdr>
                    <w:top w:val="none" w:sz="0" w:space="0" w:color="auto"/>
                    <w:left w:val="none" w:sz="0" w:space="0" w:color="auto"/>
                    <w:bottom w:val="none" w:sz="0" w:space="0" w:color="auto"/>
                    <w:right w:val="none" w:sz="0" w:space="0" w:color="auto"/>
                  </w:divBdr>
                  <w:divsChild>
                    <w:div w:id="1362435266">
                      <w:marLeft w:val="0"/>
                      <w:marRight w:val="0"/>
                      <w:marTop w:val="0"/>
                      <w:marBottom w:val="0"/>
                      <w:divBdr>
                        <w:top w:val="none" w:sz="0" w:space="0" w:color="auto"/>
                        <w:left w:val="none" w:sz="0" w:space="0" w:color="auto"/>
                        <w:bottom w:val="none" w:sz="0" w:space="0" w:color="auto"/>
                        <w:right w:val="none" w:sz="0" w:space="0" w:color="auto"/>
                      </w:divBdr>
                      <w:divsChild>
                        <w:div w:id="409738668">
                          <w:marLeft w:val="0"/>
                          <w:marRight w:val="0"/>
                          <w:marTop w:val="0"/>
                          <w:marBottom w:val="0"/>
                          <w:divBdr>
                            <w:top w:val="none" w:sz="0" w:space="0" w:color="auto"/>
                            <w:left w:val="none" w:sz="0" w:space="0" w:color="auto"/>
                            <w:bottom w:val="none" w:sz="0" w:space="0" w:color="auto"/>
                            <w:right w:val="none" w:sz="0" w:space="0" w:color="auto"/>
                          </w:divBdr>
                          <w:divsChild>
                            <w:div w:id="2032951246">
                              <w:marLeft w:val="0"/>
                              <w:marRight w:val="0"/>
                              <w:marTop w:val="0"/>
                              <w:marBottom w:val="0"/>
                              <w:divBdr>
                                <w:top w:val="none" w:sz="0" w:space="0" w:color="auto"/>
                                <w:left w:val="none" w:sz="0" w:space="0" w:color="auto"/>
                                <w:bottom w:val="none" w:sz="0" w:space="0" w:color="auto"/>
                                <w:right w:val="none" w:sz="0" w:space="0" w:color="auto"/>
                              </w:divBdr>
                              <w:divsChild>
                                <w:div w:id="677847095">
                                  <w:marLeft w:val="0"/>
                                  <w:marRight w:val="0"/>
                                  <w:marTop w:val="0"/>
                                  <w:marBottom w:val="0"/>
                                  <w:divBdr>
                                    <w:top w:val="none" w:sz="0" w:space="0" w:color="auto"/>
                                    <w:left w:val="none" w:sz="0" w:space="0" w:color="auto"/>
                                    <w:bottom w:val="none" w:sz="0" w:space="0" w:color="auto"/>
                                    <w:right w:val="none" w:sz="0" w:space="0" w:color="auto"/>
                                  </w:divBdr>
                                  <w:divsChild>
                                    <w:div w:id="13587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800442">
              <w:marLeft w:val="0"/>
              <w:marRight w:val="0"/>
              <w:marTop w:val="0"/>
              <w:marBottom w:val="0"/>
              <w:divBdr>
                <w:top w:val="none" w:sz="0" w:space="0" w:color="auto"/>
                <w:left w:val="none" w:sz="0" w:space="0" w:color="auto"/>
                <w:bottom w:val="none" w:sz="0" w:space="0" w:color="auto"/>
                <w:right w:val="none" w:sz="0" w:space="0" w:color="auto"/>
              </w:divBdr>
              <w:divsChild>
                <w:div w:id="749040418">
                  <w:marLeft w:val="0"/>
                  <w:marRight w:val="0"/>
                  <w:marTop w:val="0"/>
                  <w:marBottom w:val="0"/>
                  <w:divBdr>
                    <w:top w:val="none" w:sz="0" w:space="0" w:color="auto"/>
                    <w:left w:val="none" w:sz="0" w:space="0" w:color="auto"/>
                    <w:bottom w:val="none" w:sz="0" w:space="0" w:color="auto"/>
                    <w:right w:val="none" w:sz="0" w:space="0" w:color="auto"/>
                  </w:divBdr>
                  <w:divsChild>
                    <w:div w:id="1457483291">
                      <w:marLeft w:val="0"/>
                      <w:marRight w:val="0"/>
                      <w:marTop w:val="0"/>
                      <w:marBottom w:val="0"/>
                      <w:divBdr>
                        <w:top w:val="none" w:sz="0" w:space="0" w:color="auto"/>
                        <w:left w:val="none" w:sz="0" w:space="0" w:color="auto"/>
                        <w:bottom w:val="none" w:sz="0" w:space="0" w:color="auto"/>
                        <w:right w:val="none" w:sz="0" w:space="0" w:color="auto"/>
                      </w:divBdr>
                      <w:divsChild>
                        <w:div w:id="15468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98136">
                  <w:marLeft w:val="0"/>
                  <w:marRight w:val="0"/>
                  <w:marTop w:val="0"/>
                  <w:marBottom w:val="0"/>
                  <w:divBdr>
                    <w:top w:val="none" w:sz="0" w:space="0" w:color="auto"/>
                    <w:left w:val="none" w:sz="0" w:space="0" w:color="auto"/>
                    <w:bottom w:val="none" w:sz="0" w:space="0" w:color="auto"/>
                    <w:right w:val="none" w:sz="0" w:space="0" w:color="auto"/>
                  </w:divBdr>
                  <w:divsChild>
                    <w:div w:id="906453582">
                      <w:marLeft w:val="0"/>
                      <w:marRight w:val="0"/>
                      <w:marTop w:val="0"/>
                      <w:marBottom w:val="0"/>
                      <w:divBdr>
                        <w:top w:val="none" w:sz="0" w:space="0" w:color="auto"/>
                        <w:left w:val="none" w:sz="0" w:space="0" w:color="auto"/>
                        <w:bottom w:val="none" w:sz="0" w:space="0" w:color="auto"/>
                        <w:right w:val="none" w:sz="0" w:space="0" w:color="auto"/>
                      </w:divBdr>
                      <w:divsChild>
                        <w:div w:id="39744361">
                          <w:marLeft w:val="0"/>
                          <w:marRight w:val="0"/>
                          <w:marTop w:val="0"/>
                          <w:marBottom w:val="0"/>
                          <w:divBdr>
                            <w:top w:val="none" w:sz="0" w:space="0" w:color="auto"/>
                            <w:left w:val="none" w:sz="0" w:space="0" w:color="auto"/>
                            <w:bottom w:val="none" w:sz="0" w:space="0" w:color="auto"/>
                            <w:right w:val="none" w:sz="0" w:space="0" w:color="auto"/>
                          </w:divBdr>
                          <w:divsChild>
                            <w:div w:id="97718613">
                              <w:marLeft w:val="0"/>
                              <w:marRight w:val="0"/>
                              <w:marTop w:val="0"/>
                              <w:marBottom w:val="0"/>
                              <w:divBdr>
                                <w:top w:val="none" w:sz="0" w:space="0" w:color="auto"/>
                                <w:left w:val="none" w:sz="0" w:space="0" w:color="auto"/>
                                <w:bottom w:val="none" w:sz="0" w:space="0" w:color="auto"/>
                                <w:right w:val="none" w:sz="0" w:space="0" w:color="auto"/>
                              </w:divBdr>
                              <w:divsChild>
                                <w:div w:id="258803506">
                                  <w:marLeft w:val="0"/>
                                  <w:marRight w:val="0"/>
                                  <w:marTop w:val="0"/>
                                  <w:marBottom w:val="0"/>
                                  <w:divBdr>
                                    <w:top w:val="none" w:sz="0" w:space="0" w:color="auto"/>
                                    <w:left w:val="none" w:sz="0" w:space="0" w:color="auto"/>
                                    <w:bottom w:val="none" w:sz="0" w:space="0" w:color="auto"/>
                                    <w:right w:val="none" w:sz="0" w:space="0" w:color="auto"/>
                                  </w:divBdr>
                                  <w:divsChild>
                                    <w:div w:id="16202902">
                                      <w:marLeft w:val="0"/>
                                      <w:marRight w:val="0"/>
                                      <w:marTop w:val="0"/>
                                      <w:marBottom w:val="0"/>
                                      <w:divBdr>
                                        <w:top w:val="none" w:sz="0" w:space="0" w:color="auto"/>
                                        <w:left w:val="none" w:sz="0" w:space="0" w:color="auto"/>
                                        <w:bottom w:val="none" w:sz="0" w:space="0" w:color="auto"/>
                                        <w:right w:val="none" w:sz="0" w:space="0" w:color="auto"/>
                                      </w:divBdr>
                                      <w:divsChild>
                                        <w:div w:id="1717270453">
                                          <w:marLeft w:val="0"/>
                                          <w:marRight w:val="0"/>
                                          <w:marTop w:val="0"/>
                                          <w:marBottom w:val="0"/>
                                          <w:divBdr>
                                            <w:top w:val="none" w:sz="0" w:space="0" w:color="auto"/>
                                            <w:left w:val="none" w:sz="0" w:space="0" w:color="auto"/>
                                            <w:bottom w:val="none" w:sz="0" w:space="0" w:color="auto"/>
                                            <w:right w:val="none" w:sz="0" w:space="0" w:color="auto"/>
                                          </w:divBdr>
                                          <w:divsChild>
                                            <w:div w:id="1134954656">
                                              <w:marLeft w:val="0"/>
                                              <w:marRight w:val="0"/>
                                              <w:marTop w:val="0"/>
                                              <w:marBottom w:val="0"/>
                                              <w:divBdr>
                                                <w:top w:val="none" w:sz="0" w:space="0" w:color="auto"/>
                                                <w:left w:val="none" w:sz="0" w:space="0" w:color="auto"/>
                                                <w:bottom w:val="none" w:sz="0" w:space="0" w:color="auto"/>
                                                <w:right w:val="none" w:sz="0" w:space="0" w:color="auto"/>
                                              </w:divBdr>
                                              <w:divsChild>
                                                <w:div w:id="11849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289679">
              <w:marLeft w:val="0"/>
              <w:marRight w:val="0"/>
              <w:marTop w:val="0"/>
              <w:marBottom w:val="0"/>
              <w:divBdr>
                <w:top w:val="none" w:sz="0" w:space="0" w:color="auto"/>
                <w:left w:val="none" w:sz="0" w:space="0" w:color="auto"/>
                <w:bottom w:val="none" w:sz="0" w:space="0" w:color="auto"/>
                <w:right w:val="none" w:sz="0" w:space="0" w:color="auto"/>
              </w:divBdr>
              <w:divsChild>
                <w:div w:id="746997748">
                  <w:marLeft w:val="0"/>
                  <w:marRight w:val="0"/>
                  <w:marTop w:val="0"/>
                  <w:marBottom w:val="0"/>
                  <w:divBdr>
                    <w:top w:val="none" w:sz="0" w:space="0" w:color="auto"/>
                    <w:left w:val="none" w:sz="0" w:space="0" w:color="auto"/>
                    <w:bottom w:val="none" w:sz="0" w:space="0" w:color="auto"/>
                    <w:right w:val="none" w:sz="0" w:space="0" w:color="auto"/>
                  </w:divBdr>
                  <w:divsChild>
                    <w:div w:id="1920208221">
                      <w:marLeft w:val="0"/>
                      <w:marRight w:val="0"/>
                      <w:marTop w:val="0"/>
                      <w:marBottom w:val="0"/>
                      <w:divBdr>
                        <w:top w:val="none" w:sz="0" w:space="0" w:color="auto"/>
                        <w:left w:val="none" w:sz="0" w:space="0" w:color="auto"/>
                        <w:bottom w:val="none" w:sz="0" w:space="0" w:color="auto"/>
                        <w:right w:val="none" w:sz="0" w:space="0" w:color="auto"/>
                      </w:divBdr>
                      <w:divsChild>
                        <w:div w:id="9229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664646">
                  <w:marLeft w:val="0"/>
                  <w:marRight w:val="0"/>
                  <w:marTop w:val="0"/>
                  <w:marBottom w:val="0"/>
                  <w:divBdr>
                    <w:top w:val="none" w:sz="0" w:space="0" w:color="auto"/>
                    <w:left w:val="none" w:sz="0" w:space="0" w:color="auto"/>
                    <w:bottom w:val="none" w:sz="0" w:space="0" w:color="auto"/>
                    <w:right w:val="none" w:sz="0" w:space="0" w:color="auto"/>
                  </w:divBdr>
                  <w:divsChild>
                    <w:div w:id="259919354">
                      <w:marLeft w:val="0"/>
                      <w:marRight w:val="0"/>
                      <w:marTop w:val="0"/>
                      <w:marBottom w:val="0"/>
                      <w:divBdr>
                        <w:top w:val="none" w:sz="0" w:space="0" w:color="auto"/>
                        <w:left w:val="none" w:sz="0" w:space="0" w:color="auto"/>
                        <w:bottom w:val="none" w:sz="0" w:space="0" w:color="auto"/>
                        <w:right w:val="none" w:sz="0" w:space="0" w:color="auto"/>
                      </w:divBdr>
                      <w:divsChild>
                        <w:div w:id="1694575065">
                          <w:marLeft w:val="0"/>
                          <w:marRight w:val="0"/>
                          <w:marTop w:val="0"/>
                          <w:marBottom w:val="0"/>
                          <w:divBdr>
                            <w:top w:val="none" w:sz="0" w:space="0" w:color="auto"/>
                            <w:left w:val="none" w:sz="0" w:space="0" w:color="auto"/>
                            <w:bottom w:val="none" w:sz="0" w:space="0" w:color="auto"/>
                            <w:right w:val="none" w:sz="0" w:space="0" w:color="auto"/>
                          </w:divBdr>
                          <w:divsChild>
                            <w:div w:id="855727503">
                              <w:marLeft w:val="0"/>
                              <w:marRight w:val="0"/>
                              <w:marTop w:val="0"/>
                              <w:marBottom w:val="0"/>
                              <w:divBdr>
                                <w:top w:val="none" w:sz="0" w:space="0" w:color="auto"/>
                                <w:left w:val="none" w:sz="0" w:space="0" w:color="auto"/>
                                <w:bottom w:val="none" w:sz="0" w:space="0" w:color="auto"/>
                                <w:right w:val="none" w:sz="0" w:space="0" w:color="auto"/>
                              </w:divBdr>
                              <w:divsChild>
                                <w:div w:id="1756199619">
                                  <w:marLeft w:val="0"/>
                                  <w:marRight w:val="0"/>
                                  <w:marTop w:val="0"/>
                                  <w:marBottom w:val="0"/>
                                  <w:divBdr>
                                    <w:top w:val="none" w:sz="0" w:space="0" w:color="auto"/>
                                    <w:left w:val="none" w:sz="0" w:space="0" w:color="auto"/>
                                    <w:bottom w:val="none" w:sz="0" w:space="0" w:color="auto"/>
                                    <w:right w:val="none" w:sz="0" w:space="0" w:color="auto"/>
                                  </w:divBdr>
                                  <w:divsChild>
                                    <w:div w:id="516702593">
                                      <w:marLeft w:val="0"/>
                                      <w:marRight w:val="0"/>
                                      <w:marTop w:val="0"/>
                                      <w:marBottom w:val="0"/>
                                      <w:divBdr>
                                        <w:top w:val="none" w:sz="0" w:space="0" w:color="auto"/>
                                        <w:left w:val="none" w:sz="0" w:space="0" w:color="auto"/>
                                        <w:bottom w:val="none" w:sz="0" w:space="0" w:color="auto"/>
                                        <w:right w:val="none" w:sz="0" w:space="0" w:color="auto"/>
                                      </w:divBdr>
                                      <w:divsChild>
                                        <w:div w:id="1263881262">
                                          <w:marLeft w:val="0"/>
                                          <w:marRight w:val="0"/>
                                          <w:marTop w:val="0"/>
                                          <w:marBottom w:val="0"/>
                                          <w:divBdr>
                                            <w:top w:val="none" w:sz="0" w:space="0" w:color="auto"/>
                                            <w:left w:val="none" w:sz="0" w:space="0" w:color="auto"/>
                                            <w:bottom w:val="none" w:sz="0" w:space="0" w:color="auto"/>
                                            <w:right w:val="none" w:sz="0" w:space="0" w:color="auto"/>
                                          </w:divBdr>
                                          <w:divsChild>
                                            <w:div w:id="1995336640">
                                              <w:marLeft w:val="0"/>
                                              <w:marRight w:val="0"/>
                                              <w:marTop w:val="0"/>
                                              <w:marBottom w:val="0"/>
                                              <w:divBdr>
                                                <w:top w:val="none" w:sz="0" w:space="0" w:color="auto"/>
                                                <w:left w:val="none" w:sz="0" w:space="0" w:color="auto"/>
                                                <w:bottom w:val="none" w:sz="0" w:space="0" w:color="auto"/>
                                                <w:right w:val="none" w:sz="0" w:space="0" w:color="auto"/>
                                              </w:divBdr>
                                              <w:divsChild>
                                                <w:div w:id="204474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03227">
                                      <w:marLeft w:val="0"/>
                                      <w:marRight w:val="0"/>
                                      <w:marTop w:val="0"/>
                                      <w:marBottom w:val="0"/>
                                      <w:divBdr>
                                        <w:top w:val="none" w:sz="0" w:space="0" w:color="auto"/>
                                        <w:left w:val="none" w:sz="0" w:space="0" w:color="auto"/>
                                        <w:bottom w:val="none" w:sz="0" w:space="0" w:color="auto"/>
                                        <w:right w:val="none" w:sz="0" w:space="0" w:color="auto"/>
                                      </w:divBdr>
                                    </w:div>
                                    <w:div w:id="9399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123651">
              <w:marLeft w:val="0"/>
              <w:marRight w:val="0"/>
              <w:marTop w:val="0"/>
              <w:marBottom w:val="0"/>
              <w:divBdr>
                <w:top w:val="none" w:sz="0" w:space="0" w:color="auto"/>
                <w:left w:val="none" w:sz="0" w:space="0" w:color="auto"/>
                <w:bottom w:val="none" w:sz="0" w:space="0" w:color="auto"/>
                <w:right w:val="none" w:sz="0" w:space="0" w:color="auto"/>
              </w:divBdr>
              <w:divsChild>
                <w:div w:id="784034636">
                  <w:marLeft w:val="0"/>
                  <w:marRight w:val="0"/>
                  <w:marTop w:val="0"/>
                  <w:marBottom w:val="0"/>
                  <w:divBdr>
                    <w:top w:val="none" w:sz="0" w:space="0" w:color="auto"/>
                    <w:left w:val="none" w:sz="0" w:space="0" w:color="auto"/>
                    <w:bottom w:val="none" w:sz="0" w:space="0" w:color="auto"/>
                    <w:right w:val="none" w:sz="0" w:space="0" w:color="auto"/>
                  </w:divBdr>
                  <w:divsChild>
                    <w:div w:id="1833108405">
                      <w:marLeft w:val="0"/>
                      <w:marRight w:val="0"/>
                      <w:marTop w:val="0"/>
                      <w:marBottom w:val="0"/>
                      <w:divBdr>
                        <w:top w:val="none" w:sz="0" w:space="0" w:color="auto"/>
                        <w:left w:val="none" w:sz="0" w:space="0" w:color="auto"/>
                        <w:bottom w:val="none" w:sz="0" w:space="0" w:color="auto"/>
                        <w:right w:val="none" w:sz="0" w:space="0" w:color="auto"/>
                      </w:divBdr>
                      <w:divsChild>
                        <w:div w:id="19671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36744">
                  <w:marLeft w:val="0"/>
                  <w:marRight w:val="0"/>
                  <w:marTop w:val="0"/>
                  <w:marBottom w:val="0"/>
                  <w:divBdr>
                    <w:top w:val="none" w:sz="0" w:space="0" w:color="auto"/>
                    <w:left w:val="none" w:sz="0" w:space="0" w:color="auto"/>
                    <w:bottom w:val="none" w:sz="0" w:space="0" w:color="auto"/>
                    <w:right w:val="none" w:sz="0" w:space="0" w:color="auto"/>
                  </w:divBdr>
                  <w:divsChild>
                    <w:div w:id="602148575">
                      <w:marLeft w:val="0"/>
                      <w:marRight w:val="0"/>
                      <w:marTop w:val="0"/>
                      <w:marBottom w:val="0"/>
                      <w:divBdr>
                        <w:top w:val="none" w:sz="0" w:space="0" w:color="auto"/>
                        <w:left w:val="none" w:sz="0" w:space="0" w:color="auto"/>
                        <w:bottom w:val="none" w:sz="0" w:space="0" w:color="auto"/>
                        <w:right w:val="none" w:sz="0" w:space="0" w:color="auto"/>
                      </w:divBdr>
                      <w:divsChild>
                        <w:div w:id="1076779135">
                          <w:marLeft w:val="0"/>
                          <w:marRight w:val="0"/>
                          <w:marTop w:val="0"/>
                          <w:marBottom w:val="0"/>
                          <w:divBdr>
                            <w:top w:val="none" w:sz="0" w:space="0" w:color="auto"/>
                            <w:left w:val="none" w:sz="0" w:space="0" w:color="auto"/>
                            <w:bottom w:val="none" w:sz="0" w:space="0" w:color="auto"/>
                            <w:right w:val="none" w:sz="0" w:space="0" w:color="auto"/>
                          </w:divBdr>
                          <w:divsChild>
                            <w:div w:id="1560745313">
                              <w:marLeft w:val="0"/>
                              <w:marRight w:val="0"/>
                              <w:marTop w:val="0"/>
                              <w:marBottom w:val="0"/>
                              <w:divBdr>
                                <w:top w:val="none" w:sz="0" w:space="0" w:color="auto"/>
                                <w:left w:val="none" w:sz="0" w:space="0" w:color="auto"/>
                                <w:bottom w:val="none" w:sz="0" w:space="0" w:color="auto"/>
                                <w:right w:val="none" w:sz="0" w:space="0" w:color="auto"/>
                              </w:divBdr>
                              <w:divsChild>
                                <w:div w:id="1173256640">
                                  <w:marLeft w:val="0"/>
                                  <w:marRight w:val="0"/>
                                  <w:marTop w:val="0"/>
                                  <w:marBottom w:val="0"/>
                                  <w:divBdr>
                                    <w:top w:val="none" w:sz="0" w:space="0" w:color="auto"/>
                                    <w:left w:val="none" w:sz="0" w:space="0" w:color="auto"/>
                                    <w:bottom w:val="none" w:sz="0" w:space="0" w:color="auto"/>
                                    <w:right w:val="none" w:sz="0" w:space="0" w:color="auto"/>
                                  </w:divBdr>
                                  <w:divsChild>
                                    <w:div w:id="1902136251">
                                      <w:marLeft w:val="0"/>
                                      <w:marRight w:val="0"/>
                                      <w:marTop w:val="0"/>
                                      <w:marBottom w:val="0"/>
                                      <w:divBdr>
                                        <w:top w:val="none" w:sz="0" w:space="0" w:color="auto"/>
                                        <w:left w:val="none" w:sz="0" w:space="0" w:color="auto"/>
                                        <w:bottom w:val="none" w:sz="0" w:space="0" w:color="auto"/>
                                        <w:right w:val="none" w:sz="0" w:space="0" w:color="auto"/>
                                      </w:divBdr>
                                      <w:divsChild>
                                        <w:div w:id="1344429549">
                                          <w:marLeft w:val="0"/>
                                          <w:marRight w:val="0"/>
                                          <w:marTop w:val="0"/>
                                          <w:marBottom w:val="0"/>
                                          <w:divBdr>
                                            <w:top w:val="none" w:sz="0" w:space="0" w:color="auto"/>
                                            <w:left w:val="none" w:sz="0" w:space="0" w:color="auto"/>
                                            <w:bottom w:val="none" w:sz="0" w:space="0" w:color="auto"/>
                                            <w:right w:val="none" w:sz="0" w:space="0" w:color="auto"/>
                                          </w:divBdr>
                                          <w:divsChild>
                                            <w:div w:id="502942040">
                                              <w:marLeft w:val="0"/>
                                              <w:marRight w:val="0"/>
                                              <w:marTop w:val="0"/>
                                              <w:marBottom w:val="0"/>
                                              <w:divBdr>
                                                <w:top w:val="none" w:sz="0" w:space="0" w:color="auto"/>
                                                <w:left w:val="none" w:sz="0" w:space="0" w:color="auto"/>
                                                <w:bottom w:val="none" w:sz="0" w:space="0" w:color="auto"/>
                                                <w:right w:val="none" w:sz="0" w:space="0" w:color="auto"/>
                                              </w:divBdr>
                                              <w:divsChild>
                                                <w:div w:id="183575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54063">
                                      <w:marLeft w:val="0"/>
                                      <w:marRight w:val="0"/>
                                      <w:marTop w:val="0"/>
                                      <w:marBottom w:val="0"/>
                                      <w:divBdr>
                                        <w:top w:val="none" w:sz="0" w:space="0" w:color="auto"/>
                                        <w:left w:val="none" w:sz="0" w:space="0" w:color="auto"/>
                                        <w:bottom w:val="none" w:sz="0" w:space="0" w:color="auto"/>
                                        <w:right w:val="none" w:sz="0" w:space="0" w:color="auto"/>
                                      </w:divBdr>
                                    </w:div>
                                    <w:div w:id="179274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176663">
              <w:marLeft w:val="0"/>
              <w:marRight w:val="0"/>
              <w:marTop w:val="0"/>
              <w:marBottom w:val="0"/>
              <w:divBdr>
                <w:top w:val="none" w:sz="0" w:space="0" w:color="auto"/>
                <w:left w:val="none" w:sz="0" w:space="0" w:color="auto"/>
                <w:bottom w:val="none" w:sz="0" w:space="0" w:color="auto"/>
                <w:right w:val="none" w:sz="0" w:space="0" w:color="auto"/>
              </w:divBdr>
              <w:divsChild>
                <w:div w:id="1437481220">
                  <w:marLeft w:val="0"/>
                  <w:marRight w:val="0"/>
                  <w:marTop w:val="0"/>
                  <w:marBottom w:val="0"/>
                  <w:divBdr>
                    <w:top w:val="none" w:sz="0" w:space="0" w:color="auto"/>
                    <w:left w:val="none" w:sz="0" w:space="0" w:color="auto"/>
                    <w:bottom w:val="none" w:sz="0" w:space="0" w:color="auto"/>
                    <w:right w:val="none" w:sz="0" w:space="0" w:color="auto"/>
                  </w:divBdr>
                  <w:divsChild>
                    <w:div w:id="1498954705">
                      <w:marLeft w:val="0"/>
                      <w:marRight w:val="0"/>
                      <w:marTop w:val="0"/>
                      <w:marBottom w:val="0"/>
                      <w:divBdr>
                        <w:top w:val="none" w:sz="0" w:space="0" w:color="auto"/>
                        <w:left w:val="none" w:sz="0" w:space="0" w:color="auto"/>
                        <w:bottom w:val="none" w:sz="0" w:space="0" w:color="auto"/>
                        <w:right w:val="none" w:sz="0" w:space="0" w:color="auto"/>
                      </w:divBdr>
                      <w:divsChild>
                        <w:div w:id="13232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3105">
                  <w:marLeft w:val="0"/>
                  <w:marRight w:val="0"/>
                  <w:marTop w:val="0"/>
                  <w:marBottom w:val="0"/>
                  <w:divBdr>
                    <w:top w:val="none" w:sz="0" w:space="0" w:color="auto"/>
                    <w:left w:val="none" w:sz="0" w:space="0" w:color="auto"/>
                    <w:bottom w:val="none" w:sz="0" w:space="0" w:color="auto"/>
                    <w:right w:val="none" w:sz="0" w:space="0" w:color="auto"/>
                  </w:divBdr>
                  <w:divsChild>
                    <w:div w:id="1084883441">
                      <w:marLeft w:val="0"/>
                      <w:marRight w:val="0"/>
                      <w:marTop w:val="0"/>
                      <w:marBottom w:val="0"/>
                      <w:divBdr>
                        <w:top w:val="none" w:sz="0" w:space="0" w:color="auto"/>
                        <w:left w:val="none" w:sz="0" w:space="0" w:color="auto"/>
                        <w:bottom w:val="none" w:sz="0" w:space="0" w:color="auto"/>
                        <w:right w:val="none" w:sz="0" w:space="0" w:color="auto"/>
                      </w:divBdr>
                      <w:divsChild>
                        <w:div w:id="167985655">
                          <w:marLeft w:val="0"/>
                          <w:marRight w:val="0"/>
                          <w:marTop w:val="0"/>
                          <w:marBottom w:val="0"/>
                          <w:divBdr>
                            <w:top w:val="none" w:sz="0" w:space="0" w:color="auto"/>
                            <w:left w:val="none" w:sz="0" w:space="0" w:color="auto"/>
                            <w:bottom w:val="none" w:sz="0" w:space="0" w:color="auto"/>
                            <w:right w:val="none" w:sz="0" w:space="0" w:color="auto"/>
                          </w:divBdr>
                          <w:divsChild>
                            <w:div w:id="1365474006">
                              <w:marLeft w:val="0"/>
                              <w:marRight w:val="0"/>
                              <w:marTop w:val="0"/>
                              <w:marBottom w:val="0"/>
                              <w:divBdr>
                                <w:top w:val="none" w:sz="0" w:space="0" w:color="auto"/>
                                <w:left w:val="none" w:sz="0" w:space="0" w:color="auto"/>
                                <w:bottom w:val="none" w:sz="0" w:space="0" w:color="auto"/>
                                <w:right w:val="none" w:sz="0" w:space="0" w:color="auto"/>
                              </w:divBdr>
                              <w:divsChild>
                                <w:div w:id="1305819612">
                                  <w:marLeft w:val="0"/>
                                  <w:marRight w:val="0"/>
                                  <w:marTop w:val="0"/>
                                  <w:marBottom w:val="0"/>
                                  <w:divBdr>
                                    <w:top w:val="none" w:sz="0" w:space="0" w:color="auto"/>
                                    <w:left w:val="none" w:sz="0" w:space="0" w:color="auto"/>
                                    <w:bottom w:val="none" w:sz="0" w:space="0" w:color="auto"/>
                                    <w:right w:val="none" w:sz="0" w:space="0" w:color="auto"/>
                                  </w:divBdr>
                                  <w:divsChild>
                                    <w:div w:id="2097052767">
                                      <w:marLeft w:val="0"/>
                                      <w:marRight w:val="0"/>
                                      <w:marTop w:val="0"/>
                                      <w:marBottom w:val="0"/>
                                      <w:divBdr>
                                        <w:top w:val="none" w:sz="0" w:space="0" w:color="auto"/>
                                        <w:left w:val="none" w:sz="0" w:space="0" w:color="auto"/>
                                        <w:bottom w:val="none" w:sz="0" w:space="0" w:color="auto"/>
                                        <w:right w:val="none" w:sz="0" w:space="0" w:color="auto"/>
                                      </w:divBdr>
                                      <w:divsChild>
                                        <w:div w:id="421144192">
                                          <w:marLeft w:val="0"/>
                                          <w:marRight w:val="0"/>
                                          <w:marTop w:val="0"/>
                                          <w:marBottom w:val="0"/>
                                          <w:divBdr>
                                            <w:top w:val="none" w:sz="0" w:space="0" w:color="auto"/>
                                            <w:left w:val="none" w:sz="0" w:space="0" w:color="auto"/>
                                            <w:bottom w:val="none" w:sz="0" w:space="0" w:color="auto"/>
                                            <w:right w:val="none" w:sz="0" w:space="0" w:color="auto"/>
                                          </w:divBdr>
                                          <w:divsChild>
                                            <w:div w:id="811873925">
                                              <w:marLeft w:val="0"/>
                                              <w:marRight w:val="0"/>
                                              <w:marTop w:val="0"/>
                                              <w:marBottom w:val="0"/>
                                              <w:divBdr>
                                                <w:top w:val="none" w:sz="0" w:space="0" w:color="auto"/>
                                                <w:left w:val="none" w:sz="0" w:space="0" w:color="auto"/>
                                                <w:bottom w:val="none" w:sz="0" w:space="0" w:color="auto"/>
                                                <w:right w:val="none" w:sz="0" w:space="0" w:color="auto"/>
                                              </w:divBdr>
                                              <w:divsChild>
                                                <w:div w:id="14732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09208">
          <w:marLeft w:val="0"/>
          <w:marRight w:val="0"/>
          <w:marTop w:val="0"/>
          <w:marBottom w:val="0"/>
          <w:divBdr>
            <w:top w:val="none" w:sz="0" w:space="0" w:color="auto"/>
            <w:left w:val="none" w:sz="0" w:space="0" w:color="auto"/>
            <w:bottom w:val="none" w:sz="0" w:space="0" w:color="auto"/>
            <w:right w:val="none" w:sz="0" w:space="0" w:color="auto"/>
          </w:divBdr>
        </w:div>
        <w:div w:id="1985576817">
          <w:marLeft w:val="0"/>
          <w:marRight w:val="0"/>
          <w:marTop w:val="0"/>
          <w:marBottom w:val="0"/>
          <w:divBdr>
            <w:top w:val="none" w:sz="0" w:space="0" w:color="auto"/>
            <w:left w:val="none" w:sz="0" w:space="0" w:color="auto"/>
            <w:bottom w:val="none" w:sz="0" w:space="0" w:color="auto"/>
            <w:right w:val="none" w:sz="0" w:space="0" w:color="auto"/>
          </w:divBdr>
        </w:div>
        <w:div w:id="1526862650">
          <w:marLeft w:val="0"/>
          <w:marRight w:val="0"/>
          <w:marTop w:val="0"/>
          <w:marBottom w:val="0"/>
          <w:divBdr>
            <w:top w:val="none" w:sz="0" w:space="0" w:color="auto"/>
            <w:left w:val="none" w:sz="0" w:space="0" w:color="auto"/>
            <w:bottom w:val="none" w:sz="0" w:space="0" w:color="auto"/>
            <w:right w:val="none" w:sz="0" w:space="0" w:color="auto"/>
          </w:divBdr>
          <w:divsChild>
            <w:div w:id="1924097477">
              <w:marLeft w:val="0"/>
              <w:marRight w:val="0"/>
              <w:marTop w:val="0"/>
              <w:marBottom w:val="0"/>
              <w:divBdr>
                <w:top w:val="none" w:sz="0" w:space="0" w:color="auto"/>
                <w:left w:val="none" w:sz="0" w:space="0" w:color="auto"/>
                <w:bottom w:val="none" w:sz="0" w:space="0" w:color="auto"/>
                <w:right w:val="none" w:sz="0" w:space="0" w:color="auto"/>
              </w:divBdr>
              <w:divsChild>
                <w:div w:id="1114594710">
                  <w:marLeft w:val="0"/>
                  <w:marRight w:val="0"/>
                  <w:marTop w:val="0"/>
                  <w:marBottom w:val="0"/>
                  <w:divBdr>
                    <w:top w:val="none" w:sz="0" w:space="0" w:color="auto"/>
                    <w:left w:val="none" w:sz="0" w:space="0" w:color="auto"/>
                    <w:bottom w:val="none" w:sz="0" w:space="0" w:color="auto"/>
                    <w:right w:val="none" w:sz="0" w:space="0" w:color="auto"/>
                  </w:divBdr>
                  <w:divsChild>
                    <w:div w:id="287014008">
                      <w:marLeft w:val="0"/>
                      <w:marRight w:val="0"/>
                      <w:marTop w:val="0"/>
                      <w:marBottom w:val="0"/>
                      <w:divBdr>
                        <w:top w:val="none" w:sz="0" w:space="0" w:color="auto"/>
                        <w:left w:val="none" w:sz="0" w:space="0" w:color="auto"/>
                        <w:bottom w:val="none" w:sz="0" w:space="0" w:color="auto"/>
                        <w:right w:val="none" w:sz="0" w:space="0" w:color="auto"/>
                      </w:divBdr>
                      <w:divsChild>
                        <w:div w:id="863975929">
                          <w:marLeft w:val="0"/>
                          <w:marRight w:val="0"/>
                          <w:marTop w:val="0"/>
                          <w:marBottom w:val="0"/>
                          <w:divBdr>
                            <w:top w:val="none" w:sz="0" w:space="0" w:color="auto"/>
                            <w:left w:val="none" w:sz="0" w:space="0" w:color="auto"/>
                            <w:bottom w:val="none" w:sz="0" w:space="0" w:color="auto"/>
                            <w:right w:val="none" w:sz="0" w:space="0" w:color="auto"/>
                          </w:divBdr>
                          <w:divsChild>
                            <w:div w:id="289672384">
                              <w:marLeft w:val="0"/>
                              <w:marRight w:val="0"/>
                              <w:marTop w:val="0"/>
                              <w:marBottom w:val="0"/>
                              <w:divBdr>
                                <w:top w:val="none" w:sz="0" w:space="0" w:color="auto"/>
                                <w:left w:val="none" w:sz="0" w:space="0" w:color="auto"/>
                                <w:bottom w:val="none" w:sz="0" w:space="0" w:color="auto"/>
                                <w:right w:val="none" w:sz="0" w:space="0" w:color="auto"/>
                              </w:divBdr>
                              <w:divsChild>
                                <w:div w:id="8477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6932">
                      <w:marLeft w:val="0"/>
                      <w:marRight w:val="0"/>
                      <w:marTop w:val="0"/>
                      <w:marBottom w:val="0"/>
                      <w:divBdr>
                        <w:top w:val="none" w:sz="0" w:space="0" w:color="auto"/>
                        <w:left w:val="none" w:sz="0" w:space="0" w:color="auto"/>
                        <w:bottom w:val="none" w:sz="0" w:space="0" w:color="auto"/>
                        <w:right w:val="none" w:sz="0" w:space="0" w:color="auto"/>
                      </w:divBdr>
                      <w:divsChild>
                        <w:div w:id="1360659944">
                          <w:marLeft w:val="0"/>
                          <w:marRight w:val="0"/>
                          <w:marTop w:val="0"/>
                          <w:marBottom w:val="0"/>
                          <w:divBdr>
                            <w:top w:val="none" w:sz="0" w:space="0" w:color="auto"/>
                            <w:left w:val="none" w:sz="0" w:space="0" w:color="auto"/>
                            <w:bottom w:val="none" w:sz="0" w:space="0" w:color="auto"/>
                            <w:right w:val="none" w:sz="0" w:space="0" w:color="auto"/>
                          </w:divBdr>
                          <w:divsChild>
                            <w:div w:id="909652458">
                              <w:marLeft w:val="0"/>
                              <w:marRight w:val="0"/>
                              <w:marTop w:val="0"/>
                              <w:marBottom w:val="0"/>
                              <w:divBdr>
                                <w:top w:val="none" w:sz="0" w:space="0" w:color="auto"/>
                                <w:left w:val="none" w:sz="0" w:space="0" w:color="auto"/>
                                <w:bottom w:val="none" w:sz="0" w:space="0" w:color="auto"/>
                                <w:right w:val="none" w:sz="0" w:space="0" w:color="auto"/>
                              </w:divBdr>
                            </w:div>
                            <w:div w:id="17749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904787">
          <w:marLeft w:val="0"/>
          <w:marRight w:val="0"/>
          <w:marTop w:val="0"/>
          <w:marBottom w:val="0"/>
          <w:divBdr>
            <w:top w:val="none" w:sz="0" w:space="0" w:color="auto"/>
            <w:left w:val="none" w:sz="0" w:space="0" w:color="auto"/>
            <w:bottom w:val="none" w:sz="0" w:space="0" w:color="auto"/>
            <w:right w:val="none" w:sz="0" w:space="0" w:color="auto"/>
          </w:divBdr>
        </w:div>
      </w:divsChild>
    </w:div>
    <w:div w:id="1637836537">
      <w:bodyDiv w:val="1"/>
      <w:marLeft w:val="0"/>
      <w:marRight w:val="0"/>
      <w:marTop w:val="0"/>
      <w:marBottom w:val="0"/>
      <w:divBdr>
        <w:top w:val="none" w:sz="0" w:space="0" w:color="auto"/>
        <w:left w:val="none" w:sz="0" w:space="0" w:color="auto"/>
        <w:bottom w:val="none" w:sz="0" w:space="0" w:color="auto"/>
        <w:right w:val="none" w:sz="0" w:space="0" w:color="auto"/>
      </w:divBdr>
    </w:div>
    <w:div w:id="1673490040">
      <w:bodyDiv w:val="1"/>
      <w:marLeft w:val="0"/>
      <w:marRight w:val="0"/>
      <w:marTop w:val="0"/>
      <w:marBottom w:val="0"/>
      <w:divBdr>
        <w:top w:val="none" w:sz="0" w:space="0" w:color="auto"/>
        <w:left w:val="none" w:sz="0" w:space="0" w:color="auto"/>
        <w:bottom w:val="none" w:sz="0" w:space="0" w:color="auto"/>
        <w:right w:val="none" w:sz="0" w:space="0" w:color="auto"/>
      </w:divBdr>
    </w:div>
    <w:div w:id="1786539321">
      <w:bodyDiv w:val="1"/>
      <w:marLeft w:val="0"/>
      <w:marRight w:val="0"/>
      <w:marTop w:val="0"/>
      <w:marBottom w:val="0"/>
      <w:divBdr>
        <w:top w:val="none" w:sz="0" w:space="0" w:color="auto"/>
        <w:left w:val="none" w:sz="0" w:space="0" w:color="auto"/>
        <w:bottom w:val="none" w:sz="0" w:space="0" w:color="auto"/>
        <w:right w:val="none" w:sz="0" w:space="0" w:color="auto"/>
      </w:divBdr>
    </w:div>
    <w:div w:id="1795709047">
      <w:bodyDiv w:val="1"/>
      <w:marLeft w:val="0"/>
      <w:marRight w:val="0"/>
      <w:marTop w:val="0"/>
      <w:marBottom w:val="0"/>
      <w:divBdr>
        <w:top w:val="none" w:sz="0" w:space="0" w:color="auto"/>
        <w:left w:val="none" w:sz="0" w:space="0" w:color="auto"/>
        <w:bottom w:val="none" w:sz="0" w:space="0" w:color="auto"/>
        <w:right w:val="none" w:sz="0" w:space="0" w:color="auto"/>
      </w:divBdr>
      <w:divsChild>
        <w:div w:id="543106568">
          <w:marLeft w:val="0"/>
          <w:marRight w:val="0"/>
          <w:marTop w:val="0"/>
          <w:marBottom w:val="0"/>
          <w:divBdr>
            <w:top w:val="none" w:sz="0" w:space="0" w:color="auto"/>
            <w:left w:val="none" w:sz="0" w:space="0" w:color="auto"/>
            <w:bottom w:val="none" w:sz="0" w:space="0" w:color="auto"/>
            <w:right w:val="none" w:sz="0" w:space="0" w:color="auto"/>
          </w:divBdr>
          <w:divsChild>
            <w:div w:id="1148668597">
              <w:marLeft w:val="0"/>
              <w:marRight w:val="0"/>
              <w:marTop w:val="0"/>
              <w:marBottom w:val="0"/>
              <w:divBdr>
                <w:top w:val="none" w:sz="0" w:space="0" w:color="auto"/>
                <w:left w:val="none" w:sz="0" w:space="0" w:color="auto"/>
                <w:bottom w:val="none" w:sz="0" w:space="0" w:color="auto"/>
                <w:right w:val="none" w:sz="0" w:space="0" w:color="auto"/>
              </w:divBdr>
              <w:divsChild>
                <w:div w:id="316761073">
                  <w:marLeft w:val="0"/>
                  <w:marRight w:val="0"/>
                  <w:marTop w:val="0"/>
                  <w:marBottom w:val="0"/>
                  <w:divBdr>
                    <w:top w:val="none" w:sz="0" w:space="0" w:color="auto"/>
                    <w:left w:val="none" w:sz="0" w:space="0" w:color="auto"/>
                    <w:bottom w:val="none" w:sz="0" w:space="0" w:color="auto"/>
                    <w:right w:val="none" w:sz="0" w:space="0" w:color="auto"/>
                  </w:divBdr>
                  <w:divsChild>
                    <w:div w:id="1085302018">
                      <w:marLeft w:val="0"/>
                      <w:marRight w:val="0"/>
                      <w:marTop w:val="0"/>
                      <w:marBottom w:val="0"/>
                      <w:divBdr>
                        <w:top w:val="none" w:sz="0" w:space="0" w:color="auto"/>
                        <w:left w:val="none" w:sz="0" w:space="0" w:color="auto"/>
                        <w:bottom w:val="none" w:sz="0" w:space="0" w:color="auto"/>
                        <w:right w:val="none" w:sz="0" w:space="0" w:color="auto"/>
                      </w:divBdr>
                      <w:divsChild>
                        <w:div w:id="286589650">
                          <w:marLeft w:val="0"/>
                          <w:marRight w:val="0"/>
                          <w:marTop w:val="0"/>
                          <w:marBottom w:val="0"/>
                          <w:divBdr>
                            <w:top w:val="none" w:sz="0" w:space="0" w:color="auto"/>
                            <w:left w:val="none" w:sz="0" w:space="0" w:color="auto"/>
                            <w:bottom w:val="none" w:sz="0" w:space="0" w:color="auto"/>
                            <w:right w:val="none" w:sz="0" w:space="0" w:color="auto"/>
                          </w:divBdr>
                          <w:divsChild>
                            <w:div w:id="1333483880">
                              <w:marLeft w:val="0"/>
                              <w:marRight w:val="0"/>
                              <w:marTop w:val="0"/>
                              <w:marBottom w:val="0"/>
                              <w:divBdr>
                                <w:top w:val="none" w:sz="0" w:space="0" w:color="auto"/>
                                <w:left w:val="none" w:sz="0" w:space="0" w:color="auto"/>
                                <w:bottom w:val="none" w:sz="0" w:space="0" w:color="auto"/>
                                <w:right w:val="none" w:sz="0" w:space="0" w:color="auto"/>
                              </w:divBdr>
                              <w:divsChild>
                                <w:div w:id="1470200219">
                                  <w:marLeft w:val="0"/>
                                  <w:marRight w:val="0"/>
                                  <w:marTop w:val="0"/>
                                  <w:marBottom w:val="0"/>
                                  <w:divBdr>
                                    <w:top w:val="none" w:sz="0" w:space="0" w:color="auto"/>
                                    <w:left w:val="none" w:sz="0" w:space="0" w:color="auto"/>
                                    <w:bottom w:val="none" w:sz="0" w:space="0" w:color="auto"/>
                                    <w:right w:val="none" w:sz="0" w:space="0" w:color="auto"/>
                                  </w:divBdr>
                                  <w:divsChild>
                                    <w:div w:id="195062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283374">
          <w:marLeft w:val="0"/>
          <w:marRight w:val="0"/>
          <w:marTop w:val="0"/>
          <w:marBottom w:val="0"/>
          <w:divBdr>
            <w:top w:val="none" w:sz="0" w:space="0" w:color="auto"/>
            <w:left w:val="none" w:sz="0" w:space="0" w:color="auto"/>
            <w:bottom w:val="none" w:sz="0" w:space="0" w:color="auto"/>
            <w:right w:val="none" w:sz="0" w:space="0" w:color="auto"/>
          </w:divBdr>
        </w:div>
        <w:div w:id="775561399">
          <w:marLeft w:val="0"/>
          <w:marRight w:val="0"/>
          <w:marTop w:val="0"/>
          <w:marBottom w:val="0"/>
          <w:divBdr>
            <w:top w:val="none" w:sz="0" w:space="0" w:color="auto"/>
            <w:left w:val="none" w:sz="0" w:space="0" w:color="auto"/>
            <w:bottom w:val="none" w:sz="0" w:space="0" w:color="auto"/>
            <w:right w:val="none" w:sz="0" w:space="0" w:color="auto"/>
          </w:divBdr>
        </w:div>
        <w:div w:id="358245220">
          <w:marLeft w:val="0"/>
          <w:marRight w:val="0"/>
          <w:marTop w:val="0"/>
          <w:marBottom w:val="0"/>
          <w:divBdr>
            <w:top w:val="none" w:sz="0" w:space="0" w:color="auto"/>
            <w:left w:val="none" w:sz="0" w:space="0" w:color="auto"/>
            <w:bottom w:val="none" w:sz="0" w:space="0" w:color="auto"/>
            <w:right w:val="none" w:sz="0" w:space="0" w:color="auto"/>
          </w:divBdr>
          <w:divsChild>
            <w:div w:id="263391700">
              <w:marLeft w:val="0"/>
              <w:marRight w:val="0"/>
              <w:marTop w:val="0"/>
              <w:marBottom w:val="0"/>
              <w:divBdr>
                <w:top w:val="none" w:sz="0" w:space="0" w:color="auto"/>
                <w:left w:val="none" w:sz="0" w:space="0" w:color="auto"/>
                <w:bottom w:val="none" w:sz="0" w:space="0" w:color="auto"/>
                <w:right w:val="none" w:sz="0" w:space="0" w:color="auto"/>
              </w:divBdr>
              <w:divsChild>
                <w:div w:id="574241433">
                  <w:marLeft w:val="0"/>
                  <w:marRight w:val="0"/>
                  <w:marTop w:val="0"/>
                  <w:marBottom w:val="0"/>
                  <w:divBdr>
                    <w:top w:val="none" w:sz="0" w:space="0" w:color="auto"/>
                    <w:left w:val="none" w:sz="0" w:space="0" w:color="auto"/>
                    <w:bottom w:val="none" w:sz="0" w:space="0" w:color="auto"/>
                    <w:right w:val="none" w:sz="0" w:space="0" w:color="auto"/>
                  </w:divBdr>
                  <w:divsChild>
                    <w:div w:id="541208591">
                      <w:marLeft w:val="0"/>
                      <w:marRight w:val="0"/>
                      <w:marTop w:val="0"/>
                      <w:marBottom w:val="0"/>
                      <w:divBdr>
                        <w:top w:val="none" w:sz="0" w:space="0" w:color="auto"/>
                        <w:left w:val="none" w:sz="0" w:space="0" w:color="auto"/>
                        <w:bottom w:val="none" w:sz="0" w:space="0" w:color="auto"/>
                        <w:right w:val="none" w:sz="0" w:space="0" w:color="auto"/>
                      </w:divBdr>
                      <w:divsChild>
                        <w:div w:id="895042572">
                          <w:marLeft w:val="0"/>
                          <w:marRight w:val="0"/>
                          <w:marTop w:val="0"/>
                          <w:marBottom w:val="0"/>
                          <w:divBdr>
                            <w:top w:val="none" w:sz="0" w:space="0" w:color="auto"/>
                            <w:left w:val="none" w:sz="0" w:space="0" w:color="auto"/>
                            <w:bottom w:val="none" w:sz="0" w:space="0" w:color="auto"/>
                            <w:right w:val="none" w:sz="0" w:space="0" w:color="auto"/>
                          </w:divBdr>
                          <w:divsChild>
                            <w:div w:id="1770811344">
                              <w:marLeft w:val="0"/>
                              <w:marRight w:val="0"/>
                              <w:marTop w:val="0"/>
                              <w:marBottom w:val="0"/>
                              <w:divBdr>
                                <w:top w:val="none" w:sz="0" w:space="0" w:color="auto"/>
                                <w:left w:val="none" w:sz="0" w:space="0" w:color="auto"/>
                                <w:bottom w:val="none" w:sz="0" w:space="0" w:color="auto"/>
                                <w:right w:val="none" w:sz="0" w:space="0" w:color="auto"/>
                              </w:divBdr>
                              <w:divsChild>
                                <w:div w:id="8078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2206">
                      <w:marLeft w:val="0"/>
                      <w:marRight w:val="0"/>
                      <w:marTop w:val="0"/>
                      <w:marBottom w:val="0"/>
                      <w:divBdr>
                        <w:top w:val="none" w:sz="0" w:space="0" w:color="auto"/>
                        <w:left w:val="none" w:sz="0" w:space="0" w:color="auto"/>
                        <w:bottom w:val="none" w:sz="0" w:space="0" w:color="auto"/>
                        <w:right w:val="none" w:sz="0" w:space="0" w:color="auto"/>
                      </w:divBdr>
                      <w:divsChild>
                        <w:div w:id="434982283">
                          <w:marLeft w:val="0"/>
                          <w:marRight w:val="0"/>
                          <w:marTop w:val="0"/>
                          <w:marBottom w:val="0"/>
                          <w:divBdr>
                            <w:top w:val="none" w:sz="0" w:space="0" w:color="auto"/>
                            <w:left w:val="none" w:sz="0" w:space="0" w:color="auto"/>
                            <w:bottom w:val="none" w:sz="0" w:space="0" w:color="auto"/>
                            <w:right w:val="none" w:sz="0" w:space="0" w:color="auto"/>
                          </w:divBdr>
                          <w:divsChild>
                            <w:div w:id="935479748">
                              <w:marLeft w:val="0"/>
                              <w:marRight w:val="0"/>
                              <w:marTop w:val="0"/>
                              <w:marBottom w:val="0"/>
                              <w:divBdr>
                                <w:top w:val="none" w:sz="0" w:space="0" w:color="auto"/>
                                <w:left w:val="none" w:sz="0" w:space="0" w:color="auto"/>
                                <w:bottom w:val="none" w:sz="0" w:space="0" w:color="auto"/>
                                <w:right w:val="none" w:sz="0" w:space="0" w:color="auto"/>
                              </w:divBdr>
                            </w:div>
                            <w:div w:id="20177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09257">
          <w:marLeft w:val="0"/>
          <w:marRight w:val="0"/>
          <w:marTop w:val="0"/>
          <w:marBottom w:val="0"/>
          <w:divBdr>
            <w:top w:val="none" w:sz="0" w:space="0" w:color="auto"/>
            <w:left w:val="none" w:sz="0" w:space="0" w:color="auto"/>
            <w:bottom w:val="none" w:sz="0" w:space="0" w:color="auto"/>
            <w:right w:val="none" w:sz="0" w:space="0" w:color="auto"/>
          </w:divBdr>
        </w:div>
      </w:divsChild>
    </w:div>
    <w:div w:id="1808277355">
      <w:bodyDiv w:val="1"/>
      <w:marLeft w:val="0"/>
      <w:marRight w:val="0"/>
      <w:marTop w:val="0"/>
      <w:marBottom w:val="0"/>
      <w:divBdr>
        <w:top w:val="none" w:sz="0" w:space="0" w:color="auto"/>
        <w:left w:val="none" w:sz="0" w:space="0" w:color="auto"/>
        <w:bottom w:val="none" w:sz="0" w:space="0" w:color="auto"/>
        <w:right w:val="none" w:sz="0" w:space="0" w:color="auto"/>
      </w:divBdr>
    </w:div>
    <w:div w:id="1832402042">
      <w:bodyDiv w:val="1"/>
      <w:marLeft w:val="0"/>
      <w:marRight w:val="0"/>
      <w:marTop w:val="0"/>
      <w:marBottom w:val="0"/>
      <w:divBdr>
        <w:top w:val="none" w:sz="0" w:space="0" w:color="auto"/>
        <w:left w:val="none" w:sz="0" w:space="0" w:color="auto"/>
        <w:bottom w:val="none" w:sz="0" w:space="0" w:color="auto"/>
        <w:right w:val="none" w:sz="0" w:space="0" w:color="auto"/>
      </w:divBdr>
    </w:div>
    <w:div w:id="1886021153">
      <w:bodyDiv w:val="1"/>
      <w:marLeft w:val="0"/>
      <w:marRight w:val="0"/>
      <w:marTop w:val="0"/>
      <w:marBottom w:val="0"/>
      <w:divBdr>
        <w:top w:val="none" w:sz="0" w:space="0" w:color="auto"/>
        <w:left w:val="none" w:sz="0" w:space="0" w:color="auto"/>
        <w:bottom w:val="none" w:sz="0" w:space="0" w:color="auto"/>
        <w:right w:val="none" w:sz="0" w:space="0" w:color="auto"/>
      </w:divBdr>
    </w:div>
    <w:div w:id="1916696802">
      <w:bodyDiv w:val="1"/>
      <w:marLeft w:val="0"/>
      <w:marRight w:val="0"/>
      <w:marTop w:val="0"/>
      <w:marBottom w:val="0"/>
      <w:divBdr>
        <w:top w:val="none" w:sz="0" w:space="0" w:color="auto"/>
        <w:left w:val="none" w:sz="0" w:space="0" w:color="auto"/>
        <w:bottom w:val="none" w:sz="0" w:space="0" w:color="auto"/>
        <w:right w:val="none" w:sz="0" w:space="0" w:color="auto"/>
      </w:divBdr>
    </w:div>
    <w:div w:id="1953391294">
      <w:bodyDiv w:val="1"/>
      <w:marLeft w:val="0"/>
      <w:marRight w:val="0"/>
      <w:marTop w:val="0"/>
      <w:marBottom w:val="0"/>
      <w:divBdr>
        <w:top w:val="none" w:sz="0" w:space="0" w:color="auto"/>
        <w:left w:val="none" w:sz="0" w:space="0" w:color="auto"/>
        <w:bottom w:val="none" w:sz="0" w:space="0" w:color="auto"/>
        <w:right w:val="none" w:sz="0" w:space="0" w:color="auto"/>
      </w:divBdr>
    </w:div>
    <w:div w:id="1973362528">
      <w:bodyDiv w:val="1"/>
      <w:marLeft w:val="0"/>
      <w:marRight w:val="0"/>
      <w:marTop w:val="0"/>
      <w:marBottom w:val="0"/>
      <w:divBdr>
        <w:top w:val="none" w:sz="0" w:space="0" w:color="auto"/>
        <w:left w:val="none" w:sz="0" w:space="0" w:color="auto"/>
        <w:bottom w:val="none" w:sz="0" w:space="0" w:color="auto"/>
        <w:right w:val="none" w:sz="0" w:space="0" w:color="auto"/>
      </w:divBdr>
    </w:div>
    <w:div w:id="2048873672">
      <w:bodyDiv w:val="1"/>
      <w:marLeft w:val="0"/>
      <w:marRight w:val="0"/>
      <w:marTop w:val="0"/>
      <w:marBottom w:val="0"/>
      <w:divBdr>
        <w:top w:val="none" w:sz="0" w:space="0" w:color="auto"/>
        <w:left w:val="none" w:sz="0" w:space="0" w:color="auto"/>
        <w:bottom w:val="none" w:sz="0" w:space="0" w:color="auto"/>
        <w:right w:val="none" w:sz="0" w:space="0" w:color="auto"/>
      </w:divBdr>
    </w:div>
    <w:div w:id="2067216831">
      <w:bodyDiv w:val="1"/>
      <w:marLeft w:val="0"/>
      <w:marRight w:val="0"/>
      <w:marTop w:val="0"/>
      <w:marBottom w:val="0"/>
      <w:divBdr>
        <w:top w:val="none" w:sz="0" w:space="0" w:color="auto"/>
        <w:left w:val="none" w:sz="0" w:space="0" w:color="auto"/>
        <w:bottom w:val="none" w:sz="0" w:space="0" w:color="auto"/>
        <w:right w:val="none" w:sz="0" w:space="0" w:color="auto"/>
      </w:divBdr>
    </w:div>
    <w:div w:id="2073967100">
      <w:bodyDiv w:val="1"/>
      <w:marLeft w:val="0"/>
      <w:marRight w:val="0"/>
      <w:marTop w:val="0"/>
      <w:marBottom w:val="0"/>
      <w:divBdr>
        <w:top w:val="none" w:sz="0" w:space="0" w:color="auto"/>
        <w:left w:val="none" w:sz="0" w:space="0" w:color="auto"/>
        <w:bottom w:val="none" w:sz="0" w:space="0" w:color="auto"/>
        <w:right w:val="none" w:sz="0" w:space="0" w:color="auto"/>
      </w:divBdr>
    </w:div>
    <w:div w:id="2114662218">
      <w:bodyDiv w:val="1"/>
      <w:marLeft w:val="0"/>
      <w:marRight w:val="0"/>
      <w:marTop w:val="0"/>
      <w:marBottom w:val="0"/>
      <w:divBdr>
        <w:top w:val="none" w:sz="0" w:space="0" w:color="auto"/>
        <w:left w:val="none" w:sz="0" w:space="0" w:color="auto"/>
        <w:bottom w:val="none" w:sz="0" w:space="0" w:color="auto"/>
        <w:right w:val="none" w:sz="0" w:space="0" w:color="auto"/>
      </w:divBdr>
    </w:div>
    <w:div w:id="214453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D49DCE77-543C-430A-9EA4-5CCEF699F62F}">
      <dgm:prSet phldrT="[Text]"/>
      <dgm:spPr/>
      <dgm:t>
        <a:bodyPr/>
        <a:lstStyle/>
        <a:p>
          <a:pPr algn="justLow" rtl="1">
            <a:buNone/>
          </a:pPr>
          <a:r>
            <a:rPr lang="ar-SA" b="1"/>
            <a:t>أتمتة المهام الإدارية</a:t>
          </a:r>
          <a:endParaRPr lang="en-US"/>
        </a:p>
      </dgm:t>
    </dgm:pt>
    <dgm:pt modelId="{52669443-72FE-46A6-83BC-B11FA8BC63F5}" type="parTrans" cxnId="{58F9196E-EE0F-430F-B9F5-B02E50185E04}">
      <dgm:prSet/>
      <dgm:spPr/>
      <dgm:t>
        <a:bodyPr/>
        <a:lstStyle/>
        <a:p>
          <a:endParaRPr lang="en-US"/>
        </a:p>
      </dgm:t>
    </dgm:pt>
    <dgm:pt modelId="{69C38A8A-05F3-4CE7-A976-EA3393D21344}" type="sibTrans" cxnId="{58F9196E-EE0F-430F-B9F5-B02E50185E04}">
      <dgm:prSet/>
      <dgm:spPr/>
      <dgm:t>
        <a:bodyPr/>
        <a:lstStyle/>
        <a:p>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84EB6596-999B-478E-8AE3-4DC61FCD40E6}">
      <dgm:prSet phldrT="[Text]"/>
      <dgm:spPr/>
      <dgm:t>
        <a:bodyPr/>
        <a:lstStyle/>
        <a:p>
          <a:pPr algn="justLow" rtl="1">
            <a:buNone/>
          </a:pPr>
          <a:r>
            <a:rPr lang="ar-SA" b="1"/>
            <a:t>كفاءة التحليل الاستراتيجي</a:t>
          </a:r>
          <a:endParaRPr lang="en-US"/>
        </a:p>
      </dgm:t>
    </dgm:pt>
    <dgm:pt modelId="{8C4C8B2B-97E9-45CF-A091-64C0F37CFBA9}" type="parTrans" cxnId="{15012A9B-92FF-4F21-8E94-82A9863160F4}">
      <dgm:prSet/>
      <dgm:spPr/>
      <dgm:t>
        <a:bodyPr/>
        <a:lstStyle/>
        <a:p>
          <a:endParaRPr lang="en-US"/>
        </a:p>
      </dgm:t>
    </dgm:pt>
    <dgm:pt modelId="{EB2B8105-33CB-4320-94FC-76FBFF371EEC}" type="sibTrans" cxnId="{15012A9B-92FF-4F21-8E94-82A9863160F4}">
      <dgm:prSet/>
      <dgm:spPr/>
      <dgm:t>
        <a:bodyPr/>
        <a:lstStyle/>
        <a:p>
          <a:endParaRPr lang="en-US"/>
        </a:p>
      </dgm:t>
    </dgm:pt>
    <dgm:pt modelId="{68F6E4AA-7314-4500-BBD5-13E62C1D18C2}">
      <dgm:prSet/>
      <dgm:spPr/>
      <dgm:t>
        <a:bodyPr/>
        <a:lstStyle/>
        <a:p>
          <a:pPr algn="justLow" rtl="1">
            <a:buNone/>
          </a:pPr>
          <a:r>
            <a:rPr lang="ar-EG" b="1"/>
            <a:t>دعم اتخاذ القرار</a:t>
          </a:r>
          <a:endParaRPr lang="en-US"/>
        </a:p>
      </dgm:t>
    </dgm:pt>
    <dgm:pt modelId="{85960C17-F66B-440A-9911-C97FFC400877}" type="parTrans" cxnId="{6E088A62-9F9A-4A83-A0F2-7CE93CCCB912}">
      <dgm:prSet/>
      <dgm:spPr/>
      <dgm:t>
        <a:bodyPr/>
        <a:lstStyle/>
        <a:p>
          <a:endParaRPr lang="en-US"/>
        </a:p>
      </dgm:t>
    </dgm:pt>
    <dgm:pt modelId="{61F00472-0DDF-405C-9F27-DFF0D792A4E1}" type="sibTrans" cxnId="{6E088A62-9F9A-4A83-A0F2-7CE93CCCB912}">
      <dgm:prSet/>
      <dgm:spPr/>
      <dgm:t>
        <a:bodyPr/>
        <a:lstStyle/>
        <a:p>
          <a:endParaRPr lang="en-US"/>
        </a:p>
      </dgm:t>
    </dgm:pt>
    <dgm:pt modelId="{9F6781F1-9210-4A38-BBEF-21B1A40546D5}">
      <dgm:prSet/>
      <dgm:spPr/>
      <dgm:t>
        <a:bodyPr/>
        <a:lstStyle/>
        <a:p>
          <a:pPr algn="justLow" rtl="1">
            <a:buNone/>
          </a:pPr>
          <a:r>
            <a:rPr lang="ar-EG" b="1"/>
            <a:t>أنظمة الإنذار المبكر</a:t>
          </a:r>
          <a:endParaRPr lang="en-US"/>
        </a:p>
      </dgm:t>
    </dgm:pt>
    <dgm:pt modelId="{AE641F2C-E22F-4A47-AE8A-9910936A6D63}" type="parTrans" cxnId="{F1379707-1814-4DC7-92BE-D662C9FC0422}">
      <dgm:prSet/>
      <dgm:spPr/>
      <dgm:t>
        <a:bodyPr/>
        <a:lstStyle/>
        <a:p>
          <a:endParaRPr lang="en-US"/>
        </a:p>
      </dgm:t>
    </dgm:pt>
    <dgm:pt modelId="{7FF83874-1CBD-485E-887D-E07626DA6698}" type="sibTrans" cxnId="{F1379707-1814-4DC7-92BE-D662C9FC0422}">
      <dgm:prSet/>
      <dgm:spPr/>
      <dgm:t>
        <a:bodyPr/>
        <a:lstStyle/>
        <a:p>
          <a:endParaRPr lang="en-US"/>
        </a:p>
      </dgm:t>
    </dgm:pt>
    <dgm:pt modelId="{3810CE83-9756-4119-B4CD-9BC045109134}">
      <dgm:prSet phldrT="[Text]"/>
      <dgm:spPr/>
      <dgm:t>
        <a:bodyPr/>
        <a:lstStyle/>
        <a:p>
          <a:pPr algn="justLow" rtl="1">
            <a:buNone/>
          </a:pPr>
          <a:r>
            <a:rPr lang="ar-EG" b="1"/>
            <a:t>صياغة الأهداف</a:t>
          </a:r>
          <a:endParaRPr lang="en-US" b="1"/>
        </a:p>
      </dgm:t>
    </dgm:pt>
    <dgm:pt modelId="{CB58F87D-26FD-4464-BFB7-EFEB6F9E5701}" type="parTrans" cxnId="{C3D2E9B1-1700-4306-AC06-8A1DF97D7309}">
      <dgm:prSet/>
      <dgm:spPr/>
      <dgm:t>
        <a:bodyPr/>
        <a:lstStyle/>
        <a:p>
          <a:endParaRPr lang="en-US"/>
        </a:p>
      </dgm:t>
    </dgm:pt>
    <dgm:pt modelId="{46451BD5-0969-4DA0-A5AF-521865FBD847}" type="sibTrans" cxnId="{C3D2E9B1-1700-4306-AC06-8A1DF97D7309}">
      <dgm:prSet/>
      <dgm:spPr/>
      <dgm:t>
        <a:bodyPr/>
        <a:lstStyle/>
        <a:p>
          <a:endParaRPr lang="en-US"/>
        </a:p>
      </dgm:t>
    </dgm:pt>
    <dgm:pt modelId="{FFB705BF-78D2-4080-AA46-E1B9C8D40E97}">
      <dgm:prSet phldrT="[Text]"/>
      <dgm:spPr/>
      <dgm:t>
        <a:bodyPr/>
        <a:lstStyle/>
        <a:p>
          <a:pPr algn="justLow" rtl="1">
            <a:buNone/>
          </a:pPr>
          <a:r>
            <a:rPr lang="ar-EG" b="1"/>
            <a:t>التنفيذ والمتابعة</a:t>
          </a:r>
          <a:endParaRPr lang="en-US" b="1"/>
        </a:p>
      </dgm:t>
    </dgm:pt>
    <dgm:pt modelId="{6DA57B47-8080-4342-A669-8B87761AC4A6}" type="parTrans" cxnId="{508E3B4C-C81B-4C55-84B8-A0B39889DD8D}">
      <dgm:prSet/>
      <dgm:spPr/>
      <dgm:t>
        <a:bodyPr/>
        <a:lstStyle/>
        <a:p>
          <a:endParaRPr lang="en-US"/>
        </a:p>
      </dgm:t>
    </dgm:pt>
    <dgm:pt modelId="{85D6058F-5D6D-41C3-8981-5C10F92CA778}" type="sibTrans" cxnId="{508E3B4C-C81B-4C55-84B8-A0B39889DD8D}">
      <dgm:prSet/>
      <dgm:spPr/>
      <dgm:t>
        <a:bodyPr/>
        <a:lstStyle/>
        <a:p>
          <a:endParaRPr lang="en-US"/>
        </a:p>
      </dgm:t>
    </dgm:pt>
    <dgm:pt modelId="{9BF8A855-A39C-486A-B277-8261029D133B}">
      <dgm:prSet phldrT="[Text]"/>
      <dgm:spPr/>
      <dgm:t>
        <a:bodyPr/>
        <a:lstStyle/>
        <a:p>
          <a:pPr algn="justLow" rtl="1">
            <a:buNone/>
          </a:pPr>
          <a:r>
            <a:rPr lang="ar-EG" b="1"/>
            <a:t>تخصيص الموارد</a:t>
          </a:r>
          <a:endParaRPr lang="en-US" b="1"/>
        </a:p>
      </dgm:t>
    </dgm:pt>
    <dgm:pt modelId="{C9DFA195-7451-453A-B88C-15FBACFEC185}" type="parTrans" cxnId="{1408F455-F47B-451A-9945-4108F4599717}">
      <dgm:prSet/>
      <dgm:spPr/>
      <dgm:t>
        <a:bodyPr/>
        <a:lstStyle/>
        <a:p>
          <a:endParaRPr lang="en-US"/>
        </a:p>
      </dgm:t>
    </dgm:pt>
    <dgm:pt modelId="{BD0E9F7E-A475-4EB3-AB51-309A91B055FA}" type="sibTrans" cxnId="{1408F455-F47B-451A-9945-4108F4599717}">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custLinFactNeighborX="-9215"/>
      <dgm:spPr/>
    </dgm:pt>
    <dgm:pt modelId="{7BEDD5F2-D3D7-4816-BD09-CD3D67D1E05C}" type="pres">
      <dgm:prSet presAssocID="{D562E990-430F-452B-B2A0-6E3B7CF0209D}" presName="desTx" presStyleLbl="fgAcc1" presStyleIdx="0" presStyleCnt="3">
        <dgm:presLayoutVars>
          <dgm:bulletEnabled val="1"/>
        </dgm:presLayoutVars>
      </dgm:prSet>
      <dgm:spPr/>
    </dgm:pt>
    <dgm:pt modelId="{00E2E722-6ACB-4B14-9FA8-DBF9D3B0828A}" type="pres">
      <dgm:prSet presAssocID="{230D473F-745E-4F29-84A6-F71841A43175}" presName="sibTrans" presStyleLbl="sibTrans2D1" presStyleIdx="0" presStyleCnt="2" custAng="20699858" custScaleX="130413" custLinFactNeighborX="-22643" custLinFactNeighborY="-43415"/>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5517" custLinFactNeighborY="72531"/>
      <dgm:spPr/>
    </dgm:pt>
    <dgm:pt modelId="{1C95F293-35F0-48B6-833E-1ABBE6DA6E1C}" type="pres">
      <dgm:prSet presAssocID="{94DAA8B6-5895-4997-B3E7-DF3DF8133E3B}" presName="desTx" presStyleLbl="fgAcc1" presStyleIdx="1" presStyleCnt="3" custFlipVert="1" custScaleY="2527" custLinFactNeighborX="3032" custLinFactNeighborY="287">
        <dgm:presLayoutVars>
          <dgm:bulletEnabled val="1"/>
        </dgm:presLayoutVars>
      </dgm:prSet>
      <dgm:spPr/>
    </dgm:pt>
    <dgm:pt modelId="{D2C5CFC4-99DF-4AFD-B1C9-17D0D8895249}" type="pres">
      <dgm:prSet presAssocID="{4745F840-67C0-44AE-A71C-E925E83639C5}" presName="sibTrans" presStyleLbl="sibTrans2D1" presStyleIdx="1" presStyleCnt="2" custAng="826935" custScaleX="111278" custLinFactNeighborX="11103" custLinFactNeighborY="-14253"/>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F1379707-1814-4DC7-92BE-D662C9FC0422}" srcId="{D562E990-430F-452B-B2A0-6E3B7CF0209D}" destId="{9F6781F1-9210-4A38-BBEF-21B1A40546D5}" srcOrd="2" destOrd="0" parTransId="{AE641F2C-E22F-4A47-AE8A-9910936A6D63}" sibTransId="{7FF83874-1CBD-485E-887D-E07626DA6698}"/>
    <dgm:cxn modelId="{C111710F-4833-4E82-B0E3-C3F35C2D21E6}" type="presOf" srcId="{D49DCE77-543C-430A-9EA4-5CCEF699F62F}" destId="{7BEDD5F2-D3D7-4816-BD09-CD3D67D1E05C}" srcOrd="0"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817BDD2C-6FF6-4EBD-9CE6-2C17E7D95214}" type="presOf" srcId="{3810CE83-9756-4119-B4CD-9BC045109134}" destId="{6E2BFFFC-6472-4030-ADED-2BA744F5FBF4}" srcOrd="0" destOrd="1"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6E088A62-9F9A-4A83-A0F2-7CE93CCCB912}" srcId="{D562E990-430F-452B-B2A0-6E3B7CF0209D}" destId="{68F6E4AA-7314-4500-BBD5-13E62C1D18C2}" srcOrd="1" destOrd="0" parTransId="{85960C17-F66B-440A-9911-C97FFC400877}" sibTransId="{61F00472-0DDF-405C-9F27-DFF0D792A4E1}"/>
    <dgm:cxn modelId="{508E3B4C-C81B-4C55-84B8-A0B39889DD8D}" srcId="{410A2F9F-A892-4429-A262-1C9A15BF9133}" destId="{FFB705BF-78D2-4080-AA46-E1B9C8D40E97}" srcOrd="2" destOrd="0" parTransId="{6DA57B47-8080-4342-A669-8B87761AC4A6}" sibTransId="{85D6058F-5D6D-41C3-8981-5C10F92CA778}"/>
    <dgm:cxn modelId="{58F9196E-EE0F-430F-B9F5-B02E50185E04}" srcId="{D562E990-430F-452B-B2A0-6E3B7CF0209D}" destId="{D49DCE77-543C-430A-9EA4-5CCEF699F62F}" srcOrd="0" destOrd="0" parTransId="{52669443-72FE-46A6-83BC-B11FA8BC63F5}" sibTransId="{69C38A8A-05F3-4CE7-A976-EA3393D21344}"/>
    <dgm:cxn modelId="{1408F455-F47B-451A-9945-4108F4599717}" srcId="{410A2F9F-A892-4429-A262-1C9A15BF9133}" destId="{9BF8A855-A39C-486A-B277-8261029D133B}" srcOrd="3" destOrd="0" parTransId="{C9DFA195-7451-453A-B88C-15FBACFEC185}" sibTransId="{BD0E9F7E-A475-4EB3-AB51-309A91B055FA}"/>
    <dgm:cxn modelId="{0E2FCF80-FB25-47D9-AF35-CB1E7B00FA3F}" type="presOf" srcId="{4745F840-67C0-44AE-A71C-E925E83639C5}" destId="{D2C5CFC4-99DF-4AFD-B1C9-17D0D8895249}" srcOrd="0" destOrd="0" presId="urn:microsoft.com/office/officeart/2005/8/layout/process3"/>
    <dgm:cxn modelId="{23A8D984-76DF-4522-8B0D-51EBE831270F}" type="presOf" srcId="{9BF8A855-A39C-486A-B277-8261029D133B}" destId="{6E2BFFFC-6472-4030-ADED-2BA744F5FBF4}" srcOrd="0" destOrd="3" presId="urn:microsoft.com/office/officeart/2005/8/layout/process3"/>
    <dgm:cxn modelId="{0810518F-B4A2-4583-A7BE-B32C3DDB18B5}" type="presOf" srcId="{84EB6596-999B-478E-8AE3-4DC61FCD40E6}" destId="{6E2BFFFC-6472-4030-ADED-2BA744F5FBF4}"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15012A9B-92FF-4F21-8E94-82A9863160F4}" srcId="{410A2F9F-A892-4429-A262-1C9A15BF9133}" destId="{84EB6596-999B-478E-8AE3-4DC61FCD40E6}" srcOrd="0" destOrd="0" parTransId="{8C4C8B2B-97E9-45CF-A091-64C0F37CFBA9}" sibTransId="{EB2B8105-33CB-4320-94FC-76FBFF371EEC}"/>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C3D2E9B1-1700-4306-AC06-8A1DF97D7309}" srcId="{410A2F9F-A892-4429-A262-1C9A15BF9133}" destId="{3810CE83-9756-4119-B4CD-9BC045109134}" srcOrd="1" destOrd="0" parTransId="{CB58F87D-26FD-4464-BFB7-EFEB6F9E5701}" sibTransId="{46451BD5-0969-4DA0-A5AF-521865FBD847}"/>
    <dgm:cxn modelId="{2F672CB7-A0FF-4D6E-9CC7-F5650F44A511}" type="presOf" srcId="{230D473F-745E-4F29-84A6-F71841A43175}" destId="{00E2E722-6ACB-4B14-9FA8-DBF9D3B0828A}" srcOrd="0" destOrd="0" presId="urn:microsoft.com/office/officeart/2005/8/layout/process3"/>
    <dgm:cxn modelId="{8B5524BA-FCDA-4A2F-BB1F-C4B953A6F8C8}" type="presOf" srcId="{FFB705BF-78D2-4080-AA46-E1B9C8D40E97}" destId="{6E2BFFFC-6472-4030-ADED-2BA744F5FBF4}" srcOrd="0" destOrd="2"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80139FE7-B3C0-4086-B0A0-FC157F91ADC0}" type="presOf" srcId="{9F6781F1-9210-4A38-BBEF-21B1A40546D5}" destId="{7BEDD5F2-D3D7-4816-BD09-CD3D67D1E05C}" srcOrd="0" destOrd="2"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81554EF4-8A9D-4735-83DD-1CEBCCD5E9BF}" type="presOf" srcId="{68F6E4AA-7314-4500-BBD5-13E62C1D18C2}" destId="{7BEDD5F2-D3D7-4816-BD09-CD3D67D1E05C}" srcOrd="0" destOrd="1" presId="urn:microsoft.com/office/officeart/2005/8/layout/process3"/>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083786"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113683" y="408018"/>
        <a:ext cx="1240708" cy="458612"/>
      </dsp:txXfrm>
    </dsp:sp>
    <dsp:sp modelId="{7BEDD5F2-D3D7-4816-BD09-CD3D67D1E05C}">
      <dsp:nvSpPr>
        <dsp:cNvPr id="0" name=""/>
        <dsp:cNvSpPr/>
      </dsp:nvSpPr>
      <dsp:spPr>
        <a:xfrm>
          <a:off x="3973893"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أتمتة المهام الإدارية</a:t>
          </a:r>
          <a:endParaRPr lang="en-US" sz="1200" kern="1200"/>
        </a:p>
        <a:p>
          <a:pPr marL="114300" lvl="1" indent="-114300" algn="justLow" defTabSz="533400" rtl="1">
            <a:lnSpc>
              <a:spcPct val="90000"/>
            </a:lnSpc>
            <a:spcBef>
              <a:spcPct val="0"/>
            </a:spcBef>
            <a:spcAft>
              <a:spcPct val="15000"/>
            </a:spcAft>
            <a:buNone/>
          </a:pPr>
          <a:r>
            <a:rPr lang="ar-EG" sz="1200" b="1" kern="1200"/>
            <a:t>دعم اتخاذ القرار</a:t>
          </a:r>
          <a:endParaRPr lang="en-US" sz="1200" kern="1200"/>
        </a:p>
        <a:p>
          <a:pPr marL="114300" lvl="1" indent="-114300" algn="justLow" defTabSz="533400" rtl="1">
            <a:lnSpc>
              <a:spcPct val="90000"/>
            </a:lnSpc>
            <a:spcBef>
              <a:spcPct val="0"/>
            </a:spcBef>
            <a:spcAft>
              <a:spcPct val="15000"/>
            </a:spcAft>
            <a:buNone/>
          </a:pPr>
          <a:r>
            <a:rPr lang="ar-EG" sz="1200" b="1" kern="1200"/>
            <a:t>أنظمة الإنذار المبكر</a:t>
          </a:r>
          <a:endParaRPr lang="en-US" sz="1200" kern="1200"/>
        </a:p>
      </dsp:txBody>
      <dsp:txXfrm>
        <a:off x="4008056" y="900794"/>
        <a:ext cx="1172382" cy="1098074"/>
      </dsp:txXfrm>
    </dsp:sp>
    <dsp:sp modelId="{00E2E722-6ACB-4B14-9FA8-DBF9D3B0828A}">
      <dsp:nvSpPr>
        <dsp:cNvPr id="0" name=""/>
        <dsp:cNvSpPr/>
      </dsp:nvSpPr>
      <dsp:spPr>
        <a:xfrm rot="8648104">
          <a:off x="3269420" y="745226"/>
          <a:ext cx="629946"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353305" y="779859"/>
        <a:ext cx="537276" cy="185340"/>
      </dsp:txXfrm>
    </dsp:sp>
    <dsp:sp modelId="{965C3762-B35C-447E-8071-12EF933E8CCB}">
      <dsp:nvSpPr>
        <dsp:cNvPr id="0" name=""/>
        <dsp:cNvSpPr/>
      </dsp:nvSpPr>
      <dsp:spPr>
        <a:xfrm>
          <a:off x="2041803" y="1191204"/>
          <a:ext cx="1215894"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071101" y="1191204"/>
        <a:ext cx="1215894" cy="458612"/>
      </dsp:txXfrm>
    </dsp:sp>
    <dsp:sp modelId="{1C95F293-35F0-48B6-833E-1ABBE6DA6E1C}">
      <dsp:nvSpPr>
        <dsp:cNvPr id="0" name=""/>
        <dsp:cNvSpPr/>
      </dsp:nvSpPr>
      <dsp:spPr>
        <a:xfrm flipV="1">
          <a:off x="2047599" y="1722672"/>
          <a:ext cx="1215894" cy="2947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3046988">
          <a:off x="1583643" y="825571"/>
          <a:ext cx="476857"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666763" y="915526"/>
        <a:ext cx="384187" cy="185340"/>
      </dsp:txXfrm>
    </dsp:sp>
    <dsp:sp modelId="{CE551C68-8DFF-4D97-9269-2F97CD63B9BF}">
      <dsp:nvSpPr>
        <dsp:cNvPr id="0" name=""/>
        <dsp:cNvSpPr/>
      </dsp:nvSpPr>
      <dsp:spPr>
        <a:xfrm>
          <a:off x="241901"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271798" y="408018"/>
        <a:ext cx="1240708" cy="458612"/>
      </dsp:txXfrm>
    </dsp:sp>
    <dsp:sp modelId="{6E2BFFFC-6472-4030-ADED-2BA744F5FBF4}">
      <dsp:nvSpPr>
        <dsp:cNvPr id="0" name=""/>
        <dsp:cNvSpPr/>
      </dsp:nvSpPr>
      <dsp:spPr>
        <a:xfrm>
          <a:off x="17677"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كفاءة التحليل الاستراتيجي</a:t>
          </a:r>
          <a:endParaRPr lang="en-US" sz="1200" kern="1200"/>
        </a:p>
        <a:p>
          <a:pPr marL="114300" lvl="1" indent="-114300" algn="justLow" defTabSz="533400" rtl="1">
            <a:lnSpc>
              <a:spcPct val="90000"/>
            </a:lnSpc>
            <a:spcBef>
              <a:spcPct val="0"/>
            </a:spcBef>
            <a:spcAft>
              <a:spcPct val="15000"/>
            </a:spcAft>
            <a:buNone/>
          </a:pPr>
          <a:r>
            <a:rPr lang="ar-EG" sz="1200" b="1" kern="1200"/>
            <a:t>صياغة الأهداف</a:t>
          </a:r>
          <a:endParaRPr lang="en-US" sz="1200" b="1" kern="1200"/>
        </a:p>
        <a:p>
          <a:pPr marL="114300" lvl="1" indent="-114300" algn="justLow" defTabSz="533400" rtl="1">
            <a:lnSpc>
              <a:spcPct val="90000"/>
            </a:lnSpc>
            <a:spcBef>
              <a:spcPct val="0"/>
            </a:spcBef>
            <a:spcAft>
              <a:spcPct val="15000"/>
            </a:spcAft>
            <a:buNone/>
          </a:pPr>
          <a:r>
            <a:rPr lang="ar-EG" sz="1200" b="1" kern="1200"/>
            <a:t>التنفيذ والمتابعة</a:t>
          </a:r>
          <a:endParaRPr lang="en-US" sz="1200" b="1" kern="1200"/>
        </a:p>
        <a:p>
          <a:pPr marL="114300" lvl="1" indent="-114300" algn="justLow" defTabSz="533400" rtl="1">
            <a:lnSpc>
              <a:spcPct val="90000"/>
            </a:lnSpc>
            <a:spcBef>
              <a:spcPct val="0"/>
            </a:spcBef>
            <a:spcAft>
              <a:spcPct val="15000"/>
            </a:spcAft>
            <a:buNone/>
          </a:pPr>
          <a:r>
            <a:rPr lang="ar-EG" sz="1200" b="1" kern="1200"/>
            <a:t>تخصيص الموارد</a:t>
          </a:r>
          <a:endParaRPr lang="en-US" sz="1200" b="1" kern="1200"/>
        </a:p>
      </dsp:txBody>
      <dsp:txXfrm>
        <a:off x="51840" y="900794"/>
        <a:ext cx="1172382" cy="10980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F4789-AA5B-4DCF-B4D5-C673E364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119</Pages>
  <Words>30479</Words>
  <Characters>173731</Characters>
  <Application>Microsoft Office Word</Application>
  <DocSecurity>0</DocSecurity>
  <Lines>1447</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AboHelal</dc:creator>
  <cp:keywords/>
  <dc:description/>
  <cp:lastModifiedBy>Amal Tawili</cp:lastModifiedBy>
  <cp:revision>2</cp:revision>
  <cp:lastPrinted>2026-07-31T17:19:00Z</cp:lastPrinted>
  <dcterms:created xsi:type="dcterms:W3CDTF">2026-08-08T22:13:00Z</dcterms:created>
  <dcterms:modified xsi:type="dcterms:W3CDTF">2026-08-08T22:13:00Z</dcterms:modified>
</cp:coreProperties>
</file>