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4971C68" w:rsidR="009125CE" w:rsidRPr="00ED5D0F" w:rsidRDefault="007A6629" w:rsidP="007A6629">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ED5D0F">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3C1CBF4">
            <wp:simplePos x="0" y="0"/>
            <wp:positionH relativeFrom="margin">
              <wp:posOffset>80010</wp:posOffset>
            </wp:positionH>
            <wp:positionV relativeFrom="margin">
              <wp:posOffset>-57150</wp:posOffset>
            </wp:positionV>
            <wp:extent cx="1564005" cy="145097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4005" cy="1450975"/>
                    </a:xfrm>
                    <a:prstGeom prst="rect">
                      <a:avLst/>
                    </a:prstGeom>
                  </pic:spPr>
                </pic:pic>
              </a:graphicData>
            </a:graphic>
            <wp14:sizeRelH relativeFrom="margin">
              <wp14:pctWidth>0</wp14:pctWidth>
            </wp14:sizeRelH>
            <wp14:sizeRelV relativeFrom="margin">
              <wp14:pctHeight>0</wp14:pctHeight>
            </wp14:sizeRelV>
          </wp:anchor>
        </w:drawing>
      </w:r>
      <w:r w:rsidR="009125CE" w:rsidRPr="00ED5D0F">
        <w:rPr>
          <w:rFonts w:ascii="Simplified Arabic" w:hAnsi="Simplified Arabic" w:cs="Simplified Arabic"/>
          <w:b/>
          <w:bCs/>
          <w:color w:val="000000" w:themeColor="text1"/>
          <w:sz w:val="32"/>
          <w:szCs w:val="32"/>
          <w:rtl/>
          <w:lang w:bidi="ar-EG"/>
        </w:rPr>
        <w:t xml:space="preserve">جامعة ميدأوشن </w:t>
      </w:r>
    </w:p>
    <w:p w14:paraId="1E957002" w14:textId="0BA002C6" w:rsidR="00F546CE" w:rsidRPr="00ED5D0F" w:rsidRDefault="009125CE" w:rsidP="007A662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ED5D0F">
        <w:rPr>
          <w:rFonts w:ascii="Simplified Arabic" w:hAnsi="Simplified Arabic" w:cs="Simplified Arabic"/>
          <w:b/>
          <w:bCs/>
          <w:color w:val="000000" w:themeColor="text1"/>
          <w:sz w:val="32"/>
          <w:szCs w:val="32"/>
          <w:rtl/>
          <w:lang w:bidi="ar-EG"/>
        </w:rPr>
        <w:t xml:space="preserve">كلية </w:t>
      </w:r>
      <w:r w:rsidR="008C42C1" w:rsidRPr="00ED5D0F">
        <w:rPr>
          <w:rFonts w:ascii="Simplified Arabic" w:hAnsi="Simplified Arabic" w:cs="Simplified Arabic"/>
          <w:b/>
          <w:bCs/>
          <w:color w:val="000000" w:themeColor="text1"/>
          <w:sz w:val="32"/>
          <w:szCs w:val="32"/>
          <w:rtl/>
          <w:lang w:bidi="ar-EG"/>
        </w:rPr>
        <w:t>الإدارة</w:t>
      </w:r>
      <w:r w:rsidRPr="00ED5D0F">
        <w:rPr>
          <w:rFonts w:ascii="Simplified Arabic" w:hAnsi="Simplified Arabic" w:cs="Simplified Arabic"/>
          <w:b/>
          <w:bCs/>
          <w:color w:val="000000" w:themeColor="text1"/>
          <w:sz w:val="32"/>
          <w:szCs w:val="32"/>
          <w:rtl/>
          <w:lang w:bidi="ar-EG"/>
        </w:rPr>
        <w:t xml:space="preserve"> </w:t>
      </w:r>
    </w:p>
    <w:p w14:paraId="5F6542BF" w14:textId="1621F285" w:rsidR="009125CE" w:rsidRPr="00ED5D0F" w:rsidRDefault="00B95BA6" w:rsidP="007A662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ED5D0F">
        <w:rPr>
          <w:rFonts w:ascii="Simplified Arabic" w:hAnsi="Simplified Arabic" w:cs="Simplified Arabic"/>
          <w:b/>
          <w:bCs/>
          <w:color w:val="000000" w:themeColor="text1"/>
          <w:sz w:val="32"/>
          <w:szCs w:val="32"/>
          <w:rtl/>
          <w:lang w:bidi="ar-EG"/>
        </w:rPr>
        <w:t>ماجستير إدارة مخاطر</w:t>
      </w:r>
    </w:p>
    <w:p w14:paraId="6B449BCF" w14:textId="77777777" w:rsidR="00CC6261" w:rsidRPr="00ED5D0F" w:rsidRDefault="00CC6261" w:rsidP="007A6629">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198833D" w14:textId="2F619289" w:rsidR="00156D45" w:rsidRPr="00ED5D0F" w:rsidRDefault="00E510A0" w:rsidP="007A6629">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ED5D0F">
        <w:rPr>
          <w:rFonts w:ascii="Simplified Arabic" w:hAnsi="Simplified Arabic" w:cs="Simplified Arabic"/>
          <w:b/>
          <w:bCs/>
          <w:color w:val="000000" w:themeColor="text1"/>
          <w:sz w:val="40"/>
          <w:szCs w:val="40"/>
          <w:rtl/>
        </w:rPr>
        <w:t>أثر إدارة مخاطر الامتثال على جودة الحوكمة في المؤسسات العقارية: دراسة ميدانية على الهيئة العامة للعقار في السعودية</w:t>
      </w:r>
      <w:r w:rsidR="00156D45" w:rsidRPr="00ED5D0F">
        <w:rPr>
          <w:rFonts w:ascii="Simplified Arabic" w:hAnsi="Simplified Arabic" w:cs="Simplified Arabic"/>
          <w:b/>
          <w:bCs/>
          <w:color w:val="000000" w:themeColor="text1"/>
          <w:sz w:val="40"/>
          <w:szCs w:val="40"/>
        </w:rPr>
        <w:t>.</w:t>
      </w:r>
    </w:p>
    <w:p w14:paraId="4AE35D88" w14:textId="77777777" w:rsidR="007A6629" w:rsidRPr="00ED5D0F" w:rsidRDefault="007A6629" w:rsidP="007A6629">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2DCFA441" w:rsidR="009125CE" w:rsidRPr="00ED5D0F" w:rsidRDefault="009125CE" w:rsidP="007A662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D5D0F">
        <w:rPr>
          <w:rFonts w:ascii="Simplified Arabic" w:hAnsi="Simplified Arabic" w:cs="Simplified Arabic"/>
          <w:b/>
          <w:bCs/>
          <w:color w:val="000000" w:themeColor="text1"/>
          <w:sz w:val="36"/>
          <w:szCs w:val="36"/>
          <w:rtl/>
          <w:lang w:bidi="ar-EG"/>
        </w:rPr>
        <w:t>إعداد الطالب/</w:t>
      </w:r>
    </w:p>
    <w:p w14:paraId="6C210354" w14:textId="287CCF0D" w:rsidR="00156D45" w:rsidRPr="00ED5D0F" w:rsidRDefault="00E510A0" w:rsidP="007A6629">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ED5D0F">
        <w:rPr>
          <w:rFonts w:ascii="Simplified Arabic" w:hAnsi="Simplified Arabic" w:cs="Simplified Arabic"/>
          <w:color w:val="000000" w:themeColor="text1"/>
          <w:sz w:val="36"/>
          <w:szCs w:val="36"/>
          <w:rtl/>
        </w:rPr>
        <w:t>فارس احمد العيسي</w:t>
      </w:r>
    </w:p>
    <w:p w14:paraId="7E845BC4" w14:textId="77777777" w:rsidR="007A6629" w:rsidRPr="00ED5D0F" w:rsidRDefault="007A6629" w:rsidP="007A6629">
      <w:pPr>
        <w:spacing w:before="100" w:beforeAutospacing="1" w:after="100" w:afterAutospacing="1" w:line="276" w:lineRule="auto"/>
        <w:jc w:val="center"/>
        <w:rPr>
          <w:rFonts w:ascii="Simplified Arabic" w:hAnsi="Simplified Arabic" w:cs="Simplified Arabic"/>
          <w:color w:val="000000" w:themeColor="text1"/>
          <w:sz w:val="36"/>
          <w:szCs w:val="36"/>
          <w:rtl/>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A6629" w:rsidRPr="00ED5D0F" w14:paraId="497F419F" w14:textId="77777777" w:rsidTr="00FA402B">
        <w:tc>
          <w:tcPr>
            <w:tcW w:w="4530" w:type="dxa"/>
          </w:tcPr>
          <w:p w14:paraId="367BB488" w14:textId="77777777" w:rsidR="007A6629" w:rsidRPr="00ED5D0F" w:rsidRDefault="007A6629" w:rsidP="00FA402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D5D0F">
              <w:rPr>
                <w:rFonts w:ascii="Simplified Arabic" w:hAnsi="Simplified Arabic" w:cs="Simplified Arabic" w:hint="cs"/>
                <w:b/>
                <w:bCs/>
                <w:color w:val="000000" w:themeColor="text1"/>
                <w:sz w:val="36"/>
                <w:szCs w:val="36"/>
                <w:rtl/>
                <w:lang w:bidi="ar-EG"/>
              </w:rPr>
              <w:t>المشرف الرئيسي/</w:t>
            </w:r>
          </w:p>
        </w:tc>
        <w:tc>
          <w:tcPr>
            <w:tcW w:w="4531" w:type="dxa"/>
          </w:tcPr>
          <w:p w14:paraId="42C98EFC" w14:textId="77777777" w:rsidR="007A6629" w:rsidRPr="00ED5D0F" w:rsidRDefault="007A6629" w:rsidP="00FA402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D5D0F">
              <w:rPr>
                <w:rFonts w:ascii="Simplified Arabic" w:hAnsi="Simplified Arabic" w:cs="Simplified Arabic" w:hint="cs"/>
                <w:b/>
                <w:bCs/>
                <w:color w:val="000000" w:themeColor="text1"/>
                <w:sz w:val="36"/>
                <w:szCs w:val="36"/>
                <w:rtl/>
                <w:lang w:bidi="ar-EG"/>
              </w:rPr>
              <w:t>المشرف الثاني/</w:t>
            </w:r>
          </w:p>
        </w:tc>
      </w:tr>
      <w:tr w:rsidR="007A6629" w:rsidRPr="00ED5D0F" w14:paraId="170B1B10" w14:textId="77777777" w:rsidTr="00FA402B">
        <w:tc>
          <w:tcPr>
            <w:tcW w:w="4530" w:type="dxa"/>
          </w:tcPr>
          <w:p w14:paraId="32055611" w14:textId="77777777" w:rsidR="007A6629" w:rsidRPr="00ED5D0F" w:rsidRDefault="007A6629" w:rsidP="00FA402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D5D0F">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1C393D5" w14:textId="77777777" w:rsidR="007A6629" w:rsidRPr="00ED5D0F" w:rsidRDefault="007A6629" w:rsidP="00FA402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ED5D0F">
              <w:rPr>
                <w:rFonts w:ascii="Simplified Arabic" w:eastAsia="Calibri" w:hAnsi="Simplified Arabic" w:cs="Simplified Arabic"/>
                <w:color w:val="000000" w:themeColor="text1"/>
                <w:kern w:val="0"/>
                <w:sz w:val="36"/>
                <w:szCs w:val="36"/>
                <w:rtl/>
                <w:lang w:bidi="ar-EG"/>
                <w14:ligatures w14:val="none"/>
              </w:rPr>
              <w:t>د.فايز</w:t>
            </w:r>
            <w:proofErr w:type="spellEnd"/>
            <w:r w:rsidRPr="00ED5D0F">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2019EFA2" w14:textId="77777777" w:rsidR="007A6629" w:rsidRPr="00ED5D0F" w:rsidRDefault="007A6629" w:rsidP="007A662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D5D0F">
        <w:rPr>
          <w:rFonts w:ascii="Simplified Arabic" w:hAnsi="Simplified Arabic" w:cs="Simplified Arabic"/>
          <w:b/>
          <w:bCs/>
          <w:color w:val="000000" w:themeColor="text1"/>
          <w:sz w:val="36"/>
          <w:szCs w:val="36"/>
          <w:rtl/>
          <w:lang w:bidi="ar-EG"/>
        </w:rPr>
        <w:t>العام الدراسي:</w:t>
      </w:r>
    </w:p>
    <w:p w14:paraId="1E0AE3E2" w14:textId="77777777" w:rsidR="007A6629" w:rsidRPr="00ED5D0F" w:rsidRDefault="007A6629" w:rsidP="007A6629">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ED5D0F">
        <w:rPr>
          <w:rFonts w:ascii="Simplified Arabic" w:hAnsi="Simplified Arabic" w:cs="Simplified Arabic" w:hint="cs"/>
          <w:color w:val="000000" w:themeColor="text1"/>
          <w:sz w:val="36"/>
          <w:szCs w:val="36"/>
          <w:rtl/>
          <w:lang w:bidi="ar-EG"/>
        </w:rPr>
        <w:t xml:space="preserve">1448 </w:t>
      </w:r>
      <w:r w:rsidRPr="00ED5D0F">
        <w:rPr>
          <w:rFonts w:ascii="Simplified Arabic" w:hAnsi="Simplified Arabic" w:cs="Simplified Arabic"/>
          <w:color w:val="000000" w:themeColor="text1"/>
          <w:sz w:val="36"/>
          <w:szCs w:val="36"/>
          <w:rtl/>
          <w:lang w:bidi="ar-EG"/>
        </w:rPr>
        <w:t>–</w:t>
      </w:r>
      <w:r w:rsidRPr="00ED5D0F">
        <w:rPr>
          <w:rFonts w:ascii="Simplified Arabic" w:hAnsi="Simplified Arabic" w:cs="Simplified Arabic" w:hint="cs"/>
          <w:color w:val="000000" w:themeColor="text1"/>
          <w:sz w:val="36"/>
          <w:szCs w:val="36"/>
          <w:rtl/>
          <w:lang w:bidi="ar-EG"/>
        </w:rPr>
        <w:t xml:space="preserve"> 2026</w:t>
      </w:r>
    </w:p>
    <w:p w14:paraId="7F5FF657" w14:textId="77777777" w:rsidR="007A6629" w:rsidRPr="00ED5D0F" w:rsidRDefault="007A6629" w:rsidP="007A6629">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7A6629" w:rsidRPr="00ED5D0F" w:rsidSect="007A6629">
          <w:type w:val="continuous"/>
          <w:pgSz w:w="11906" w:h="16838" w:code="9"/>
          <w:pgMar w:top="1134" w:right="1701" w:bottom="1134" w:left="1134" w:header="720" w:footer="720" w:gutter="0"/>
          <w:pgNumType w:fmt="arabicAbjad" w:start="1"/>
          <w:cols w:space="708"/>
          <w:bidi/>
          <w:rtlGutter/>
          <w:docGrid w:linePitch="360"/>
        </w:sectPr>
      </w:pPr>
    </w:p>
    <w:p w14:paraId="6D3EF052" w14:textId="7ADCA2E3" w:rsidR="007A6629" w:rsidRPr="00ED5D0F" w:rsidRDefault="00FA402B" w:rsidP="00FA402B">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577117"/>
      <w:r w:rsidRPr="00ED5D0F">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7D61D9F1" w14:textId="7D8EAC93" w:rsidR="00FA402B" w:rsidRPr="00ED5D0F" w:rsidRDefault="00FA402B" w:rsidP="00FA402B">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1" w:name="_Toc233577118"/>
      <w:r w:rsidRPr="00ED5D0F">
        <w:rPr>
          <w:rFonts w:ascii="Simplified Arabic" w:hAnsi="Simplified Arabic" w:cs="Simplified Arabic" w:hint="cs"/>
          <w:b/>
          <w:bCs/>
          <w:color w:val="000000" w:themeColor="text1"/>
          <w:sz w:val="36"/>
          <w:szCs w:val="36"/>
          <w:rtl/>
        </w:rPr>
        <w:t>1.1 المقدمة</w:t>
      </w:r>
      <w:bookmarkEnd w:id="1"/>
    </w:p>
    <w:p w14:paraId="737E7E0D" w14:textId="42FDCCE3" w:rsidR="00B95BA6" w:rsidRPr="00ED5D0F" w:rsidRDefault="00B95BA6" w:rsidP="00FA402B">
      <w:pPr>
        <w:pStyle w:val="a8"/>
        <w:bidi/>
        <w:spacing w:line="276" w:lineRule="auto"/>
        <w:ind w:firstLine="424"/>
        <w:jc w:val="both"/>
        <w:rPr>
          <w:rFonts w:ascii="Simplified Arabic" w:hAnsi="Simplified Arabic" w:cs="Simplified Arabic"/>
          <w:color w:val="000000" w:themeColor="text1"/>
          <w:sz w:val="28"/>
          <w:szCs w:val="28"/>
        </w:rPr>
      </w:pPr>
      <w:bookmarkStart w:id="2" w:name="_Hlk172151144"/>
      <w:bookmarkStart w:id="3" w:name="_Toc169790489"/>
      <w:r w:rsidRPr="00ED5D0F">
        <w:rPr>
          <w:rFonts w:ascii="Simplified Arabic" w:hAnsi="Simplified Arabic" w:cs="Simplified Arabic"/>
          <w:color w:val="000000" w:themeColor="text1"/>
          <w:sz w:val="28"/>
          <w:szCs w:val="28"/>
          <w:rtl/>
        </w:rPr>
        <w:t>تُعدّ الحوكمة المؤسسية من الركائز الجوهرية التي تقوم عليها المنظمات المعاصرة في سعيها نحو تحقيق الكفاءة التنظيمية والاستدامة المؤسسية، إذ تُوفّر الأطر والآليات التي تضمن الشفافية والمساءلة وحماية حقوق أصحاب المصلحة، وقد تعاظم الاهتمام بها في العقدين الأخيرين نتيجة الأزمات المالية والإدارية التي كشفت عن هشاشة البُنى الرقابية في كثير من المؤسسات حول العالم. وفي هذا السياق، لم يعد مفهوم الحوكمة مقتصراً على القطاعات المالية والمصرفية، بل امتدّ ليشمل قطاعات حيوية متعددة من بينها القطاع العقاري الذي يحظى بأهمية اقتصادية واجتماعية بالغة، لا سيما في المملكة العربية السعودية التي تشهد تحولات تنظيمية وتشريعية متسارعة في إطار رؤية 2030 (الحربي، 2021)</w:t>
      </w:r>
      <w:r w:rsidRPr="00ED5D0F">
        <w:rPr>
          <w:rFonts w:ascii="Simplified Arabic" w:hAnsi="Simplified Arabic" w:cs="Simplified Arabic"/>
          <w:color w:val="000000" w:themeColor="text1"/>
          <w:sz w:val="28"/>
          <w:szCs w:val="28"/>
        </w:rPr>
        <w:t>.</w:t>
      </w:r>
    </w:p>
    <w:p w14:paraId="56B6BD32" w14:textId="77777777" w:rsidR="00B95BA6" w:rsidRPr="00ED5D0F" w:rsidRDefault="00B95BA6" w:rsidP="00FA402B">
      <w:pPr>
        <w:pStyle w:val="a8"/>
        <w:bidi/>
        <w:spacing w:line="276" w:lineRule="auto"/>
        <w:ind w:firstLine="424"/>
        <w:jc w:val="both"/>
        <w:rPr>
          <w:rFonts w:ascii="Simplified Arabic" w:hAnsi="Simplified Arabic" w:cs="Simplified Arabic"/>
          <w:color w:val="000000" w:themeColor="text1"/>
          <w:sz w:val="28"/>
          <w:szCs w:val="28"/>
        </w:rPr>
      </w:pPr>
      <w:r w:rsidRPr="00ED5D0F">
        <w:rPr>
          <w:rFonts w:ascii="Simplified Arabic" w:hAnsi="Simplified Arabic" w:cs="Simplified Arabic"/>
          <w:color w:val="000000" w:themeColor="text1"/>
          <w:sz w:val="28"/>
          <w:szCs w:val="28"/>
          <w:rtl/>
        </w:rPr>
        <w:t xml:space="preserve">وتُشكّل إدارة مخاطر الامتثال أحد المداخل الإدارية الحديثة التي تُعنى بتحديد وتقييم ورقابة والاستجابة للمخاطر الناشئة عن عدم الالتزام بالأنظمة والتشريعات واللوائح التنظيمية السارية، وقد تطوّر هذا المفهوم ليُصبح منظومة متكاملة تتجاوز الامتثال الشكلي إلى بناء ثقافة مؤسسية قائمة على الالتزام </w:t>
      </w:r>
      <w:proofErr w:type="spellStart"/>
      <w:r w:rsidRPr="00ED5D0F">
        <w:rPr>
          <w:rFonts w:ascii="Simplified Arabic" w:hAnsi="Simplified Arabic" w:cs="Simplified Arabic"/>
          <w:color w:val="000000" w:themeColor="text1"/>
          <w:sz w:val="28"/>
          <w:szCs w:val="28"/>
          <w:rtl/>
        </w:rPr>
        <w:t>الاستباقي</w:t>
      </w:r>
      <w:proofErr w:type="spellEnd"/>
      <w:r w:rsidRPr="00ED5D0F">
        <w:rPr>
          <w:rFonts w:ascii="Simplified Arabic" w:hAnsi="Simplified Arabic" w:cs="Simplified Arabic"/>
          <w:color w:val="000000" w:themeColor="text1"/>
          <w:sz w:val="28"/>
          <w:szCs w:val="28"/>
          <w:rtl/>
        </w:rPr>
        <w:t xml:space="preserve"> والرقابة المستمرة. وتكمن أهمية إدارة مخاطر الامتثال في كونها تُمثّل خط الدفاع الأول في مواجهة المخاطر التنظيمية والقانونية التي قد تتعرّض لها المؤسسات في بيئات تشريعية متغيرة ومعقدة، حيث إن القصور في إدارة هذه المخاطر قد يُفضي إلى عقوبات تنظيمية وخسائر مالية وسمعية جسيمة (الزعبي والحايك، 2022)</w:t>
      </w:r>
      <w:r w:rsidRPr="00ED5D0F">
        <w:rPr>
          <w:rFonts w:ascii="Simplified Arabic" w:hAnsi="Simplified Arabic" w:cs="Simplified Arabic"/>
          <w:color w:val="000000" w:themeColor="text1"/>
          <w:sz w:val="28"/>
          <w:szCs w:val="28"/>
        </w:rPr>
        <w:t>.</w:t>
      </w:r>
    </w:p>
    <w:p w14:paraId="3B850666" w14:textId="77777777" w:rsidR="00B95BA6" w:rsidRPr="00ED5D0F" w:rsidRDefault="00B95BA6" w:rsidP="00FA402B">
      <w:pPr>
        <w:pStyle w:val="a8"/>
        <w:bidi/>
        <w:spacing w:line="276" w:lineRule="auto"/>
        <w:ind w:firstLine="424"/>
        <w:jc w:val="both"/>
        <w:rPr>
          <w:rFonts w:ascii="Simplified Arabic" w:hAnsi="Simplified Arabic" w:cs="Simplified Arabic"/>
          <w:color w:val="000000" w:themeColor="text1"/>
          <w:sz w:val="28"/>
          <w:szCs w:val="28"/>
        </w:rPr>
      </w:pPr>
      <w:r w:rsidRPr="00ED5D0F">
        <w:rPr>
          <w:rFonts w:ascii="Simplified Arabic" w:hAnsi="Simplified Arabic" w:cs="Simplified Arabic"/>
          <w:color w:val="000000" w:themeColor="text1"/>
          <w:sz w:val="28"/>
          <w:szCs w:val="28"/>
          <w:rtl/>
        </w:rPr>
        <w:t>ويتطلب بناء منظومة فعّالة لإدارة مخاطر الامتثال وجود آليات دقيقة لتحديد المخاطر التنظيمية الناشئة ورصدها في مراحلها المبكرة، ومنهجيات علمية لتقييم احتمالية حدوثها وشدة تأثيرها وترتيب أولوياتها، فضلاً عن أنشطة رقابية مستمرة لمتابعة مستوى الالتزام وآليات استجابة مرنة وسريعة لمعالجة حالات عدم الامتثال. وقد أكّدت الأدبيات الحديثة أن تكامل هذه الأبعاد الأربعة يُسهم في تعزيز البُنية الرقابية للمؤسسات وتقليل تعرّضها للمخاطر التشغيلية والقانونية، بما ينعكس إيجاباً على أدائها المؤسسي واستقرارها التنظيمي</w:t>
      </w:r>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Ogunsola</w:t>
      </w:r>
      <w:proofErr w:type="spellEnd"/>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Balogun</w:t>
      </w:r>
      <w:proofErr w:type="spellEnd"/>
      <w:r w:rsidRPr="00ED5D0F">
        <w:rPr>
          <w:rFonts w:ascii="Simplified Arabic" w:hAnsi="Simplified Arabic" w:cs="Simplified Arabic"/>
          <w:color w:val="000000" w:themeColor="text1"/>
          <w:sz w:val="28"/>
          <w:szCs w:val="28"/>
        </w:rPr>
        <w:t xml:space="preserve"> &amp; </w:t>
      </w:r>
      <w:proofErr w:type="spellStart"/>
      <w:r w:rsidRPr="00ED5D0F">
        <w:rPr>
          <w:rFonts w:ascii="Simplified Arabic" w:hAnsi="Simplified Arabic" w:cs="Simplified Arabic"/>
          <w:color w:val="000000" w:themeColor="text1"/>
          <w:sz w:val="28"/>
          <w:szCs w:val="28"/>
        </w:rPr>
        <w:t>Ogunmokun</w:t>
      </w:r>
      <w:proofErr w:type="spellEnd"/>
      <w:r w:rsidRPr="00ED5D0F">
        <w:rPr>
          <w:rFonts w:ascii="Simplified Arabic" w:hAnsi="Simplified Arabic" w:cs="Simplified Arabic"/>
          <w:color w:val="000000" w:themeColor="text1"/>
          <w:sz w:val="28"/>
          <w:szCs w:val="28"/>
        </w:rPr>
        <w:t>, 2021).</w:t>
      </w:r>
    </w:p>
    <w:p w14:paraId="79534BB8" w14:textId="77777777" w:rsidR="00B95BA6" w:rsidRPr="00ED5D0F" w:rsidRDefault="00B95BA6" w:rsidP="00FA402B">
      <w:pPr>
        <w:pStyle w:val="a8"/>
        <w:bidi/>
        <w:spacing w:line="276" w:lineRule="auto"/>
        <w:ind w:firstLine="424"/>
        <w:jc w:val="both"/>
        <w:rPr>
          <w:rFonts w:ascii="Simplified Arabic" w:hAnsi="Simplified Arabic" w:cs="Simplified Arabic"/>
          <w:color w:val="000000" w:themeColor="text1"/>
          <w:sz w:val="28"/>
          <w:szCs w:val="28"/>
        </w:rPr>
      </w:pPr>
      <w:r w:rsidRPr="00ED5D0F">
        <w:rPr>
          <w:rFonts w:ascii="Simplified Arabic" w:hAnsi="Simplified Arabic" w:cs="Simplified Arabic"/>
          <w:color w:val="000000" w:themeColor="text1"/>
          <w:sz w:val="28"/>
          <w:szCs w:val="28"/>
          <w:rtl/>
        </w:rPr>
        <w:t xml:space="preserve">ومن جهة أخرى، تحظى جودة الحوكمة باهتمام متزايد في الأدبيات الإدارية والمحاسبية باعتبارها مؤشراً جوهرياً على سلامة الممارسات التنظيمية ونضج البيئة المؤسسية، وهي تعكس مدى قدرة المؤسسة </w:t>
      </w:r>
      <w:r w:rsidRPr="00ED5D0F">
        <w:rPr>
          <w:rFonts w:ascii="Simplified Arabic" w:hAnsi="Simplified Arabic" w:cs="Simplified Arabic"/>
          <w:color w:val="000000" w:themeColor="text1"/>
          <w:sz w:val="28"/>
          <w:szCs w:val="28"/>
          <w:rtl/>
        </w:rPr>
        <w:lastRenderedPageBreak/>
        <w:t>على تحقيق التوازن بين مصالح الأطراف المختلفة وضمان الشفافية في عمليات صنع القرار وفعالية آليات الرقابة والمساءلة. وتتحدد جودة الحوكمة بمجموعة من المعايير التي تشمل استقلالية الأجهزة الرقابية وكفاءة الإفصاح والشفافية وفاعلية مجالس الإدارة وحماية حقوق أصحاب المصلحة</w:t>
      </w:r>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Nkuutu</w:t>
      </w:r>
      <w:proofErr w:type="spellEnd"/>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Ntayi</w:t>
      </w:r>
      <w:proofErr w:type="spellEnd"/>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Nkote</w:t>
      </w:r>
      <w:proofErr w:type="spellEnd"/>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Munene</w:t>
      </w:r>
      <w:proofErr w:type="spellEnd"/>
      <w:r w:rsidRPr="00ED5D0F">
        <w:rPr>
          <w:rFonts w:ascii="Simplified Arabic" w:hAnsi="Simplified Arabic" w:cs="Simplified Arabic"/>
          <w:color w:val="000000" w:themeColor="text1"/>
          <w:sz w:val="28"/>
          <w:szCs w:val="28"/>
        </w:rPr>
        <w:t xml:space="preserve"> &amp; </w:t>
      </w:r>
      <w:proofErr w:type="spellStart"/>
      <w:r w:rsidRPr="00ED5D0F">
        <w:rPr>
          <w:rFonts w:ascii="Simplified Arabic" w:hAnsi="Simplified Arabic" w:cs="Simplified Arabic"/>
          <w:color w:val="000000" w:themeColor="text1"/>
          <w:sz w:val="28"/>
          <w:szCs w:val="28"/>
        </w:rPr>
        <w:t>Kaberuka</w:t>
      </w:r>
      <w:proofErr w:type="spellEnd"/>
      <w:r w:rsidRPr="00ED5D0F">
        <w:rPr>
          <w:rFonts w:ascii="Simplified Arabic" w:hAnsi="Simplified Arabic" w:cs="Simplified Arabic"/>
          <w:color w:val="000000" w:themeColor="text1"/>
          <w:sz w:val="28"/>
          <w:szCs w:val="28"/>
        </w:rPr>
        <w:t xml:space="preserve">, 2021). </w:t>
      </w:r>
      <w:r w:rsidRPr="00ED5D0F">
        <w:rPr>
          <w:rFonts w:ascii="Simplified Arabic" w:hAnsi="Simplified Arabic" w:cs="Simplified Arabic"/>
          <w:color w:val="000000" w:themeColor="text1"/>
          <w:sz w:val="28"/>
          <w:szCs w:val="28"/>
          <w:rtl/>
        </w:rPr>
        <w:t>كما أن تحقيق مستويات مرتفعة من جودة الحوكمة يرتبط ارتباطاً وثيقاً بوجود أطر تنظيمية متينة تكفل الالتزام بالمعايير والأنظمة وتُعزّز ثقة المتعاملين والمستثمرين في البيئة المؤسسية، وهو ما أكّدته الدراسات التي تناولت الحوكمة في سياقات مؤسسية مختلفة</w:t>
      </w:r>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Elamer</w:t>
      </w:r>
      <w:proofErr w:type="spellEnd"/>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Ntim</w:t>
      </w:r>
      <w:proofErr w:type="spellEnd"/>
      <w:r w:rsidRPr="00ED5D0F">
        <w:rPr>
          <w:rFonts w:ascii="Simplified Arabic" w:hAnsi="Simplified Arabic" w:cs="Simplified Arabic"/>
          <w:color w:val="000000" w:themeColor="text1"/>
          <w:sz w:val="28"/>
          <w:szCs w:val="28"/>
        </w:rPr>
        <w:t xml:space="preserve"> &amp; </w:t>
      </w:r>
      <w:proofErr w:type="spellStart"/>
      <w:r w:rsidRPr="00ED5D0F">
        <w:rPr>
          <w:rFonts w:ascii="Simplified Arabic" w:hAnsi="Simplified Arabic" w:cs="Simplified Arabic"/>
          <w:color w:val="000000" w:themeColor="text1"/>
          <w:sz w:val="28"/>
          <w:szCs w:val="28"/>
        </w:rPr>
        <w:t>Abdou</w:t>
      </w:r>
      <w:proofErr w:type="spellEnd"/>
      <w:r w:rsidRPr="00ED5D0F">
        <w:rPr>
          <w:rFonts w:ascii="Simplified Arabic" w:hAnsi="Simplified Arabic" w:cs="Simplified Arabic"/>
          <w:color w:val="000000" w:themeColor="text1"/>
          <w:sz w:val="28"/>
          <w:szCs w:val="28"/>
        </w:rPr>
        <w:t>, 2020).</w:t>
      </w:r>
    </w:p>
    <w:p w14:paraId="0B8CDBCA" w14:textId="77777777" w:rsidR="00B95BA6" w:rsidRPr="00ED5D0F" w:rsidRDefault="00B95BA6" w:rsidP="00FA402B">
      <w:pPr>
        <w:pStyle w:val="a8"/>
        <w:bidi/>
        <w:spacing w:line="276" w:lineRule="auto"/>
        <w:ind w:firstLine="424"/>
        <w:jc w:val="both"/>
        <w:rPr>
          <w:rFonts w:ascii="Simplified Arabic" w:hAnsi="Simplified Arabic" w:cs="Simplified Arabic"/>
          <w:color w:val="000000" w:themeColor="text1"/>
          <w:sz w:val="28"/>
          <w:szCs w:val="28"/>
        </w:rPr>
      </w:pPr>
      <w:r w:rsidRPr="00ED5D0F">
        <w:rPr>
          <w:rFonts w:ascii="Simplified Arabic" w:hAnsi="Simplified Arabic" w:cs="Simplified Arabic"/>
          <w:color w:val="000000" w:themeColor="text1"/>
          <w:sz w:val="28"/>
          <w:szCs w:val="28"/>
          <w:rtl/>
        </w:rPr>
        <w:t>وعند الربط بين المتغيرين، تتجلّى العلاقة العضوية بين إدارة مخاطر الامتثال وجودة الحوكمة، إذ إن فاعلية الأولى تُشكّل شرطاً لازماً لتحقيق الثانية، فالمؤسسات التي تمتلك منظومة متقدمة لإدارة مخاطر الامتثال تكون أكثر قدرة على تطبيق مبادئ الحوكمة الرشيدة وتعزيز الثقة المؤسسية. وقد أشارت الأدبيات الحديثة إلى أن دمج الحوكمة والمخاطر والامتثال في إطار واحد متكامل يُعزّز الأداء المؤسسي ويُحسّن جودة القرارات الاستراتيجية والتشغيلية</w:t>
      </w:r>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Handoko</w:t>
      </w:r>
      <w:proofErr w:type="spellEnd"/>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Riantono</w:t>
      </w:r>
      <w:proofErr w:type="spellEnd"/>
      <w:r w:rsidRPr="00ED5D0F">
        <w:rPr>
          <w:rFonts w:ascii="Simplified Arabic" w:hAnsi="Simplified Arabic" w:cs="Simplified Arabic"/>
          <w:color w:val="000000" w:themeColor="text1"/>
          <w:sz w:val="28"/>
          <w:szCs w:val="28"/>
        </w:rPr>
        <w:t xml:space="preserve"> &amp; </w:t>
      </w:r>
      <w:proofErr w:type="spellStart"/>
      <w:r w:rsidRPr="00ED5D0F">
        <w:rPr>
          <w:rFonts w:ascii="Simplified Arabic" w:hAnsi="Simplified Arabic" w:cs="Simplified Arabic"/>
          <w:color w:val="000000" w:themeColor="text1"/>
          <w:sz w:val="28"/>
          <w:szCs w:val="28"/>
        </w:rPr>
        <w:t>Gani</w:t>
      </w:r>
      <w:proofErr w:type="spellEnd"/>
      <w:r w:rsidRPr="00ED5D0F">
        <w:rPr>
          <w:rFonts w:ascii="Simplified Arabic" w:hAnsi="Simplified Arabic" w:cs="Simplified Arabic"/>
          <w:color w:val="000000" w:themeColor="text1"/>
          <w:sz w:val="28"/>
          <w:szCs w:val="28"/>
        </w:rPr>
        <w:t>, 2020).</w:t>
      </w:r>
    </w:p>
    <w:p w14:paraId="35D8974B" w14:textId="77777777" w:rsidR="00B95BA6" w:rsidRPr="00ED5D0F" w:rsidRDefault="00B95BA6" w:rsidP="00FA402B">
      <w:pPr>
        <w:pStyle w:val="a8"/>
        <w:bidi/>
        <w:spacing w:line="276" w:lineRule="auto"/>
        <w:ind w:firstLine="424"/>
        <w:jc w:val="both"/>
        <w:rPr>
          <w:rFonts w:ascii="Simplified Arabic" w:hAnsi="Simplified Arabic" w:cs="Simplified Arabic"/>
          <w:color w:val="000000" w:themeColor="text1"/>
          <w:sz w:val="28"/>
          <w:szCs w:val="28"/>
        </w:rPr>
      </w:pPr>
      <w:r w:rsidRPr="00ED5D0F">
        <w:rPr>
          <w:rFonts w:ascii="Simplified Arabic" w:hAnsi="Simplified Arabic" w:cs="Simplified Arabic"/>
          <w:color w:val="000000" w:themeColor="text1"/>
          <w:sz w:val="28"/>
          <w:szCs w:val="28"/>
          <w:rtl/>
        </w:rPr>
        <w:t xml:space="preserve">وفي ضوء ما تقدّم، تأتي هذه الدراسة لتتناول أثر إدارة مخاطر الامتثال بأبعادها الأربعة على جودة الحوكمة في الهيئة العامة للعقار في المملكة العربية السعودية، ساعية إلى تقديم إطار علمي وعملي يُسهم في تعزيز الممارسات </w:t>
      </w:r>
      <w:proofErr w:type="spellStart"/>
      <w:r w:rsidRPr="00ED5D0F">
        <w:rPr>
          <w:rFonts w:ascii="Simplified Arabic" w:hAnsi="Simplified Arabic" w:cs="Simplified Arabic"/>
          <w:color w:val="000000" w:themeColor="text1"/>
          <w:sz w:val="28"/>
          <w:szCs w:val="28"/>
          <w:rtl/>
        </w:rPr>
        <w:t>الحوكمية</w:t>
      </w:r>
      <w:proofErr w:type="spellEnd"/>
      <w:r w:rsidRPr="00ED5D0F">
        <w:rPr>
          <w:rFonts w:ascii="Simplified Arabic" w:hAnsi="Simplified Arabic" w:cs="Simplified Arabic"/>
          <w:color w:val="000000" w:themeColor="text1"/>
          <w:sz w:val="28"/>
          <w:szCs w:val="28"/>
          <w:rtl/>
        </w:rPr>
        <w:t xml:space="preserve"> في أحد أهم القطاعات الاقتصادية في المملكة، وذلك في مرحلة تنظيمية فارقة يمرّ بها القطاع العقاري السعودي ضمن مسيرة التحول الوطني الشامل</w:t>
      </w:r>
      <w:r w:rsidRPr="00ED5D0F">
        <w:rPr>
          <w:rFonts w:ascii="Simplified Arabic" w:hAnsi="Simplified Arabic" w:cs="Simplified Arabic"/>
          <w:color w:val="000000" w:themeColor="text1"/>
          <w:sz w:val="28"/>
          <w:szCs w:val="28"/>
        </w:rPr>
        <w:t>.</w:t>
      </w:r>
    </w:p>
    <w:p w14:paraId="2BDECFA4" w14:textId="63765831" w:rsidR="00FA402B" w:rsidRPr="00ED5D0F" w:rsidRDefault="00FA402B" w:rsidP="00FA402B">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577119"/>
      <w:bookmarkStart w:id="5" w:name="_Toc169790500"/>
      <w:bookmarkEnd w:id="2"/>
      <w:bookmarkEnd w:id="3"/>
      <w:r w:rsidRPr="00ED5D0F">
        <w:rPr>
          <w:rFonts w:ascii="Simplified Arabic" w:hAnsi="Simplified Arabic" w:cs="Simplified Arabic"/>
          <w:b/>
          <w:bCs/>
          <w:color w:val="000000" w:themeColor="text1"/>
          <w:sz w:val="36"/>
          <w:szCs w:val="36"/>
          <w:rtl/>
        </w:rPr>
        <w:t>2.1 مشكلة الدراسة</w:t>
      </w:r>
      <w:bookmarkEnd w:id="4"/>
    </w:p>
    <w:p w14:paraId="3EA34596" w14:textId="77777777" w:rsidR="00B95BA6" w:rsidRPr="00ED5D0F" w:rsidRDefault="00B95BA6" w:rsidP="00FA402B">
      <w:pPr>
        <w:pStyle w:val="a8"/>
        <w:bidi/>
        <w:spacing w:line="276" w:lineRule="auto"/>
        <w:ind w:firstLine="424"/>
        <w:jc w:val="both"/>
        <w:rPr>
          <w:rFonts w:ascii="Simplified Arabic" w:hAnsi="Simplified Arabic" w:cs="Simplified Arabic"/>
          <w:color w:val="000000" w:themeColor="text1"/>
          <w:sz w:val="28"/>
          <w:szCs w:val="28"/>
        </w:rPr>
      </w:pPr>
      <w:r w:rsidRPr="00ED5D0F">
        <w:rPr>
          <w:rFonts w:ascii="Simplified Arabic" w:hAnsi="Simplified Arabic" w:cs="Simplified Arabic"/>
          <w:color w:val="000000" w:themeColor="text1"/>
          <w:sz w:val="28"/>
          <w:szCs w:val="28"/>
          <w:rtl/>
        </w:rPr>
        <w:t>يشهد القطاع العقاري في المملكة العربية السعودية تحولات تنظيمية وهيكلية غير مسبوقة في إطار رؤية المملكة 2030، التي وضعت هذا القطاع في صدارة القطاعات الاقتصادية المستهدفة بالتطوير والتحديث، حيث يُسهم بنحو 5.9% من الناتج المحلي الإجمالي غير النفطي وتطمح الرؤية إلى رفع نسبة تملّك المساكن إلى 70% بحلول عام 2030. وقد أُنيط بالهيئة العامة للعقار مسؤولية تنظيم القطاع العقاري والإشراف عليه وتطوير بيئته التشريعية، وهو ما أفرز تحديات جوهرية تتعلق بضرورة بناء منظومة متكاملة لإدارة مخاطر الامتثال تضمن التزام جميع الأطراف الفاعلة بالأنظمة واللوائح المتسارعة التطور، وتُعزّز في الوقت ذاته جودة الحوكمة المؤسسية لهذا الجهاز التنظيمي الحيوي</w:t>
      </w:r>
      <w:r w:rsidRPr="00ED5D0F">
        <w:rPr>
          <w:rFonts w:ascii="Simplified Arabic" w:hAnsi="Simplified Arabic" w:cs="Simplified Arabic"/>
          <w:color w:val="000000" w:themeColor="text1"/>
          <w:sz w:val="28"/>
          <w:szCs w:val="28"/>
        </w:rPr>
        <w:t>.</w:t>
      </w:r>
    </w:p>
    <w:p w14:paraId="18B15201" w14:textId="77777777" w:rsidR="00B95BA6" w:rsidRPr="00ED5D0F" w:rsidRDefault="00B95BA6" w:rsidP="00FA402B">
      <w:pPr>
        <w:pStyle w:val="a8"/>
        <w:bidi/>
        <w:spacing w:line="276" w:lineRule="auto"/>
        <w:ind w:firstLine="424"/>
        <w:jc w:val="both"/>
        <w:rPr>
          <w:rFonts w:ascii="Simplified Arabic" w:hAnsi="Simplified Arabic" w:cs="Simplified Arabic"/>
          <w:color w:val="000000" w:themeColor="text1"/>
          <w:sz w:val="28"/>
          <w:szCs w:val="28"/>
        </w:rPr>
      </w:pPr>
      <w:r w:rsidRPr="00ED5D0F">
        <w:rPr>
          <w:rFonts w:ascii="Simplified Arabic" w:hAnsi="Simplified Arabic" w:cs="Simplified Arabic"/>
          <w:color w:val="000000" w:themeColor="text1"/>
          <w:sz w:val="28"/>
          <w:szCs w:val="28"/>
          <w:rtl/>
        </w:rPr>
        <w:lastRenderedPageBreak/>
        <w:t>وتبرز مشكلة الدراسة من واقع الملاحظة العملية والاطلاع على الأدبيات المتخصصة، إذ تُشير التقارير الرقابية والدراسات الحديثة إلى أن كثيراً من المؤسسات التنظيمية في القطاع العقاري تواجه تحديات حقيقية في إدارة مخاطر الامتثال، تتجلّى في قصور آليات تحديد المخاطر التنظيمية الناشئة عن التشريعات المتجددة، وضعف منهجيات تقييم هذه المخاطر وترتيب أولوياتها، وعدم كفاية الأنشطة الرقابية المُطبّقة لمتابعة مستوى الالتزام، فضلاً عن بطء الاستجابة التصحيحية لحالات عدم الامتثال</w:t>
      </w:r>
      <w:r w:rsidRPr="00ED5D0F">
        <w:rPr>
          <w:rFonts w:ascii="Simplified Arabic" w:hAnsi="Simplified Arabic" w:cs="Simplified Arabic"/>
          <w:color w:val="000000" w:themeColor="text1"/>
          <w:sz w:val="28"/>
          <w:szCs w:val="28"/>
        </w:rPr>
        <w:t xml:space="preserve">. </w:t>
      </w:r>
      <w:r w:rsidRPr="00ED5D0F">
        <w:rPr>
          <w:rFonts w:ascii="Simplified Arabic" w:hAnsi="Simplified Arabic" w:cs="Simplified Arabic"/>
          <w:color w:val="000000" w:themeColor="text1"/>
          <w:sz w:val="28"/>
          <w:szCs w:val="28"/>
          <w:rtl/>
        </w:rPr>
        <w:t>وقد أكّدت دراسة الزعبي والحايك (2022) أن مستوى الامتثال لمبادئ الأنشطة الرقابية في المؤسسات الحكومية جاء بدرجة متوسطة، مما يعكس فجوة واضحة بين المتطلبات التنظيمية والممارسات الفعلية. كما أشارت دراسة</w:t>
      </w:r>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Nkuutu</w:t>
      </w:r>
      <w:proofErr w:type="spellEnd"/>
      <w:r w:rsidRPr="00ED5D0F">
        <w:rPr>
          <w:rFonts w:ascii="Simplified Arabic" w:hAnsi="Simplified Arabic" w:cs="Simplified Arabic"/>
          <w:color w:val="000000" w:themeColor="text1"/>
          <w:sz w:val="28"/>
          <w:szCs w:val="28"/>
        </w:rPr>
        <w:t xml:space="preserve"> et al. (2021) </w:t>
      </w:r>
      <w:r w:rsidRPr="00ED5D0F">
        <w:rPr>
          <w:rFonts w:ascii="Simplified Arabic" w:hAnsi="Simplified Arabic" w:cs="Simplified Arabic"/>
          <w:color w:val="000000" w:themeColor="text1"/>
          <w:sz w:val="28"/>
          <w:szCs w:val="28"/>
          <w:rtl/>
        </w:rPr>
        <w:t xml:space="preserve">إلى أن مستوى الامتثال للإفصاح عن المخاطر في المؤسسات المالية يظلّ منخفضاً في الاقتصادات النامية بسبب ضعف جودة </w:t>
      </w:r>
      <w:proofErr w:type="spellStart"/>
      <w:r w:rsidRPr="00ED5D0F">
        <w:rPr>
          <w:rFonts w:ascii="Simplified Arabic" w:hAnsi="Simplified Arabic" w:cs="Simplified Arabic"/>
          <w:color w:val="000000" w:themeColor="text1"/>
          <w:sz w:val="28"/>
          <w:szCs w:val="28"/>
          <w:rtl/>
        </w:rPr>
        <w:t>حوكمة</w:t>
      </w:r>
      <w:proofErr w:type="spellEnd"/>
      <w:r w:rsidRPr="00ED5D0F">
        <w:rPr>
          <w:rFonts w:ascii="Simplified Arabic" w:hAnsi="Simplified Arabic" w:cs="Simplified Arabic"/>
          <w:color w:val="000000" w:themeColor="text1"/>
          <w:sz w:val="28"/>
          <w:szCs w:val="28"/>
          <w:rtl/>
        </w:rPr>
        <w:t xml:space="preserve"> مجالس الإدارة. وفي السياق ذاته، أوضحت دراسة</w:t>
      </w:r>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Handoko</w:t>
      </w:r>
      <w:proofErr w:type="spellEnd"/>
      <w:r w:rsidRPr="00ED5D0F">
        <w:rPr>
          <w:rFonts w:ascii="Simplified Arabic" w:hAnsi="Simplified Arabic" w:cs="Simplified Arabic"/>
          <w:color w:val="000000" w:themeColor="text1"/>
          <w:sz w:val="28"/>
          <w:szCs w:val="28"/>
        </w:rPr>
        <w:t xml:space="preserve"> et al. (2020) </w:t>
      </w:r>
      <w:r w:rsidRPr="00ED5D0F">
        <w:rPr>
          <w:rFonts w:ascii="Simplified Arabic" w:hAnsi="Simplified Arabic" w:cs="Simplified Arabic"/>
          <w:color w:val="000000" w:themeColor="text1"/>
          <w:sz w:val="28"/>
          <w:szCs w:val="28"/>
          <w:rtl/>
        </w:rPr>
        <w:t>أن كثيراً من المؤسسات لا تزال تتعامل مع الحوكمة والمخاطر والامتثال كأنشطة منفصلة بدلاً من منظومة متكاملة، مما يُضعف فاعلية الرقابة ويُقلّل من جودة الحوكمة</w:t>
      </w:r>
      <w:r w:rsidRPr="00ED5D0F">
        <w:rPr>
          <w:rFonts w:ascii="Simplified Arabic" w:hAnsi="Simplified Arabic" w:cs="Simplified Arabic"/>
          <w:color w:val="000000" w:themeColor="text1"/>
          <w:sz w:val="28"/>
          <w:szCs w:val="28"/>
        </w:rPr>
        <w:t>.</w:t>
      </w:r>
    </w:p>
    <w:p w14:paraId="65A3A0EA" w14:textId="77777777" w:rsidR="00B95BA6" w:rsidRPr="00ED5D0F" w:rsidRDefault="00B95BA6" w:rsidP="00FA402B">
      <w:pPr>
        <w:pStyle w:val="a8"/>
        <w:bidi/>
        <w:spacing w:line="276" w:lineRule="auto"/>
        <w:ind w:firstLine="424"/>
        <w:jc w:val="both"/>
        <w:rPr>
          <w:rFonts w:ascii="Simplified Arabic" w:hAnsi="Simplified Arabic" w:cs="Simplified Arabic"/>
          <w:color w:val="000000" w:themeColor="text1"/>
          <w:sz w:val="28"/>
          <w:szCs w:val="28"/>
        </w:rPr>
      </w:pPr>
      <w:r w:rsidRPr="00ED5D0F">
        <w:rPr>
          <w:rFonts w:ascii="Simplified Arabic" w:hAnsi="Simplified Arabic" w:cs="Simplified Arabic"/>
          <w:color w:val="000000" w:themeColor="text1"/>
          <w:sz w:val="28"/>
          <w:szCs w:val="28"/>
          <w:rtl/>
        </w:rPr>
        <w:t>وتتعمّق المشكلة في سياق الهيئة العامة للعقار تحديداً، حيث يتّسم القطاع العقاري السعودي بتعدد الأنظمة واللوائح الصادرة في فترات زمنية متقاربة، كنظام الوساطة العقارية ونظام التسجيل العيني ونظام بيع وتأجير المشاريع العقارية على الخارطة، وهو ما يُولّد بيئة تنظيمية عالية التعقيد تتطلب منظومة دقيقة لتحديد وتقييم ورقابة والاستجابة لمخاطر الامتثال بشكل مستمر وديناميكي. وقد أكّدت دراسة</w:t>
      </w:r>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Elamer</w:t>
      </w:r>
      <w:proofErr w:type="spellEnd"/>
      <w:r w:rsidRPr="00ED5D0F">
        <w:rPr>
          <w:rFonts w:ascii="Simplified Arabic" w:hAnsi="Simplified Arabic" w:cs="Simplified Arabic"/>
          <w:color w:val="000000" w:themeColor="text1"/>
          <w:sz w:val="28"/>
          <w:szCs w:val="28"/>
        </w:rPr>
        <w:t xml:space="preserve"> et al. (2020) </w:t>
      </w:r>
      <w:r w:rsidRPr="00ED5D0F">
        <w:rPr>
          <w:rFonts w:ascii="Simplified Arabic" w:hAnsi="Simplified Arabic" w:cs="Simplified Arabic"/>
          <w:color w:val="000000" w:themeColor="text1"/>
          <w:sz w:val="28"/>
          <w:szCs w:val="28"/>
          <w:rtl/>
        </w:rPr>
        <w:t>أن جودة الحوكمة الوطنية تؤثر تأثيراً جوهرياً في ممارسات إدارة المخاطر والإفصاح، بينما أشارت دراسة عامر وسلامة ودعيه (2025) إلى أن الامتثال الشكلي للمعايير التنظيمية لا يضمن بالضرورة فعالية رقابية حقيقية، مما يستوجب البحث في العوامل النوعية التي تُعزّز جودة الحوكمة فعلياً</w:t>
      </w:r>
      <w:r w:rsidRPr="00ED5D0F">
        <w:rPr>
          <w:rFonts w:ascii="Simplified Arabic" w:hAnsi="Simplified Arabic" w:cs="Simplified Arabic"/>
          <w:color w:val="000000" w:themeColor="text1"/>
          <w:sz w:val="28"/>
          <w:szCs w:val="28"/>
        </w:rPr>
        <w:t>.</w:t>
      </w:r>
    </w:p>
    <w:p w14:paraId="516125D2" w14:textId="77777777" w:rsidR="00B95BA6" w:rsidRPr="00ED5D0F" w:rsidRDefault="00B95BA6" w:rsidP="00FA402B">
      <w:pPr>
        <w:pStyle w:val="a8"/>
        <w:bidi/>
        <w:spacing w:line="276" w:lineRule="auto"/>
        <w:ind w:firstLine="424"/>
        <w:jc w:val="both"/>
        <w:rPr>
          <w:rFonts w:ascii="Simplified Arabic" w:hAnsi="Simplified Arabic" w:cs="Simplified Arabic"/>
          <w:color w:val="000000" w:themeColor="text1"/>
          <w:sz w:val="28"/>
          <w:szCs w:val="28"/>
        </w:rPr>
      </w:pPr>
      <w:r w:rsidRPr="00ED5D0F">
        <w:rPr>
          <w:rFonts w:ascii="Simplified Arabic" w:hAnsi="Simplified Arabic" w:cs="Simplified Arabic"/>
          <w:color w:val="000000" w:themeColor="text1"/>
          <w:sz w:val="28"/>
          <w:szCs w:val="28"/>
          <w:rtl/>
        </w:rPr>
        <w:t>وعلى الرغم من الاهتمام الأكاديمي المتزايد بموضوعات الحوكمة وإدارة المخاطر والامتثال، فإن المراجعة المعمّقة للأدبيات تكشف عن ندرة واضحة في الدراسات التي تناولت العلاقة بين إدارة مخاطر الامتثال وجودة الحوكمة في المؤسسات العقارية التنظيمية، لا سيما في البيئة السعودية. وقد أوصت دراسة الحربي (2021) بضرورة إجراء مزيد من الدراسات حول آليات الحوكمة في السياق السعودي، كما دعت دراسة</w:t>
      </w:r>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Chairani</w:t>
      </w:r>
      <w:proofErr w:type="spellEnd"/>
      <w:r w:rsidRPr="00ED5D0F">
        <w:rPr>
          <w:rFonts w:ascii="Simplified Arabic" w:hAnsi="Simplified Arabic" w:cs="Simplified Arabic"/>
          <w:color w:val="000000" w:themeColor="text1"/>
          <w:sz w:val="28"/>
          <w:szCs w:val="28"/>
        </w:rPr>
        <w:t xml:space="preserve"> and </w:t>
      </w:r>
      <w:proofErr w:type="spellStart"/>
      <w:r w:rsidRPr="00ED5D0F">
        <w:rPr>
          <w:rFonts w:ascii="Simplified Arabic" w:hAnsi="Simplified Arabic" w:cs="Simplified Arabic"/>
          <w:color w:val="000000" w:themeColor="text1"/>
          <w:sz w:val="28"/>
          <w:szCs w:val="28"/>
        </w:rPr>
        <w:t>Siregar</w:t>
      </w:r>
      <w:proofErr w:type="spellEnd"/>
      <w:r w:rsidRPr="00ED5D0F">
        <w:rPr>
          <w:rFonts w:ascii="Simplified Arabic" w:hAnsi="Simplified Arabic" w:cs="Simplified Arabic"/>
          <w:color w:val="000000" w:themeColor="text1"/>
          <w:sz w:val="28"/>
          <w:szCs w:val="28"/>
        </w:rPr>
        <w:t xml:space="preserve"> (2021) </w:t>
      </w:r>
      <w:r w:rsidRPr="00ED5D0F">
        <w:rPr>
          <w:rFonts w:ascii="Simplified Arabic" w:hAnsi="Simplified Arabic" w:cs="Simplified Arabic"/>
          <w:color w:val="000000" w:themeColor="text1"/>
          <w:sz w:val="28"/>
          <w:szCs w:val="28"/>
          <w:rtl/>
        </w:rPr>
        <w:t xml:space="preserve">إلى استكشاف العلاقة بين إدارة المخاطر </w:t>
      </w:r>
      <w:proofErr w:type="spellStart"/>
      <w:r w:rsidRPr="00ED5D0F">
        <w:rPr>
          <w:rFonts w:ascii="Simplified Arabic" w:hAnsi="Simplified Arabic" w:cs="Simplified Arabic"/>
          <w:color w:val="000000" w:themeColor="text1"/>
          <w:sz w:val="28"/>
          <w:szCs w:val="28"/>
          <w:rtl/>
        </w:rPr>
        <w:t>والحوكمة</w:t>
      </w:r>
      <w:proofErr w:type="spellEnd"/>
      <w:r w:rsidRPr="00ED5D0F">
        <w:rPr>
          <w:rFonts w:ascii="Simplified Arabic" w:hAnsi="Simplified Arabic" w:cs="Simplified Arabic"/>
          <w:color w:val="000000" w:themeColor="text1"/>
          <w:sz w:val="28"/>
          <w:szCs w:val="28"/>
          <w:rtl/>
        </w:rPr>
        <w:t xml:space="preserve"> في قطاعات مختلفة. وعليه، تتبلور مشكلة الدراسة في التساؤل الرئيسي التالي</w:t>
      </w:r>
      <w:r w:rsidRPr="00ED5D0F">
        <w:rPr>
          <w:rFonts w:ascii="Simplified Arabic" w:hAnsi="Simplified Arabic" w:cs="Simplified Arabic"/>
          <w:color w:val="000000" w:themeColor="text1"/>
          <w:sz w:val="28"/>
          <w:szCs w:val="28"/>
        </w:rPr>
        <w:t xml:space="preserve">: </w:t>
      </w:r>
      <w:r w:rsidRPr="00ED5D0F">
        <w:rPr>
          <w:rStyle w:val="a9"/>
          <w:rFonts w:ascii="Simplified Arabic" w:hAnsi="Simplified Arabic" w:cs="Simplified Arabic"/>
          <w:b w:val="0"/>
          <w:bCs w:val="0"/>
          <w:color w:val="000000" w:themeColor="text1"/>
          <w:sz w:val="28"/>
          <w:szCs w:val="28"/>
          <w:rtl/>
        </w:rPr>
        <w:t>ما أثر إدارة مخاطر الامتثال بأبعادها (تحديد مخاطر الامتثال، تقييم مخاطر الامتثال، الرقابة على الامتثال، الاستجابة لمخاطر الامتثال) على جودة الحوكمة في الهيئة العامة للعقار في المملكة العربية السعودية؟</w:t>
      </w:r>
    </w:p>
    <w:p w14:paraId="119BE5EC" w14:textId="620BEF11" w:rsidR="00FA402B" w:rsidRPr="00ED5D0F" w:rsidRDefault="00FA402B" w:rsidP="00FA402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577120"/>
      <w:r w:rsidRPr="00ED5D0F">
        <w:rPr>
          <w:rFonts w:ascii="Simplified Arabic" w:eastAsia="Times New Roman" w:hAnsi="Simplified Arabic" w:cs="Simplified Arabic"/>
          <w:b/>
          <w:bCs/>
          <w:color w:val="000000" w:themeColor="text1"/>
          <w:kern w:val="0"/>
          <w:sz w:val="36"/>
          <w:szCs w:val="36"/>
          <w:rtl/>
          <w14:ligatures w14:val="none"/>
        </w:rPr>
        <w:lastRenderedPageBreak/>
        <w:t>3.1 أهدف الدراسة</w:t>
      </w:r>
      <w:bookmarkEnd w:id="6"/>
    </w:p>
    <w:p w14:paraId="3FF361A0" w14:textId="77777777" w:rsidR="00B95BA6" w:rsidRPr="00ED5D0F" w:rsidRDefault="00B95BA6" w:rsidP="00FA40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تهدف هذه الدراسة إلى دراسة أثر إدارة مخاطر الامتثال بأبعادها (تحديد مخاطر الامتثال، تقييم مخاطر الامتثال، الرقابة على الامتثال، الاستجابة لمخاطر الامتثال) على جودة الحوكمة في الهيئة العامة للعقار في المملكة العربية السعودية</w:t>
      </w:r>
      <w:r w:rsidRPr="00ED5D0F">
        <w:rPr>
          <w:rFonts w:ascii="Simplified Arabic" w:eastAsia="Times New Roman" w:hAnsi="Simplified Arabic" w:cs="Simplified Arabic"/>
          <w:color w:val="000000" w:themeColor="text1"/>
          <w:kern w:val="0"/>
          <w:sz w:val="28"/>
          <w:szCs w:val="28"/>
          <w14:ligatures w14:val="none"/>
        </w:rPr>
        <w:t>.</w:t>
      </w:r>
    </w:p>
    <w:p w14:paraId="304E3FC9" w14:textId="77777777" w:rsidR="00B95BA6" w:rsidRPr="00ED5D0F" w:rsidRDefault="00B95BA6" w:rsidP="007A662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تتفرع من الهدف الرئيسي الأهداف الفرعية التالية</w:t>
      </w:r>
      <w:r w:rsidRPr="00ED5D0F">
        <w:rPr>
          <w:rFonts w:ascii="Simplified Arabic" w:eastAsia="Times New Roman" w:hAnsi="Simplified Arabic" w:cs="Simplified Arabic"/>
          <w:b/>
          <w:bCs/>
          <w:color w:val="000000" w:themeColor="text1"/>
          <w:kern w:val="0"/>
          <w:sz w:val="28"/>
          <w:szCs w:val="28"/>
          <w14:ligatures w14:val="none"/>
        </w:rPr>
        <w:t>:</w:t>
      </w:r>
    </w:p>
    <w:p w14:paraId="44F1D843" w14:textId="5D70C0D0" w:rsidR="00B95BA6" w:rsidRPr="00ED5D0F" w:rsidRDefault="00B95BA6" w:rsidP="009472AE">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التعرف على أثر تحديد مخاطر الامتثال على جودة الحوكمة في الهيئة العامة للعقار في السعودية</w:t>
      </w:r>
      <w:r w:rsidRPr="00ED5D0F">
        <w:rPr>
          <w:rFonts w:ascii="Simplified Arabic" w:eastAsia="Times New Roman" w:hAnsi="Simplified Arabic" w:cs="Simplified Arabic"/>
          <w:color w:val="000000" w:themeColor="text1"/>
          <w:kern w:val="0"/>
          <w:sz w:val="28"/>
          <w:szCs w:val="28"/>
          <w14:ligatures w14:val="none"/>
        </w:rPr>
        <w:t>.</w:t>
      </w:r>
    </w:p>
    <w:p w14:paraId="0D025ECE" w14:textId="49A1D3A3" w:rsidR="00B95BA6" w:rsidRPr="00ED5D0F" w:rsidRDefault="00B95BA6" w:rsidP="009472AE">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قياس أثر تقييم مخاطر الامتثال على جودة الحوكمة في الهيئة العامة للعقار في السعودية</w:t>
      </w:r>
      <w:r w:rsidRPr="00ED5D0F">
        <w:rPr>
          <w:rFonts w:ascii="Simplified Arabic" w:eastAsia="Times New Roman" w:hAnsi="Simplified Arabic" w:cs="Simplified Arabic"/>
          <w:color w:val="000000" w:themeColor="text1"/>
          <w:kern w:val="0"/>
          <w:sz w:val="28"/>
          <w:szCs w:val="28"/>
          <w14:ligatures w14:val="none"/>
        </w:rPr>
        <w:t>.</w:t>
      </w:r>
    </w:p>
    <w:p w14:paraId="2EFBBDDC" w14:textId="6040F984" w:rsidR="00B95BA6" w:rsidRPr="00ED5D0F" w:rsidRDefault="00B95BA6" w:rsidP="009472AE">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تحديد أثر الرقابة على الامتثال على جودة الحوكمة في الهيئة العامة للعقار في السعودية</w:t>
      </w:r>
      <w:r w:rsidRPr="00ED5D0F">
        <w:rPr>
          <w:rFonts w:ascii="Simplified Arabic" w:eastAsia="Times New Roman" w:hAnsi="Simplified Arabic" w:cs="Simplified Arabic"/>
          <w:color w:val="000000" w:themeColor="text1"/>
          <w:kern w:val="0"/>
          <w:sz w:val="28"/>
          <w:szCs w:val="28"/>
          <w14:ligatures w14:val="none"/>
        </w:rPr>
        <w:t>.</w:t>
      </w:r>
    </w:p>
    <w:p w14:paraId="0AAF5D2B" w14:textId="37B12CF9" w:rsidR="00B95BA6" w:rsidRPr="00ED5D0F" w:rsidRDefault="00B95BA6" w:rsidP="009472AE">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الكشف عن أثر الاستجابة لمخاطر الامتثال على جودة الحوكمة في الهيئة العامة للعقار في السعودية</w:t>
      </w:r>
      <w:r w:rsidRPr="00ED5D0F">
        <w:rPr>
          <w:rFonts w:ascii="Simplified Arabic" w:eastAsia="Times New Roman" w:hAnsi="Simplified Arabic" w:cs="Simplified Arabic"/>
          <w:color w:val="000000" w:themeColor="text1"/>
          <w:kern w:val="0"/>
          <w:sz w:val="28"/>
          <w:szCs w:val="28"/>
          <w14:ligatures w14:val="none"/>
        </w:rPr>
        <w:t>.</w:t>
      </w:r>
    </w:p>
    <w:p w14:paraId="0A5B6B88" w14:textId="77777777" w:rsidR="00FA402B" w:rsidRPr="00ED5D0F" w:rsidRDefault="00FA402B" w:rsidP="00FA402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577121"/>
      <w:r w:rsidRPr="00ED5D0F">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4051BAD5" w14:textId="7038F78D" w:rsidR="00FA402B" w:rsidRPr="00ED5D0F" w:rsidRDefault="00FA402B" w:rsidP="00FA40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D5D0F">
        <w:rPr>
          <w:rFonts w:ascii="Simplified Arabic" w:eastAsia="Times New Roman" w:hAnsi="Simplified Arabic" w:cs="Simplified Arabic"/>
          <w:b/>
          <w:bCs/>
          <w:color w:val="000000" w:themeColor="text1"/>
          <w:kern w:val="0"/>
          <w:sz w:val="32"/>
          <w:szCs w:val="32"/>
          <w:rtl/>
          <w14:ligatures w14:val="none"/>
        </w:rPr>
        <w:t>السؤال الرئيسي</w:t>
      </w:r>
    </w:p>
    <w:p w14:paraId="3BAFAE25" w14:textId="77777777" w:rsidR="00B95BA6" w:rsidRPr="00ED5D0F" w:rsidRDefault="00B95BA6" w:rsidP="00FA40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ما أثر إدارة مخاطر الامتثال بأبعادها </w:t>
      </w:r>
      <w:r w:rsidRPr="00ED5D0F">
        <w:rPr>
          <w:rFonts w:ascii="Simplified Arabic" w:eastAsia="Times New Roman" w:hAnsi="Simplified Arabic" w:cs="Simplified Arabic"/>
          <w:color w:val="000000" w:themeColor="text1"/>
          <w:kern w:val="0"/>
          <w:sz w:val="28"/>
          <w:szCs w:val="28"/>
          <w14:ligatures w14:val="none"/>
        </w:rPr>
        <w:t>(</w:t>
      </w:r>
      <w:r w:rsidRPr="00ED5D0F">
        <w:rPr>
          <w:rFonts w:ascii="Simplified Arabic" w:eastAsia="Times New Roman" w:hAnsi="Simplified Arabic" w:cs="Simplified Arabic"/>
          <w:color w:val="000000" w:themeColor="text1"/>
          <w:kern w:val="0"/>
          <w:sz w:val="28"/>
          <w:szCs w:val="28"/>
          <w:rtl/>
          <w14:ligatures w14:val="none"/>
        </w:rPr>
        <w:t>تحديد مخاطر الامتثال، تقييم مخاطر الامتثال، الرقابة على الامتثال، الاستجابة لمخاطر الامتثال) على جودة الحوكمة في الهيئة العامة للعقار في المملكة العربية السعودية؟</w:t>
      </w:r>
    </w:p>
    <w:p w14:paraId="0CFEF848" w14:textId="77777777" w:rsidR="00B95BA6" w:rsidRPr="00ED5D0F" w:rsidRDefault="00B95BA6" w:rsidP="007A662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يتفرع من السؤال الرئيسي الأسئلة الفرعية التالية</w:t>
      </w:r>
      <w:r w:rsidRPr="00ED5D0F">
        <w:rPr>
          <w:rFonts w:ascii="Simplified Arabic" w:eastAsia="Times New Roman" w:hAnsi="Simplified Arabic" w:cs="Simplified Arabic"/>
          <w:b/>
          <w:bCs/>
          <w:color w:val="000000" w:themeColor="text1"/>
          <w:kern w:val="0"/>
          <w:sz w:val="28"/>
          <w:szCs w:val="28"/>
          <w14:ligatures w14:val="none"/>
        </w:rPr>
        <w:t>:</w:t>
      </w:r>
    </w:p>
    <w:p w14:paraId="2C879BC7" w14:textId="77777777" w:rsidR="00B95BA6" w:rsidRPr="00ED5D0F" w:rsidRDefault="00B95BA6" w:rsidP="009472A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ما أثر تحديد مخاطر الامتثال على جودة الحوكمة في الهيئة العامة للعقار في السعودية؟</w:t>
      </w:r>
    </w:p>
    <w:p w14:paraId="696FEEEB" w14:textId="77777777" w:rsidR="00B95BA6" w:rsidRPr="00ED5D0F" w:rsidRDefault="00B95BA6" w:rsidP="009472A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ما أثر تقييم مخاطر الامتثال على جودة الحوكمة في الهيئة العامة للعقار في السعودية؟</w:t>
      </w:r>
    </w:p>
    <w:p w14:paraId="062D8E1B" w14:textId="77777777" w:rsidR="00B95BA6" w:rsidRPr="00ED5D0F" w:rsidRDefault="00B95BA6" w:rsidP="009472A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ما أثر الرقابة على الامتثال على جودة الحوكمة في الهيئة العامة للعقار في السعودية؟</w:t>
      </w:r>
    </w:p>
    <w:p w14:paraId="1CB16865" w14:textId="77777777" w:rsidR="00B95BA6" w:rsidRPr="00ED5D0F" w:rsidRDefault="00B95BA6" w:rsidP="009472A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ما أثر الاستجابة لمخاطر الامتثال على جودة الحوكمة في الهيئة العامة للعقار في السعودية؟</w:t>
      </w:r>
    </w:p>
    <w:p w14:paraId="5CFEA236" w14:textId="77777777" w:rsidR="00B95BA6" w:rsidRPr="00ED5D0F" w:rsidRDefault="00B95BA6" w:rsidP="009472A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ما مستوى تطبيق إدارة مخاطر الامتثال بأبعادها الأربعة في الهيئة العامة للعقار في السعودية؟</w:t>
      </w:r>
    </w:p>
    <w:p w14:paraId="2FA1E250" w14:textId="77777777" w:rsidR="00B95BA6" w:rsidRPr="00ED5D0F" w:rsidRDefault="00B95BA6" w:rsidP="009472A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ما مستوى جودة الحوكمة في الهيئة العامة للعقار في السعودية من وجهة نظر العاملين؟</w:t>
      </w:r>
    </w:p>
    <w:p w14:paraId="60EEAD42" w14:textId="77777777" w:rsidR="00FA402B" w:rsidRPr="00ED5D0F" w:rsidRDefault="00FA402B" w:rsidP="00FA402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577122"/>
      <w:r w:rsidRPr="00ED5D0F">
        <w:rPr>
          <w:rFonts w:ascii="Simplified Arabic" w:eastAsia="Times New Roman" w:hAnsi="Simplified Arabic" w:cs="Simplified Arabic"/>
          <w:b/>
          <w:bCs/>
          <w:color w:val="000000" w:themeColor="text1"/>
          <w:kern w:val="0"/>
          <w:sz w:val="36"/>
          <w:szCs w:val="36"/>
          <w:rtl/>
          <w14:ligatures w14:val="none"/>
        </w:rPr>
        <w:lastRenderedPageBreak/>
        <w:t>5.1 فروض الدراسة</w:t>
      </w:r>
      <w:bookmarkEnd w:id="8"/>
    </w:p>
    <w:p w14:paraId="3CA9C37F" w14:textId="3F79AAAC" w:rsidR="00FA402B" w:rsidRPr="00ED5D0F" w:rsidRDefault="00FA402B" w:rsidP="00FA40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D5D0F">
        <w:rPr>
          <w:rFonts w:ascii="Simplified Arabic" w:eastAsia="Times New Roman" w:hAnsi="Simplified Arabic" w:cs="Simplified Arabic"/>
          <w:b/>
          <w:bCs/>
          <w:color w:val="000000" w:themeColor="text1"/>
          <w:kern w:val="0"/>
          <w:sz w:val="32"/>
          <w:szCs w:val="32"/>
          <w:rtl/>
          <w14:ligatures w14:val="none"/>
        </w:rPr>
        <w:t>الفرضية الرئيسية</w:t>
      </w:r>
    </w:p>
    <w:p w14:paraId="6477C691" w14:textId="77777777" w:rsidR="00B95BA6" w:rsidRPr="00ED5D0F" w:rsidRDefault="00B95BA6" w:rsidP="009472AE">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14:ligatures w14:val="none"/>
        </w:rPr>
        <w:t xml:space="preserve">H0: </w:t>
      </w:r>
      <w:r w:rsidRPr="00ED5D0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Cambria" w:eastAsia="Times New Roman" w:hAnsi="Cambria" w:cs="Cambria"/>
          <w:color w:val="000000" w:themeColor="text1"/>
          <w:kern w:val="0"/>
          <w:sz w:val="28"/>
          <w:szCs w:val="28"/>
          <w14:ligatures w14:val="none"/>
        </w:rPr>
        <w:t>α≤</w:t>
      </w:r>
      <w:r w:rsidRPr="00ED5D0F">
        <w:rPr>
          <w:rFonts w:ascii="Simplified Arabic" w:eastAsia="Times New Roman" w:hAnsi="Simplified Arabic" w:cs="Simplified Arabic"/>
          <w:color w:val="000000" w:themeColor="text1"/>
          <w:kern w:val="0"/>
          <w:sz w:val="28"/>
          <w:szCs w:val="28"/>
          <w14:ligatures w14:val="none"/>
        </w:rPr>
        <w:t xml:space="preserve">0.05) </w:t>
      </w:r>
      <w:r w:rsidRPr="00ED5D0F">
        <w:rPr>
          <w:rFonts w:ascii="Simplified Arabic" w:eastAsia="Times New Roman" w:hAnsi="Simplified Arabic" w:cs="Simplified Arabic"/>
          <w:color w:val="000000" w:themeColor="text1"/>
          <w:kern w:val="0"/>
          <w:sz w:val="28"/>
          <w:szCs w:val="28"/>
          <w:rtl/>
          <w14:ligatures w14:val="none"/>
        </w:rPr>
        <w:t>لإدارة مخاطر الامتثال بأبعادها (تحديد مخاطر الامتثال، تقييم مخاطر الامتثال، الرقابة على الامتثال، الاستجابة لمخاطر الامتثال) على جودة الحوكمة في الهيئة العامة للعقار في المملكة العربية السعودية</w:t>
      </w:r>
      <w:r w:rsidRPr="00ED5D0F">
        <w:rPr>
          <w:rFonts w:ascii="Simplified Arabic" w:eastAsia="Times New Roman" w:hAnsi="Simplified Arabic" w:cs="Simplified Arabic"/>
          <w:color w:val="000000" w:themeColor="text1"/>
          <w:kern w:val="0"/>
          <w:sz w:val="28"/>
          <w:szCs w:val="28"/>
          <w14:ligatures w14:val="none"/>
        </w:rPr>
        <w:t>.</w:t>
      </w:r>
    </w:p>
    <w:p w14:paraId="6209862F" w14:textId="77777777" w:rsidR="00B95BA6" w:rsidRPr="00ED5D0F" w:rsidRDefault="00B95BA6" w:rsidP="00FA40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7765683"/>
      <w:r w:rsidRPr="00ED5D0F">
        <w:rPr>
          <w:rFonts w:ascii="Simplified Arabic" w:eastAsia="Times New Roman" w:hAnsi="Simplified Arabic" w:cs="Simplified Arabic"/>
          <w:b/>
          <w:bCs/>
          <w:color w:val="000000" w:themeColor="text1"/>
          <w:kern w:val="0"/>
          <w:sz w:val="32"/>
          <w:szCs w:val="32"/>
          <w:rtl/>
          <w14:ligatures w14:val="none"/>
        </w:rPr>
        <w:t>الفرضيات الفرعية</w:t>
      </w:r>
      <w:bookmarkEnd w:id="9"/>
    </w:p>
    <w:p w14:paraId="226DAD4A" w14:textId="77777777" w:rsidR="00B95BA6" w:rsidRPr="00ED5D0F" w:rsidRDefault="00B95BA6" w:rsidP="009472AE">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14:ligatures w14:val="none"/>
        </w:rPr>
        <w:t xml:space="preserve">H0-1: </w:t>
      </w:r>
      <w:r w:rsidRPr="00ED5D0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Cambria" w:eastAsia="Times New Roman" w:hAnsi="Cambria" w:cs="Cambria"/>
          <w:color w:val="000000" w:themeColor="text1"/>
          <w:kern w:val="0"/>
          <w:sz w:val="28"/>
          <w:szCs w:val="28"/>
          <w14:ligatures w14:val="none"/>
        </w:rPr>
        <w:t>α≤</w:t>
      </w:r>
      <w:r w:rsidRPr="00ED5D0F">
        <w:rPr>
          <w:rFonts w:ascii="Simplified Arabic" w:eastAsia="Times New Roman" w:hAnsi="Simplified Arabic" w:cs="Simplified Arabic"/>
          <w:color w:val="000000" w:themeColor="text1"/>
          <w:kern w:val="0"/>
          <w:sz w:val="28"/>
          <w:szCs w:val="28"/>
          <w14:ligatures w14:val="none"/>
        </w:rPr>
        <w:t xml:space="preserve">0.05) </w:t>
      </w:r>
      <w:r w:rsidRPr="00ED5D0F">
        <w:rPr>
          <w:rFonts w:ascii="Simplified Arabic" w:eastAsia="Times New Roman" w:hAnsi="Simplified Arabic" w:cs="Simplified Arabic"/>
          <w:color w:val="000000" w:themeColor="text1"/>
          <w:kern w:val="0"/>
          <w:sz w:val="28"/>
          <w:szCs w:val="28"/>
          <w:rtl/>
          <w14:ligatures w14:val="none"/>
        </w:rPr>
        <w:t>لتحديد مخاطر الامتثال على جودة الحوكمة في الهيئة العامة للعقار في السعودية</w:t>
      </w:r>
      <w:r w:rsidRPr="00ED5D0F">
        <w:rPr>
          <w:rFonts w:ascii="Simplified Arabic" w:eastAsia="Times New Roman" w:hAnsi="Simplified Arabic" w:cs="Simplified Arabic"/>
          <w:color w:val="000000" w:themeColor="text1"/>
          <w:kern w:val="0"/>
          <w:sz w:val="28"/>
          <w:szCs w:val="28"/>
          <w14:ligatures w14:val="none"/>
        </w:rPr>
        <w:t>.</w:t>
      </w:r>
    </w:p>
    <w:p w14:paraId="649DBF28" w14:textId="77777777" w:rsidR="00B95BA6" w:rsidRPr="00ED5D0F" w:rsidRDefault="00B95BA6" w:rsidP="009472AE">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14:ligatures w14:val="none"/>
        </w:rPr>
        <w:t xml:space="preserve">H0-2: </w:t>
      </w:r>
      <w:r w:rsidRPr="00ED5D0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Cambria" w:eastAsia="Times New Roman" w:hAnsi="Cambria" w:cs="Cambria"/>
          <w:color w:val="000000" w:themeColor="text1"/>
          <w:kern w:val="0"/>
          <w:sz w:val="28"/>
          <w:szCs w:val="28"/>
          <w14:ligatures w14:val="none"/>
        </w:rPr>
        <w:t>α≤</w:t>
      </w:r>
      <w:r w:rsidRPr="00ED5D0F">
        <w:rPr>
          <w:rFonts w:ascii="Simplified Arabic" w:eastAsia="Times New Roman" w:hAnsi="Simplified Arabic" w:cs="Simplified Arabic"/>
          <w:color w:val="000000" w:themeColor="text1"/>
          <w:kern w:val="0"/>
          <w:sz w:val="28"/>
          <w:szCs w:val="28"/>
          <w14:ligatures w14:val="none"/>
        </w:rPr>
        <w:t xml:space="preserve">0.05) </w:t>
      </w:r>
      <w:r w:rsidRPr="00ED5D0F">
        <w:rPr>
          <w:rFonts w:ascii="Simplified Arabic" w:eastAsia="Times New Roman" w:hAnsi="Simplified Arabic" w:cs="Simplified Arabic"/>
          <w:color w:val="000000" w:themeColor="text1"/>
          <w:kern w:val="0"/>
          <w:sz w:val="28"/>
          <w:szCs w:val="28"/>
          <w:rtl/>
          <w14:ligatures w14:val="none"/>
        </w:rPr>
        <w:t>لتقييم مخاطر الامتثال على جودة الحوكمة في الهيئة العامة للعقار في السعودية</w:t>
      </w:r>
      <w:r w:rsidRPr="00ED5D0F">
        <w:rPr>
          <w:rFonts w:ascii="Simplified Arabic" w:eastAsia="Times New Roman" w:hAnsi="Simplified Arabic" w:cs="Simplified Arabic"/>
          <w:color w:val="000000" w:themeColor="text1"/>
          <w:kern w:val="0"/>
          <w:sz w:val="28"/>
          <w:szCs w:val="28"/>
          <w14:ligatures w14:val="none"/>
        </w:rPr>
        <w:t>.</w:t>
      </w:r>
    </w:p>
    <w:p w14:paraId="12BB421E" w14:textId="77777777" w:rsidR="00B95BA6" w:rsidRPr="00ED5D0F" w:rsidRDefault="00B95BA6" w:rsidP="009472AE">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14:ligatures w14:val="none"/>
        </w:rPr>
        <w:t xml:space="preserve">H0-3: </w:t>
      </w:r>
      <w:r w:rsidRPr="00ED5D0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Cambria" w:eastAsia="Times New Roman" w:hAnsi="Cambria" w:cs="Cambria"/>
          <w:color w:val="000000" w:themeColor="text1"/>
          <w:kern w:val="0"/>
          <w:sz w:val="28"/>
          <w:szCs w:val="28"/>
          <w14:ligatures w14:val="none"/>
        </w:rPr>
        <w:t>α≤</w:t>
      </w:r>
      <w:r w:rsidRPr="00ED5D0F">
        <w:rPr>
          <w:rFonts w:ascii="Simplified Arabic" w:eastAsia="Times New Roman" w:hAnsi="Simplified Arabic" w:cs="Simplified Arabic"/>
          <w:color w:val="000000" w:themeColor="text1"/>
          <w:kern w:val="0"/>
          <w:sz w:val="28"/>
          <w:szCs w:val="28"/>
          <w14:ligatures w14:val="none"/>
        </w:rPr>
        <w:t xml:space="preserve">0.05) </w:t>
      </w:r>
      <w:r w:rsidRPr="00ED5D0F">
        <w:rPr>
          <w:rFonts w:ascii="Simplified Arabic" w:eastAsia="Times New Roman" w:hAnsi="Simplified Arabic" w:cs="Simplified Arabic"/>
          <w:color w:val="000000" w:themeColor="text1"/>
          <w:kern w:val="0"/>
          <w:sz w:val="28"/>
          <w:szCs w:val="28"/>
          <w:rtl/>
          <w14:ligatures w14:val="none"/>
        </w:rPr>
        <w:t>للرقابة على الامتثال على جودة الحوكمة في الهيئة العامة للعقار في السعودية</w:t>
      </w:r>
      <w:r w:rsidRPr="00ED5D0F">
        <w:rPr>
          <w:rFonts w:ascii="Simplified Arabic" w:eastAsia="Times New Roman" w:hAnsi="Simplified Arabic" w:cs="Simplified Arabic"/>
          <w:color w:val="000000" w:themeColor="text1"/>
          <w:kern w:val="0"/>
          <w:sz w:val="28"/>
          <w:szCs w:val="28"/>
          <w14:ligatures w14:val="none"/>
        </w:rPr>
        <w:t>.</w:t>
      </w:r>
    </w:p>
    <w:p w14:paraId="34E4318C" w14:textId="77777777" w:rsidR="00B95BA6" w:rsidRPr="00ED5D0F" w:rsidRDefault="00B95BA6" w:rsidP="009472AE">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14:ligatures w14:val="none"/>
        </w:rPr>
        <w:t xml:space="preserve">H0-4: </w:t>
      </w:r>
      <w:r w:rsidRPr="00ED5D0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Cambria" w:eastAsia="Times New Roman" w:hAnsi="Cambria" w:cs="Cambria"/>
          <w:color w:val="000000" w:themeColor="text1"/>
          <w:kern w:val="0"/>
          <w:sz w:val="28"/>
          <w:szCs w:val="28"/>
          <w14:ligatures w14:val="none"/>
        </w:rPr>
        <w:t>α≤</w:t>
      </w:r>
      <w:r w:rsidRPr="00ED5D0F">
        <w:rPr>
          <w:rFonts w:ascii="Simplified Arabic" w:eastAsia="Times New Roman" w:hAnsi="Simplified Arabic" w:cs="Simplified Arabic"/>
          <w:color w:val="000000" w:themeColor="text1"/>
          <w:kern w:val="0"/>
          <w:sz w:val="28"/>
          <w:szCs w:val="28"/>
          <w14:ligatures w14:val="none"/>
        </w:rPr>
        <w:t xml:space="preserve">0.05) </w:t>
      </w:r>
      <w:r w:rsidRPr="00ED5D0F">
        <w:rPr>
          <w:rFonts w:ascii="Simplified Arabic" w:eastAsia="Times New Roman" w:hAnsi="Simplified Arabic" w:cs="Simplified Arabic"/>
          <w:color w:val="000000" w:themeColor="text1"/>
          <w:kern w:val="0"/>
          <w:sz w:val="28"/>
          <w:szCs w:val="28"/>
          <w:rtl/>
          <w14:ligatures w14:val="none"/>
        </w:rPr>
        <w:t>للاستجابة لمخاطر الامتثال على جودة الحوكمة في الهيئة العامة للعقار في السعودية</w:t>
      </w:r>
      <w:r w:rsidRPr="00ED5D0F">
        <w:rPr>
          <w:rFonts w:ascii="Simplified Arabic" w:eastAsia="Times New Roman" w:hAnsi="Simplified Arabic" w:cs="Simplified Arabic"/>
          <w:color w:val="000000" w:themeColor="text1"/>
          <w:kern w:val="0"/>
          <w:sz w:val="28"/>
          <w:szCs w:val="28"/>
          <w14:ligatures w14:val="none"/>
        </w:rPr>
        <w:t>.</w:t>
      </w:r>
    </w:p>
    <w:p w14:paraId="314D87A0" w14:textId="77777777" w:rsidR="00B95BA6" w:rsidRPr="00ED5D0F" w:rsidRDefault="00B95BA6" w:rsidP="009472AE">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14:ligatures w14:val="none"/>
        </w:rPr>
        <w:t xml:space="preserve">H0-5: </w:t>
      </w:r>
      <w:r w:rsidRPr="00ED5D0F">
        <w:rPr>
          <w:rFonts w:ascii="Simplified Arabic" w:eastAsia="Times New Roman" w:hAnsi="Simplified Arabic" w:cs="Simplified Arabic"/>
          <w:color w:val="000000" w:themeColor="text1"/>
          <w:kern w:val="0"/>
          <w:sz w:val="28"/>
          <w:szCs w:val="28"/>
          <w:rtl/>
          <w14:ligatures w14:val="none"/>
        </w:rPr>
        <w:t>لا توجد فروق ذات دلالة إحصائية عند مستوى معنوية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Cambria" w:eastAsia="Times New Roman" w:hAnsi="Cambria" w:cs="Cambria"/>
          <w:color w:val="000000" w:themeColor="text1"/>
          <w:kern w:val="0"/>
          <w:sz w:val="28"/>
          <w:szCs w:val="28"/>
          <w14:ligatures w14:val="none"/>
        </w:rPr>
        <w:t>α≤</w:t>
      </w:r>
      <w:r w:rsidRPr="00ED5D0F">
        <w:rPr>
          <w:rFonts w:ascii="Simplified Arabic" w:eastAsia="Times New Roman" w:hAnsi="Simplified Arabic" w:cs="Simplified Arabic"/>
          <w:color w:val="000000" w:themeColor="text1"/>
          <w:kern w:val="0"/>
          <w:sz w:val="28"/>
          <w:szCs w:val="28"/>
          <w14:ligatures w14:val="none"/>
        </w:rPr>
        <w:t xml:space="preserve">0.05) </w:t>
      </w:r>
      <w:r w:rsidRPr="00ED5D0F">
        <w:rPr>
          <w:rFonts w:ascii="Simplified Arabic" w:eastAsia="Times New Roman" w:hAnsi="Simplified Arabic" w:cs="Simplified Arabic"/>
          <w:color w:val="000000" w:themeColor="text1"/>
          <w:kern w:val="0"/>
          <w:sz w:val="28"/>
          <w:szCs w:val="28"/>
          <w:rtl/>
          <w14:ligatures w14:val="none"/>
        </w:rPr>
        <w:t>في استجابات أفراد عينة الدراسة حول أثر إدارة مخاطر الامتثال على جودة الحوكمة تُعزى لمتغير المؤهل العلمي</w:t>
      </w:r>
      <w:r w:rsidRPr="00ED5D0F">
        <w:rPr>
          <w:rFonts w:ascii="Simplified Arabic" w:eastAsia="Times New Roman" w:hAnsi="Simplified Arabic" w:cs="Simplified Arabic"/>
          <w:color w:val="000000" w:themeColor="text1"/>
          <w:kern w:val="0"/>
          <w:sz w:val="28"/>
          <w:szCs w:val="28"/>
          <w14:ligatures w14:val="none"/>
        </w:rPr>
        <w:t>.</w:t>
      </w:r>
    </w:p>
    <w:p w14:paraId="5B13A243" w14:textId="77777777" w:rsidR="00FA402B" w:rsidRPr="00ED5D0F" w:rsidRDefault="00FA402B" w:rsidP="00FA402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577123"/>
      <w:r w:rsidRPr="00ED5D0F">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1D8E6900" w14:textId="1B44B99C" w:rsidR="00FA402B" w:rsidRPr="00ED5D0F" w:rsidRDefault="00FA402B" w:rsidP="00FA40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ED5D0F">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556B5CAA" w14:textId="77777777" w:rsidR="00B95BA6" w:rsidRPr="00ED5D0F" w:rsidRDefault="00B95BA6" w:rsidP="009472AE">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سدّ الفجوة البحثية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تُسهم هذه الدراسة في سدّ فجوة واضحة في الأدبيات العربية والعالمية المتعلقة بالربط بين إدارة مخاطر الامتثال وجودة الحوكمة في القطاع العقاري تحديداً، إذ تركّز معظم الدراسات السابقة على القطاعين المصرفي والصناعي دون إيلاء اهتمام كافٍ للمؤسسات العقارية التنظيمية</w:t>
      </w:r>
      <w:r w:rsidRPr="00ED5D0F">
        <w:rPr>
          <w:rFonts w:ascii="Simplified Arabic" w:eastAsia="Times New Roman" w:hAnsi="Simplified Arabic" w:cs="Simplified Arabic"/>
          <w:color w:val="000000" w:themeColor="text1"/>
          <w:kern w:val="0"/>
          <w:sz w:val="28"/>
          <w:szCs w:val="28"/>
          <w14:ligatures w14:val="none"/>
        </w:rPr>
        <w:t>.</w:t>
      </w:r>
    </w:p>
    <w:p w14:paraId="12CED002" w14:textId="77777777" w:rsidR="00B95BA6" w:rsidRPr="00ED5D0F" w:rsidRDefault="00B95BA6" w:rsidP="009472AE">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lastRenderedPageBreak/>
        <w:t>الإثراء النظري لمفهوم إدارة مخاطر الامتثال</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تُقدّم الدراسة إطاراً نظرياً متكاملاً يتناول إدارة مخاطر الامتثال بأبعادها الأربعة (التحديد، التقييم، الرقابة، الاستجابة) وأثرها على جودة الحوكمة، مما يُثري النقاش الأكاديمي ويُوفّر أساساً نظرياً يمكن البناء عليه في دراسات مستقبلية</w:t>
      </w:r>
      <w:r w:rsidRPr="00ED5D0F">
        <w:rPr>
          <w:rFonts w:ascii="Simplified Arabic" w:eastAsia="Times New Roman" w:hAnsi="Simplified Arabic" w:cs="Simplified Arabic"/>
          <w:color w:val="000000" w:themeColor="text1"/>
          <w:kern w:val="0"/>
          <w:sz w:val="28"/>
          <w:szCs w:val="28"/>
          <w14:ligatures w14:val="none"/>
        </w:rPr>
        <w:t>.</w:t>
      </w:r>
    </w:p>
    <w:p w14:paraId="230EA5EF" w14:textId="77777777" w:rsidR="00B95BA6" w:rsidRPr="00ED5D0F" w:rsidRDefault="00B95BA6" w:rsidP="009472AE">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التكامل بين النظريات</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تستند الدراسة إلى تكامل نظري بين نظرية الوكالة ونظرية أصحاب المصلحة والنظرية المؤسسية الجديدة في تفسير العلاقة بين إدارة مخاطر الامتثال وجودة الحوكمة، مما يُقدّم مقاربة نظرية شاملة ومتعددة الأبعاد</w:t>
      </w:r>
      <w:r w:rsidRPr="00ED5D0F">
        <w:rPr>
          <w:rFonts w:ascii="Simplified Arabic" w:eastAsia="Times New Roman" w:hAnsi="Simplified Arabic" w:cs="Simplified Arabic"/>
          <w:color w:val="000000" w:themeColor="text1"/>
          <w:kern w:val="0"/>
          <w:sz w:val="28"/>
          <w:szCs w:val="28"/>
          <w14:ligatures w14:val="none"/>
        </w:rPr>
        <w:t>.</w:t>
      </w:r>
    </w:p>
    <w:p w14:paraId="04008710" w14:textId="77777777" w:rsidR="00B95BA6" w:rsidRPr="00ED5D0F" w:rsidRDefault="00B95BA6" w:rsidP="009472AE">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تطوير أداة قياس متخصصة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تُسهم الدراسة في تطوير أداة قياس علمية محكّمة لقياس مستوى إدارة مخاطر الامتثال وجودة الحوكمة في المؤسسات العقارية، يمكن أن تُشكّل مرجعاً للباحثين في إجراء دراسات مماثلة في سياقات مختلفة</w:t>
      </w:r>
      <w:r w:rsidRPr="00ED5D0F">
        <w:rPr>
          <w:rFonts w:ascii="Simplified Arabic" w:eastAsia="Times New Roman" w:hAnsi="Simplified Arabic" w:cs="Simplified Arabic"/>
          <w:color w:val="000000" w:themeColor="text1"/>
          <w:kern w:val="0"/>
          <w:sz w:val="28"/>
          <w:szCs w:val="28"/>
          <w14:ligatures w14:val="none"/>
        </w:rPr>
        <w:t>.</w:t>
      </w:r>
    </w:p>
    <w:p w14:paraId="234A1DFF" w14:textId="77777777" w:rsidR="00B95BA6" w:rsidRPr="00ED5D0F" w:rsidRDefault="00B95BA6" w:rsidP="009472AE">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توفير قاعدة بيانات بحثية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تُوفّر الدراسة بيانات ومعلومات موثوقة ومحدّثة حول واقع إدارة مخاطر الامتثال وجودة الحوكمة في الهيئة العامة للعقار، يمكن أن تُستخدم كنقطة انطلاق للأبحاث المستقبلية والدراسات المقارنة</w:t>
      </w:r>
      <w:r w:rsidRPr="00ED5D0F">
        <w:rPr>
          <w:rFonts w:ascii="Simplified Arabic" w:eastAsia="Times New Roman" w:hAnsi="Simplified Arabic" w:cs="Simplified Arabic"/>
          <w:color w:val="000000" w:themeColor="text1"/>
          <w:kern w:val="0"/>
          <w:sz w:val="28"/>
          <w:szCs w:val="28"/>
          <w14:ligatures w14:val="none"/>
        </w:rPr>
        <w:t>.</w:t>
      </w:r>
    </w:p>
    <w:p w14:paraId="6D6D876A" w14:textId="77777777" w:rsidR="00B95BA6" w:rsidRPr="00ED5D0F" w:rsidRDefault="00B95BA6" w:rsidP="009472AE">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التأصيل العلمي في السياق السعودي</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تُعدّ الدراسة من الدراسات الرائدة التي تتناول موضوع مخاطر الامتثال في ضوء التحولات التنظيمية الجارية في القطاع العقاري السعودي ضمن رؤية 2030، مما يُعزّز المكتبة البحثية العربية بمعرفة متخصصة ومحدّثة</w:t>
      </w:r>
      <w:r w:rsidRPr="00ED5D0F">
        <w:rPr>
          <w:rFonts w:ascii="Simplified Arabic" w:eastAsia="Times New Roman" w:hAnsi="Simplified Arabic" w:cs="Simplified Arabic"/>
          <w:color w:val="000000" w:themeColor="text1"/>
          <w:kern w:val="0"/>
          <w:sz w:val="28"/>
          <w:szCs w:val="28"/>
          <w14:ligatures w14:val="none"/>
        </w:rPr>
        <w:t>.</w:t>
      </w:r>
    </w:p>
    <w:p w14:paraId="1DF0EE29" w14:textId="77777777" w:rsidR="00B95BA6" w:rsidRPr="00ED5D0F" w:rsidRDefault="00B95BA6" w:rsidP="00FA40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7765686"/>
      <w:r w:rsidRPr="00ED5D0F">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1"/>
    </w:p>
    <w:p w14:paraId="3EED7017" w14:textId="77777777" w:rsidR="00B95BA6" w:rsidRPr="00ED5D0F" w:rsidRDefault="00B95BA6" w:rsidP="009472A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دعم صنّاع القرار في الهيئة العامة للعقار</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تُوفّر الدراسة نتائج وتوصيات عملية يمكن أن تُساعد الإدارة العليا في الهيئة العامة للعقار على تحسين أُطُر إدارة مخاطر الامتثال وتعزيز ممارسات الحوكمة، بما يتوافق مع المتطلبات التنظيمية المتطورة ومستهدفات رؤية </w:t>
      </w:r>
      <w:r w:rsidRPr="00ED5D0F">
        <w:rPr>
          <w:rFonts w:ascii="Simplified Arabic" w:eastAsia="Times New Roman" w:hAnsi="Simplified Arabic" w:cs="Simplified Arabic"/>
          <w:color w:val="000000" w:themeColor="text1"/>
          <w:kern w:val="0"/>
          <w:sz w:val="28"/>
          <w:szCs w:val="28"/>
          <w14:ligatures w14:val="none"/>
        </w:rPr>
        <w:t>2030.</w:t>
      </w:r>
    </w:p>
    <w:p w14:paraId="35F1E9FD" w14:textId="77777777" w:rsidR="00B95BA6" w:rsidRPr="00ED5D0F" w:rsidRDefault="00B95BA6" w:rsidP="009472A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تحسين الأداء التنظيمي والرقابي</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تُسهم نتائج الدراسة في مساعدة الهيئة على تحديد نقاط القوة والضعف في منظومة الامتثال الحالية، وتقديم حلول عملية لمعالجة الثغرات التنظيمية التي قد تُضعف جودة الحوكمة</w:t>
      </w:r>
      <w:r w:rsidRPr="00ED5D0F">
        <w:rPr>
          <w:rFonts w:ascii="Simplified Arabic" w:eastAsia="Times New Roman" w:hAnsi="Simplified Arabic" w:cs="Simplified Arabic"/>
          <w:color w:val="000000" w:themeColor="text1"/>
          <w:kern w:val="0"/>
          <w:sz w:val="28"/>
          <w:szCs w:val="28"/>
          <w14:ligatures w14:val="none"/>
        </w:rPr>
        <w:t>.</w:t>
      </w:r>
    </w:p>
    <w:p w14:paraId="1CAA5B44" w14:textId="77777777" w:rsidR="00B95BA6" w:rsidRPr="00ED5D0F" w:rsidRDefault="00B95BA6" w:rsidP="009472A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تعزيز ثقة أصحاب المصلحة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يُتوقّع أن تُسهم تطبيقات هذه الدراسة في تعزيز ثقة المستثمرين والمطوّرين العقاريين والمستفيدين في القطاع العقاري السعودي من خلال تحسين مستوى الشفافية والمساءلة والنزاهة في الإطار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للهيئة</w:t>
      </w:r>
      <w:r w:rsidRPr="00ED5D0F">
        <w:rPr>
          <w:rFonts w:ascii="Simplified Arabic" w:eastAsia="Times New Roman" w:hAnsi="Simplified Arabic" w:cs="Simplified Arabic"/>
          <w:color w:val="000000" w:themeColor="text1"/>
          <w:kern w:val="0"/>
          <w:sz w:val="28"/>
          <w:szCs w:val="28"/>
          <w14:ligatures w14:val="none"/>
        </w:rPr>
        <w:t>.</w:t>
      </w:r>
    </w:p>
    <w:p w14:paraId="4E7BF6B3" w14:textId="77777777" w:rsidR="00B95BA6" w:rsidRPr="00ED5D0F" w:rsidRDefault="00B95BA6" w:rsidP="009472A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lastRenderedPageBreak/>
        <w:t>الاستجابة لمتطلبات رؤية 2030</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تأتي الدراسة استجابة عملية لمتطلبات التحول التنظيمي في القطاع العقاري السعودي، حيث يُعدّ تطوير أُطُر الحوكمة والامتثال أحد الركائز الأساسية لتحقيق أهداف برنامج الإسكان وبرنامج التحول الوطني ضمن الرؤية</w:t>
      </w:r>
      <w:r w:rsidRPr="00ED5D0F">
        <w:rPr>
          <w:rFonts w:ascii="Simplified Arabic" w:eastAsia="Times New Roman" w:hAnsi="Simplified Arabic" w:cs="Simplified Arabic"/>
          <w:color w:val="000000" w:themeColor="text1"/>
          <w:kern w:val="0"/>
          <w:sz w:val="28"/>
          <w:szCs w:val="28"/>
          <w14:ligatures w14:val="none"/>
        </w:rPr>
        <w:t>.</w:t>
      </w:r>
    </w:p>
    <w:p w14:paraId="452481DB" w14:textId="77777777" w:rsidR="00FA402B" w:rsidRPr="00ED5D0F" w:rsidRDefault="00FA402B" w:rsidP="00FA402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577124"/>
      <w:bookmarkStart w:id="13" w:name="_Toc169790501"/>
      <w:bookmarkEnd w:id="5"/>
      <w:r w:rsidRPr="00ED5D0F">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73C4F579" w14:textId="2496784A" w:rsidR="00FA402B" w:rsidRPr="00ED5D0F" w:rsidRDefault="00FA402B" w:rsidP="00FA40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D5D0F">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1BBFBA96" w14:textId="77777777" w:rsidR="00FA402B" w:rsidRPr="00ED5D0F" w:rsidRDefault="00FA402B"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 xml:space="preserve">دراسة (الحربي، 2021): "أثر </w:t>
      </w:r>
      <w:proofErr w:type="spellStart"/>
      <w:r w:rsidRPr="00ED5D0F">
        <w:rPr>
          <w:rFonts w:ascii="Simplified Arabic" w:eastAsia="Times New Roman" w:hAnsi="Simplified Arabic" w:cs="Simplified Arabic"/>
          <w:b/>
          <w:bCs/>
          <w:color w:val="000000" w:themeColor="text1"/>
          <w:kern w:val="0"/>
          <w:sz w:val="28"/>
          <w:szCs w:val="28"/>
          <w:rtl/>
          <w14:ligatures w14:val="none"/>
        </w:rPr>
        <w:t>حوكمة</w:t>
      </w:r>
      <w:proofErr w:type="spellEnd"/>
      <w:r w:rsidRPr="00ED5D0F">
        <w:rPr>
          <w:rFonts w:ascii="Simplified Arabic" w:eastAsia="Times New Roman" w:hAnsi="Simplified Arabic" w:cs="Simplified Arabic"/>
          <w:b/>
          <w:bCs/>
          <w:color w:val="000000" w:themeColor="text1"/>
          <w:kern w:val="0"/>
          <w:sz w:val="28"/>
          <w:szCs w:val="28"/>
          <w:rtl/>
          <w14:ligatures w14:val="none"/>
        </w:rPr>
        <w:t xml:space="preserve"> الشركات على جودة التقارير المالية: دراسة تطبيقية على البنوك المدرجة في السوق المالية السعودية تداول</w:t>
      </w:r>
      <w:r w:rsidRPr="00ED5D0F">
        <w:rPr>
          <w:rFonts w:ascii="Simplified Arabic" w:eastAsia="Times New Roman" w:hAnsi="Simplified Arabic" w:cs="Simplified Arabic"/>
          <w:b/>
          <w:bCs/>
          <w:color w:val="000000" w:themeColor="text1"/>
          <w:kern w:val="0"/>
          <w:sz w:val="28"/>
          <w:szCs w:val="28"/>
          <w14:ligatures w14:val="none"/>
        </w:rPr>
        <w:t>"</w:t>
      </w:r>
    </w:p>
    <w:p w14:paraId="2565C930" w14:textId="77777777" w:rsidR="00FA402B" w:rsidRPr="00ED5D0F" w:rsidRDefault="00FA402B"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w:t>
      </w:r>
      <w:proofErr w:type="spellStart"/>
      <w:r w:rsidRPr="00ED5D0F">
        <w:rPr>
          <w:rFonts w:ascii="Simplified Arabic" w:eastAsia="Times New Roman" w:hAnsi="Simplified Arabic" w:cs="Simplified Arabic"/>
          <w:color w:val="000000" w:themeColor="text1"/>
          <w:kern w:val="0"/>
          <w:sz w:val="28"/>
          <w:szCs w:val="28"/>
          <w:rtl/>
          <w14:ligatures w14:val="none"/>
        </w:rPr>
        <w:t>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الشركات بأبعادها (تركز الملكية، حجم مجلس الإدارة، استقلالية مجلس الإدارة، ازدواجية المنصب، دورية الاجتماعات، حجم لجنة التدقيق، استقلالية لجنة التدقيق، دورية اجتماعاتها) على جودة التقارير المالية للبنوك المدرجة في السوق المالية السعودية "تداول". واستخدمت الدراسة المنهج الوصفي التحليلي من خلال أداة تحليل المحتوى، وطُبّقت على جميع البنوك المدرجة البالغ عددها (10) بنوك خلال الفترة (2010–2019) مع استبعاد البنك الأهلي التجاري. وتوصلت النتائج إلى أن مستوى جودة التقارير المالية مرتفع، ووجود أثر ذي دلالة إحصائية لآليات </w:t>
      </w:r>
      <w:proofErr w:type="spellStart"/>
      <w:r w:rsidRPr="00ED5D0F">
        <w:rPr>
          <w:rFonts w:ascii="Simplified Arabic" w:eastAsia="Times New Roman" w:hAnsi="Simplified Arabic" w:cs="Simplified Arabic"/>
          <w:color w:val="000000" w:themeColor="text1"/>
          <w:kern w:val="0"/>
          <w:sz w:val="28"/>
          <w:szCs w:val="28"/>
          <w:rtl/>
          <w14:ligatures w14:val="none"/>
        </w:rPr>
        <w:t>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الشركات (تركز الملكية، حجم مجلس الإدارة، استقلالية لجنة التدقيق) على جودة التقارير المالية، حيث فسّرت هذه الآليات 49.6% من التغير في الجودة، في حين لم تؤثر الآليات الأخرى</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وأوصت الدراسة بتعزيز دور لجان التدقيق واستقلاليتها وضرورة التركيز على هيكل الملكية في البنوك السعودية</w:t>
      </w:r>
      <w:r w:rsidRPr="00ED5D0F">
        <w:rPr>
          <w:rFonts w:ascii="Simplified Arabic" w:eastAsia="Times New Roman" w:hAnsi="Simplified Arabic" w:cs="Simplified Arabic"/>
          <w:color w:val="000000" w:themeColor="text1"/>
          <w:kern w:val="0"/>
          <w:sz w:val="28"/>
          <w:szCs w:val="28"/>
          <w14:ligatures w14:val="none"/>
        </w:rPr>
        <w:t>.</w:t>
      </w:r>
    </w:p>
    <w:p w14:paraId="02EA4A8F" w14:textId="77777777" w:rsidR="00FA402B" w:rsidRPr="00ED5D0F" w:rsidRDefault="00FA402B"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دراسة (تلي، 2021): "الحوكمة الإلكترونية كآلية لتحسين جودة الخدمة الصحية: مع الإشارة إلى تجربة الجزائر</w:t>
      </w:r>
      <w:r w:rsidRPr="00ED5D0F">
        <w:rPr>
          <w:rFonts w:ascii="Simplified Arabic" w:eastAsia="Times New Roman" w:hAnsi="Simplified Arabic" w:cs="Simplified Arabic"/>
          <w:b/>
          <w:bCs/>
          <w:color w:val="000000" w:themeColor="text1"/>
          <w:kern w:val="0"/>
          <w:sz w:val="28"/>
          <w:szCs w:val="28"/>
          <w14:ligatures w14:val="none"/>
        </w:rPr>
        <w:t>"</w:t>
      </w:r>
    </w:p>
    <w:p w14:paraId="288D497E" w14:textId="77777777" w:rsidR="00925511" w:rsidRPr="00ED5D0F" w:rsidRDefault="00FA402B"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الحوكمة الإلكترونية بأبعادها (تكنولوجيا الإعلام والاتصال، عصرنة الإدارة، الشفافية الإلكترونية) في تحسين جودة الخدمات الصحية في المنظمات الصحية الجزائرية. واستخدمت الدراسة المنهج الوصفي التحليلي المعتمد على دراسة الحالة والتحليل المقارن، مع الإشارة إلى واقع تجربة الجزائر في تطبيق الحوكمة الإلكترونية في قطاع الصحة. وتوصلت نتائج الدراسة إلى أن الجزائر ما زالت في المراحل الأولى من تطبيق الحوكمة الإلكترونية في قطاع الخدمات الصحية، وأن </w:t>
      </w:r>
      <w:r w:rsidRPr="00ED5D0F">
        <w:rPr>
          <w:rFonts w:ascii="Simplified Arabic" w:eastAsia="Times New Roman" w:hAnsi="Simplified Arabic" w:cs="Simplified Arabic"/>
          <w:color w:val="000000" w:themeColor="text1"/>
          <w:kern w:val="0"/>
          <w:sz w:val="28"/>
          <w:szCs w:val="28"/>
          <w:rtl/>
          <w14:ligatures w14:val="none"/>
        </w:rPr>
        <w:lastRenderedPageBreak/>
        <w:t>اعتمادها على تكنولوجيا الإعلام والاتصال لا يزال محدوداً</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وأوصت الدراسة بضرورة تكثيف الجهود والاستفادة من تجارب الدول الرائدة في مجال الحوكمة الإلكترونية وآلياتها لتحسين جودة الخدمات الصحية</w:t>
      </w:r>
    </w:p>
    <w:p w14:paraId="4865F707" w14:textId="77777777" w:rsidR="00925511" w:rsidRPr="00ED5D0F" w:rsidRDefault="00925511"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دراسة (</w:t>
      </w:r>
      <w:proofErr w:type="spellStart"/>
      <w:r w:rsidRPr="00ED5D0F">
        <w:rPr>
          <w:rFonts w:ascii="Simplified Arabic" w:eastAsia="Times New Roman" w:hAnsi="Simplified Arabic" w:cs="Simplified Arabic"/>
          <w:b/>
          <w:bCs/>
          <w:color w:val="000000" w:themeColor="text1"/>
          <w:kern w:val="0"/>
          <w:sz w:val="28"/>
          <w:szCs w:val="28"/>
          <w:rtl/>
          <w14:ligatures w14:val="none"/>
        </w:rPr>
        <w:t>نمديلي</w:t>
      </w:r>
      <w:proofErr w:type="spellEnd"/>
      <w:r w:rsidRPr="00ED5D0F">
        <w:rPr>
          <w:rFonts w:ascii="Simplified Arabic" w:eastAsia="Times New Roman" w:hAnsi="Simplified Arabic" w:cs="Simplified Arabic"/>
          <w:b/>
          <w:bCs/>
          <w:color w:val="000000" w:themeColor="text1"/>
          <w:kern w:val="0"/>
          <w:sz w:val="28"/>
          <w:szCs w:val="28"/>
          <w:rtl/>
          <w14:ligatures w14:val="none"/>
        </w:rPr>
        <w:t xml:space="preserve"> وكروش، 2021): "أثر تطبيق </w:t>
      </w:r>
      <w:proofErr w:type="spellStart"/>
      <w:r w:rsidRPr="00ED5D0F">
        <w:rPr>
          <w:rFonts w:ascii="Simplified Arabic" w:eastAsia="Times New Roman" w:hAnsi="Simplified Arabic" w:cs="Simplified Arabic"/>
          <w:b/>
          <w:bCs/>
          <w:color w:val="000000" w:themeColor="text1"/>
          <w:kern w:val="0"/>
          <w:sz w:val="28"/>
          <w:szCs w:val="28"/>
          <w:rtl/>
          <w14:ligatures w14:val="none"/>
        </w:rPr>
        <w:t>حوكمة</w:t>
      </w:r>
      <w:proofErr w:type="spellEnd"/>
      <w:r w:rsidRPr="00ED5D0F">
        <w:rPr>
          <w:rFonts w:ascii="Simplified Arabic" w:eastAsia="Times New Roman" w:hAnsi="Simplified Arabic" w:cs="Simplified Arabic"/>
          <w:b/>
          <w:bCs/>
          <w:color w:val="000000" w:themeColor="text1"/>
          <w:kern w:val="0"/>
          <w:sz w:val="28"/>
          <w:szCs w:val="28"/>
          <w:rtl/>
          <w14:ligatures w14:val="none"/>
        </w:rPr>
        <w:t xml:space="preserve"> الشركات على تحسين جودة المعلومة المالية: دراسة حالة شركة مطاحن بني هارون فرع ميلة</w:t>
      </w:r>
      <w:r w:rsidRPr="00ED5D0F">
        <w:rPr>
          <w:rFonts w:ascii="Simplified Arabic" w:eastAsia="Times New Roman" w:hAnsi="Simplified Arabic" w:cs="Simplified Arabic"/>
          <w:b/>
          <w:bCs/>
          <w:color w:val="000000" w:themeColor="text1"/>
          <w:kern w:val="0"/>
          <w:sz w:val="28"/>
          <w:szCs w:val="28"/>
          <w14:ligatures w14:val="none"/>
        </w:rPr>
        <w:t>"</w:t>
      </w:r>
    </w:p>
    <w:p w14:paraId="0AC291BA" w14:textId="77777777" w:rsidR="00925511" w:rsidRPr="00ED5D0F" w:rsidRDefault="00925511"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w:t>
      </w:r>
      <w:proofErr w:type="spellStart"/>
      <w:r w:rsidRPr="00ED5D0F">
        <w:rPr>
          <w:rFonts w:ascii="Simplified Arabic" w:eastAsia="Times New Roman" w:hAnsi="Simplified Arabic" w:cs="Simplified Arabic"/>
          <w:color w:val="000000" w:themeColor="text1"/>
          <w:kern w:val="0"/>
          <w:sz w:val="28"/>
          <w:szCs w:val="28"/>
          <w:rtl/>
          <w14:ligatures w14:val="none"/>
        </w:rPr>
        <w:t>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الشركات بأبعادها (مبادئ الشفافية والإفصاح، حقوق المساهمين، مسؤوليات مجلس الإدارة) على تحسين جودة المعلومة المالية في شركة مطاحن بني هارون فرع ميلة بالجزائر، والدور الذي تلعبه الحوكمة في مواجهة الصراع داخل الشركة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واستخدمت الدراسة منهج دراسة الحالة والمنهج الوصفي التحليلي، وتم جمع البيانات من خلال استبانة وُزّعت على العاملين في الشركة محل الدراسة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وتوصلت النتائج إلى عدم وجود توافق كبير بين الإطار </w:t>
      </w:r>
      <w:proofErr w:type="spellStart"/>
      <w:r w:rsidRPr="00ED5D0F">
        <w:rPr>
          <w:rFonts w:ascii="Simplified Arabic" w:eastAsia="Times New Roman" w:hAnsi="Simplified Arabic" w:cs="Simplified Arabic"/>
          <w:color w:val="000000" w:themeColor="text1"/>
          <w:kern w:val="0"/>
          <w:sz w:val="28"/>
          <w:szCs w:val="28"/>
          <w:rtl/>
          <w14:ligatures w14:val="none"/>
        </w:rPr>
        <w:t>المفاهيمي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rtl/>
          <w14:ligatures w14:val="none"/>
        </w:rPr>
        <w:t>لحوكمة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الشركات وحقيقة الممارسات في المؤسسة الجزائرية بشكل عام، وفي شركة مطاحن بني هارون بشكل خاص، كما أن تبنّي مبادئ الحوكمة يؤثر بنسبة 69% على تحسين جودة المعلومة المالية. وأوصت الدراسة بضرورة تفعيل مبادئ الحوكمة وتعزيز الشفافية والإفصاح في المؤسسات الجزائرية</w:t>
      </w:r>
      <w:r w:rsidRPr="00ED5D0F">
        <w:rPr>
          <w:rFonts w:ascii="Simplified Arabic" w:eastAsia="Times New Roman" w:hAnsi="Simplified Arabic" w:cs="Simplified Arabic"/>
          <w:color w:val="000000" w:themeColor="text1"/>
          <w:kern w:val="0"/>
          <w:sz w:val="28"/>
          <w:szCs w:val="28"/>
          <w14:ligatures w14:val="none"/>
        </w:rPr>
        <w:t>.</w:t>
      </w:r>
    </w:p>
    <w:p w14:paraId="655D394D" w14:textId="77777777" w:rsidR="00925511" w:rsidRPr="00ED5D0F" w:rsidRDefault="00925511"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دراسة (الزعبي والحايك، 2022): "أثر الامتثال لمبادئ الأنشطة الرقابية على فاعلية الرقابة الداخلية في الوزارات والدوائر الحكومية الأردنية</w:t>
      </w:r>
      <w:r w:rsidRPr="00ED5D0F">
        <w:rPr>
          <w:rFonts w:ascii="Simplified Arabic" w:eastAsia="Times New Roman" w:hAnsi="Simplified Arabic" w:cs="Simplified Arabic"/>
          <w:b/>
          <w:bCs/>
          <w:color w:val="000000" w:themeColor="text1"/>
          <w:kern w:val="0"/>
          <w:sz w:val="28"/>
          <w:szCs w:val="28"/>
          <w14:ligatures w14:val="none"/>
        </w:rPr>
        <w:t>"</w:t>
      </w:r>
    </w:p>
    <w:p w14:paraId="7E364461" w14:textId="04877824" w:rsidR="00FA402B" w:rsidRPr="00ED5D0F" w:rsidRDefault="00925511"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هدفت الدراسة إلى التعرف على أثر الامتثال لمبادئ الأنشطة الرقابية بأبعادها (اختيار الأنشطة الرقابية المتعلقة بتخفيض المخاطر، تطوير الأنشطة الرقابية العامة ضمن الأنظمة التكنولوجية، إيضاح ونشر الأنشطة الرقابية ضمن السياسات والإجراءات) على فاعلية الرقابة الداخلية في الوزارات والدوائر الحكومية الأردنية. واستخدمت الدراسة المنهج الوصفي التحليلي، وتم جمع البيانات من خلال استبانة وُزّعت على عينة عشوائية من المدققين الداخليين العاملين في وحدات التدقيق والرقابة الداخلية، حيث بلغ عدد الاستبانات الموزّعة (151) والصالحة للتحليل</w:t>
      </w:r>
      <w:r w:rsidRPr="00ED5D0F">
        <w:rPr>
          <w:rFonts w:ascii="Simplified Arabic" w:eastAsia="Times New Roman" w:hAnsi="Simplified Arabic" w:cs="Simplified Arabic"/>
          <w:color w:val="000000" w:themeColor="text1"/>
          <w:kern w:val="0"/>
          <w:sz w:val="28"/>
          <w:szCs w:val="28"/>
          <w14:ligatures w14:val="none"/>
        </w:rPr>
        <w:t xml:space="preserve"> (143) </w:t>
      </w:r>
      <w:r w:rsidRPr="00ED5D0F">
        <w:rPr>
          <w:rFonts w:ascii="Simplified Arabic" w:eastAsia="Times New Roman" w:hAnsi="Simplified Arabic" w:cs="Simplified Arabic"/>
          <w:color w:val="000000" w:themeColor="text1"/>
          <w:kern w:val="0"/>
          <w:sz w:val="28"/>
          <w:szCs w:val="28"/>
          <w:rtl/>
          <w14:ligatures w14:val="none"/>
        </w:rPr>
        <w:t>استبانة. وتوصلت النتائج إلى وجود أثر ذي دلالة إحصائية للامتثال لمبادئ الأنشطة الرقابية بأبعادها الثلاثة على فاعلية الرقابة الداخلية الحكومية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وأوصت الدراسة بأن تتخذ الإدارات العليا المبادرات التي ترفع مستويات الامتثال، وإشراك المتخصصين في نظم المعلومات والتكنولوجيا في تطوير الأنشطة الرقابية لضمان فاعلية الرقابة الداخلية</w:t>
      </w:r>
      <w:r w:rsidRPr="00ED5D0F">
        <w:rPr>
          <w:rFonts w:ascii="Simplified Arabic" w:eastAsia="Times New Roman" w:hAnsi="Simplified Arabic" w:cs="Simplified Arabic"/>
          <w:color w:val="000000" w:themeColor="text1"/>
          <w:kern w:val="0"/>
          <w:sz w:val="28"/>
          <w:szCs w:val="28"/>
          <w14:ligatures w14:val="none"/>
        </w:rPr>
        <w:t>.</w:t>
      </w:r>
      <w:r w:rsidR="00FA402B" w:rsidRPr="00ED5D0F">
        <w:rPr>
          <w:rFonts w:ascii="Simplified Arabic" w:eastAsia="Times New Roman" w:hAnsi="Simplified Arabic" w:cs="Simplified Arabic"/>
          <w:color w:val="000000" w:themeColor="text1"/>
          <w:kern w:val="0"/>
          <w:sz w:val="28"/>
          <w:szCs w:val="28"/>
          <w14:ligatures w14:val="none"/>
        </w:rPr>
        <w:t>.</w:t>
      </w:r>
    </w:p>
    <w:p w14:paraId="30A122F7" w14:textId="77777777" w:rsidR="00B95BA6" w:rsidRPr="00ED5D0F" w:rsidRDefault="00B95BA6"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lastRenderedPageBreak/>
        <w:t xml:space="preserve">دراسة (الماحي وأحمد، 2023): "أثر </w:t>
      </w:r>
      <w:proofErr w:type="spellStart"/>
      <w:r w:rsidRPr="00ED5D0F">
        <w:rPr>
          <w:rFonts w:ascii="Simplified Arabic" w:eastAsia="Times New Roman" w:hAnsi="Simplified Arabic" w:cs="Simplified Arabic"/>
          <w:b/>
          <w:bCs/>
          <w:color w:val="000000" w:themeColor="text1"/>
          <w:kern w:val="0"/>
          <w:sz w:val="28"/>
          <w:szCs w:val="28"/>
          <w:rtl/>
          <w14:ligatures w14:val="none"/>
        </w:rPr>
        <w:t>حوكمة</w:t>
      </w:r>
      <w:proofErr w:type="spellEnd"/>
      <w:r w:rsidRPr="00ED5D0F">
        <w:rPr>
          <w:rFonts w:ascii="Simplified Arabic" w:eastAsia="Times New Roman" w:hAnsi="Simplified Arabic" w:cs="Simplified Arabic"/>
          <w:b/>
          <w:bCs/>
          <w:color w:val="000000" w:themeColor="text1"/>
          <w:kern w:val="0"/>
          <w:sz w:val="28"/>
          <w:szCs w:val="28"/>
          <w:rtl/>
          <w14:ligatures w14:val="none"/>
        </w:rPr>
        <w:t xml:space="preserve"> المصارف على جودة المعلومات المحاسبية: دراسة ميدانية على عينة من المصارف السودانية العاملة بولاية </w:t>
      </w:r>
      <w:proofErr w:type="spellStart"/>
      <w:r w:rsidRPr="00ED5D0F">
        <w:rPr>
          <w:rFonts w:ascii="Simplified Arabic" w:eastAsia="Times New Roman" w:hAnsi="Simplified Arabic" w:cs="Simplified Arabic"/>
          <w:b/>
          <w:bCs/>
          <w:color w:val="000000" w:themeColor="text1"/>
          <w:kern w:val="0"/>
          <w:sz w:val="28"/>
          <w:szCs w:val="28"/>
          <w:rtl/>
          <w14:ligatures w14:val="none"/>
        </w:rPr>
        <w:t>القضارف</w:t>
      </w:r>
      <w:proofErr w:type="spellEnd"/>
      <w:r w:rsidRPr="00ED5D0F">
        <w:rPr>
          <w:rFonts w:ascii="Simplified Arabic" w:eastAsia="Times New Roman" w:hAnsi="Simplified Arabic" w:cs="Simplified Arabic"/>
          <w:b/>
          <w:bCs/>
          <w:color w:val="000000" w:themeColor="text1"/>
          <w:kern w:val="0"/>
          <w:sz w:val="28"/>
          <w:szCs w:val="28"/>
          <w14:ligatures w14:val="none"/>
        </w:rPr>
        <w:t>"</w:t>
      </w:r>
    </w:p>
    <w:p w14:paraId="30C73B64"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w:t>
      </w:r>
      <w:proofErr w:type="spellStart"/>
      <w:r w:rsidRPr="00ED5D0F">
        <w:rPr>
          <w:rFonts w:ascii="Simplified Arabic" w:eastAsia="Times New Roman" w:hAnsi="Simplified Arabic" w:cs="Simplified Arabic"/>
          <w:color w:val="000000" w:themeColor="text1"/>
          <w:kern w:val="0"/>
          <w:sz w:val="28"/>
          <w:szCs w:val="28"/>
          <w:rtl/>
          <w14:ligatures w14:val="none"/>
        </w:rPr>
        <w:t>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المصارف بآلياتها (الداخلية والخارجية) على جودة المعلومات المحاسبية من وجهة نظر منتجي ومستخدمي المعلومات المحاسبية في المصارف العاملة بولاية </w:t>
      </w:r>
      <w:proofErr w:type="spellStart"/>
      <w:r w:rsidRPr="00ED5D0F">
        <w:rPr>
          <w:rFonts w:ascii="Simplified Arabic" w:eastAsia="Times New Roman" w:hAnsi="Simplified Arabic" w:cs="Simplified Arabic"/>
          <w:color w:val="000000" w:themeColor="text1"/>
          <w:kern w:val="0"/>
          <w:sz w:val="28"/>
          <w:szCs w:val="28"/>
          <w:rtl/>
          <w14:ligatures w14:val="none"/>
        </w:rPr>
        <w:t>القضارف</w:t>
      </w:r>
      <w:proofErr w:type="spellEnd"/>
      <w:r w:rsidRPr="00ED5D0F">
        <w:rPr>
          <w:rFonts w:ascii="Simplified Arabic" w:eastAsia="Times New Roman" w:hAnsi="Simplified Arabic" w:cs="Simplified Arabic"/>
          <w:color w:val="000000" w:themeColor="text1"/>
          <w:kern w:val="0"/>
          <w:sz w:val="28"/>
          <w:szCs w:val="28"/>
          <w:rtl/>
          <w14:ligatures w14:val="none"/>
        </w:rPr>
        <w:t>. واستخدمت الدراسة المنهج المسحي الوصفي التحليلي، وتكوّن مجتمع الدراسة من (52) مصرفياً تم اختيارهم باستخدام أسلوب العينة الطبقية العشوائية، وحُلّلت البيانات باستخدام برنامج</w:t>
      </w:r>
      <w:r w:rsidRPr="00ED5D0F">
        <w:rPr>
          <w:rFonts w:ascii="Simplified Arabic" w:eastAsia="Times New Roman" w:hAnsi="Simplified Arabic" w:cs="Simplified Arabic"/>
          <w:color w:val="000000" w:themeColor="text1"/>
          <w:kern w:val="0"/>
          <w:sz w:val="28"/>
          <w:szCs w:val="28"/>
          <w14:ligatures w14:val="none"/>
        </w:rPr>
        <w:t xml:space="preserve"> SPSS </w:t>
      </w:r>
      <w:r w:rsidRPr="00ED5D0F">
        <w:rPr>
          <w:rFonts w:ascii="Simplified Arabic" w:eastAsia="Times New Roman" w:hAnsi="Simplified Arabic" w:cs="Simplified Arabic"/>
          <w:color w:val="000000" w:themeColor="text1"/>
          <w:kern w:val="0"/>
          <w:sz w:val="28"/>
          <w:szCs w:val="28"/>
          <w:rtl/>
          <w14:ligatures w14:val="none"/>
        </w:rPr>
        <w:t xml:space="preserve">وتحليل الانحدار البسيط والمتعدد. وتوصلت نتائج الدراسة إلى وجود أثر لتطبيق </w:t>
      </w:r>
      <w:proofErr w:type="spellStart"/>
      <w:r w:rsidRPr="00ED5D0F">
        <w:rPr>
          <w:rFonts w:ascii="Simplified Arabic" w:eastAsia="Times New Roman" w:hAnsi="Simplified Arabic" w:cs="Simplified Arabic"/>
          <w:color w:val="000000" w:themeColor="text1"/>
          <w:kern w:val="0"/>
          <w:sz w:val="28"/>
          <w:szCs w:val="28"/>
          <w:rtl/>
          <w14:ligatures w14:val="none"/>
        </w:rPr>
        <w:t>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المصارف على جودة المعلومات المحاسبية، وأن مستوى تطبيق الحوكمة وجودة المعلومات المحاسبية جاء بدرجة مرتفعة، كما أن تطبيق آليات الحوكمة الخارجية يفوق تطبيق الآليات الداخلية، مع عدم وجود فروقات تُرجع لطبيعة المصرف أو مسماه</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وأوصت الدراسة بتفعيل آليات </w:t>
      </w:r>
      <w:proofErr w:type="spellStart"/>
      <w:r w:rsidRPr="00ED5D0F">
        <w:rPr>
          <w:rFonts w:ascii="Simplified Arabic" w:eastAsia="Times New Roman" w:hAnsi="Simplified Arabic" w:cs="Simplified Arabic"/>
          <w:color w:val="000000" w:themeColor="text1"/>
          <w:kern w:val="0"/>
          <w:sz w:val="28"/>
          <w:szCs w:val="28"/>
          <w:rtl/>
          <w14:ligatures w14:val="none"/>
        </w:rPr>
        <w:t>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المصارف لتعزيز جودة المعلومات المحاسبية، والتركيز على الآليات الخارجية كونها أكثر تأثيراً، وتعزيز الملكية الإدارية للتنفيذيين في القطاع المصرفي</w:t>
      </w:r>
      <w:r w:rsidRPr="00ED5D0F">
        <w:rPr>
          <w:rFonts w:ascii="Simplified Arabic" w:eastAsia="Times New Roman" w:hAnsi="Simplified Arabic" w:cs="Simplified Arabic"/>
          <w:color w:val="000000" w:themeColor="text1"/>
          <w:kern w:val="0"/>
          <w:sz w:val="28"/>
          <w:szCs w:val="28"/>
          <w14:ligatures w14:val="none"/>
        </w:rPr>
        <w:t>.</w:t>
      </w:r>
    </w:p>
    <w:p w14:paraId="131C864E" w14:textId="77777777" w:rsidR="00B95BA6" w:rsidRPr="00ED5D0F" w:rsidRDefault="00B95BA6"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 xml:space="preserve">دراسة (عمار ووقاف، 2024): "أثر </w:t>
      </w:r>
      <w:proofErr w:type="spellStart"/>
      <w:r w:rsidRPr="00ED5D0F">
        <w:rPr>
          <w:rFonts w:ascii="Simplified Arabic" w:eastAsia="Times New Roman" w:hAnsi="Simplified Arabic" w:cs="Simplified Arabic"/>
          <w:b/>
          <w:bCs/>
          <w:color w:val="000000" w:themeColor="text1"/>
          <w:kern w:val="0"/>
          <w:sz w:val="28"/>
          <w:szCs w:val="28"/>
          <w:rtl/>
          <w14:ligatures w14:val="none"/>
        </w:rPr>
        <w:t>حوكمة</w:t>
      </w:r>
      <w:proofErr w:type="spellEnd"/>
      <w:r w:rsidRPr="00ED5D0F">
        <w:rPr>
          <w:rFonts w:ascii="Simplified Arabic" w:eastAsia="Times New Roman" w:hAnsi="Simplified Arabic" w:cs="Simplified Arabic"/>
          <w:b/>
          <w:bCs/>
          <w:color w:val="000000" w:themeColor="text1"/>
          <w:kern w:val="0"/>
          <w:sz w:val="28"/>
          <w:szCs w:val="28"/>
          <w:rtl/>
          <w14:ligatures w14:val="none"/>
        </w:rPr>
        <w:t xml:space="preserve"> الشركات على جودة التقارير المالية: دراسة ميدانية على الشركات المدرجة في سوق دمشق للأوراق المالية</w:t>
      </w:r>
      <w:r w:rsidRPr="00ED5D0F">
        <w:rPr>
          <w:rFonts w:ascii="Simplified Arabic" w:eastAsia="Times New Roman" w:hAnsi="Simplified Arabic" w:cs="Simplified Arabic"/>
          <w:b/>
          <w:bCs/>
          <w:color w:val="000000" w:themeColor="text1"/>
          <w:kern w:val="0"/>
          <w:sz w:val="28"/>
          <w:szCs w:val="28"/>
          <w14:ligatures w14:val="none"/>
        </w:rPr>
        <w:t>"</w:t>
      </w:r>
    </w:p>
    <w:p w14:paraId="48592631"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درجة تأثير التزام الشركات المدرجة في سوق دمشق للأوراق المالية بمبادئ </w:t>
      </w:r>
      <w:proofErr w:type="spellStart"/>
      <w:r w:rsidRPr="00ED5D0F">
        <w:rPr>
          <w:rFonts w:ascii="Simplified Arabic" w:eastAsia="Times New Roman" w:hAnsi="Simplified Arabic" w:cs="Simplified Arabic"/>
          <w:color w:val="000000" w:themeColor="text1"/>
          <w:kern w:val="0"/>
          <w:sz w:val="28"/>
          <w:szCs w:val="28"/>
          <w:rtl/>
          <w14:ligatures w14:val="none"/>
        </w:rPr>
        <w:t>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الشركات بأبعادها (الملكية الإدارية، ملكية المساهمين الكبار، حجم مجلس الإدارة، استقلالية مجلس الإدارة، خبرة لجنة التدقيق، التمويل بالدين) على جودة التقارير المالية خلال الفترة (2012–2021). واستخدمت الدراسة المدخل الاستنباطي لصياغة الفرضيات ونموذج الانحدار الخطي المتعدد لاختبارها، وشملت العينة (33) شركة مدرجة. وتوصلت النتائج إلى وجود علاقة بين آليات الحوكمة المتمثلة بالملكية الإدارية وملكية المساهمين الكبار وحجم مجلس الإدارة وخبرة لجنة التدقيق والتمويل بالدين وبين جودة التقارير المالية مقاسة بنسبة القيمة السوقية إلى الدفترية، في حين لم يكن لاستقلالية مجلس الإدارة أي دور. وأوصت الدراسة بتعزيز خبرة أعضاء لجان التدقيق وتحسين هيكل الملكية في الشركات السورية</w:t>
      </w:r>
      <w:r w:rsidRPr="00ED5D0F">
        <w:rPr>
          <w:rFonts w:ascii="Simplified Arabic" w:eastAsia="Times New Roman" w:hAnsi="Simplified Arabic" w:cs="Simplified Arabic"/>
          <w:color w:val="000000" w:themeColor="text1"/>
          <w:kern w:val="0"/>
          <w:sz w:val="28"/>
          <w:szCs w:val="28"/>
          <w14:ligatures w14:val="none"/>
        </w:rPr>
        <w:t>.</w:t>
      </w:r>
    </w:p>
    <w:p w14:paraId="6AEA9B72" w14:textId="77777777" w:rsidR="00B95BA6" w:rsidRPr="00ED5D0F" w:rsidRDefault="00B95BA6"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 xml:space="preserve">دراسة (سليمان وبابكر، 2025): "أثر </w:t>
      </w:r>
      <w:proofErr w:type="spellStart"/>
      <w:r w:rsidRPr="00ED5D0F">
        <w:rPr>
          <w:rFonts w:ascii="Simplified Arabic" w:eastAsia="Times New Roman" w:hAnsi="Simplified Arabic" w:cs="Simplified Arabic"/>
          <w:b/>
          <w:bCs/>
          <w:color w:val="000000" w:themeColor="text1"/>
          <w:kern w:val="0"/>
          <w:sz w:val="28"/>
          <w:szCs w:val="28"/>
          <w:rtl/>
          <w14:ligatures w14:val="none"/>
        </w:rPr>
        <w:t>حوكمة</w:t>
      </w:r>
      <w:proofErr w:type="spellEnd"/>
      <w:r w:rsidRPr="00ED5D0F">
        <w:rPr>
          <w:rFonts w:ascii="Simplified Arabic" w:eastAsia="Times New Roman" w:hAnsi="Simplified Arabic" w:cs="Simplified Arabic"/>
          <w:b/>
          <w:bCs/>
          <w:color w:val="000000" w:themeColor="text1"/>
          <w:kern w:val="0"/>
          <w:sz w:val="28"/>
          <w:szCs w:val="28"/>
          <w:rtl/>
          <w14:ligatures w14:val="none"/>
        </w:rPr>
        <w:t xml:space="preserve"> الشركات في جودة الأداء الوظيفي: دراسة حالة على شركات التعدين العاملة بإقليم النيل الأزرق 2024–2025م</w:t>
      </w:r>
      <w:r w:rsidRPr="00ED5D0F">
        <w:rPr>
          <w:rFonts w:ascii="Simplified Arabic" w:eastAsia="Times New Roman" w:hAnsi="Simplified Arabic" w:cs="Simplified Arabic"/>
          <w:b/>
          <w:bCs/>
          <w:color w:val="000000" w:themeColor="text1"/>
          <w:kern w:val="0"/>
          <w:sz w:val="28"/>
          <w:szCs w:val="28"/>
          <w14:ligatures w14:val="none"/>
        </w:rPr>
        <w:t>"</w:t>
      </w:r>
    </w:p>
    <w:p w14:paraId="455A4BD1"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أثر </w:t>
      </w:r>
      <w:proofErr w:type="spellStart"/>
      <w:r w:rsidRPr="00ED5D0F">
        <w:rPr>
          <w:rFonts w:ascii="Simplified Arabic" w:eastAsia="Times New Roman" w:hAnsi="Simplified Arabic" w:cs="Simplified Arabic"/>
          <w:color w:val="000000" w:themeColor="text1"/>
          <w:kern w:val="0"/>
          <w:sz w:val="28"/>
          <w:szCs w:val="28"/>
          <w:rtl/>
          <w14:ligatures w14:val="none"/>
        </w:rPr>
        <w:t>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الشركات بأبعادها (الشفافية، المساءلة، التدريب) على جودة الأداء الوظيفي في شركات التعدين العاملة بإقليم النيل الأزرق بالسودان. واستخدمت الدراسة المنهج الوصفي التحليلي ومنهج دراسة الحالة، وتم جمع البيانات من خلال استبانة وُزّعت على عينة من العاملين في شركات التعدين بالإقليم. وتوصلت نتائج الدراسة إلى وجود أثر إيجابي ذي دلالة إحصائية لتطبيق مبادئ </w:t>
      </w:r>
      <w:proofErr w:type="spellStart"/>
      <w:r w:rsidRPr="00ED5D0F">
        <w:rPr>
          <w:rFonts w:ascii="Simplified Arabic" w:eastAsia="Times New Roman" w:hAnsi="Simplified Arabic" w:cs="Simplified Arabic"/>
          <w:color w:val="000000" w:themeColor="text1"/>
          <w:kern w:val="0"/>
          <w:sz w:val="28"/>
          <w:szCs w:val="28"/>
          <w:rtl/>
          <w14:ligatures w14:val="none"/>
        </w:rPr>
        <w:t>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الشركات على جودة الأداء الوظيفي، وأن الشفافية والمساءلة والتدريب تُسهم بشكل فاعل في رفع مستوى الأداء. وأوصت الدراسة بتعزيز تطبيق مبادئ الحوكمة في شركات التعدين مع التركيز على الشفافية والمساءلة وبناء برامج تدريب فعّالة للموظفين</w:t>
      </w:r>
      <w:r w:rsidRPr="00ED5D0F">
        <w:rPr>
          <w:rFonts w:ascii="Simplified Arabic" w:eastAsia="Times New Roman" w:hAnsi="Simplified Arabic" w:cs="Simplified Arabic"/>
          <w:color w:val="000000" w:themeColor="text1"/>
          <w:kern w:val="0"/>
          <w:sz w:val="28"/>
          <w:szCs w:val="28"/>
          <w14:ligatures w14:val="none"/>
        </w:rPr>
        <w:t>.</w:t>
      </w:r>
    </w:p>
    <w:p w14:paraId="6D9A3CC8" w14:textId="77777777" w:rsidR="00B95BA6" w:rsidRPr="00ED5D0F" w:rsidRDefault="00B95BA6"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دراسة (عامر وسلامة ودعيه، 2025)</w:t>
      </w:r>
      <w:r w:rsidRPr="00ED5D0F">
        <w:rPr>
          <w:rFonts w:ascii="Simplified Arabic" w:eastAsia="Times New Roman" w:hAnsi="Simplified Arabic" w:cs="Simplified Arabic"/>
          <w:b/>
          <w:bCs/>
          <w:color w:val="000000" w:themeColor="text1"/>
          <w:kern w:val="0"/>
          <w:sz w:val="28"/>
          <w:szCs w:val="28"/>
          <w14:ligatures w14:val="none"/>
        </w:rPr>
        <w:t>: "</w:t>
      </w:r>
      <w:r w:rsidRPr="00ED5D0F">
        <w:rPr>
          <w:rFonts w:ascii="Simplified Arabic" w:eastAsia="Times New Roman" w:hAnsi="Simplified Arabic" w:cs="Simplified Arabic"/>
          <w:b/>
          <w:bCs/>
          <w:color w:val="000000" w:themeColor="text1"/>
          <w:kern w:val="0"/>
          <w:sz w:val="28"/>
          <w:szCs w:val="28"/>
          <w:rtl/>
          <w14:ligatures w14:val="none"/>
        </w:rPr>
        <w:t>تقييم أثر مؤشرات كفاية رأس المال في الحد من المخاطر الائتمانية ومخاطر السيولة في ضوء مقررات بازل 3: دراسة تطبيقية</w:t>
      </w:r>
      <w:r w:rsidRPr="00ED5D0F">
        <w:rPr>
          <w:rFonts w:ascii="Simplified Arabic" w:eastAsia="Times New Roman" w:hAnsi="Simplified Arabic" w:cs="Simplified Arabic"/>
          <w:b/>
          <w:bCs/>
          <w:color w:val="000000" w:themeColor="text1"/>
          <w:kern w:val="0"/>
          <w:sz w:val="28"/>
          <w:szCs w:val="28"/>
          <w14:ligatures w14:val="none"/>
        </w:rPr>
        <w:t>"</w:t>
      </w:r>
    </w:p>
    <w:p w14:paraId="511AC469"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هدفت الدراسة إلى التعرف على أثر مؤشرات كفاية رأس المال بأبعادها (نسبة كفاية رأس المال، نسبة الرافعة المالية، نسبة صافي التمويل المستقر) في الحد من المخاطر الائتمانية ومخاطر السيولة في البنوك التجارية المقيّدة في البورصة المصرية في ضوء مقررات بازل 3</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واستخدمت الدراسة أسلوب التحليل الكمي وأسلوب انحدار البيانات الجدولية </w:t>
      </w:r>
      <w:r w:rsidRPr="00ED5D0F">
        <w:rPr>
          <w:rFonts w:ascii="Simplified Arabic" w:eastAsia="Times New Roman" w:hAnsi="Simplified Arabic" w:cs="Simplified Arabic"/>
          <w:color w:val="000000" w:themeColor="text1"/>
          <w:kern w:val="0"/>
          <w:sz w:val="28"/>
          <w:szCs w:val="28"/>
          <w14:ligatures w14:val="none"/>
        </w:rPr>
        <w:t>(Panel Data)</w:t>
      </w:r>
      <w:r w:rsidRPr="00ED5D0F">
        <w:rPr>
          <w:rFonts w:ascii="Simplified Arabic" w:eastAsia="Times New Roman" w:hAnsi="Simplified Arabic" w:cs="Simplified Arabic"/>
          <w:color w:val="000000" w:themeColor="text1"/>
          <w:kern w:val="0"/>
          <w:sz w:val="28"/>
          <w:szCs w:val="28"/>
          <w:rtl/>
          <w14:ligatures w14:val="none"/>
        </w:rPr>
        <w:t>، وتكوّنت العينة من (9) بنوك تجارية خلال الفترة</w:t>
      </w:r>
      <w:r w:rsidRPr="00ED5D0F">
        <w:rPr>
          <w:rFonts w:ascii="Simplified Arabic" w:eastAsia="Times New Roman" w:hAnsi="Simplified Arabic" w:cs="Simplified Arabic"/>
          <w:color w:val="000000" w:themeColor="text1"/>
          <w:kern w:val="0"/>
          <w:sz w:val="28"/>
          <w:szCs w:val="28"/>
          <w14:ligatures w14:val="none"/>
        </w:rPr>
        <w:t xml:space="preserve"> (2018–2024). </w:t>
      </w:r>
      <w:r w:rsidRPr="00ED5D0F">
        <w:rPr>
          <w:rFonts w:ascii="Simplified Arabic" w:eastAsia="Times New Roman" w:hAnsi="Simplified Arabic" w:cs="Simplified Arabic"/>
          <w:color w:val="000000" w:themeColor="text1"/>
          <w:kern w:val="0"/>
          <w:sz w:val="28"/>
          <w:szCs w:val="28"/>
          <w:rtl/>
          <w14:ligatures w14:val="none"/>
        </w:rPr>
        <w:t>وتوصلت النتائج إلى عدم وجود أثر جوهري لمؤشرات كفاية رأس المال في الحد من المخاطر الائتمانية، ويُرجع ذلك إلى اعتماد البنوك على سياسات محافظة في تكوين المخصصات بغض النظر عن مستوى رأس المال، بينما وُجد أثر جوهري في الحد من مخاطر السيولة، خاصة نسبة الرافعة المالية. وأوصت الدراسة بإعادة النظر في نماذج تقييم مخاطر الائتمان وآليات تخصيص رأس المال، والتأكيد على أن الامتثال الشكلي لمقررات بازل لا يضمن بالضرورة فعالية رقابية حقيقية</w:t>
      </w:r>
      <w:r w:rsidRPr="00ED5D0F">
        <w:rPr>
          <w:rFonts w:ascii="Simplified Arabic" w:eastAsia="Times New Roman" w:hAnsi="Simplified Arabic" w:cs="Simplified Arabic"/>
          <w:color w:val="000000" w:themeColor="text1"/>
          <w:kern w:val="0"/>
          <w:sz w:val="28"/>
          <w:szCs w:val="28"/>
          <w14:ligatures w14:val="none"/>
        </w:rPr>
        <w:t>.</w:t>
      </w:r>
    </w:p>
    <w:p w14:paraId="5DAFEE22" w14:textId="77777777" w:rsidR="00B95BA6" w:rsidRPr="00ED5D0F" w:rsidRDefault="00B95BA6" w:rsidP="009255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6"/>
          <w:szCs w:val="36"/>
          <w14:ligatures w14:val="none"/>
        </w:rPr>
      </w:pPr>
      <w:bookmarkStart w:id="14" w:name="_Toc227765689"/>
      <w:r w:rsidRPr="00ED5D0F">
        <w:rPr>
          <w:rFonts w:ascii="Simplified Arabic" w:eastAsia="Times New Roman" w:hAnsi="Simplified Arabic" w:cs="Simplified Arabic"/>
          <w:b/>
          <w:bCs/>
          <w:color w:val="000000" w:themeColor="text1"/>
          <w:kern w:val="0"/>
          <w:sz w:val="36"/>
          <w:szCs w:val="36"/>
          <w:rtl/>
          <w14:ligatures w14:val="none"/>
        </w:rPr>
        <w:t>ثانياً: الدراسات الأجنبية</w:t>
      </w:r>
      <w:bookmarkEnd w:id="14"/>
    </w:p>
    <w:p w14:paraId="6DA0B548" w14:textId="77777777" w:rsidR="00925511" w:rsidRPr="00ED5D0F" w:rsidRDefault="00925511"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دراسة</w:t>
      </w:r>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Handoko</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Riantono</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ED5D0F">
        <w:rPr>
          <w:rFonts w:ascii="Simplified Arabic" w:eastAsia="Times New Roman" w:hAnsi="Simplified Arabic" w:cs="Simplified Arabic"/>
          <w:b/>
          <w:bCs/>
          <w:color w:val="000000" w:themeColor="text1"/>
          <w:kern w:val="0"/>
          <w:sz w:val="28"/>
          <w:szCs w:val="28"/>
          <w14:ligatures w14:val="none"/>
        </w:rPr>
        <w:t>Gani</w:t>
      </w:r>
      <w:proofErr w:type="spellEnd"/>
      <w:r w:rsidRPr="00ED5D0F">
        <w:rPr>
          <w:rFonts w:ascii="Simplified Arabic" w:eastAsia="Times New Roman" w:hAnsi="Simplified Arabic" w:cs="Simplified Arabic"/>
          <w:b/>
          <w:bCs/>
          <w:color w:val="000000" w:themeColor="text1"/>
          <w:kern w:val="0"/>
          <w:sz w:val="28"/>
          <w:szCs w:val="28"/>
          <w14:ligatures w14:val="none"/>
        </w:rPr>
        <w:t>, 2020): "Importance and Benefit of Application of Governance Risk and Compliance Principle"</w:t>
      </w:r>
    </w:p>
    <w:p w14:paraId="495789DC" w14:textId="77777777" w:rsidR="00925511" w:rsidRPr="00ED5D0F" w:rsidRDefault="00925511"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هدفت الدراسة إلى التعرف على أهمية وفوائد تطبيق مبادئ الحوكمة والمخاطر والامتثال</w:t>
      </w:r>
      <w:r w:rsidRPr="00ED5D0F">
        <w:rPr>
          <w:rFonts w:ascii="Simplified Arabic" w:eastAsia="Times New Roman" w:hAnsi="Simplified Arabic" w:cs="Simplified Arabic"/>
          <w:color w:val="000000" w:themeColor="text1"/>
          <w:kern w:val="0"/>
          <w:sz w:val="28"/>
          <w:szCs w:val="28"/>
          <w14:ligatures w14:val="none"/>
        </w:rPr>
        <w:t xml:space="preserve"> (GRC) </w:t>
      </w:r>
      <w:r w:rsidRPr="00ED5D0F">
        <w:rPr>
          <w:rFonts w:ascii="Simplified Arabic" w:eastAsia="Times New Roman" w:hAnsi="Simplified Arabic" w:cs="Simplified Arabic"/>
          <w:color w:val="000000" w:themeColor="text1"/>
          <w:kern w:val="0"/>
          <w:sz w:val="28"/>
          <w:szCs w:val="28"/>
          <w:rtl/>
          <w14:ligatures w14:val="none"/>
        </w:rPr>
        <w:t>بأبعادها (الحوكمة المؤسسية، إدارة المخاطر، الامتثال التنظيمي) في الشركات المدرجة في إندونيسيا</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واستخدمت الدراسة المنهج النوعي</w:t>
      </w:r>
      <w:r w:rsidRPr="00ED5D0F">
        <w:rPr>
          <w:rFonts w:ascii="Simplified Arabic" w:eastAsia="Times New Roman" w:hAnsi="Simplified Arabic" w:cs="Simplified Arabic"/>
          <w:color w:val="000000" w:themeColor="text1"/>
          <w:kern w:val="0"/>
          <w:sz w:val="28"/>
          <w:szCs w:val="28"/>
          <w14:ligatures w14:val="none"/>
        </w:rPr>
        <w:t xml:space="preserve"> (Qualitative Research) </w:t>
      </w:r>
      <w:r w:rsidRPr="00ED5D0F">
        <w:rPr>
          <w:rFonts w:ascii="Simplified Arabic" w:eastAsia="Times New Roman" w:hAnsi="Simplified Arabic" w:cs="Simplified Arabic"/>
          <w:color w:val="000000" w:themeColor="text1"/>
          <w:kern w:val="0"/>
          <w:sz w:val="28"/>
          <w:szCs w:val="28"/>
          <w:rtl/>
          <w14:ligatures w14:val="none"/>
        </w:rPr>
        <w:t xml:space="preserve">من خلال جمع بيانات أولية عبر مقابلات </w:t>
      </w:r>
      <w:r w:rsidRPr="00ED5D0F">
        <w:rPr>
          <w:rFonts w:ascii="Simplified Arabic" w:eastAsia="Times New Roman" w:hAnsi="Simplified Arabic" w:cs="Simplified Arabic"/>
          <w:color w:val="000000" w:themeColor="text1"/>
          <w:kern w:val="0"/>
          <w:sz w:val="28"/>
          <w:szCs w:val="28"/>
          <w:rtl/>
          <w14:ligatures w14:val="none"/>
        </w:rPr>
        <w:lastRenderedPageBreak/>
        <w:t>مع أعضاء لجان التدقيق المستقلة في شركات مدرجة في البورصة، إضافة إلى بيانات ثانوية من الأبحاث والتقارير المنشورة. وتوصلت النتائج إلى أن تطبيق مبادئ الحوكمة والمخاطر والامتثال بشكل فعّال يُحقق فوائد كبيرة للشركات، تشمل القدرة على التنبؤ بالمخاطر المستقبلية وتحليلها، وتعزيز المرونة والميزة التنافسية، وتقليل التكاليف الإجمالية للملكية. وأوصت الدراسة بضرورة تبنّي الشركات لمبادئ</w:t>
      </w:r>
      <w:r w:rsidRPr="00ED5D0F">
        <w:rPr>
          <w:rFonts w:ascii="Simplified Arabic" w:eastAsia="Times New Roman" w:hAnsi="Simplified Arabic" w:cs="Simplified Arabic"/>
          <w:color w:val="000000" w:themeColor="text1"/>
          <w:kern w:val="0"/>
          <w:sz w:val="28"/>
          <w:szCs w:val="28"/>
          <w14:ligatures w14:val="none"/>
        </w:rPr>
        <w:t xml:space="preserve"> GRC </w:t>
      </w:r>
      <w:r w:rsidRPr="00ED5D0F">
        <w:rPr>
          <w:rFonts w:ascii="Simplified Arabic" w:eastAsia="Times New Roman" w:hAnsi="Simplified Arabic" w:cs="Simplified Arabic"/>
          <w:color w:val="000000" w:themeColor="text1"/>
          <w:kern w:val="0"/>
          <w:sz w:val="28"/>
          <w:szCs w:val="28"/>
          <w:rtl/>
          <w14:ligatures w14:val="none"/>
        </w:rPr>
        <w:t>كمنظومة متكاملة وليس كأنشطة منفصلة، وتوظيف التكنولوجيا في دعم عمليات الامتثال والرقابة</w:t>
      </w:r>
      <w:r w:rsidRPr="00ED5D0F">
        <w:rPr>
          <w:rFonts w:ascii="Simplified Arabic" w:eastAsia="Times New Roman" w:hAnsi="Simplified Arabic" w:cs="Simplified Arabic"/>
          <w:color w:val="000000" w:themeColor="text1"/>
          <w:kern w:val="0"/>
          <w:sz w:val="28"/>
          <w:szCs w:val="28"/>
          <w14:ligatures w14:val="none"/>
        </w:rPr>
        <w:t>.</w:t>
      </w:r>
    </w:p>
    <w:p w14:paraId="6BCBEA47" w14:textId="77777777" w:rsidR="00925511" w:rsidRPr="00ED5D0F" w:rsidRDefault="00925511"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دراسة</w:t>
      </w:r>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Elamer</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Ntim</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ED5D0F">
        <w:rPr>
          <w:rFonts w:ascii="Simplified Arabic" w:eastAsia="Times New Roman" w:hAnsi="Simplified Arabic" w:cs="Simplified Arabic"/>
          <w:b/>
          <w:bCs/>
          <w:color w:val="000000" w:themeColor="text1"/>
          <w:kern w:val="0"/>
          <w:sz w:val="28"/>
          <w:szCs w:val="28"/>
          <w14:ligatures w14:val="none"/>
        </w:rPr>
        <w:t>Abdou</w:t>
      </w:r>
      <w:proofErr w:type="spellEnd"/>
      <w:r w:rsidRPr="00ED5D0F">
        <w:rPr>
          <w:rFonts w:ascii="Simplified Arabic" w:eastAsia="Times New Roman" w:hAnsi="Simplified Arabic" w:cs="Simplified Arabic"/>
          <w:b/>
          <w:bCs/>
          <w:color w:val="000000" w:themeColor="text1"/>
          <w:kern w:val="0"/>
          <w:sz w:val="28"/>
          <w:szCs w:val="28"/>
          <w14:ligatures w14:val="none"/>
        </w:rPr>
        <w:t>, 2020): "Islamic Governance, National Governance, and Bank Risk Management and Disclosure in MENA Countries"</w:t>
      </w:r>
    </w:p>
    <w:p w14:paraId="08E79883" w14:textId="77777777" w:rsidR="00925511" w:rsidRPr="00ED5D0F" w:rsidRDefault="00925511"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جودة الحوكمة الإسلامية بأبعادها (خصائص هيئة الرقابة الشرعية، حجمها واستقلاليتها) وجودة الحوكمة الوطنية (سيادة القانون، فعالية الحكومة، جودة التنظيم) وممارسات إدارة المخاطر والإفصاح في المصارف الإسلامية بمنطقة الشرق الأوسط وشمال أفريقيا</w:t>
      </w:r>
      <w:r w:rsidRPr="00ED5D0F">
        <w:rPr>
          <w:rFonts w:ascii="Simplified Arabic" w:eastAsia="Times New Roman" w:hAnsi="Simplified Arabic" w:cs="Simplified Arabic"/>
          <w:color w:val="000000" w:themeColor="text1"/>
          <w:kern w:val="0"/>
          <w:sz w:val="28"/>
          <w:szCs w:val="28"/>
          <w14:ligatures w14:val="none"/>
        </w:rPr>
        <w:t xml:space="preserve"> (MENA). </w:t>
      </w:r>
      <w:r w:rsidRPr="00ED5D0F">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الكمّي التحليلي القائم على تحليل المحتوى والانحدار المتعدد، وتكوّنت العينة من </w:t>
      </w:r>
      <w:r w:rsidRPr="00ED5D0F">
        <w:rPr>
          <w:rFonts w:ascii="Simplified Arabic" w:eastAsia="Times New Roman" w:hAnsi="Simplified Arabic" w:cs="Simplified Arabic"/>
          <w:color w:val="000000" w:themeColor="text1"/>
          <w:kern w:val="0"/>
          <w:sz w:val="28"/>
          <w:szCs w:val="28"/>
          <w14:ligatures w14:val="none"/>
        </w:rPr>
        <w:t xml:space="preserve">(64) </w:t>
      </w:r>
      <w:r w:rsidRPr="00ED5D0F">
        <w:rPr>
          <w:rFonts w:ascii="Simplified Arabic" w:eastAsia="Times New Roman" w:hAnsi="Simplified Arabic" w:cs="Simplified Arabic"/>
          <w:color w:val="000000" w:themeColor="text1"/>
          <w:kern w:val="0"/>
          <w:sz w:val="28"/>
          <w:szCs w:val="28"/>
          <w:rtl/>
          <w14:ligatures w14:val="none"/>
        </w:rPr>
        <w:t xml:space="preserve">مصرفاً إسلامياً في (10) دول عربية خلال الفترة (2006–2013) بإجمالي </w:t>
      </w:r>
      <w:r w:rsidRPr="00ED5D0F">
        <w:rPr>
          <w:rFonts w:ascii="Simplified Arabic" w:eastAsia="Times New Roman" w:hAnsi="Simplified Arabic" w:cs="Simplified Arabic"/>
          <w:color w:val="000000" w:themeColor="text1"/>
          <w:kern w:val="0"/>
          <w:sz w:val="28"/>
          <w:szCs w:val="28"/>
          <w14:ligatures w14:val="none"/>
        </w:rPr>
        <w:t xml:space="preserve">(425) </w:t>
      </w:r>
      <w:r w:rsidRPr="00ED5D0F">
        <w:rPr>
          <w:rFonts w:ascii="Simplified Arabic" w:eastAsia="Times New Roman" w:hAnsi="Simplified Arabic" w:cs="Simplified Arabic"/>
          <w:color w:val="000000" w:themeColor="text1"/>
          <w:kern w:val="0"/>
          <w:sz w:val="28"/>
          <w:szCs w:val="28"/>
          <w:rtl/>
          <w14:ligatures w14:val="none"/>
        </w:rPr>
        <w:t>مشاهدة سنوية. وتوصلت النتائج إلى أن ممارسات الإفصاح عن المخاطر أعلى في المصارف ذات جودة الحوكمة الإسلامية المرتفعة، وكذلك في الدول ذات جودة الحوكمة الوطنية الأعلى، وأن جودة الحوكمة الوطنية تلعب دوراً مُعدّلاً في العلاقة بين الحوكمة الإسلامية والإفصاح عن المخاطر. وأوصت الدراسة صانعي السياسات بتعزيز أُطُر الحوكمة الوطنية والإسلامية لرفع مستوى الشفافية في القطاع المصرفي الإسلامي</w:t>
      </w:r>
      <w:r w:rsidRPr="00ED5D0F">
        <w:rPr>
          <w:rFonts w:ascii="Simplified Arabic" w:eastAsia="Times New Roman" w:hAnsi="Simplified Arabic" w:cs="Simplified Arabic"/>
          <w:color w:val="000000" w:themeColor="text1"/>
          <w:kern w:val="0"/>
          <w:sz w:val="28"/>
          <w:szCs w:val="28"/>
          <w14:ligatures w14:val="none"/>
        </w:rPr>
        <w:t>.</w:t>
      </w:r>
    </w:p>
    <w:p w14:paraId="414F7C92" w14:textId="77777777" w:rsidR="00B95BA6" w:rsidRPr="00ED5D0F" w:rsidRDefault="00B95BA6"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دراسة</w:t>
      </w:r>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Nkuutu</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Ntayi</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Nkote</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Munene</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ED5D0F">
        <w:rPr>
          <w:rFonts w:ascii="Simplified Arabic" w:eastAsia="Times New Roman" w:hAnsi="Simplified Arabic" w:cs="Simplified Arabic"/>
          <w:b/>
          <w:bCs/>
          <w:color w:val="000000" w:themeColor="text1"/>
          <w:kern w:val="0"/>
          <w:sz w:val="28"/>
          <w:szCs w:val="28"/>
          <w14:ligatures w14:val="none"/>
        </w:rPr>
        <w:t>Kaberuka</w:t>
      </w:r>
      <w:proofErr w:type="spellEnd"/>
      <w:r w:rsidRPr="00ED5D0F">
        <w:rPr>
          <w:rFonts w:ascii="Simplified Arabic" w:eastAsia="Times New Roman" w:hAnsi="Simplified Arabic" w:cs="Simplified Arabic"/>
          <w:b/>
          <w:bCs/>
          <w:color w:val="000000" w:themeColor="text1"/>
          <w:kern w:val="0"/>
          <w:sz w:val="28"/>
          <w:szCs w:val="28"/>
          <w14:ligatures w14:val="none"/>
        </w:rPr>
        <w:t>, 2021): "Board Governance Quality and Risk Disclosure Compliance among Financial Institutions in Uganda"</w:t>
      </w:r>
    </w:p>
    <w:p w14:paraId="216ACE4C"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جودة </w:t>
      </w:r>
      <w:proofErr w:type="spellStart"/>
      <w:r w:rsidRPr="00ED5D0F">
        <w:rPr>
          <w:rFonts w:ascii="Simplified Arabic" w:eastAsia="Times New Roman" w:hAnsi="Simplified Arabic" w:cs="Simplified Arabic"/>
          <w:color w:val="000000" w:themeColor="text1"/>
          <w:kern w:val="0"/>
          <w:sz w:val="28"/>
          <w:szCs w:val="28"/>
          <w:rtl/>
          <w14:ligatures w14:val="none"/>
        </w:rPr>
        <w:t>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مجلس الإدارة بأبعادها (نشاط المجلس، استقلالية المجلس، تواصل المجلس، خبرة المجلس) على مستوى الامتثال للإفصاح عن المخاطر في المؤسسات المالية في أوغندا. واستخدمت الدراسة المنهج المقطعي</w:t>
      </w:r>
      <w:r w:rsidRPr="00ED5D0F">
        <w:rPr>
          <w:rFonts w:ascii="Simplified Arabic" w:eastAsia="Times New Roman" w:hAnsi="Simplified Arabic" w:cs="Simplified Arabic"/>
          <w:color w:val="000000" w:themeColor="text1"/>
          <w:kern w:val="0"/>
          <w:sz w:val="28"/>
          <w:szCs w:val="28"/>
          <w14:ligatures w14:val="none"/>
        </w:rPr>
        <w:t xml:space="preserve"> (Cross-Sectional Design) </w:t>
      </w:r>
      <w:r w:rsidRPr="00ED5D0F">
        <w:rPr>
          <w:rFonts w:ascii="Simplified Arabic" w:eastAsia="Times New Roman" w:hAnsi="Simplified Arabic" w:cs="Simplified Arabic"/>
          <w:color w:val="000000" w:themeColor="text1"/>
          <w:kern w:val="0"/>
          <w:sz w:val="28"/>
          <w:szCs w:val="28"/>
          <w:rtl/>
          <w14:ligatures w14:val="none"/>
        </w:rPr>
        <w:t xml:space="preserve">مع جمع البيانات عبر استبانة وقوائم مالية مدقّقة لعدد (83) مؤسسة مالية، واستخدمت </w:t>
      </w:r>
      <w:proofErr w:type="spellStart"/>
      <w:r w:rsidRPr="00ED5D0F">
        <w:rPr>
          <w:rFonts w:ascii="Simplified Arabic" w:eastAsia="Times New Roman" w:hAnsi="Simplified Arabic" w:cs="Simplified Arabic"/>
          <w:color w:val="000000" w:themeColor="text1"/>
          <w:kern w:val="0"/>
          <w:sz w:val="28"/>
          <w:szCs w:val="28"/>
          <w:rtl/>
          <w14:ligatures w14:val="none"/>
        </w:rPr>
        <w:t>نمذجة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المعادلات الهيكلية بالمربعات </w:t>
      </w:r>
      <w:r w:rsidRPr="00ED5D0F">
        <w:rPr>
          <w:rFonts w:ascii="Simplified Arabic" w:eastAsia="Times New Roman" w:hAnsi="Simplified Arabic" w:cs="Simplified Arabic"/>
          <w:color w:val="000000" w:themeColor="text1"/>
          <w:kern w:val="0"/>
          <w:sz w:val="28"/>
          <w:szCs w:val="28"/>
          <w:rtl/>
          <w14:ligatures w14:val="none"/>
        </w:rPr>
        <w:lastRenderedPageBreak/>
        <w:t>الصغرى الجزئية</w:t>
      </w:r>
      <w:r w:rsidRPr="00ED5D0F">
        <w:rPr>
          <w:rFonts w:ascii="Simplified Arabic" w:eastAsia="Times New Roman" w:hAnsi="Simplified Arabic" w:cs="Simplified Arabic"/>
          <w:color w:val="000000" w:themeColor="text1"/>
          <w:kern w:val="0"/>
          <w:sz w:val="28"/>
          <w:szCs w:val="28"/>
          <w14:ligatures w14:val="none"/>
        </w:rPr>
        <w:t xml:space="preserve"> (PLS-SEM). </w:t>
      </w:r>
      <w:r w:rsidRPr="00ED5D0F">
        <w:rPr>
          <w:rFonts w:ascii="Simplified Arabic" w:eastAsia="Times New Roman" w:hAnsi="Simplified Arabic" w:cs="Simplified Arabic"/>
          <w:color w:val="000000" w:themeColor="text1"/>
          <w:kern w:val="0"/>
          <w:sz w:val="28"/>
          <w:szCs w:val="28"/>
          <w:rtl/>
          <w14:ligatures w14:val="none"/>
        </w:rPr>
        <w:t xml:space="preserve">وتوصلت النتائج إلى أن مستوى الامتثال للإفصاح عن المخاطر في المؤسسات المالية الأوغندية منخفض، وأن هناك علاقة إيجابية ودالة إحصائياً بين جودة </w:t>
      </w:r>
      <w:proofErr w:type="spellStart"/>
      <w:r w:rsidRPr="00ED5D0F">
        <w:rPr>
          <w:rFonts w:ascii="Simplified Arabic" w:eastAsia="Times New Roman" w:hAnsi="Simplified Arabic" w:cs="Simplified Arabic"/>
          <w:color w:val="000000" w:themeColor="text1"/>
          <w:kern w:val="0"/>
          <w:sz w:val="28"/>
          <w:szCs w:val="28"/>
          <w:rtl/>
          <w14:ligatures w14:val="none"/>
        </w:rPr>
        <w:t>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المجلس بأبعادها الأربعة والامتثال للإفصاح عن المخاطر، كما أن نوع الملكية وحجم الشركة وحجم المجلس ترتبط إيجابياً بالامتثال. وأوصت الدراسة المنظمين وصانعي السياسات بتحسين أطر الحوكمة القائمة وتطوير سياسات إفصاح جديدة في المؤسسات المالية</w:t>
      </w:r>
      <w:r w:rsidRPr="00ED5D0F">
        <w:rPr>
          <w:rFonts w:ascii="Simplified Arabic" w:eastAsia="Times New Roman" w:hAnsi="Simplified Arabic" w:cs="Simplified Arabic"/>
          <w:color w:val="000000" w:themeColor="text1"/>
          <w:kern w:val="0"/>
          <w:sz w:val="28"/>
          <w:szCs w:val="28"/>
          <w14:ligatures w14:val="none"/>
        </w:rPr>
        <w:t>.</w:t>
      </w:r>
    </w:p>
    <w:p w14:paraId="59258DE9" w14:textId="77777777" w:rsidR="00B95BA6" w:rsidRPr="00ED5D0F" w:rsidRDefault="00B95BA6"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دراسة</w:t>
      </w:r>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Ogunsola</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Balogun</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ED5D0F">
        <w:rPr>
          <w:rFonts w:ascii="Simplified Arabic" w:eastAsia="Times New Roman" w:hAnsi="Simplified Arabic" w:cs="Simplified Arabic"/>
          <w:b/>
          <w:bCs/>
          <w:color w:val="000000" w:themeColor="text1"/>
          <w:kern w:val="0"/>
          <w:sz w:val="28"/>
          <w:szCs w:val="28"/>
          <w14:ligatures w14:val="none"/>
        </w:rPr>
        <w:t>Ogunmokun</w:t>
      </w:r>
      <w:proofErr w:type="spellEnd"/>
      <w:r w:rsidRPr="00ED5D0F">
        <w:rPr>
          <w:rFonts w:ascii="Simplified Arabic" w:eastAsia="Times New Roman" w:hAnsi="Simplified Arabic" w:cs="Simplified Arabic"/>
          <w:b/>
          <w:bCs/>
          <w:color w:val="000000" w:themeColor="text1"/>
          <w:kern w:val="0"/>
          <w:sz w:val="28"/>
          <w:szCs w:val="28"/>
          <w14:ligatures w14:val="none"/>
        </w:rPr>
        <w:t>, 2021): "Enhancing Financial Integrity Through an Advanced Internal Audit Risk Assessment and Governance Model"</w:t>
      </w:r>
    </w:p>
    <w:p w14:paraId="10C21B9C"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نموذج متقدم لتقييم مخاطر التدقيق الداخلي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بأبعاده (تحديد المخاطر وتقييمها، الضوابط الرقابية الداخلية، المراقبة المستمرة، الامتثال التنظيمي) في تعزيز النزاهة المالية والحدّ من الاحتيال وعدم الامتثال. واستخدمت الدراسة المنهج النوعي القائم على المراجعة الأدبية المعمّقة ودراسات الحالة المتعددة لمؤسسات مالية كبرى مثل</w:t>
      </w:r>
      <w:r w:rsidRPr="00ED5D0F">
        <w:rPr>
          <w:rFonts w:ascii="Simplified Arabic" w:eastAsia="Times New Roman" w:hAnsi="Simplified Arabic" w:cs="Simplified Arabic"/>
          <w:color w:val="000000" w:themeColor="text1"/>
          <w:kern w:val="0"/>
          <w:sz w:val="28"/>
          <w:szCs w:val="28"/>
          <w14:ligatures w14:val="none"/>
        </w:rPr>
        <w:t xml:space="preserve"> JPMorgan Chase </w:t>
      </w:r>
      <w:r w:rsidRPr="00ED5D0F">
        <w:rPr>
          <w:rFonts w:ascii="Simplified Arabic" w:eastAsia="Times New Roman" w:hAnsi="Simplified Arabic" w:cs="Simplified Arabic"/>
          <w:color w:val="000000" w:themeColor="text1"/>
          <w:kern w:val="0"/>
          <w:sz w:val="28"/>
          <w:szCs w:val="28"/>
          <w:rtl/>
          <w14:ligatures w14:val="none"/>
        </w:rPr>
        <w:t>و</w:t>
      </w:r>
      <w:r w:rsidRPr="00ED5D0F">
        <w:rPr>
          <w:rFonts w:ascii="Simplified Arabic" w:eastAsia="Times New Roman" w:hAnsi="Simplified Arabic" w:cs="Simplified Arabic"/>
          <w:color w:val="000000" w:themeColor="text1"/>
          <w:kern w:val="0"/>
          <w:sz w:val="28"/>
          <w:szCs w:val="28"/>
          <w14:ligatures w14:val="none"/>
        </w:rPr>
        <w:t xml:space="preserve">Siemens </w:t>
      </w:r>
      <w:r w:rsidRPr="00ED5D0F">
        <w:rPr>
          <w:rFonts w:ascii="Simplified Arabic" w:eastAsia="Times New Roman" w:hAnsi="Simplified Arabic" w:cs="Simplified Arabic"/>
          <w:color w:val="000000" w:themeColor="text1"/>
          <w:kern w:val="0"/>
          <w:sz w:val="28"/>
          <w:szCs w:val="28"/>
          <w:rtl/>
          <w14:ligatures w14:val="none"/>
        </w:rPr>
        <w:t>و</w:t>
      </w:r>
      <w:r w:rsidRPr="00ED5D0F">
        <w:rPr>
          <w:rFonts w:ascii="Simplified Arabic" w:eastAsia="Times New Roman" w:hAnsi="Simplified Arabic" w:cs="Simplified Arabic"/>
          <w:color w:val="000000" w:themeColor="text1"/>
          <w:kern w:val="0"/>
          <w:sz w:val="28"/>
          <w:szCs w:val="28"/>
          <w14:ligatures w14:val="none"/>
        </w:rPr>
        <w:t xml:space="preserve">HSBC. </w:t>
      </w:r>
      <w:r w:rsidRPr="00ED5D0F">
        <w:rPr>
          <w:rFonts w:ascii="Simplified Arabic" w:eastAsia="Times New Roman" w:hAnsi="Simplified Arabic" w:cs="Simplified Arabic"/>
          <w:color w:val="000000" w:themeColor="text1"/>
          <w:kern w:val="0"/>
          <w:sz w:val="28"/>
          <w:szCs w:val="28"/>
          <w:rtl/>
          <w14:ligatures w14:val="none"/>
        </w:rPr>
        <w:t xml:space="preserve">وتوصلت النتائج إلى أن دمج الذكاء الاصطناعي والتحليلات </w:t>
      </w:r>
      <w:proofErr w:type="spellStart"/>
      <w:r w:rsidRPr="00ED5D0F">
        <w:rPr>
          <w:rFonts w:ascii="Simplified Arabic" w:eastAsia="Times New Roman" w:hAnsi="Simplified Arabic" w:cs="Simplified Arabic"/>
          <w:color w:val="000000" w:themeColor="text1"/>
          <w:kern w:val="0"/>
          <w:sz w:val="28"/>
          <w:szCs w:val="28"/>
          <w:rtl/>
          <w14:ligatures w14:val="none"/>
        </w:rPr>
        <w:t>التنبؤية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وتقنيات </w:t>
      </w:r>
      <w:proofErr w:type="spellStart"/>
      <w:r w:rsidRPr="00ED5D0F">
        <w:rPr>
          <w:rFonts w:ascii="Simplified Arabic" w:eastAsia="Times New Roman" w:hAnsi="Simplified Arabic" w:cs="Simplified Arabic"/>
          <w:color w:val="000000" w:themeColor="text1"/>
          <w:kern w:val="0"/>
          <w:sz w:val="28"/>
          <w:szCs w:val="28"/>
          <w:rtl/>
          <w14:ligatures w14:val="none"/>
        </w:rPr>
        <w:t>الأتمتة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في عمليات التدقيق الداخلي يعزز بشكل جوهري القدرة على كشف المخاطر والوقاية من الاحتيال المالي، وأن الأطر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القوية المبنية على الشفافية والقيادة الأخلاقية والامتثال التنظيمي تُسهم في استدامة النزاهة المالية. وأوصت الدراسة بضرورة اعتماد المؤسسات المالية للتحليلات المتقدمة والذكاء الاصطناعي في التدقيق، وتعزيز حماية المبلّغين عن المخالفات، وتقوية </w:t>
      </w:r>
      <w:proofErr w:type="spellStart"/>
      <w:r w:rsidRPr="00ED5D0F">
        <w:rPr>
          <w:rFonts w:ascii="Simplified Arabic" w:eastAsia="Times New Roman" w:hAnsi="Simplified Arabic" w:cs="Simplified Arabic"/>
          <w:color w:val="000000" w:themeColor="text1"/>
          <w:kern w:val="0"/>
          <w:sz w:val="28"/>
          <w:szCs w:val="28"/>
          <w:rtl/>
          <w14:ligatures w14:val="none"/>
        </w:rPr>
        <w:t>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الأمن </w:t>
      </w:r>
      <w:proofErr w:type="spellStart"/>
      <w:r w:rsidRPr="00ED5D0F">
        <w:rPr>
          <w:rFonts w:ascii="Simplified Arabic" w:eastAsia="Times New Roman" w:hAnsi="Simplified Arabic" w:cs="Simplified Arabic"/>
          <w:color w:val="000000" w:themeColor="text1"/>
          <w:kern w:val="0"/>
          <w:sz w:val="28"/>
          <w:szCs w:val="28"/>
          <w:rtl/>
          <w14:ligatures w14:val="none"/>
        </w:rPr>
        <w:t>السيبراني</w:t>
      </w:r>
      <w:proofErr w:type="spellEnd"/>
      <w:r w:rsidRPr="00ED5D0F">
        <w:rPr>
          <w:rFonts w:ascii="Simplified Arabic" w:eastAsia="Times New Roman" w:hAnsi="Simplified Arabic" w:cs="Simplified Arabic"/>
          <w:color w:val="000000" w:themeColor="text1"/>
          <w:kern w:val="0"/>
          <w:sz w:val="28"/>
          <w:szCs w:val="28"/>
          <w14:ligatures w14:val="none"/>
        </w:rPr>
        <w:t>.</w:t>
      </w:r>
    </w:p>
    <w:p w14:paraId="6C5F6747" w14:textId="77777777" w:rsidR="00B95BA6" w:rsidRPr="00ED5D0F" w:rsidRDefault="00B95BA6"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دراسة</w:t>
      </w:r>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Chairani</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ED5D0F">
        <w:rPr>
          <w:rFonts w:ascii="Simplified Arabic" w:eastAsia="Times New Roman" w:hAnsi="Simplified Arabic" w:cs="Simplified Arabic"/>
          <w:b/>
          <w:bCs/>
          <w:color w:val="000000" w:themeColor="text1"/>
          <w:kern w:val="0"/>
          <w:sz w:val="28"/>
          <w:szCs w:val="28"/>
          <w14:ligatures w14:val="none"/>
        </w:rPr>
        <w:t>Siregar</w:t>
      </w:r>
      <w:proofErr w:type="spellEnd"/>
      <w:r w:rsidRPr="00ED5D0F">
        <w:rPr>
          <w:rFonts w:ascii="Simplified Arabic" w:eastAsia="Times New Roman" w:hAnsi="Simplified Arabic" w:cs="Simplified Arabic"/>
          <w:b/>
          <w:bCs/>
          <w:color w:val="000000" w:themeColor="text1"/>
          <w:kern w:val="0"/>
          <w:sz w:val="28"/>
          <w:szCs w:val="28"/>
          <w14:ligatures w14:val="none"/>
        </w:rPr>
        <w:t>, 2021): "The Effect of Enterprise Risk Management on Financial Performance and Firm Value: The Role of Environmental, Social and Governance Performance"</w:t>
      </w:r>
    </w:p>
    <w:p w14:paraId="230A008A"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المخاطر المؤسسية</w:t>
      </w:r>
      <w:r w:rsidRPr="00ED5D0F">
        <w:rPr>
          <w:rFonts w:ascii="Simplified Arabic" w:eastAsia="Times New Roman" w:hAnsi="Simplified Arabic" w:cs="Simplified Arabic"/>
          <w:color w:val="000000" w:themeColor="text1"/>
          <w:kern w:val="0"/>
          <w:sz w:val="28"/>
          <w:szCs w:val="28"/>
          <w14:ligatures w14:val="none"/>
        </w:rPr>
        <w:t xml:space="preserve"> (ERM) </w:t>
      </w:r>
      <w:r w:rsidRPr="00ED5D0F">
        <w:rPr>
          <w:rFonts w:ascii="Simplified Arabic" w:eastAsia="Times New Roman" w:hAnsi="Simplified Arabic" w:cs="Simplified Arabic"/>
          <w:color w:val="000000" w:themeColor="text1"/>
          <w:kern w:val="0"/>
          <w:sz w:val="28"/>
          <w:szCs w:val="28"/>
          <w:rtl/>
          <w14:ligatures w14:val="none"/>
        </w:rPr>
        <w:t xml:space="preserve">بأبعادها (تحديد المخاطر، تقييمها، الاستجابة لها، أنشطة الرقابة) على الأداء المالي وقيمة الشركة، فضلاً عن الدور المُعدّل للأداء البيئي والاجتماعي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والحوكمي</w:t>
      </w:r>
      <w:proofErr w:type="spellEnd"/>
      <w:r w:rsidRPr="00ED5D0F">
        <w:rPr>
          <w:rFonts w:ascii="Simplified Arabic" w:eastAsia="Times New Roman" w:hAnsi="Simplified Arabic" w:cs="Simplified Arabic"/>
          <w:color w:val="000000" w:themeColor="text1"/>
          <w:kern w:val="0"/>
          <w:sz w:val="28"/>
          <w:szCs w:val="28"/>
          <w14:ligatures w14:val="none"/>
        </w:rPr>
        <w:t xml:space="preserve"> (ESG) </w:t>
      </w:r>
      <w:r w:rsidRPr="00ED5D0F">
        <w:rPr>
          <w:rFonts w:ascii="Simplified Arabic" w:eastAsia="Times New Roman" w:hAnsi="Simplified Arabic" w:cs="Simplified Arabic"/>
          <w:color w:val="000000" w:themeColor="text1"/>
          <w:kern w:val="0"/>
          <w:sz w:val="28"/>
          <w:szCs w:val="28"/>
          <w:rtl/>
          <w14:ligatures w14:val="none"/>
        </w:rPr>
        <w:t xml:space="preserve">في هذه العلاقة. واستخدمت الدراسة المنهج الكمّي التحليلي باستخدام انحدار بيانات السلاسل الزمنية المقطعية </w:t>
      </w:r>
      <w:r w:rsidRPr="00ED5D0F">
        <w:rPr>
          <w:rFonts w:ascii="Simplified Arabic" w:eastAsia="Times New Roman" w:hAnsi="Simplified Arabic" w:cs="Simplified Arabic"/>
          <w:color w:val="000000" w:themeColor="text1"/>
          <w:kern w:val="0"/>
          <w:sz w:val="28"/>
          <w:szCs w:val="28"/>
          <w14:ligatures w14:val="none"/>
        </w:rPr>
        <w:t>(Fixed Effect Panel Data Regression)</w:t>
      </w:r>
      <w:r w:rsidRPr="00ED5D0F">
        <w:rPr>
          <w:rFonts w:ascii="Simplified Arabic" w:eastAsia="Times New Roman" w:hAnsi="Simplified Arabic" w:cs="Simplified Arabic"/>
          <w:color w:val="000000" w:themeColor="text1"/>
          <w:kern w:val="0"/>
          <w:sz w:val="28"/>
          <w:szCs w:val="28"/>
          <w:rtl/>
          <w14:ligatures w14:val="none"/>
        </w:rPr>
        <w:t xml:space="preserve">، وتكوّنت العينة من شركات مدرجة في دول الآسيان الخمس (إندونيسيا، ماليزيا، الفلبين، سنغافورة، تايلاند) خلال الفترة </w:t>
      </w:r>
      <w:r w:rsidRPr="00ED5D0F">
        <w:rPr>
          <w:rFonts w:ascii="Simplified Arabic" w:eastAsia="Times New Roman" w:hAnsi="Simplified Arabic" w:cs="Simplified Arabic"/>
          <w:color w:val="000000" w:themeColor="text1"/>
          <w:kern w:val="0"/>
          <w:sz w:val="28"/>
          <w:szCs w:val="28"/>
          <w:rtl/>
          <w14:ligatures w14:val="none"/>
        </w:rPr>
        <w:lastRenderedPageBreak/>
        <w:t xml:space="preserve">(2014–2018) بإجمالي (680) مشاهدة. وتوصلت النتائج إلى وجود أثر إيجابي لإدارة المخاطر المؤسسية على الأداء المالي وقيمة الشركة، وأن أداء </w:t>
      </w:r>
      <w:r w:rsidRPr="00ED5D0F">
        <w:rPr>
          <w:rFonts w:ascii="Simplified Arabic" w:eastAsia="Times New Roman" w:hAnsi="Simplified Arabic" w:cs="Simplified Arabic"/>
          <w:color w:val="000000" w:themeColor="text1"/>
          <w:kern w:val="0"/>
          <w:sz w:val="28"/>
          <w:szCs w:val="28"/>
          <w14:ligatures w14:val="none"/>
        </w:rPr>
        <w:t xml:space="preserve">ESG </w:t>
      </w:r>
      <w:r w:rsidRPr="00ED5D0F">
        <w:rPr>
          <w:rFonts w:ascii="Simplified Arabic" w:eastAsia="Times New Roman" w:hAnsi="Simplified Arabic" w:cs="Simplified Arabic"/>
          <w:color w:val="000000" w:themeColor="text1"/>
          <w:kern w:val="0"/>
          <w:sz w:val="28"/>
          <w:szCs w:val="28"/>
          <w:rtl/>
          <w14:ligatures w14:val="none"/>
        </w:rPr>
        <w:t xml:space="preserve">يعزّز الأثر الإيجابي لإدارة المخاطر على الأداء المالي والقيمة السوقية. وأوصت الدراسة بضرورة دمج ممارسات الاستدامة البيئية والاجتماعية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ضمن أطر إدارة المخاطر المؤسسية لتعظيم الأداء المالي والقيمة</w:t>
      </w:r>
      <w:r w:rsidRPr="00ED5D0F">
        <w:rPr>
          <w:rFonts w:ascii="Simplified Arabic" w:eastAsia="Times New Roman" w:hAnsi="Simplified Arabic" w:cs="Simplified Arabic"/>
          <w:color w:val="000000" w:themeColor="text1"/>
          <w:kern w:val="0"/>
          <w:sz w:val="28"/>
          <w:szCs w:val="28"/>
          <w14:ligatures w14:val="none"/>
        </w:rPr>
        <w:t>.</w:t>
      </w:r>
    </w:p>
    <w:p w14:paraId="4FB26D46" w14:textId="77777777" w:rsidR="00B95BA6" w:rsidRPr="00ED5D0F" w:rsidRDefault="00B95BA6"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دراسة</w:t>
      </w:r>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Arif</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Sajjad</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Farooq, </w:t>
      </w:r>
      <w:proofErr w:type="spellStart"/>
      <w:r w:rsidRPr="00ED5D0F">
        <w:rPr>
          <w:rFonts w:ascii="Simplified Arabic" w:eastAsia="Times New Roman" w:hAnsi="Simplified Arabic" w:cs="Simplified Arabic"/>
          <w:b/>
          <w:bCs/>
          <w:color w:val="000000" w:themeColor="text1"/>
          <w:kern w:val="0"/>
          <w:sz w:val="28"/>
          <w:szCs w:val="28"/>
          <w14:ligatures w14:val="none"/>
        </w:rPr>
        <w:t>Abrar</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&amp; Joyo, 2021): "The Impact of Audit Committee Attributes on the Quality and Quantity of Environmental, Social and Governance (ESG) Disclosures"</w:t>
      </w:r>
    </w:p>
    <w:p w14:paraId="0B16FA9D"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سمات لجنة التدقيق بأبعادها (نشاط لجنة التدقيق متمثّلاً في تكرار الاجتماعات، واستقلالية لجنة التدقيق متمثّلة في عدد الأعضاء المستقلين) على جودة وكمّية </w:t>
      </w:r>
      <w:proofErr w:type="spellStart"/>
      <w:r w:rsidRPr="00ED5D0F">
        <w:rPr>
          <w:rFonts w:ascii="Simplified Arabic" w:eastAsia="Times New Roman" w:hAnsi="Simplified Arabic" w:cs="Simplified Arabic"/>
          <w:color w:val="000000" w:themeColor="text1"/>
          <w:kern w:val="0"/>
          <w:sz w:val="28"/>
          <w:szCs w:val="28"/>
          <w:rtl/>
          <w14:ligatures w14:val="none"/>
        </w:rPr>
        <w:t>الإفصاحات</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البيئية والاجتماعية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والحوكمية</w:t>
      </w:r>
      <w:proofErr w:type="spellEnd"/>
      <w:r w:rsidRPr="00ED5D0F">
        <w:rPr>
          <w:rFonts w:ascii="Simplified Arabic" w:eastAsia="Times New Roman" w:hAnsi="Simplified Arabic" w:cs="Simplified Arabic"/>
          <w:color w:val="000000" w:themeColor="text1"/>
          <w:kern w:val="0"/>
          <w:sz w:val="28"/>
          <w:szCs w:val="28"/>
          <w14:ligatures w14:val="none"/>
        </w:rPr>
        <w:t xml:space="preserve"> (ESG) </w:t>
      </w:r>
      <w:r w:rsidRPr="00ED5D0F">
        <w:rPr>
          <w:rFonts w:ascii="Simplified Arabic" w:eastAsia="Times New Roman" w:hAnsi="Simplified Arabic" w:cs="Simplified Arabic"/>
          <w:color w:val="000000" w:themeColor="text1"/>
          <w:kern w:val="0"/>
          <w:sz w:val="28"/>
          <w:szCs w:val="28"/>
          <w:rtl/>
          <w14:ligatures w14:val="none"/>
        </w:rPr>
        <w:t>لشركات قطاع الطاقة في أستراليا. واستخدمت الدراسة المنهج الكمّي التحليلي باستخدام تحليل الانحدار بطريقة المربعات الصغرى التجميعية</w:t>
      </w:r>
      <w:r w:rsidRPr="00ED5D0F">
        <w:rPr>
          <w:rFonts w:ascii="Simplified Arabic" w:eastAsia="Times New Roman" w:hAnsi="Simplified Arabic" w:cs="Simplified Arabic"/>
          <w:color w:val="000000" w:themeColor="text1"/>
          <w:kern w:val="0"/>
          <w:sz w:val="28"/>
          <w:szCs w:val="28"/>
          <w14:ligatures w14:val="none"/>
        </w:rPr>
        <w:t xml:space="preserve"> (Pooled OLS) </w:t>
      </w:r>
      <w:r w:rsidRPr="00ED5D0F">
        <w:rPr>
          <w:rFonts w:ascii="Simplified Arabic" w:eastAsia="Times New Roman" w:hAnsi="Simplified Arabic" w:cs="Simplified Arabic"/>
          <w:color w:val="000000" w:themeColor="text1"/>
          <w:kern w:val="0"/>
          <w:sz w:val="28"/>
          <w:szCs w:val="28"/>
          <w:rtl/>
          <w14:ligatures w14:val="none"/>
        </w:rPr>
        <w:t xml:space="preserve">مع تقنية </w:t>
      </w:r>
      <w:r w:rsidRPr="00ED5D0F">
        <w:rPr>
          <w:rFonts w:ascii="Simplified Arabic" w:eastAsia="Times New Roman" w:hAnsi="Simplified Arabic" w:cs="Simplified Arabic"/>
          <w:color w:val="000000" w:themeColor="text1"/>
          <w:kern w:val="0"/>
          <w:sz w:val="28"/>
          <w:szCs w:val="28"/>
          <w14:ligatures w14:val="none"/>
        </w:rPr>
        <w:t>Petersen</w:t>
      </w:r>
      <w:r w:rsidRPr="00ED5D0F">
        <w:rPr>
          <w:rFonts w:ascii="Simplified Arabic" w:eastAsia="Times New Roman" w:hAnsi="Simplified Arabic" w:cs="Simplified Arabic"/>
          <w:color w:val="000000" w:themeColor="text1"/>
          <w:kern w:val="0"/>
          <w:sz w:val="28"/>
          <w:szCs w:val="28"/>
          <w:rtl/>
          <w14:ligatures w14:val="none"/>
        </w:rPr>
        <w:t>، فضلاً عن نهج المربعات الصغرى ذات المرحلتين</w:t>
      </w:r>
      <w:r w:rsidRPr="00ED5D0F">
        <w:rPr>
          <w:rFonts w:ascii="Simplified Arabic" w:eastAsia="Times New Roman" w:hAnsi="Simplified Arabic" w:cs="Simplified Arabic"/>
          <w:color w:val="000000" w:themeColor="text1"/>
          <w:kern w:val="0"/>
          <w:sz w:val="28"/>
          <w:szCs w:val="28"/>
          <w14:ligatures w14:val="none"/>
        </w:rPr>
        <w:t xml:space="preserve"> (2SLS) </w:t>
      </w:r>
      <w:r w:rsidRPr="00ED5D0F">
        <w:rPr>
          <w:rFonts w:ascii="Simplified Arabic" w:eastAsia="Times New Roman" w:hAnsi="Simplified Arabic" w:cs="Simplified Arabic"/>
          <w:color w:val="000000" w:themeColor="text1"/>
          <w:kern w:val="0"/>
          <w:sz w:val="28"/>
          <w:szCs w:val="28"/>
          <w:rtl/>
          <w14:ligatures w14:val="none"/>
        </w:rPr>
        <w:t xml:space="preserve">لمعالجة مشكلة المتغيرات الداخلية، وتكوّنت العينة من (24) شركة في قطاع الطاقة بنحو (200) مشاهدة خلال الفترة (2009–2018). وتوصلت النتائج إلى وجود أثر إيجابي ودال إحصائياً لنشاط لجنة التدقيق واستقلاليتها على جودة </w:t>
      </w:r>
      <w:proofErr w:type="spellStart"/>
      <w:r w:rsidRPr="00ED5D0F">
        <w:rPr>
          <w:rFonts w:ascii="Simplified Arabic" w:eastAsia="Times New Roman" w:hAnsi="Simplified Arabic" w:cs="Simplified Arabic"/>
          <w:color w:val="000000" w:themeColor="text1"/>
          <w:kern w:val="0"/>
          <w:sz w:val="28"/>
          <w:szCs w:val="28"/>
          <w:rtl/>
          <w14:ligatures w14:val="none"/>
        </w:rPr>
        <w:t>الإفصاحات</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البيئية والاجتماعية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مقاسة بالامتثال لمعايير</w:t>
      </w:r>
      <w:r w:rsidRPr="00ED5D0F">
        <w:rPr>
          <w:rFonts w:ascii="Simplified Arabic" w:eastAsia="Times New Roman" w:hAnsi="Simplified Arabic" w:cs="Simplified Arabic"/>
          <w:color w:val="000000" w:themeColor="text1"/>
          <w:kern w:val="0"/>
          <w:sz w:val="28"/>
          <w:szCs w:val="28"/>
          <w14:ligatures w14:val="none"/>
        </w:rPr>
        <w:t xml:space="preserve"> GRI </w:t>
      </w:r>
      <w:r w:rsidRPr="00ED5D0F">
        <w:rPr>
          <w:rFonts w:ascii="Simplified Arabic" w:eastAsia="Times New Roman" w:hAnsi="Simplified Arabic" w:cs="Simplified Arabic"/>
          <w:color w:val="000000" w:themeColor="text1"/>
          <w:kern w:val="0"/>
          <w:sz w:val="28"/>
          <w:szCs w:val="28"/>
          <w:rtl/>
          <w14:ligatures w14:val="none"/>
        </w:rPr>
        <w:t xml:space="preserve">وكمّية </w:t>
      </w:r>
      <w:proofErr w:type="spellStart"/>
      <w:r w:rsidRPr="00ED5D0F">
        <w:rPr>
          <w:rFonts w:ascii="Simplified Arabic" w:eastAsia="Times New Roman" w:hAnsi="Simplified Arabic" w:cs="Simplified Arabic"/>
          <w:color w:val="000000" w:themeColor="text1"/>
          <w:kern w:val="0"/>
          <w:sz w:val="28"/>
          <w:szCs w:val="28"/>
          <w:rtl/>
          <w14:ligatures w14:val="none"/>
        </w:rPr>
        <w:t>الإفصاحات</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وأن التأثير أكثر وضوحاً على </w:t>
      </w:r>
      <w:proofErr w:type="spellStart"/>
      <w:r w:rsidRPr="00ED5D0F">
        <w:rPr>
          <w:rFonts w:ascii="Simplified Arabic" w:eastAsia="Times New Roman" w:hAnsi="Simplified Arabic" w:cs="Simplified Arabic"/>
          <w:color w:val="000000" w:themeColor="text1"/>
          <w:kern w:val="0"/>
          <w:sz w:val="28"/>
          <w:szCs w:val="28"/>
          <w:rtl/>
          <w14:ligatures w14:val="none"/>
        </w:rPr>
        <w:t>الإفصاحات</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البيئية. وأوصت الدراسة بتعزيز استقلالية لجان التدقيق وزيادة وتيرة اجتماعاتها لتحسين جودة التقارير غير المالية وتقليل مشاكل الوكالة والشرعية</w:t>
      </w:r>
      <w:r w:rsidRPr="00ED5D0F">
        <w:rPr>
          <w:rFonts w:ascii="Simplified Arabic" w:eastAsia="Times New Roman" w:hAnsi="Simplified Arabic" w:cs="Simplified Arabic"/>
          <w:color w:val="000000" w:themeColor="text1"/>
          <w:kern w:val="0"/>
          <w:sz w:val="28"/>
          <w:szCs w:val="28"/>
          <w14:ligatures w14:val="none"/>
        </w:rPr>
        <w:t>.</w:t>
      </w:r>
    </w:p>
    <w:p w14:paraId="08AA38F7" w14:textId="77777777" w:rsidR="00B95BA6" w:rsidRPr="00ED5D0F" w:rsidRDefault="00B95BA6"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lang w:bidi="ar-EG"/>
          <w14:ligatures w14:val="none"/>
        </w:rPr>
      </w:pPr>
      <w:r w:rsidRPr="00ED5D0F">
        <w:rPr>
          <w:rFonts w:ascii="Simplified Arabic" w:eastAsia="Times New Roman" w:hAnsi="Simplified Arabic" w:cs="Simplified Arabic"/>
          <w:b/>
          <w:bCs/>
          <w:color w:val="000000" w:themeColor="text1"/>
          <w:kern w:val="0"/>
          <w:sz w:val="28"/>
          <w:szCs w:val="28"/>
          <w:rtl/>
          <w14:ligatures w14:val="none"/>
        </w:rPr>
        <w:t>دراسة</w:t>
      </w:r>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Landi</w:t>
      </w:r>
      <w:proofErr w:type="spellEnd"/>
      <w:r w:rsidRPr="00ED5D0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b/>
          <w:bCs/>
          <w:color w:val="000000" w:themeColor="text1"/>
          <w:kern w:val="0"/>
          <w:sz w:val="28"/>
          <w:szCs w:val="28"/>
          <w14:ligatures w14:val="none"/>
        </w:rPr>
        <w:t>Iandolo</w:t>
      </w:r>
      <w:proofErr w:type="spellEnd"/>
      <w:r w:rsidRPr="00ED5D0F">
        <w:rPr>
          <w:rFonts w:ascii="Simplified Arabic" w:eastAsia="Times New Roman" w:hAnsi="Simplified Arabic" w:cs="Simplified Arabic"/>
          <w:b/>
          <w:bCs/>
          <w:color w:val="000000" w:themeColor="text1"/>
          <w:kern w:val="0"/>
          <w:sz w:val="28"/>
          <w:szCs w:val="28"/>
          <w14:ligatures w14:val="none"/>
        </w:rPr>
        <w:t>, Renzi &amp; Rey, 2022): "Embedding Sustainability in Risk Management: The Impact of Environmental, Social, and Governance Ratings on Corporate Financial Risk"</w:t>
      </w:r>
    </w:p>
    <w:p w14:paraId="055810EF"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تصنيفات الأداء البيئي والاجتماعي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والحوكمي</w:t>
      </w:r>
      <w:proofErr w:type="spellEnd"/>
      <w:r w:rsidRPr="00ED5D0F">
        <w:rPr>
          <w:rFonts w:ascii="Simplified Arabic" w:eastAsia="Times New Roman" w:hAnsi="Simplified Arabic" w:cs="Simplified Arabic"/>
          <w:color w:val="000000" w:themeColor="text1"/>
          <w:kern w:val="0"/>
          <w:sz w:val="28"/>
          <w:szCs w:val="28"/>
          <w14:ligatures w14:val="none"/>
        </w:rPr>
        <w:t xml:space="preserve"> (ESG) </w:t>
      </w:r>
      <w:r w:rsidRPr="00ED5D0F">
        <w:rPr>
          <w:rFonts w:ascii="Simplified Arabic" w:eastAsia="Times New Roman" w:hAnsi="Simplified Arabic" w:cs="Simplified Arabic"/>
          <w:color w:val="000000" w:themeColor="text1"/>
          <w:kern w:val="0"/>
          <w:sz w:val="28"/>
          <w:szCs w:val="28"/>
          <w:rtl/>
          <w14:ligatures w14:val="none"/>
        </w:rPr>
        <w:t>بأبعادها (التصنيف البيئي، التصنيف الاجتماعي، تصنيف الحوكمة) على المخاطر المالية للشركات المقاسة بإدراك المستثمرين للمخاطر السوقية (معامل بيتا). واستخدمت الدراسة المنهج الكمّي التحليلي القائم على تحليل الانحدار المتعدد، وتكوّنت العينة من شركات أوروبية مدرجة في مؤشرات استدامة رئيسية. وتوصلت النتائج إلى أن التزام الشركات بمعايير</w:t>
      </w:r>
      <w:r w:rsidRPr="00ED5D0F">
        <w:rPr>
          <w:rFonts w:ascii="Simplified Arabic" w:eastAsia="Times New Roman" w:hAnsi="Simplified Arabic" w:cs="Simplified Arabic"/>
          <w:color w:val="000000" w:themeColor="text1"/>
          <w:kern w:val="0"/>
          <w:sz w:val="28"/>
          <w:szCs w:val="28"/>
          <w14:ligatures w14:val="none"/>
        </w:rPr>
        <w:t xml:space="preserve"> ESG </w:t>
      </w:r>
      <w:r w:rsidRPr="00ED5D0F">
        <w:rPr>
          <w:rFonts w:ascii="Simplified Arabic" w:eastAsia="Times New Roman" w:hAnsi="Simplified Arabic" w:cs="Simplified Arabic"/>
          <w:color w:val="000000" w:themeColor="text1"/>
          <w:kern w:val="0"/>
          <w:sz w:val="28"/>
          <w:szCs w:val="28"/>
          <w:rtl/>
          <w14:ligatures w14:val="none"/>
        </w:rPr>
        <w:t xml:space="preserve">لا يؤدي بالضرورة إلى خفض المخاطر المالية المُدركة من قِبَل </w:t>
      </w:r>
      <w:r w:rsidRPr="00ED5D0F">
        <w:rPr>
          <w:rFonts w:ascii="Simplified Arabic" w:eastAsia="Times New Roman" w:hAnsi="Simplified Arabic" w:cs="Simplified Arabic"/>
          <w:color w:val="000000" w:themeColor="text1"/>
          <w:kern w:val="0"/>
          <w:sz w:val="28"/>
          <w:szCs w:val="28"/>
          <w:rtl/>
          <w14:ligatures w14:val="none"/>
        </w:rPr>
        <w:lastRenderedPageBreak/>
        <w:t xml:space="preserve">المستثمرين، بل قد يزيد من عدم اليقين والمخاطر المنهجية في بعض الحالات، مما يشير إلى تعقيد العلاقة بين الاستدامة وإدارة المخاطر المالية. وأوصت الدراسة بضرورة تطوير نماذج تقييم مخاطر أكثر دقة تأخذ في الاعتبار الأبعاد البيئية والاجتماعية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والعمل على سدّ الفجوة بين الأداء الفعلي في مجال الاستدامة وإدراك المستثمرين لهذا الأداء</w:t>
      </w:r>
      <w:r w:rsidRPr="00ED5D0F">
        <w:rPr>
          <w:rFonts w:ascii="Simplified Arabic" w:eastAsia="Times New Roman" w:hAnsi="Simplified Arabic" w:cs="Simplified Arabic"/>
          <w:color w:val="000000" w:themeColor="text1"/>
          <w:kern w:val="0"/>
          <w:sz w:val="28"/>
          <w:szCs w:val="28"/>
          <w14:ligatures w14:val="none"/>
        </w:rPr>
        <w:t>.</w:t>
      </w:r>
    </w:p>
    <w:p w14:paraId="65E7F86E" w14:textId="0D0D3FE0" w:rsidR="00925511" w:rsidRPr="00ED5D0F" w:rsidRDefault="00925511" w:rsidP="00925511">
      <w:pPr>
        <w:pStyle w:val="a8"/>
        <w:bidi/>
        <w:spacing w:line="276" w:lineRule="auto"/>
        <w:jc w:val="both"/>
        <w:outlineLvl w:val="1"/>
        <w:rPr>
          <w:rFonts w:ascii="Simplified Arabic" w:hAnsi="Simplified Arabic" w:cs="Simplified Arabic"/>
          <w:b/>
          <w:bCs/>
          <w:color w:val="000000" w:themeColor="text1"/>
          <w:sz w:val="36"/>
          <w:szCs w:val="36"/>
          <w:rtl/>
        </w:rPr>
      </w:pPr>
      <w:bookmarkStart w:id="15" w:name="_Toc233577125"/>
      <w:r w:rsidRPr="00ED5D0F">
        <w:rPr>
          <w:rFonts w:ascii="Simplified Arabic" w:hAnsi="Simplified Arabic" w:cs="Simplified Arabic"/>
          <w:b/>
          <w:bCs/>
          <w:color w:val="000000" w:themeColor="text1"/>
          <w:sz w:val="36"/>
          <w:szCs w:val="36"/>
          <w:rtl/>
        </w:rPr>
        <w:t>8.1 الفجوة البحثية</w:t>
      </w:r>
      <w:bookmarkEnd w:id="15"/>
    </w:p>
    <w:p w14:paraId="5D0D3CEF" w14:textId="7051A90A" w:rsidR="00156D45" w:rsidRPr="00ED5D0F" w:rsidRDefault="00B95BA6" w:rsidP="00925511">
      <w:pPr>
        <w:pStyle w:val="a8"/>
        <w:bidi/>
        <w:spacing w:line="276" w:lineRule="auto"/>
        <w:ind w:firstLine="424"/>
        <w:jc w:val="both"/>
        <w:rPr>
          <w:rFonts w:ascii="Simplified Arabic" w:hAnsi="Simplified Arabic" w:cs="Simplified Arabic"/>
          <w:color w:val="000000" w:themeColor="text1"/>
          <w:sz w:val="28"/>
          <w:szCs w:val="28"/>
        </w:rPr>
      </w:pPr>
      <w:r w:rsidRPr="00ED5D0F">
        <w:rPr>
          <w:rFonts w:ascii="Simplified Arabic" w:hAnsi="Simplified Arabic" w:cs="Simplified Arabic"/>
          <w:color w:val="000000" w:themeColor="text1"/>
          <w:sz w:val="28"/>
          <w:szCs w:val="28"/>
          <w:rtl/>
        </w:rPr>
        <w:t>باستقراء الدراسات السابقة وتحليلها تحليلاً معمّقاً، يتّضح أن الأدبيات العربية والأجنبية قد أولت اهتماماً واسعاً بموضوعات الحوكمة وإدارة المخاطر والامتثال، غير أن هذا الاهتمام تركّز بصورة رئيسية في القطاعات المصرفية والمالية والصناعية، كما هو الحال في دراسة الماحي وأحمد</w:t>
      </w:r>
      <w:r w:rsidRPr="00ED5D0F">
        <w:rPr>
          <w:rFonts w:ascii="Simplified Arabic" w:hAnsi="Simplified Arabic" w:cs="Simplified Arabic"/>
          <w:color w:val="000000" w:themeColor="text1"/>
          <w:sz w:val="28"/>
          <w:szCs w:val="28"/>
        </w:rPr>
        <w:t xml:space="preserve"> (2023) </w:t>
      </w:r>
      <w:r w:rsidRPr="00ED5D0F">
        <w:rPr>
          <w:rFonts w:ascii="Simplified Arabic" w:hAnsi="Simplified Arabic" w:cs="Simplified Arabic"/>
          <w:color w:val="000000" w:themeColor="text1"/>
          <w:sz w:val="28"/>
          <w:szCs w:val="28"/>
          <w:rtl/>
        </w:rPr>
        <w:t xml:space="preserve">التي تناولت </w:t>
      </w:r>
      <w:proofErr w:type="spellStart"/>
      <w:r w:rsidRPr="00ED5D0F">
        <w:rPr>
          <w:rFonts w:ascii="Simplified Arabic" w:hAnsi="Simplified Arabic" w:cs="Simplified Arabic"/>
          <w:color w:val="000000" w:themeColor="text1"/>
          <w:sz w:val="28"/>
          <w:szCs w:val="28"/>
          <w:rtl/>
        </w:rPr>
        <w:t>حوكمة</w:t>
      </w:r>
      <w:proofErr w:type="spellEnd"/>
      <w:r w:rsidRPr="00ED5D0F">
        <w:rPr>
          <w:rFonts w:ascii="Simplified Arabic" w:hAnsi="Simplified Arabic" w:cs="Simplified Arabic"/>
          <w:color w:val="000000" w:themeColor="text1"/>
          <w:sz w:val="28"/>
          <w:szCs w:val="28"/>
          <w:rtl/>
        </w:rPr>
        <w:t xml:space="preserve"> المصارف السودانية، ودراسة الحربي (2021) التي ركّزت على البنوك المدرجة في السوق المالية السعودية، ودراسة عمار ووقاف (2024) التي طُبّقت على الشركات المدرجة في سوق دمشق، ودراسة</w:t>
      </w:r>
      <w:r w:rsidRPr="00ED5D0F">
        <w:rPr>
          <w:rFonts w:ascii="Simplified Arabic" w:hAnsi="Simplified Arabic" w:cs="Simplified Arabic"/>
          <w:color w:val="000000" w:themeColor="text1"/>
          <w:sz w:val="28"/>
          <w:szCs w:val="28"/>
        </w:rPr>
        <w:t xml:space="preserve"> </w:t>
      </w:r>
      <w:proofErr w:type="spellStart"/>
      <w:r w:rsidRPr="00ED5D0F">
        <w:rPr>
          <w:rFonts w:ascii="Simplified Arabic" w:hAnsi="Simplified Arabic" w:cs="Simplified Arabic"/>
          <w:color w:val="000000" w:themeColor="text1"/>
          <w:sz w:val="28"/>
          <w:szCs w:val="28"/>
        </w:rPr>
        <w:t>Elamer</w:t>
      </w:r>
      <w:proofErr w:type="spellEnd"/>
      <w:r w:rsidRPr="00ED5D0F">
        <w:rPr>
          <w:rFonts w:ascii="Simplified Arabic" w:hAnsi="Simplified Arabic" w:cs="Simplified Arabic"/>
          <w:color w:val="000000" w:themeColor="text1"/>
          <w:sz w:val="28"/>
          <w:szCs w:val="28"/>
        </w:rPr>
        <w:t xml:space="preserve"> et al. (2020) </w:t>
      </w:r>
      <w:r w:rsidRPr="00ED5D0F">
        <w:rPr>
          <w:rFonts w:ascii="Simplified Arabic" w:hAnsi="Simplified Arabic" w:cs="Simplified Arabic"/>
          <w:color w:val="000000" w:themeColor="text1"/>
          <w:sz w:val="28"/>
          <w:szCs w:val="28"/>
          <w:rtl/>
        </w:rPr>
        <w:t>التي اقتصرت على المصارف الإسلامية في دول الشرق الأوسط وشمال أفريقيا، ودراسة عامر وسلامة ودعيه (2025) التي تناولت البنوك التجارية المصرية. كما أن الدراسات التي تناولت الامتثال بوصفه متغيراً مستقلاً ركّزت على البيئة الحكومية العامة دون تخصيص القطاع العقاري، كدراسة الزعبي والحايك</w:t>
      </w:r>
      <w:r w:rsidRPr="00ED5D0F">
        <w:rPr>
          <w:rFonts w:ascii="Simplified Arabic" w:hAnsi="Simplified Arabic" w:cs="Simplified Arabic"/>
          <w:color w:val="000000" w:themeColor="text1"/>
          <w:sz w:val="28"/>
          <w:szCs w:val="28"/>
        </w:rPr>
        <w:t xml:space="preserve"> (2022) </w:t>
      </w:r>
      <w:r w:rsidRPr="00ED5D0F">
        <w:rPr>
          <w:rFonts w:ascii="Simplified Arabic" w:hAnsi="Simplified Arabic" w:cs="Simplified Arabic"/>
          <w:color w:val="000000" w:themeColor="text1"/>
          <w:sz w:val="28"/>
          <w:szCs w:val="28"/>
          <w:rtl/>
        </w:rPr>
        <w:t xml:space="preserve">التي طُبّقت على الوزارات والدوائر الحكومية الأردنية. أما الدراسات التي تناولت العلاقة بين الحوكمة والمخاطر والامتثال كمنظومة متكاملة مثل دراسة </w:t>
      </w:r>
      <w:proofErr w:type="spellStart"/>
      <w:r w:rsidRPr="00ED5D0F">
        <w:rPr>
          <w:rFonts w:ascii="Simplified Arabic" w:hAnsi="Simplified Arabic" w:cs="Simplified Arabic"/>
          <w:color w:val="000000" w:themeColor="text1"/>
          <w:sz w:val="28"/>
          <w:szCs w:val="28"/>
        </w:rPr>
        <w:t>Handoko</w:t>
      </w:r>
      <w:proofErr w:type="spellEnd"/>
      <w:r w:rsidRPr="00ED5D0F">
        <w:rPr>
          <w:rFonts w:ascii="Simplified Arabic" w:hAnsi="Simplified Arabic" w:cs="Simplified Arabic"/>
          <w:color w:val="000000" w:themeColor="text1"/>
          <w:sz w:val="28"/>
          <w:szCs w:val="28"/>
        </w:rPr>
        <w:t xml:space="preserve"> et al. (2020) </w:t>
      </w:r>
      <w:r w:rsidRPr="00ED5D0F">
        <w:rPr>
          <w:rFonts w:ascii="Simplified Arabic" w:hAnsi="Simplified Arabic" w:cs="Simplified Arabic"/>
          <w:color w:val="000000" w:themeColor="text1"/>
          <w:sz w:val="28"/>
          <w:szCs w:val="28"/>
          <w:rtl/>
        </w:rPr>
        <w:t xml:space="preserve">فقد جاءت في سياقات مؤسسية عامة دون التطبيق على المؤسسات العقارية التنظيمية. وبذلك تتجلّى الفجوة البحثية في غياب دراسات علمية تربط بين إدارة مخاطر الامتثال بأبعادها المتكاملة (التحديد، التقييم، الرقابة، الاستجابة) وجودة الحوكمة في القطاع العقاري تحديداً، ولا سيما في البيئة السعودية التي تمرّ بمرحلة تنظيمية فارقة يتسارع فيها إصدار الأنظمة واللوائح العقارية ضمن رؤية 2030، وهو ما تسعى هذه الدراسة إلى سدّه من خلال التطبيق الميداني على الهيئة العامة للعقار في المملكة العربية السعودية بوصفها الجهة التنظيمية المركزية المسؤولة عن </w:t>
      </w:r>
      <w:proofErr w:type="spellStart"/>
      <w:r w:rsidRPr="00ED5D0F">
        <w:rPr>
          <w:rFonts w:ascii="Simplified Arabic" w:hAnsi="Simplified Arabic" w:cs="Simplified Arabic"/>
          <w:color w:val="000000" w:themeColor="text1"/>
          <w:sz w:val="28"/>
          <w:szCs w:val="28"/>
          <w:rtl/>
        </w:rPr>
        <w:t>حوكمة</w:t>
      </w:r>
      <w:proofErr w:type="spellEnd"/>
      <w:r w:rsidRPr="00ED5D0F">
        <w:rPr>
          <w:rFonts w:ascii="Simplified Arabic" w:hAnsi="Simplified Arabic" w:cs="Simplified Arabic"/>
          <w:color w:val="000000" w:themeColor="text1"/>
          <w:sz w:val="28"/>
          <w:szCs w:val="28"/>
          <w:rtl/>
        </w:rPr>
        <w:t xml:space="preserve"> القطاع العقاري وضبط الامتثال فيه</w:t>
      </w:r>
      <w:r w:rsidRPr="00ED5D0F">
        <w:rPr>
          <w:rFonts w:ascii="Simplified Arabic" w:hAnsi="Simplified Arabic" w:cs="Simplified Arabic"/>
          <w:color w:val="000000" w:themeColor="text1"/>
          <w:sz w:val="28"/>
          <w:szCs w:val="28"/>
        </w:rPr>
        <w:t>.</w:t>
      </w:r>
      <w:r w:rsidR="00156D45" w:rsidRPr="00ED5D0F">
        <w:rPr>
          <w:rFonts w:ascii="Simplified Arabic" w:hAnsi="Simplified Arabic" w:cs="Simplified Arabic"/>
          <w:color w:val="000000" w:themeColor="text1"/>
          <w:sz w:val="28"/>
          <w:szCs w:val="28"/>
        </w:rPr>
        <w:t>.</w:t>
      </w:r>
    </w:p>
    <w:p w14:paraId="36040124" w14:textId="77777777" w:rsidR="00925511" w:rsidRPr="00ED5D0F" w:rsidRDefault="00925511" w:rsidP="0092551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3577126"/>
      <w:bookmarkStart w:id="17" w:name="_Toc169790502"/>
      <w:bookmarkEnd w:id="13"/>
      <w:r w:rsidRPr="00ED5D0F">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6"/>
    </w:p>
    <w:p w14:paraId="69D280FC" w14:textId="52ACA31C" w:rsidR="00925511" w:rsidRPr="00ED5D0F" w:rsidRDefault="00925511" w:rsidP="009255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D5D0F">
        <w:rPr>
          <w:rFonts w:ascii="Simplified Arabic" w:eastAsia="Times New Roman" w:hAnsi="Simplified Arabic" w:cs="Simplified Arabic"/>
          <w:b/>
          <w:bCs/>
          <w:color w:val="000000" w:themeColor="text1"/>
          <w:kern w:val="0"/>
          <w:sz w:val="32"/>
          <w:szCs w:val="32"/>
          <w:rtl/>
          <w14:ligatures w14:val="none"/>
        </w:rPr>
        <w:t>أولاً: مفهوم إدارة مخاطر الامتثال</w:t>
      </w:r>
    </w:p>
    <w:p w14:paraId="1DB7F95A"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lastRenderedPageBreak/>
        <w:t>تُعدّ إدارة مخاطر الامتثال</w:t>
      </w:r>
      <w:r w:rsidRPr="00ED5D0F">
        <w:rPr>
          <w:rFonts w:ascii="Simplified Arabic" w:eastAsia="Times New Roman" w:hAnsi="Simplified Arabic" w:cs="Simplified Arabic"/>
          <w:color w:val="000000" w:themeColor="text1"/>
          <w:kern w:val="0"/>
          <w:sz w:val="28"/>
          <w:szCs w:val="28"/>
          <w14:ligatures w14:val="none"/>
        </w:rPr>
        <w:t xml:space="preserve"> (Compliance Risk Management) </w:t>
      </w:r>
      <w:r w:rsidRPr="00ED5D0F">
        <w:rPr>
          <w:rFonts w:ascii="Simplified Arabic" w:eastAsia="Times New Roman" w:hAnsi="Simplified Arabic" w:cs="Simplified Arabic"/>
          <w:color w:val="000000" w:themeColor="text1"/>
          <w:kern w:val="0"/>
          <w:sz w:val="28"/>
          <w:szCs w:val="28"/>
          <w:rtl/>
          <w14:ligatures w14:val="none"/>
        </w:rPr>
        <w:t xml:space="preserve">من المفاهيم الإدارية الحديثة التي نشأت في سياق تزايد التعقيد التنظيمي والتشريعي الذي تواجهه المؤسسات المعاصرة، وهي تُشير إلى العملية المنهجية والمستمرة التي تتضمن تحديد وتقييم ورقابة والاستجابة للمخاطر الناشئة عن عدم الالتزام بالقوانين والأنظمة واللوائح والمعايير والسياسات الداخلية والخارجية التي تحكم عمل المؤسسة. ويتجاوز هذا المفهوم الفهم التقليدي للامتثال بوصفه مجرد التزام شكلي بالنصوص القانونية، ليشمل بناء منظومة مؤسسية متكاملة تتبنّى ثقافة الالتزام </w:t>
      </w:r>
      <w:proofErr w:type="spellStart"/>
      <w:r w:rsidRPr="00ED5D0F">
        <w:rPr>
          <w:rFonts w:ascii="Simplified Arabic" w:eastAsia="Times New Roman" w:hAnsi="Simplified Arabic" w:cs="Simplified Arabic"/>
          <w:color w:val="000000" w:themeColor="text1"/>
          <w:kern w:val="0"/>
          <w:sz w:val="28"/>
          <w:szCs w:val="28"/>
          <w:rtl/>
          <w14:ligatures w14:val="none"/>
        </w:rPr>
        <w:t>الاستباقي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وتدمجها في صلب العمليات التشغيلية والاستراتيجية للمؤسسة. وقد أكّد</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Handoko</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Riantono</w:t>
      </w:r>
      <w:proofErr w:type="spellEnd"/>
      <w:r w:rsidRPr="00ED5D0F">
        <w:rPr>
          <w:rFonts w:ascii="Simplified Arabic" w:eastAsia="Times New Roman" w:hAnsi="Simplified Arabic" w:cs="Simplified Arabic"/>
          <w:color w:val="000000" w:themeColor="text1"/>
          <w:kern w:val="0"/>
          <w:sz w:val="28"/>
          <w:szCs w:val="28"/>
          <w14:ligatures w14:val="none"/>
        </w:rPr>
        <w:t xml:space="preserve"> and </w:t>
      </w:r>
      <w:proofErr w:type="spellStart"/>
      <w:r w:rsidRPr="00ED5D0F">
        <w:rPr>
          <w:rFonts w:ascii="Simplified Arabic" w:eastAsia="Times New Roman" w:hAnsi="Simplified Arabic" w:cs="Simplified Arabic"/>
          <w:color w:val="000000" w:themeColor="text1"/>
          <w:kern w:val="0"/>
          <w:sz w:val="28"/>
          <w:szCs w:val="28"/>
          <w14:ligatures w14:val="none"/>
        </w:rPr>
        <w:t>Gani</w:t>
      </w:r>
      <w:proofErr w:type="spellEnd"/>
      <w:r w:rsidRPr="00ED5D0F">
        <w:rPr>
          <w:rFonts w:ascii="Simplified Arabic" w:eastAsia="Times New Roman" w:hAnsi="Simplified Arabic" w:cs="Simplified Arabic"/>
          <w:color w:val="000000" w:themeColor="text1"/>
          <w:kern w:val="0"/>
          <w:sz w:val="28"/>
          <w:szCs w:val="28"/>
          <w14:ligatures w14:val="none"/>
        </w:rPr>
        <w:t xml:space="preserve"> (2020) </w:t>
      </w:r>
      <w:r w:rsidRPr="00ED5D0F">
        <w:rPr>
          <w:rFonts w:ascii="Simplified Arabic" w:eastAsia="Times New Roman" w:hAnsi="Simplified Arabic" w:cs="Simplified Arabic"/>
          <w:color w:val="000000" w:themeColor="text1"/>
          <w:kern w:val="0"/>
          <w:sz w:val="28"/>
          <w:szCs w:val="28"/>
          <w:rtl/>
          <w14:ligatures w14:val="none"/>
        </w:rPr>
        <w:t>أن إدارة مخاطر الامتثال تُمثّل أحد الأضلاع الثلاثة لمنظومة الحوكمة والمخاطر والامتثال</w:t>
      </w:r>
      <w:r w:rsidRPr="00ED5D0F">
        <w:rPr>
          <w:rFonts w:ascii="Simplified Arabic" w:eastAsia="Times New Roman" w:hAnsi="Simplified Arabic" w:cs="Simplified Arabic"/>
          <w:color w:val="000000" w:themeColor="text1"/>
          <w:kern w:val="0"/>
          <w:sz w:val="28"/>
          <w:szCs w:val="28"/>
          <w14:ligatures w14:val="none"/>
        </w:rPr>
        <w:t xml:space="preserve"> (GRC) </w:t>
      </w:r>
      <w:r w:rsidRPr="00ED5D0F">
        <w:rPr>
          <w:rFonts w:ascii="Simplified Arabic" w:eastAsia="Times New Roman" w:hAnsi="Simplified Arabic" w:cs="Simplified Arabic"/>
          <w:color w:val="000000" w:themeColor="text1"/>
          <w:kern w:val="0"/>
          <w:sz w:val="28"/>
          <w:szCs w:val="28"/>
          <w:rtl/>
          <w14:ligatures w14:val="none"/>
        </w:rPr>
        <w:t xml:space="preserve">التي ينبغي أن تعمل بشكل متكامل وليس كأنشطة منعزلة، حيث إن التكامل بين هذه الأضلاع يُعزّز قدرة المؤسسة على التنبؤ بالمخاطر المستقبلية وتحقيق الميزة التنافسية المستدامة. كما أشار </w:t>
      </w:r>
      <w:proofErr w:type="spellStart"/>
      <w:r w:rsidRPr="00ED5D0F">
        <w:rPr>
          <w:rFonts w:ascii="Simplified Arabic" w:eastAsia="Times New Roman" w:hAnsi="Simplified Arabic" w:cs="Simplified Arabic"/>
          <w:color w:val="000000" w:themeColor="text1"/>
          <w:kern w:val="0"/>
          <w:sz w:val="28"/>
          <w:szCs w:val="28"/>
          <w14:ligatures w14:val="none"/>
        </w:rPr>
        <w:t>Ogunsola</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Balogun</w:t>
      </w:r>
      <w:proofErr w:type="spellEnd"/>
      <w:r w:rsidRPr="00ED5D0F">
        <w:rPr>
          <w:rFonts w:ascii="Simplified Arabic" w:eastAsia="Times New Roman" w:hAnsi="Simplified Arabic" w:cs="Simplified Arabic"/>
          <w:color w:val="000000" w:themeColor="text1"/>
          <w:kern w:val="0"/>
          <w:sz w:val="28"/>
          <w:szCs w:val="28"/>
          <w14:ligatures w14:val="none"/>
        </w:rPr>
        <w:t xml:space="preserve"> and </w:t>
      </w:r>
      <w:proofErr w:type="spellStart"/>
      <w:r w:rsidRPr="00ED5D0F">
        <w:rPr>
          <w:rFonts w:ascii="Simplified Arabic" w:eastAsia="Times New Roman" w:hAnsi="Simplified Arabic" w:cs="Simplified Arabic"/>
          <w:color w:val="000000" w:themeColor="text1"/>
          <w:kern w:val="0"/>
          <w:sz w:val="28"/>
          <w:szCs w:val="28"/>
          <w14:ligatures w14:val="none"/>
        </w:rPr>
        <w:t>Ogunmokun</w:t>
      </w:r>
      <w:proofErr w:type="spellEnd"/>
      <w:r w:rsidRPr="00ED5D0F">
        <w:rPr>
          <w:rFonts w:ascii="Simplified Arabic" w:eastAsia="Times New Roman" w:hAnsi="Simplified Arabic" w:cs="Simplified Arabic"/>
          <w:color w:val="000000" w:themeColor="text1"/>
          <w:kern w:val="0"/>
          <w:sz w:val="28"/>
          <w:szCs w:val="28"/>
          <w14:ligatures w14:val="none"/>
        </w:rPr>
        <w:t xml:space="preserve"> (2021) </w:t>
      </w:r>
      <w:r w:rsidRPr="00ED5D0F">
        <w:rPr>
          <w:rFonts w:ascii="Simplified Arabic" w:eastAsia="Times New Roman" w:hAnsi="Simplified Arabic" w:cs="Simplified Arabic"/>
          <w:color w:val="000000" w:themeColor="text1"/>
          <w:kern w:val="0"/>
          <w:sz w:val="28"/>
          <w:szCs w:val="28"/>
          <w:rtl/>
          <w14:ligatures w14:val="none"/>
        </w:rPr>
        <w:t xml:space="preserve">إلى أن إدارة مخاطر الامتثال الفعّالة تتطلب دمج التقنيات الحديثة كالذكاء الاصطناعي والتحليلات </w:t>
      </w:r>
      <w:proofErr w:type="spellStart"/>
      <w:r w:rsidRPr="00ED5D0F">
        <w:rPr>
          <w:rFonts w:ascii="Simplified Arabic" w:eastAsia="Times New Roman" w:hAnsi="Simplified Arabic" w:cs="Simplified Arabic"/>
          <w:color w:val="000000" w:themeColor="text1"/>
          <w:kern w:val="0"/>
          <w:sz w:val="28"/>
          <w:szCs w:val="28"/>
          <w:rtl/>
          <w14:ligatures w14:val="none"/>
        </w:rPr>
        <w:t>التنبؤية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في عمليات التدقيق والرقابة لتعزيز النزاهة المالية والمؤسسية</w:t>
      </w:r>
      <w:r w:rsidRPr="00ED5D0F">
        <w:rPr>
          <w:rFonts w:ascii="Simplified Arabic" w:eastAsia="Times New Roman" w:hAnsi="Simplified Arabic" w:cs="Simplified Arabic"/>
          <w:color w:val="000000" w:themeColor="text1"/>
          <w:kern w:val="0"/>
          <w:sz w:val="28"/>
          <w:szCs w:val="28"/>
          <w14:ligatures w14:val="none"/>
        </w:rPr>
        <w:t>.</w:t>
      </w:r>
    </w:p>
    <w:p w14:paraId="35E5B25C" w14:textId="77777777" w:rsidR="00B95BA6" w:rsidRPr="00ED5D0F" w:rsidRDefault="00B95BA6" w:rsidP="009255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7765692"/>
      <w:r w:rsidRPr="00ED5D0F">
        <w:rPr>
          <w:rFonts w:ascii="Simplified Arabic" w:eastAsia="Times New Roman" w:hAnsi="Simplified Arabic" w:cs="Simplified Arabic"/>
          <w:b/>
          <w:bCs/>
          <w:color w:val="000000" w:themeColor="text1"/>
          <w:kern w:val="0"/>
          <w:sz w:val="32"/>
          <w:szCs w:val="32"/>
          <w:rtl/>
          <w14:ligatures w14:val="none"/>
        </w:rPr>
        <w:t>ثانياً: أبعاد إدارة مخاطر الامتثال</w:t>
      </w:r>
      <w:bookmarkEnd w:id="18"/>
    </w:p>
    <w:p w14:paraId="47F843E5" w14:textId="49A64BF9" w:rsidR="00B95BA6" w:rsidRPr="00ED5D0F" w:rsidRDefault="00B95BA6"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19" w:name="_Toc227765693"/>
      <w:r w:rsidRPr="00ED5D0F">
        <w:rPr>
          <w:rFonts w:ascii="Simplified Arabic" w:eastAsia="Times New Roman" w:hAnsi="Simplified Arabic" w:cs="Simplified Arabic"/>
          <w:b/>
          <w:bCs/>
          <w:color w:val="000000" w:themeColor="text1"/>
          <w:kern w:val="0"/>
          <w:sz w:val="28"/>
          <w:szCs w:val="28"/>
          <w:rtl/>
          <w14:ligatures w14:val="none"/>
        </w:rPr>
        <w:t>تحديد مخاطر الامتثال</w:t>
      </w:r>
      <w:r w:rsidRPr="00ED5D0F">
        <w:rPr>
          <w:rFonts w:ascii="Simplified Arabic" w:eastAsia="Times New Roman" w:hAnsi="Simplified Arabic" w:cs="Simplified Arabic"/>
          <w:b/>
          <w:bCs/>
          <w:color w:val="000000" w:themeColor="text1"/>
          <w:kern w:val="0"/>
          <w:sz w:val="28"/>
          <w:szCs w:val="28"/>
          <w14:ligatures w14:val="none"/>
        </w:rPr>
        <w:t xml:space="preserve"> (Compliance Risk Identification)</w:t>
      </w:r>
      <w:bookmarkEnd w:id="19"/>
    </w:p>
    <w:p w14:paraId="1A51852E"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يُقصد بتحديد مخاطر الامتثال العملية المنهجية التي تقوم بها المؤسسة لرصد وتصنيف المخاطر التنظيمية والقانونية المحتملة التي قد تنشأ عن عدم الالتزام بالأنظمة والتشريعات واللوائح السارية أو المستحدثة. وتتضمن هذه العملية مسحاً شاملاً للبيئة التشريعية الداخلية والخارجية، وتحليل التغيرات التنظيمية المتوقعة، وتحديد مواطن الضعف في العمليات والإجراءات القائمة التي قد تُؤدّي إلى انتهاكات امتثالية. وقد أشار الزعبي والحايك (2022) إلى أن اختيار الأنشطة الرقابية المتعلقة بتخفيض المخاطر يُمثّل المرحلة الأولى والأكثر أهمية في منظومة الرقابة الداخلية، حيث إن دقة التحديد تُحدّد مسار العملية الرقابية بأكملها</w:t>
      </w:r>
      <w:r w:rsidRPr="00ED5D0F">
        <w:rPr>
          <w:rFonts w:ascii="Simplified Arabic" w:eastAsia="Times New Roman" w:hAnsi="Simplified Arabic" w:cs="Simplified Arabic"/>
          <w:color w:val="000000" w:themeColor="text1"/>
          <w:kern w:val="0"/>
          <w:sz w:val="28"/>
          <w:szCs w:val="28"/>
          <w14:ligatures w14:val="none"/>
        </w:rPr>
        <w:t>.</w:t>
      </w:r>
    </w:p>
    <w:p w14:paraId="446EF925" w14:textId="0BBD5CDD" w:rsidR="00B95BA6" w:rsidRPr="00ED5D0F" w:rsidRDefault="00B95BA6" w:rsidP="009472A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20" w:name="_Toc227765694"/>
      <w:r w:rsidRPr="00ED5D0F">
        <w:rPr>
          <w:rFonts w:ascii="Simplified Arabic" w:eastAsia="Times New Roman" w:hAnsi="Simplified Arabic" w:cs="Simplified Arabic"/>
          <w:b/>
          <w:bCs/>
          <w:color w:val="000000" w:themeColor="text1"/>
          <w:kern w:val="0"/>
          <w:sz w:val="28"/>
          <w:szCs w:val="28"/>
          <w:rtl/>
          <w14:ligatures w14:val="none"/>
        </w:rPr>
        <w:t>تقييم مخاطر الامتثال</w:t>
      </w:r>
      <w:r w:rsidRPr="00ED5D0F">
        <w:rPr>
          <w:rFonts w:ascii="Simplified Arabic" w:eastAsia="Times New Roman" w:hAnsi="Simplified Arabic" w:cs="Simplified Arabic"/>
          <w:b/>
          <w:bCs/>
          <w:color w:val="000000" w:themeColor="text1"/>
          <w:kern w:val="0"/>
          <w:sz w:val="28"/>
          <w:szCs w:val="28"/>
          <w14:ligatures w14:val="none"/>
        </w:rPr>
        <w:t xml:space="preserve"> (Compliance Risk Assessment)</w:t>
      </w:r>
      <w:bookmarkEnd w:id="20"/>
    </w:p>
    <w:p w14:paraId="7058EC8F" w14:textId="77777777" w:rsidR="00B95BA6" w:rsidRPr="00ED5D0F" w:rsidRDefault="00B95BA6" w:rsidP="007A6629">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يُشير تقييم مخاطر الامتثال إلى المنهجيات والأدوات الكمّية والنوعية التي تستخدمها المؤسسة لقياس احتمالية حدوث مخاطر الامتثال المُحدّدة وتقدير شدة تأثيرها على العمليات المؤسسية، ومن ثمّ ترتيبها وفق </w:t>
      </w:r>
      <w:r w:rsidRPr="00ED5D0F">
        <w:rPr>
          <w:rFonts w:ascii="Simplified Arabic" w:eastAsia="Times New Roman" w:hAnsi="Simplified Arabic" w:cs="Simplified Arabic"/>
          <w:color w:val="000000" w:themeColor="text1"/>
          <w:kern w:val="0"/>
          <w:sz w:val="28"/>
          <w:szCs w:val="28"/>
          <w:rtl/>
          <w14:ligatures w14:val="none"/>
        </w:rPr>
        <w:lastRenderedPageBreak/>
        <w:t xml:space="preserve">أولويات تعكس درجة خطورتها وإلحاحها. ويتضمن ذلك استخدام مصفوفات المخاطر ومؤشرات المخاطر الرئيسية </w:t>
      </w:r>
      <w:proofErr w:type="spellStart"/>
      <w:r w:rsidRPr="00ED5D0F">
        <w:rPr>
          <w:rFonts w:ascii="Simplified Arabic" w:eastAsia="Times New Roman" w:hAnsi="Simplified Arabic" w:cs="Simplified Arabic"/>
          <w:color w:val="000000" w:themeColor="text1"/>
          <w:kern w:val="0"/>
          <w:sz w:val="28"/>
          <w:szCs w:val="28"/>
          <w:rtl/>
          <w14:ligatures w14:val="none"/>
        </w:rPr>
        <w:t>والنمذجة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التحليلية لتصنيف المخاطر إلى مستويات متدرجة تُمكّن المؤسسة من تخصيص مواردها الرقابية بكفاءة. وقد أكّد عامر وسلامة ودعيه (2025) أن دقة تقييم المخاطر تُعدّ شرطاً جوهرياً لفاعلية المنظومة الرقابية، حيث إن الامتثال الشكلي للمعايير دون تقييم فعلي لا يضمن بالضرورة رقابة حقيقية</w:t>
      </w:r>
      <w:r w:rsidRPr="00ED5D0F">
        <w:rPr>
          <w:rFonts w:ascii="Simplified Arabic" w:eastAsia="Times New Roman" w:hAnsi="Simplified Arabic" w:cs="Simplified Arabic"/>
          <w:color w:val="000000" w:themeColor="text1"/>
          <w:kern w:val="0"/>
          <w:sz w:val="28"/>
          <w:szCs w:val="28"/>
          <w14:ligatures w14:val="none"/>
        </w:rPr>
        <w:t>.</w:t>
      </w:r>
    </w:p>
    <w:p w14:paraId="1E782E46" w14:textId="3661E020" w:rsidR="00B95BA6" w:rsidRPr="00ED5D0F" w:rsidRDefault="00B95BA6" w:rsidP="009472AE">
      <w:pPr>
        <w:pStyle w:val="a6"/>
        <w:numPr>
          <w:ilvl w:val="0"/>
          <w:numId w:val="6"/>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1" w:name="_Toc227765695"/>
      <w:r w:rsidRPr="00ED5D0F">
        <w:rPr>
          <w:rFonts w:ascii="Simplified Arabic" w:eastAsia="Times New Roman" w:hAnsi="Simplified Arabic" w:cs="Simplified Arabic"/>
          <w:b/>
          <w:bCs/>
          <w:color w:val="000000" w:themeColor="text1"/>
          <w:kern w:val="0"/>
          <w:sz w:val="28"/>
          <w:szCs w:val="28"/>
          <w:rtl/>
          <w14:ligatures w14:val="none"/>
        </w:rPr>
        <w:t>الرقابة على الامتثال</w:t>
      </w:r>
      <w:r w:rsidRPr="00ED5D0F">
        <w:rPr>
          <w:rFonts w:ascii="Simplified Arabic" w:eastAsia="Times New Roman" w:hAnsi="Simplified Arabic" w:cs="Simplified Arabic"/>
          <w:b/>
          <w:bCs/>
          <w:color w:val="000000" w:themeColor="text1"/>
          <w:kern w:val="0"/>
          <w:sz w:val="28"/>
          <w:szCs w:val="28"/>
          <w14:ligatures w14:val="none"/>
        </w:rPr>
        <w:t xml:space="preserve"> (Compliance Monitoring)</w:t>
      </w:r>
      <w:bookmarkEnd w:id="21"/>
    </w:p>
    <w:p w14:paraId="039404E1"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تُعرّف الرقابة على الامتثال بأنها مجموعة الأنشطة </w:t>
      </w:r>
      <w:proofErr w:type="spellStart"/>
      <w:r w:rsidRPr="00ED5D0F">
        <w:rPr>
          <w:rFonts w:ascii="Simplified Arabic" w:eastAsia="Times New Roman" w:hAnsi="Simplified Arabic" w:cs="Simplified Arabic"/>
          <w:color w:val="000000" w:themeColor="text1"/>
          <w:kern w:val="0"/>
          <w:sz w:val="28"/>
          <w:szCs w:val="28"/>
          <w:rtl/>
          <w14:ligatures w14:val="none"/>
        </w:rPr>
        <w:t>الإشرافية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والرقابية المستمرة التي تُمارسها المؤسسة لمتابعة مستوى الالتزام الفعلي بالأنظمة واللوائح والسياسات المعتمدة، والتحقق من أن العمليات التشغيلية تسير وفقاً للمعايير المحددة. وتشمل هذه الأنشطة المراقبة الدورية لمؤشرات الامتثال، وعمليات التدقيق الداخلي، وأنظمة الإنذار المبكر، والتقارير الرقابية المنتظمة. وقد أوضح</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Nkuutu</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Ntayi</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Nkote</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Munene</w:t>
      </w:r>
      <w:proofErr w:type="spellEnd"/>
      <w:r w:rsidRPr="00ED5D0F">
        <w:rPr>
          <w:rFonts w:ascii="Simplified Arabic" w:eastAsia="Times New Roman" w:hAnsi="Simplified Arabic" w:cs="Simplified Arabic"/>
          <w:color w:val="000000" w:themeColor="text1"/>
          <w:kern w:val="0"/>
          <w:sz w:val="28"/>
          <w:szCs w:val="28"/>
          <w14:ligatures w14:val="none"/>
        </w:rPr>
        <w:t xml:space="preserve"> and </w:t>
      </w:r>
      <w:proofErr w:type="spellStart"/>
      <w:r w:rsidRPr="00ED5D0F">
        <w:rPr>
          <w:rFonts w:ascii="Simplified Arabic" w:eastAsia="Times New Roman" w:hAnsi="Simplified Arabic" w:cs="Simplified Arabic"/>
          <w:color w:val="000000" w:themeColor="text1"/>
          <w:kern w:val="0"/>
          <w:sz w:val="28"/>
          <w:szCs w:val="28"/>
          <w14:ligatures w14:val="none"/>
        </w:rPr>
        <w:t>Kaberuka</w:t>
      </w:r>
      <w:proofErr w:type="spellEnd"/>
      <w:r w:rsidRPr="00ED5D0F">
        <w:rPr>
          <w:rFonts w:ascii="Simplified Arabic" w:eastAsia="Times New Roman" w:hAnsi="Simplified Arabic" w:cs="Simplified Arabic"/>
          <w:color w:val="000000" w:themeColor="text1"/>
          <w:kern w:val="0"/>
          <w:sz w:val="28"/>
          <w:szCs w:val="28"/>
          <w14:ligatures w14:val="none"/>
        </w:rPr>
        <w:t xml:space="preserve"> (2021) </w:t>
      </w:r>
      <w:r w:rsidRPr="00ED5D0F">
        <w:rPr>
          <w:rFonts w:ascii="Simplified Arabic" w:eastAsia="Times New Roman" w:hAnsi="Simplified Arabic" w:cs="Simplified Arabic"/>
          <w:color w:val="000000" w:themeColor="text1"/>
          <w:kern w:val="0"/>
          <w:sz w:val="28"/>
          <w:szCs w:val="28"/>
          <w:rtl/>
          <w14:ligatures w14:val="none"/>
        </w:rPr>
        <w:t>أن فاعلية الرقابة ترتبط ارتباطاً وثيقاً بنشاط مجلس الإدارة واستقلاليته وخبرته وتواصله، حيث تُشكّل هذه الآليات البُنية التحتية التي تقوم عليها المراقبة المؤسسية الفعّالة</w:t>
      </w:r>
      <w:r w:rsidRPr="00ED5D0F">
        <w:rPr>
          <w:rFonts w:ascii="Simplified Arabic" w:eastAsia="Times New Roman" w:hAnsi="Simplified Arabic" w:cs="Simplified Arabic"/>
          <w:color w:val="000000" w:themeColor="text1"/>
          <w:kern w:val="0"/>
          <w:sz w:val="28"/>
          <w:szCs w:val="28"/>
          <w14:ligatures w14:val="none"/>
        </w:rPr>
        <w:t>.</w:t>
      </w:r>
    </w:p>
    <w:p w14:paraId="608BF039" w14:textId="63DFEAF0" w:rsidR="00B95BA6" w:rsidRPr="00ED5D0F" w:rsidRDefault="00B95BA6" w:rsidP="009472AE">
      <w:pPr>
        <w:pStyle w:val="a6"/>
        <w:numPr>
          <w:ilvl w:val="0"/>
          <w:numId w:val="6"/>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2" w:name="_Toc227765696"/>
      <w:r w:rsidRPr="00ED5D0F">
        <w:rPr>
          <w:rFonts w:ascii="Simplified Arabic" w:eastAsia="Times New Roman" w:hAnsi="Simplified Arabic" w:cs="Simplified Arabic"/>
          <w:b/>
          <w:bCs/>
          <w:color w:val="000000" w:themeColor="text1"/>
          <w:kern w:val="0"/>
          <w:sz w:val="28"/>
          <w:szCs w:val="28"/>
          <w:rtl/>
          <w14:ligatures w14:val="none"/>
        </w:rPr>
        <w:t>الاستجابة لمخاطر الامتثال</w:t>
      </w:r>
      <w:r w:rsidRPr="00ED5D0F">
        <w:rPr>
          <w:rFonts w:ascii="Simplified Arabic" w:eastAsia="Times New Roman" w:hAnsi="Simplified Arabic" w:cs="Simplified Arabic"/>
          <w:b/>
          <w:bCs/>
          <w:color w:val="000000" w:themeColor="text1"/>
          <w:kern w:val="0"/>
          <w:sz w:val="28"/>
          <w:szCs w:val="28"/>
          <w14:ligatures w14:val="none"/>
        </w:rPr>
        <w:t xml:space="preserve"> (Compliance Risk Response)</w:t>
      </w:r>
      <w:bookmarkEnd w:id="22"/>
    </w:p>
    <w:p w14:paraId="738B954B"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يُقصد بالاستجابة لمخاطر الامتثال مجموعة الإجراءات التصحيحية والوقائية التي تتخذها المؤسسة عند اكتشاف حالات عدم الامتثال أو عند تحقق مخاطر امتثالية محددة، بهدف احتواء الأثر السلبي ومنع تكراره مستقبلاً. وتتضمن هذه الاستجابة تصميم خطط العمل التصحيحية، وتنفيذ التدابير الوقائية، ومراجعة السياسات والإجراءات القائمة، وتحديث الضوابط الرقابية. وقد أشار</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Chairani</w:t>
      </w:r>
      <w:proofErr w:type="spellEnd"/>
      <w:r w:rsidRPr="00ED5D0F">
        <w:rPr>
          <w:rFonts w:ascii="Simplified Arabic" w:eastAsia="Times New Roman" w:hAnsi="Simplified Arabic" w:cs="Simplified Arabic"/>
          <w:color w:val="000000" w:themeColor="text1"/>
          <w:kern w:val="0"/>
          <w:sz w:val="28"/>
          <w:szCs w:val="28"/>
          <w14:ligatures w14:val="none"/>
        </w:rPr>
        <w:t xml:space="preserve"> and </w:t>
      </w:r>
      <w:proofErr w:type="spellStart"/>
      <w:r w:rsidRPr="00ED5D0F">
        <w:rPr>
          <w:rFonts w:ascii="Simplified Arabic" w:eastAsia="Times New Roman" w:hAnsi="Simplified Arabic" w:cs="Simplified Arabic"/>
          <w:color w:val="000000" w:themeColor="text1"/>
          <w:kern w:val="0"/>
          <w:sz w:val="28"/>
          <w:szCs w:val="28"/>
          <w14:ligatures w14:val="none"/>
        </w:rPr>
        <w:t>Siregar</w:t>
      </w:r>
      <w:proofErr w:type="spellEnd"/>
      <w:r w:rsidRPr="00ED5D0F">
        <w:rPr>
          <w:rFonts w:ascii="Simplified Arabic" w:eastAsia="Times New Roman" w:hAnsi="Simplified Arabic" w:cs="Simplified Arabic"/>
          <w:color w:val="000000" w:themeColor="text1"/>
          <w:kern w:val="0"/>
          <w:sz w:val="28"/>
          <w:szCs w:val="28"/>
          <w14:ligatures w14:val="none"/>
        </w:rPr>
        <w:t xml:space="preserve"> (2021) </w:t>
      </w:r>
      <w:r w:rsidRPr="00ED5D0F">
        <w:rPr>
          <w:rFonts w:ascii="Simplified Arabic" w:eastAsia="Times New Roman" w:hAnsi="Simplified Arabic" w:cs="Simplified Arabic"/>
          <w:color w:val="000000" w:themeColor="text1"/>
          <w:kern w:val="0"/>
          <w:sz w:val="28"/>
          <w:szCs w:val="28"/>
          <w:rtl/>
          <w14:ligatures w14:val="none"/>
        </w:rPr>
        <w:t>إلى أن فاعلية الاستجابة لإدارة المخاطر تنعكس إيجاباً على الأداء المالي وقيمة المؤسسة، لا سيما حين تتكامل مع ممارسات الحوكمة والاستدامة</w:t>
      </w:r>
      <w:r w:rsidRPr="00ED5D0F">
        <w:rPr>
          <w:rFonts w:ascii="Simplified Arabic" w:eastAsia="Times New Roman" w:hAnsi="Simplified Arabic" w:cs="Simplified Arabic"/>
          <w:color w:val="000000" w:themeColor="text1"/>
          <w:kern w:val="0"/>
          <w:sz w:val="28"/>
          <w:szCs w:val="28"/>
          <w14:ligatures w14:val="none"/>
        </w:rPr>
        <w:t>.</w:t>
      </w:r>
    </w:p>
    <w:p w14:paraId="4CEB4F3D" w14:textId="77777777" w:rsidR="00B95BA6" w:rsidRPr="00ED5D0F" w:rsidRDefault="00B95BA6" w:rsidP="009255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7765697"/>
      <w:r w:rsidRPr="00ED5D0F">
        <w:rPr>
          <w:rFonts w:ascii="Simplified Arabic" w:eastAsia="Times New Roman" w:hAnsi="Simplified Arabic" w:cs="Simplified Arabic"/>
          <w:b/>
          <w:bCs/>
          <w:color w:val="000000" w:themeColor="text1"/>
          <w:kern w:val="0"/>
          <w:sz w:val="32"/>
          <w:szCs w:val="32"/>
          <w:rtl/>
          <w14:ligatures w14:val="none"/>
        </w:rPr>
        <w:t>ثالثاً: مفهوم جودة الحوكمة</w:t>
      </w:r>
      <w:bookmarkEnd w:id="23"/>
    </w:p>
    <w:p w14:paraId="7A4BADB3"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تُعرّف جودة الحوكمة</w:t>
      </w:r>
      <w:r w:rsidRPr="00ED5D0F">
        <w:rPr>
          <w:rFonts w:ascii="Simplified Arabic" w:eastAsia="Times New Roman" w:hAnsi="Simplified Arabic" w:cs="Simplified Arabic"/>
          <w:color w:val="000000" w:themeColor="text1"/>
          <w:kern w:val="0"/>
          <w:sz w:val="28"/>
          <w:szCs w:val="28"/>
          <w14:ligatures w14:val="none"/>
        </w:rPr>
        <w:t xml:space="preserve"> (Governance Quality) </w:t>
      </w:r>
      <w:r w:rsidRPr="00ED5D0F">
        <w:rPr>
          <w:rFonts w:ascii="Simplified Arabic" w:eastAsia="Times New Roman" w:hAnsi="Simplified Arabic" w:cs="Simplified Arabic"/>
          <w:color w:val="000000" w:themeColor="text1"/>
          <w:kern w:val="0"/>
          <w:sz w:val="28"/>
          <w:szCs w:val="28"/>
          <w:rtl/>
          <w14:ligatures w14:val="none"/>
        </w:rPr>
        <w:t xml:space="preserve">بأنها الدرجة التي تتحقق عندها المبادئ والمعايير المؤسسية التي تكفل إدارة المؤسسة بشكل رشيد وفعّال، بما يُحقّق التوازن بين مصالح الأطراف المختلفة ويضمن الشفافية في العمليات والقرارات والمساءلة عن النتائج وحماية حقوق أصحاب المصلحة. وتتجاوز جودة الحوكمة مجرد وجود أُطُر وهياكل </w:t>
      </w:r>
      <w:proofErr w:type="spellStart"/>
      <w:r w:rsidRPr="00ED5D0F">
        <w:rPr>
          <w:rFonts w:ascii="Simplified Arabic" w:eastAsia="Times New Roman" w:hAnsi="Simplified Arabic" w:cs="Simplified Arabic"/>
          <w:color w:val="000000" w:themeColor="text1"/>
          <w:kern w:val="0"/>
          <w:sz w:val="28"/>
          <w:szCs w:val="28"/>
          <w:rtl/>
          <w14:ligatures w14:val="none"/>
        </w:rPr>
        <w:t>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شكلية إلى فاعلية تطبيق هذه الأطر وقدرتها على تحقيق </w:t>
      </w:r>
      <w:r w:rsidRPr="00ED5D0F">
        <w:rPr>
          <w:rFonts w:ascii="Simplified Arabic" w:eastAsia="Times New Roman" w:hAnsi="Simplified Arabic" w:cs="Simplified Arabic"/>
          <w:color w:val="000000" w:themeColor="text1"/>
          <w:kern w:val="0"/>
          <w:sz w:val="28"/>
          <w:szCs w:val="28"/>
          <w:rtl/>
          <w14:ligatures w14:val="none"/>
        </w:rPr>
        <w:lastRenderedPageBreak/>
        <w:t xml:space="preserve">أهدافها المرجوة في الممارسة الفعلية. وقد أكّدت الحربي (2021) أن جودة الحوكمة تنعكس بشكل مباشر على جودة التقارير </w:t>
      </w:r>
      <w:proofErr w:type="spellStart"/>
      <w:r w:rsidRPr="00ED5D0F">
        <w:rPr>
          <w:rFonts w:ascii="Simplified Arabic" w:eastAsia="Times New Roman" w:hAnsi="Simplified Arabic" w:cs="Simplified Arabic"/>
          <w:color w:val="000000" w:themeColor="text1"/>
          <w:kern w:val="0"/>
          <w:sz w:val="28"/>
          <w:szCs w:val="28"/>
          <w:rtl/>
          <w14:ligatures w14:val="none"/>
        </w:rPr>
        <w:t>والإفصاحات</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المؤسسية، حيث فسّرت آليات الحوكمة ما نسبته </w:t>
      </w:r>
      <w:r w:rsidRPr="00ED5D0F">
        <w:rPr>
          <w:rFonts w:ascii="Simplified Arabic" w:eastAsia="Times New Roman" w:hAnsi="Simplified Arabic" w:cs="Simplified Arabic"/>
          <w:color w:val="000000" w:themeColor="text1"/>
          <w:kern w:val="0"/>
          <w:sz w:val="28"/>
          <w:szCs w:val="28"/>
          <w14:ligatures w14:val="none"/>
        </w:rPr>
        <w:t xml:space="preserve">49.6% </w:t>
      </w:r>
      <w:r w:rsidRPr="00ED5D0F">
        <w:rPr>
          <w:rFonts w:ascii="Simplified Arabic" w:eastAsia="Times New Roman" w:hAnsi="Simplified Arabic" w:cs="Simplified Arabic"/>
          <w:color w:val="000000" w:themeColor="text1"/>
          <w:kern w:val="0"/>
          <w:sz w:val="28"/>
          <w:szCs w:val="28"/>
          <w:rtl/>
          <w14:ligatures w14:val="none"/>
        </w:rPr>
        <w:t xml:space="preserve">من التغير في جودة التقارير المالية للبنوك السعودية. كما أوضح </w:t>
      </w:r>
      <w:proofErr w:type="spellStart"/>
      <w:r w:rsidRPr="00ED5D0F">
        <w:rPr>
          <w:rFonts w:ascii="Simplified Arabic" w:eastAsia="Times New Roman" w:hAnsi="Simplified Arabic" w:cs="Simplified Arabic"/>
          <w:color w:val="000000" w:themeColor="text1"/>
          <w:kern w:val="0"/>
          <w:sz w:val="28"/>
          <w:szCs w:val="28"/>
          <w14:ligatures w14:val="none"/>
        </w:rPr>
        <w:t>Elamer</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Ntim</w:t>
      </w:r>
      <w:proofErr w:type="spellEnd"/>
      <w:r w:rsidRPr="00ED5D0F">
        <w:rPr>
          <w:rFonts w:ascii="Simplified Arabic" w:eastAsia="Times New Roman" w:hAnsi="Simplified Arabic" w:cs="Simplified Arabic"/>
          <w:color w:val="000000" w:themeColor="text1"/>
          <w:kern w:val="0"/>
          <w:sz w:val="28"/>
          <w:szCs w:val="28"/>
          <w14:ligatures w14:val="none"/>
        </w:rPr>
        <w:t xml:space="preserve"> and </w:t>
      </w:r>
      <w:proofErr w:type="spellStart"/>
      <w:r w:rsidRPr="00ED5D0F">
        <w:rPr>
          <w:rFonts w:ascii="Simplified Arabic" w:eastAsia="Times New Roman" w:hAnsi="Simplified Arabic" w:cs="Simplified Arabic"/>
          <w:color w:val="000000" w:themeColor="text1"/>
          <w:kern w:val="0"/>
          <w:sz w:val="28"/>
          <w:szCs w:val="28"/>
          <w14:ligatures w14:val="none"/>
        </w:rPr>
        <w:t>Abdou</w:t>
      </w:r>
      <w:proofErr w:type="spellEnd"/>
      <w:r w:rsidRPr="00ED5D0F">
        <w:rPr>
          <w:rFonts w:ascii="Simplified Arabic" w:eastAsia="Times New Roman" w:hAnsi="Simplified Arabic" w:cs="Simplified Arabic"/>
          <w:color w:val="000000" w:themeColor="text1"/>
          <w:kern w:val="0"/>
          <w:sz w:val="28"/>
          <w:szCs w:val="28"/>
          <w14:ligatures w14:val="none"/>
        </w:rPr>
        <w:t xml:space="preserve"> (2020) </w:t>
      </w:r>
      <w:r w:rsidRPr="00ED5D0F">
        <w:rPr>
          <w:rFonts w:ascii="Simplified Arabic" w:eastAsia="Times New Roman" w:hAnsi="Simplified Arabic" w:cs="Simplified Arabic"/>
          <w:color w:val="000000" w:themeColor="text1"/>
          <w:kern w:val="0"/>
          <w:sz w:val="28"/>
          <w:szCs w:val="28"/>
          <w:rtl/>
          <w14:ligatures w14:val="none"/>
        </w:rPr>
        <w:t xml:space="preserve">أن جودة الحوكمة تتحدد بتفاعل مستويات متعددة تشمل الحوكمة المؤسسية الداخلية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الوطنية والأطر التنظيمية الخارجية، وأن ممارسات إدارة المخاطر والإفصاح تكون أعلى في المؤسسات التي تتمتع بمستويات مرتفعة من جودة الحوكمة. وفي السياق ذاته، أشارت دراسة </w:t>
      </w:r>
      <w:proofErr w:type="spellStart"/>
      <w:r w:rsidRPr="00ED5D0F">
        <w:rPr>
          <w:rFonts w:ascii="Simplified Arabic" w:eastAsia="Times New Roman" w:hAnsi="Simplified Arabic" w:cs="Simplified Arabic"/>
          <w:color w:val="000000" w:themeColor="text1"/>
          <w:kern w:val="0"/>
          <w:sz w:val="28"/>
          <w:szCs w:val="28"/>
          <w:rtl/>
          <w14:ligatures w14:val="none"/>
        </w:rPr>
        <w:t>نمديلي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وكروش (2021) إلى أن تبنّي مبادئ الحوكمة يُؤثّر بنسبة 69% على تحسين جودة المعلومات المؤسسية، مما يؤكد الدور المحوري لجودة الحوكمة في تعزيز الشفافية والموثوقية المؤسسية</w:t>
      </w:r>
      <w:r w:rsidRPr="00ED5D0F">
        <w:rPr>
          <w:rFonts w:ascii="Simplified Arabic" w:eastAsia="Times New Roman" w:hAnsi="Simplified Arabic" w:cs="Simplified Arabic"/>
          <w:color w:val="000000" w:themeColor="text1"/>
          <w:kern w:val="0"/>
          <w:sz w:val="28"/>
          <w:szCs w:val="28"/>
          <w14:ligatures w14:val="none"/>
        </w:rPr>
        <w:t>.</w:t>
      </w:r>
    </w:p>
    <w:p w14:paraId="4453A45D" w14:textId="77777777" w:rsidR="00B95BA6" w:rsidRPr="00ED5D0F" w:rsidRDefault="00B95BA6" w:rsidP="009255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7765698"/>
      <w:r w:rsidRPr="00ED5D0F">
        <w:rPr>
          <w:rFonts w:ascii="Simplified Arabic" w:eastAsia="Times New Roman" w:hAnsi="Simplified Arabic" w:cs="Simplified Arabic"/>
          <w:b/>
          <w:bCs/>
          <w:color w:val="000000" w:themeColor="text1"/>
          <w:kern w:val="0"/>
          <w:sz w:val="32"/>
          <w:szCs w:val="32"/>
          <w:rtl/>
          <w14:ligatures w14:val="none"/>
        </w:rPr>
        <w:t>رابعاً: العلاقة بين إدارة مخاطر الامتثال وجودة الحوكمة</w:t>
      </w:r>
      <w:bookmarkEnd w:id="24"/>
    </w:p>
    <w:p w14:paraId="57D552D5"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تقوم العلاقة النظرية بين إدارة مخاطر الامتثال وجودة الحوكمة على عدة نظريات تفسيرية متكاملة. فوفقاً لنظرية الوكالة</w:t>
      </w:r>
      <w:r w:rsidRPr="00ED5D0F">
        <w:rPr>
          <w:rFonts w:ascii="Simplified Arabic" w:eastAsia="Times New Roman" w:hAnsi="Simplified Arabic" w:cs="Simplified Arabic"/>
          <w:color w:val="000000" w:themeColor="text1"/>
          <w:kern w:val="0"/>
          <w:sz w:val="28"/>
          <w:szCs w:val="28"/>
          <w14:ligatures w14:val="none"/>
        </w:rPr>
        <w:t xml:space="preserve"> (Agency Theory)</w:t>
      </w:r>
      <w:r w:rsidRPr="00ED5D0F">
        <w:rPr>
          <w:rFonts w:ascii="Simplified Arabic" w:eastAsia="Times New Roman" w:hAnsi="Simplified Arabic" w:cs="Simplified Arabic"/>
          <w:color w:val="000000" w:themeColor="text1"/>
          <w:kern w:val="0"/>
          <w:sz w:val="28"/>
          <w:szCs w:val="28"/>
          <w:rtl/>
          <w14:ligatures w14:val="none"/>
        </w:rPr>
        <w:t>، فإن إدارة مخاطر الامتثال تُسهم في تقليل تعارض المصالح بين الإدارة وأصحاب المصلحة من خلال ضمان الالتزام بالمعايير والأنظمة، مما يُعزّز الشفافية ويُقلّل من عدم تماثل المعلومات. أما نظرية أصحاب المصلحة</w:t>
      </w:r>
      <w:r w:rsidRPr="00ED5D0F">
        <w:rPr>
          <w:rFonts w:ascii="Simplified Arabic" w:eastAsia="Times New Roman" w:hAnsi="Simplified Arabic" w:cs="Simplified Arabic"/>
          <w:color w:val="000000" w:themeColor="text1"/>
          <w:kern w:val="0"/>
          <w:sz w:val="28"/>
          <w:szCs w:val="28"/>
          <w14:ligatures w14:val="none"/>
        </w:rPr>
        <w:t xml:space="preserve"> (Stakeholder Theory) </w:t>
      </w:r>
      <w:r w:rsidRPr="00ED5D0F">
        <w:rPr>
          <w:rFonts w:ascii="Simplified Arabic" w:eastAsia="Times New Roman" w:hAnsi="Simplified Arabic" w:cs="Simplified Arabic"/>
          <w:color w:val="000000" w:themeColor="text1"/>
          <w:kern w:val="0"/>
          <w:sz w:val="28"/>
          <w:szCs w:val="28"/>
          <w:rtl/>
          <w14:ligatures w14:val="none"/>
        </w:rPr>
        <w:t>فتُؤكّد أن إدارة مخاطر الامتثال الفعّالة تُعزّز ثقة جميع الأطراف المعنية في المؤسسة وتُرسّخ شرعيتها المؤسسية. كما تُشير النظرية المؤسسية الجديدة</w:t>
      </w:r>
      <w:r w:rsidRPr="00ED5D0F">
        <w:rPr>
          <w:rFonts w:ascii="Simplified Arabic" w:eastAsia="Times New Roman" w:hAnsi="Simplified Arabic" w:cs="Simplified Arabic"/>
          <w:color w:val="000000" w:themeColor="text1"/>
          <w:kern w:val="0"/>
          <w:sz w:val="28"/>
          <w:szCs w:val="28"/>
          <w14:ligatures w14:val="none"/>
        </w:rPr>
        <w:t xml:space="preserve"> (Neo-Institutional Theory) </w:t>
      </w:r>
      <w:r w:rsidRPr="00ED5D0F">
        <w:rPr>
          <w:rFonts w:ascii="Simplified Arabic" w:eastAsia="Times New Roman" w:hAnsi="Simplified Arabic" w:cs="Simplified Arabic"/>
          <w:color w:val="000000" w:themeColor="text1"/>
          <w:kern w:val="0"/>
          <w:sz w:val="28"/>
          <w:szCs w:val="28"/>
          <w:rtl/>
          <w14:ligatures w14:val="none"/>
        </w:rPr>
        <w:t xml:space="preserve">إلى أن الضغوط التنظيمية والمعيارية </w:t>
      </w:r>
      <w:proofErr w:type="spellStart"/>
      <w:r w:rsidRPr="00ED5D0F">
        <w:rPr>
          <w:rFonts w:ascii="Simplified Arabic" w:eastAsia="Times New Roman" w:hAnsi="Simplified Arabic" w:cs="Simplified Arabic"/>
          <w:color w:val="000000" w:themeColor="text1"/>
          <w:kern w:val="0"/>
          <w:sz w:val="28"/>
          <w:szCs w:val="28"/>
          <w:rtl/>
          <w14:ligatures w14:val="none"/>
        </w:rPr>
        <w:t>والمحاكاتية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تدفع المؤسسات نحو تبنّي ممارسات امتثال ورقابة متقدمة تنعكس إيجاباً على جودة </w:t>
      </w:r>
      <w:proofErr w:type="spellStart"/>
      <w:r w:rsidRPr="00ED5D0F">
        <w:rPr>
          <w:rFonts w:ascii="Simplified Arabic" w:eastAsia="Times New Roman" w:hAnsi="Simplified Arabic" w:cs="Simplified Arabic"/>
          <w:color w:val="000000" w:themeColor="text1"/>
          <w:kern w:val="0"/>
          <w:sz w:val="28"/>
          <w:szCs w:val="28"/>
          <w:rtl/>
          <w14:ligatures w14:val="none"/>
        </w:rPr>
        <w:t>حوكمتها</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وقد أكّد </w:t>
      </w:r>
      <w:proofErr w:type="spellStart"/>
      <w:r w:rsidRPr="00ED5D0F">
        <w:rPr>
          <w:rFonts w:ascii="Simplified Arabic" w:eastAsia="Times New Roman" w:hAnsi="Simplified Arabic" w:cs="Simplified Arabic"/>
          <w:color w:val="000000" w:themeColor="text1"/>
          <w:kern w:val="0"/>
          <w:sz w:val="28"/>
          <w:szCs w:val="28"/>
          <w14:ligatures w14:val="none"/>
        </w:rPr>
        <w:t>Arif</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Sajjad</w:t>
      </w:r>
      <w:proofErr w:type="spellEnd"/>
      <w:r w:rsidRPr="00ED5D0F">
        <w:rPr>
          <w:rFonts w:ascii="Simplified Arabic" w:eastAsia="Times New Roman" w:hAnsi="Simplified Arabic" w:cs="Simplified Arabic"/>
          <w:color w:val="000000" w:themeColor="text1"/>
          <w:kern w:val="0"/>
          <w:sz w:val="28"/>
          <w:szCs w:val="28"/>
          <w14:ligatures w14:val="none"/>
        </w:rPr>
        <w:t xml:space="preserve">, Farooq, </w:t>
      </w:r>
      <w:proofErr w:type="spellStart"/>
      <w:r w:rsidRPr="00ED5D0F">
        <w:rPr>
          <w:rFonts w:ascii="Simplified Arabic" w:eastAsia="Times New Roman" w:hAnsi="Simplified Arabic" w:cs="Simplified Arabic"/>
          <w:color w:val="000000" w:themeColor="text1"/>
          <w:kern w:val="0"/>
          <w:sz w:val="28"/>
          <w:szCs w:val="28"/>
          <w14:ligatures w14:val="none"/>
        </w:rPr>
        <w:t>Abrar</w:t>
      </w:r>
      <w:proofErr w:type="spellEnd"/>
      <w:r w:rsidRPr="00ED5D0F">
        <w:rPr>
          <w:rFonts w:ascii="Simplified Arabic" w:eastAsia="Times New Roman" w:hAnsi="Simplified Arabic" w:cs="Simplified Arabic"/>
          <w:color w:val="000000" w:themeColor="text1"/>
          <w:kern w:val="0"/>
          <w:sz w:val="28"/>
          <w:szCs w:val="28"/>
          <w14:ligatures w14:val="none"/>
        </w:rPr>
        <w:t xml:space="preserve"> and Joyo (2021) </w:t>
      </w:r>
      <w:r w:rsidRPr="00ED5D0F">
        <w:rPr>
          <w:rFonts w:ascii="Simplified Arabic" w:eastAsia="Times New Roman" w:hAnsi="Simplified Arabic" w:cs="Simplified Arabic"/>
          <w:color w:val="000000" w:themeColor="text1"/>
          <w:kern w:val="0"/>
          <w:sz w:val="28"/>
          <w:szCs w:val="28"/>
          <w:rtl/>
          <w14:ligatures w14:val="none"/>
        </w:rPr>
        <w:t xml:space="preserve">أن آليات الرقابة الداخلية المتمثلة في نشاط لجان التدقيق واستقلاليتها تُعزّز جودة </w:t>
      </w:r>
      <w:proofErr w:type="spellStart"/>
      <w:r w:rsidRPr="00ED5D0F">
        <w:rPr>
          <w:rFonts w:ascii="Simplified Arabic" w:eastAsia="Times New Roman" w:hAnsi="Simplified Arabic" w:cs="Simplified Arabic"/>
          <w:color w:val="000000" w:themeColor="text1"/>
          <w:kern w:val="0"/>
          <w:sz w:val="28"/>
          <w:szCs w:val="28"/>
          <w:rtl/>
          <w14:ligatures w14:val="none"/>
        </w:rPr>
        <w:t>الإفصاحات</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المؤسسية، بينما أوضح</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Landi</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Iandolo</w:t>
      </w:r>
      <w:proofErr w:type="spellEnd"/>
      <w:r w:rsidRPr="00ED5D0F">
        <w:rPr>
          <w:rFonts w:ascii="Simplified Arabic" w:eastAsia="Times New Roman" w:hAnsi="Simplified Arabic" w:cs="Simplified Arabic"/>
          <w:color w:val="000000" w:themeColor="text1"/>
          <w:kern w:val="0"/>
          <w:sz w:val="28"/>
          <w:szCs w:val="28"/>
          <w14:ligatures w14:val="none"/>
        </w:rPr>
        <w:t xml:space="preserve">, Renzi and Rey (2022) </w:t>
      </w:r>
      <w:r w:rsidRPr="00ED5D0F">
        <w:rPr>
          <w:rFonts w:ascii="Simplified Arabic" w:eastAsia="Times New Roman" w:hAnsi="Simplified Arabic" w:cs="Simplified Arabic"/>
          <w:color w:val="000000" w:themeColor="text1"/>
          <w:kern w:val="0"/>
          <w:sz w:val="28"/>
          <w:szCs w:val="28"/>
          <w:rtl/>
          <w14:ligatures w14:val="none"/>
        </w:rPr>
        <w:t>أن دمج الاستدامة في إدارة المخاطر يُؤثّر في إدراك المستثمرين للمخاطر المؤسسية، مما يُبرز الترابط الوثيق بين منظومة إدارة المخاطر وجودة الحوكمة</w:t>
      </w:r>
      <w:r w:rsidRPr="00ED5D0F">
        <w:rPr>
          <w:rFonts w:ascii="Simplified Arabic" w:eastAsia="Times New Roman" w:hAnsi="Simplified Arabic" w:cs="Simplified Arabic"/>
          <w:color w:val="000000" w:themeColor="text1"/>
          <w:kern w:val="0"/>
          <w:sz w:val="28"/>
          <w:szCs w:val="28"/>
          <w14:ligatures w14:val="none"/>
        </w:rPr>
        <w:t>.</w:t>
      </w:r>
    </w:p>
    <w:p w14:paraId="2DD7A76C" w14:textId="77777777" w:rsidR="00B95BA6" w:rsidRPr="00ED5D0F" w:rsidRDefault="00B95BA6" w:rsidP="009255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5" w:name="_Toc227765699"/>
      <w:r w:rsidRPr="00ED5D0F">
        <w:rPr>
          <w:rFonts w:ascii="Simplified Arabic" w:eastAsia="Times New Roman" w:hAnsi="Simplified Arabic" w:cs="Simplified Arabic"/>
          <w:b/>
          <w:bCs/>
          <w:color w:val="000000" w:themeColor="text1"/>
          <w:kern w:val="0"/>
          <w:sz w:val="32"/>
          <w:szCs w:val="32"/>
          <w:rtl/>
          <w14:ligatures w14:val="none"/>
        </w:rPr>
        <w:t>خامساً: مصطلحات الدراسة</w:t>
      </w:r>
      <w:bookmarkEnd w:id="25"/>
    </w:p>
    <w:p w14:paraId="453E9F3E"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إدارة مخاطر الامتثال</w:t>
      </w:r>
      <w:r w:rsidRPr="00ED5D0F">
        <w:rPr>
          <w:rFonts w:ascii="Simplified Arabic" w:eastAsia="Times New Roman" w:hAnsi="Simplified Arabic" w:cs="Simplified Arabic"/>
          <w:color w:val="000000" w:themeColor="text1"/>
          <w:kern w:val="0"/>
          <w:sz w:val="28"/>
          <w:szCs w:val="28"/>
          <w14:ligatures w14:val="none"/>
        </w:rPr>
        <w:t xml:space="preserve"> (Compliance Risk Management): </w:t>
      </w:r>
      <w:r w:rsidRPr="00ED5D0F">
        <w:rPr>
          <w:rFonts w:ascii="Simplified Arabic" w:eastAsia="Times New Roman" w:hAnsi="Simplified Arabic" w:cs="Simplified Arabic"/>
          <w:color w:val="000000" w:themeColor="text1"/>
          <w:kern w:val="0"/>
          <w:sz w:val="28"/>
          <w:szCs w:val="28"/>
          <w:rtl/>
          <w14:ligatures w14:val="none"/>
        </w:rPr>
        <w:t>تُعرّف إجرائياً بأنها المنظومة المتكاملة من العمليات والآليات التي تتبنّاها الهيئة العامة للعقار لتحديد وتقييم ورقابة والاستجابة للمخاطر الناشئة عن عدم الالتزام بالأنظمة واللوائح العقارية السارية، وتُقاس بالدرجة التي يحصل عليها أفراد العينة على فقرات أبعادها الأربعة في أداة الدراسة</w:t>
      </w:r>
      <w:r w:rsidRPr="00ED5D0F">
        <w:rPr>
          <w:rFonts w:ascii="Simplified Arabic" w:eastAsia="Times New Roman" w:hAnsi="Simplified Arabic" w:cs="Simplified Arabic"/>
          <w:color w:val="000000" w:themeColor="text1"/>
          <w:kern w:val="0"/>
          <w:sz w:val="28"/>
          <w:szCs w:val="28"/>
          <w14:ligatures w14:val="none"/>
        </w:rPr>
        <w:t>.</w:t>
      </w:r>
    </w:p>
    <w:p w14:paraId="0E6FF288"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lastRenderedPageBreak/>
        <w:t>جودة الحوكمة</w:t>
      </w:r>
      <w:r w:rsidRPr="00ED5D0F">
        <w:rPr>
          <w:rFonts w:ascii="Simplified Arabic" w:eastAsia="Times New Roman" w:hAnsi="Simplified Arabic" w:cs="Simplified Arabic"/>
          <w:color w:val="000000" w:themeColor="text1"/>
          <w:kern w:val="0"/>
          <w:sz w:val="28"/>
          <w:szCs w:val="28"/>
          <w14:ligatures w14:val="none"/>
        </w:rPr>
        <w:t xml:space="preserve"> (Governance Quality): </w:t>
      </w:r>
      <w:r w:rsidRPr="00ED5D0F">
        <w:rPr>
          <w:rFonts w:ascii="Simplified Arabic" w:eastAsia="Times New Roman" w:hAnsi="Simplified Arabic" w:cs="Simplified Arabic"/>
          <w:color w:val="000000" w:themeColor="text1"/>
          <w:kern w:val="0"/>
          <w:sz w:val="28"/>
          <w:szCs w:val="28"/>
          <w:rtl/>
          <w14:ligatures w14:val="none"/>
        </w:rPr>
        <w:t>تُعرّف إجرائياً بأنها الدرجة التي تتحقق عندها مبادئ الشفافية والمساءلة واستقلالية الرقابة وفاعلية الإدارة وحماية حقوق أصحاب المصلحة والالتزام بالمعايير التنظيمية في الهيئة العامة للعقار، وتُقاس بالدرجة التي يحصل عليها أفراد العينة على فقرات محور جودة الحوكمة في أداة الدراسة</w:t>
      </w:r>
      <w:r w:rsidRPr="00ED5D0F">
        <w:rPr>
          <w:rFonts w:ascii="Simplified Arabic" w:eastAsia="Times New Roman" w:hAnsi="Simplified Arabic" w:cs="Simplified Arabic"/>
          <w:color w:val="000000" w:themeColor="text1"/>
          <w:kern w:val="0"/>
          <w:sz w:val="28"/>
          <w:szCs w:val="28"/>
          <w14:ligatures w14:val="none"/>
        </w:rPr>
        <w:t>.</w:t>
      </w:r>
    </w:p>
    <w:p w14:paraId="77B7F92F"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الهيئة العامة للعقار</w:t>
      </w:r>
      <w:r w:rsidRPr="00ED5D0F">
        <w:rPr>
          <w:rFonts w:ascii="Simplified Arabic" w:eastAsia="Times New Roman" w:hAnsi="Simplified Arabic" w:cs="Simplified Arabic"/>
          <w:color w:val="000000" w:themeColor="text1"/>
          <w:kern w:val="0"/>
          <w:sz w:val="28"/>
          <w:szCs w:val="28"/>
          <w14:ligatures w14:val="none"/>
        </w:rPr>
        <w:t xml:space="preserve"> (Real Estate General Authority - REGA): </w:t>
      </w:r>
      <w:r w:rsidRPr="00ED5D0F">
        <w:rPr>
          <w:rFonts w:ascii="Simplified Arabic" w:eastAsia="Times New Roman" w:hAnsi="Simplified Arabic" w:cs="Simplified Arabic"/>
          <w:color w:val="000000" w:themeColor="text1"/>
          <w:kern w:val="0"/>
          <w:sz w:val="28"/>
          <w:szCs w:val="28"/>
          <w:rtl/>
          <w14:ligatures w14:val="none"/>
        </w:rPr>
        <w:t>هي الجهة التنظيمية والرقابية المسؤولة عن تنظيم القطاع العقاري غير الحكومي في المملكة العربية السعودية والإشراف عليه وتطوير بيئته التشريعية وحماية حقوق المتعاملين فيه</w:t>
      </w:r>
      <w:r w:rsidRPr="00ED5D0F">
        <w:rPr>
          <w:rFonts w:ascii="Simplified Arabic" w:eastAsia="Times New Roman" w:hAnsi="Simplified Arabic" w:cs="Simplified Arabic"/>
          <w:color w:val="000000" w:themeColor="text1"/>
          <w:kern w:val="0"/>
          <w:sz w:val="28"/>
          <w:szCs w:val="28"/>
          <w14:ligatures w14:val="none"/>
        </w:rPr>
        <w:t>.</w:t>
      </w:r>
    </w:p>
    <w:p w14:paraId="3B947428" w14:textId="6BDE5A31" w:rsidR="00925511" w:rsidRPr="00ED5D0F" w:rsidRDefault="00925511" w:rsidP="0092551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6" w:name="_Toc233577127"/>
      <w:bookmarkStart w:id="27" w:name="_Toc169790506"/>
      <w:bookmarkEnd w:id="17"/>
      <w:r w:rsidRPr="00ED5D0F">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6"/>
    </w:p>
    <w:p w14:paraId="4E3FC7BD"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حيث يُمكّن من وصف الظاهرة محل الدراسة وصفاً دقيقاً وشاملاً من خلال جمع البيانات والمعلومات عن واقع إدارة مخاطر الامتثال وجودة الحوكمة في الهيئة العامة للعقار في المملكة العربية السعودية، ومن ثمّ تحليلها وتفسيرها للوصول إلى استنتاجات علمية تُسهم في فهم العلاقة بين متغيرات الدراسة. وسيتضمن هذا المنهج جانبين: الأول نظري يقوم على مراجعة الأدبيات والدراسات السابقة ذات الصلة بإدارة مخاطر الامتثال وجودة الحوكمة في المؤسسات العقارية والتنظيمية، والثاني ميداني يقوم على جمع البيانات الأولية من أفراد عينة الدراسة باستخدام أداة الاستبانة المصمّمة خصيصاً لهذا الغرض</w:t>
      </w:r>
      <w:r w:rsidRPr="00ED5D0F">
        <w:rPr>
          <w:rFonts w:ascii="Simplified Arabic" w:eastAsia="Times New Roman" w:hAnsi="Simplified Arabic" w:cs="Simplified Arabic"/>
          <w:color w:val="000000" w:themeColor="text1"/>
          <w:kern w:val="0"/>
          <w:sz w:val="28"/>
          <w:szCs w:val="28"/>
          <w14:ligatures w14:val="none"/>
        </w:rPr>
        <w:t>.</w:t>
      </w:r>
    </w:p>
    <w:p w14:paraId="7FDE703A"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كما ستستخدم الدراسة أسلوب الانحدار الخطي البسيط والمتعدد لاختبار فرضيات الدراسة وقياس أثر إدارة مخاطر الامتثال بأبعادها الأربعة (تحديد مخاطر الامتثال، تقييم مخاطر الامتثال، الرقابة على الامتثال، الاستجابة لمخاطر الامتثال) على جودة الحوكمة، وذلك بالاعتماد على البرنامج الإحصائي</w:t>
      </w:r>
      <w:r w:rsidRPr="00ED5D0F">
        <w:rPr>
          <w:rFonts w:ascii="Simplified Arabic" w:eastAsia="Times New Roman" w:hAnsi="Simplified Arabic" w:cs="Simplified Arabic"/>
          <w:color w:val="000000" w:themeColor="text1"/>
          <w:kern w:val="0"/>
          <w:sz w:val="28"/>
          <w:szCs w:val="28"/>
          <w14:ligatures w14:val="none"/>
        </w:rPr>
        <w:t xml:space="preserve"> (SPSS) </w:t>
      </w:r>
      <w:r w:rsidRPr="00ED5D0F">
        <w:rPr>
          <w:rFonts w:ascii="Simplified Arabic" w:eastAsia="Times New Roman" w:hAnsi="Simplified Arabic" w:cs="Simplified Arabic"/>
          <w:color w:val="000000" w:themeColor="text1"/>
          <w:kern w:val="0"/>
          <w:sz w:val="28"/>
          <w:szCs w:val="28"/>
          <w:rtl/>
          <w14:ligatures w14:val="none"/>
        </w:rPr>
        <w:t>في إجراء التحليلات الإحصائية اللازمة. وسيُراعى في تصميم الدراسة وتنفيذها الشروط المنهجية المعتبرة من حيث الصدق والثبات والموضوعية لضمان الحصول على نتائج موثوقة وقابلة للتعميم</w:t>
      </w:r>
      <w:r w:rsidRPr="00ED5D0F">
        <w:rPr>
          <w:rFonts w:ascii="Simplified Arabic" w:eastAsia="Times New Roman" w:hAnsi="Simplified Arabic" w:cs="Simplified Arabic"/>
          <w:color w:val="000000" w:themeColor="text1"/>
          <w:kern w:val="0"/>
          <w:sz w:val="28"/>
          <w:szCs w:val="28"/>
          <w14:ligatures w14:val="none"/>
        </w:rPr>
        <w:t>.</w:t>
      </w:r>
    </w:p>
    <w:p w14:paraId="7EC23604" w14:textId="7C573C9C" w:rsidR="00925511" w:rsidRPr="00ED5D0F" w:rsidRDefault="00925511" w:rsidP="0092551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8" w:name="_Toc233577128"/>
      <w:r w:rsidRPr="00ED5D0F">
        <w:rPr>
          <w:rFonts w:ascii="Simplified Arabic" w:eastAsia="Times New Roman" w:hAnsi="Simplified Arabic" w:cs="Simplified Arabic"/>
          <w:b/>
          <w:bCs/>
          <w:color w:val="000000" w:themeColor="text1"/>
          <w:kern w:val="0"/>
          <w:sz w:val="36"/>
          <w:szCs w:val="36"/>
          <w:rtl/>
          <w14:ligatures w14:val="none"/>
        </w:rPr>
        <w:t>11.1 مجتمع وعينة الدراسة</w:t>
      </w:r>
      <w:bookmarkEnd w:id="28"/>
    </w:p>
    <w:p w14:paraId="617A0D4D"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الهيئة العامة للعقار في المملكة العربية السعودية ممن يشغلون وظائف ذات صلة مباشرة بمجالات الامتثال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والرقابة والتدقيق الداخلي والشؤون القانونية </w:t>
      </w:r>
      <w:r w:rsidRPr="00ED5D0F">
        <w:rPr>
          <w:rFonts w:ascii="Simplified Arabic" w:eastAsia="Times New Roman" w:hAnsi="Simplified Arabic" w:cs="Simplified Arabic"/>
          <w:color w:val="000000" w:themeColor="text1"/>
          <w:kern w:val="0"/>
          <w:sz w:val="28"/>
          <w:szCs w:val="28"/>
          <w:rtl/>
          <w14:ligatures w14:val="none"/>
        </w:rPr>
        <w:lastRenderedPageBreak/>
        <w:t>والتنظيمية، والبالغ عددهم التقديري نحو (450) موظفاً وموظفة وفقاً للبيانات المتاحة عن الهيكل التنظيمي للهيئة. ويشمل هذا المجتمع العاملين في الإدارات والأقسام المعنية بالتخطيط الاستراتيجي وإدارة المخاطر والامتثال التنظيمي وضمان الجودة والتدقيق الداخلي والشؤون القانونية ومكافحة المخالفات في المقرّ الرئيسي للهيئة بمدينة الرياض وفروعها المختلفة</w:t>
      </w:r>
      <w:r w:rsidRPr="00ED5D0F">
        <w:rPr>
          <w:rFonts w:ascii="Simplified Arabic" w:eastAsia="Times New Roman" w:hAnsi="Simplified Arabic" w:cs="Simplified Arabic"/>
          <w:color w:val="000000" w:themeColor="text1"/>
          <w:kern w:val="0"/>
          <w:sz w:val="28"/>
          <w:szCs w:val="28"/>
          <w14:ligatures w14:val="none"/>
        </w:rPr>
        <w:t>.</w:t>
      </w:r>
    </w:p>
    <w:p w14:paraId="225D2D4C"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وستُختار عينة الدراسة بأسلوب العينة العشوائية الطبقية</w:t>
      </w:r>
      <w:r w:rsidRPr="00ED5D0F">
        <w:rPr>
          <w:rFonts w:ascii="Simplified Arabic" w:eastAsia="Times New Roman" w:hAnsi="Simplified Arabic" w:cs="Simplified Arabic"/>
          <w:color w:val="000000" w:themeColor="text1"/>
          <w:kern w:val="0"/>
          <w:sz w:val="28"/>
          <w:szCs w:val="28"/>
          <w14:ligatures w14:val="none"/>
        </w:rPr>
        <w:t xml:space="preserve"> (Stratified Random Sampling)</w:t>
      </w:r>
      <w:r w:rsidRPr="00ED5D0F">
        <w:rPr>
          <w:rFonts w:ascii="Simplified Arabic" w:eastAsia="Times New Roman" w:hAnsi="Simplified Arabic" w:cs="Simplified Arabic"/>
          <w:color w:val="000000" w:themeColor="text1"/>
          <w:kern w:val="0"/>
          <w:sz w:val="28"/>
          <w:szCs w:val="28"/>
          <w:rtl/>
          <w14:ligatures w14:val="none"/>
        </w:rPr>
        <w:t>، وذلك لضمان تمثيل جميع المستويات الإدارية والتخصصات الوظيفية ذات الصلة تمثيلاً متناسباً</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واستناداً إلى جدول</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Krejcie</w:t>
      </w:r>
      <w:proofErr w:type="spellEnd"/>
      <w:r w:rsidRPr="00ED5D0F">
        <w:rPr>
          <w:rFonts w:ascii="Simplified Arabic" w:eastAsia="Times New Roman" w:hAnsi="Simplified Arabic" w:cs="Simplified Arabic"/>
          <w:color w:val="000000" w:themeColor="text1"/>
          <w:kern w:val="0"/>
          <w:sz w:val="28"/>
          <w:szCs w:val="28"/>
          <w14:ligatures w14:val="none"/>
        </w:rPr>
        <w:t xml:space="preserve"> &amp; Morgan, 1970) </w:t>
      </w:r>
      <w:r w:rsidRPr="00ED5D0F">
        <w:rPr>
          <w:rFonts w:ascii="Simplified Arabic" w:eastAsia="Times New Roman" w:hAnsi="Simplified Arabic" w:cs="Simplified Arabic"/>
          <w:color w:val="000000" w:themeColor="text1"/>
          <w:kern w:val="0"/>
          <w:sz w:val="28"/>
          <w:szCs w:val="28"/>
          <w:rtl/>
          <w14:ligatures w14:val="none"/>
        </w:rPr>
        <w:t xml:space="preserve">لتحديد حجم العينة، ونظراً لحجم مجتمع الدراسة البالغ نحو (450) موظفاً، فسيبلغ الحدّ الأدنى المطلوب للعينة (207) مفردة. وستسعى الدراسة إلى توزيع (250) استبانة لتعويض الفاقد المتوقع وضمان الحصول على عدد كافٍ من الاستبانات الصالحة للتحليل الإحصائي، مع استهداف معدل استرداد لا يقلّ عن (80%) أي ما يعادل </w:t>
      </w:r>
      <w:r w:rsidRPr="00ED5D0F">
        <w:rPr>
          <w:rFonts w:ascii="Simplified Arabic" w:eastAsia="Times New Roman" w:hAnsi="Simplified Arabic" w:cs="Simplified Arabic"/>
          <w:color w:val="000000" w:themeColor="text1"/>
          <w:kern w:val="0"/>
          <w:sz w:val="28"/>
          <w:szCs w:val="28"/>
          <w14:ligatures w14:val="none"/>
        </w:rPr>
        <w:t xml:space="preserve">(200) </w:t>
      </w:r>
      <w:r w:rsidRPr="00ED5D0F">
        <w:rPr>
          <w:rFonts w:ascii="Simplified Arabic" w:eastAsia="Times New Roman" w:hAnsi="Simplified Arabic" w:cs="Simplified Arabic"/>
          <w:color w:val="000000" w:themeColor="text1"/>
          <w:kern w:val="0"/>
          <w:sz w:val="28"/>
          <w:szCs w:val="28"/>
          <w:rtl/>
          <w14:ligatures w14:val="none"/>
        </w:rPr>
        <w:t>استبانة صالحة كحدّ أدنى</w:t>
      </w:r>
      <w:r w:rsidRPr="00ED5D0F">
        <w:rPr>
          <w:rFonts w:ascii="Simplified Arabic" w:eastAsia="Times New Roman" w:hAnsi="Simplified Arabic" w:cs="Simplified Arabic"/>
          <w:color w:val="000000" w:themeColor="text1"/>
          <w:kern w:val="0"/>
          <w:sz w:val="28"/>
          <w:szCs w:val="28"/>
          <w14:ligatures w14:val="none"/>
        </w:rPr>
        <w:t>.</w:t>
      </w:r>
    </w:p>
    <w:p w14:paraId="62E8BC21" w14:textId="611E28E5" w:rsidR="00B95BA6" w:rsidRPr="00ED5D0F" w:rsidRDefault="00925511" w:rsidP="0092551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9" w:name="_Toc227765702"/>
      <w:bookmarkStart w:id="30" w:name="_Toc233577129"/>
      <w:r w:rsidRPr="00ED5D0F">
        <w:rPr>
          <w:rFonts w:ascii="Simplified Arabic" w:eastAsia="Times New Roman" w:hAnsi="Simplified Arabic" w:cs="Simplified Arabic" w:hint="cs"/>
          <w:b/>
          <w:bCs/>
          <w:color w:val="000000" w:themeColor="text1"/>
          <w:kern w:val="0"/>
          <w:sz w:val="36"/>
          <w:szCs w:val="36"/>
          <w:rtl/>
          <w14:ligatures w14:val="none"/>
        </w:rPr>
        <w:t xml:space="preserve">12.1 </w:t>
      </w:r>
      <w:r w:rsidR="00B95BA6" w:rsidRPr="00ED5D0F">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9"/>
      <w:bookmarkEnd w:id="30"/>
    </w:p>
    <w:p w14:paraId="15863859" w14:textId="77777777" w:rsidR="00B95BA6" w:rsidRPr="00ED5D0F" w:rsidRDefault="00B95BA6" w:rsidP="007A662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ستعتمد الدراسة على مصدرين أساسيين لجمع البيانات</w:t>
      </w:r>
      <w:r w:rsidRPr="00ED5D0F">
        <w:rPr>
          <w:rFonts w:ascii="Simplified Arabic" w:eastAsia="Times New Roman" w:hAnsi="Simplified Arabic" w:cs="Simplified Arabic"/>
          <w:b/>
          <w:bCs/>
          <w:color w:val="000000" w:themeColor="text1"/>
          <w:kern w:val="0"/>
          <w:sz w:val="28"/>
          <w:szCs w:val="28"/>
          <w14:ligatures w14:val="none"/>
        </w:rPr>
        <w:t>:</w:t>
      </w:r>
    </w:p>
    <w:p w14:paraId="592C798F" w14:textId="77777777" w:rsidR="00B95BA6" w:rsidRPr="00ED5D0F" w:rsidRDefault="00B95BA6" w:rsidP="009472A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المصادر الثانوية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والدوريات والمجلات المحكّمة العربية والأجنبية، والرسائل الجامعية، والتقارير والوثائق الرسمية الصادرة عن الهيئة العامة للعقار، والأنظمة واللوائح التنظيمية ذات الصلة بالقطاع العقاري السعودي، وقواعد البيانات الإلكترونية، وذلك لبناء الإطار النظري للدراسة ومراجعة الأدبيات والدراسات السابقة</w:t>
      </w:r>
      <w:r w:rsidRPr="00ED5D0F">
        <w:rPr>
          <w:rFonts w:ascii="Simplified Arabic" w:eastAsia="Times New Roman" w:hAnsi="Simplified Arabic" w:cs="Simplified Arabic"/>
          <w:color w:val="000000" w:themeColor="text1"/>
          <w:kern w:val="0"/>
          <w:sz w:val="28"/>
          <w:szCs w:val="28"/>
          <w14:ligatures w14:val="none"/>
        </w:rPr>
        <w:t>.</w:t>
      </w:r>
    </w:p>
    <w:p w14:paraId="1A404AE1" w14:textId="77777777" w:rsidR="00B95BA6" w:rsidRPr="00ED5D0F" w:rsidRDefault="00B95BA6" w:rsidP="009472A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المصادر الأولية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خلال أداة الاستبانة التي ستُصمَّم وتُطوَّر خصيصاً لأغراض هذه الدراسة، وستُوزَّع على أفراد عينة الدراسة من العاملين في الهيئة العامة للعقار إلكترونياً وورقياً</w:t>
      </w:r>
      <w:r w:rsidRPr="00ED5D0F">
        <w:rPr>
          <w:rFonts w:ascii="Simplified Arabic" w:eastAsia="Times New Roman" w:hAnsi="Simplified Arabic" w:cs="Simplified Arabic"/>
          <w:color w:val="000000" w:themeColor="text1"/>
          <w:kern w:val="0"/>
          <w:sz w:val="28"/>
          <w:szCs w:val="28"/>
          <w14:ligatures w14:val="none"/>
        </w:rPr>
        <w:t>.</w:t>
      </w:r>
    </w:p>
    <w:p w14:paraId="27912CEC" w14:textId="7C9DC1CD" w:rsidR="00B95BA6" w:rsidRPr="00ED5D0F" w:rsidRDefault="00925511" w:rsidP="0092551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1" w:name="_Toc227765703"/>
      <w:bookmarkStart w:id="32" w:name="_Toc233577130"/>
      <w:r w:rsidRPr="00ED5D0F">
        <w:rPr>
          <w:rFonts w:ascii="Simplified Arabic" w:eastAsia="Times New Roman" w:hAnsi="Simplified Arabic" w:cs="Simplified Arabic" w:hint="cs"/>
          <w:b/>
          <w:bCs/>
          <w:color w:val="000000" w:themeColor="text1"/>
          <w:kern w:val="0"/>
          <w:sz w:val="36"/>
          <w:szCs w:val="36"/>
          <w:rtl/>
          <w14:ligatures w14:val="none"/>
        </w:rPr>
        <w:t xml:space="preserve">13.1 </w:t>
      </w:r>
      <w:r w:rsidR="00B95BA6" w:rsidRPr="00ED5D0F">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31"/>
      <w:bookmarkEnd w:id="32"/>
    </w:p>
    <w:p w14:paraId="077521AB"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ED5D0F">
        <w:rPr>
          <w:rFonts w:ascii="Simplified Arabic" w:eastAsia="Times New Roman" w:hAnsi="Simplified Arabic" w:cs="Simplified Arabic"/>
          <w:b/>
          <w:bCs/>
          <w:color w:val="000000" w:themeColor="text1"/>
          <w:kern w:val="0"/>
          <w:sz w:val="28"/>
          <w:szCs w:val="28"/>
          <w:rtl/>
          <w14:ligatures w14:val="none"/>
        </w:rPr>
        <w:t>ستُعدّ الدراسة استبانة كأداة رئيسية لجمع البيانات الأولية، وستتكوّن من ثلاثة أقسام رئيسية على النحو التالي</w:t>
      </w:r>
      <w:r w:rsidRPr="00ED5D0F">
        <w:rPr>
          <w:rFonts w:ascii="Simplified Arabic" w:eastAsia="Times New Roman" w:hAnsi="Simplified Arabic" w:cs="Simplified Arabic"/>
          <w:b/>
          <w:bCs/>
          <w:color w:val="000000" w:themeColor="text1"/>
          <w:kern w:val="0"/>
          <w:sz w:val="28"/>
          <w:szCs w:val="28"/>
          <w14:ligatures w14:val="none"/>
        </w:rPr>
        <w:t>:</w:t>
      </w:r>
    </w:p>
    <w:p w14:paraId="1DDDB66D" w14:textId="5D7EEF78" w:rsidR="00B95BA6" w:rsidRPr="00ED5D0F" w:rsidRDefault="00B95BA6" w:rsidP="009472AE">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3" w:name="_Toc227765704"/>
      <w:r w:rsidRPr="00ED5D0F">
        <w:rPr>
          <w:rFonts w:ascii="Simplified Arabic" w:eastAsia="Times New Roman" w:hAnsi="Simplified Arabic" w:cs="Simplified Arabic"/>
          <w:b/>
          <w:bCs/>
          <w:color w:val="000000" w:themeColor="text1"/>
          <w:kern w:val="0"/>
          <w:sz w:val="28"/>
          <w:szCs w:val="28"/>
          <w:rtl/>
          <w14:ligatures w14:val="none"/>
        </w:rPr>
        <w:lastRenderedPageBreak/>
        <w:t>القسم الأول: البيانات الديموغرافية</w:t>
      </w:r>
      <w:bookmarkEnd w:id="33"/>
      <w:r w:rsidR="00925511" w:rsidRPr="00ED5D0F">
        <w:rPr>
          <w:rFonts w:ascii="Simplified Arabic" w:eastAsia="Times New Roman" w:hAnsi="Simplified Arabic" w:cs="Simplified Arabic" w:hint="cs"/>
          <w:b/>
          <w:bCs/>
          <w:color w:val="000000" w:themeColor="text1"/>
          <w:kern w:val="0"/>
          <w:sz w:val="28"/>
          <w:szCs w:val="28"/>
          <w:rtl/>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سيتضمّن هذا القسم البيانات الشخصية والوظيفية لأفراد العينة، وتشمل: المؤهل العلمي، سنوات الخبرة، المستوى الوظيفي، والتخصص</w:t>
      </w:r>
      <w:r w:rsidRPr="00ED5D0F">
        <w:rPr>
          <w:rFonts w:ascii="Simplified Arabic" w:eastAsia="Times New Roman" w:hAnsi="Simplified Arabic" w:cs="Simplified Arabic"/>
          <w:color w:val="000000" w:themeColor="text1"/>
          <w:kern w:val="0"/>
          <w:sz w:val="28"/>
          <w:szCs w:val="28"/>
          <w14:ligatures w14:val="none"/>
        </w:rPr>
        <w:t>.</w:t>
      </w:r>
    </w:p>
    <w:p w14:paraId="327A7D85" w14:textId="747B9B5F" w:rsidR="00B95BA6" w:rsidRPr="00ED5D0F" w:rsidRDefault="00B95BA6" w:rsidP="009472AE">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4" w:name="_Toc227765705"/>
      <w:r w:rsidRPr="00ED5D0F">
        <w:rPr>
          <w:rFonts w:ascii="Simplified Arabic" w:eastAsia="Times New Roman" w:hAnsi="Simplified Arabic" w:cs="Simplified Arabic"/>
          <w:b/>
          <w:bCs/>
          <w:color w:val="000000" w:themeColor="text1"/>
          <w:kern w:val="0"/>
          <w:sz w:val="28"/>
          <w:szCs w:val="28"/>
          <w:rtl/>
          <w14:ligatures w14:val="none"/>
        </w:rPr>
        <w:t>القسم الثاني: المتغير المستقل (إدارة مخاطر الامتثال) – (16) فقرة</w:t>
      </w:r>
      <w:bookmarkEnd w:id="34"/>
      <w:r w:rsidR="00925511" w:rsidRPr="00ED5D0F">
        <w:rPr>
          <w:rFonts w:ascii="Simplified Arabic" w:eastAsia="Times New Roman" w:hAnsi="Simplified Arabic" w:cs="Simplified Arabic" w:hint="cs"/>
          <w:b/>
          <w:bCs/>
          <w:color w:val="000000" w:themeColor="text1"/>
          <w:kern w:val="0"/>
          <w:sz w:val="28"/>
          <w:szCs w:val="28"/>
          <w:rtl/>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سيتضمّن هذا القسم أربعة أبعاد تقيس مستوى إدارة مخاطر الامتثال في الهيئة العامة للعقار، وذلك على النحو التالي</w:t>
      </w:r>
      <w:r w:rsidRPr="00ED5D0F">
        <w:rPr>
          <w:rFonts w:ascii="Simplified Arabic" w:eastAsia="Times New Roman" w:hAnsi="Simplified Arabic" w:cs="Simplified Arabic"/>
          <w:color w:val="000000" w:themeColor="text1"/>
          <w:kern w:val="0"/>
          <w:sz w:val="28"/>
          <w:szCs w:val="28"/>
          <w14:ligatures w14:val="none"/>
        </w:rPr>
        <w:t>:</w:t>
      </w:r>
    </w:p>
    <w:p w14:paraId="202E3175" w14:textId="77777777" w:rsidR="00B95BA6" w:rsidRPr="00ED5D0F" w:rsidRDefault="00B95BA6" w:rsidP="009472AE">
      <w:pPr>
        <w:pStyle w:val="a6"/>
        <w:numPr>
          <w:ilvl w:val="0"/>
          <w:numId w:val="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البُعد الأول: تحديد مخاطر الامتثال ويتكوّن من (4) فقرات تقيس مدى قدرة الهيئة على رصد وتصنيف المخاطر التنظيمية والقانونية المرتبطة بالأنظمة العقارية وتحديد مواطن الضعف والتهديدات الامتثالية المحتملة</w:t>
      </w:r>
      <w:r w:rsidRPr="00ED5D0F">
        <w:rPr>
          <w:rFonts w:ascii="Simplified Arabic" w:eastAsia="Times New Roman" w:hAnsi="Simplified Arabic" w:cs="Simplified Arabic"/>
          <w:color w:val="000000" w:themeColor="text1"/>
          <w:kern w:val="0"/>
          <w:sz w:val="28"/>
          <w:szCs w:val="28"/>
          <w14:ligatures w14:val="none"/>
        </w:rPr>
        <w:t>.</w:t>
      </w:r>
    </w:p>
    <w:p w14:paraId="272C1CB0" w14:textId="77777777" w:rsidR="00B95BA6" w:rsidRPr="00ED5D0F" w:rsidRDefault="00B95BA6" w:rsidP="009472AE">
      <w:pPr>
        <w:pStyle w:val="a6"/>
        <w:numPr>
          <w:ilvl w:val="0"/>
          <w:numId w:val="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البُعد الثاني: تقييم مخاطر الامتثال ويتكوّن من (4) فقرات تقيس مدى كفاءة المنهجيات المُعتمدة في قياس احتمالية حدوث مخاطر الامتثال وشدة تأثيرها وترتيب أولوياتها باستخدام أدوات تقييم كمّية ونوعية</w:t>
      </w:r>
      <w:r w:rsidRPr="00ED5D0F">
        <w:rPr>
          <w:rFonts w:ascii="Simplified Arabic" w:eastAsia="Times New Roman" w:hAnsi="Simplified Arabic" w:cs="Simplified Arabic"/>
          <w:color w:val="000000" w:themeColor="text1"/>
          <w:kern w:val="0"/>
          <w:sz w:val="28"/>
          <w:szCs w:val="28"/>
          <w14:ligatures w14:val="none"/>
        </w:rPr>
        <w:t>.</w:t>
      </w:r>
    </w:p>
    <w:p w14:paraId="625554D7" w14:textId="77777777" w:rsidR="00B95BA6" w:rsidRPr="00ED5D0F" w:rsidRDefault="00B95BA6" w:rsidP="009472AE">
      <w:pPr>
        <w:pStyle w:val="a6"/>
        <w:numPr>
          <w:ilvl w:val="0"/>
          <w:numId w:val="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البُعد الثالث: الرقابة على الامتثال ويتكوّن من (4) فقرات تقيس مدى فاعلية الأنشطة الرقابية </w:t>
      </w:r>
      <w:proofErr w:type="spellStart"/>
      <w:r w:rsidRPr="00ED5D0F">
        <w:rPr>
          <w:rFonts w:ascii="Simplified Arabic" w:eastAsia="Times New Roman" w:hAnsi="Simplified Arabic" w:cs="Simplified Arabic"/>
          <w:color w:val="000000" w:themeColor="text1"/>
          <w:kern w:val="0"/>
          <w:sz w:val="28"/>
          <w:szCs w:val="28"/>
          <w:rtl/>
          <w14:ligatures w14:val="none"/>
        </w:rPr>
        <w:t>والإشرافية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المُطبّقة لمتابعة مستوى الالتزام بالأنظمة واللوائح العقارية والمراقبة المستمرة لمؤشرات الامتثال</w:t>
      </w:r>
      <w:r w:rsidRPr="00ED5D0F">
        <w:rPr>
          <w:rFonts w:ascii="Simplified Arabic" w:eastAsia="Times New Roman" w:hAnsi="Simplified Arabic" w:cs="Simplified Arabic"/>
          <w:color w:val="000000" w:themeColor="text1"/>
          <w:kern w:val="0"/>
          <w:sz w:val="28"/>
          <w:szCs w:val="28"/>
          <w14:ligatures w14:val="none"/>
        </w:rPr>
        <w:t>.</w:t>
      </w:r>
    </w:p>
    <w:p w14:paraId="7EA4B230" w14:textId="77777777" w:rsidR="00B95BA6" w:rsidRPr="00ED5D0F" w:rsidRDefault="00B95BA6" w:rsidP="009472AE">
      <w:pPr>
        <w:pStyle w:val="a6"/>
        <w:numPr>
          <w:ilvl w:val="0"/>
          <w:numId w:val="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البُعد الرابع: الاستجابة لمخاطر الامتثال ويتكوّن من (4) فقرات تقيس مدى جاهزية الهيئة في تصميم وتنفيذ خطط الاستجابة التصحيحية والوقائية ومرونة التعامل مع حالات عدم الامتثال</w:t>
      </w:r>
      <w:r w:rsidRPr="00ED5D0F">
        <w:rPr>
          <w:rFonts w:ascii="Simplified Arabic" w:eastAsia="Times New Roman" w:hAnsi="Simplified Arabic" w:cs="Simplified Arabic"/>
          <w:color w:val="000000" w:themeColor="text1"/>
          <w:kern w:val="0"/>
          <w:sz w:val="28"/>
          <w:szCs w:val="28"/>
          <w14:ligatures w14:val="none"/>
        </w:rPr>
        <w:t>.</w:t>
      </w:r>
    </w:p>
    <w:p w14:paraId="4701E2BD" w14:textId="0F0BB459" w:rsidR="00B95BA6" w:rsidRPr="00ED5D0F" w:rsidRDefault="00B95BA6" w:rsidP="009472A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lang w:bidi="ar-EG"/>
          <w14:ligatures w14:val="none"/>
        </w:rPr>
      </w:pPr>
      <w:bookmarkStart w:id="35" w:name="_Toc227765706"/>
      <w:r w:rsidRPr="00ED5D0F">
        <w:rPr>
          <w:rFonts w:ascii="Simplified Arabic" w:eastAsia="Times New Roman" w:hAnsi="Simplified Arabic" w:cs="Simplified Arabic"/>
          <w:b/>
          <w:bCs/>
          <w:color w:val="000000" w:themeColor="text1"/>
          <w:kern w:val="0"/>
          <w:sz w:val="28"/>
          <w:szCs w:val="28"/>
          <w:rtl/>
          <w14:ligatures w14:val="none"/>
        </w:rPr>
        <w:t>القسم الثالث: المتغير التابع (جودة الحوكمة) – (10) فقرات</w:t>
      </w:r>
      <w:bookmarkEnd w:id="35"/>
      <w:r w:rsidR="00925511" w:rsidRPr="00ED5D0F">
        <w:rPr>
          <w:rFonts w:ascii="Simplified Arabic" w:eastAsia="Times New Roman" w:hAnsi="Simplified Arabic" w:cs="Simplified Arabic" w:hint="cs"/>
          <w:b/>
          <w:bCs/>
          <w:color w:val="000000" w:themeColor="text1"/>
          <w:kern w:val="0"/>
          <w:sz w:val="28"/>
          <w:szCs w:val="28"/>
          <w:rtl/>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سيتضمّن هذا القسم محوراً واحداً يقيس مستوى جودة الحوكمة في الهيئة العامة للعقار، ويتكوّن من (10) فقرات تُغطّي الجوانب المختلفة لجودة الحوكمة من حيث الشفافية والمساءلة واستقلالية الرقابة وفاعلية مجلس الإدارة وحماية حقوق أصحاب المصلحة والالتزام بالمعايير التنظيمية والإفصاح</w:t>
      </w:r>
      <w:r w:rsidRPr="00ED5D0F">
        <w:rPr>
          <w:rFonts w:ascii="Simplified Arabic" w:eastAsia="Times New Roman" w:hAnsi="Simplified Arabic" w:cs="Simplified Arabic"/>
          <w:color w:val="000000" w:themeColor="text1"/>
          <w:kern w:val="0"/>
          <w:sz w:val="28"/>
          <w:szCs w:val="28"/>
          <w14:ligatures w14:val="none"/>
        </w:rPr>
        <w:t>.</w:t>
      </w:r>
    </w:p>
    <w:p w14:paraId="2B8D9490"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وستُقاس جميع فقرات القسمين الثاني والثالث وفقاً لمقياس </w:t>
      </w:r>
      <w:proofErr w:type="spellStart"/>
      <w:r w:rsidRPr="00ED5D0F">
        <w:rPr>
          <w:rFonts w:ascii="Simplified Arabic" w:eastAsia="Times New Roman" w:hAnsi="Simplified Arabic" w:cs="Simplified Arabic"/>
          <w:color w:val="000000" w:themeColor="text1"/>
          <w:kern w:val="0"/>
          <w:sz w:val="28"/>
          <w:szCs w:val="28"/>
          <w:rtl/>
          <w14:ligatures w14:val="none"/>
        </w:rPr>
        <w:t>ليكرت</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الخماسي</w:t>
      </w:r>
      <w:r w:rsidRPr="00ED5D0F">
        <w:rPr>
          <w:rFonts w:ascii="Simplified Arabic" w:eastAsia="Times New Roman" w:hAnsi="Simplified Arabic" w:cs="Simplified Arabic"/>
          <w:color w:val="000000" w:themeColor="text1"/>
          <w:kern w:val="0"/>
          <w:sz w:val="28"/>
          <w:szCs w:val="28"/>
          <w14:ligatures w14:val="none"/>
        </w:rPr>
        <w:t xml:space="preserve"> (Likert Scale) </w:t>
      </w:r>
      <w:r w:rsidRPr="00ED5D0F">
        <w:rPr>
          <w:rFonts w:ascii="Simplified Arabic" w:eastAsia="Times New Roman" w:hAnsi="Simplified Arabic" w:cs="Simplified Arabic"/>
          <w:color w:val="000000" w:themeColor="text1"/>
          <w:kern w:val="0"/>
          <w:sz w:val="28"/>
          <w:szCs w:val="28"/>
          <w:rtl/>
          <w14:ligatures w14:val="none"/>
        </w:rPr>
        <w:t>المتدرّج من (1) بشدة إلى (5) أوافق بشدة</w:t>
      </w:r>
      <w:r w:rsidRPr="00ED5D0F">
        <w:rPr>
          <w:rFonts w:ascii="Simplified Arabic" w:eastAsia="Times New Roman" w:hAnsi="Simplified Arabic" w:cs="Simplified Arabic"/>
          <w:color w:val="000000" w:themeColor="text1"/>
          <w:kern w:val="0"/>
          <w:sz w:val="28"/>
          <w:szCs w:val="28"/>
          <w14:ligatures w14:val="none"/>
        </w:rPr>
        <w:t>.</w:t>
      </w:r>
    </w:p>
    <w:p w14:paraId="35A3C75E" w14:textId="58E23343" w:rsidR="00B95BA6" w:rsidRPr="00ED5D0F" w:rsidRDefault="00925511" w:rsidP="0092551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27765707"/>
      <w:bookmarkStart w:id="37" w:name="_Toc233577131"/>
      <w:r w:rsidRPr="00ED5D0F">
        <w:rPr>
          <w:rFonts w:ascii="Simplified Arabic" w:eastAsia="Times New Roman" w:hAnsi="Simplified Arabic" w:cs="Simplified Arabic" w:hint="cs"/>
          <w:b/>
          <w:bCs/>
          <w:color w:val="000000" w:themeColor="text1"/>
          <w:kern w:val="0"/>
          <w:sz w:val="36"/>
          <w:szCs w:val="36"/>
          <w:rtl/>
          <w14:ligatures w14:val="none"/>
        </w:rPr>
        <w:t xml:space="preserve">14.1 </w:t>
      </w:r>
      <w:r w:rsidR="00B95BA6" w:rsidRPr="00ED5D0F">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6"/>
      <w:bookmarkEnd w:id="37"/>
    </w:p>
    <w:p w14:paraId="67244314" w14:textId="77777777" w:rsidR="00B95BA6" w:rsidRPr="00ED5D0F" w:rsidRDefault="00B95BA6"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ستستخدم الدراسة مجموعة من الأساليب الإحصائية لتحليل البيانات واختبار الفرضيات بالاعتماد على برنامج الحزمة الإحصائية للعلوم الاجتماعية</w:t>
      </w:r>
      <w:r w:rsidRPr="00ED5D0F">
        <w:rPr>
          <w:rFonts w:ascii="Simplified Arabic" w:eastAsia="Times New Roman" w:hAnsi="Simplified Arabic" w:cs="Simplified Arabic"/>
          <w:color w:val="000000" w:themeColor="text1"/>
          <w:kern w:val="0"/>
          <w:sz w:val="28"/>
          <w:szCs w:val="28"/>
          <w14:ligatures w14:val="none"/>
        </w:rPr>
        <w:t xml:space="preserve"> (SPSS)</w:t>
      </w:r>
      <w:r w:rsidRPr="00ED5D0F">
        <w:rPr>
          <w:rFonts w:ascii="Simplified Arabic" w:eastAsia="Times New Roman" w:hAnsi="Simplified Arabic" w:cs="Simplified Arabic"/>
          <w:color w:val="000000" w:themeColor="text1"/>
          <w:kern w:val="0"/>
          <w:sz w:val="28"/>
          <w:szCs w:val="28"/>
          <w:rtl/>
          <w14:ligatures w14:val="none"/>
        </w:rPr>
        <w:t>، وتشمل</w:t>
      </w:r>
      <w:r w:rsidRPr="00ED5D0F">
        <w:rPr>
          <w:rFonts w:ascii="Simplified Arabic" w:eastAsia="Times New Roman" w:hAnsi="Simplified Arabic" w:cs="Simplified Arabic"/>
          <w:color w:val="000000" w:themeColor="text1"/>
          <w:kern w:val="0"/>
          <w:sz w:val="28"/>
          <w:szCs w:val="28"/>
          <w14:ligatures w14:val="none"/>
        </w:rPr>
        <w:t>:</w:t>
      </w:r>
    </w:p>
    <w:p w14:paraId="752E3F9D" w14:textId="77777777" w:rsidR="00B95BA6" w:rsidRPr="00ED5D0F" w:rsidRDefault="00B95BA6" w:rsidP="009472A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lastRenderedPageBreak/>
        <w:t>اختبار صدق الاتساق الداخلي</w:t>
      </w:r>
      <w:r w:rsidRPr="00ED5D0F">
        <w:rPr>
          <w:rFonts w:ascii="Simplified Arabic" w:eastAsia="Times New Roman" w:hAnsi="Simplified Arabic" w:cs="Simplified Arabic"/>
          <w:color w:val="000000" w:themeColor="text1"/>
          <w:kern w:val="0"/>
          <w:sz w:val="28"/>
          <w:szCs w:val="28"/>
          <w14:ligatures w14:val="none"/>
        </w:rPr>
        <w:t xml:space="preserve"> (Internal Consistency Validity): </w:t>
      </w:r>
      <w:r w:rsidRPr="00ED5D0F">
        <w:rPr>
          <w:rFonts w:ascii="Simplified Arabic" w:eastAsia="Times New Roman" w:hAnsi="Simplified Arabic" w:cs="Simplified Arabic"/>
          <w:color w:val="000000" w:themeColor="text1"/>
          <w:kern w:val="0"/>
          <w:sz w:val="28"/>
          <w:szCs w:val="28"/>
          <w:rtl/>
          <w14:ligatures w14:val="none"/>
        </w:rPr>
        <w:t>لقياس مدى ارتباط كل فقرة بالبُعد الذي تنتمي إليه وبالدرجة الكلية للأداة، باستخدام معامل ارتباط بيرسون</w:t>
      </w:r>
      <w:r w:rsidRPr="00ED5D0F">
        <w:rPr>
          <w:rFonts w:ascii="Simplified Arabic" w:eastAsia="Times New Roman" w:hAnsi="Simplified Arabic" w:cs="Simplified Arabic"/>
          <w:color w:val="000000" w:themeColor="text1"/>
          <w:kern w:val="0"/>
          <w:sz w:val="28"/>
          <w:szCs w:val="28"/>
          <w14:ligatures w14:val="none"/>
        </w:rPr>
        <w:t xml:space="preserve"> (Pearson Correlation).</w:t>
      </w:r>
    </w:p>
    <w:p w14:paraId="0A4B52B7" w14:textId="77777777" w:rsidR="00B95BA6" w:rsidRPr="00ED5D0F" w:rsidRDefault="00B95BA6" w:rsidP="009472A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اختبار الثبات</w:t>
      </w:r>
      <w:r w:rsidRPr="00ED5D0F">
        <w:rPr>
          <w:rFonts w:ascii="Simplified Arabic" w:eastAsia="Times New Roman" w:hAnsi="Simplified Arabic" w:cs="Simplified Arabic"/>
          <w:color w:val="000000" w:themeColor="text1"/>
          <w:kern w:val="0"/>
          <w:sz w:val="28"/>
          <w:szCs w:val="28"/>
          <w14:ligatures w14:val="none"/>
        </w:rPr>
        <w:t xml:space="preserve"> (Reliability Test): </w:t>
      </w:r>
      <w:r w:rsidRPr="00ED5D0F">
        <w:rPr>
          <w:rFonts w:ascii="Simplified Arabic" w:eastAsia="Times New Roman" w:hAnsi="Simplified Arabic" w:cs="Simplified Arabic"/>
          <w:color w:val="000000" w:themeColor="text1"/>
          <w:kern w:val="0"/>
          <w:sz w:val="28"/>
          <w:szCs w:val="28"/>
          <w:rtl/>
          <w14:ligatures w14:val="none"/>
        </w:rPr>
        <w:t xml:space="preserve">لقياس مدى ثبات أداة الدراسة واتساقها الداخلي باستخدام معامل ألفا </w:t>
      </w:r>
      <w:proofErr w:type="spellStart"/>
      <w:r w:rsidRPr="00ED5D0F">
        <w:rPr>
          <w:rFonts w:ascii="Simplified Arabic" w:eastAsia="Times New Roman" w:hAnsi="Simplified Arabic" w:cs="Simplified Arabic"/>
          <w:color w:val="000000" w:themeColor="text1"/>
          <w:kern w:val="0"/>
          <w:sz w:val="28"/>
          <w:szCs w:val="28"/>
          <w:rtl/>
          <w14:ligatures w14:val="none"/>
        </w:rPr>
        <w:t>كرونباخ</w:t>
      </w:r>
      <w:proofErr w:type="spellEnd"/>
      <w:r w:rsidRPr="00ED5D0F">
        <w:rPr>
          <w:rFonts w:ascii="Simplified Arabic" w:eastAsia="Times New Roman" w:hAnsi="Simplified Arabic" w:cs="Simplified Arabic"/>
          <w:color w:val="000000" w:themeColor="text1"/>
          <w:kern w:val="0"/>
          <w:sz w:val="28"/>
          <w:szCs w:val="28"/>
          <w14:ligatures w14:val="none"/>
        </w:rPr>
        <w:t xml:space="preserve"> (Cronbach's Alpha).</w:t>
      </w:r>
    </w:p>
    <w:p w14:paraId="06B0E085" w14:textId="77777777" w:rsidR="00B95BA6" w:rsidRPr="00ED5D0F" w:rsidRDefault="00B95BA6" w:rsidP="009472A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الإحصاء الوصفي</w:t>
      </w:r>
      <w:r w:rsidRPr="00ED5D0F">
        <w:rPr>
          <w:rFonts w:ascii="Simplified Arabic" w:eastAsia="Times New Roman" w:hAnsi="Simplified Arabic" w:cs="Simplified Arabic"/>
          <w:color w:val="000000" w:themeColor="text1"/>
          <w:kern w:val="0"/>
          <w:sz w:val="28"/>
          <w:szCs w:val="28"/>
          <w14:ligatures w14:val="none"/>
        </w:rPr>
        <w:t xml:space="preserve"> (Descriptive Statistics): </w:t>
      </w:r>
      <w:r w:rsidRPr="00ED5D0F">
        <w:rPr>
          <w:rFonts w:ascii="Simplified Arabic" w:eastAsia="Times New Roman" w:hAnsi="Simplified Arabic" w:cs="Simplified Arabic"/>
          <w:color w:val="000000" w:themeColor="text1"/>
          <w:kern w:val="0"/>
          <w:sz w:val="28"/>
          <w:szCs w:val="28"/>
          <w:rtl/>
          <w14:ligatures w14:val="none"/>
        </w:rPr>
        <w:t>ويشمل المتوسطات الحسابية والانحرافات المعيارية والتكرارات والنسب المئوية لوصف خصائص العينة ومستوى استجابات أفرادها على محاور الدراسة</w:t>
      </w:r>
      <w:r w:rsidRPr="00ED5D0F">
        <w:rPr>
          <w:rFonts w:ascii="Simplified Arabic" w:eastAsia="Times New Roman" w:hAnsi="Simplified Arabic" w:cs="Simplified Arabic"/>
          <w:color w:val="000000" w:themeColor="text1"/>
          <w:kern w:val="0"/>
          <w:sz w:val="28"/>
          <w:szCs w:val="28"/>
          <w14:ligatures w14:val="none"/>
        </w:rPr>
        <w:t>.</w:t>
      </w:r>
    </w:p>
    <w:p w14:paraId="4AA1FDF8" w14:textId="77777777" w:rsidR="00B95BA6" w:rsidRPr="00ED5D0F" w:rsidRDefault="00B95BA6" w:rsidP="009472A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اختبار التوزيع الطبيعي</w:t>
      </w:r>
      <w:r w:rsidRPr="00ED5D0F">
        <w:rPr>
          <w:rFonts w:ascii="Simplified Arabic" w:eastAsia="Times New Roman" w:hAnsi="Simplified Arabic" w:cs="Simplified Arabic"/>
          <w:color w:val="000000" w:themeColor="text1"/>
          <w:kern w:val="0"/>
          <w:sz w:val="28"/>
          <w:szCs w:val="28"/>
          <w14:ligatures w14:val="none"/>
        </w:rPr>
        <w:t xml:space="preserve"> (Normality Test): </w:t>
      </w:r>
      <w:r w:rsidRPr="00ED5D0F">
        <w:rPr>
          <w:rFonts w:ascii="Simplified Arabic" w:eastAsia="Times New Roman" w:hAnsi="Simplified Arabic" w:cs="Simplified Arabic"/>
          <w:color w:val="000000" w:themeColor="text1"/>
          <w:kern w:val="0"/>
          <w:sz w:val="28"/>
          <w:szCs w:val="28"/>
          <w:rtl/>
          <w14:ligatures w14:val="none"/>
        </w:rPr>
        <w:t xml:space="preserve">باستخدام اختبار </w:t>
      </w:r>
      <w:proofErr w:type="spellStart"/>
      <w:r w:rsidRPr="00ED5D0F">
        <w:rPr>
          <w:rFonts w:ascii="Simplified Arabic" w:eastAsia="Times New Roman" w:hAnsi="Simplified Arabic" w:cs="Simplified Arabic"/>
          <w:color w:val="000000" w:themeColor="text1"/>
          <w:kern w:val="0"/>
          <w:sz w:val="28"/>
          <w:szCs w:val="28"/>
          <w:rtl/>
          <w14:ligatures w14:val="none"/>
        </w:rPr>
        <w:t>كولموجوروف-سميرنوف</w:t>
      </w:r>
      <w:proofErr w:type="spellEnd"/>
      <w:r w:rsidRPr="00ED5D0F">
        <w:rPr>
          <w:rFonts w:ascii="Simplified Arabic" w:eastAsia="Times New Roman" w:hAnsi="Simplified Arabic" w:cs="Simplified Arabic"/>
          <w:color w:val="000000" w:themeColor="text1"/>
          <w:kern w:val="0"/>
          <w:sz w:val="28"/>
          <w:szCs w:val="28"/>
          <w14:ligatures w14:val="none"/>
        </w:rPr>
        <w:t xml:space="preserve"> (Kolmogorov-Smirnov) </w:t>
      </w:r>
      <w:r w:rsidRPr="00ED5D0F">
        <w:rPr>
          <w:rFonts w:ascii="Simplified Arabic" w:eastAsia="Times New Roman" w:hAnsi="Simplified Arabic" w:cs="Simplified Arabic"/>
          <w:color w:val="000000" w:themeColor="text1"/>
          <w:kern w:val="0"/>
          <w:sz w:val="28"/>
          <w:szCs w:val="28"/>
          <w:rtl/>
          <w14:ligatures w14:val="none"/>
        </w:rPr>
        <w:t xml:space="preserve">للتحقق من اعتدالية توزيع البيانات قبل تطبيق الاختبارات </w:t>
      </w:r>
      <w:proofErr w:type="spellStart"/>
      <w:r w:rsidRPr="00ED5D0F">
        <w:rPr>
          <w:rFonts w:ascii="Simplified Arabic" w:eastAsia="Times New Roman" w:hAnsi="Simplified Arabic" w:cs="Simplified Arabic"/>
          <w:color w:val="000000" w:themeColor="text1"/>
          <w:kern w:val="0"/>
          <w:sz w:val="28"/>
          <w:szCs w:val="28"/>
          <w:rtl/>
          <w14:ligatures w14:val="none"/>
        </w:rPr>
        <w:t>المعلمية</w:t>
      </w:r>
      <w:proofErr w:type="spellEnd"/>
      <w:r w:rsidRPr="00ED5D0F">
        <w:rPr>
          <w:rFonts w:ascii="Simplified Arabic" w:eastAsia="Times New Roman" w:hAnsi="Simplified Arabic" w:cs="Simplified Arabic"/>
          <w:color w:val="000000" w:themeColor="text1"/>
          <w:kern w:val="0"/>
          <w:sz w:val="28"/>
          <w:szCs w:val="28"/>
          <w14:ligatures w14:val="none"/>
        </w:rPr>
        <w:t>.</w:t>
      </w:r>
    </w:p>
    <w:p w14:paraId="43990103" w14:textId="77777777" w:rsidR="00B95BA6" w:rsidRPr="00ED5D0F" w:rsidRDefault="00B95BA6" w:rsidP="009472A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اختبار معامل تضخم التباين</w:t>
      </w:r>
      <w:r w:rsidRPr="00ED5D0F">
        <w:rPr>
          <w:rFonts w:ascii="Simplified Arabic" w:eastAsia="Times New Roman" w:hAnsi="Simplified Arabic" w:cs="Simplified Arabic"/>
          <w:color w:val="000000" w:themeColor="text1"/>
          <w:kern w:val="0"/>
          <w:sz w:val="28"/>
          <w:szCs w:val="28"/>
          <w14:ligatures w14:val="none"/>
        </w:rPr>
        <w:t xml:space="preserve"> (VIF): </w:t>
      </w:r>
      <w:r w:rsidRPr="00ED5D0F">
        <w:rPr>
          <w:rFonts w:ascii="Simplified Arabic" w:eastAsia="Times New Roman" w:hAnsi="Simplified Arabic" w:cs="Simplified Arabic"/>
          <w:color w:val="000000" w:themeColor="text1"/>
          <w:kern w:val="0"/>
          <w:sz w:val="28"/>
          <w:szCs w:val="28"/>
          <w:rtl/>
          <w14:ligatures w14:val="none"/>
        </w:rPr>
        <w:t>للتأكد من عدم وجود مشكلة الارتباط الخطي المتعدد</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Multicollinearity</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بين المتغيرات المستقلة</w:t>
      </w:r>
      <w:r w:rsidRPr="00ED5D0F">
        <w:rPr>
          <w:rFonts w:ascii="Simplified Arabic" w:eastAsia="Times New Roman" w:hAnsi="Simplified Arabic" w:cs="Simplified Arabic"/>
          <w:color w:val="000000" w:themeColor="text1"/>
          <w:kern w:val="0"/>
          <w:sz w:val="28"/>
          <w:szCs w:val="28"/>
          <w14:ligatures w14:val="none"/>
        </w:rPr>
        <w:t>.</w:t>
      </w:r>
    </w:p>
    <w:p w14:paraId="5FC8BBD6" w14:textId="77777777" w:rsidR="00B95BA6" w:rsidRPr="00ED5D0F" w:rsidRDefault="00B95BA6" w:rsidP="009472A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ED5D0F">
        <w:rPr>
          <w:rFonts w:ascii="Simplified Arabic" w:eastAsia="Times New Roman" w:hAnsi="Simplified Arabic" w:cs="Simplified Arabic"/>
          <w:color w:val="000000" w:themeColor="text1"/>
          <w:kern w:val="0"/>
          <w:sz w:val="28"/>
          <w:szCs w:val="28"/>
          <w14:ligatures w14:val="none"/>
        </w:rPr>
        <w:t xml:space="preserve"> (Simple Linear Regression): </w:t>
      </w:r>
      <w:r w:rsidRPr="00ED5D0F">
        <w:rPr>
          <w:rFonts w:ascii="Simplified Arabic" w:eastAsia="Times New Roman" w:hAnsi="Simplified Arabic" w:cs="Simplified Arabic"/>
          <w:color w:val="000000" w:themeColor="text1"/>
          <w:kern w:val="0"/>
          <w:sz w:val="28"/>
          <w:szCs w:val="28"/>
          <w:rtl/>
          <w14:ligatures w14:val="none"/>
        </w:rPr>
        <w:t>لاختبار أثر كل بُعد من أبعاد إدارة مخاطر الامتثال على حدة في جودة الحوكمة</w:t>
      </w:r>
      <w:r w:rsidRPr="00ED5D0F">
        <w:rPr>
          <w:rFonts w:ascii="Simplified Arabic" w:eastAsia="Times New Roman" w:hAnsi="Simplified Arabic" w:cs="Simplified Arabic"/>
          <w:color w:val="000000" w:themeColor="text1"/>
          <w:kern w:val="0"/>
          <w:sz w:val="28"/>
          <w:szCs w:val="28"/>
          <w14:ligatures w14:val="none"/>
        </w:rPr>
        <w:t>.</w:t>
      </w:r>
    </w:p>
    <w:p w14:paraId="32DAE23A" w14:textId="77777777" w:rsidR="00B95BA6" w:rsidRPr="00ED5D0F" w:rsidRDefault="00B95BA6" w:rsidP="009472A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ED5D0F">
        <w:rPr>
          <w:rFonts w:ascii="Simplified Arabic" w:eastAsia="Times New Roman" w:hAnsi="Simplified Arabic" w:cs="Simplified Arabic"/>
          <w:color w:val="000000" w:themeColor="text1"/>
          <w:kern w:val="0"/>
          <w:sz w:val="28"/>
          <w:szCs w:val="28"/>
          <w14:ligatures w14:val="none"/>
        </w:rPr>
        <w:t xml:space="preserve"> (Multiple Linear Regression): </w:t>
      </w:r>
      <w:r w:rsidRPr="00ED5D0F">
        <w:rPr>
          <w:rFonts w:ascii="Simplified Arabic" w:eastAsia="Times New Roman" w:hAnsi="Simplified Arabic" w:cs="Simplified Arabic"/>
          <w:color w:val="000000" w:themeColor="text1"/>
          <w:kern w:val="0"/>
          <w:sz w:val="28"/>
          <w:szCs w:val="28"/>
          <w:rtl/>
          <w14:ligatures w14:val="none"/>
        </w:rPr>
        <w:t>لاختبار الأثر المجمّع لأبعاد إدارة مخاطر الامتثال مجتمعة على جودة الحوكمة وتحديد الأهمية النسبية لكل بُعد</w:t>
      </w:r>
      <w:r w:rsidRPr="00ED5D0F">
        <w:rPr>
          <w:rFonts w:ascii="Simplified Arabic" w:eastAsia="Times New Roman" w:hAnsi="Simplified Arabic" w:cs="Simplified Arabic"/>
          <w:color w:val="000000" w:themeColor="text1"/>
          <w:kern w:val="0"/>
          <w:sz w:val="28"/>
          <w:szCs w:val="28"/>
          <w14:ligatures w14:val="none"/>
        </w:rPr>
        <w:t>.</w:t>
      </w:r>
    </w:p>
    <w:p w14:paraId="12258A9D" w14:textId="77777777" w:rsidR="00B95BA6" w:rsidRPr="00ED5D0F" w:rsidRDefault="00B95BA6" w:rsidP="009472A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تحليل التباين الأحادي</w:t>
      </w:r>
      <w:r w:rsidRPr="00ED5D0F">
        <w:rPr>
          <w:rFonts w:ascii="Simplified Arabic" w:eastAsia="Times New Roman" w:hAnsi="Simplified Arabic" w:cs="Simplified Arabic"/>
          <w:color w:val="000000" w:themeColor="text1"/>
          <w:kern w:val="0"/>
          <w:sz w:val="28"/>
          <w:szCs w:val="28"/>
          <w14:ligatures w14:val="none"/>
        </w:rPr>
        <w:t xml:space="preserve"> (One-Way ANOVA): </w:t>
      </w:r>
      <w:r w:rsidRPr="00ED5D0F">
        <w:rPr>
          <w:rFonts w:ascii="Simplified Arabic" w:eastAsia="Times New Roman" w:hAnsi="Simplified Arabic" w:cs="Simplified Arabic"/>
          <w:color w:val="000000" w:themeColor="text1"/>
          <w:kern w:val="0"/>
          <w:sz w:val="28"/>
          <w:szCs w:val="28"/>
          <w:rtl/>
          <w14:ligatures w14:val="none"/>
        </w:rPr>
        <w:t>لاختبار دلالة الفروق في استجابات أفراد العينة تبعاً للمتغيرات الديموغرافية متعددة الفئات</w:t>
      </w:r>
      <w:r w:rsidRPr="00ED5D0F">
        <w:rPr>
          <w:rFonts w:ascii="Simplified Arabic" w:eastAsia="Times New Roman" w:hAnsi="Simplified Arabic" w:cs="Simplified Arabic"/>
          <w:color w:val="000000" w:themeColor="text1"/>
          <w:kern w:val="0"/>
          <w:sz w:val="28"/>
          <w:szCs w:val="28"/>
          <w14:ligatures w14:val="none"/>
        </w:rPr>
        <w:t>.</w:t>
      </w:r>
    </w:p>
    <w:p w14:paraId="45435DB6" w14:textId="77777777" w:rsidR="00B95BA6" w:rsidRPr="00ED5D0F" w:rsidRDefault="00B95BA6" w:rsidP="009472A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اختبار (ت) للعينات المستقلة</w:t>
      </w:r>
      <w:r w:rsidRPr="00ED5D0F">
        <w:rPr>
          <w:rFonts w:ascii="Simplified Arabic" w:eastAsia="Times New Roman" w:hAnsi="Simplified Arabic" w:cs="Simplified Arabic"/>
          <w:color w:val="000000" w:themeColor="text1"/>
          <w:kern w:val="0"/>
          <w:sz w:val="28"/>
          <w:szCs w:val="28"/>
          <w14:ligatures w14:val="none"/>
        </w:rPr>
        <w:t xml:space="preserve"> (Independent Samples T-Test): </w:t>
      </w:r>
      <w:r w:rsidRPr="00ED5D0F">
        <w:rPr>
          <w:rFonts w:ascii="Simplified Arabic" w:eastAsia="Times New Roman" w:hAnsi="Simplified Arabic" w:cs="Simplified Arabic"/>
          <w:color w:val="000000" w:themeColor="text1"/>
          <w:kern w:val="0"/>
          <w:sz w:val="28"/>
          <w:szCs w:val="28"/>
          <w:rtl/>
          <w14:ligatures w14:val="none"/>
        </w:rPr>
        <w:t>لاختبار الفروق في حالة المتغيرات الديموغرافية ثنائية الفئات</w:t>
      </w:r>
      <w:r w:rsidRPr="00ED5D0F">
        <w:rPr>
          <w:rFonts w:ascii="Simplified Arabic" w:eastAsia="Times New Roman" w:hAnsi="Simplified Arabic" w:cs="Simplified Arabic"/>
          <w:color w:val="000000" w:themeColor="text1"/>
          <w:kern w:val="0"/>
          <w:sz w:val="28"/>
          <w:szCs w:val="28"/>
          <w14:ligatures w14:val="none"/>
        </w:rPr>
        <w:t>.</w:t>
      </w:r>
    </w:p>
    <w:p w14:paraId="6C2884FA" w14:textId="6361EF67" w:rsidR="00B95BA6" w:rsidRPr="00ED5D0F" w:rsidRDefault="00925511" w:rsidP="0092551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8" w:name="_Toc227765708"/>
      <w:bookmarkStart w:id="39" w:name="_Toc233577132"/>
      <w:r w:rsidRPr="00ED5D0F">
        <w:rPr>
          <w:rFonts w:ascii="Simplified Arabic" w:eastAsia="Times New Roman" w:hAnsi="Simplified Arabic" w:cs="Simplified Arabic" w:hint="cs"/>
          <w:b/>
          <w:bCs/>
          <w:color w:val="000000" w:themeColor="text1"/>
          <w:kern w:val="0"/>
          <w:sz w:val="36"/>
          <w:szCs w:val="36"/>
          <w:rtl/>
          <w14:ligatures w14:val="none"/>
        </w:rPr>
        <w:t xml:space="preserve">15.1 </w:t>
      </w:r>
      <w:r w:rsidR="00B95BA6" w:rsidRPr="00ED5D0F">
        <w:rPr>
          <w:rFonts w:ascii="Simplified Arabic" w:eastAsia="Times New Roman" w:hAnsi="Simplified Arabic" w:cs="Simplified Arabic"/>
          <w:b/>
          <w:bCs/>
          <w:color w:val="000000" w:themeColor="text1"/>
          <w:kern w:val="0"/>
          <w:sz w:val="36"/>
          <w:szCs w:val="36"/>
          <w:rtl/>
          <w14:ligatures w14:val="none"/>
        </w:rPr>
        <w:t>حدود الدراسة</w:t>
      </w:r>
      <w:bookmarkEnd w:id="38"/>
      <w:bookmarkEnd w:id="39"/>
    </w:p>
    <w:p w14:paraId="69826567" w14:textId="77777777" w:rsidR="00B95BA6" w:rsidRPr="00ED5D0F" w:rsidRDefault="00B95BA6" w:rsidP="009472AE">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الحدود الموضوعية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ستقتصر الدراسة على دراسة أثر إدارة مخاطر الامتثال بأبعادها الأربعة (تحديد مخاطر الامتثال، تقييم مخاطر الامتثال، الرقابة على الامتثال، الاستجابة لمخاطر الامتثال) كمتغير مستقل على جودة الحوكمة كمتغير تابع</w:t>
      </w:r>
      <w:r w:rsidRPr="00ED5D0F">
        <w:rPr>
          <w:rFonts w:ascii="Simplified Arabic" w:eastAsia="Times New Roman" w:hAnsi="Simplified Arabic" w:cs="Simplified Arabic"/>
          <w:color w:val="000000" w:themeColor="text1"/>
          <w:kern w:val="0"/>
          <w:sz w:val="28"/>
          <w:szCs w:val="28"/>
          <w14:ligatures w14:val="none"/>
        </w:rPr>
        <w:t>.</w:t>
      </w:r>
    </w:p>
    <w:p w14:paraId="4A79008D" w14:textId="77777777" w:rsidR="00B95BA6" w:rsidRPr="00ED5D0F" w:rsidRDefault="00B95BA6" w:rsidP="009472AE">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الحدود المكانية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ستُطبّق الدراسة على الهيئة العامة للعقار في المملكة العربية السعودية بمقرّها الرئيسي في مدينة الرياض وفروعها المنتشرة في مناطق المملكة</w:t>
      </w:r>
      <w:r w:rsidRPr="00ED5D0F">
        <w:rPr>
          <w:rFonts w:ascii="Simplified Arabic" w:eastAsia="Times New Roman" w:hAnsi="Simplified Arabic" w:cs="Simplified Arabic"/>
          <w:color w:val="000000" w:themeColor="text1"/>
          <w:kern w:val="0"/>
          <w:sz w:val="28"/>
          <w:szCs w:val="28"/>
          <w14:ligatures w14:val="none"/>
        </w:rPr>
        <w:t>.</w:t>
      </w:r>
    </w:p>
    <w:p w14:paraId="1F16FCCA" w14:textId="77777777" w:rsidR="00B95BA6" w:rsidRPr="00ED5D0F" w:rsidRDefault="00B95BA6" w:rsidP="009472AE">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الحدود الزمانية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ستُجرى الدراسة الميدانية خلال العام الأكاديمي 2025/2026م</w:t>
      </w:r>
      <w:r w:rsidRPr="00ED5D0F">
        <w:rPr>
          <w:rFonts w:ascii="Simplified Arabic" w:eastAsia="Times New Roman" w:hAnsi="Simplified Arabic" w:cs="Simplified Arabic"/>
          <w:color w:val="000000" w:themeColor="text1"/>
          <w:kern w:val="0"/>
          <w:sz w:val="28"/>
          <w:szCs w:val="28"/>
          <w14:ligatures w14:val="none"/>
        </w:rPr>
        <w:t>.</w:t>
      </w:r>
    </w:p>
    <w:p w14:paraId="4FEC8382" w14:textId="77777777" w:rsidR="00B95BA6" w:rsidRPr="00ED5D0F" w:rsidRDefault="00B95BA6" w:rsidP="009472AE">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lastRenderedPageBreak/>
        <w:t>الحدود البشرية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ستقتصر الدراسة على العاملين في الهيئة العامة للعقار ممن يشغلون وظائف ذات صلة بمجالات الامتثال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والرقابة والتدقيق الداخلي والشؤون القانونية والتنظيمية</w:t>
      </w:r>
      <w:r w:rsidRPr="00ED5D0F">
        <w:rPr>
          <w:rFonts w:ascii="Simplified Arabic" w:eastAsia="Times New Roman" w:hAnsi="Simplified Arabic" w:cs="Simplified Arabic"/>
          <w:color w:val="000000" w:themeColor="text1"/>
          <w:kern w:val="0"/>
          <w:sz w:val="28"/>
          <w:szCs w:val="28"/>
          <w14:ligatures w14:val="none"/>
        </w:rPr>
        <w:t>.</w:t>
      </w:r>
    </w:p>
    <w:p w14:paraId="0FB190AF" w14:textId="0F645AC2" w:rsidR="00B8416F" w:rsidRPr="00ED5D0F" w:rsidRDefault="00925511" w:rsidP="00925511">
      <w:pPr>
        <w:jc w:val="center"/>
        <w:outlineLvl w:val="0"/>
        <w:rPr>
          <w:rFonts w:ascii="Simplified Arabic" w:eastAsia="Times New Roman" w:hAnsi="Simplified Arabic" w:cs="Simplified Arabic"/>
          <w:b/>
          <w:bCs/>
          <w:color w:val="000000" w:themeColor="text1"/>
          <w:kern w:val="0"/>
          <w:sz w:val="40"/>
          <w:szCs w:val="40"/>
          <w14:ligatures w14:val="none"/>
        </w:rPr>
      </w:pPr>
      <w:r w:rsidRPr="00ED5D0F">
        <w:rPr>
          <w:rFonts w:ascii="Simplified Arabic" w:eastAsia="Times New Roman" w:hAnsi="Simplified Arabic" w:cs="Simplified Arabic"/>
          <w:b/>
          <w:bCs/>
          <w:color w:val="000000" w:themeColor="text1"/>
          <w:kern w:val="0"/>
          <w:sz w:val="40"/>
          <w:szCs w:val="40"/>
          <w:rtl/>
          <w14:ligatures w14:val="none"/>
        </w:rPr>
        <w:br w:type="page"/>
      </w:r>
      <w:bookmarkStart w:id="40" w:name="_Toc233577133"/>
      <w:r w:rsidRPr="00ED5D0F">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B8416F" w:rsidRPr="00ED5D0F">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0"/>
    </w:p>
    <w:p w14:paraId="2A085315" w14:textId="77777777" w:rsidR="00B8416F" w:rsidRPr="00ED5D0F" w:rsidRDefault="00B8416F" w:rsidP="00925511">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1" w:name="_Toc233577134"/>
      <w:r w:rsidRPr="00ED5D0F">
        <w:rPr>
          <w:rFonts w:ascii="Simplified Arabic" w:eastAsia="Times New Roman" w:hAnsi="Simplified Arabic" w:cs="Simplified Arabic"/>
          <w:b/>
          <w:bCs/>
          <w:color w:val="000000" w:themeColor="text1"/>
          <w:kern w:val="0"/>
          <w:sz w:val="36"/>
          <w:szCs w:val="36"/>
          <w:rtl/>
          <w14:ligatures w14:val="none"/>
        </w:rPr>
        <w:t>المبحث الأول: إدارة مخاطر الامتثال (المتغير المستقل)</w:t>
      </w:r>
      <w:bookmarkEnd w:id="41"/>
    </w:p>
    <w:p w14:paraId="1C680760" w14:textId="0A44C48D" w:rsidR="00B8416F" w:rsidRPr="00ED5D0F" w:rsidRDefault="00925511" w:rsidP="009255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577135"/>
      <w:r w:rsidRPr="00ED5D0F">
        <w:rPr>
          <w:rFonts w:ascii="Simplified Arabic" w:eastAsia="Times New Roman" w:hAnsi="Simplified Arabic" w:cs="Simplified Arabic" w:hint="cs"/>
          <w:b/>
          <w:bCs/>
          <w:color w:val="000000" w:themeColor="text1"/>
          <w:kern w:val="0"/>
          <w:sz w:val="32"/>
          <w:szCs w:val="32"/>
          <w:rtl/>
          <w14:ligatures w14:val="none"/>
        </w:rPr>
        <w:t xml:space="preserve">1.1.2 </w:t>
      </w:r>
      <w:r w:rsidR="00B8416F" w:rsidRPr="00ED5D0F">
        <w:rPr>
          <w:rFonts w:ascii="Simplified Arabic" w:eastAsia="Times New Roman" w:hAnsi="Simplified Arabic" w:cs="Simplified Arabic"/>
          <w:b/>
          <w:bCs/>
          <w:color w:val="000000" w:themeColor="text1"/>
          <w:kern w:val="0"/>
          <w:sz w:val="32"/>
          <w:szCs w:val="32"/>
          <w:rtl/>
          <w14:ligatures w14:val="none"/>
        </w:rPr>
        <w:t>تمهيد</w:t>
      </w:r>
      <w:bookmarkEnd w:id="42"/>
    </w:p>
    <w:p w14:paraId="5DEFB0EF"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شهدت بيئة الأعمال المعاصرة تحوّلات متسارعة على المستويين التنظيمي والتشريعي، وأفرزت هذه التحوّلات ضغوطًا متزايدة على المنظمات الحكومية والخاصة لإحكام منظوماتها الرقابية وتعزيز قدرتها على الالتزام بالأنظمة واللوائح المنظِّمة لنشاطها. وفي خضمّ هذا التحوّل، برزت إدارة مخاطر الامتثال بوصفها أحد المداخل الإدارية الحديثة التي تستهدف صون المنظمة من تبعات الإخلال بالمتطلبات النظامية، سواء أكانت تشريعية أم رقابية أم أخلاقية، وضمان انسجام ممارساتها مع المعايير المعتمدة في القطاع الذي تعمل فيه. ولم تَعُد إدارة مخاطر الامتثال نشاطًا هامشيًا يضطلع به قسم بعينه داخل المنظمة، بل غدت منظومة متكاملة تتشابك فيها الأبعاد الاستراتيجية والتشغيلية، وتنتظم بموجبها العلاقة بين مجلس الإدارة والإدارة التنفيذية ووحدات الأعمال، بما يحقق التوازن بين تحقيق الأهداف وتجنّب التعرّض غير المبرّر للمخاطر التنظيمية والقانونية</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Handoko</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2020).</w:t>
      </w:r>
    </w:p>
    <w:p w14:paraId="4F63B077"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ويكتسب الحديث عن إدارة مخاطر الامتثال أهمية مضاعفة حين يجري في سياق الجهات الحكومية ذات الطابع التنظيمي، كالهيئة العامة للعقار في المملكة العربية السعودية، إذ يُناط بهذه الجهات تنظيم قطاعات حيوية ترتبط ارتباطًا وثيقًا بحقوق المتعاملين واستقرار الاقتصاد الوطني. ومن ثمّ، فإن إخفاق مثل هذه الجهات في إدارة مخاطر الامتثال لا يقتصر أثره على المنظمة ذاتها، بل يمتدّ إلى ثقة الجمهور بالمنظومة التنظيمية برمّتها، ويُضعف فاعلية الأطر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المعتمدة</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Efunniyi</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2024). </w:t>
      </w:r>
      <w:r w:rsidRPr="00ED5D0F">
        <w:rPr>
          <w:rFonts w:ascii="Simplified Arabic" w:eastAsia="Times New Roman" w:hAnsi="Simplified Arabic" w:cs="Simplified Arabic"/>
          <w:color w:val="000000" w:themeColor="text1"/>
          <w:kern w:val="0"/>
          <w:sz w:val="28"/>
          <w:szCs w:val="28"/>
          <w:rtl/>
          <w14:ligatures w14:val="none"/>
        </w:rPr>
        <w:t>ويسعى هذا المبحث إلى تأصيل مفهوم إدارة مخاطر الامتثال نظريًا، واستجلاء أهميته وأهدافه، وتحليل أبعاده الأربعة المعتمدة في الدراسة الراهنة، مع استعراض أبرز الاستراتيجيات والمداخل الحاكمة لتطبيقه، وفق تسلسل منطقي يخدم البناء النظري للدراسة</w:t>
      </w:r>
      <w:r w:rsidRPr="00ED5D0F">
        <w:rPr>
          <w:rFonts w:ascii="Simplified Arabic" w:eastAsia="Times New Roman" w:hAnsi="Simplified Arabic" w:cs="Simplified Arabic"/>
          <w:color w:val="000000" w:themeColor="text1"/>
          <w:kern w:val="0"/>
          <w:sz w:val="28"/>
          <w:szCs w:val="28"/>
          <w14:ligatures w14:val="none"/>
        </w:rPr>
        <w:t>.</w:t>
      </w:r>
    </w:p>
    <w:p w14:paraId="3E75B7CC" w14:textId="600CF385" w:rsidR="00B8416F" w:rsidRPr="00ED5D0F" w:rsidRDefault="00925511" w:rsidP="009255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577136"/>
      <w:r w:rsidRPr="00ED5D0F">
        <w:rPr>
          <w:rFonts w:ascii="Simplified Arabic" w:eastAsia="Times New Roman" w:hAnsi="Simplified Arabic" w:cs="Simplified Arabic" w:hint="cs"/>
          <w:b/>
          <w:bCs/>
          <w:color w:val="000000" w:themeColor="text1"/>
          <w:kern w:val="0"/>
          <w:sz w:val="32"/>
          <w:szCs w:val="32"/>
          <w:rtl/>
          <w14:ligatures w14:val="none"/>
        </w:rPr>
        <w:t>2.1.2</w:t>
      </w:r>
      <w:r w:rsidR="00B8416F" w:rsidRPr="00ED5D0F">
        <w:rPr>
          <w:rFonts w:ascii="Simplified Arabic" w:eastAsia="Times New Roman" w:hAnsi="Simplified Arabic" w:cs="Simplified Arabic"/>
          <w:b/>
          <w:bCs/>
          <w:color w:val="000000" w:themeColor="text1"/>
          <w:kern w:val="0"/>
          <w:sz w:val="32"/>
          <w:szCs w:val="32"/>
          <w:rtl/>
          <w14:ligatures w14:val="none"/>
        </w:rPr>
        <w:t xml:space="preserve"> مفهوم إدارة مخاطر الامتثال</w:t>
      </w:r>
      <w:bookmarkEnd w:id="43"/>
    </w:p>
    <w:p w14:paraId="4518DC89"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تعدّدت الزوايا التي قارب منها الباحثون مفهوم إدارة مخاطر الامتثال، ويعكس هذا التعدّد ثراء الحقل المعرفي وتشابك أبعاده مع حقول مجاورة </w:t>
      </w:r>
      <w:proofErr w:type="spellStart"/>
      <w:r w:rsidRPr="00ED5D0F">
        <w:rPr>
          <w:rFonts w:ascii="Simplified Arabic" w:eastAsia="Times New Roman" w:hAnsi="Simplified Arabic" w:cs="Simplified Arabic"/>
          <w:color w:val="000000" w:themeColor="text1"/>
          <w:kern w:val="0"/>
          <w:sz w:val="28"/>
          <w:szCs w:val="28"/>
          <w:rtl/>
          <w14:ligatures w14:val="none"/>
        </w:rPr>
        <w:t>كالحوكمة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وإدارة المخاطر المؤسسية والرقابة الداخلية. وقد عرّفها </w:t>
      </w:r>
      <w:proofErr w:type="spellStart"/>
      <w:r w:rsidRPr="00ED5D0F">
        <w:rPr>
          <w:rFonts w:ascii="Simplified Arabic" w:eastAsia="Times New Roman" w:hAnsi="Simplified Arabic" w:cs="Simplified Arabic"/>
          <w:color w:val="000000" w:themeColor="text1"/>
          <w:kern w:val="0"/>
          <w:sz w:val="28"/>
          <w:szCs w:val="28"/>
          <w:rtl/>
          <w14:ligatures w14:val="none"/>
        </w:rPr>
        <w:lastRenderedPageBreak/>
        <w:t>هاندوكو</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Handoko</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2020) </w:t>
      </w:r>
      <w:r w:rsidRPr="00ED5D0F">
        <w:rPr>
          <w:rFonts w:ascii="Simplified Arabic" w:eastAsia="Times New Roman" w:hAnsi="Simplified Arabic" w:cs="Simplified Arabic"/>
          <w:color w:val="000000" w:themeColor="text1"/>
          <w:kern w:val="0"/>
          <w:sz w:val="28"/>
          <w:szCs w:val="28"/>
          <w:rtl/>
          <w14:ligatures w14:val="none"/>
        </w:rPr>
        <w:t>بوصفها منظومة متكاملة من السياسات والإجراءات والممارسات التي تتبنّاها المنظمة لضمان التزامها بالمتطلبات النظامية والتشريعية والمعايير الداخلية، وتُمكّنها من رصد حالات الإخلال المحتمل ومعالجتها قبل تحوّلها إلى مخاطر فعلية تُهدّد سمعة المنظمة واستقرارها المالي والتشغيلي. ويلاحظ في هذا التعريف انحيازه إلى الزاوية الإجرائية التي تنظر إلى إدارة مخاطر الامتثال بوصفها سلسلة من الأنشطة المنظمة والمتتابعة</w:t>
      </w:r>
      <w:r w:rsidRPr="00ED5D0F">
        <w:rPr>
          <w:rFonts w:ascii="Simplified Arabic" w:eastAsia="Times New Roman" w:hAnsi="Simplified Arabic" w:cs="Simplified Arabic"/>
          <w:color w:val="000000" w:themeColor="text1"/>
          <w:kern w:val="0"/>
          <w:sz w:val="28"/>
          <w:szCs w:val="28"/>
          <w14:ligatures w14:val="none"/>
        </w:rPr>
        <w:t>.</w:t>
      </w:r>
    </w:p>
    <w:p w14:paraId="65D13BEC"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وفي مقاربة أكثر شمولًا، يقدّم تان ولي</w:t>
      </w:r>
      <w:r w:rsidRPr="00ED5D0F">
        <w:rPr>
          <w:rFonts w:ascii="Simplified Arabic" w:eastAsia="Times New Roman" w:hAnsi="Simplified Arabic" w:cs="Simplified Arabic"/>
          <w:color w:val="000000" w:themeColor="text1"/>
          <w:kern w:val="0"/>
          <w:sz w:val="28"/>
          <w:szCs w:val="28"/>
          <w14:ligatures w14:val="none"/>
        </w:rPr>
        <w:t xml:space="preserve"> (Tan &amp; Lee, 2022) </w:t>
      </w:r>
      <w:r w:rsidRPr="00ED5D0F">
        <w:rPr>
          <w:rFonts w:ascii="Simplified Arabic" w:eastAsia="Times New Roman" w:hAnsi="Simplified Arabic" w:cs="Simplified Arabic"/>
          <w:color w:val="000000" w:themeColor="text1"/>
          <w:kern w:val="0"/>
          <w:sz w:val="28"/>
          <w:szCs w:val="28"/>
          <w:rtl/>
          <w14:ligatures w14:val="none"/>
        </w:rPr>
        <w:t xml:space="preserve">إدارة مخاطر الامتثال باعتبارها أحد المكوّنات الجوهرية لإدارة المخاطر المؤسسية، إذ تنخرط ضمن إطار </w:t>
      </w:r>
      <w:proofErr w:type="spellStart"/>
      <w:r w:rsidRPr="00ED5D0F">
        <w:rPr>
          <w:rFonts w:ascii="Simplified Arabic" w:eastAsia="Times New Roman" w:hAnsi="Simplified Arabic" w:cs="Simplified Arabic"/>
          <w:color w:val="000000" w:themeColor="text1"/>
          <w:kern w:val="0"/>
          <w:sz w:val="28"/>
          <w:szCs w:val="28"/>
          <w:rtl/>
          <w14:ligatures w14:val="none"/>
        </w:rPr>
        <w:t>حوكمي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أعم يتجاوز الالتزام الشكلي بالقواعد إلى تبنّي ثقافة مؤسسية تستبطن قيم النزاهة والشفافية في صلب العمليات اليومية. ويُبرز هذا التعريف البُعد الثقافي والقيمي للمفهوم، ويُحرّره من الانحصار في الجانب الإجرائي البحت. وعلى المنوال نفسه، يذهب راشد وآخرون</w:t>
      </w:r>
      <w:r w:rsidRPr="00ED5D0F">
        <w:rPr>
          <w:rFonts w:ascii="Simplified Arabic" w:eastAsia="Times New Roman" w:hAnsi="Simplified Arabic" w:cs="Simplified Arabic"/>
          <w:color w:val="000000" w:themeColor="text1"/>
          <w:kern w:val="0"/>
          <w:sz w:val="28"/>
          <w:szCs w:val="28"/>
          <w14:ligatures w14:val="none"/>
        </w:rPr>
        <w:t xml:space="preserve"> (Rashid et al., 2024) </w:t>
      </w:r>
      <w:r w:rsidRPr="00ED5D0F">
        <w:rPr>
          <w:rFonts w:ascii="Simplified Arabic" w:eastAsia="Times New Roman" w:hAnsi="Simplified Arabic" w:cs="Simplified Arabic"/>
          <w:color w:val="000000" w:themeColor="text1"/>
          <w:kern w:val="0"/>
          <w:sz w:val="28"/>
          <w:szCs w:val="28"/>
          <w:rtl/>
          <w14:ligatures w14:val="none"/>
        </w:rPr>
        <w:t xml:space="preserve">إلى أن إدارة مخاطر الامتثال هي عملية </w:t>
      </w:r>
      <w:proofErr w:type="spellStart"/>
      <w:r w:rsidRPr="00ED5D0F">
        <w:rPr>
          <w:rFonts w:ascii="Simplified Arabic" w:eastAsia="Times New Roman" w:hAnsi="Simplified Arabic" w:cs="Simplified Arabic"/>
          <w:color w:val="000000" w:themeColor="text1"/>
          <w:kern w:val="0"/>
          <w:sz w:val="28"/>
          <w:szCs w:val="28"/>
          <w:rtl/>
          <w14:ligatures w14:val="none"/>
        </w:rPr>
        <w:t>ممنهجة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لتحديد المخاطر الناشئة عن عدم الالتزام بالأنظمة والقوانين والمعايير المهنية، وقياسها وتقييم آثارها المحتملة، ثم تصميم استجابات ملائمة تكفل تخفيض تعرّض المنظمة لهذه المخاطر إلى مستوى مقبول ضمن إطار قابلية تحمّل المخاطر المعتمدة</w:t>
      </w:r>
      <w:r w:rsidRPr="00ED5D0F">
        <w:rPr>
          <w:rFonts w:ascii="Simplified Arabic" w:eastAsia="Times New Roman" w:hAnsi="Simplified Arabic" w:cs="Simplified Arabic"/>
          <w:color w:val="000000" w:themeColor="text1"/>
          <w:kern w:val="0"/>
          <w:sz w:val="28"/>
          <w:szCs w:val="28"/>
          <w14:ligatures w14:val="none"/>
        </w:rPr>
        <w:t>.</w:t>
      </w:r>
    </w:p>
    <w:p w14:paraId="26F4C9DE"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وفي اتجاه يربط بين الامتثال والبيئة المؤسسية الأوسع، ينظر </w:t>
      </w:r>
      <w:proofErr w:type="spellStart"/>
      <w:r w:rsidRPr="00ED5D0F">
        <w:rPr>
          <w:rFonts w:ascii="Simplified Arabic" w:eastAsia="Times New Roman" w:hAnsi="Simplified Arabic" w:cs="Simplified Arabic"/>
          <w:color w:val="000000" w:themeColor="text1"/>
          <w:kern w:val="0"/>
          <w:sz w:val="28"/>
          <w:szCs w:val="28"/>
          <w:rtl/>
          <w14:ligatures w14:val="none"/>
        </w:rPr>
        <w:t>إيلامر</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Elamer</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2020) </w:t>
      </w:r>
      <w:r w:rsidRPr="00ED5D0F">
        <w:rPr>
          <w:rFonts w:ascii="Simplified Arabic" w:eastAsia="Times New Roman" w:hAnsi="Simplified Arabic" w:cs="Simplified Arabic"/>
          <w:color w:val="000000" w:themeColor="text1"/>
          <w:kern w:val="0"/>
          <w:sz w:val="28"/>
          <w:szCs w:val="28"/>
          <w:rtl/>
          <w14:ligatures w14:val="none"/>
        </w:rPr>
        <w:t xml:space="preserve">إلى إدارة مخاطر الامتثال بوصفها استجابة </w:t>
      </w:r>
      <w:proofErr w:type="spellStart"/>
      <w:r w:rsidRPr="00ED5D0F">
        <w:rPr>
          <w:rFonts w:ascii="Simplified Arabic" w:eastAsia="Times New Roman" w:hAnsi="Simplified Arabic" w:cs="Simplified Arabic"/>
          <w:color w:val="000000" w:themeColor="text1"/>
          <w:kern w:val="0"/>
          <w:sz w:val="28"/>
          <w:szCs w:val="28"/>
          <w:rtl/>
          <w14:ligatures w14:val="none"/>
        </w:rPr>
        <w:t>منظمية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للضغوط البيئية والتنظيمية التي تفرضها الأطر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الوطنية والدولية، وتتجلّى في بناء قدرات داخلية تُمكّن المنظمة من فهم المتطلبات النظامية المتجدّدة ومواءمة ممارساتها معها بصورة ديناميكية. ويُضيف </w:t>
      </w:r>
      <w:proofErr w:type="spellStart"/>
      <w:r w:rsidRPr="00ED5D0F">
        <w:rPr>
          <w:rFonts w:ascii="Simplified Arabic" w:eastAsia="Times New Roman" w:hAnsi="Simplified Arabic" w:cs="Simplified Arabic"/>
          <w:color w:val="000000" w:themeColor="text1"/>
          <w:kern w:val="0"/>
          <w:sz w:val="28"/>
          <w:szCs w:val="28"/>
          <w:rtl/>
          <w14:ligatures w14:val="none"/>
        </w:rPr>
        <w:t>نكوتو</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Nkuutu</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2021) </w:t>
      </w:r>
      <w:r w:rsidRPr="00ED5D0F">
        <w:rPr>
          <w:rFonts w:ascii="Simplified Arabic" w:eastAsia="Times New Roman" w:hAnsi="Simplified Arabic" w:cs="Simplified Arabic"/>
          <w:color w:val="000000" w:themeColor="text1"/>
          <w:kern w:val="0"/>
          <w:sz w:val="28"/>
          <w:szCs w:val="28"/>
          <w:rtl/>
          <w14:ligatures w14:val="none"/>
        </w:rPr>
        <w:t xml:space="preserve">بُعدًا متصلًا بالإفصاح، إذ يَعُدّون إدارة مخاطر الامتثال جزءًا من منظومة </w:t>
      </w:r>
      <w:proofErr w:type="spellStart"/>
      <w:r w:rsidRPr="00ED5D0F">
        <w:rPr>
          <w:rFonts w:ascii="Simplified Arabic" w:eastAsia="Times New Roman" w:hAnsi="Simplified Arabic" w:cs="Simplified Arabic"/>
          <w:color w:val="000000" w:themeColor="text1"/>
          <w:kern w:val="0"/>
          <w:sz w:val="28"/>
          <w:szCs w:val="28"/>
          <w:rtl/>
          <w14:ligatures w14:val="none"/>
        </w:rPr>
        <w:t>إفصاحية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أوسع تتيح لأصحاب المصلحة الاطلاع على طبيعة المخاطر التي تواجه المنظمة وأساليب التعامل معها، بما يُعزّز الشفافية ويُرسّخ الثقة في الممارسات الإدارية</w:t>
      </w:r>
      <w:r w:rsidRPr="00ED5D0F">
        <w:rPr>
          <w:rFonts w:ascii="Simplified Arabic" w:eastAsia="Times New Roman" w:hAnsi="Simplified Arabic" w:cs="Simplified Arabic"/>
          <w:color w:val="000000" w:themeColor="text1"/>
          <w:kern w:val="0"/>
          <w:sz w:val="28"/>
          <w:szCs w:val="28"/>
          <w14:ligatures w14:val="none"/>
        </w:rPr>
        <w:t>.</w:t>
      </w:r>
    </w:p>
    <w:p w14:paraId="17F10A2A"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ومن منظور تكاملي، يقترح </w:t>
      </w:r>
      <w:proofErr w:type="spellStart"/>
      <w:r w:rsidRPr="00ED5D0F">
        <w:rPr>
          <w:rFonts w:ascii="Simplified Arabic" w:eastAsia="Times New Roman" w:hAnsi="Simplified Arabic" w:cs="Simplified Arabic"/>
          <w:color w:val="000000" w:themeColor="text1"/>
          <w:kern w:val="0"/>
          <w:sz w:val="28"/>
          <w:szCs w:val="28"/>
          <w:rtl/>
          <w14:ligatures w14:val="none"/>
        </w:rPr>
        <w:t>أوغونسولا</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Ogunsola</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2021) </w:t>
      </w:r>
      <w:r w:rsidRPr="00ED5D0F">
        <w:rPr>
          <w:rFonts w:ascii="Simplified Arabic" w:eastAsia="Times New Roman" w:hAnsi="Simplified Arabic" w:cs="Simplified Arabic"/>
          <w:color w:val="000000" w:themeColor="text1"/>
          <w:kern w:val="0"/>
          <w:sz w:val="28"/>
          <w:szCs w:val="28"/>
          <w:rtl/>
          <w14:ligatures w14:val="none"/>
        </w:rPr>
        <w:t xml:space="preserve">تعريفًا يربط إدارة مخاطر الامتثال بوظيفة المراجعة الداخلية، ويصفونها بأنها إطار متقدّم لتقييم المخاطر يجمع بين التحليل المنهجي للبيئة التنظيمية وآليات التحقق المستمر من فاعلية الضوابط الداخلية، بما يُسهم في صون النزاهة المالية للمنظمة وحمايتها من الانكشاف القانوني. أما </w:t>
      </w:r>
      <w:proofErr w:type="spellStart"/>
      <w:r w:rsidRPr="00ED5D0F">
        <w:rPr>
          <w:rFonts w:ascii="Simplified Arabic" w:eastAsia="Times New Roman" w:hAnsi="Simplified Arabic" w:cs="Simplified Arabic"/>
          <w:color w:val="000000" w:themeColor="text1"/>
          <w:kern w:val="0"/>
          <w:sz w:val="28"/>
          <w:szCs w:val="28"/>
          <w:rtl/>
          <w14:ligatures w14:val="none"/>
        </w:rPr>
        <w:t>لاندي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Landi</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2022) </w:t>
      </w:r>
      <w:r w:rsidRPr="00ED5D0F">
        <w:rPr>
          <w:rFonts w:ascii="Simplified Arabic" w:eastAsia="Times New Roman" w:hAnsi="Simplified Arabic" w:cs="Simplified Arabic"/>
          <w:color w:val="000000" w:themeColor="text1"/>
          <w:kern w:val="0"/>
          <w:sz w:val="28"/>
          <w:szCs w:val="28"/>
          <w:rtl/>
          <w14:ligatures w14:val="none"/>
        </w:rPr>
        <w:t xml:space="preserve">فيُدرجون إدارة مخاطر الامتثال ضمن منظور الاستدامة، ويعدّونها أحد أوجه التضمين المؤسسي للأبعاد البيئية </w:t>
      </w:r>
      <w:r w:rsidRPr="00ED5D0F">
        <w:rPr>
          <w:rFonts w:ascii="Simplified Arabic" w:eastAsia="Times New Roman" w:hAnsi="Simplified Arabic" w:cs="Simplified Arabic"/>
          <w:color w:val="000000" w:themeColor="text1"/>
          <w:kern w:val="0"/>
          <w:sz w:val="28"/>
          <w:szCs w:val="28"/>
          <w:rtl/>
          <w14:ligatures w14:val="none"/>
        </w:rPr>
        <w:lastRenderedPageBreak/>
        <w:t xml:space="preserve">والاجتماعية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في صلب إدارة المخاطر، بحيث لا يقتصر الامتثال على الجوانب المالية والقانونية التقليدية، بل يمتدّ ليشمل الالتزامات الأخلاقية والاجتماعية تجاه المجتمع</w:t>
      </w:r>
      <w:r w:rsidRPr="00ED5D0F">
        <w:rPr>
          <w:rFonts w:ascii="Simplified Arabic" w:eastAsia="Times New Roman" w:hAnsi="Simplified Arabic" w:cs="Simplified Arabic"/>
          <w:color w:val="000000" w:themeColor="text1"/>
          <w:kern w:val="0"/>
          <w:sz w:val="28"/>
          <w:szCs w:val="28"/>
          <w14:ligatures w14:val="none"/>
        </w:rPr>
        <w:t>.</w:t>
      </w:r>
    </w:p>
    <w:p w14:paraId="151FAFCC"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ويتّضح من استعراض التعريفات السابقة أن مفهوم إدارة مخاطر الامتثال يدور حول ثلاث ركائز متشابكة: ركيزة إجرائية تتمثل في السياسات والإجراءات والأنشطة المنظَّمة، وركيزة معرفية ترتبط بفهم المتطلبات النظامية والقدرة على ترجمتها إلى ممارسات قابلة للتطبيق، وركيزة ثقافية تتجلّى في ترسيخ قيم الالتزام والنزاهة في الوعي المؤسسي. ويرى الباحث في ضوء ما تقدّم أن إدارة مخاطر الامتثال هي منظومة إدارية متكاملة تتبنّاها المنظمة بهدف تحقيق الانسجام المستدام بين ممارساتها التشغيلية والمتطلبات النظامية والتشريعية ذات الصلة بنشاطها، عبر تحديد المخاطر الامتثالية المحتملة وتقييمها والرقابة على مستوى الالتزام بها، وتصميم استجابات استباقية وتصحيحية ملائمة، بما يصون سمعة المنظمة ويُعزّز ثقة أصحاب المصلحة فيها، ويُسهم في تحقيق أهدافها الاستراتيجية ضمن إطار </w:t>
      </w:r>
      <w:proofErr w:type="spellStart"/>
      <w:r w:rsidRPr="00ED5D0F">
        <w:rPr>
          <w:rFonts w:ascii="Simplified Arabic" w:eastAsia="Times New Roman" w:hAnsi="Simplified Arabic" w:cs="Simplified Arabic"/>
          <w:color w:val="000000" w:themeColor="text1"/>
          <w:kern w:val="0"/>
          <w:sz w:val="28"/>
          <w:szCs w:val="28"/>
          <w:rtl/>
          <w14:ligatures w14:val="none"/>
        </w:rPr>
        <w:t>حوكمي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رشيد. ويُلاحظ أن هذا التعريف يدمج الزاوية الإجرائية بالبُعد الثقافي والاستراتيجي، ويتجاوز النظرة الضيقة التي تختزل الامتثال في الالتزام الشكلي بالقواعد</w:t>
      </w:r>
      <w:r w:rsidRPr="00ED5D0F">
        <w:rPr>
          <w:rFonts w:ascii="Simplified Arabic" w:eastAsia="Times New Roman" w:hAnsi="Simplified Arabic" w:cs="Simplified Arabic"/>
          <w:color w:val="000000" w:themeColor="text1"/>
          <w:kern w:val="0"/>
          <w:sz w:val="28"/>
          <w:szCs w:val="28"/>
          <w14:ligatures w14:val="none"/>
        </w:rPr>
        <w:t>.</w:t>
      </w:r>
    </w:p>
    <w:p w14:paraId="7BA7E3F9" w14:textId="31C8B19C" w:rsidR="00B8416F" w:rsidRPr="00ED5D0F" w:rsidRDefault="00925511" w:rsidP="009255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577137"/>
      <w:r w:rsidRPr="00ED5D0F">
        <w:rPr>
          <w:rFonts w:ascii="Simplified Arabic" w:eastAsia="Times New Roman" w:hAnsi="Simplified Arabic" w:cs="Simplified Arabic" w:hint="cs"/>
          <w:b/>
          <w:bCs/>
          <w:color w:val="000000" w:themeColor="text1"/>
          <w:kern w:val="0"/>
          <w:sz w:val="32"/>
          <w:szCs w:val="32"/>
          <w:rtl/>
          <w14:ligatures w14:val="none"/>
        </w:rPr>
        <w:t>3.1.2</w:t>
      </w:r>
      <w:r w:rsidR="00B8416F" w:rsidRPr="00ED5D0F">
        <w:rPr>
          <w:rFonts w:ascii="Simplified Arabic" w:eastAsia="Times New Roman" w:hAnsi="Simplified Arabic" w:cs="Simplified Arabic"/>
          <w:b/>
          <w:bCs/>
          <w:color w:val="000000" w:themeColor="text1"/>
          <w:kern w:val="0"/>
          <w:sz w:val="32"/>
          <w:szCs w:val="32"/>
          <w:rtl/>
          <w14:ligatures w14:val="none"/>
        </w:rPr>
        <w:t xml:space="preserve"> أهمية إدارة مخاطر الامتثال</w:t>
      </w:r>
      <w:bookmarkEnd w:id="44"/>
    </w:p>
    <w:p w14:paraId="72E1B081"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تنبع أهمية إدارة مخاطر الامتثال من موقعها الاستراتيجي في منظومة الإدارة المعاصرة، إذ تتشابك وظيفتها مع وظائف الحوكمة وإدارة المخاطر والرقابة الداخلية، وتُشكّل خط الدفاع الأول في مواجهة المخاطر التنظيمية والقانونية التي قد تُعرّض المنظمة لخسائر مالية وأخرى معنوية يصعب تعويضها. وقد تنامى الاهتمام بهذه الإدارة في أعقاب الأزمات المالية وحالات الانهيار المؤسسي التي كشفت عن هشاشة المنظمات التي لا تمتلك أطرًا متينة لإدارة الامتثال، وأبرزت الحاجة إلى بناء قدرات مؤسسية تستوعب التعقيد المتنامي للبيئة التنظيمية. وفي السياقات الحكومية، تتضاعف هذه الأهمية بفعل المسؤولية المنوطة بالجهات الحكومية تجاه المال العام وتجاه المتعاملين الذين يطمحون إلى خدمات تتسم بالعدالة والشفافية والكفاءة</w:t>
      </w:r>
      <w:r w:rsidRPr="00ED5D0F">
        <w:rPr>
          <w:rFonts w:ascii="Simplified Arabic" w:eastAsia="Times New Roman" w:hAnsi="Simplified Arabic" w:cs="Simplified Arabic"/>
          <w:color w:val="000000" w:themeColor="text1"/>
          <w:kern w:val="0"/>
          <w:sz w:val="28"/>
          <w:szCs w:val="28"/>
          <w14:ligatures w14:val="none"/>
        </w:rPr>
        <w:t>.</w:t>
      </w:r>
    </w:p>
    <w:p w14:paraId="573D382D"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ويشير </w:t>
      </w:r>
      <w:proofErr w:type="spellStart"/>
      <w:r w:rsidRPr="00ED5D0F">
        <w:rPr>
          <w:rFonts w:ascii="Simplified Arabic" w:eastAsia="Times New Roman" w:hAnsi="Simplified Arabic" w:cs="Simplified Arabic"/>
          <w:color w:val="000000" w:themeColor="text1"/>
          <w:kern w:val="0"/>
          <w:sz w:val="28"/>
          <w:szCs w:val="28"/>
          <w:rtl/>
          <w14:ligatures w14:val="none"/>
        </w:rPr>
        <w:t>شيراني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rtl/>
          <w14:ligatures w14:val="none"/>
        </w:rPr>
        <w:t>وسريغار</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Chairani</w:t>
      </w:r>
      <w:proofErr w:type="spellEnd"/>
      <w:r w:rsidRPr="00ED5D0F">
        <w:rPr>
          <w:rFonts w:ascii="Simplified Arabic" w:eastAsia="Times New Roman" w:hAnsi="Simplified Arabic" w:cs="Simplified Arabic"/>
          <w:color w:val="000000" w:themeColor="text1"/>
          <w:kern w:val="0"/>
          <w:sz w:val="28"/>
          <w:szCs w:val="28"/>
          <w14:ligatures w14:val="none"/>
        </w:rPr>
        <w:t xml:space="preserve"> &amp; </w:t>
      </w:r>
      <w:proofErr w:type="spellStart"/>
      <w:r w:rsidRPr="00ED5D0F">
        <w:rPr>
          <w:rFonts w:ascii="Simplified Arabic" w:eastAsia="Times New Roman" w:hAnsi="Simplified Arabic" w:cs="Simplified Arabic"/>
          <w:color w:val="000000" w:themeColor="text1"/>
          <w:kern w:val="0"/>
          <w:sz w:val="28"/>
          <w:szCs w:val="28"/>
          <w14:ligatures w14:val="none"/>
        </w:rPr>
        <w:t>Siregar</w:t>
      </w:r>
      <w:proofErr w:type="spellEnd"/>
      <w:r w:rsidRPr="00ED5D0F">
        <w:rPr>
          <w:rFonts w:ascii="Simplified Arabic" w:eastAsia="Times New Roman" w:hAnsi="Simplified Arabic" w:cs="Simplified Arabic"/>
          <w:color w:val="000000" w:themeColor="text1"/>
          <w:kern w:val="0"/>
          <w:sz w:val="28"/>
          <w:szCs w:val="28"/>
          <w14:ligatures w14:val="none"/>
        </w:rPr>
        <w:t xml:space="preserve">, 2021) </w:t>
      </w:r>
      <w:r w:rsidRPr="00ED5D0F">
        <w:rPr>
          <w:rFonts w:ascii="Simplified Arabic" w:eastAsia="Times New Roman" w:hAnsi="Simplified Arabic" w:cs="Simplified Arabic"/>
          <w:color w:val="000000" w:themeColor="text1"/>
          <w:kern w:val="0"/>
          <w:sz w:val="28"/>
          <w:szCs w:val="28"/>
          <w:rtl/>
          <w14:ligatures w14:val="none"/>
        </w:rPr>
        <w:t xml:space="preserve">إلى أن أهمية إدارة مخاطر الامتثال تتمثّل في كونها أداة محورية لتعزيز قيمة المنظمة وأدائها المالي، إذ تُسهم في تخفيض احتمالية تعرّضها للعقوبات النظامية وما يصاحبها من تكاليف مباشرة وغير مباشرة، فضلًا عن دورها في تحسين موقع المنظمة في أعين المستثمرين وأصحاب المصلحة الذين باتوا يولون اعتبارًا متزايدًا لمستوى الالتزام في قراراتهم. وتمتدّ </w:t>
      </w:r>
      <w:r w:rsidRPr="00ED5D0F">
        <w:rPr>
          <w:rFonts w:ascii="Simplified Arabic" w:eastAsia="Times New Roman" w:hAnsi="Simplified Arabic" w:cs="Simplified Arabic"/>
          <w:color w:val="000000" w:themeColor="text1"/>
          <w:kern w:val="0"/>
          <w:sz w:val="28"/>
          <w:szCs w:val="28"/>
          <w:rtl/>
          <w14:ligatures w14:val="none"/>
        </w:rPr>
        <w:lastRenderedPageBreak/>
        <w:t xml:space="preserve">أهميتها كذلك إلى تمكين المنظمة من تبنّي ممارسات أكثر استدامة، إذ ترتبط فاعلية إدارة الامتثال بقدرة المنظمة على تضمين الأبعاد البيئية والاجتماعية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في عملياتها، بما يُكسبها ميزة تنافسية مستدامة في بيئة أعمال يتعاظم فيها الاهتمام بهذه الأبعاد</w:t>
      </w:r>
      <w:r w:rsidRPr="00ED5D0F">
        <w:rPr>
          <w:rFonts w:ascii="Simplified Arabic" w:eastAsia="Times New Roman" w:hAnsi="Simplified Arabic" w:cs="Simplified Arabic"/>
          <w:color w:val="000000" w:themeColor="text1"/>
          <w:kern w:val="0"/>
          <w:sz w:val="28"/>
          <w:szCs w:val="28"/>
          <w14:ligatures w14:val="none"/>
        </w:rPr>
        <w:t>.</w:t>
      </w:r>
    </w:p>
    <w:p w14:paraId="62A1052A"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ويرى </w:t>
      </w:r>
      <w:proofErr w:type="spellStart"/>
      <w:r w:rsidRPr="00ED5D0F">
        <w:rPr>
          <w:rFonts w:ascii="Simplified Arabic" w:eastAsia="Times New Roman" w:hAnsi="Simplified Arabic" w:cs="Simplified Arabic"/>
          <w:color w:val="000000" w:themeColor="text1"/>
          <w:kern w:val="0"/>
          <w:sz w:val="28"/>
          <w:szCs w:val="28"/>
          <w:rtl/>
          <w14:ligatures w14:val="none"/>
        </w:rPr>
        <w:t>نكوتو</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Nkuutu</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2021) </w:t>
      </w:r>
      <w:r w:rsidRPr="00ED5D0F">
        <w:rPr>
          <w:rFonts w:ascii="Simplified Arabic" w:eastAsia="Times New Roman" w:hAnsi="Simplified Arabic" w:cs="Simplified Arabic"/>
          <w:color w:val="000000" w:themeColor="text1"/>
          <w:kern w:val="0"/>
          <w:sz w:val="28"/>
          <w:szCs w:val="28"/>
          <w:rtl/>
          <w14:ligatures w14:val="none"/>
        </w:rPr>
        <w:t>أن أهمية إدارة مخاطر الامتثال تتجلّى في عدة محاور متكاملة: أولها أنها تُسهم في تعزيز جودة الإفصاح عن المخاطر التي تواجه المنظمة، بما يُتيح لأصحاب المصلحة تكوين صورة دقيقة عن وضعها وقدرتها على التعامل مع التحديات التنظيمية؛ وثانيها أنها تُرسّخ مبدأ المساءلة في الممارسة الإدارية، إذ تربط القرارات والإجراءات بمعايير واضحة يمكن الاحتكام إليها عند المراجعة والتقييم؛ وثالثها أنها تُوجِد بيئة مؤسسية تُشجّع على الاحتراز المعقول في اتخاذ القرارات، وتحدّ من الميل إلى المخاطرة غير المدروسة التي قد تترتب عليها مخالفات نظامية جسيمة؛ ورابعها أنها تُيسّر التواصل بين المنظمة والجهات الرقابية الخارجية، وتُسهّل عملية الإشراف والمتابعة بما يخدم استقرار القطاع الذي تعمل فيه</w:t>
      </w:r>
      <w:r w:rsidRPr="00ED5D0F">
        <w:rPr>
          <w:rFonts w:ascii="Simplified Arabic" w:eastAsia="Times New Roman" w:hAnsi="Simplified Arabic" w:cs="Simplified Arabic"/>
          <w:color w:val="000000" w:themeColor="text1"/>
          <w:kern w:val="0"/>
          <w:sz w:val="28"/>
          <w:szCs w:val="28"/>
          <w14:ligatures w14:val="none"/>
        </w:rPr>
        <w:t>.</w:t>
      </w:r>
    </w:p>
    <w:p w14:paraId="56500EE6"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ويُضيف </w:t>
      </w:r>
      <w:proofErr w:type="spellStart"/>
      <w:r w:rsidRPr="00ED5D0F">
        <w:rPr>
          <w:rFonts w:ascii="Simplified Arabic" w:eastAsia="Times New Roman" w:hAnsi="Simplified Arabic" w:cs="Simplified Arabic"/>
          <w:color w:val="000000" w:themeColor="text1"/>
          <w:kern w:val="0"/>
          <w:sz w:val="28"/>
          <w:szCs w:val="28"/>
          <w:rtl/>
          <w14:ligatures w14:val="none"/>
        </w:rPr>
        <w:t>أوغونسولا</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Ogunsola</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2021) </w:t>
      </w:r>
      <w:r w:rsidRPr="00ED5D0F">
        <w:rPr>
          <w:rFonts w:ascii="Simplified Arabic" w:eastAsia="Times New Roman" w:hAnsi="Simplified Arabic" w:cs="Simplified Arabic"/>
          <w:color w:val="000000" w:themeColor="text1"/>
          <w:kern w:val="0"/>
          <w:sz w:val="28"/>
          <w:szCs w:val="28"/>
          <w:rtl/>
          <w14:ligatures w14:val="none"/>
        </w:rPr>
        <w:t>أن أهمية إدارة مخاطر الامتثال تظهر بوضوح في علاقتها بالنزاهة المالية للمنظمة، إذ تُشكّل ضمانة جوهرية ضد الممارسات المخالفة التي قد تُلحق ضررًا ماليًا بالغًا، وتُتيح للمراجعة الداخلية أداء دورها بفاعلية أكبر عبر تزويدها بإطار منهجي لتقييم المخاطر وتحديد أولويات التدقيق. ويُبرز عامر وآخرون (٢٠٢٥) أهميتها في القطاع المالي والمصرفي خاصةً، إذ تتقاطع إدارة مخاطر الامتثال مع متطلبات كفاية رأس المال وضوابط بازل وغيرها من الأطر الدولية، وتُسهم في الحدّ من المخاطر الائتمانية ومخاطر السيولة عبر إحكام الالتزام بالمعايير الاحترازية</w:t>
      </w:r>
      <w:r w:rsidRPr="00ED5D0F">
        <w:rPr>
          <w:rFonts w:ascii="Simplified Arabic" w:eastAsia="Times New Roman" w:hAnsi="Simplified Arabic" w:cs="Simplified Arabic"/>
          <w:color w:val="000000" w:themeColor="text1"/>
          <w:kern w:val="0"/>
          <w:sz w:val="28"/>
          <w:szCs w:val="28"/>
          <w14:ligatures w14:val="none"/>
        </w:rPr>
        <w:t>.</w:t>
      </w:r>
    </w:p>
    <w:p w14:paraId="585863F2"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ويُشير عارف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Arif</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2021) </w:t>
      </w:r>
      <w:r w:rsidRPr="00ED5D0F">
        <w:rPr>
          <w:rFonts w:ascii="Simplified Arabic" w:eastAsia="Times New Roman" w:hAnsi="Simplified Arabic" w:cs="Simplified Arabic"/>
          <w:color w:val="000000" w:themeColor="text1"/>
          <w:kern w:val="0"/>
          <w:sz w:val="28"/>
          <w:szCs w:val="28"/>
          <w:rtl/>
          <w14:ligatures w14:val="none"/>
        </w:rPr>
        <w:t xml:space="preserve">إلى أن أهميتها تتعدّى الجانب الرقابي لتشمل البُعد </w:t>
      </w:r>
      <w:proofErr w:type="spellStart"/>
      <w:r w:rsidRPr="00ED5D0F">
        <w:rPr>
          <w:rFonts w:ascii="Simplified Arabic" w:eastAsia="Times New Roman" w:hAnsi="Simplified Arabic" w:cs="Simplified Arabic"/>
          <w:color w:val="000000" w:themeColor="text1"/>
          <w:kern w:val="0"/>
          <w:sz w:val="28"/>
          <w:szCs w:val="28"/>
          <w:rtl/>
          <w14:ligatures w14:val="none"/>
        </w:rPr>
        <w:t>الإفصاحي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إذ تُسهم في تحسين جودة </w:t>
      </w:r>
      <w:proofErr w:type="spellStart"/>
      <w:r w:rsidRPr="00ED5D0F">
        <w:rPr>
          <w:rFonts w:ascii="Simplified Arabic" w:eastAsia="Times New Roman" w:hAnsi="Simplified Arabic" w:cs="Simplified Arabic"/>
          <w:color w:val="000000" w:themeColor="text1"/>
          <w:kern w:val="0"/>
          <w:sz w:val="28"/>
          <w:szCs w:val="28"/>
          <w:rtl/>
          <w14:ligatures w14:val="none"/>
        </w:rPr>
        <w:t>الإفصاحات</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البيئية والاجتماعية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وتدعم قدرة المنظمة على الاستجابة لتوقعات أصحاب المصلحة في عصر يتنامى فيه الطلب على الشفافية. ويُبرز ريك (٢٠٢٣) أهميتها في سياق التحوّل الرقمي ومواجهة مخاطر الاحتيال، إذ تُتيح للمنظمات بناء قدرات متقدّمة لرصد المخالفات المحتملة قبل وقوعها والتعامل معها بأسلوب استباقي يُحافظ على أصول المنظمة وسمعتها</w:t>
      </w:r>
      <w:r w:rsidRPr="00ED5D0F">
        <w:rPr>
          <w:rFonts w:ascii="Simplified Arabic" w:eastAsia="Times New Roman" w:hAnsi="Simplified Arabic" w:cs="Simplified Arabic"/>
          <w:color w:val="000000" w:themeColor="text1"/>
          <w:kern w:val="0"/>
          <w:sz w:val="28"/>
          <w:szCs w:val="28"/>
          <w14:ligatures w14:val="none"/>
        </w:rPr>
        <w:t>.</w:t>
      </w:r>
    </w:p>
    <w:p w14:paraId="51FF2550"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ومن منظور القطاع العام، تكتسب إدارة مخاطر الامتثال أهمية إضافية تتعلّق بحماية ثقة الجمهور وضمان حياد الإجراءات الحكومية وعدالتها. وتُسهم في هذا السياق في تكريس قيم النزاهة وتعزيز الشعور بالمسؤولية لدى العاملين، وفي بناء منظومة مؤسسية قادرة على مقاومة الفساد بأشكاله المختلفة. كما تُؤدّي </w:t>
      </w:r>
      <w:r w:rsidRPr="00ED5D0F">
        <w:rPr>
          <w:rFonts w:ascii="Simplified Arabic" w:eastAsia="Times New Roman" w:hAnsi="Simplified Arabic" w:cs="Simplified Arabic"/>
          <w:color w:val="000000" w:themeColor="text1"/>
          <w:kern w:val="0"/>
          <w:sz w:val="28"/>
          <w:szCs w:val="28"/>
          <w:rtl/>
          <w14:ligatures w14:val="none"/>
        </w:rPr>
        <w:lastRenderedPageBreak/>
        <w:t xml:space="preserve">دورًا محوريًا في تمكين الجهات التنظيمية من أداء مهامها </w:t>
      </w:r>
      <w:proofErr w:type="spellStart"/>
      <w:r w:rsidRPr="00ED5D0F">
        <w:rPr>
          <w:rFonts w:ascii="Simplified Arabic" w:eastAsia="Times New Roman" w:hAnsi="Simplified Arabic" w:cs="Simplified Arabic"/>
          <w:color w:val="000000" w:themeColor="text1"/>
          <w:kern w:val="0"/>
          <w:sz w:val="28"/>
          <w:szCs w:val="28"/>
          <w:rtl/>
          <w14:ligatures w14:val="none"/>
        </w:rPr>
        <w:t>الإشرافية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بكفاءة، إذ يُشكّل إحكام منظومة الامتثال الداخلية شرطًا لمصداقية الجهة في فرض المعايير على الكيانات الخاضعة لإشرافها</w:t>
      </w:r>
      <w:r w:rsidRPr="00ED5D0F">
        <w:rPr>
          <w:rFonts w:ascii="Simplified Arabic" w:eastAsia="Times New Roman" w:hAnsi="Simplified Arabic" w:cs="Simplified Arabic"/>
          <w:color w:val="000000" w:themeColor="text1"/>
          <w:kern w:val="0"/>
          <w:sz w:val="28"/>
          <w:szCs w:val="28"/>
          <w14:ligatures w14:val="none"/>
        </w:rPr>
        <w:t>.</w:t>
      </w:r>
    </w:p>
    <w:p w14:paraId="44474534" w14:textId="0A78A896" w:rsidR="00B8416F" w:rsidRPr="00ED5D0F" w:rsidRDefault="00925511" w:rsidP="009255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577138"/>
      <w:r w:rsidRPr="00ED5D0F">
        <w:rPr>
          <w:rFonts w:ascii="Simplified Arabic" w:eastAsia="Times New Roman" w:hAnsi="Simplified Arabic" w:cs="Simplified Arabic" w:hint="cs"/>
          <w:b/>
          <w:bCs/>
          <w:color w:val="000000" w:themeColor="text1"/>
          <w:kern w:val="0"/>
          <w:sz w:val="32"/>
          <w:szCs w:val="32"/>
          <w:rtl/>
          <w14:ligatures w14:val="none"/>
        </w:rPr>
        <w:t>4.1.2</w:t>
      </w:r>
      <w:r w:rsidR="00B8416F" w:rsidRPr="00ED5D0F">
        <w:rPr>
          <w:rFonts w:ascii="Simplified Arabic" w:eastAsia="Times New Roman" w:hAnsi="Simplified Arabic" w:cs="Simplified Arabic"/>
          <w:b/>
          <w:bCs/>
          <w:color w:val="000000" w:themeColor="text1"/>
          <w:kern w:val="0"/>
          <w:sz w:val="32"/>
          <w:szCs w:val="32"/>
          <w:rtl/>
          <w14:ligatures w14:val="none"/>
        </w:rPr>
        <w:t xml:space="preserve"> أهداف إدارة مخاطر الامتثال</w:t>
      </w:r>
      <w:bookmarkEnd w:id="45"/>
    </w:p>
    <w:p w14:paraId="7D36BF3E"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تتعدّد أهداف إدارة مخاطر الامتثال بتعدّد المنطلقات الفكرية للباحثين والسياقات التطبيقية التي يجري فيها بحثها، غير أنها تلتقي في كونها أهدافًا تروم تحقيق توازن مستدام بين متطلبات الالتزام النظامي وبين سعي المنظمة إلى تحقيق أهدافها التشغيلية والاستراتيجية</w:t>
      </w:r>
      <w:r w:rsidRPr="00ED5D0F">
        <w:rPr>
          <w:rFonts w:ascii="Simplified Arabic" w:eastAsia="Times New Roman" w:hAnsi="Simplified Arabic" w:cs="Simplified Arabic"/>
          <w:color w:val="000000" w:themeColor="text1"/>
          <w:kern w:val="0"/>
          <w:sz w:val="28"/>
          <w:szCs w:val="28"/>
          <w14:ligatures w14:val="none"/>
        </w:rPr>
        <w:t>.</w:t>
      </w:r>
    </w:p>
    <w:p w14:paraId="3853A82F"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ويُجمل </w:t>
      </w:r>
      <w:proofErr w:type="spellStart"/>
      <w:r w:rsidRPr="00ED5D0F">
        <w:rPr>
          <w:rFonts w:ascii="Simplified Arabic" w:eastAsia="Times New Roman" w:hAnsi="Simplified Arabic" w:cs="Simplified Arabic"/>
          <w:color w:val="000000" w:themeColor="text1"/>
          <w:kern w:val="0"/>
          <w:sz w:val="28"/>
          <w:szCs w:val="28"/>
          <w:rtl/>
          <w14:ligatures w14:val="none"/>
        </w:rPr>
        <w:t>هاندوكو</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Handoko</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2020) </w:t>
      </w:r>
      <w:r w:rsidRPr="00ED5D0F">
        <w:rPr>
          <w:rFonts w:ascii="Simplified Arabic" w:eastAsia="Times New Roman" w:hAnsi="Simplified Arabic" w:cs="Simplified Arabic"/>
          <w:color w:val="000000" w:themeColor="text1"/>
          <w:kern w:val="0"/>
          <w:sz w:val="28"/>
          <w:szCs w:val="28"/>
          <w:rtl/>
          <w14:ligatures w14:val="none"/>
        </w:rPr>
        <w:t>أهداف إدارة مخاطر الامتثال في جملة من النقاط، أبرزها: ضمان التوافق المستمر بين عمليات المنظمة والمتطلبات النظامية والتشريعية ذات الصلة؛ وتحصين المنظمة ضد العقوبات والغرامات والتبعات القانونية الناشئة عن المخالفات؛ وحماية السمعة المؤسسية بوصفها أصلًا غير ملموس بالغ الحساسية للممارسات غير الممتثلة؛ وتعزيز ثقة أصحاب المصلحة من مستثمرين وعملاء وجهات رقابية في النزاهة الإدارية للمنظمة؛ وترسيخ ثقافة الالتزام لدى العاملين بوصفها مكوّنًا أصيلًا في الهوية المؤسسية</w:t>
      </w:r>
      <w:r w:rsidRPr="00ED5D0F">
        <w:rPr>
          <w:rFonts w:ascii="Simplified Arabic" w:eastAsia="Times New Roman" w:hAnsi="Simplified Arabic" w:cs="Simplified Arabic"/>
          <w:color w:val="000000" w:themeColor="text1"/>
          <w:kern w:val="0"/>
          <w:sz w:val="28"/>
          <w:szCs w:val="28"/>
          <w14:ligatures w14:val="none"/>
        </w:rPr>
        <w:t>.</w:t>
      </w:r>
    </w:p>
    <w:p w14:paraId="7C67D3E2"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ويرى راشد وآخرون</w:t>
      </w:r>
      <w:r w:rsidRPr="00ED5D0F">
        <w:rPr>
          <w:rFonts w:ascii="Simplified Arabic" w:eastAsia="Times New Roman" w:hAnsi="Simplified Arabic" w:cs="Simplified Arabic"/>
          <w:color w:val="000000" w:themeColor="text1"/>
          <w:kern w:val="0"/>
          <w:sz w:val="28"/>
          <w:szCs w:val="28"/>
          <w14:ligatures w14:val="none"/>
        </w:rPr>
        <w:t xml:space="preserve"> (Rashid et al., 2024) </w:t>
      </w:r>
      <w:r w:rsidRPr="00ED5D0F">
        <w:rPr>
          <w:rFonts w:ascii="Simplified Arabic" w:eastAsia="Times New Roman" w:hAnsi="Simplified Arabic" w:cs="Simplified Arabic"/>
          <w:color w:val="000000" w:themeColor="text1"/>
          <w:kern w:val="0"/>
          <w:sz w:val="28"/>
          <w:szCs w:val="28"/>
          <w:rtl/>
          <w14:ligatures w14:val="none"/>
        </w:rPr>
        <w:t>أن إدارة مخاطر الامتثال تستهدف جملة من الغايات المتكاملة: تحقيق الانسجام بين منظومة المخاطر الكلية للمنظمة وقابليتها لتحمّل المخاطر؛ ودعم اتخاذ القرارات الاستراتيجية بمعلومات دقيقة عن البيئة التنظيمية والقانونية؛ وتعزيز جودة الحوكمة المؤسسية عبر توفير ضمانات معقولة بشأن سلامة الممارسات؛ وتقوية البنية المؤسسية للجهات المالية في مواجهة الصدمات التنظيمية المفاجئة؛ ومأسسة العلاقة بين وحدات الأعمال ووظائف الرقابة بما يضمن تكاملًا فعّالًا</w:t>
      </w:r>
      <w:r w:rsidRPr="00ED5D0F">
        <w:rPr>
          <w:rFonts w:ascii="Simplified Arabic" w:eastAsia="Times New Roman" w:hAnsi="Simplified Arabic" w:cs="Simplified Arabic"/>
          <w:color w:val="000000" w:themeColor="text1"/>
          <w:kern w:val="0"/>
          <w:sz w:val="28"/>
          <w:szCs w:val="28"/>
          <w14:ligatures w14:val="none"/>
        </w:rPr>
        <w:t>.</w:t>
      </w:r>
    </w:p>
    <w:p w14:paraId="363889E0"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ويُحدّد </w:t>
      </w:r>
      <w:proofErr w:type="spellStart"/>
      <w:r w:rsidRPr="00ED5D0F">
        <w:rPr>
          <w:rFonts w:ascii="Simplified Arabic" w:eastAsia="Times New Roman" w:hAnsi="Simplified Arabic" w:cs="Simplified Arabic"/>
          <w:color w:val="000000" w:themeColor="text1"/>
          <w:kern w:val="0"/>
          <w:sz w:val="28"/>
          <w:szCs w:val="28"/>
          <w:rtl/>
          <w14:ligatures w14:val="none"/>
        </w:rPr>
        <w:t>إيلامر</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Elamer</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2020) </w:t>
      </w:r>
      <w:r w:rsidRPr="00ED5D0F">
        <w:rPr>
          <w:rFonts w:ascii="Simplified Arabic" w:eastAsia="Times New Roman" w:hAnsi="Simplified Arabic" w:cs="Simplified Arabic"/>
          <w:color w:val="000000" w:themeColor="text1"/>
          <w:kern w:val="0"/>
          <w:sz w:val="28"/>
          <w:szCs w:val="28"/>
          <w:rtl/>
          <w14:ligatures w14:val="none"/>
        </w:rPr>
        <w:t xml:space="preserve">أهدافها في: مواءمة الممارسات الإدارية للمنظمة مع الأطر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الوطنية والدولية؛ وتقليل الفجوة بين القواعد المعلنة والممارسة الفعلية؛ وتمكين المنظمة من الاستجابة المرنة للتطورات التشريعية المتسارعة؛ ودعم استقرار القطاع الذي تنتمي إليه عبر إحكام الالتزام الفردي للكيانات العاملة فيه؛ وتعزيز قدرة المنظمة على الإفصاح الدقيق عن </w:t>
      </w:r>
      <w:proofErr w:type="spellStart"/>
      <w:r w:rsidRPr="00ED5D0F">
        <w:rPr>
          <w:rFonts w:ascii="Simplified Arabic" w:eastAsia="Times New Roman" w:hAnsi="Simplified Arabic" w:cs="Simplified Arabic"/>
          <w:color w:val="000000" w:themeColor="text1"/>
          <w:kern w:val="0"/>
          <w:sz w:val="28"/>
          <w:szCs w:val="28"/>
          <w:rtl/>
          <w14:ligatures w14:val="none"/>
        </w:rPr>
        <w:t>مخاطرها</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أمام أصحاب المصلحة</w:t>
      </w:r>
      <w:r w:rsidRPr="00ED5D0F">
        <w:rPr>
          <w:rFonts w:ascii="Simplified Arabic" w:eastAsia="Times New Roman" w:hAnsi="Simplified Arabic" w:cs="Simplified Arabic"/>
          <w:color w:val="000000" w:themeColor="text1"/>
          <w:kern w:val="0"/>
          <w:sz w:val="28"/>
          <w:szCs w:val="28"/>
          <w14:ligatures w14:val="none"/>
        </w:rPr>
        <w:t>.</w:t>
      </w:r>
    </w:p>
    <w:p w14:paraId="320E2B1F"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lastRenderedPageBreak/>
        <w:t xml:space="preserve">ويُضيف </w:t>
      </w:r>
      <w:proofErr w:type="spellStart"/>
      <w:r w:rsidRPr="00ED5D0F">
        <w:rPr>
          <w:rFonts w:ascii="Simplified Arabic" w:eastAsia="Times New Roman" w:hAnsi="Simplified Arabic" w:cs="Simplified Arabic"/>
          <w:color w:val="000000" w:themeColor="text1"/>
          <w:kern w:val="0"/>
          <w:sz w:val="28"/>
          <w:szCs w:val="28"/>
          <w:rtl/>
          <w14:ligatures w14:val="none"/>
        </w:rPr>
        <w:t>لاندي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Landi</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2022) </w:t>
      </w:r>
      <w:r w:rsidRPr="00ED5D0F">
        <w:rPr>
          <w:rFonts w:ascii="Simplified Arabic" w:eastAsia="Times New Roman" w:hAnsi="Simplified Arabic" w:cs="Simplified Arabic"/>
          <w:color w:val="000000" w:themeColor="text1"/>
          <w:kern w:val="0"/>
          <w:sz w:val="28"/>
          <w:szCs w:val="28"/>
          <w:rtl/>
          <w14:ligatures w14:val="none"/>
        </w:rPr>
        <w:t xml:space="preserve">جملة من الأهداف ذات الطابع </w:t>
      </w:r>
      <w:proofErr w:type="spellStart"/>
      <w:r w:rsidRPr="00ED5D0F">
        <w:rPr>
          <w:rFonts w:ascii="Simplified Arabic" w:eastAsia="Times New Roman" w:hAnsi="Simplified Arabic" w:cs="Simplified Arabic"/>
          <w:color w:val="000000" w:themeColor="text1"/>
          <w:kern w:val="0"/>
          <w:sz w:val="28"/>
          <w:szCs w:val="28"/>
          <w:rtl/>
          <w14:ligatures w14:val="none"/>
        </w:rPr>
        <w:t>الاستدامي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تتمثّل في: تضمين الاعتبارات البيئية والاجتماعية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في صلب عمليات إدارة المخاطر؛ وتوسيع نطاق الامتثال ليشمل الالتزامات الأخلاقية والاجتماعية إلى جانب القانونية والمالية؛ وتعزيز قدرة المنظمة على الاستجابة لضغوط أصحاب المصلحة المتزايدة بشأن المسؤولية الاجتماعية؛ ودعم استدامة الأداء على المدى البعيد عبر تخفيض المخاطر المتصلة بعدم الاستدامة</w:t>
      </w:r>
      <w:r w:rsidRPr="00ED5D0F">
        <w:rPr>
          <w:rFonts w:ascii="Simplified Arabic" w:eastAsia="Times New Roman" w:hAnsi="Simplified Arabic" w:cs="Simplified Arabic"/>
          <w:color w:val="000000" w:themeColor="text1"/>
          <w:kern w:val="0"/>
          <w:sz w:val="28"/>
          <w:szCs w:val="28"/>
          <w14:ligatures w14:val="none"/>
        </w:rPr>
        <w:t>.</w:t>
      </w:r>
    </w:p>
    <w:p w14:paraId="64990872"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ويُبرز </w:t>
      </w:r>
      <w:proofErr w:type="spellStart"/>
      <w:r w:rsidRPr="00ED5D0F">
        <w:rPr>
          <w:rFonts w:ascii="Simplified Arabic" w:eastAsia="Times New Roman" w:hAnsi="Simplified Arabic" w:cs="Simplified Arabic"/>
          <w:color w:val="000000" w:themeColor="text1"/>
          <w:kern w:val="0"/>
          <w:sz w:val="28"/>
          <w:szCs w:val="28"/>
          <w:rtl/>
          <w14:ligatures w14:val="none"/>
        </w:rPr>
        <w:t>أديغوكي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rtl/>
          <w14:ligatures w14:val="none"/>
        </w:rPr>
        <w:t>وأكينولا</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Adegoke</w:t>
      </w:r>
      <w:proofErr w:type="spellEnd"/>
      <w:r w:rsidRPr="00ED5D0F">
        <w:rPr>
          <w:rFonts w:ascii="Simplified Arabic" w:eastAsia="Times New Roman" w:hAnsi="Simplified Arabic" w:cs="Simplified Arabic"/>
          <w:color w:val="000000" w:themeColor="text1"/>
          <w:kern w:val="0"/>
          <w:sz w:val="28"/>
          <w:szCs w:val="28"/>
          <w14:ligatures w14:val="none"/>
        </w:rPr>
        <w:t xml:space="preserve"> &amp; </w:t>
      </w:r>
      <w:proofErr w:type="spellStart"/>
      <w:r w:rsidRPr="00ED5D0F">
        <w:rPr>
          <w:rFonts w:ascii="Simplified Arabic" w:eastAsia="Times New Roman" w:hAnsi="Simplified Arabic" w:cs="Simplified Arabic"/>
          <w:color w:val="000000" w:themeColor="text1"/>
          <w:kern w:val="0"/>
          <w:sz w:val="28"/>
          <w:szCs w:val="28"/>
          <w14:ligatures w14:val="none"/>
        </w:rPr>
        <w:t>Akinola</w:t>
      </w:r>
      <w:proofErr w:type="spellEnd"/>
      <w:r w:rsidRPr="00ED5D0F">
        <w:rPr>
          <w:rFonts w:ascii="Simplified Arabic" w:eastAsia="Times New Roman" w:hAnsi="Simplified Arabic" w:cs="Simplified Arabic"/>
          <w:color w:val="000000" w:themeColor="text1"/>
          <w:kern w:val="0"/>
          <w:sz w:val="28"/>
          <w:szCs w:val="28"/>
          <w14:ligatures w14:val="none"/>
        </w:rPr>
        <w:t xml:space="preserve">, 2025) </w:t>
      </w:r>
      <w:r w:rsidRPr="00ED5D0F">
        <w:rPr>
          <w:rFonts w:ascii="Simplified Arabic" w:eastAsia="Times New Roman" w:hAnsi="Simplified Arabic" w:cs="Simplified Arabic"/>
          <w:color w:val="000000" w:themeColor="text1"/>
          <w:kern w:val="0"/>
          <w:sz w:val="28"/>
          <w:szCs w:val="28"/>
          <w:rtl/>
          <w14:ligatures w14:val="none"/>
        </w:rPr>
        <w:t>أهدافًا ترتبط ببنية الحوكمة، أهمها: تفعيل دور مجلس الإدارة في الإشراف على المخاطر الامتثالية؛ وتحسين آليات التنسيق بين مكوّنات الحوكمة المختلفة؛ وتعزيز فاعلية اللجان المنبثقة عن المجلس في متابعة الالتزام؛ وتدعيم استقلالية وظيفة الامتثال داخل المنظمة بما يُمكّنها من أداء دورها بحيادية</w:t>
      </w:r>
      <w:r w:rsidRPr="00ED5D0F">
        <w:rPr>
          <w:rFonts w:ascii="Simplified Arabic" w:eastAsia="Times New Roman" w:hAnsi="Simplified Arabic" w:cs="Simplified Arabic"/>
          <w:color w:val="000000" w:themeColor="text1"/>
          <w:kern w:val="0"/>
          <w:sz w:val="28"/>
          <w:szCs w:val="28"/>
          <w14:ligatures w14:val="none"/>
        </w:rPr>
        <w:t>.</w:t>
      </w:r>
    </w:p>
    <w:p w14:paraId="5DE5E27E"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ومن منظور القطاع العام والسياق التنظيمي، يتّسع نطاق الأهداف ليشمل: حماية المال العام من التبعات الناجمة عن المخالفات النظامية؛ وترسيخ مبدأ سيادة القانون في الممارسة الإدارية الحكومية؛ وتعزيز ثقة المواطن بالمنظومة التنظيمية؛ وتمكين الجهات الحكومية التنظيمية من أداء دورها الإشرافي بمصداقية أعلى. وتلتقي هذه الأهداف في كونها تخدم غاية كبرى تتمثّل في صيانة كفاءة المنظمة وفاعليتها واستدامتها في بيئة تنظيمية متشابكة ومتسارعة التحوّل</w:t>
      </w:r>
      <w:r w:rsidRPr="00ED5D0F">
        <w:rPr>
          <w:rFonts w:ascii="Simplified Arabic" w:eastAsia="Times New Roman" w:hAnsi="Simplified Arabic" w:cs="Simplified Arabic"/>
          <w:color w:val="000000" w:themeColor="text1"/>
          <w:kern w:val="0"/>
          <w:sz w:val="28"/>
          <w:szCs w:val="28"/>
          <w14:ligatures w14:val="none"/>
        </w:rPr>
        <w:t>.</w:t>
      </w:r>
    </w:p>
    <w:p w14:paraId="572ED6E3" w14:textId="1543C1C4" w:rsidR="00B8416F" w:rsidRPr="00ED5D0F" w:rsidRDefault="00925511" w:rsidP="009255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577139"/>
      <w:r w:rsidRPr="00ED5D0F">
        <w:rPr>
          <w:rFonts w:ascii="Simplified Arabic" w:eastAsia="Times New Roman" w:hAnsi="Simplified Arabic" w:cs="Simplified Arabic" w:hint="cs"/>
          <w:b/>
          <w:bCs/>
          <w:color w:val="000000" w:themeColor="text1"/>
          <w:kern w:val="0"/>
          <w:sz w:val="32"/>
          <w:szCs w:val="32"/>
          <w:rtl/>
          <w14:ligatures w14:val="none"/>
        </w:rPr>
        <w:t>5.1.2</w:t>
      </w:r>
      <w:r w:rsidR="00B8416F" w:rsidRPr="00ED5D0F">
        <w:rPr>
          <w:rFonts w:ascii="Simplified Arabic" w:eastAsia="Times New Roman" w:hAnsi="Simplified Arabic" w:cs="Simplified Arabic"/>
          <w:b/>
          <w:bCs/>
          <w:color w:val="000000" w:themeColor="text1"/>
          <w:kern w:val="0"/>
          <w:sz w:val="32"/>
          <w:szCs w:val="32"/>
          <w:rtl/>
          <w14:ligatures w14:val="none"/>
        </w:rPr>
        <w:t xml:space="preserve"> أبعاد إدارة مخاطر الامتثال</w:t>
      </w:r>
      <w:bookmarkEnd w:id="46"/>
    </w:p>
    <w:p w14:paraId="3AF69782"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تم تحديد أبعاد إدارة مخاطر الامتثال في الدراسة الراهنة بناءً على دراستي الزعبي والحايك (٢٠٢٢) وعامر وآخرون (٢٠٢٥)، إلى جانب ما طرحه </w:t>
      </w:r>
      <w:proofErr w:type="spellStart"/>
      <w:r w:rsidRPr="00ED5D0F">
        <w:rPr>
          <w:rFonts w:ascii="Simplified Arabic" w:eastAsia="Times New Roman" w:hAnsi="Simplified Arabic" w:cs="Simplified Arabic"/>
          <w:color w:val="000000" w:themeColor="text1"/>
          <w:kern w:val="0"/>
          <w:sz w:val="28"/>
          <w:szCs w:val="28"/>
          <w:rtl/>
          <w14:ligatures w14:val="none"/>
        </w:rPr>
        <w:t>أوغونسولا</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Ogunsola</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2021) </w:t>
      </w:r>
      <w:r w:rsidRPr="00ED5D0F">
        <w:rPr>
          <w:rFonts w:ascii="Simplified Arabic" w:eastAsia="Times New Roman" w:hAnsi="Simplified Arabic" w:cs="Simplified Arabic"/>
          <w:color w:val="000000" w:themeColor="text1"/>
          <w:kern w:val="0"/>
          <w:sz w:val="28"/>
          <w:szCs w:val="28"/>
          <w:rtl/>
          <w14:ligatures w14:val="none"/>
        </w:rPr>
        <w:t>من أُطر منهجية لتقييم المخاطر الامتثالية. وقد جرى تبنّي أربعة أبعاد رئيسة تنسجم مع الطابع التنظيمي للهيئة العامة للعقار في المملكة العربية السعودية، وهي: تحديد مخاطر الامتثال، وتقييم مخاطر الامتثال، والرقابة على الامتثال، والاستجابة لمخاطر الامتثال</w:t>
      </w:r>
      <w:r w:rsidRPr="00ED5D0F">
        <w:rPr>
          <w:rFonts w:ascii="Simplified Arabic" w:eastAsia="Times New Roman" w:hAnsi="Simplified Arabic" w:cs="Simplified Arabic"/>
          <w:color w:val="000000" w:themeColor="text1"/>
          <w:kern w:val="0"/>
          <w:sz w:val="28"/>
          <w:szCs w:val="28"/>
          <w14:ligatures w14:val="none"/>
        </w:rPr>
        <w:t>.</w:t>
      </w:r>
    </w:p>
    <w:p w14:paraId="211F3649"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البُعد الأول: تحديد مخاطر الامتثال</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يُمثّل هذا البُعد المنطلق المنهجي لإدارة مخاطر الامتثال، إذ يَنصبّ على قدرة المنظمة على رصد المخاطر التنظيمية والقانونية الكامنة في بيئتها الداخلية والخارجية، وتصنيفها بحسب طبيعتها ومصدرها، وتحديد مواطن الضعف </w:t>
      </w:r>
      <w:proofErr w:type="spellStart"/>
      <w:r w:rsidRPr="00ED5D0F">
        <w:rPr>
          <w:rFonts w:ascii="Simplified Arabic" w:eastAsia="Times New Roman" w:hAnsi="Simplified Arabic" w:cs="Simplified Arabic"/>
          <w:color w:val="000000" w:themeColor="text1"/>
          <w:kern w:val="0"/>
          <w:sz w:val="28"/>
          <w:szCs w:val="28"/>
          <w:rtl/>
          <w14:ligatures w14:val="none"/>
        </w:rPr>
        <w:t>الامتثالي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في عملياتها وإجراءاتها. وتستوجب عملية التحديد فهمًا عميقًا للبيئة التنظيمية التي تعمل فيها المنظمة، ومتابعة مستمرة للتطورات التشريعية </w:t>
      </w:r>
      <w:r w:rsidRPr="00ED5D0F">
        <w:rPr>
          <w:rFonts w:ascii="Simplified Arabic" w:eastAsia="Times New Roman" w:hAnsi="Simplified Arabic" w:cs="Simplified Arabic"/>
          <w:color w:val="000000" w:themeColor="text1"/>
          <w:kern w:val="0"/>
          <w:sz w:val="28"/>
          <w:szCs w:val="28"/>
          <w:rtl/>
          <w14:ligatures w14:val="none"/>
        </w:rPr>
        <w:lastRenderedPageBreak/>
        <w:t xml:space="preserve">والرقابية، وتحليلًا منهجيًا للعمليات الداخلية لاستكشاف نقاط التماسّ المحتملة مع المخالفات النظامية. ويُشير </w:t>
      </w:r>
      <w:proofErr w:type="spellStart"/>
      <w:r w:rsidRPr="00ED5D0F">
        <w:rPr>
          <w:rFonts w:ascii="Simplified Arabic" w:eastAsia="Times New Roman" w:hAnsi="Simplified Arabic" w:cs="Simplified Arabic"/>
          <w:color w:val="000000" w:themeColor="text1"/>
          <w:kern w:val="0"/>
          <w:sz w:val="28"/>
          <w:szCs w:val="28"/>
          <w:rtl/>
          <w14:ligatures w14:val="none"/>
        </w:rPr>
        <w:t>أوغونسولا</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Ogunsola</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2021) </w:t>
      </w:r>
      <w:r w:rsidRPr="00ED5D0F">
        <w:rPr>
          <w:rFonts w:ascii="Simplified Arabic" w:eastAsia="Times New Roman" w:hAnsi="Simplified Arabic" w:cs="Simplified Arabic"/>
          <w:color w:val="000000" w:themeColor="text1"/>
          <w:kern w:val="0"/>
          <w:sz w:val="28"/>
          <w:szCs w:val="28"/>
          <w:rtl/>
          <w14:ligatures w14:val="none"/>
        </w:rPr>
        <w:t>إلى أن فاعلية هذا البُعد تتوقّف على توافر منهجية واضحة لرسم خرائط المخاطر، وتفعيل دور الإدارات المعنية في رفع التقارير عن المخاطر الناشئة في نطاق اختصاصها، وبناء قواعد بيانات محدّثة عن المخاطر الامتثالية المرصودة وتطوّرها</w:t>
      </w:r>
      <w:r w:rsidRPr="00ED5D0F">
        <w:rPr>
          <w:rFonts w:ascii="Simplified Arabic" w:eastAsia="Times New Roman" w:hAnsi="Simplified Arabic" w:cs="Simplified Arabic"/>
          <w:color w:val="000000" w:themeColor="text1"/>
          <w:kern w:val="0"/>
          <w:sz w:val="28"/>
          <w:szCs w:val="28"/>
          <w14:ligatures w14:val="none"/>
        </w:rPr>
        <w:t>.</w:t>
      </w:r>
    </w:p>
    <w:p w14:paraId="4572631D"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وفي السياق الذي تعمل فيه الهيئة العامة للعقار، يكتسب هذا البُعد طابعًا خاصًا نظرًا لتعدّد الأنظمة العقارية وتشعّبها وتسارع التحديثات التشريعية في القطاع العقاري السعودي. ويتطلّب التحديد الفاعل في هذا السياق قدرة الهيئة على تتبّع التحديثات النظامية واستيعابها، ورصد الفجوات بين الممارسة الفعلية والمتطلبات المستحدثة، فضلًا عن تحليل الإشارات الصادرة من البيئة الخارجية، كالشكاوى والتظلّمات وتقارير الجهات الرقابية، بوصفها مؤشرات على مخاطر امتثالية محتملة. كما يستلزم التحديد بناء قدرات بشرية مؤهّلة للتعرّف على المخاطر في طور مبكر، إذ إن المخاطر التي لا تُرصد لا يمكن إدارتها</w:t>
      </w:r>
      <w:r w:rsidRPr="00ED5D0F">
        <w:rPr>
          <w:rFonts w:ascii="Simplified Arabic" w:eastAsia="Times New Roman" w:hAnsi="Simplified Arabic" w:cs="Simplified Arabic"/>
          <w:color w:val="000000" w:themeColor="text1"/>
          <w:kern w:val="0"/>
          <w:sz w:val="28"/>
          <w:szCs w:val="28"/>
          <w14:ligatures w14:val="none"/>
        </w:rPr>
        <w:t>.</w:t>
      </w:r>
    </w:p>
    <w:p w14:paraId="50512C25"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البُعد الثاني: تقييم مخاطر الامتثال</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ينتقل هذا البُعد بعد رصد المخاطر إلى قياس حجمها وأولويتها، وذلك عبر منهجيات تستند إلى عاملي الاحتمالية والأثر. ويتطلّب التقييم الفاعل الجمع بين الأدوات الكمية، التي تُسعّر المخاطر باستخدام مؤشرات قابلة للقياس، والأدوات النوعية التي تستند إلى أحكام الخبراء وتُتيح استيعاب الأبعاد التي يصعب قياسها رقميًا. ويذهب </w:t>
      </w:r>
      <w:proofErr w:type="spellStart"/>
      <w:r w:rsidRPr="00ED5D0F">
        <w:rPr>
          <w:rFonts w:ascii="Simplified Arabic" w:eastAsia="Times New Roman" w:hAnsi="Simplified Arabic" w:cs="Simplified Arabic"/>
          <w:color w:val="000000" w:themeColor="text1"/>
          <w:kern w:val="0"/>
          <w:sz w:val="28"/>
          <w:szCs w:val="28"/>
          <w:rtl/>
          <w14:ligatures w14:val="none"/>
        </w:rPr>
        <w:t>نكوتو</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Nkuutu</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2021) </w:t>
      </w:r>
      <w:r w:rsidRPr="00ED5D0F">
        <w:rPr>
          <w:rFonts w:ascii="Simplified Arabic" w:eastAsia="Times New Roman" w:hAnsi="Simplified Arabic" w:cs="Simplified Arabic"/>
          <w:color w:val="000000" w:themeColor="text1"/>
          <w:kern w:val="0"/>
          <w:sz w:val="28"/>
          <w:szCs w:val="28"/>
          <w:rtl/>
          <w14:ligatures w14:val="none"/>
        </w:rPr>
        <w:t>إلى أن تقييم المخاطر الامتثالية يقتضي اعتماد سلّم مدرّج يُمكّن المنظمة من ترتيب المخاطر بحسب درجة حرجيّتها، بما يُتيح توجيه الموارد الرقابية إلى المناطق الأشدّ خطرًا، ويحول دون إهدار الجهد على مخاطر هامشية</w:t>
      </w:r>
      <w:r w:rsidRPr="00ED5D0F">
        <w:rPr>
          <w:rFonts w:ascii="Simplified Arabic" w:eastAsia="Times New Roman" w:hAnsi="Simplified Arabic" w:cs="Simplified Arabic"/>
          <w:color w:val="000000" w:themeColor="text1"/>
          <w:kern w:val="0"/>
          <w:sz w:val="28"/>
          <w:szCs w:val="28"/>
          <w14:ligatures w14:val="none"/>
        </w:rPr>
        <w:t>.</w:t>
      </w:r>
    </w:p>
    <w:p w14:paraId="551774C3"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ويستوجب التقييم في سياق الجهات التنظيمية تطوير مصفوفات مخاطر تجمع بين حجم المخالفة المحتملة وأثرها على ثقة الجمهور وسمعة الهيئة، وعلى استقرار القطاع الذي تشرف عليه. كما يتطلّب اعتبار البُعد الزمني، إذ إن بعض المخاطر تتطوّر بسرعة وتستلزم إعادة تقييم دورية، في حين يبقى بعضها مستقرًا نسبيًا. ويُلاحظ كذلك أن دقّة التقييم تتوقّف على جودة البيانات المتاحة، مما يُبرز أهمية الربط بين هذا البُعد ووظيفة المعلومات الإدارية في المنظمة، وضرورة بناء نظم معلوماتية قادرة على تغذية عملية التقييم بمدخلات موثوقة ومحدّثة</w:t>
      </w:r>
      <w:r w:rsidRPr="00ED5D0F">
        <w:rPr>
          <w:rFonts w:ascii="Simplified Arabic" w:eastAsia="Times New Roman" w:hAnsi="Simplified Arabic" w:cs="Simplified Arabic"/>
          <w:color w:val="000000" w:themeColor="text1"/>
          <w:kern w:val="0"/>
          <w:sz w:val="28"/>
          <w:szCs w:val="28"/>
          <w14:ligatures w14:val="none"/>
        </w:rPr>
        <w:t>.</w:t>
      </w:r>
    </w:p>
    <w:p w14:paraId="7FE73733"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البُعد الثالث: الرقابة على الامتثال</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يُشكّل هذا البُعد الجانب التنفيذي المستمر في منظومة إدارة مخاطر الامتثال، إذ يتمثّل في الأنشطة الرقابية </w:t>
      </w:r>
      <w:proofErr w:type="spellStart"/>
      <w:r w:rsidRPr="00ED5D0F">
        <w:rPr>
          <w:rFonts w:ascii="Simplified Arabic" w:eastAsia="Times New Roman" w:hAnsi="Simplified Arabic" w:cs="Simplified Arabic"/>
          <w:color w:val="000000" w:themeColor="text1"/>
          <w:kern w:val="0"/>
          <w:sz w:val="28"/>
          <w:szCs w:val="28"/>
          <w:rtl/>
          <w14:ligatures w14:val="none"/>
        </w:rPr>
        <w:t>والإشرافية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التي تتولّاها المنظمة لمتابعة مستوى الالتزام بالأنظمة واللوائح المعتمدة. ويُبيّن الزعبي والحايك (٢٠٢٢) أن الأنشطة الرقابية الفاعلة تتضمّن جملة من الضوابط </w:t>
      </w:r>
      <w:r w:rsidRPr="00ED5D0F">
        <w:rPr>
          <w:rFonts w:ascii="Simplified Arabic" w:eastAsia="Times New Roman" w:hAnsi="Simplified Arabic" w:cs="Simplified Arabic"/>
          <w:color w:val="000000" w:themeColor="text1"/>
          <w:kern w:val="0"/>
          <w:sz w:val="28"/>
          <w:szCs w:val="28"/>
          <w:rtl/>
          <w14:ligatures w14:val="none"/>
        </w:rPr>
        <w:lastRenderedPageBreak/>
        <w:t xml:space="preserve">الوقائية التي تحول دون وقوع المخالفات، وضوابط كاشفة ترصد المخالفات حال وقوعها، وأخرى تصحيحية تُعالج آثارها. وتتعدّد أدوات الرقابة في هذا البُعد، فتشمل المراجعات الدورية، والتحقّق من سلامة الإجراءات، ومتابعة مؤشرات الأداء </w:t>
      </w:r>
      <w:proofErr w:type="spellStart"/>
      <w:r w:rsidRPr="00ED5D0F">
        <w:rPr>
          <w:rFonts w:ascii="Simplified Arabic" w:eastAsia="Times New Roman" w:hAnsi="Simplified Arabic" w:cs="Simplified Arabic"/>
          <w:color w:val="000000" w:themeColor="text1"/>
          <w:kern w:val="0"/>
          <w:sz w:val="28"/>
          <w:szCs w:val="28"/>
          <w:rtl/>
          <w14:ligatures w14:val="none"/>
        </w:rPr>
        <w:t>الامتثالي</w:t>
      </w:r>
      <w:proofErr w:type="spellEnd"/>
      <w:r w:rsidRPr="00ED5D0F">
        <w:rPr>
          <w:rFonts w:ascii="Simplified Arabic" w:eastAsia="Times New Roman" w:hAnsi="Simplified Arabic" w:cs="Simplified Arabic"/>
          <w:color w:val="000000" w:themeColor="text1"/>
          <w:kern w:val="0"/>
          <w:sz w:val="28"/>
          <w:szCs w:val="28"/>
          <w:rtl/>
          <w14:ligatures w14:val="none"/>
        </w:rPr>
        <w:t>، وفحص العيّنات، والتدقيق الميداني</w:t>
      </w:r>
      <w:r w:rsidRPr="00ED5D0F">
        <w:rPr>
          <w:rFonts w:ascii="Simplified Arabic" w:eastAsia="Times New Roman" w:hAnsi="Simplified Arabic" w:cs="Simplified Arabic"/>
          <w:color w:val="000000" w:themeColor="text1"/>
          <w:kern w:val="0"/>
          <w:sz w:val="28"/>
          <w:szCs w:val="28"/>
          <w14:ligatures w14:val="none"/>
        </w:rPr>
        <w:t>.</w:t>
      </w:r>
    </w:p>
    <w:p w14:paraId="643DA1FA"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وفي البيئة التنظيمية المعاصرة، يتنامى دور الرقابة الإلكترونية والآلية، إذ تُتيح نظم المعلومات إمكانية الرقابة المستمرة على العمليات بصورة آنية، وتولّد تنبيهات فورية عند رصد انحرافات عن المعايير المعتمدة. ويُسهم هذا التطوّر في تحوّل الرقابة من نشاط دوري متقطّع إلى منظومة مستمرة وعالية الكفاءة. ويتطلّب البُعد الرقابي في الهيئة العامة للعقار توافر آليات لمتابعة أنشطة الجهات الخاضعة للإشراف، ومتابعة الالتزام الداخلي للهيئة ذاتها بالأنظمة المنظِّمة لعملها. كما يستلزم استقلالية وظيفة الرقابة بما يُمكّنها من أداء دورها بحيادية بعيدًا عن أي تأثيرات قد تُضعف </w:t>
      </w:r>
      <w:proofErr w:type="spellStart"/>
      <w:r w:rsidRPr="00ED5D0F">
        <w:rPr>
          <w:rFonts w:ascii="Simplified Arabic" w:eastAsia="Times New Roman" w:hAnsi="Simplified Arabic" w:cs="Simplified Arabic"/>
          <w:color w:val="000000" w:themeColor="text1"/>
          <w:kern w:val="0"/>
          <w:sz w:val="28"/>
          <w:szCs w:val="28"/>
          <w:rtl/>
          <w14:ligatures w14:val="none"/>
        </w:rPr>
        <w:t>موضوعيتها</w:t>
      </w:r>
      <w:proofErr w:type="spellEnd"/>
      <w:r w:rsidRPr="00ED5D0F">
        <w:rPr>
          <w:rFonts w:ascii="Simplified Arabic" w:eastAsia="Times New Roman" w:hAnsi="Simplified Arabic" w:cs="Simplified Arabic"/>
          <w:color w:val="000000" w:themeColor="text1"/>
          <w:kern w:val="0"/>
          <w:sz w:val="28"/>
          <w:szCs w:val="28"/>
          <w:rtl/>
          <w14:ligatures w14:val="none"/>
        </w:rPr>
        <w:t>، وتزويد القائمين عليها بصلاحيات تتناسب مع المسؤوليات الملقاة على عاتقهم</w:t>
      </w:r>
      <w:r w:rsidRPr="00ED5D0F">
        <w:rPr>
          <w:rFonts w:ascii="Simplified Arabic" w:eastAsia="Times New Roman" w:hAnsi="Simplified Arabic" w:cs="Simplified Arabic"/>
          <w:color w:val="000000" w:themeColor="text1"/>
          <w:kern w:val="0"/>
          <w:sz w:val="28"/>
          <w:szCs w:val="28"/>
          <w14:ligatures w14:val="none"/>
        </w:rPr>
        <w:t>.</w:t>
      </w:r>
    </w:p>
    <w:p w14:paraId="2B7BD6CD"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البُعد الرابع: الاستجابة لمخاطر الامتثال</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يُمثّل هذا البُعد المرحلة التي تتحوّل فيها مخرجات التحديد والتقييم والرقابة إلى أفعال ملموسة تتعامل مع المخاطر الامتثالية، سواء عبر إجراءات وقائية تستهدف الحدّ من احتمالية الحدوث، أو تصحيحية تُعالج المخالفات بعد وقوعها. وتشمل الاستجابة الفاعلة، وفق ما يُبرزه </w:t>
      </w:r>
      <w:proofErr w:type="spellStart"/>
      <w:r w:rsidRPr="00ED5D0F">
        <w:rPr>
          <w:rFonts w:ascii="Simplified Arabic" w:eastAsia="Times New Roman" w:hAnsi="Simplified Arabic" w:cs="Simplified Arabic"/>
          <w:color w:val="000000" w:themeColor="text1"/>
          <w:kern w:val="0"/>
          <w:sz w:val="28"/>
          <w:szCs w:val="28"/>
          <w:rtl/>
          <w14:ligatures w14:val="none"/>
        </w:rPr>
        <w:t>أديغوكي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rtl/>
          <w14:ligatures w14:val="none"/>
        </w:rPr>
        <w:t>وأكينولا</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Adegoke</w:t>
      </w:r>
      <w:proofErr w:type="spellEnd"/>
      <w:r w:rsidRPr="00ED5D0F">
        <w:rPr>
          <w:rFonts w:ascii="Simplified Arabic" w:eastAsia="Times New Roman" w:hAnsi="Simplified Arabic" w:cs="Simplified Arabic"/>
          <w:color w:val="000000" w:themeColor="text1"/>
          <w:kern w:val="0"/>
          <w:sz w:val="28"/>
          <w:szCs w:val="28"/>
          <w14:ligatures w14:val="none"/>
        </w:rPr>
        <w:t xml:space="preserve"> &amp; </w:t>
      </w:r>
      <w:proofErr w:type="spellStart"/>
      <w:r w:rsidRPr="00ED5D0F">
        <w:rPr>
          <w:rFonts w:ascii="Simplified Arabic" w:eastAsia="Times New Roman" w:hAnsi="Simplified Arabic" w:cs="Simplified Arabic"/>
          <w:color w:val="000000" w:themeColor="text1"/>
          <w:kern w:val="0"/>
          <w:sz w:val="28"/>
          <w:szCs w:val="28"/>
          <w14:ligatures w14:val="none"/>
        </w:rPr>
        <w:t>Akinola</w:t>
      </w:r>
      <w:proofErr w:type="spellEnd"/>
      <w:r w:rsidRPr="00ED5D0F">
        <w:rPr>
          <w:rFonts w:ascii="Simplified Arabic" w:eastAsia="Times New Roman" w:hAnsi="Simplified Arabic" w:cs="Simplified Arabic"/>
          <w:color w:val="000000" w:themeColor="text1"/>
          <w:kern w:val="0"/>
          <w:sz w:val="28"/>
          <w:szCs w:val="28"/>
          <w14:ligatures w14:val="none"/>
        </w:rPr>
        <w:t>, 2025)</w:t>
      </w:r>
      <w:r w:rsidRPr="00ED5D0F">
        <w:rPr>
          <w:rFonts w:ascii="Simplified Arabic" w:eastAsia="Times New Roman" w:hAnsi="Simplified Arabic" w:cs="Simplified Arabic"/>
          <w:color w:val="000000" w:themeColor="text1"/>
          <w:kern w:val="0"/>
          <w:sz w:val="28"/>
          <w:szCs w:val="28"/>
          <w:rtl/>
          <w14:ligatures w14:val="none"/>
        </w:rPr>
        <w:t>، تصميم خطط استجابة موثّقة وواضحة المسؤوليات، وتحديد قنوات التصعيد بحسب درجة خطورة المخالفة، وإحكام آليات التواصل مع الجهات الرقابية الخارجية حين يستوجب ذلك، وتوفير موارد كافية لتنفيذ خطط الاستجابة بفاعلية وفي الوقت المناسب</w:t>
      </w:r>
      <w:r w:rsidRPr="00ED5D0F">
        <w:rPr>
          <w:rFonts w:ascii="Simplified Arabic" w:eastAsia="Times New Roman" w:hAnsi="Simplified Arabic" w:cs="Simplified Arabic"/>
          <w:color w:val="000000" w:themeColor="text1"/>
          <w:kern w:val="0"/>
          <w:sz w:val="28"/>
          <w:szCs w:val="28"/>
          <w14:ligatures w14:val="none"/>
        </w:rPr>
        <w:t>.</w:t>
      </w:r>
    </w:p>
    <w:p w14:paraId="48EC4E4A"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ويُلاحظ أن الاستجابة لا تقتصر على معالجة الحالات الفردية، بل تمتدّ إلى استخلاص الدروس منها، وتعديل السياسات والإجراءات بما يحول دون تكرار المخالفة، وتطوير المنظومة بأكملها استنادًا إلى التغذية الراجعة المستمدّة من حالات عدم الامتثال السابقة. وتقتضي الاستجابة في الهيئة العامة للعقار توافر مرونة مؤسسية تُمكّنها من التكيّف مع المخاطر المستجدّة، وقدرة على اتخاذ قرارات سريعة عند الحاجة، إلى جانب التزام بمبدأ التناسب بين شدّة المخالفة وحجم الاستجابة. كما تستوجب بناء ذاكرة مؤسسية تحفظ تجارب المعالجة السابقة، وتُتيح الاستفادة منها في صقل القدرات وتطوير الكفاءات</w:t>
      </w:r>
      <w:r w:rsidRPr="00ED5D0F">
        <w:rPr>
          <w:rFonts w:ascii="Simplified Arabic" w:eastAsia="Times New Roman" w:hAnsi="Simplified Arabic" w:cs="Simplified Arabic"/>
          <w:color w:val="000000" w:themeColor="text1"/>
          <w:kern w:val="0"/>
          <w:sz w:val="28"/>
          <w:szCs w:val="28"/>
          <w14:ligatures w14:val="none"/>
        </w:rPr>
        <w:t>.</w:t>
      </w:r>
    </w:p>
    <w:p w14:paraId="2C84423A" w14:textId="71381FFE" w:rsidR="00B8416F" w:rsidRPr="00ED5D0F" w:rsidRDefault="00925511" w:rsidP="009255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577140"/>
      <w:r w:rsidRPr="00ED5D0F">
        <w:rPr>
          <w:rFonts w:ascii="Simplified Arabic" w:eastAsia="Times New Roman" w:hAnsi="Simplified Arabic" w:cs="Simplified Arabic" w:hint="cs"/>
          <w:b/>
          <w:bCs/>
          <w:color w:val="000000" w:themeColor="text1"/>
          <w:kern w:val="0"/>
          <w:sz w:val="32"/>
          <w:szCs w:val="32"/>
          <w:rtl/>
          <w14:ligatures w14:val="none"/>
        </w:rPr>
        <w:t>6.1.2</w:t>
      </w:r>
      <w:r w:rsidR="00B8416F" w:rsidRPr="00ED5D0F">
        <w:rPr>
          <w:rFonts w:ascii="Simplified Arabic" w:eastAsia="Times New Roman" w:hAnsi="Simplified Arabic" w:cs="Simplified Arabic"/>
          <w:b/>
          <w:bCs/>
          <w:color w:val="000000" w:themeColor="text1"/>
          <w:kern w:val="0"/>
          <w:sz w:val="32"/>
          <w:szCs w:val="32"/>
          <w:rtl/>
          <w14:ligatures w14:val="none"/>
        </w:rPr>
        <w:t xml:space="preserve"> استراتيجيات إدارة مخاطر الامتثال ومداخلها</w:t>
      </w:r>
      <w:bookmarkEnd w:id="47"/>
    </w:p>
    <w:p w14:paraId="68ED80A3"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lastRenderedPageBreak/>
        <w:t>تتعدّد الاستراتيجيات التي تتبنّاها المنظمات في إدارة مخاطر الامتثال بتعدّد سياقاتها وأحجامها وطبيعة نشاطها. ومن أبرز هذه الاستراتيجيات استراتيجية التجنّب التي تقوم على الامتناع عن الأنشطة التي ينطوي عليها انكشاف امتثالي مرتفع لا يتناسب مع قابلية المنظمة لتحمّل المخاطر. وتُعدّ هذه الاستراتيجية مناسبة في الحالات التي تكون فيها كلفة الاستجابة المحتملة باهظة قياسًا بالعائد المتوقّع من النشاط. وتُكمّلها استراتيجية التخفيف التي تستهدف تقليل احتمالية حدوث المخاطر أو أثرها عبر تحسين الضوابط الداخلية وتطوير الإجراءات وبناء الكفاءات، وهي الاستراتيجية الأكثر شيوعًا في الجهات التنظيمية التي تجد نفسها مُلزَمة بأداء مهامها بصرف النظر عن المخاطر المصاحبة</w:t>
      </w:r>
      <w:r w:rsidRPr="00ED5D0F">
        <w:rPr>
          <w:rFonts w:ascii="Simplified Arabic" w:eastAsia="Times New Roman" w:hAnsi="Simplified Arabic" w:cs="Simplified Arabic"/>
          <w:color w:val="000000" w:themeColor="text1"/>
          <w:kern w:val="0"/>
          <w:sz w:val="28"/>
          <w:szCs w:val="28"/>
          <w14:ligatures w14:val="none"/>
        </w:rPr>
        <w:t xml:space="preserve"> (Tan &amp; Lee, 2022).</w:t>
      </w:r>
    </w:p>
    <w:p w14:paraId="7A6CD7AF"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وتتصل بذلك استراتيجية النقل التي تنطوي على تحويل بعض المخاطر الامتثالية إلى أطراف أخرى عبر التعاقد أو التأمين أو الإسناد الخارجي، وإن كانت تطبيقاتها في الجهات الحكومية محدودة قياسًا بالقطاع الخاص. أما استراتيجية القبول فتقوم على تحمّل المخاطر التي يقع أثرها المتوقّع ضمن قابلية المنظمة للتحمّل، وذلك بعد تقييم مدروس يُثبت أن كلفة المعالجة تتجاوز كلفة القبول. ويُبرز </w:t>
      </w:r>
      <w:proofErr w:type="spellStart"/>
      <w:r w:rsidRPr="00ED5D0F">
        <w:rPr>
          <w:rFonts w:ascii="Simplified Arabic" w:eastAsia="Times New Roman" w:hAnsi="Simplified Arabic" w:cs="Simplified Arabic"/>
          <w:color w:val="000000" w:themeColor="text1"/>
          <w:kern w:val="0"/>
          <w:sz w:val="28"/>
          <w:szCs w:val="28"/>
          <w:rtl/>
          <w14:ligatures w14:val="none"/>
        </w:rPr>
        <w:t>شيراني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rtl/>
          <w14:ligatures w14:val="none"/>
        </w:rPr>
        <w:t>وسريغار</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Chairani</w:t>
      </w:r>
      <w:proofErr w:type="spellEnd"/>
      <w:r w:rsidRPr="00ED5D0F">
        <w:rPr>
          <w:rFonts w:ascii="Simplified Arabic" w:eastAsia="Times New Roman" w:hAnsi="Simplified Arabic" w:cs="Simplified Arabic"/>
          <w:color w:val="000000" w:themeColor="text1"/>
          <w:kern w:val="0"/>
          <w:sz w:val="28"/>
          <w:szCs w:val="28"/>
          <w14:ligatures w14:val="none"/>
        </w:rPr>
        <w:t xml:space="preserve"> &amp; </w:t>
      </w:r>
      <w:proofErr w:type="spellStart"/>
      <w:r w:rsidRPr="00ED5D0F">
        <w:rPr>
          <w:rFonts w:ascii="Simplified Arabic" w:eastAsia="Times New Roman" w:hAnsi="Simplified Arabic" w:cs="Simplified Arabic"/>
          <w:color w:val="000000" w:themeColor="text1"/>
          <w:kern w:val="0"/>
          <w:sz w:val="28"/>
          <w:szCs w:val="28"/>
          <w14:ligatures w14:val="none"/>
        </w:rPr>
        <w:t>Siregar</w:t>
      </w:r>
      <w:proofErr w:type="spellEnd"/>
      <w:r w:rsidRPr="00ED5D0F">
        <w:rPr>
          <w:rFonts w:ascii="Simplified Arabic" w:eastAsia="Times New Roman" w:hAnsi="Simplified Arabic" w:cs="Simplified Arabic"/>
          <w:color w:val="000000" w:themeColor="text1"/>
          <w:kern w:val="0"/>
          <w:sz w:val="28"/>
          <w:szCs w:val="28"/>
          <w14:ligatures w14:val="none"/>
        </w:rPr>
        <w:t xml:space="preserve">, 2021) </w:t>
      </w:r>
      <w:r w:rsidRPr="00ED5D0F">
        <w:rPr>
          <w:rFonts w:ascii="Simplified Arabic" w:eastAsia="Times New Roman" w:hAnsi="Simplified Arabic" w:cs="Simplified Arabic"/>
          <w:color w:val="000000" w:themeColor="text1"/>
          <w:kern w:val="0"/>
          <w:sz w:val="28"/>
          <w:szCs w:val="28"/>
          <w:rtl/>
          <w14:ligatures w14:val="none"/>
        </w:rPr>
        <w:t>أهمية الجمع بين هذه الاستراتيجيات في إطار متكامل لإدارة المخاطر المؤسسية يكفل المواءمة بينها وبين أهداف المنظمة</w:t>
      </w:r>
      <w:r w:rsidRPr="00ED5D0F">
        <w:rPr>
          <w:rFonts w:ascii="Simplified Arabic" w:eastAsia="Times New Roman" w:hAnsi="Simplified Arabic" w:cs="Simplified Arabic"/>
          <w:color w:val="000000" w:themeColor="text1"/>
          <w:kern w:val="0"/>
          <w:sz w:val="28"/>
          <w:szCs w:val="28"/>
          <w14:ligatures w14:val="none"/>
        </w:rPr>
        <w:t>.</w:t>
      </w:r>
    </w:p>
    <w:p w14:paraId="3C9B590C"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ومن المداخل الحاكمة لإدارة مخاطر الامتثال، يبرز مدخل خطوط الدفاع الثلاثة الذي يُوزّع المسؤوليات بين وحدات الأعمال بوصفها خط الدفاع الأول، ووظائف الامتثال وإدارة المخاطر بوصفها خط الدفاع الثاني، والمراجعة الداخلية بوصفها خط الدفاع الثالث. ويُتيح هذا المدخل توزيعًا واضحًا للأدوار يحول دون التداخل أو الإغفال. ويُكمّله مدخل الحوكمة والمخاطر والامتثال الذي يدمج الوظائف الثلاث في منظومة واحدة متّسقة بما يُحقّق وفورات في الموارد ويُحسّن جودة القرارات</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Handoko</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2020).</w:t>
      </w:r>
    </w:p>
    <w:p w14:paraId="2EB40098"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ويُضاف إلى ذلك المدخل القائم على المخاطر، الذي يُوجّه الموارد الرقابية بحسب درجة خطورة المخاطر المرصودة، بدلًا من توزيعها بصورة متماثلة على جميع الأنشطة، بما يُحقّق كفاءة أعلى في استخدام الموارد. ويُبرز </w:t>
      </w:r>
      <w:proofErr w:type="spellStart"/>
      <w:r w:rsidRPr="00ED5D0F">
        <w:rPr>
          <w:rFonts w:ascii="Simplified Arabic" w:eastAsia="Times New Roman" w:hAnsi="Simplified Arabic" w:cs="Simplified Arabic"/>
          <w:color w:val="000000" w:themeColor="text1"/>
          <w:kern w:val="0"/>
          <w:sz w:val="28"/>
          <w:szCs w:val="28"/>
          <w:rtl/>
          <w14:ligatures w14:val="none"/>
        </w:rPr>
        <w:t>إيفونيي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Efunniyi</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2024) </w:t>
      </w:r>
      <w:r w:rsidRPr="00ED5D0F">
        <w:rPr>
          <w:rFonts w:ascii="Simplified Arabic" w:eastAsia="Times New Roman" w:hAnsi="Simplified Arabic" w:cs="Simplified Arabic"/>
          <w:color w:val="000000" w:themeColor="text1"/>
          <w:kern w:val="0"/>
          <w:sz w:val="28"/>
          <w:szCs w:val="28"/>
          <w:rtl/>
          <w14:ligatures w14:val="none"/>
        </w:rPr>
        <w:t xml:space="preserve">أهمية مدخل الثقافة المؤسسية الذي يَعدّ ترسيخ قيم النزاهة والشفافية في الوعي الجمعي للعاملين شرطًا جوهريًا لفاعلية أي منظومة امتثال، إذ إن الضوابط الإجرائية وحدها لا تكفي ما لم تُسنَد بثقافة داعمة. ويُلاحظ في هذا السياق التحوّل الراهن نحو توظيف الذكاء الاصطناعي وتحليل البيانات الضخمة في خدمة الامتثال، كما يُشير </w:t>
      </w:r>
      <w:proofErr w:type="spellStart"/>
      <w:r w:rsidRPr="00ED5D0F">
        <w:rPr>
          <w:rFonts w:ascii="Simplified Arabic" w:eastAsia="Times New Roman" w:hAnsi="Simplified Arabic" w:cs="Simplified Arabic"/>
          <w:color w:val="000000" w:themeColor="text1"/>
          <w:kern w:val="0"/>
          <w:sz w:val="28"/>
          <w:szCs w:val="28"/>
          <w:rtl/>
          <w14:ligatures w14:val="none"/>
        </w:rPr>
        <w:t>الأسرج</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(٢٠٢٥)، بما يفتح آفاقًا جديدة للرصد </w:t>
      </w:r>
      <w:proofErr w:type="spellStart"/>
      <w:r w:rsidRPr="00ED5D0F">
        <w:rPr>
          <w:rFonts w:ascii="Simplified Arabic" w:eastAsia="Times New Roman" w:hAnsi="Simplified Arabic" w:cs="Simplified Arabic"/>
          <w:color w:val="000000" w:themeColor="text1"/>
          <w:kern w:val="0"/>
          <w:sz w:val="28"/>
          <w:szCs w:val="28"/>
          <w:rtl/>
          <w14:ligatures w14:val="none"/>
        </w:rPr>
        <w:t>الاستباقي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وتحسين دقّة التقييم وتسريع الاستجابة</w:t>
      </w:r>
      <w:r w:rsidRPr="00ED5D0F">
        <w:rPr>
          <w:rFonts w:ascii="Simplified Arabic" w:eastAsia="Times New Roman" w:hAnsi="Simplified Arabic" w:cs="Simplified Arabic"/>
          <w:color w:val="000000" w:themeColor="text1"/>
          <w:kern w:val="0"/>
          <w:sz w:val="28"/>
          <w:szCs w:val="28"/>
          <w14:ligatures w14:val="none"/>
        </w:rPr>
        <w:t>.</w:t>
      </w:r>
    </w:p>
    <w:p w14:paraId="4A879BE3" w14:textId="431DF37F" w:rsidR="00B8416F" w:rsidRPr="00ED5D0F" w:rsidRDefault="00925511" w:rsidP="009255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577141"/>
      <w:r w:rsidRPr="00ED5D0F">
        <w:rPr>
          <w:rFonts w:ascii="Simplified Arabic" w:eastAsia="Times New Roman" w:hAnsi="Simplified Arabic" w:cs="Simplified Arabic" w:hint="cs"/>
          <w:b/>
          <w:bCs/>
          <w:color w:val="000000" w:themeColor="text1"/>
          <w:kern w:val="0"/>
          <w:sz w:val="32"/>
          <w:szCs w:val="32"/>
          <w:rtl/>
          <w14:ligatures w14:val="none"/>
        </w:rPr>
        <w:lastRenderedPageBreak/>
        <w:t>7.1.2</w:t>
      </w:r>
      <w:r w:rsidR="00B8416F" w:rsidRPr="00ED5D0F">
        <w:rPr>
          <w:rFonts w:ascii="Simplified Arabic" w:eastAsia="Times New Roman" w:hAnsi="Simplified Arabic" w:cs="Simplified Arabic"/>
          <w:b/>
          <w:bCs/>
          <w:color w:val="000000" w:themeColor="text1"/>
          <w:kern w:val="0"/>
          <w:sz w:val="32"/>
          <w:szCs w:val="32"/>
          <w:rtl/>
          <w14:ligatures w14:val="none"/>
        </w:rPr>
        <w:t xml:space="preserve"> محاور نظرية معاصرة في إدارة مخاطر الامتثال</w:t>
      </w:r>
      <w:bookmarkEnd w:id="48"/>
    </w:p>
    <w:p w14:paraId="4F74370B"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برز في الأدبيات الحديثة جملة من المحاور التي تُثري النقاش النظري حول إدارة مخاطر الامتثال، ومن أبرزها التكامل بين الامتثال وإدارة المخاطر المؤسسية، الذي يدعو إلى تجاوز النظرة المجزّأة التي تفصل بين الوظيفتين، نحو منظور تكاملي يُتيح للمنظمة رؤية شاملة لمخاطرها واستثمار التشابك بين أبعادها. كما يبرز محور الامتثال في البيئة الرقمية، إذ تُفرز التحوّلات الرقمية مخاطر امتثالية مستجدّة تتصل بحماية البيانات والخصوصية والأمن </w:t>
      </w:r>
      <w:proofErr w:type="spellStart"/>
      <w:r w:rsidRPr="00ED5D0F">
        <w:rPr>
          <w:rFonts w:ascii="Simplified Arabic" w:eastAsia="Times New Roman" w:hAnsi="Simplified Arabic" w:cs="Simplified Arabic"/>
          <w:color w:val="000000" w:themeColor="text1"/>
          <w:kern w:val="0"/>
          <w:sz w:val="28"/>
          <w:szCs w:val="28"/>
          <w:rtl/>
          <w14:ligatures w14:val="none"/>
        </w:rPr>
        <w:t>السيبراني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وتستوجب تطوير القدرات الامتثالية بصورة موازية. ويُضاف إلى ذلك محور الامتثال المستدام الذي يربط الالتزام النظامي بالأبعاد البيئية والاجتماعية، ويتعامل مع الاستدامة بوصفها التزامًا متناميًا يفرض على المنظمات تطوير منظوماتها الامتثالية. كما يحظى محور الامتثال في القطاع العام باهتمام متزايد لما له من خصوصية تتعلّق بالمساءلة العامة </w:t>
      </w:r>
      <w:proofErr w:type="spellStart"/>
      <w:r w:rsidRPr="00ED5D0F">
        <w:rPr>
          <w:rFonts w:ascii="Simplified Arabic" w:eastAsia="Times New Roman" w:hAnsi="Simplified Arabic" w:cs="Simplified Arabic"/>
          <w:color w:val="000000" w:themeColor="text1"/>
          <w:kern w:val="0"/>
          <w:sz w:val="28"/>
          <w:szCs w:val="28"/>
          <w:rtl/>
          <w14:ligatures w14:val="none"/>
        </w:rPr>
        <w:t>وحوكمة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المال العام، وهو ما يجعل تطبيقاته في جهات تنظيمية كالهيئة العامة للعقار حقلًا خصبًا للبحث والتحليل</w:t>
      </w:r>
      <w:r w:rsidRPr="00ED5D0F">
        <w:rPr>
          <w:rFonts w:ascii="Simplified Arabic" w:eastAsia="Times New Roman" w:hAnsi="Simplified Arabic" w:cs="Simplified Arabic"/>
          <w:color w:val="000000" w:themeColor="text1"/>
          <w:kern w:val="0"/>
          <w:sz w:val="28"/>
          <w:szCs w:val="28"/>
          <w14:ligatures w14:val="none"/>
        </w:rPr>
        <w:t>.</w:t>
      </w:r>
    </w:p>
    <w:p w14:paraId="50727AE7" w14:textId="5394A2DE" w:rsidR="00B8416F" w:rsidRPr="00ED5D0F" w:rsidRDefault="00925511" w:rsidP="00925511">
      <w:pPr>
        <w:jc w:val="center"/>
        <w:outlineLvl w:val="1"/>
        <w:rPr>
          <w:rFonts w:ascii="Simplified Arabic" w:eastAsia="Times New Roman" w:hAnsi="Simplified Arabic" w:cs="Simplified Arabic"/>
          <w:b/>
          <w:bCs/>
          <w:color w:val="000000" w:themeColor="text1"/>
          <w:kern w:val="0"/>
          <w:sz w:val="36"/>
          <w:szCs w:val="36"/>
          <w14:ligatures w14:val="none"/>
        </w:rPr>
      </w:pPr>
      <w:r w:rsidRPr="00ED5D0F">
        <w:rPr>
          <w:rFonts w:ascii="Simplified Arabic" w:eastAsia="Times New Roman" w:hAnsi="Simplified Arabic" w:cs="Simplified Arabic"/>
          <w:b/>
          <w:bCs/>
          <w:color w:val="000000" w:themeColor="text1"/>
          <w:kern w:val="0"/>
          <w:sz w:val="36"/>
          <w:szCs w:val="36"/>
          <w14:ligatures w14:val="none"/>
        </w:rPr>
        <w:br w:type="page"/>
      </w:r>
      <w:bookmarkStart w:id="49" w:name="_Toc233577142"/>
      <w:r w:rsidR="00B8416F" w:rsidRPr="00ED5D0F">
        <w:rPr>
          <w:rFonts w:ascii="Simplified Arabic" w:eastAsia="Times New Roman" w:hAnsi="Simplified Arabic" w:cs="Simplified Arabic"/>
          <w:b/>
          <w:bCs/>
          <w:color w:val="000000" w:themeColor="text1"/>
          <w:kern w:val="0"/>
          <w:sz w:val="36"/>
          <w:szCs w:val="36"/>
          <w:rtl/>
          <w14:ligatures w14:val="none"/>
        </w:rPr>
        <w:lastRenderedPageBreak/>
        <w:t>المبحث الثاني: جودة الحوكمة (المتغير التابع)</w:t>
      </w:r>
      <w:bookmarkEnd w:id="49"/>
    </w:p>
    <w:p w14:paraId="52E1C87B" w14:textId="24439917" w:rsidR="00B8416F" w:rsidRPr="00ED5D0F" w:rsidRDefault="00925511" w:rsidP="009255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577143"/>
      <w:r w:rsidRPr="00ED5D0F">
        <w:rPr>
          <w:rFonts w:ascii="Simplified Arabic" w:eastAsia="Times New Roman" w:hAnsi="Simplified Arabic" w:cs="Simplified Arabic" w:hint="cs"/>
          <w:b/>
          <w:bCs/>
          <w:color w:val="000000" w:themeColor="text1"/>
          <w:kern w:val="0"/>
          <w:sz w:val="32"/>
          <w:szCs w:val="32"/>
          <w:rtl/>
          <w14:ligatures w14:val="none"/>
        </w:rPr>
        <w:t xml:space="preserve">1.2.2 </w:t>
      </w:r>
      <w:r w:rsidR="00B8416F" w:rsidRPr="00ED5D0F">
        <w:rPr>
          <w:rFonts w:ascii="Simplified Arabic" w:eastAsia="Times New Roman" w:hAnsi="Simplified Arabic" w:cs="Simplified Arabic"/>
          <w:b/>
          <w:bCs/>
          <w:color w:val="000000" w:themeColor="text1"/>
          <w:kern w:val="0"/>
          <w:sz w:val="32"/>
          <w:szCs w:val="32"/>
          <w:rtl/>
          <w14:ligatures w14:val="none"/>
        </w:rPr>
        <w:t>تمهيد</w:t>
      </w:r>
      <w:bookmarkEnd w:id="50"/>
    </w:p>
    <w:p w14:paraId="3AD50B59"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تُشكّل جودة الحوكمة محورًا مركزيًا في الأدبيات الإدارية المعاصرة، إذ تعكس مدى نضج المنظومة المؤسسية وقدرتها على تحقيق التوازن بين مصالح أصحاب المصلحة وضمان استدامة الأداء. ولم يَعُد الحديث عن الحوكمة قاصرًا على وجود الهياكل والقواعد الشكلية، بل تحوّل إلى التركيز على جودة الممارسة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أي مدى فاعلية هذه الهياكل والقواعد في تحقيق الغايات المرجوّة منها. وقد تنامت أهمية هذا المفهوم في أعقاب الأزمات المالية والإدارية التي كشفت عن أن وجود الحوكمة لا يعني بالضرورة فاعليتها، وأن ثمّة فجوة قد تتسع بين الحوكمة الموثّقة على الورق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الممارَسة على أرض الواقع (الحربي، ٢٠٢١)</w:t>
      </w:r>
      <w:r w:rsidRPr="00ED5D0F">
        <w:rPr>
          <w:rFonts w:ascii="Simplified Arabic" w:eastAsia="Times New Roman" w:hAnsi="Simplified Arabic" w:cs="Simplified Arabic"/>
          <w:color w:val="000000" w:themeColor="text1"/>
          <w:kern w:val="0"/>
          <w:sz w:val="28"/>
          <w:szCs w:val="28"/>
          <w14:ligatures w14:val="none"/>
        </w:rPr>
        <w:t>.</w:t>
      </w:r>
    </w:p>
    <w:p w14:paraId="1A21280E"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ويكتسب البحث في جودة الحوكمة في الجهات الحكومية ذات الطابع التنظيمي، كالهيئة العامة للعقار في المملكة العربية السعودية، أهمية مضاعفة، إذ تتقاطع لدى هذه الجهات وظيفتان: وظيفة الإشراف على قطاع حيوي تتطلّب جودة </w:t>
      </w:r>
      <w:proofErr w:type="spellStart"/>
      <w:r w:rsidRPr="00ED5D0F">
        <w:rPr>
          <w:rFonts w:ascii="Simplified Arabic" w:eastAsia="Times New Roman" w:hAnsi="Simplified Arabic" w:cs="Simplified Arabic"/>
          <w:color w:val="000000" w:themeColor="text1"/>
          <w:kern w:val="0"/>
          <w:sz w:val="28"/>
          <w:szCs w:val="28"/>
          <w:rtl/>
          <w14:ligatures w14:val="none"/>
        </w:rPr>
        <w:t>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عالية لضمان مصداقيتها، ووظيفة تطبيق الحوكمة على ذاتها بوصفها كيانًا إداريًا. وتستوجب هذه الازدواجية بناء منظومة </w:t>
      </w:r>
      <w:proofErr w:type="spellStart"/>
      <w:r w:rsidRPr="00ED5D0F">
        <w:rPr>
          <w:rFonts w:ascii="Simplified Arabic" w:eastAsia="Times New Roman" w:hAnsi="Simplified Arabic" w:cs="Simplified Arabic"/>
          <w:color w:val="000000" w:themeColor="text1"/>
          <w:kern w:val="0"/>
          <w:sz w:val="28"/>
          <w:szCs w:val="28"/>
          <w:rtl/>
          <w14:ligatures w14:val="none"/>
        </w:rPr>
        <w:t>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متينة قادرة على الجمع بين الانفتاح على المتعاملين والمساءلة الداخلية والكفاءة التشغيلية. ويسعى هذا المبحث إلى تأصيل مفهوم جودة الحوكمة، واستجلاء أهميتها وأهدافها، وتحليل أبعادها واستراتيجيات تعزيزها، مع استعراض المحاور النظرية المعاصرة التي تُغني الفهم المعرفي لهذا المتغير</w:t>
      </w:r>
      <w:r w:rsidRPr="00ED5D0F">
        <w:rPr>
          <w:rFonts w:ascii="Simplified Arabic" w:eastAsia="Times New Roman" w:hAnsi="Simplified Arabic" w:cs="Simplified Arabic"/>
          <w:color w:val="000000" w:themeColor="text1"/>
          <w:kern w:val="0"/>
          <w:sz w:val="28"/>
          <w:szCs w:val="28"/>
          <w14:ligatures w14:val="none"/>
        </w:rPr>
        <w:t>.</w:t>
      </w:r>
    </w:p>
    <w:p w14:paraId="050A68F2" w14:textId="15077A60" w:rsidR="00B8416F" w:rsidRPr="00ED5D0F" w:rsidRDefault="00925511" w:rsidP="009255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577144"/>
      <w:r w:rsidRPr="00ED5D0F">
        <w:rPr>
          <w:rFonts w:ascii="Simplified Arabic" w:eastAsia="Times New Roman" w:hAnsi="Simplified Arabic" w:cs="Simplified Arabic" w:hint="cs"/>
          <w:b/>
          <w:bCs/>
          <w:color w:val="000000" w:themeColor="text1"/>
          <w:kern w:val="0"/>
          <w:sz w:val="32"/>
          <w:szCs w:val="32"/>
          <w:rtl/>
          <w14:ligatures w14:val="none"/>
        </w:rPr>
        <w:t>2.2.2</w:t>
      </w:r>
      <w:r w:rsidR="00B8416F" w:rsidRPr="00ED5D0F">
        <w:rPr>
          <w:rFonts w:ascii="Simplified Arabic" w:eastAsia="Times New Roman" w:hAnsi="Simplified Arabic" w:cs="Simplified Arabic"/>
          <w:b/>
          <w:bCs/>
          <w:color w:val="000000" w:themeColor="text1"/>
          <w:kern w:val="0"/>
          <w:sz w:val="32"/>
          <w:szCs w:val="32"/>
          <w:rtl/>
          <w14:ligatures w14:val="none"/>
        </w:rPr>
        <w:t xml:space="preserve"> مفهوم جودة الحوكمة</w:t>
      </w:r>
      <w:bookmarkEnd w:id="51"/>
    </w:p>
    <w:p w14:paraId="7B68C6CE"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تنوّعت تعريفات الباحثين لجودة الحوكمة بحسب الخلفيات المعرفية والسياقات التطبيقية. ويعرّفها عمار ووقاف (٢٠٢٤) بأنها مدى التزام المنظمة بتطبيق مبادئ الحوكمة من شفافية ومساءلة وعدالة ومسؤولية بصورة فاعلة تنعكس على جودة قراراتها وممارساتها، وتُسهم في تحقيق أهدافها برشد وكفاءة. ويُبرز هذا التعريف الجانب التطبيقي للحوكمة، ويُخرجها من إطار المبادئ النظرية إلى ميدان الممارسة الفعلية القابلة للقياس والتقييم</w:t>
      </w:r>
      <w:r w:rsidRPr="00ED5D0F">
        <w:rPr>
          <w:rFonts w:ascii="Simplified Arabic" w:eastAsia="Times New Roman" w:hAnsi="Simplified Arabic" w:cs="Simplified Arabic"/>
          <w:color w:val="000000" w:themeColor="text1"/>
          <w:kern w:val="0"/>
          <w:sz w:val="28"/>
          <w:szCs w:val="28"/>
          <w14:ligatures w14:val="none"/>
        </w:rPr>
        <w:t>.</w:t>
      </w:r>
    </w:p>
    <w:p w14:paraId="7D9FC431"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lastRenderedPageBreak/>
        <w:t xml:space="preserve">وفي مقاربة تكاملية، يُعرّف الماحي وأحمد (٢٠٢٣) جودة الحوكمة بأنها المستوى الذي تبلغه المنظمة في تطبيق منظومة متكاملة من الممارسات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التي تكفل توازن العلاقات بين مجلس الإدارة والإدارة التنفيذية وأصحاب المصلحة، وتُحقّق الانضباط في اتخاذ القرارات وتوزيع المسؤوليات. ويُضيف هذا التعريف بُعدًا علائقيًا يُبرز أن جودة الحوكمة تتجلّى في طبيعة العلاقات بين الفاعلين داخل المنظمة وخارجها، وليست مجرّد التزام بقواعد جامدة</w:t>
      </w:r>
      <w:r w:rsidRPr="00ED5D0F">
        <w:rPr>
          <w:rFonts w:ascii="Simplified Arabic" w:eastAsia="Times New Roman" w:hAnsi="Simplified Arabic" w:cs="Simplified Arabic"/>
          <w:color w:val="000000" w:themeColor="text1"/>
          <w:kern w:val="0"/>
          <w:sz w:val="28"/>
          <w:szCs w:val="28"/>
          <w14:ligatures w14:val="none"/>
        </w:rPr>
        <w:t>.</w:t>
      </w:r>
    </w:p>
    <w:p w14:paraId="753699A3"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ومن منظور إلكتروني، تُعرّف تلي (٢٠٢١) الحوكمة عالية الجودة بأنها تلك القائمة على توظيف التقنيات الحديثة في إدارة العلاقة بين المنظمة وأصحاب المصلحة، بما يُعزّز الشفافية ويُيسّر الوصول إلى المعلومات ويُسرّع الاستجابة لمتطلبات الجمهور. ويُشير هذا التعريف إلى البُعد التقني الذي بات يُشكّل ركيزة جوهرية في تقييم جودة الحوكمة المعاصرة، ولا سيّما في الجهات الخدمية والتنظيمية</w:t>
      </w:r>
      <w:r w:rsidRPr="00ED5D0F">
        <w:rPr>
          <w:rFonts w:ascii="Simplified Arabic" w:eastAsia="Times New Roman" w:hAnsi="Simplified Arabic" w:cs="Simplified Arabic"/>
          <w:color w:val="000000" w:themeColor="text1"/>
          <w:kern w:val="0"/>
          <w:sz w:val="28"/>
          <w:szCs w:val="28"/>
          <w14:ligatures w14:val="none"/>
        </w:rPr>
        <w:t>.</w:t>
      </w:r>
    </w:p>
    <w:p w14:paraId="4AB0FC93"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وفي اتجاه يربط الحوكمة بالمخرجات، يذهب </w:t>
      </w:r>
      <w:proofErr w:type="spellStart"/>
      <w:r w:rsidRPr="00ED5D0F">
        <w:rPr>
          <w:rFonts w:ascii="Simplified Arabic" w:eastAsia="Times New Roman" w:hAnsi="Simplified Arabic" w:cs="Simplified Arabic"/>
          <w:color w:val="000000" w:themeColor="text1"/>
          <w:kern w:val="0"/>
          <w:sz w:val="28"/>
          <w:szCs w:val="28"/>
          <w:rtl/>
          <w14:ligatures w14:val="none"/>
        </w:rPr>
        <w:t>نمديلي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وكروش (٢٠٢١) إلى أن جودة الحوكمة تتجلّى في قدرة منظومة الحوكمة على إنتاج معلومات ذات جودة عالية تخدم اتخاذ القرارات، وتُعزّز ثقة أصحاب المصلحة، وتدعم الاستقرار المالي والإداري للمنظمة. ويُحوّل هذا التعريف الانتباه من مدخلات الحوكمة إلى مخرجاتها، ويتعامل مع الجودة بوصفها محصّلة قابلة للقياس عبر طبيعة المعلومات والقرارات التي تُنتجها المنظومة</w:t>
      </w:r>
      <w:r w:rsidRPr="00ED5D0F">
        <w:rPr>
          <w:rFonts w:ascii="Simplified Arabic" w:eastAsia="Times New Roman" w:hAnsi="Simplified Arabic" w:cs="Simplified Arabic"/>
          <w:color w:val="000000" w:themeColor="text1"/>
          <w:kern w:val="0"/>
          <w:sz w:val="28"/>
          <w:szCs w:val="28"/>
          <w14:ligatures w14:val="none"/>
        </w:rPr>
        <w:t>.</w:t>
      </w:r>
    </w:p>
    <w:p w14:paraId="02D65EB6"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ومن منظور مؤسسي أوسع، يُعرّف </w:t>
      </w:r>
      <w:proofErr w:type="spellStart"/>
      <w:r w:rsidRPr="00ED5D0F">
        <w:rPr>
          <w:rFonts w:ascii="Simplified Arabic" w:eastAsia="Times New Roman" w:hAnsi="Simplified Arabic" w:cs="Simplified Arabic"/>
          <w:color w:val="000000" w:themeColor="text1"/>
          <w:kern w:val="0"/>
          <w:sz w:val="28"/>
          <w:szCs w:val="28"/>
          <w:rtl/>
          <w14:ligatures w14:val="none"/>
        </w:rPr>
        <w:t>إيفونيي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Efunniyi</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2024) </w:t>
      </w:r>
      <w:r w:rsidRPr="00ED5D0F">
        <w:rPr>
          <w:rFonts w:ascii="Simplified Arabic" w:eastAsia="Times New Roman" w:hAnsi="Simplified Arabic" w:cs="Simplified Arabic"/>
          <w:color w:val="000000" w:themeColor="text1"/>
          <w:kern w:val="0"/>
          <w:sz w:val="28"/>
          <w:szCs w:val="28"/>
          <w:rtl/>
          <w14:ligatures w14:val="none"/>
        </w:rPr>
        <w:t xml:space="preserve">جودة الحوكمة بأنها المستوى الذي تبلغه المنظمة في تعزيز المساءلة والشفافية عبر الالتزام بمعايير </w:t>
      </w:r>
      <w:proofErr w:type="spellStart"/>
      <w:r w:rsidRPr="00ED5D0F">
        <w:rPr>
          <w:rFonts w:ascii="Simplified Arabic" w:eastAsia="Times New Roman" w:hAnsi="Simplified Arabic" w:cs="Simplified Arabic"/>
          <w:color w:val="000000" w:themeColor="text1"/>
          <w:kern w:val="0"/>
          <w:sz w:val="28"/>
          <w:szCs w:val="28"/>
          <w:rtl/>
          <w14:ligatures w14:val="none"/>
        </w:rPr>
        <w:t>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متقدّمة وممارسات امتثالية رصينة، بما يُمكّنها من الاستجابة لتوقعات أصحاب المصلحة وتعزيز ثقتهم في إدارتها. ويُبرز هذا التعريف ارتباط جودة الحوكمة بالامتثال بوصفه ركيزة جوهرية لها، ويُؤكّد أن الحوكمة لا تكتسب صفة الجودة إلا حين تستند إلى منظومة امتثال متينة</w:t>
      </w:r>
      <w:r w:rsidRPr="00ED5D0F">
        <w:rPr>
          <w:rFonts w:ascii="Simplified Arabic" w:eastAsia="Times New Roman" w:hAnsi="Simplified Arabic" w:cs="Simplified Arabic"/>
          <w:color w:val="000000" w:themeColor="text1"/>
          <w:kern w:val="0"/>
          <w:sz w:val="28"/>
          <w:szCs w:val="28"/>
          <w14:ligatures w14:val="none"/>
        </w:rPr>
        <w:t>.</w:t>
      </w:r>
    </w:p>
    <w:p w14:paraId="74FC0E48"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ويُقدّم سليمان وبابكر (٢٠٢٥) تعريفًا يُبرز الجانب الأدائي، إذ يَعدّان جودة الحوكمة المستوى الذي تنعكس فيه ممارسات الحوكمة الفاعلة على جودة الأداء التنظيمي والوظيفي، بما يُحقّق الفاعلية في تحقيق الأهداف والكفاءة في استخدام الموارد. ويُكمّله الزعبي والحايك (٢٠٢٢) بربط جودة الحوكمة بفاعلية الرقابة الداخلية، حيث يَعدّان الحوكمة عالية الجودة تلك التي تُسنَد بمنظومة رقابة داخلية رشيدة قادرة على ضمان التطبيق الفعلي للمبادئ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والكشف عن أي انحرافات عنها</w:t>
      </w:r>
      <w:r w:rsidRPr="00ED5D0F">
        <w:rPr>
          <w:rFonts w:ascii="Simplified Arabic" w:eastAsia="Times New Roman" w:hAnsi="Simplified Arabic" w:cs="Simplified Arabic"/>
          <w:color w:val="000000" w:themeColor="text1"/>
          <w:kern w:val="0"/>
          <w:sz w:val="28"/>
          <w:szCs w:val="28"/>
          <w14:ligatures w14:val="none"/>
        </w:rPr>
        <w:t>.</w:t>
      </w:r>
    </w:p>
    <w:p w14:paraId="04BCD9C5"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lastRenderedPageBreak/>
        <w:t xml:space="preserve">ويتّضح مما تقدّم أن مفهوم جودة الحوكمة يدور حول ثلاثة محاور متشابكة: محور المبادئ المتمثّل في الشفافية والمساءلة والعدالة والمسؤولية، ومحور البنية المتمثّل في الهياكل والآليات والسياسات، ومحور الممارسة المتمثّل في التطبيق الفعلي وانعكاساته. ويرى الباحث في ضوء ما تقدّم أن جودة الحوكمة هي المستوى الذي تبلغه المنظمة في الترجمة الفعلية لمبادئ الحوكمة الرشيدة إلى ممارسات منهجية متّسقة، تتكامل فيها الهياكل التنظيمية والسياسات والإجراءات والثقافة المؤسسية، بما يُحقّق الشفافية والمساءلة والعدالة والكفاءة في اتخاذ القرارات وإدارة العلاقات مع أصحاب المصلحة، ويُسهم في تعزيز ثقتهم بالمنظمة ودعم استدامة أدائها وتحقيق أهدافها الاستراتيجية. ويتميّز هذا التعريف بدمجه بين البُعد المعياري والبُعد التطبيقي، وتركيزه على الانعكاسات العملية بوصفها معيارًا للحكم على جودة المنظومة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الحوكمية</w:t>
      </w:r>
      <w:proofErr w:type="spellEnd"/>
      <w:r w:rsidRPr="00ED5D0F">
        <w:rPr>
          <w:rFonts w:ascii="Simplified Arabic" w:eastAsia="Times New Roman" w:hAnsi="Simplified Arabic" w:cs="Simplified Arabic"/>
          <w:color w:val="000000" w:themeColor="text1"/>
          <w:kern w:val="0"/>
          <w:sz w:val="28"/>
          <w:szCs w:val="28"/>
          <w14:ligatures w14:val="none"/>
        </w:rPr>
        <w:t>.</w:t>
      </w:r>
    </w:p>
    <w:p w14:paraId="5BFB1D7A" w14:textId="595C7134" w:rsidR="00B8416F" w:rsidRPr="00ED5D0F" w:rsidRDefault="00925511" w:rsidP="009255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577145"/>
      <w:r w:rsidRPr="00ED5D0F">
        <w:rPr>
          <w:rFonts w:ascii="Simplified Arabic" w:eastAsia="Times New Roman" w:hAnsi="Simplified Arabic" w:cs="Simplified Arabic" w:hint="cs"/>
          <w:b/>
          <w:bCs/>
          <w:color w:val="000000" w:themeColor="text1"/>
          <w:kern w:val="0"/>
          <w:sz w:val="32"/>
          <w:szCs w:val="32"/>
          <w:rtl/>
          <w14:ligatures w14:val="none"/>
        </w:rPr>
        <w:t>3.2.2</w:t>
      </w:r>
      <w:r w:rsidR="00B8416F" w:rsidRPr="00ED5D0F">
        <w:rPr>
          <w:rFonts w:ascii="Simplified Arabic" w:eastAsia="Times New Roman" w:hAnsi="Simplified Arabic" w:cs="Simplified Arabic"/>
          <w:b/>
          <w:bCs/>
          <w:color w:val="000000" w:themeColor="text1"/>
          <w:kern w:val="0"/>
          <w:sz w:val="32"/>
          <w:szCs w:val="32"/>
          <w:rtl/>
          <w14:ligatures w14:val="none"/>
        </w:rPr>
        <w:t xml:space="preserve"> أهمية جودة الحوكمة</w:t>
      </w:r>
      <w:bookmarkEnd w:id="52"/>
    </w:p>
    <w:p w14:paraId="4BA6B307"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تتجلّى أهمية جودة الحوكمة في كونها ركيزة أساسية لاستقرار المنظمات واستدامتها، إذ تتجاوز كونها مجرد إطار تنظيمي إلى أن تُصبح محرّكًا لتطوير الأداء وتعزيز الثقة المؤسسية. وقد تنامى الاهتمام بها في أعقاب التحوّلات التي شهدتها بيئة الأعمال العالمية، حيث باتت جودة الحوكمة معيارًا أساسيًا تستند إليه الجهات الرقابية والمستثمرون وأصحاب المصلحة في تقييم المنظمات، وتتحوّل تدريجيًا من ميزة إضافية إلى شرط أساسي لاستمرار المنظمة في بيئة تنافسية متشابكة</w:t>
      </w:r>
      <w:r w:rsidRPr="00ED5D0F">
        <w:rPr>
          <w:rFonts w:ascii="Simplified Arabic" w:eastAsia="Times New Roman" w:hAnsi="Simplified Arabic" w:cs="Simplified Arabic"/>
          <w:color w:val="000000" w:themeColor="text1"/>
          <w:kern w:val="0"/>
          <w:sz w:val="28"/>
          <w:szCs w:val="28"/>
          <w14:ligatures w14:val="none"/>
        </w:rPr>
        <w:t>.</w:t>
      </w:r>
    </w:p>
    <w:p w14:paraId="552EE7FC"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ويُشير عمار ووقاف (٢٠٢٤) إلى أن أهمية جودة الحوكمة تتمثّل في عدة محاور: أولها أنها تُعزّز مصداقية التقارير المالية والإدارية الصادرة عن المنظمة، بما يُكسبها ثقة أصحاب المصلحة ويدعم قراراتهم المبنيّة على معلوماتها؛ وثانيها أنها تُحسّن جودة الإفصاح وتُيسّر تقييم المنظمة من قبل الجهات الخارجية؛ وثالثها أنها تُسهم في خفض كلفة التمويل وتعزيز قدرة المنظمة على الوصول إلى الأسواق المالية؛ ورابعها أنها تُحدّ من احتمالية وقوع الممارسات المخالفة وتُرسّخ السلوك الأخلاقي في الممارسة الإدارية</w:t>
      </w:r>
      <w:r w:rsidRPr="00ED5D0F">
        <w:rPr>
          <w:rFonts w:ascii="Simplified Arabic" w:eastAsia="Times New Roman" w:hAnsi="Simplified Arabic" w:cs="Simplified Arabic"/>
          <w:color w:val="000000" w:themeColor="text1"/>
          <w:kern w:val="0"/>
          <w:sz w:val="28"/>
          <w:szCs w:val="28"/>
          <w14:ligatures w14:val="none"/>
        </w:rPr>
        <w:t>.</w:t>
      </w:r>
    </w:p>
    <w:p w14:paraId="0386A397"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ويرى الماحي وأحمد (٢٠٢٣) أن جودة الحوكمة تكتسب أهميتها من ارتباطها بجودة المعلومات التي تُنتجها المنظمة، وما يترتب على ذلك من تعزيز قدرتها على اتخاذ القرارات الرشيدة وتقديم صورة دقيقة عن وضعها لأصحاب المصلحة. وتمتدّ هذه الأهمية كذلك إلى دور الحوكمة في تحصين المنظمة ضد الممارسات غير الرشيدة، وتعزيز قدرتها على الصمود في وجه الأزمات</w:t>
      </w:r>
      <w:r w:rsidRPr="00ED5D0F">
        <w:rPr>
          <w:rFonts w:ascii="Simplified Arabic" w:eastAsia="Times New Roman" w:hAnsi="Simplified Arabic" w:cs="Simplified Arabic"/>
          <w:color w:val="000000" w:themeColor="text1"/>
          <w:kern w:val="0"/>
          <w:sz w:val="28"/>
          <w:szCs w:val="28"/>
          <w14:ligatures w14:val="none"/>
        </w:rPr>
        <w:t>.</w:t>
      </w:r>
    </w:p>
    <w:p w14:paraId="5F3E80B1"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lastRenderedPageBreak/>
        <w:t xml:space="preserve">ويُبرز سليمان وبابكر (٢٠٢٥) أن أهمية جودة الحوكمة تتمثّل في انعكاسها المباشر على جودة الأداء الوظيفي والتنظيمي، إذ تخلق بيئة عمل منظّمة تتضح فيها المسؤوليات وتنضبط فيها العلاقات بين المستويات الإدارية، وتُتيح للعاملين أداء مهامهم بفاعلية أكبر ضمن أُطر واضحة. وتُسهم كذلك في تحفيز الكفاءات وجذب الكوادر المؤهّلة، إذ تستقطب البيئات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الرشيدة العاملين الباحثين عن العدالة والشفافية وفرص النمو المهني</w:t>
      </w:r>
      <w:r w:rsidRPr="00ED5D0F">
        <w:rPr>
          <w:rFonts w:ascii="Simplified Arabic" w:eastAsia="Times New Roman" w:hAnsi="Simplified Arabic" w:cs="Simplified Arabic"/>
          <w:color w:val="000000" w:themeColor="text1"/>
          <w:kern w:val="0"/>
          <w:sz w:val="28"/>
          <w:szCs w:val="28"/>
          <w14:ligatures w14:val="none"/>
        </w:rPr>
        <w:t>.</w:t>
      </w:r>
    </w:p>
    <w:p w14:paraId="7BDBDFE9"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ويرى تشيراني </w:t>
      </w:r>
      <w:proofErr w:type="spellStart"/>
      <w:r w:rsidRPr="00ED5D0F">
        <w:rPr>
          <w:rFonts w:ascii="Simplified Arabic" w:eastAsia="Times New Roman" w:hAnsi="Simplified Arabic" w:cs="Simplified Arabic"/>
          <w:color w:val="000000" w:themeColor="text1"/>
          <w:kern w:val="0"/>
          <w:sz w:val="28"/>
          <w:szCs w:val="28"/>
          <w:rtl/>
          <w14:ligatures w14:val="none"/>
        </w:rPr>
        <w:t>وسريغار</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Chairani</w:t>
      </w:r>
      <w:proofErr w:type="spellEnd"/>
      <w:r w:rsidRPr="00ED5D0F">
        <w:rPr>
          <w:rFonts w:ascii="Simplified Arabic" w:eastAsia="Times New Roman" w:hAnsi="Simplified Arabic" w:cs="Simplified Arabic"/>
          <w:color w:val="000000" w:themeColor="text1"/>
          <w:kern w:val="0"/>
          <w:sz w:val="28"/>
          <w:szCs w:val="28"/>
          <w14:ligatures w14:val="none"/>
        </w:rPr>
        <w:t xml:space="preserve"> &amp; </w:t>
      </w:r>
      <w:proofErr w:type="spellStart"/>
      <w:r w:rsidRPr="00ED5D0F">
        <w:rPr>
          <w:rFonts w:ascii="Simplified Arabic" w:eastAsia="Times New Roman" w:hAnsi="Simplified Arabic" w:cs="Simplified Arabic"/>
          <w:color w:val="000000" w:themeColor="text1"/>
          <w:kern w:val="0"/>
          <w:sz w:val="28"/>
          <w:szCs w:val="28"/>
          <w14:ligatures w14:val="none"/>
        </w:rPr>
        <w:t>Siregar</w:t>
      </w:r>
      <w:proofErr w:type="spellEnd"/>
      <w:r w:rsidRPr="00ED5D0F">
        <w:rPr>
          <w:rFonts w:ascii="Simplified Arabic" w:eastAsia="Times New Roman" w:hAnsi="Simplified Arabic" w:cs="Simplified Arabic"/>
          <w:color w:val="000000" w:themeColor="text1"/>
          <w:kern w:val="0"/>
          <w:sz w:val="28"/>
          <w:szCs w:val="28"/>
          <w14:ligatures w14:val="none"/>
        </w:rPr>
        <w:t xml:space="preserve">, 2021) </w:t>
      </w:r>
      <w:r w:rsidRPr="00ED5D0F">
        <w:rPr>
          <w:rFonts w:ascii="Simplified Arabic" w:eastAsia="Times New Roman" w:hAnsi="Simplified Arabic" w:cs="Simplified Arabic"/>
          <w:color w:val="000000" w:themeColor="text1"/>
          <w:kern w:val="0"/>
          <w:sz w:val="28"/>
          <w:szCs w:val="28"/>
          <w:rtl/>
          <w14:ligatures w14:val="none"/>
        </w:rPr>
        <w:t xml:space="preserve">أن جودة الحوكمة تكتسب أهميتها من ارتباطها بقيمة المنظمة وأدائها المالي، إذ تنعكس الممارسات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الرشيدة على ثقة المستثمرين وتقييم السوق للمنظمة. وتمتدّ أهميتها إلى تعزيز قدرة المنظمة على إدارة </w:t>
      </w:r>
      <w:proofErr w:type="spellStart"/>
      <w:r w:rsidRPr="00ED5D0F">
        <w:rPr>
          <w:rFonts w:ascii="Simplified Arabic" w:eastAsia="Times New Roman" w:hAnsi="Simplified Arabic" w:cs="Simplified Arabic"/>
          <w:color w:val="000000" w:themeColor="text1"/>
          <w:kern w:val="0"/>
          <w:sz w:val="28"/>
          <w:szCs w:val="28"/>
          <w:rtl/>
          <w14:ligatures w14:val="none"/>
        </w:rPr>
        <w:t>مخاطرها</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بفاعلية أكبر، إذ تتشابك جودة الحوكمة مع جودة منظومة إدارة المخاطر في علاقة تكاملية</w:t>
      </w:r>
      <w:r w:rsidRPr="00ED5D0F">
        <w:rPr>
          <w:rFonts w:ascii="Simplified Arabic" w:eastAsia="Times New Roman" w:hAnsi="Simplified Arabic" w:cs="Simplified Arabic"/>
          <w:color w:val="000000" w:themeColor="text1"/>
          <w:kern w:val="0"/>
          <w:sz w:val="28"/>
          <w:szCs w:val="28"/>
          <w14:ligatures w14:val="none"/>
        </w:rPr>
        <w:t>.</w:t>
      </w:r>
    </w:p>
    <w:p w14:paraId="3D29F723"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وتشير تلي (٢٠٢١) إلى أن أهمية جودة الحوكمة في القطاع الخدمي، ولا سيّما في ظلّ التحوّل الرقمي، تتعاظم بفعل قدرتها على تحسين جودة الخدمات المقدّمة، وتيسير وصول المتعاملين إلى المعلومات والخدمات، وتسريع الاستجابة لاحتياجاتهم. ويُلاحظ في هذا السياق التشابك بين الحوكمة والتحوّل الرقمي، إذ تُشكّل الأدوات التقنية رافدًا مهمًا لتعزيز جودة الحوكمة وتوسيع نطاقها</w:t>
      </w:r>
      <w:r w:rsidRPr="00ED5D0F">
        <w:rPr>
          <w:rFonts w:ascii="Simplified Arabic" w:eastAsia="Times New Roman" w:hAnsi="Simplified Arabic" w:cs="Simplified Arabic"/>
          <w:color w:val="000000" w:themeColor="text1"/>
          <w:kern w:val="0"/>
          <w:sz w:val="28"/>
          <w:szCs w:val="28"/>
          <w14:ligatures w14:val="none"/>
        </w:rPr>
        <w:t>.</w:t>
      </w:r>
    </w:p>
    <w:p w14:paraId="0DFADF8C"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ويرى عارف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Arif</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2021) </w:t>
      </w:r>
      <w:r w:rsidRPr="00ED5D0F">
        <w:rPr>
          <w:rFonts w:ascii="Simplified Arabic" w:eastAsia="Times New Roman" w:hAnsi="Simplified Arabic" w:cs="Simplified Arabic"/>
          <w:color w:val="000000" w:themeColor="text1"/>
          <w:kern w:val="0"/>
          <w:sz w:val="28"/>
          <w:szCs w:val="28"/>
          <w:rtl/>
          <w14:ligatures w14:val="none"/>
        </w:rPr>
        <w:t xml:space="preserve">أن أهمية جودة الحوكمة تظهر في علاقتها بالإفصاح عن الأبعاد البيئية والاجتماعية </w:t>
      </w:r>
      <w:proofErr w:type="spellStart"/>
      <w:r w:rsidRPr="00ED5D0F">
        <w:rPr>
          <w:rFonts w:ascii="Simplified Arabic" w:eastAsia="Times New Roman" w:hAnsi="Simplified Arabic" w:cs="Simplified Arabic"/>
          <w:color w:val="000000" w:themeColor="text1"/>
          <w:kern w:val="0"/>
          <w:sz w:val="28"/>
          <w:szCs w:val="28"/>
          <w:rtl/>
          <w14:ligatures w14:val="none"/>
        </w:rPr>
        <w:t>والحوكمية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إذ تُسهم في تعزيز قدرة المنظمة على الاستجابة للتوقعات المتنامية بشأن المسؤولية الاجتماعية والاستدامة. ويُبرز </w:t>
      </w:r>
      <w:proofErr w:type="spellStart"/>
      <w:r w:rsidRPr="00ED5D0F">
        <w:rPr>
          <w:rFonts w:ascii="Simplified Arabic" w:eastAsia="Times New Roman" w:hAnsi="Simplified Arabic" w:cs="Simplified Arabic"/>
          <w:color w:val="000000" w:themeColor="text1"/>
          <w:kern w:val="0"/>
          <w:sz w:val="28"/>
          <w:szCs w:val="28"/>
          <w:rtl/>
          <w14:ligatures w14:val="none"/>
        </w:rPr>
        <w:t>إيلامر</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Elamer</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2020) </w:t>
      </w:r>
      <w:r w:rsidRPr="00ED5D0F">
        <w:rPr>
          <w:rFonts w:ascii="Simplified Arabic" w:eastAsia="Times New Roman" w:hAnsi="Simplified Arabic" w:cs="Simplified Arabic"/>
          <w:color w:val="000000" w:themeColor="text1"/>
          <w:kern w:val="0"/>
          <w:sz w:val="28"/>
          <w:szCs w:val="28"/>
          <w:rtl/>
          <w14:ligatures w14:val="none"/>
        </w:rPr>
        <w:t>ارتباط جودة الحوكمة بالاستقرار المؤسسي، ولا سيّما في القطاع المالي، حيث تُسهم منظومات الحوكمة الرشيدة في حماية المنظمات من الصدمات وتعزيز قدرتها على إدارة المخاطر والإفصاح عنها</w:t>
      </w:r>
      <w:r w:rsidRPr="00ED5D0F">
        <w:rPr>
          <w:rFonts w:ascii="Simplified Arabic" w:eastAsia="Times New Roman" w:hAnsi="Simplified Arabic" w:cs="Simplified Arabic"/>
          <w:color w:val="000000" w:themeColor="text1"/>
          <w:kern w:val="0"/>
          <w:sz w:val="28"/>
          <w:szCs w:val="28"/>
          <w14:ligatures w14:val="none"/>
        </w:rPr>
        <w:t>.</w:t>
      </w:r>
    </w:p>
    <w:p w14:paraId="6C5EAB90" w14:textId="77777777" w:rsidR="00B8416F" w:rsidRPr="00ED5D0F" w:rsidRDefault="00B8416F" w:rsidP="009255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وفي القطاع العام، تكتسب جودة الحوكمة أهمية خاصة تتعلّق بصون المال العام، وتعزيز ثقة المواطن بالمؤسسات الحكومية، وتكريس مبادئ النزاهة والعدالة في تقديم الخدمات. وتنعكس جودة الحوكمة على كفاءة الجهة الحكومية في أداء مهامها، وعلى مصداقيتها أمام الجهات التي تشرف عليها. ومن ثمّ، فإن الاستثمار في رفع جودة الحوكمة في الجهات الحكومية كالهيئة العامة للعقار يُعدّ استثمارًا في الرأسمال المؤسسي للدولة، يُسهم في تعزيز قدرتها على تنظيم القطاعات الاقتصادية الحيوية وفق معايير عالية</w:t>
      </w:r>
      <w:r w:rsidRPr="00ED5D0F">
        <w:rPr>
          <w:rFonts w:ascii="Simplified Arabic" w:eastAsia="Times New Roman" w:hAnsi="Simplified Arabic" w:cs="Simplified Arabic"/>
          <w:color w:val="000000" w:themeColor="text1"/>
          <w:kern w:val="0"/>
          <w:sz w:val="28"/>
          <w:szCs w:val="28"/>
          <w14:ligatures w14:val="none"/>
        </w:rPr>
        <w:t>.</w:t>
      </w:r>
    </w:p>
    <w:p w14:paraId="06E8ABE0" w14:textId="6547A916" w:rsidR="00B8416F" w:rsidRPr="00ED5D0F" w:rsidRDefault="007727FB" w:rsidP="007727F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577146"/>
      <w:r w:rsidRPr="00ED5D0F">
        <w:rPr>
          <w:rFonts w:ascii="Simplified Arabic" w:eastAsia="Times New Roman" w:hAnsi="Simplified Arabic" w:cs="Simplified Arabic" w:hint="cs"/>
          <w:b/>
          <w:bCs/>
          <w:color w:val="000000" w:themeColor="text1"/>
          <w:kern w:val="0"/>
          <w:sz w:val="32"/>
          <w:szCs w:val="32"/>
          <w:rtl/>
          <w14:ligatures w14:val="none"/>
        </w:rPr>
        <w:t>4.2.2</w:t>
      </w:r>
      <w:r w:rsidR="00B8416F" w:rsidRPr="00ED5D0F">
        <w:rPr>
          <w:rFonts w:ascii="Simplified Arabic" w:eastAsia="Times New Roman" w:hAnsi="Simplified Arabic" w:cs="Simplified Arabic"/>
          <w:b/>
          <w:bCs/>
          <w:color w:val="000000" w:themeColor="text1"/>
          <w:kern w:val="0"/>
          <w:sz w:val="32"/>
          <w:szCs w:val="32"/>
          <w:rtl/>
          <w14:ligatures w14:val="none"/>
        </w:rPr>
        <w:t xml:space="preserve"> أهداف جودة الحوكمة</w:t>
      </w:r>
      <w:bookmarkEnd w:id="53"/>
    </w:p>
    <w:p w14:paraId="27166DE5"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lastRenderedPageBreak/>
        <w:t>تتعدّد الأهداف التي تروم منظومة الحوكمة عالية الجودة تحقيقها، وتلتقي في كونها تخدم غاية كبرى تتمثّل في بناء منظمة رشيدة قادرة على تحقيق أهدافها بكفاءة وفاعلية ضمن إطار من المسؤولية والمساءلة</w:t>
      </w:r>
      <w:r w:rsidRPr="00ED5D0F">
        <w:rPr>
          <w:rFonts w:ascii="Simplified Arabic" w:eastAsia="Times New Roman" w:hAnsi="Simplified Arabic" w:cs="Simplified Arabic"/>
          <w:color w:val="000000" w:themeColor="text1"/>
          <w:kern w:val="0"/>
          <w:sz w:val="28"/>
          <w:szCs w:val="28"/>
          <w14:ligatures w14:val="none"/>
        </w:rPr>
        <w:t>.</w:t>
      </w:r>
    </w:p>
    <w:p w14:paraId="2282A28A"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ويُجمل عمار ووقاف (٢٠٢٤) أهداف جودة الحوكمة في: ضمان تقديم صورة دقيقة وعادلة عن أوضاع المنظمة لأصحاب المصلحة؛ وتعزيز الشفافية والإفصاح عن المعلومات الجوهرية في الوقت المناسب؛ وحماية حقوق أصحاب المصلحة كافة دون تمييز؛ وتوفير منظومة فاعلة للمساءلة تحول دون تركّز السلطات والاستخدام غير المشروع لها؛ وترسيخ الانضباط في اتخاذ القرارات الإدارية</w:t>
      </w:r>
      <w:r w:rsidRPr="00ED5D0F">
        <w:rPr>
          <w:rFonts w:ascii="Simplified Arabic" w:eastAsia="Times New Roman" w:hAnsi="Simplified Arabic" w:cs="Simplified Arabic"/>
          <w:color w:val="000000" w:themeColor="text1"/>
          <w:kern w:val="0"/>
          <w:sz w:val="28"/>
          <w:szCs w:val="28"/>
          <w14:ligatures w14:val="none"/>
        </w:rPr>
        <w:t>.</w:t>
      </w:r>
    </w:p>
    <w:p w14:paraId="08A25264"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ويُحدّد الماحي وأحمد (٢٠٢٣) أهدافها في: تحسين جودة المعلومات الإدارية والمالية المنتجة عن المنظمة؛ وتعزيز ثقة أصحاب المصلحة في الإدارة والقرارات الصادرة عنها؛ وإحكام منظومة الرقابة الداخلية وضمان فاعليتها؛ وتمكين المنظمة من الاستجابة بفاعلية للتوقعات المتنامية بشأن النزاهة والشفافية</w:t>
      </w:r>
      <w:r w:rsidRPr="00ED5D0F">
        <w:rPr>
          <w:rFonts w:ascii="Simplified Arabic" w:eastAsia="Times New Roman" w:hAnsi="Simplified Arabic" w:cs="Simplified Arabic"/>
          <w:color w:val="000000" w:themeColor="text1"/>
          <w:kern w:val="0"/>
          <w:sz w:val="28"/>
          <w:szCs w:val="28"/>
          <w14:ligatures w14:val="none"/>
        </w:rPr>
        <w:t>.</w:t>
      </w:r>
    </w:p>
    <w:p w14:paraId="563F7A07"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ويُبرز سليمان وبابكر (٢٠٢٥) جملة من الأهداف المتصلة بالأداء الوظيفي، أبرزها: تحسين جودة الأداء على المستويين الفردي والتنظيمي؛ وتوضيح المسؤوليات والصلاحيات بصورة تُيسّر العمل وتمنع التداخل والإغفال؛ وخلق بيئة عمل عادلة تُحفّز العاملين على العطاء وتُكافئهم على التميّز؛ وتنمية الكفاءات البشرية وتعزيز انتمائها المؤسسي</w:t>
      </w:r>
      <w:r w:rsidRPr="00ED5D0F">
        <w:rPr>
          <w:rFonts w:ascii="Simplified Arabic" w:eastAsia="Times New Roman" w:hAnsi="Simplified Arabic" w:cs="Simplified Arabic"/>
          <w:color w:val="000000" w:themeColor="text1"/>
          <w:kern w:val="0"/>
          <w:sz w:val="28"/>
          <w:szCs w:val="28"/>
          <w14:ligatures w14:val="none"/>
        </w:rPr>
        <w:t>.</w:t>
      </w:r>
    </w:p>
    <w:p w14:paraId="5C39451E"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ويُضيف تشيراني </w:t>
      </w:r>
      <w:proofErr w:type="spellStart"/>
      <w:r w:rsidRPr="00ED5D0F">
        <w:rPr>
          <w:rFonts w:ascii="Simplified Arabic" w:eastAsia="Times New Roman" w:hAnsi="Simplified Arabic" w:cs="Simplified Arabic"/>
          <w:color w:val="000000" w:themeColor="text1"/>
          <w:kern w:val="0"/>
          <w:sz w:val="28"/>
          <w:szCs w:val="28"/>
          <w:rtl/>
          <w14:ligatures w14:val="none"/>
        </w:rPr>
        <w:t>وسريغار</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Chairani</w:t>
      </w:r>
      <w:proofErr w:type="spellEnd"/>
      <w:r w:rsidRPr="00ED5D0F">
        <w:rPr>
          <w:rFonts w:ascii="Simplified Arabic" w:eastAsia="Times New Roman" w:hAnsi="Simplified Arabic" w:cs="Simplified Arabic"/>
          <w:color w:val="000000" w:themeColor="text1"/>
          <w:kern w:val="0"/>
          <w:sz w:val="28"/>
          <w:szCs w:val="28"/>
          <w14:ligatures w14:val="none"/>
        </w:rPr>
        <w:t xml:space="preserve"> &amp; </w:t>
      </w:r>
      <w:proofErr w:type="spellStart"/>
      <w:r w:rsidRPr="00ED5D0F">
        <w:rPr>
          <w:rFonts w:ascii="Simplified Arabic" w:eastAsia="Times New Roman" w:hAnsi="Simplified Arabic" w:cs="Simplified Arabic"/>
          <w:color w:val="000000" w:themeColor="text1"/>
          <w:kern w:val="0"/>
          <w:sz w:val="28"/>
          <w:szCs w:val="28"/>
          <w14:ligatures w14:val="none"/>
        </w:rPr>
        <w:t>Siregar</w:t>
      </w:r>
      <w:proofErr w:type="spellEnd"/>
      <w:r w:rsidRPr="00ED5D0F">
        <w:rPr>
          <w:rFonts w:ascii="Simplified Arabic" w:eastAsia="Times New Roman" w:hAnsi="Simplified Arabic" w:cs="Simplified Arabic"/>
          <w:color w:val="000000" w:themeColor="text1"/>
          <w:kern w:val="0"/>
          <w:sz w:val="28"/>
          <w:szCs w:val="28"/>
          <w14:ligatures w14:val="none"/>
        </w:rPr>
        <w:t xml:space="preserve">, 2021) </w:t>
      </w:r>
      <w:r w:rsidRPr="00ED5D0F">
        <w:rPr>
          <w:rFonts w:ascii="Simplified Arabic" w:eastAsia="Times New Roman" w:hAnsi="Simplified Arabic" w:cs="Simplified Arabic"/>
          <w:color w:val="000000" w:themeColor="text1"/>
          <w:kern w:val="0"/>
          <w:sz w:val="28"/>
          <w:szCs w:val="28"/>
          <w:rtl/>
          <w14:ligatures w14:val="none"/>
        </w:rPr>
        <w:t>أهدافًا ذات طابع استراتيجي، تشمل: تعزيز قيمة المنظمة على المدى البعيد عبر بناء الثقة ودعم الاستدامة؛ ومواءمة قرارات الإدارة مع مصالح أصحاب المصلحة المختلفين؛ وتحسين الأداء المالي عبر تخفيض المخاطر وتعزيز كفاءة استخدام الموارد؛ وتمكين المنظمة من الاستجابة لمتطلبات الاستدامة في أبعادها البيئية والاجتماعية</w:t>
      </w:r>
      <w:r w:rsidRPr="00ED5D0F">
        <w:rPr>
          <w:rFonts w:ascii="Simplified Arabic" w:eastAsia="Times New Roman" w:hAnsi="Simplified Arabic" w:cs="Simplified Arabic"/>
          <w:color w:val="000000" w:themeColor="text1"/>
          <w:kern w:val="0"/>
          <w:sz w:val="28"/>
          <w:szCs w:val="28"/>
          <w14:ligatures w14:val="none"/>
        </w:rPr>
        <w:t>.</w:t>
      </w:r>
    </w:p>
    <w:p w14:paraId="1C1D834A"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ويُشير راشد وآخرون</w:t>
      </w:r>
      <w:r w:rsidRPr="00ED5D0F">
        <w:rPr>
          <w:rFonts w:ascii="Simplified Arabic" w:eastAsia="Times New Roman" w:hAnsi="Simplified Arabic" w:cs="Simplified Arabic"/>
          <w:color w:val="000000" w:themeColor="text1"/>
          <w:kern w:val="0"/>
          <w:sz w:val="28"/>
          <w:szCs w:val="28"/>
          <w14:ligatures w14:val="none"/>
        </w:rPr>
        <w:t xml:space="preserve"> (Rashid et al., 2024) </w:t>
      </w:r>
      <w:r w:rsidRPr="00ED5D0F">
        <w:rPr>
          <w:rFonts w:ascii="Simplified Arabic" w:eastAsia="Times New Roman" w:hAnsi="Simplified Arabic" w:cs="Simplified Arabic"/>
          <w:color w:val="000000" w:themeColor="text1"/>
          <w:kern w:val="0"/>
          <w:sz w:val="28"/>
          <w:szCs w:val="28"/>
          <w:rtl/>
          <w14:ligatures w14:val="none"/>
        </w:rPr>
        <w:t xml:space="preserve">إلى أهداف ترتبط بالبيئة المؤسسية الأوسع: تعزيز الجودة المؤسسية على المستوى الكلي للقطاع؛ ودعم الاستقرار المالي في الجهات المالية والمصرفية؛ وتمكين المنظمات من إدارة </w:t>
      </w:r>
      <w:proofErr w:type="spellStart"/>
      <w:r w:rsidRPr="00ED5D0F">
        <w:rPr>
          <w:rFonts w:ascii="Simplified Arabic" w:eastAsia="Times New Roman" w:hAnsi="Simplified Arabic" w:cs="Simplified Arabic"/>
          <w:color w:val="000000" w:themeColor="text1"/>
          <w:kern w:val="0"/>
          <w:sz w:val="28"/>
          <w:szCs w:val="28"/>
          <w:rtl/>
          <w14:ligatures w14:val="none"/>
        </w:rPr>
        <w:t>مخاطرها</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بفاعلية ضمن إطار </w:t>
      </w:r>
      <w:proofErr w:type="spellStart"/>
      <w:r w:rsidRPr="00ED5D0F">
        <w:rPr>
          <w:rFonts w:ascii="Simplified Arabic" w:eastAsia="Times New Roman" w:hAnsi="Simplified Arabic" w:cs="Simplified Arabic"/>
          <w:color w:val="000000" w:themeColor="text1"/>
          <w:kern w:val="0"/>
          <w:sz w:val="28"/>
          <w:szCs w:val="28"/>
          <w:rtl/>
          <w14:ligatures w14:val="none"/>
        </w:rPr>
        <w:t>حوكمي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متين؛ وتوفير ضمانات معقولة لأصحاب المصلحة بشأن سلامة الممارسات الإدارية</w:t>
      </w:r>
      <w:r w:rsidRPr="00ED5D0F">
        <w:rPr>
          <w:rFonts w:ascii="Simplified Arabic" w:eastAsia="Times New Roman" w:hAnsi="Simplified Arabic" w:cs="Simplified Arabic"/>
          <w:color w:val="000000" w:themeColor="text1"/>
          <w:kern w:val="0"/>
          <w:sz w:val="28"/>
          <w:szCs w:val="28"/>
          <w14:ligatures w14:val="none"/>
        </w:rPr>
        <w:t>.</w:t>
      </w:r>
    </w:p>
    <w:p w14:paraId="33427D3C"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ومن منظور القطاع العام، تتّسع الأهداف لتشمل: تعزيز كفاءة الجهة الحكومية في أداء مهامها التنظيمية؛ وتكريس مبدأ المساءلة العامة عن استخدام السلطة والموارد العامة؛ وبناء ثقة المواطن بالمؤسسات الحكومية؛ وتعزيز قدرة الجهة على الإشراف على القطاع الخاضع لتنظيمها بمصداقية واتساق؛ وترسيخ قيم </w:t>
      </w:r>
      <w:r w:rsidRPr="00ED5D0F">
        <w:rPr>
          <w:rFonts w:ascii="Simplified Arabic" w:eastAsia="Times New Roman" w:hAnsi="Simplified Arabic" w:cs="Simplified Arabic"/>
          <w:color w:val="000000" w:themeColor="text1"/>
          <w:kern w:val="0"/>
          <w:sz w:val="28"/>
          <w:szCs w:val="28"/>
          <w:rtl/>
          <w14:ligatures w14:val="none"/>
        </w:rPr>
        <w:lastRenderedPageBreak/>
        <w:t xml:space="preserve">النزاهة والشفافية في الخدمة العامة. وتلتقي هذه الأهداف جميعًا في خدمة رؤية أشمل تتمثّل في بناء منظومة </w:t>
      </w:r>
      <w:proofErr w:type="spellStart"/>
      <w:r w:rsidRPr="00ED5D0F">
        <w:rPr>
          <w:rFonts w:ascii="Simplified Arabic" w:eastAsia="Times New Roman" w:hAnsi="Simplified Arabic" w:cs="Simplified Arabic"/>
          <w:color w:val="000000" w:themeColor="text1"/>
          <w:kern w:val="0"/>
          <w:sz w:val="28"/>
          <w:szCs w:val="28"/>
          <w:rtl/>
          <w14:ligatures w14:val="none"/>
        </w:rPr>
        <w:t>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رشيدة تخدم تحقيق الأهداف التنموية للدولة</w:t>
      </w:r>
      <w:r w:rsidRPr="00ED5D0F">
        <w:rPr>
          <w:rFonts w:ascii="Simplified Arabic" w:eastAsia="Times New Roman" w:hAnsi="Simplified Arabic" w:cs="Simplified Arabic"/>
          <w:color w:val="000000" w:themeColor="text1"/>
          <w:kern w:val="0"/>
          <w:sz w:val="28"/>
          <w:szCs w:val="28"/>
          <w14:ligatures w14:val="none"/>
        </w:rPr>
        <w:t>.</w:t>
      </w:r>
    </w:p>
    <w:p w14:paraId="18CB27FD" w14:textId="5DC78467" w:rsidR="00B8416F" w:rsidRPr="00ED5D0F" w:rsidRDefault="007727FB" w:rsidP="007727F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577147"/>
      <w:r w:rsidRPr="00ED5D0F">
        <w:rPr>
          <w:rFonts w:ascii="Simplified Arabic" w:eastAsia="Times New Roman" w:hAnsi="Simplified Arabic" w:cs="Simplified Arabic" w:hint="cs"/>
          <w:b/>
          <w:bCs/>
          <w:color w:val="000000" w:themeColor="text1"/>
          <w:kern w:val="0"/>
          <w:sz w:val="32"/>
          <w:szCs w:val="32"/>
          <w:rtl/>
          <w14:ligatures w14:val="none"/>
        </w:rPr>
        <w:t>5.2.2</w:t>
      </w:r>
      <w:r w:rsidR="00B8416F" w:rsidRPr="00ED5D0F">
        <w:rPr>
          <w:rFonts w:ascii="Simplified Arabic" w:eastAsia="Times New Roman" w:hAnsi="Simplified Arabic" w:cs="Simplified Arabic"/>
          <w:b/>
          <w:bCs/>
          <w:color w:val="000000" w:themeColor="text1"/>
          <w:kern w:val="0"/>
          <w:sz w:val="32"/>
          <w:szCs w:val="32"/>
          <w:rtl/>
          <w14:ligatures w14:val="none"/>
        </w:rPr>
        <w:t xml:space="preserve"> أبعاد جودة الحوكمة</w:t>
      </w:r>
      <w:bookmarkEnd w:id="54"/>
    </w:p>
    <w:p w14:paraId="44C9C96F"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تم تحديد أبعاد جودة الحوكمة في الدراسة الراهنة بناءً على دراستي عمار ووقاف (٢٠٢٤) والحربي (٢٠٢١)، فضلًا عمّا طرحه </w:t>
      </w:r>
      <w:proofErr w:type="spellStart"/>
      <w:r w:rsidRPr="00ED5D0F">
        <w:rPr>
          <w:rFonts w:ascii="Simplified Arabic" w:eastAsia="Times New Roman" w:hAnsi="Simplified Arabic" w:cs="Simplified Arabic"/>
          <w:color w:val="000000" w:themeColor="text1"/>
          <w:kern w:val="0"/>
          <w:sz w:val="28"/>
          <w:szCs w:val="28"/>
          <w:rtl/>
          <w14:ligatures w14:val="none"/>
        </w:rPr>
        <w:t>إيفونيي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Efunniyi</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2024) </w:t>
      </w:r>
      <w:r w:rsidRPr="00ED5D0F">
        <w:rPr>
          <w:rFonts w:ascii="Simplified Arabic" w:eastAsia="Times New Roman" w:hAnsi="Simplified Arabic" w:cs="Simplified Arabic"/>
          <w:color w:val="000000" w:themeColor="text1"/>
          <w:kern w:val="0"/>
          <w:sz w:val="28"/>
          <w:szCs w:val="28"/>
          <w:rtl/>
          <w14:ligatures w14:val="none"/>
        </w:rPr>
        <w:t>من أُطر معيارية تتناغم مع طبيعة الهيئة العامة للعقار. وتتمحور الأبعاد حول ركائز جوهرية تعكس مكوّنات الحوكمة الرشيدة في تطبيقاتها الحديثة</w:t>
      </w:r>
      <w:r w:rsidRPr="00ED5D0F">
        <w:rPr>
          <w:rFonts w:ascii="Simplified Arabic" w:eastAsia="Times New Roman" w:hAnsi="Simplified Arabic" w:cs="Simplified Arabic"/>
          <w:color w:val="000000" w:themeColor="text1"/>
          <w:kern w:val="0"/>
          <w:sz w:val="28"/>
          <w:szCs w:val="28"/>
          <w14:ligatures w14:val="none"/>
        </w:rPr>
        <w:t>.</w:t>
      </w:r>
    </w:p>
    <w:p w14:paraId="0C418DD4"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البُعد الأول: الشفافية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تُمثّل الشفافية ركيزة جوهرية في جودة الحوكمة، إذ تنطوي على إتاحة المعلومات الجوهرية لأصحاب المصلحة في الوقت المناسب وبصورة دقيقة وقابلة للفهم. ولا تقتصر الشفافية على الإفصاح عن المعلومات المالية، بل تمتدّ لتشمل الإفصاح عن السياسات والقرارات والإجراءات والمخاطر التي تواجه المنظمة. ويذهب </w:t>
      </w:r>
      <w:proofErr w:type="spellStart"/>
      <w:r w:rsidRPr="00ED5D0F">
        <w:rPr>
          <w:rFonts w:ascii="Simplified Arabic" w:eastAsia="Times New Roman" w:hAnsi="Simplified Arabic" w:cs="Simplified Arabic"/>
          <w:color w:val="000000" w:themeColor="text1"/>
          <w:kern w:val="0"/>
          <w:sz w:val="28"/>
          <w:szCs w:val="28"/>
          <w:rtl/>
          <w14:ligatures w14:val="none"/>
        </w:rPr>
        <w:t>نمديلي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وكروش (٢٠٢١) إلى أن الشفافية الفاعلة تستوجب إنتاج معلومات تتسم بالملاءمة والموثوقية وقابلية المقارنة، وتوفّر صورة دقيقة وعادلة عن أوضاع المنظمة. وفي الهيئة العامة للعقار، تكتسب الشفافية أبعادًا خاصة تتصل بإتاحة المعلومات عن الأنظمة العقارية وإجراءات التسجيل والتوثيق، بما يخدم المتعاملين ويُعزّز كفاءة السوق العقاري ويحدّ من فجوات المعلومات بين أطراف المعاملات</w:t>
      </w:r>
      <w:r w:rsidRPr="00ED5D0F">
        <w:rPr>
          <w:rFonts w:ascii="Simplified Arabic" w:eastAsia="Times New Roman" w:hAnsi="Simplified Arabic" w:cs="Simplified Arabic"/>
          <w:color w:val="000000" w:themeColor="text1"/>
          <w:kern w:val="0"/>
          <w:sz w:val="28"/>
          <w:szCs w:val="28"/>
          <w14:ligatures w14:val="none"/>
        </w:rPr>
        <w:t>.</w:t>
      </w:r>
    </w:p>
    <w:p w14:paraId="49EAC413"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البُعد الثاني: المساءلة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تُعبّر المساءلة عن قدرة المنظومة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على ضمان تحمّل الأطراف المعنية لمسؤولياتهم وتقديم الحساب عن أدائهم. وتنطوي المساءلة الفاعلة على وجود معايير واضحة يُحاكَم إليها الأداء، وآليات للرصد والتقييم، وإجراءات للمعالجة عند الإخلال بالواجبات (الحربي، ٢٠٢١). وتتجلّى المساءلة في الهيئة العامة للعقار على مستويين: مستوى داخلي يتعلّق بمساءلة العاملين والمسؤولين عن أداء مهامهم وفق المعايير المعتمدة؛ ومستوى خارجي يتعلّق بمساءلة الهيئة ذاتها أمام الجهات </w:t>
      </w:r>
      <w:proofErr w:type="spellStart"/>
      <w:r w:rsidRPr="00ED5D0F">
        <w:rPr>
          <w:rFonts w:ascii="Simplified Arabic" w:eastAsia="Times New Roman" w:hAnsi="Simplified Arabic" w:cs="Simplified Arabic"/>
          <w:color w:val="000000" w:themeColor="text1"/>
          <w:kern w:val="0"/>
          <w:sz w:val="28"/>
          <w:szCs w:val="28"/>
          <w:rtl/>
          <w14:ligatures w14:val="none"/>
        </w:rPr>
        <w:t>الإشرافية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العليا والجمهور بشأن أدائها لمهامها التنظيمية. ويُسهم وضوح هياكل المساءلة في ترسيخ ثقافة المسؤولية ويحدّ من ممارسات التهرّب من تبعات القرارات والأفعال</w:t>
      </w:r>
      <w:r w:rsidRPr="00ED5D0F">
        <w:rPr>
          <w:rFonts w:ascii="Simplified Arabic" w:eastAsia="Times New Roman" w:hAnsi="Simplified Arabic" w:cs="Simplified Arabic"/>
          <w:color w:val="000000" w:themeColor="text1"/>
          <w:kern w:val="0"/>
          <w:sz w:val="28"/>
          <w:szCs w:val="28"/>
          <w14:ligatures w14:val="none"/>
        </w:rPr>
        <w:t>.</w:t>
      </w:r>
    </w:p>
    <w:p w14:paraId="4E70E05F"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البُعد الثالث: العدالة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تتجلّى العدالة في الحوكمة عالية الجودة في ضمان المعاملة المنصفة لأصحاب المصلحة كافة دون تمييز، وتطبيق الأنظمة والإجراءات بصورة موحّدة على جميع المعنيين. وتتشعّب </w:t>
      </w:r>
      <w:r w:rsidRPr="00ED5D0F">
        <w:rPr>
          <w:rFonts w:ascii="Simplified Arabic" w:eastAsia="Times New Roman" w:hAnsi="Simplified Arabic" w:cs="Simplified Arabic"/>
          <w:color w:val="000000" w:themeColor="text1"/>
          <w:kern w:val="0"/>
          <w:sz w:val="28"/>
          <w:szCs w:val="28"/>
          <w:rtl/>
          <w14:ligatures w14:val="none"/>
        </w:rPr>
        <w:lastRenderedPageBreak/>
        <w:t>العدالة لتشمل عدالة إجرائية تتعلّق بسلامة العمليات والإجراءات، وعدالة توزيعية تتعلّق بتوزيع الحقوق والالتزامات، وعدالة تفاعلية تتعلّق بكيفية التواصل مع المتعاملين واحترام كرامتهم</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Elamer</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2020). </w:t>
      </w:r>
      <w:r w:rsidRPr="00ED5D0F">
        <w:rPr>
          <w:rFonts w:ascii="Simplified Arabic" w:eastAsia="Times New Roman" w:hAnsi="Simplified Arabic" w:cs="Simplified Arabic"/>
          <w:color w:val="000000" w:themeColor="text1"/>
          <w:kern w:val="0"/>
          <w:sz w:val="28"/>
          <w:szCs w:val="28"/>
          <w:rtl/>
          <w14:ligatures w14:val="none"/>
        </w:rPr>
        <w:t>وفي السياق التنظيمي للهيئة العامة للعقار، تستوجب العدالة تطبيق الأنظمة العقارية بصورة موحّدة دون استثناءات غير مبرّرة، وضمان حياد الإجراءات تجاه جميع المتعاملين، وإتاحة قنوات للتظلّم والاعتراض على القرارات بصورة تكفل تصحيح أي أخطاء محتملة</w:t>
      </w:r>
      <w:r w:rsidRPr="00ED5D0F">
        <w:rPr>
          <w:rFonts w:ascii="Simplified Arabic" w:eastAsia="Times New Roman" w:hAnsi="Simplified Arabic" w:cs="Simplified Arabic"/>
          <w:color w:val="000000" w:themeColor="text1"/>
          <w:kern w:val="0"/>
          <w:sz w:val="28"/>
          <w:szCs w:val="28"/>
          <w14:ligatures w14:val="none"/>
        </w:rPr>
        <w:t>.</w:t>
      </w:r>
    </w:p>
    <w:p w14:paraId="5B5C83B0"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البُعد الرابع: المسؤولية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تنطوي المسؤولية في إطار جودة الحوكمة على قبول المنظمة بتحمّل تبعات قراراتها وأفعالها تجاه أصحاب المصلحة والمجتمع، وتمتدّ لتشمل المسؤولية القانونية والأخلاقية والاجتماعية. ويرى </w:t>
      </w:r>
      <w:proofErr w:type="spellStart"/>
      <w:r w:rsidRPr="00ED5D0F">
        <w:rPr>
          <w:rFonts w:ascii="Simplified Arabic" w:eastAsia="Times New Roman" w:hAnsi="Simplified Arabic" w:cs="Simplified Arabic"/>
          <w:color w:val="000000" w:themeColor="text1"/>
          <w:kern w:val="0"/>
          <w:sz w:val="28"/>
          <w:szCs w:val="28"/>
          <w:rtl/>
          <w14:ligatures w14:val="none"/>
        </w:rPr>
        <w:t>لاندي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Landi</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2022) </w:t>
      </w:r>
      <w:r w:rsidRPr="00ED5D0F">
        <w:rPr>
          <w:rFonts w:ascii="Simplified Arabic" w:eastAsia="Times New Roman" w:hAnsi="Simplified Arabic" w:cs="Simplified Arabic"/>
          <w:color w:val="000000" w:themeColor="text1"/>
          <w:kern w:val="0"/>
          <w:sz w:val="28"/>
          <w:szCs w:val="28"/>
          <w:rtl/>
          <w14:ligatures w14:val="none"/>
        </w:rPr>
        <w:t>أن المسؤولية في صورتها المعاصرة تتجاوز الإطار الضيق للالتزام القانوني لتشمل الالتزامات تجاه البيئة والمجتمع والأجيال القادمة. وتتجلّى المسؤولية في الهيئة العامة للعقار في الالتزام بتحقيق الأهداف المنوطة بها بكفاءة، والاستجابة لاحتياجات القطاع العقاري، والمساهمة في تحقيق التوجّهات الاستراتيجية للدولة في تنظيم القطاع، فضلًا عن مراعاة الأبعاد الاجتماعية والاقتصادية لقراراتها التنظيمية</w:t>
      </w:r>
      <w:r w:rsidRPr="00ED5D0F">
        <w:rPr>
          <w:rFonts w:ascii="Simplified Arabic" w:eastAsia="Times New Roman" w:hAnsi="Simplified Arabic" w:cs="Simplified Arabic"/>
          <w:color w:val="000000" w:themeColor="text1"/>
          <w:kern w:val="0"/>
          <w:sz w:val="28"/>
          <w:szCs w:val="28"/>
          <w14:ligatures w14:val="none"/>
        </w:rPr>
        <w:t>.</w:t>
      </w:r>
    </w:p>
    <w:p w14:paraId="0734D55A"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البُعد الخامس: الاستقلالية والرقابة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 xml:space="preserve">يتمثّل هذا البُعد في وجود آليات رقابية مستقلّة وفاعلة تكفل سلامة الممارسات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وتحول دون انحرافها. ويُشير الزعبي والحايك (٢٠٢٢) إلى أن فاعلية الرقابة الداخلية تُعدّ ركيزة جوهرية في جودة الحوكمة، إذ تُوفّر ضمانات معقولة بشأن سلامة الإجراءات وكفاءة استخدام الموارد ودقّة التقارير. وتستوجب الاستقلالية تمكين الجهات الرقابية الداخلية من أداء دورها بحيادية، وتوفير الموارد والصلاحيات اللازمة لها، وحمايتها من التأثيرات التي قد تُضعف </w:t>
      </w:r>
      <w:proofErr w:type="spellStart"/>
      <w:r w:rsidRPr="00ED5D0F">
        <w:rPr>
          <w:rFonts w:ascii="Simplified Arabic" w:eastAsia="Times New Roman" w:hAnsi="Simplified Arabic" w:cs="Simplified Arabic"/>
          <w:color w:val="000000" w:themeColor="text1"/>
          <w:kern w:val="0"/>
          <w:sz w:val="28"/>
          <w:szCs w:val="28"/>
          <w:rtl/>
          <w14:ligatures w14:val="none"/>
        </w:rPr>
        <w:t>موضوعيتها</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ويتكامل هذا البُعد مع البُعد الإشرافي الذي يضطلع به مجلس الإدارة أو ما يقوم مقامه، إذ تُشكّل جودة الإشراف من القمة عاملًا حاسمًا في جودة الحوكمة الإجمالية، كما يُبرز </w:t>
      </w:r>
      <w:proofErr w:type="spellStart"/>
      <w:r w:rsidRPr="00ED5D0F">
        <w:rPr>
          <w:rFonts w:ascii="Simplified Arabic" w:eastAsia="Times New Roman" w:hAnsi="Simplified Arabic" w:cs="Simplified Arabic"/>
          <w:color w:val="000000" w:themeColor="text1"/>
          <w:kern w:val="0"/>
          <w:sz w:val="28"/>
          <w:szCs w:val="28"/>
          <w:rtl/>
          <w14:ligatures w14:val="none"/>
        </w:rPr>
        <w:t>أديغوكي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rtl/>
          <w14:ligatures w14:val="none"/>
        </w:rPr>
        <w:t>وأكينولا</w:t>
      </w:r>
      <w:proofErr w:type="spellEnd"/>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Adegoke</w:t>
      </w:r>
      <w:proofErr w:type="spellEnd"/>
      <w:r w:rsidRPr="00ED5D0F">
        <w:rPr>
          <w:rFonts w:ascii="Simplified Arabic" w:eastAsia="Times New Roman" w:hAnsi="Simplified Arabic" w:cs="Simplified Arabic"/>
          <w:color w:val="000000" w:themeColor="text1"/>
          <w:kern w:val="0"/>
          <w:sz w:val="28"/>
          <w:szCs w:val="28"/>
          <w14:ligatures w14:val="none"/>
        </w:rPr>
        <w:t xml:space="preserve"> &amp; </w:t>
      </w:r>
      <w:proofErr w:type="spellStart"/>
      <w:r w:rsidRPr="00ED5D0F">
        <w:rPr>
          <w:rFonts w:ascii="Simplified Arabic" w:eastAsia="Times New Roman" w:hAnsi="Simplified Arabic" w:cs="Simplified Arabic"/>
          <w:color w:val="000000" w:themeColor="text1"/>
          <w:kern w:val="0"/>
          <w:sz w:val="28"/>
          <w:szCs w:val="28"/>
          <w14:ligatures w14:val="none"/>
        </w:rPr>
        <w:t>Akinola</w:t>
      </w:r>
      <w:proofErr w:type="spellEnd"/>
      <w:r w:rsidRPr="00ED5D0F">
        <w:rPr>
          <w:rFonts w:ascii="Simplified Arabic" w:eastAsia="Times New Roman" w:hAnsi="Simplified Arabic" w:cs="Simplified Arabic"/>
          <w:color w:val="000000" w:themeColor="text1"/>
          <w:kern w:val="0"/>
          <w:sz w:val="28"/>
          <w:szCs w:val="28"/>
          <w14:ligatures w14:val="none"/>
        </w:rPr>
        <w:t>, 2025).</w:t>
      </w:r>
    </w:p>
    <w:p w14:paraId="10E98C14"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البُعد السادس: المشاركة والاستجابة</w:t>
      </w:r>
      <w:r w:rsidRPr="00ED5D0F">
        <w:rPr>
          <w:rFonts w:ascii="Simplified Arabic" w:eastAsia="Times New Roman" w:hAnsi="Simplified Arabic" w:cs="Simplified Arabic"/>
          <w:color w:val="000000" w:themeColor="text1"/>
          <w:kern w:val="0"/>
          <w:sz w:val="28"/>
          <w:szCs w:val="28"/>
          <w14:ligatures w14:val="none"/>
        </w:rPr>
        <w:t xml:space="preserve">. </w:t>
      </w:r>
      <w:r w:rsidRPr="00ED5D0F">
        <w:rPr>
          <w:rFonts w:ascii="Simplified Arabic" w:eastAsia="Times New Roman" w:hAnsi="Simplified Arabic" w:cs="Simplified Arabic"/>
          <w:color w:val="000000" w:themeColor="text1"/>
          <w:kern w:val="0"/>
          <w:sz w:val="28"/>
          <w:szCs w:val="28"/>
          <w:rtl/>
          <w14:ligatures w14:val="none"/>
        </w:rPr>
        <w:t>يتجاوز هذا البُعد النظرة التقليدية للحوكمة بوصفها علاقة هرمية، إلى منظور تفاعلي يُتيح لأصحاب المصلحة المشاركة في صياغة القرارات التي تمسّ مصالحهم، ويتطلّب من المنظمة الاستجابة لتوقعاتهم وملاحظاتهم. وتُشكّل قنوات التواصل والتشاور آليات جوهرية لتفعيل هذا البُعد، فضلًا عن نظم استقبال الشكاوى والمقترحات ومتابعتها. وتُتيح الحوكمة الإلكترونية، كما تُبيّن تلي (٢٠٢١)، توسيع نطاق المشاركة وتسريع الاستجابة عبر توظيف التقنيات الحديثة في إدارة العلاقة مع المتعاملين</w:t>
      </w:r>
      <w:r w:rsidRPr="00ED5D0F">
        <w:rPr>
          <w:rFonts w:ascii="Simplified Arabic" w:eastAsia="Times New Roman" w:hAnsi="Simplified Arabic" w:cs="Simplified Arabic"/>
          <w:color w:val="000000" w:themeColor="text1"/>
          <w:kern w:val="0"/>
          <w:sz w:val="28"/>
          <w:szCs w:val="28"/>
          <w14:ligatures w14:val="none"/>
        </w:rPr>
        <w:t>.</w:t>
      </w:r>
    </w:p>
    <w:p w14:paraId="6AAF9F73" w14:textId="5153E8EB" w:rsidR="00B8416F" w:rsidRPr="00ED5D0F" w:rsidRDefault="007727FB" w:rsidP="007727F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577148"/>
      <w:r w:rsidRPr="00ED5D0F">
        <w:rPr>
          <w:rFonts w:ascii="Simplified Arabic" w:eastAsia="Times New Roman" w:hAnsi="Simplified Arabic" w:cs="Simplified Arabic" w:hint="cs"/>
          <w:b/>
          <w:bCs/>
          <w:color w:val="000000" w:themeColor="text1"/>
          <w:kern w:val="0"/>
          <w:sz w:val="32"/>
          <w:szCs w:val="32"/>
          <w:rtl/>
          <w14:ligatures w14:val="none"/>
        </w:rPr>
        <w:lastRenderedPageBreak/>
        <w:t>6.2.2</w:t>
      </w:r>
      <w:r w:rsidR="00B8416F" w:rsidRPr="00ED5D0F">
        <w:rPr>
          <w:rFonts w:ascii="Simplified Arabic" w:eastAsia="Times New Roman" w:hAnsi="Simplified Arabic" w:cs="Simplified Arabic"/>
          <w:b/>
          <w:bCs/>
          <w:color w:val="000000" w:themeColor="text1"/>
          <w:kern w:val="0"/>
          <w:sz w:val="32"/>
          <w:szCs w:val="32"/>
          <w:rtl/>
          <w14:ligatures w14:val="none"/>
        </w:rPr>
        <w:t xml:space="preserve"> استراتيجيات تعزيز جودة الحوكمة ومداخلها</w:t>
      </w:r>
      <w:bookmarkEnd w:id="55"/>
    </w:p>
    <w:p w14:paraId="6E84E3DA"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تتعدّد الاستراتيجيات التي يمكن للمنظمات تبنّيها لتعزيز جودة </w:t>
      </w:r>
      <w:proofErr w:type="spellStart"/>
      <w:r w:rsidRPr="00ED5D0F">
        <w:rPr>
          <w:rFonts w:ascii="Simplified Arabic" w:eastAsia="Times New Roman" w:hAnsi="Simplified Arabic" w:cs="Simplified Arabic"/>
          <w:color w:val="000000" w:themeColor="text1"/>
          <w:kern w:val="0"/>
          <w:sz w:val="28"/>
          <w:szCs w:val="28"/>
          <w:rtl/>
          <w14:ligatures w14:val="none"/>
        </w:rPr>
        <w:t>حوكمتها</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وتلتقي في كونها استراتيجيات شاملة تتشابك فيها الأبعاد الهيكلية والإجرائية والثقافية. ومن أبرز هذه الاستراتيجيات تطوير البنية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عبر بناء هياكل تنظيمية واضحة تُحدّد المسؤوليات والصلاحيات، وإنشاء لجان متخصّصة تضطلع بمهام محدّدة كلجان المراجعة وإدارة المخاطر، بما يُتيح تخصّصًا في الإشراف وتوزيعًا فاعلًا للأعباء (الحربي، ٢٠٢١)</w:t>
      </w:r>
      <w:r w:rsidRPr="00ED5D0F">
        <w:rPr>
          <w:rFonts w:ascii="Simplified Arabic" w:eastAsia="Times New Roman" w:hAnsi="Simplified Arabic" w:cs="Simplified Arabic"/>
          <w:color w:val="000000" w:themeColor="text1"/>
          <w:kern w:val="0"/>
          <w:sz w:val="28"/>
          <w:szCs w:val="28"/>
          <w14:ligatures w14:val="none"/>
        </w:rPr>
        <w:t>.</w:t>
      </w:r>
    </w:p>
    <w:p w14:paraId="7B2623AB"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وتُكمّلها استراتيجية تطوير السياسات والإجراءات التي تستهدف إحكام الأطر الموجِّهة للممارسة الإدارية، وتشمل صياغة سياسات </w:t>
      </w:r>
      <w:proofErr w:type="spellStart"/>
      <w:r w:rsidRPr="00ED5D0F">
        <w:rPr>
          <w:rFonts w:ascii="Simplified Arabic" w:eastAsia="Times New Roman" w:hAnsi="Simplified Arabic" w:cs="Simplified Arabic"/>
          <w:color w:val="000000" w:themeColor="text1"/>
          <w:kern w:val="0"/>
          <w:sz w:val="28"/>
          <w:szCs w:val="28"/>
          <w:rtl/>
          <w14:ligatures w14:val="none"/>
        </w:rPr>
        <w:t>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مكتوبة وواضحة، ومدوّنات سلوكية تُحدّد التوقعات الأخلاقية، وإجراءات تشغيلية تُترجم السياسات إلى ممارسات يومية. وتأتي إلى جانبها استراتيجية بناء القدرات التي تُركّز على تأهيل العاملين والمسؤولين على متطلبات الحوكمة الرشيدة، عبر برامج التدريب وورش العمل وبرامج التطوير القيادي</w:t>
      </w:r>
      <w:r w:rsidRPr="00ED5D0F">
        <w:rPr>
          <w:rFonts w:ascii="Simplified Arabic" w:eastAsia="Times New Roman" w:hAnsi="Simplified Arabic" w:cs="Simplified Arabic"/>
          <w:color w:val="000000" w:themeColor="text1"/>
          <w:kern w:val="0"/>
          <w:sz w:val="28"/>
          <w:szCs w:val="28"/>
          <w14:ligatures w14:val="none"/>
        </w:rPr>
        <w:t>.</w:t>
      </w:r>
    </w:p>
    <w:p w14:paraId="01335288"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وتحظى استراتيجية ترسيخ الثقافة </w:t>
      </w:r>
      <w:proofErr w:type="spellStart"/>
      <w:r w:rsidRPr="00ED5D0F">
        <w:rPr>
          <w:rFonts w:ascii="Simplified Arabic" w:eastAsia="Times New Roman" w:hAnsi="Simplified Arabic" w:cs="Simplified Arabic"/>
          <w:color w:val="000000" w:themeColor="text1"/>
          <w:kern w:val="0"/>
          <w:sz w:val="28"/>
          <w:szCs w:val="28"/>
          <w:rtl/>
          <w14:ligatures w14:val="none"/>
        </w:rPr>
        <w:t>الحوكمية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بأهمية متنامية، إذ يُبرز </w:t>
      </w:r>
      <w:proofErr w:type="spellStart"/>
      <w:r w:rsidRPr="00ED5D0F">
        <w:rPr>
          <w:rFonts w:ascii="Simplified Arabic" w:eastAsia="Times New Roman" w:hAnsi="Simplified Arabic" w:cs="Simplified Arabic"/>
          <w:color w:val="000000" w:themeColor="text1"/>
          <w:kern w:val="0"/>
          <w:sz w:val="28"/>
          <w:szCs w:val="28"/>
          <w:rtl/>
          <w14:ligatures w14:val="none"/>
        </w:rPr>
        <w:t>إيفونيي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Efunniyi</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2024) </w:t>
      </w:r>
      <w:r w:rsidRPr="00ED5D0F">
        <w:rPr>
          <w:rFonts w:ascii="Simplified Arabic" w:eastAsia="Times New Roman" w:hAnsi="Simplified Arabic" w:cs="Simplified Arabic"/>
          <w:color w:val="000000" w:themeColor="text1"/>
          <w:kern w:val="0"/>
          <w:sz w:val="28"/>
          <w:szCs w:val="28"/>
          <w:rtl/>
          <w14:ligatures w14:val="none"/>
        </w:rPr>
        <w:t xml:space="preserve">أن أي منظومة </w:t>
      </w:r>
      <w:proofErr w:type="spellStart"/>
      <w:r w:rsidRPr="00ED5D0F">
        <w:rPr>
          <w:rFonts w:ascii="Simplified Arabic" w:eastAsia="Times New Roman" w:hAnsi="Simplified Arabic" w:cs="Simplified Arabic"/>
          <w:color w:val="000000" w:themeColor="text1"/>
          <w:kern w:val="0"/>
          <w:sz w:val="28"/>
          <w:szCs w:val="28"/>
          <w:rtl/>
          <w14:ligatures w14:val="none"/>
        </w:rPr>
        <w:t>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لا يُكتب لها النجاح ما لم تُسنَد بثقافة مؤسسية داعمة تتشرّب قيم النزاهة والشفافية والمسؤولية. وتقتضي هذه الاستراتيجية قيادة قدوة من القمة، وآليات لتعزيز السلوك الإيجابي ومعالجة السلوك المخالف، وأدوات للتواصل الداخلي تُرسّخ القيم في الوعي الجمعي</w:t>
      </w:r>
      <w:r w:rsidRPr="00ED5D0F">
        <w:rPr>
          <w:rFonts w:ascii="Simplified Arabic" w:eastAsia="Times New Roman" w:hAnsi="Simplified Arabic" w:cs="Simplified Arabic"/>
          <w:color w:val="000000" w:themeColor="text1"/>
          <w:kern w:val="0"/>
          <w:sz w:val="28"/>
          <w:szCs w:val="28"/>
          <w14:ligatures w14:val="none"/>
        </w:rPr>
        <w:t>.</w:t>
      </w:r>
    </w:p>
    <w:p w14:paraId="28F1E52D"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ومن المداخل الحاكمة لجودة الحوكمة، يبرز مدخل أصحاب المصلحة الذي يتعامل مع المنظمة بوصفها كيانًا متشابكًا مع أطراف متعدّدة لكلٍّ منها مصالح مشروعة، ويستوجب من الحوكمة الموازنة بين هذه المصالح. ويُكمّله مدخل الوكالة الذي يُركّز على تنظيم العلاقة بين الإدارة وأصحاب المصلحة الرئيسين، ومعالجة مشكلات تضارب المصالح وعدم تماثل المعلومات. ويُضاف إليهما مدخل الموارد والقدرات الذي يَعدّ جودة الحوكمة موردًا استراتيجيًا يُسهم في بناء الميزة التنافسية، ومدخل الاستدامة الذي يربط جودة الحوكمة بالأبعاد البيئية والاجتماعية، ويُوسّع نطاق المسؤولية المؤسسية كما يُبيّن </w:t>
      </w:r>
      <w:proofErr w:type="spellStart"/>
      <w:r w:rsidRPr="00ED5D0F">
        <w:rPr>
          <w:rFonts w:ascii="Simplified Arabic" w:eastAsia="Times New Roman" w:hAnsi="Simplified Arabic" w:cs="Simplified Arabic"/>
          <w:color w:val="000000" w:themeColor="text1"/>
          <w:kern w:val="0"/>
          <w:sz w:val="28"/>
          <w:szCs w:val="28"/>
          <w:rtl/>
          <w14:ligatures w14:val="none"/>
        </w:rPr>
        <w:t>لاندي</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وآخرون</w:t>
      </w:r>
      <w:r w:rsidRPr="00ED5D0F">
        <w:rPr>
          <w:rFonts w:ascii="Simplified Arabic" w:eastAsia="Times New Roman" w:hAnsi="Simplified Arabic" w:cs="Simplified Arabic"/>
          <w:color w:val="000000" w:themeColor="text1"/>
          <w:kern w:val="0"/>
          <w:sz w:val="28"/>
          <w:szCs w:val="28"/>
          <w14:ligatures w14:val="none"/>
        </w:rPr>
        <w:t xml:space="preserve"> (</w:t>
      </w:r>
      <w:proofErr w:type="spellStart"/>
      <w:r w:rsidRPr="00ED5D0F">
        <w:rPr>
          <w:rFonts w:ascii="Simplified Arabic" w:eastAsia="Times New Roman" w:hAnsi="Simplified Arabic" w:cs="Simplified Arabic"/>
          <w:color w:val="000000" w:themeColor="text1"/>
          <w:kern w:val="0"/>
          <w:sz w:val="28"/>
          <w:szCs w:val="28"/>
          <w14:ligatures w14:val="none"/>
        </w:rPr>
        <w:t>Landi</w:t>
      </w:r>
      <w:proofErr w:type="spellEnd"/>
      <w:r w:rsidRPr="00ED5D0F">
        <w:rPr>
          <w:rFonts w:ascii="Simplified Arabic" w:eastAsia="Times New Roman" w:hAnsi="Simplified Arabic" w:cs="Simplified Arabic"/>
          <w:color w:val="000000" w:themeColor="text1"/>
          <w:kern w:val="0"/>
          <w:sz w:val="28"/>
          <w:szCs w:val="28"/>
          <w14:ligatures w14:val="none"/>
        </w:rPr>
        <w:t xml:space="preserve"> et al., 2022).</w:t>
      </w:r>
    </w:p>
    <w:p w14:paraId="62F1CAE9" w14:textId="77777777" w:rsidR="00B8416F" w:rsidRPr="00ED5D0F" w:rsidRDefault="00B8416F" w:rsidP="007727F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5D0F">
        <w:rPr>
          <w:rFonts w:ascii="Simplified Arabic" w:eastAsia="Times New Roman" w:hAnsi="Simplified Arabic" w:cs="Simplified Arabic"/>
          <w:color w:val="000000" w:themeColor="text1"/>
          <w:kern w:val="0"/>
          <w:sz w:val="28"/>
          <w:szCs w:val="28"/>
          <w:rtl/>
          <w14:ligatures w14:val="none"/>
        </w:rPr>
        <w:t xml:space="preserve">وفي السياق الحكومي، يكتسب مدخل الحوكمة الإلكترونية أهمية متنامية، إذ تُتيح التقنيات الحديثة، كما تُشير تلي (٢٠٢١)، تطوير منظومات </w:t>
      </w:r>
      <w:proofErr w:type="spellStart"/>
      <w:r w:rsidRPr="00ED5D0F">
        <w:rPr>
          <w:rFonts w:ascii="Simplified Arabic" w:eastAsia="Times New Roman" w:hAnsi="Simplified Arabic" w:cs="Simplified Arabic"/>
          <w:color w:val="000000" w:themeColor="text1"/>
          <w:kern w:val="0"/>
          <w:sz w:val="28"/>
          <w:szCs w:val="28"/>
          <w:rtl/>
          <w14:ligatures w14:val="none"/>
        </w:rPr>
        <w:t>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أكثر شفافية وتفاعلية وكفاءة، وتُيسّر تقديم الخدمات </w:t>
      </w:r>
      <w:r w:rsidRPr="00ED5D0F">
        <w:rPr>
          <w:rFonts w:ascii="Simplified Arabic" w:eastAsia="Times New Roman" w:hAnsi="Simplified Arabic" w:cs="Simplified Arabic"/>
          <w:color w:val="000000" w:themeColor="text1"/>
          <w:kern w:val="0"/>
          <w:sz w:val="28"/>
          <w:szCs w:val="28"/>
          <w:rtl/>
          <w14:ligatures w14:val="none"/>
        </w:rPr>
        <w:lastRenderedPageBreak/>
        <w:t xml:space="preserve">وتوسيع نطاق المشاركة. ويُتكامل هذا المدخل مع التحوّل الرقمي الذي تشهده المملكة العربية السعودية في إطار رؤيتها التنموية، ويُتيح للجهات الحكومية، كالهيئة العامة للعقار، تطوير نماذج </w:t>
      </w:r>
      <w:proofErr w:type="spellStart"/>
      <w:r w:rsidRPr="00ED5D0F">
        <w:rPr>
          <w:rFonts w:ascii="Simplified Arabic" w:eastAsia="Times New Roman" w:hAnsi="Simplified Arabic" w:cs="Simplified Arabic"/>
          <w:color w:val="000000" w:themeColor="text1"/>
          <w:kern w:val="0"/>
          <w:sz w:val="28"/>
          <w:szCs w:val="28"/>
          <w:rtl/>
          <w14:ligatures w14:val="none"/>
        </w:rPr>
        <w:t>حوكمية</w:t>
      </w:r>
      <w:proofErr w:type="spellEnd"/>
      <w:r w:rsidRPr="00ED5D0F">
        <w:rPr>
          <w:rFonts w:ascii="Simplified Arabic" w:eastAsia="Times New Roman" w:hAnsi="Simplified Arabic" w:cs="Simplified Arabic"/>
          <w:color w:val="000000" w:themeColor="text1"/>
          <w:kern w:val="0"/>
          <w:sz w:val="28"/>
          <w:szCs w:val="28"/>
          <w:rtl/>
          <w14:ligatures w14:val="none"/>
        </w:rPr>
        <w:t xml:space="preserve"> متقدّمة تُحقّق نقلة نوعية في الأداء</w:t>
      </w:r>
      <w:r w:rsidRPr="00ED5D0F">
        <w:rPr>
          <w:rFonts w:ascii="Simplified Arabic" w:eastAsia="Times New Roman" w:hAnsi="Simplified Arabic" w:cs="Simplified Arabic"/>
          <w:color w:val="000000" w:themeColor="text1"/>
          <w:kern w:val="0"/>
          <w:sz w:val="28"/>
          <w:szCs w:val="28"/>
          <w14:ligatures w14:val="none"/>
        </w:rPr>
        <w:t>.</w:t>
      </w:r>
    </w:p>
    <w:p w14:paraId="4DA247E1" w14:textId="623127B3" w:rsidR="001A0700" w:rsidRPr="00ED5D0F" w:rsidRDefault="007727FB" w:rsidP="0048781E">
      <w:pPr>
        <w:jc w:val="center"/>
        <w:outlineLvl w:val="0"/>
        <w:rPr>
          <w:rFonts w:ascii="Simplified Arabic" w:hAnsi="Simplified Arabic" w:cs="Simplified Arabic"/>
          <w:b/>
          <w:bCs/>
          <w:color w:val="000000" w:themeColor="text1"/>
          <w:szCs w:val="28"/>
          <w:rtl/>
        </w:rPr>
        <w:sectPr w:rsidR="001A0700" w:rsidRPr="00ED5D0F" w:rsidSect="00FA402B">
          <w:footerReference w:type="default" r:id="rId9"/>
          <w:pgSz w:w="11906" w:h="16838" w:code="9"/>
          <w:pgMar w:top="1134" w:right="1701" w:bottom="1134" w:left="1134" w:header="720" w:footer="720" w:gutter="0"/>
          <w:pgNumType w:start="1"/>
          <w:cols w:space="708"/>
          <w:bidi/>
          <w:rtlGutter/>
          <w:docGrid w:linePitch="360"/>
        </w:sectPr>
      </w:pPr>
      <w:r w:rsidRPr="00ED5D0F">
        <w:rPr>
          <w:rFonts w:ascii="Simplified Arabic" w:eastAsia="Times New Roman" w:hAnsi="Simplified Arabic" w:cs="Simplified Arabic"/>
          <w:b/>
          <w:bCs/>
          <w:color w:val="000000" w:themeColor="text1"/>
          <w:kern w:val="0"/>
          <w:sz w:val="40"/>
          <w:szCs w:val="40"/>
          <w:rtl/>
          <w14:ligatures w14:val="none"/>
        </w:rPr>
        <w:br w:type="page"/>
      </w:r>
      <w:bookmarkEnd w:id="27"/>
    </w:p>
    <w:p w14:paraId="29D4231B" w14:textId="623F4E74" w:rsidR="0081623B" w:rsidRPr="00ED5D0F" w:rsidRDefault="00E27D3B" w:rsidP="007A662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D5D0F">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EDCA5AF">
            <wp:simplePos x="0" y="0"/>
            <wp:positionH relativeFrom="column">
              <wp:posOffset>4057650</wp:posOffset>
            </wp:positionH>
            <wp:positionV relativeFrom="paragraph">
              <wp:posOffset>0</wp:posOffset>
            </wp:positionV>
            <wp:extent cx="1583055" cy="1466215"/>
            <wp:effectExtent l="0" t="0" r="0" b="635"/>
            <wp:wrapTight wrapText="bothSides">
              <wp:wrapPolygon edited="0">
                <wp:start x="0" y="0"/>
                <wp:lineTo x="0" y="21329"/>
                <wp:lineTo x="21314" y="21329"/>
                <wp:lineTo x="2131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83055" cy="146621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ED5D0F">
        <w:rPr>
          <w:rFonts w:asciiTheme="majorBidi" w:eastAsia="Calibri" w:hAnsiTheme="majorBidi" w:cstheme="majorBidi"/>
          <w:b/>
          <w:bCs/>
          <w:color w:val="000000" w:themeColor="text1"/>
          <w:kern w:val="0"/>
          <w:sz w:val="32"/>
          <w:szCs w:val="32"/>
          <w:lang w:bidi="ar-EG"/>
          <w14:ligatures w14:val="none"/>
        </w:rPr>
        <w:t>Mid</w:t>
      </w:r>
      <w:r w:rsidR="000D353F" w:rsidRPr="00ED5D0F">
        <w:rPr>
          <w:rFonts w:asciiTheme="majorBidi" w:eastAsia="Calibri" w:hAnsiTheme="majorBidi" w:cstheme="majorBidi"/>
          <w:b/>
          <w:bCs/>
          <w:color w:val="000000" w:themeColor="text1"/>
          <w:kern w:val="0"/>
          <w:sz w:val="32"/>
          <w:szCs w:val="32"/>
          <w:lang w:bidi="ar-EG"/>
          <w14:ligatures w14:val="none"/>
        </w:rPr>
        <w:t xml:space="preserve"> </w:t>
      </w:r>
      <w:r w:rsidR="0081623B" w:rsidRPr="00ED5D0F">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ED5D0F" w:rsidRDefault="0081623B" w:rsidP="007A662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D5D0F">
        <w:rPr>
          <w:rFonts w:asciiTheme="majorBidi" w:eastAsia="Calibri" w:hAnsiTheme="majorBidi" w:cstheme="majorBidi"/>
          <w:b/>
          <w:bCs/>
          <w:color w:val="000000" w:themeColor="text1"/>
          <w:kern w:val="0"/>
          <w:sz w:val="32"/>
          <w:szCs w:val="32"/>
          <w:lang w:bidi="ar-EG"/>
          <w14:ligatures w14:val="none"/>
        </w:rPr>
        <w:t>College of Management</w:t>
      </w:r>
    </w:p>
    <w:p w14:paraId="552EB943" w14:textId="56A42967" w:rsidR="00AF20BD" w:rsidRPr="00ED5D0F" w:rsidRDefault="00B95BA6" w:rsidP="001A070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ED5D0F">
        <w:rPr>
          <w:rFonts w:asciiTheme="majorBidi" w:eastAsia="Calibri" w:hAnsiTheme="majorBidi" w:cstheme="majorBidi"/>
          <w:b/>
          <w:bCs/>
          <w:color w:val="000000" w:themeColor="text1"/>
          <w:kern w:val="0"/>
          <w:sz w:val="32"/>
          <w:szCs w:val="32"/>
          <w:lang w:bidi="ar-EG"/>
          <w14:ligatures w14:val="none"/>
        </w:rPr>
        <w:t>Master of Risk Management</w:t>
      </w:r>
    </w:p>
    <w:p w14:paraId="0CBE22B0" w14:textId="77777777" w:rsidR="00CC6261" w:rsidRPr="00ED5D0F" w:rsidRDefault="00CC6261" w:rsidP="007A662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F96CEC6" w14:textId="7440EBFF" w:rsidR="00B95BA6" w:rsidRPr="00ED5D0F" w:rsidRDefault="00B95BA6" w:rsidP="001A070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ED5D0F">
        <w:rPr>
          <w:rFonts w:asciiTheme="majorBidi" w:eastAsia="Calibri" w:hAnsiTheme="majorBidi" w:cstheme="majorBidi"/>
          <w:b/>
          <w:bCs/>
          <w:color w:val="000000" w:themeColor="text1"/>
          <w:kern w:val="0"/>
          <w:sz w:val="40"/>
          <w:szCs w:val="40"/>
          <w:lang w:bidi="ar-EG"/>
          <w14:ligatures w14:val="none"/>
        </w:rPr>
        <w:t>The Impact of Compliance Risk Management on Governance Quality in Real Estate Institutions: A Field Study on the Real Estate General Authority in Saudi Arabia.</w:t>
      </w:r>
    </w:p>
    <w:p w14:paraId="7F881157" w14:textId="77777777" w:rsidR="001A0700" w:rsidRPr="00ED5D0F" w:rsidRDefault="001A0700" w:rsidP="007A662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03C60462" w14:textId="5AB0CA4F" w:rsidR="0025395E" w:rsidRDefault="0025395E" w:rsidP="001A070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ED5D0F">
        <w:rPr>
          <w:rFonts w:asciiTheme="majorBidi" w:eastAsia="Calibri" w:hAnsiTheme="majorBidi" w:cstheme="majorBidi"/>
          <w:b/>
          <w:bCs/>
          <w:color w:val="000000" w:themeColor="text1"/>
          <w:kern w:val="0"/>
          <w:sz w:val="36"/>
          <w:szCs w:val="36"/>
          <w:lang w:bidi="ar-EG"/>
          <w14:ligatures w14:val="none"/>
        </w:rPr>
        <w:t>Prepared by</w:t>
      </w:r>
      <w:r w:rsidR="001A0700" w:rsidRPr="00ED5D0F">
        <w:rPr>
          <w:rFonts w:asciiTheme="majorBidi" w:eastAsia="Calibri" w:hAnsiTheme="majorBidi" w:cstheme="majorBidi" w:hint="cs"/>
          <w:b/>
          <w:bCs/>
          <w:color w:val="000000" w:themeColor="text1"/>
          <w:kern w:val="0"/>
          <w:sz w:val="36"/>
          <w:szCs w:val="36"/>
          <w:rtl/>
          <w:lang w:bidi="ar-EG"/>
          <w14:ligatures w14:val="none"/>
        </w:rPr>
        <w:t>/</w:t>
      </w:r>
    </w:p>
    <w:p w14:paraId="4AC4C969" w14:textId="4123D05D" w:rsidR="00017ED5" w:rsidRPr="00ED5D0F" w:rsidRDefault="00436490" w:rsidP="00017ED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hint="cs"/>
          <w:b/>
          <w:bCs/>
          <w:color w:val="000000" w:themeColor="text1"/>
          <w:kern w:val="0"/>
          <w:sz w:val="36"/>
          <w:szCs w:val="36"/>
          <w14:ligatures w14:val="none"/>
        </w:rPr>
        <w:t>Faris Ahmed Alessa</w:t>
      </w:r>
    </w:p>
    <w:p w14:paraId="66F508BA" w14:textId="77777777" w:rsidR="00156D45" w:rsidRPr="00ED5D0F" w:rsidRDefault="00156D45" w:rsidP="007A662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3B8CECE6" w14:textId="77777777" w:rsidR="001A0700" w:rsidRPr="00ED5D0F" w:rsidRDefault="001A0700" w:rsidP="001A070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D5D0F" w:rsidRPr="00ED5D0F" w14:paraId="5CE676B7" w14:textId="77777777" w:rsidTr="00CB4E99">
        <w:tc>
          <w:tcPr>
            <w:tcW w:w="4530" w:type="dxa"/>
          </w:tcPr>
          <w:p w14:paraId="762082A8" w14:textId="77777777" w:rsidR="001A0700" w:rsidRPr="00ED5D0F" w:rsidRDefault="001A0700"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D5D0F">
              <w:rPr>
                <w:rFonts w:asciiTheme="majorBidi" w:eastAsia="Calibri" w:hAnsiTheme="majorBidi" w:cstheme="majorBidi"/>
                <w:b/>
                <w:bCs/>
                <w:color w:val="000000" w:themeColor="text1"/>
                <w:kern w:val="0"/>
                <w:sz w:val="36"/>
                <w:szCs w:val="36"/>
                <w:lang w:bidi="ar-EG"/>
                <w14:ligatures w14:val="none"/>
              </w:rPr>
              <w:t>Main supervisor</w:t>
            </w:r>
            <w:r w:rsidRPr="00ED5D0F">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84151A8" w14:textId="77777777" w:rsidR="001A0700" w:rsidRPr="00ED5D0F" w:rsidRDefault="001A0700"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D5D0F">
              <w:rPr>
                <w:rFonts w:asciiTheme="majorBidi" w:eastAsia="Calibri" w:hAnsiTheme="majorBidi" w:cstheme="majorBidi"/>
                <w:b/>
                <w:bCs/>
                <w:color w:val="000000" w:themeColor="text1"/>
                <w:kern w:val="0"/>
                <w:sz w:val="36"/>
                <w:szCs w:val="36"/>
                <w:lang w:bidi="ar-EG"/>
                <w14:ligatures w14:val="none"/>
              </w:rPr>
              <w:t>Second supervisor</w:t>
            </w:r>
            <w:r w:rsidRPr="00ED5D0F">
              <w:rPr>
                <w:rFonts w:asciiTheme="majorBidi" w:eastAsia="Calibri" w:hAnsiTheme="majorBidi" w:cstheme="majorBidi"/>
                <w:b/>
                <w:bCs/>
                <w:color w:val="000000" w:themeColor="text1"/>
                <w:kern w:val="0"/>
                <w:sz w:val="36"/>
                <w:szCs w:val="36"/>
                <w:rtl/>
                <w:lang w:bidi="ar-EG"/>
                <w14:ligatures w14:val="none"/>
              </w:rPr>
              <w:t>/</w:t>
            </w:r>
          </w:p>
        </w:tc>
      </w:tr>
      <w:tr w:rsidR="00ED5D0F" w:rsidRPr="00ED5D0F" w14:paraId="23549EAA" w14:textId="77777777" w:rsidTr="00CB4E99">
        <w:tc>
          <w:tcPr>
            <w:tcW w:w="4530" w:type="dxa"/>
          </w:tcPr>
          <w:p w14:paraId="10653EC6" w14:textId="77777777" w:rsidR="001A0700" w:rsidRPr="00ED5D0F" w:rsidRDefault="001A0700"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D5D0F">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ED5D0F">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1725E1D0" w14:textId="77777777" w:rsidR="001A0700" w:rsidRPr="00ED5D0F" w:rsidRDefault="001A0700"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D5D0F">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ED5D0F">
              <w:rPr>
                <w:rFonts w:asciiTheme="majorBidi" w:eastAsia="Calibri" w:hAnsiTheme="majorBidi" w:cstheme="majorBidi"/>
                <w:color w:val="000000" w:themeColor="text1"/>
                <w:kern w:val="0"/>
                <w:sz w:val="36"/>
                <w:szCs w:val="36"/>
                <w:lang w:bidi="ar-EG"/>
                <w14:ligatures w14:val="none"/>
              </w:rPr>
              <w:t>Jarad</w:t>
            </w:r>
            <w:proofErr w:type="spellEnd"/>
          </w:p>
        </w:tc>
      </w:tr>
    </w:tbl>
    <w:p w14:paraId="005798C8" w14:textId="77777777" w:rsidR="001A0700" w:rsidRPr="00ED5D0F" w:rsidRDefault="001A0700" w:rsidP="001A0700">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ED5D0F">
        <w:rPr>
          <w:rFonts w:asciiTheme="majorBidi" w:eastAsia="Calibri" w:hAnsiTheme="majorBidi" w:cstheme="majorBidi"/>
          <w:color w:val="000000" w:themeColor="text1"/>
          <w:kern w:val="0"/>
          <w:sz w:val="36"/>
          <w:szCs w:val="36"/>
          <w:rtl/>
          <w:lang w:bidi="ar-EG"/>
          <w14:ligatures w14:val="none"/>
        </w:rPr>
        <w:t>1448 – 2026</w:t>
      </w:r>
    </w:p>
    <w:p w14:paraId="02CC63E2" w14:textId="77777777" w:rsidR="001A0700" w:rsidRPr="00ED5D0F" w:rsidRDefault="001A0700" w:rsidP="001A070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E52896B" w14:textId="2F94EE55" w:rsidR="009125CE" w:rsidRPr="00ED5D0F" w:rsidRDefault="009125CE" w:rsidP="007A6629">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ED5D0F" w:rsidSect="00FA402B">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EF9DA" w14:textId="77777777" w:rsidR="009472AE" w:rsidRDefault="009472AE" w:rsidP="009125CE">
      <w:pPr>
        <w:spacing w:after="0" w:line="240" w:lineRule="auto"/>
      </w:pPr>
      <w:r>
        <w:separator/>
      </w:r>
    </w:p>
  </w:endnote>
  <w:endnote w:type="continuationSeparator" w:id="0">
    <w:p w14:paraId="168AD8AD" w14:textId="77777777" w:rsidR="009472AE" w:rsidRDefault="009472A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68923969"/>
      <w:docPartObj>
        <w:docPartGallery w:val="Page Numbers (Bottom of Page)"/>
        <w:docPartUnique/>
      </w:docPartObj>
    </w:sdtPr>
    <w:sdtEndPr/>
    <w:sdtContent>
      <w:p w14:paraId="4E2A96B3" w14:textId="77777777" w:rsidR="0060108F" w:rsidRDefault="0060108F">
        <w:pPr>
          <w:pStyle w:val="a4"/>
        </w:pPr>
        <w:r>
          <w:rPr>
            <w:noProof/>
          </w:rPr>
          <mc:AlternateContent>
            <mc:Choice Requires="wpg">
              <w:drawing>
                <wp:anchor distT="0" distB="0" distL="114300" distR="114300" simplePos="0" relativeHeight="251663360" behindDoc="0" locked="0" layoutInCell="1" allowOverlap="1" wp14:anchorId="52E41FC7" wp14:editId="14A3EB77">
                  <wp:simplePos x="0" y="0"/>
                  <wp:positionH relativeFrom="margin">
                    <wp:align>center</wp:align>
                  </wp:positionH>
                  <wp:positionV relativeFrom="page">
                    <wp:align>bottom</wp:align>
                  </wp:positionV>
                  <wp:extent cx="436880" cy="716915"/>
                  <wp:effectExtent l="9525" t="9525" r="10795" b="698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1"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2"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D77F625" w14:textId="77777777" w:rsidR="0060108F" w:rsidRPr="007A6629" w:rsidRDefault="0060108F">
                                <w:pPr>
                                  <w:pStyle w:val="a4"/>
                                  <w:jc w:val="center"/>
                                  <w:rPr>
                                    <w:rFonts w:ascii="Simplified Arabic" w:hAnsi="Simplified Arabic" w:cs="Simplified Arabic"/>
                                    <w:b/>
                                    <w:bCs/>
                                    <w:sz w:val="24"/>
                                    <w:szCs w:val="24"/>
                                  </w:rPr>
                                </w:pPr>
                                <w:r w:rsidRPr="007A6629">
                                  <w:rPr>
                                    <w:rFonts w:ascii="Simplified Arabic" w:hAnsi="Simplified Arabic" w:cs="Simplified Arabic"/>
                                    <w:b/>
                                    <w:bCs/>
                                    <w:sz w:val="24"/>
                                    <w:szCs w:val="24"/>
                                  </w:rPr>
                                  <w:fldChar w:fldCharType="begin"/>
                                </w:r>
                                <w:r w:rsidRPr="007A6629">
                                  <w:rPr>
                                    <w:rFonts w:ascii="Simplified Arabic" w:hAnsi="Simplified Arabic" w:cs="Simplified Arabic"/>
                                    <w:b/>
                                    <w:bCs/>
                                    <w:sz w:val="24"/>
                                    <w:szCs w:val="24"/>
                                  </w:rPr>
                                  <w:instrText xml:space="preserve"> PAGE    \* MERGEFORMAT </w:instrText>
                                </w:r>
                                <w:r w:rsidRPr="007A6629">
                                  <w:rPr>
                                    <w:rFonts w:ascii="Simplified Arabic" w:hAnsi="Simplified Arabic" w:cs="Simplified Arabic"/>
                                    <w:b/>
                                    <w:bCs/>
                                    <w:sz w:val="24"/>
                                    <w:szCs w:val="24"/>
                                  </w:rPr>
                                  <w:fldChar w:fldCharType="separate"/>
                                </w:r>
                                <w:r w:rsidR="0048781E">
                                  <w:rPr>
                                    <w:rFonts w:ascii="Simplified Arabic" w:hAnsi="Simplified Arabic" w:cs="Simplified Arabic"/>
                                    <w:b/>
                                    <w:bCs/>
                                    <w:noProof/>
                                    <w:sz w:val="24"/>
                                    <w:szCs w:val="24"/>
                                    <w:rtl/>
                                  </w:rPr>
                                  <w:t>41</w:t>
                                </w:r>
                                <w:r w:rsidRPr="007A6629">
                                  <w:rPr>
                                    <w:rFonts w:ascii="Simplified Arabic" w:hAnsi="Simplified Arabic" w:cs="Simplified Arabic"/>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E41FC7" id="Group 10"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w+sEAAADbAAAADwAAAGRycy9kb3ducmV2LnhtbERPS2vCQBC+C/0Pywi96SaCtaSuQQpC&#10;LiKatuchO02i2dmQ3Tzqr+8WCt7m43vONp1MIwbqXG1ZQbyMQBAXVtdcKvjID4tXEM4ja2wsk4If&#10;cpDunmZbTLQd+UzDxZcihLBLUEHlfZtI6YqKDLqlbYkD9207gz7ArpS6wzGEm0auouhFGqw5NFTY&#10;0ntFxe3SGwXrbGOuLsvPdy/z49fQnNr+Uyr1PJ/2byA8Tf4h/ndnOsyP4e+XcIDc/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PD6wQAAANsAAAAPAAAAAAAAAAAAAAAA&#10;AKECAABkcnMvZG93bnJldi54bWxQSwUGAAAAAAQABAD5AAAAjwM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RLcMA&#10;AADbAAAADwAAAGRycy9kb3ducmV2LnhtbERPS2vCQBC+F/wPyxS81U09FBtdpcQWCl6sio/bkB2z&#10;abKzIbsm8d93C4Xe5uN7zmI12Fp01PrSsYLnSQKCOHe65ELBYf/xNAPhA7LG2jEpuJOH1XL0sMBU&#10;u56/qNuFQsQQ9ikqMCE0qZQ+N2TRT1xDHLmray2GCNtC6hb7GG5rOU2SF2mx5NhgsKHMUF7tblZB&#10;Zdbf75vqnp352GWnbehfL6etUuPH4W0OItAQ/sV/7k8d50/h95d4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sRLcMAAADbAAAADwAAAAAAAAAAAAAAAACYAgAAZHJzL2Rv&#10;d25yZXYueG1sUEsFBgAAAAAEAAQA9QAAAIgDAAAAAA==&#10;" filled="f" strokecolor="#7f7f7f">
                    <v:textbox>
                      <w:txbxContent>
                        <w:p w14:paraId="0D77F625" w14:textId="77777777" w:rsidR="0060108F" w:rsidRPr="007A6629" w:rsidRDefault="0060108F">
                          <w:pPr>
                            <w:pStyle w:val="Footer"/>
                            <w:jc w:val="center"/>
                            <w:rPr>
                              <w:rFonts w:ascii="Simplified Arabic" w:hAnsi="Simplified Arabic" w:cs="Simplified Arabic"/>
                              <w:b/>
                              <w:bCs/>
                              <w:sz w:val="24"/>
                              <w:szCs w:val="24"/>
                            </w:rPr>
                          </w:pPr>
                          <w:r w:rsidRPr="007A6629">
                            <w:rPr>
                              <w:rFonts w:ascii="Simplified Arabic" w:hAnsi="Simplified Arabic" w:cs="Simplified Arabic"/>
                              <w:b/>
                              <w:bCs/>
                              <w:sz w:val="24"/>
                              <w:szCs w:val="24"/>
                            </w:rPr>
                            <w:fldChar w:fldCharType="begin"/>
                          </w:r>
                          <w:r w:rsidRPr="007A6629">
                            <w:rPr>
                              <w:rFonts w:ascii="Simplified Arabic" w:hAnsi="Simplified Arabic" w:cs="Simplified Arabic"/>
                              <w:b/>
                              <w:bCs/>
                              <w:sz w:val="24"/>
                              <w:szCs w:val="24"/>
                            </w:rPr>
                            <w:instrText xml:space="preserve"> PAGE    \* MERGEFORMAT </w:instrText>
                          </w:r>
                          <w:r w:rsidRPr="007A6629">
                            <w:rPr>
                              <w:rFonts w:ascii="Simplified Arabic" w:hAnsi="Simplified Arabic" w:cs="Simplified Arabic"/>
                              <w:b/>
                              <w:bCs/>
                              <w:sz w:val="24"/>
                              <w:szCs w:val="24"/>
                            </w:rPr>
                            <w:fldChar w:fldCharType="separate"/>
                          </w:r>
                          <w:r w:rsidR="0048781E">
                            <w:rPr>
                              <w:rFonts w:ascii="Simplified Arabic" w:hAnsi="Simplified Arabic" w:cs="Simplified Arabic"/>
                              <w:b/>
                              <w:bCs/>
                              <w:noProof/>
                              <w:sz w:val="24"/>
                              <w:szCs w:val="24"/>
                              <w:rtl/>
                            </w:rPr>
                            <w:t>41</w:t>
                          </w:r>
                          <w:r w:rsidRPr="007A6629">
                            <w:rPr>
                              <w:rFonts w:ascii="Simplified Arabic" w:hAnsi="Simplified Arabic" w:cs="Simplified Arabic"/>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14704" w14:textId="2F7BE8DB" w:rsidR="001A0700" w:rsidRDefault="001A07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76226" w14:textId="77777777" w:rsidR="009472AE" w:rsidRDefault="009472AE" w:rsidP="009125CE">
      <w:pPr>
        <w:spacing w:after="0" w:line="240" w:lineRule="auto"/>
      </w:pPr>
      <w:r>
        <w:separator/>
      </w:r>
    </w:p>
  </w:footnote>
  <w:footnote w:type="continuationSeparator" w:id="0">
    <w:p w14:paraId="74A9EC0F" w14:textId="77777777" w:rsidR="009472AE" w:rsidRDefault="009472A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3C4A"/>
    <w:multiLevelType w:val="hybridMultilevel"/>
    <w:tmpl w:val="556A19B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4577849"/>
    <w:multiLevelType w:val="hybridMultilevel"/>
    <w:tmpl w:val="DB6E9C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215BA3"/>
    <w:multiLevelType w:val="hybridMultilevel"/>
    <w:tmpl w:val="69380F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A8378B"/>
    <w:multiLevelType w:val="hybridMultilevel"/>
    <w:tmpl w:val="22DA594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4DC0CB0"/>
    <w:multiLevelType w:val="hybridMultilevel"/>
    <w:tmpl w:val="ED36DA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D301B23"/>
    <w:multiLevelType w:val="hybridMultilevel"/>
    <w:tmpl w:val="00703020"/>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8F5574"/>
    <w:multiLevelType w:val="hybridMultilevel"/>
    <w:tmpl w:val="3BF0D63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87237B9"/>
    <w:multiLevelType w:val="hybridMultilevel"/>
    <w:tmpl w:val="682AB4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1467B8"/>
    <w:multiLevelType w:val="multilevel"/>
    <w:tmpl w:val="872AC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C400E5"/>
    <w:multiLevelType w:val="hybridMultilevel"/>
    <w:tmpl w:val="C7F22F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F32A6B"/>
    <w:multiLevelType w:val="hybridMultilevel"/>
    <w:tmpl w:val="27E24D2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53762898">
    <w:abstractNumId w:val="8"/>
  </w:num>
  <w:num w:numId="2" w16cid:durableId="1029914233">
    <w:abstractNumId w:val="4"/>
  </w:num>
  <w:num w:numId="3" w16cid:durableId="588079496">
    <w:abstractNumId w:val="2"/>
  </w:num>
  <w:num w:numId="4" w16cid:durableId="354038715">
    <w:abstractNumId w:val="6"/>
  </w:num>
  <w:num w:numId="5" w16cid:durableId="1193612351">
    <w:abstractNumId w:val="3"/>
  </w:num>
  <w:num w:numId="6" w16cid:durableId="282200542">
    <w:abstractNumId w:val="5"/>
  </w:num>
  <w:num w:numId="7" w16cid:durableId="194471011">
    <w:abstractNumId w:val="0"/>
  </w:num>
  <w:num w:numId="8" w16cid:durableId="1318999066">
    <w:abstractNumId w:val="1"/>
  </w:num>
  <w:num w:numId="9" w16cid:durableId="565267407">
    <w:abstractNumId w:val="7"/>
  </w:num>
  <w:num w:numId="10" w16cid:durableId="1326200112">
    <w:abstractNumId w:val="9"/>
  </w:num>
  <w:num w:numId="11" w16cid:durableId="1056273752">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4C60"/>
    <w:rsid w:val="00017ED5"/>
    <w:rsid w:val="000204A8"/>
    <w:rsid w:val="00020F7B"/>
    <w:rsid w:val="00022B3A"/>
    <w:rsid w:val="00023A70"/>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38CB"/>
    <w:rsid w:val="00110487"/>
    <w:rsid w:val="0012342D"/>
    <w:rsid w:val="001306F3"/>
    <w:rsid w:val="00131E44"/>
    <w:rsid w:val="00136A9D"/>
    <w:rsid w:val="00143989"/>
    <w:rsid w:val="00150B32"/>
    <w:rsid w:val="001510C1"/>
    <w:rsid w:val="00152611"/>
    <w:rsid w:val="00153B41"/>
    <w:rsid w:val="00156D45"/>
    <w:rsid w:val="00170871"/>
    <w:rsid w:val="00174E80"/>
    <w:rsid w:val="00175050"/>
    <w:rsid w:val="00180436"/>
    <w:rsid w:val="0018142E"/>
    <w:rsid w:val="001840E8"/>
    <w:rsid w:val="001856D4"/>
    <w:rsid w:val="001867D0"/>
    <w:rsid w:val="00186C33"/>
    <w:rsid w:val="001902DB"/>
    <w:rsid w:val="0019163E"/>
    <w:rsid w:val="00194472"/>
    <w:rsid w:val="001950CC"/>
    <w:rsid w:val="001962D1"/>
    <w:rsid w:val="001A0700"/>
    <w:rsid w:val="001A1039"/>
    <w:rsid w:val="001A1758"/>
    <w:rsid w:val="001A41B9"/>
    <w:rsid w:val="001A5094"/>
    <w:rsid w:val="001B0D06"/>
    <w:rsid w:val="001B46EC"/>
    <w:rsid w:val="001B6D18"/>
    <w:rsid w:val="001B7151"/>
    <w:rsid w:val="001C2162"/>
    <w:rsid w:val="001C42F9"/>
    <w:rsid w:val="001D4406"/>
    <w:rsid w:val="001E7B16"/>
    <w:rsid w:val="001F0034"/>
    <w:rsid w:val="001F159D"/>
    <w:rsid w:val="001F46A5"/>
    <w:rsid w:val="0021718D"/>
    <w:rsid w:val="00217ADA"/>
    <w:rsid w:val="0022009F"/>
    <w:rsid w:val="00223AE0"/>
    <w:rsid w:val="002304C2"/>
    <w:rsid w:val="00234450"/>
    <w:rsid w:val="00244894"/>
    <w:rsid w:val="00250D99"/>
    <w:rsid w:val="00251BCA"/>
    <w:rsid w:val="0025395E"/>
    <w:rsid w:val="00256363"/>
    <w:rsid w:val="00260558"/>
    <w:rsid w:val="0026283D"/>
    <w:rsid w:val="00270FB5"/>
    <w:rsid w:val="00274BDE"/>
    <w:rsid w:val="002766BC"/>
    <w:rsid w:val="00280068"/>
    <w:rsid w:val="002828EF"/>
    <w:rsid w:val="00286958"/>
    <w:rsid w:val="0029680E"/>
    <w:rsid w:val="002A32D6"/>
    <w:rsid w:val="002A337C"/>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060F7"/>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2106"/>
    <w:rsid w:val="003D5D45"/>
    <w:rsid w:val="003D6376"/>
    <w:rsid w:val="003E0E80"/>
    <w:rsid w:val="003E29FB"/>
    <w:rsid w:val="003E3EBB"/>
    <w:rsid w:val="003E5B08"/>
    <w:rsid w:val="003E7CB6"/>
    <w:rsid w:val="003F3DA3"/>
    <w:rsid w:val="00401DBE"/>
    <w:rsid w:val="00402123"/>
    <w:rsid w:val="00403383"/>
    <w:rsid w:val="004130C0"/>
    <w:rsid w:val="00413CBD"/>
    <w:rsid w:val="00413DF8"/>
    <w:rsid w:val="00413F36"/>
    <w:rsid w:val="004163C7"/>
    <w:rsid w:val="004215C5"/>
    <w:rsid w:val="004260FE"/>
    <w:rsid w:val="00433FD4"/>
    <w:rsid w:val="00436490"/>
    <w:rsid w:val="0043649D"/>
    <w:rsid w:val="00446ED1"/>
    <w:rsid w:val="004475C8"/>
    <w:rsid w:val="004613E8"/>
    <w:rsid w:val="00461DB2"/>
    <w:rsid w:val="00464637"/>
    <w:rsid w:val="00464AF1"/>
    <w:rsid w:val="004708AB"/>
    <w:rsid w:val="00470A2D"/>
    <w:rsid w:val="00473631"/>
    <w:rsid w:val="00474A1C"/>
    <w:rsid w:val="00475C10"/>
    <w:rsid w:val="00476ADB"/>
    <w:rsid w:val="00476FE0"/>
    <w:rsid w:val="0047707D"/>
    <w:rsid w:val="00482056"/>
    <w:rsid w:val="00482616"/>
    <w:rsid w:val="0048781E"/>
    <w:rsid w:val="004914B1"/>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4E7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C0034"/>
    <w:rsid w:val="005C0751"/>
    <w:rsid w:val="005D0E3A"/>
    <w:rsid w:val="005D25AE"/>
    <w:rsid w:val="005D2620"/>
    <w:rsid w:val="005D5DB7"/>
    <w:rsid w:val="005E37C2"/>
    <w:rsid w:val="005E4AF3"/>
    <w:rsid w:val="005F2722"/>
    <w:rsid w:val="0060108F"/>
    <w:rsid w:val="006020A6"/>
    <w:rsid w:val="006044AD"/>
    <w:rsid w:val="00611029"/>
    <w:rsid w:val="006112DD"/>
    <w:rsid w:val="0061146E"/>
    <w:rsid w:val="00617C5B"/>
    <w:rsid w:val="00625CAD"/>
    <w:rsid w:val="0062761F"/>
    <w:rsid w:val="00633F50"/>
    <w:rsid w:val="006344B4"/>
    <w:rsid w:val="006352B0"/>
    <w:rsid w:val="00640D7C"/>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5365"/>
    <w:rsid w:val="006D0A16"/>
    <w:rsid w:val="006D4C88"/>
    <w:rsid w:val="006E4126"/>
    <w:rsid w:val="006E41F3"/>
    <w:rsid w:val="006E65A3"/>
    <w:rsid w:val="006F162C"/>
    <w:rsid w:val="006F29F1"/>
    <w:rsid w:val="0070333D"/>
    <w:rsid w:val="00705AF7"/>
    <w:rsid w:val="0070623F"/>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27FB"/>
    <w:rsid w:val="007739B3"/>
    <w:rsid w:val="007753A5"/>
    <w:rsid w:val="00775634"/>
    <w:rsid w:val="00780E8F"/>
    <w:rsid w:val="0078216A"/>
    <w:rsid w:val="007874FA"/>
    <w:rsid w:val="00791E1F"/>
    <w:rsid w:val="00792A28"/>
    <w:rsid w:val="007A6629"/>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23CF5"/>
    <w:rsid w:val="0083081C"/>
    <w:rsid w:val="00831F14"/>
    <w:rsid w:val="008332E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97F7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5511"/>
    <w:rsid w:val="00927901"/>
    <w:rsid w:val="009307B0"/>
    <w:rsid w:val="00930A79"/>
    <w:rsid w:val="00932A89"/>
    <w:rsid w:val="00937CA3"/>
    <w:rsid w:val="009472AE"/>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4CA"/>
    <w:rsid w:val="009D59AE"/>
    <w:rsid w:val="009E1436"/>
    <w:rsid w:val="009E31A0"/>
    <w:rsid w:val="009E554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21E86"/>
    <w:rsid w:val="00B25388"/>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416F"/>
    <w:rsid w:val="00B9286F"/>
    <w:rsid w:val="00B95BA6"/>
    <w:rsid w:val="00BA0E1B"/>
    <w:rsid w:val="00BA1572"/>
    <w:rsid w:val="00BA1B67"/>
    <w:rsid w:val="00BA3D6A"/>
    <w:rsid w:val="00BA5817"/>
    <w:rsid w:val="00BB1144"/>
    <w:rsid w:val="00BB3514"/>
    <w:rsid w:val="00BB4379"/>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15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75AD3"/>
    <w:rsid w:val="00D92BC0"/>
    <w:rsid w:val="00D92F77"/>
    <w:rsid w:val="00D965B5"/>
    <w:rsid w:val="00DA0EBA"/>
    <w:rsid w:val="00DA1C1B"/>
    <w:rsid w:val="00DA3C05"/>
    <w:rsid w:val="00DA4EAA"/>
    <w:rsid w:val="00DA61E2"/>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E7EA7"/>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10A0"/>
    <w:rsid w:val="00E53564"/>
    <w:rsid w:val="00E552BA"/>
    <w:rsid w:val="00E55B8D"/>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46FF"/>
    <w:rsid w:val="00EB60A5"/>
    <w:rsid w:val="00EC10F6"/>
    <w:rsid w:val="00EC5DCF"/>
    <w:rsid w:val="00ED1918"/>
    <w:rsid w:val="00ED24E8"/>
    <w:rsid w:val="00ED2B59"/>
    <w:rsid w:val="00ED2F10"/>
    <w:rsid w:val="00ED5D0F"/>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37643"/>
    <w:rsid w:val="00F450D5"/>
    <w:rsid w:val="00F540A1"/>
    <w:rsid w:val="00F546CE"/>
    <w:rsid w:val="00F563E2"/>
    <w:rsid w:val="00F60BB7"/>
    <w:rsid w:val="00F66109"/>
    <w:rsid w:val="00F72CBB"/>
    <w:rsid w:val="00F733B2"/>
    <w:rsid w:val="00F91846"/>
    <w:rsid w:val="00F95872"/>
    <w:rsid w:val="00FA0A03"/>
    <w:rsid w:val="00FA24AF"/>
    <w:rsid w:val="00FA402B"/>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3AE"/>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335D11"/>
    <w:rPr>
      <w:i/>
      <w:iCs/>
    </w:rPr>
  </w:style>
  <w:style w:type="table" w:styleId="5-5">
    <w:name w:val="Grid Table 5 Dark Accent 5"/>
    <w:basedOn w:val="a1"/>
    <w:uiPriority w:val="50"/>
    <w:rsid w:val="00FA40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6-3">
    <w:name w:val="Grid Table 6 Colorful Accent 3"/>
    <w:basedOn w:val="a1"/>
    <w:uiPriority w:val="51"/>
    <w:rsid w:val="001A070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21715">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4244554">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2843007">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2125272">
      <w:bodyDiv w:val="1"/>
      <w:marLeft w:val="0"/>
      <w:marRight w:val="0"/>
      <w:marTop w:val="0"/>
      <w:marBottom w:val="0"/>
      <w:divBdr>
        <w:top w:val="none" w:sz="0" w:space="0" w:color="auto"/>
        <w:left w:val="none" w:sz="0" w:space="0" w:color="auto"/>
        <w:bottom w:val="none" w:sz="0" w:space="0" w:color="auto"/>
        <w:right w:val="none" w:sz="0" w:space="0" w:color="auto"/>
      </w:divBdr>
    </w:div>
    <w:div w:id="662926694">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3281495">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788470128">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7894037">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78054">
      <w:bodyDiv w:val="1"/>
      <w:marLeft w:val="0"/>
      <w:marRight w:val="0"/>
      <w:marTop w:val="0"/>
      <w:marBottom w:val="0"/>
      <w:divBdr>
        <w:top w:val="none" w:sz="0" w:space="0" w:color="auto"/>
        <w:left w:val="none" w:sz="0" w:space="0" w:color="auto"/>
        <w:bottom w:val="none" w:sz="0" w:space="0" w:color="auto"/>
        <w:right w:val="none" w:sz="0" w:space="0" w:color="auto"/>
      </w:divBdr>
      <w:divsChild>
        <w:div w:id="1995260239">
          <w:marLeft w:val="0"/>
          <w:marRight w:val="0"/>
          <w:marTop w:val="0"/>
          <w:marBottom w:val="0"/>
          <w:divBdr>
            <w:top w:val="none" w:sz="0" w:space="0" w:color="auto"/>
            <w:left w:val="none" w:sz="0" w:space="0" w:color="auto"/>
            <w:bottom w:val="none" w:sz="0" w:space="0" w:color="auto"/>
            <w:right w:val="none" w:sz="0" w:space="0" w:color="auto"/>
          </w:divBdr>
        </w:div>
      </w:divsChild>
    </w:div>
    <w:div w:id="927301453">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05061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4099193">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6587940">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7317861">
      <w:bodyDiv w:val="1"/>
      <w:marLeft w:val="0"/>
      <w:marRight w:val="0"/>
      <w:marTop w:val="0"/>
      <w:marBottom w:val="0"/>
      <w:divBdr>
        <w:top w:val="none" w:sz="0" w:space="0" w:color="auto"/>
        <w:left w:val="none" w:sz="0" w:space="0" w:color="auto"/>
        <w:bottom w:val="none" w:sz="0" w:space="0" w:color="auto"/>
        <w:right w:val="none" w:sz="0" w:space="0" w:color="auto"/>
      </w:divBdr>
    </w:div>
    <w:div w:id="175731484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3800419">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48DB51E-004A-4F39-B766-5DA907D900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11475</Words>
  <Characters>65979</Characters>
  <Application>Microsoft Office Word</Application>
  <DocSecurity>0</DocSecurity>
  <Lines>549</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abuaead20233333333@gmail.com</cp:lastModifiedBy>
  <cp:revision>5</cp:revision>
  <cp:lastPrinted>2026-06-28T19:18:00Z</cp:lastPrinted>
  <dcterms:created xsi:type="dcterms:W3CDTF">2026-06-28T19:17:00Z</dcterms:created>
  <dcterms:modified xsi:type="dcterms:W3CDTF">2026-07-15T16:21:00Z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