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B1C30" w14:textId="2F90091C"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bookmarkStart w:id="0" w:name="_Hlk191583774"/>
      <w:bookmarkStart w:id="1" w:name="_Hlk192369518"/>
      <w:r w:rsidRPr="003220EB">
        <w:rPr>
          <w:rFonts w:ascii="Simplified Arabic" w:eastAsia="Calibri" w:hAnsi="Simplified Arabic" w:cs="Simplified Arabic"/>
          <w:b/>
          <w:bCs/>
          <w:noProof/>
          <w:color w:val="8496B0"/>
          <w:sz w:val="32"/>
          <w:szCs w:val="32"/>
          <w:rtl/>
        </w:rPr>
        <w:drawing>
          <wp:anchor distT="0" distB="0" distL="114300" distR="114300" simplePos="0" relativeHeight="251670016" behindDoc="1" locked="0" layoutInCell="1" allowOverlap="1" wp14:anchorId="0F2A8E97" wp14:editId="6EACF8F1">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6778">
        <w:rPr>
          <w:rFonts w:ascii="Simplified Arabic" w:eastAsia="Calibri" w:hAnsi="Simplified Arabic" w:cs="Simplified Arabic" w:hint="cs"/>
          <w:b/>
          <w:bCs/>
          <w:noProof/>
          <w:sz w:val="32"/>
          <w:szCs w:val="32"/>
          <w:rtl/>
        </w:rPr>
        <w:t xml:space="preserve"> </w:t>
      </w:r>
      <w:r w:rsidRPr="003220EB">
        <w:rPr>
          <w:rFonts w:ascii="Simplified Arabic" w:eastAsia="Calibri" w:hAnsi="Simplified Arabic" w:cs="Simplified Arabic"/>
          <w:b/>
          <w:bCs/>
          <w:noProof/>
          <w:sz w:val="32"/>
          <w:szCs w:val="32"/>
          <w:rtl/>
          <w:lang w:bidi="ar-SY"/>
        </w:rPr>
        <w:t>جامعة</w:t>
      </w:r>
      <w:r w:rsidR="00522AEF">
        <w:rPr>
          <w:rFonts w:ascii="Simplified Arabic" w:eastAsia="Calibri" w:hAnsi="Simplified Arabic" w:cs="Simplified Arabic"/>
          <w:b/>
          <w:bCs/>
          <w:noProof/>
          <w:sz w:val="32"/>
          <w:szCs w:val="32"/>
          <w:rtl/>
          <w:lang w:bidi="ar-SY"/>
        </w:rPr>
        <w:t xml:space="preserve"> </w:t>
      </w:r>
      <w:r w:rsidRPr="003220EB">
        <w:rPr>
          <w:rFonts w:ascii="Simplified Arabic" w:eastAsia="Calibri" w:hAnsi="Simplified Arabic" w:cs="Simplified Arabic"/>
          <w:b/>
          <w:bCs/>
          <w:noProof/>
          <w:sz w:val="32"/>
          <w:szCs w:val="32"/>
          <w:rtl/>
          <w:lang w:bidi="ar-SY"/>
        </w:rPr>
        <w:t>ميدأوشن</w:t>
      </w:r>
      <w:r w:rsidR="00522AEF">
        <w:rPr>
          <w:rFonts w:ascii="Simplified Arabic" w:eastAsia="Calibri" w:hAnsi="Simplified Arabic" w:cs="Simplified Arabic"/>
          <w:b/>
          <w:bCs/>
          <w:noProof/>
          <w:sz w:val="32"/>
          <w:szCs w:val="32"/>
          <w:rtl/>
          <w:lang w:bidi="ar-SY"/>
        </w:rPr>
        <w:t xml:space="preserve">                                 </w:t>
      </w:r>
    </w:p>
    <w:p w14:paraId="00651C9B" w14:textId="7BF12B59"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r w:rsidRPr="003220EB">
        <w:rPr>
          <w:rFonts w:ascii="Simplified Arabic" w:eastAsia="Calibri" w:hAnsi="Simplified Arabic" w:cs="Simplified Arabic"/>
          <w:b/>
          <w:bCs/>
          <w:color w:val="000000"/>
          <w:sz w:val="32"/>
          <w:szCs w:val="32"/>
          <w:rtl/>
        </w:rPr>
        <w:t>كلية</w:t>
      </w:r>
      <w:r w:rsidR="00522AEF">
        <w:rPr>
          <w:rFonts w:ascii="Simplified Arabic" w:eastAsia="Calibri" w:hAnsi="Simplified Arabic" w:cs="Simplified Arabic"/>
          <w:b/>
          <w:bCs/>
          <w:noProof/>
          <w:sz w:val="32"/>
          <w:szCs w:val="32"/>
          <w:rtl/>
          <w:lang w:bidi="ar-SY"/>
        </w:rPr>
        <w:t xml:space="preserve"> </w:t>
      </w:r>
      <w:r w:rsidR="008B0D19">
        <w:rPr>
          <w:rFonts w:ascii="Simplified Arabic" w:eastAsia="Calibri" w:hAnsi="Simplified Arabic" w:cs="Simplified Arabic" w:hint="cs"/>
          <w:b/>
          <w:bCs/>
          <w:noProof/>
          <w:sz w:val="32"/>
          <w:szCs w:val="32"/>
          <w:rtl/>
          <w:lang w:bidi="ar-SY"/>
        </w:rPr>
        <w:t>الإدارة</w:t>
      </w:r>
    </w:p>
    <w:p w14:paraId="42071E81" w14:textId="4D022E44" w:rsidR="003220EB" w:rsidRPr="003220EB" w:rsidRDefault="008B0D19" w:rsidP="003220EB">
      <w:pPr>
        <w:spacing w:after="0" w:line="257" w:lineRule="auto"/>
        <w:ind w:firstLine="284"/>
        <w:jc w:val="both"/>
        <w:rPr>
          <w:rFonts w:ascii="Simplified Arabic" w:eastAsia="Calibri" w:hAnsi="Simplified Arabic" w:cs="Simplified Arabic"/>
          <w:b/>
          <w:bCs/>
          <w:noProof/>
          <w:sz w:val="32"/>
          <w:szCs w:val="32"/>
          <w:rtl/>
        </w:rPr>
      </w:pPr>
      <w:r>
        <w:rPr>
          <w:rFonts w:ascii="Simplified Arabic" w:eastAsia="Calibri" w:hAnsi="Simplified Arabic" w:cs="Simplified Arabic" w:hint="cs"/>
          <w:b/>
          <w:bCs/>
          <w:noProof/>
          <w:sz w:val="32"/>
          <w:szCs w:val="32"/>
          <w:rtl/>
          <w:lang w:bidi="ar-SY"/>
        </w:rPr>
        <w:t>ماجستير</w:t>
      </w:r>
      <w:r w:rsidR="00522AEF">
        <w:rPr>
          <w:rFonts w:ascii="Simplified Arabic" w:eastAsia="Calibri" w:hAnsi="Simplified Arabic" w:cs="Simplified Arabic" w:hint="cs"/>
          <w:b/>
          <w:bCs/>
          <w:noProof/>
          <w:sz w:val="32"/>
          <w:szCs w:val="32"/>
          <w:rtl/>
          <w:lang w:bidi="ar-SY"/>
        </w:rPr>
        <w:t xml:space="preserve"> </w:t>
      </w:r>
      <w:r w:rsidR="00CF5C0F">
        <w:rPr>
          <w:rFonts w:ascii="Simplified Arabic" w:eastAsia="Calibri" w:hAnsi="Simplified Arabic" w:cs="Simplified Arabic" w:hint="cs"/>
          <w:b/>
          <w:bCs/>
          <w:noProof/>
          <w:sz w:val="32"/>
          <w:szCs w:val="32"/>
          <w:rtl/>
          <w:lang w:bidi="ar-SY"/>
        </w:rPr>
        <w:t>تخصص</w:t>
      </w:r>
      <w:r w:rsidR="00522AEF">
        <w:rPr>
          <w:rFonts w:ascii="Simplified Arabic" w:eastAsia="Calibri" w:hAnsi="Simplified Arabic" w:cs="Simplified Arabic" w:hint="cs"/>
          <w:b/>
          <w:bCs/>
          <w:noProof/>
          <w:sz w:val="32"/>
          <w:szCs w:val="32"/>
          <w:rtl/>
          <w:lang w:bidi="ar-SY"/>
        </w:rPr>
        <w:t xml:space="preserve"> </w:t>
      </w:r>
      <w:r>
        <w:rPr>
          <w:rFonts w:ascii="Simplified Arabic" w:eastAsia="Calibri" w:hAnsi="Simplified Arabic" w:cs="Simplified Arabic" w:hint="cs"/>
          <w:b/>
          <w:bCs/>
          <w:noProof/>
          <w:sz w:val="32"/>
          <w:szCs w:val="32"/>
          <w:rtl/>
          <w:lang w:bidi="ar-SY"/>
        </w:rPr>
        <w:t>إدارة</w:t>
      </w:r>
      <w:r w:rsidR="00522AEF">
        <w:rPr>
          <w:rFonts w:ascii="Simplified Arabic" w:eastAsia="Calibri" w:hAnsi="Simplified Arabic" w:cs="Simplified Arabic" w:hint="cs"/>
          <w:b/>
          <w:bCs/>
          <w:noProof/>
          <w:sz w:val="32"/>
          <w:szCs w:val="32"/>
          <w:rtl/>
          <w:lang w:bidi="ar-SY"/>
        </w:rPr>
        <w:t xml:space="preserve"> </w:t>
      </w:r>
      <w:r w:rsidR="002F49ED">
        <w:rPr>
          <w:rFonts w:ascii="Simplified Arabic" w:eastAsia="Calibri" w:hAnsi="Simplified Arabic" w:cs="Simplified Arabic" w:hint="cs"/>
          <w:b/>
          <w:bCs/>
          <w:noProof/>
          <w:sz w:val="32"/>
          <w:szCs w:val="32"/>
          <w:rtl/>
          <w:lang w:bidi="ar-SY"/>
        </w:rPr>
        <w:t>ال</w:t>
      </w:r>
      <w:r>
        <w:rPr>
          <w:rFonts w:ascii="Simplified Arabic" w:eastAsia="Calibri" w:hAnsi="Simplified Arabic" w:cs="Simplified Arabic" w:hint="cs"/>
          <w:b/>
          <w:bCs/>
          <w:noProof/>
          <w:sz w:val="32"/>
          <w:szCs w:val="32"/>
          <w:rtl/>
          <w:lang w:bidi="ar-SY"/>
        </w:rPr>
        <w:t>أعمال</w:t>
      </w:r>
    </w:p>
    <w:p w14:paraId="262A1D8C" w14:textId="77777777"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p>
    <w:p w14:paraId="38BC4E30" w14:textId="77777777" w:rsidR="003220EB" w:rsidRDefault="003220EB" w:rsidP="003220EB">
      <w:pPr>
        <w:spacing w:line="257" w:lineRule="auto"/>
        <w:ind w:firstLine="284"/>
        <w:jc w:val="both"/>
        <w:rPr>
          <w:rFonts w:ascii="Simplified Arabic" w:eastAsia="Calibri" w:hAnsi="Simplified Arabic" w:cs="Simplified Arabic"/>
          <w:b/>
          <w:bCs/>
          <w:noProof/>
          <w:sz w:val="40"/>
          <w:szCs w:val="40"/>
          <w:rtl/>
          <w:lang w:bidi="ar-SY"/>
        </w:rPr>
      </w:pPr>
    </w:p>
    <w:p w14:paraId="2B106879" w14:textId="77777777" w:rsidR="003220EB" w:rsidRPr="00C84DB0" w:rsidRDefault="003220EB" w:rsidP="008B0D19">
      <w:pPr>
        <w:spacing w:line="257" w:lineRule="auto"/>
        <w:jc w:val="both"/>
        <w:rPr>
          <w:rFonts w:ascii="Simplified Arabic" w:eastAsia="Calibri" w:hAnsi="Simplified Arabic" w:cs="Simplified Arabic"/>
          <w:sz w:val="14"/>
          <w:szCs w:val="14"/>
          <w:rtl/>
          <w:lang w:bidi="ar-SY"/>
        </w:rPr>
      </w:pPr>
    </w:p>
    <w:bookmarkEnd w:id="0"/>
    <w:p w14:paraId="017EC932" w14:textId="64A5C767" w:rsidR="00217D8D" w:rsidRDefault="00325659" w:rsidP="00217D8D">
      <w:pPr>
        <w:spacing w:line="257" w:lineRule="auto"/>
        <w:ind w:firstLine="284"/>
        <w:jc w:val="center"/>
        <w:rPr>
          <w:rFonts w:ascii="Simplified Arabic" w:eastAsia="Calibri" w:hAnsi="Simplified Arabic" w:cs="Simplified Arabic"/>
          <w:b/>
          <w:bCs/>
          <w:sz w:val="14"/>
          <w:szCs w:val="14"/>
          <w:rtl/>
        </w:rPr>
      </w:pPr>
      <w:r w:rsidRPr="00325659">
        <w:rPr>
          <w:rFonts w:ascii="Times New Roman" w:eastAsia="Calibri" w:hAnsi="Times New Roman" w:cs="Simplified Arabic"/>
          <w:b/>
          <w:bCs/>
          <w:sz w:val="36"/>
          <w:szCs w:val="40"/>
          <w:rtl/>
        </w:rPr>
        <w:t>التحديات الإدارية في تطبيق ممارسات التوزيع الجيد (</w:t>
      </w:r>
      <w:r w:rsidRPr="00325659">
        <w:rPr>
          <w:rFonts w:ascii="Times New Roman" w:eastAsia="Calibri" w:hAnsi="Times New Roman" w:cs="Simplified Arabic"/>
          <w:b/>
          <w:bCs/>
          <w:sz w:val="36"/>
          <w:szCs w:val="40"/>
        </w:rPr>
        <w:t>GDP</w:t>
      </w:r>
      <w:r w:rsidRPr="00325659">
        <w:rPr>
          <w:rFonts w:ascii="Times New Roman" w:eastAsia="Calibri" w:hAnsi="Times New Roman" w:cs="Simplified Arabic"/>
          <w:b/>
          <w:bCs/>
          <w:sz w:val="36"/>
          <w:szCs w:val="40"/>
          <w:rtl/>
        </w:rPr>
        <w:t>) في سلاسل الإمداد الطبية</w:t>
      </w:r>
    </w:p>
    <w:p w14:paraId="0DA5D2DB" w14:textId="77777777" w:rsidR="00325659" w:rsidRPr="00CF5C0F" w:rsidRDefault="00325659" w:rsidP="00217D8D">
      <w:pPr>
        <w:spacing w:line="257" w:lineRule="auto"/>
        <w:ind w:firstLine="284"/>
        <w:jc w:val="center"/>
        <w:rPr>
          <w:rFonts w:ascii="Simplified Arabic" w:eastAsia="Calibri" w:hAnsi="Simplified Arabic" w:cs="Simplified Arabic"/>
          <w:b/>
          <w:bCs/>
          <w:sz w:val="14"/>
          <w:szCs w:val="14"/>
          <w:rtl/>
        </w:rPr>
      </w:pPr>
    </w:p>
    <w:p w14:paraId="77F92AF3" w14:textId="30BF3E9B" w:rsidR="00217D8D" w:rsidRPr="00217D8D" w:rsidRDefault="00DB3B30"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إعداد</w:t>
      </w:r>
      <w:r w:rsidR="00522AEF">
        <w:rPr>
          <w:rFonts w:ascii="Simplified Arabic" w:eastAsia="Calibri" w:hAnsi="Simplified Arabic" w:cs="Simplified Arabic" w:hint="cs"/>
          <w:b/>
          <w:bCs/>
          <w:sz w:val="32"/>
          <w:szCs w:val="32"/>
          <w:rtl/>
          <w:lang w:bidi="ar-SY"/>
        </w:rPr>
        <w:t>:</w:t>
      </w:r>
    </w:p>
    <w:p w14:paraId="7DDB58D7" w14:textId="77777777" w:rsidR="001D1E0F" w:rsidRDefault="001D1E0F" w:rsidP="00594922">
      <w:pPr>
        <w:spacing w:line="257" w:lineRule="auto"/>
        <w:ind w:firstLine="284"/>
        <w:jc w:val="center"/>
        <w:rPr>
          <w:rFonts w:ascii="Simplified Arabic" w:eastAsia="Calibri" w:hAnsi="Simplified Arabic" w:cs="Simplified Arabic"/>
          <w:b/>
          <w:bCs/>
          <w:sz w:val="32"/>
          <w:szCs w:val="32"/>
          <w:rtl/>
          <w:lang w:bidi="ar-EG"/>
        </w:rPr>
      </w:pPr>
      <w:r w:rsidRPr="001D1E0F">
        <w:rPr>
          <w:rFonts w:ascii="Simplified Arabic" w:eastAsia="Calibri" w:hAnsi="Simplified Arabic" w:cs="Simplified Arabic"/>
          <w:b/>
          <w:bCs/>
          <w:sz w:val="32"/>
          <w:szCs w:val="32"/>
          <w:rtl/>
          <w:lang w:bidi="ar-EG"/>
        </w:rPr>
        <w:t xml:space="preserve">تركي يحيى عسيري </w:t>
      </w:r>
    </w:p>
    <w:p w14:paraId="5044346D" w14:textId="75B00C78" w:rsidR="008B0D19" w:rsidRPr="008B0D19" w:rsidRDefault="008B0D19" w:rsidP="00594922">
      <w:pPr>
        <w:spacing w:line="257" w:lineRule="auto"/>
        <w:ind w:firstLine="284"/>
        <w:jc w:val="center"/>
        <w:rPr>
          <w:rFonts w:ascii="Simplified Arabic" w:eastAsia="Calibri" w:hAnsi="Simplified Arabic" w:cs="Simplified Arabic"/>
          <w:b/>
          <w:bCs/>
          <w:sz w:val="32"/>
          <w:szCs w:val="32"/>
          <w:rtl/>
          <w:lang w:bidi="ar-EG"/>
        </w:rPr>
      </w:pPr>
      <w:r w:rsidRPr="008B0D19">
        <w:rPr>
          <w:rFonts w:ascii="Simplified Arabic" w:eastAsia="Calibri" w:hAnsi="Simplified Arabic" w:cs="Simplified Arabic" w:hint="cs"/>
          <w:b/>
          <w:bCs/>
          <w:sz w:val="32"/>
          <w:szCs w:val="32"/>
          <w:rtl/>
          <w:lang w:bidi="ar-EG"/>
        </w:rPr>
        <w:t>الرقم</w:t>
      </w:r>
      <w:r w:rsidR="00522AEF">
        <w:rPr>
          <w:rFonts w:ascii="Simplified Arabic" w:eastAsia="Calibri" w:hAnsi="Simplified Arabic" w:cs="Simplified Arabic" w:hint="cs"/>
          <w:b/>
          <w:bCs/>
          <w:sz w:val="32"/>
          <w:szCs w:val="32"/>
          <w:rtl/>
          <w:lang w:bidi="ar-EG"/>
        </w:rPr>
        <w:t xml:space="preserve"> </w:t>
      </w:r>
      <w:r w:rsidRPr="008B0D19">
        <w:rPr>
          <w:rFonts w:ascii="Simplified Arabic" w:eastAsia="Calibri" w:hAnsi="Simplified Arabic" w:cs="Simplified Arabic" w:hint="cs"/>
          <w:b/>
          <w:bCs/>
          <w:sz w:val="32"/>
          <w:szCs w:val="32"/>
          <w:rtl/>
          <w:lang w:bidi="ar-EG"/>
        </w:rPr>
        <w:t>الأكاديمي</w:t>
      </w:r>
      <w:r w:rsidR="00522AEF">
        <w:rPr>
          <w:rFonts w:ascii="Simplified Arabic" w:eastAsia="Calibri" w:hAnsi="Simplified Arabic" w:cs="Simplified Arabic" w:hint="cs"/>
          <w:b/>
          <w:bCs/>
          <w:sz w:val="32"/>
          <w:szCs w:val="32"/>
          <w:rtl/>
          <w:lang w:bidi="ar-EG"/>
        </w:rPr>
        <w:t xml:space="preserve">: </w:t>
      </w:r>
      <w:r w:rsidR="001D1E0F" w:rsidRPr="001D1E0F">
        <w:rPr>
          <w:rFonts w:ascii="Simplified Arabic" w:eastAsia="Calibri" w:hAnsi="Simplified Arabic" w:cs="Simplified Arabic"/>
          <w:b/>
          <w:bCs/>
          <w:sz w:val="32"/>
          <w:szCs w:val="32"/>
          <w:rtl/>
          <w:lang w:bidi="ar-EG"/>
        </w:rPr>
        <w:t>251001181</w:t>
      </w:r>
    </w:p>
    <w:p w14:paraId="5BE529FB" w14:textId="77777777" w:rsidR="003747FA" w:rsidRDefault="003747FA" w:rsidP="00217D8D">
      <w:pPr>
        <w:spacing w:line="257" w:lineRule="auto"/>
        <w:ind w:firstLine="284"/>
        <w:jc w:val="center"/>
        <w:rPr>
          <w:rFonts w:ascii="Simplified Arabic" w:eastAsia="Calibri" w:hAnsi="Simplified Arabic" w:cs="Simplified Arabic"/>
          <w:b/>
          <w:bCs/>
          <w:sz w:val="32"/>
          <w:szCs w:val="32"/>
          <w:rtl/>
          <w:lang w:bidi="ar-EG"/>
        </w:rPr>
      </w:pPr>
    </w:p>
    <w:p w14:paraId="2A9E5C30" w14:textId="07BA8B3C" w:rsidR="00217D8D" w:rsidRPr="00217D8D" w:rsidRDefault="00A23AFA"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ال</w:t>
      </w:r>
      <w:r w:rsidR="00217D8D" w:rsidRPr="00217D8D">
        <w:rPr>
          <w:rFonts w:ascii="Simplified Arabic" w:eastAsia="Calibri" w:hAnsi="Simplified Arabic" w:cs="Simplified Arabic" w:hint="cs"/>
          <w:b/>
          <w:bCs/>
          <w:sz w:val="32"/>
          <w:szCs w:val="32"/>
          <w:rtl/>
          <w:lang w:bidi="ar-SY"/>
        </w:rPr>
        <w:t>إشراف</w:t>
      </w:r>
      <w:r w:rsidR="003747FA">
        <w:rPr>
          <w:rFonts w:ascii="Simplified Arabic" w:eastAsia="Calibri" w:hAnsi="Simplified Arabic" w:cs="Simplified Arabic" w:hint="cs"/>
          <w:b/>
          <w:bCs/>
          <w:sz w:val="32"/>
          <w:szCs w:val="32"/>
          <w:rtl/>
          <w:lang w:bidi="ar-SY"/>
        </w:rPr>
        <w:t>/</w:t>
      </w:r>
      <w:r w:rsidR="00522AEF">
        <w:rPr>
          <w:rFonts w:ascii="Simplified Arabic" w:eastAsia="Calibri" w:hAnsi="Simplified Arabic" w:cs="Simplified Arabic" w:hint="cs"/>
          <w:b/>
          <w:bCs/>
          <w:sz w:val="32"/>
          <w:szCs w:val="32"/>
          <w:rtl/>
          <w:lang w:bidi="ar-SY"/>
        </w:rPr>
        <w:t xml:space="preserve"> </w:t>
      </w:r>
    </w:p>
    <w:p w14:paraId="7C63C4D2" w14:textId="61E47F45" w:rsidR="00484C04" w:rsidRPr="00484C04" w:rsidRDefault="00CF5C0F" w:rsidP="00484C04">
      <w:pPr>
        <w:spacing w:line="257" w:lineRule="auto"/>
        <w:ind w:firstLine="284"/>
        <w:jc w:val="center"/>
        <w:rPr>
          <w:rFonts w:ascii="Simplified Arabic" w:eastAsia="Calibri" w:hAnsi="Simplified Arabic" w:cs="Simplified Arabic"/>
          <w:b/>
          <w:bCs/>
          <w:sz w:val="32"/>
          <w:szCs w:val="32"/>
          <w:lang w:bidi="ar-EG"/>
        </w:rPr>
      </w:pPr>
      <w:r w:rsidRPr="00484C04">
        <w:rPr>
          <w:rFonts w:ascii="Simplified Arabic" w:eastAsia="Calibri" w:hAnsi="Simplified Arabic" w:cs="Simplified Arabic" w:hint="cs"/>
          <w:b/>
          <w:bCs/>
          <w:sz w:val="32"/>
          <w:szCs w:val="32"/>
          <w:rtl/>
          <w:lang w:bidi="ar-EG"/>
        </w:rPr>
        <w:t>ا</w:t>
      </w:r>
      <w:r w:rsidR="00522AEF" w:rsidRPr="00484C04">
        <w:rPr>
          <w:rFonts w:ascii="Simplified Arabic" w:eastAsia="Calibri" w:hAnsi="Simplified Arabic" w:cs="Simplified Arabic" w:hint="cs"/>
          <w:b/>
          <w:bCs/>
          <w:sz w:val="32"/>
          <w:szCs w:val="32"/>
          <w:rtl/>
          <w:lang w:bidi="ar-EG"/>
        </w:rPr>
        <w:t>.</w:t>
      </w:r>
      <w:r w:rsidRPr="00484C04">
        <w:rPr>
          <w:rFonts w:ascii="Simplified Arabic" w:eastAsia="Calibri" w:hAnsi="Simplified Arabic" w:cs="Simplified Arabic" w:hint="cs"/>
          <w:b/>
          <w:bCs/>
          <w:sz w:val="32"/>
          <w:szCs w:val="32"/>
          <w:rtl/>
          <w:lang w:bidi="ar-EG"/>
        </w:rPr>
        <w:t>د</w:t>
      </w:r>
      <w:r w:rsidR="00522AEF" w:rsidRPr="00484C04">
        <w:rPr>
          <w:rFonts w:ascii="Simplified Arabic" w:eastAsia="Calibri" w:hAnsi="Simplified Arabic" w:cs="Simplified Arabic" w:hint="cs"/>
          <w:b/>
          <w:bCs/>
          <w:sz w:val="32"/>
          <w:szCs w:val="32"/>
          <w:rtl/>
          <w:lang w:bidi="ar-EG"/>
        </w:rPr>
        <w:t xml:space="preserve">. </w:t>
      </w:r>
      <w:r w:rsidR="00484C04" w:rsidRPr="00484C04">
        <w:rPr>
          <w:rFonts w:ascii="Simplified Arabic" w:eastAsia="Calibri" w:hAnsi="Simplified Arabic" w:cs="Simplified Arabic"/>
          <w:b/>
          <w:bCs/>
          <w:sz w:val="32"/>
          <w:szCs w:val="32"/>
          <w:rtl/>
          <w:lang w:bidi="ar-EG"/>
        </w:rPr>
        <w:t>الفيصل عبد الحميد</w:t>
      </w:r>
    </w:p>
    <w:p w14:paraId="1A82B51C" w14:textId="7E26A934" w:rsidR="00484C04" w:rsidRPr="00484C04" w:rsidRDefault="00484C04" w:rsidP="00484C04">
      <w:pPr>
        <w:spacing w:line="257" w:lineRule="auto"/>
        <w:ind w:firstLine="284"/>
        <w:jc w:val="center"/>
        <w:rPr>
          <w:rFonts w:ascii="Simplified Arabic" w:eastAsia="Calibri" w:hAnsi="Simplified Arabic" w:cs="Simplified Arabic"/>
          <w:b/>
          <w:bCs/>
          <w:sz w:val="32"/>
          <w:szCs w:val="32"/>
          <w:lang w:bidi="ar-EG"/>
        </w:rPr>
      </w:pPr>
      <w:r w:rsidRPr="00484C04">
        <w:rPr>
          <w:rFonts w:ascii="Simplified Arabic" w:eastAsia="Calibri" w:hAnsi="Simplified Arabic" w:cs="Simplified Arabic" w:hint="cs"/>
          <w:b/>
          <w:bCs/>
          <w:sz w:val="32"/>
          <w:szCs w:val="32"/>
          <w:rtl/>
          <w:lang w:bidi="ar-EG"/>
        </w:rPr>
        <w:t>ا.</w:t>
      </w:r>
      <w:r w:rsidRPr="00484C04">
        <w:rPr>
          <w:rFonts w:ascii="Simplified Arabic" w:eastAsia="Calibri" w:hAnsi="Simplified Arabic" w:cs="Simplified Arabic"/>
          <w:b/>
          <w:bCs/>
          <w:sz w:val="32"/>
          <w:szCs w:val="32"/>
          <w:rtl/>
          <w:lang w:bidi="ar-EG"/>
        </w:rPr>
        <w:t>د.</w:t>
      </w:r>
      <w:r w:rsidRPr="00484C04">
        <w:rPr>
          <w:rFonts w:ascii="Simplified Arabic" w:eastAsia="Calibri" w:hAnsi="Simplified Arabic" w:cs="Simplified Arabic" w:hint="cs"/>
          <w:b/>
          <w:bCs/>
          <w:sz w:val="32"/>
          <w:szCs w:val="32"/>
          <w:rtl/>
          <w:lang w:bidi="ar-EG"/>
        </w:rPr>
        <w:t xml:space="preserve"> </w:t>
      </w:r>
      <w:r w:rsidRPr="00484C04">
        <w:rPr>
          <w:rFonts w:ascii="Simplified Arabic" w:eastAsia="Calibri" w:hAnsi="Simplified Arabic" w:cs="Simplified Arabic"/>
          <w:b/>
          <w:bCs/>
          <w:sz w:val="32"/>
          <w:szCs w:val="32"/>
          <w:rtl/>
          <w:lang w:bidi="ar-EG"/>
        </w:rPr>
        <w:t>فايز جراد</w:t>
      </w:r>
    </w:p>
    <w:p w14:paraId="03728A29" w14:textId="236AC0BA" w:rsidR="00CF5C0F" w:rsidRPr="00CF5C0F" w:rsidRDefault="00CF5C0F" w:rsidP="00CF5C0F">
      <w:pPr>
        <w:spacing w:line="257" w:lineRule="auto"/>
        <w:ind w:firstLine="284"/>
        <w:jc w:val="center"/>
        <w:rPr>
          <w:rFonts w:ascii="Simplified Arabic" w:eastAsia="Calibri" w:hAnsi="Simplified Arabic" w:cs="Simplified Arabic"/>
          <w:b/>
          <w:bCs/>
          <w:sz w:val="32"/>
          <w:szCs w:val="32"/>
          <w:rtl/>
          <w:lang w:bidi="ar-EG"/>
        </w:rPr>
      </w:pPr>
    </w:p>
    <w:p w14:paraId="6EDF14FD" w14:textId="77777777" w:rsidR="00217D8D" w:rsidRDefault="00217D8D" w:rsidP="00217D8D">
      <w:pPr>
        <w:spacing w:line="257" w:lineRule="auto"/>
        <w:ind w:firstLine="284"/>
        <w:jc w:val="center"/>
        <w:rPr>
          <w:rFonts w:ascii="Simplified Arabic" w:eastAsia="Calibri" w:hAnsi="Simplified Arabic" w:cs="Simplified Arabic"/>
          <w:b/>
          <w:bCs/>
          <w:sz w:val="32"/>
          <w:szCs w:val="32"/>
          <w:rtl/>
          <w:lang w:bidi="ar-EG"/>
        </w:rPr>
      </w:pPr>
    </w:p>
    <w:p w14:paraId="7F352471" w14:textId="795DFD89" w:rsidR="00217D8D" w:rsidRPr="00217D8D" w:rsidRDefault="00217D8D" w:rsidP="00217D8D">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العام</w:t>
      </w:r>
      <w:r w:rsidR="00522AEF">
        <w:rPr>
          <w:rFonts w:ascii="Simplified Arabic" w:eastAsia="Calibri" w:hAnsi="Simplified Arabic" w:cs="Simplified Arabic" w:hint="cs"/>
          <w:b/>
          <w:bCs/>
          <w:sz w:val="32"/>
          <w:szCs w:val="32"/>
          <w:rtl/>
          <w:lang w:bidi="ar-SY"/>
        </w:rPr>
        <w:t xml:space="preserve"> </w:t>
      </w:r>
      <w:r w:rsidRPr="00217D8D">
        <w:rPr>
          <w:rFonts w:ascii="Simplified Arabic" w:eastAsia="Calibri" w:hAnsi="Simplified Arabic" w:cs="Simplified Arabic" w:hint="cs"/>
          <w:b/>
          <w:bCs/>
          <w:sz w:val="32"/>
          <w:szCs w:val="32"/>
          <w:rtl/>
          <w:lang w:bidi="ar-SY"/>
        </w:rPr>
        <w:t>الجامعي</w:t>
      </w:r>
    </w:p>
    <w:p w14:paraId="34C4110A" w14:textId="074C6420" w:rsidR="00217D8D" w:rsidRPr="00217D8D" w:rsidRDefault="00217D8D" w:rsidP="00217D8D">
      <w:pPr>
        <w:spacing w:line="257" w:lineRule="auto"/>
        <w:ind w:firstLine="284"/>
        <w:jc w:val="center"/>
        <w:rPr>
          <w:rFonts w:ascii="Simplified Arabic" w:eastAsia="Calibri" w:hAnsi="Simplified Arabic" w:cs="Simplified Arabic"/>
          <w:b/>
          <w:bCs/>
          <w:sz w:val="28"/>
          <w:szCs w:val="28"/>
          <w:rtl/>
          <w:lang w:bidi="ar-SY"/>
        </w:rPr>
      </w:pPr>
      <w:r w:rsidRPr="00217D8D">
        <w:rPr>
          <w:rFonts w:ascii="Simplified Arabic" w:eastAsia="Calibri" w:hAnsi="Simplified Arabic" w:cs="Simplified Arabic" w:hint="cs"/>
          <w:b/>
          <w:bCs/>
          <w:sz w:val="28"/>
          <w:szCs w:val="28"/>
          <w:rtl/>
          <w:lang w:bidi="ar-SY"/>
        </w:rPr>
        <w:t>202</w:t>
      </w:r>
      <w:r w:rsidR="00484C04">
        <w:rPr>
          <w:rFonts w:ascii="Simplified Arabic" w:eastAsia="Calibri" w:hAnsi="Simplified Arabic" w:cs="Simplified Arabic" w:hint="cs"/>
          <w:b/>
          <w:bCs/>
          <w:sz w:val="28"/>
          <w:szCs w:val="28"/>
          <w:rtl/>
          <w:lang w:bidi="ar-SY"/>
        </w:rPr>
        <w:t>6</w:t>
      </w:r>
      <w:r w:rsidRPr="00217D8D">
        <w:rPr>
          <w:rFonts w:ascii="Simplified Arabic" w:eastAsia="Calibri" w:hAnsi="Simplified Arabic" w:cs="Simplified Arabic" w:hint="cs"/>
          <w:b/>
          <w:bCs/>
          <w:sz w:val="28"/>
          <w:szCs w:val="28"/>
          <w:rtl/>
          <w:lang w:bidi="ar-SY"/>
        </w:rPr>
        <w:t>م</w:t>
      </w:r>
    </w:p>
    <w:bookmarkEnd w:id="1"/>
    <w:p w14:paraId="4505C7AB" w14:textId="4BF6DCD6" w:rsidR="00730DB6" w:rsidRPr="00217D8D" w:rsidRDefault="006D4E55" w:rsidP="00217D8D">
      <w:pPr>
        <w:spacing w:line="257" w:lineRule="auto"/>
        <w:ind w:firstLine="284"/>
        <w:jc w:val="both"/>
        <w:rPr>
          <w:rFonts w:ascii="Simplified Arabic" w:eastAsia="Calibri" w:hAnsi="Simplified Arabic" w:cs="Simplified Arabic"/>
          <w:sz w:val="28"/>
          <w:szCs w:val="28"/>
        </w:rPr>
      </w:pPr>
      <w:r>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79232" behindDoc="0" locked="0" layoutInCell="1" allowOverlap="1" wp14:anchorId="1741EEF5" wp14:editId="52E4246F">
                <wp:simplePos x="0" y="0"/>
                <wp:positionH relativeFrom="column">
                  <wp:posOffset>2169111</wp:posOffset>
                </wp:positionH>
                <wp:positionV relativeFrom="paragraph">
                  <wp:posOffset>378460</wp:posOffset>
                </wp:positionV>
                <wp:extent cx="818515" cy="540081"/>
                <wp:effectExtent l="0" t="0" r="635" b="0"/>
                <wp:wrapNone/>
                <wp:docPr id="1373913113" name="مستطيل 1"/>
                <wp:cNvGraphicFramePr/>
                <a:graphic xmlns:a="http://schemas.openxmlformats.org/drawingml/2006/main">
                  <a:graphicData uri="http://schemas.microsoft.com/office/word/2010/wordprocessingShape">
                    <wps:wsp>
                      <wps:cNvSpPr/>
                      <wps:spPr>
                        <a:xfrm>
                          <a:off x="0" y="0"/>
                          <a:ext cx="818515" cy="540081"/>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8109FB" id="مستطيل 1" o:spid="_x0000_s1026" style="position:absolute;left:0;text-align:left;margin-left:170.8pt;margin-top:29.8pt;width:64.45pt;height:42.5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" fillcolor="window" stroked="f" strokeweight="2pt"/>
            </w:pict>
          </mc:Fallback>
        </mc:AlternateContent>
      </w:r>
    </w:p>
    <w:p w14:paraId="47D32D09" w14:textId="2208F049" w:rsidR="005666CA" w:rsidRDefault="005666CA" w:rsidP="00217D8D">
      <w:pPr>
        <w:spacing w:before="240" w:after="0" w:line="276" w:lineRule="auto"/>
        <w:jc w:val="center"/>
        <w:rPr>
          <w:rFonts w:ascii="Simplified Arabic" w:eastAsia="Calibri" w:hAnsi="Simplified Arabic" w:cs="PT Bold Heading"/>
          <w:sz w:val="32"/>
          <w:szCs w:val="32"/>
          <w:u w:val="single"/>
          <w:rtl/>
        </w:rPr>
      </w:pPr>
    </w:p>
    <w:p w14:paraId="1EA8EC50" w14:textId="601BE7EE" w:rsidR="00217D8D" w:rsidRPr="00217D8D" w:rsidRDefault="00217D8D" w:rsidP="00217D8D">
      <w:pPr>
        <w:spacing w:before="240" w:after="0" w:line="276" w:lineRule="auto"/>
        <w:jc w:val="center"/>
        <w:rPr>
          <w:rFonts w:ascii="Simplified Arabic" w:eastAsia="Calibri" w:hAnsi="Simplified Arabic" w:cs="PT Bold Heading"/>
          <w:sz w:val="32"/>
          <w:szCs w:val="32"/>
          <w:u w:val="single"/>
          <w:rtl/>
        </w:rPr>
      </w:pPr>
      <w:r w:rsidRPr="00217D8D">
        <w:rPr>
          <w:rFonts w:ascii="Simplified Arabic" w:eastAsia="Calibri" w:hAnsi="Simplified Arabic" w:cs="PT Bold Heading" w:hint="cs"/>
          <w:sz w:val="32"/>
          <w:szCs w:val="32"/>
          <w:u w:val="single"/>
          <w:rtl/>
        </w:rPr>
        <w:t>الشكر</w:t>
      </w:r>
      <w:r w:rsidR="00522AEF">
        <w:rPr>
          <w:rFonts w:ascii="Simplified Arabic" w:eastAsia="Calibri" w:hAnsi="Simplified Arabic" w:cs="PT Bold Heading" w:hint="cs"/>
          <w:sz w:val="32"/>
          <w:szCs w:val="32"/>
          <w:u w:val="single"/>
          <w:rtl/>
        </w:rPr>
        <w:t xml:space="preserve"> </w:t>
      </w:r>
      <w:r w:rsidRPr="00217D8D">
        <w:rPr>
          <w:rFonts w:ascii="Simplified Arabic" w:eastAsia="Calibri" w:hAnsi="Simplified Arabic" w:cs="PT Bold Heading" w:hint="cs"/>
          <w:sz w:val="32"/>
          <w:szCs w:val="32"/>
          <w:u w:val="single"/>
          <w:rtl/>
        </w:rPr>
        <w:t>والعرفان</w:t>
      </w:r>
    </w:p>
    <w:p w14:paraId="517E8198" w14:textId="77777777" w:rsidR="00217D8D" w:rsidRPr="00217D8D" w:rsidRDefault="00217D8D" w:rsidP="00217D8D">
      <w:pPr>
        <w:spacing w:before="240" w:after="0" w:line="276" w:lineRule="auto"/>
        <w:jc w:val="center"/>
        <w:rPr>
          <w:rFonts w:ascii="Simplified Arabic" w:eastAsia="Calibri" w:hAnsi="Simplified Arabic" w:cs="PT Bold Heading"/>
          <w:sz w:val="12"/>
          <w:szCs w:val="12"/>
          <w:u w:val="single"/>
          <w:rtl/>
        </w:rPr>
      </w:pPr>
    </w:p>
    <w:p w14:paraId="7D3E7776" w14:textId="64D1030D" w:rsidR="00217D8D" w:rsidRPr="00217D8D" w:rsidRDefault="00217D8D" w:rsidP="00217D8D">
      <w:pPr>
        <w:spacing w:line="276" w:lineRule="auto"/>
        <w:ind w:firstLine="237"/>
        <w:jc w:val="both"/>
        <w:rPr>
          <w:rFonts w:ascii="Simplified Arabic" w:eastAsia="Calibri" w:hAnsi="Simplified Arabic" w:cs="PT Bold Heading"/>
          <w:sz w:val="29"/>
          <w:szCs w:val="29"/>
          <w:u w:val="single"/>
          <w:rtl/>
        </w:rPr>
      </w:pPr>
      <w:r w:rsidRPr="00217D8D">
        <w:rPr>
          <w:rFonts w:ascii="Simplified Arabic" w:eastAsia="Calibri" w:hAnsi="Simplified Arabic" w:cs="Simplified Arabic"/>
          <w:sz w:val="29"/>
          <w:szCs w:val="29"/>
          <w:rtl/>
        </w:rPr>
        <w:t>الحمد</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لله</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رب</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العالمين</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الذي</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وفقني</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لإتمام</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هذه</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sz w:val="29"/>
          <w:szCs w:val="29"/>
          <w:rtl/>
        </w:rPr>
        <w:t>الرسالة</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العلمي</w:t>
      </w:r>
      <w:r w:rsidRPr="00217D8D">
        <w:rPr>
          <w:rFonts w:ascii="Simplified Arabic" w:eastAsia="Calibri" w:hAnsi="Simplified Arabic" w:cs="Simplified Arabic" w:hint="cs"/>
          <w:sz w:val="29"/>
          <w:szCs w:val="29"/>
          <w:rtl/>
        </w:rPr>
        <w:t>ة،</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والصلاة</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والسلام</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على</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نبينا</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محمد</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وعلى</w:t>
      </w:r>
      <w:r w:rsidR="00522AEF">
        <w:rPr>
          <w:rFonts w:ascii="Simplified Arabic" w:eastAsia="Calibri" w:hAnsi="Simplified Arabic" w:cs="Simplified Arabic"/>
          <w:sz w:val="29"/>
          <w:szCs w:val="29"/>
          <w:rtl/>
        </w:rPr>
        <w:t xml:space="preserve"> </w:t>
      </w:r>
      <w:proofErr w:type="spellStart"/>
      <w:r w:rsidRPr="00217D8D">
        <w:rPr>
          <w:rFonts w:ascii="Simplified Arabic" w:eastAsia="Calibri" w:hAnsi="Simplified Arabic" w:cs="Simplified Arabic"/>
          <w:sz w:val="29"/>
          <w:szCs w:val="29"/>
          <w:rtl/>
        </w:rPr>
        <w:t>آله</w:t>
      </w:r>
      <w:proofErr w:type="spellEnd"/>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الغر</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الميامين</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القائل</w:t>
      </w:r>
      <w:r w:rsidR="00522AEF">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w:t>
      </w:r>
      <w:r w:rsidRPr="00217D8D">
        <w:rPr>
          <w:rFonts w:ascii="Simplified Arabic" w:eastAsia="Calibri" w:hAnsi="Simplified Arabic" w:cs="Simplified Arabic"/>
          <w:b/>
          <w:bCs/>
          <w:sz w:val="29"/>
          <w:szCs w:val="29"/>
          <w:rtl/>
        </w:rPr>
        <w:t>من</w:t>
      </w:r>
      <w:r w:rsidR="00522AEF">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لا</w:t>
      </w:r>
      <w:r w:rsidR="00522AEF">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يشكر</w:t>
      </w:r>
      <w:r w:rsidR="00522AEF">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الناس</w:t>
      </w:r>
      <w:r w:rsidR="00522AEF">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لا</w:t>
      </w:r>
      <w:r w:rsidR="00522AEF">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يشكر</w:t>
      </w:r>
      <w:r w:rsidR="00522AEF">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الله</w:t>
      </w:r>
      <w:r w:rsidRPr="00217D8D">
        <w:rPr>
          <w:rFonts w:ascii="Simplified Arabic" w:eastAsia="Calibri" w:hAnsi="Simplified Arabic" w:cs="Simplified Arabic"/>
          <w:sz w:val="29"/>
          <w:szCs w:val="29"/>
          <w:rtl/>
        </w:rPr>
        <w:t>)</w:t>
      </w:r>
      <w:r w:rsidR="00522AEF">
        <w:rPr>
          <w:rFonts w:ascii="Simplified Arabic" w:eastAsia="Calibri" w:hAnsi="Simplified Arabic" w:cs="Simplified Arabic" w:hint="cs"/>
          <w:sz w:val="29"/>
          <w:szCs w:val="29"/>
          <w:rtl/>
        </w:rPr>
        <w:t>.</w:t>
      </w:r>
    </w:p>
    <w:p w14:paraId="37C17EB9" w14:textId="41698052" w:rsidR="003747FA" w:rsidRDefault="00217D8D" w:rsidP="00CF5C0F">
      <w:pPr>
        <w:spacing w:line="276" w:lineRule="auto"/>
        <w:ind w:firstLine="237"/>
        <w:jc w:val="both"/>
        <w:rPr>
          <w:rFonts w:ascii="Simplified Arabic" w:eastAsia="Calibri" w:hAnsi="Simplified Arabic" w:cs="Simplified Arabic"/>
          <w:sz w:val="29"/>
          <w:szCs w:val="29"/>
          <w:rtl/>
        </w:rPr>
      </w:pPr>
      <w:r w:rsidRPr="00217D8D">
        <w:rPr>
          <w:rFonts w:ascii="Simplified Arabic" w:eastAsia="Calibri" w:hAnsi="Simplified Arabic" w:cs="Simplified Arabic" w:hint="cs"/>
          <w:sz w:val="29"/>
          <w:szCs w:val="29"/>
          <w:rtl/>
        </w:rPr>
        <w:t>مع</w:t>
      </w:r>
      <w:r w:rsidR="00522AEF">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انتهائي</w:t>
      </w:r>
      <w:r w:rsidR="00522AEF">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من</w:t>
      </w:r>
      <w:r w:rsidR="00522AEF">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هذه</w:t>
      </w:r>
      <w:r w:rsidR="00522AEF">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الرسالة</w:t>
      </w:r>
      <w:r w:rsidR="00522AEF">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لا</w:t>
      </w:r>
      <w:r w:rsidR="00522AEF">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يسعني</w:t>
      </w:r>
      <w:r w:rsidR="00522AEF">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إلا</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أن</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أعترف</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لكل</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ذي</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فضل</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عليَّ</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بفضله،</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فهم</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أهلٌ</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للشكر</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والثناء،</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sz w:val="29"/>
          <w:szCs w:val="29"/>
          <w:rtl/>
        </w:rPr>
        <w:t>ولذا</w:t>
      </w:r>
      <w:r w:rsidR="00522AEF">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ا</w:t>
      </w:r>
      <w:r w:rsidRPr="00217D8D">
        <w:rPr>
          <w:rFonts w:ascii="Simplified Arabic" w:eastAsia="Calibri" w:hAnsi="Simplified Arabic" w:cs="Simplified Arabic"/>
          <w:sz w:val="29"/>
          <w:szCs w:val="29"/>
          <w:rtl/>
        </w:rPr>
        <w:t>تقدم</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بالشكر</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الجزيل</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وبخالص</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المودة</w:t>
      </w:r>
      <w:r w:rsidR="00522AEF">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sz w:val="29"/>
          <w:szCs w:val="29"/>
          <w:rtl/>
        </w:rPr>
        <w:t>والتقدير</w:t>
      </w:r>
      <w:r w:rsidR="00522AEF">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ل</w:t>
      </w:r>
      <w:r w:rsidR="00CF5C0F" w:rsidRPr="00CF5C0F">
        <w:rPr>
          <w:rFonts w:ascii="Simplified Arabic" w:eastAsia="Calibri" w:hAnsi="Simplified Arabic" w:cs="Simplified Arabic"/>
          <w:sz w:val="29"/>
          <w:szCs w:val="29"/>
          <w:rtl/>
        </w:rPr>
        <w:t>لمشرف</w:t>
      </w:r>
      <w:r w:rsidR="00CF5C0F" w:rsidRPr="00CF5C0F">
        <w:rPr>
          <w:rFonts w:ascii="Simplified Arabic" w:eastAsia="Calibri" w:hAnsi="Simplified Arabic" w:cs="Simplified Arabic" w:hint="cs"/>
          <w:sz w:val="29"/>
          <w:szCs w:val="29"/>
          <w:rtl/>
        </w:rPr>
        <w:t>ين</w:t>
      </w:r>
      <w:r w:rsidR="00522AEF">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على</w:t>
      </w:r>
      <w:r w:rsidR="00522AEF">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هذه</w:t>
      </w:r>
      <w:r w:rsidR="00522AEF">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ال</w:t>
      </w:r>
      <w:r w:rsidR="00CF5C0F" w:rsidRPr="00CF5C0F">
        <w:rPr>
          <w:rFonts w:ascii="Simplified Arabic" w:eastAsia="Calibri" w:hAnsi="Simplified Arabic" w:cs="Simplified Arabic" w:hint="cs"/>
          <w:sz w:val="29"/>
          <w:szCs w:val="29"/>
          <w:rtl/>
        </w:rPr>
        <w:t>رسالة،</w:t>
      </w:r>
      <w:r w:rsidR="00522AEF">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b/>
          <w:bCs/>
          <w:sz w:val="29"/>
          <w:szCs w:val="29"/>
          <w:rtl/>
        </w:rPr>
        <w:t>الأستاذ</w:t>
      </w:r>
      <w:r w:rsidR="00522AEF">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الدكتور/</w:t>
      </w:r>
      <w:r w:rsidR="00522AEF">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الفيصل</w:t>
      </w:r>
      <w:r w:rsidR="00522AEF">
        <w:rPr>
          <w:rFonts w:ascii="Simplified Arabic" w:eastAsia="Calibri" w:hAnsi="Simplified Arabic" w:cs="Simplified Arabic" w:hint="cs"/>
          <w:b/>
          <w:bCs/>
          <w:sz w:val="29"/>
          <w:szCs w:val="29"/>
          <w:rtl/>
        </w:rPr>
        <w:t xml:space="preserve"> </w:t>
      </w:r>
      <w:proofErr w:type="gramStart"/>
      <w:r w:rsidR="00CF5C0F" w:rsidRPr="00CF5C0F">
        <w:rPr>
          <w:rFonts w:ascii="Simplified Arabic" w:eastAsia="Calibri" w:hAnsi="Simplified Arabic" w:cs="Simplified Arabic" w:hint="cs"/>
          <w:b/>
          <w:bCs/>
          <w:sz w:val="29"/>
          <w:szCs w:val="29"/>
          <w:rtl/>
        </w:rPr>
        <w:t>عبدالحميد</w:t>
      </w:r>
      <w:proofErr w:type="gramEnd"/>
      <w:r w:rsidR="00CF5C0F" w:rsidRPr="00CF5C0F">
        <w:rPr>
          <w:rFonts w:ascii="Simplified Arabic" w:eastAsia="Calibri" w:hAnsi="Simplified Arabic" w:cs="Simplified Arabic" w:hint="cs"/>
          <w:b/>
          <w:bCs/>
          <w:sz w:val="29"/>
          <w:szCs w:val="29"/>
          <w:rtl/>
        </w:rPr>
        <w:t>،</w:t>
      </w:r>
      <w:r w:rsidR="00522AEF">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وا</w:t>
      </w:r>
      <w:r w:rsidR="00CF5C0F" w:rsidRPr="00CF5C0F">
        <w:rPr>
          <w:rFonts w:ascii="Simplified Arabic" w:eastAsia="Calibri" w:hAnsi="Simplified Arabic" w:cs="Simplified Arabic"/>
          <w:b/>
          <w:bCs/>
          <w:sz w:val="29"/>
          <w:szCs w:val="29"/>
          <w:rtl/>
        </w:rPr>
        <w:t>لأستاذ</w:t>
      </w:r>
      <w:r w:rsidR="00522AEF">
        <w:rPr>
          <w:rFonts w:ascii="Simplified Arabic" w:eastAsia="Calibri" w:hAnsi="Simplified Arabic" w:cs="Simplified Arabic"/>
          <w:b/>
          <w:bCs/>
          <w:sz w:val="29"/>
          <w:szCs w:val="29"/>
          <w:rtl/>
        </w:rPr>
        <w:t xml:space="preserve"> </w:t>
      </w:r>
      <w:r w:rsidR="00CF5C0F" w:rsidRPr="00CF5C0F">
        <w:rPr>
          <w:rFonts w:ascii="Simplified Arabic" w:eastAsia="Calibri" w:hAnsi="Simplified Arabic" w:cs="Simplified Arabic"/>
          <w:b/>
          <w:bCs/>
          <w:sz w:val="29"/>
          <w:szCs w:val="29"/>
          <w:rtl/>
        </w:rPr>
        <w:t>الدكتور/</w:t>
      </w:r>
      <w:r w:rsidR="00522AEF">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b/>
          <w:bCs/>
          <w:sz w:val="29"/>
          <w:szCs w:val="29"/>
          <w:rtl/>
        </w:rPr>
        <w:t>فايز</w:t>
      </w:r>
      <w:r w:rsidR="00522AEF">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علي</w:t>
      </w:r>
      <w:r w:rsidR="00522AEF">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جراد</w:t>
      </w:r>
      <w:r w:rsidR="00522AEF">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sz w:val="29"/>
          <w:szCs w:val="29"/>
          <w:rtl/>
        </w:rPr>
        <w:t>لما</w:t>
      </w:r>
      <w:r w:rsidR="00522AEF">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قدم</w:t>
      </w:r>
      <w:r w:rsidR="00CF5C0F" w:rsidRPr="00CF5C0F">
        <w:rPr>
          <w:rFonts w:ascii="Simplified Arabic" w:eastAsia="Calibri" w:hAnsi="Simplified Arabic" w:cs="Simplified Arabic" w:hint="cs"/>
          <w:sz w:val="29"/>
          <w:szCs w:val="29"/>
          <w:rtl/>
        </w:rPr>
        <w:t>ا</w:t>
      </w:r>
      <w:r w:rsidR="00CF5C0F" w:rsidRPr="00CF5C0F">
        <w:rPr>
          <w:rFonts w:ascii="Simplified Arabic" w:eastAsia="Calibri" w:hAnsi="Simplified Arabic" w:cs="Simplified Arabic"/>
          <w:sz w:val="29"/>
          <w:szCs w:val="29"/>
          <w:rtl/>
        </w:rPr>
        <w:t>ه</w:t>
      </w:r>
      <w:r w:rsidR="00522AEF">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لي</w:t>
      </w:r>
      <w:r w:rsidR="00522AEF">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من</w:t>
      </w:r>
      <w:r w:rsidR="00522AEF">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sz w:val="29"/>
          <w:szCs w:val="29"/>
          <w:rtl/>
        </w:rPr>
        <w:t>إرشادات</w:t>
      </w:r>
      <w:r w:rsidR="00522AEF">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وتوجيهات</w:t>
      </w:r>
      <w:r w:rsidR="00522AEF">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علمية</w:t>
      </w:r>
      <w:r w:rsidR="00522AEF">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ومنهجية</w:t>
      </w:r>
      <w:r w:rsidR="00522AEF">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قيمة</w:t>
      </w:r>
      <w:r w:rsidR="00522AEF">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وسديدة،</w:t>
      </w:r>
      <w:r w:rsidR="00522AEF">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وعلى</w:t>
      </w:r>
      <w:r w:rsidR="00522AEF">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سعة</w:t>
      </w:r>
      <w:r w:rsidR="00522AEF">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صدره</w:t>
      </w:r>
      <w:r w:rsidR="00CF5C0F" w:rsidRPr="00CF5C0F">
        <w:rPr>
          <w:rFonts w:ascii="Simplified Arabic" w:eastAsia="Calibri" w:hAnsi="Simplified Arabic" w:cs="Simplified Arabic" w:hint="cs"/>
          <w:sz w:val="29"/>
          <w:szCs w:val="29"/>
          <w:rtl/>
        </w:rPr>
        <w:t>ما</w:t>
      </w:r>
      <w:r w:rsidR="00522AEF">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في</w:t>
      </w:r>
      <w:r w:rsidR="00522AEF">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الأخذ</w:t>
      </w:r>
      <w:r w:rsidR="00522AEF">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والعطاء</w:t>
      </w:r>
      <w:r w:rsidR="00522AEF">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طوال</w:t>
      </w:r>
      <w:r w:rsidR="00522AEF">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فترة</w:t>
      </w:r>
      <w:r w:rsidR="00522AEF">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sz w:val="29"/>
          <w:szCs w:val="29"/>
          <w:rtl/>
        </w:rPr>
        <w:t>الدراسة</w:t>
      </w:r>
      <w:r w:rsidR="00522AEF">
        <w:rPr>
          <w:rFonts w:ascii="Simplified Arabic" w:eastAsia="Calibri" w:hAnsi="Simplified Arabic" w:cs="Simplified Arabic" w:hint="cs"/>
          <w:sz w:val="29"/>
          <w:szCs w:val="29"/>
          <w:rtl/>
        </w:rPr>
        <w:t>.</w:t>
      </w:r>
    </w:p>
    <w:p w14:paraId="130897CB" w14:textId="50FEABF7" w:rsidR="00217D8D" w:rsidRDefault="00217D8D" w:rsidP="00217D8D">
      <w:pPr>
        <w:spacing w:line="276" w:lineRule="auto"/>
        <w:ind w:firstLine="237"/>
        <w:jc w:val="both"/>
        <w:rPr>
          <w:rFonts w:ascii="Simplified Arabic" w:eastAsia="Calibri" w:hAnsi="Simplified Arabic" w:cs="Simplified Arabic"/>
          <w:sz w:val="29"/>
          <w:szCs w:val="29"/>
          <w:rtl/>
        </w:rPr>
      </w:pPr>
      <w:r w:rsidRPr="00217D8D">
        <w:rPr>
          <w:rFonts w:ascii="Simplified Arabic" w:eastAsia="Calibri" w:hAnsi="Simplified Arabic" w:cs="Simplified Arabic" w:hint="cs"/>
          <w:sz w:val="29"/>
          <w:szCs w:val="29"/>
          <w:rtl/>
        </w:rPr>
        <w:t>كما</w:t>
      </w:r>
      <w:r w:rsidR="00522AEF">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أشكر</w:t>
      </w:r>
      <w:r w:rsidR="00522AEF">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كل</w:t>
      </w:r>
      <w:r w:rsidR="00522AEF">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من</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sz w:val="29"/>
          <w:szCs w:val="29"/>
          <w:rtl/>
        </w:rPr>
        <w:t>انتفعت</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بعلمه</w:t>
      </w:r>
      <w:r w:rsidRPr="00217D8D">
        <w:rPr>
          <w:rFonts w:ascii="Simplified Arabic" w:eastAsia="Calibri" w:hAnsi="Simplified Arabic" w:cs="Simplified Arabic" w:hint="cs"/>
          <w:sz w:val="29"/>
          <w:szCs w:val="29"/>
          <w:rtl/>
        </w:rPr>
        <w:t>،</w:t>
      </w:r>
      <w:r w:rsidR="00522AEF">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و</w:t>
      </w:r>
      <w:r w:rsidRPr="00217D8D">
        <w:rPr>
          <w:rFonts w:ascii="Simplified Arabic" w:eastAsia="Calibri" w:hAnsi="Simplified Arabic" w:cs="Simplified Arabic" w:hint="cs"/>
          <w:sz w:val="29"/>
          <w:szCs w:val="29"/>
          <w:rtl/>
        </w:rPr>
        <w:t>كل</w:t>
      </w:r>
      <w:r w:rsidR="00522AEF">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من</w:t>
      </w:r>
      <w:r w:rsidR="00522AEF">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ساعدني</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على</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إخراج</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هذه</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الدراسة</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إلى</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النور،</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فما</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وفقت</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فيه</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فمن</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الله،</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وما</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قصرت</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فمني</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ومن</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الشيطان،</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والله</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الهادي</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إلى</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سواء</w:t>
      </w:r>
      <w:r w:rsidR="00522AEF">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السبيل</w:t>
      </w:r>
      <w:r w:rsidR="00522AEF">
        <w:rPr>
          <w:rFonts w:ascii="Simplified Arabic" w:eastAsia="Calibri" w:hAnsi="Simplified Arabic" w:cs="Simplified Arabic"/>
          <w:sz w:val="29"/>
          <w:szCs w:val="29"/>
          <w:rtl/>
        </w:rPr>
        <w:t>.</w:t>
      </w:r>
    </w:p>
    <w:p w14:paraId="4BB40D41" w14:textId="77777777" w:rsidR="00217D8D" w:rsidRPr="00217D8D" w:rsidRDefault="00217D8D" w:rsidP="00217D8D">
      <w:pPr>
        <w:spacing w:before="240" w:after="0" w:line="276" w:lineRule="auto"/>
        <w:jc w:val="right"/>
        <w:rPr>
          <w:rFonts w:ascii="Simplified Arabic" w:eastAsia="Calibri" w:hAnsi="Simplified Arabic" w:cs="PT Bold Heading"/>
          <w:sz w:val="28"/>
          <w:szCs w:val="28"/>
          <w:u w:val="single"/>
          <w:rtl/>
        </w:rPr>
      </w:pPr>
      <w:r w:rsidRPr="00217D8D">
        <w:rPr>
          <w:rFonts w:ascii="Simplified Arabic" w:eastAsia="Calibri" w:hAnsi="Simplified Arabic" w:cs="PT Bold Heading" w:hint="cs"/>
          <w:sz w:val="28"/>
          <w:szCs w:val="28"/>
          <w:u w:val="single"/>
          <w:rtl/>
        </w:rPr>
        <w:t>الباحث</w:t>
      </w:r>
    </w:p>
    <w:p w14:paraId="611F2E47" w14:textId="26A813F7" w:rsidR="003220EB" w:rsidRPr="003220EB" w:rsidRDefault="003220EB" w:rsidP="00217D8D">
      <w:pPr>
        <w:spacing w:line="257" w:lineRule="auto"/>
        <w:jc w:val="both"/>
        <w:rPr>
          <w:rFonts w:ascii="Simplified Arabic" w:eastAsia="Calibri" w:hAnsi="Simplified Arabic" w:cs="PT Bold Heading"/>
          <w:sz w:val="30"/>
          <w:szCs w:val="30"/>
          <w:u w:val="single"/>
          <w:rtl/>
        </w:rPr>
      </w:pPr>
      <w:r w:rsidRPr="003220EB">
        <w:rPr>
          <w:rFonts w:ascii="Simplified Arabic" w:eastAsia="Calibri" w:hAnsi="Simplified Arabic" w:cs="PT Bold Heading"/>
          <w:sz w:val="30"/>
          <w:szCs w:val="30"/>
          <w:u w:val="single"/>
          <w:rtl/>
        </w:rPr>
        <w:br w:type="page"/>
      </w:r>
    </w:p>
    <w:p w14:paraId="2CA9BC11" w14:textId="1AB95108" w:rsidR="00CF5C0F" w:rsidRPr="00217D8D" w:rsidRDefault="00325659" w:rsidP="00CF5C0F">
      <w:pPr>
        <w:spacing w:line="276" w:lineRule="auto"/>
        <w:jc w:val="center"/>
        <w:rPr>
          <w:rFonts w:ascii="Simplified Arabic" w:eastAsia="Calibri" w:hAnsi="Simplified Arabic" w:cs="PT Bold Heading"/>
          <w:sz w:val="28"/>
          <w:szCs w:val="28"/>
          <w:u w:val="single"/>
          <w:rtl/>
        </w:rPr>
      </w:pPr>
      <w:bookmarkStart w:id="2" w:name="_Hlk192463163"/>
      <w:r>
        <w:rPr>
          <w:rFonts w:ascii="Simplified Arabic" w:eastAsia="Calibri" w:hAnsi="Simplified Arabic" w:cs="PT Bold Heading" w:hint="cs"/>
          <w:sz w:val="28"/>
          <w:szCs w:val="28"/>
          <w:u w:val="single"/>
          <w:rtl/>
        </w:rPr>
        <w:lastRenderedPageBreak/>
        <w:t>ملخص</w:t>
      </w:r>
      <w:r w:rsidR="00522AEF">
        <w:rPr>
          <w:rFonts w:ascii="Simplified Arabic" w:eastAsia="Calibri" w:hAnsi="Simplified Arabic" w:cs="PT Bold Heading" w:hint="cs"/>
          <w:sz w:val="28"/>
          <w:szCs w:val="28"/>
          <w:u w:val="single"/>
          <w:rtl/>
        </w:rPr>
        <w:t xml:space="preserve"> </w:t>
      </w:r>
      <w:r w:rsidR="00CF5C0F" w:rsidRPr="00217D8D">
        <w:rPr>
          <w:rFonts w:ascii="Simplified Arabic" w:eastAsia="Calibri" w:hAnsi="Simplified Arabic" w:cs="PT Bold Heading" w:hint="cs"/>
          <w:sz w:val="28"/>
          <w:szCs w:val="28"/>
          <w:u w:val="single"/>
          <w:rtl/>
        </w:rPr>
        <w:t>الدراسة</w:t>
      </w:r>
    </w:p>
    <w:bookmarkEnd w:id="2"/>
    <w:p w14:paraId="263658B8" w14:textId="0DF659F9" w:rsidR="001066BE" w:rsidRPr="001066BE" w:rsidRDefault="00325659" w:rsidP="001066BE">
      <w:pPr>
        <w:spacing w:line="276" w:lineRule="auto"/>
        <w:ind w:firstLine="510"/>
        <w:jc w:val="center"/>
        <w:rPr>
          <w:rFonts w:ascii="Simplified Arabic" w:eastAsia="Calibri" w:hAnsi="Simplified Arabic" w:cs="Simplified Arabic"/>
          <w:b/>
          <w:bCs/>
          <w:sz w:val="30"/>
          <w:szCs w:val="30"/>
          <w:rtl/>
        </w:rPr>
      </w:pPr>
      <w:r w:rsidRPr="001066BE">
        <w:rPr>
          <w:rFonts w:ascii="Simplified Arabic" w:eastAsia="Calibri" w:hAnsi="Simplified Arabic" w:cs="Simplified Arabic"/>
          <w:b/>
          <w:bCs/>
          <w:sz w:val="34"/>
          <w:szCs w:val="34"/>
          <w:rtl/>
        </w:rPr>
        <w:t>التحديات الإدارية في تطبيق ممارسات التوزيع الجيد (</w:t>
      </w:r>
      <w:r w:rsidRPr="001066BE">
        <w:rPr>
          <w:rFonts w:ascii="Simplified Arabic" w:eastAsia="Calibri" w:hAnsi="Simplified Arabic" w:cs="Simplified Arabic"/>
          <w:b/>
          <w:bCs/>
          <w:sz w:val="34"/>
          <w:szCs w:val="34"/>
        </w:rPr>
        <w:t>GDP</w:t>
      </w:r>
      <w:r w:rsidRPr="001066BE">
        <w:rPr>
          <w:rFonts w:ascii="Simplified Arabic" w:eastAsia="Calibri" w:hAnsi="Simplified Arabic" w:cs="Simplified Arabic"/>
          <w:b/>
          <w:bCs/>
          <w:sz w:val="34"/>
          <w:szCs w:val="34"/>
          <w:rtl/>
        </w:rPr>
        <w:t>) في سلاسل الإمداد الطبية</w:t>
      </w:r>
    </w:p>
    <w:p w14:paraId="6A91B816" w14:textId="4C6DAA98" w:rsidR="008B0D19" w:rsidRPr="008B0D19" w:rsidRDefault="008B0D19" w:rsidP="008B0D19">
      <w:pPr>
        <w:spacing w:line="276" w:lineRule="auto"/>
        <w:ind w:firstLine="510"/>
        <w:jc w:val="both"/>
        <w:rPr>
          <w:rFonts w:ascii="Simplified Arabic" w:eastAsia="Calibri" w:hAnsi="Simplified Arabic" w:cs="Simplified Arabic"/>
          <w:b/>
          <w:bCs/>
          <w:sz w:val="28"/>
          <w:szCs w:val="28"/>
          <w:rtl/>
        </w:rPr>
      </w:pPr>
      <w:r w:rsidRPr="008B0D19">
        <w:rPr>
          <w:rFonts w:ascii="Simplified Arabic" w:eastAsia="Calibri" w:hAnsi="Simplified Arabic" w:cs="Simplified Arabic"/>
          <w:b/>
          <w:bCs/>
          <w:sz w:val="28"/>
          <w:szCs w:val="28"/>
          <w:rtl/>
        </w:rPr>
        <w:t>المستخلص</w:t>
      </w:r>
    </w:p>
    <w:p w14:paraId="633AC850" w14:textId="77777777" w:rsidR="00E81C7E" w:rsidRPr="00E81C7E" w:rsidRDefault="006C2478" w:rsidP="00E81C7E">
      <w:pPr>
        <w:spacing w:line="276" w:lineRule="auto"/>
        <w:ind w:firstLine="510"/>
        <w:jc w:val="both"/>
        <w:rPr>
          <w:rFonts w:ascii="Simplified Arabic" w:eastAsia="Calibri" w:hAnsi="Simplified Arabic" w:cs="Simplified Arabic"/>
          <w:sz w:val="28"/>
          <w:szCs w:val="28"/>
        </w:rPr>
      </w:pPr>
      <w:r w:rsidRPr="006C2478">
        <w:rPr>
          <w:rFonts w:ascii="Simplified Arabic" w:eastAsia="Calibri" w:hAnsi="Simplified Arabic" w:cs="Simplified Arabic"/>
          <w:sz w:val="28"/>
          <w:szCs w:val="28"/>
          <w:rtl/>
        </w:rPr>
        <w:t>هدفت</w:t>
      </w:r>
      <w:r w:rsidR="00522AEF">
        <w:rPr>
          <w:rFonts w:ascii="Simplified Arabic" w:eastAsia="Calibri" w:hAnsi="Simplified Arabic" w:cs="Simplified Arabic"/>
          <w:sz w:val="28"/>
          <w:szCs w:val="28"/>
          <w:rtl/>
        </w:rPr>
        <w:t xml:space="preserve"> </w:t>
      </w:r>
      <w:r w:rsidR="00E81C7E" w:rsidRPr="00E81C7E">
        <w:rPr>
          <w:rFonts w:ascii="Simplified Arabic" w:eastAsia="Calibri" w:hAnsi="Simplified Arabic" w:cs="Simplified Arabic"/>
          <w:sz w:val="28"/>
          <w:szCs w:val="28"/>
          <w:rtl/>
        </w:rPr>
        <w:t>هذه الدراسة إلى تشخيص التحديات الإدارية (التخطيط، التنظيم، التوجيه والقيادة، الرقابة) التي تواجه شركات سلاسل الإمداد الطبية، وقياس أثر هذه التحديات في مستوى الامتثال لممارسات التوزيع الجيد (</w:t>
      </w:r>
      <w:r w:rsidR="00E81C7E" w:rsidRPr="00E81C7E">
        <w:rPr>
          <w:rFonts w:ascii="Simplified Arabic" w:eastAsia="Calibri" w:hAnsi="Simplified Arabic" w:cs="Simplified Arabic"/>
          <w:sz w:val="28"/>
          <w:szCs w:val="28"/>
        </w:rPr>
        <w:t>GDP</w:t>
      </w:r>
      <w:r w:rsidR="00E81C7E" w:rsidRPr="00E81C7E">
        <w:rPr>
          <w:rFonts w:ascii="Simplified Arabic" w:eastAsia="Calibri" w:hAnsi="Simplified Arabic" w:cs="Simplified Arabic"/>
          <w:sz w:val="28"/>
          <w:szCs w:val="28"/>
          <w:rtl/>
        </w:rPr>
        <w:t>). وانطلقت الدراسة من مشكلة بحثية جوهرية تمثلت في وجود فجوة بين المتطلبات التنظيمية الصارمة للهيئة العامة للغذاء والدواء وبين الواقع الإداري للمنشآت، مما يهدد كفاءة الأمن الدوائي.</w:t>
      </w:r>
    </w:p>
    <w:p w14:paraId="61238AD0" w14:textId="77777777" w:rsidR="00E81C7E" w:rsidRPr="00E81C7E" w:rsidRDefault="00E81C7E" w:rsidP="00E81C7E">
      <w:pPr>
        <w:spacing w:line="276" w:lineRule="auto"/>
        <w:ind w:firstLine="510"/>
        <w:jc w:val="both"/>
        <w:rPr>
          <w:rFonts w:ascii="Simplified Arabic" w:eastAsia="Calibri" w:hAnsi="Simplified Arabic" w:cs="Simplified Arabic"/>
          <w:sz w:val="28"/>
          <w:szCs w:val="28"/>
        </w:rPr>
      </w:pPr>
      <w:r w:rsidRPr="00E81C7E">
        <w:rPr>
          <w:rFonts w:ascii="Simplified Arabic" w:eastAsia="Calibri" w:hAnsi="Simplified Arabic" w:cs="Simplified Arabic"/>
          <w:sz w:val="28"/>
          <w:szCs w:val="28"/>
          <w:rtl/>
        </w:rPr>
        <w:t>ولتحقيق أهداف الدراسة، اعتمد الباحث المنهج الوصفي التحليلي، وتم تصميم استبانة إلكترونية كأداة رئيسة لجمع البيانات، تكونت من (40) فقرة موزعة على متغيري الدراسة. وطبقت الأداة على عينة عشوائية طبقية بلغت (365) موظفاً من الكوادر الإدارية والفنية في شركات التوزيع الدوائي بالمملكة. وتم تحليل البيانات باستخدام الحزمة الإحصائية (</w:t>
      </w:r>
      <w:r w:rsidRPr="00E81C7E">
        <w:rPr>
          <w:rFonts w:ascii="Simplified Arabic" w:eastAsia="Calibri" w:hAnsi="Simplified Arabic" w:cs="Simplified Arabic"/>
          <w:sz w:val="28"/>
          <w:szCs w:val="28"/>
        </w:rPr>
        <w:t>SPSS v.28</w:t>
      </w:r>
      <w:r w:rsidRPr="00E81C7E">
        <w:rPr>
          <w:rFonts w:ascii="Simplified Arabic" w:eastAsia="Calibri" w:hAnsi="Simplified Arabic" w:cs="Simplified Arabic"/>
          <w:sz w:val="28"/>
          <w:szCs w:val="28"/>
          <w:rtl/>
        </w:rPr>
        <w:t>) عبر اختبارات الارتباط والانحدار المتعدد.</w:t>
      </w:r>
    </w:p>
    <w:p w14:paraId="2B914107" w14:textId="77777777" w:rsidR="00E81C7E" w:rsidRPr="00E81C7E" w:rsidRDefault="00E81C7E" w:rsidP="00E81C7E">
      <w:pPr>
        <w:spacing w:line="276" w:lineRule="auto"/>
        <w:ind w:firstLine="510"/>
        <w:jc w:val="both"/>
        <w:rPr>
          <w:rFonts w:ascii="Simplified Arabic" w:eastAsia="Calibri" w:hAnsi="Simplified Arabic" w:cs="Simplified Arabic"/>
          <w:sz w:val="28"/>
          <w:szCs w:val="28"/>
        </w:rPr>
      </w:pPr>
      <w:r w:rsidRPr="00E81C7E">
        <w:rPr>
          <w:rFonts w:ascii="Simplified Arabic" w:eastAsia="Calibri" w:hAnsi="Simplified Arabic" w:cs="Simplified Arabic"/>
          <w:sz w:val="28"/>
          <w:szCs w:val="28"/>
          <w:rtl/>
        </w:rPr>
        <w:t>وتوصلت الدراسة إلى نتائج تفصيلية، أبرزها: أن شركات سلاسل الإمداد تواجه تحديات إدارية بمستوى "مرتفع" (متوسط حسابي 3.81)، حيث تصدرت "تحديات التخطيط" القائمة، تلتها "تحديات التنظيم"، مما يعكس قصوراً في التنبؤ بالطلب ومرونة الهياكل. وفي المقابل، أظهرت النتائج أن مستوى تطبيق ممارسات التوزيع الجيد جاء "مرتفعاً" (متوسط حسابي 3.92)، مع تباين واضح في الأداء؛ إذ تميزت الشركات في الجوانب المادية والتقنية (بيئة التخزين، وسلسلة التبريد)، بينما عانت من قصور في الجوانب الإجرائية المعقدة المتمثلة في "إدارة المرتجعات".</w:t>
      </w:r>
    </w:p>
    <w:p w14:paraId="7E787FDB" w14:textId="77777777" w:rsidR="00E81C7E" w:rsidRPr="00E81C7E" w:rsidRDefault="00E81C7E" w:rsidP="00E81C7E">
      <w:pPr>
        <w:spacing w:line="276" w:lineRule="auto"/>
        <w:ind w:firstLine="510"/>
        <w:jc w:val="both"/>
        <w:rPr>
          <w:rFonts w:ascii="Simplified Arabic" w:eastAsia="Calibri" w:hAnsi="Simplified Arabic" w:cs="Simplified Arabic"/>
          <w:sz w:val="28"/>
          <w:szCs w:val="28"/>
        </w:rPr>
      </w:pPr>
      <w:r w:rsidRPr="00E81C7E">
        <w:rPr>
          <w:rFonts w:ascii="Simplified Arabic" w:eastAsia="Calibri" w:hAnsi="Simplified Arabic" w:cs="Simplified Arabic"/>
          <w:sz w:val="28"/>
          <w:szCs w:val="28"/>
          <w:rtl/>
        </w:rPr>
        <w:t>إحصائياً، كشفت الدراسة عن وجود علاقة ارتباطية عكسية قوية (</w:t>
      </w:r>
      <w:r w:rsidRPr="00E81C7E">
        <w:rPr>
          <w:rFonts w:ascii="Simplified Arabic" w:eastAsia="Calibri" w:hAnsi="Simplified Arabic" w:cs="Simplified Arabic"/>
          <w:sz w:val="28"/>
          <w:szCs w:val="28"/>
        </w:rPr>
        <w:t>r=</w:t>
      </w:r>
      <w:r w:rsidRPr="00E81C7E">
        <w:rPr>
          <w:rFonts w:ascii="Cambria Math" w:eastAsia="Calibri" w:hAnsi="Cambria Math" w:cs="Cambria Math"/>
          <w:sz w:val="28"/>
          <w:szCs w:val="28"/>
        </w:rPr>
        <w:t>−</w:t>
      </w:r>
      <w:r w:rsidRPr="00E81C7E">
        <w:rPr>
          <w:rFonts w:ascii="Simplified Arabic" w:eastAsia="Calibri" w:hAnsi="Simplified Arabic" w:cs="Simplified Arabic"/>
          <w:sz w:val="28"/>
          <w:szCs w:val="28"/>
        </w:rPr>
        <w:t>0.712</w:t>
      </w:r>
      <w:r w:rsidRPr="00E81C7E">
        <w:rPr>
          <w:rFonts w:ascii="Simplified Arabic" w:eastAsia="Calibri" w:hAnsi="Simplified Arabic" w:cs="Simplified Arabic"/>
          <w:sz w:val="28"/>
          <w:szCs w:val="28"/>
          <w:rtl/>
        </w:rPr>
        <w:t>) بين التحديات الإدارية ومستوى تطبيق (</w:t>
      </w:r>
      <w:r w:rsidRPr="00E81C7E">
        <w:rPr>
          <w:rFonts w:ascii="Simplified Arabic" w:eastAsia="Calibri" w:hAnsi="Simplified Arabic" w:cs="Simplified Arabic"/>
          <w:sz w:val="28"/>
          <w:szCs w:val="28"/>
        </w:rPr>
        <w:t>GDP</w:t>
      </w:r>
      <w:r w:rsidRPr="00E81C7E">
        <w:rPr>
          <w:rFonts w:ascii="Simplified Arabic" w:eastAsia="Calibri" w:hAnsi="Simplified Arabic" w:cs="Simplified Arabic"/>
          <w:sz w:val="28"/>
          <w:szCs w:val="28"/>
          <w:rtl/>
        </w:rPr>
        <w:t xml:space="preserve">)؛ مما يؤكد أن البيئة الإدارية التقليدية تعمل كقوة كبح لجهود الجودة. كما أثبت نموذج الانحدار أن التحديات الإدارية تفسر ما نسبته (56.2%) من التباين في </w:t>
      </w:r>
      <w:r w:rsidRPr="00E81C7E">
        <w:rPr>
          <w:rFonts w:ascii="Simplified Arabic" w:eastAsia="Calibri" w:hAnsi="Simplified Arabic" w:cs="Simplified Arabic"/>
          <w:sz w:val="28"/>
          <w:szCs w:val="28"/>
          <w:rtl/>
        </w:rPr>
        <w:lastRenderedPageBreak/>
        <w:t>مستوى التطبيق، وأن بعدي "الرقابة" و"التخطيط" هما الأكثر تأثيراً سلباً في المتغير التابع، مما يشير إلى أن أزمة الامتثال هي أزمة "إدارية ورقابية" في المقام الأول وليست فنية.</w:t>
      </w:r>
    </w:p>
    <w:p w14:paraId="6FCDFE59" w14:textId="77777777" w:rsidR="00E81C7E" w:rsidRPr="00E81C7E" w:rsidRDefault="00E81C7E" w:rsidP="00E81C7E">
      <w:pPr>
        <w:spacing w:line="276" w:lineRule="auto"/>
        <w:ind w:firstLine="510"/>
        <w:jc w:val="both"/>
        <w:rPr>
          <w:rFonts w:ascii="Simplified Arabic" w:eastAsia="Calibri" w:hAnsi="Simplified Arabic" w:cs="Simplified Arabic"/>
          <w:sz w:val="28"/>
          <w:szCs w:val="28"/>
        </w:rPr>
      </w:pPr>
      <w:r w:rsidRPr="00E81C7E">
        <w:rPr>
          <w:rFonts w:ascii="Simplified Arabic" w:eastAsia="Calibri" w:hAnsi="Simplified Arabic" w:cs="Simplified Arabic"/>
          <w:sz w:val="28"/>
          <w:szCs w:val="28"/>
          <w:rtl/>
        </w:rPr>
        <w:t>وبناءً على ذلك، أوصت الدراسة بضرورة التحول من التخطيط التقليدي إلى التخطيط المعتمد على البيانات والذكاء الاصطناعي، ومأسسة الرقابة الوقائية الذكية، وإعادة هندسة عمليات اللوجستيات العكسية.</w:t>
      </w:r>
    </w:p>
    <w:p w14:paraId="4CA39E08" w14:textId="77777777" w:rsidR="00E81C7E" w:rsidRPr="00E81C7E" w:rsidRDefault="00E81C7E" w:rsidP="00E81C7E">
      <w:pPr>
        <w:spacing w:line="276" w:lineRule="auto"/>
        <w:ind w:firstLine="510"/>
        <w:jc w:val="both"/>
        <w:rPr>
          <w:rFonts w:ascii="Simplified Arabic" w:eastAsia="Calibri" w:hAnsi="Simplified Arabic" w:cs="Simplified Arabic"/>
          <w:sz w:val="28"/>
          <w:szCs w:val="28"/>
        </w:rPr>
      </w:pPr>
      <w:r w:rsidRPr="00E81C7E">
        <w:rPr>
          <w:rFonts w:ascii="Simplified Arabic" w:eastAsia="Calibri" w:hAnsi="Simplified Arabic" w:cs="Simplified Arabic"/>
          <w:b/>
          <w:bCs/>
          <w:sz w:val="28"/>
          <w:szCs w:val="28"/>
          <w:rtl/>
        </w:rPr>
        <w:t xml:space="preserve">الكلمات المفتاحية: </w:t>
      </w:r>
      <w:r w:rsidRPr="00E81C7E">
        <w:rPr>
          <w:rFonts w:ascii="Simplified Arabic" w:eastAsia="Calibri" w:hAnsi="Simplified Arabic" w:cs="Simplified Arabic"/>
          <w:sz w:val="28"/>
          <w:szCs w:val="28"/>
          <w:rtl/>
        </w:rPr>
        <w:t>التحديات الإدارية، ممارسات التوزيع الجيد (</w:t>
      </w:r>
      <w:r w:rsidRPr="00E81C7E">
        <w:rPr>
          <w:rFonts w:ascii="Simplified Arabic" w:eastAsia="Calibri" w:hAnsi="Simplified Arabic" w:cs="Simplified Arabic"/>
          <w:sz w:val="28"/>
          <w:szCs w:val="28"/>
        </w:rPr>
        <w:t>GDP</w:t>
      </w:r>
      <w:r w:rsidRPr="00E81C7E">
        <w:rPr>
          <w:rFonts w:ascii="Simplified Arabic" w:eastAsia="Calibri" w:hAnsi="Simplified Arabic" w:cs="Simplified Arabic"/>
          <w:sz w:val="28"/>
          <w:szCs w:val="28"/>
          <w:rtl/>
        </w:rPr>
        <w:t>)، سلاسل الإمداد الطبية، الهيئة العامة للغذاء والدواء (</w:t>
      </w:r>
      <w:r w:rsidRPr="00E81C7E">
        <w:rPr>
          <w:rFonts w:ascii="Simplified Arabic" w:eastAsia="Calibri" w:hAnsi="Simplified Arabic" w:cs="Simplified Arabic"/>
          <w:sz w:val="28"/>
          <w:szCs w:val="28"/>
        </w:rPr>
        <w:t>SFDA</w:t>
      </w:r>
      <w:r w:rsidRPr="00E81C7E">
        <w:rPr>
          <w:rFonts w:ascii="Simplified Arabic" w:eastAsia="Calibri" w:hAnsi="Simplified Arabic" w:cs="Simplified Arabic"/>
          <w:sz w:val="28"/>
          <w:szCs w:val="28"/>
          <w:rtl/>
        </w:rPr>
        <w:t>)، الأمن الدوائي.</w:t>
      </w:r>
    </w:p>
    <w:p w14:paraId="2D0FEB1D" w14:textId="3BF282EE" w:rsidR="006C2478" w:rsidRPr="006C2478" w:rsidRDefault="006C2478" w:rsidP="00D90C81">
      <w:pPr>
        <w:spacing w:line="276" w:lineRule="auto"/>
        <w:ind w:firstLine="510"/>
        <w:jc w:val="both"/>
        <w:rPr>
          <w:rFonts w:ascii="Simplified Arabic" w:eastAsia="Calibri" w:hAnsi="Simplified Arabic" w:cs="Simplified Arabic"/>
          <w:sz w:val="28"/>
          <w:szCs w:val="28"/>
        </w:rPr>
      </w:pPr>
    </w:p>
    <w:p w14:paraId="64F5D921" w14:textId="69278A16" w:rsidR="008B0D19" w:rsidRPr="006C2478" w:rsidRDefault="008B0D19" w:rsidP="006C2478">
      <w:pPr>
        <w:spacing w:line="276" w:lineRule="auto"/>
        <w:ind w:firstLine="510"/>
        <w:jc w:val="both"/>
        <w:rPr>
          <w:rFonts w:ascii="Simplified Arabic" w:eastAsia="Calibri" w:hAnsi="Simplified Arabic" w:cs="Simplified Arabic"/>
          <w:sz w:val="28"/>
          <w:szCs w:val="28"/>
          <w:rtl/>
        </w:rPr>
      </w:pPr>
    </w:p>
    <w:p w14:paraId="07CA641E" w14:textId="5B0F8171" w:rsidR="00CF5C0F" w:rsidRPr="00730DB6" w:rsidRDefault="00522AEF" w:rsidP="008B0D19">
      <w:pPr>
        <w:spacing w:line="276" w:lineRule="auto"/>
        <w:ind w:firstLine="510"/>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 xml:space="preserve"> </w:t>
      </w:r>
    </w:p>
    <w:p w14:paraId="2C99D429" w14:textId="77777777" w:rsidR="005666CA" w:rsidRPr="00FC08AC" w:rsidRDefault="005666CA" w:rsidP="00FC08AC">
      <w:pPr>
        <w:spacing w:after="200" w:line="276" w:lineRule="auto"/>
        <w:rPr>
          <w:rFonts w:ascii="Simplified Arabic" w:eastAsia="Calibri" w:hAnsi="Simplified Arabic" w:cs="PT Bold Heading"/>
          <w:sz w:val="30"/>
          <w:szCs w:val="30"/>
          <w:rtl/>
        </w:rPr>
      </w:pPr>
      <w:r w:rsidRPr="00FC08AC">
        <w:rPr>
          <w:rFonts w:ascii="Simplified Arabic" w:eastAsia="Calibri" w:hAnsi="Simplified Arabic" w:cs="PT Bold Heading"/>
          <w:sz w:val="30"/>
          <w:szCs w:val="30"/>
          <w:rtl/>
        </w:rPr>
        <w:br w:type="page"/>
      </w:r>
    </w:p>
    <w:p w14:paraId="6F2AEAC0" w14:textId="77777777" w:rsidR="005A3E74" w:rsidRPr="00DB3B30" w:rsidRDefault="005A3E74" w:rsidP="005A3E74">
      <w:pPr>
        <w:bidi w:val="0"/>
        <w:spacing w:after="200" w:line="276" w:lineRule="auto"/>
        <w:rPr>
          <w:rFonts w:ascii="Simplified Arabic" w:eastAsia="Calibri" w:hAnsi="Simplified Arabic" w:cs="PT Bold Heading"/>
          <w:sz w:val="28"/>
          <w:szCs w:val="28"/>
        </w:rPr>
        <w:sectPr w:rsidR="005A3E74" w:rsidRPr="00DB3B30" w:rsidSect="005A3E74">
          <w:footerReference w:type="default" r:id="rId9"/>
          <w:footerReference w:type="first" r:id="rId10"/>
          <w:pgSz w:w="11906" w:h="16838"/>
          <w:pgMar w:top="1168" w:right="1729" w:bottom="1412" w:left="1729" w:header="709" w:footer="709" w:gutter="0"/>
          <w:pgNumType w:fmt="arabicAbjad"/>
          <w:cols w:space="708"/>
          <w:bidi/>
          <w:rtlGutter/>
          <w:docGrid w:linePitch="360"/>
        </w:sectPr>
      </w:pPr>
    </w:p>
    <w:p w14:paraId="1CFB0550" w14:textId="77777777" w:rsidR="00586478" w:rsidRPr="00586478" w:rsidRDefault="00586478" w:rsidP="00586478">
      <w:pPr>
        <w:spacing w:after="0" w:line="276" w:lineRule="auto"/>
        <w:jc w:val="both"/>
        <w:rPr>
          <w:rFonts w:ascii="Simplified Arabic" w:hAnsi="Simplified Arabic" w:cs="Simplified Arabic"/>
          <w:sz w:val="28"/>
          <w:szCs w:val="28"/>
          <w:rtl/>
        </w:rPr>
      </w:pPr>
    </w:p>
    <w:p w14:paraId="6507904C" w14:textId="77777777" w:rsidR="00586478" w:rsidRPr="00586478" w:rsidRDefault="00586478" w:rsidP="00586478">
      <w:pPr>
        <w:spacing w:after="200" w:line="276" w:lineRule="auto"/>
      </w:pPr>
    </w:p>
    <w:p w14:paraId="6E37A353" w14:textId="77777777" w:rsidR="00586478" w:rsidRPr="00586478" w:rsidRDefault="00586478" w:rsidP="00586478">
      <w:pPr>
        <w:spacing w:line="276" w:lineRule="auto"/>
        <w:jc w:val="center"/>
        <w:rPr>
          <w:rFonts w:ascii="Simplified Arabic" w:hAnsi="Simplified Arabic" w:cs="Simplified Arabic"/>
          <w:sz w:val="28"/>
          <w:szCs w:val="28"/>
          <w:rtl/>
        </w:rPr>
      </w:pPr>
    </w:p>
    <w:p w14:paraId="6781A0AF" w14:textId="77777777" w:rsidR="00586478" w:rsidRPr="00586478" w:rsidRDefault="00586478" w:rsidP="00586478">
      <w:pPr>
        <w:spacing w:line="276" w:lineRule="auto"/>
        <w:jc w:val="center"/>
        <w:rPr>
          <w:rFonts w:ascii="Simplified Arabic" w:hAnsi="Simplified Arabic" w:cs="PT Bold Heading"/>
          <w:rtl/>
        </w:rPr>
      </w:pPr>
    </w:p>
    <w:p w14:paraId="72FE4B63" w14:textId="77777777" w:rsidR="00586478" w:rsidRPr="00586478" w:rsidRDefault="00586478" w:rsidP="00586478">
      <w:pPr>
        <w:spacing w:line="276" w:lineRule="auto"/>
        <w:jc w:val="center"/>
        <w:rPr>
          <w:rFonts w:ascii="Simplified Arabic" w:hAnsi="Simplified Arabic" w:cs="PT Bold Heading"/>
          <w:sz w:val="16"/>
          <w:szCs w:val="16"/>
          <w:rtl/>
        </w:rPr>
      </w:pPr>
    </w:p>
    <w:p w14:paraId="209F11CC" w14:textId="77777777" w:rsidR="00586478" w:rsidRPr="00586478" w:rsidRDefault="00586478" w:rsidP="00586478">
      <w:pPr>
        <w:spacing w:line="276" w:lineRule="auto"/>
        <w:jc w:val="center"/>
        <w:rPr>
          <w:rFonts w:ascii="Simplified Arabic" w:eastAsia="Calibri" w:hAnsi="Simplified Arabic" w:cs="PT Bold Heading"/>
          <w:sz w:val="48"/>
          <w:szCs w:val="48"/>
          <w:rtl/>
        </w:rPr>
      </w:pPr>
      <w:r w:rsidRPr="00586478">
        <w:rPr>
          <w:rFonts w:ascii="Simplified Arabic" w:eastAsia="Calibri" w:hAnsi="Simplified Arabic" w:cs="PT Bold Heading"/>
          <w:sz w:val="48"/>
          <w:szCs w:val="48"/>
          <w:rtl/>
        </w:rPr>
        <w:t>الفصل الأول</w:t>
      </w:r>
    </w:p>
    <w:p w14:paraId="117A8A44" w14:textId="77777777" w:rsidR="00586478" w:rsidRPr="00586478" w:rsidRDefault="00586478" w:rsidP="00586478">
      <w:pPr>
        <w:spacing w:line="276" w:lineRule="auto"/>
        <w:ind w:firstLine="284"/>
        <w:jc w:val="center"/>
        <w:rPr>
          <w:rFonts w:ascii="Simplified Arabic" w:eastAsia="Calibri" w:hAnsi="Simplified Arabic" w:cs="PT Bold Heading"/>
          <w:sz w:val="48"/>
          <w:szCs w:val="48"/>
          <w:rtl/>
        </w:rPr>
      </w:pPr>
      <w:r w:rsidRPr="00586478">
        <w:rPr>
          <w:rFonts w:ascii="Simplified Arabic" w:eastAsia="Calibri" w:hAnsi="Simplified Arabic" w:cs="PT Bold Heading"/>
          <w:sz w:val="48"/>
          <w:szCs w:val="48"/>
          <w:rtl/>
        </w:rPr>
        <w:t>الإطار العام للدراسة</w:t>
      </w:r>
    </w:p>
    <w:p w14:paraId="25170D4D" w14:textId="77777777" w:rsidR="00586478" w:rsidRPr="00586478" w:rsidRDefault="00586478" w:rsidP="00586478">
      <w:pPr>
        <w:spacing w:line="276" w:lineRule="auto"/>
        <w:ind w:left="720" w:firstLine="284"/>
        <w:contextualSpacing/>
        <w:jc w:val="both"/>
        <w:rPr>
          <w:rFonts w:ascii="Simplified Arabic" w:eastAsia="Calibri" w:hAnsi="Simplified Arabic" w:cs="Simplified Arabic"/>
          <w:b/>
          <w:bCs/>
          <w:sz w:val="24"/>
          <w:szCs w:val="24"/>
          <w:rtl/>
        </w:rPr>
      </w:pPr>
    </w:p>
    <w:p w14:paraId="0065F81A" w14:textId="77777777" w:rsidR="00586478" w:rsidRPr="00586478" w:rsidRDefault="00586478" w:rsidP="00586478">
      <w:pPr>
        <w:numPr>
          <w:ilvl w:val="0"/>
          <w:numId w:val="2"/>
        </w:numPr>
        <w:spacing w:after="0" w:line="240" w:lineRule="auto"/>
        <w:contextualSpacing/>
        <w:jc w:val="both"/>
        <w:rPr>
          <w:rFonts w:ascii="Simplified Arabic" w:eastAsia="Calibri" w:hAnsi="Simplified Arabic" w:cs="Monotype Koufi"/>
          <w:sz w:val="42"/>
          <w:szCs w:val="42"/>
          <w:rtl/>
        </w:rPr>
      </w:pPr>
      <w:r w:rsidRPr="00586478">
        <w:rPr>
          <w:rFonts w:ascii="Simplified Arabic" w:eastAsia="Calibri" w:hAnsi="Simplified Arabic" w:cs="Monotype Koufi"/>
          <w:sz w:val="42"/>
          <w:szCs w:val="42"/>
          <w:rtl/>
        </w:rPr>
        <w:t>المقدمة.</w:t>
      </w:r>
    </w:p>
    <w:p w14:paraId="62EBA89A" w14:textId="77777777" w:rsidR="00586478" w:rsidRPr="00586478" w:rsidRDefault="00586478" w:rsidP="00586478">
      <w:pPr>
        <w:numPr>
          <w:ilvl w:val="0"/>
          <w:numId w:val="2"/>
        </w:numPr>
        <w:spacing w:after="0" w:line="240"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مشكلة الدراسة.</w:t>
      </w:r>
    </w:p>
    <w:p w14:paraId="05B00DC4" w14:textId="77777777" w:rsidR="00586478" w:rsidRPr="00586478" w:rsidRDefault="00586478" w:rsidP="00586478">
      <w:pPr>
        <w:numPr>
          <w:ilvl w:val="0"/>
          <w:numId w:val="2"/>
        </w:numPr>
        <w:spacing w:after="0" w:line="240"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أهمية الدراسة.</w:t>
      </w:r>
    </w:p>
    <w:p w14:paraId="4E0CD6B1" w14:textId="77777777" w:rsidR="00586478" w:rsidRPr="00586478" w:rsidRDefault="00586478" w:rsidP="00586478">
      <w:pPr>
        <w:numPr>
          <w:ilvl w:val="0"/>
          <w:numId w:val="2"/>
        </w:numPr>
        <w:spacing w:after="0" w:line="240"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تساؤلات الدراسة.</w:t>
      </w:r>
    </w:p>
    <w:p w14:paraId="5D9530DF" w14:textId="77777777" w:rsidR="00586478" w:rsidRPr="00586478" w:rsidRDefault="00586478" w:rsidP="00586478">
      <w:pPr>
        <w:numPr>
          <w:ilvl w:val="0"/>
          <w:numId w:val="2"/>
        </w:numPr>
        <w:spacing w:after="0" w:line="240"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أهداف الدراسة.</w:t>
      </w:r>
    </w:p>
    <w:p w14:paraId="3F80BC6B" w14:textId="77777777" w:rsidR="00586478" w:rsidRPr="00586478" w:rsidRDefault="00586478" w:rsidP="00586478">
      <w:pPr>
        <w:numPr>
          <w:ilvl w:val="0"/>
          <w:numId w:val="2"/>
        </w:numPr>
        <w:spacing w:after="0" w:line="240"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متغيرات وأبعاد الدراسة.</w:t>
      </w:r>
    </w:p>
    <w:p w14:paraId="48C933CE" w14:textId="77777777" w:rsidR="00586478" w:rsidRPr="00586478" w:rsidRDefault="00586478" w:rsidP="00586478">
      <w:pPr>
        <w:numPr>
          <w:ilvl w:val="0"/>
          <w:numId w:val="2"/>
        </w:numPr>
        <w:spacing w:after="0" w:line="240"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فرضيات الدراسة.</w:t>
      </w:r>
    </w:p>
    <w:p w14:paraId="69D544FE" w14:textId="77777777" w:rsidR="00586478" w:rsidRPr="00586478" w:rsidRDefault="00586478" w:rsidP="00586478">
      <w:pPr>
        <w:numPr>
          <w:ilvl w:val="0"/>
          <w:numId w:val="2"/>
        </w:numPr>
        <w:spacing w:after="0" w:line="240"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حدود الدراسة.</w:t>
      </w:r>
    </w:p>
    <w:p w14:paraId="35C4B857" w14:textId="77777777" w:rsidR="00586478" w:rsidRPr="00586478" w:rsidRDefault="00586478" w:rsidP="00586478">
      <w:pPr>
        <w:spacing w:line="257" w:lineRule="auto"/>
        <w:ind w:firstLine="284"/>
        <w:jc w:val="both"/>
        <w:rPr>
          <w:rFonts w:ascii="Times New Roman" w:eastAsia="Calibri" w:hAnsi="Times New Roman" w:cs="Simplified Arabic"/>
          <w:b/>
          <w:bCs/>
          <w:sz w:val="24"/>
          <w:szCs w:val="28"/>
          <w:rtl/>
        </w:rPr>
      </w:pPr>
      <w:r w:rsidRPr="00586478">
        <w:rPr>
          <w:rFonts w:ascii="Times New Roman" w:eastAsia="Calibri" w:hAnsi="Times New Roman" w:cs="Simplified Arabic"/>
          <w:b/>
          <w:bCs/>
          <w:sz w:val="24"/>
          <w:szCs w:val="28"/>
          <w:rtl/>
        </w:rPr>
        <w:br w:type="page"/>
      </w:r>
    </w:p>
    <w:p w14:paraId="56E0A2F1" w14:textId="77777777" w:rsidR="00586478" w:rsidRPr="00586478" w:rsidRDefault="00586478" w:rsidP="00586478">
      <w:pPr>
        <w:spacing w:line="276" w:lineRule="auto"/>
        <w:jc w:val="center"/>
        <w:rPr>
          <w:rFonts w:ascii="Simplified Arabic" w:eastAsia="Calibri" w:hAnsi="Simplified Arabic" w:cs="PT Bold Heading"/>
          <w:sz w:val="32"/>
          <w:szCs w:val="32"/>
          <w:rtl/>
        </w:rPr>
      </w:pPr>
      <w:bookmarkStart w:id="3" w:name="_Hlk192448459"/>
      <w:r w:rsidRPr="00586478">
        <w:rPr>
          <w:rFonts w:ascii="Simplified Arabic" w:eastAsia="Calibri" w:hAnsi="Simplified Arabic" w:cs="PT Bold Heading"/>
          <w:sz w:val="32"/>
          <w:szCs w:val="32"/>
          <w:rtl/>
        </w:rPr>
        <w:lastRenderedPageBreak/>
        <w:t>الفصل الأول</w:t>
      </w:r>
    </w:p>
    <w:p w14:paraId="02D7E061" w14:textId="77777777" w:rsidR="00586478" w:rsidRPr="00586478" w:rsidRDefault="00586478" w:rsidP="00586478">
      <w:pPr>
        <w:spacing w:line="276" w:lineRule="auto"/>
        <w:jc w:val="center"/>
        <w:rPr>
          <w:rFonts w:ascii="Simplified Arabic" w:eastAsia="Calibri" w:hAnsi="Simplified Arabic" w:cs="PT Bold Heading"/>
          <w:sz w:val="32"/>
          <w:szCs w:val="32"/>
          <w:rtl/>
        </w:rPr>
      </w:pPr>
      <w:r w:rsidRPr="00586478">
        <w:rPr>
          <w:rFonts w:ascii="Simplified Arabic" w:eastAsia="Calibri" w:hAnsi="Simplified Arabic" w:cs="PT Bold Heading"/>
          <w:sz w:val="32"/>
          <w:szCs w:val="32"/>
          <w:rtl/>
        </w:rPr>
        <w:t>الإطار العام للدراسة</w:t>
      </w:r>
    </w:p>
    <w:p w14:paraId="2EC7A123" w14:textId="77777777" w:rsidR="00586478" w:rsidRPr="00586478" w:rsidRDefault="00586478" w:rsidP="00586478">
      <w:pPr>
        <w:spacing w:after="240" w:line="276" w:lineRule="auto"/>
        <w:ind w:firstLine="510"/>
        <w:jc w:val="both"/>
        <w:rPr>
          <w:rFonts w:ascii="Times New Roman" w:eastAsia="Calibri" w:hAnsi="Times New Roman" w:cs="Simplified Arabic"/>
          <w:b/>
          <w:bCs/>
          <w:sz w:val="24"/>
          <w:szCs w:val="28"/>
          <w:rtl/>
        </w:rPr>
      </w:pPr>
      <w:r w:rsidRPr="00586478">
        <w:rPr>
          <w:rFonts w:ascii="Times New Roman" w:eastAsia="Calibri" w:hAnsi="Times New Roman" w:cs="Simplified Arabic"/>
          <w:b/>
          <w:bCs/>
          <w:sz w:val="24"/>
          <w:szCs w:val="28"/>
          <w:rtl/>
        </w:rPr>
        <w:t>تمهيد</w:t>
      </w:r>
    </w:p>
    <w:p w14:paraId="15392FFF"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يتناول هذا الفصل الإطار العام للدراسة، مستعرضاً التأصيل النظري لمتغيرات البحث، وصولاً إلى تشخيص المشكلة البحثية وصياغة التساؤلات بدقة، لتمهيد الطريق نحو المعالجة المنهجية للتحديات الإدارية في سلاسل الإمداد الطبية.</w:t>
      </w:r>
    </w:p>
    <w:p w14:paraId="4DF2FCE3" w14:textId="77777777" w:rsidR="007F4301" w:rsidRPr="007F4301" w:rsidRDefault="007F4301" w:rsidP="007F4301">
      <w:pPr>
        <w:spacing w:after="240" w:line="276" w:lineRule="auto"/>
        <w:ind w:firstLine="510"/>
        <w:jc w:val="both"/>
        <w:rPr>
          <w:rFonts w:ascii="Times New Roman" w:eastAsia="Calibri" w:hAnsi="Times New Roman" w:cs="Simplified Arabic"/>
          <w:b/>
          <w:bCs/>
          <w:sz w:val="24"/>
          <w:szCs w:val="28"/>
          <w:rtl/>
        </w:rPr>
      </w:pPr>
      <w:r w:rsidRPr="007F4301">
        <w:rPr>
          <w:rFonts w:ascii="Times New Roman" w:eastAsia="Calibri" w:hAnsi="Times New Roman" w:cs="Simplified Arabic"/>
          <w:b/>
          <w:bCs/>
          <w:sz w:val="24"/>
          <w:szCs w:val="28"/>
          <w:rtl/>
        </w:rPr>
        <w:t>1. مقدمة الدراسة:</w:t>
      </w:r>
    </w:p>
    <w:p w14:paraId="7DDC7397"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tl/>
        </w:rPr>
      </w:pPr>
      <w:r w:rsidRPr="007F4301">
        <w:rPr>
          <w:rFonts w:ascii="Times New Roman" w:eastAsia="Calibri" w:hAnsi="Times New Roman" w:cs="Simplified Arabic"/>
          <w:sz w:val="24"/>
          <w:szCs w:val="28"/>
          <w:rtl/>
        </w:rPr>
        <w:t>يشهد القطاع الصحي العالمي تحولات جذرية تهدف إلى تعزيز كفاءة الخدمات الطبية وضمان سلامة المرضى، حيث تُعد سلاسل الإمداد الطبية العصب الحيوي الذي يضمن تدفق الأدوية والمستلزمات الطبية من المصنع إلى المستفيد النهائي وفق معايير جودة صارمة. وتكتسب هذه المنظومة أهمية استراتيجية في المملكة العربية السعودية، لا سيما في ظل "رؤية المملكة 2030" التي أولت اهتماماً بالغاً ببرنامج تحول القطاع الصحي، بهدف رفع كفاءة التشغيل وتحسين جودة الرعاية الصحية. وتؤدي إدارة سلاسل الإمداد الطبية وظيفة محورية في تحقيق الأمن الدوائي، إذ لا يقتصر دورها على النقل والتخزين فحسب، بل يمتد ليشمل ضمان سلامة المنتج وفعاليته عبر تطبيق معايير عالمية دقيقة (</w:t>
      </w:r>
      <w:r w:rsidRPr="007F4301">
        <w:rPr>
          <w:rFonts w:ascii="Times New Roman" w:eastAsia="Calibri" w:hAnsi="Times New Roman" w:cs="Simplified Arabic"/>
          <w:sz w:val="24"/>
          <w:szCs w:val="28"/>
        </w:rPr>
        <w:t>Al-Ghamdi &amp; Al-Badawi, 2021, p. 112</w:t>
      </w:r>
      <w:r w:rsidRPr="007F4301">
        <w:rPr>
          <w:rFonts w:ascii="Times New Roman" w:eastAsia="Calibri" w:hAnsi="Times New Roman" w:cs="Simplified Arabic"/>
          <w:sz w:val="24"/>
          <w:szCs w:val="28"/>
          <w:rtl/>
        </w:rPr>
        <w:t>).</w:t>
      </w:r>
    </w:p>
    <w:p w14:paraId="0D4B73FA"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tl/>
        </w:rPr>
      </w:pPr>
      <w:r w:rsidRPr="007F4301">
        <w:rPr>
          <w:rFonts w:ascii="Times New Roman" w:eastAsia="Calibri" w:hAnsi="Times New Roman" w:cs="Simplified Arabic"/>
          <w:sz w:val="24"/>
          <w:szCs w:val="28"/>
          <w:rtl/>
        </w:rPr>
        <w:t>وفي هذا السياق، برز مفهوم "ممارسات التوزيع الجيد" (</w:t>
      </w:r>
      <w:r w:rsidRPr="007F4301">
        <w:rPr>
          <w:rFonts w:ascii="Times New Roman" w:eastAsia="Calibri" w:hAnsi="Times New Roman" w:cs="Simplified Arabic"/>
          <w:sz w:val="24"/>
          <w:szCs w:val="28"/>
        </w:rPr>
        <w:t>Good Distribution Practice - GDP</w:t>
      </w:r>
      <w:r w:rsidRPr="007F4301">
        <w:rPr>
          <w:rFonts w:ascii="Times New Roman" w:eastAsia="Calibri" w:hAnsi="Times New Roman" w:cs="Simplified Arabic"/>
          <w:sz w:val="24"/>
          <w:szCs w:val="28"/>
          <w:rtl/>
        </w:rPr>
        <w:t>) كمعيار إلزامي لضمان جودة المستحضرات الصيدلانية خلال مراحل التوزيع المختلفة. وتُعرف هذه الممارسات بأنها: منظومة متكاملة من الإجراءات التي تضمن الحفاظ على جودة وسلامة الأدوية، ومنع دخول الأدوية المزيفة إلى سلسلة التوريد القانونية. وتفرض الهيئة العامة للغذاء والدواء (</w:t>
      </w:r>
      <w:r w:rsidRPr="007F4301">
        <w:rPr>
          <w:rFonts w:ascii="Times New Roman" w:eastAsia="Calibri" w:hAnsi="Times New Roman" w:cs="Simplified Arabic"/>
          <w:sz w:val="24"/>
          <w:szCs w:val="28"/>
        </w:rPr>
        <w:t>SFDA</w:t>
      </w:r>
      <w:r w:rsidRPr="007F4301">
        <w:rPr>
          <w:rFonts w:ascii="Times New Roman" w:eastAsia="Calibri" w:hAnsi="Times New Roman" w:cs="Simplified Arabic"/>
          <w:sz w:val="24"/>
          <w:szCs w:val="28"/>
          <w:rtl/>
        </w:rPr>
        <w:t>) في المملكة لوائح صارمة لتطبيق هذه الممارسات، تشمل التحكم في درجات الحرارة، ونظم التوثيق، وإدارة المخاطر، وتتبع الشحنات. ويُعد الالتزام بهذه المعايير شرطاً أساسياً لاستمرار عمل المؤسسات الطبية وشركات التوزيع، حيث أن أي خلل في التطبيق قد يؤدي إلى تلف الأدوية، وهدر الموارد المالية، وتهديد حياة المرضى (</w:t>
      </w:r>
      <w:r w:rsidRPr="007F4301">
        <w:rPr>
          <w:rFonts w:ascii="Times New Roman" w:eastAsia="Calibri" w:hAnsi="Times New Roman" w:cs="Simplified Arabic"/>
          <w:sz w:val="24"/>
          <w:szCs w:val="28"/>
        </w:rPr>
        <w:t>Al-Jasser, 2022, p. 45</w:t>
      </w:r>
      <w:r w:rsidRPr="007F4301">
        <w:rPr>
          <w:rFonts w:ascii="Times New Roman" w:eastAsia="Calibri" w:hAnsi="Times New Roman" w:cs="Simplified Arabic"/>
          <w:sz w:val="24"/>
          <w:szCs w:val="28"/>
          <w:rtl/>
        </w:rPr>
        <w:t>).</w:t>
      </w:r>
    </w:p>
    <w:p w14:paraId="22ACE4B6"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tl/>
        </w:rPr>
      </w:pPr>
      <w:r w:rsidRPr="007F4301">
        <w:rPr>
          <w:rFonts w:ascii="Times New Roman" w:eastAsia="Calibri" w:hAnsi="Times New Roman" w:cs="Simplified Arabic"/>
          <w:sz w:val="24"/>
          <w:szCs w:val="28"/>
          <w:rtl/>
        </w:rPr>
        <w:lastRenderedPageBreak/>
        <w:t>بيد أن تطبيق هذه الممارسات الفنية واللوجستية لا يعمل بمعزل عن البيئة الإدارية والتنظيمية للمؤسسة؛ إذ تواجه سلاسل الإمداد الطبية تحديات إدارية جمة قد تعيق الامتثال الكامل لمعايير (</w:t>
      </w:r>
      <w:r w:rsidRPr="007F4301">
        <w:rPr>
          <w:rFonts w:ascii="Times New Roman" w:eastAsia="Calibri" w:hAnsi="Times New Roman" w:cs="Simplified Arabic"/>
          <w:sz w:val="24"/>
          <w:szCs w:val="28"/>
        </w:rPr>
        <w:t>GDP</w:t>
      </w:r>
      <w:r w:rsidRPr="007F4301">
        <w:rPr>
          <w:rFonts w:ascii="Times New Roman" w:eastAsia="Calibri" w:hAnsi="Times New Roman" w:cs="Simplified Arabic"/>
          <w:sz w:val="24"/>
          <w:szCs w:val="28"/>
          <w:rtl/>
        </w:rPr>
        <w:t>). وتتمثل هذه التحديات في ضعف التخطيط الاستراتيجي، وقصور الهياكل التنظيمية، ونقص الكفاءات البشرية المؤهلة، وغياب التنسيق الفعال بين الشركاء في سلسلة التوريد. وتشير الأدبيات الحديثة إلى أن الجوانب الإدارية غالباً ما تكون "الحلقة الأضعف" التي تؤدي إلى فشل المبادرات التقنية أو الإجرائية، حيث يتطلب تطبيق التوزيع الجيد ثقافة تنظيمية داعمة للجودة، وقيادة واعية، ونظماً إدارية مرنة قادرة على التكيف مع المتغيرات (</w:t>
      </w:r>
      <w:r w:rsidRPr="007F4301">
        <w:rPr>
          <w:rFonts w:ascii="Times New Roman" w:eastAsia="Calibri" w:hAnsi="Times New Roman" w:cs="Simplified Arabic"/>
          <w:sz w:val="24"/>
          <w:szCs w:val="28"/>
        </w:rPr>
        <w:t>Al-Otaibi et al., 2023, p. 78</w:t>
      </w:r>
      <w:r w:rsidRPr="007F4301">
        <w:rPr>
          <w:rFonts w:ascii="Times New Roman" w:eastAsia="Calibri" w:hAnsi="Times New Roman" w:cs="Simplified Arabic"/>
          <w:sz w:val="24"/>
          <w:szCs w:val="28"/>
          <w:rtl/>
        </w:rPr>
        <w:t>).</w:t>
      </w:r>
    </w:p>
    <w:p w14:paraId="5DCED802"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tl/>
        </w:rPr>
      </w:pPr>
      <w:r w:rsidRPr="007F4301">
        <w:rPr>
          <w:rFonts w:ascii="Times New Roman" w:eastAsia="Calibri" w:hAnsi="Times New Roman" w:cs="Simplified Arabic"/>
          <w:sz w:val="24"/>
          <w:szCs w:val="28"/>
          <w:rtl/>
        </w:rPr>
        <w:t xml:space="preserve">وعليه، فإن العلاقة بين الكفاءة الإدارية ونجاح تطبيق ممارسات التوزيع الجيد هي علاقة طردية وتكاملية؛ فكلما توفرت منظومة إدارية رصينة تعتمد على التخطيط السليم والرقابة الفعالة، زادت قدرة سلاسل الإمداد على الوفاء بمتطلبات الهيئات الرقابية وضمان سلامة المنتج. وتزداد هذه العلاقة تعقيداً في البيئة السعودية نظراً للرقعة الجغرافية الواسعة للمملكة، والتنوع في مصادر التوريد، والضغوط المتزايدة لخفض التكاليف مع الحفاظ على الجودة. ومن هذا المنطلق، يسعى الباحثون </w:t>
      </w:r>
      <w:proofErr w:type="spellStart"/>
      <w:r w:rsidRPr="007F4301">
        <w:rPr>
          <w:rFonts w:ascii="Times New Roman" w:eastAsia="Calibri" w:hAnsi="Times New Roman" w:cs="Simplified Arabic"/>
          <w:sz w:val="24"/>
          <w:szCs w:val="28"/>
          <w:rtl/>
        </w:rPr>
        <w:t>والمارسون</w:t>
      </w:r>
      <w:proofErr w:type="spellEnd"/>
      <w:r w:rsidRPr="007F4301">
        <w:rPr>
          <w:rFonts w:ascii="Times New Roman" w:eastAsia="Calibri" w:hAnsi="Times New Roman" w:cs="Simplified Arabic"/>
          <w:sz w:val="24"/>
          <w:szCs w:val="28"/>
          <w:rtl/>
        </w:rPr>
        <w:t xml:space="preserve"> إلى فهم طبيعة المعوقات الإدارية التي تحول دون التطبيق الأمثل لهذه الممارسات، سواء كانت متعلقة بالبيروقراطية الإدارية، أو ضعف التواصل، أو مقاومة التغيير التنظيمي (</w:t>
      </w:r>
      <w:r w:rsidRPr="007F4301">
        <w:rPr>
          <w:rFonts w:ascii="Times New Roman" w:eastAsia="Calibri" w:hAnsi="Times New Roman" w:cs="Simplified Arabic"/>
          <w:sz w:val="24"/>
          <w:szCs w:val="28"/>
        </w:rPr>
        <w:t>Al-Zahrani, 2020, p. 22</w:t>
      </w:r>
      <w:r w:rsidRPr="007F4301">
        <w:rPr>
          <w:rFonts w:ascii="Times New Roman" w:eastAsia="Calibri" w:hAnsi="Times New Roman" w:cs="Simplified Arabic"/>
          <w:sz w:val="24"/>
          <w:szCs w:val="28"/>
          <w:rtl/>
        </w:rPr>
        <w:t>).</w:t>
      </w:r>
    </w:p>
    <w:p w14:paraId="63419FEA"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tl/>
        </w:rPr>
      </w:pPr>
      <w:r w:rsidRPr="007F4301">
        <w:rPr>
          <w:rFonts w:ascii="Times New Roman" w:eastAsia="Calibri" w:hAnsi="Times New Roman" w:cs="Simplified Arabic"/>
          <w:sz w:val="24"/>
          <w:szCs w:val="28"/>
          <w:rtl/>
        </w:rPr>
        <w:t>وتجدر الإشارة هنا، إلى أن التحديات لا تقتصر على الجانب التشغيلي فحسب، بل تمتد لتشمل الجوانب الاستراتيجية المتعلقة باتخاذ القرار وإدارة المعلومات. ففي ظل الثورة الرقمية، أصبح لزاماً على الإدارات الطبية تبني أنظمة إدارية ذكية تدعم ممارسات التوزيع الجيد، إلاّ أن الفجوة بين المتطلبات التقنية والقدرات الإدارية الحالية ما تزال تشكل عائقاً جوهرياً. ويؤكد الواقع الميداني أن النجاح في تطبيق (</w:t>
      </w:r>
      <w:r w:rsidRPr="007F4301">
        <w:rPr>
          <w:rFonts w:ascii="Times New Roman" w:eastAsia="Calibri" w:hAnsi="Times New Roman" w:cs="Simplified Arabic"/>
          <w:sz w:val="24"/>
          <w:szCs w:val="28"/>
        </w:rPr>
        <w:t>GDP</w:t>
      </w:r>
      <w:r w:rsidRPr="007F4301">
        <w:rPr>
          <w:rFonts w:ascii="Times New Roman" w:eastAsia="Calibri" w:hAnsi="Times New Roman" w:cs="Simplified Arabic"/>
          <w:sz w:val="24"/>
          <w:szCs w:val="28"/>
          <w:rtl/>
        </w:rPr>
        <w:t>) يتطلب تجاوز النظرة التقليدية للإدارة اللوجستية، والتحول نحو إدارة سلاسل إمداد متكاملة ترتكز على الكفاءة الإدارية كمدخل أساسي للجودة الشاملة (</w:t>
      </w:r>
      <w:r w:rsidRPr="007F4301">
        <w:rPr>
          <w:rFonts w:ascii="Times New Roman" w:eastAsia="Calibri" w:hAnsi="Times New Roman" w:cs="Simplified Arabic"/>
          <w:sz w:val="24"/>
          <w:szCs w:val="28"/>
        </w:rPr>
        <w:t>Bin-Dohim, 2024, p. 101</w:t>
      </w:r>
      <w:r w:rsidRPr="007F4301">
        <w:rPr>
          <w:rFonts w:ascii="Times New Roman" w:eastAsia="Calibri" w:hAnsi="Times New Roman" w:cs="Simplified Arabic"/>
          <w:sz w:val="24"/>
          <w:szCs w:val="28"/>
          <w:rtl/>
        </w:rPr>
        <w:t>).</w:t>
      </w:r>
    </w:p>
    <w:p w14:paraId="67A0B005" w14:textId="77777777" w:rsidR="007F4301" w:rsidRPr="007F4301" w:rsidRDefault="007F4301" w:rsidP="007F4301">
      <w:pPr>
        <w:spacing w:after="240" w:line="276" w:lineRule="auto"/>
        <w:ind w:firstLine="510"/>
        <w:jc w:val="both"/>
        <w:rPr>
          <w:rFonts w:ascii="Times New Roman" w:eastAsia="Calibri" w:hAnsi="Times New Roman" w:cs="Simplified Arabic"/>
          <w:b/>
          <w:bCs/>
          <w:sz w:val="24"/>
          <w:szCs w:val="28"/>
          <w:rtl/>
        </w:rPr>
      </w:pPr>
      <w:r w:rsidRPr="007F4301">
        <w:rPr>
          <w:rFonts w:ascii="Times New Roman" w:eastAsia="Calibri" w:hAnsi="Times New Roman" w:cs="Simplified Arabic"/>
          <w:b/>
          <w:bCs/>
          <w:sz w:val="24"/>
          <w:szCs w:val="28"/>
          <w:rtl/>
        </w:rPr>
        <w:t>2. مشكلة الدراسة:</w:t>
      </w:r>
    </w:p>
    <w:p w14:paraId="1A8D8BC2"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tl/>
        </w:rPr>
      </w:pPr>
      <w:r w:rsidRPr="007F4301">
        <w:rPr>
          <w:rFonts w:ascii="Times New Roman" w:eastAsia="Calibri" w:hAnsi="Times New Roman" w:cs="Simplified Arabic"/>
          <w:sz w:val="24"/>
          <w:szCs w:val="28"/>
          <w:rtl/>
        </w:rPr>
        <w:t>تنبثق مشكلة الدراسة من رصد فجوة واضحة بين المتطلبات التنظيمية الصارمة التي تفرضها الهيئة العامة للغذاء والدواء (</w:t>
      </w:r>
      <w:r w:rsidRPr="007F4301">
        <w:rPr>
          <w:rFonts w:ascii="Times New Roman" w:eastAsia="Calibri" w:hAnsi="Times New Roman" w:cs="Simplified Arabic"/>
          <w:sz w:val="24"/>
          <w:szCs w:val="28"/>
        </w:rPr>
        <w:t>SFDA</w:t>
      </w:r>
      <w:r w:rsidRPr="007F4301">
        <w:rPr>
          <w:rFonts w:ascii="Times New Roman" w:eastAsia="Calibri" w:hAnsi="Times New Roman" w:cs="Simplified Arabic"/>
          <w:sz w:val="24"/>
          <w:szCs w:val="28"/>
          <w:rtl/>
        </w:rPr>
        <w:t>) لتطبيق ممارسات التوزيع الجيد (</w:t>
      </w:r>
      <w:r w:rsidRPr="007F4301">
        <w:rPr>
          <w:rFonts w:ascii="Times New Roman" w:eastAsia="Calibri" w:hAnsi="Times New Roman" w:cs="Simplified Arabic"/>
          <w:sz w:val="24"/>
          <w:szCs w:val="28"/>
        </w:rPr>
        <w:t>GDP</w:t>
      </w:r>
      <w:r w:rsidRPr="007F4301">
        <w:rPr>
          <w:rFonts w:ascii="Times New Roman" w:eastAsia="Calibri" w:hAnsi="Times New Roman" w:cs="Simplified Arabic"/>
          <w:sz w:val="24"/>
          <w:szCs w:val="28"/>
          <w:rtl/>
        </w:rPr>
        <w:t xml:space="preserve">)، وبين الواقع الميداني </w:t>
      </w:r>
      <w:r w:rsidRPr="007F4301">
        <w:rPr>
          <w:rFonts w:ascii="Times New Roman" w:eastAsia="Calibri" w:hAnsi="Times New Roman" w:cs="Simplified Arabic"/>
          <w:sz w:val="24"/>
          <w:szCs w:val="28"/>
          <w:rtl/>
        </w:rPr>
        <w:lastRenderedPageBreak/>
        <w:t>للممارسات الإدارية في شركات ومؤسسات سلاسل الإمداد الطبية في المملكة العربية السعودية. فعلى الرغم من وجود بنية تحتية لوجستية متطورة، إلاّ أن التقارير الميدانية والمؤشرات الأولية تشير إلى وجود قصور في الامتثال الكامل لهذه المعايير، يُعزى بشكل رئيس إلى عوامل إدارية وتنظيمية وليست فنية بحتة.</w:t>
      </w:r>
    </w:p>
    <w:p w14:paraId="43374015"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tl/>
        </w:rPr>
      </w:pPr>
      <w:r w:rsidRPr="007F4301">
        <w:rPr>
          <w:rFonts w:ascii="Times New Roman" w:eastAsia="Calibri" w:hAnsi="Times New Roman" w:cs="Simplified Arabic"/>
          <w:sz w:val="24"/>
          <w:szCs w:val="28"/>
          <w:rtl/>
        </w:rPr>
        <w:t>وتظهر ملامح المشكلة من خلال تكرار حالات الهدر الدوائي الناتج عن سوء التخزين أو النقل، وتأخر وصول الإمدادات الحيوية، وضعف التوثيق الإداري الذي يضمن تتبع الأدوية، وهي مشكلات ترتبط جذرياً بضعف التخطيط، وقصور الرقابة الإدارية، ونقص التدريب المتخصص للكوادر البشرية على بروتوكولات (</w:t>
      </w:r>
      <w:r w:rsidRPr="007F4301">
        <w:rPr>
          <w:rFonts w:ascii="Times New Roman" w:eastAsia="Calibri" w:hAnsi="Times New Roman" w:cs="Simplified Arabic"/>
          <w:sz w:val="24"/>
          <w:szCs w:val="28"/>
        </w:rPr>
        <w:t>GDP</w:t>
      </w:r>
      <w:r w:rsidRPr="007F4301">
        <w:rPr>
          <w:rFonts w:ascii="Times New Roman" w:eastAsia="Calibri" w:hAnsi="Times New Roman" w:cs="Simplified Arabic"/>
          <w:sz w:val="24"/>
          <w:szCs w:val="28"/>
          <w:rtl/>
        </w:rPr>
        <w:t>). وتؤكد دراسة (</w:t>
      </w:r>
      <w:r w:rsidRPr="007F4301">
        <w:rPr>
          <w:rFonts w:ascii="Times New Roman" w:eastAsia="Calibri" w:hAnsi="Times New Roman" w:cs="Simplified Arabic"/>
          <w:sz w:val="24"/>
          <w:szCs w:val="28"/>
        </w:rPr>
        <w:t>Al-</w:t>
      </w:r>
      <w:proofErr w:type="spellStart"/>
      <w:r w:rsidRPr="007F4301">
        <w:rPr>
          <w:rFonts w:ascii="Times New Roman" w:eastAsia="Calibri" w:hAnsi="Times New Roman" w:cs="Simplified Arabic"/>
          <w:sz w:val="24"/>
          <w:szCs w:val="28"/>
        </w:rPr>
        <w:t>Saa’da</w:t>
      </w:r>
      <w:proofErr w:type="spellEnd"/>
      <w:r w:rsidRPr="007F4301">
        <w:rPr>
          <w:rFonts w:ascii="Times New Roman" w:eastAsia="Calibri" w:hAnsi="Times New Roman" w:cs="Simplified Arabic"/>
          <w:sz w:val="24"/>
          <w:szCs w:val="28"/>
        </w:rPr>
        <w:t>, 2021, p. 56</w:t>
      </w:r>
      <w:r w:rsidRPr="007F4301">
        <w:rPr>
          <w:rFonts w:ascii="Times New Roman" w:eastAsia="Calibri" w:hAnsi="Times New Roman" w:cs="Simplified Arabic"/>
          <w:sz w:val="24"/>
          <w:szCs w:val="28"/>
          <w:rtl/>
        </w:rPr>
        <w:t>) أن 40% من المخالفات المرصودة في قطاع التوزيع الدوائي تعود إلى أخطاء بشرية وإدارية ناتجة عن ضعف الإجراءات التنظيمية الداخلية، وليس بسبب نقص المعدات.</w:t>
      </w:r>
    </w:p>
    <w:p w14:paraId="39A23EB8"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tl/>
        </w:rPr>
      </w:pPr>
      <w:r w:rsidRPr="007F4301">
        <w:rPr>
          <w:rFonts w:ascii="Times New Roman" w:eastAsia="Calibri" w:hAnsi="Times New Roman" w:cs="Simplified Arabic"/>
          <w:sz w:val="24"/>
          <w:szCs w:val="28"/>
          <w:rtl/>
        </w:rPr>
        <w:t>وفي هذا السياق، تواجه إدارات سلاسل الإمداد تحديات في المواءمة بين الضغوط المالية لتقليل التكاليف وبين ضرورة الالتزام بمعايير الجودة المكلفة، مما يخلق صراعاً إدارياً يؤثر سلباً على كفاءة التوزيع. كما أن التحديات المتعلقة بإدارة المعلومات والتواصل بين الأقسام المختلفة داخل المنظمة وبين الشركاء الخارجيين تفاقم من صعوبة تطبيق ممارسات التوزيع الجيد بفعالية.</w:t>
      </w:r>
    </w:p>
    <w:p w14:paraId="204CF190"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tl/>
        </w:rPr>
      </w:pPr>
      <w:r w:rsidRPr="007F4301">
        <w:rPr>
          <w:rFonts w:ascii="Times New Roman" w:eastAsia="Calibri" w:hAnsi="Times New Roman" w:cs="Simplified Arabic"/>
          <w:sz w:val="24"/>
          <w:szCs w:val="28"/>
          <w:rtl/>
        </w:rPr>
        <w:t>وعلاوة على ذلك، تُشير الإحصائيات الحديثة إلى تزايد التعقيد في سلاسل الإمداد الطبية بعد جائحة كورونا، مما فرض أعباءً إدارية إضافية تتطلب مرونة تنظيمية وسرعة في اتخاذ القرار، وهو ما تفتقده العديد من المنظمات التي ما تزال تعمل وفق هياكل إدارية تقليدية جامدة. ومن هذا المنطلق، تتجلى المشكلة البحثية في الحاجة الملحة لتشخيص دقيق للتحديات الإدارية (التخطيطية، التنظيمية، الرقابية، والبشرية) التي تعيق التطبيق الفعال لممارسات التوزيع الجيد في البيئة السعودية، وتقديم حلول علمية لتجاوزها.</w:t>
      </w:r>
    </w:p>
    <w:p w14:paraId="42DBD730"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وبناءً على ما سبق، يمكن صياغة مشكلة الدراسة في السؤال الرئيس الآتي:</w:t>
      </w:r>
    </w:p>
    <w:p w14:paraId="06DB16EC"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tl/>
        </w:rPr>
      </w:pPr>
      <w:r w:rsidRPr="007F4301">
        <w:rPr>
          <w:rFonts w:ascii="Times New Roman" w:eastAsia="Calibri" w:hAnsi="Times New Roman" w:cs="Simplified Arabic"/>
          <w:b/>
          <w:bCs/>
          <w:sz w:val="24"/>
          <w:szCs w:val="28"/>
        </w:rPr>
        <w:t>3</w:t>
      </w:r>
      <w:r w:rsidRPr="007F4301">
        <w:rPr>
          <w:rFonts w:ascii="Times New Roman" w:eastAsia="Calibri" w:hAnsi="Times New Roman" w:cs="Simplified Arabic"/>
          <w:b/>
          <w:bCs/>
          <w:sz w:val="24"/>
          <w:szCs w:val="28"/>
          <w:rtl/>
        </w:rPr>
        <w:t>. تساؤلات الدراسة:</w:t>
      </w:r>
    </w:p>
    <w:p w14:paraId="1E0AFDFB"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t xml:space="preserve">السؤال الرئيس: </w:t>
      </w:r>
      <w:r w:rsidRPr="007F4301">
        <w:rPr>
          <w:rFonts w:ascii="Times New Roman" w:eastAsia="Calibri" w:hAnsi="Times New Roman" w:cs="Simplified Arabic"/>
          <w:sz w:val="24"/>
          <w:szCs w:val="28"/>
          <w:rtl/>
        </w:rPr>
        <w:t xml:space="preserve">ما التحديات الإدارية التي تواجه تطبيق ممارسات التوزيع الجيد </w:t>
      </w:r>
      <w:r w:rsidRPr="007F4301">
        <w:rPr>
          <w:rFonts w:ascii="Times New Roman" w:eastAsia="Calibri" w:hAnsi="Times New Roman" w:cs="Simplified Arabic"/>
          <w:sz w:val="24"/>
          <w:szCs w:val="28"/>
        </w:rPr>
        <w:t>(GDP)</w:t>
      </w:r>
      <w:r w:rsidRPr="007F4301">
        <w:rPr>
          <w:rFonts w:ascii="Times New Roman" w:eastAsia="Calibri" w:hAnsi="Times New Roman" w:cs="Simplified Arabic"/>
          <w:sz w:val="24"/>
          <w:szCs w:val="28"/>
          <w:rtl/>
        </w:rPr>
        <w:t xml:space="preserve"> في سلاسل الإمداد الطبية بالمملكة العربية السعودية؟</w:t>
      </w:r>
    </w:p>
    <w:p w14:paraId="26BE3A09"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lastRenderedPageBreak/>
        <w:t>ويتفرع من هذا السؤال الرئيس الأسئلة الفرعية الآتية:</w:t>
      </w:r>
    </w:p>
    <w:p w14:paraId="6AC5396B" w14:textId="77777777" w:rsidR="007F4301" w:rsidRPr="007F4301" w:rsidRDefault="007F4301" w:rsidP="007F4301">
      <w:pPr>
        <w:numPr>
          <w:ilvl w:val="0"/>
          <w:numId w:val="49"/>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 xml:space="preserve">ما واقع تطبيق ممارسات التوزيع الجيد </w:t>
      </w:r>
      <w:r w:rsidRPr="007F4301">
        <w:rPr>
          <w:rFonts w:ascii="Times New Roman" w:eastAsia="Calibri" w:hAnsi="Times New Roman" w:cs="Simplified Arabic"/>
          <w:sz w:val="24"/>
          <w:szCs w:val="28"/>
        </w:rPr>
        <w:t>(GDP)</w:t>
      </w:r>
      <w:r w:rsidRPr="007F4301">
        <w:rPr>
          <w:rFonts w:ascii="Times New Roman" w:eastAsia="Calibri" w:hAnsi="Times New Roman" w:cs="Simplified Arabic"/>
          <w:sz w:val="24"/>
          <w:szCs w:val="28"/>
          <w:rtl/>
        </w:rPr>
        <w:t xml:space="preserve"> في شركات سلاسل الإمداد الطبية بالمملكة العربية السعودية من وجهة نظر المبحوثين؟</w:t>
      </w:r>
    </w:p>
    <w:p w14:paraId="2B38A905" w14:textId="77777777" w:rsidR="007F4301" w:rsidRPr="007F4301" w:rsidRDefault="007F4301" w:rsidP="007F4301">
      <w:pPr>
        <w:numPr>
          <w:ilvl w:val="0"/>
          <w:numId w:val="49"/>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ما مستوى التحديات الإدارية (التخطيط، التنظيم، التوجيه والقيادة، الرقابة) السائدة في شركات سلاسل الإمداد الطبية بالمملكة العربية السعودية؟</w:t>
      </w:r>
    </w:p>
    <w:p w14:paraId="37B8F511" w14:textId="77777777" w:rsidR="007F4301" w:rsidRPr="007F4301" w:rsidRDefault="007F4301" w:rsidP="007F4301">
      <w:pPr>
        <w:numPr>
          <w:ilvl w:val="0"/>
          <w:numId w:val="49"/>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هل توجد علاقة ارتباطية ذات دلالة إحصائية بين التحديات الإدارية وتطبيق ممارسات التوزيع الجيد في سلاسل الإمداد الطبية بالمملكة العربية السعودية؟</w:t>
      </w:r>
    </w:p>
    <w:p w14:paraId="4D9E5542" w14:textId="77777777" w:rsidR="007F4301" w:rsidRPr="007F4301" w:rsidRDefault="007F4301" w:rsidP="007F4301">
      <w:pPr>
        <w:numPr>
          <w:ilvl w:val="0"/>
          <w:numId w:val="49"/>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ما أثر التحديات الإدارية بأبعادها المختلفة (التخطيط، التنظيم، التوجيه والقيادة، الرقابة) في مستوى تطبيق ممارسات التوزيع الجيد في شركات سلاسل الإمداد الطبية بالمملكة العربية السعودية؟</w:t>
      </w:r>
    </w:p>
    <w:p w14:paraId="4E3994C6"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tl/>
        </w:rPr>
      </w:pPr>
      <w:r w:rsidRPr="007F4301">
        <w:rPr>
          <w:rFonts w:ascii="Times New Roman" w:eastAsia="Calibri" w:hAnsi="Times New Roman" w:cs="Simplified Arabic"/>
          <w:b/>
          <w:bCs/>
          <w:sz w:val="24"/>
          <w:szCs w:val="28"/>
        </w:rPr>
        <w:t>4</w:t>
      </w:r>
      <w:r w:rsidRPr="007F4301">
        <w:rPr>
          <w:rFonts w:ascii="Times New Roman" w:eastAsia="Calibri" w:hAnsi="Times New Roman" w:cs="Simplified Arabic"/>
          <w:b/>
          <w:bCs/>
          <w:sz w:val="24"/>
          <w:szCs w:val="28"/>
          <w:rtl/>
        </w:rPr>
        <w:t>. أهداف الدراسة:</w:t>
      </w:r>
    </w:p>
    <w:p w14:paraId="120D5AEE"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تسعى هذه الدراسة إلى تحقيق جملة من الأهداف الإجرائية التي تنبثق من التساؤلات المطروحة، وتتمثل في:</w:t>
      </w:r>
    </w:p>
    <w:p w14:paraId="25661EA0" w14:textId="77777777" w:rsidR="007F4301" w:rsidRPr="007F4301" w:rsidRDefault="007F4301" w:rsidP="007F4301">
      <w:pPr>
        <w:numPr>
          <w:ilvl w:val="0"/>
          <w:numId w:val="50"/>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 xml:space="preserve">تشخيص واقع تطبيق ممارسات التوزيع الجيد </w:t>
      </w:r>
      <w:r w:rsidRPr="007F4301">
        <w:rPr>
          <w:rFonts w:ascii="Times New Roman" w:eastAsia="Calibri" w:hAnsi="Times New Roman" w:cs="Simplified Arabic"/>
          <w:sz w:val="24"/>
          <w:szCs w:val="28"/>
        </w:rPr>
        <w:t>(GDP)</w:t>
      </w:r>
      <w:r w:rsidRPr="007F4301">
        <w:rPr>
          <w:rFonts w:ascii="Times New Roman" w:eastAsia="Calibri" w:hAnsi="Times New Roman" w:cs="Simplified Arabic"/>
          <w:sz w:val="24"/>
          <w:szCs w:val="28"/>
          <w:rtl/>
        </w:rPr>
        <w:t xml:space="preserve"> في شركات سلاسل الإمداد الطبية بالمملكة العربية السعودية من وجهة نظر العاملين فيها.</w:t>
      </w:r>
    </w:p>
    <w:p w14:paraId="59B1A283" w14:textId="77777777" w:rsidR="007F4301" w:rsidRPr="007F4301" w:rsidRDefault="007F4301" w:rsidP="007F4301">
      <w:pPr>
        <w:numPr>
          <w:ilvl w:val="0"/>
          <w:numId w:val="50"/>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تحديد مستوى التحديات الإدارية (التخطيط، التنظيم، التوجيه والقيادة، الرقابة) التي تواجهها شركات سلاسل الإمداد الطبية في بيئة الأعمال السعودية.</w:t>
      </w:r>
    </w:p>
    <w:p w14:paraId="0EB452E2" w14:textId="77777777" w:rsidR="007F4301" w:rsidRPr="007F4301" w:rsidRDefault="007F4301" w:rsidP="007F4301">
      <w:pPr>
        <w:numPr>
          <w:ilvl w:val="0"/>
          <w:numId w:val="50"/>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الكشف عن طبيعة العلاقة الارتباطية بين التحديات الإدارية ومستوى تطبيق ممارسات التوزيع الجيد في تلك الشركات.</w:t>
      </w:r>
    </w:p>
    <w:p w14:paraId="36DC7308" w14:textId="77777777" w:rsidR="007F4301" w:rsidRPr="007F4301" w:rsidRDefault="007F4301" w:rsidP="007F4301">
      <w:pPr>
        <w:numPr>
          <w:ilvl w:val="0"/>
          <w:numId w:val="50"/>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قياس أثر التحديات الإدارية بأبعادها المختلفة في مستوى تطبيق ممارسات التوزيع الجيد، لتحديد أكثر المعوقات تأثيراً وتقديم توصيات دقيقة لمعالجتها.</w:t>
      </w:r>
    </w:p>
    <w:p w14:paraId="4235C5F5" w14:textId="77777777" w:rsidR="007F4301" w:rsidRPr="007F4301" w:rsidRDefault="007F4301" w:rsidP="007F4301">
      <w:pPr>
        <w:spacing w:after="240" w:line="276" w:lineRule="auto"/>
        <w:ind w:firstLine="510"/>
        <w:jc w:val="both"/>
        <w:rPr>
          <w:rFonts w:ascii="Times New Roman" w:eastAsia="Calibri" w:hAnsi="Times New Roman" w:cs="Simplified Arabic"/>
          <w:b/>
          <w:bCs/>
          <w:sz w:val="24"/>
          <w:szCs w:val="28"/>
          <w:rtl/>
        </w:rPr>
      </w:pPr>
      <w:r w:rsidRPr="007F4301">
        <w:rPr>
          <w:rFonts w:ascii="Times New Roman" w:eastAsia="Calibri" w:hAnsi="Times New Roman" w:cs="Simplified Arabic"/>
          <w:b/>
          <w:bCs/>
          <w:sz w:val="24"/>
          <w:szCs w:val="28"/>
          <w:rtl/>
        </w:rPr>
        <w:lastRenderedPageBreak/>
        <w:t>5. أهمية الدراسة:</w:t>
      </w:r>
    </w:p>
    <w:p w14:paraId="23F82FDB"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tl/>
        </w:rPr>
      </w:pPr>
      <w:r w:rsidRPr="007F4301">
        <w:rPr>
          <w:rFonts w:ascii="Times New Roman" w:eastAsia="Calibri" w:hAnsi="Times New Roman" w:cs="Simplified Arabic"/>
          <w:sz w:val="24"/>
          <w:szCs w:val="28"/>
          <w:rtl/>
        </w:rPr>
        <w:t>تكتسب هذه الدراسة قيمتها من حيوية القطاع اللوجستي الطبي الذي تتناوله، وتتحدد جوانب أهميتها في الشقين الآتيين:</w:t>
      </w:r>
    </w:p>
    <w:p w14:paraId="0350B4F6" w14:textId="77777777" w:rsidR="007F4301" w:rsidRPr="007F4301" w:rsidRDefault="007F4301" w:rsidP="007F4301">
      <w:pPr>
        <w:spacing w:after="240" w:line="276" w:lineRule="auto"/>
        <w:ind w:firstLine="510"/>
        <w:jc w:val="both"/>
        <w:rPr>
          <w:rFonts w:ascii="Times New Roman" w:eastAsia="Calibri" w:hAnsi="Times New Roman" w:cs="Simplified Arabic"/>
          <w:b/>
          <w:bCs/>
          <w:sz w:val="24"/>
          <w:szCs w:val="28"/>
          <w:rtl/>
        </w:rPr>
      </w:pPr>
      <w:r w:rsidRPr="007F4301">
        <w:rPr>
          <w:rFonts w:ascii="Times New Roman" w:eastAsia="Calibri" w:hAnsi="Times New Roman" w:cs="Simplified Arabic"/>
          <w:b/>
          <w:bCs/>
          <w:sz w:val="24"/>
          <w:szCs w:val="28"/>
          <w:rtl/>
        </w:rPr>
        <w:t>أولاً: الأهمية العلمية (النظرية):</w:t>
      </w:r>
    </w:p>
    <w:p w14:paraId="4A3AF105" w14:textId="77777777" w:rsidR="007F4301" w:rsidRPr="007F4301" w:rsidRDefault="007F4301" w:rsidP="007F4301">
      <w:pPr>
        <w:numPr>
          <w:ilvl w:val="0"/>
          <w:numId w:val="56"/>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تسهم الدراسة في إثراء المكتبة العربية التي تعاني من ندرة في الأبحاث التي تربط بين "الكفاءة الإدارية" و"الامتثال اللوجستي الطبي"، وتحديداً تلك التي تركز على التحديات الإدارية الدقيقة (</w:t>
      </w:r>
      <w:r w:rsidRPr="007F4301">
        <w:rPr>
          <w:rFonts w:ascii="Times New Roman" w:eastAsia="Calibri" w:hAnsi="Times New Roman" w:cs="Simplified Arabic"/>
          <w:sz w:val="24"/>
          <w:szCs w:val="28"/>
        </w:rPr>
        <w:t>Micro-Management Challenges</w:t>
      </w:r>
      <w:r w:rsidRPr="007F4301">
        <w:rPr>
          <w:rFonts w:ascii="Times New Roman" w:eastAsia="Calibri" w:hAnsi="Times New Roman" w:cs="Simplified Arabic"/>
          <w:sz w:val="24"/>
          <w:szCs w:val="28"/>
          <w:rtl/>
        </w:rPr>
        <w:t>) في سياق تطبيق معايير (</w:t>
      </w:r>
      <w:r w:rsidRPr="007F4301">
        <w:rPr>
          <w:rFonts w:ascii="Times New Roman" w:eastAsia="Calibri" w:hAnsi="Times New Roman" w:cs="Simplified Arabic"/>
          <w:sz w:val="24"/>
          <w:szCs w:val="28"/>
        </w:rPr>
        <w:t>GDP</w:t>
      </w:r>
      <w:r w:rsidRPr="007F4301">
        <w:rPr>
          <w:rFonts w:ascii="Times New Roman" w:eastAsia="Calibri" w:hAnsi="Times New Roman" w:cs="Simplified Arabic"/>
          <w:sz w:val="24"/>
          <w:szCs w:val="28"/>
          <w:rtl/>
        </w:rPr>
        <w:t>).</w:t>
      </w:r>
    </w:p>
    <w:p w14:paraId="523D3ABD" w14:textId="77777777" w:rsidR="007F4301" w:rsidRPr="007F4301" w:rsidRDefault="007F4301" w:rsidP="007F4301">
      <w:pPr>
        <w:numPr>
          <w:ilvl w:val="0"/>
          <w:numId w:val="56"/>
        </w:numPr>
        <w:spacing w:after="240" w:line="276" w:lineRule="auto"/>
        <w:jc w:val="both"/>
        <w:rPr>
          <w:rFonts w:ascii="Times New Roman" w:eastAsia="Calibri" w:hAnsi="Times New Roman" w:cs="Simplified Arabic"/>
          <w:sz w:val="24"/>
          <w:szCs w:val="28"/>
          <w:rtl/>
        </w:rPr>
      </w:pPr>
      <w:r w:rsidRPr="007F4301">
        <w:rPr>
          <w:rFonts w:ascii="Times New Roman" w:eastAsia="Calibri" w:hAnsi="Times New Roman" w:cs="Simplified Arabic"/>
          <w:sz w:val="24"/>
          <w:szCs w:val="28"/>
          <w:rtl/>
        </w:rPr>
        <w:t>تعمل الدراسة على تأصيل مفاهيم إدارة الجودة في قطاع التوزيع الطبي، وتقديم إطار نظري يوضح آليات التأثير المتبادل بين الوظائف الإدارية (التخطيط، التنظيم، التوجيه، الرقابة) وبين متطلبات الامتثال التنظيمي.</w:t>
      </w:r>
    </w:p>
    <w:p w14:paraId="1203410D" w14:textId="77777777" w:rsidR="007F4301" w:rsidRPr="007F4301" w:rsidRDefault="007F4301" w:rsidP="007F4301">
      <w:pPr>
        <w:numPr>
          <w:ilvl w:val="0"/>
          <w:numId w:val="56"/>
        </w:numPr>
        <w:spacing w:after="240" w:line="276" w:lineRule="auto"/>
        <w:jc w:val="both"/>
        <w:rPr>
          <w:rFonts w:ascii="Times New Roman" w:eastAsia="Calibri" w:hAnsi="Times New Roman" w:cs="Simplified Arabic"/>
          <w:sz w:val="24"/>
          <w:szCs w:val="28"/>
          <w:rtl/>
        </w:rPr>
      </w:pPr>
      <w:r w:rsidRPr="007F4301">
        <w:rPr>
          <w:rFonts w:ascii="Times New Roman" w:eastAsia="Calibri" w:hAnsi="Times New Roman" w:cs="Simplified Arabic"/>
          <w:sz w:val="24"/>
          <w:szCs w:val="28"/>
          <w:rtl/>
        </w:rPr>
        <w:t>تقدم الدراسة نموذجاً تحليلياً ومنهجياً يمكن أن يشكل مرجعاً أساسياً للباحثين والدارسين المهتمين بقياس كفاءة سلاسل الإمداد في القطاعات الحيوية.</w:t>
      </w:r>
    </w:p>
    <w:p w14:paraId="21E341C7" w14:textId="77777777" w:rsidR="007F4301" w:rsidRPr="007F4301" w:rsidRDefault="007F4301" w:rsidP="007F4301">
      <w:pPr>
        <w:spacing w:after="240" w:line="276" w:lineRule="auto"/>
        <w:ind w:firstLine="510"/>
        <w:jc w:val="both"/>
        <w:rPr>
          <w:rFonts w:ascii="Times New Roman" w:eastAsia="Calibri" w:hAnsi="Times New Roman" w:cs="Simplified Arabic"/>
          <w:b/>
          <w:bCs/>
          <w:sz w:val="24"/>
          <w:szCs w:val="28"/>
          <w:rtl/>
        </w:rPr>
      </w:pPr>
      <w:r w:rsidRPr="007F4301">
        <w:rPr>
          <w:rFonts w:ascii="Times New Roman" w:eastAsia="Calibri" w:hAnsi="Times New Roman" w:cs="Simplified Arabic"/>
          <w:b/>
          <w:bCs/>
          <w:sz w:val="24"/>
          <w:szCs w:val="28"/>
          <w:rtl/>
        </w:rPr>
        <w:t>ثانياً: الأهمية العملية (التطبيقية):</w:t>
      </w:r>
    </w:p>
    <w:p w14:paraId="265F2FA9" w14:textId="77777777" w:rsidR="007F4301" w:rsidRPr="007F4301" w:rsidRDefault="007F4301" w:rsidP="007F4301">
      <w:pPr>
        <w:numPr>
          <w:ilvl w:val="0"/>
          <w:numId w:val="57"/>
        </w:numPr>
        <w:spacing w:after="240" w:line="276" w:lineRule="auto"/>
        <w:jc w:val="both"/>
        <w:rPr>
          <w:rFonts w:ascii="Times New Roman" w:eastAsia="Calibri" w:hAnsi="Times New Roman" w:cs="Simplified Arabic"/>
          <w:sz w:val="24"/>
          <w:szCs w:val="28"/>
          <w:rtl/>
        </w:rPr>
      </w:pPr>
      <w:r w:rsidRPr="007F4301">
        <w:rPr>
          <w:rFonts w:ascii="Times New Roman" w:eastAsia="Calibri" w:hAnsi="Times New Roman" w:cs="Simplified Arabic"/>
          <w:sz w:val="24"/>
          <w:szCs w:val="28"/>
          <w:rtl/>
        </w:rPr>
        <w:t>تستمد الدراسة أهميتها من ارتباطها المباشر بمستهدفات "برنامج تحول القطاع الصحي" ضمن رؤية المملكة 2030، حيث يُعد تأمين سلاسل الإمداد ركيزة أساسية لتحقيق الأمن الدوائي الوطني.</w:t>
      </w:r>
    </w:p>
    <w:p w14:paraId="2CB41AFF" w14:textId="77777777" w:rsidR="007F4301" w:rsidRPr="007F4301" w:rsidRDefault="007F4301" w:rsidP="007F4301">
      <w:pPr>
        <w:numPr>
          <w:ilvl w:val="0"/>
          <w:numId w:val="57"/>
        </w:numPr>
        <w:spacing w:after="240" w:line="276" w:lineRule="auto"/>
        <w:jc w:val="both"/>
        <w:rPr>
          <w:rFonts w:ascii="Times New Roman" w:eastAsia="Calibri" w:hAnsi="Times New Roman" w:cs="Simplified Arabic"/>
          <w:sz w:val="24"/>
          <w:szCs w:val="28"/>
          <w:rtl/>
        </w:rPr>
      </w:pPr>
      <w:r w:rsidRPr="007F4301">
        <w:rPr>
          <w:rFonts w:ascii="Times New Roman" w:eastAsia="Calibri" w:hAnsi="Times New Roman" w:cs="Simplified Arabic"/>
          <w:sz w:val="24"/>
          <w:szCs w:val="28"/>
          <w:rtl/>
        </w:rPr>
        <w:t>تزويد صناع القرار في الهيئة العامة للغذاء والدواء (</w:t>
      </w:r>
      <w:r w:rsidRPr="007F4301">
        <w:rPr>
          <w:rFonts w:ascii="Times New Roman" w:eastAsia="Calibri" w:hAnsi="Times New Roman" w:cs="Simplified Arabic"/>
          <w:sz w:val="24"/>
          <w:szCs w:val="28"/>
        </w:rPr>
        <w:t>SFDA</w:t>
      </w:r>
      <w:r w:rsidRPr="007F4301">
        <w:rPr>
          <w:rFonts w:ascii="Times New Roman" w:eastAsia="Calibri" w:hAnsi="Times New Roman" w:cs="Simplified Arabic"/>
          <w:sz w:val="24"/>
          <w:szCs w:val="28"/>
          <w:rtl/>
        </w:rPr>
        <w:t>) والقيادات الإدارية في شركات التوزيع الطبي ببيانات واقعية تكشف عن مكامن الخلل الإداري المعيقة لتطبيق المعايير.</w:t>
      </w:r>
    </w:p>
    <w:p w14:paraId="147C6FBF" w14:textId="77777777" w:rsidR="007F4301" w:rsidRPr="007F4301" w:rsidRDefault="007F4301" w:rsidP="007F4301">
      <w:pPr>
        <w:numPr>
          <w:ilvl w:val="0"/>
          <w:numId w:val="57"/>
        </w:numPr>
        <w:spacing w:after="240" w:line="276" w:lineRule="auto"/>
        <w:jc w:val="both"/>
        <w:rPr>
          <w:rFonts w:ascii="Times New Roman" w:eastAsia="Calibri" w:hAnsi="Times New Roman" w:cs="Simplified Arabic"/>
          <w:sz w:val="24"/>
          <w:szCs w:val="28"/>
          <w:rtl/>
        </w:rPr>
      </w:pPr>
      <w:r w:rsidRPr="007F4301">
        <w:rPr>
          <w:rFonts w:ascii="Times New Roman" w:eastAsia="Calibri" w:hAnsi="Times New Roman" w:cs="Simplified Arabic"/>
          <w:sz w:val="24"/>
          <w:szCs w:val="28"/>
          <w:rtl/>
        </w:rPr>
        <w:t>المساعدة في صياغة برامج تدريبية وتطويرية موجهة لرفع كفاءة الكوادر البشرية، مما يسهم في تقليل الهدر المالي الناتج عن تلف الأدوية وسوء التخزين.</w:t>
      </w:r>
    </w:p>
    <w:p w14:paraId="04D7B454" w14:textId="77777777" w:rsidR="007F4301" w:rsidRPr="007F4301" w:rsidRDefault="007F4301" w:rsidP="007F4301">
      <w:pPr>
        <w:numPr>
          <w:ilvl w:val="0"/>
          <w:numId w:val="57"/>
        </w:numPr>
        <w:spacing w:after="240" w:line="276" w:lineRule="auto"/>
        <w:jc w:val="both"/>
        <w:rPr>
          <w:rFonts w:ascii="Times New Roman" w:eastAsia="Calibri" w:hAnsi="Times New Roman" w:cs="Simplified Arabic"/>
          <w:sz w:val="24"/>
          <w:szCs w:val="28"/>
          <w:rtl/>
        </w:rPr>
      </w:pPr>
      <w:r w:rsidRPr="007F4301">
        <w:rPr>
          <w:rFonts w:ascii="Times New Roman" w:eastAsia="Calibri" w:hAnsi="Times New Roman" w:cs="Simplified Arabic"/>
          <w:sz w:val="24"/>
          <w:szCs w:val="28"/>
          <w:rtl/>
        </w:rPr>
        <w:lastRenderedPageBreak/>
        <w:t>المساهمة في ضمان وصول منتجات طبية آمنة وفعالة للمستفيد النهائي، مما يعزز من موثوقية واستدامة المنظومة الصحية في المملكة.</w:t>
      </w:r>
    </w:p>
    <w:p w14:paraId="622DA7FF"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tl/>
        </w:rPr>
      </w:pPr>
      <w:r w:rsidRPr="007F4301">
        <w:rPr>
          <w:rFonts w:ascii="Times New Roman" w:eastAsia="Calibri" w:hAnsi="Times New Roman" w:cs="Simplified Arabic"/>
          <w:b/>
          <w:bCs/>
          <w:sz w:val="24"/>
          <w:szCs w:val="28"/>
        </w:rPr>
        <w:t>6</w:t>
      </w:r>
      <w:r w:rsidRPr="007F4301">
        <w:rPr>
          <w:rFonts w:ascii="Times New Roman" w:eastAsia="Calibri" w:hAnsi="Times New Roman" w:cs="Simplified Arabic"/>
          <w:b/>
          <w:bCs/>
          <w:sz w:val="24"/>
          <w:szCs w:val="28"/>
          <w:rtl/>
        </w:rPr>
        <w:t>. فرضيات الدراسة:</w:t>
      </w:r>
    </w:p>
    <w:p w14:paraId="0C92C54B" w14:textId="77777777" w:rsidR="007F4301" w:rsidRPr="007F4301" w:rsidRDefault="007F4301" w:rsidP="007F4301">
      <w:pPr>
        <w:spacing w:after="240" w:line="276" w:lineRule="auto"/>
        <w:ind w:firstLine="510"/>
        <w:jc w:val="both"/>
        <w:rPr>
          <w:rFonts w:ascii="Times New Roman" w:eastAsia="Calibri" w:hAnsi="Times New Roman" w:cs="Simplified Arabic"/>
          <w:b/>
          <w:bCs/>
          <w:sz w:val="24"/>
          <w:szCs w:val="28"/>
          <w:rtl/>
        </w:rPr>
      </w:pPr>
      <w:r w:rsidRPr="007F4301">
        <w:rPr>
          <w:rFonts w:ascii="Times New Roman" w:eastAsia="Calibri" w:hAnsi="Times New Roman" w:cs="Simplified Arabic"/>
          <w:sz w:val="24"/>
          <w:szCs w:val="28"/>
          <w:rtl/>
        </w:rPr>
        <w:t>استناداً إلى مشكلة الدراسة وأهدافها، ولاختبار أثر المتغير المستقل في المتغير التابع، تم صياغة الفرضيات الصفرية (</w:t>
      </w:r>
      <w:r w:rsidRPr="007F4301">
        <w:rPr>
          <w:rFonts w:ascii="Times New Roman" w:eastAsia="Calibri" w:hAnsi="Times New Roman" w:cs="Simplified Arabic"/>
          <w:sz w:val="24"/>
          <w:szCs w:val="28"/>
        </w:rPr>
        <w:t>H_0</w:t>
      </w:r>
      <w:r w:rsidRPr="007F4301">
        <w:rPr>
          <w:rFonts w:ascii="Times New Roman" w:eastAsia="Calibri" w:hAnsi="Times New Roman" w:cs="Simplified Arabic"/>
          <w:sz w:val="24"/>
          <w:szCs w:val="28"/>
          <w:rtl/>
        </w:rPr>
        <w:t>) الآتية:</w:t>
      </w:r>
    </w:p>
    <w:p w14:paraId="75A7980C"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tl/>
        </w:rPr>
      </w:pPr>
      <w:r w:rsidRPr="007F4301">
        <w:rPr>
          <w:rFonts w:ascii="Times New Roman" w:eastAsia="Calibri" w:hAnsi="Times New Roman" w:cs="Simplified Arabic"/>
          <w:b/>
          <w:bCs/>
          <w:sz w:val="24"/>
          <w:szCs w:val="28"/>
          <w:rtl/>
        </w:rPr>
        <w:t xml:space="preserve">الفرضية الرئيسة: </w:t>
      </w:r>
      <w:r w:rsidRPr="007F4301">
        <w:rPr>
          <w:rFonts w:ascii="Times New Roman" w:eastAsia="Calibri" w:hAnsi="Times New Roman" w:cs="Simplified Arabic"/>
          <w:sz w:val="24"/>
          <w:szCs w:val="28"/>
          <w:rtl/>
        </w:rPr>
        <w:t>لا يوجد أثر ذو دلالة إحصائية عند مستوى الدلالة (</w:t>
      </w:r>
      <w:r w:rsidRPr="007F4301">
        <w:rPr>
          <w:rFonts w:ascii="Times New Roman" w:eastAsia="Calibri" w:hAnsi="Times New Roman" w:cs="Simplified Arabic"/>
          <w:sz w:val="24"/>
          <w:szCs w:val="28"/>
        </w:rPr>
        <w:t>α≤0.05</w:t>
      </w:r>
      <w:r w:rsidRPr="007F4301">
        <w:rPr>
          <w:rFonts w:ascii="Times New Roman" w:eastAsia="Calibri" w:hAnsi="Times New Roman" w:cs="Simplified Arabic"/>
          <w:sz w:val="24"/>
          <w:szCs w:val="28"/>
          <w:rtl/>
        </w:rPr>
        <w:t>) للتحديات الإدارية في تطبيق ممارسات التوزيع الجيد (</w:t>
      </w:r>
      <w:r w:rsidRPr="007F4301">
        <w:rPr>
          <w:rFonts w:ascii="Times New Roman" w:eastAsia="Calibri" w:hAnsi="Times New Roman" w:cs="Simplified Arabic"/>
          <w:sz w:val="24"/>
          <w:szCs w:val="28"/>
        </w:rPr>
        <w:t>GDP</w:t>
      </w:r>
      <w:r w:rsidRPr="007F4301">
        <w:rPr>
          <w:rFonts w:ascii="Times New Roman" w:eastAsia="Calibri" w:hAnsi="Times New Roman" w:cs="Simplified Arabic"/>
          <w:sz w:val="24"/>
          <w:szCs w:val="28"/>
          <w:rtl/>
        </w:rPr>
        <w:t>) في سلاسل الإمداد الطبية بالمملكة العربية السعودية.</w:t>
      </w:r>
    </w:p>
    <w:p w14:paraId="39810157"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وينبثق منها الفرضيات الفرعية الآتية:</w:t>
      </w:r>
    </w:p>
    <w:p w14:paraId="251D3F8C" w14:textId="77777777" w:rsidR="007F4301" w:rsidRPr="007F4301" w:rsidRDefault="007F4301" w:rsidP="007F4301">
      <w:pPr>
        <w:numPr>
          <w:ilvl w:val="0"/>
          <w:numId w:val="55"/>
        </w:numPr>
        <w:spacing w:after="240" w:line="276" w:lineRule="auto"/>
        <w:jc w:val="both"/>
        <w:rPr>
          <w:rFonts w:ascii="Times New Roman" w:eastAsia="Calibri" w:hAnsi="Times New Roman" w:cs="Simplified Arabic"/>
          <w:sz w:val="24"/>
          <w:szCs w:val="28"/>
          <w:rtl/>
        </w:rPr>
      </w:pPr>
      <w:r w:rsidRPr="007F4301">
        <w:rPr>
          <w:rFonts w:ascii="Times New Roman" w:eastAsia="Calibri" w:hAnsi="Times New Roman" w:cs="Simplified Arabic"/>
          <w:sz w:val="24"/>
          <w:szCs w:val="28"/>
          <w:rtl/>
        </w:rPr>
        <w:t>لا يوجد أثر ذو دلالة إحصائية عند مستوى الدلالة (</w:t>
      </w:r>
      <w:r w:rsidRPr="007F4301">
        <w:rPr>
          <w:rFonts w:ascii="Times New Roman" w:eastAsia="Calibri" w:hAnsi="Times New Roman" w:cs="Simplified Arabic"/>
          <w:sz w:val="24"/>
          <w:szCs w:val="28"/>
        </w:rPr>
        <w:t>α≤0.05</w:t>
      </w:r>
      <w:r w:rsidRPr="007F4301">
        <w:rPr>
          <w:rFonts w:ascii="Times New Roman" w:eastAsia="Calibri" w:hAnsi="Times New Roman" w:cs="Simplified Arabic"/>
          <w:sz w:val="24"/>
          <w:szCs w:val="28"/>
          <w:rtl/>
        </w:rPr>
        <w:t>) لتحديات التخطيط في تطبيق ممارسات التوزيع الجيد.</w:t>
      </w:r>
    </w:p>
    <w:p w14:paraId="6E1BA8A3" w14:textId="77777777" w:rsidR="007F4301" w:rsidRPr="007F4301" w:rsidRDefault="007F4301" w:rsidP="007F4301">
      <w:pPr>
        <w:numPr>
          <w:ilvl w:val="0"/>
          <w:numId w:val="55"/>
        </w:numPr>
        <w:spacing w:after="240" w:line="276" w:lineRule="auto"/>
        <w:jc w:val="both"/>
        <w:rPr>
          <w:rFonts w:ascii="Times New Roman" w:eastAsia="Calibri" w:hAnsi="Times New Roman" w:cs="Simplified Arabic"/>
          <w:sz w:val="24"/>
          <w:szCs w:val="28"/>
          <w:rtl/>
        </w:rPr>
      </w:pPr>
      <w:r w:rsidRPr="007F4301">
        <w:rPr>
          <w:rFonts w:ascii="Times New Roman" w:eastAsia="Calibri" w:hAnsi="Times New Roman" w:cs="Simplified Arabic"/>
          <w:sz w:val="24"/>
          <w:szCs w:val="28"/>
          <w:rtl/>
        </w:rPr>
        <w:t>لا يوجد أثر ذو دلالة إحصائية عند مستوى الدلالة (</w:t>
      </w:r>
      <w:r w:rsidRPr="007F4301">
        <w:rPr>
          <w:rFonts w:ascii="Times New Roman" w:eastAsia="Calibri" w:hAnsi="Times New Roman" w:cs="Simplified Arabic"/>
          <w:sz w:val="24"/>
          <w:szCs w:val="28"/>
        </w:rPr>
        <w:t>α≤0.05</w:t>
      </w:r>
      <w:r w:rsidRPr="007F4301">
        <w:rPr>
          <w:rFonts w:ascii="Times New Roman" w:eastAsia="Calibri" w:hAnsi="Times New Roman" w:cs="Simplified Arabic"/>
          <w:sz w:val="24"/>
          <w:szCs w:val="28"/>
          <w:rtl/>
        </w:rPr>
        <w:t>) لتحديات التنظيم في تطبيق ممارسات التوزيع الجيد.</w:t>
      </w:r>
    </w:p>
    <w:p w14:paraId="362159B2" w14:textId="77777777" w:rsidR="007F4301" w:rsidRPr="007F4301" w:rsidRDefault="007F4301" w:rsidP="007F4301">
      <w:pPr>
        <w:numPr>
          <w:ilvl w:val="0"/>
          <w:numId w:val="55"/>
        </w:numPr>
        <w:spacing w:after="240" w:line="276" w:lineRule="auto"/>
        <w:jc w:val="both"/>
        <w:rPr>
          <w:rFonts w:ascii="Times New Roman" w:eastAsia="Calibri" w:hAnsi="Times New Roman" w:cs="Simplified Arabic"/>
          <w:sz w:val="24"/>
          <w:szCs w:val="28"/>
          <w:rtl/>
        </w:rPr>
      </w:pPr>
      <w:r w:rsidRPr="007F4301">
        <w:rPr>
          <w:rFonts w:ascii="Times New Roman" w:eastAsia="Calibri" w:hAnsi="Times New Roman" w:cs="Simplified Arabic"/>
          <w:sz w:val="24"/>
          <w:szCs w:val="28"/>
          <w:rtl/>
        </w:rPr>
        <w:t>لا يوجد أثر ذو دلالة إحصائية عند مستوى الدلالة (</w:t>
      </w:r>
      <w:r w:rsidRPr="007F4301">
        <w:rPr>
          <w:rFonts w:ascii="Times New Roman" w:eastAsia="Calibri" w:hAnsi="Times New Roman" w:cs="Simplified Arabic"/>
          <w:sz w:val="24"/>
          <w:szCs w:val="28"/>
        </w:rPr>
        <w:t>α≤0.05</w:t>
      </w:r>
      <w:r w:rsidRPr="007F4301">
        <w:rPr>
          <w:rFonts w:ascii="Times New Roman" w:eastAsia="Calibri" w:hAnsi="Times New Roman" w:cs="Simplified Arabic"/>
          <w:sz w:val="24"/>
          <w:szCs w:val="28"/>
          <w:rtl/>
        </w:rPr>
        <w:t>) لتحديات التوجيه والقيادة في تطبيق ممارسات التوزيع الجيد.</w:t>
      </w:r>
    </w:p>
    <w:p w14:paraId="387ACB78" w14:textId="77777777" w:rsidR="007F4301" w:rsidRPr="007F4301" w:rsidRDefault="007F4301" w:rsidP="007F4301">
      <w:pPr>
        <w:numPr>
          <w:ilvl w:val="0"/>
          <w:numId w:val="55"/>
        </w:numPr>
        <w:spacing w:after="240" w:line="276" w:lineRule="auto"/>
        <w:jc w:val="both"/>
        <w:rPr>
          <w:rFonts w:ascii="Times New Roman" w:eastAsia="Calibri" w:hAnsi="Times New Roman" w:cs="Simplified Arabic"/>
          <w:sz w:val="24"/>
          <w:szCs w:val="28"/>
          <w:rtl/>
        </w:rPr>
      </w:pPr>
      <w:r w:rsidRPr="007F4301">
        <w:rPr>
          <w:rFonts w:ascii="Times New Roman" w:eastAsia="Calibri" w:hAnsi="Times New Roman" w:cs="Simplified Arabic"/>
          <w:sz w:val="24"/>
          <w:szCs w:val="28"/>
          <w:rtl/>
        </w:rPr>
        <w:t>لا يوجد أثر ذو دلالة إحصائية عند مستوى الدلالة (</w:t>
      </w:r>
      <w:r w:rsidRPr="007F4301">
        <w:rPr>
          <w:rFonts w:ascii="Times New Roman" w:eastAsia="Calibri" w:hAnsi="Times New Roman" w:cs="Simplified Arabic"/>
          <w:sz w:val="24"/>
          <w:szCs w:val="28"/>
        </w:rPr>
        <w:t>α≤0.05</w:t>
      </w:r>
      <w:r w:rsidRPr="007F4301">
        <w:rPr>
          <w:rFonts w:ascii="Times New Roman" w:eastAsia="Calibri" w:hAnsi="Times New Roman" w:cs="Simplified Arabic"/>
          <w:sz w:val="24"/>
          <w:szCs w:val="28"/>
          <w:rtl/>
        </w:rPr>
        <w:t>) لتحديات الرقابة في تطبيق ممارسات التوزيع الجيد.</w:t>
      </w:r>
    </w:p>
    <w:p w14:paraId="59DC9136"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tl/>
        </w:rPr>
      </w:pPr>
      <w:r w:rsidRPr="007F4301">
        <w:rPr>
          <w:rFonts w:ascii="Times New Roman" w:eastAsia="Calibri" w:hAnsi="Times New Roman" w:cs="Simplified Arabic"/>
          <w:sz w:val="24"/>
          <w:szCs w:val="28"/>
          <w:rtl/>
        </w:rPr>
        <w:t xml:space="preserve">7. </w:t>
      </w:r>
      <w:r w:rsidRPr="007F4301">
        <w:rPr>
          <w:rFonts w:ascii="Times New Roman" w:eastAsia="Calibri" w:hAnsi="Times New Roman" w:cs="Simplified Arabic"/>
          <w:b/>
          <w:bCs/>
          <w:sz w:val="24"/>
          <w:szCs w:val="28"/>
          <w:rtl/>
        </w:rPr>
        <w:t xml:space="preserve">حدود الدراسة </w:t>
      </w:r>
      <w:r w:rsidRPr="007F4301">
        <w:rPr>
          <w:rFonts w:ascii="Times New Roman" w:eastAsia="Calibri" w:hAnsi="Times New Roman" w:cs="Simplified Arabic"/>
          <w:b/>
          <w:bCs/>
          <w:sz w:val="24"/>
          <w:szCs w:val="28"/>
        </w:rPr>
        <w:t>(Study Limitations)</w:t>
      </w:r>
      <w:r w:rsidRPr="007F4301">
        <w:rPr>
          <w:rFonts w:ascii="Times New Roman" w:eastAsia="Calibri" w:hAnsi="Times New Roman" w:cs="Simplified Arabic"/>
          <w:b/>
          <w:bCs/>
          <w:sz w:val="24"/>
          <w:szCs w:val="28"/>
          <w:rtl/>
        </w:rPr>
        <w:t>:</w:t>
      </w:r>
    </w:p>
    <w:p w14:paraId="7DBB9D8E"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اقتصرت هذه الدراسة على الحدود الآتية:</w:t>
      </w:r>
    </w:p>
    <w:p w14:paraId="219841BB" w14:textId="77777777" w:rsidR="007F4301" w:rsidRPr="007F4301" w:rsidRDefault="007F4301" w:rsidP="007F4301">
      <w:pPr>
        <w:numPr>
          <w:ilvl w:val="0"/>
          <w:numId w:val="54"/>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t xml:space="preserve">الحدود الموضوعية (العلمية): </w:t>
      </w:r>
      <w:r w:rsidRPr="007F4301">
        <w:rPr>
          <w:rFonts w:ascii="Times New Roman" w:eastAsia="Calibri" w:hAnsi="Times New Roman" w:cs="Simplified Arabic"/>
          <w:sz w:val="24"/>
          <w:szCs w:val="28"/>
          <w:rtl/>
        </w:rPr>
        <w:t xml:space="preserve">اقتصرت الدراسة على بحث موضوع "التحديات الإدارية" بأبعادها الأربعة (التخطيط، التنظيم، التوجيه والقيادة، الرقابة) كمتغير مستقل، وعلاقتها </w:t>
      </w:r>
      <w:r w:rsidRPr="007F4301">
        <w:rPr>
          <w:rFonts w:ascii="Times New Roman" w:eastAsia="Calibri" w:hAnsi="Times New Roman" w:cs="Simplified Arabic"/>
          <w:sz w:val="24"/>
          <w:szCs w:val="28"/>
          <w:rtl/>
        </w:rPr>
        <w:lastRenderedPageBreak/>
        <w:t xml:space="preserve">وأثرها في "تطبيق ممارسات التوزيع الجيد </w:t>
      </w:r>
      <w:r w:rsidRPr="007F4301">
        <w:rPr>
          <w:rFonts w:ascii="Times New Roman" w:eastAsia="Calibri" w:hAnsi="Times New Roman" w:cs="Simplified Arabic"/>
          <w:sz w:val="24"/>
          <w:szCs w:val="28"/>
        </w:rPr>
        <w:t>(GDP)"</w:t>
      </w:r>
      <w:r w:rsidRPr="007F4301">
        <w:rPr>
          <w:rFonts w:ascii="Times New Roman" w:eastAsia="Calibri" w:hAnsi="Times New Roman" w:cs="Simplified Arabic"/>
          <w:sz w:val="24"/>
          <w:szCs w:val="28"/>
          <w:rtl/>
        </w:rPr>
        <w:t xml:space="preserve"> كمتغير تابع، وفقاً للمعايير الصادرة عن الهيئة العامة للغذاء والدواء </w:t>
      </w:r>
      <w:r w:rsidRPr="007F4301">
        <w:rPr>
          <w:rFonts w:ascii="Times New Roman" w:eastAsia="Calibri" w:hAnsi="Times New Roman" w:cs="Simplified Arabic"/>
          <w:sz w:val="24"/>
          <w:szCs w:val="28"/>
        </w:rPr>
        <w:t>(SFDA)</w:t>
      </w:r>
      <w:r w:rsidRPr="007F4301">
        <w:rPr>
          <w:rFonts w:ascii="Times New Roman" w:eastAsia="Calibri" w:hAnsi="Times New Roman" w:cs="Simplified Arabic"/>
          <w:sz w:val="24"/>
          <w:szCs w:val="28"/>
          <w:rtl/>
        </w:rPr>
        <w:t>.</w:t>
      </w:r>
    </w:p>
    <w:p w14:paraId="691E6132" w14:textId="77777777" w:rsidR="007F4301" w:rsidRPr="007F4301" w:rsidRDefault="007F4301" w:rsidP="007F4301">
      <w:pPr>
        <w:numPr>
          <w:ilvl w:val="0"/>
          <w:numId w:val="54"/>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t xml:space="preserve">الحدود المكانية: </w:t>
      </w:r>
      <w:r w:rsidRPr="007F4301">
        <w:rPr>
          <w:rFonts w:ascii="Times New Roman" w:eastAsia="Calibri" w:hAnsi="Times New Roman" w:cs="Simplified Arabic"/>
          <w:sz w:val="24"/>
          <w:szCs w:val="28"/>
          <w:rtl/>
        </w:rPr>
        <w:t>طُبقت الدراسة ميدانياً على شركات ومستودعات توزيع الأدوية والمستلزمات الطبية المرخصة والعاملة في المملكة العربية السعودية.</w:t>
      </w:r>
    </w:p>
    <w:p w14:paraId="4D83B931" w14:textId="77777777" w:rsidR="007F4301" w:rsidRPr="007F4301" w:rsidRDefault="007F4301" w:rsidP="007F4301">
      <w:pPr>
        <w:numPr>
          <w:ilvl w:val="0"/>
          <w:numId w:val="54"/>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t xml:space="preserve">الحدود البشرية: </w:t>
      </w:r>
      <w:r w:rsidRPr="007F4301">
        <w:rPr>
          <w:rFonts w:ascii="Times New Roman" w:eastAsia="Calibri" w:hAnsi="Times New Roman" w:cs="Simplified Arabic"/>
          <w:sz w:val="24"/>
          <w:szCs w:val="28"/>
          <w:rtl/>
        </w:rPr>
        <w:t>شملت الدراسة الموظفين العاملين في الإدارات ذات الصلة بسلاسل الإمداد (مديرو الإمداد، مسؤولو الجودة، الصيادلة، والمشرفون اللوجستيون) في الشركات المستهدفة.</w:t>
      </w:r>
    </w:p>
    <w:p w14:paraId="51647A92" w14:textId="77777777" w:rsidR="007F4301" w:rsidRPr="007F4301" w:rsidRDefault="007F4301" w:rsidP="007F4301">
      <w:pPr>
        <w:numPr>
          <w:ilvl w:val="0"/>
          <w:numId w:val="54"/>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t xml:space="preserve">الحدود الزمنية: </w:t>
      </w:r>
      <w:r w:rsidRPr="007F4301">
        <w:rPr>
          <w:rFonts w:ascii="Times New Roman" w:eastAsia="Calibri" w:hAnsi="Times New Roman" w:cs="Simplified Arabic"/>
          <w:sz w:val="24"/>
          <w:szCs w:val="28"/>
          <w:rtl/>
        </w:rPr>
        <w:t>تم تنفيذ الإجراءات الميدانية وجمع البيانات خلال العام (2025م).</w:t>
      </w:r>
    </w:p>
    <w:p w14:paraId="16BF10DA"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t>8. مصطلحات الدراسة:</w:t>
      </w:r>
    </w:p>
    <w:p w14:paraId="3AF63E8E"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لضمان دقة المفاهيم وتوحيد الإطار الدلالي للدراسة، يتم استعراض التعريفات الاصطلاحية والإجرائية للمتغيرات على النحو الآتي:</w:t>
      </w:r>
    </w:p>
    <w:p w14:paraId="13CAB2BE"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t xml:space="preserve">أولاً: التحديات الإدارية </w:t>
      </w:r>
      <w:r w:rsidRPr="007F4301">
        <w:rPr>
          <w:rFonts w:ascii="Times New Roman" w:eastAsia="Calibri" w:hAnsi="Times New Roman" w:cs="Simplified Arabic"/>
          <w:b/>
          <w:bCs/>
          <w:sz w:val="24"/>
          <w:szCs w:val="28"/>
        </w:rPr>
        <w:t>(Administrative Challenges)</w:t>
      </w:r>
      <w:r w:rsidRPr="007F4301">
        <w:rPr>
          <w:rFonts w:ascii="Times New Roman" w:eastAsia="Calibri" w:hAnsi="Times New Roman" w:cs="Simplified Arabic"/>
          <w:b/>
          <w:bCs/>
          <w:sz w:val="24"/>
          <w:szCs w:val="28"/>
          <w:rtl/>
        </w:rPr>
        <w:t>:</w:t>
      </w:r>
    </w:p>
    <w:p w14:paraId="6237DEBD" w14:textId="77777777" w:rsidR="007F4301" w:rsidRPr="007F4301" w:rsidRDefault="007F4301" w:rsidP="007F4301">
      <w:pPr>
        <w:numPr>
          <w:ilvl w:val="0"/>
          <w:numId w:val="51"/>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عرفها العتيبي (2021، ص. 45) بأنها: "مجموعة المعوقات والمشكلات التي تواجه الإدارة في ممارسة وظائفها الأساسية من تخطيط وتنظيم وتوجيه ورقابة، مما يحول دون تحقيق الأهداف المؤسسية بالكفاءة والفاعلية المطلوبة</w:t>
      </w:r>
      <w:r w:rsidRPr="007F4301">
        <w:rPr>
          <w:rFonts w:ascii="Times New Roman" w:eastAsia="Calibri" w:hAnsi="Times New Roman" w:cs="Simplified Arabic"/>
          <w:sz w:val="24"/>
          <w:szCs w:val="28"/>
        </w:rPr>
        <w:t>"</w:t>
      </w:r>
      <w:r w:rsidRPr="007F4301">
        <w:rPr>
          <w:rFonts w:ascii="Times New Roman" w:eastAsia="Calibri" w:hAnsi="Times New Roman" w:cs="Simplified Arabic"/>
          <w:sz w:val="24"/>
          <w:szCs w:val="28"/>
          <w:rtl/>
        </w:rPr>
        <w:t>.</w:t>
      </w:r>
    </w:p>
    <w:p w14:paraId="1468EFF3" w14:textId="77777777" w:rsidR="007F4301" w:rsidRPr="007F4301" w:rsidRDefault="007F4301" w:rsidP="007F4301">
      <w:pPr>
        <w:numPr>
          <w:ilvl w:val="0"/>
          <w:numId w:val="51"/>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 xml:space="preserve">ويعرفها الشريف </w:t>
      </w:r>
      <w:r w:rsidRPr="007F4301">
        <w:rPr>
          <w:rFonts w:ascii="Times New Roman" w:eastAsia="Calibri" w:hAnsi="Times New Roman" w:cs="Simplified Arabic"/>
          <w:sz w:val="24"/>
          <w:szCs w:val="28"/>
        </w:rPr>
        <w:t>(Al-Sharif, 2022, p. 33)</w:t>
      </w:r>
      <w:r w:rsidRPr="007F4301">
        <w:rPr>
          <w:rFonts w:ascii="Times New Roman" w:eastAsia="Calibri" w:hAnsi="Times New Roman" w:cs="Simplified Arabic"/>
          <w:sz w:val="24"/>
          <w:szCs w:val="28"/>
          <w:rtl/>
        </w:rPr>
        <w:t xml:space="preserve"> بأنها: "الفجوات التنظيمية والسلوكية داخل بيئة العمل التي تؤدي إلى بطء اتخاذ القرار، وضعف التنسيق بين الوحدات الإدارية، وعدم القدرة على التكيف مع المتغيرات البيئية الخارجية</w:t>
      </w:r>
      <w:r w:rsidRPr="007F4301">
        <w:rPr>
          <w:rFonts w:ascii="Times New Roman" w:eastAsia="Calibri" w:hAnsi="Times New Roman" w:cs="Simplified Arabic"/>
          <w:sz w:val="24"/>
          <w:szCs w:val="28"/>
        </w:rPr>
        <w:t>"</w:t>
      </w:r>
      <w:r w:rsidRPr="007F4301">
        <w:rPr>
          <w:rFonts w:ascii="Times New Roman" w:eastAsia="Calibri" w:hAnsi="Times New Roman" w:cs="Simplified Arabic"/>
          <w:sz w:val="24"/>
          <w:szCs w:val="28"/>
          <w:rtl/>
        </w:rPr>
        <w:t>.</w:t>
      </w:r>
    </w:p>
    <w:p w14:paraId="18C9F759" w14:textId="77777777" w:rsidR="007F4301" w:rsidRPr="007F4301" w:rsidRDefault="007F4301" w:rsidP="007F4301">
      <w:pPr>
        <w:numPr>
          <w:ilvl w:val="0"/>
          <w:numId w:val="51"/>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 xml:space="preserve">كما يشير إليها جونسون وآخرون </w:t>
      </w:r>
      <w:r w:rsidRPr="007F4301">
        <w:rPr>
          <w:rFonts w:ascii="Times New Roman" w:eastAsia="Calibri" w:hAnsi="Times New Roman" w:cs="Simplified Arabic"/>
          <w:sz w:val="24"/>
          <w:szCs w:val="28"/>
        </w:rPr>
        <w:t>(Johnson et al., 2023, p. 112)</w:t>
      </w:r>
      <w:r w:rsidRPr="007F4301">
        <w:rPr>
          <w:rFonts w:ascii="Times New Roman" w:eastAsia="Calibri" w:hAnsi="Times New Roman" w:cs="Simplified Arabic"/>
          <w:sz w:val="24"/>
          <w:szCs w:val="28"/>
          <w:rtl/>
        </w:rPr>
        <w:t xml:space="preserve"> بأنها: "العوامل الداخلية التي تحد من قدرة المنظمة على استغلال مواردها المتاحة بالشكل الأمثل لتلبية المتطلبات التشغيلية والاستراتيجية</w:t>
      </w:r>
      <w:r w:rsidRPr="007F4301">
        <w:rPr>
          <w:rFonts w:ascii="Times New Roman" w:eastAsia="Calibri" w:hAnsi="Times New Roman" w:cs="Simplified Arabic"/>
          <w:sz w:val="24"/>
          <w:szCs w:val="28"/>
        </w:rPr>
        <w:t>"</w:t>
      </w:r>
      <w:r w:rsidRPr="007F4301">
        <w:rPr>
          <w:rFonts w:ascii="Times New Roman" w:eastAsia="Calibri" w:hAnsi="Times New Roman" w:cs="Simplified Arabic"/>
          <w:sz w:val="24"/>
          <w:szCs w:val="28"/>
          <w:rtl/>
        </w:rPr>
        <w:t>.</w:t>
      </w:r>
    </w:p>
    <w:p w14:paraId="1722E268" w14:textId="77777777" w:rsidR="007F4301" w:rsidRPr="007F4301" w:rsidRDefault="007F4301" w:rsidP="007F4301">
      <w:pPr>
        <w:numPr>
          <w:ilvl w:val="0"/>
          <w:numId w:val="51"/>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lastRenderedPageBreak/>
        <w:t xml:space="preserve">التعريف الإجرائي: </w:t>
      </w:r>
      <w:r w:rsidRPr="007F4301">
        <w:rPr>
          <w:rFonts w:ascii="Times New Roman" w:eastAsia="Calibri" w:hAnsi="Times New Roman" w:cs="Simplified Arabic"/>
          <w:sz w:val="24"/>
          <w:szCs w:val="28"/>
          <w:rtl/>
        </w:rPr>
        <w:t>هي الدرجة الكلية التي يحصل عليها المستجيبون من خلال إجابتهم عن فقرات الاستبانة المتعلقة بالمعوقات التي تواجه عمليات (التخطيط، التنظيم، التوجيه والقيادة، الرقابة) في شركات سلاسل الإمداد الطبية.</w:t>
      </w:r>
    </w:p>
    <w:p w14:paraId="305477CA"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t xml:space="preserve">ثانياً: ممارسات التوزيع الجيد </w:t>
      </w:r>
      <w:r w:rsidRPr="007F4301">
        <w:rPr>
          <w:rFonts w:ascii="Times New Roman" w:eastAsia="Calibri" w:hAnsi="Times New Roman" w:cs="Simplified Arabic"/>
          <w:b/>
          <w:bCs/>
          <w:sz w:val="24"/>
          <w:szCs w:val="28"/>
        </w:rPr>
        <w:t>(Good Distribution Practices - GDP)</w:t>
      </w:r>
      <w:r w:rsidRPr="007F4301">
        <w:rPr>
          <w:rFonts w:ascii="Times New Roman" w:eastAsia="Calibri" w:hAnsi="Times New Roman" w:cs="Simplified Arabic"/>
          <w:b/>
          <w:bCs/>
          <w:sz w:val="24"/>
          <w:szCs w:val="28"/>
          <w:rtl/>
        </w:rPr>
        <w:t>:</w:t>
      </w:r>
    </w:p>
    <w:p w14:paraId="33844937" w14:textId="77777777" w:rsidR="007F4301" w:rsidRPr="007F4301" w:rsidRDefault="007F4301" w:rsidP="007F4301">
      <w:pPr>
        <w:numPr>
          <w:ilvl w:val="0"/>
          <w:numId w:val="52"/>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 xml:space="preserve">تعرفها منظمة الصحة العالمية </w:t>
      </w:r>
      <w:r w:rsidRPr="007F4301">
        <w:rPr>
          <w:rFonts w:ascii="Times New Roman" w:eastAsia="Calibri" w:hAnsi="Times New Roman" w:cs="Simplified Arabic"/>
          <w:sz w:val="24"/>
          <w:szCs w:val="28"/>
        </w:rPr>
        <w:t>(WHO, 2020, p. 18)</w:t>
      </w:r>
      <w:r w:rsidRPr="007F4301">
        <w:rPr>
          <w:rFonts w:ascii="Times New Roman" w:eastAsia="Calibri" w:hAnsi="Times New Roman" w:cs="Simplified Arabic"/>
          <w:sz w:val="24"/>
          <w:szCs w:val="28"/>
          <w:rtl/>
        </w:rPr>
        <w:t xml:space="preserve"> بأنها: "جزء من ضمان الجودة يضمن الحفاظ على جودة المنتجات الصيدلانية وسلامتها من خلال التحكم المناسب في الأنشطة المتعددة التي تحدث أثناء عملية التوزيع</w:t>
      </w:r>
      <w:r w:rsidRPr="007F4301">
        <w:rPr>
          <w:rFonts w:ascii="Times New Roman" w:eastAsia="Calibri" w:hAnsi="Times New Roman" w:cs="Simplified Arabic"/>
          <w:sz w:val="24"/>
          <w:szCs w:val="28"/>
        </w:rPr>
        <w:t>"</w:t>
      </w:r>
      <w:r w:rsidRPr="007F4301">
        <w:rPr>
          <w:rFonts w:ascii="Times New Roman" w:eastAsia="Calibri" w:hAnsi="Times New Roman" w:cs="Simplified Arabic"/>
          <w:sz w:val="24"/>
          <w:szCs w:val="28"/>
          <w:rtl/>
        </w:rPr>
        <w:t>.</w:t>
      </w:r>
    </w:p>
    <w:p w14:paraId="74F98BBC" w14:textId="77777777" w:rsidR="007F4301" w:rsidRPr="007F4301" w:rsidRDefault="007F4301" w:rsidP="007F4301">
      <w:pPr>
        <w:numPr>
          <w:ilvl w:val="0"/>
          <w:numId w:val="52"/>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ويعرفها الغامدي (2022، ص. 67) بأنها: "نظام متكامل من المعايير واللوائح الفنية التي تفرضها الجهات الرقابية لضمان سلامة تخزين ونقل وتداول الأدوية والمستلزمات الطبية، ومنع دخول المنتجات المزيفة إلى سلسلة التوريد</w:t>
      </w:r>
      <w:r w:rsidRPr="007F4301">
        <w:rPr>
          <w:rFonts w:ascii="Times New Roman" w:eastAsia="Calibri" w:hAnsi="Times New Roman" w:cs="Simplified Arabic"/>
          <w:sz w:val="24"/>
          <w:szCs w:val="28"/>
        </w:rPr>
        <w:t>"</w:t>
      </w:r>
      <w:r w:rsidRPr="007F4301">
        <w:rPr>
          <w:rFonts w:ascii="Times New Roman" w:eastAsia="Calibri" w:hAnsi="Times New Roman" w:cs="Simplified Arabic"/>
          <w:sz w:val="24"/>
          <w:szCs w:val="28"/>
          <w:rtl/>
        </w:rPr>
        <w:t>.</w:t>
      </w:r>
    </w:p>
    <w:p w14:paraId="24729373" w14:textId="77777777" w:rsidR="007F4301" w:rsidRPr="007F4301" w:rsidRDefault="007F4301" w:rsidP="007F4301">
      <w:pPr>
        <w:numPr>
          <w:ilvl w:val="0"/>
          <w:numId w:val="52"/>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 xml:space="preserve">ويشير إليها براون </w:t>
      </w:r>
      <w:r w:rsidRPr="007F4301">
        <w:rPr>
          <w:rFonts w:ascii="Times New Roman" w:eastAsia="Calibri" w:hAnsi="Times New Roman" w:cs="Simplified Arabic"/>
          <w:sz w:val="24"/>
          <w:szCs w:val="28"/>
        </w:rPr>
        <w:t>(Brown, 2024, p. 89)</w:t>
      </w:r>
      <w:r w:rsidRPr="007F4301">
        <w:rPr>
          <w:rFonts w:ascii="Times New Roman" w:eastAsia="Calibri" w:hAnsi="Times New Roman" w:cs="Simplified Arabic"/>
          <w:sz w:val="24"/>
          <w:szCs w:val="28"/>
          <w:rtl/>
        </w:rPr>
        <w:t xml:space="preserve"> بأنها: "البروتوكولات التشغيلية التي تضمن بقاء هوية الدواء وسلامته ضمن الحدود المقبولة طوال رحلته من المصنع إلى نقطة البيع أو الاستخدام</w:t>
      </w:r>
      <w:r w:rsidRPr="007F4301">
        <w:rPr>
          <w:rFonts w:ascii="Times New Roman" w:eastAsia="Calibri" w:hAnsi="Times New Roman" w:cs="Simplified Arabic"/>
          <w:sz w:val="24"/>
          <w:szCs w:val="28"/>
        </w:rPr>
        <w:t>"</w:t>
      </w:r>
      <w:r w:rsidRPr="007F4301">
        <w:rPr>
          <w:rFonts w:ascii="Times New Roman" w:eastAsia="Calibri" w:hAnsi="Times New Roman" w:cs="Simplified Arabic"/>
          <w:sz w:val="24"/>
          <w:szCs w:val="28"/>
          <w:rtl/>
        </w:rPr>
        <w:t>.</w:t>
      </w:r>
    </w:p>
    <w:p w14:paraId="5A8F68D6" w14:textId="77777777" w:rsidR="007F4301" w:rsidRPr="007F4301" w:rsidRDefault="007F4301" w:rsidP="007F4301">
      <w:pPr>
        <w:numPr>
          <w:ilvl w:val="0"/>
          <w:numId w:val="52"/>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t xml:space="preserve">التعريف الإجرائي: </w:t>
      </w:r>
      <w:r w:rsidRPr="007F4301">
        <w:rPr>
          <w:rFonts w:ascii="Times New Roman" w:eastAsia="Calibri" w:hAnsi="Times New Roman" w:cs="Simplified Arabic"/>
          <w:sz w:val="24"/>
          <w:szCs w:val="28"/>
          <w:rtl/>
        </w:rPr>
        <w:t>هو مستوى التزام شركات سلاسل الإمداد الطبية بالمعايير والاشتراطات الخاصة بالتخزين، والنقل، والتوثيق، والتتبع، كما يقيسها المحور الخاص بهذا المتغير في أداة الدراسة.</w:t>
      </w:r>
    </w:p>
    <w:p w14:paraId="4AB5AD36"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t xml:space="preserve">ثالثاً: سلاسل الإمداد الطبية </w:t>
      </w:r>
      <w:r w:rsidRPr="007F4301">
        <w:rPr>
          <w:rFonts w:ascii="Times New Roman" w:eastAsia="Calibri" w:hAnsi="Times New Roman" w:cs="Simplified Arabic"/>
          <w:b/>
          <w:bCs/>
          <w:sz w:val="24"/>
          <w:szCs w:val="28"/>
        </w:rPr>
        <w:t>(Medical Supply Chains)</w:t>
      </w:r>
      <w:r w:rsidRPr="007F4301">
        <w:rPr>
          <w:rFonts w:ascii="Times New Roman" w:eastAsia="Calibri" w:hAnsi="Times New Roman" w:cs="Simplified Arabic"/>
          <w:b/>
          <w:bCs/>
          <w:sz w:val="24"/>
          <w:szCs w:val="28"/>
          <w:rtl/>
        </w:rPr>
        <w:t>:</w:t>
      </w:r>
    </w:p>
    <w:p w14:paraId="36C2D7CB" w14:textId="77777777" w:rsidR="007F4301" w:rsidRPr="007F4301" w:rsidRDefault="007F4301" w:rsidP="007F4301">
      <w:pPr>
        <w:numPr>
          <w:ilvl w:val="0"/>
          <w:numId w:val="53"/>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يعرفها عبد الله (2019، ص. 22) بأنها: "شبكة معقدة من المؤسسات والأفراد والتكنولوجيا والأنشطة والمعلومات والموارد المشاركة في نقل المنتجات والخدمات الطبية من الموردين إلى العملاء النهائيين</w:t>
      </w:r>
      <w:r w:rsidRPr="007F4301">
        <w:rPr>
          <w:rFonts w:ascii="Times New Roman" w:eastAsia="Calibri" w:hAnsi="Times New Roman" w:cs="Simplified Arabic"/>
          <w:sz w:val="24"/>
          <w:szCs w:val="28"/>
        </w:rPr>
        <w:t>"</w:t>
      </w:r>
      <w:r w:rsidRPr="007F4301">
        <w:rPr>
          <w:rFonts w:ascii="Times New Roman" w:eastAsia="Calibri" w:hAnsi="Times New Roman" w:cs="Simplified Arabic"/>
          <w:sz w:val="24"/>
          <w:szCs w:val="28"/>
          <w:rtl/>
        </w:rPr>
        <w:t>.</w:t>
      </w:r>
    </w:p>
    <w:p w14:paraId="6BDD6527" w14:textId="77777777" w:rsidR="007F4301" w:rsidRPr="007F4301" w:rsidRDefault="007F4301" w:rsidP="007F4301">
      <w:pPr>
        <w:numPr>
          <w:ilvl w:val="0"/>
          <w:numId w:val="53"/>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 xml:space="preserve">وتعرفها سميث </w:t>
      </w:r>
      <w:r w:rsidRPr="007F4301">
        <w:rPr>
          <w:rFonts w:ascii="Times New Roman" w:eastAsia="Calibri" w:hAnsi="Times New Roman" w:cs="Simplified Arabic"/>
          <w:sz w:val="24"/>
          <w:szCs w:val="28"/>
        </w:rPr>
        <w:t>(Smith, 2021, p. 55)</w:t>
      </w:r>
      <w:r w:rsidRPr="007F4301">
        <w:rPr>
          <w:rFonts w:ascii="Times New Roman" w:eastAsia="Calibri" w:hAnsi="Times New Roman" w:cs="Simplified Arabic"/>
          <w:sz w:val="24"/>
          <w:szCs w:val="28"/>
          <w:rtl/>
        </w:rPr>
        <w:t xml:space="preserve"> بأنها: "المنظومة التي تدير تدفق المعلومات والمواد والأموال بين مختلف الأطراف المعنية بالرعاية الصحية لضمان توفر المنتج الطبي في الوقت والمكان المناسبين وبالتكلفة المناسبة</w:t>
      </w:r>
      <w:r w:rsidRPr="007F4301">
        <w:rPr>
          <w:rFonts w:ascii="Times New Roman" w:eastAsia="Calibri" w:hAnsi="Times New Roman" w:cs="Simplified Arabic"/>
          <w:sz w:val="24"/>
          <w:szCs w:val="28"/>
        </w:rPr>
        <w:t>"</w:t>
      </w:r>
      <w:r w:rsidRPr="007F4301">
        <w:rPr>
          <w:rFonts w:ascii="Times New Roman" w:eastAsia="Calibri" w:hAnsi="Times New Roman" w:cs="Simplified Arabic"/>
          <w:sz w:val="24"/>
          <w:szCs w:val="28"/>
          <w:rtl/>
        </w:rPr>
        <w:t>.</w:t>
      </w:r>
    </w:p>
    <w:p w14:paraId="277E8447" w14:textId="77777777" w:rsidR="007F4301" w:rsidRPr="007F4301" w:rsidRDefault="007F4301" w:rsidP="007F4301">
      <w:pPr>
        <w:numPr>
          <w:ilvl w:val="0"/>
          <w:numId w:val="53"/>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lastRenderedPageBreak/>
        <w:t xml:space="preserve">ويصفها المالكي </w:t>
      </w:r>
      <w:r w:rsidRPr="007F4301">
        <w:rPr>
          <w:rFonts w:ascii="Times New Roman" w:eastAsia="Calibri" w:hAnsi="Times New Roman" w:cs="Simplified Arabic"/>
          <w:sz w:val="24"/>
          <w:szCs w:val="28"/>
        </w:rPr>
        <w:t>(Al-Malki, 2023, p. 104)</w:t>
      </w:r>
      <w:r w:rsidRPr="007F4301">
        <w:rPr>
          <w:rFonts w:ascii="Times New Roman" w:eastAsia="Calibri" w:hAnsi="Times New Roman" w:cs="Simplified Arabic"/>
          <w:sz w:val="24"/>
          <w:szCs w:val="28"/>
          <w:rtl/>
        </w:rPr>
        <w:t xml:space="preserve"> بأنها: "العمليات التكاملية التي تشمل التنبؤ بالطلب، والشراء، وإدارة المخزون، والتوزيع المادي للمنتجات الصحية لضمان استمرار تقديم الخدمة العلاجية</w:t>
      </w:r>
      <w:r w:rsidRPr="007F4301">
        <w:rPr>
          <w:rFonts w:ascii="Times New Roman" w:eastAsia="Calibri" w:hAnsi="Times New Roman" w:cs="Simplified Arabic"/>
          <w:sz w:val="24"/>
          <w:szCs w:val="28"/>
        </w:rPr>
        <w:t>"</w:t>
      </w:r>
      <w:r w:rsidRPr="007F4301">
        <w:rPr>
          <w:rFonts w:ascii="Times New Roman" w:eastAsia="Calibri" w:hAnsi="Times New Roman" w:cs="Simplified Arabic"/>
          <w:sz w:val="24"/>
          <w:szCs w:val="28"/>
          <w:rtl/>
        </w:rPr>
        <w:t>.</w:t>
      </w:r>
    </w:p>
    <w:p w14:paraId="3BA55C0E" w14:textId="77777777" w:rsidR="007F4301" w:rsidRPr="007F4301" w:rsidRDefault="007F4301" w:rsidP="007F4301">
      <w:pPr>
        <w:numPr>
          <w:ilvl w:val="0"/>
          <w:numId w:val="53"/>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t xml:space="preserve">التعريف الإجرائي: </w:t>
      </w:r>
      <w:r w:rsidRPr="007F4301">
        <w:rPr>
          <w:rFonts w:ascii="Times New Roman" w:eastAsia="Calibri" w:hAnsi="Times New Roman" w:cs="Simplified Arabic"/>
          <w:sz w:val="24"/>
          <w:szCs w:val="28"/>
          <w:rtl/>
        </w:rPr>
        <w:t>يقصد بها في هذه الدراسة جميع الشركات والمؤسسات المرخصة العاملة في مجال استيراد وتخزين وتوزيع الأدوية والمستلزمات الطبية في المملكة العربية السعودية، والتي سيتم تطبيق أداة الدراسة عليها.</w:t>
      </w:r>
    </w:p>
    <w:p w14:paraId="45E531F4" w14:textId="1F72E147" w:rsidR="00586478" w:rsidRPr="00586478" w:rsidRDefault="00586478" w:rsidP="00D90C81">
      <w:pPr>
        <w:spacing w:after="240" w:line="276" w:lineRule="auto"/>
        <w:ind w:firstLine="510"/>
        <w:jc w:val="both"/>
        <w:rPr>
          <w:rFonts w:ascii="Times New Roman" w:eastAsia="Calibri" w:hAnsi="Times New Roman" w:cs="Simplified Arabic"/>
          <w:sz w:val="24"/>
          <w:szCs w:val="28"/>
        </w:rPr>
      </w:pPr>
      <w:r w:rsidRPr="00586478">
        <w:rPr>
          <w:rFonts w:ascii="Times New Roman" w:eastAsia="Calibri" w:hAnsi="Times New Roman" w:cs="Simplified Arabic"/>
          <w:sz w:val="24"/>
          <w:szCs w:val="28"/>
          <w:rtl/>
        </w:rPr>
        <w:t xml:space="preserve"> </w:t>
      </w:r>
    </w:p>
    <w:p w14:paraId="04BA445F" w14:textId="77777777" w:rsidR="00586478" w:rsidRPr="00586478" w:rsidRDefault="00586478" w:rsidP="00586478">
      <w:pPr>
        <w:spacing w:after="240" w:line="276" w:lineRule="auto"/>
        <w:ind w:firstLine="510"/>
        <w:jc w:val="both"/>
        <w:rPr>
          <w:rFonts w:ascii="Times New Roman" w:eastAsia="Calibri" w:hAnsi="Times New Roman" w:cs="Simplified Arabic"/>
          <w:sz w:val="24"/>
          <w:szCs w:val="28"/>
          <w:rtl/>
        </w:rPr>
      </w:pPr>
      <w:r w:rsidRPr="00586478">
        <w:rPr>
          <w:rFonts w:ascii="Times New Roman" w:eastAsia="Calibri" w:hAnsi="Times New Roman" w:cs="Simplified Arabic"/>
          <w:sz w:val="24"/>
          <w:szCs w:val="28"/>
          <w:rtl/>
        </w:rPr>
        <w:br w:type="page"/>
      </w:r>
    </w:p>
    <w:p w14:paraId="78DDA51C" w14:textId="77777777" w:rsidR="00586478" w:rsidRPr="00586478" w:rsidRDefault="00586478" w:rsidP="00586478">
      <w:pPr>
        <w:spacing w:after="240" w:line="276" w:lineRule="auto"/>
        <w:ind w:firstLine="284"/>
        <w:jc w:val="both"/>
        <w:rPr>
          <w:rFonts w:ascii="Times New Roman" w:eastAsia="Calibri" w:hAnsi="Times New Roman" w:cs="Simplified Arabic"/>
          <w:sz w:val="24"/>
          <w:szCs w:val="28"/>
          <w:rtl/>
        </w:rPr>
      </w:pPr>
    </w:p>
    <w:p w14:paraId="6A1410A4" w14:textId="77777777" w:rsidR="00586478" w:rsidRPr="00586478" w:rsidRDefault="00586478" w:rsidP="00586478">
      <w:pPr>
        <w:spacing w:line="257" w:lineRule="auto"/>
        <w:ind w:firstLine="284"/>
        <w:jc w:val="both"/>
        <w:rPr>
          <w:rFonts w:ascii="Times New Roman" w:eastAsia="Calibri" w:hAnsi="Times New Roman" w:cs="Simplified Arabic"/>
          <w:sz w:val="24"/>
          <w:szCs w:val="28"/>
          <w:rtl/>
        </w:rPr>
      </w:pPr>
    </w:p>
    <w:p w14:paraId="1ECF4BF5" w14:textId="77777777" w:rsidR="00586478" w:rsidRPr="00586478" w:rsidRDefault="00586478" w:rsidP="00586478">
      <w:pPr>
        <w:spacing w:after="200" w:line="276" w:lineRule="auto"/>
        <w:rPr>
          <w:rFonts w:ascii="Simplified Arabic" w:eastAsia="Calibri" w:hAnsi="Simplified Arabic" w:cs="PT Bold Heading"/>
          <w:sz w:val="48"/>
          <w:szCs w:val="48"/>
          <w:rtl/>
        </w:rPr>
      </w:pPr>
      <w:bookmarkStart w:id="4" w:name="_Hlk200813560"/>
      <w:bookmarkEnd w:id="3"/>
    </w:p>
    <w:p w14:paraId="11A1AA75" w14:textId="77777777" w:rsidR="00586478" w:rsidRPr="00586478" w:rsidRDefault="00586478" w:rsidP="00586478">
      <w:pPr>
        <w:spacing w:line="276" w:lineRule="auto"/>
        <w:jc w:val="center"/>
        <w:rPr>
          <w:rFonts w:ascii="Simplified Arabic" w:eastAsia="Calibri" w:hAnsi="Simplified Arabic" w:cs="PT Bold Heading"/>
          <w:sz w:val="48"/>
          <w:szCs w:val="48"/>
          <w:rtl/>
        </w:rPr>
      </w:pPr>
      <w:r w:rsidRPr="00586478">
        <w:rPr>
          <w:rFonts w:ascii="Simplified Arabic" w:eastAsia="Calibri" w:hAnsi="Simplified Arabic" w:cs="PT Bold Heading"/>
          <w:sz w:val="48"/>
          <w:szCs w:val="48"/>
          <w:rtl/>
        </w:rPr>
        <w:t>الفصل الثاني</w:t>
      </w:r>
    </w:p>
    <w:p w14:paraId="021503AE" w14:textId="77777777" w:rsidR="00586478" w:rsidRPr="00586478" w:rsidRDefault="00586478" w:rsidP="00586478">
      <w:pPr>
        <w:spacing w:line="276" w:lineRule="auto"/>
        <w:jc w:val="center"/>
        <w:rPr>
          <w:rFonts w:ascii="Simplified Arabic" w:eastAsia="Calibri" w:hAnsi="Simplified Arabic" w:cs="PT Bold Heading"/>
          <w:sz w:val="48"/>
          <w:szCs w:val="48"/>
          <w:rtl/>
        </w:rPr>
      </w:pPr>
      <w:r w:rsidRPr="00586478">
        <w:rPr>
          <w:rFonts w:ascii="Simplified Arabic" w:eastAsia="Calibri" w:hAnsi="Simplified Arabic" w:cs="PT Bold Heading"/>
          <w:sz w:val="48"/>
          <w:szCs w:val="48"/>
          <w:rtl/>
        </w:rPr>
        <w:t>الإطار النظري والدراسات السابقة</w:t>
      </w:r>
    </w:p>
    <w:p w14:paraId="7B3ACE06" w14:textId="77777777" w:rsidR="00586478" w:rsidRPr="00586478" w:rsidRDefault="00586478" w:rsidP="00586478">
      <w:pPr>
        <w:spacing w:line="276" w:lineRule="auto"/>
        <w:jc w:val="center"/>
        <w:rPr>
          <w:rFonts w:ascii="Simplified Arabic" w:eastAsia="Calibri" w:hAnsi="Simplified Arabic" w:cs="PT Bold Heading"/>
          <w:sz w:val="48"/>
          <w:szCs w:val="48"/>
          <w:rtl/>
        </w:rPr>
      </w:pPr>
    </w:p>
    <w:p w14:paraId="19FEB5A5" w14:textId="77777777" w:rsidR="00586478" w:rsidRPr="00586478" w:rsidRDefault="00586478" w:rsidP="00586478">
      <w:pPr>
        <w:numPr>
          <w:ilvl w:val="0"/>
          <w:numId w:val="1"/>
        </w:numPr>
        <w:spacing w:line="276" w:lineRule="auto"/>
        <w:contextualSpacing/>
        <w:rPr>
          <w:rFonts w:ascii="Simplified Arabic" w:eastAsia="Calibri" w:hAnsi="Simplified Arabic" w:cs="PT Bold Heading"/>
          <w:sz w:val="36"/>
          <w:szCs w:val="36"/>
          <w:rtl/>
        </w:rPr>
      </w:pPr>
      <w:r w:rsidRPr="00586478">
        <w:rPr>
          <w:rFonts w:ascii="Simplified Arabic" w:eastAsia="Calibri" w:hAnsi="Simplified Arabic" w:cs="PT Bold Heading"/>
          <w:sz w:val="36"/>
          <w:szCs w:val="36"/>
          <w:rtl/>
        </w:rPr>
        <w:t>مقدمة</w:t>
      </w:r>
    </w:p>
    <w:p w14:paraId="5B8B2FEA" w14:textId="77777777" w:rsidR="00586478" w:rsidRPr="00586478" w:rsidRDefault="00586478" w:rsidP="00586478">
      <w:pPr>
        <w:spacing w:line="276" w:lineRule="auto"/>
        <w:ind w:left="1077"/>
        <w:rPr>
          <w:rFonts w:ascii="Simplified Arabic" w:eastAsia="Calibri" w:hAnsi="Simplified Arabic" w:cs="PT Bold Heading"/>
          <w:sz w:val="2"/>
          <w:szCs w:val="2"/>
          <w:rtl/>
        </w:rPr>
      </w:pPr>
    </w:p>
    <w:p w14:paraId="05BA0DF6" w14:textId="77777777" w:rsidR="00586478" w:rsidRPr="00586478" w:rsidRDefault="00586478" w:rsidP="00586478">
      <w:pPr>
        <w:numPr>
          <w:ilvl w:val="0"/>
          <w:numId w:val="1"/>
        </w:numPr>
        <w:spacing w:line="276" w:lineRule="auto"/>
        <w:contextualSpacing/>
        <w:rPr>
          <w:rFonts w:ascii="Simplified Arabic" w:eastAsia="Calibri" w:hAnsi="Simplified Arabic" w:cs="PT Bold Heading"/>
          <w:sz w:val="36"/>
          <w:szCs w:val="36"/>
          <w:rtl/>
        </w:rPr>
      </w:pPr>
      <w:r w:rsidRPr="00586478">
        <w:rPr>
          <w:rFonts w:ascii="Simplified Arabic" w:eastAsia="Calibri" w:hAnsi="Simplified Arabic" w:cs="PT Bold Heading"/>
          <w:sz w:val="36"/>
          <w:szCs w:val="36"/>
          <w:rtl/>
        </w:rPr>
        <w:t xml:space="preserve">المحور الأول: الدراسات السابقة </w:t>
      </w:r>
    </w:p>
    <w:p w14:paraId="4DB643B3" w14:textId="77777777" w:rsidR="00586478" w:rsidRPr="00586478" w:rsidRDefault="00586478" w:rsidP="00586478">
      <w:pPr>
        <w:spacing w:line="276" w:lineRule="auto"/>
        <w:ind w:left="1077"/>
        <w:rPr>
          <w:rFonts w:ascii="Simplified Arabic" w:eastAsia="Calibri" w:hAnsi="Simplified Arabic" w:cs="PT Bold Heading"/>
          <w:sz w:val="2"/>
          <w:szCs w:val="2"/>
          <w:rtl/>
        </w:rPr>
      </w:pPr>
    </w:p>
    <w:p w14:paraId="644FFFBE" w14:textId="77777777" w:rsidR="00586478" w:rsidRPr="00586478" w:rsidRDefault="00586478" w:rsidP="00586478">
      <w:pPr>
        <w:numPr>
          <w:ilvl w:val="0"/>
          <w:numId w:val="1"/>
        </w:numPr>
        <w:spacing w:line="276" w:lineRule="auto"/>
        <w:contextualSpacing/>
        <w:rPr>
          <w:rFonts w:ascii="Simplified Arabic" w:eastAsia="Calibri" w:hAnsi="Simplified Arabic" w:cs="PT Bold Heading"/>
          <w:sz w:val="36"/>
          <w:szCs w:val="36"/>
          <w:rtl/>
        </w:rPr>
      </w:pPr>
      <w:r w:rsidRPr="00586478">
        <w:rPr>
          <w:rFonts w:ascii="Simplified Arabic" w:eastAsia="Calibri" w:hAnsi="Simplified Arabic" w:cs="PT Bold Heading"/>
          <w:sz w:val="36"/>
          <w:szCs w:val="36"/>
          <w:rtl/>
        </w:rPr>
        <w:t>المحور الثاني: الإطار النظري للدراسة</w:t>
      </w:r>
    </w:p>
    <w:bookmarkEnd w:id="4"/>
    <w:p w14:paraId="6C13146E" w14:textId="77777777" w:rsidR="00586478" w:rsidRPr="00586478" w:rsidRDefault="00586478" w:rsidP="00586478">
      <w:pPr>
        <w:spacing w:line="276" w:lineRule="auto"/>
        <w:jc w:val="center"/>
        <w:rPr>
          <w:rFonts w:ascii="Simplified Arabic" w:eastAsia="Calibri" w:hAnsi="Simplified Arabic" w:cs="PT Bold Heading"/>
          <w:sz w:val="42"/>
          <w:szCs w:val="42"/>
          <w:rtl/>
        </w:rPr>
      </w:pPr>
    </w:p>
    <w:p w14:paraId="3303BC31" w14:textId="77777777" w:rsidR="00586478" w:rsidRPr="00586478" w:rsidRDefault="00586478" w:rsidP="00586478">
      <w:pPr>
        <w:spacing w:line="257" w:lineRule="auto"/>
        <w:ind w:firstLine="284"/>
        <w:jc w:val="center"/>
        <w:rPr>
          <w:rFonts w:ascii="Simplified Arabic" w:eastAsia="Calibri" w:hAnsi="Simplified Arabic" w:cs="Simplified Arabic"/>
          <w:sz w:val="28"/>
          <w:szCs w:val="28"/>
          <w:lang w:bidi="ar-EG"/>
        </w:rPr>
      </w:pPr>
      <w:r w:rsidRPr="00586478">
        <w:rPr>
          <w:rFonts w:ascii="Simplified Arabic" w:eastAsia="Calibri" w:hAnsi="Simplified Arabic" w:cs="PT Bold Heading"/>
          <w:sz w:val="48"/>
          <w:szCs w:val="48"/>
          <w:rtl/>
        </w:rPr>
        <w:br w:type="page"/>
      </w:r>
    </w:p>
    <w:p w14:paraId="315783EF" w14:textId="77777777" w:rsidR="00586478" w:rsidRPr="00586478" w:rsidRDefault="00586478" w:rsidP="00586478">
      <w:pPr>
        <w:spacing w:line="276" w:lineRule="auto"/>
        <w:jc w:val="center"/>
        <w:rPr>
          <w:rFonts w:ascii="Simplified Arabic" w:eastAsia="Calibri" w:hAnsi="Simplified Arabic" w:cs="PT Bold Heading"/>
          <w:sz w:val="32"/>
          <w:szCs w:val="32"/>
          <w:rtl/>
        </w:rPr>
      </w:pPr>
      <w:r w:rsidRPr="00586478">
        <w:rPr>
          <w:rFonts w:ascii="Simplified Arabic" w:eastAsia="Calibri" w:hAnsi="Simplified Arabic" w:cs="PT Bold Heading"/>
          <w:sz w:val="32"/>
          <w:szCs w:val="32"/>
          <w:rtl/>
        </w:rPr>
        <w:lastRenderedPageBreak/>
        <w:t>الفصل الثاني</w:t>
      </w:r>
    </w:p>
    <w:p w14:paraId="056D4364" w14:textId="77777777" w:rsidR="00586478" w:rsidRPr="00586478" w:rsidRDefault="00586478" w:rsidP="00586478">
      <w:pPr>
        <w:spacing w:line="276" w:lineRule="auto"/>
        <w:jc w:val="center"/>
        <w:rPr>
          <w:rFonts w:ascii="Simplified Arabic" w:eastAsia="Calibri" w:hAnsi="Simplified Arabic" w:cs="PT Bold Heading"/>
          <w:sz w:val="32"/>
          <w:szCs w:val="32"/>
          <w:rtl/>
        </w:rPr>
      </w:pPr>
      <w:r w:rsidRPr="00586478">
        <w:rPr>
          <w:rFonts w:ascii="Simplified Arabic" w:eastAsia="Calibri" w:hAnsi="Simplified Arabic" w:cs="PT Bold Heading"/>
          <w:sz w:val="32"/>
          <w:szCs w:val="32"/>
          <w:rtl/>
        </w:rPr>
        <w:t>الإطار النظري والدراسات السابقة</w:t>
      </w:r>
    </w:p>
    <w:p w14:paraId="14345410" w14:textId="77777777" w:rsidR="006F10AA" w:rsidRDefault="006F10AA" w:rsidP="00586478">
      <w:pPr>
        <w:spacing w:after="240" w:line="276" w:lineRule="auto"/>
        <w:ind w:firstLine="284"/>
        <w:jc w:val="both"/>
        <w:rPr>
          <w:rFonts w:ascii="Times New Roman" w:eastAsia="Calibri" w:hAnsi="Times New Roman" w:cs="Simplified Arabic"/>
          <w:b/>
          <w:bCs/>
          <w:sz w:val="24"/>
          <w:szCs w:val="28"/>
          <w:rtl/>
        </w:rPr>
      </w:pPr>
    </w:p>
    <w:p w14:paraId="4BBF0574" w14:textId="3230C64D" w:rsidR="00586478" w:rsidRPr="00586478" w:rsidRDefault="00586478" w:rsidP="00586478">
      <w:pPr>
        <w:spacing w:after="240" w:line="276" w:lineRule="auto"/>
        <w:ind w:firstLine="284"/>
        <w:jc w:val="both"/>
        <w:rPr>
          <w:rFonts w:ascii="Times New Roman" w:eastAsia="Calibri" w:hAnsi="Times New Roman" w:cs="Simplified Arabic"/>
          <w:b/>
          <w:bCs/>
          <w:sz w:val="24"/>
          <w:szCs w:val="28"/>
          <w:rtl/>
        </w:rPr>
      </w:pPr>
      <w:r w:rsidRPr="00586478">
        <w:rPr>
          <w:rFonts w:ascii="Times New Roman" w:eastAsia="Calibri" w:hAnsi="Times New Roman" w:cs="Simplified Arabic"/>
          <w:b/>
          <w:bCs/>
          <w:sz w:val="24"/>
          <w:szCs w:val="28"/>
          <w:rtl/>
        </w:rPr>
        <w:t>مقدمة</w:t>
      </w:r>
    </w:p>
    <w:p w14:paraId="4AF09F81"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tl/>
        </w:rPr>
      </w:pPr>
      <w:bookmarkStart w:id="5" w:name="_Hlk213788421"/>
      <w:r w:rsidRPr="007F4301">
        <w:rPr>
          <w:rFonts w:ascii="Times New Roman" w:eastAsia="Calibri" w:hAnsi="Times New Roman" w:cs="Simplified Arabic"/>
          <w:sz w:val="24"/>
          <w:szCs w:val="28"/>
          <w:rtl/>
        </w:rPr>
        <w:t>يتناول هذا الفصل البناء المعرفي للدراسة من خلال استعراض الأطر النظرية والمفاهيمية للمتغيرات البحثية، وتحليل الأدبيات السابقة التي تقاطعت مع موضوع الدراسة الحالية. ويهدف هذا الفصل إلى تأصيل العلاقة بين التحديات الإدارية وتطبيق ممارسات التوزيع الجيد (</w:t>
      </w:r>
      <w:r w:rsidRPr="007F4301">
        <w:rPr>
          <w:rFonts w:ascii="Times New Roman" w:eastAsia="Calibri" w:hAnsi="Times New Roman" w:cs="Simplified Arabic"/>
          <w:sz w:val="24"/>
          <w:szCs w:val="28"/>
        </w:rPr>
        <w:t>GDP</w:t>
      </w:r>
      <w:r w:rsidRPr="007F4301">
        <w:rPr>
          <w:rFonts w:ascii="Times New Roman" w:eastAsia="Calibri" w:hAnsi="Times New Roman" w:cs="Simplified Arabic"/>
          <w:sz w:val="24"/>
          <w:szCs w:val="28"/>
          <w:rtl/>
        </w:rPr>
        <w:t>) في سلاسل الإمداد الطبية، عبر تتبع التطور التاريخي والمعرفي لهذه المفاهيم. وينقسم الفصل إلى محورين رئيسين؛ يركز الأول على الإطار النظري الذي يفكك أبعاد المتغير المستقل (التحديات الإدارية) والمتغير التابع (ممارسات التوزيع الجيد)، في حين يستعرض المحور الثاني الدراسات السابقة (العربية والأجنبية) ذات الصلة، مع تقديم قراءة نقدية لها لتحديد الفجوة البحثية التي تسعى هذه الدراسة إلى سدها، وإبراز القيمة المضافة التي ستقدمها للمكتبة العربية والقطاع الصحي في المملكة العربية السعودية.</w:t>
      </w:r>
    </w:p>
    <w:p w14:paraId="5B2D0A5A" w14:textId="77777777" w:rsidR="007F4301" w:rsidRPr="006F10AA" w:rsidRDefault="007F4301" w:rsidP="006F10AA">
      <w:pPr>
        <w:spacing w:after="240" w:line="276" w:lineRule="auto"/>
        <w:ind w:firstLine="510"/>
        <w:jc w:val="center"/>
        <w:rPr>
          <w:rFonts w:ascii="Times New Roman" w:eastAsia="Calibri" w:hAnsi="Times New Roman" w:cs="Simplified Arabic"/>
          <w:b/>
          <w:bCs/>
          <w:sz w:val="28"/>
          <w:szCs w:val="32"/>
        </w:rPr>
      </w:pPr>
      <w:r w:rsidRPr="006F10AA">
        <w:rPr>
          <w:rFonts w:ascii="Times New Roman" w:eastAsia="Calibri" w:hAnsi="Times New Roman" w:cs="Simplified Arabic"/>
          <w:b/>
          <w:bCs/>
          <w:sz w:val="28"/>
          <w:szCs w:val="32"/>
          <w:rtl/>
        </w:rPr>
        <w:t>المحور الأول: الدراسات السابقة</w:t>
      </w:r>
    </w:p>
    <w:p w14:paraId="69F30F9C"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t>تمهيد:</w:t>
      </w:r>
    </w:p>
    <w:p w14:paraId="2CAAC99C" w14:textId="77777777" w:rsidR="007F4301" w:rsidRDefault="007F4301" w:rsidP="007F4301">
      <w:pPr>
        <w:spacing w:after="240" w:line="276" w:lineRule="auto"/>
        <w:ind w:firstLine="510"/>
        <w:jc w:val="both"/>
        <w:rPr>
          <w:rFonts w:ascii="Times New Roman" w:eastAsia="Calibri" w:hAnsi="Times New Roman" w:cs="Simplified Arabic"/>
          <w:sz w:val="24"/>
          <w:szCs w:val="28"/>
          <w:rtl/>
        </w:rPr>
      </w:pPr>
      <w:r w:rsidRPr="007F4301">
        <w:rPr>
          <w:rFonts w:ascii="Times New Roman" w:eastAsia="Calibri" w:hAnsi="Times New Roman" w:cs="Simplified Arabic"/>
          <w:sz w:val="24"/>
          <w:szCs w:val="28"/>
          <w:rtl/>
        </w:rPr>
        <w:t>يستعرض هذا الفصل تحليلياً للأدبيات البحثية التي شكلت التراكم المعرفي لموضوع الدراسة، حيث تم مسح قواعد البيانات العلمية لرصد الجهود البحثية التي تقاطعت مع متغيرات الدراسة الحالية، سواء فيما يتعلق بالتحديات الإدارية في القطاع الصحي، أو تطبيق ممارسات التوزيع الجيد في سلاسل الإمداد. وتم تقسيم هذا الفصل إلى محورين رئيسين، يخصص الأول للدراسات العربية (المحلية والإقليمية) مرتبة زمنياً من الأحدث إلى الأقدم، بينما يتناول الثاني الدراسات الأجنبية، وصولاً إلى التعقيب العام وتحديد الفجوة البحثية.</w:t>
      </w:r>
    </w:p>
    <w:p w14:paraId="59BFC1E8" w14:textId="77777777" w:rsidR="006F10AA" w:rsidRPr="007F4301" w:rsidRDefault="006F10AA" w:rsidP="007F4301">
      <w:pPr>
        <w:spacing w:after="240" w:line="276" w:lineRule="auto"/>
        <w:ind w:firstLine="510"/>
        <w:jc w:val="both"/>
        <w:rPr>
          <w:rFonts w:ascii="Times New Roman" w:eastAsia="Calibri" w:hAnsi="Times New Roman" w:cs="Simplified Arabic"/>
          <w:sz w:val="24"/>
          <w:szCs w:val="28"/>
          <w:rtl/>
        </w:rPr>
      </w:pPr>
    </w:p>
    <w:p w14:paraId="2F053BC4"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lastRenderedPageBreak/>
        <w:t>أولاً: الدراسات المحلية والعربية:</w:t>
      </w:r>
    </w:p>
    <w:p w14:paraId="76D29CBA"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tl/>
        </w:rPr>
      </w:pPr>
      <w:r w:rsidRPr="007F4301">
        <w:rPr>
          <w:rFonts w:ascii="Times New Roman" w:eastAsia="Calibri" w:hAnsi="Times New Roman" w:cs="Simplified Arabic"/>
          <w:sz w:val="24"/>
          <w:szCs w:val="28"/>
          <w:rtl/>
        </w:rPr>
        <w:t xml:space="preserve">حظي موضوع إدارة سلاسل الإمداد الطبية باهتمام متزايد من قبل الباحثين العرب، لا سيما في ظل التحولات الهيكلية التي شهدتها النظم الصحية مؤخراً. وفي طليعة هذه الدراسات: </w:t>
      </w:r>
    </w:p>
    <w:p w14:paraId="08D37333"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 xml:space="preserve">ركزت دراسة </w:t>
      </w:r>
      <w:r w:rsidRPr="007F4301">
        <w:rPr>
          <w:rFonts w:ascii="Times New Roman" w:eastAsia="Calibri" w:hAnsi="Times New Roman" w:cs="Simplified Arabic"/>
          <w:b/>
          <w:bCs/>
          <w:sz w:val="24"/>
          <w:szCs w:val="28"/>
          <w:rtl/>
        </w:rPr>
        <w:t xml:space="preserve">الشهري </w:t>
      </w:r>
      <w:r w:rsidRPr="007F4301">
        <w:rPr>
          <w:rFonts w:ascii="Times New Roman" w:eastAsia="Calibri" w:hAnsi="Times New Roman" w:cs="Simplified Arabic"/>
          <w:b/>
          <w:bCs/>
          <w:sz w:val="24"/>
          <w:szCs w:val="28"/>
        </w:rPr>
        <w:t>(2024)</w:t>
      </w:r>
      <w:r w:rsidRPr="007F4301">
        <w:rPr>
          <w:rFonts w:ascii="Times New Roman" w:eastAsia="Calibri" w:hAnsi="Times New Roman" w:cs="Simplified Arabic"/>
          <w:sz w:val="24"/>
          <w:szCs w:val="28"/>
          <w:rtl/>
        </w:rPr>
        <w:t xml:space="preserve"> على "أثر القيادة التحويلية في تعزيز ممارسات الجودة في شركات الأدوية السعودية"، حيث هدفت إلى بيان دور النمط القيادي في الالتزام بمعايير الهيئة العامة للغذاء والدواء. وباستخدام المنهج الارتباطي وعينة مكونة من (310) موظفين، توصلت النتائج إلى وجود علاقة طردية قوية بين دعم القيادة العليا وتطبيق معايير الجودة الشاملة في التوزيع، حيث بينت التحليلات أن القادة الذين يتبنون التحفيز </w:t>
      </w:r>
      <w:proofErr w:type="spellStart"/>
      <w:r w:rsidRPr="007F4301">
        <w:rPr>
          <w:rFonts w:ascii="Times New Roman" w:eastAsia="Calibri" w:hAnsi="Times New Roman" w:cs="Simplified Arabic"/>
          <w:sz w:val="24"/>
          <w:szCs w:val="28"/>
          <w:rtl/>
        </w:rPr>
        <w:t>الإلهامي</w:t>
      </w:r>
      <w:proofErr w:type="spellEnd"/>
      <w:r w:rsidRPr="007F4301">
        <w:rPr>
          <w:rFonts w:ascii="Times New Roman" w:eastAsia="Calibri" w:hAnsi="Times New Roman" w:cs="Simplified Arabic"/>
          <w:sz w:val="24"/>
          <w:szCs w:val="28"/>
          <w:rtl/>
        </w:rPr>
        <w:t xml:space="preserve"> والاعتبار الفردي يسهمون في خفض معدلات الأخطاء التشغيلية بنسبة ملحوظة، وأن غياب التوجيه القيادي الواضح يُعد المسبب الرئيس لظاهرة "الامتثال الصوري" للوائح دون تطبيق فعلي، موصية بتطوير برامج لتأهيل القيادات الوسطى في قطاع الإمداد لتبني أنماط قيادية مرنة.</w:t>
      </w:r>
    </w:p>
    <w:p w14:paraId="32F72719"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 xml:space="preserve">وفي سياق متصل بالتحول الرقمي، سعت دراسة </w:t>
      </w:r>
      <w:r w:rsidRPr="007F4301">
        <w:rPr>
          <w:rFonts w:ascii="Times New Roman" w:eastAsia="Calibri" w:hAnsi="Times New Roman" w:cs="Simplified Arabic"/>
          <w:b/>
          <w:bCs/>
          <w:sz w:val="24"/>
          <w:szCs w:val="28"/>
          <w:rtl/>
        </w:rPr>
        <w:t xml:space="preserve">الدوسري </w:t>
      </w:r>
      <w:r w:rsidRPr="007F4301">
        <w:rPr>
          <w:rFonts w:ascii="Times New Roman" w:eastAsia="Calibri" w:hAnsi="Times New Roman" w:cs="Simplified Arabic"/>
          <w:b/>
          <w:bCs/>
          <w:sz w:val="24"/>
          <w:szCs w:val="28"/>
        </w:rPr>
        <w:t>(2023)</w:t>
      </w:r>
      <w:r w:rsidRPr="007F4301">
        <w:rPr>
          <w:rFonts w:ascii="Times New Roman" w:eastAsia="Calibri" w:hAnsi="Times New Roman" w:cs="Simplified Arabic"/>
          <w:sz w:val="24"/>
          <w:szCs w:val="28"/>
          <w:rtl/>
        </w:rPr>
        <w:t xml:space="preserve"> إلى تحليل "معوقات التحول الرقمي في إدارة المستودعات الطبية المركزية بوزارة الصحة السعودية". واعتمدت الدراسة المنهج النوعي من خلال المقابلات شبه المقننة مع (20) من القيادات الإدارية. وكشفت النتائج التفصيلية أن المعوقات البشرية المتمثلة في مقاومة التغيير ونقص التدريب التقني تفوق المعوقات المالية، حيث أشار المشاركون إلى أن 60% من حالات التأخير في التوريد ناتجة عن التمسك بالإجراءات الورقية التقليدية وعدم الثقة في الأنظمة الآلية، مما يؤدي إلى تباين كبير في أرصدة المخزون بين الواقع والنظام الرقمي، وأوصت بضرورة إدارة التغيير التنظيمي قبل الشروع في أتمتة عمليات التوزيع.</w:t>
      </w:r>
    </w:p>
    <w:p w14:paraId="4EA3AD11"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 xml:space="preserve">وبالانتقال إلى التحديات البشرية، تناولت دراسة </w:t>
      </w:r>
      <w:r w:rsidRPr="007F4301">
        <w:rPr>
          <w:rFonts w:ascii="Times New Roman" w:eastAsia="Calibri" w:hAnsi="Times New Roman" w:cs="Simplified Arabic"/>
          <w:b/>
          <w:bCs/>
          <w:sz w:val="24"/>
          <w:szCs w:val="28"/>
          <w:rtl/>
        </w:rPr>
        <w:t xml:space="preserve">المطيري </w:t>
      </w:r>
      <w:r w:rsidRPr="007F4301">
        <w:rPr>
          <w:rFonts w:ascii="Times New Roman" w:eastAsia="Calibri" w:hAnsi="Times New Roman" w:cs="Simplified Arabic"/>
          <w:b/>
          <w:bCs/>
          <w:sz w:val="24"/>
          <w:szCs w:val="28"/>
        </w:rPr>
        <w:t>(2023)</w:t>
      </w:r>
      <w:r w:rsidRPr="007F4301">
        <w:rPr>
          <w:rFonts w:ascii="Times New Roman" w:eastAsia="Calibri" w:hAnsi="Times New Roman" w:cs="Simplified Arabic"/>
          <w:sz w:val="24"/>
          <w:szCs w:val="28"/>
          <w:rtl/>
        </w:rPr>
        <w:t xml:space="preserve"> في الكويت "تحديات الموارد البشرية في إدارة سلاسل الإمداد الطبية الحكومية". وهدفت الدراسة إلى تشخيص الفجوة في الكفايات الوظيفية. واعتمدت المنهج الوصفي التحليلي، وخلصت النتائج إلى أن نظام الحوافز والترقيات التقليدي لا يشجع على استقطاب الكفاءات المتخصصة في لوجستيات الأدوية، مما أدى إلى ارتفاع معدل الدوران الوظيفي، وتوصلت الدراسة إلى أن الاعتماد على موظفين غير متخصصين </w:t>
      </w:r>
      <w:r w:rsidRPr="007F4301">
        <w:rPr>
          <w:rFonts w:ascii="Times New Roman" w:eastAsia="Calibri" w:hAnsi="Times New Roman" w:cs="Simplified Arabic"/>
          <w:sz w:val="24"/>
          <w:szCs w:val="28"/>
        </w:rPr>
        <w:t>(Generalists)</w:t>
      </w:r>
      <w:r w:rsidRPr="007F4301">
        <w:rPr>
          <w:rFonts w:ascii="Times New Roman" w:eastAsia="Calibri" w:hAnsi="Times New Roman" w:cs="Simplified Arabic"/>
          <w:sz w:val="24"/>
          <w:szCs w:val="28"/>
          <w:rtl/>
        </w:rPr>
        <w:t xml:space="preserve"> في إدارة سلاسل التبريد تسبب في تلفيات متكررة لعدم إدراكهم لحساسية المنتجات، </w:t>
      </w:r>
      <w:r w:rsidRPr="007F4301">
        <w:rPr>
          <w:rFonts w:ascii="Times New Roman" w:eastAsia="Calibri" w:hAnsi="Times New Roman" w:cs="Simplified Arabic"/>
          <w:sz w:val="24"/>
          <w:szCs w:val="28"/>
          <w:rtl/>
        </w:rPr>
        <w:lastRenderedPageBreak/>
        <w:t xml:space="preserve">وأوصت بضرورة تصميم مسار وظيفي خاص </w:t>
      </w:r>
      <w:proofErr w:type="spellStart"/>
      <w:r w:rsidRPr="007F4301">
        <w:rPr>
          <w:rFonts w:ascii="Times New Roman" w:eastAsia="Calibri" w:hAnsi="Times New Roman" w:cs="Simplified Arabic"/>
          <w:sz w:val="24"/>
          <w:szCs w:val="28"/>
          <w:rtl/>
        </w:rPr>
        <w:t>لمهنيي</w:t>
      </w:r>
      <w:proofErr w:type="spellEnd"/>
      <w:r w:rsidRPr="007F4301">
        <w:rPr>
          <w:rFonts w:ascii="Times New Roman" w:eastAsia="Calibri" w:hAnsi="Times New Roman" w:cs="Simplified Arabic"/>
          <w:sz w:val="24"/>
          <w:szCs w:val="28"/>
          <w:rtl/>
        </w:rPr>
        <w:t xml:space="preserve"> سلاسل الإمداد الطبية يربط الأداء بمعايير الجودة والوفرة الدوائية.</w:t>
      </w:r>
    </w:p>
    <w:p w14:paraId="78334DD9"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 xml:space="preserve">ومن جانب آخر، أجرت </w:t>
      </w:r>
      <w:r w:rsidRPr="007F4301">
        <w:rPr>
          <w:rFonts w:ascii="Times New Roman" w:eastAsia="Calibri" w:hAnsi="Times New Roman" w:cs="Simplified Arabic"/>
          <w:b/>
          <w:bCs/>
          <w:sz w:val="24"/>
          <w:szCs w:val="28"/>
          <w:rtl/>
        </w:rPr>
        <w:t xml:space="preserve">الغامدي </w:t>
      </w:r>
      <w:r w:rsidRPr="007F4301">
        <w:rPr>
          <w:rFonts w:ascii="Times New Roman" w:eastAsia="Calibri" w:hAnsi="Times New Roman" w:cs="Simplified Arabic"/>
          <w:b/>
          <w:bCs/>
          <w:sz w:val="24"/>
          <w:szCs w:val="28"/>
        </w:rPr>
        <w:t>(2022)</w:t>
      </w:r>
      <w:r w:rsidRPr="007F4301">
        <w:rPr>
          <w:rFonts w:ascii="Times New Roman" w:eastAsia="Calibri" w:hAnsi="Times New Roman" w:cs="Simplified Arabic"/>
          <w:sz w:val="24"/>
          <w:szCs w:val="28"/>
          <w:rtl/>
        </w:rPr>
        <w:t xml:space="preserve"> دراسة بعنوان: "أثر التخطيط الاستراتيجي في كفاءة سلاسل الإمداد الدوائي بالمستشفيات الحكومية في المملكة العربية السعودية"، حيث هدفت إلى الكشف عن دور التخطيط طويل المدى في تقليل الهدر الدوائي. واعتمدت الباحثة المنهج الوصفي التحليلي، مستخدمة الاستبانة كأداة لجمع البيانات من عينة قوامها (150) مديراً. وتوصلت النتائج إلى وجود قصور حاد في عمليات التنبؤ بالطلب المستقبلي، حيث أظهرت البيانات أن القرارات تُبنى غالباً على ردود الفعل الآنية بدلاً من البيانات التاريخية، مما أدى إلى تكدس أدوية غير ضرورية ونفاد أدوية حيوية، وأوصت بضرورة تبني نماذج تخطيط مرنة ودمج أقسام المشتريات مع الأقسام الفنية في عملية التخطيط.</w:t>
      </w:r>
    </w:p>
    <w:p w14:paraId="633E7484"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 xml:space="preserve">وفيما يتعلق بالهياكل التنظيمية، أجرت </w:t>
      </w:r>
      <w:r w:rsidRPr="007F4301">
        <w:rPr>
          <w:rFonts w:ascii="Times New Roman" w:eastAsia="Calibri" w:hAnsi="Times New Roman" w:cs="Simplified Arabic"/>
          <w:b/>
          <w:bCs/>
          <w:sz w:val="24"/>
          <w:szCs w:val="28"/>
          <w:rtl/>
        </w:rPr>
        <w:t xml:space="preserve">القحطاني </w:t>
      </w:r>
      <w:r w:rsidRPr="007F4301">
        <w:rPr>
          <w:rFonts w:ascii="Times New Roman" w:eastAsia="Calibri" w:hAnsi="Times New Roman" w:cs="Simplified Arabic"/>
          <w:b/>
          <w:bCs/>
          <w:sz w:val="24"/>
          <w:szCs w:val="28"/>
        </w:rPr>
        <w:t>(2022)</w:t>
      </w:r>
      <w:r w:rsidRPr="007F4301">
        <w:rPr>
          <w:rFonts w:ascii="Times New Roman" w:eastAsia="Calibri" w:hAnsi="Times New Roman" w:cs="Simplified Arabic"/>
          <w:sz w:val="24"/>
          <w:szCs w:val="28"/>
          <w:rtl/>
        </w:rPr>
        <w:t xml:space="preserve"> دراسة حول "العلاقة بين الهيكل التنظيمي ومرونة سلاسل الإمداد الطبية في المستشفيات الخاصة بالمنطقة الشرقية". وهدفت الدراسة إلى معرفة أثر المركزية والرسمية في سرعة التوريد. وباستخدام المنهج الوصفي، كشفت النتائج التفصيلية أن الهياكل التنظيمية الجامدة ذات التسلسل الهرمي الطويل تؤدي إلى تأخير وصول المستلزمات الطبية الحرجة بمعدل ثلاثة أضعاف الوقت المستغرق في الهياكل اللامركزية، حيث تستنزف الموافقات الإدارية وقتاً أطول من عملية الشحن ذاتها، وأوصت بتبني هياكل تنظيمية مسطحة تمنح صلاحيات أوسع لمديري سلاسل الإمداد في اتخاذ قرارات الشراء العاجلة.</w:t>
      </w:r>
    </w:p>
    <w:p w14:paraId="6E08E15D"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 xml:space="preserve">وعلى صعيد إدارة الأزمات، قدم </w:t>
      </w:r>
      <w:r w:rsidRPr="007F4301">
        <w:rPr>
          <w:rFonts w:ascii="Times New Roman" w:eastAsia="Calibri" w:hAnsi="Times New Roman" w:cs="Simplified Arabic"/>
          <w:b/>
          <w:bCs/>
          <w:sz w:val="24"/>
          <w:szCs w:val="28"/>
          <w:rtl/>
        </w:rPr>
        <w:t xml:space="preserve">العتيبي </w:t>
      </w:r>
      <w:r w:rsidRPr="007F4301">
        <w:rPr>
          <w:rFonts w:ascii="Times New Roman" w:eastAsia="Calibri" w:hAnsi="Times New Roman" w:cs="Simplified Arabic"/>
          <w:b/>
          <w:bCs/>
          <w:sz w:val="24"/>
          <w:szCs w:val="28"/>
        </w:rPr>
        <w:t>(2021)</w:t>
      </w:r>
      <w:r w:rsidRPr="007F4301">
        <w:rPr>
          <w:rFonts w:ascii="Times New Roman" w:eastAsia="Calibri" w:hAnsi="Times New Roman" w:cs="Simplified Arabic"/>
          <w:sz w:val="24"/>
          <w:szCs w:val="28"/>
          <w:rtl/>
        </w:rPr>
        <w:t xml:space="preserve"> دراسة هدفت إلى "تقييم واقع إدارة المخاطر في سلاسل التوريد الطبية أثناء الأزمات"، بالتطبيق على جائحة كورونا في منطقة الرياض. واستخدم الباحث المنهج الوصفي المسحي، مطبقاً استبانة إلكترونية على عينة من (200) موظف. وأظهرت النتائج أن أبرز التحديات الإدارية تمثلت في بطء اتخاذ القرار المركزي وضعف قنوات الاتصال بين الموردين والموزعين، حيث بينت النتائج أن غياب خطط الطوارئ المسبقة أدى إلى ارتباك في توزيع المهام وتداخل الصلاحيات بنسبة مرتفعة، وأوصت الدراسة بلامركزية القرار التشغيلي في أوقات الأزمات لضمان انسيابية الإمدادات.</w:t>
      </w:r>
    </w:p>
    <w:p w14:paraId="65BA9ED3"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lastRenderedPageBreak/>
        <w:t xml:space="preserve">وفي السياق الإقليمي، أجرى </w:t>
      </w:r>
      <w:r w:rsidRPr="007F4301">
        <w:rPr>
          <w:rFonts w:ascii="Times New Roman" w:eastAsia="Calibri" w:hAnsi="Times New Roman" w:cs="Simplified Arabic"/>
          <w:b/>
          <w:bCs/>
          <w:sz w:val="24"/>
          <w:szCs w:val="28"/>
          <w:rtl/>
        </w:rPr>
        <w:t xml:space="preserve">السعايدة </w:t>
      </w:r>
      <w:r w:rsidRPr="007F4301">
        <w:rPr>
          <w:rFonts w:ascii="Times New Roman" w:eastAsia="Calibri" w:hAnsi="Times New Roman" w:cs="Simplified Arabic"/>
          <w:b/>
          <w:bCs/>
          <w:sz w:val="24"/>
          <w:szCs w:val="28"/>
        </w:rPr>
        <w:t>(2021)</w:t>
      </w:r>
      <w:r w:rsidRPr="007F4301">
        <w:rPr>
          <w:rFonts w:ascii="Times New Roman" w:eastAsia="Calibri" w:hAnsi="Times New Roman" w:cs="Simplified Arabic"/>
          <w:sz w:val="24"/>
          <w:szCs w:val="28"/>
          <w:rtl/>
        </w:rPr>
        <w:t xml:space="preserve"> دراسة في الأردن بعنوان: "تقييم كفاءة سلاسل التوريد الصيدلانية في ظل تطبيق ممارسات التوزيع الجيد </w:t>
      </w:r>
      <w:r w:rsidRPr="007F4301">
        <w:rPr>
          <w:rFonts w:ascii="Times New Roman" w:eastAsia="Calibri" w:hAnsi="Times New Roman" w:cs="Simplified Arabic"/>
          <w:sz w:val="24"/>
          <w:szCs w:val="28"/>
        </w:rPr>
        <w:t>(GDP)"</w:t>
      </w:r>
      <w:r w:rsidRPr="007F4301">
        <w:rPr>
          <w:rFonts w:ascii="Times New Roman" w:eastAsia="Calibri" w:hAnsi="Times New Roman" w:cs="Simplified Arabic"/>
          <w:sz w:val="24"/>
          <w:szCs w:val="28"/>
          <w:rtl/>
        </w:rPr>
        <w:t xml:space="preserve">. وهدفت الدراسة إلى قياس مدى التزام المستودعات الأردنية بالمعايير الدولية. وخلصت النتائج إلى أن التحديات التنظيمية المتعلقة بتداخل الصلاحيات بين الجهات الرقابية والإدارية تحد من الكفاءة التشغيلية، حيث أشار </w:t>
      </w:r>
      <w:proofErr w:type="spellStart"/>
      <w:r w:rsidRPr="007F4301">
        <w:rPr>
          <w:rFonts w:ascii="Times New Roman" w:eastAsia="Calibri" w:hAnsi="Times New Roman" w:cs="Simplified Arabic"/>
          <w:sz w:val="24"/>
          <w:szCs w:val="28"/>
          <w:rtl/>
        </w:rPr>
        <w:t>المبحوثون</w:t>
      </w:r>
      <w:proofErr w:type="spellEnd"/>
      <w:r w:rsidRPr="007F4301">
        <w:rPr>
          <w:rFonts w:ascii="Times New Roman" w:eastAsia="Calibri" w:hAnsi="Times New Roman" w:cs="Simplified Arabic"/>
          <w:sz w:val="24"/>
          <w:szCs w:val="28"/>
          <w:rtl/>
        </w:rPr>
        <w:t xml:space="preserve"> إلى أن تعدد الجهات التي تطلب تقارير متضاربة يستنزف الجهد الإداري على حساب الرقابة الميدانية على الجودة، وأوصت بإنشاء هيئة موحدة لإدارة المخزون الاستراتيجي وتوحيد إجراءات التفتيش.</w:t>
      </w:r>
    </w:p>
    <w:p w14:paraId="436BF02D"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 xml:space="preserve">وفي جمهورية مصر العربية، تناولت دراسة </w:t>
      </w:r>
      <w:r w:rsidRPr="007F4301">
        <w:rPr>
          <w:rFonts w:ascii="Times New Roman" w:eastAsia="Calibri" w:hAnsi="Times New Roman" w:cs="Simplified Arabic"/>
          <w:b/>
          <w:bCs/>
          <w:sz w:val="24"/>
          <w:szCs w:val="28"/>
          <w:rtl/>
        </w:rPr>
        <w:t xml:space="preserve">محمود </w:t>
      </w:r>
      <w:r w:rsidRPr="007F4301">
        <w:rPr>
          <w:rFonts w:ascii="Times New Roman" w:eastAsia="Calibri" w:hAnsi="Times New Roman" w:cs="Simplified Arabic"/>
          <w:b/>
          <w:bCs/>
          <w:sz w:val="24"/>
          <w:szCs w:val="28"/>
        </w:rPr>
        <w:t>(2020)</w:t>
      </w:r>
      <w:r w:rsidRPr="007F4301">
        <w:rPr>
          <w:rFonts w:ascii="Times New Roman" w:eastAsia="Calibri" w:hAnsi="Times New Roman" w:cs="Simplified Arabic"/>
          <w:sz w:val="24"/>
          <w:szCs w:val="28"/>
        </w:rPr>
        <w:t xml:space="preserve"> "</w:t>
      </w:r>
      <w:r w:rsidRPr="007F4301">
        <w:rPr>
          <w:rFonts w:ascii="Times New Roman" w:eastAsia="Calibri" w:hAnsi="Times New Roman" w:cs="Simplified Arabic"/>
          <w:sz w:val="24"/>
          <w:szCs w:val="28"/>
          <w:rtl/>
        </w:rPr>
        <w:t xml:space="preserve">دور إدارة الجودة الشاملة في تحسين أداء شركات التوزيع الطبي". وهدفت الدراسة إلى تحديد أثر أبعاد الجودة في تقليل التالف. وطبقت الدراسة على عينة من (180) عاملاً، وأظهرت النتائج التفصيلية أن ضعف تمكين العاملين وعدم وضوح الإجراءات التشغيلية يمثلان عائقاً رئيساً، حيث تبين أن 45% من الأخطاء تقع بسبب عدم إشراك موظفي الخطوط الأمامية في وضع إجراءات العمل، مما يجعلها غير قابلة للتطبيق العملي، وأوصت بضرورة توثيق إجراءات العمل القياسية </w:t>
      </w:r>
      <w:r w:rsidRPr="007F4301">
        <w:rPr>
          <w:rFonts w:ascii="Times New Roman" w:eastAsia="Calibri" w:hAnsi="Times New Roman" w:cs="Simplified Arabic"/>
          <w:sz w:val="24"/>
          <w:szCs w:val="28"/>
        </w:rPr>
        <w:t>(SOPs)</w:t>
      </w:r>
      <w:r w:rsidRPr="007F4301">
        <w:rPr>
          <w:rFonts w:ascii="Times New Roman" w:eastAsia="Calibri" w:hAnsi="Times New Roman" w:cs="Simplified Arabic"/>
          <w:sz w:val="24"/>
          <w:szCs w:val="28"/>
          <w:rtl/>
        </w:rPr>
        <w:t xml:space="preserve"> بمشاركة الميدانيين.</w:t>
      </w:r>
    </w:p>
    <w:p w14:paraId="1EE9BAED"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 xml:space="preserve">وبالعودة إلى البيئة السعودية، بحث </w:t>
      </w:r>
      <w:r w:rsidRPr="007F4301">
        <w:rPr>
          <w:rFonts w:ascii="Times New Roman" w:eastAsia="Calibri" w:hAnsi="Times New Roman" w:cs="Simplified Arabic"/>
          <w:b/>
          <w:bCs/>
          <w:sz w:val="24"/>
          <w:szCs w:val="28"/>
          <w:rtl/>
        </w:rPr>
        <w:t xml:space="preserve">الجاسر </w:t>
      </w:r>
      <w:r w:rsidRPr="007F4301">
        <w:rPr>
          <w:rFonts w:ascii="Times New Roman" w:eastAsia="Calibri" w:hAnsi="Times New Roman" w:cs="Simplified Arabic"/>
          <w:b/>
          <w:bCs/>
          <w:sz w:val="24"/>
          <w:szCs w:val="28"/>
        </w:rPr>
        <w:t>(2019)</w:t>
      </w:r>
      <w:r w:rsidRPr="007F4301">
        <w:rPr>
          <w:rFonts w:ascii="Times New Roman" w:eastAsia="Calibri" w:hAnsi="Times New Roman" w:cs="Simplified Arabic"/>
          <w:sz w:val="24"/>
          <w:szCs w:val="28"/>
          <w:rtl/>
        </w:rPr>
        <w:t xml:space="preserve"> في "محددات تطبيق نظام التتبع الدوائي </w:t>
      </w:r>
      <w:r w:rsidRPr="007F4301">
        <w:rPr>
          <w:rFonts w:ascii="Times New Roman" w:eastAsia="Calibri" w:hAnsi="Times New Roman" w:cs="Simplified Arabic"/>
          <w:sz w:val="24"/>
          <w:szCs w:val="28"/>
        </w:rPr>
        <w:t>(RSD)</w:t>
      </w:r>
      <w:r w:rsidRPr="007F4301">
        <w:rPr>
          <w:rFonts w:ascii="Times New Roman" w:eastAsia="Calibri" w:hAnsi="Times New Roman" w:cs="Simplified Arabic"/>
          <w:sz w:val="24"/>
          <w:szCs w:val="28"/>
          <w:rtl/>
        </w:rPr>
        <w:t xml:space="preserve"> في الصيدليات المجتمعية وشركات التوزيع". وهدفت الدراسة إلى رصد المعوقات التي تواجه تطبيق نظام التتبع الإلكتروني. وتوصلت النتائج إلى أن التحديات التقنية تتداخل مع التحديات الإدارية، حيث أثبتت الدراسة أن توفر الأجهزة التقنية لم يكن كافياً لنجاح النظام، بل كان العائق الأكبر هو ضعف الرقابة الإدارية الداخلية على استخدام الموظفين لهذه الأنظمة، مما أدى إلى فجوات في بيانات التتبع، وأوصت الدراسة بدمج متطلبات التتبع ضمن مؤشرات الأداء الوظيفي للعاملين لضمان الإلزام.</w:t>
      </w:r>
    </w:p>
    <w:p w14:paraId="07B4E201"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tl/>
        </w:rPr>
      </w:pPr>
      <w:r w:rsidRPr="007F4301">
        <w:rPr>
          <w:rFonts w:ascii="Times New Roman" w:eastAsia="Calibri" w:hAnsi="Times New Roman" w:cs="Simplified Arabic"/>
          <w:sz w:val="24"/>
          <w:szCs w:val="28"/>
          <w:rtl/>
        </w:rPr>
        <w:t xml:space="preserve">وختاماً للدراسات العربية، قدم </w:t>
      </w:r>
      <w:r w:rsidRPr="007F4301">
        <w:rPr>
          <w:rFonts w:ascii="Times New Roman" w:eastAsia="Calibri" w:hAnsi="Times New Roman" w:cs="Simplified Arabic"/>
          <w:b/>
          <w:bCs/>
          <w:sz w:val="24"/>
          <w:szCs w:val="28"/>
          <w:rtl/>
        </w:rPr>
        <w:t xml:space="preserve">الفلاسي </w:t>
      </w:r>
      <w:r w:rsidRPr="007F4301">
        <w:rPr>
          <w:rFonts w:ascii="Times New Roman" w:eastAsia="Calibri" w:hAnsi="Times New Roman" w:cs="Simplified Arabic"/>
          <w:b/>
          <w:bCs/>
          <w:sz w:val="24"/>
          <w:szCs w:val="28"/>
        </w:rPr>
        <w:t>(2019)</w:t>
      </w:r>
      <w:r w:rsidRPr="007F4301">
        <w:rPr>
          <w:rFonts w:ascii="Times New Roman" w:eastAsia="Calibri" w:hAnsi="Times New Roman" w:cs="Simplified Arabic"/>
          <w:sz w:val="24"/>
          <w:szCs w:val="28"/>
          <w:rtl/>
        </w:rPr>
        <w:t xml:space="preserve"> في الإمارات دراسة بعنوان: "أثر إدارة المعرفة في تحسين أداء العمليات اللوجستية في قطاع الرعاية الصحية". وهدفت الدراسة إلى بيان دور تبادل المعرفة في تقليل الأخطاء اللوجستية. وأظهرت النتائج أن ثقافة "جزر المعلومات" المنعزلة بين الأقسام تعد من أبرز التحديات الإدارية، حيث يحتكر بعض المديرين المعلومات الحيوية كنوع من النفوذ، مما يعيق التدفق السلس للعمليات ويؤدي إلى تكرار طلب مواد متوفرة في مخازن أخرى، وأوصت بتفعيل منصات رقمية تشاركية لتبادل بيانات المخزون وحركة التوزيع بشفافية.</w:t>
      </w:r>
    </w:p>
    <w:p w14:paraId="414EF3EA"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lastRenderedPageBreak/>
        <w:t>ثانياً: الدراسات الأجنبية:</w:t>
      </w:r>
    </w:p>
    <w:p w14:paraId="0CF030A7"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استكمالاً للمسح الأدبي، يتم استعراض مجموعة من الدراسات الأجنبية الحديثة التي تناولت أبعاداً مختلفة لموضوع الدراسة، مع التركيز على التحديات الإدارية والتقنية في بيئات عمل متنوعة، وتم ترميزها مزدوجاً (باللغتين العربية والإنجليزية) لضمان الدقة العلمية:</w:t>
      </w:r>
    </w:p>
    <w:p w14:paraId="75872592"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 xml:space="preserve">استهلالاً بالدراسات الحديثة، أجرى </w:t>
      </w:r>
      <w:r w:rsidRPr="007F4301">
        <w:rPr>
          <w:rFonts w:ascii="Times New Roman" w:eastAsia="Calibri" w:hAnsi="Times New Roman" w:cs="Simplified Arabic"/>
          <w:b/>
          <w:bCs/>
          <w:sz w:val="24"/>
          <w:szCs w:val="28"/>
          <w:rtl/>
        </w:rPr>
        <w:t xml:space="preserve">ساها وآخرون </w:t>
      </w:r>
      <w:r w:rsidRPr="007F4301">
        <w:rPr>
          <w:rFonts w:ascii="Times New Roman" w:eastAsia="Calibri" w:hAnsi="Times New Roman" w:cs="Simplified Arabic"/>
          <w:b/>
          <w:bCs/>
          <w:sz w:val="24"/>
          <w:szCs w:val="28"/>
        </w:rPr>
        <w:t>(Saha et al., 2024)</w:t>
      </w:r>
      <w:r w:rsidRPr="007F4301">
        <w:rPr>
          <w:rFonts w:ascii="Times New Roman" w:eastAsia="Calibri" w:hAnsi="Times New Roman" w:cs="Simplified Arabic"/>
          <w:sz w:val="24"/>
          <w:szCs w:val="28"/>
          <w:rtl/>
        </w:rPr>
        <w:t xml:space="preserve"> دراسة بعنوان: "تحليل الحواجز التي تعيق تبني ممارسات التوزيع الجيد في صناعة الأدوية بالدول النامية</w:t>
      </w:r>
      <w:r w:rsidRPr="007F4301">
        <w:rPr>
          <w:rFonts w:ascii="Times New Roman" w:eastAsia="Calibri" w:hAnsi="Times New Roman" w:cs="Simplified Arabic"/>
          <w:sz w:val="24"/>
          <w:szCs w:val="28"/>
        </w:rPr>
        <w:t>" (Analyzing Barriers to Adopting Good Distribution Practices in Pharmaceutical Industry of Developing Countries)</w:t>
      </w:r>
      <w:r w:rsidRPr="007F4301">
        <w:rPr>
          <w:rFonts w:ascii="Times New Roman" w:eastAsia="Calibri" w:hAnsi="Times New Roman" w:cs="Simplified Arabic"/>
          <w:sz w:val="24"/>
          <w:szCs w:val="28"/>
          <w:rtl/>
        </w:rPr>
        <w:t xml:space="preserve">. وهدفت الدراسة إلى ترتيب المعوقات حسب أولويتها باستخدام طريقة </w:t>
      </w:r>
      <w:r w:rsidRPr="007F4301">
        <w:rPr>
          <w:rFonts w:ascii="Times New Roman" w:eastAsia="Calibri" w:hAnsi="Times New Roman" w:cs="Simplified Arabic"/>
          <w:sz w:val="24"/>
          <w:szCs w:val="28"/>
        </w:rPr>
        <w:t>(AHP)</w:t>
      </w:r>
      <w:r w:rsidRPr="007F4301">
        <w:rPr>
          <w:rFonts w:ascii="Times New Roman" w:eastAsia="Calibri" w:hAnsi="Times New Roman" w:cs="Simplified Arabic"/>
          <w:sz w:val="24"/>
          <w:szCs w:val="28"/>
          <w:rtl/>
        </w:rPr>
        <w:t xml:space="preserve">. وتوصلت النتائج إلى أن "الحواجز الإدارية والتنظيمية" جاءت في المرتبة الأولى قبل الحواجز المالية، حيث تبين أن ضعف الالتزام الإداري من الإدارة العليا وغياب الرؤية الاستراتيجية للجودة يشكلان العائق الأكبر أمام الامتثال للمعايير الدولية، وأوصت بضرورة دمج معايير </w:t>
      </w:r>
      <w:r w:rsidRPr="007F4301">
        <w:rPr>
          <w:rFonts w:ascii="Times New Roman" w:eastAsia="Calibri" w:hAnsi="Times New Roman" w:cs="Simplified Arabic"/>
          <w:sz w:val="24"/>
          <w:szCs w:val="28"/>
        </w:rPr>
        <w:t>(GDP)</w:t>
      </w:r>
      <w:r w:rsidRPr="007F4301">
        <w:rPr>
          <w:rFonts w:ascii="Times New Roman" w:eastAsia="Calibri" w:hAnsi="Times New Roman" w:cs="Simplified Arabic"/>
          <w:sz w:val="24"/>
          <w:szCs w:val="28"/>
          <w:rtl/>
        </w:rPr>
        <w:t xml:space="preserve"> ضمن الأهداف الاستراتيجية للمنظمات وليس مجرد إجراءات تشغيلية.</w:t>
      </w:r>
    </w:p>
    <w:p w14:paraId="5CB94700"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 xml:space="preserve">وفي سياق التحول الرقمي، قدم </w:t>
      </w:r>
      <w:r w:rsidRPr="007F4301">
        <w:rPr>
          <w:rFonts w:ascii="Times New Roman" w:eastAsia="Calibri" w:hAnsi="Times New Roman" w:cs="Simplified Arabic"/>
          <w:b/>
          <w:bCs/>
          <w:sz w:val="24"/>
          <w:szCs w:val="28"/>
          <w:rtl/>
        </w:rPr>
        <w:t xml:space="preserve">كومار </w:t>
      </w:r>
      <w:proofErr w:type="spellStart"/>
      <w:r w:rsidRPr="007F4301">
        <w:rPr>
          <w:rFonts w:ascii="Times New Roman" w:eastAsia="Calibri" w:hAnsi="Times New Roman" w:cs="Simplified Arabic"/>
          <w:b/>
          <w:bCs/>
          <w:sz w:val="24"/>
          <w:szCs w:val="28"/>
          <w:rtl/>
        </w:rPr>
        <w:t>وتريباثي</w:t>
      </w:r>
      <w:proofErr w:type="spellEnd"/>
      <w:r w:rsidRPr="007F4301">
        <w:rPr>
          <w:rFonts w:ascii="Times New Roman" w:eastAsia="Calibri" w:hAnsi="Times New Roman" w:cs="Simplified Arabic"/>
          <w:b/>
          <w:bCs/>
          <w:sz w:val="24"/>
          <w:szCs w:val="28"/>
          <w:rtl/>
        </w:rPr>
        <w:t xml:space="preserve"> </w:t>
      </w:r>
      <w:r w:rsidRPr="007F4301">
        <w:rPr>
          <w:rFonts w:ascii="Times New Roman" w:eastAsia="Calibri" w:hAnsi="Times New Roman" w:cs="Simplified Arabic"/>
          <w:b/>
          <w:bCs/>
          <w:sz w:val="24"/>
          <w:szCs w:val="28"/>
        </w:rPr>
        <w:t>(Kumar &amp; Tripathi, 2023)</w:t>
      </w:r>
      <w:r w:rsidRPr="007F4301">
        <w:rPr>
          <w:rFonts w:ascii="Times New Roman" w:eastAsia="Calibri" w:hAnsi="Times New Roman" w:cs="Simplified Arabic"/>
          <w:sz w:val="24"/>
          <w:szCs w:val="28"/>
          <w:rtl/>
        </w:rPr>
        <w:t xml:space="preserve"> دراسة بعنوان: "التحديات الإدارية لتبني تقنية البلوك تشين في سلاسل التوريد الدوائية</w:t>
      </w:r>
      <w:r w:rsidRPr="007F4301">
        <w:rPr>
          <w:rFonts w:ascii="Times New Roman" w:eastAsia="Calibri" w:hAnsi="Times New Roman" w:cs="Simplified Arabic"/>
          <w:sz w:val="24"/>
          <w:szCs w:val="28"/>
        </w:rPr>
        <w:t>" (Administrative Challenges of Blockchain Adoption in Pharmaceutical Supply Chains)</w:t>
      </w:r>
      <w:r w:rsidRPr="007F4301">
        <w:rPr>
          <w:rFonts w:ascii="Times New Roman" w:eastAsia="Calibri" w:hAnsi="Times New Roman" w:cs="Simplified Arabic"/>
          <w:sz w:val="24"/>
          <w:szCs w:val="28"/>
          <w:rtl/>
        </w:rPr>
        <w:t>. وركزت الدراسة على الجانب الإداري للتقنية، حيث كشفت النتائج أن المقاومة الإدارية الناتجة عن الخوف من فقدان السيطرة المركزية، وعدم وجود حوكمة واضحة للبيانات بين الشركاء، تمثل تحدياً يفوق التحديات التقنية البحتة، وأوصت الدراسة بتبني نماذج إدارية تشاركية لتعزيز الثقة بين أطراف سلسلة التوريد.</w:t>
      </w:r>
    </w:p>
    <w:p w14:paraId="4AE5B9AB"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 xml:space="preserve">ومن زاوية إدارة المخاطر، بحث </w:t>
      </w:r>
      <w:r w:rsidRPr="007F4301">
        <w:rPr>
          <w:rFonts w:ascii="Times New Roman" w:eastAsia="Calibri" w:hAnsi="Times New Roman" w:cs="Simplified Arabic"/>
          <w:b/>
          <w:bCs/>
          <w:sz w:val="24"/>
          <w:szCs w:val="28"/>
          <w:rtl/>
        </w:rPr>
        <w:t xml:space="preserve">تشانغ وآخرون </w:t>
      </w:r>
      <w:r w:rsidRPr="007F4301">
        <w:rPr>
          <w:rFonts w:ascii="Times New Roman" w:eastAsia="Calibri" w:hAnsi="Times New Roman" w:cs="Simplified Arabic"/>
          <w:b/>
          <w:bCs/>
          <w:sz w:val="24"/>
          <w:szCs w:val="28"/>
        </w:rPr>
        <w:t>(Zhang et al., 2023)</w:t>
      </w:r>
      <w:r w:rsidRPr="007F4301">
        <w:rPr>
          <w:rFonts w:ascii="Times New Roman" w:eastAsia="Calibri" w:hAnsi="Times New Roman" w:cs="Simplified Arabic"/>
          <w:sz w:val="24"/>
          <w:szCs w:val="28"/>
          <w:rtl/>
        </w:rPr>
        <w:t xml:space="preserve"> في دراسة بعنوان: "تحسين إدارة سلسلة التبريد الدوائية: منظور القدرات التنظيمية</w:t>
      </w:r>
      <w:r w:rsidRPr="007F4301">
        <w:rPr>
          <w:rFonts w:ascii="Times New Roman" w:eastAsia="Calibri" w:hAnsi="Times New Roman" w:cs="Simplified Arabic"/>
          <w:sz w:val="24"/>
          <w:szCs w:val="28"/>
        </w:rPr>
        <w:t>" (Optimizing Pharmaceutical Cold Chain Management: An Organizational Capability Perspective)</w:t>
      </w:r>
      <w:r w:rsidRPr="007F4301">
        <w:rPr>
          <w:rFonts w:ascii="Times New Roman" w:eastAsia="Calibri" w:hAnsi="Times New Roman" w:cs="Simplified Arabic"/>
          <w:sz w:val="24"/>
          <w:szCs w:val="28"/>
          <w:rtl/>
        </w:rPr>
        <w:t xml:space="preserve">. وهدفت الدراسة إلى ربط القدرات الإدارية بكفاءة التبريد. وأظهرت النتائج أن الشركات التي تمتلك هياكل تنظيمية مرنة وقدرة عالية على التنسيق بين الوظائف </w:t>
      </w:r>
      <w:r w:rsidRPr="007F4301">
        <w:rPr>
          <w:rFonts w:ascii="Times New Roman" w:eastAsia="Calibri" w:hAnsi="Times New Roman" w:cs="Simplified Arabic"/>
          <w:sz w:val="24"/>
          <w:szCs w:val="28"/>
        </w:rPr>
        <w:t>(Cross-functional coordination)</w:t>
      </w:r>
      <w:r w:rsidRPr="007F4301">
        <w:rPr>
          <w:rFonts w:ascii="Times New Roman" w:eastAsia="Calibri" w:hAnsi="Times New Roman" w:cs="Simplified Arabic"/>
          <w:sz w:val="24"/>
          <w:szCs w:val="28"/>
          <w:rtl/>
        </w:rPr>
        <w:t xml:space="preserve"> حققت معدلات تلف أقل بنسبة 30% مقارنة بالشركات ذات الهياكل الجامدة، مما يؤكد دور "التنظيم" كمتغير إداري حاسم في ضبط الجودة.</w:t>
      </w:r>
    </w:p>
    <w:p w14:paraId="6A10B9D3"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lastRenderedPageBreak/>
        <w:t xml:space="preserve">وفيما يتعلق بالعنصر البشري، أجرى </w:t>
      </w:r>
      <w:proofErr w:type="spellStart"/>
      <w:r w:rsidRPr="007F4301">
        <w:rPr>
          <w:rFonts w:ascii="Times New Roman" w:eastAsia="Calibri" w:hAnsi="Times New Roman" w:cs="Simplified Arabic"/>
          <w:b/>
          <w:bCs/>
          <w:sz w:val="24"/>
          <w:szCs w:val="28"/>
          <w:rtl/>
        </w:rPr>
        <w:t>موكدير</w:t>
      </w:r>
      <w:proofErr w:type="spellEnd"/>
      <w:r w:rsidRPr="007F4301">
        <w:rPr>
          <w:rFonts w:ascii="Times New Roman" w:eastAsia="Calibri" w:hAnsi="Times New Roman" w:cs="Simplified Arabic"/>
          <w:b/>
          <w:bCs/>
          <w:sz w:val="24"/>
          <w:szCs w:val="28"/>
          <w:rtl/>
        </w:rPr>
        <w:t xml:space="preserve"> وآخرون </w:t>
      </w:r>
      <w:r w:rsidRPr="007F4301">
        <w:rPr>
          <w:rFonts w:ascii="Times New Roman" w:eastAsia="Calibri" w:hAnsi="Times New Roman" w:cs="Simplified Arabic"/>
          <w:b/>
          <w:bCs/>
          <w:sz w:val="24"/>
          <w:szCs w:val="28"/>
        </w:rPr>
        <w:t>(</w:t>
      </w:r>
      <w:proofErr w:type="spellStart"/>
      <w:r w:rsidRPr="007F4301">
        <w:rPr>
          <w:rFonts w:ascii="Times New Roman" w:eastAsia="Calibri" w:hAnsi="Times New Roman" w:cs="Simplified Arabic"/>
          <w:b/>
          <w:bCs/>
          <w:sz w:val="24"/>
          <w:szCs w:val="28"/>
        </w:rPr>
        <w:t>Moktadir</w:t>
      </w:r>
      <w:proofErr w:type="spellEnd"/>
      <w:r w:rsidRPr="007F4301">
        <w:rPr>
          <w:rFonts w:ascii="Times New Roman" w:eastAsia="Calibri" w:hAnsi="Times New Roman" w:cs="Simplified Arabic"/>
          <w:b/>
          <w:bCs/>
          <w:sz w:val="24"/>
          <w:szCs w:val="28"/>
        </w:rPr>
        <w:t xml:space="preserve"> et al., 2022)</w:t>
      </w:r>
      <w:r w:rsidRPr="007F4301">
        <w:rPr>
          <w:rFonts w:ascii="Times New Roman" w:eastAsia="Calibri" w:hAnsi="Times New Roman" w:cs="Simplified Arabic"/>
          <w:sz w:val="24"/>
          <w:szCs w:val="28"/>
          <w:rtl/>
        </w:rPr>
        <w:t xml:space="preserve"> دراسة بعنوان: "الدوافع والمعوقات لتنفيذ ممارسات سلسلة التوريد المستدامة في قطاع الرعاية الصحية</w:t>
      </w:r>
      <w:r w:rsidRPr="007F4301">
        <w:rPr>
          <w:rFonts w:ascii="Times New Roman" w:eastAsia="Calibri" w:hAnsi="Times New Roman" w:cs="Simplified Arabic"/>
          <w:sz w:val="24"/>
          <w:szCs w:val="28"/>
        </w:rPr>
        <w:t>" (Drivers and Barriers to Implement Sustainable Supply Chain Practices in Healthcare Sector)</w:t>
      </w:r>
      <w:r w:rsidRPr="007F4301">
        <w:rPr>
          <w:rFonts w:ascii="Times New Roman" w:eastAsia="Calibri" w:hAnsi="Times New Roman" w:cs="Simplified Arabic"/>
          <w:sz w:val="24"/>
          <w:szCs w:val="28"/>
          <w:rtl/>
        </w:rPr>
        <w:t>. وتوصلت الدراسة إلى أن نقص التدريب المتخصص وعدم وجود وصف وظيفي دقيق للمسؤوليات المتعلقة بالاستدامة والجودة يعدان من أبرز المعوقات الداخلية، وأوصت بضرورة إعادة هندسة الموارد البشرية لتتواكب مع المتطلبات العالمية الحديثة.</w:t>
      </w:r>
    </w:p>
    <w:p w14:paraId="1EB5B24A" w14:textId="4BA5A8CC"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 xml:space="preserve">وبحثت دراسة </w:t>
      </w:r>
      <w:r w:rsidRPr="007F4301">
        <w:rPr>
          <w:rFonts w:ascii="Times New Roman" w:eastAsia="Calibri" w:hAnsi="Times New Roman" w:cs="Simplified Arabic"/>
          <w:b/>
          <w:bCs/>
          <w:sz w:val="24"/>
          <w:szCs w:val="28"/>
          <w:rtl/>
        </w:rPr>
        <w:t xml:space="preserve">ليو ولي </w:t>
      </w:r>
      <w:r w:rsidRPr="007F4301">
        <w:rPr>
          <w:rFonts w:ascii="Times New Roman" w:eastAsia="Calibri" w:hAnsi="Times New Roman" w:cs="Simplified Arabic"/>
          <w:b/>
          <w:bCs/>
          <w:sz w:val="24"/>
          <w:szCs w:val="28"/>
        </w:rPr>
        <w:t>(Liu &amp; Lee, 2021)</w:t>
      </w:r>
      <w:r w:rsidRPr="007F4301">
        <w:rPr>
          <w:rFonts w:ascii="Times New Roman" w:eastAsia="Calibri" w:hAnsi="Times New Roman" w:cs="Simplified Arabic"/>
          <w:sz w:val="24"/>
          <w:szCs w:val="28"/>
          <w:rtl/>
        </w:rPr>
        <w:t xml:space="preserve"> بعنوان: "أثر </w:t>
      </w:r>
      <w:r w:rsidR="006134FF" w:rsidRPr="006134FF">
        <w:rPr>
          <w:rFonts w:ascii="Times New Roman" w:eastAsia="Calibri" w:hAnsi="Times New Roman" w:cs="Simplified Arabic"/>
          <w:sz w:val="24"/>
          <w:szCs w:val="28"/>
          <w:rtl/>
        </w:rPr>
        <w:t>الثقافة التنظيمية في مرونة سلسلة التوريد الطبية" (</w:t>
      </w:r>
      <w:r w:rsidR="006134FF" w:rsidRPr="006134FF">
        <w:rPr>
          <w:rFonts w:ascii="Times New Roman" w:eastAsia="Calibri" w:hAnsi="Times New Roman" w:cs="Simplified Arabic"/>
          <w:sz w:val="24"/>
          <w:szCs w:val="28"/>
        </w:rPr>
        <w:t>The Impact of Organizational Culture on Medical Supply Chain Resilience</w:t>
      </w:r>
      <w:r w:rsidR="006134FF" w:rsidRPr="006134FF">
        <w:rPr>
          <w:rFonts w:ascii="Times New Roman" w:eastAsia="Calibri" w:hAnsi="Times New Roman" w:cs="Simplified Arabic"/>
          <w:sz w:val="24"/>
          <w:szCs w:val="28"/>
          <w:rtl/>
        </w:rPr>
        <w:t>). وهدفت إلى استكشاف العلاقة بين القيم المؤسسية والأداء اللوجستي. وبينت النتائج أن الثقافات التنظيمية التي تشجع على الابتكار والتعلم المستمر (</w:t>
      </w:r>
      <w:r w:rsidR="006134FF" w:rsidRPr="006134FF">
        <w:rPr>
          <w:rFonts w:ascii="Times New Roman" w:eastAsia="Calibri" w:hAnsi="Times New Roman" w:cs="Simplified Arabic"/>
          <w:sz w:val="24"/>
          <w:szCs w:val="28"/>
        </w:rPr>
        <w:t>Learning Culture</w:t>
      </w:r>
      <w:r w:rsidR="006134FF" w:rsidRPr="006134FF">
        <w:rPr>
          <w:rFonts w:ascii="Times New Roman" w:eastAsia="Calibri" w:hAnsi="Times New Roman" w:cs="Simplified Arabic"/>
          <w:sz w:val="24"/>
          <w:szCs w:val="28"/>
          <w:rtl/>
        </w:rPr>
        <w:t>) كانت أسرع في التعافي من الاضطرابات وتطبيق معايير الجودة مقارنة بالثقافات التي تركز على القواعد البيروقراطية الصارمة، مما يبرز أهمية "التوجيه والقيادة" في خلق بيئة داعمة.</w:t>
      </w:r>
    </w:p>
    <w:p w14:paraId="3B85842B" w14:textId="1B143408"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 xml:space="preserve">وفي دراسة ركزت على الامتثال التنظيمي، قدم </w:t>
      </w:r>
      <w:r w:rsidRPr="007F4301">
        <w:rPr>
          <w:rFonts w:ascii="Times New Roman" w:eastAsia="Calibri" w:hAnsi="Times New Roman" w:cs="Simplified Arabic"/>
          <w:b/>
          <w:bCs/>
          <w:sz w:val="24"/>
          <w:szCs w:val="28"/>
          <w:rtl/>
        </w:rPr>
        <w:t xml:space="preserve">برين وآخرون </w:t>
      </w:r>
      <w:r w:rsidRPr="007F4301">
        <w:rPr>
          <w:rFonts w:ascii="Times New Roman" w:eastAsia="Calibri" w:hAnsi="Times New Roman" w:cs="Simplified Arabic"/>
          <w:b/>
          <w:bCs/>
          <w:sz w:val="24"/>
          <w:szCs w:val="28"/>
        </w:rPr>
        <w:t>(Breen et al., 2020)</w:t>
      </w:r>
      <w:r w:rsidRPr="007F4301">
        <w:rPr>
          <w:rFonts w:ascii="Times New Roman" w:eastAsia="Calibri" w:hAnsi="Times New Roman" w:cs="Simplified Arabic"/>
          <w:sz w:val="24"/>
          <w:szCs w:val="28"/>
          <w:rtl/>
        </w:rPr>
        <w:t xml:space="preserve"> بحثاً بعنوان: "دور </w:t>
      </w:r>
      <w:r w:rsidR="006134FF" w:rsidRPr="006134FF">
        <w:rPr>
          <w:rFonts w:ascii="Times New Roman" w:eastAsia="Calibri" w:hAnsi="Times New Roman" w:cs="Simplified Arabic"/>
          <w:sz w:val="24"/>
          <w:szCs w:val="28"/>
          <w:rtl/>
        </w:rPr>
        <w:t>القيادة في تعزيز الامتثال لمعايير توزيع الأدوية: دراسة استكشافية" (</w:t>
      </w:r>
      <w:r w:rsidR="006134FF" w:rsidRPr="006134FF">
        <w:rPr>
          <w:rFonts w:ascii="Times New Roman" w:eastAsia="Calibri" w:hAnsi="Times New Roman" w:cs="Simplified Arabic"/>
          <w:sz w:val="24"/>
          <w:szCs w:val="28"/>
        </w:rPr>
        <w:t>The Role of Leadership in Enhancing Compliance with Medicine Distribution Standards: An Exploratory Study</w:t>
      </w:r>
      <w:r w:rsidR="006134FF" w:rsidRPr="006134FF">
        <w:rPr>
          <w:rFonts w:ascii="Times New Roman" w:eastAsia="Calibri" w:hAnsi="Times New Roman" w:cs="Simplified Arabic"/>
          <w:sz w:val="24"/>
          <w:szCs w:val="28"/>
          <w:rtl/>
        </w:rPr>
        <w:t>). وخلصت الدراسة إلى أن القيادة القائمة على "القدوة" (</w:t>
      </w:r>
      <w:r w:rsidR="006134FF" w:rsidRPr="006134FF">
        <w:rPr>
          <w:rFonts w:ascii="Times New Roman" w:eastAsia="Calibri" w:hAnsi="Times New Roman" w:cs="Simplified Arabic"/>
          <w:sz w:val="24"/>
          <w:szCs w:val="28"/>
        </w:rPr>
        <w:t>Role Modeling</w:t>
      </w:r>
      <w:r w:rsidR="006134FF" w:rsidRPr="006134FF">
        <w:rPr>
          <w:rFonts w:ascii="Times New Roman" w:eastAsia="Calibri" w:hAnsi="Times New Roman" w:cs="Simplified Arabic"/>
          <w:sz w:val="24"/>
          <w:szCs w:val="28"/>
          <w:rtl/>
        </w:rPr>
        <w:t>) لها تأثير مباشر في سلوكيات الموظفين تجاه إجراءات السلامة، وأن المديرين الذين يشاركون ميدانياً في عمليات التدقيق يعززون من جدية الالتزام لدى المرؤوسين.</w:t>
      </w:r>
    </w:p>
    <w:p w14:paraId="0C2C43CF" w14:textId="65FE5B4C"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 xml:space="preserve">كما تناولت دراسة </w:t>
      </w:r>
      <w:r w:rsidRPr="007F4301">
        <w:rPr>
          <w:rFonts w:ascii="Times New Roman" w:eastAsia="Calibri" w:hAnsi="Times New Roman" w:cs="Simplified Arabic"/>
          <w:b/>
          <w:bCs/>
          <w:sz w:val="24"/>
          <w:szCs w:val="28"/>
          <w:rtl/>
        </w:rPr>
        <w:t xml:space="preserve">حليم وآخرون </w:t>
      </w:r>
      <w:r w:rsidRPr="007F4301">
        <w:rPr>
          <w:rFonts w:ascii="Times New Roman" w:eastAsia="Calibri" w:hAnsi="Times New Roman" w:cs="Simplified Arabic"/>
          <w:b/>
          <w:bCs/>
          <w:sz w:val="24"/>
          <w:szCs w:val="28"/>
        </w:rPr>
        <w:t>(Haleem et al., 2019)</w:t>
      </w:r>
      <w:r w:rsidRPr="007F4301">
        <w:rPr>
          <w:rFonts w:ascii="Times New Roman" w:eastAsia="Calibri" w:hAnsi="Times New Roman" w:cs="Simplified Arabic"/>
          <w:sz w:val="24"/>
          <w:szCs w:val="28"/>
          <w:rtl/>
        </w:rPr>
        <w:t xml:space="preserve"> موضوع "الأعباء الإدارية للامتثال التنظيمي في </w:t>
      </w:r>
      <w:r w:rsidR="006134FF" w:rsidRPr="006134FF">
        <w:rPr>
          <w:rFonts w:ascii="Times New Roman" w:eastAsia="Calibri" w:hAnsi="Times New Roman" w:cs="Simplified Arabic"/>
          <w:sz w:val="24"/>
          <w:szCs w:val="28"/>
          <w:rtl/>
        </w:rPr>
        <w:t>صناعة الأدوية" (</w:t>
      </w:r>
      <w:r w:rsidR="006134FF" w:rsidRPr="006134FF">
        <w:rPr>
          <w:rFonts w:ascii="Times New Roman" w:eastAsia="Calibri" w:hAnsi="Times New Roman" w:cs="Simplified Arabic"/>
          <w:sz w:val="24"/>
          <w:szCs w:val="28"/>
        </w:rPr>
        <w:t>Administrative Burdens of Regulatory Compliance in the Pharmaceutical Industry</w:t>
      </w:r>
      <w:r w:rsidR="006134FF" w:rsidRPr="006134FF">
        <w:rPr>
          <w:rFonts w:ascii="Times New Roman" w:eastAsia="Calibri" w:hAnsi="Times New Roman" w:cs="Simplified Arabic"/>
          <w:sz w:val="24"/>
          <w:szCs w:val="28"/>
          <w:rtl/>
        </w:rPr>
        <w:t>). وهدفت الدراسة إلى قياس تكلفة الامتثال الإداري. وأوضحت النتائج أن التعقيد في الإجراءات التوثيقية اليدوية يستهلك 40% من وقت المديرين، مما يقلل من الوقت المخصص للتخطيط والتطوير، وأوصت بأتمتة العمليات الإدارية لتقليل العبء البيروقراطي وتحسين دقة البيانات.</w:t>
      </w:r>
    </w:p>
    <w:p w14:paraId="19321C0A" w14:textId="72100222"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lastRenderedPageBreak/>
        <w:t xml:space="preserve">وأخيراً، بحث </w:t>
      </w:r>
      <w:proofErr w:type="spellStart"/>
      <w:r w:rsidRPr="007F4301">
        <w:rPr>
          <w:rFonts w:ascii="Times New Roman" w:eastAsia="Calibri" w:hAnsi="Times New Roman" w:cs="Simplified Arabic"/>
          <w:b/>
          <w:bCs/>
          <w:sz w:val="24"/>
          <w:szCs w:val="28"/>
          <w:rtl/>
        </w:rPr>
        <w:t>سيتاني</w:t>
      </w:r>
      <w:proofErr w:type="spellEnd"/>
      <w:r w:rsidRPr="007F4301">
        <w:rPr>
          <w:rFonts w:ascii="Times New Roman" w:eastAsia="Calibri" w:hAnsi="Times New Roman" w:cs="Simplified Arabic"/>
          <w:b/>
          <w:bCs/>
          <w:sz w:val="24"/>
          <w:szCs w:val="28"/>
          <w:rtl/>
        </w:rPr>
        <w:t xml:space="preserve"> وآخرون </w:t>
      </w:r>
      <w:r w:rsidRPr="007F4301">
        <w:rPr>
          <w:rFonts w:ascii="Times New Roman" w:eastAsia="Calibri" w:hAnsi="Times New Roman" w:cs="Simplified Arabic"/>
          <w:b/>
          <w:bCs/>
          <w:sz w:val="24"/>
          <w:szCs w:val="28"/>
        </w:rPr>
        <w:t>(Settanni et al., 2019)</w:t>
      </w:r>
      <w:r w:rsidRPr="007F4301">
        <w:rPr>
          <w:rFonts w:ascii="Times New Roman" w:eastAsia="Calibri" w:hAnsi="Times New Roman" w:cs="Simplified Arabic"/>
          <w:sz w:val="24"/>
          <w:szCs w:val="28"/>
          <w:rtl/>
        </w:rPr>
        <w:t xml:space="preserve"> في دراسة </w:t>
      </w:r>
      <w:r w:rsidR="006134FF" w:rsidRPr="006134FF">
        <w:rPr>
          <w:rFonts w:ascii="Times New Roman" w:eastAsia="Calibri" w:hAnsi="Times New Roman" w:cs="Simplified Arabic"/>
          <w:sz w:val="24"/>
          <w:szCs w:val="28"/>
          <w:rtl/>
        </w:rPr>
        <w:t>بعنوان: "تكامل نظم المعلومات والإدارة في سلاسل الإمداد الدوائية" (</w:t>
      </w:r>
      <w:r w:rsidR="006134FF" w:rsidRPr="006134FF">
        <w:rPr>
          <w:rFonts w:ascii="Times New Roman" w:eastAsia="Calibri" w:hAnsi="Times New Roman" w:cs="Simplified Arabic"/>
          <w:sz w:val="24"/>
          <w:szCs w:val="28"/>
        </w:rPr>
        <w:t>Integration of Information Systems and Management in Pharmaceutical Supply Chains</w:t>
      </w:r>
      <w:r w:rsidR="006134FF" w:rsidRPr="006134FF">
        <w:rPr>
          <w:rFonts w:ascii="Times New Roman" w:eastAsia="Calibri" w:hAnsi="Times New Roman" w:cs="Simplified Arabic"/>
          <w:sz w:val="24"/>
          <w:szCs w:val="28"/>
          <w:rtl/>
        </w:rPr>
        <w:t>). وأكدت النتائج أن التحدي الرئيس لا يكمن في توفر التكنولوجيا، بل في "الفجوة الإدارية" المتمثلة في عدم قدرة المديرين على استثمار البيانات التي توفرها الأنظمة لاتخاذ قرارات استباقية، مما يشير إلى قصور في وظيفة "الرقابة" وتحليل الأداء.</w:t>
      </w:r>
    </w:p>
    <w:p w14:paraId="326A7C2F"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tl/>
        </w:rPr>
      </w:pPr>
      <w:r w:rsidRPr="007F4301">
        <w:rPr>
          <w:rFonts w:ascii="Times New Roman" w:eastAsia="Calibri" w:hAnsi="Times New Roman" w:cs="Simplified Arabic"/>
          <w:b/>
          <w:bCs/>
          <w:sz w:val="24"/>
          <w:szCs w:val="28"/>
          <w:rtl/>
        </w:rPr>
        <w:t>ثالثاً: تعقيب عام على الدراسات السابقة:</w:t>
      </w:r>
    </w:p>
    <w:p w14:paraId="3A2AD4AA"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من خلال استعراض الدراسات العربية والأجنبية، يمكن رصد النقاط الآتية:</w:t>
      </w:r>
    </w:p>
    <w:p w14:paraId="182D6370" w14:textId="77777777" w:rsidR="007F4301" w:rsidRPr="007F4301" w:rsidRDefault="007F4301" w:rsidP="007F4301">
      <w:pPr>
        <w:numPr>
          <w:ilvl w:val="0"/>
          <w:numId w:val="58"/>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t xml:space="preserve">نقاط الاتفاق: </w:t>
      </w:r>
      <w:r w:rsidRPr="007F4301">
        <w:rPr>
          <w:rFonts w:ascii="Times New Roman" w:eastAsia="Calibri" w:hAnsi="Times New Roman" w:cs="Simplified Arabic"/>
          <w:sz w:val="24"/>
          <w:szCs w:val="28"/>
          <w:rtl/>
        </w:rPr>
        <w:t xml:space="preserve">أجمعت معظم الدراسات </w:t>
      </w:r>
      <w:r w:rsidRPr="007F4301">
        <w:rPr>
          <w:rFonts w:ascii="Times New Roman" w:eastAsia="Calibri" w:hAnsi="Times New Roman" w:cs="Simplified Arabic"/>
          <w:sz w:val="24"/>
          <w:szCs w:val="28"/>
        </w:rPr>
        <w:t>(</w:t>
      </w:r>
      <w:r w:rsidRPr="007F4301">
        <w:rPr>
          <w:rFonts w:ascii="Times New Roman" w:eastAsia="Calibri" w:hAnsi="Times New Roman" w:cs="Simplified Arabic"/>
          <w:sz w:val="24"/>
          <w:szCs w:val="28"/>
          <w:rtl/>
        </w:rPr>
        <w:t xml:space="preserve">مثل: الشهري، 2024؛ </w:t>
      </w:r>
      <w:r w:rsidRPr="007F4301">
        <w:rPr>
          <w:rFonts w:ascii="Times New Roman" w:eastAsia="Calibri" w:hAnsi="Times New Roman" w:cs="Simplified Arabic"/>
          <w:sz w:val="24"/>
          <w:szCs w:val="28"/>
        </w:rPr>
        <w:t>Breen et al., 2020)</w:t>
      </w:r>
      <w:r w:rsidRPr="007F4301">
        <w:rPr>
          <w:rFonts w:ascii="Times New Roman" w:eastAsia="Calibri" w:hAnsi="Times New Roman" w:cs="Simplified Arabic"/>
          <w:sz w:val="24"/>
          <w:szCs w:val="28"/>
          <w:rtl/>
        </w:rPr>
        <w:t xml:space="preserve"> على محورية دور القيادة والإدارة العليا في نجاح تطبيق معايير الجودة، وأن التحديات البشرية والتنظيمية غالباً ما تفوق التحديات التقنية والمالية. كما اتفقت الدراسات على أن البيروقراطية وضعف التواصل يمثلان عائقاً مشتركاً في مختلف البيئات.</w:t>
      </w:r>
    </w:p>
    <w:p w14:paraId="204C85D3" w14:textId="3372FC24" w:rsidR="007F4301" w:rsidRPr="007F4301" w:rsidRDefault="007F4301" w:rsidP="007F4301">
      <w:pPr>
        <w:numPr>
          <w:ilvl w:val="0"/>
          <w:numId w:val="58"/>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t xml:space="preserve">نقاط الاختلاف: </w:t>
      </w:r>
      <w:r w:rsidRPr="007F4301">
        <w:rPr>
          <w:rFonts w:ascii="Times New Roman" w:eastAsia="Calibri" w:hAnsi="Times New Roman" w:cs="Simplified Arabic"/>
          <w:sz w:val="24"/>
          <w:szCs w:val="28"/>
          <w:rtl/>
        </w:rPr>
        <w:t xml:space="preserve">ركزت </w:t>
      </w:r>
      <w:r w:rsidR="00AA325F" w:rsidRPr="00AA325F">
        <w:rPr>
          <w:rFonts w:ascii="Times New Roman" w:eastAsia="Calibri" w:hAnsi="Times New Roman" w:cs="Simplified Arabic"/>
          <w:sz w:val="24"/>
          <w:szCs w:val="28"/>
          <w:rtl/>
        </w:rPr>
        <w:t xml:space="preserve">الدراسات الأجنبية (مثل: </w:t>
      </w:r>
      <w:r w:rsidR="00AA325F" w:rsidRPr="00AA325F">
        <w:rPr>
          <w:rFonts w:ascii="Times New Roman" w:eastAsia="Calibri" w:hAnsi="Times New Roman" w:cs="Simplified Arabic"/>
          <w:sz w:val="24"/>
          <w:szCs w:val="28"/>
        </w:rPr>
        <w:t>Kumar &amp; Tripathi, 2023</w:t>
      </w:r>
      <w:r w:rsidR="00AA325F" w:rsidRPr="00AA325F">
        <w:rPr>
          <w:rFonts w:ascii="Times New Roman" w:eastAsia="Calibri" w:hAnsi="Times New Roman" w:cs="Simplified Arabic"/>
          <w:sz w:val="24"/>
          <w:szCs w:val="28"/>
          <w:rtl/>
        </w:rPr>
        <w:t>) بشكل أكبر على التحديات الإدارية المرتبطة بالتقنيات المتقدمة (</w:t>
      </w:r>
      <w:r w:rsidR="00AA325F" w:rsidRPr="00AA325F">
        <w:rPr>
          <w:rFonts w:ascii="Times New Roman" w:eastAsia="Calibri" w:hAnsi="Times New Roman" w:cs="Simplified Arabic"/>
          <w:sz w:val="24"/>
          <w:szCs w:val="28"/>
        </w:rPr>
        <w:t>Blockchain, AI</w:t>
      </w:r>
      <w:r w:rsidR="00AA325F" w:rsidRPr="00AA325F">
        <w:rPr>
          <w:rFonts w:ascii="Times New Roman" w:eastAsia="Calibri" w:hAnsi="Times New Roman" w:cs="Simplified Arabic"/>
          <w:sz w:val="24"/>
          <w:szCs w:val="28"/>
          <w:rtl/>
        </w:rPr>
        <w:t>) والاستدامة، بينما ركزت الدراسات العربية (مثل: الغامدي، 2022؛ السعايدة، 2021) على التحديات المرتبطة بالبنية التحتية الأساسية، والهياكل التنظيمية التقليدية، والمركزية في اتخاذ القرار.</w:t>
      </w:r>
    </w:p>
    <w:p w14:paraId="32B6A3BB" w14:textId="77777777" w:rsidR="007F4301" w:rsidRPr="007F4301" w:rsidRDefault="007F4301" w:rsidP="007F4301">
      <w:pPr>
        <w:numPr>
          <w:ilvl w:val="0"/>
          <w:numId w:val="58"/>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t xml:space="preserve">أوجه الاستفادة: </w:t>
      </w:r>
      <w:r w:rsidRPr="007F4301">
        <w:rPr>
          <w:rFonts w:ascii="Times New Roman" w:eastAsia="Calibri" w:hAnsi="Times New Roman" w:cs="Simplified Arabic"/>
          <w:sz w:val="24"/>
          <w:szCs w:val="28"/>
          <w:rtl/>
        </w:rPr>
        <w:t>أسهمت هذه الدراسات في بلورة مشكلة الدراسة الحالية، وتحديد أبعاد المتغيرات (التخطيط، التنظيم، التوجيه، الرقابة) كأطر مرجعية لقياس التحديات، بالإضافة إلى الاستفادة من المقاييس المستخدمة في بناء أداة الدراسة وتطويرها لتلائم البيئة السعودية.</w:t>
      </w:r>
    </w:p>
    <w:p w14:paraId="23B3F9A1"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t xml:space="preserve">الفجوة البحثية </w:t>
      </w:r>
      <w:r w:rsidRPr="007F4301">
        <w:rPr>
          <w:rFonts w:ascii="Times New Roman" w:eastAsia="Calibri" w:hAnsi="Times New Roman" w:cs="Simplified Arabic"/>
          <w:b/>
          <w:bCs/>
          <w:sz w:val="24"/>
          <w:szCs w:val="28"/>
        </w:rPr>
        <w:t>(Research Gap)</w:t>
      </w:r>
      <w:r w:rsidRPr="007F4301">
        <w:rPr>
          <w:rFonts w:ascii="Times New Roman" w:eastAsia="Calibri" w:hAnsi="Times New Roman" w:cs="Simplified Arabic"/>
          <w:b/>
          <w:bCs/>
          <w:sz w:val="24"/>
          <w:szCs w:val="28"/>
          <w:rtl/>
        </w:rPr>
        <w:t>:</w:t>
      </w:r>
    </w:p>
    <w:p w14:paraId="4A7C4DE9"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 xml:space="preserve">على الرغم من ثراء الأدبيات السابقة، إلاّ أن هناك فجوة بحثية واضحة تتمثل في ندرة الدراسات التي تناولت "الوظائف الإدارية الأربع" (التخطيط، التنظيم، التوجيه، الرقابة) مجتمعة كمتغير مستقل يؤثر في الامتثال لمعايير </w:t>
      </w:r>
      <w:r w:rsidRPr="007F4301">
        <w:rPr>
          <w:rFonts w:ascii="Times New Roman" w:eastAsia="Calibri" w:hAnsi="Times New Roman" w:cs="Simplified Arabic"/>
          <w:sz w:val="24"/>
          <w:szCs w:val="28"/>
        </w:rPr>
        <w:t>(GDP)</w:t>
      </w:r>
      <w:r w:rsidRPr="007F4301">
        <w:rPr>
          <w:rFonts w:ascii="Times New Roman" w:eastAsia="Calibri" w:hAnsi="Times New Roman" w:cs="Simplified Arabic"/>
          <w:sz w:val="24"/>
          <w:szCs w:val="28"/>
          <w:rtl/>
        </w:rPr>
        <w:t xml:space="preserve"> تحديداً في البيئة السعودية الحديثة بعد إطلاق برامج الرؤية 2030. فمعظم الدراسات العربية تناولت جوانب جزئية (مثل التخطيط فقط أو القيادة فقط)، أو ركزت </w:t>
      </w:r>
      <w:r w:rsidRPr="007F4301">
        <w:rPr>
          <w:rFonts w:ascii="Times New Roman" w:eastAsia="Calibri" w:hAnsi="Times New Roman" w:cs="Simplified Arabic"/>
          <w:sz w:val="24"/>
          <w:szCs w:val="28"/>
          <w:rtl/>
        </w:rPr>
        <w:lastRenderedPageBreak/>
        <w:t>على المستشفيات بدلاً من شركات سلاسل الإمداد والتوزيع. لذا، تأتي هذه الدراسة لتسد هذه الثغرة من خلال تقديم تشخيص شامل للتحديات الإدارية في قطاع التوزيع الطبي الخاص.</w:t>
      </w:r>
    </w:p>
    <w:p w14:paraId="1DC5B4DF"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t xml:space="preserve">القيمة المضافة للدراسة </w:t>
      </w:r>
      <w:r w:rsidRPr="007F4301">
        <w:rPr>
          <w:rFonts w:ascii="Times New Roman" w:eastAsia="Calibri" w:hAnsi="Times New Roman" w:cs="Simplified Arabic"/>
          <w:b/>
          <w:bCs/>
          <w:sz w:val="24"/>
          <w:szCs w:val="28"/>
        </w:rPr>
        <w:t>(Added Value)</w:t>
      </w:r>
      <w:r w:rsidRPr="007F4301">
        <w:rPr>
          <w:rFonts w:ascii="Times New Roman" w:eastAsia="Calibri" w:hAnsi="Times New Roman" w:cs="Simplified Arabic"/>
          <w:b/>
          <w:bCs/>
          <w:sz w:val="24"/>
          <w:szCs w:val="28"/>
          <w:rtl/>
        </w:rPr>
        <w:t>:</w:t>
      </w:r>
    </w:p>
    <w:p w14:paraId="44B87E97"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تتميز هذه الدراسة بتقديم نموذج تحليلي يربط بين النظرية الإدارية الكلاسيكية ومتطلبات الامتثال التنظيمي الحديثة في قطاع حساس كقطاع الأدوية. كما أنها توفر بيانات حديثة (2025-2026) تعكس واقع السوق السعودي بعد التحديثات الأخيرة للوائح الهيئة العامة للغذاء والدواء، مما يجعل نتائجها ذات قابلية عالية للتطبيق وتقديم حلول عملية لصناع القرار لتحسين كفاءة سلاسل الإمداد الوطنية.</w:t>
      </w:r>
    </w:p>
    <w:p w14:paraId="74DD4DCE"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tl/>
        </w:rPr>
      </w:pPr>
      <w:r w:rsidRPr="007F4301">
        <w:rPr>
          <w:rFonts w:ascii="Times New Roman" w:eastAsia="Calibri" w:hAnsi="Times New Roman" w:cs="Simplified Arabic"/>
          <w:sz w:val="24"/>
          <w:szCs w:val="28"/>
          <w:rtl/>
        </w:rPr>
        <w:br w:type="page"/>
      </w:r>
    </w:p>
    <w:p w14:paraId="68FEC7B4" w14:textId="77777777" w:rsidR="007F4301" w:rsidRPr="00AA325F" w:rsidRDefault="007F4301" w:rsidP="00AA325F">
      <w:pPr>
        <w:spacing w:after="240" w:line="276" w:lineRule="auto"/>
        <w:ind w:firstLine="510"/>
        <w:jc w:val="center"/>
        <w:rPr>
          <w:rFonts w:ascii="Times New Roman" w:eastAsia="Calibri" w:hAnsi="Times New Roman" w:cs="Simplified Arabic"/>
          <w:sz w:val="28"/>
          <w:szCs w:val="32"/>
        </w:rPr>
      </w:pPr>
      <w:r w:rsidRPr="00AA325F">
        <w:rPr>
          <w:rFonts w:ascii="Times New Roman" w:eastAsia="Calibri" w:hAnsi="Times New Roman" w:cs="Simplified Arabic"/>
          <w:b/>
          <w:bCs/>
          <w:sz w:val="28"/>
          <w:szCs w:val="32"/>
          <w:rtl/>
        </w:rPr>
        <w:lastRenderedPageBreak/>
        <w:t>المحور الثاني: الإطار النظري للدراسة</w:t>
      </w:r>
    </w:p>
    <w:p w14:paraId="11402593"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t>تمهيد:</w:t>
      </w:r>
    </w:p>
    <w:p w14:paraId="64EE426E"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بعد استعراض الدراسات السابقة وتحليل فجواتها، ينتقل هذا الجزء من الدراسة إلى التأصيل النظري المعمق للمتغيرات، حيث يتم تفكيك البنية المعرفية للمتغير المستقل (التحديات الإدارية) والمتغير التابع (ممارسات التوزيع الجيد)، واستجلاء الأطر النظرية المفسرة للعلاقة بينهما. ويهدف هذا الفصل إلى بناء أرضية علمية صلبة تساعد في تفسير النتائج الميدانية لاحقاً.</w:t>
      </w:r>
    </w:p>
    <w:p w14:paraId="2377617C" w14:textId="5D3FBC4E" w:rsidR="007F4301" w:rsidRPr="00340CC7" w:rsidRDefault="007F4301" w:rsidP="00AA325F">
      <w:pPr>
        <w:spacing w:after="240" w:line="276" w:lineRule="auto"/>
        <w:ind w:firstLine="510"/>
        <w:jc w:val="center"/>
        <w:rPr>
          <w:rFonts w:ascii="Times New Roman" w:eastAsia="Calibri" w:hAnsi="Times New Roman" w:cs="Simplified Arabic"/>
          <w:sz w:val="26"/>
          <w:szCs w:val="30"/>
        </w:rPr>
      </w:pPr>
      <w:r w:rsidRPr="00340CC7">
        <w:rPr>
          <w:rFonts w:ascii="Times New Roman" w:eastAsia="Calibri" w:hAnsi="Times New Roman" w:cs="Simplified Arabic"/>
          <w:b/>
          <w:bCs/>
          <w:sz w:val="26"/>
          <w:szCs w:val="30"/>
          <w:rtl/>
        </w:rPr>
        <w:t xml:space="preserve">المبحث الأول: التحديات الإدارية في بيئة سلاسل الإمداد الطبية </w:t>
      </w:r>
    </w:p>
    <w:p w14:paraId="35E39EA0"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يُعد العنصر الإداري المحرك الرئيس لكفاءة العمليات اللوجستية، وحجر الزاوية في ضمان استدامة التدفق الدوائي. وفي ظل التعقيدات المتزايدة في البيئة الصحية، لم تعد التحديات تقتصر على الجوانب الفنية، بل باتت التحديات الإدارية تشكل العائق الأكبر أمام التميز التشغيلي. ويتناول هذا المبحث تحليل المتغير المستقل عبر المطالب الآتية:</w:t>
      </w:r>
    </w:p>
    <w:p w14:paraId="78492C06"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t>المطلب الأول: المفهوم الفلسفي والوظيفي للتحديات الإدارية:</w:t>
      </w:r>
    </w:p>
    <w:p w14:paraId="2A2AE275"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 xml:space="preserve">تتجاوز التحديات الإدارية في مفهومها المعاصر مجرد المشكلات الروتينية اليومية، لتشير إلى "الفجوة الاستراتيجية" بين القدرات التنظيمية الحالية ومتطلبات البيئة الخارجية المتغيرة. ففي سياق سلاسل الإمداد الطبية، يُنظر للتحديات الإدارية على أنها قصور في مواءمة الموارد الداخلية (بشرية، مالية، معلوماتية) مع الاشتراطات التنظيمية الصارمة </w:t>
      </w:r>
      <w:r w:rsidRPr="007F4301">
        <w:rPr>
          <w:rFonts w:ascii="Times New Roman" w:eastAsia="Calibri" w:hAnsi="Times New Roman" w:cs="Simplified Arabic"/>
          <w:sz w:val="24"/>
          <w:szCs w:val="28"/>
        </w:rPr>
        <w:t>(</w:t>
      </w:r>
      <w:r w:rsidRPr="007F4301">
        <w:rPr>
          <w:rFonts w:ascii="Times New Roman" w:eastAsia="Calibri" w:hAnsi="Times New Roman" w:cs="Simplified Arabic"/>
          <w:sz w:val="24"/>
          <w:szCs w:val="28"/>
          <w:rtl/>
        </w:rPr>
        <w:t xml:space="preserve">مثل </w:t>
      </w:r>
      <w:r w:rsidRPr="007F4301">
        <w:rPr>
          <w:rFonts w:ascii="Times New Roman" w:eastAsia="Calibri" w:hAnsi="Times New Roman" w:cs="Simplified Arabic"/>
          <w:sz w:val="24"/>
          <w:szCs w:val="28"/>
        </w:rPr>
        <w:t>GDP)</w:t>
      </w:r>
      <w:r w:rsidRPr="007F4301">
        <w:rPr>
          <w:rFonts w:ascii="Times New Roman" w:eastAsia="Calibri" w:hAnsi="Times New Roman" w:cs="Simplified Arabic"/>
          <w:sz w:val="24"/>
          <w:szCs w:val="28"/>
          <w:rtl/>
        </w:rPr>
        <w:t>. ويشير العنزي (2022، ص. 45) إلى أن التحدي الإداري ينشأ عندما تعجز المنظمة عن تحويل "المعرفة التنظيمية" إلى "سلوك تنفيذي"، مما يخلق حالة من الترهل المؤسسي الذي يعيق الاستجابة السريعة للأزمات أو الطلبات العاجلة.</w:t>
      </w:r>
    </w:p>
    <w:p w14:paraId="4A3E7B25"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 xml:space="preserve">ومن منظور وظيفي، تُعرف التحديات الإدارية بأنها الاختلالات التي تصيب الوظائف الإدارية الأربع (التخطيط، التنظيم، التوجيه، الرقابة)، مما يؤدي إلى عدم كفاءة المخرجات. ويؤكد روبنز </w:t>
      </w:r>
      <w:proofErr w:type="spellStart"/>
      <w:r w:rsidRPr="007F4301">
        <w:rPr>
          <w:rFonts w:ascii="Times New Roman" w:eastAsia="Calibri" w:hAnsi="Times New Roman" w:cs="Simplified Arabic"/>
          <w:sz w:val="24"/>
          <w:szCs w:val="28"/>
          <w:rtl/>
        </w:rPr>
        <w:t>وكولتر</w:t>
      </w:r>
      <w:proofErr w:type="spellEnd"/>
      <w:r w:rsidRPr="007F4301">
        <w:rPr>
          <w:rFonts w:ascii="Times New Roman" w:eastAsia="Calibri" w:hAnsi="Times New Roman" w:cs="Simplified Arabic"/>
          <w:sz w:val="24"/>
          <w:szCs w:val="28"/>
          <w:rtl/>
        </w:rPr>
        <w:t xml:space="preserve"> (</w:t>
      </w:r>
      <w:r w:rsidRPr="007F4301">
        <w:rPr>
          <w:rFonts w:ascii="Times New Roman" w:eastAsia="Calibri" w:hAnsi="Times New Roman" w:cs="Simplified Arabic"/>
          <w:sz w:val="24"/>
          <w:szCs w:val="28"/>
        </w:rPr>
        <w:t>Robbins &amp; Coulter, 2021, p. 88</w:t>
      </w:r>
      <w:r w:rsidRPr="007F4301">
        <w:rPr>
          <w:rFonts w:ascii="Times New Roman" w:eastAsia="Calibri" w:hAnsi="Times New Roman" w:cs="Simplified Arabic"/>
          <w:sz w:val="24"/>
          <w:szCs w:val="28"/>
          <w:rtl/>
        </w:rPr>
        <w:t xml:space="preserve">) أن أخطر التحديات هي تلك "الخفية" المتمثلة في </w:t>
      </w:r>
      <w:r w:rsidRPr="007F4301">
        <w:rPr>
          <w:rFonts w:ascii="Times New Roman" w:eastAsia="Calibri" w:hAnsi="Times New Roman" w:cs="Simplified Arabic"/>
          <w:sz w:val="24"/>
          <w:szCs w:val="28"/>
          <w:rtl/>
        </w:rPr>
        <w:lastRenderedPageBreak/>
        <w:t>مقاومة التغيير، وثقافة اللوم، وضعف الاتصال الأفقي، والتي غالباً ما يتم تجاهلها لصالح التركيز على التحديات التقنية الظاهرة.</w:t>
      </w:r>
    </w:p>
    <w:p w14:paraId="5A070FB5"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t>المطلب الثاني: الأهمية الاستراتيجية للكفاءة الإدارية في القطاع الطبي:</w:t>
      </w:r>
    </w:p>
    <w:p w14:paraId="5BF287B7"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تكتسب الإدارة في سلاسل الإمداد الطبية خصوصية نابعة من طبيعة المنتج الذي تتعامل معه؛ فالخطأ الإداري هنا لا يعني خسارة مالية فحسب، بل قد يهدد الأمن الصحي. وتبرز أهمية تجاوز التحديات الإدارية في النقاط الآتية:</w:t>
      </w:r>
    </w:p>
    <w:p w14:paraId="024D6614" w14:textId="77777777" w:rsidR="007F4301" w:rsidRPr="007F4301" w:rsidRDefault="007F4301" w:rsidP="007F4301">
      <w:pPr>
        <w:numPr>
          <w:ilvl w:val="0"/>
          <w:numId w:val="59"/>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t xml:space="preserve">ضمان استمرارية الأعمال: </w:t>
      </w:r>
      <w:r w:rsidRPr="007F4301">
        <w:rPr>
          <w:rFonts w:ascii="Times New Roman" w:eastAsia="Calibri" w:hAnsi="Times New Roman" w:cs="Simplified Arabic"/>
          <w:sz w:val="24"/>
          <w:szCs w:val="28"/>
          <w:rtl/>
        </w:rPr>
        <w:t xml:space="preserve">تتطلب اللوائح الحديثة خططاً إدارية محكمة لاستمرارية الأعمال </w:t>
      </w:r>
      <w:r w:rsidRPr="007F4301">
        <w:rPr>
          <w:rFonts w:ascii="Times New Roman" w:eastAsia="Calibri" w:hAnsi="Times New Roman" w:cs="Simplified Arabic"/>
          <w:sz w:val="24"/>
          <w:szCs w:val="28"/>
        </w:rPr>
        <w:t>(BCP)</w:t>
      </w:r>
      <w:r w:rsidRPr="007F4301">
        <w:rPr>
          <w:rFonts w:ascii="Times New Roman" w:eastAsia="Calibri" w:hAnsi="Times New Roman" w:cs="Simplified Arabic"/>
          <w:sz w:val="24"/>
          <w:szCs w:val="28"/>
          <w:rtl/>
        </w:rPr>
        <w:t xml:space="preserve">، حيث يعد الفشل في التخطيط للطوارئ تهديداً وجودياً للشركات في ظل الأوبئة والكوارث </w:t>
      </w:r>
      <w:r w:rsidRPr="007F4301">
        <w:rPr>
          <w:rFonts w:ascii="Times New Roman" w:eastAsia="Calibri" w:hAnsi="Times New Roman" w:cs="Simplified Arabic"/>
          <w:sz w:val="24"/>
          <w:szCs w:val="28"/>
        </w:rPr>
        <w:t>(Al-Harbi, 2023, p. 112)</w:t>
      </w:r>
      <w:r w:rsidRPr="007F4301">
        <w:rPr>
          <w:rFonts w:ascii="Times New Roman" w:eastAsia="Calibri" w:hAnsi="Times New Roman" w:cs="Simplified Arabic"/>
          <w:sz w:val="24"/>
          <w:szCs w:val="28"/>
          <w:rtl/>
        </w:rPr>
        <w:t>.</w:t>
      </w:r>
    </w:p>
    <w:p w14:paraId="6E51C4A3" w14:textId="77777777" w:rsidR="007F4301" w:rsidRPr="007F4301" w:rsidRDefault="007F4301" w:rsidP="007F4301">
      <w:pPr>
        <w:numPr>
          <w:ilvl w:val="0"/>
          <w:numId w:val="59"/>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t xml:space="preserve">كفاءة التكلفة: </w:t>
      </w:r>
      <w:r w:rsidRPr="007F4301">
        <w:rPr>
          <w:rFonts w:ascii="Times New Roman" w:eastAsia="Calibri" w:hAnsi="Times New Roman" w:cs="Simplified Arabic"/>
          <w:sz w:val="24"/>
          <w:szCs w:val="28"/>
          <w:rtl/>
        </w:rPr>
        <w:t xml:space="preserve">تشير الدراسات إلى أن 30% من تكاليف الرعاية الصحية هي تكاليف لوجستية وإدارية، وبالتالي فإن رفع الكفاءة الإدارية يسهم مباشرة في خفض الفاتورة الصحية الوطنية </w:t>
      </w:r>
      <w:r w:rsidRPr="007F4301">
        <w:rPr>
          <w:rFonts w:ascii="Times New Roman" w:eastAsia="Calibri" w:hAnsi="Times New Roman" w:cs="Simplified Arabic"/>
          <w:sz w:val="24"/>
          <w:szCs w:val="28"/>
        </w:rPr>
        <w:t>(Heizer et al., 2020, p. 201)</w:t>
      </w:r>
      <w:r w:rsidRPr="007F4301">
        <w:rPr>
          <w:rFonts w:ascii="Times New Roman" w:eastAsia="Calibri" w:hAnsi="Times New Roman" w:cs="Simplified Arabic"/>
          <w:sz w:val="24"/>
          <w:szCs w:val="28"/>
          <w:rtl/>
        </w:rPr>
        <w:t>.</w:t>
      </w:r>
    </w:p>
    <w:p w14:paraId="51F183F9" w14:textId="77777777" w:rsidR="007F4301" w:rsidRPr="007F4301" w:rsidRDefault="007F4301" w:rsidP="007F4301">
      <w:pPr>
        <w:numPr>
          <w:ilvl w:val="0"/>
          <w:numId w:val="59"/>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t xml:space="preserve">الامتثال والسمعة: </w:t>
      </w:r>
      <w:r w:rsidRPr="007F4301">
        <w:rPr>
          <w:rFonts w:ascii="Times New Roman" w:eastAsia="Calibri" w:hAnsi="Times New Roman" w:cs="Simplified Arabic"/>
          <w:sz w:val="24"/>
          <w:szCs w:val="28"/>
          <w:rtl/>
        </w:rPr>
        <w:t>تعد القدرة الإدارية على التوثيق والرقابة الذاتية شرطاً أساسياً لتجنب العقوبات وسحب التراخيص من قبل الهيئات الرقابية، مما يحمي سمعة المنظمة في السوق.</w:t>
      </w:r>
    </w:p>
    <w:p w14:paraId="3960C172"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t>المطلب الثالث: أبعاد التحديات الإدارية (التحليل الهيكلي):</w:t>
      </w:r>
    </w:p>
    <w:p w14:paraId="4FEA1206"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استناداً إلى النظرية الكلاسيكية في الإدارة وما طرأ عليها من تحديثات، يمكن تفكيك التحديات الإدارية في سلاسل الإمداد الطبية إلى أربعة أبعاد رئيسة:</w:t>
      </w:r>
    </w:p>
    <w:p w14:paraId="61C24153"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tl/>
        </w:rPr>
      </w:pPr>
      <w:r w:rsidRPr="007F4301">
        <w:rPr>
          <w:rFonts w:ascii="Times New Roman" w:eastAsia="Calibri" w:hAnsi="Times New Roman" w:cs="Simplified Arabic"/>
          <w:b/>
          <w:bCs/>
          <w:sz w:val="24"/>
          <w:szCs w:val="28"/>
        </w:rPr>
        <w:t>1</w:t>
      </w:r>
      <w:r w:rsidRPr="007F4301">
        <w:rPr>
          <w:rFonts w:ascii="Times New Roman" w:eastAsia="Calibri" w:hAnsi="Times New Roman" w:cs="Simplified Arabic"/>
          <w:b/>
          <w:bCs/>
          <w:sz w:val="24"/>
          <w:szCs w:val="28"/>
          <w:rtl/>
        </w:rPr>
        <w:t xml:space="preserve">. تحديات التخطيط </w:t>
      </w:r>
      <w:r w:rsidRPr="007F4301">
        <w:rPr>
          <w:rFonts w:ascii="Times New Roman" w:eastAsia="Calibri" w:hAnsi="Times New Roman" w:cs="Simplified Arabic"/>
          <w:b/>
          <w:bCs/>
          <w:sz w:val="24"/>
          <w:szCs w:val="28"/>
        </w:rPr>
        <w:t>(Planning Challenges)</w:t>
      </w:r>
      <w:r w:rsidRPr="007F4301">
        <w:rPr>
          <w:rFonts w:ascii="Times New Roman" w:eastAsia="Calibri" w:hAnsi="Times New Roman" w:cs="Simplified Arabic"/>
          <w:b/>
          <w:bCs/>
          <w:sz w:val="24"/>
          <w:szCs w:val="28"/>
          <w:rtl/>
        </w:rPr>
        <w:t>:</w:t>
      </w:r>
    </w:p>
    <w:p w14:paraId="7451027D"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يُعد التخطيط الوظيفة الأولى التي تحدد مسار المنظمة، وتتمثل التحديات هنا في:</w:t>
      </w:r>
    </w:p>
    <w:p w14:paraId="62D9607B" w14:textId="77777777" w:rsidR="007F4301" w:rsidRPr="007F4301" w:rsidRDefault="007F4301" w:rsidP="007F4301">
      <w:pPr>
        <w:numPr>
          <w:ilvl w:val="0"/>
          <w:numId w:val="60"/>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t xml:space="preserve">ضعف التنبؤ بالطلب </w:t>
      </w:r>
      <w:r w:rsidRPr="007F4301">
        <w:rPr>
          <w:rFonts w:ascii="Times New Roman" w:eastAsia="Calibri" w:hAnsi="Times New Roman" w:cs="Simplified Arabic"/>
          <w:b/>
          <w:bCs/>
          <w:sz w:val="24"/>
          <w:szCs w:val="28"/>
        </w:rPr>
        <w:t>(Demand Forecasting)</w:t>
      </w:r>
      <w:r w:rsidRPr="007F4301">
        <w:rPr>
          <w:rFonts w:ascii="Times New Roman" w:eastAsia="Calibri" w:hAnsi="Times New Roman" w:cs="Simplified Arabic"/>
          <w:b/>
          <w:bCs/>
          <w:sz w:val="24"/>
          <w:szCs w:val="28"/>
          <w:rtl/>
        </w:rPr>
        <w:t xml:space="preserve">: </w:t>
      </w:r>
      <w:r w:rsidRPr="007F4301">
        <w:rPr>
          <w:rFonts w:ascii="Times New Roman" w:eastAsia="Calibri" w:hAnsi="Times New Roman" w:cs="Simplified Arabic"/>
          <w:sz w:val="24"/>
          <w:szCs w:val="28"/>
          <w:rtl/>
        </w:rPr>
        <w:t xml:space="preserve">تعاني العديد من الشركات من غياب نماذج إحصائية دقيقة للتنبؤ، والاعتماد على التقديرات الشخصية، مما يؤدي إلى "تأثير </w:t>
      </w:r>
      <w:r w:rsidRPr="007F4301">
        <w:rPr>
          <w:rFonts w:ascii="Times New Roman" w:eastAsia="Calibri" w:hAnsi="Times New Roman" w:cs="Simplified Arabic"/>
          <w:sz w:val="24"/>
          <w:szCs w:val="28"/>
          <w:rtl/>
        </w:rPr>
        <w:lastRenderedPageBreak/>
        <w:t>السوط</w:t>
      </w:r>
      <w:r w:rsidRPr="007F4301">
        <w:rPr>
          <w:rFonts w:ascii="Times New Roman" w:eastAsia="Calibri" w:hAnsi="Times New Roman" w:cs="Simplified Arabic"/>
          <w:sz w:val="24"/>
          <w:szCs w:val="28"/>
        </w:rPr>
        <w:t>" (Bullwhip Effect)</w:t>
      </w:r>
      <w:r w:rsidRPr="007F4301">
        <w:rPr>
          <w:rFonts w:ascii="Times New Roman" w:eastAsia="Calibri" w:hAnsi="Times New Roman" w:cs="Simplified Arabic"/>
          <w:sz w:val="24"/>
          <w:szCs w:val="28"/>
          <w:rtl/>
        </w:rPr>
        <w:t xml:space="preserve"> حيث تتضخم طلبات المخزون بشكل غير مبرر أو يحدث عجز مفاجئ </w:t>
      </w:r>
      <w:r w:rsidRPr="007F4301">
        <w:rPr>
          <w:rFonts w:ascii="Times New Roman" w:eastAsia="Calibri" w:hAnsi="Times New Roman" w:cs="Simplified Arabic"/>
          <w:sz w:val="24"/>
          <w:szCs w:val="28"/>
        </w:rPr>
        <w:t>(Chopra &amp; Meindl, 2019, p. 150)</w:t>
      </w:r>
      <w:r w:rsidRPr="007F4301">
        <w:rPr>
          <w:rFonts w:ascii="Times New Roman" w:eastAsia="Calibri" w:hAnsi="Times New Roman" w:cs="Simplified Arabic"/>
          <w:sz w:val="24"/>
          <w:szCs w:val="28"/>
          <w:rtl/>
        </w:rPr>
        <w:t>.</w:t>
      </w:r>
    </w:p>
    <w:p w14:paraId="48573E40" w14:textId="77777777" w:rsidR="007F4301" w:rsidRPr="007F4301" w:rsidRDefault="007F4301" w:rsidP="007F4301">
      <w:pPr>
        <w:numPr>
          <w:ilvl w:val="0"/>
          <w:numId w:val="60"/>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t xml:space="preserve">غياب التخطيط الاستراتيجي: </w:t>
      </w:r>
      <w:r w:rsidRPr="007F4301">
        <w:rPr>
          <w:rFonts w:ascii="Times New Roman" w:eastAsia="Calibri" w:hAnsi="Times New Roman" w:cs="Simplified Arabic"/>
          <w:sz w:val="24"/>
          <w:szCs w:val="28"/>
          <w:rtl/>
        </w:rPr>
        <w:t>التركيز على الأهداف التشغيلية قصيرة المدى (إطفاء الحرائق) وإهمال التخطيط طويل المدى لتطوير البنية التحتية وتأهيل الكوادر.</w:t>
      </w:r>
    </w:p>
    <w:p w14:paraId="55FC08D9"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tl/>
        </w:rPr>
      </w:pPr>
      <w:r w:rsidRPr="007F4301">
        <w:rPr>
          <w:rFonts w:ascii="Times New Roman" w:eastAsia="Calibri" w:hAnsi="Times New Roman" w:cs="Simplified Arabic"/>
          <w:b/>
          <w:bCs/>
          <w:sz w:val="24"/>
          <w:szCs w:val="28"/>
        </w:rPr>
        <w:t>2</w:t>
      </w:r>
      <w:r w:rsidRPr="007F4301">
        <w:rPr>
          <w:rFonts w:ascii="Times New Roman" w:eastAsia="Calibri" w:hAnsi="Times New Roman" w:cs="Simplified Arabic"/>
          <w:b/>
          <w:bCs/>
          <w:sz w:val="24"/>
          <w:szCs w:val="28"/>
          <w:rtl/>
        </w:rPr>
        <w:t xml:space="preserve">. تحديات التنظيم </w:t>
      </w:r>
      <w:r w:rsidRPr="007F4301">
        <w:rPr>
          <w:rFonts w:ascii="Times New Roman" w:eastAsia="Calibri" w:hAnsi="Times New Roman" w:cs="Simplified Arabic"/>
          <w:b/>
          <w:bCs/>
          <w:sz w:val="24"/>
          <w:szCs w:val="28"/>
        </w:rPr>
        <w:t>(Organizing Challenges)</w:t>
      </w:r>
      <w:r w:rsidRPr="007F4301">
        <w:rPr>
          <w:rFonts w:ascii="Times New Roman" w:eastAsia="Calibri" w:hAnsi="Times New Roman" w:cs="Simplified Arabic"/>
          <w:b/>
          <w:bCs/>
          <w:sz w:val="24"/>
          <w:szCs w:val="28"/>
          <w:rtl/>
        </w:rPr>
        <w:t>:</w:t>
      </w:r>
    </w:p>
    <w:p w14:paraId="40EC4061"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تتعلق بكيفية ترتيب الموارد وتوزيع المهام، وتشمل:</w:t>
      </w:r>
    </w:p>
    <w:p w14:paraId="426E9105" w14:textId="77777777" w:rsidR="007F4301" w:rsidRPr="007F4301" w:rsidRDefault="007F4301" w:rsidP="007F4301">
      <w:pPr>
        <w:numPr>
          <w:ilvl w:val="0"/>
          <w:numId w:val="61"/>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t xml:space="preserve">جمود الهيكل التنظيمي: </w:t>
      </w:r>
      <w:r w:rsidRPr="007F4301">
        <w:rPr>
          <w:rFonts w:ascii="Times New Roman" w:eastAsia="Calibri" w:hAnsi="Times New Roman" w:cs="Simplified Arabic"/>
          <w:sz w:val="24"/>
          <w:szCs w:val="28"/>
          <w:rtl/>
        </w:rPr>
        <w:t>سيطرة الهياكل الهرمية الطويلة التي تعيق تدفق المعلومات من الميدان إلى الإدارة العليا، مما يؤخر اتخاذ القرارات الحاسمة في أوقات الذروة.</w:t>
      </w:r>
    </w:p>
    <w:p w14:paraId="26BE471B" w14:textId="77777777" w:rsidR="007F4301" w:rsidRPr="007F4301" w:rsidRDefault="007F4301" w:rsidP="007F4301">
      <w:pPr>
        <w:numPr>
          <w:ilvl w:val="0"/>
          <w:numId w:val="61"/>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t xml:space="preserve">عدم وضوح الأدوار </w:t>
      </w:r>
      <w:r w:rsidRPr="007F4301">
        <w:rPr>
          <w:rFonts w:ascii="Times New Roman" w:eastAsia="Calibri" w:hAnsi="Times New Roman" w:cs="Simplified Arabic"/>
          <w:b/>
          <w:bCs/>
          <w:sz w:val="24"/>
          <w:szCs w:val="28"/>
        </w:rPr>
        <w:t>(Role Ambiguity)</w:t>
      </w:r>
      <w:r w:rsidRPr="007F4301">
        <w:rPr>
          <w:rFonts w:ascii="Times New Roman" w:eastAsia="Calibri" w:hAnsi="Times New Roman" w:cs="Simplified Arabic"/>
          <w:b/>
          <w:bCs/>
          <w:sz w:val="24"/>
          <w:szCs w:val="28"/>
          <w:rtl/>
        </w:rPr>
        <w:t xml:space="preserve">: </w:t>
      </w:r>
      <w:r w:rsidRPr="007F4301">
        <w:rPr>
          <w:rFonts w:ascii="Times New Roman" w:eastAsia="Calibri" w:hAnsi="Times New Roman" w:cs="Simplified Arabic"/>
          <w:sz w:val="24"/>
          <w:szCs w:val="28"/>
          <w:rtl/>
        </w:rPr>
        <w:t xml:space="preserve">تداخل الصلاحيات بين مديري المستودعات، ومسؤولي الجودة، وإدارة المشتريات، مما يخلق صراعات وظيفية تضعف المسؤولية عن الأخطاء </w:t>
      </w:r>
      <w:r w:rsidRPr="007F4301">
        <w:rPr>
          <w:rFonts w:ascii="Times New Roman" w:eastAsia="Calibri" w:hAnsi="Times New Roman" w:cs="Simplified Arabic"/>
          <w:sz w:val="24"/>
          <w:szCs w:val="28"/>
        </w:rPr>
        <w:t>(Al-</w:t>
      </w:r>
      <w:proofErr w:type="spellStart"/>
      <w:r w:rsidRPr="007F4301">
        <w:rPr>
          <w:rFonts w:ascii="Times New Roman" w:eastAsia="Calibri" w:hAnsi="Times New Roman" w:cs="Simplified Arabic"/>
          <w:sz w:val="24"/>
          <w:szCs w:val="28"/>
        </w:rPr>
        <w:t>Dossari</w:t>
      </w:r>
      <w:proofErr w:type="spellEnd"/>
      <w:r w:rsidRPr="007F4301">
        <w:rPr>
          <w:rFonts w:ascii="Times New Roman" w:eastAsia="Calibri" w:hAnsi="Times New Roman" w:cs="Simplified Arabic"/>
          <w:sz w:val="24"/>
          <w:szCs w:val="28"/>
        </w:rPr>
        <w:t>, 2021, p. 76)</w:t>
      </w:r>
      <w:r w:rsidRPr="007F4301">
        <w:rPr>
          <w:rFonts w:ascii="Times New Roman" w:eastAsia="Calibri" w:hAnsi="Times New Roman" w:cs="Simplified Arabic"/>
          <w:sz w:val="24"/>
          <w:szCs w:val="28"/>
          <w:rtl/>
        </w:rPr>
        <w:t>.</w:t>
      </w:r>
    </w:p>
    <w:p w14:paraId="6CBAABED"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tl/>
        </w:rPr>
      </w:pPr>
      <w:r w:rsidRPr="007F4301">
        <w:rPr>
          <w:rFonts w:ascii="Times New Roman" w:eastAsia="Calibri" w:hAnsi="Times New Roman" w:cs="Simplified Arabic"/>
          <w:b/>
          <w:bCs/>
          <w:sz w:val="24"/>
          <w:szCs w:val="28"/>
        </w:rPr>
        <w:t>3</w:t>
      </w:r>
      <w:r w:rsidRPr="007F4301">
        <w:rPr>
          <w:rFonts w:ascii="Times New Roman" w:eastAsia="Calibri" w:hAnsi="Times New Roman" w:cs="Simplified Arabic"/>
          <w:b/>
          <w:bCs/>
          <w:sz w:val="24"/>
          <w:szCs w:val="28"/>
          <w:rtl/>
        </w:rPr>
        <w:t xml:space="preserve">. تحديات التوجيه والقيادة </w:t>
      </w:r>
      <w:r w:rsidRPr="007F4301">
        <w:rPr>
          <w:rFonts w:ascii="Times New Roman" w:eastAsia="Calibri" w:hAnsi="Times New Roman" w:cs="Simplified Arabic"/>
          <w:b/>
          <w:bCs/>
          <w:sz w:val="24"/>
          <w:szCs w:val="28"/>
        </w:rPr>
        <w:t>(Leading Challenges)</w:t>
      </w:r>
      <w:r w:rsidRPr="007F4301">
        <w:rPr>
          <w:rFonts w:ascii="Times New Roman" w:eastAsia="Calibri" w:hAnsi="Times New Roman" w:cs="Simplified Arabic"/>
          <w:b/>
          <w:bCs/>
          <w:sz w:val="24"/>
          <w:szCs w:val="28"/>
          <w:rtl/>
        </w:rPr>
        <w:t>:</w:t>
      </w:r>
    </w:p>
    <w:p w14:paraId="50628A20"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ترتبط بالجانب السلوكي وتحفيز العنصر البشري، وتتمثل في:</w:t>
      </w:r>
    </w:p>
    <w:p w14:paraId="6F59BE2C" w14:textId="77777777" w:rsidR="007F4301" w:rsidRPr="007F4301" w:rsidRDefault="007F4301" w:rsidP="007F4301">
      <w:pPr>
        <w:numPr>
          <w:ilvl w:val="0"/>
          <w:numId w:val="62"/>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t xml:space="preserve">ضعف القيادة التحويلية: </w:t>
      </w:r>
      <w:r w:rsidRPr="007F4301">
        <w:rPr>
          <w:rFonts w:ascii="Times New Roman" w:eastAsia="Calibri" w:hAnsi="Times New Roman" w:cs="Simplified Arabic"/>
          <w:sz w:val="24"/>
          <w:szCs w:val="28"/>
          <w:rtl/>
        </w:rPr>
        <w:t>افتقار بعض المنظمات لقيادات قادرة على إلهام الموظفين لتبني ثقافة الجودة، والاكتفاء بالأساليب العقابية (القيادة التبادلية) التي لا تخلق التزاماً ذاتياً.</w:t>
      </w:r>
    </w:p>
    <w:p w14:paraId="60E181F0" w14:textId="77777777" w:rsidR="007F4301" w:rsidRPr="007F4301" w:rsidRDefault="007F4301" w:rsidP="007F4301">
      <w:pPr>
        <w:numPr>
          <w:ilvl w:val="0"/>
          <w:numId w:val="62"/>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t xml:space="preserve">فجوة الاتصال: </w:t>
      </w:r>
      <w:r w:rsidRPr="007F4301">
        <w:rPr>
          <w:rFonts w:ascii="Times New Roman" w:eastAsia="Calibri" w:hAnsi="Times New Roman" w:cs="Simplified Arabic"/>
          <w:sz w:val="24"/>
          <w:szCs w:val="28"/>
          <w:rtl/>
        </w:rPr>
        <w:t xml:space="preserve">غياب قنوات اتصال فعالة وشفافة بين الإدارة والموظفين، مما يؤدي إلى انتشار الشائعات وضعف الروح المعنوية، خاصة أثناء فترات التغيير التنظيمي </w:t>
      </w:r>
      <w:r w:rsidRPr="007F4301">
        <w:rPr>
          <w:rFonts w:ascii="Times New Roman" w:eastAsia="Calibri" w:hAnsi="Times New Roman" w:cs="Simplified Arabic"/>
          <w:sz w:val="24"/>
          <w:szCs w:val="28"/>
        </w:rPr>
        <w:t>(Northouse, 2021, p. 210)</w:t>
      </w:r>
      <w:r w:rsidRPr="007F4301">
        <w:rPr>
          <w:rFonts w:ascii="Times New Roman" w:eastAsia="Calibri" w:hAnsi="Times New Roman" w:cs="Simplified Arabic"/>
          <w:sz w:val="24"/>
          <w:szCs w:val="28"/>
          <w:rtl/>
        </w:rPr>
        <w:t>.</w:t>
      </w:r>
    </w:p>
    <w:p w14:paraId="4642BA04"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tl/>
        </w:rPr>
      </w:pPr>
      <w:r w:rsidRPr="007F4301">
        <w:rPr>
          <w:rFonts w:ascii="Times New Roman" w:eastAsia="Calibri" w:hAnsi="Times New Roman" w:cs="Simplified Arabic"/>
          <w:b/>
          <w:bCs/>
          <w:sz w:val="24"/>
          <w:szCs w:val="28"/>
        </w:rPr>
        <w:t>4</w:t>
      </w:r>
      <w:r w:rsidRPr="007F4301">
        <w:rPr>
          <w:rFonts w:ascii="Times New Roman" w:eastAsia="Calibri" w:hAnsi="Times New Roman" w:cs="Simplified Arabic"/>
          <w:b/>
          <w:bCs/>
          <w:sz w:val="24"/>
          <w:szCs w:val="28"/>
          <w:rtl/>
        </w:rPr>
        <w:t xml:space="preserve">. تحديات الرقابة </w:t>
      </w:r>
      <w:r w:rsidRPr="007F4301">
        <w:rPr>
          <w:rFonts w:ascii="Times New Roman" w:eastAsia="Calibri" w:hAnsi="Times New Roman" w:cs="Simplified Arabic"/>
          <w:b/>
          <w:bCs/>
          <w:sz w:val="24"/>
          <w:szCs w:val="28"/>
        </w:rPr>
        <w:t>(Controlling Challenges)</w:t>
      </w:r>
      <w:r w:rsidRPr="007F4301">
        <w:rPr>
          <w:rFonts w:ascii="Times New Roman" w:eastAsia="Calibri" w:hAnsi="Times New Roman" w:cs="Simplified Arabic"/>
          <w:b/>
          <w:bCs/>
          <w:sz w:val="24"/>
          <w:szCs w:val="28"/>
          <w:rtl/>
        </w:rPr>
        <w:t>:</w:t>
      </w:r>
    </w:p>
    <w:p w14:paraId="08E6FF87"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وهي الوظيفة المعنية بقياس الأداء وتصحيح الانحرافات، وتشمل:</w:t>
      </w:r>
    </w:p>
    <w:p w14:paraId="20E589E1" w14:textId="77777777" w:rsidR="007F4301" w:rsidRPr="007F4301" w:rsidRDefault="007F4301" w:rsidP="007F4301">
      <w:pPr>
        <w:numPr>
          <w:ilvl w:val="0"/>
          <w:numId w:val="63"/>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lastRenderedPageBreak/>
        <w:t xml:space="preserve">قصور مؤشرات الأداء </w:t>
      </w:r>
      <w:r w:rsidRPr="007F4301">
        <w:rPr>
          <w:rFonts w:ascii="Times New Roman" w:eastAsia="Calibri" w:hAnsi="Times New Roman" w:cs="Simplified Arabic"/>
          <w:b/>
          <w:bCs/>
          <w:sz w:val="24"/>
          <w:szCs w:val="28"/>
        </w:rPr>
        <w:t>(KPIs)</w:t>
      </w:r>
      <w:r w:rsidRPr="007F4301">
        <w:rPr>
          <w:rFonts w:ascii="Times New Roman" w:eastAsia="Calibri" w:hAnsi="Times New Roman" w:cs="Simplified Arabic"/>
          <w:b/>
          <w:bCs/>
          <w:sz w:val="24"/>
          <w:szCs w:val="28"/>
          <w:rtl/>
        </w:rPr>
        <w:t xml:space="preserve">: </w:t>
      </w:r>
      <w:r w:rsidRPr="007F4301">
        <w:rPr>
          <w:rFonts w:ascii="Times New Roman" w:eastAsia="Calibri" w:hAnsi="Times New Roman" w:cs="Simplified Arabic"/>
          <w:sz w:val="24"/>
          <w:szCs w:val="28"/>
          <w:rtl/>
        </w:rPr>
        <w:t>التركيز على المؤشرات المالية وإهمال مؤشرات الجودة والأداء التشغيلي (مثل دقة التوصيل، ونسبة التالف).</w:t>
      </w:r>
    </w:p>
    <w:p w14:paraId="20E73A2F" w14:textId="77777777" w:rsidR="007F4301" w:rsidRPr="007F4301" w:rsidRDefault="007F4301" w:rsidP="007F4301">
      <w:pPr>
        <w:numPr>
          <w:ilvl w:val="0"/>
          <w:numId w:val="63"/>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t xml:space="preserve">الرقابة اللاحقة بدلاً من الاستباقية: </w:t>
      </w:r>
      <w:r w:rsidRPr="007F4301">
        <w:rPr>
          <w:rFonts w:ascii="Times New Roman" w:eastAsia="Calibri" w:hAnsi="Times New Roman" w:cs="Simplified Arabic"/>
          <w:sz w:val="24"/>
          <w:szCs w:val="28"/>
          <w:rtl/>
        </w:rPr>
        <w:t xml:space="preserve">الاعتماد على اكتشاف الأخطاء بعد وقوعها بدلاً من استخدام أنظمة الرقابة الآنية التي تمنع الخطأ قبل حدوثه </w:t>
      </w:r>
      <w:r w:rsidRPr="007F4301">
        <w:rPr>
          <w:rFonts w:ascii="Times New Roman" w:eastAsia="Calibri" w:hAnsi="Times New Roman" w:cs="Simplified Arabic"/>
          <w:sz w:val="24"/>
          <w:szCs w:val="28"/>
        </w:rPr>
        <w:t>(Al-Shehri, 2024, p. 98)</w:t>
      </w:r>
      <w:r w:rsidRPr="007F4301">
        <w:rPr>
          <w:rFonts w:ascii="Times New Roman" w:eastAsia="Calibri" w:hAnsi="Times New Roman" w:cs="Simplified Arabic"/>
          <w:sz w:val="24"/>
          <w:szCs w:val="28"/>
          <w:rtl/>
        </w:rPr>
        <w:t>.</w:t>
      </w:r>
    </w:p>
    <w:p w14:paraId="61AFCE73"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tl/>
        </w:rPr>
      </w:pPr>
      <w:r w:rsidRPr="007F4301">
        <w:rPr>
          <w:rFonts w:ascii="Times New Roman" w:eastAsia="Calibri" w:hAnsi="Times New Roman" w:cs="Simplified Arabic"/>
          <w:b/>
          <w:bCs/>
          <w:sz w:val="24"/>
          <w:szCs w:val="28"/>
          <w:rtl/>
        </w:rPr>
        <w:t>المطلب الرابع: النماذج النظرية المفسرة للتحديات الإدارية:</w:t>
      </w:r>
    </w:p>
    <w:p w14:paraId="30900684"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يمكن فهم طبيعة هذه التحديات في ضوء نظريتين رئيستين:</w:t>
      </w:r>
    </w:p>
    <w:p w14:paraId="2056CFA5" w14:textId="77777777" w:rsidR="007F4301" w:rsidRPr="007F4301" w:rsidRDefault="007F4301" w:rsidP="007F4301">
      <w:pPr>
        <w:numPr>
          <w:ilvl w:val="0"/>
          <w:numId w:val="64"/>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t xml:space="preserve">نظرية </w:t>
      </w:r>
      <w:proofErr w:type="spellStart"/>
      <w:r w:rsidRPr="007F4301">
        <w:rPr>
          <w:rFonts w:ascii="Times New Roman" w:eastAsia="Calibri" w:hAnsi="Times New Roman" w:cs="Simplified Arabic"/>
          <w:b/>
          <w:bCs/>
          <w:sz w:val="24"/>
          <w:szCs w:val="28"/>
          <w:rtl/>
        </w:rPr>
        <w:t>الموقفية</w:t>
      </w:r>
      <w:proofErr w:type="spellEnd"/>
      <w:r w:rsidRPr="007F4301">
        <w:rPr>
          <w:rFonts w:ascii="Times New Roman" w:eastAsia="Calibri" w:hAnsi="Times New Roman" w:cs="Simplified Arabic"/>
          <w:b/>
          <w:bCs/>
          <w:sz w:val="24"/>
          <w:szCs w:val="28"/>
          <w:rtl/>
        </w:rPr>
        <w:t xml:space="preserve"> </w:t>
      </w:r>
      <w:r w:rsidRPr="007F4301">
        <w:rPr>
          <w:rFonts w:ascii="Times New Roman" w:eastAsia="Calibri" w:hAnsi="Times New Roman" w:cs="Simplified Arabic"/>
          <w:b/>
          <w:bCs/>
          <w:sz w:val="24"/>
          <w:szCs w:val="28"/>
        </w:rPr>
        <w:t>(Contingency Theory)</w:t>
      </w:r>
      <w:r w:rsidRPr="007F4301">
        <w:rPr>
          <w:rFonts w:ascii="Times New Roman" w:eastAsia="Calibri" w:hAnsi="Times New Roman" w:cs="Simplified Arabic"/>
          <w:b/>
          <w:bCs/>
          <w:sz w:val="24"/>
          <w:szCs w:val="28"/>
          <w:rtl/>
        </w:rPr>
        <w:t xml:space="preserve">: </w:t>
      </w:r>
      <w:r w:rsidRPr="007F4301">
        <w:rPr>
          <w:rFonts w:ascii="Times New Roman" w:eastAsia="Calibri" w:hAnsi="Times New Roman" w:cs="Simplified Arabic"/>
          <w:sz w:val="24"/>
          <w:szCs w:val="28"/>
          <w:rtl/>
        </w:rPr>
        <w:t xml:space="preserve">تفترض هذه النظرية أنه لا يوجد نظام إداري أمثل يصلح لكل الظروف. وتشير إلى أن التحديات الإدارية تنشأ عندما تفشل المنظمة في تكييف هيكلها وأسلوب إدارتها مع "الموقف" البيئي المعقد </w:t>
      </w:r>
      <w:r w:rsidRPr="007F4301">
        <w:rPr>
          <w:rFonts w:ascii="Times New Roman" w:eastAsia="Calibri" w:hAnsi="Times New Roman" w:cs="Simplified Arabic"/>
          <w:sz w:val="24"/>
          <w:szCs w:val="28"/>
        </w:rPr>
        <w:t>(</w:t>
      </w:r>
      <w:r w:rsidRPr="007F4301">
        <w:rPr>
          <w:rFonts w:ascii="Times New Roman" w:eastAsia="Calibri" w:hAnsi="Times New Roman" w:cs="Simplified Arabic"/>
          <w:sz w:val="24"/>
          <w:szCs w:val="28"/>
          <w:rtl/>
        </w:rPr>
        <w:t xml:space="preserve">مثل تشريعات </w:t>
      </w:r>
      <w:r w:rsidRPr="007F4301">
        <w:rPr>
          <w:rFonts w:ascii="Times New Roman" w:eastAsia="Calibri" w:hAnsi="Times New Roman" w:cs="Simplified Arabic"/>
          <w:sz w:val="24"/>
          <w:szCs w:val="28"/>
        </w:rPr>
        <w:t>SFDA</w:t>
      </w:r>
      <w:r w:rsidRPr="007F4301">
        <w:rPr>
          <w:rFonts w:ascii="Times New Roman" w:eastAsia="Calibri" w:hAnsi="Times New Roman" w:cs="Simplified Arabic"/>
          <w:sz w:val="24"/>
          <w:szCs w:val="28"/>
          <w:rtl/>
        </w:rPr>
        <w:t xml:space="preserve"> المتغيرة</w:t>
      </w:r>
      <w:r w:rsidRPr="007F4301">
        <w:rPr>
          <w:rFonts w:ascii="Times New Roman" w:eastAsia="Calibri" w:hAnsi="Times New Roman" w:cs="Simplified Arabic"/>
          <w:sz w:val="24"/>
          <w:szCs w:val="28"/>
        </w:rPr>
        <w:t>)</w:t>
      </w:r>
      <w:r w:rsidRPr="007F4301">
        <w:rPr>
          <w:rFonts w:ascii="Times New Roman" w:eastAsia="Calibri" w:hAnsi="Times New Roman" w:cs="Simplified Arabic"/>
          <w:sz w:val="24"/>
          <w:szCs w:val="28"/>
          <w:rtl/>
        </w:rPr>
        <w:t xml:space="preserve">. فالهياكل الجامدة التي تنجح في بيئات مستقرة تفشل فشلاً ذريعاً في بيئة سلاسل الإمداد الطبية الديناميكية </w:t>
      </w:r>
      <w:r w:rsidRPr="007F4301">
        <w:rPr>
          <w:rFonts w:ascii="Times New Roman" w:eastAsia="Calibri" w:hAnsi="Times New Roman" w:cs="Simplified Arabic"/>
          <w:sz w:val="24"/>
          <w:szCs w:val="28"/>
        </w:rPr>
        <w:t>(Daft, 2020, p. 115)</w:t>
      </w:r>
      <w:r w:rsidRPr="007F4301">
        <w:rPr>
          <w:rFonts w:ascii="Times New Roman" w:eastAsia="Calibri" w:hAnsi="Times New Roman" w:cs="Simplified Arabic"/>
          <w:sz w:val="24"/>
          <w:szCs w:val="28"/>
          <w:rtl/>
        </w:rPr>
        <w:t>.</w:t>
      </w:r>
    </w:p>
    <w:p w14:paraId="3D68B0AD" w14:textId="77777777" w:rsidR="007F4301" w:rsidRPr="007F4301" w:rsidRDefault="007F4301" w:rsidP="007F4301">
      <w:pPr>
        <w:numPr>
          <w:ilvl w:val="0"/>
          <w:numId w:val="64"/>
        </w:numPr>
        <w:spacing w:after="240" w:line="276" w:lineRule="auto"/>
        <w:jc w:val="both"/>
        <w:rPr>
          <w:rFonts w:ascii="Times New Roman" w:eastAsia="Calibri" w:hAnsi="Times New Roman" w:cs="Simplified Arabic"/>
          <w:sz w:val="24"/>
          <w:szCs w:val="28"/>
          <w:rtl/>
        </w:rPr>
      </w:pPr>
      <w:r w:rsidRPr="007F4301">
        <w:rPr>
          <w:rFonts w:ascii="Times New Roman" w:eastAsia="Calibri" w:hAnsi="Times New Roman" w:cs="Simplified Arabic"/>
          <w:b/>
          <w:bCs/>
          <w:sz w:val="24"/>
          <w:szCs w:val="28"/>
          <w:rtl/>
        </w:rPr>
        <w:t xml:space="preserve">نظرية القيود </w:t>
      </w:r>
      <w:r w:rsidRPr="007F4301">
        <w:rPr>
          <w:rFonts w:ascii="Times New Roman" w:eastAsia="Calibri" w:hAnsi="Times New Roman" w:cs="Simplified Arabic"/>
          <w:b/>
          <w:bCs/>
          <w:sz w:val="24"/>
          <w:szCs w:val="28"/>
        </w:rPr>
        <w:t>(Theory of Constraints - TOC)</w:t>
      </w:r>
      <w:r w:rsidRPr="007F4301">
        <w:rPr>
          <w:rFonts w:ascii="Times New Roman" w:eastAsia="Calibri" w:hAnsi="Times New Roman" w:cs="Simplified Arabic"/>
          <w:b/>
          <w:bCs/>
          <w:sz w:val="24"/>
          <w:szCs w:val="28"/>
          <w:rtl/>
        </w:rPr>
        <w:t xml:space="preserve">: </w:t>
      </w:r>
      <w:r w:rsidRPr="007F4301">
        <w:rPr>
          <w:rFonts w:ascii="Times New Roman" w:eastAsia="Calibri" w:hAnsi="Times New Roman" w:cs="Simplified Arabic"/>
          <w:sz w:val="24"/>
          <w:szCs w:val="28"/>
          <w:rtl/>
        </w:rPr>
        <w:t>ترى هذه النظرية أن أداء أي سلسلة إمداد مقيد بـ "حلقة أضعف". وفي سياق هذه الدراسة، يُنظر إلى "الإدارة" باعتبارها القيد الرئيس (</w:t>
      </w:r>
      <w:r w:rsidRPr="007F4301">
        <w:rPr>
          <w:rFonts w:ascii="Times New Roman" w:eastAsia="Calibri" w:hAnsi="Times New Roman" w:cs="Simplified Arabic"/>
          <w:sz w:val="24"/>
          <w:szCs w:val="28"/>
        </w:rPr>
        <w:t>The Bottleneck</w:t>
      </w:r>
      <w:r w:rsidRPr="007F4301">
        <w:rPr>
          <w:rFonts w:ascii="Times New Roman" w:eastAsia="Calibri" w:hAnsi="Times New Roman" w:cs="Simplified Arabic"/>
          <w:sz w:val="24"/>
          <w:szCs w:val="28"/>
          <w:rtl/>
        </w:rPr>
        <w:t>)؛ فمهما توفرت الموارد المالية والتقنية، فإن ضعف القدرة الإدارية على استغلال هذه الموارد سيظل العائق الذي يحدد سقف أداء المنظمة ككل (</w:t>
      </w:r>
      <w:r w:rsidRPr="007F4301">
        <w:rPr>
          <w:rFonts w:ascii="Times New Roman" w:eastAsia="Calibri" w:hAnsi="Times New Roman" w:cs="Simplified Arabic"/>
          <w:sz w:val="24"/>
          <w:szCs w:val="28"/>
        </w:rPr>
        <w:t>Goldratt &amp; Cox, 2018, p. 55</w:t>
      </w:r>
      <w:r w:rsidRPr="007F4301">
        <w:rPr>
          <w:rFonts w:ascii="Times New Roman" w:eastAsia="Calibri" w:hAnsi="Times New Roman" w:cs="Simplified Arabic"/>
          <w:sz w:val="24"/>
          <w:szCs w:val="28"/>
          <w:rtl/>
        </w:rPr>
        <w:t>).</w:t>
      </w:r>
    </w:p>
    <w:p w14:paraId="744EBE7A" w14:textId="77777777" w:rsidR="007F4301" w:rsidRPr="007F4301" w:rsidRDefault="007F4301" w:rsidP="007F4301">
      <w:pPr>
        <w:spacing w:after="240" w:line="276" w:lineRule="auto"/>
        <w:ind w:firstLine="510"/>
        <w:jc w:val="both"/>
        <w:rPr>
          <w:rFonts w:ascii="Times New Roman" w:eastAsia="Calibri" w:hAnsi="Times New Roman" w:cs="Simplified Arabic"/>
          <w:b/>
          <w:bCs/>
          <w:sz w:val="24"/>
          <w:szCs w:val="28"/>
          <w:rtl/>
        </w:rPr>
      </w:pPr>
      <w:r w:rsidRPr="007F4301">
        <w:rPr>
          <w:rFonts w:ascii="Times New Roman" w:eastAsia="Calibri" w:hAnsi="Times New Roman" w:cs="Simplified Arabic"/>
          <w:b/>
          <w:bCs/>
          <w:sz w:val="24"/>
          <w:szCs w:val="28"/>
          <w:rtl/>
        </w:rPr>
        <w:t>تعقيب الباحث:</w:t>
      </w:r>
    </w:p>
    <w:p w14:paraId="0BEE422A" w14:textId="77777777" w:rsidR="007F4301" w:rsidRPr="007F4301" w:rsidRDefault="007F4301" w:rsidP="007F4301">
      <w:pPr>
        <w:spacing w:after="240" w:line="276" w:lineRule="auto"/>
        <w:ind w:firstLine="510"/>
        <w:jc w:val="both"/>
        <w:rPr>
          <w:rFonts w:ascii="Times New Roman" w:eastAsia="Calibri" w:hAnsi="Times New Roman" w:cs="Simplified Arabic"/>
          <w:b/>
          <w:bCs/>
          <w:sz w:val="24"/>
          <w:szCs w:val="28"/>
          <w:rtl/>
        </w:rPr>
      </w:pPr>
      <w:r w:rsidRPr="007F4301">
        <w:rPr>
          <w:rFonts w:ascii="Times New Roman" w:eastAsia="Calibri" w:hAnsi="Times New Roman" w:cs="Simplified Arabic"/>
          <w:sz w:val="24"/>
          <w:szCs w:val="28"/>
          <w:rtl/>
        </w:rPr>
        <w:t>يتضح مما سبق أن التحديات الإدارية ليست مجرد عقبات عرضية، بل هي نتاج لقصور بنيوي في ممارسة الوظائف الإدارية. ويستنتج الباحث أن البيئة السعودية، بما تشهده من حراك تنظيمي سريع، تفرض ضغوطاً إضافية على الإدارات التقليدية، مما يجعل "الرشاقة الإدارية" (</w:t>
      </w:r>
      <w:r w:rsidRPr="007F4301">
        <w:rPr>
          <w:rFonts w:ascii="Times New Roman" w:eastAsia="Calibri" w:hAnsi="Times New Roman" w:cs="Simplified Arabic"/>
          <w:sz w:val="24"/>
          <w:szCs w:val="28"/>
        </w:rPr>
        <w:t>Administrative Agility</w:t>
      </w:r>
      <w:r w:rsidRPr="007F4301">
        <w:rPr>
          <w:rFonts w:ascii="Times New Roman" w:eastAsia="Calibri" w:hAnsi="Times New Roman" w:cs="Simplified Arabic"/>
          <w:sz w:val="24"/>
          <w:szCs w:val="28"/>
          <w:rtl/>
        </w:rPr>
        <w:t>) مطلباً حتمياً وليس خياراً ترفياً. إن الفشل في التخطيط الدقيق أو التنظيم المرن لا يؤدي فقط إلى خسائر مادية، بل يقوض قدرة المنظمة على الوفاء بالتزاماتها الأخلاقية والقانونية المتمثلة في تطبيق ممارسات التوزيع الجيد.</w:t>
      </w:r>
    </w:p>
    <w:p w14:paraId="4486A1DE" w14:textId="77777777" w:rsidR="007F4301" w:rsidRPr="00886AD7" w:rsidRDefault="007F4301" w:rsidP="00AA325F">
      <w:pPr>
        <w:spacing w:after="240" w:line="276" w:lineRule="auto"/>
        <w:ind w:firstLine="510"/>
        <w:jc w:val="center"/>
        <w:rPr>
          <w:rFonts w:ascii="Times New Roman" w:eastAsia="Calibri" w:hAnsi="Times New Roman" w:cs="Simplified Arabic"/>
          <w:sz w:val="28"/>
          <w:szCs w:val="32"/>
        </w:rPr>
      </w:pPr>
      <w:r w:rsidRPr="00886AD7">
        <w:rPr>
          <w:rFonts w:ascii="Times New Roman" w:eastAsia="Calibri" w:hAnsi="Times New Roman" w:cs="Simplified Arabic"/>
          <w:b/>
          <w:bCs/>
          <w:sz w:val="28"/>
          <w:szCs w:val="32"/>
          <w:rtl/>
        </w:rPr>
        <w:lastRenderedPageBreak/>
        <w:t xml:space="preserve">المبحث الثاني: ممارسات التوزيع الجيد </w:t>
      </w:r>
      <w:r w:rsidRPr="00886AD7">
        <w:rPr>
          <w:rFonts w:ascii="Times New Roman" w:eastAsia="Calibri" w:hAnsi="Times New Roman" w:cs="Simplified Arabic"/>
          <w:b/>
          <w:bCs/>
          <w:sz w:val="28"/>
          <w:szCs w:val="32"/>
        </w:rPr>
        <w:t>(GDP)</w:t>
      </w:r>
    </w:p>
    <w:p w14:paraId="0C2A9DF2" w14:textId="77777777" w:rsidR="00886AD7" w:rsidRPr="00886AD7" w:rsidRDefault="00886AD7" w:rsidP="007F4301">
      <w:pPr>
        <w:spacing w:after="240" w:line="276" w:lineRule="auto"/>
        <w:ind w:firstLine="510"/>
        <w:jc w:val="both"/>
        <w:rPr>
          <w:rFonts w:ascii="Times New Roman" w:eastAsia="Calibri" w:hAnsi="Times New Roman" w:cs="Simplified Arabic"/>
          <w:b/>
          <w:bCs/>
          <w:sz w:val="8"/>
          <w:szCs w:val="12"/>
          <w:rtl/>
        </w:rPr>
      </w:pPr>
    </w:p>
    <w:p w14:paraId="7BFC968A" w14:textId="27914C58"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t>تمهيد:</w:t>
      </w:r>
    </w:p>
    <w:p w14:paraId="2428249F"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يشكل المتغير التابع في هذه الدراسة (ممارسات التوزيع الجيد) حجر الأساس في منظومة الأمن الدوائي، حيث لم تعد العمليات اللوجستية مجرد نشاط خدمي للنقل والتخزين، بل تحولت إلى عملية فنية دقيقة تخضع لرقابة صارمة لضمان وصول المنتج الطبي إلى المستفيد النهائي بنفس معايير الجودة التي خرج بها من المصنع. ويسلط هذا المبحث الضوء على ماهية هذه الممارسات، وأبعادها الفنية، وآليات تطبيقها، مع التركيز على خصوصية البيئة التنظيمية في المملكة العربية السعودية.</w:t>
      </w:r>
    </w:p>
    <w:p w14:paraId="33119E3C"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tl/>
        </w:rPr>
      </w:pPr>
      <w:r w:rsidRPr="007F4301">
        <w:rPr>
          <w:rFonts w:ascii="Times New Roman" w:eastAsia="Calibri" w:hAnsi="Times New Roman" w:cs="Simplified Arabic"/>
          <w:b/>
          <w:bCs/>
          <w:sz w:val="24"/>
          <w:szCs w:val="28"/>
          <w:rtl/>
        </w:rPr>
        <w:t xml:space="preserve">المطلب الأول: التأصيل المفاهيمي لممارسات التوزيع الجيد </w:t>
      </w:r>
      <w:r w:rsidRPr="007F4301">
        <w:rPr>
          <w:rFonts w:ascii="Times New Roman" w:eastAsia="Calibri" w:hAnsi="Times New Roman" w:cs="Simplified Arabic"/>
          <w:b/>
          <w:bCs/>
          <w:sz w:val="24"/>
          <w:szCs w:val="28"/>
        </w:rPr>
        <w:t>(GDP)</w:t>
      </w:r>
      <w:r w:rsidRPr="007F4301">
        <w:rPr>
          <w:rFonts w:ascii="Times New Roman" w:eastAsia="Calibri" w:hAnsi="Times New Roman" w:cs="Simplified Arabic"/>
          <w:b/>
          <w:bCs/>
          <w:sz w:val="24"/>
          <w:szCs w:val="28"/>
          <w:rtl/>
        </w:rPr>
        <w:t>:</w:t>
      </w:r>
    </w:p>
    <w:p w14:paraId="45F03FA9"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ينطلق مفهوم ممارسات التوزيع الجيد من مبدأ "ضمان الجودة</w:t>
      </w:r>
      <w:r w:rsidRPr="007F4301">
        <w:rPr>
          <w:rFonts w:ascii="Times New Roman" w:eastAsia="Calibri" w:hAnsi="Times New Roman" w:cs="Simplified Arabic"/>
          <w:sz w:val="24"/>
          <w:szCs w:val="28"/>
        </w:rPr>
        <w:t>" (Quality Assurance)</w:t>
      </w:r>
      <w:r w:rsidRPr="007F4301">
        <w:rPr>
          <w:rFonts w:ascii="Times New Roman" w:eastAsia="Calibri" w:hAnsi="Times New Roman" w:cs="Simplified Arabic"/>
          <w:sz w:val="24"/>
          <w:szCs w:val="28"/>
          <w:rtl/>
        </w:rPr>
        <w:t xml:space="preserve">، حيث تُعرف بأنها تلك الممارسات التي تضمن الحفاظ على هوية الدواء وسلامته وجودته خلال جميع مراحل سلسلة التوريد، بدءاً من استلام المواد الخام وصولاً إلى صرف الدواء للمريض. ويؤكد عبد الكريم (2023، ص. 55) أن الـ </w:t>
      </w:r>
      <w:r w:rsidRPr="007F4301">
        <w:rPr>
          <w:rFonts w:ascii="Times New Roman" w:eastAsia="Calibri" w:hAnsi="Times New Roman" w:cs="Simplified Arabic"/>
          <w:sz w:val="24"/>
          <w:szCs w:val="28"/>
        </w:rPr>
        <w:t>(GDP)</w:t>
      </w:r>
      <w:r w:rsidRPr="007F4301">
        <w:rPr>
          <w:rFonts w:ascii="Times New Roman" w:eastAsia="Calibri" w:hAnsi="Times New Roman" w:cs="Simplified Arabic"/>
          <w:sz w:val="24"/>
          <w:szCs w:val="28"/>
          <w:rtl/>
        </w:rPr>
        <w:t xml:space="preserve"> ليست مجرد مجموعة من القواعد الإرشادية، بل هي نظام إدارة جودة ملزم يهدف إلى سد الثغرات التي قد تتسلل منها الأدوية المزيفة أو المتدنية الجودة إلى السوق النظامية.</w:t>
      </w:r>
    </w:p>
    <w:p w14:paraId="2CC70465"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 xml:space="preserve">وفي السياق ذاته، تشير </w:t>
      </w:r>
      <w:r w:rsidRPr="007F4301">
        <w:rPr>
          <w:rFonts w:ascii="Times New Roman" w:eastAsia="Calibri" w:hAnsi="Times New Roman" w:cs="Simplified Arabic"/>
          <w:b/>
          <w:bCs/>
          <w:sz w:val="24"/>
          <w:szCs w:val="28"/>
          <w:rtl/>
        </w:rPr>
        <w:t xml:space="preserve">المنظمة الدولية للتوحيد القياسي </w:t>
      </w:r>
      <w:r w:rsidRPr="007F4301">
        <w:rPr>
          <w:rFonts w:ascii="Times New Roman" w:eastAsia="Calibri" w:hAnsi="Times New Roman" w:cs="Simplified Arabic"/>
          <w:b/>
          <w:bCs/>
          <w:sz w:val="24"/>
          <w:szCs w:val="28"/>
        </w:rPr>
        <w:t>(ISO)</w:t>
      </w:r>
      <w:r w:rsidRPr="007F4301">
        <w:rPr>
          <w:rFonts w:ascii="Times New Roman" w:eastAsia="Calibri" w:hAnsi="Times New Roman" w:cs="Simplified Arabic"/>
          <w:sz w:val="24"/>
          <w:szCs w:val="28"/>
          <w:rtl/>
        </w:rPr>
        <w:t xml:space="preserve"> والعديد من الهيئات الصحية العالمية إلى أن التوزيع الجيد يتجاوز الجانب المادي للنقل، ليشمل "نزاهة سلسلة التوريد</w:t>
      </w:r>
      <w:r w:rsidRPr="007F4301">
        <w:rPr>
          <w:rFonts w:ascii="Times New Roman" w:eastAsia="Calibri" w:hAnsi="Times New Roman" w:cs="Simplified Arabic"/>
          <w:sz w:val="24"/>
          <w:szCs w:val="28"/>
        </w:rPr>
        <w:t>" (Supply Chain Integrity)</w:t>
      </w:r>
      <w:r w:rsidRPr="007F4301">
        <w:rPr>
          <w:rFonts w:ascii="Times New Roman" w:eastAsia="Calibri" w:hAnsi="Times New Roman" w:cs="Simplified Arabic"/>
          <w:sz w:val="24"/>
          <w:szCs w:val="28"/>
          <w:rtl/>
        </w:rPr>
        <w:t xml:space="preserve">. ويعرفها </w:t>
      </w:r>
      <w:proofErr w:type="spellStart"/>
      <w:r w:rsidRPr="007F4301">
        <w:rPr>
          <w:rFonts w:ascii="Times New Roman" w:eastAsia="Calibri" w:hAnsi="Times New Roman" w:cs="Simplified Arabic"/>
          <w:b/>
          <w:bCs/>
          <w:sz w:val="24"/>
          <w:szCs w:val="28"/>
          <w:rtl/>
        </w:rPr>
        <w:t>بيشوب</w:t>
      </w:r>
      <w:proofErr w:type="spellEnd"/>
      <w:r w:rsidRPr="007F4301">
        <w:rPr>
          <w:rFonts w:ascii="Times New Roman" w:eastAsia="Calibri" w:hAnsi="Times New Roman" w:cs="Simplified Arabic"/>
          <w:b/>
          <w:bCs/>
          <w:sz w:val="24"/>
          <w:szCs w:val="28"/>
          <w:rtl/>
        </w:rPr>
        <w:t xml:space="preserve"> </w:t>
      </w:r>
      <w:r w:rsidRPr="007F4301">
        <w:rPr>
          <w:rFonts w:ascii="Times New Roman" w:eastAsia="Calibri" w:hAnsi="Times New Roman" w:cs="Simplified Arabic"/>
          <w:b/>
          <w:bCs/>
          <w:sz w:val="24"/>
          <w:szCs w:val="28"/>
        </w:rPr>
        <w:t>(Bishop, 2021, p. 42)</w:t>
      </w:r>
      <w:r w:rsidRPr="007F4301">
        <w:rPr>
          <w:rFonts w:ascii="Times New Roman" w:eastAsia="Calibri" w:hAnsi="Times New Roman" w:cs="Simplified Arabic"/>
          <w:sz w:val="24"/>
          <w:szCs w:val="28"/>
          <w:rtl/>
        </w:rPr>
        <w:t xml:space="preserve"> بأنها: "المنهجية المنظمة التي تضمن التحكم في المخاطر المرتبطة بالتخزين والنقل، بما في ذلك التحكم في درجات الحرارة، ومنع التلوث الخلطي، وضمان أمن الشحنات من السرقة أو التلاعب". وعليه، فإن الجوهر الفلسفي لهذا المفهوم يكمن في حماية المريض أولاً، وحماية سمعة المؤسسة الصحية ثانياً.</w:t>
      </w:r>
    </w:p>
    <w:p w14:paraId="54A3B631" w14:textId="77777777" w:rsidR="00886AD7" w:rsidRDefault="00886AD7" w:rsidP="007F4301">
      <w:pPr>
        <w:spacing w:after="240" w:line="276" w:lineRule="auto"/>
        <w:ind w:firstLine="510"/>
        <w:jc w:val="both"/>
        <w:rPr>
          <w:rFonts w:ascii="Times New Roman" w:eastAsia="Calibri" w:hAnsi="Times New Roman" w:cs="Simplified Arabic"/>
          <w:b/>
          <w:bCs/>
          <w:sz w:val="24"/>
          <w:szCs w:val="28"/>
          <w:rtl/>
        </w:rPr>
      </w:pPr>
    </w:p>
    <w:p w14:paraId="6A0073E6" w14:textId="7D30CFE0"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lastRenderedPageBreak/>
        <w:t>المطلب الثاني: الأركان والأبعاد الفنية لممارسات التوزيع الجيد:</w:t>
      </w:r>
    </w:p>
    <w:p w14:paraId="2E6B3D43"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 xml:space="preserve">تستند ممارسات التوزيع الجيد إلى عدة أركان رئيسة تشكل في مجملها الهيكل التنظيمي والفني للامتثال، ويمكن تصنيفها وفقاً لأدبيات </w:t>
      </w:r>
      <w:r w:rsidRPr="007F4301">
        <w:rPr>
          <w:rFonts w:ascii="Times New Roman" w:eastAsia="Calibri" w:hAnsi="Times New Roman" w:cs="Simplified Arabic"/>
          <w:b/>
          <w:bCs/>
          <w:sz w:val="24"/>
          <w:szCs w:val="28"/>
          <w:rtl/>
        </w:rPr>
        <w:t xml:space="preserve">الهيئة العامة للغذاء والدواء </w:t>
      </w:r>
      <w:r w:rsidRPr="007F4301">
        <w:rPr>
          <w:rFonts w:ascii="Times New Roman" w:eastAsia="Calibri" w:hAnsi="Times New Roman" w:cs="Simplified Arabic"/>
          <w:b/>
          <w:bCs/>
          <w:sz w:val="24"/>
          <w:szCs w:val="28"/>
        </w:rPr>
        <w:t>(SFDA)</w:t>
      </w:r>
      <w:r w:rsidRPr="007F4301">
        <w:rPr>
          <w:rFonts w:ascii="Times New Roman" w:eastAsia="Calibri" w:hAnsi="Times New Roman" w:cs="Simplified Arabic"/>
          <w:sz w:val="24"/>
          <w:szCs w:val="28"/>
          <w:rtl/>
        </w:rPr>
        <w:t xml:space="preserve"> و</w:t>
      </w:r>
      <w:r w:rsidRPr="007F4301">
        <w:rPr>
          <w:rFonts w:ascii="Times New Roman" w:eastAsia="Calibri" w:hAnsi="Times New Roman" w:cs="Simplified Arabic"/>
          <w:b/>
          <w:bCs/>
          <w:sz w:val="24"/>
          <w:szCs w:val="28"/>
          <w:rtl/>
        </w:rPr>
        <w:t xml:space="preserve">منظمة الصحة العالمية </w:t>
      </w:r>
      <w:r w:rsidRPr="007F4301">
        <w:rPr>
          <w:rFonts w:ascii="Times New Roman" w:eastAsia="Calibri" w:hAnsi="Times New Roman" w:cs="Simplified Arabic"/>
          <w:b/>
          <w:bCs/>
          <w:sz w:val="24"/>
          <w:szCs w:val="28"/>
        </w:rPr>
        <w:t>(WHO)</w:t>
      </w:r>
      <w:r w:rsidRPr="007F4301">
        <w:rPr>
          <w:rFonts w:ascii="Times New Roman" w:eastAsia="Calibri" w:hAnsi="Times New Roman" w:cs="Simplified Arabic"/>
          <w:sz w:val="24"/>
          <w:szCs w:val="28"/>
          <w:rtl/>
        </w:rPr>
        <w:t xml:space="preserve"> إلى الأبعاد الآتية:</w:t>
      </w:r>
    </w:p>
    <w:p w14:paraId="6319ECBC"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Pr>
        <w:t>1</w:t>
      </w:r>
      <w:r w:rsidRPr="007F4301">
        <w:rPr>
          <w:rFonts w:ascii="Times New Roman" w:eastAsia="Calibri" w:hAnsi="Times New Roman" w:cs="Simplified Arabic"/>
          <w:b/>
          <w:bCs/>
          <w:sz w:val="24"/>
          <w:szCs w:val="28"/>
          <w:rtl/>
        </w:rPr>
        <w:t xml:space="preserve">. بيئة التخزين والمرافق </w:t>
      </w:r>
      <w:r w:rsidRPr="007F4301">
        <w:rPr>
          <w:rFonts w:ascii="Times New Roman" w:eastAsia="Calibri" w:hAnsi="Times New Roman" w:cs="Simplified Arabic"/>
          <w:b/>
          <w:bCs/>
          <w:sz w:val="24"/>
          <w:szCs w:val="28"/>
        </w:rPr>
        <w:t>(Premises and Storage)</w:t>
      </w:r>
      <w:r w:rsidRPr="007F4301">
        <w:rPr>
          <w:rFonts w:ascii="Times New Roman" w:eastAsia="Calibri" w:hAnsi="Times New Roman" w:cs="Simplified Arabic"/>
          <w:b/>
          <w:bCs/>
          <w:sz w:val="24"/>
          <w:szCs w:val="28"/>
          <w:rtl/>
        </w:rPr>
        <w:t>:</w:t>
      </w:r>
    </w:p>
    <w:p w14:paraId="749BC761"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 xml:space="preserve">يتطلب هذا البعد توفر مستودعات مصممة هندسياً لضمان النظافة، والأمن، والتحكم البيئي. ويشمل ذلك وجود مناطق مفصولة ومعنونة بوضوح (للاستلام، الحجر، التخزين، الصرف، والمرتجعات). ويشدد </w:t>
      </w:r>
      <w:r w:rsidRPr="007F4301">
        <w:rPr>
          <w:rFonts w:ascii="Times New Roman" w:eastAsia="Calibri" w:hAnsi="Times New Roman" w:cs="Simplified Arabic"/>
          <w:b/>
          <w:bCs/>
          <w:sz w:val="24"/>
          <w:szCs w:val="28"/>
          <w:rtl/>
        </w:rPr>
        <w:t>الحربي (2022، ص. 89)</w:t>
      </w:r>
      <w:r w:rsidRPr="007F4301">
        <w:rPr>
          <w:rFonts w:ascii="Times New Roman" w:eastAsia="Calibri" w:hAnsi="Times New Roman" w:cs="Simplified Arabic"/>
          <w:sz w:val="24"/>
          <w:szCs w:val="28"/>
          <w:rtl/>
        </w:rPr>
        <w:t xml:space="preserve"> على ضرورة وجود أنظمة تكييف وتهوية تضمن بقاء درجات الحرارة والرطوبة ضمن الحدود المسموحة لكل صنف دوائي، مع وجود نظام إنذار مبكر عند حدوث أي انحراف.</w:t>
      </w:r>
    </w:p>
    <w:p w14:paraId="173CC156"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tl/>
        </w:rPr>
      </w:pPr>
      <w:r w:rsidRPr="007F4301">
        <w:rPr>
          <w:rFonts w:ascii="Times New Roman" w:eastAsia="Calibri" w:hAnsi="Times New Roman" w:cs="Simplified Arabic"/>
          <w:b/>
          <w:bCs/>
          <w:sz w:val="24"/>
          <w:szCs w:val="28"/>
        </w:rPr>
        <w:t>2</w:t>
      </w:r>
      <w:r w:rsidRPr="007F4301">
        <w:rPr>
          <w:rFonts w:ascii="Times New Roman" w:eastAsia="Calibri" w:hAnsi="Times New Roman" w:cs="Simplified Arabic"/>
          <w:b/>
          <w:bCs/>
          <w:sz w:val="24"/>
          <w:szCs w:val="28"/>
          <w:rtl/>
        </w:rPr>
        <w:t xml:space="preserve">. سلسلة التبريد </w:t>
      </w:r>
      <w:r w:rsidRPr="007F4301">
        <w:rPr>
          <w:rFonts w:ascii="Times New Roman" w:eastAsia="Calibri" w:hAnsi="Times New Roman" w:cs="Simplified Arabic"/>
          <w:b/>
          <w:bCs/>
          <w:sz w:val="24"/>
          <w:szCs w:val="28"/>
        </w:rPr>
        <w:t>(Cold Chain Management)</w:t>
      </w:r>
      <w:r w:rsidRPr="007F4301">
        <w:rPr>
          <w:rFonts w:ascii="Times New Roman" w:eastAsia="Calibri" w:hAnsi="Times New Roman" w:cs="Simplified Arabic"/>
          <w:b/>
          <w:bCs/>
          <w:sz w:val="24"/>
          <w:szCs w:val="28"/>
          <w:rtl/>
        </w:rPr>
        <w:t>:</w:t>
      </w:r>
    </w:p>
    <w:p w14:paraId="10D1C5B4"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 xml:space="preserve">يُعد هذا البعد الأكثر حرجاً، خاصة للمستحضرات الحيوية واللقاحات. ويتضمن استخدام معدات تبريد مؤهلة </w:t>
      </w:r>
      <w:r w:rsidRPr="007F4301">
        <w:rPr>
          <w:rFonts w:ascii="Times New Roman" w:eastAsia="Calibri" w:hAnsi="Times New Roman" w:cs="Simplified Arabic"/>
          <w:sz w:val="24"/>
          <w:szCs w:val="28"/>
        </w:rPr>
        <w:t>(Qualified)</w:t>
      </w:r>
      <w:r w:rsidRPr="007F4301">
        <w:rPr>
          <w:rFonts w:ascii="Times New Roman" w:eastAsia="Calibri" w:hAnsi="Times New Roman" w:cs="Simplified Arabic"/>
          <w:sz w:val="24"/>
          <w:szCs w:val="28"/>
          <w:rtl/>
        </w:rPr>
        <w:t xml:space="preserve">، وأجهزة مراقبة حرارية </w:t>
      </w:r>
      <w:r w:rsidRPr="007F4301">
        <w:rPr>
          <w:rFonts w:ascii="Times New Roman" w:eastAsia="Calibri" w:hAnsi="Times New Roman" w:cs="Simplified Arabic"/>
          <w:sz w:val="24"/>
          <w:szCs w:val="28"/>
        </w:rPr>
        <w:t>(Data Loggers)</w:t>
      </w:r>
      <w:r w:rsidRPr="007F4301">
        <w:rPr>
          <w:rFonts w:ascii="Times New Roman" w:eastAsia="Calibri" w:hAnsi="Times New Roman" w:cs="Simplified Arabic"/>
          <w:sz w:val="24"/>
          <w:szCs w:val="28"/>
          <w:rtl/>
        </w:rPr>
        <w:t xml:space="preserve"> تسجل درجة الحرارة بشكل مستمر خلال النقل والتخزين. وتشير دراسة </w:t>
      </w:r>
      <w:r w:rsidRPr="007F4301">
        <w:rPr>
          <w:rFonts w:ascii="Times New Roman" w:eastAsia="Calibri" w:hAnsi="Times New Roman" w:cs="Simplified Arabic"/>
          <w:b/>
          <w:bCs/>
          <w:sz w:val="24"/>
          <w:szCs w:val="28"/>
          <w:rtl/>
        </w:rPr>
        <w:t xml:space="preserve">كومار </w:t>
      </w:r>
      <w:r w:rsidRPr="007F4301">
        <w:rPr>
          <w:rFonts w:ascii="Times New Roman" w:eastAsia="Calibri" w:hAnsi="Times New Roman" w:cs="Simplified Arabic"/>
          <w:b/>
          <w:bCs/>
          <w:sz w:val="24"/>
          <w:szCs w:val="28"/>
        </w:rPr>
        <w:t>(Kumar, 2024, p. 115)</w:t>
      </w:r>
      <w:r w:rsidRPr="007F4301">
        <w:rPr>
          <w:rFonts w:ascii="Times New Roman" w:eastAsia="Calibri" w:hAnsi="Times New Roman" w:cs="Simplified Arabic"/>
          <w:sz w:val="24"/>
          <w:szCs w:val="28"/>
          <w:rtl/>
        </w:rPr>
        <w:t xml:space="preserve"> إلى أن أي كسر في سلسلة التبريد قد يؤدي إلى فقدان فعالية الدواء وتحوله إلى مادة سامة، مما يستوجب إجراءات صارمة للتعامل مع الانحرافات الحرارية.</w:t>
      </w:r>
    </w:p>
    <w:p w14:paraId="5A9A4C7A"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tl/>
        </w:rPr>
      </w:pPr>
      <w:r w:rsidRPr="007F4301">
        <w:rPr>
          <w:rFonts w:ascii="Times New Roman" w:eastAsia="Calibri" w:hAnsi="Times New Roman" w:cs="Simplified Arabic"/>
          <w:b/>
          <w:bCs/>
          <w:sz w:val="24"/>
          <w:szCs w:val="28"/>
        </w:rPr>
        <w:t>3</w:t>
      </w:r>
      <w:r w:rsidRPr="007F4301">
        <w:rPr>
          <w:rFonts w:ascii="Times New Roman" w:eastAsia="Calibri" w:hAnsi="Times New Roman" w:cs="Simplified Arabic"/>
          <w:b/>
          <w:bCs/>
          <w:sz w:val="24"/>
          <w:szCs w:val="28"/>
          <w:rtl/>
        </w:rPr>
        <w:t xml:space="preserve">. التوثيق ونظم المعلومات </w:t>
      </w:r>
      <w:r w:rsidRPr="007F4301">
        <w:rPr>
          <w:rFonts w:ascii="Times New Roman" w:eastAsia="Calibri" w:hAnsi="Times New Roman" w:cs="Simplified Arabic"/>
          <w:b/>
          <w:bCs/>
          <w:sz w:val="24"/>
          <w:szCs w:val="28"/>
        </w:rPr>
        <w:t>(Documentation &amp; Information Systems)</w:t>
      </w:r>
      <w:r w:rsidRPr="007F4301">
        <w:rPr>
          <w:rFonts w:ascii="Times New Roman" w:eastAsia="Calibri" w:hAnsi="Times New Roman" w:cs="Simplified Arabic"/>
          <w:b/>
          <w:bCs/>
          <w:sz w:val="24"/>
          <w:szCs w:val="28"/>
          <w:rtl/>
        </w:rPr>
        <w:t>:</w:t>
      </w:r>
    </w:p>
    <w:p w14:paraId="6C74C619" w14:textId="77777777" w:rsidR="007F4301" w:rsidRDefault="007F4301" w:rsidP="007F4301">
      <w:pPr>
        <w:spacing w:after="240" w:line="276" w:lineRule="auto"/>
        <w:ind w:firstLine="510"/>
        <w:jc w:val="both"/>
        <w:rPr>
          <w:rFonts w:ascii="Times New Roman" w:eastAsia="Calibri" w:hAnsi="Times New Roman" w:cs="Simplified Arabic"/>
          <w:sz w:val="24"/>
          <w:szCs w:val="28"/>
          <w:rtl/>
        </w:rPr>
      </w:pPr>
      <w:r w:rsidRPr="007F4301">
        <w:rPr>
          <w:rFonts w:ascii="Times New Roman" w:eastAsia="Calibri" w:hAnsi="Times New Roman" w:cs="Simplified Arabic"/>
          <w:sz w:val="24"/>
          <w:szCs w:val="28"/>
          <w:rtl/>
        </w:rPr>
        <w:t xml:space="preserve">يُمثل التوثيق العمود الفقري لنظام </w:t>
      </w:r>
      <w:r w:rsidRPr="007F4301">
        <w:rPr>
          <w:rFonts w:ascii="Times New Roman" w:eastAsia="Calibri" w:hAnsi="Times New Roman" w:cs="Simplified Arabic"/>
          <w:sz w:val="24"/>
          <w:szCs w:val="28"/>
        </w:rPr>
        <w:t>(GDP)</w:t>
      </w:r>
      <w:r w:rsidRPr="007F4301">
        <w:rPr>
          <w:rFonts w:ascii="Times New Roman" w:eastAsia="Calibri" w:hAnsi="Times New Roman" w:cs="Simplified Arabic"/>
          <w:sz w:val="24"/>
          <w:szCs w:val="28"/>
          <w:rtl/>
        </w:rPr>
        <w:t xml:space="preserve">، وفق قاعدة "ما لم يُدون لم يحدث". ويشمل ذلك الاحتفاظ بسجلات دقيقة لكل عملية (شراء، استلام، تخزين، نقل) تتيح تتبع مسار المنتج </w:t>
      </w:r>
      <w:r w:rsidRPr="007F4301">
        <w:rPr>
          <w:rFonts w:ascii="Times New Roman" w:eastAsia="Calibri" w:hAnsi="Times New Roman" w:cs="Simplified Arabic"/>
          <w:sz w:val="24"/>
          <w:szCs w:val="28"/>
        </w:rPr>
        <w:t>(Traceability)</w:t>
      </w:r>
      <w:r w:rsidRPr="007F4301">
        <w:rPr>
          <w:rFonts w:ascii="Times New Roman" w:eastAsia="Calibri" w:hAnsi="Times New Roman" w:cs="Simplified Arabic"/>
          <w:sz w:val="24"/>
          <w:szCs w:val="28"/>
          <w:rtl/>
        </w:rPr>
        <w:t xml:space="preserve"> وتحديد المسؤوليات. وتتطلب المعايير الحديثة أن تكون هذه السجلات محفوظة بطريقة تمنع التعديل عليها وتسهل استرجاعها عند الحاجة </w:t>
      </w:r>
      <w:r w:rsidRPr="007F4301">
        <w:rPr>
          <w:rFonts w:ascii="Times New Roman" w:eastAsia="Calibri" w:hAnsi="Times New Roman" w:cs="Simplified Arabic"/>
          <w:sz w:val="24"/>
          <w:szCs w:val="28"/>
        </w:rPr>
        <w:t>(Smith &amp; Brown, 2020, p. 67)</w:t>
      </w:r>
      <w:r w:rsidRPr="007F4301">
        <w:rPr>
          <w:rFonts w:ascii="Times New Roman" w:eastAsia="Calibri" w:hAnsi="Times New Roman" w:cs="Simplified Arabic"/>
          <w:sz w:val="24"/>
          <w:szCs w:val="28"/>
          <w:rtl/>
        </w:rPr>
        <w:t>.</w:t>
      </w:r>
    </w:p>
    <w:p w14:paraId="654A20E1" w14:textId="77777777" w:rsidR="00886AD7" w:rsidRDefault="00886AD7" w:rsidP="007F4301">
      <w:pPr>
        <w:spacing w:after="240" w:line="276" w:lineRule="auto"/>
        <w:ind w:firstLine="510"/>
        <w:jc w:val="both"/>
        <w:rPr>
          <w:rFonts w:ascii="Times New Roman" w:eastAsia="Calibri" w:hAnsi="Times New Roman" w:cs="Simplified Arabic"/>
          <w:sz w:val="24"/>
          <w:szCs w:val="28"/>
          <w:rtl/>
        </w:rPr>
      </w:pPr>
    </w:p>
    <w:p w14:paraId="09439FF4" w14:textId="77777777" w:rsidR="00886AD7" w:rsidRPr="007F4301" w:rsidRDefault="00886AD7" w:rsidP="007F4301">
      <w:pPr>
        <w:spacing w:after="240" w:line="276" w:lineRule="auto"/>
        <w:ind w:firstLine="510"/>
        <w:jc w:val="both"/>
        <w:rPr>
          <w:rFonts w:ascii="Times New Roman" w:eastAsia="Calibri" w:hAnsi="Times New Roman" w:cs="Simplified Arabic"/>
          <w:sz w:val="24"/>
          <w:szCs w:val="28"/>
        </w:rPr>
      </w:pPr>
    </w:p>
    <w:p w14:paraId="56E0AEDB"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Pr>
        <w:lastRenderedPageBreak/>
        <w:t>4</w:t>
      </w:r>
      <w:r w:rsidRPr="007F4301">
        <w:rPr>
          <w:rFonts w:ascii="Times New Roman" w:eastAsia="Calibri" w:hAnsi="Times New Roman" w:cs="Simplified Arabic"/>
          <w:b/>
          <w:bCs/>
          <w:sz w:val="24"/>
          <w:szCs w:val="28"/>
          <w:rtl/>
        </w:rPr>
        <w:t xml:space="preserve">. إدارة المرتجعات والاستدعاء </w:t>
      </w:r>
      <w:r w:rsidRPr="007F4301">
        <w:rPr>
          <w:rFonts w:ascii="Times New Roman" w:eastAsia="Calibri" w:hAnsi="Times New Roman" w:cs="Simplified Arabic"/>
          <w:b/>
          <w:bCs/>
          <w:sz w:val="24"/>
          <w:szCs w:val="28"/>
        </w:rPr>
        <w:t>(Returns and Recall Management)</w:t>
      </w:r>
      <w:r w:rsidRPr="007F4301">
        <w:rPr>
          <w:rFonts w:ascii="Times New Roman" w:eastAsia="Calibri" w:hAnsi="Times New Roman" w:cs="Simplified Arabic"/>
          <w:b/>
          <w:bCs/>
          <w:sz w:val="24"/>
          <w:szCs w:val="28"/>
          <w:rtl/>
        </w:rPr>
        <w:t>:</w:t>
      </w:r>
    </w:p>
    <w:p w14:paraId="04A0F87B"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يتعلق هذا البعد بقدرة المنظمة على سحب أي منتج من السوق بسرعة وفاعلية في حال اكتشاف خلل في جودته، وكيفية التعامل مع الأدوية المرتجعة لضمان عدم إعادة بيعها إلا بعد التأكد من سلامتها وفق إجراءات فنية دقيقة.</w:t>
      </w:r>
    </w:p>
    <w:p w14:paraId="2E692FE5"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tl/>
        </w:rPr>
      </w:pPr>
      <w:r w:rsidRPr="007F4301">
        <w:rPr>
          <w:rFonts w:ascii="Times New Roman" w:eastAsia="Calibri" w:hAnsi="Times New Roman" w:cs="Simplified Arabic"/>
          <w:b/>
          <w:bCs/>
          <w:sz w:val="24"/>
          <w:szCs w:val="28"/>
          <w:rtl/>
        </w:rPr>
        <w:t>المطلب الثالث: آليات التطبيق وإجراءات الامتثال المؤسسي:</w:t>
      </w:r>
    </w:p>
    <w:p w14:paraId="145F3A49"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لتحويل المفاهيم النظرية إلى واقع ملموس، تعتمد المؤسسات على آليات تنفيذية محددة، أبرزها:</w:t>
      </w:r>
    </w:p>
    <w:p w14:paraId="244BD10C" w14:textId="77777777" w:rsidR="007F4301" w:rsidRPr="007F4301" w:rsidRDefault="007F4301" w:rsidP="007F4301">
      <w:pPr>
        <w:numPr>
          <w:ilvl w:val="0"/>
          <w:numId w:val="65"/>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t xml:space="preserve">إجراءات العمل القياسية </w:t>
      </w:r>
      <w:r w:rsidRPr="007F4301">
        <w:rPr>
          <w:rFonts w:ascii="Times New Roman" w:eastAsia="Calibri" w:hAnsi="Times New Roman" w:cs="Simplified Arabic"/>
          <w:b/>
          <w:bCs/>
          <w:sz w:val="24"/>
          <w:szCs w:val="28"/>
        </w:rPr>
        <w:t>(SOPs)</w:t>
      </w:r>
      <w:r w:rsidRPr="007F4301">
        <w:rPr>
          <w:rFonts w:ascii="Times New Roman" w:eastAsia="Calibri" w:hAnsi="Times New Roman" w:cs="Simplified Arabic"/>
          <w:b/>
          <w:bCs/>
          <w:sz w:val="24"/>
          <w:szCs w:val="28"/>
          <w:rtl/>
        </w:rPr>
        <w:t xml:space="preserve">: </w:t>
      </w:r>
      <w:r w:rsidRPr="007F4301">
        <w:rPr>
          <w:rFonts w:ascii="Times New Roman" w:eastAsia="Calibri" w:hAnsi="Times New Roman" w:cs="Simplified Arabic"/>
          <w:sz w:val="24"/>
          <w:szCs w:val="28"/>
          <w:rtl/>
        </w:rPr>
        <w:t xml:space="preserve">وهي وثائق تفصيلية تشرح "كيفية" تنفيذ كل مهمة خطوة بخطوة. </w:t>
      </w:r>
      <w:r w:rsidRPr="00886AD7">
        <w:rPr>
          <w:rFonts w:ascii="Times New Roman" w:eastAsia="Calibri" w:hAnsi="Times New Roman" w:cs="Simplified Arabic"/>
          <w:sz w:val="24"/>
          <w:szCs w:val="28"/>
          <w:rtl/>
        </w:rPr>
        <w:t>ويشير الغامدي (2021، ص. 34) إلى أن نجاح التطبيق يعتمد على مدى وضوح هذه الإجراءات وملاءمتها للواقع التشغيلي،</w:t>
      </w:r>
      <w:r w:rsidRPr="007F4301">
        <w:rPr>
          <w:rFonts w:ascii="Times New Roman" w:eastAsia="Calibri" w:hAnsi="Times New Roman" w:cs="Simplified Arabic"/>
          <w:sz w:val="24"/>
          <w:szCs w:val="28"/>
          <w:rtl/>
        </w:rPr>
        <w:t xml:space="preserve"> وضرورة مراجعتها دورياً وتحديثها.</w:t>
      </w:r>
    </w:p>
    <w:p w14:paraId="0B9F7AA0" w14:textId="77777777" w:rsidR="007F4301" w:rsidRPr="007F4301" w:rsidRDefault="007F4301" w:rsidP="007F4301">
      <w:pPr>
        <w:numPr>
          <w:ilvl w:val="0"/>
          <w:numId w:val="65"/>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t xml:space="preserve">التدريب والتأهيل المستمر: </w:t>
      </w:r>
      <w:r w:rsidRPr="007F4301">
        <w:rPr>
          <w:rFonts w:ascii="Times New Roman" w:eastAsia="Calibri" w:hAnsi="Times New Roman" w:cs="Simplified Arabic"/>
          <w:sz w:val="24"/>
          <w:szCs w:val="28"/>
          <w:rtl/>
        </w:rPr>
        <w:t xml:space="preserve">لا يمكن تطبيق الإجراءات دون عنصر بشري واعٍ. وتفرض اللوائح ضرورة تدريب جميع العاملين (بمن فيهم السائقون وعمال النظافة) على مبادئ </w:t>
      </w:r>
      <w:r w:rsidRPr="007F4301">
        <w:rPr>
          <w:rFonts w:ascii="Times New Roman" w:eastAsia="Calibri" w:hAnsi="Times New Roman" w:cs="Simplified Arabic"/>
          <w:sz w:val="24"/>
          <w:szCs w:val="28"/>
        </w:rPr>
        <w:t>(GDP)</w:t>
      </w:r>
      <w:r w:rsidRPr="007F4301">
        <w:rPr>
          <w:rFonts w:ascii="Times New Roman" w:eastAsia="Calibri" w:hAnsi="Times New Roman" w:cs="Simplified Arabic"/>
          <w:sz w:val="24"/>
          <w:szCs w:val="28"/>
          <w:rtl/>
        </w:rPr>
        <w:t xml:space="preserve"> وممارسات النظافة الشخصية والسلامة المهنية </w:t>
      </w:r>
      <w:r w:rsidRPr="007F4301">
        <w:rPr>
          <w:rFonts w:ascii="Times New Roman" w:eastAsia="Calibri" w:hAnsi="Times New Roman" w:cs="Simplified Arabic"/>
          <w:sz w:val="24"/>
          <w:szCs w:val="28"/>
        </w:rPr>
        <w:t>(Jones et al., 2022, p. 103)</w:t>
      </w:r>
      <w:r w:rsidRPr="007F4301">
        <w:rPr>
          <w:rFonts w:ascii="Times New Roman" w:eastAsia="Calibri" w:hAnsi="Times New Roman" w:cs="Simplified Arabic"/>
          <w:sz w:val="24"/>
          <w:szCs w:val="28"/>
          <w:rtl/>
        </w:rPr>
        <w:t>.</w:t>
      </w:r>
    </w:p>
    <w:p w14:paraId="0030079F" w14:textId="77777777" w:rsidR="007F4301" w:rsidRPr="007F4301" w:rsidRDefault="007F4301" w:rsidP="007F4301">
      <w:pPr>
        <w:numPr>
          <w:ilvl w:val="0"/>
          <w:numId w:val="65"/>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t xml:space="preserve">التفتيش الذاتي </w:t>
      </w:r>
      <w:r w:rsidRPr="007F4301">
        <w:rPr>
          <w:rFonts w:ascii="Times New Roman" w:eastAsia="Calibri" w:hAnsi="Times New Roman" w:cs="Simplified Arabic"/>
          <w:b/>
          <w:bCs/>
          <w:sz w:val="24"/>
          <w:szCs w:val="28"/>
        </w:rPr>
        <w:t>(Self-Inspection)</w:t>
      </w:r>
      <w:r w:rsidRPr="007F4301">
        <w:rPr>
          <w:rFonts w:ascii="Times New Roman" w:eastAsia="Calibri" w:hAnsi="Times New Roman" w:cs="Simplified Arabic"/>
          <w:b/>
          <w:bCs/>
          <w:sz w:val="24"/>
          <w:szCs w:val="28"/>
          <w:rtl/>
        </w:rPr>
        <w:t xml:space="preserve">: </w:t>
      </w:r>
      <w:r w:rsidRPr="007F4301">
        <w:rPr>
          <w:rFonts w:ascii="Times New Roman" w:eastAsia="Calibri" w:hAnsi="Times New Roman" w:cs="Simplified Arabic"/>
          <w:sz w:val="24"/>
          <w:szCs w:val="28"/>
          <w:rtl/>
        </w:rPr>
        <w:t>وهو آلية رقابية داخلية تقوم بها المنظمة لتقييم مدى التزامها بالمعايير، وكشف نقاط الضعف ومعالجتها استباقياً قبل زيارة المفتشين الحكوميين.</w:t>
      </w:r>
    </w:p>
    <w:p w14:paraId="4DA11AC7"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t xml:space="preserve">المطلب الرابع: خصوصية تطبيق </w:t>
      </w:r>
      <w:r w:rsidRPr="007F4301">
        <w:rPr>
          <w:rFonts w:ascii="Times New Roman" w:eastAsia="Calibri" w:hAnsi="Times New Roman" w:cs="Simplified Arabic"/>
          <w:b/>
          <w:bCs/>
          <w:sz w:val="24"/>
          <w:szCs w:val="28"/>
        </w:rPr>
        <w:t>(GDP)</w:t>
      </w:r>
      <w:r w:rsidRPr="007F4301">
        <w:rPr>
          <w:rFonts w:ascii="Times New Roman" w:eastAsia="Calibri" w:hAnsi="Times New Roman" w:cs="Simplified Arabic"/>
          <w:b/>
          <w:bCs/>
          <w:sz w:val="24"/>
          <w:szCs w:val="28"/>
          <w:rtl/>
        </w:rPr>
        <w:t xml:space="preserve"> في البيئة السعودية:</w:t>
      </w:r>
    </w:p>
    <w:p w14:paraId="388D3117"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تتسم بيئة سلاسل الإمداد الطبية في المملكة العربية السعودية بخصائص تفرض تحديات وفرصاً فريدة في تطبيق ممارسات التوزيع الجيد، ومن أبرزها:</w:t>
      </w:r>
    </w:p>
    <w:p w14:paraId="1BA11DB1" w14:textId="5B10A7F7" w:rsidR="007F4301" w:rsidRPr="007F4301" w:rsidRDefault="007F4301" w:rsidP="007F4301">
      <w:pPr>
        <w:numPr>
          <w:ilvl w:val="0"/>
          <w:numId w:val="66"/>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t xml:space="preserve">البيئة التنظيمية الصارمة: </w:t>
      </w:r>
      <w:r w:rsidRPr="007F4301">
        <w:rPr>
          <w:rFonts w:ascii="Times New Roman" w:eastAsia="Calibri" w:hAnsi="Times New Roman" w:cs="Simplified Arabic"/>
          <w:sz w:val="24"/>
          <w:szCs w:val="28"/>
          <w:rtl/>
        </w:rPr>
        <w:t xml:space="preserve">تفرض الهيئة العامة للغذاء والدواء </w:t>
      </w:r>
      <w:r w:rsidRPr="007F4301">
        <w:rPr>
          <w:rFonts w:ascii="Times New Roman" w:eastAsia="Calibri" w:hAnsi="Times New Roman" w:cs="Simplified Arabic"/>
          <w:sz w:val="24"/>
          <w:szCs w:val="28"/>
        </w:rPr>
        <w:t>(SFDA)</w:t>
      </w:r>
      <w:r w:rsidRPr="007F4301">
        <w:rPr>
          <w:rFonts w:ascii="Times New Roman" w:eastAsia="Calibri" w:hAnsi="Times New Roman" w:cs="Simplified Arabic"/>
          <w:sz w:val="24"/>
          <w:szCs w:val="28"/>
          <w:rtl/>
        </w:rPr>
        <w:t xml:space="preserve"> لائحة صارمة لتوزيع </w:t>
      </w:r>
      <w:r w:rsidR="00886AD7" w:rsidRPr="00886AD7">
        <w:rPr>
          <w:rFonts w:ascii="Times New Roman" w:eastAsia="Calibri" w:hAnsi="Times New Roman" w:cs="Simplified Arabic"/>
          <w:sz w:val="24"/>
          <w:szCs w:val="28"/>
          <w:rtl/>
        </w:rPr>
        <w:t>الأدوية، وتُلزم الشركات بتطبيق نظام التتبع الإلكتروني (</w:t>
      </w:r>
      <w:r w:rsidR="00886AD7" w:rsidRPr="00886AD7">
        <w:rPr>
          <w:rFonts w:ascii="Times New Roman" w:eastAsia="Calibri" w:hAnsi="Times New Roman" w:cs="Simplified Arabic"/>
          <w:sz w:val="24"/>
          <w:szCs w:val="28"/>
        </w:rPr>
        <w:t>RSD</w:t>
      </w:r>
      <w:r w:rsidR="00886AD7" w:rsidRPr="00886AD7">
        <w:rPr>
          <w:rFonts w:ascii="Times New Roman" w:eastAsia="Calibri" w:hAnsi="Times New Roman" w:cs="Simplified Arabic"/>
          <w:sz w:val="24"/>
          <w:szCs w:val="28"/>
          <w:rtl/>
        </w:rPr>
        <w:t>) الذي يراقب حركة الدواء من المصنع حتى المريض، مما يتطلب بنية تحتية تقنية وإدارية متقدمة (</w:t>
      </w:r>
      <w:r w:rsidR="00886AD7" w:rsidRPr="00886AD7">
        <w:rPr>
          <w:rFonts w:ascii="Times New Roman" w:eastAsia="Calibri" w:hAnsi="Times New Roman" w:cs="Simplified Arabic"/>
          <w:sz w:val="24"/>
          <w:szCs w:val="28"/>
        </w:rPr>
        <w:t>Al-Sultan, 2023, p. 22</w:t>
      </w:r>
      <w:r w:rsidR="00886AD7" w:rsidRPr="00886AD7">
        <w:rPr>
          <w:rFonts w:ascii="Times New Roman" w:eastAsia="Calibri" w:hAnsi="Times New Roman" w:cs="Simplified Arabic"/>
          <w:sz w:val="24"/>
          <w:szCs w:val="28"/>
          <w:rtl/>
        </w:rPr>
        <w:t>).</w:t>
      </w:r>
    </w:p>
    <w:p w14:paraId="0EFCDD14" w14:textId="1C421BA9" w:rsidR="007F4301" w:rsidRPr="007F4301" w:rsidRDefault="007F4301" w:rsidP="007F4301">
      <w:pPr>
        <w:numPr>
          <w:ilvl w:val="0"/>
          <w:numId w:val="66"/>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lastRenderedPageBreak/>
        <w:t xml:space="preserve">التحديات الجغرافية والمناخية: </w:t>
      </w:r>
      <w:r w:rsidRPr="007F4301">
        <w:rPr>
          <w:rFonts w:ascii="Times New Roman" w:eastAsia="Calibri" w:hAnsi="Times New Roman" w:cs="Simplified Arabic"/>
          <w:sz w:val="24"/>
          <w:szCs w:val="28"/>
          <w:rtl/>
        </w:rPr>
        <w:t xml:space="preserve">نظراً لاتساع رقعة المملكة وارتفاع درجات الحرارة معظم أيام السنة، فإن </w:t>
      </w:r>
      <w:r w:rsidR="00886AD7" w:rsidRPr="00886AD7">
        <w:rPr>
          <w:rFonts w:ascii="Times New Roman" w:eastAsia="Calibri" w:hAnsi="Times New Roman" w:cs="Simplified Arabic"/>
          <w:sz w:val="24"/>
          <w:szCs w:val="28"/>
          <w:rtl/>
        </w:rPr>
        <w:t>الحفاظ على سلسلة التبريد أثناء النقل لمسافات طويلة يُعد تحدياً تشغيلياً يتطلب استثمارات ضخمة في أسطول النقل المبرد وأنظمة المراقبة عن بعد (</w:t>
      </w:r>
      <w:r w:rsidR="00886AD7" w:rsidRPr="00886AD7">
        <w:rPr>
          <w:rFonts w:ascii="Times New Roman" w:eastAsia="Calibri" w:hAnsi="Times New Roman" w:cs="Simplified Arabic"/>
          <w:sz w:val="24"/>
          <w:szCs w:val="28"/>
        </w:rPr>
        <w:t>Al-Otaibi, 2020, p. 78</w:t>
      </w:r>
      <w:r w:rsidR="00886AD7" w:rsidRPr="00886AD7">
        <w:rPr>
          <w:rFonts w:ascii="Times New Roman" w:eastAsia="Calibri" w:hAnsi="Times New Roman" w:cs="Simplified Arabic"/>
          <w:sz w:val="24"/>
          <w:szCs w:val="28"/>
          <w:rtl/>
        </w:rPr>
        <w:t>).</w:t>
      </w:r>
    </w:p>
    <w:p w14:paraId="15BA1093" w14:textId="77777777" w:rsidR="007F4301" w:rsidRPr="007F4301" w:rsidRDefault="007F4301" w:rsidP="007F4301">
      <w:pPr>
        <w:numPr>
          <w:ilvl w:val="0"/>
          <w:numId w:val="66"/>
        </w:numPr>
        <w:spacing w:after="240" w:line="276" w:lineRule="auto"/>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t xml:space="preserve">التوجه نحو الخصخصة والرؤية 2030: </w:t>
      </w:r>
      <w:r w:rsidRPr="007F4301">
        <w:rPr>
          <w:rFonts w:ascii="Times New Roman" w:eastAsia="Calibri" w:hAnsi="Times New Roman" w:cs="Simplified Arabic"/>
          <w:sz w:val="24"/>
          <w:szCs w:val="28"/>
          <w:rtl/>
        </w:rPr>
        <w:t xml:space="preserve">يدفع برنامج التحول الوطني نحو خصخصة الخدمات اللوجستية الصحية، مما يزيد من حدة المنافسة ويجعل الالتزام بمعايير </w:t>
      </w:r>
      <w:r w:rsidRPr="007F4301">
        <w:rPr>
          <w:rFonts w:ascii="Times New Roman" w:eastAsia="Calibri" w:hAnsi="Times New Roman" w:cs="Simplified Arabic"/>
          <w:sz w:val="24"/>
          <w:szCs w:val="28"/>
        </w:rPr>
        <w:t>(GDP)</w:t>
      </w:r>
      <w:r w:rsidRPr="007F4301">
        <w:rPr>
          <w:rFonts w:ascii="Times New Roman" w:eastAsia="Calibri" w:hAnsi="Times New Roman" w:cs="Simplified Arabic"/>
          <w:sz w:val="24"/>
          <w:szCs w:val="28"/>
          <w:rtl/>
        </w:rPr>
        <w:t xml:space="preserve"> ميزة تنافسية وشرطاً للبقاء في السوق، وليس مجرد متطلب قانوني.</w:t>
      </w:r>
    </w:p>
    <w:p w14:paraId="1E1A95BF"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tl/>
        </w:rPr>
      </w:pPr>
      <w:r w:rsidRPr="007F4301">
        <w:rPr>
          <w:rFonts w:ascii="Times New Roman" w:eastAsia="Calibri" w:hAnsi="Times New Roman" w:cs="Simplified Arabic"/>
          <w:b/>
          <w:bCs/>
          <w:sz w:val="24"/>
          <w:szCs w:val="28"/>
          <w:rtl/>
        </w:rPr>
        <w:t>تعقيب الباحث:</w:t>
      </w:r>
    </w:p>
    <w:p w14:paraId="7CEF78A8"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 xml:space="preserve">من خلال استعراض الأدبيات المتعلقة بالمتغير التابع، يخلص الباحث إلى أن ممارسات التوزيع الجيد </w:t>
      </w:r>
      <w:r w:rsidRPr="007F4301">
        <w:rPr>
          <w:rFonts w:ascii="Times New Roman" w:eastAsia="Calibri" w:hAnsi="Times New Roman" w:cs="Simplified Arabic"/>
          <w:sz w:val="24"/>
          <w:szCs w:val="28"/>
        </w:rPr>
        <w:t>(GDP)</w:t>
      </w:r>
      <w:r w:rsidRPr="007F4301">
        <w:rPr>
          <w:rFonts w:ascii="Times New Roman" w:eastAsia="Calibri" w:hAnsi="Times New Roman" w:cs="Simplified Arabic"/>
          <w:sz w:val="24"/>
          <w:szCs w:val="28"/>
          <w:rtl/>
        </w:rPr>
        <w:t xml:space="preserve"> ليست مجرد قائمة تدقيق </w:t>
      </w:r>
      <w:r w:rsidRPr="007F4301">
        <w:rPr>
          <w:rFonts w:ascii="Times New Roman" w:eastAsia="Calibri" w:hAnsi="Times New Roman" w:cs="Simplified Arabic"/>
          <w:sz w:val="24"/>
          <w:szCs w:val="28"/>
        </w:rPr>
        <w:t>(Checklist)</w:t>
      </w:r>
      <w:r w:rsidRPr="007F4301">
        <w:rPr>
          <w:rFonts w:ascii="Times New Roman" w:eastAsia="Calibri" w:hAnsi="Times New Roman" w:cs="Simplified Arabic"/>
          <w:sz w:val="24"/>
          <w:szCs w:val="28"/>
          <w:rtl/>
        </w:rPr>
        <w:t xml:space="preserve"> فنية، بل هي ثقافة تنظيمية تتطلب تضافر الجهود الإدارية والفنية. ويظهر التحليل أن العقبة الرئيسة أمام التطبيق الفعال في البيئة السعودية غالباً ما تكون "إدارية" المنشأ؛ فالتكنولوجيا متوفرة، واللوائح واضحة، بيد أن القدرة على إدارة هذه الموارد، وتوجيه السلوك البشري نحو الامتثال، وبناء نظام رقابي داخلي فعال، ما تزال تمثل التحدي الحقيقي. وهذا ما يؤكد منطقية الربط بين "التحديات الإدارية" كمتغير مستقل، و"مستوى تطبيق </w:t>
      </w:r>
      <w:r w:rsidRPr="007F4301">
        <w:rPr>
          <w:rFonts w:ascii="Times New Roman" w:eastAsia="Calibri" w:hAnsi="Times New Roman" w:cs="Simplified Arabic"/>
          <w:sz w:val="24"/>
          <w:szCs w:val="28"/>
        </w:rPr>
        <w:t>GDP"</w:t>
      </w:r>
      <w:r w:rsidRPr="007F4301">
        <w:rPr>
          <w:rFonts w:ascii="Times New Roman" w:eastAsia="Calibri" w:hAnsi="Times New Roman" w:cs="Simplified Arabic"/>
          <w:sz w:val="24"/>
          <w:szCs w:val="28"/>
          <w:rtl/>
        </w:rPr>
        <w:t xml:space="preserve"> كمتغير تابع في هذه الدراسة.</w:t>
      </w:r>
    </w:p>
    <w:p w14:paraId="4444C94F" w14:textId="77777777" w:rsidR="00886AD7" w:rsidRDefault="00886AD7">
      <w:pPr>
        <w:bidi w:val="0"/>
        <w:spacing w:after="200" w:line="276" w:lineRule="auto"/>
        <w:rPr>
          <w:rFonts w:ascii="Times New Roman" w:eastAsia="Calibri" w:hAnsi="Times New Roman" w:cs="Simplified Arabic"/>
          <w:b/>
          <w:bCs/>
          <w:sz w:val="24"/>
          <w:szCs w:val="28"/>
          <w:rtl/>
        </w:rPr>
      </w:pPr>
      <w:r>
        <w:rPr>
          <w:rFonts w:ascii="Times New Roman" w:eastAsia="Calibri" w:hAnsi="Times New Roman" w:cs="Simplified Arabic"/>
          <w:b/>
          <w:bCs/>
          <w:sz w:val="24"/>
          <w:szCs w:val="28"/>
          <w:rtl/>
        </w:rPr>
        <w:br w:type="page"/>
      </w:r>
    </w:p>
    <w:p w14:paraId="0ADE278D" w14:textId="2F2BF438" w:rsidR="007F4301" w:rsidRPr="00886AD7" w:rsidRDefault="007F4301" w:rsidP="00886AD7">
      <w:pPr>
        <w:spacing w:after="240" w:line="276" w:lineRule="auto"/>
        <w:ind w:firstLine="510"/>
        <w:jc w:val="center"/>
        <w:rPr>
          <w:rFonts w:ascii="Times New Roman" w:eastAsia="Calibri" w:hAnsi="Times New Roman" w:cs="Simplified Arabic"/>
          <w:sz w:val="28"/>
          <w:szCs w:val="32"/>
        </w:rPr>
      </w:pPr>
      <w:r w:rsidRPr="00886AD7">
        <w:rPr>
          <w:rFonts w:ascii="Times New Roman" w:eastAsia="Calibri" w:hAnsi="Times New Roman" w:cs="Simplified Arabic"/>
          <w:b/>
          <w:bCs/>
          <w:sz w:val="28"/>
          <w:szCs w:val="32"/>
          <w:rtl/>
        </w:rPr>
        <w:lastRenderedPageBreak/>
        <w:t>المبحث الثالث: العلاقة التكاملية بين التحديات الإدارية وتطبيق ممارسات التوزيع الجيد</w:t>
      </w:r>
    </w:p>
    <w:p w14:paraId="73A68313" w14:textId="77777777" w:rsidR="00886AD7" w:rsidRPr="00886AD7" w:rsidRDefault="00886AD7" w:rsidP="007F4301">
      <w:pPr>
        <w:spacing w:after="240" w:line="276" w:lineRule="auto"/>
        <w:ind w:firstLine="510"/>
        <w:jc w:val="both"/>
        <w:rPr>
          <w:rFonts w:ascii="Times New Roman" w:eastAsia="Calibri" w:hAnsi="Times New Roman" w:cs="Simplified Arabic"/>
          <w:b/>
          <w:bCs/>
          <w:sz w:val="8"/>
          <w:szCs w:val="12"/>
          <w:rtl/>
        </w:rPr>
      </w:pPr>
    </w:p>
    <w:p w14:paraId="079FF3A4" w14:textId="1DEBA1AF" w:rsidR="007F4301" w:rsidRPr="007F4301" w:rsidRDefault="007F4301" w:rsidP="007F4301">
      <w:pPr>
        <w:spacing w:after="240" w:line="276" w:lineRule="auto"/>
        <w:ind w:firstLine="510"/>
        <w:jc w:val="both"/>
        <w:rPr>
          <w:rFonts w:ascii="Times New Roman" w:eastAsia="Calibri" w:hAnsi="Times New Roman" w:cs="Simplified Arabic"/>
          <w:sz w:val="24"/>
          <w:szCs w:val="28"/>
          <w:rtl/>
        </w:rPr>
      </w:pPr>
      <w:r w:rsidRPr="007F4301">
        <w:rPr>
          <w:rFonts w:ascii="Times New Roman" w:eastAsia="Calibri" w:hAnsi="Times New Roman" w:cs="Simplified Arabic"/>
          <w:b/>
          <w:bCs/>
          <w:sz w:val="24"/>
          <w:szCs w:val="28"/>
          <w:rtl/>
        </w:rPr>
        <w:t>تمهيد:</w:t>
      </w:r>
    </w:p>
    <w:p w14:paraId="1E527C86"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 xml:space="preserve">لا تعمل ممارسات التوزيع الجيد </w:t>
      </w:r>
      <w:r w:rsidRPr="007F4301">
        <w:rPr>
          <w:rFonts w:ascii="Times New Roman" w:eastAsia="Calibri" w:hAnsi="Times New Roman" w:cs="Simplified Arabic"/>
          <w:sz w:val="24"/>
          <w:szCs w:val="28"/>
        </w:rPr>
        <w:t>(GDP)</w:t>
      </w:r>
      <w:r w:rsidRPr="007F4301">
        <w:rPr>
          <w:rFonts w:ascii="Times New Roman" w:eastAsia="Calibri" w:hAnsi="Times New Roman" w:cs="Simplified Arabic"/>
          <w:sz w:val="24"/>
          <w:szCs w:val="28"/>
          <w:rtl/>
        </w:rPr>
        <w:t xml:space="preserve"> في فراغ تنظيمي، بل هي نتاج مباشر لجودة المنظومة الإدارية الحاكمة. وعليه، يخصص هذا المبحث مساحة تحليلية للربط الفلسفي والمنطقي بين المتغير المستقل (التحديات الإدارية) والمتغير التابع </w:t>
      </w:r>
      <w:r w:rsidRPr="007F4301">
        <w:rPr>
          <w:rFonts w:ascii="Times New Roman" w:eastAsia="Calibri" w:hAnsi="Times New Roman" w:cs="Simplified Arabic"/>
          <w:sz w:val="24"/>
          <w:szCs w:val="28"/>
        </w:rPr>
        <w:t>(</w:t>
      </w:r>
      <w:r w:rsidRPr="007F4301">
        <w:rPr>
          <w:rFonts w:ascii="Times New Roman" w:eastAsia="Calibri" w:hAnsi="Times New Roman" w:cs="Simplified Arabic"/>
          <w:sz w:val="24"/>
          <w:szCs w:val="28"/>
          <w:rtl/>
        </w:rPr>
        <w:t xml:space="preserve">تطبيق </w:t>
      </w:r>
      <w:r w:rsidRPr="007F4301">
        <w:rPr>
          <w:rFonts w:ascii="Times New Roman" w:eastAsia="Calibri" w:hAnsi="Times New Roman" w:cs="Simplified Arabic"/>
          <w:sz w:val="24"/>
          <w:szCs w:val="28"/>
        </w:rPr>
        <w:t>GDP)</w:t>
      </w:r>
      <w:r w:rsidRPr="007F4301">
        <w:rPr>
          <w:rFonts w:ascii="Times New Roman" w:eastAsia="Calibri" w:hAnsi="Times New Roman" w:cs="Simplified Arabic"/>
          <w:sz w:val="24"/>
          <w:szCs w:val="28"/>
          <w:rtl/>
        </w:rPr>
        <w:t>، مستنداً إلى النظريات المفسرة، لتوضيح كيف تتحول الفجوات الإدارية إلى مخاطر تشغيلية تهدد سلامة الدواء.</w:t>
      </w:r>
    </w:p>
    <w:p w14:paraId="5D7FDF05"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tl/>
        </w:rPr>
      </w:pPr>
      <w:r w:rsidRPr="007F4301">
        <w:rPr>
          <w:rFonts w:ascii="Times New Roman" w:eastAsia="Calibri" w:hAnsi="Times New Roman" w:cs="Simplified Arabic"/>
          <w:b/>
          <w:bCs/>
          <w:sz w:val="24"/>
          <w:szCs w:val="28"/>
          <w:rtl/>
        </w:rPr>
        <w:t>المطلب الأول: التأصيل النظري للعلاقة (المنظور الفلسفي):</w:t>
      </w:r>
    </w:p>
    <w:p w14:paraId="0D9BA174"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يمكن تفسير العلاقة بين المتغيرين من خلال "نظرية الموارد</w:t>
      </w:r>
      <w:r w:rsidRPr="007F4301">
        <w:rPr>
          <w:rFonts w:ascii="Times New Roman" w:eastAsia="Calibri" w:hAnsi="Times New Roman" w:cs="Simplified Arabic"/>
          <w:sz w:val="24"/>
          <w:szCs w:val="28"/>
        </w:rPr>
        <w:t>" (Resource-Based View - RBV)</w:t>
      </w:r>
      <w:r w:rsidRPr="007F4301">
        <w:rPr>
          <w:rFonts w:ascii="Times New Roman" w:eastAsia="Calibri" w:hAnsi="Times New Roman" w:cs="Simplified Arabic"/>
          <w:sz w:val="24"/>
          <w:szCs w:val="28"/>
          <w:rtl/>
        </w:rPr>
        <w:t>؛ حيث تُعد ممارسات التوزيع الجيد "ميزة تنافسية" وقيمة مضافة للمنظمة، ولا يمكن تحقيق هذه الميزة بالاعتماد فقط على الموارد الملموسة (المستودعات والشاحنات)، بل تتطلب موارد غير ملموسة تتمثل في "القدرات الإدارية</w:t>
      </w:r>
      <w:r w:rsidRPr="007F4301">
        <w:rPr>
          <w:rFonts w:ascii="Times New Roman" w:eastAsia="Calibri" w:hAnsi="Times New Roman" w:cs="Simplified Arabic"/>
          <w:sz w:val="24"/>
          <w:szCs w:val="28"/>
        </w:rPr>
        <w:t>" (Administrative Capabilities)</w:t>
      </w:r>
      <w:r w:rsidRPr="007F4301">
        <w:rPr>
          <w:rFonts w:ascii="Times New Roman" w:eastAsia="Calibri" w:hAnsi="Times New Roman" w:cs="Simplified Arabic"/>
          <w:sz w:val="24"/>
          <w:szCs w:val="28"/>
          <w:rtl/>
        </w:rPr>
        <w:t xml:space="preserve">. ووفقاً لهذه النظرية، فإن التحديات الإدارية (مثل ضعف التخطيط أو القيادة) تُمثل استنزافاً لهذه الموارد، مما يُعجز المنظمة عن استغلال أصولها المادية لتحقيق الامتثال </w:t>
      </w:r>
      <w:r w:rsidRPr="007F4301">
        <w:rPr>
          <w:rFonts w:ascii="Times New Roman" w:eastAsia="Calibri" w:hAnsi="Times New Roman" w:cs="Simplified Arabic"/>
          <w:sz w:val="24"/>
          <w:szCs w:val="28"/>
        </w:rPr>
        <w:t>(Barney &amp; Hesterly, 2019, p. 88)</w:t>
      </w:r>
      <w:r w:rsidRPr="007F4301">
        <w:rPr>
          <w:rFonts w:ascii="Times New Roman" w:eastAsia="Calibri" w:hAnsi="Times New Roman" w:cs="Simplified Arabic"/>
          <w:sz w:val="24"/>
          <w:szCs w:val="28"/>
          <w:rtl/>
        </w:rPr>
        <w:t>.</w:t>
      </w:r>
    </w:p>
    <w:p w14:paraId="268DA26E" w14:textId="038146C2" w:rsidR="007F4301" w:rsidRDefault="007F4301" w:rsidP="007F4301">
      <w:pPr>
        <w:spacing w:after="240" w:line="276" w:lineRule="auto"/>
        <w:ind w:firstLine="510"/>
        <w:jc w:val="both"/>
        <w:rPr>
          <w:rFonts w:ascii="Times New Roman" w:eastAsia="Calibri" w:hAnsi="Times New Roman" w:cs="Simplified Arabic"/>
          <w:sz w:val="24"/>
          <w:szCs w:val="28"/>
          <w:rtl/>
        </w:rPr>
      </w:pPr>
      <w:r w:rsidRPr="007F4301">
        <w:rPr>
          <w:rFonts w:ascii="Times New Roman" w:eastAsia="Calibri" w:hAnsi="Times New Roman" w:cs="Simplified Arabic"/>
          <w:sz w:val="24"/>
          <w:szCs w:val="28"/>
          <w:rtl/>
        </w:rPr>
        <w:t xml:space="preserve">وفي سياق </w:t>
      </w:r>
      <w:r w:rsidR="00C46274" w:rsidRPr="00C46274">
        <w:rPr>
          <w:rFonts w:ascii="Times New Roman" w:eastAsia="Calibri" w:hAnsi="Times New Roman" w:cs="Simplified Arabic"/>
          <w:sz w:val="24"/>
          <w:szCs w:val="28"/>
          <w:rtl/>
        </w:rPr>
        <w:t>متصل، تدعم "نظرية إدارة الجودة الشاملة" (</w:t>
      </w:r>
      <w:r w:rsidR="00C46274" w:rsidRPr="00C46274">
        <w:rPr>
          <w:rFonts w:ascii="Times New Roman" w:eastAsia="Calibri" w:hAnsi="Times New Roman" w:cs="Simplified Arabic"/>
          <w:sz w:val="24"/>
          <w:szCs w:val="28"/>
        </w:rPr>
        <w:t>TQM</w:t>
      </w:r>
      <w:r w:rsidR="00C46274" w:rsidRPr="00C46274">
        <w:rPr>
          <w:rFonts w:ascii="Times New Roman" w:eastAsia="Calibri" w:hAnsi="Times New Roman" w:cs="Simplified Arabic"/>
          <w:sz w:val="24"/>
          <w:szCs w:val="28"/>
          <w:rtl/>
        </w:rPr>
        <w:t xml:space="preserve">) فرضية الدراسة؛ إذ تؤكد أن الجودة (بما فيها </w:t>
      </w:r>
      <w:r w:rsidR="00C46274" w:rsidRPr="00C46274">
        <w:rPr>
          <w:rFonts w:ascii="Times New Roman" w:eastAsia="Calibri" w:hAnsi="Times New Roman" w:cs="Simplified Arabic"/>
          <w:sz w:val="24"/>
          <w:szCs w:val="28"/>
        </w:rPr>
        <w:t>GDP</w:t>
      </w:r>
      <w:r w:rsidR="00C46274" w:rsidRPr="00C46274">
        <w:rPr>
          <w:rFonts w:ascii="Times New Roman" w:eastAsia="Calibri" w:hAnsi="Times New Roman" w:cs="Simplified Arabic"/>
          <w:sz w:val="24"/>
          <w:szCs w:val="28"/>
          <w:rtl/>
        </w:rPr>
        <w:t>) هي مسؤولية الجميع وتبدأ من الإدارة العليا. ويشير شافيك وآخرون (</w:t>
      </w:r>
      <w:r w:rsidR="00C46274" w:rsidRPr="00C46274">
        <w:rPr>
          <w:rFonts w:ascii="Times New Roman" w:eastAsia="Calibri" w:hAnsi="Times New Roman" w:cs="Simplified Arabic"/>
          <w:sz w:val="24"/>
          <w:szCs w:val="28"/>
        </w:rPr>
        <w:t>Shafiq et al., 2020, p. 115</w:t>
      </w:r>
      <w:r w:rsidR="00C46274" w:rsidRPr="00C46274">
        <w:rPr>
          <w:rFonts w:ascii="Times New Roman" w:eastAsia="Calibri" w:hAnsi="Times New Roman" w:cs="Simplified Arabic"/>
          <w:sz w:val="24"/>
          <w:szCs w:val="28"/>
          <w:rtl/>
        </w:rPr>
        <w:t>) إلى أن 85% من مشاكل الجودة في سلاسل الإمداد تعود إلى قصور في النظام الإداري الذي يضعه المديرون، وليس إلى أخطاء العمال. وبالتالي، فإن العلاقة هنا هي علاقة "سبب ونتيجة"؛ فالتحدي الإداري هو السبب الجذري (</w:t>
      </w:r>
      <w:r w:rsidR="00C46274" w:rsidRPr="00C46274">
        <w:rPr>
          <w:rFonts w:ascii="Times New Roman" w:eastAsia="Calibri" w:hAnsi="Times New Roman" w:cs="Simplified Arabic"/>
          <w:sz w:val="24"/>
          <w:szCs w:val="28"/>
        </w:rPr>
        <w:t>Root Cause</w:t>
      </w:r>
      <w:r w:rsidR="00C46274" w:rsidRPr="00C46274">
        <w:rPr>
          <w:rFonts w:ascii="Times New Roman" w:eastAsia="Calibri" w:hAnsi="Times New Roman" w:cs="Simplified Arabic"/>
          <w:sz w:val="24"/>
          <w:szCs w:val="28"/>
          <w:rtl/>
        </w:rPr>
        <w:t xml:space="preserve">)، وعدم تطبيق </w:t>
      </w:r>
      <w:r w:rsidR="00C46274" w:rsidRPr="00C46274">
        <w:rPr>
          <w:rFonts w:ascii="Times New Roman" w:eastAsia="Calibri" w:hAnsi="Times New Roman" w:cs="Simplified Arabic"/>
          <w:sz w:val="24"/>
          <w:szCs w:val="28"/>
        </w:rPr>
        <w:t>GDP</w:t>
      </w:r>
      <w:r w:rsidR="00C46274" w:rsidRPr="00C46274">
        <w:rPr>
          <w:rFonts w:ascii="Times New Roman" w:eastAsia="Calibri" w:hAnsi="Times New Roman" w:cs="Simplified Arabic"/>
          <w:sz w:val="24"/>
          <w:szCs w:val="28"/>
          <w:rtl/>
        </w:rPr>
        <w:t xml:space="preserve"> هو العرض الظاهر (</w:t>
      </w:r>
      <w:r w:rsidR="00C46274" w:rsidRPr="00C46274">
        <w:rPr>
          <w:rFonts w:ascii="Times New Roman" w:eastAsia="Calibri" w:hAnsi="Times New Roman" w:cs="Simplified Arabic"/>
          <w:sz w:val="24"/>
          <w:szCs w:val="28"/>
        </w:rPr>
        <w:t>Symptom</w:t>
      </w:r>
      <w:r w:rsidR="00C46274" w:rsidRPr="00C46274">
        <w:rPr>
          <w:rFonts w:ascii="Times New Roman" w:eastAsia="Calibri" w:hAnsi="Times New Roman" w:cs="Simplified Arabic"/>
          <w:sz w:val="24"/>
          <w:szCs w:val="28"/>
          <w:rtl/>
        </w:rPr>
        <w:t>).</w:t>
      </w:r>
    </w:p>
    <w:p w14:paraId="16515A42" w14:textId="77777777" w:rsidR="00C46274" w:rsidRDefault="00C46274" w:rsidP="007F4301">
      <w:pPr>
        <w:spacing w:after="240" w:line="276" w:lineRule="auto"/>
        <w:ind w:firstLine="510"/>
        <w:jc w:val="both"/>
        <w:rPr>
          <w:rFonts w:ascii="Times New Roman" w:eastAsia="Calibri" w:hAnsi="Times New Roman" w:cs="Simplified Arabic"/>
          <w:sz w:val="24"/>
          <w:szCs w:val="28"/>
          <w:rtl/>
        </w:rPr>
      </w:pPr>
    </w:p>
    <w:p w14:paraId="0867D4CF" w14:textId="77777777" w:rsidR="00C46274" w:rsidRPr="007F4301" w:rsidRDefault="00C46274" w:rsidP="007F4301">
      <w:pPr>
        <w:spacing w:after="240" w:line="276" w:lineRule="auto"/>
        <w:ind w:firstLine="510"/>
        <w:jc w:val="both"/>
        <w:rPr>
          <w:rFonts w:ascii="Times New Roman" w:eastAsia="Calibri" w:hAnsi="Times New Roman" w:cs="Simplified Arabic"/>
          <w:sz w:val="24"/>
          <w:szCs w:val="28"/>
        </w:rPr>
      </w:pPr>
    </w:p>
    <w:p w14:paraId="229D0DC9"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tl/>
        </w:rPr>
      </w:pPr>
      <w:r w:rsidRPr="007F4301">
        <w:rPr>
          <w:rFonts w:ascii="Times New Roman" w:eastAsia="Calibri" w:hAnsi="Times New Roman" w:cs="Simplified Arabic"/>
          <w:b/>
          <w:bCs/>
          <w:sz w:val="24"/>
          <w:szCs w:val="28"/>
          <w:rtl/>
        </w:rPr>
        <w:lastRenderedPageBreak/>
        <w:t>المطلب الثاني: مصفوفة التأثير المتبادل (الربط الوظيفي):</w:t>
      </w:r>
    </w:p>
    <w:p w14:paraId="7E2697DB"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يمكن تفكيك العلاقة بين أبعاد المتغيرين لبيان الأثر المباشر لكل وظيفة إدارية في ممارسات التوزيع، وذلك على النحو الآتي:</w:t>
      </w:r>
    </w:p>
    <w:p w14:paraId="299CA379"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Pr>
        <w:t>1</w:t>
      </w:r>
      <w:r w:rsidRPr="007F4301">
        <w:rPr>
          <w:rFonts w:ascii="Times New Roman" w:eastAsia="Calibri" w:hAnsi="Times New Roman" w:cs="Simplified Arabic"/>
          <w:b/>
          <w:bCs/>
          <w:sz w:val="24"/>
          <w:szCs w:val="28"/>
          <w:rtl/>
        </w:rPr>
        <w:t>. أثر تحديات التخطيط في الامتثال:</w:t>
      </w:r>
    </w:p>
    <w:p w14:paraId="7938169F"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 xml:space="preserve">يؤدي غياب التخطيط الاستراتيجي وقصور التنبؤ بالطلب إلى حالة من "الإرباك التشغيلي"؛ فعندما تفشل الإدارة في توقع حجم المخزون المطلوب، تضطر المستودعات إلى تكديس البضائع بما يفوق طاقتها الاستيعابية، مما يعيق تدفق الهواء البارد ويؤدي إلى انحرافات في درجات الحرارة </w:t>
      </w:r>
      <w:r w:rsidRPr="007F4301">
        <w:rPr>
          <w:rFonts w:ascii="Times New Roman" w:eastAsia="Calibri" w:hAnsi="Times New Roman" w:cs="Simplified Arabic"/>
          <w:sz w:val="24"/>
          <w:szCs w:val="28"/>
        </w:rPr>
        <w:t>(</w:t>
      </w:r>
      <w:r w:rsidRPr="007F4301">
        <w:rPr>
          <w:rFonts w:ascii="Times New Roman" w:eastAsia="Calibri" w:hAnsi="Times New Roman" w:cs="Simplified Arabic"/>
          <w:sz w:val="24"/>
          <w:szCs w:val="28"/>
          <w:rtl/>
        </w:rPr>
        <w:t xml:space="preserve">مخالفة صريحة لـ </w:t>
      </w:r>
      <w:r w:rsidRPr="007F4301">
        <w:rPr>
          <w:rFonts w:ascii="Times New Roman" w:eastAsia="Calibri" w:hAnsi="Times New Roman" w:cs="Simplified Arabic"/>
          <w:sz w:val="24"/>
          <w:szCs w:val="28"/>
        </w:rPr>
        <w:t>GDP)</w:t>
      </w:r>
      <w:r w:rsidRPr="007F4301">
        <w:rPr>
          <w:rFonts w:ascii="Times New Roman" w:eastAsia="Calibri" w:hAnsi="Times New Roman" w:cs="Simplified Arabic"/>
          <w:sz w:val="24"/>
          <w:szCs w:val="28"/>
          <w:rtl/>
        </w:rPr>
        <w:t xml:space="preserve">. كما أن التخطيط المالي الضعيف قد يؤدي إلى تقليص ميزانيات الصيانة الدورية لأجهزة التبريد، مما يرفع احتمالية تعطلها المفاجئ وتلف الأدوية </w:t>
      </w:r>
      <w:r w:rsidRPr="007F4301">
        <w:rPr>
          <w:rFonts w:ascii="Times New Roman" w:eastAsia="Calibri" w:hAnsi="Times New Roman" w:cs="Simplified Arabic"/>
          <w:sz w:val="24"/>
          <w:szCs w:val="28"/>
        </w:rPr>
        <w:t>(Heizer et al., 2020, p. 302)</w:t>
      </w:r>
      <w:r w:rsidRPr="007F4301">
        <w:rPr>
          <w:rFonts w:ascii="Times New Roman" w:eastAsia="Calibri" w:hAnsi="Times New Roman" w:cs="Simplified Arabic"/>
          <w:sz w:val="24"/>
          <w:szCs w:val="28"/>
          <w:rtl/>
        </w:rPr>
        <w:t>.</w:t>
      </w:r>
    </w:p>
    <w:p w14:paraId="77C8BE68"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Pr>
        <w:t>2</w:t>
      </w:r>
      <w:r w:rsidRPr="007F4301">
        <w:rPr>
          <w:rFonts w:ascii="Times New Roman" w:eastAsia="Calibri" w:hAnsi="Times New Roman" w:cs="Simplified Arabic"/>
          <w:b/>
          <w:bCs/>
          <w:sz w:val="24"/>
          <w:szCs w:val="28"/>
          <w:rtl/>
        </w:rPr>
        <w:t>. أثر تحديات التنظيم في سلامة العمليات:</w:t>
      </w:r>
    </w:p>
    <w:p w14:paraId="6B3D844E"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يرتبط التنظيم بتحديد المسؤوليات والصلاحيات. وتؤدي الضبابية في الهيكل التنظيمي وعدم وضوح الوصف الوظيفي إلى "تشتت المسؤولية</w:t>
      </w:r>
      <w:r w:rsidRPr="007F4301">
        <w:rPr>
          <w:rFonts w:ascii="Times New Roman" w:eastAsia="Calibri" w:hAnsi="Times New Roman" w:cs="Simplified Arabic"/>
          <w:sz w:val="24"/>
          <w:szCs w:val="28"/>
        </w:rPr>
        <w:t>" (Diffusion of Responsibility)</w:t>
      </w:r>
      <w:r w:rsidRPr="007F4301">
        <w:rPr>
          <w:rFonts w:ascii="Times New Roman" w:eastAsia="Calibri" w:hAnsi="Times New Roman" w:cs="Simplified Arabic"/>
          <w:sz w:val="24"/>
          <w:szCs w:val="28"/>
          <w:rtl/>
        </w:rPr>
        <w:t xml:space="preserve">. ففي حال حدوث انقطاع في التيار الكهربائي مثلاً، قد يتأخر اتخاذ إجراء الطوارئ بسبب عدم معرفة من يملك صلاحية تشغيل المولدات الاحتياطية أو نقل المخزون، وهذا التأخير الإداري البسيط زمنياً، يكون كارثياً فنياً على سلامة المنتج </w:t>
      </w:r>
      <w:r w:rsidRPr="007F4301">
        <w:rPr>
          <w:rFonts w:ascii="Times New Roman" w:eastAsia="Calibri" w:hAnsi="Times New Roman" w:cs="Simplified Arabic"/>
          <w:sz w:val="24"/>
          <w:szCs w:val="28"/>
        </w:rPr>
        <w:t>(Al-</w:t>
      </w:r>
      <w:proofErr w:type="spellStart"/>
      <w:r w:rsidRPr="007F4301">
        <w:rPr>
          <w:rFonts w:ascii="Times New Roman" w:eastAsia="Calibri" w:hAnsi="Times New Roman" w:cs="Simplified Arabic"/>
          <w:sz w:val="24"/>
          <w:szCs w:val="28"/>
        </w:rPr>
        <w:t>Dossari</w:t>
      </w:r>
      <w:proofErr w:type="spellEnd"/>
      <w:r w:rsidRPr="007F4301">
        <w:rPr>
          <w:rFonts w:ascii="Times New Roman" w:eastAsia="Calibri" w:hAnsi="Times New Roman" w:cs="Simplified Arabic"/>
          <w:sz w:val="24"/>
          <w:szCs w:val="28"/>
        </w:rPr>
        <w:t>, 2023, p. 91)</w:t>
      </w:r>
      <w:r w:rsidRPr="007F4301">
        <w:rPr>
          <w:rFonts w:ascii="Times New Roman" w:eastAsia="Calibri" w:hAnsi="Times New Roman" w:cs="Simplified Arabic"/>
          <w:sz w:val="24"/>
          <w:szCs w:val="28"/>
          <w:rtl/>
        </w:rPr>
        <w:t>.</w:t>
      </w:r>
    </w:p>
    <w:p w14:paraId="32098D29"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Pr>
        <w:t>3</w:t>
      </w:r>
      <w:r w:rsidRPr="007F4301">
        <w:rPr>
          <w:rFonts w:ascii="Times New Roman" w:eastAsia="Calibri" w:hAnsi="Times New Roman" w:cs="Simplified Arabic"/>
          <w:b/>
          <w:bCs/>
          <w:sz w:val="24"/>
          <w:szCs w:val="28"/>
          <w:rtl/>
        </w:rPr>
        <w:t>. أثر تحديات التوجيه والقيادة في السلوك البشري:</w:t>
      </w:r>
    </w:p>
    <w:p w14:paraId="33793C3B" w14:textId="77777777" w:rsidR="007F4301" w:rsidRDefault="007F4301" w:rsidP="007F4301">
      <w:pPr>
        <w:spacing w:after="240" w:line="276" w:lineRule="auto"/>
        <w:ind w:firstLine="510"/>
        <w:jc w:val="both"/>
        <w:rPr>
          <w:rFonts w:ascii="Times New Roman" w:eastAsia="Calibri" w:hAnsi="Times New Roman" w:cs="Simplified Arabic"/>
          <w:sz w:val="24"/>
          <w:szCs w:val="28"/>
          <w:rtl/>
        </w:rPr>
      </w:pPr>
      <w:r w:rsidRPr="007F4301">
        <w:rPr>
          <w:rFonts w:ascii="Times New Roman" w:eastAsia="Calibri" w:hAnsi="Times New Roman" w:cs="Simplified Arabic"/>
          <w:sz w:val="24"/>
          <w:szCs w:val="28"/>
          <w:rtl/>
        </w:rPr>
        <w:t xml:space="preserve">تعتمد ممارسات التوزيع الجيد بشكل كبير على الالتزام الذاتي للموظفين (مثل غسل اليدين، عدم الأكل في مناطق التخزين، تسجيل القراءات بصدق). وعندما تواجه المنظمة تحديات في القيادة (مثل ضعف التحفيز أو غياب القدوة)، يلجأ الموظفون إلى سلوكيات "الامتثال الظاهري" أو التلاعب في السجلات لتجنب اللوم، مما يفرغ نظام الجودة من مضمونه </w:t>
      </w:r>
      <w:r w:rsidRPr="007F4301">
        <w:rPr>
          <w:rFonts w:ascii="Times New Roman" w:eastAsia="Calibri" w:hAnsi="Times New Roman" w:cs="Simplified Arabic"/>
          <w:sz w:val="24"/>
          <w:szCs w:val="28"/>
        </w:rPr>
        <w:t>(Northouse, 2021, p. 245)</w:t>
      </w:r>
      <w:r w:rsidRPr="007F4301">
        <w:rPr>
          <w:rFonts w:ascii="Times New Roman" w:eastAsia="Calibri" w:hAnsi="Times New Roman" w:cs="Simplified Arabic"/>
          <w:sz w:val="24"/>
          <w:szCs w:val="28"/>
          <w:rtl/>
        </w:rPr>
        <w:t>.</w:t>
      </w:r>
    </w:p>
    <w:p w14:paraId="626B0126" w14:textId="77777777" w:rsidR="00C46274" w:rsidRDefault="00C46274" w:rsidP="007F4301">
      <w:pPr>
        <w:spacing w:after="240" w:line="276" w:lineRule="auto"/>
        <w:ind w:firstLine="510"/>
        <w:jc w:val="both"/>
        <w:rPr>
          <w:rFonts w:ascii="Times New Roman" w:eastAsia="Calibri" w:hAnsi="Times New Roman" w:cs="Simplified Arabic"/>
          <w:sz w:val="24"/>
          <w:szCs w:val="28"/>
          <w:rtl/>
        </w:rPr>
      </w:pPr>
    </w:p>
    <w:p w14:paraId="3ACB3F7F" w14:textId="77777777" w:rsidR="00C46274" w:rsidRPr="007F4301" w:rsidRDefault="00C46274" w:rsidP="007F4301">
      <w:pPr>
        <w:spacing w:after="240" w:line="276" w:lineRule="auto"/>
        <w:ind w:firstLine="510"/>
        <w:jc w:val="both"/>
        <w:rPr>
          <w:rFonts w:ascii="Times New Roman" w:eastAsia="Calibri" w:hAnsi="Times New Roman" w:cs="Simplified Arabic"/>
          <w:sz w:val="24"/>
          <w:szCs w:val="28"/>
        </w:rPr>
      </w:pPr>
    </w:p>
    <w:p w14:paraId="4D087135"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Pr>
        <w:lastRenderedPageBreak/>
        <w:t>4</w:t>
      </w:r>
      <w:r w:rsidRPr="007F4301">
        <w:rPr>
          <w:rFonts w:ascii="Times New Roman" w:eastAsia="Calibri" w:hAnsi="Times New Roman" w:cs="Simplified Arabic"/>
          <w:b/>
          <w:bCs/>
          <w:sz w:val="24"/>
          <w:szCs w:val="28"/>
          <w:rtl/>
        </w:rPr>
        <w:t>. أثر تحديات الرقابة في ضمان الجودة:</w:t>
      </w:r>
    </w:p>
    <w:p w14:paraId="57EBECEC" w14:textId="7228CE64"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 xml:space="preserve">تُعد </w:t>
      </w:r>
      <w:r w:rsidR="00C46274" w:rsidRPr="00C46274">
        <w:rPr>
          <w:rFonts w:ascii="Times New Roman" w:eastAsia="Calibri" w:hAnsi="Times New Roman" w:cs="Simplified Arabic"/>
          <w:sz w:val="24"/>
          <w:szCs w:val="28"/>
          <w:rtl/>
        </w:rPr>
        <w:t>الرقابة "صمام الأمان" للنظام. ويؤدي الضعف في آليات الرقابة والمتابعة إلى عدم اكتشاف الأخطاء في وقتها الحقيقي. فغياب التدقيق الداخلي الدوري (</w:t>
      </w:r>
      <w:r w:rsidR="00C46274" w:rsidRPr="00C46274">
        <w:rPr>
          <w:rFonts w:ascii="Times New Roman" w:eastAsia="Calibri" w:hAnsi="Times New Roman" w:cs="Simplified Arabic"/>
          <w:sz w:val="24"/>
          <w:szCs w:val="28"/>
        </w:rPr>
        <w:t>Internal Audit</w:t>
      </w:r>
      <w:r w:rsidR="00C46274" w:rsidRPr="00C46274">
        <w:rPr>
          <w:rFonts w:ascii="Times New Roman" w:eastAsia="Calibri" w:hAnsi="Times New Roman" w:cs="Simplified Arabic"/>
          <w:sz w:val="24"/>
          <w:szCs w:val="28"/>
          <w:rtl/>
        </w:rPr>
        <w:t>) يعني استمرار الممارسات الخاطئة وتراكمها حتى تتحول إلى ثقافة سائدة يصعب تغييرها، مما يعرض المنظمة لمخاطر سحب التراخيص عند أول تفتيش خارجي من قبل الهيئة العامة للغذاء والدواء (</w:t>
      </w:r>
      <w:r w:rsidR="00C46274" w:rsidRPr="00C46274">
        <w:rPr>
          <w:rFonts w:ascii="Times New Roman" w:eastAsia="Calibri" w:hAnsi="Times New Roman" w:cs="Simplified Arabic"/>
          <w:sz w:val="24"/>
          <w:szCs w:val="28"/>
        </w:rPr>
        <w:t>Al-Zahrani, 2020, p. 56</w:t>
      </w:r>
      <w:r w:rsidR="00C46274" w:rsidRPr="00C46274">
        <w:rPr>
          <w:rFonts w:ascii="Times New Roman" w:eastAsia="Calibri" w:hAnsi="Times New Roman" w:cs="Simplified Arabic"/>
          <w:sz w:val="24"/>
          <w:szCs w:val="28"/>
          <w:rtl/>
        </w:rPr>
        <w:t>).</w:t>
      </w:r>
    </w:p>
    <w:p w14:paraId="10ECFE71" w14:textId="3AC17481"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t xml:space="preserve">تعقيب الباحث </w:t>
      </w:r>
      <w:r w:rsidR="00C46274">
        <w:rPr>
          <w:rFonts w:ascii="Times New Roman" w:eastAsia="Calibri" w:hAnsi="Times New Roman" w:cs="Simplified Arabic" w:hint="cs"/>
          <w:b/>
          <w:bCs/>
          <w:sz w:val="24"/>
          <w:szCs w:val="28"/>
          <w:rtl/>
        </w:rPr>
        <w:t>على المبحث الثالث</w:t>
      </w:r>
      <w:r w:rsidRPr="007F4301">
        <w:rPr>
          <w:rFonts w:ascii="Times New Roman" w:eastAsia="Calibri" w:hAnsi="Times New Roman" w:cs="Simplified Arabic"/>
          <w:b/>
          <w:bCs/>
          <w:sz w:val="24"/>
          <w:szCs w:val="28"/>
          <w:rtl/>
        </w:rPr>
        <w:t>:</w:t>
      </w:r>
    </w:p>
    <w:p w14:paraId="6EE9ED52"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sz w:val="24"/>
          <w:szCs w:val="28"/>
          <w:rtl/>
        </w:rPr>
        <w:t xml:space="preserve">يستخلص الباحث من خلال الربط بين المتغيرين أن التحديات الإدارية تمثل "المتغير الحاكم" في معادلة سلاسل الإمداد الطبية. فالتكنولوجيا المتطورة والمستودعات الحديثة </w:t>
      </w:r>
      <w:r w:rsidRPr="007F4301">
        <w:rPr>
          <w:rFonts w:ascii="Times New Roman" w:eastAsia="Calibri" w:hAnsi="Times New Roman" w:cs="Simplified Arabic"/>
          <w:sz w:val="24"/>
          <w:szCs w:val="28"/>
        </w:rPr>
        <w:t>(</w:t>
      </w:r>
      <w:r w:rsidRPr="007F4301">
        <w:rPr>
          <w:rFonts w:ascii="Times New Roman" w:eastAsia="Calibri" w:hAnsi="Times New Roman" w:cs="Simplified Arabic"/>
          <w:sz w:val="24"/>
          <w:szCs w:val="28"/>
          <w:rtl/>
        </w:rPr>
        <w:t xml:space="preserve">ممكنات </w:t>
      </w:r>
      <w:r w:rsidRPr="007F4301">
        <w:rPr>
          <w:rFonts w:ascii="Times New Roman" w:eastAsia="Calibri" w:hAnsi="Times New Roman" w:cs="Simplified Arabic"/>
          <w:sz w:val="24"/>
          <w:szCs w:val="28"/>
        </w:rPr>
        <w:t>GDP)</w:t>
      </w:r>
      <w:r w:rsidRPr="007F4301">
        <w:rPr>
          <w:rFonts w:ascii="Times New Roman" w:eastAsia="Calibri" w:hAnsi="Times New Roman" w:cs="Simplified Arabic"/>
          <w:sz w:val="24"/>
          <w:szCs w:val="28"/>
          <w:rtl/>
        </w:rPr>
        <w:t xml:space="preserve"> تظل مجرد أدوات جامدة لا قيمة لها دون عقل إداري (تخطيط، تنظيم، توجيه، رقابة) يديرها بكفاءة. وتجدر الإشارة هنا، إلى أن البيئة السعودية تفرض تحدياً إضافياً يتمثل في سرعة التغير في التشريعات، مما يتطلب "مرونة إدارية" عالية لمواكبتها. وعليه، فإن نجاح تطبيق ممارسات التوزيع الجيد مرهون بقدرة المنظمات على معالجة الاختلالات في بنيتها الإدارية أولاً، قبل البحث عن الحلول التقنية.</w:t>
      </w:r>
    </w:p>
    <w:p w14:paraId="1F424C71" w14:textId="77777777" w:rsidR="007F4301" w:rsidRPr="007F4301" w:rsidRDefault="007F4301" w:rsidP="007F4301">
      <w:pPr>
        <w:spacing w:after="240" w:line="276" w:lineRule="auto"/>
        <w:ind w:firstLine="510"/>
        <w:jc w:val="both"/>
        <w:rPr>
          <w:rFonts w:ascii="Times New Roman" w:eastAsia="Calibri" w:hAnsi="Times New Roman" w:cs="Simplified Arabic"/>
          <w:sz w:val="24"/>
          <w:szCs w:val="28"/>
        </w:rPr>
      </w:pPr>
      <w:r w:rsidRPr="007F4301">
        <w:rPr>
          <w:rFonts w:ascii="Times New Roman" w:eastAsia="Calibri" w:hAnsi="Times New Roman" w:cs="Simplified Arabic"/>
          <w:b/>
          <w:bCs/>
          <w:sz w:val="24"/>
          <w:szCs w:val="28"/>
          <w:rtl/>
        </w:rPr>
        <w:t>خاتمة الفصل الثاني:</w:t>
      </w:r>
    </w:p>
    <w:p w14:paraId="1D46CE76" w14:textId="3AD3307B" w:rsidR="00586478" w:rsidRPr="00586478" w:rsidRDefault="007F4301" w:rsidP="00C46274">
      <w:pPr>
        <w:spacing w:after="240" w:line="276" w:lineRule="auto"/>
        <w:ind w:firstLine="510"/>
        <w:jc w:val="both"/>
        <w:rPr>
          <w:rFonts w:ascii="Times New Roman" w:eastAsia="Calibri" w:hAnsi="Times New Roman" w:cs="Simplified Arabic"/>
          <w:sz w:val="24"/>
          <w:szCs w:val="28"/>
          <w:rtl/>
        </w:rPr>
      </w:pPr>
      <w:r w:rsidRPr="007F4301">
        <w:rPr>
          <w:rFonts w:ascii="Times New Roman" w:eastAsia="Calibri" w:hAnsi="Times New Roman" w:cs="Simplified Arabic"/>
          <w:sz w:val="24"/>
          <w:szCs w:val="28"/>
          <w:rtl/>
        </w:rPr>
        <w:t xml:space="preserve">تناول هذا الفصل الإطار النظري والدراسات السابقة، حيث استعرض في محوره الأول الدراسات العربية والأجنبية ذات الصلة، وكشف عن فجوة بحثية تمثلت في ندرة الدراسات التي تربط الوظائف الإدارية بشكل شمولي بالامتثال لمعايير </w:t>
      </w:r>
      <w:r w:rsidRPr="007F4301">
        <w:rPr>
          <w:rFonts w:ascii="Times New Roman" w:eastAsia="Calibri" w:hAnsi="Times New Roman" w:cs="Simplified Arabic"/>
          <w:sz w:val="24"/>
          <w:szCs w:val="28"/>
        </w:rPr>
        <w:t>(GDP)</w:t>
      </w:r>
      <w:r w:rsidRPr="007F4301">
        <w:rPr>
          <w:rFonts w:ascii="Times New Roman" w:eastAsia="Calibri" w:hAnsi="Times New Roman" w:cs="Simplified Arabic"/>
          <w:sz w:val="24"/>
          <w:szCs w:val="28"/>
          <w:rtl/>
        </w:rPr>
        <w:t xml:space="preserve"> في المملكة. وفي المحور الثاني، تم تأصيل المتغيرات نظرياً، وتوضيح أن التحديات الإدارية تشكل عائقاً جوهرياً أمام سلامة سلاسل الإمداد. وقد مهد هذا الطرح النظري الطريق للانتقال إلى الفصل الثالث، لتصميم المنهجية والإجراءات الميدانية اللازمة لاختبار فرضيات الدراسة والتحقق من صحة هذا الربط النظري في الواقع العملي.</w:t>
      </w:r>
      <w:bookmarkEnd w:id="5"/>
    </w:p>
    <w:p w14:paraId="0C36F904" w14:textId="1622EF16" w:rsidR="00903814" w:rsidRPr="005D4EFC" w:rsidRDefault="00903814" w:rsidP="00903814">
      <w:pPr>
        <w:spacing w:after="240" w:line="276" w:lineRule="auto"/>
        <w:ind w:firstLine="284"/>
        <w:jc w:val="both"/>
        <w:rPr>
          <w:rFonts w:ascii="Times New Roman" w:eastAsia="Calibri" w:hAnsi="Times New Roman" w:cs="Simplified Arabic"/>
          <w:sz w:val="24"/>
          <w:szCs w:val="28"/>
        </w:rPr>
      </w:pPr>
    </w:p>
    <w:p w14:paraId="67064C6D" w14:textId="0048FCCD" w:rsidR="00217D8D" w:rsidRPr="0085611F" w:rsidRDefault="00217D8D" w:rsidP="0085611F">
      <w:pPr>
        <w:spacing w:after="240" w:line="276" w:lineRule="auto"/>
        <w:jc w:val="both"/>
        <w:rPr>
          <w:rFonts w:ascii="Times New Roman" w:eastAsia="Calibri" w:hAnsi="Times New Roman" w:cs="Simplified Arabic" w:hint="cs"/>
          <w:sz w:val="24"/>
          <w:szCs w:val="28"/>
        </w:rPr>
      </w:pPr>
    </w:p>
    <w:sectPr w:rsidR="00217D8D" w:rsidRPr="0085611F" w:rsidSect="0070468E">
      <w:footerReference w:type="default" r:id="rId11"/>
      <w:footerReference w:type="first" r:id="rId12"/>
      <w:pgSz w:w="11906" w:h="16838"/>
      <w:pgMar w:top="1168" w:right="1729" w:bottom="1412" w:left="1729"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2F178C" w14:textId="77777777" w:rsidR="00147685" w:rsidRDefault="00147685">
      <w:pPr>
        <w:spacing w:after="0" w:line="240" w:lineRule="auto"/>
      </w:pPr>
      <w:r>
        <w:separator/>
      </w:r>
    </w:p>
  </w:endnote>
  <w:endnote w:type="continuationSeparator" w:id="0">
    <w:p w14:paraId="00756E59" w14:textId="77777777" w:rsidR="00147685" w:rsidRDefault="001476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T Bold Heading">
    <w:panose1 w:val="02010400000000000000"/>
    <w:charset w:val="B2"/>
    <w:family w:val="auto"/>
    <w:pitch w:val="variable"/>
    <w:sig w:usb0="00002001" w:usb1="80000000" w:usb2="00000008" w:usb3="00000000" w:csb0="00000040" w:csb1="00000000"/>
  </w:font>
  <w:font w:name="Batang">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91676817"/>
      <w:docPartObj>
        <w:docPartGallery w:val="Page Numbers (Bottom of Page)"/>
        <w:docPartUnique/>
      </w:docPartObj>
    </w:sdtPr>
    <w:sdtContent>
      <w:p w14:paraId="0E5559CC" w14:textId="77777777" w:rsidR="005A3E74" w:rsidRDefault="005A3E74">
        <w:pPr>
          <w:pStyle w:val="a3"/>
          <w:jc w:val="center"/>
        </w:pPr>
        <w:r>
          <w:fldChar w:fldCharType="begin"/>
        </w:r>
        <w:r>
          <w:instrText>PAGE   \* MERGEFORMAT</w:instrText>
        </w:r>
        <w:r>
          <w:fldChar w:fldCharType="separate"/>
        </w:r>
        <w:r>
          <w:rPr>
            <w:rtl/>
            <w:lang w:val="ar-SA"/>
          </w:rPr>
          <w:t>2</w:t>
        </w:r>
        <w:r>
          <w:fldChar w:fldCharType="end"/>
        </w:r>
      </w:p>
    </w:sdtContent>
  </w:sdt>
  <w:p w14:paraId="7B629018" w14:textId="77777777" w:rsidR="005A3E74" w:rsidRPr="00B540F1" w:rsidRDefault="005A3E74" w:rsidP="00B540F1">
    <w:pPr>
      <w:pStyle w:val="a3"/>
      <w:jc w:val="center"/>
      <w:rPr>
        <w:rFonts w:cs="Simplified Arabic"/>
        <w:b/>
        <w:bCs/>
        <w:sz w:val="28"/>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FFFFFF"/>
        <w:rtl/>
      </w:rPr>
      <w:id w:val="-275720299"/>
      <w:docPartObj>
        <w:docPartGallery w:val="Page Numbers (Bottom of Page)"/>
        <w:docPartUnique/>
      </w:docPartObj>
    </w:sdtPr>
    <w:sdtContent>
      <w:p w14:paraId="725DE96E" w14:textId="77777777" w:rsidR="005A3E74" w:rsidRPr="003220EB" w:rsidRDefault="005A3E74">
        <w:pPr>
          <w:pStyle w:val="a3"/>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17D10332" w14:textId="77777777" w:rsidR="005A3E74" w:rsidRDefault="005A3E74" w:rsidP="00B540F1">
    <w:pPr>
      <w:pStyle w:val="a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37130021"/>
      <w:docPartObj>
        <w:docPartGallery w:val="Page Numbers (Bottom of Page)"/>
        <w:docPartUnique/>
      </w:docPartObj>
    </w:sdtPr>
    <w:sdtContent>
      <w:p w14:paraId="1668A3DE" w14:textId="757D9CB3" w:rsidR="004F750A" w:rsidRDefault="004F750A">
        <w:pPr>
          <w:pStyle w:val="a3"/>
          <w:jc w:val="center"/>
        </w:pPr>
        <w:r>
          <w:fldChar w:fldCharType="begin"/>
        </w:r>
        <w:r>
          <w:instrText>PAGE   \* MERGEFORMAT</w:instrText>
        </w:r>
        <w:r>
          <w:fldChar w:fldCharType="separate"/>
        </w:r>
        <w:r>
          <w:rPr>
            <w:rtl/>
            <w:lang w:val="ar-SA"/>
          </w:rPr>
          <w:t>2</w:t>
        </w:r>
        <w:r>
          <w:fldChar w:fldCharType="end"/>
        </w:r>
      </w:p>
    </w:sdtContent>
  </w:sdt>
  <w:p w14:paraId="55F883E2" w14:textId="054A81F7" w:rsidR="0012436D" w:rsidRPr="00B540F1" w:rsidRDefault="0012436D" w:rsidP="00B540F1">
    <w:pPr>
      <w:pStyle w:val="a3"/>
      <w:jc w:val="center"/>
      <w:rPr>
        <w:rFonts w:cs="Simplified Arabic"/>
        <w:b/>
        <w:bCs/>
        <w:sz w:val="28"/>
        <w:szCs w:val="2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FFFFFF"/>
        <w:rtl/>
      </w:rPr>
      <w:id w:val="1456681548"/>
      <w:docPartObj>
        <w:docPartGallery w:val="Page Numbers (Bottom of Page)"/>
        <w:docPartUnique/>
      </w:docPartObj>
    </w:sdtPr>
    <w:sdtContent>
      <w:p w14:paraId="23C6DB95" w14:textId="77777777" w:rsidR="0012436D" w:rsidRPr="003220EB" w:rsidRDefault="0012436D">
        <w:pPr>
          <w:pStyle w:val="a3"/>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1EE2A5E4" w14:textId="77777777" w:rsidR="0012436D" w:rsidRDefault="0012436D" w:rsidP="00B540F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36D2D9" w14:textId="77777777" w:rsidR="00147685" w:rsidRDefault="00147685">
      <w:pPr>
        <w:spacing w:after="0" w:line="240" w:lineRule="auto"/>
      </w:pPr>
      <w:r>
        <w:separator/>
      </w:r>
    </w:p>
  </w:footnote>
  <w:footnote w:type="continuationSeparator" w:id="0">
    <w:p w14:paraId="6C43D2D9" w14:textId="77777777" w:rsidR="00147685" w:rsidRDefault="001476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F45E7"/>
    <w:multiLevelType w:val="multilevel"/>
    <w:tmpl w:val="C1E27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867B0C"/>
    <w:multiLevelType w:val="multilevel"/>
    <w:tmpl w:val="C0842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FC1774"/>
    <w:multiLevelType w:val="multilevel"/>
    <w:tmpl w:val="0192A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0E4E41"/>
    <w:multiLevelType w:val="hybridMultilevel"/>
    <w:tmpl w:val="A8845EFA"/>
    <w:lvl w:ilvl="0" w:tplc="0409000F">
      <w:start w:val="1"/>
      <w:numFmt w:val="decimal"/>
      <w:lvlText w:val="%1."/>
      <w:lvlJc w:val="left"/>
      <w:pPr>
        <w:ind w:left="1117" w:hanging="360"/>
      </w:p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4" w15:restartNumberingAfterBreak="0">
    <w:nsid w:val="083D43C3"/>
    <w:multiLevelType w:val="multilevel"/>
    <w:tmpl w:val="98F67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B417E4"/>
    <w:multiLevelType w:val="multilevel"/>
    <w:tmpl w:val="6A386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BA09BD"/>
    <w:multiLevelType w:val="multilevel"/>
    <w:tmpl w:val="941225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E56384"/>
    <w:multiLevelType w:val="multilevel"/>
    <w:tmpl w:val="1F824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A6D29C3"/>
    <w:multiLevelType w:val="multilevel"/>
    <w:tmpl w:val="C77A2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CD73A9D"/>
    <w:multiLevelType w:val="multilevel"/>
    <w:tmpl w:val="BA1A2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0205394"/>
    <w:multiLevelType w:val="multilevel"/>
    <w:tmpl w:val="4E568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0B21DB8"/>
    <w:multiLevelType w:val="multilevel"/>
    <w:tmpl w:val="B15A5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381A42"/>
    <w:multiLevelType w:val="multilevel"/>
    <w:tmpl w:val="329AA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C3426F"/>
    <w:multiLevelType w:val="multilevel"/>
    <w:tmpl w:val="CA3842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830F24"/>
    <w:multiLevelType w:val="multilevel"/>
    <w:tmpl w:val="0186A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7FD6E9A"/>
    <w:multiLevelType w:val="multilevel"/>
    <w:tmpl w:val="A8D47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A83466F"/>
    <w:multiLevelType w:val="multilevel"/>
    <w:tmpl w:val="811ED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C3A18F3"/>
    <w:multiLevelType w:val="multilevel"/>
    <w:tmpl w:val="A43AA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DA27430"/>
    <w:multiLevelType w:val="multilevel"/>
    <w:tmpl w:val="64904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E597D53"/>
    <w:multiLevelType w:val="multilevel"/>
    <w:tmpl w:val="48BA9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C20B70"/>
    <w:multiLevelType w:val="multilevel"/>
    <w:tmpl w:val="14FC5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3D43B34"/>
    <w:multiLevelType w:val="hybridMultilevel"/>
    <w:tmpl w:val="5E8237F8"/>
    <w:lvl w:ilvl="0" w:tplc="04090005">
      <w:start w:val="1"/>
      <w:numFmt w:val="bullet"/>
      <w:lvlText w:val=""/>
      <w:lvlJc w:val="left"/>
      <w:pPr>
        <w:ind w:left="1781" w:hanging="720"/>
      </w:pPr>
      <w:rPr>
        <w:rFonts w:ascii="Wingdings" w:hAnsi="Wingdings" w:hint="default"/>
        <w:b/>
      </w:rPr>
    </w:lvl>
    <w:lvl w:ilvl="1" w:tplc="FFFFFFFF" w:tentative="1">
      <w:start w:val="1"/>
      <w:numFmt w:val="lowerLetter"/>
      <w:lvlText w:val="%2."/>
      <w:lvlJc w:val="left"/>
      <w:pPr>
        <w:ind w:left="2141" w:hanging="360"/>
      </w:pPr>
    </w:lvl>
    <w:lvl w:ilvl="2" w:tplc="FFFFFFFF" w:tentative="1">
      <w:start w:val="1"/>
      <w:numFmt w:val="lowerRoman"/>
      <w:lvlText w:val="%3."/>
      <w:lvlJc w:val="right"/>
      <w:pPr>
        <w:ind w:left="2861" w:hanging="180"/>
      </w:pPr>
    </w:lvl>
    <w:lvl w:ilvl="3" w:tplc="FFFFFFFF" w:tentative="1">
      <w:start w:val="1"/>
      <w:numFmt w:val="decimal"/>
      <w:lvlText w:val="%4."/>
      <w:lvlJc w:val="left"/>
      <w:pPr>
        <w:ind w:left="3581" w:hanging="360"/>
      </w:pPr>
    </w:lvl>
    <w:lvl w:ilvl="4" w:tplc="FFFFFFFF" w:tentative="1">
      <w:start w:val="1"/>
      <w:numFmt w:val="lowerLetter"/>
      <w:lvlText w:val="%5."/>
      <w:lvlJc w:val="left"/>
      <w:pPr>
        <w:ind w:left="4301" w:hanging="360"/>
      </w:pPr>
    </w:lvl>
    <w:lvl w:ilvl="5" w:tplc="FFFFFFFF" w:tentative="1">
      <w:start w:val="1"/>
      <w:numFmt w:val="lowerRoman"/>
      <w:lvlText w:val="%6."/>
      <w:lvlJc w:val="right"/>
      <w:pPr>
        <w:ind w:left="5021" w:hanging="180"/>
      </w:pPr>
    </w:lvl>
    <w:lvl w:ilvl="6" w:tplc="FFFFFFFF" w:tentative="1">
      <w:start w:val="1"/>
      <w:numFmt w:val="decimal"/>
      <w:lvlText w:val="%7."/>
      <w:lvlJc w:val="left"/>
      <w:pPr>
        <w:ind w:left="5741" w:hanging="360"/>
      </w:pPr>
    </w:lvl>
    <w:lvl w:ilvl="7" w:tplc="FFFFFFFF" w:tentative="1">
      <w:start w:val="1"/>
      <w:numFmt w:val="lowerLetter"/>
      <w:lvlText w:val="%8."/>
      <w:lvlJc w:val="left"/>
      <w:pPr>
        <w:ind w:left="6461" w:hanging="360"/>
      </w:pPr>
    </w:lvl>
    <w:lvl w:ilvl="8" w:tplc="FFFFFFFF" w:tentative="1">
      <w:start w:val="1"/>
      <w:numFmt w:val="lowerRoman"/>
      <w:lvlText w:val="%9."/>
      <w:lvlJc w:val="right"/>
      <w:pPr>
        <w:ind w:left="7181" w:hanging="180"/>
      </w:pPr>
    </w:lvl>
  </w:abstractNum>
  <w:abstractNum w:abstractNumId="22" w15:restartNumberingAfterBreak="0">
    <w:nsid w:val="23E42A56"/>
    <w:multiLevelType w:val="multilevel"/>
    <w:tmpl w:val="B8AAC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4F63C54"/>
    <w:multiLevelType w:val="multilevel"/>
    <w:tmpl w:val="63507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5E73D5C"/>
    <w:multiLevelType w:val="multilevel"/>
    <w:tmpl w:val="64D0E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8256024"/>
    <w:multiLevelType w:val="multilevel"/>
    <w:tmpl w:val="205A8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82D7BD6"/>
    <w:multiLevelType w:val="multilevel"/>
    <w:tmpl w:val="0DEA4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C1B478E"/>
    <w:multiLevelType w:val="multilevel"/>
    <w:tmpl w:val="8AECE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EFA6C1C"/>
    <w:multiLevelType w:val="multilevel"/>
    <w:tmpl w:val="9D2060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36859FA"/>
    <w:multiLevelType w:val="multilevel"/>
    <w:tmpl w:val="38BE5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3D0663E"/>
    <w:multiLevelType w:val="multilevel"/>
    <w:tmpl w:val="67B29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3F16DAE"/>
    <w:multiLevelType w:val="multilevel"/>
    <w:tmpl w:val="E9D8A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48479F5"/>
    <w:multiLevelType w:val="multilevel"/>
    <w:tmpl w:val="EF820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60464DF"/>
    <w:multiLevelType w:val="multilevel"/>
    <w:tmpl w:val="B282B5B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77F462A"/>
    <w:multiLevelType w:val="multilevel"/>
    <w:tmpl w:val="1444C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7C951D0"/>
    <w:multiLevelType w:val="multilevel"/>
    <w:tmpl w:val="E4F64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97B6B34"/>
    <w:multiLevelType w:val="multilevel"/>
    <w:tmpl w:val="DBB68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DCB5EAA"/>
    <w:multiLevelType w:val="multilevel"/>
    <w:tmpl w:val="AFB8C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E1A1C8A"/>
    <w:multiLevelType w:val="multilevel"/>
    <w:tmpl w:val="FFEA4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1424E35"/>
    <w:multiLevelType w:val="hybridMultilevel"/>
    <w:tmpl w:val="09AC6516"/>
    <w:lvl w:ilvl="0" w:tplc="04090005">
      <w:start w:val="1"/>
      <w:numFmt w:val="bullet"/>
      <w:lvlText w:val=""/>
      <w:lvlJc w:val="left"/>
      <w:pPr>
        <w:ind w:left="1797" w:hanging="360"/>
      </w:pPr>
      <w:rPr>
        <w:rFonts w:ascii="Wingdings" w:hAnsi="Wingdings" w:hint="default"/>
      </w:rPr>
    </w:lvl>
    <w:lvl w:ilvl="1" w:tplc="FFFFFFFF" w:tentative="1">
      <w:start w:val="1"/>
      <w:numFmt w:val="bullet"/>
      <w:lvlText w:val="o"/>
      <w:lvlJc w:val="left"/>
      <w:pPr>
        <w:ind w:left="2517" w:hanging="360"/>
      </w:pPr>
      <w:rPr>
        <w:rFonts w:ascii="Courier New" w:hAnsi="Courier New" w:cs="Courier New" w:hint="default"/>
      </w:rPr>
    </w:lvl>
    <w:lvl w:ilvl="2" w:tplc="FFFFFFFF" w:tentative="1">
      <w:start w:val="1"/>
      <w:numFmt w:val="bullet"/>
      <w:lvlText w:val=""/>
      <w:lvlJc w:val="left"/>
      <w:pPr>
        <w:ind w:left="3237" w:hanging="360"/>
      </w:pPr>
      <w:rPr>
        <w:rFonts w:ascii="Wingdings" w:hAnsi="Wingdings" w:hint="default"/>
      </w:rPr>
    </w:lvl>
    <w:lvl w:ilvl="3" w:tplc="FFFFFFFF" w:tentative="1">
      <w:start w:val="1"/>
      <w:numFmt w:val="bullet"/>
      <w:lvlText w:val=""/>
      <w:lvlJc w:val="left"/>
      <w:pPr>
        <w:ind w:left="3957" w:hanging="360"/>
      </w:pPr>
      <w:rPr>
        <w:rFonts w:ascii="Symbol" w:hAnsi="Symbol" w:hint="default"/>
      </w:rPr>
    </w:lvl>
    <w:lvl w:ilvl="4" w:tplc="FFFFFFFF" w:tentative="1">
      <w:start w:val="1"/>
      <w:numFmt w:val="bullet"/>
      <w:lvlText w:val="o"/>
      <w:lvlJc w:val="left"/>
      <w:pPr>
        <w:ind w:left="4677" w:hanging="360"/>
      </w:pPr>
      <w:rPr>
        <w:rFonts w:ascii="Courier New" w:hAnsi="Courier New" w:cs="Courier New" w:hint="default"/>
      </w:rPr>
    </w:lvl>
    <w:lvl w:ilvl="5" w:tplc="FFFFFFFF" w:tentative="1">
      <w:start w:val="1"/>
      <w:numFmt w:val="bullet"/>
      <w:lvlText w:val=""/>
      <w:lvlJc w:val="left"/>
      <w:pPr>
        <w:ind w:left="5397" w:hanging="360"/>
      </w:pPr>
      <w:rPr>
        <w:rFonts w:ascii="Wingdings" w:hAnsi="Wingdings" w:hint="default"/>
      </w:rPr>
    </w:lvl>
    <w:lvl w:ilvl="6" w:tplc="FFFFFFFF" w:tentative="1">
      <w:start w:val="1"/>
      <w:numFmt w:val="bullet"/>
      <w:lvlText w:val=""/>
      <w:lvlJc w:val="left"/>
      <w:pPr>
        <w:ind w:left="6117" w:hanging="360"/>
      </w:pPr>
      <w:rPr>
        <w:rFonts w:ascii="Symbol" w:hAnsi="Symbol" w:hint="default"/>
      </w:rPr>
    </w:lvl>
    <w:lvl w:ilvl="7" w:tplc="FFFFFFFF" w:tentative="1">
      <w:start w:val="1"/>
      <w:numFmt w:val="bullet"/>
      <w:lvlText w:val="o"/>
      <w:lvlJc w:val="left"/>
      <w:pPr>
        <w:ind w:left="6837" w:hanging="360"/>
      </w:pPr>
      <w:rPr>
        <w:rFonts w:ascii="Courier New" w:hAnsi="Courier New" w:cs="Courier New" w:hint="default"/>
      </w:rPr>
    </w:lvl>
    <w:lvl w:ilvl="8" w:tplc="FFFFFFFF" w:tentative="1">
      <w:start w:val="1"/>
      <w:numFmt w:val="bullet"/>
      <w:lvlText w:val=""/>
      <w:lvlJc w:val="left"/>
      <w:pPr>
        <w:ind w:left="7557" w:hanging="360"/>
      </w:pPr>
      <w:rPr>
        <w:rFonts w:ascii="Wingdings" w:hAnsi="Wingdings" w:hint="default"/>
      </w:rPr>
    </w:lvl>
  </w:abstractNum>
  <w:abstractNum w:abstractNumId="40" w15:restartNumberingAfterBreak="0">
    <w:nsid w:val="4155185E"/>
    <w:multiLevelType w:val="multilevel"/>
    <w:tmpl w:val="184A1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2F43D61"/>
    <w:multiLevelType w:val="multilevel"/>
    <w:tmpl w:val="9E0E1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5046576"/>
    <w:multiLevelType w:val="multilevel"/>
    <w:tmpl w:val="77D6D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52440A2"/>
    <w:multiLevelType w:val="multilevel"/>
    <w:tmpl w:val="712892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7275C42"/>
    <w:multiLevelType w:val="multilevel"/>
    <w:tmpl w:val="266C6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79A2C3D"/>
    <w:multiLevelType w:val="multilevel"/>
    <w:tmpl w:val="BE404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8DF64AA"/>
    <w:multiLevelType w:val="multilevel"/>
    <w:tmpl w:val="2A849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9E171ED"/>
    <w:multiLevelType w:val="multilevel"/>
    <w:tmpl w:val="9E0E1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B8909B7"/>
    <w:multiLevelType w:val="multilevel"/>
    <w:tmpl w:val="CFFEB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BEE33DE"/>
    <w:multiLevelType w:val="multilevel"/>
    <w:tmpl w:val="1BB8A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C70384F"/>
    <w:multiLevelType w:val="multilevel"/>
    <w:tmpl w:val="FC7CC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D236FF2"/>
    <w:multiLevelType w:val="multilevel"/>
    <w:tmpl w:val="AAE24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D376F7B"/>
    <w:multiLevelType w:val="multilevel"/>
    <w:tmpl w:val="101EB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DC13B94"/>
    <w:multiLevelType w:val="multilevel"/>
    <w:tmpl w:val="987C4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DE474BE"/>
    <w:multiLevelType w:val="multilevel"/>
    <w:tmpl w:val="B63CD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0E933D5"/>
    <w:multiLevelType w:val="multilevel"/>
    <w:tmpl w:val="5A6E94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1BA21AE"/>
    <w:multiLevelType w:val="multilevel"/>
    <w:tmpl w:val="8356E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3524ACC"/>
    <w:multiLevelType w:val="multilevel"/>
    <w:tmpl w:val="6BF86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3791124"/>
    <w:multiLevelType w:val="hybridMultilevel"/>
    <w:tmpl w:val="6E3EC45C"/>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59" w15:restartNumberingAfterBreak="0">
    <w:nsid w:val="564C7957"/>
    <w:multiLevelType w:val="multilevel"/>
    <w:tmpl w:val="A3741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6E1448A"/>
    <w:multiLevelType w:val="hybridMultilevel"/>
    <w:tmpl w:val="575A7640"/>
    <w:lvl w:ilvl="0" w:tplc="CAA23146">
      <w:start w:val="2"/>
      <w:numFmt w:val="bullet"/>
      <w:lvlText w:val="-"/>
      <w:lvlJc w:val="left"/>
      <w:pPr>
        <w:ind w:left="644" w:hanging="360"/>
      </w:pPr>
      <w:rPr>
        <w:rFonts w:ascii="Simplified Arabic" w:eastAsia="Calibri" w:hAnsi="Simplified Arabic"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1" w15:restartNumberingAfterBreak="0">
    <w:nsid w:val="57E831A3"/>
    <w:multiLevelType w:val="hybridMultilevel"/>
    <w:tmpl w:val="8F4CED36"/>
    <w:lvl w:ilvl="0" w:tplc="04090005">
      <w:start w:val="1"/>
      <w:numFmt w:val="bullet"/>
      <w:lvlText w:val=""/>
      <w:lvlJc w:val="left"/>
      <w:pPr>
        <w:ind w:left="644" w:hanging="360"/>
      </w:pPr>
      <w:rPr>
        <w:rFonts w:ascii="Wingdings" w:hAnsi="Wingdings"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62" w15:restartNumberingAfterBreak="0">
    <w:nsid w:val="5C2D04CA"/>
    <w:multiLevelType w:val="multilevel"/>
    <w:tmpl w:val="DD92B4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5CD807A2"/>
    <w:multiLevelType w:val="multilevel"/>
    <w:tmpl w:val="F4AC0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EFE784C"/>
    <w:multiLevelType w:val="hybridMultilevel"/>
    <w:tmpl w:val="852443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1595C6A"/>
    <w:multiLevelType w:val="multilevel"/>
    <w:tmpl w:val="287A2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17063C7"/>
    <w:multiLevelType w:val="multilevel"/>
    <w:tmpl w:val="303E2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23313B0"/>
    <w:multiLevelType w:val="multilevel"/>
    <w:tmpl w:val="F148F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2634567"/>
    <w:multiLevelType w:val="multilevel"/>
    <w:tmpl w:val="A29E0C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33E02F7"/>
    <w:multiLevelType w:val="multilevel"/>
    <w:tmpl w:val="E0AEF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58E49B5"/>
    <w:multiLevelType w:val="multilevel"/>
    <w:tmpl w:val="EF8443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5FE7CC8"/>
    <w:multiLevelType w:val="multilevel"/>
    <w:tmpl w:val="982A0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773626D"/>
    <w:multiLevelType w:val="multilevel"/>
    <w:tmpl w:val="5E7E9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81D619D"/>
    <w:multiLevelType w:val="multilevel"/>
    <w:tmpl w:val="B282B5B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A3D6A28"/>
    <w:multiLevelType w:val="hybridMultilevel"/>
    <w:tmpl w:val="7F7093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A951B39"/>
    <w:multiLevelType w:val="multilevel"/>
    <w:tmpl w:val="057A5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A9C2D66"/>
    <w:multiLevelType w:val="hybridMultilevel"/>
    <w:tmpl w:val="B288B0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D5774FC"/>
    <w:multiLevelType w:val="multilevel"/>
    <w:tmpl w:val="8384E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DC43BB4"/>
    <w:multiLevelType w:val="multilevel"/>
    <w:tmpl w:val="63CE4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DC853F2"/>
    <w:multiLevelType w:val="multilevel"/>
    <w:tmpl w:val="69020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F2D6CA3"/>
    <w:multiLevelType w:val="multilevel"/>
    <w:tmpl w:val="D0DAE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2020B3C"/>
    <w:multiLevelType w:val="multilevel"/>
    <w:tmpl w:val="54D03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24E784C"/>
    <w:multiLevelType w:val="multilevel"/>
    <w:tmpl w:val="B17A3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3600225"/>
    <w:multiLevelType w:val="multilevel"/>
    <w:tmpl w:val="FE640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3FF5F74"/>
    <w:multiLevelType w:val="multilevel"/>
    <w:tmpl w:val="4F2CC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51B5E89"/>
    <w:multiLevelType w:val="multilevel"/>
    <w:tmpl w:val="FE0A8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6073465"/>
    <w:multiLevelType w:val="multilevel"/>
    <w:tmpl w:val="A0382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67D5BD1"/>
    <w:multiLevelType w:val="multilevel"/>
    <w:tmpl w:val="6060B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776B030E"/>
    <w:multiLevelType w:val="hybridMultilevel"/>
    <w:tmpl w:val="E03E6FDC"/>
    <w:lvl w:ilvl="0" w:tplc="0409000F">
      <w:start w:val="1"/>
      <w:numFmt w:val="decimal"/>
      <w:lvlText w:val="%1."/>
      <w:lvlJc w:val="left"/>
      <w:pPr>
        <w:ind w:left="1117" w:hanging="360"/>
      </w:p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89" w15:restartNumberingAfterBreak="0">
    <w:nsid w:val="7A8769B3"/>
    <w:multiLevelType w:val="multilevel"/>
    <w:tmpl w:val="79DA3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308293">
    <w:abstractNumId w:val="39"/>
  </w:num>
  <w:num w:numId="2" w16cid:durableId="2129541181">
    <w:abstractNumId w:val="21"/>
  </w:num>
  <w:num w:numId="3" w16cid:durableId="1352954896">
    <w:abstractNumId w:val="60"/>
  </w:num>
  <w:num w:numId="4" w16cid:durableId="1463964379">
    <w:abstractNumId w:val="64"/>
  </w:num>
  <w:num w:numId="5" w16cid:durableId="1852523126">
    <w:abstractNumId w:val="76"/>
  </w:num>
  <w:num w:numId="6" w16cid:durableId="650252179">
    <w:abstractNumId w:val="0"/>
  </w:num>
  <w:num w:numId="7" w16cid:durableId="251861357">
    <w:abstractNumId w:val="70"/>
  </w:num>
  <w:num w:numId="8" w16cid:durableId="13195516">
    <w:abstractNumId w:val="10"/>
  </w:num>
  <w:num w:numId="9" w16cid:durableId="504319135">
    <w:abstractNumId w:val="87"/>
  </w:num>
  <w:num w:numId="10" w16cid:durableId="1957517621">
    <w:abstractNumId w:val="24"/>
  </w:num>
  <w:num w:numId="11" w16cid:durableId="1966420689">
    <w:abstractNumId w:val="6"/>
  </w:num>
  <w:num w:numId="12" w16cid:durableId="322703937">
    <w:abstractNumId w:val="34"/>
  </w:num>
  <w:num w:numId="13" w16cid:durableId="2142266153">
    <w:abstractNumId w:val="83"/>
  </w:num>
  <w:num w:numId="14" w16cid:durableId="490563651">
    <w:abstractNumId w:val="65"/>
  </w:num>
  <w:num w:numId="15" w16cid:durableId="1968315205">
    <w:abstractNumId w:val="57"/>
  </w:num>
  <w:num w:numId="16" w16cid:durableId="51000871">
    <w:abstractNumId w:val="72"/>
  </w:num>
  <w:num w:numId="17" w16cid:durableId="159466258">
    <w:abstractNumId w:val="19"/>
  </w:num>
  <w:num w:numId="18" w16cid:durableId="1732188788">
    <w:abstractNumId w:val="37"/>
  </w:num>
  <w:num w:numId="19" w16cid:durableId="2013948564">
    <w:abstractNumId w:val="5"/>
  </w:num>
  <w:num w:numId="20" w16cid:durableId="1056006242">
    <w:abstractNumId w:val="79"/>
  </w:num>
  <w:num w:numId="21" w16cid:durableId="352196021">
    <w:abstractNumId w:val="42"/>
  </w:num>
  <w:num w:numId="22" w16cid:durableId="919950166">
    <w:abstractNumId w:val="44"/>
  </w:num>
  <w:num w:numId="23" w16cid:durableId="967858425">
    <w:abstractNumId w:val="50"/>
  </w:num>
  <w:num w:numId="24" w16cid:durableId="937979412">
    <w:abstractNumId w:val="16"/>
  </w:num>
  <w:num w:numId="25" w16cid:durableId="735781023">
    <w:abstractNumId w:val="56"/>
  </w:num>
  <w:num w:numId="26" w16cid:durableId="2146964918">
    <w:abstractNumId w:val="85"/>
  </w:num>
  <w:num w:numId="27" w16cid:durableId="652686835">
    <w:abstractNumId w:val="25"/>
  </w:num>
  <w:num w:numId="28" w16cid:durableId="1367413872">
    <w:abstractNumId w:val="35"/>
  </w:num>
  <w:num w:numId="29" w16cid:durableId="294338633">
    <w:abstractNumId w:val="71"/>
  </w:num>
  <w:num w:numId="30" w16cid:durableId="1761024022">
    <w:abstractNumId w:val="66"/>
  </w:num>
  <w:num w:numId="31" w16cid:durableId="72941838">
    <w:abstractNumId w:val="55"/>
  </w:num>
  <w:num w:numId="32" w16cid:durableId="125440643">
    <w:abstractNumId w:val="36"/>
  </w:num>
  <w:num w:numId="33" w16cid:durableId="2090497330">
    <w:abstractNumId w:val="13"/>
  </w:num>
  <w:num w:numId="34" w16cid:durableId="1370761751">
    <w:abstractNumId w:val="32"/>
  </w:num>
  <w:num w:numId="35" w16cid:durableId="1568177666">
    <w:abstractNumId w:val="48"/>
  </w:num>
  <w:num w:numId="36" w16cid:durableId="503781703">
    <w:abstractNumId w:val="69"/>
  </w:num>
  <w:num w:numId="37" w16cid:durableId="1317949551">
    <w:abstractNumId w:val="67"/>
  </w:num>
  <w:num w:numId="38" w16cid:durableId="768769799">
    <w:abstractNumId w:val="8"/>
  </w:num>
  <w:num w:numId="39" w16cid:durableId="518660538">
    <w:abstractNumId w:val="7"/>
  </w:num>
  <w:num w:numId="40" w16cid:durableId="874512468">
    <w:abstractNumId w:val="20"/>
  </w:num>
  <w:num w:numId="41" w16cid:durableId="2095855828">
    <w:abstractNumId w:val="53"/>
  </w:num>
  <w:num w:numId="42" w16cid:durableId="1987123039">
    <w:abstractNumId w:val="54"/>
  </w:num>
  <w:num w:numId="43" w16cid:durableId="365717571">
    <w:abstractNumId w:val="38"/>
  </w:num>
  <w:num w:numId="44" w16cid:durableId="467432745">
    <w:abstractNumId w:val="22"/>
  </w:num>
  <w:num w:numId="45" w16cid:durableId="1726488743">
    <w:abstractNumId w:val="2"/>
  </w:num>
  <w:num w:numId="46" w16cid:durableId="1406565027">
    <w:abstractNumId w:val="14"/>
  </w:num>
  <w:num w:numId="47" w16cid:durableId="2023628543">
    <w:abstractNumId w:val="61"/>
  </w:num>
  <w:num w:numId="48" w16cid:durableId="1764840132">
    <w:abstractNumId w:val="74"/>
  </w:num>
  <w:num w:numId="49" w16cid:durableId="1060857970">
    <w:abstractNumId w:val="18"/>
  </w:num>
  <w:num w:numId="50" w16cid:durableId="485785305">
    <w:abstractNumId w:val="80"/>
  </w:num>
  <w:num w:numId="51" w16cid:durableId="2013221374">
    <w:abstractNumId w:val="86"/>
  </w:num>
  <w:num w:numId="52" w16cid:durableId="1617367678">
    <w:abstractNumId w:val="30"/>
  </w:num>
  <w:num w:numId="53" w16cid:durableId="1396318961">
    <w:abstractNumId w:val="26"/>
  </w:num>
  <w:num w:numId="54" w16cid:durableId="756823241">
    <w:abstractNumId w:val="52"/>
  </w:num>
  <w:num w:numId="55" w16cid:durableId="557935938">
    <w:abstractNumId w:val="58"/>
  </w:num>
  <w:num w:numId="56" w16cid:durableId="1430858661">
    <w:abstractNumId w:val="3"/>
  </w:num>
  <w:num w:numId="57" w16cid:durableId="1459494279">
    <w:abstractNumId w:val="88"/>
  </w:num>
  <w:num w:numId="58" w16cid:durableId="113867405">
    <w:abstractNumId w:val="1"/>
  </w:num>
  <w:num w:numId="59" w16cid:durableId="2012372636">
    <w:abstractNumId w:val="47"/>
  </w:num>
  <w:num w:numId="60" w16cid:durableId="14775920">
    <w:abstractNumId w:val="59"/>
  </w:num>
  <w:num w:numId="61" w16cid:durableId="1245408665">
    <w:abstractNumId w:val="82"/>
  </w:num>
  <w:num w:numId="62" w16cid:durableId="1318341545">
    <w:abstractNumId w:val="46"/>
  </w:num>
  <w:num w:numId="63" w16cid:durableId="1763409855">
    <w:abstractNumId w:val="51"/>
  </w:num>
  <w:num w:numId="64" w16cid:durableId="1431312729">
    <w:abstractNumId w:val="23"/>
  </w:num>
  <w:num w:numId="65" w16cid:durableId="1435051534">
    <w:abstractNumId w:val="11"/>
  </w:num>
  <w:num w:numId="66" w16cid:durableId="536626004">
    <w:abstractNumId w:val="15"/>
  </w:num>
  <w:num w:numId="67" w16cid:durableId="37584146">
    <w:abstractNumId w:val="17"/>
  </w:num>
  <w:num w:numId="68" w16cid:durableId="1605117808">
    <w:abstractNumId w:val="77"/>
  </w:num>
  <w:num w:numId="69" w16cid:durableId="399065646">
    <w:abstractNumId w:val="40"/>
  </w:num>
  <w:num w:numId="70" w16cid:durableId="1398893369">
    <w:abstractNumId w:val="31"/>
  </w:num>
  <w:num w:numId="71" w16cid:durableId="38478203">
    <w:abstractNumId w:val="89"/>
  </w:num>
  <w:num w:numId="72" w16cid:durableId="128863227">
    <w:abstractNumId w:val="43"/>
  </w:num>
  <w:num w:numId="73" w16cid:durableId="640116551">
    <w:abstractNumId w:val="68"/>
  </w:num>
  <w:num w:numId="74" w16cid:durableId="916941227">
    <w:abstractNumId w:val="49"/>
  </w:num>
  <w:num w:numId="75" w16cid:durableId="612830897">
    <w:abstractNumId w:val="28"/>
  </w:num>
  <w:num w:numId="76" w16cid:durableId="801925188">
    <w:abstractNumId w:val="9"/>
  </w:num>
  <w:num w:numId="77" w16cid:durableId="1506746665">
    <w:abstractNumId w:val="62"/>
  </w:num>
  <w:num w:numId="78" w16cid:durableId="1753239184">
    <w:abstractNumId w:val="63"/>
  </w:num>
  <w:num w:numId="79" w16cid:durableId="513689223">
    <w:abstractNumId w:val="29"/>
  </w:num>
  <w:num w:numId="80" w16cid:durableId="1168402208">
    <w:abstractNumId w:val="75"/>
  </w:num>
  <w:num w:numId="81" w16cid:durableId="1109859317">
    <w:abstractNumId w:val="4"/>
  </w:num>
  <w:num w:numId="82" w16cid:durableId="255331708">
    <w:abstractNumId w:val="27"/>
  </w:num>
  <w:num w:numId="83" w16cid:durableId="1248804937">
    <w:abstractNumId w:val="84"/>
  </w:num>
  <w:num w:numId="84" w16cid:durableId="15427887">
    <w:abstractNumId w:val="81"/>
  </w:num>
  <w:num w:numId="85" w16cid:durableId="654533752">
    <w:abstractNumId w:val="78"/>
  </w:num>
  <w:num w:numId="86" w16cid:durableId="1576012558">
    <w:abstractNumId w:val="41"/>
  </w:num>
  <w:num w:numId="87" w16cid:durableId="92824520">
    <w:abstractNumId w:val="33"/>
  </w:num>
  <w:num w:numId="88" w16cid:durableId="151681082">
    <w:abstractNumId w:val="45"/>
  </w:num>
  <w:num w:numId="89" w16cid:durableId="231890288">
    <w:abstractNumId w:val="73"/>
  </w:num>
  <w:num w:numId="90" w16cid:durableId="2047217886">
    <w:abstractNumId w:val="12"/>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F98"/>
    <w:rsid w:val="00000633"/>
    <w:rsid w:val="00000CCC"/>
    <w:rsid w:val="00002949"/>
    <w:rsid w:val="00003AD1"/>
    <w:rsid w:val="00005352"/>
    <w:rsid w:val="00005690"/>
    <w:rsid w:val="00005DCA"/>
    <w:rsid w:val="00010C95"/>
    <w:rsid w:val="000116AD"/>
    <w:rsid w:val="000121FC"/>
    <w:rsid w:val="0001250C"/>
    <w:rsid w:val="000129F5"/>
    <w:rsid w:val="0001321A"/>
    <w:rsid w:val="0001493F"/>
    <w:rsid w:val="00017F5B"/>
    <w:rsid w:val="00020E45"/>
    <w:rsid w:val="00020F9B"/>
    <w:rsid w:val="000230E9"/>
    <w:rsid w:val="00024143"/>
    <w:rsid w:val="00024A99"/>
    <w:rsid w:val="000252BC"/>
    <w:rsid w:val="00026FF6"/>
    <w:rsid w:val="000338C0"/>
    <w:rsid w:val="00034FFA"/>
    <w:rsid w:val="0003580C"/>
    <w:rsid w:val="00035816"/>
    <w:rsid w:val="000375CE"/>
    <w:rsid w:val="00037BB6"/>
    <w:rsid w:val="0004434C"/>
    <w:rsid w:val="0004551D"/>
    <w:rsid w:val="00053048"/>
    <w:rsid w:val="000537C9"/>
    <w:rsid w:val="00053B2F"/>
    <w:rsid w:val="000546FC"/>
    <w:rsid w:val="000553B8"/>
    <w:rsid w:val="00057CE5"/>
    <w:rsid w:val="00063007"/>
    <w:rsid w:val="000638E5"/>
    <w:rsid w:val="000652C1"/>
    <w:rsid w:val="000653B0"/>
    <w:rsid w:val="000654D5"/>
    <w:rsid w:val="0006642F"/>
    <w:rsid w:val="00067CC1"/>
    <w:rsid w:val="00070F82"/>
    <w:rsid w:val="00072936"/>
    <w:rsid w:val="00073193"/>
    <w:rsid w:val="00075581"/>
    <w:rsid w:val="00076DF9"/>
    <w:rsid w:val="00081E36"/>
    <w:rsid w:val="0008520B"/>
    <w:rsid w:val="00086B2C"/>
    <w:rsid w:val="00086BD5"/>
    <w:rsid w:val="00093603"/>
    <w:rsid w:val="000944D5"/>
    <w:rsid w:val="0009488D"/>
    <w:rsid w:val="000963A6"/>
    <w:rsid w:val="00096829"/>
    <w:rsid w:val="00096B66"/>
    <w:rsid w:val="00096C04"/>
    <w:rsid w:val="000A0774"/>
    <w:rsid w:val="000A4822"/>
    <w:rsid w:val="000A53CF"/>
    <w:rsid w:val="000A6CF6"/>
    <w:rsid w:val="000B225D"/>
    <w:rsid w:val="000B2775"/>
    <w:rsid w:val="000B2BAE"/>
    <w:rsid w:val="000B31C9"/>
    <w:rsid w:val="000B4F2C"/>
    <w:rsid w:val="000B5034"/>
    <w:rsid w:val="000B5C5D"/>
    <w:rsid w:val="000B7024"/>
    <w:rsid w:val="000B7DE8"/>
    <w:rsid w:val="000C0421"/>
    <w:rsid w:val="000C1AF9"/>
    <w:rsid w:val="000C1C21"/>
    <w:rsid w:val="000C3E7B"/>
    <w:rsid w:val="000D014F"/>
    <w:rsid w:val="000D0D22"/>
    <w:rsid w:val="000D35E6"/>
    <w:rsid w:val="000D3A92"/>
    <w:rsid w:val="000D49DA"/>
    <w:rsid w:val="000D720D"/>
    <w:rsid w:val="000E087F"/>
    <w:rsid w:val="000E08B6"/>
    <w:rsid w:val="000E2630"/>
    <w:rsid w:val="000E3E0E"/>
    <w:rsid w:val="000E4A69"/>
    <w:rsid w:val="000E62E2"/>
    <w:rsid w:val="000E6AE5"/>
    <w:rsid w:val="000E6E89"/>
    <w:rsid w:val="000E7980"/>
    <w:rsid w:val="000F0B5E"/>
    <w:rsid w:val="000F1372"/>
    <w:rsid w:val="000F1863"/>
    <w:rsid w:val="000F2BB8"/>
    <w:rsid w:val="000F3C4E"/>
    <w:rsid w:val="000F5D23"/>
    <w:rsid w:val="000F604D"/>
    <w:rsid w:val="00100C9F"/>
    <w:rsid w:val="00100F50"/>
    <w:rsid w:val="00101C36"/>
    <w:rsid w:val="00103295"/>
    <w:rsid w:val="00103450"/>
    <w:rsid w:val="001066BE"/>
    <w:rsid w:val="0011106A"/>
    <w:rsid w:val="00111107"/>
    <w:rsid w:val="001115A3"/>
    <w:rsid w:val="00112C66"/>
    <w:rsid w:val="00116DF5"/>
    <w:rsid w:val="0011704E"/>
    <w:rsid w:val="00123E36"/>
    <w:rsid w:val="00123EA7"/>
    <w:rsid w:val="0012409A"/>
    <w:rsid w:val="0012436D"/>
    <w:rsid w:val="00126BB1"/>
    <w:rsid w:val="00126F08"/>
    <w:rsid w:val="00127222"/>
    <w:rsid w:val="00127CEF"/>
    <w:rsid w:val="00127E5E"/>
    <w:rsid w:val="001324AA"/>
    <w:rsid w:val="0013349D"/>
    <w:rsid w:val="00133E1D"/>
    <w:rsid w:val="00135AE1"/>
    <w:rsid w:val="001400B6"/>
    <w:rsid w:val="00140CF1"/>
    <w:rsid w:val="00141BBE"/>
    <w:rsid w:val="001469D8"/>
    <w:rsid w:val="0014721E"/>
    <w:rsid w:val="00147685"/>
    <w:rsid w:val="00151119"/>
    <w:rsid w:val="00151467"/>
    <w:rsid w:val="00152750"/>
    <w:rsid w:val="00154EAB"/>
    <w:rsid w:val="001565D3"/>
    <w:rsid w:val="00160229"/>
    <w:rsid w:val="001618FC"/>
    <w:rsid w:val="00162334"/>
    <w:rsid w:val="00162864"/>
    <w:rsid w:val="00163E75"/>
    <w:rsid w:val="001658FF"/>
    <w:rsid w:val="00166B5A"/>
    <w:rsid w:val="00166F81"/>
    <w:rsid w:val="00171A58"/>
    <w:rsid w:val="00175C2A"/>
    <w:rsid w:val="00180284"/>
    <w:rsid w:val="001802D9"/>
    <w:rsid w:val="001803DD"/>
    <w:rsid w:val="00181B65"/>
    <w:rsid w:val="00187DDC"/>
    <w:rsid w:val="00190190"/>
    <w:rsid w:val="001904F7"/>
    <w:rsid w:val="001945DE"/>
    <w:rsid w:val="001952DD"/>
    <w:rsid w:val="00195934"/>
    <w:rsid w:val="00196905"/>
    <w:rsid w:val="001973BE"/>
    <w:rsid w:val="001A0DED"/>
    <w:rsid w:val="001A2008"/>
    <w:rsid w:val="001A35BC"/>
    <w:rsid w:val="001A3ABD"/>
    <w:rsid w:val="001A47BA"/>
    <w:rsid w:val="001A4BDF"/>
    <w:rsid w:val="001A507F"/>
    <w:rsid w:val="001A5E96"/>
    <w:rsid w:val="001B11A2"/>
    <w:rsid w:val="001B15C0"/>
    <w:rsid w:val="001B2944"/>
    <w:rsid w:val="001B3248"/>
    <w:rsid w:val="001B33E9"/>
    <w:rsid w:val="001B4028"/>
    <w:rsid w:val="001C02A6"/>
    <w:rsid w:val="001C0539"/>
    <w:rsid w:val="001C080F"/>
    <w:rsid w:val="001C11C1"/>
    <w:rsid w:val="001C24DE"/>
    <w:rsid w:val="001C28A1"/>
    <w:rsid w:val="001C28D1"/>
    <w:rsid w:val="001C39D6"/>
    <w:rsid w:val="001C427F"/>
    <w:rsid w:val="001C447D"/>
    <w:rsid w:val="001D06B6"/>
    <w:rsid w:val="001D12AE"/>
    <w:rsid w:val="001D1E0F"/>
    <w:rsid w:val="001D3256"/>
    <w:rsid w:val="001D3E7A"/>
    <w:rsid w:val="001D5541"/>
    <w:rsid w:val="001D6979"/>
    <w:rsid w:val="001E087C"/>
    <w:rsid w:val="001E1396"/>
    <w:rsid w:val="001E1B7B"/>
    <w:rsid w:val="001E1E03"/>
    <w:rsid w:val="001E26F7"/>
    <w:rsid w:val="001E291F"/>
    <w:rsid w:val="001E361B"/>
    <w:rsid w:val="001E383D"/>
    <w:rsid w:val="001E4110"/>
    <w:rsid w:val="001E43CF"/>
    <w:rsid w:val="001E471E"/>
    <w:rsid w:val="001E491D"/>
    <w:rsid w:val="001E4C76"/>
    <w:rsid w:val="001F215D"/>
    <w:rsid w:val="001F25D0"/>
    <w:rsid w:val="001F6A0A"/>
    <w:rsid w:val="0020024D"/>
    <w:rsid w:val="00200DCE"/>
    <w:rsid w:val="00201A1E"/>
    <w:rsid w:val="00202EC8"/>
    <w:rsid w:val="00203CFC"/>
    <w:rsid w:val="0020647A"/>
    <w:rsid w:val="002068D8"/>
    <w:rsid w:val="00206BFC"/>
    <w:rsid w:val="00211BDF"/>
    <w:rsid w:val="002122F6"/>
    <w:rsid w:val="00212727"/>
    <w:rsid w:val="00212A1D"/>
    <w:rsid w:val="0021490E"/>
    <w:rsid w:val="002153C2"/>
    <w:rsid w:val="002155F2"/>
    <w:rsid w:val="00215C8C"/>
    <w:rsid w:val="002170BC"/>
    <w:rsid w:val="00217D8D"/>
    <w:rsid w:val="002205C2"/>
    <w:rsid w:val="0022077C"/>
    <w:rsid w:val="002209C5"/>
    <w:rsid w:val="002225DF"/>
    <w:rsid w:val="00222696"/>
    <w:rsid w:val="00225F52"/>
    <w:rsid w:val="00225FA8"/>
    <w:rsid w:val="00226617"/>
    <w:rsid w:val="00226C6F"/>
    <w:rsid w:val="002271DB"/>
    <w:rsid w:val="002318C1"/>
    <w:rsid w:val="00233441"/>
    <w:rsid w:val="002351D1"/>
    <w:rsid w:val="002360B8"/>
    <w:rsid w:val="002365D2"/>
    <w:rsid w:val="00236760"/>
    <w:rsid w:val="00242845"/>
    <w:rsid w:val="0024313C"/>
    <w:rsid w:val="00243B8C"/>
    <w:rsid w:val="002450A3"/>
    <w:rsid w:val="00251235"/>
    <w:rsid w:val="00251EA0"/>
    <w:rsid w:val="00252078"/>
    <w:rsid w:val="0025373F"/>
    <w:rsid w:val="00253EB3"/>
    <w:rsid w:val="00254B54"/>
    <w:rsid w:val="0025667E"/>
    <w:rsid w:val="00256EBB"/>
    <w:rsid w:val="00256F77"/>
    <w:rsid w:val="00260682"/>
    <w:rsid w:val="00261D90"/>
    <w:rsid w:val="002623D4"/>
    <w:rsid w:val="00262AAF"/>
    <w:rsid w:val="0026305E"/>
    <w:rsid w:val="0026390F"/>
    <w:rsid w:val="0026451D"/>
    <w:rsid w:val="00264823"/>
    <w:rsid w:val="00265866"/>
    <w:rsid w:val="002669FA"/>
    <w:rsid w:val="00266D2D"/>
    <w:rsid w:val="002670E6"/>
    <w:rsid w:val="002703D7"/>
    <w:rsid w:val="002704B3"/>
    <w:rsid w:val="00270950"/>
    <w:rsid w:val="00273E08"/>
    <w:rsid w:val="002746D9"/>
    <w:rsid w:val="0027786C"/>
    <w:rsid w:val="002817E1"/>
    <w:rsid w:val="00281F89"/>
    <w:rsid w:val="002827E9"/>
    <w:rsid w:val="00282C19"/>
    <w:rsid w:val="0028432B"/>
    <w:rsid w:val="00292D1A"/>
    <w:rsid w:val="00294BF9"/>
    <w:rsid w:val="00296A44"/>
    <w:rsid w:val="00296AB4"/>
    <w:rsid w:val="002A2507"/>
    <w:rsid w:val="002A2842"/>
    <w:rsid w:val="002A46BB"/>
    <w:rsid w:val="002A5439"/>
    <w:rsid w:val="002A659A"/>
    <w:rsid w:val="002A7B95"/>
    <w:rsid w:val="002B0FE8"/>
    <w:rsid w:val="002B1017"/>
    <w:rsid w:val="002B3323"/>
    <w:rsid w:val="002B382F"/>
    <w:rsid w:val="002B6D3E"/>
    <w:rsid w:val="002B6EA3"/>
    <w:rsid w:val="002B72E7"/>
    <w:rsid w:val="002C06BC"/>
    <w:rsid w:val="002C070C"/>
    <w:rsid w:val="002C10D9"/>
    <w:rsid w:val="002C2414"/>
    <w:rsid w:val="002C26AD"/>
    <w:rsid w:val="002C4D35"/>
    <w:rsid w:val="002C53EB"/>
    <w:rsid w:val="002C5EC9"/>
    <w:rsid w:val="002D3369"/>
    <w:rsid w:val="002D37BA"/>
    <w:rsid w:val="002D46AC"/>
    <w:rsid w:val="002D75E1"/>
    <w:rsid w:val="002E2303"/>
    <w:rsid w:val="002E242D"/>
    <w:rsid w:val="002E349B"/>
    <w:rsid w:val="002E42B6"/>
    <w:rsid w:val="002E6BB3"/>
    <w:rsid w:val="002F02C0"/>
    <w:rsid w:val="002F03BA"/>
    <w:rsid w:val="002F1E95"/>
    <w:rsid w:val="002F27BB"/>
    <w:rsid w:val="002F2AD4"/>
    <w:rsid w:val="002F49ED"/>
    <w:rsid w:val="002F6640"/>
    <w:rsid w:val="002F6877"/>
    <w:rsid w:val="002F6FE7"/>
    <w:rsid w:val="002F73CF"/>
    <w:rsid w:val="003013B7"/>
    <w:rsid w:val="00302A17"/>
    <w:rsid w:val="0030429D"/>
    <w:rsid w:val="00306F63"/>
    <w:rsid w:val="003109BF"/>
    <w:rsid w:val="00311C23"/>
    <w:rsid w:val="00313562"/>
    <w:rsid w:val="00315FED"/>
    <w:rsid w:val="003171B7"/>
    <w:rsid w:val="00321AA1"/>
    <w:rsid w:val="00321E54"/>
    <w:rsid w:val="003220EB"/>
    <w:rsid w:val="003230E3"/>
    <w:rsid w:val="00325659"/>
    <w:rsid w:val="003264C3"/>
    <w:rsid w:val="0033123A"/>
    <w:rsid w:val="00332A14"/>
    <w:rsid w:val="00332C78"/>
    <w:rsid w:val="00332D36"/>
    <w:rsid w:val="00332F12"/>
    <w:rsid w:val="003341D5"/>
    <w:rsid w:val="0033531C"/>
    <w:rsid w:val="00336A30"/>
    <w:rsid w:val="00336FF6"/>
    <w:rsid w:val="00337952"/>
    <w:rsid w:val="003400C4"/>
    <w:rsid w:val="003401BF"/>
    <w:rsid w:val="00340CC7"/>
    <w:rsid w:val="003414A0"/>
    <w:rsid w:val="00342CB5"/>
    <w:rsid w:val="00342F98"/>
    <w:rsid w:val="00343EB0"/>
    <w:rsid w:val="00345904"/>
    <w:rsid w:val="00345CA2"/>
    <w:rsid w:val="00347BEA"/>
    <w:rsid w:val="00351FDB"/>
    <w:rsid w:val="00353CBE"/>
    <w:rsid w:val="003542D6"/>
    <w:rsid w:val="00355A39"/>
    <w:rsid w:val="003565E3"/>
    <w:rsid w:val="003579C5"/>
    <w:rsid w:val="003600B6"/>
    <w:rsid w:val="003626FB"/>
    <w:rsid w:val="003629DB"/>
    <w:rsid w:val="00363474"/>
    <w:rsid w:val="003635E2"/>
    <w:rsid w:val="00363784"/>
    <w:rsid w:val="00363AFE"/>
    <w:rsid w:val="00365E13"/>
    <w:rsid w:val="00367A0F"/>
    <w:rsid w:val="00370964"/>
    <w:rsid w:val="00370DC7"/>
    <w:rsid w:val="00371B9A"/>
    <w:rsid w:val="00373A6F"/>
    <w:rsid w:val="003743A7"/>
    <w:rsid w:val="003747FA"/>
    <w:rsid w:val="00374E1D"/>
    <w:rsid w:val="003756BF"/>
    <w:rsid w:val="003765B5"/>
    <w:rsid w:val="003768F8"/>
    <w:rsid w:val="0038039C"/>
    <w:rsid w:val="00380DAB"/>
    <w:rsid w:val="00380E70"/>
    <w:rsid w:val="00381EB2"/>
    <w:rsid w:val="00381F0C"/>
    <w:rsid w:val="003827CA"/>
    <w:rsid w:val="003842DD"/>
    <w:rsid w:val="00386000"/>
    <w:rsid w:val="003877C7"/>
    <w:rsid w:val="00390000"/>
    <w:rsid w:val="003912FA"/>
    <w:rsid w:val="00392435"/>
    <w:rsid w:val="00392F2E"/>
    <w:rsid w:val="00396A7C"/>
    <w:rsid w:val="003A0B52"/>
    <w:rsid w:val="003A176A"/>
    <w:rsid w:val="003A1BAF"/>
    <w:rsid w:val="003A2FE0"/>
    <w:rsid w:val="003A4772"/>
    <w:rsid w:val="003A6DF1"/>
    <w:rsid w:val="003B022F"/>
    <w:rsid w:val="003B2209"/>
    <w:rsid w:val="003B4252"/>
    <w:rsid w:val="003B61DE"/>
    <w:rsid w:val="003B741C"/>
    <w:rsid w:val="003C1504"/>
    <w:rsid w:val="003C1A37"/>
    <w:rsid w:val="003C1E56"/>
    <w:rsid w:val="003C2997"/>
    <w:rsid w:val="003C2C08"/>
    <w:rsid w:val="003C3873"/>
    <w:rsid w:val="003C5784"/>
    <w:rsid w:val="003C5D34"/>
    <w:rsid w:val="003C7190"/>
    <w:rsid w:val="003D0303"/>
    <w:rsid w:val="003D0AE2"/>
    <w:rsid w:val="003D0E69"/>
    <w:rsid w:val="003D18E5"/>
    <w:rsid w:val="003D2A16"/>
    <w:rsid w:val="003D2D4B"/>
    <w:rsid w:val="003D3782"/>
    <w:rsid w:val="003D39B8"/>
    <w:rsid w:val="003D6BAD"/>
    <w:rsid w:val="003D7240"/>
    <w:rsid w:val="003D73EB"/>
    <w:rsid w:val="003E2F0B"/>
    <w:rsid w:val="003E3407"/>
    <w:rsid w:val="003E3ACD"/>
    <w:rsid w:val="003E4AC9"/>
    <w:rsid w:val="003E543F"/>
    <w:rsid w:val="003E7229"/>
    <w:rsid w:val="003E749D"/>
    <w:rsid w:val="003E7DFC"/>
    <w:rsid w:val="003F01EA"/>
    <w:rsid w:val="003F07DE"/>
    <w:rsid w:val="003F09CC"/>
    <w:rsid w:val="003F11E5"/>
    <w:rsid w:val="003F2D47"/>
    <w:rsid w:val="003F32B9"/>
    <w:rsid w:val="003F36D2"/>
    <w:rsid w:val="003F41A4"/>
    <w:rsid w:val="003F51CC"/>
    <w:rsid w:val="003F5286"/>
    <w:rsid w:val="003F6F63"/>
    <w:rsid w:val="003F6FED"/>
    <w:rsid w:val="0040332C"/>
    <w:rsid w:val="00404805"/>
    <w:rsid w:val="00405795"/>
    <w:rsid w:val="004078ED"/>
    <w:rsid w:val="00407921"/>
    <w:rsid w:val="00410E9F"/>
    <w:rsid w:val="00411C89"/>
    <w:rsid w:val="00413257"/>
    <w:rsid w:val="00413775"/>
    <w:rsid w:val="00416F39"/>
    <w:rsid w:val="004239B0"/>
    <w:rsid w:val="00423DEB"/>
    <w:rsid w:val="00425F65"/>
    <w:rsid w:val="0042640D"/>
    <w:rsid w:val="0042706C"/>
    <w:rsid w:val="0042797E"/>
    <w:rsid w:val="00431344"/>
    <w:rsid w:val="0043189E"/>
    <w:rsid w:val="00433507"/>
    <w:rsid w:val="00437C71"/>
    <w:rsid w:val="00440600"/>
    <w:rsid w:val="004423AC"/>
    <w:rsid w:val="00443B62"/>
    <w:rsid w:val="0044444F"/>
    <w:rsid w:val="0044709E"/>
    <w:rsid w:val="004470C6"/>
    <w:rsid w:val="00447778"/>
    <w:rsid w:val="00450D80"/>
    <w:rsid w:val="00451467"/>
    <w:rsid w:val="0045222D"/>
    <w:rsid w:val="00452536"/>
    <w:rsid w:val="004533B2"/>
    <w:rsid w:val="00455E97"/>
    <w:rsid w:val="004561ED"/>
    <w:rsid w:val="00457CB5"/>
    <w:rsid w:val="00460B54"/>
    <w:rsid w:val="00461337"/>
    <w:rsid w:val="004639C8"/>
    <w:rsid w:val="004645C2"/>
    <w:rsid w:val="004668B3"/>
    <w:rsid w:val="00466DBC"/>
    <w:rsid w:val="004672C7"/>
    <w:rsid w:val="004679AA"/>
    <w:rsid w:val="00471224"/>
    <w:rsid w:val="00472502"/>
    <w:rsid w:val="00472A16"/>
    <w:rsid w:val="004749BF"/>
    <w:rsid w:val="00475C71"/>
    <w:rsid w:val="00475E80"/>
    <w:rsid w:val="004770F8"/>
    <w:rsid w:val="004772CE"/>
    <w:rsid w:val="004772DF"/>
    <w:rsid w:val="00480F5F"/>
    <w:rsid w:val="00482252"/>
    <w:rsid w:val="00482443"/>
    <w:rsid w:val="00483131"/>
    <w:rsid w:val="00483B4A"/>
    <w:rsid w:val="00484C04"/>
    <w:rsid w:val="00484EB8"/>
    <w:rsid w:val="00486C37"/>
    <w:rsid w:val="004904C5"/>
    <w:rsid w:val="004905EB"/>
    <w:rsid w:val="00491F08"/>
    <w:rsid w:val="004929CA"/>
    <w:rsid w:val="0049465E"/>
    <w:rsid w:val="00496422"/>
    <w:rsid w:val="004A03F8"/>
    <w:rsid w:val="004A0923"/>
    <w:rsid w:val="004A0E11"/>
    <w:rsid w:val="004A2084"/>
    <w:rsid w:val="004A2C59"/>
    <w:rsid w:val="004A44AE"/>
    <w:rsid w:val="004A4C02"/>
    <w:rsid w:val="004A4D82"/>
    <w:rsid w:val="004A52D4"/>
    <w:rsid w:val="004A562B"/>
    <w:rsid w:val="004A5FEA"/>
    <w:rsid w:val="004A63F5"/>
    <w:rsid w:val="004A77D6"/>
    <w:rsid w:val="004B312F"/>
    <w:rsid w:val="004B4660"/>
    <w:rsid w:val="004B53F1"/>
    <w:rsid w:val="004B5452"/>
    <w:rsid w:val="004B615B"/>
    <w:rsid w:val="004B690B"/>
    <w:rsid w:val="004B7773"/>
    <w:rsid w:val="004B78C7"/>
    <w:rsid w:val="004C00E6"/>
    <w:rsid w:val="004C0171"/>
    <w:rsid w:val="004C0D80"/>
    <w:rsid w:val="004C2378"/>
    <w:rsid w:val="004C5591"/>
    <w:rsid w:val="004C5E11"/>
    <w:rsid w:val="004C5EA7"/>
    <w:rsid w:val="004C789D"/>
    <w:rsid w:val="004D0327"/>
    <w:rsid w:val="004D04D2"/>
    <w:rsid w:val="004D2676"/>
    <w:rsid w:val="004D285E"/>
    <w:rsid w:val="004D2C83"/>
    <w:rsid w:val="004D2DF5"/>
    <w:rsid w:val="004D2FF0"/>
    <w:rsid w:val="004D3975"/>
    <w:rsid w:val="004D5C9A"/>
    <w:rsid w:val="004D6329"/>
    <w:rsid w:val="004D6870"/>
    <w:rsid w:val="004D79BF"/>
    <w:rsid w:val="004D7FC6"/>
    <w:rsid w:val="004E0960"/>
    <w:rsid w:val="004E2DF4"/>
    <w:rsid w:val="004E4275"/>
    <w:rsid w:val="004E6B83"/>
    <w:rsid w:val="004F04A0"/>
    <w:rsid w:val="004F17D4"/>
    <w:rsid w:val="004F33C3"/>
    <w:rsid w:val="004F40D1"/>
    <w:rsid w:val="004F5C3A"/>
    <w:rsid w:val="004F6CF5"/>
    <w:rsid w:val="004F6DC6"/>
    <w:rsid w:val="004F750A"/>
    <w:rsid w:val="0050005E"/>
    <w:rsid w:val="00500918"/>
    <w:rsid w:val="00501636"/>
    <w:rsid w:val="00501AB1"/>
    <w:rsid w:val="00503192"/>
    <w:rsid w:val="00503628"/>
    <w:rsid w:val="0050484C"/>
    <w:rsid w:val="0050719A"/>
    <w:rsid w:val="00510D78"/>
    <w:rsid w:val="00514A53"/>
    <w:rsid w:val="00514A63"/>
    <w:rsid w:val="00515836"/>
    <w:rsid w:val="005160F8"/>
    <w:rsid w:val="005214A9"/>
    <w:rsid w:val="00521F54"/>
    <w:rsid w:val="00522AEF"/>
    <w:rsid w:val="005247AE"/>
    <w:rsid w:val="00524E28"/>
    <w:rsid w:val="005252F9"/>
    <w:rsid w:val="00525E0E"/>
    <w:rsid w:val="00526FBB"/>
    <w:rsid w:val="005272EC"/>
    <w:rsid w:val="005302FF"/>
    <w:rsid w:val="0053201D"/>
    <w:rsid w:val="00534C06"/>
    <w:rsid w:val="00535141"/>
    <w:rsid w:val="00535370"/>
    <w:rsid w:val="00535FBF"/>
    <w:rsid w:val="0053760F"/>
    <w:rsid w:val="00537BE7"/>
    <w:rsid w:val="00537C24"/>
    <w:rsid w:val="00540728"/>
    <w:rsid w:val="00541DEA"/>
    <w:rsid w:val="00542214"/>
    <w:rsid w:val="005431C8"/>
    <w:rsid w:val="00543707"/>
    <w:rsid w:val="00544E41"/>
    <w:rsid w:val="0054503D"/>
    <w:rsid w:val="00545074"/>
    <w:rsid w:val="0054538D"/>
    <w:rsid w:val="005473E5"/>
    <w:rsid w:val="005508A7"/>
    <w:rsid w:val="00554105"/>
    <w:rsid w:val="0055502B"/>
    <w:rsid w:val="00555F96"/>
    <w:rsid w:val="00557AE8"/>
    <w:rsid w:val="00564FA8"/>
    <w:rsid w:val="005654FA"/>
    <w:rsid w:val="0056630A"/>
    <w:rsid w:val="005666CA"/>
    <w:rsid w:val="00566C24"/>
    <w:rsid w:val="005673EA"/>
    <w:rsid w:val="00570261"/>
    <w:rsid w:val="00570D9C"/>
    <w:rsid w:val="00570DA2"/>
    <w:rsid w:val="00572F06"/>
    <w:rsid w:val="00574861"/>
    <w:rsid w:val="00575A25"/>
    <w:rsid w:val="00576378"/>
    <w:rsid w:val="0057680B"/>
    <w:rsid w:val="0058279C"/>
    <w:rsid w:val="00582EFE"/>
    <w:rsid w:val="00584E72"/>
    <w:rsid w:val="00586478"/>
    <w:rsid w:val="00586BBF"/>
    <w:rsid w:val="005903D6"/>
    <w:rsid w:val="00591E2E"/>
    <w:rsid w:val="00592DC5"/>
    <w:rsid w:val="005947FE"/>
    <w:rsid w:val="00594922"/>
    <w:rsid w:val="00596509"/>
    <w:rsid w:val="00596F43"/>
    <w:rsid w:val="00597698"/>
    <w:rsid w:val="005A0D4E"/>
    <w:rsid w:val="005A1969"/>
    <w:rsid w:val="005A373C"/>
    <w:rsid w:val="005A3E74"/>
    <w:rsid w:val="005A4F9A"/>
    <w:rsid w:val="005A6900"/>
    <w:rsid w:val="005A7A25"/>
    <w:rsid w:val="005B08D0"/>
    <w:rsid w:val="005B3264"/>
    <w:rsid w:val="005B40C0"/>
    <w:rsid w:val="005B4A7D"/>
    <w:rsid w:val="005B5E96"/>
    <w:rsid w:val="005B63D0"/>
    <w:rsid w:val="005B72D6"/>
    <w:rsid w:val="005B76F1"/>
    <w:rsid w:val="005C0E3E"/>
    <w:rsid w:val="005C1DC9"/>
    <w:rsid w:val="005C25FE"/>
    <w:rsid w:val="005C3290"/>
    <w:rsid w:val="005C4E99"/>
    <w:rsid w:val="005C7948"/>
    <w:rsid w:val="005D1CBA"/>
    <w:rsid w:val="005D2F0A"/>
    <w:rsid w:val="005D4317"/>
    <w:rsid w:val="005D4655"/>
    <w:rsid w:val="005D47AF"/>
    <w:rsid w:val="005D4EFC"/>
    <w:rsid w:val="005D587B"/>
    <w:rsid w:val="005D6BEA"/>
    <w:rsid w:val="005D7AF0"/>
    <w:rsid w:val="005E0722"/>
    <w:rsid w:val="005E144A"/>
    <w:rsid w:val="005E16EF"/>
    <w:rsid w:val="005E19D0"/>
    <w:rsid w:val="005E250A"/>
    <w:rsid w:val="005E2ECB"/>
    <w:rsid w:val="005E399A"/>
    <w:rsid w:val="005E3EC5"/>
    <w:rsid w:val="005E6A5D"/>
    <w:rsid w:val="005E6AC9"/>
    <w:rsid w:val="005E7C66"/>
    <w:rsid w:val="005F0041"/>
    <w:rsid w:val="005F00AF"/>
    <w:rsid w:val="005F2A2E"/>
    <w:rsid w:val="005F4DA8"/>
    <w:rsid w:val="00600363"/>
    <w:rsid w:val="006016B0"/>
    <w:rsid w:val="006016B8"/>
    <w:rsid w:val="006016C0"/>
    <w:rsid w:val="00602DC3"/>
    <w:rsid w:val="00603A73"/>
    <w:rsid w:val="00604D75"/>
    <w:rsid w:val="00605EDD"/>
    <w:rsid w:val="00607C3F"/>
    <w:rsid w:val="006134FF"/>
    <w:rsid w:val="00614BFB"/>
    <w:rsid w:val="00617DE6"/>
    <w:rsid w:val="006205BC"/>
    <w:rsid w:val="006214ED"/>
    <w:rsid w:val="00622DB5"/>
    <w:rsid w:val="006309D3"/>
    <w:rsid w:val="00633E04"/>
    <w:rsid w:val="0063402F"/>
    <w:rsid w:val="006360AB"/>
    <w:rsid w:val="00637AE8"/>
    <w:rsid w:val="0064184A"/>
    <w:rsid w:val="00641B03"/>
    <w:rsid w:val="0064217F"/>
    <w:rsid w:val="00644BDF"/>
    <w:rsid w:val="00645988"/>
    <w:rsid w:val="00646B84"/>
    <w:rsid w:val="006470F6"/>
    <w:rsid w:val="00656668"/>
    <w:rsid w:val="00660145"/>
    <w:rsid w:val="00661AA6"/>
    <w:rsid w:val="00663890"/>
    <w:rsid w:val="00663B03"/>
    <w:rsid w:val="0066473E"/>
    <w:rsid w:val="00664CCC"/>
    <w:rsid w:val="00664EB7"/>
    <w:rsid w:val="006667E4"/>
    <w:rsid w:val="00666F3C"/>
    <w:rsid w:val="006677D3"/>
    <w:rsid w:val="00667B51"/>
    <w:rsid w:val="00671A3A"/>
    <w:rsid w:val="0067373F"/>
    <w:rsid w:val="0067475F"/>
    <w:rsid w:val="00676D85"/>
    <w:rsid w:val="00677160"/>
    <w:rsid w:val="00680BAD"/>
    <w:rsid w:val="00680D05"/>
    <w:rsid w:val="00682AA2"/>
    <w:rsid w:val="00682DE6"/>
    <w:rsid w:val="0068356A"/>
    <w:rsid w:val="006840EA"/>
    <w:rsid w:val="006848E6"/>
    <w:rsid w:val="00685FC7"/>
    <w:rsid w:val="00686E67"/>
    <w:rsid w:val="006906E6"/>
    <w:rsid w:val="00690995"/>
    <w:rsid w:val="00690D88"/>
    <w:rsid w:val="006911AE"/>
    <w:rsid w:val="00695568"/>
    <w:rsid w:val="00696142"/>
    <w:rsid w:val="006961C5"/>
    <w:rsid w:val="006976D7"/>
    <w:rsid w:val="006A2D69"/>
    <w:rsid w:val="006A2F76"/>
    <w:rsid w:val="006A3286"/>
    <w:rsid w:val="006A5331"/>
    <w:rsid w:val="006A6F87"/>
    <w:rsid w:val="006A7187"/>
    <w:rsid w:val="006A71A8"/>
    <w:rsid w:val="006A7BDE"/>
    <w:rsid w:val="006B3C99"/>
    <w:rsid w:val="006B45BB"/>
    <w:rsid w:val="006B5633"/>
    <w:rsid w:val="006B5B6E"/>
    <w:rsid w:val="006B5F14"/>
    <w:rsid w:val="006B6832"/>
    <w:rsid w:val="006C04CE"/>
    <w:rsid w:val="006C102D"/>
    <w:rsid w:val="006C2478"/>
    <w:rsid w:val="006C26D2"/>
    <w:rsid w:val="006C2BF2"/>
    <w:rsid w:val="006C3FA1"/>
    <w:rsid w:val="006C5417"/>
    <w:rsid w:val="006C5D57"/>
    <w:rsid w:val="006C71CB"/>
    <w:rsid w:val="006D0B87"/>
    <w:rsid w:val="006D234E"/>
    <w:rsid w:val="006D2438"/>
    <w:rsid w:val="006D2FBB"/>
    <w:rsid w:val="006D3548"/>
    <w:rsid w:val="006D4A74"/>
    <w:rsid w:val="006D4E55"/>
    <w:rsid w:val="006D5A6C"/>
    <w:rsid w:val="006D75C2"/>
    <w:rsid w:val="006E055B"/>
    <w:rsid w:val="006E14EB"/>
    <w:rsid w:val="006E16CF"/>
    <w:rsid w:val="006E2AA9"/>
    <w:rsid w:val="006F10AA"/>
    <w:rsid w:val="006F31E2"/>
    <w:rsid w:val="006F4632"/>
    <w:rsid w:val="006F53CE"/>
    <w:rsid w:val="006F7788"/>
    <w:rsid w:val="007005AB"/>
    <w:rsid w:val="00702C89"/>
    <w:rsid w:val="00702EA4"/>
    <w:rsid w:val="0070468E"/>
    <w:rsid w:val="00705718"/>
    <w:rsid w:val="00705F5A"/>
    <w:rsid w:val="00707236"/>
    <w:rsid w:val="007101E6"/>
    <w:rsid w:val="00711973"/>
    <w:rsid w:val="00711EE7"/>
    <w:rsid w:val="00712C03"/>
    <w:rsid w:val="00714923"/>
    <w:rsid w:val="00716C09"/>
    <w:rsid w:val="0071714A"/>
    <w:rsid w:val="0071771F"/>
    <w:rsid w:val="00720B9E"/>
    <w:rsid w:val="007229C2"/>
    <w:rsid w:val="00724907"/>
    <w:rsid w:val="00730DB6"/>
    <w:rsid w:val="00732BA3"/>
    <w:rsid w:val="00734AF1"/>
    <w:rsid w:val="00735FEB"/>
    <w:rsid w:val="0074000B"/>
    <w:rsid w:val="00740E60"/>
    <w:rsid w:val="007418FE"/>
    <w:rsid w:val="00743DA0"/>
    <w:rsid w:val="00743ED6"/>
    <w:rsid w:val="0074560A"/>
    <w:rsid w:val="00745644"/>
    <w:rsid w:val="00746F8E"/>
    <w:rsid w:val="007473B8"/>
    <w:rsid w:val="0075081F"/>
    <w:rsid w:val="0075151F"/>
    <w:rsid w:val="0075179B"/>
    <w:rsid w:val="00754B80"/>
    <w:rsid w:val="007559A1"/>
    <w:rsid w:val="007600D2"/>
    <w:rsid w:val="00760556"/>
    <w:rsid w:val="007607FA"/>
    <w:rsid w:val="007615AC"/>
    <w:rsid w:val="00761AEF"/>
    <w:rsid w:val="0076473F"/>
    <w:rsid w:val="00764919"/>
    <w:rsid w:val="00765A1A"/>
    <w:rsid w:val="007665B7"/>
    <w:rsid w:val="007707B9"/>
    <w:rsid w:val="00770B66"/>
    <w:rsid w:val="00772B85"/>
    <w:rsid w:val="00772E76"/>
    <w:rsid w:val="00773532"/>
    <w:rsid w:val="00774612"/>
    <w:rsid w:val="00774963"/>
    <w:rsid w:val="00774D1C"/>
    <w:rsid w:val="00776495"/>
    <w:rsid w:val="00776FF8"/>
    <w:rsid w:val="00777986"/>
    <w:rsid w:val="00784277"/>
    <w:rsid w:val="007842ED"/>
    <w:rsid w:val="0078455A"/>
    <w:rsid w:val="00784960"/>
    <w:rsid w:val="00785603"/>
    <w:rsid w:val="007908B7"/>
    <w:rsid w:val="00790C4A"/>
    <w:rsid w:val="007917E1"/>
    <w:rsid w:val="00792D85"/>
    <w:rsid w:val="00792DA4"/>
    <w:rsid w:val="00795E4F"/>
    <w:rsid w:val="00796312"/>
    <w:rsid w:val="00797FC3"/>
    <w:rsid w:val="007A1EC6"/>
    <w:rsid w:val="007A22C5"/>
    <w:rsid w:val="007A4A50"/>
    <w:rsid w:val="007A4AF1"/>
    <w:rsid w:val="007A4FAA"/>
    <w:rsid w:val="007A630F"/>
    <w:rsid w:val="007A7E16"/>
    <w:rsid w:val="007B4F81"/>
    <w:rsid w:val="007C00A1"/>
    <w:rsid w:val="007C0CD5"/>
    <w:rsid w:val="007C1262"/>
    <w:rsid w:val="007C2DA2"/>
    <w:rsid w:val="007D26A5"/>
    <w:rsid w:val="007D4CE2"/>
    <w:rsid w:val="007D56E7"/>
    <w:rsid w:val="007E044A"/>
    <w:rsid w:val="007E0AD4"/>
    <w:rsid w:val="007E11C3"/>
    <w:rsid w:val="007E2D44"/>
    <w:rsid w:val="007E4D10"/>
    <w:rsid w:val="007E695D"/>
    <w:rsid w:val="007E6D9D"/>
    <w:rsid w:val="007E7A55"/>
    <w:rsid w:val="007F0E69"/>
    <w:rsid w:val="007F2BB9"/>
    <w:rsid w:val="007F2E0C"/>
    <w:rsid w:val="007F2F87"/>
    <w:rsid w:val="007F3548"/>
    <w:rsid w:val="007F4301"/>
    <w:rsid w:val="007F4628"/>
    <w:rsid w:val="007F570B"/>
    <w:rsid w:val="007F66A5"/>
    <w:rsid w:val="007F7E3C"/>
    <w:rsid w:val="007F7E90"/>
    <w:rsid w:val="00802A05"/>
    <w:rsid w:val="00802C50"/>
    <w:rsid w:val="008032F4"/>
    <w:rsid w:val="00804041"/>
    <w:rsid w:val="00806A29"/>
    <w:rsid w:val="00806B43"/>
    <w:rsid w:val="00810EC9"/>
    <w:rsid w:val="00815899"/>
    <w:rsid w:val="00815AD6"/>
    <w:rsid w:val="00820731"/>
    <w:rsid w:val="0082095C"/>
    <w:rsid w:val="00820A2B"/>
    <w:rsid w:val="0082209E"/>
    <w:rsid w:val="0082243C"/>
    <w:rsid w:val="00825888"/>
    <w:rsid w:val="00826D1A"/>
    <w:rsid w:val="00830E88"/>
    <w:rsid w:val="00834AB8"/>
    <w:rsid w:val="00834EAB"/>
    <w:rsid w:val="00835DAF"/>
    <w:rsid w:val="00836A0E"/>
    <w:rsid w:val="00837395"/>
    <w:rsid w:val="00837C1D"/>
    <w:rsid w:val="008403AF"/>
    <w:rsid w:val="0084046D"/>
    <w:rsid w:val="00841EFD"/>
    <w:rsid w:val="0084319C"/>
    <w:rsid w:val="008438B2"/>
    <w:rsid w:val="00844D97"/>
    <w:rsid w:val="00845059"/>
    <w:rsid w:val="008452FD"/>
    <w:rsid w:val="008453C2"/>
    <w:rsid w:val="0084573F"/>
    <w:rsid w:val="00847214"/>
    <w:rsid w:val="00847ABC"/>
    <w:rsid w:val="00850C61"/>
    <w:rsid w:val="00851C4C"/>
    <w:rsid w:val="00851CEF"/>
    <w:rsid w:val="00851EA1"/>
    <w:rsid w:val="008533AE"/>
    <w:rsid w:val="00854050"/>
    <w:rsid w:val="0085611F"/>
    <w:rsid w:val="00862498"/>
    <w:rsid w:val="008629AC"/>
    <w:rsid w:val="00863F98"/>
    <w:rsid w:val="008659B7"/>
    <w:rsid w:val="00865C9C"/>
    <w:rsid w:val="008678B8"/>
    <w:rsid w:val="0087051C"/>
    <w:rsid w:val="008706B2"/>
    <w:rsid w:val="008713CA"/>
    <w:rsid w:val="00871F87"/>
    <w:rsid w:val="00872C00"/>
    <w:rsid w:val="00872DD8"/>
    <w:rsid w:val="008737EF"/>
    <w:rsid w:val="00876991"/>
    <w:rsid w:val="0087769D"/>
    <w:rsid w:val="0087775E"/>
    <w:rsid w:val="0088127E"/>
    <w:rsid w:val="0088181F"/>
    <w:rsid w:val="008834BA"/>
    <w:rsid w:val="00884F98"/>
    <w:rsid w:val="00886AD7"/>
    <w:rsid w:val="00887366"/>
    <w:rsid w:val="008906C1"/>
    <w:rsid w:val="008910F2"/>
    <w:rsid w:val="0089255B"/>
    <w:rsid w:val="0089365F"/>
    <w:rsid w:val="0089491C"/>
    <w:rsid w:val="00895905"/>
    <w:rsid w:val="00896E1A"/>
    <w:rsid w:val="008975BC"/>
    <w:rsid w:val="00897A8D"/>
    <w:rsid w:val="008A02CD"/>
    <w:rsid w:val="008A12B9"/>
    <w:rsid w:val="008A48F1"/>
    <w:rsid w:val="008A4DF5"/>
    <w:rsid w:val="008A5473"/>
    <w:rsid w:val="008A5528"/>
    <w:rsid w:val="008A67BB"/>
    <w:rsid w:val="008A686D"/>
    <w:rsid w:val="008A6F08"/>
    <w:rsid w:val="008B0D19"/>
    <w:rsid w:val="008B2080"/>
    <w:rsid w:val="008B22EC"/>
    <w:rsid w:val="008B3415"/>
    <w:rsid w:val="008B381D"/>
    <w:rsid w:val="008B389E"/>
    <w:rsid w:val="008B4029"/>
    <w:rsid w:val="008B440C"/>
    <w:rsid w:val="008B4E59"/>
    <w:rsid w:val="008B64DD"/>
    <w:rsid w:val="008B68F0"/>
    <w:rsid w:val="008B69DF"/>
    <w:rsid w:val="008C0CFE"/>
    <w:rsid w:val="008C0FA8"/>
    <w:rsid w:val="008C21F5"/>
    <w:rsid w:val="008C25B1"/>
    <w:rsid w:val="008C2618"/>
    <w:rsid w:val="008C2C6C"/>
    <w:rsid w:val="008C3360"/>
    <w:rsid w:val="008C3D8D"/>
    <w:rsid w:val="008C51CE"/>
    <w:rsid w:val="008C520F"/>
    <w:rsid w:val="008C5991"/>
    <w:rsid w:val="008C5D0B"/>
    <w:rsid w:val="008C633F"/>
    <w:rsid w:val="008C63AC"/>
    <w:rsid w:val="008D0737"/>
    <w:rsid w:val="008D0920"/>
    <w:rsid w:val="008D0E1B"/>
    <w:rsid w:val="008D1C04"/>
    <w:rsid w:val="008D34AE"/>
    <w:rsid w:val="008D3C9C"/>
    <w:rsid w:val="008D5D1E"/>
    <w:rsid w:val="008D691B"/>
    <w:rsid w:val="008D7B8D"/>
    <w:rsid w:val="008D7BFD"/>
    <w:rsid w:val="008D7DB8"/>
    <w:rsid w:val="008E24CC"/>
    <w:rsid w:val="008E325E"/>
    <w:rsid w:val="008E4DCD"/>
    <w:rsid w:val="008E4E12"/>
    <w:rsid w:val="008E5EEB"/>
    <w:rsid w:val="008E68DF"/>
    <w:rsid w:val="008E6DB6"/>
    <w:rsid w:val="008E727C"/>
    <w:rsid w:val="008E7574"/>
    <w:rsid w:val="008F013C"/>
    <w:rsid w:val="008F0419"/>
    <w:rsid w:val="008F0A2C"/>
    <w:rsid w:val="008F1110"/>
    <w:rsid w:val="008F2D1D"/>
    <w:rsid w:val="008F3A59"/>
    <w:rsid w:val="008F3B72"/>
    <w:rsid w:val="008F44EF"/>
    <w:rsid w:val="008F515B"/>
    <w:rsid w:val="008F51E6"/>
    <w:rsid w:val="008F53FB"/>
    <w:rsid w:val="008F7A53"/>
    <w:rsid w:val="0090038E"/>
    <w:rsid w:val="00900CD0"/>
    <w:rsid w:val="0090159E"/>
    <w:rsid w:val="009030D4"/>
    <w:rsid w:val="0090366F"/>
    <w:rsid w:val="00903814"/>
    <w:rsid w:val="00903A1F"/>
    <w:rsid w:val="00907CAC"/>
    <w:rsid w:val="009100D3"/>
    <w:rsid w:val="00910B2B"/>
    <w:rsid w:val="00911E47"/>
    <w:rsid w:val="0091462F"/>
    <w:rsid w:val="00914997"/>
    <w:rsid w:val="0091521D"/>
    <w:rsid w:val="00916860"/>
    <w:rsid w:val="0091790F"/>
    <w:rsid w:val="00917F6A"/>
    <w:rsid w:val="009206D4"/>
    <w:rsid w:val="00920EE9"/>
    <w:rsid w:val="00921726"/>
    <w:rsid w:val="00922586"/>
    <w:rsid w:val="0092371C"/>
    <w:rsid w:val="009269E6"/>
    <w:rsid w:val="00927167"/>
    <w:rsid w:val="00927FCE"/>
    <w:rsid w:val="00931E26"/>
    <w:rsid w:val="00935373"/>
    <w:rsid w:val="0093669A"/>
    <w:rsid w:val="00937903"/>
    <w:rsid w:val="00940355"/>
    <w:rsid w:val="0094065F"/>
    <w:rsid w:val="009423E0"/>
    <w:rsid w:val="00943A9C"/>
    <w:rsid w:val="00943E28"/>
    <w:rsid w:val="009458F6"/>
    <w:rsid w:val="00946B22"/>
    <w:rsid w:val="00951427"/>
    <w:rsid w:val="009526CF"/>
    <w:rsid w:val="0095379A"/>
    <w:rsid w:val="0095383E"/>
    <w:rsid w:val="009566F8"/>
    <w:rsid w:val="0095696D"/>
    <w:rsid w:val="00956E1A"/>
    <w:rsid w:val="00957CAE"/>
    <w:rsid w:val="00957D49"/>
    <w:rsid w:val="009609FC"/>
    <w:rsid w:val="00962B3F"/>
    <w:rsid w:val="0096525B"/>
    <w:rsid w:val="00965995"/>
    <w:rsid w:val="00965D90"/>
    <w:rsid w:val="00972154"/>
    <w:rsid w:val="00972E2B"/>
    <w:rsid w:val="0097325D"/>
    <w:rsid w:val="009736DA"/>
    <w:rsid w:val="00973A49"/>
    <w:rsid w:val="00977124"/>
    <w:rsid w:val="00981648"/>
    <w:rsid w:val="009829AB"/>
    <w:rsid w:val="00982F89"/>
    <w:rsid w:val="00983425"/>
    <w:rsid w:val="00987600"/>
    <w:rsid w:val="0099068C"/>
    <w:rsid w:val="0099492C"/>
    <w:rsid w:val="009953F1"/>
    <w:rsid w:val="00997E7E"/>
    <w:rsid w:val="009A10B6"/>
    <w:rsid w:val="009A1E73"/>
    <w:rsid w:val="009A2A97"/>
    <w:rsid w:val="009A3BA4"/>
    <w:rsid w:val="009A75BF"/>
    <w:rsid w:val="009B04C0"/>
    <w:rsid w:val="009B1448"/>
    <w:rsid w:val="009B1A29"/>
    <w:rsid w:val="009B2133"/>
    <w:rsid w:val="009B57E9"/>
    <w:rsid w:val="009B5A6A"/>
    <w:rsid w:val="009B5EE1"/>
    <w:rsid w:val="009B66E2"/>
    <w:rsid w:val="009B6CC7"/>
    <w:rsid w:val="009B6EFA"/>
    <w:rsid w:val="009C15FA"/>
    <w:rsid w:val="009C1BE8"/>
    <w:rsid w:val="009C375E"/>
    <w:rsid w:val="009C3BC7"/>
    <w:rsid w:val="009C3E5A"/>
    <w:rsid w:val="009C618A"/>
    <w:rsid w:val="009D1F98"/>
    <w:rsid w:val="009D430C"/>
    <w:rsid w:val="009D4856"/>
    <w:rsid w:val="009D54EC"/>
    <w:rsid w:val="009D6B0F"/>
    <w:rsid w:val="009E12C2"/>
    <w:rsid w:val="009E1EBC"/>
    <w:rsid w:val="009E2CFF"/>
    <w:rsid w:val="009E30F1"/>
    <w:rsid w:val="009E3527"/>
    <w:rsid w:val="009E355E"/>
    <w:rsid w:val="009E52B1"/>
    <w:rsid w:val="009E5675"/>
    <w:rsid w:val="009E591B"/>
    <w:rsid w:val="009E5E7C"/>
    <w:rsid w:val="009E70FC"/>
    <w:rsid w:val="009E7E92"/>
    <w:rsid w:val="009E7F95"/>
    <w:rsid w:val="009F0A2B"/>
    <w:rsid w:val="009F1837"/>
    <w:rsid w:val="009F1B32"/>
    <w:rsid w:val="009F30F4"/>
    <w:rsid w:val="009F3635"/>
    <w:rsid w:val="009F402D"/>
    <w:rsid w:val="009F69F2"/>
    <w:rsid w:val="00A03BD4"/>
    <w:rsid w:val="00A057F4"/>
    <w:rsid w:val="00A06BCD"/>
    <w:rsid w:val="00A10CC1"/>
    <w:rsid w:val="00A143DB"/>
    <w:rsid w:val="00A16290"/>
    <w:rsid w:val="00A176CB"/>
    <w:rsid w:val="00A23298"/>
    <w:rsid w:val="00A23AFA"/>
    <w:rsid w:val="00A23B61"/>
    <w:rsid w:val="00A23D2D"/>
    <w:rsid w:val="00A25E94"/>
    <w:rsid w:val="00A30646"/>
    <w:rsid w:val="00A337E0"/>
    <w:rsid w:val="00A34594"/>
    <w:rsid w:val="00A36CC6"/>
    <w:rsid w:val="00A3706A"/>
    <w:rsid w:val="00A371E2"/>
    <w:rsid w:val="00A37484"/>
    <w:rsid w:val="00A37687"/>
    <w:rsid w:val="00A378D8"/>
    <w:rsid w:val="00A411BD"/>
    <w:rsid w:val="00A41BBF"/>
    <w:rsid w:val="00A42428"/>
    <w:rsid w:val="00A42D7B"/>
    <w:rsid w:val="00A4524B"/>
    <w:rsid w:val="00A45B6F"/>
    <w:rsid w:val="00A46709"/>
    <w:rsid w:val="00A47E4D"/>
    <w:rsid w:val="00A51424"/>
    <w:rsid w:val="00A51C78"/>
    <w:rsid w:val="00A52DC5"/>
    <w:rsid w:val="00A55283"/>
    <w:rsid w:val="00A55913"/>
    <w:rsid w:val="00A5599B"/>
    <w:rsid w:val="00A56FA8"/>
    <w:rsid w:val="00A5762A"/>
    <w:rsid w:val="00A61731"/>
    <w:rsid w:val="00A62F5B"/>
    <w:rsid w:val="00A6422E"/>
    <w:rsid w:val="00A65F3B"/>
    <w:rsid w:val="00A664A4"/>
    <w:rsid w:val="00A66DCC"/>
    <w:rsid w:val="00A6738B"/>
    <w:rsid w:val="00A70CF2"/>
    <w:rsid w:val="00A71412"/>
    <w:rsid w:val="00A72E0A"/>
    <w:rsid w:val="00A7358B"/>
    <w:rsid w:val="00A75539"/>
    <w:rsid w:val="00A76A8B"/>
    <w:rsid w:val="00A76AB9"/>
    <w:rsid w:val="00A81C48"/>
    <w:rsid w:val="00A84212"/>
    <w:rsid w:val="00A84A8D"/>
    <w:rsid w:val="00A8606A"/>
    <w:rsid w:val="00A86B70"/>
    <w:rsid w:val="00A8799B"/>
    <w:rsid w:val="00A87D0B"/>
    <w:rsid w:val="00A95307"/>
    <w:rsid w:val="00A96561"/>
    <w:rsid w:val="00A97788"/>
    <w:rsid w:val="00AA09DA"/>
    <w:rsid w:val="00AA1538"/>
    <w:rsid w:val="00AA163F"/>
    <w:rsid w:val="00AA1A56"/>
    <w:rsid w:val="00AA2B43"/>
    <w:rsid w:val="00AA325F"/>
    <w:rsid w:val="00AA5B31"/>
    <w:rsid w:val="00AA6FC8"/>
    <w:rsid w:val="00AB295D"/>
    <w:rsid w:val="00AB308A"/>
    <w:rsid w:val="00AB4AA1"/>
    <w:rsid w:val="00AB4CC6"/>
    <w:rsid w:val="00AB6443"/>
    <w:rsid w:val="00AC1EC1"/>
    <w:rsid w:val="00AC28A3"/>
    <w:rsid w:val="00AC2936"/>
    <w:rsid w:val="00AC556C"/>
    <w:rsid w:val="00AC7BC1"/>
    <w:rsid w:val="00AD27E1"/>
    <w:rsid w:val="00AD786B"/>
    <w:rsid w:val="00AD7C15"/>
    <w:rsid w:val="00AD7EE5"/>
    <w:rsid w:val="00AE0761"/>
    <w:rsid w:val="00AE0F1D"/>
    <w:rsid w:val="00AE1044"/>
    <w:rsid w:val="00AE1279"/>
    <w:rsid w:val="00AE15FB"/>
    <w:rsid w:val="00AE31DF"/>
    <w:rsid w:val="00AE363C"/>
    <w:rsid w:val="00AE4E10"/>
    <w:rsid w:val="00AE688F"/>
    <w:rsid w:val="00AF01C5"/>
    <w:rsid w:val="00AF128A"/>
    <w:rsid w:val="00AF2872"/>
    <w:rsid w:val="00AF68B8"/>
    <w:rsid w:val="00AF71D4"/>
    <w:rsid w:val="00AF7362"/>
    <w:rsid w:val="00AF7CFE"/>
    <w:rsid w:val="00AF7FFC"/>
    <w:rsid w:val="00B00320"/>
    <w:rsid w:val="00B01720"/>
    <w:rsid w:val="00B036EB"/>
    <w:rsid w:val="00B04F33"/>
    <w:rsid w:val="00B05B37"/>
    <w:rsid w:val="00B05D7C"/>
    <w:rsid w:val="00B060A4"/>
    <w:rsid w:val="00B063A1"/>
    <w:rsid w:val="00B067D9"/>
    <w:rsid w:val="00B073AD"/>
    <w:rsid w:val="00B07B22"/>
    <w:rsid w:val="00B07DBC"/>
    <w:rsid w:val="00B11124"/>
    <w:rsid w:val="00B11712"/>
    <w:rsid w:val="00B13676"/>
    <w:rsid w:val="00B14C30"/>
    <w:rsid w:val="00B174B6"/>
    <w:rsid w:val="00B2018C"/>
    <w:rsid w:val="00B209F2"/>
    <w:rsid w:val="00B20C52"/>
    <w:rsid w:val="00B2231E"/>
    <w:rsid w:val="00B2290B"/>
    <w:rsid w:val="00B22DB9"/>
    <w:rsid w:val="00B2403A"/>
    <w:rsid w:val="00B25DB0"/>
    <w:rsid w:val="00B27B0C"/>
    <w:rsid w:val="00B31721"/>
    <w:rsid w:val="00B31DCB"/>
    <w:rsid w:val="00B33ACC"/>
    <w:rsid w:val="00B33DFD"/>
    <w:rsid w:val="00B346D0"/>
    <w:rsid w:val="00B362A4"/>
    <w:rsid w:val="00B36C0E"/>
    <w:rsid w:val="00B37D3A"/>
    <w:rsid w:val="00B405B1"/>
    <w:rsid w:val="00B41517"/>
    <w:rsid w:val="00B41698"/>
    <w:rsid w:val="00B41D6E"/>
    <w:rsid w:val="00B41D7F"/>
    <w:rsid w:val="00B42AC8"/>
    <w:rsid w:val="00B42B14"/>
    <w:rsid w:val="00B4346D"/>
    <w:rsid w:val="00B438DD"/>
    <w:rsid w:val="00B43A1D"/>
    <w:rsid w:val="00B43E60"/>
    <w:rsid w:val="00B44BB9"/>
    <w:rsid w:val="00B459A1"/>
    <w:rsid w:val="00B46A42"/>
    <w:rsid w:val="00B50039"/>
    <w:rsid w:val="00B50FB4"/>
    <w:rsid w:val="00B512D7"/>
    <w:rsid w:val="00B540F1"/>
    <w:rsid w:val="00B54BA7"/>
    <w:rsid w:val="00B56210"/>
    <w:rsid w:val="00B569B8"/>
    <w:rsid w:val="00B6181B"/>
    <w:rsid w:val="00B61C39"/>
    <w:rsid w:val="00B62C3C"/>
    <w:rsid w:val="00B6313F"/>
    <w:rsid w:val="00B634D3"/>
    <w:rsid w:val="00B6486B"/>
    <w:rsid w:val="00B64E3E"/>
    <w:rsid w:val="00B65644"/>
    <w:rsid w:val="00B667E3"/>
    <w:rsid w:val="00B73997"/>
    <w:rsid w:val="00B7507D"/>
    <w:rsid w:val="00B81CF8"/>
    <w:rsid w:val="00B81DEA"/>
    <w:rsid w:val="00B82DBB"/>
    <w:rsid w:val="00B830E2"/>
    <w:rsid w:val="00B834AB"/>
    <w:rsid w:val="00B844BC"/>
    <w:rsid w:val="00B85207"/>
    <w:rsid w:val="00B85445"/>
    <w:rsid w:val="00B863E4"/>
    <w:rsid w:val="00B87F05"/>
    <w:rsid w:val="00B91446"/>
    <w:rsid w:val="00B93DCA"/>
    <w:rsid w:val="00B943B3"/>
    <w:rsid w:val="00B94ADC"/>
    <w:rsid w:val="00B95148"/>
    <w:rsid w:val="00B955ED"/>
    <w:rsid w:val="00B97E17"/>
    <w:rsid w:val="00BA06AA"/>
    <w:rsid w:val="00BA0D74"/>
    <w:rsid w:val="00BA12DE"/>
    <w:rsid w:val="00BA1609"/>
    <w:rsid w:val="00BA215A"/>
    <w:rsid w:val="00BA26EC"/>
    <w:rsid w:val="00BA44A3"/>
    <w:rsid w:val="00BA4671"/>
    <w:rsid w:val="00BA6D38"/>
    <w:rsid w:val="00BB05EA"/>
    <w:rsid w:val="00BB0988"/>
    <w:rsid w:val="00BB19F9"/>
    <w:rsid w:val="00BB3A1B"/>
    <w:rsid w:val="00BB4F91"/>
    <w:rsid w:val="00BB6FE5"/>
    <w:rsid w:val="00BB74CD"/>
    <w:rsid w:val="00BB7E31"/>
    <w:rsid w:val="00BB7F89"/>
    <w:rsid w:val="00BC0D9A"/>
    <w:rsid w:val="00BC192D"/>
    <w:rsid w:val="00BC4934"/>
    <w:rsid w:val="00BC72F3"/>
    <w:rsid w:val="00BC7BA6"/>
    <w:rsid w:val="00BC7BB8"/>
    <w:rsid w:val="00BD21F9"/>
    <w:rsid w:val="00BD2EA4"/>
    <w:rsid w:val="00BD3F9F"/>
    <w:rsid w:val="00BD5605"/>
    <w:rsid w:val="00BD5F13"/>
    <w:rsid w:val="00BD65F4"/>
    <w:rsid w:val="00BD7B23"/>
    <w:rsid w:val="00BE0134"/>
    <w:rsid w:val="00BE1E8D"/>
    <w:rsid w:val="00BE1F56"/>
    <w:rsid w:val="00BE5A7D"/>
    <w:rsid w:val="00BE6150"/>
    <w:rsid w:val="00BE7779"/>
    <w:rsid w:val="00BF0E86"/>
    <w:rsid w:val="00BF1F98"/>
    <w:rsid w:val="00BF2B71"/>
    <w:rsid w:val="00BF478F"/>
    <w:rsid w:val="00BF49CF"/>
    <w:rsid w:val="00BF5F35"/>
    <w:rsid w:val="00BF7955"/>
    <w:rsid w:val="00C0017E"/>
    <w:rsid w:val="00C030A3"/>
    <w:rsid w:val="00C03402"/>
    <w:rsid w:val="00C0534E"/>
    <w:rsid w:val="00C05EFE"/>
    <w:rsid w:val="00C0662E"/>
    <w:rsid w:val="00C06778"/>
    <w:rsid w:val="00C06CCC"/>
    <w:rsid w:val="00C125A5"/>
    <w:rsid w:val="00C13D86"/>
    <w:rsid w:val="00C14B0E"/>
    <w:rsid w:val="00C15635"/>
    <w:rsid w:val="00C15F01"/>
    <w:rsid w:val="00C1777C"/>
    <w:rsid w:val="00C2299D"/>
    <w:rsid w:val="00C23A4F"/>
    <w:rsid w:val="00C24FD4"/>
    <w:rsid w:val="00C26187"/>
    <w:rsid w:val="00C30269"/>
    <w:rsid w:val="00C3319C"/>
    <w:rsid w:val="00C34549"/>
    <w:rsid w:val="00C35211"/>
    <w:rsid w:val="00C3549A"/>
    <w:rsid w:val="00C36548"/>
    <w:rsid w:val="00C365F6"/>
    <w:rsid w:val="00C3759B"/>
    <w:rsid w:val="00C37DEC"/>
    <w:rsid w:val="00C4055E"/>
    <w:rsid w:val="00C40D9D"/>
    <w:rsid w:val="00C41A9E"/>
    <w:rsid w:val="00C42E85"/>
    <w:rsid w:val="00C44B81"/>
    <w:rsid w:val="00C44F7F"/>
    <w:rsid w:val="00C459F0"/>
    <w:rsid w:val="00C46274"/>
    <w:rsid w:val="00C507E2"/>
    <w:rsid w:val="00C5332F"/>
    <w:rsid w:val="00C541EC"/>
    <w:rsid w:val="00C611CC"/>
    <w:rsid w:val="00C6163B"/>
    <w:rsid w:val="00C61F22"/>
    <w:rsid w:val="00C62860"/>
    <w:rsid w:val="00C62E41"/>
    <w:rsid w:val="00C65C9A"/>
    <w:rsid w:val="00C6620E"/>
    <w:rsid w:val="00C66883"/>
    <w:rsid w:val="00C66C62"/>
    <w:rsid w:val="00C70515"/>
    <w:rsid w:val="00C72BA7"/>
    <w:rsid w:val="00C73292"/>
    <w:rsid w:val="00C75B7B"/>
    <w:rsid w:val="00C77470"/>
    <w:rsid w:val="00C8148C"/>
    <w:rsid w:val="00C81F9E"/>
    <w:rsid w:val="00C82C44"/>
    <w:rsid w:val="00C83254"/>
    <w:rsid w:val="00C83DC2"/>
    <w:rsid w:val="00C84DB0"/>
    <w:rsid w:val="00C870DB"/>
    <w:rsid w:val="00C8767D"/>
    <w:rsid w:val="00C87F7D"/>
    <w:rsid w:val="00C9190F"/>
    <w:rsid w:val="00C93589"/>
    <w:rsid w:val="00CA01E8"/>
    <w:rsid w:val="00CA0C59"/>
    <w:rsid w:val="00CA1334"/>
    <w:rsid w:val="00CA288D"/>
    <w:rsid w:val="00CA2F36"/>
    <w:rsid w:val="00CA347D"/>
    <w:rsid w:val="00CA5160"/>
    <w:rsid w:val="00CA5C67"/>
    <w:rsid w:val="00CA68E9"/>
    <w:rsid w:val="00CA69DB"/>
    <w:rsid w:val="00CA70E8"/>
    <w:rsid w:val="00CB44ED"/>
    <w:rsid w:val="00CB4F64"/>
    <w:rsid w:val="00CB72D1"/>
    <w:rsid w:val="00CC0BB7"/>
    <w:rsid w:val="00CC14A8"/>
    <w:rsid w:val="00CC2468"/>
    <w:rsid w:val="00CC33B6"/>
    <w:rsid w:val="00CC390B"/>
    <w:rsid w:val="00CC3C4B"/>
    <w:rsid w:val="00CC41A4"/>
    <w:rsid w:val="00CC4C02"/>
    <w:rsid w:val="00CC6A35"/>
    <w:rsid w:val="00CD09C4"/>
    <w:rsid w:val="00CD09D6"/>
    <w:rsid w:val="00CD5D74"/>
    <w:rsid w:val="00CD5FAD"/>
    <w:rsid w:val="00CD7337"/>
    <w:rsid w:val="00CE34F1"/>
    <w:rsid w:val="00CE3CA7"/>
    <w:rsid w:val="00CE4B4E"/>
    <w:rsid w:val="00CE530D"/>
    <w:rsid w:val="00CF2A48"/>
    <w:rsid w:val="00CF30DF"/>
    <w:rsid w:val="00CF3503"/>
    <w:rsid w:val="00CF383F"/>
    <w:rsid w:val="00CF3F93"/>
    <w:rsid w:val="00CF4DAB"/>
    <w:rsid w:val="00CF5C0F"/>
    <w:rsid w:val="00CF6B25"/>
    <w:rsid w:val="00CF6D1F"/>
    <w:rsid w:val="00CF75F7"/>
    <w:rsid w:val="00CF7DC9"/>
    <w:rsid w:val="00D00524"/>
    <w:rsid w:val="00D0187B"/>
    <w:rsid w:val="00D018D5"/>
    <w:rsid w:val="00D03012"/>
    <w:rsid w:val="00D0331E"/>
    <w:rsid w:val="00D03E56"/>
    <w:rsid w:val="00D04953"/>
    <w:rsid w:val="00D04E59"/>
    <w:rsid w:val="00D05335"/>
    <w:rsid w:val="00D06AC6"/>
    <w:rsid w:val="00D078C6"/>
    <w:rsid w:val="00D107C4"/>
    <w:rsid w:val="00D13931"/>
    <w:rsid w:val="00D14D06"/>
    <w:rsid w:val="00D15EC5"/>
    <w:rsid w:val="00D15EEC"/>
    <w:rsid w:val="00D17193"/>
    <w:rsid w:val="00D172FB"/>
    <w:rsid w:val="00D21368"/>
    <w:rsid w:val="00D24546"/>
    <w:rsid w:val="00D27E4D"/>
    <w:rsid w:val="00D30AAA"/>
    <w:rsid w:val="00D30BA9"/>
    <w:rsid w:val="00D316C6"/>
    <w:rsid w:val="00D31A3C"/>
    <w:rsid w:val="00D320F5"/>
    <w:rsid w:val="00D328F0"/>
    <w:rsid w:val="00D33DD4"/>
    <w:rsid w:val="00D36AD9"/>
    <w:rsid w:val="00D40ED8"/>
    <w:rsid w:val="00D413E8"/>
    <w:rsid w:val="00D4235C"/>
    <w:rsid w:val="00D42525"/>
    <w:rsid w:val="00D4305E"/>
    <w:rsid w:val="00D44463"/>
    <w:rsid w:val="00D444DB"/>
    <w:rsid w:val="00D44F4F"/>
    <w:rsid w:val="00D463C5"/>
    <w:rsid w:val="00D51066"/>
    <w:rsid w:val="00D532A8"/>
    <w:rsid w:val="00D542EB"/>
    <w:rsid w:val="00D549AB"/>
    <w:rsid w:val="00D60457"/>
    <w:rsid w:val="00D61558"/>
    <w:rsid w:val="00D622B0"/>
    <w:rsid w:val="00D62979"/>
    <w:rsid w:val="00D6394B"/>
    <w:rsid w:val="00D63A5F"/>
    <w:rsid w:val="00D65131"/>
    <w:rsid w:val="00D65FBC"/>
    <w:rsid w:val="00D66908"/>
    <w:rsid w:val="00D677CD"/>
    <w:rsid w:val="00D6785F"/>
    <w:rsid w:val="00D70007"/>
    <w:rsid w:val="00D704F1"/>
    <w:rsid w:val="00D70BFE"/>
    <w:rsid w:val="00D70E3B"/>
    <w:rsid w:val="00D7157F"/>
    <w:rsid w:val="00D71749"/>
    <w:rsid w:val="00D71853"/>
    <w:rsid w:val="00D735C7"/>
    <w:rsid w:val="00D7381B"/>
    <w:rsid w:val="00D74578"/>
    <w:rsid w:val="00D7489A"/>
    <w:rsid w:val="00D75A26"/>
    <w:rsid w:val="00D7601E"/>
    <w:rsid w:val="00D77ADA"/>
    <w:rsid w:val="00D77D87"/>
    <w:rsid w:val="00D81F19"/>
    <w:rsid w:val="00D81F20"/>
    <w:rsid w:val="00D82B8D"/>
    <w:rsid w:val="00D87D6F"/>
    <w:rsid w:val="00D90938"/>
    <w:rsid w:val="00D90C81"/>
    <w:rsid w:val="00D96360"/>
    <w:rsid w:val="00D97785"/>
    <w:rsid w:val="00DA30D4"/>
    <w:rsid w:val="00DA4699"/>
    <w:rsid w:val="00DA52DA"/>
    <w:rsid w:val="00DA75E8"/>
    <w:rsid w:val="00DB03DD"/>
    <w:rsid w:val="00DB0543"/>
    <w:rsid w:val="00DB13EB"/>
    <w:rsid w:val="00DB1EE0"/>
    <w:rsid w:val="00DB222C"/>
    <w:rsid w:val="00DB34C3"/>
    <w:rsid w:val="00DB3B30"/>
    <w:rsid w:val="00DB4045"/>
    <w:rsid w:val="00DB49D8"/>
    <w:rsid w:val="00DC11EC"/>
    <w:rsid w:val="00DC21EA"/>
    <w:rsid w:val="00DC2762"/>
    <w:rsid w:val="00DC4050"/>
    <w:rsid w:val="00DC4773"/>
    <w:rsid w:val="00DC62E9"/>
    <w:rsid w:val="00DD2E16"/>
    <w:rsid w:val="00DD3191"/>
    <w:rsid w:val="00DD3A78"/>
    <w:rsid w:val="00DD3F5F"/>
    <w:rsid w:val="00DD46A1"/>
    <w:rsid w:val="00DD5971"/>
    <w:rsid w:val="00DD6052"/>
    <w:rsid w:val="00DD7740"/>
    <w:rsid w:val="00DD779A"/>
    <w:rsid w:val="00DE12B4"/>
    <w:rsid w:val="00DE23C8"/>
    <w:rsid w:val="00DE3AC6"/>
    <w:rsid w:val="00DE414B"/>
    <w:rsid w:val="00DE534A"/>
    <w:rsid w:val="00DE5C87"/>
    <w:rsid w:val="00DE6093"/>
    <w:rsid w:val="00DE7C50"/>
    <w:rsid w:val="00DE7FA3"/>
    <w:rsid w:val="00DF0C70"/>
    <w:rsid w:val="00DF357C"/>
    <w:rsid w:val="00DF47FC"/>
    <w:rsid w:val="00E0008F"/>
    <w:rsid w:val="00E003FE"/>
    <w:rsid w:val="00E01C75"/>
    <w:rsid w:val="00E025B2"/>
    <w:rsid w:val="00E025DD"/>
    <w:rsid w:val="00E03314"/>
    <w:rsid w:val="00E050DA"/>
    <w:rsid w:val="00E06563"/>
    <w:rsid w:val="00E07C4D"/>
    <w:rsid w:val="00E1000E"/>
    <w:rsid w:val="00E10EC3"/>
    <w:rsid w:val="00E110FF"/>
    <w:rsid w:val="00E12364"/>
    <w:rsid w:val="00E13C70"/>
    <w:rsid w:val="00E14CEA"/>
    <w:rsid w:val="00E16C53"/>
    <w:rsid w:val="00E1725D"/>
    <w:rsid w:val="00E23EEA"/>
    <w:rsid w:val="00E255E5"/>
    <w:rsid w:val="00E32B67"/>
    <w:rsid w:val="00E32F69"/>
    <w:rsid w:val="00E351BA"/>
    <w:rsid w:val="00E35F04"/>
    <w:rsid w:val="00E41246"/>
    <w:rsid w:val="00E41426"/>
    <w:rsid w:val="00E41B21"/>
    <w:rsid w:val="00E435AC"/>
    <w:rsid w:val="00E43D44"/>
    <w:rsid w:val="00E45C6A"/>
    <w:rsid w:val="00E45E7D"/>
    <w:rsid w:val="00E46241"/>
    <w:rsid w:val="00E4734C"/>
    <w:rsid w:val="00E47A4E"/>
    <w:rsid w:val="00E47F3F"/>
    <w:rsid w:val="00E514D1"/>
    <w:rsid w:val="00E51817"/>
    <w:rsid w:val="00E51E64"/>
    <w:rsid w:val="00E52F4A"/>
    <w:rsid w:val="00E5413B"/>
    <w:rsid w:val="00E55037"/>
    <w:rsid w:val="00E555F5"/>
    <w:rsid w:val="00E57DF8"/>
    <w:rsid w:val="00E6186A"/>
    <w:rsid w:val="00E627B3"/>
    <w:rsid w:val="00E62D02"/>
    <w:rsid w:val="00E64642"/>
    <w:rsid w:val="00E660C8"/>
    <w:rsid w:val="00E66F6C"/>
    <w:rsid w:val="00E670BB"/>
    <w:rsid w:val="00E67AD5"/>
    <w:rsid w:val="00E72EA8"/>
    <w:rsid w:val="00E73166"/>
    <w:rsid w:val="00E73297"/>
    <w:rsid w:val="00E73D87"/>
    <w:rsid w:val="00E73FA1"/>
    <w:rsid w:val="00E740FF"/>
    <w:rsid w:val="00E74854"/>
    <w:rsid w:val="00E75108"/>
    <w:rsid w:val="00E77469"/>
    <w:rsid w:val="00E81C7E"/>
    <w:rsid w:val="00E86498"/>
    <w:rsid w:val="00E90D2C"/>
    <w:rsid w:val="00E91CD8"/>
    <w:rsid w:val="00E92C79"/>
    <w:rsid w:val="00E93589"/>
    <w:rsid w:val="00E95041"/>
    <w:rsid w:val="00E9581E"/>
    <w:rsid w:val="00E96463"/>
    <w:rsid w:val="00EA0CA3"/>
    <w:rsid w:val="00EA2906"/>
    <w:rsid w:val="00EA2ADB"/>
    <w:rsid w:val="00EA32A8"/>
    <w:rsid w:val="00EA3F1A"/>
    <w:rsid w:val="00EA69E2"/>
    <w:rsid w:val="00EB0449"/>
    <w:rsid w:val="00EB1941"/>
    <w:rsid w:val="00EB38DE"/>
    <w:rsid w:val="00EB4514"/>
    <w:rsid w:val="00EB4828"/>
    <w:rsid w:val="00EB49B9"/>
    <w:rsid w:val="00EB5915"/>
    <w:rsid w:val="00EB658E"/>
    <w:rsid w:val="00EB6EF6"/>
    <w:rsid w:val="00EB7062"/>
    <w:rsid w:val="00EB7372"/>
    <w:rsid w:val="00EC00C3"/>
    <w:rsid w:val="00EC0515"/>
    <w:rsid w:val="00EC0F22"/>
    <w:rsid w:val="00EC141C"/>
    <w:rsid w:val="00EC4514"/>
    <w:rsid w:val="00EC5BBE"/>
    <w:rsid w:val="00EC6F46"/>
    <w:rsid w:val="00EC789A"/>
    <w:rsid w:val="00ED001F"/>
    <w:rsid w:val="00ED0068"/>
    <w:rsid w:val="00ED14BD"/>
    <w:rsid w:val="00ED25C5"/>
    <w:rsid w:val="00ED25CA"/>
    <w:rsid w:val="00ED342F"/>
    <w:rsid w:val="00ED3E30"/>
    <w:rsid w:val="00ED489F"/>
    <w:rsid w:val="00ED5D11"/>
    <w:rsid w:val="00ED73A8"/>
    <w:rsid w:val="00ED7E77"/>
    <w:rsid w:val="00EE0CB0"/>
    <w:rsid w:val="00EE1728"/>
    <w:rsid w:val="00EE1CCA"/>
    <w:rsid w:val="00EE2E91"/>
    <w:rsid w:val="00EF018C"/>
    <w:rsid w:val="00EF2481"/>
    <w:rsid w:val="00EF2F92"/>
    <w:rsid w:val="00EF38CB"/>
    <w:rsid w:val="00EF3F14"/>
    <w:rsid w:val="00EF4259"/>
    <w:rsid w:val="00EF7C48"/>
    <w:rsid w:val="00F04AEB"/>
    <w:rsid w:val="00F06286"/>
    <w:rsid w:val="00F0668E"/>
    <w:rsid w:val="00F0796A"/>
    <w:rsid w:val="00F1083A"/>
    <w:rsid w:val="00F12794"/>
    <w:rsid w:val="00F12C05"/>
    <w:rsid w:val="00F13036"/>
    <w:rsid w:val="00F1462E"/>
    <w:rsid w:val="00F14D79"/>
    <w:rsid w:val="00F154E5"/>
    <w:rsid w:val="00F15AE7"/>
    <w:rsid w:val="00F23766"/>
    <w:rsid w:val="00F257E4"/>
    <w:rsid w:val="00F257FC"/>
    <w:rsid w:val="00F25885"/>
    <w:rsid w:val="00F26D6D"/>
    <w:rsid w:val="00F308C8"/>
    <w:rsid w:val="00F315B4"/>
    <w:rsid w:val="00F33278"/>
    <w:rsid w:val="00F4099B"/>
    <w:rsid w:val="00F424F0"/>
    <w:rsid w:val="00F4712C"/>
    <w:rsid w:val="00F50F11"/>
    <w:rsid w:val="00F52C7B"/>
    <w:rsid w:val="00F532B8"/>
    <w:rsid w:val="00F53F91"/>
    <w:rsid w:val="00F54262"/>
    <w:rsid w:val="00F61DBD"/>
    <w:rsid w:val="00F620E3"/>
    <w:rsid w:val="00F66CBF"/>
    <w:rsid w:val="00F6741B"/>
    <w:rsid w:val="00F707DD"/>
    <w:rsid w:val="00F71DA7"/>
    <w:rsid w:val="00F7278F"/>
    <w:rsid w:val="00F733C5"/>
    <w:rsid w:val="00F73750"/>
    <w:rsid w:val="00F73999"/>
    <w:rsid w:val="00F74351"/>
    <w:rsid w:val="00F74FA7"/>
    <w:rsid w:val="00F76B59"/>
    <w:rsid w:val="00F80669"/>
    <w:rsid w:val="00F8074A"/>
    <w:rsid w:val="00F821B0"/>
    <w:rsid w:val="00F826B4"/>
    <w:rsid w:val="00F84863"/>
    <w:rsid w:val="00F8513E"/>
    <w:rsid w:val="00F855F3"/>
    <w:rsid w:val="00F86289"/>
    <w:rsid w:val="00F87E48"/>
    <w:rsid w:val="00F91B81"/>
    <w:rsid w:val="00F926E8"/>
    <w:rsid w:val="00F92E25"/>
    <w:rsid w:val="00F93019"/>
    <w:rsid w:val="00F93337"/>
    <w:rsid w:val="00F95488"/>
    <w:rsid w:val="00FA03FA"/>
    <w:rsid w:val="00FA05EA"/>
    <w:rsid w:val="00FA08AC"/>
    <w:rsid w:val="00FA0E74"/>
    <w:rsid w:val="00FA25EF"/>
    <w:rsid w:val="00FA4E58"/>
    <w:rsid w:val="00FA63E8"/>
    <w:rsid w:val="00FA6502"/>
    <w:rsid w:val="00FA6EDF"/>
    <w:rsid w:val="00FA7FF6"/>
    <w:rsid w:val="00FB1D25"/>
    <w:rsid w:val="00FB20FA"/>
    <w:rsid w:val="00FB2DDA"/>
    <w:rsid w:val="00FB422C"/>
    <w:rsid w:val="00FB4EB9"/>
    <w:rsid w:val="00FC08AC"/>
    <w:rsid w:val="00FC1E0A"/>
    <w:rsid w:val="00FC2697"/>
    <w:rsid w:val="00FC3FE1"/>
    <w:rsid w:val="00FC58A1"/>
    <w:rsid w:val="00FC5BFE"/>
    <w:rsid w:val="00FC627D"/>
    <w:rsid w:val="00FC738A"/>
    <w:rsid w:val="00FC7D9A"/>
    <w:rsid w:val="00FC7DE6"/>
    <w:rsid w:val="00FD3C7A"/>
    <w:rsid w:val="00FD40C2"/>
    <w:rsid w:val="00FD5DDA"/>
    <w:rsid w:val="00FD5F67"/>
    <w:rsid w:val="00FD6FA8"/>
    <w:rsid w:val="00FD7665"/>
    <w:rsid w:val="00FE0F17"/>
    <w:rsid w:val="00FE2A94"/>
    <w:rsid w:val="00FE5420"/>
    <w:rsid w:val="00FE593B"/>
    <w:rsid w:val="00FE5B4E"/>
    <w:rsid w:val="00FF2536"/>
    <w:rsid w:val="00FF2FFC"/>
    <w:rsid w:val="00FF48C3"/>
    <w:rsid w:val="00FF5058"/>
    <w:rsid w:val="00FF61B3"/>
    <w:rsid w:val="00FF78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4FF6D"/>
  <w15:docId w15:val="{70129F7C-4199-48E3-969C-77CD7FC21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4E5"/>
    <w:pPr>
      <w:bidi/>
      <w:spacing w:after="160" w:line="259" w:lineRule="auto"/>
    </w:pPr>
  </w:style>
  <w:style w:type="paragraph" w:styleId="1">
    <w:name w:val="heading 1"/>
    <w:basedOn w:val="a"/>
    <w:next w:val="a"/>
    <w:link w:val="1Char"/>
    <w:uiPriority w:val="9"/>
    <w:qFormat/>
    <w:rsid w:val="004F6DC6"/>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4F6DC6"/>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4F6DC6"/>
    <w:pPr>
      <w:keepNext/>
      <w:keepLines/>
      <w:spacing w:before="200" w:after="0" w:line="276" w:lineRule="auto"/>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4F6DC6"/>
    <w:pPr>
      <w:keepNext/>
      <w:keepLines/>
      <w:spacing w:before="200" w:after="0" w:line="276" w:lineRule="auto"/>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3220EB"/>
    <w:pPr>
      <w:keepNext/>
      <w:keepLines/>
      <w:spacing w:before="40" w:after="0"/>
      <w:outlineLvl w:val="4"/>
    </w:pPr>
    <w:rPr>
      <w:rFonts w:ascii="Calibri" w:eastAsia="Times New Roman" w:hAnsi="Calibri" w:cs="Times New Roman"/>
      <w:color w:val="2E74B5"/>
    </w:rPr>
  </w:style>
  <w:style w:type="paragraph" w:styleId="6">
    <w:name w:val="heading 6"/>
    <w:basedOn w:val="a"/>
    <w:next w:val="a"/>
    <w:link w:val="6Char"/>
    <w:uiPriority w:val="9"/>
    <w:semiHidden/>
    <w:unhideWhenUsed/>
    <w:qFormat/>
    <w:rsid w:val="003220EB"/>
    <w:pPr>
      <w:keepNext/>
      <w:keepLines/>
      <w:spacing w:before="40" w:after="0"/>
      <w:outlineLvl w:val="5"/>
    </w:pPr>
    <w:rPr>
      <w:rFonts w:ascii="Calibri" w:eastAsia="Times New Roman" w:hAnsi="Calibri" w:cs="Times New Roman"/>
      <w:i/>
      <w:iCs/>
      <w:color w:val="595959"/>
    </w:rPr>
  </w:style>
  <w:style w:type="paragraph" w:styleId="7">
    <w:name w:val="heading 7"/>
    <w:basedOn w:val="a"/>
    <w:next w:val="a"/>
    <w:link w:val="7Char"/>
    <w:uiPriority w:val="9"/>
    <w:semiHidden/>
    <w:unhideWhenUsed/>
    <w:qFormat/>
    <w:rsid w:val="003220EB"/>
    <w:pPr>
      <w:keepNext/>
      <w:keepLines/>
      <w:spacing w:before="40" w:after="0"/>
      <w:outlineLvl w:val="6"/>
    </w:pPr>
    <w:rPr>
      <w:rFonts w:ascii="Calibri" w:eastAsia="Times New Roman" w:hAnsi="Calibri" w:cs="Times New Roman"/>
      <w:color w:val="595959"/>
    </w:rPr>
  </w:style>
  <w:style w:type="paragraph" w:styleId="8">
    <w:name w:val="heading 8"/>
    <w:basedOn w:val="a"/>
    <w:next w:val="a"/>
    <w:link w:val="8Char"/>
    <w:uiPriority w:val="9"/>
    <w:semiHidden/>
    <w:unhideWhenUsed/>
    <w:qFormat/>
    <w:rsid w:val="003220EB"/>
    <w:pPr>
      <w:keepNext/>
      <w:keepLines/>
      <w:spacing w:before="40" w:after="0"/>
      <w:outlineLvl w:val="7"/>
    </w:pPr>
    <w:rPr>
      <w:rFonts w:ascii="Calibri" w:eastAsia="Times New Roman" w:hAnsi="Calibri" w:cs="Times New Roman"/>
      <w:i/>
      <w:iCs/>
      <w:color w:val="272727"/>
    </w:rPr>
  </w:style>
  <w:style w:type="paragraph" w:styleId="9">
    <w:name w:val="heading 9"/>
    <w:basedOn w:val="a"/>
    <w:next w:val="a"/>
    <w:link w:val="9Char"/>
    <w:uiPriority w:val="9"/>
    <w:semiHidden/>
    <w:unhideWhenUsed/>
    <w:qFormat/>
    <w:rsid w:val="003220EB"/>
    <w:pPr>
      <w:keepNext/>
      <w:keepLines/>
      <w:spacing w:before="40" w:after="0"/>
      <w:outlineLvl w:val="8"/>
    </w:pPr>
    <w:rPr>
      <w:rFonts w:ascii="Calibri" w:eastAsia="Times New Roman" w:hAnsi="Calibri"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F6DC6"/>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4F6DC6"/>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semiHidden/>
    <w:rsid w:val="004F6DC6"/>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semiHidden/>
    <w:rsid w:val="004F6DC6"/>
    <w:rPr>
      <w:rFonts w:asciiTheme="majorHAnsi" w:eastAsiaTheme="majorEastAsia" w:hAnsiTheme="majorHAnsi" w:cstheme="majorBidi"/>
      <w:b/>
      <w:bCs/>
      <w:i/>
      <w:iCs/>
      <w:color w:val="4F81BD" w:themeColor="accent1"/>
    </w:rPr>
  </w:style>
  <w:style w:type="paragraph" w:styleId="a3">
    <w:name w:val="footer"/>
    <w:basedOn w:val="a"/>
    <w:link w:val="Char"/>
    <w:uiPriority w:val="99"/>
    <w:unhideWhenUsed/>
    <w:rsid w:val="00F154E5"/>
    <w:pPr>
      <w:tabs>
        <w:tab w:val="center" w:pos="4153"/>
        <w:tab w:val="right" w:pos="8306"/>
      </w:tabs>
      <w:spacing w:after="0" w:line="240" w:lineRule="auto"/>
    </w:pPr>
  </w:style>
  <w:style w:type="character" w:customStyle="1" w:styleId="Char">
    <w:name w:val="تذييل الصفحة Char"/>
    <w:basedOn w:val="a0"/>
    <w:link w:val="a3"/>
    <w:uiPriority w:val="99"/>
    <w:rsid w:val="00F154E5"/>
  </w:style>
  <w:style w:type="table" w:styleId="a4">
    <w:name w:val="Table Grid"/>
    <w:basedOn w:val="a1"/>
    <w:uiPriority w:val="39"/>
    <w:rsid w:val="00F15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عنوان رئيسي,سرد الفقراتCxSpLast, سرد الفقرات1, سرد الفقرات11,سرد الفقرات1"/>
    <w:basedOn w:val="a"/>
    <w:link w:val="Char0"/>
    <w:uiPriority w:val="34"/>
    <w:qFormat/>
    <w:rsid w:val="00F154E5"/>
    <w:pPr>
      <w:ind w:left="720"/>
      <w:contextualSpacing/>
    </w:pPr>
  </w:style>
  <w:style w:type="character" w:customStyle="1" w:styleId="Char0">
    <w:name w:val="سرد الفقرات Char"/>
    <w:aliases w:val="عنوان رئيسي Char,سرد الفقراتCxSpLast Char, سرد الفقرات1 Char, سرد الفقرات11 Char,سرد الفقرات1 Char"/>
    <w:link w:val="a5"/>
    <w:uiPriority w:val="34"/>
    <w:locked/>
    <w:rsid w:val="00D15EC5"/>
  </w:style>
  <w:style w:type="paragraph" w:styleId="a6">
    <w:name w:val="header"/>
    <w:basedOn w:val="a"/>
    <w:link w:val="Char1"/>
    <w:uiPriority w:val="99"/>
    <w:unhideWhenUsed/>
    <w:rsid w:val="00455E97"/>
    <w:pPr>
      <w:tabs>
        <w:tab w:val="center" w:pos="4153"/>
        <w:tab w:val="right" w:pos="8306"/>
      </w:tabs>
      <w:spacing w:after="0" w:line="240" w:lineRule="auto"/>
    </w:pPr>
  </w:style>
  <w:style w:type="character" w:customStyle="1" w:styleId="Char1">
    <w:name w:val="رأس الصفحة Char"/>
    <w:basedOn w:val="a0"/>
    <w:link w:val="a6"/>
    <w:uiPriority w:val="99"/>
    <w:rsid w:val="00455E97"/>
  </w:style>
  <w:style w:type="character" w:styleId="Hyperlink">
    <w:name w:val="Hyperlink"/>
    <w:basedOn w:val="a0"/>
    <w:uiPriority w:val="99"/>
    <w:rsid w:val="006C04CE"/>
    <w:rPr>
      <w:color w:val="0000FF"/>
      <w:u w:val="single"/>
    </w:rPr>
  </w:style>
  <w:style w:type="table" w:customStyle="1" w:styleId="4-51">
    <w:name w:val="جدول شبكة 4 - تمييز 51"/>
    <w:basedOn w:val="a1"/>
    <w:uiPriority w:val="49"/>
    <w:rsid w:val="00D15EC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a7">
    <w:name w:val="No Spacing"/>
    <w:link w:val="Char2"/>
    <w:uiPriority w:val="1"/>
    <w:qFormat/>
    <w:rsid w:val="00081E36"/>
    <w:pPr>
      <w:bidi/>
      <w:spacing w:after="0" w:line="240" w:lineRule="auto"/>
    </w:pPr>
  </w:style>
  <w:style w:type="character" w:customStyle="1" w:styleId="Char2">
    <w:name w:val="بلا تباعد Char"/>
    <w:basedOn w:val="a0"/>
    <w:link w:val="a7"/>
    <w:uiPriority w:val="1"/>
    <w:rsid w:val="004F6DC6"/>
  </w:style>
  <w:style w:type="paragraph" w:styleId="a8">
    <w:name w:val="Balloon Text"/>
    <w:basedOn w:val="a"/>
    <w:link w:val="Char3"/>
    <w:uiPriority w:val="99"/>
    <w:semiHidden/>
    <w:unhideWhenUsed/>
    <w:rsid w:val="00B7507D"/>
    <w:pPr>
      <w:spacing w:after="0" w:line="240" w:lineRule="auto"/>
    </w:pPr>
    <w:rPr>
      <w:rFonts w:ascii="Tahoma" w:hAnsi="Tahoma" w:cs="Tahoma"/>
      <w:sz w:val="16"/>
      <w:szCs w:val="16"/>
    </w:rPr>
  </w:style>
  <w:style w:type="character" w:customStyle="1" w:styleId="Char3">
    <w:name w:val="نص في بالون Char"/>
    <w:basedOn w:val="a0"/>
    <w:link w:val="a8"/>
    <w:uiPriority w:val="99"/>
    <w:semiHidden/>
    <w:rsid w:val="00B7507D"/>
    <w:rPr>
      <w:rFonts w:ascii="Tahoma" w:hAnsi="Tahoma" w:cs="Tahoma"/>
      <w:sz w:val="16"/>
      <w:szCs w:val="16"/>
    </w:rPr>
  </w:style>
  <w:style w:type="paragraph" w:styleId="a9">
    <w:name w:val="footnote text"/>
    <w:aliases w:val=" Char,r,Footnote Text Char Char Char,Footnote Text Char Char Char Char Char Char Char Char Char Char Char Char,Footnote Text Char Char Char Char Char Char Char Char Char Char,Char Char Char,Char,Body Text1,normal,Char Char Char Char Char"/>
    <w:basedOn w:val="a"/>
    <w:link w:val="Char4"/>
    <w:qFormat/>
    <w:rsid w:val="004F6DC6"/>
    <w:pPr>
      <w:spacing w:after="0" w:line="240" w:lineRule="auto"/>
    </w:pPr>
    <w:rPr>
      <w:rFonts w:ascii="Times New Roman" w:eastAsia="SimSun" w:hAnsi="Times New Roman" w:cs="Times New Roman"/>
      <w:sz w:val="20"/>
      <w:szCs w:val="20"/>
      <w:lang w:val="x-none" w:eastAsia="zh-CN"/>
    </w:rPr>
  </w:style>
  <w:style w:type="character" w:customStyle="1" w:styleId="Char4">
    <w:name w:val="نص حاشية سفلية Char"/>
    <w:aliases w:val=" Char Char,r Char,Footnote Text Char Char Char Char,Footnote Text Char Char Char Char Char Char Char Char Char Char Char Char Char,Footnote Text Char Char Char Char Char Char Char Char Char Char Char,Char Char Char Char,Char Char"/>
    <w:basedOn w:val="a0"/>
    <w:link w:val="a9"/>
    <w:rsid w:val="004F6DC6"/>
    <w:rPr>
      <w:rFonts w:ascii="Times New Roman" w:eastAsia="SimSun" w:hAnsi="Times New Roman" w:cs="Times New Roman"/>
      <w:sz w:val="20"/>
      <w:szCs w:val="20"/>
      <w:lang w:val="x-none" w:eastAsia="zh-CN"/>
    </w:rPr>
  </w:style>
  <w:style w:type="paragraph" w:styleId="10">
    <w:name w:val="toc 1"/>
    <w:basedOn w:val="a"/>
    <w:next w:val="a"/>
    <w:autoRedefine/>
    <w:uiPriority w:val="39"/>
    <w:unhideWhenUsed/>
    <w:qFormat/>
    <w:rsid w:val="004F6DC6"/>
    <w:pPr>
      <w:spacing w:after="100" w:line="276" w:lineRule="auto"/>
    </w:pPr>
  </w:style>
  <w:style w:type="paragraph" w:styleId="20">
    <w:name w:val="toc 2"/>
    <w:basedOn w:val="a"/>
    <w:next w:val="a"/>
    <w:autoRedefine/>
    <w:uiPriority w:val="39"/>
    <w:unhideWhenUsed/>
    <w:qFormat/>
    <w:rsid w:val="004F6DC6"/>
    <w:pPr>
      <w:spacing w:after="100" w:line="276" w:lineRule="auto"/>
      <w:ind w:left="220"/>
    </w:pPr>
  </w:style>
  <w:style w:type="character" w:styleId="aa">
    <w:name w:val="footnote reference"/>
    <w:basedOn w:val="a0"/>
    <w:uiPriority w:val="99"/>
    <w:unhideWhenUsed/>
    <w:rsid w:val="004F6DC6"/>
    <w:rPr>
      <w:vertAlign w:val="superscript"/>
    </w:rPr>
  </w:style>
  <w:style w:type="paragraph" w:customStyle="1" w:styleId="11">
    <w:name w:val="فهرس1"/>
    <w:basedOn w:val="a"/>
    <w:link w:val="1Char0"/>
    <w:qFormat/>
    <w:rsid w:val="004F6DC6"/>
    <w:pPr>
      <w:spacing w:after="200" w:line="240" w:lineRule="auto"/>
      <w:jc w:val="center"/>
    </w:pPr>
    <w:rPr>
      <w:rFonts w:ascii="Cambria" w:eastAsia="Times New Roman" w:hAnsi="Cambria" w:cs="PT Bold Heading"/>
      <w:sz w:val="44"/>
      <w:szCs w:val="44"/>
      <w:lang w:val="x-none" w:eastAsia="x-none" w:bidi="ar-YE"/>
    </w:rPr>
  </w:style>
  <w:style w:type="character" w:customStyle="1" w:styleId="1Char0">
    <w:name w:val="فهرس1 Char"/>
    <w:link w:val="11"/>
    <w:rsid w:val="004F6DC6"/>
    <w:rPr>
      <w:rFonts w:ascii="Cambria" w:eastAsia="Times New Roman" w:hAnsi="Cambria" w:cs="PT Bold Heading"/>
      <w:sz w:val="44"/>
      <w:szCs w:val="44"/>
      <w:lang w:val="x-none" w:eastAsia="x-none" w:bidi="ar-YE"/>
    </w:rPr>
  </w:style>
  <w:style w:type="paragraph" w:styleId="ab">
    <w:name w:val="Normal (Web)"/>
    <w:basedOn w:val="a"/>
    <w:uiPriority w:val="99"/>
    <w:unhideWhenUsed/>
    <w:rsid w:val="004F6DC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4F6DC6"/>
    <w:rPr>
      <w:b/>
      <w:bCs/>
    </w:rPr>
  </w:style>
  <w:style w:type="character" w:customStyle="1" w:styleId="mw-headline">
    <w:name w:val="mw-headline"/>
    <w:basedOn w:val="a0"/>
    <w:rsid w:val="004F6DC6"/>
  </w:style>
  <w:style w:type="paragraph" w:customStyle="1" w:styleId="ParaAttribute1">
    <w:name w:val="ParaAttribute1"/>
    <w:rsid w:val="004F6DC6"/>
    <w:pPr>
      <w:widowControl w:val="0"/>
      <w:wordWrap w:val="0"/>
      <w:spacing w:after="0" w:line="240" w:lineRule="auto"/>
    </w:pPr>
    <w:rPr>
      <w:rFonts w:ascii="Times New Roman" w:eastAsia="Batang" w:hAnsi="Times New Roman" w:cs="Times New Roman"/>
      <w:sz w:val="20"/>
      <w:szCs w:val="20"/>
    </w:rPr>
  </w:style>
  <w:style w:type="character" w:customStyle="1" w:styleId="CharAttribute0">
    <w:name w:val="CharAttribute0"/>
    <w:rsid w:val="004F6DC6"/>
    <w:rPr>
      <w:rFonts w:ascii="Times New Roman" w:eastAsia="Times New Roman"/>
    </w:rPr>
  </w:style>
  <w:style w:type="character" w:customStyle="1" w:styleId="CharAttribute1">
    <w:name w:val="CharAttribute1"/>
    <w:rsid w:val="004F6DC6"/>
    <w:rPr>
      <w:rFonts w:ascii="Times New Roman" w:eastAsia="Times New Roman"/>
    </w:rPr>
  </w:style>
  <w:style w:type="character" w:customStyle="1" w:styleId="mw-editsection">
    <w:name w:val="mw-editsection"/>
    <w:basedOn w:val="a0"/>
    <w:rsid w:val="004F6DC6"/>
  </w:style>
  <w:style w:type="character" w:customStyle="1" w:styleId="mw-editsection-bracket">
    <w:name w:val="mw-editsection-bracket"/>
    <w:basedOn w:val="a0"/>
    <w:rsid w:val="004F6DC6"/>
  </w:style>
  <w:style w:type="character" w:customStyle="1" w:styleId="dont-break-out">
    <w:name w:val="dont-break-out"/>
    <w:basedOn w:val="a0"/>
    <w:rsid w:val="004F6DC6"/>
  </w:style>
  <w:style w:type="table" w:customStyle="1" w:styleId="12">
    <w:name w:val="شبكة جدول1"/>
    <w:basedOn w:val="a1"/>
    <w:next w:val="a4"/>
    <w:uiPriority w:val="39"/>
    <w:rsid w:val="009366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C77470"/>
    <w:rPr>
      <w:rFonts w:ascii="TimesNewRomanPSMT" w:hAnsi="TimesNewRomanPSMT" w:hint="default"/>
      <w:b w:val="0"/>
      <w:bCs w:val="0"/>
      <w:i w:val="0"/>
      <w:iCs w:val="0"/>
      <w:color w:val="000000"/>
      <w:sz w:val="24"/>
      <w:szCs w:val="24"/>
    </w:rPr>
  </w:style>
  <w:style w:type="character" w:styleId="ad">
    <w:name w:val="Emphasis"/>
    <w:uiPriority w:val="20"/>
    <w:qFormat/>
    <w:rsid w:val="00DA30D4"/>
    <w:rPr>
      <w:i/>
      <w:iCs/>
    </w:rPr>
  </w:style>
  <w:style w:type="table" w:customStyle="1" w:styleId="21">
    <w:name w:val="شبكة جدول2"/>
    <w:basedOn w:val="a1"/>
    <w:next w:val="a4"/>
    <w:uiPriority w:val="59"/>
    <w:rsid w:val="004B61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4"/>
    <w:uiPriority w:val="59"/>
    <w:rsid w:val="00AD27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بلا قائمة1"/>
    <w:next w:val="a2"/>
    <w:uiPriority w:val="99"/>
    <w:semiHidden/>
    <w:unhideWhenUsed/>
    <w:rsid w:val="00BB7E31"/>
  </w:style>
  <w:style w:type="numbering" w:customStyle="1" w:styleId="110">
    <w:name w:val="بلا قائمة11"/>
    <w:next w:val="a2"/>
    <w:uiPriority w:val="99"/>
    <w:semiHidden/>
    <w:unhideWhenUsed/>
    <w:rsid w:val="00BB7E31"/>
  </w:style>
  <w:style w:type="table" w:customStyle="1" w:styleId="111">
    <w:name w:val="شبكة جدول11"/>
    <w:basedOn w:val="a1"/>
    <w:next w:val="a4"/>
    <w:uiPriority w:val="39"/>
    <w:rsid w:val="003220E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عنوان 51"/>
    <w:basedOn w:val="a"/>
    <w:next w:val="a"/>
    <w:uiPriority w:val="9"/>
    <w:semiHidden/>
    <w:unhideWhenUsed/>
    <w:qFormat/>
    <w:rsid w:val="003220EB"/>
    <w:pPr>
      <w:keepNext/>
      <w:keepLines/>
      <w:spacing w:before="80" w:after="40" w:line="257" w:lineRule="auto"/>
      <w:ind w:firstLine="284"/>
      <w:jc w:val="both"/>
      <w:outlineLvl w:val="4"/>
    </w:pPr>
    <w:rPr>
      <w:rFonts w:eastAsia="Times New Roman" w:cs="Times New Roman"/>
      <w:color w:val="2E74B5"/>
      <w:sz w:val="24"/>
      <w:szCs w:val="28"/>
    </w:rPr>
  </w:style>
  <w:style w:type="paragraph" w:customStyle="1" w:styleId="61">
    <w:name w:val="عنوان 61"/>
    <w:basedOn w:val="a"/>
    <w:next w:val="a"/>
    <w:uiPriority w:val="9"/>
    <w:semiHidden/>
    <w:unhideWhenUsed/>
    <w:qFormat/>
    <w:rsid w:val="003220EB"/>
    <w:pPr>
      <w:keepNext/>
      <w:keepLines/>
      <w:spacing w:before="40" w:after="0" w:line="257" w:lineRule="auto"/>
      <w:ind w:firstLine="284"/>
      <w:jc w:val="both"/>
      <w:outlineLvl w:val="5"/>
    </w:pPr>
    <w:rPr>
      <w:rFonts w:eastAsia="Times New Roman" w:cs="Times New Roman"/>
      <w:i/>
      <w:iCs/>
      <w:color w:val="595959"/>
      <w:sz w:val="24"/>
      <w:szCs w:val="28"/>
    </w:rPr>
  </w:style>
  <w:style w:type="paragraph" w:customStyle="1" w:styleId="71">
    <w:name w:val="عنوان 71"/>
    <w:basedOn w:val="a"/>
    <w:next w:val="a"/>
    <w:uiPriority w:val="9"/>
    <w:semiHidden/>
    <w:unhideWhenUsed/>
    <w:qFormat/>
    <w:rsid w:val="003220EB"/>
    <w:pPr>
      <w:keepNext/>
      <w:keepLines/>
      <w:spacing w:before="40" w:after="0" w:line="257" w:lineRule="auto"/>
      <w:ind w:firstLine="284"/>
      <w:jc w:val="both"/>
      <w:outlineLvl w:val="6"/>
    </w:pPr>
    <w:rPr>
      <w:rFonts w:eastAsia="Times New Roman" w:cs="Times New Roman"/>
      <w:color w:val="595959"/>
      <w:sz w:val="24"/>
      <w:szCs w:val="28"/>
    </w:rPr>
  </w:style>
  <w:style w:type="paragraph" w:customStyle="1" w:styleId="81">
    <w:name w:val="عنوان 81"/>
    <w:basedOn w:val="a"/>
    <w:next w:val="a"/>
    <w:uiPriority w:val="9"/>
    <w:semiHidden/>
    <w:unhideWhenUsed/>
    <w:qFormat/>
    <w:rsid w:val="003220EB"/>
    <w:pPr>
      <w:keepNext/>
      <w:keepLines/>
      <w:spacing w:after="0" w:line="257" w:lineRule="auto"/>
      <w:ind w:firstLine="284"/>
      <w:jc w:val="both"/>
      <w:outlineLvl w:val="7"/>
    </w:pPr>
    <w:rPr>
      <w:rFonts w:eastAsia="Times New Roman" w:cs="Times New Roman"/>
      <w:i/>
      <w:iCs/>
      <w:color w:val="272727"/>
      <w:sz w:val="24"/>
      <w:szCs w:val="28"/>
    </w:rPr>
  </w:style>
  <w:style w:type="paragraph" w:customStyle="1" w:styleId="91">
    <w:name w:val="عنوان 91"/>
    <w:basedOn w:val="a"/>
    <w:next w:val="a"/>
    <w:uiPriority w:val="9"/>
    <w:semiHidden/>
    <w:unhideWhenUsed/>
    <w:qFormat/>
    <w:rsid w:val="003220EB"/>
    <w:pPr>
      <w:keepNext/>
      <w:keepLines/>
      <w:spacing w:after="0" w:line="257" w:lineRule="auto"/>
      <w:ind w:firstLine="284"/>
      <w:jc w:val="both"/>
      <w:outlineLvl w:val="8"/>
    </w:pPr>
    <w:rPr>
      <w:rFonts w:eastAsia="Times New Roman" w:cs="Times New Roman"/>
      <w:color w:val="272727"/>
      <w:sz w:val="24"/>
      <w:szCs w:val="28"/>
    </w:rPr>
  </w:style>
  <w:style w:type="numbering" w:customStyle="1" w:styleId="22">
    <w:name w:val="بلا قائمة2"/>
    <w:next w:val="a2"/>
    <w:uiPriority w:val="99"/>
    <w:semiHidden/>
    <w:unhideWhenUsed/>
    <w:rsid w:val="003220EB"/>
  </w:style>
  <w:style w:type="character" w:customStyle="1" w:styleId="5Char">
    <w:name w:val="عنوان 5 Char"/>
    <w:basedOn w:val="a0"/>
    <w:link w:val="5"/>
    <w:uiPriority w:val="9"/>
    <w:semiHidden/>
    <w:rsid w:val="003220EB"/>
    <w:rPr>
      <w:rFonts w:ascii="Calibri" w:eastAsia="Times New Roman" w:hAnsi="Calibri" w:cs="Times New Roman"/>
      <w:color w:val="2E74B5"/>
    </w:rPr>
  </w:style>
  <w:style w:type="character" w:customStyle="1" w:styleId="6Char">
    <w:name w:val="عنوان 6 Char"/>
    <w:basedOn w:val="a0"/>
    <w:link w:val="6"/>
    <w:uiPriority w:val="9"/>
    <w:semiHidden/>
    <w:rsid w:val="003220EB"/>
    <w:rPr>
      <w:rFonts w:ascii="Calibri" w:eastAsia="Times New Roman" w:hAnsi="Calibri" w:cs="Times New Roman"/>
      <w:i/>
      <w:iCs/>
      <w:color w:val="595959"/>
    </w:rPr>
  </w:style>
  <w:style w:type="character" w:customStyle="1" w:styleId="7Char">
    <w:name w:val="عنوان 7 Char"/>
    <w:basedOn w:val="a0"/>
    <w:link w:val="7"/>
    <w:uiPriority w:val="9"/>
    <w:semiHidden/>
    <w:rsid w:val="003220EB"/>
    <w:rPr>
      <w:rFonts w:ascii="Calibri" w:eastAsia="Times New Roman" w:hAnsi="Calibri" w:cs="Times New Roman"/>
      <w:color w:val="595959"/>
    </w:rPr>
  </w:style>
  <w:style w:type="character" w:customStyle="1" w:styleId="8Char">
    <w:name w:val="عنوان 8 Char"/>
    <w:basedOn w:val="a0"/>
    <w:link w:val="8"/>
    <w:uiPriority w:val="9"/>
    <w:semiHidden/>
    <w:rsid w:val="003220EB"/>
    <w:rPr>
      <w:rFonts w:ascii="Calibri" w:eastAsia="Times New Roman" w:hAnsi="Calibri" w:cs="Times New Roman"/>
      <w:i/>
      <w:iCs/>
      <w:color w:val="272727"/>
    </w:rPr>
  </w:style>
  <w:style w:type="character" w:customStyle="1" w:styleId="9Char">
    <w:name w:val="عنوان 9 Char"/>
    <w:basedOn w:val="a0"/>
    <w:link w:val="9"/>
    <w:uiPriority w:val="9"/>
    <w:semiHidden/>
    <w:rsid w:val="003220EB"/>
    <w:rPr>
      <w:rFonts w:ascii="Calibri" w:eastAsia="Times New Roman" w:hAnsi="Calibri" w:cs="Times New Roman"/>
      <w:color w:val="272727"/>
    </w:rPr>
  </w:style>
  <w:style w:type="paragraph" w:customStyle="1" w:styleId="14">
    <w:name w:val="العنوان1"/>
    <w:basedOn w:val="a"/>
    <w:next w:val="a"/>
    <w:uiPriority w:val="10"/>
    <w:qFormat/>
    <w:rsid w:val="003220EB"/>
    <w:pPr>
      <w:spacing w:after="80" w:line="240" w:lineRule="auto"/>
      <w:ind w:firstLine="284"/>
      <w:contextualSpacing/>
      <w:jc w:val="both"/>
    </w:pPr>
    <w:rPr>
      <w:rFonts w:ascii="Calibri Light" w:eastAsia="Times New Roman" w:hAnsi="Calibri Light" w:cs="Times New Roman"/>
      <w:spacing w:val="-10"/>
      <w:kern w:val="28"/>
      <w:sz w:val="56"/>
      <w:szCs w:val="56"/>
    </w:rPr>
  </w:style>
  <w:style w:type="character" w:customStyle="1" w:styleId="Char5">
    <w:name w:val="العنوان Char"/>
    <w:basedOn w:val="a0"/>
    <w:link w:val="ae"/>
    <w:uiPriority w:val="10"/>
    <w:rsid w:val="003220EB"/>
    <w:rPr>
      <w:rFonts w:ascii="Calibri Light" w:eastAsia="Times New Roman" w:hAnsi="Calibri Light" w:cs="Times New Roman"/>
      <w:spacing w:val="-10"/>
      <w:kern w:val="28"/>
      <w:sz w:val="56"/>
      <w:szCs w:val="56"/>
    </w:rPr>
  </w:style>
  <w:style w:type="paragraph" w:customStyle="1" w:styleId="15">
    <w:name w:val="عنوان فرعي1"/>
    <w:basedOn w:val="a"/>
    <w:next w:val="a"/>
    <w:uiPriority w:val="11"/>
    <w:qFormat/>
    <w:rsid w:val="003220EB"/>
    <w:pPr>
      <w:numPr>
        <w:ilvl w:val="1"/>
      </w:numPr>
      <w:spacing w:line="257" w:lineRule="auto"/>
      <w:ind w:firstLine="284"/>
      <w:jc w:val="both"/>
    </w:pPr>
    <w:rPr>
      <w:rFonts w:eastAsia="Times New Roman" w:cs="Times New Roman"/>
      <w:color w:val="595959"/>
      <w:spacing w:val="15"/>
      <w:sz w:val="28"/>
      <w:szCs w:val="28"/>
    </w:rPr>
  </w:style>
  <w:style w:type="character" w:customStyle="1" w:styleId="Char6">
    <w:name w:val="عنوان فرعي Char"/>
    <w:basedOn w:val="a0"/>
    <w:link w:val="af"/>
    <w:uiPriority w:val="11"/>
    <w:rsid w:val="003220EB"/>
    <w:rPr>
      <w:rFonts w:ascii="Calibri" w:eastAsia="Times New Roman" w:hAnsi="Calibri" w:cs="Times New Roman"/>
      <w:color w:val="595959"/>
      <w:spacing w:val="15"/>
      <w:sz w:val="28"/>
    </w:rPr>
  </w:style>
  <w:style w:type="paragraph" w:customStyle="1" w:styleId="16">
    <w:name w:val="اقتباس1"/>
    <w:basedOn w:val="a"/>
    <w:next w:val="a"/>
    <w:uiPriority w:val="29"/>
    <w:qFormat/>
    <w:rsid w:val="003220EB"/>
    <w:pPr>
      <w:spacing w:before="160" w:line="257" w:lineRule="auto"/>
      <w:ind w:firstLine="284"/>
      <w:jc w:val="center"/>
    </w:pPr>
    <w:rPr>
      <w:rFonts w:ascii="Times New Roman" w:hAnsi="Times New Roman" w:cs="Simplified Arabic"/>
      <w:i/>
      <w:iCs/>
      <w:color w:val="404040"/>
      <w:sz w:val="24"/>
      <w:szCs w:val="28"/>
    </w:rPr>
  </w:style>
  <w:style w:type="character" w:customStyle="1" w:styleId="Char7">
    <w:name w:val="اقتباس Char"/>
    <w:basedOn w:val="a0"/>
    <w:link w:val="af0"/>
    <w:uiPriority w:val="29"/>
    <w:rsid w:val="003220EB"/>
    <w:rPr>
      <w:i/>
      <w:iCs/>
      <w:color w:val="404040"/>
    </w:rPr>
  </w:style>
  <w:style w:type="character" w:customStyle="1" w:styleId="17">
    <w:name w:val="تأكيد مكثف1"/>
    <w:basedOn w:val="a0"/>
    <w:uiPriority w:val="21"/>
    <w:qFormat/>
    <w:rsid w:val="003220EB"/>
    <w:rPr>
      <w:i/>
      <w:iCs/>
      <w:color w:val="2E74B5"/>
    </w:rPr>
  </w:style>
  <w:style w:type="paragraph" w:customStyle="1" w:styleId="18">
    <w:name w:val="اقتباس مكثف1"/>
    <w:basedOn w:val="a"/>
    <w:next w:val="a"/>
    <w:uiPriority w:val="30"/>
    <w:qFormat/>
    <w:rsid w:val="003220EB"/>
    <w:pPr>
      <w:pBdr>
        <w:top w:val="single" w:sz="4" w:space="10" w:color="2E74B5"/>
        <w:bottom w:val="single" w:sz="4" w:space="10" w:color="2E74B5"/>
      </w:pBdr>
      <w:spacing w:before="360" w:after="360" w:line="257" w:lineRule="auto"/>
      <w:ind w:left="864" w:right="864" w:firstLine="284"/>
      <w:jc w:val="center"/>
    </w:pPr>
    <w:rPr>
      <w:rFonts w:ascii="Times New Roman" w:hAnsi="Times New Roman" w:cs="Simplified Arabic"/>
      <w:i/>
      <w:iCs/>
      <w:color w:val="2E74B5"/>
      <w:sz w:val="24"/>
      <w:szCs w:val="28"/>
    </w:rPr>
  </w:style>
  <w:style w:type="character" w:customStyle="1" w:styleId="Char8">
    <w:name w:val="اقتباس مكثف Char"/>
    <w:basedOn w:val="a0"/>
    <w:link w:val="af1"/>
    <w:uiPriority w:val="30"/>
    <w:rsid w:val="003220EB"/>
    <w:rPr>
      <w:i/>
      <w:iCs/>
      <w:color w:val="2E74B5"/>
    </w:rPr>
  </w:style>
  <w:style w:type="character" w:customStyle="1" w:styleId="19">
    <w:name w:val="مرجع مكثف1"/>
    <w:basedOn w:val="a0"/>
    <w:uiPriority w:val="32"/>
    <w:qFormat/>
    <w:rsid w:val="003220EB"/>
    <w:rPr>
      <w:b/>
      <w:bCs/>
      <w:smallCaps/>
      <w:color w:val="2E74B5"/>
      <w:spacing w:val="5"/>
    </w:rPr>
  </w:style>
  <w:style w:type="table" w:customStyle="1" w:styleId="4-61">
    <w:name w:val="جدول شبكة 4 - تمييز 61"/>
    <w:basedOn w:val="a1"/>
    <w:next w:val="4-6"/>
    <w:uiPriority w:val="49"/>
    <w:rsid w:val="003220EB"/>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0">
    <w:name w:val="شبكة جدول4"/>
    <w:basedOn w:val="a1"/>
    <w:next w:val="a4"/>
    <w:uiPriority w:val="39"/>
    <w:rsid w:val="003220EB"/>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1">
    <w:name w:val="عنوان 5 Char1"/>
    <w:basedOn w:val="a0"/>
    <w:uiPriority w:val="9"/>
    <w:semiHidden/>
    <w:rsid w:val="003220EB"/>
    <w:rPr>
      <w:rFonts w:asciiTheme="majorHAnsi" w:eastAsiaTheme="majorEastAsia" w:hAnsiTheme="majorHAnsi" w:cstheme="majorBidi"/>
      <w:color w:val="365F91" w:themeColor="accent1" w:themeShade="BF"/>
    </w:rPr>
  </w:style>
  <w:style w:type="character" w:customStyle="1" w:styleId="6Char1">
    <w:name w:val="عنوان 6 Char1"/>
    <w:basedOn w:val="a0"/>
    <w:uiPriority w:val="9"/>
    <w:semiHidden/>
    <w:rsid w:val="003220EB"/>
    <w:rPr>
      <w:rFonts w:asciiTheme="majorHAnsi" w:eastAsiaTheme="majorEastAsia" w:hAnsiTheme="majorHAnsi" w:cstheme="majorBidi"/>
      <w:color w:val="243F60" w:themeColor="accent1" w:themeShade="7F"/>
    </w:rPr>
  </w:style>
  <w:style w:type="character" w:customStyle="1" w:styleId="7Char1">
    <w:name w:val="عنوان 7 Char1"/>
    <w:basedOn w:val="a0"/>
    <w:uiPriority w:val="9"/>
    <w:semiHidden/>
    <w:rsid w:val="003220EB"/>
    <w:rPr>
      <w:rFonts w:asciiTheme="majorHAnsi" w:eastAsiaTheme="majorEastAsia" w:hAnsiTheme="majorHAnsi" w:cstheme="majorBidi"/>
      <w:i/>
      <w:iCs/>
      <w:color w:val="243F60" w:themeColor="accent1" w:themeShade="7F"/>
    </w:rPr>
  </w:style>
  <w:style w:type="character" w:customStyle="1" w:styleId="8Char1">
    <w:name w:val="عنوان 8 Char1"/>
    <w:basedOn w:val="a0"/>
    <w:uiPriority w:val="9"/>
    <w:semiHidden/>
    <w:rsid w:val="003220EB"/>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3220EB"/>
    <w:rPr>
      <w:rFonts w:asciiTheme="majorHAnsi" w:eastAsiaTheme="majorEastAsia" w:hAnsiTheme="majorHAnsi" w:cstheme="majorBidi"/>
      <w:i/>
      <w:iCs/>
      <w:color w:val="272727" w:themeColor="text1" w:themeTint="D8"/>
      <w:sz w:val="21"/>
      <w:szCs w:val="21"/>
    </w:rPr>
  </w:style>
  <w:style w:type="paragraph" w:styleId="ae">
    <w:name w:val="Title"/>
    <w:basedOn w:val="a"/>
    <w:next w:val="a"/>
    <w:link w:val="Char5"/>
    <w:uiPriority w:val="10"/>
    <w:qFormat/>
    <w:rsid w:val="003220EB"/>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0">
    <w:name w:val="العنوان Char1"/>
    <w:basedOn w:val="a0"/>
    <w:uiPriority w:val="10"/>
    <w:rsid w:val="003220EB"/>
    <w:rPr>
      <w:rFonts w:asciiTheme="majorHAnsi" w:eastAsiaTheme="majorEastAsia" w:hAnsiTheme="majorHAnsi" w:cstheme="majorBidi"/>
      <w:spacing w:val="-10"/>
      <w:kern w:val="28"/>
      <w:sz w:val="56"/>
      <w:szCs w:val="56"/>
    </w:rPr>
  </w:style>
  <w:style w:type="paragraph" w:styleId="af">
    <w:name w:val="Subtitle"/>
    <w:basedOn w:val="a"/>
    <w:next w:val="a"/>
    <w:link w:val="Char6"/>
    <w:uiPriority w:val="11"/>
    <w:qFormat/>
    <w:rsid w:val="003220EB"/>
    <w:pPr>
      <w:numPr>
        <w:ilvl w:val="1"/>
      </w:numPr>
    </w:pPr>
    <w:rPr>
      <w:rFonts w:ascii="Calibri" w:eastAsia="Times New Roman" w:hAnsi="Calibri" w:cs="Times New Roman"/>
      <w:color w:val="595959"/>
      <w:spacing w:val="15"/>
      <w:sz w:val="28"/>
    </w:rPr>
  </w:style>
  <w:style w:type="character" w:customStyle="1" w:styleId="Char11">
    <w:name w:val="عنوان فرعي Char1"/>
    <w:basedOn w:val="a0"/>
    <w:uiPriority w:val="11"/>
    <w:rsid w:val="003220EB"/>
    <w:rPr>
      <w:rFonts w:eastAsiaTheme="minorEastAsia"/>
      <w:color w:val="5A5A5A" w:themeColor="text1" w:themeTint="A5"/>
      <w:spacing w:val="15"/>
    </w:rPr>
  </w:style>
  <w:style w:type="paragraph" w:styleId="af0">
    <w:name w:val="Quote"/>
    <w:basedOn w:val="a"/>
    <w:next w:val="a"/>
    <w:link w:val="Char7"/>
    <w:uiPriority w:val="29"/>
    <w:qFormat/>
    <w:rsid w:val="003220EB"/>
    <w:pPr>
      <w:spacing w:before="200"/>
      <w:ind w:left="864" w:right="864"/>
      <w:jc w:val="center"/>
    </w:pPr>
    <w:rPr>
      <w:i/>
      <w:iCs/>
      <w:color w:val="404040"/>
    </w:rPr>
  </w:style>
  <w:style w:type="character" w:customStyle="1" w:styleId="Char12">
    <w:name w:val="اقتباس Char1"/>
    <w:basedOn w:val="a0"/>
    <w:uiPriority w:val="29"/>
    <w:rsid w:val="003220EB"/>
    <w:rPr>
      <w:i/>
      <w:iCs/>
      <w:color w:val="404040" w:themeColor="text1" w:themeTint="BF"/>
    </w:rPr>
  </w:style>
  <w:style w:type="character" w:styleId="af2">
    <w:name w:val="Intense Emphasis"/>
    <w:basedOn w:val="a0"/>
    <w:uiPriority w:val="21"/>
    <w:qFormat/>
    <w:rsid w:val="003220EB"/>
    <w:rPr>
      <w:i/>
      <w:iCs/>
      <w:color w:val="4F81BD" w:themeColor="accent1"/>
    </w:rPr>
  </w:style>
  <w:style w:type="paragraph" w:styleId="af1">
    <w:name w:val="Intense Quote"/>
    <w:basedOn w:val="a"/>
    <w:next w:val="a"/>
    <w:link w:val="Char8"/>
    <w:uiPriority w:val="30"/>
    <w:qFormat/>
    <w:rsid w:val="003220EB"/>
    <w:pPr>
      <w:pBdr>
        <w:top w:val="single" w:sz="4" w:space="10" w:color="4F81BD" w:themeColor="accent1"/>
        <w:bottom w:val="single" w:sz="4" w:space="10" w:color="4F81BD" w:themeColor="accent1"/>
      </w:pBdr>
      <w:spacing w:before="360" w:after="360"/>
      <w:ind w:left="864" w:right="864"/>
      <w:jc w:val="center"/>
    </w:pPr>
    <w:rPr>
      <w:i/>
      <w:iCs/>
      <w:color w:val="2E74B5"/>
    </w:rPr>
  </w:style>
  <w:style w:type="character" w:customStyle="1" w:styleId="Char13">
    <w:name w:val="اقتباس مكثف Char1"/>
    <w:basedOn w:val="a0"/>
    <w:uiPriority w:val="30"/>
    <w:rsid w:val="003220EB"/>
    <w:rPr>
      <w:i/>
      <w:iCs/>
      <w:color w:val="4F81BD" w:themeColor="accent1"/>
    </w:rPr>
  </w:style>
  <w:style w:type="character" w:styleId="af3">
    <w:name w:val="Intense Reference"/>
    <w:basedOn w:val="a0"/>
    <w:uiPriority w:val="32"/>
    <w:qFormat/>
    <w:rsid w:val="003220EB"/>
    <w:rPr>
      <w:b/>
      <w:bCs/>
      <w:smallCaps/>
      <w:color w:val="4F81BD" w:themeColor="accent1"/>
      <w:spacing w:val="5"/>
    </w:rPr>
  </w:style>
  <w:style w:type="table" w:styleId="4-6">
    <w:name w:val="Grid Table 4 Accent 6"/>
    <w:basedOn w:val="a1"/>
    <w:uiPriority w:val="49"/>
    <w:rsid w:val="003220E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numbering" w:customStyle="1" w:styleId="31">
    <w:name w:val="بلا قائمة3"/>
    <w:next w:val="a2"/>
    <w:uiPriority w:val="99"/>
    <w:semiHidden/>
    <w:unhideWhenUsed/>
    <w:rsid w:val="00217D8D"/>
  </w:style>
  <w:style w:type="table" w:customStyle="1" w:styleId="4-62">
    <w:name w:val="جدول شبكة 4 - تمييز 62"/>
    <w:basedOn w:val="a1"/>
    <w:next w:val="4-6"/>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0">
    <w:name w:val="شبكة جدول5"/>
    <w:basedOn w:val="a1"/>
    <w:next w:val="a4"/>
    <w:uiPriority w:val="39"/>
    <w:rsid w:val="00217D8D"/>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جدول شبكة 4 - تمييز 11"/>
    <w:basedOn w:val="a1"/>
    <w:next w:val="4-1"/>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af4">
    <w:name w:val="Unresolved Mention"/>
    <w:basedOn w:val="a0"/>
    <w:uiPriority w:val="99"/>
    <w:semiHidden/>
    <w:unhideWhenUsed/>
    <w:rsid w:val="00217D8D"/>
    <w:rPr>
      <w:color w:val="605E5C"/>
      <w:shd w:val="clear" w:color="auto" w:fill="E1DFDD"/>
    </w:rPr>
  </w:style>
  <w:style w:type="table" w:styleId="4-1">
    <w:name w:val="Grid Table 4 Accent 1"/>
    <w:basedOn w:val="a1"/>
    <w:uiPriority w:val="49"/>
    <w:rsid w:val="00217D8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4-2">
    <w:name w:val="Grid Table 4 Accent 2"/>
    <w:basedOn w:val="a1"/>
    <w:uiPriority w:val="49"/>
    <w:rsid w:val="005A3E74"/>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4-5">
    <w:name w:val="Grid Table 4 Accent 5"/>
    <w:basedOn w:val="a1"/>
    <w:uiPriority w:val="49"/>
    <w:rsid w:val="002F6FE7"/>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2133">
      <w:bodyDiv w:val="1"/>
      <w:marLeft w:val="0"/>
      <w:marRight w:val="0"/>
      <w:marTop w:val="0"/>
      <w:marBottom w:val="0"/>
      <w:divBdr>
        <w:top w:val="none" w:sz="0" w:space="0" w:color="auto"/>
        <w:left w:val="none" w:sz="0" w:space="0" w:color="auto"/>
        <w:bottom w:val="none" w:sz="0" w:space="0" w:color="auto"/>
        <w:right w:val="none" w:sz="0" w:space="0" w:color="auto"/>
      </w:divBdr>
    </w:div>
    <w:div w:id="57823509">
      <w:bodyDiv w:val="1"/>
      <w:marLeft w:val="0"/>
      <w:marRight w:val="0"/>
      <w:marTop w:val="0"/>
      <w:marBottom w:val="0"/>
      <w:divBdr>
        <w:top w:val="none" w:sz="0" w:space="0" w:color="auto"/>
        <w:left w:val="none" w:sz="0" w:space="0" w:color="auto"/>
        <w:bottom w:val="none" w:sz="0" w:space="0" w:color="auto"/>
        <w:right w:val="none" w:sz="0" w:space="0" w:color="auto"/>
      </w:divBdr>
    </w:div>
    <w:div w:id="104278086">
      <w:bodyDiv w:val="1"/>
      <w:marLeft w:val="0"/>
      <w:marRight w:val="0"/>
      <w:marTop w:val="0"/>
      <w:marBottom w:val="0"/>
      <w:divBdr>
        <w:top w:val="none" w:sz="0" w:space="0" w:color="auto"/>
        <w:left w:val="none" w:sz="0" w:space="0" w:color="auto"/>
        <w:bottom w:val="none" w:sz="0" w:space="0" w:color="auto"/>
        <w:right w:val="none" w:sz="0" w:space="0" w:color="auto"/>
      </w:divBdr>
    </w:div>
    <w:div w:id="117342079">
      <w:bodyDiv w:val="1"/>
      <w:marLeft w:val="0"/>
      <w:marRight w:val="0"/>
      <w:marTop w:val="0"/>
      <w:marBottom w:val="0"/>
      <w:divBdr>
        <w:top w:val="none" w:sz="0" w:space="0" w:color="auto"/>
        <w:left w:val="none" w:sz="0" w:space="0" w:color="auto"/>
        <w:bottom w:val="none" w:sz="0" w:space="0" w:color="auto"/>
        <w:right w:val="none" w:sz="0" w:space="0" w:color="auto"/>
      </w:divBdr>
    </w:div>
    <w:div w:id="128522934">
      <w:bodyDiv w:val="1"/>
      <w:marLeft w:val="0"/>
      <w:marRight w:val="0"/>
      <w:marTop w:val="0"/>
      <w:marBottom w:val="0"/>
      <w:divBdr>
        <w:top w:val="none" w:sz="0" w:space="0" w:color="auto"/>
        <w:left w:val="none" w:sz="0" w:space="0" w:color="auto"/>
        <w:bottom w:val="none" w:sz="0" w:space="0" w:color="auto"/>
        <w:right w:val="none" w:sz="0" w:space="0" w:color="auto"/>
      </w:divBdr>
    </w:div>
    <w:div w:id="142166254">
      <w:bodyDiv w:val="1"/>
      <w:marLeft w:val="0"/>
      <w:marRight w:val="0"/>
      <w:marTop w:val="0"/>
      <w:marBottom w:val="0"/>
      <w:divBdr>
        <w:top w:val="none" w:sz="0" w:space="0" w:color="auto"/>
        <w:left w:val="none" w:sz="0" w:space="0" w:color="auto"/>
        <w:bottom w:val="none" w:sz="0" w:space="0" w:color="auto"/>
        <w:right w:val="none" w:sz="0" w:space="0" w:color="auto"/>
      </w:divBdr>
    </w:div>
    <w:div w:id="153110786">
      <w:bodyDiv w:val="1"/>
      <w:marLeft w:val="0"/>
      <w:marRight w:val="0"/>
      <w:marTop w:val="0"/>
      <w:marBottom w:val="0"/>
      <w:divBdr>
        <w:top w:val="none" w:sz="0" w:space="0" w:color="auto"/>
        <w:left w:val="none" w:sz="0" w:space="0" w:color="auto"/>
        <w:bottom w:val="none" w:sz="0" w:space="0" w:color="auto"/>
        <w:right w:val="none" w:sz="0" w:space="0" w:color="auto"/>
      </w:divBdr>
    </w:div>
    <w:div w:id="253125836">
      <w:bodyDiv w:val="1"/>
      <w:marLeft w:val="0"/>
      <w:marRight w:val="0"/>
      <w:marTop w:val="0"/>
      <w:marBottom w:val="0"/>
      <w:divBdr>
        <w:top w:val="none" w:sz="0" w:space="0" w:color="auto"/>
        <w:left w:val="none" w:sz="0" w:space="0" w:color="auto"/>
        <w:bottom w:val="none" w:sz="0" w:space="0" w:color="auto"/>
        <w:right w:val="none" w:sz="0" w:space="0" w:color="auto"/>
      </w:divBdr>
    </w:div>
    <w:div w:id="365832195">
      <w:bodyDiv w:val="1"/>
      <w:marLeft w:val="0"/>
      <w:marRight w:val="0"/>
      <w:marTop w:val="0"/>
      <w:marBottom w:val="0"/>
      <w:divBdr>
        <w:top w:val="none" w:sz="0" w:space="0" w:color="auto"/>
        <w:left w:val="none" w:sz="0" w:space="0" w:color="auto"/>
        <w:bottom w:val="none" w:sz="0" w:space="0" w:color="auto"/>
        <w:right w:val="none" w:sz="0" w:space="0" w:color="auto"/>
      </w:divBdr>
    </w:div>
    <w:div w:id="384915050">
      <w:bodyDiv w:val="1"/>
      <w:marLeft w:val="0"/>
      <w:marRight w:val="0"/>
      <w:marTop w:val="0"/>
      <w:marBottom w:val="0"/>
      <w:divBdr>
        <w:top w:val="none" w:sz="0" w:space="0" w:color="auto"/>
        <w:left w:val="none" w:sz="0" w:space="0" w:color="auto"/>
        <w:bottom w:val="none" w:sz="0" w:space="0" w:color="auto"/>
        <w:right w:val="none" w:sz="0" w:space="0" w:color="auto"/>
      </w:divBdr>
    </w:div>
    <w:div w:id="408500162">
      <w:bodyDiv w:val="1"/>
      <w:marLeft w:val="0"/>
      <w:marRight w:val="0"/>
      <w:marTop w:val="0"/>
      <w:marBottom w:val="0"/>
      <w:divBdr>
        <w:top w:val="none" w:sz="0" w:space="0" w:color="auto"/>
        <w:left w:val="none" w:sz="0" w:space="0" w:color="auto"/>
        <w:bottom w:val="none" w:sz="0" w:space="0" w:color="auto"/>
        <w:right w:val="none" w:sz="0" w:space="0" w:color="auto"/>
      </w:divBdr>
    </w:div>
    <w:div w:id="491288733">
      <w:bodyDiv w:val="1"/>
      <w:marLeft w:val="0"/>
      <w:marRight w:val="0"/>
      <w:marTop w:val="0"/>
      <w:marBottom w:val="0"/>
      <w:divBdr>
        <w:top w:val="none" w:sz="0" w:space="0" w:color="auto"/>
        <w:left w:val="none" w:sz="0" w:space="0" w:color="auto"/>
        <w:bottom w:val="none" w:sz="0" w:space="0" w:color="auto"/>
        <w:right w:val="none" w:sz="0" w:space="0" w:color="auto"/>
      </w:divBdr>
    </w:div>
    <w:div w:id="505630900">
      <w:bodyDiv w:val="1"/>
      <w:marLeft w:val="0"/>
      <w:marRight w:val="0"/>
      <w:marTop w:val="0"/>
      <w:marBottom w:val="0"/>
      <w:divBdr>
        <w:top w:val="none" w:sz="0" w:space="0" w:color="auto"/>
        <w:left w:val="none" w:sz="0" w:space="0" w:color="auto"/>
        <w:bottom w:val="none" w:sz="0" w:space="0" w:color="auto"/>
        <w:right w:val="none" w:sz="0" w:space="0" w:color="auto"/>
      </w:divBdr>
    </w:div>
    <w:div w:id="545606699">
      <w:bodyDiv w:val="1"/>
      <w:marLeft w:val="0"/>
      <w:marRight w:val="0"/>
      <w:marTop w:val="0"/>
      <w:marBottom w:val="0"/>
      <w:divBdr>
        <w:top w:val="none" w:sz="0" w:space="0" w:color="auto"/>
        <w:left w:val="none" w:sz="0" w:space="0" w:color="auto"/>
        <w:bottom w:val="none" w:sz="0" w:space="0" w:color="auto"/>
        <w:right w:val="none" w:sz="0" w:space="0" w:color="auto"/>
      </w:divBdr>
    </w:div>
    <w:div w:id="613485511">
      <w:bodyDiv w:val="1"/>
      <w:marLeft w:val="0"/>
      <w:marRight w:val="0"/>
      <w:marTop w:val="0"/>
      <w:marBottom w:val="0"/>
      <w:divBdr>
        <w:top w:val="none" w:sz="0" w:space="0" w:color="auto"/>
        <w:left w:val="none" w:sz="0" w:space="0" w:color="auto"/>
        <w:bottom w:val="none" w:sz="0" w:space="0" w:color="auto"/>
        <w:right w:val="none" w:sz="0" w:space="0" w:color="auto"/>
      </w:divBdr>
    </w:div>
    <w:div w:id="623270437">
      <w:bodyDiv w:val="1"/>
      <w:marLeft w:val="0"/>
      <w:marRight w:val="0"/>
      <w:marTop w:val="0"/>
      <w:marBottom w:val="0"/>
      <w:divBdr>
        <w:top w:val="none" w:sz="0" w:space="0" w:color="auto"/>
        <w:left w:val="none" w:sz="0" w:space="0" w:color="auto"/>
        <w:bottom w:val="none" w:sz="0" w:space="0" w:color="auto"/>
        <w:right w:val="none" w:sz="0" w:space="0" w:color="auto"/>
      </w:divBdr>
    </w:div>
    <w:div w:id="633412680">
      <w:bodyDiv w:val="1"/>
      <w:marLeft w:val="0"/>
      <w:marRight w:val="0"/>
      <w:marTop w:val="0"/>
      <w:marBottom w:val="0"/>
      <w:divBdr>
        <w:top w:val="none" w:sz="0" w:space="0" w:color="auto"/>
        <w:left w:val="none" w:sz="0" w:space="0" w:color="auto"/>
        <w:bottom w:val="none" w:sz="0" w:space="0" w:color="auto"/>
        <w:right w:val="none" w:sz="0" w:space="0" w:color="auto"/>
      </w:divBdr>
    </w:div>
    <w:div w:id="660083282">
      <w:bodyDiv w:val="1"/>
      <w:marLeft w:val="0"/>
      <w:marRight w:val="0"/>
      <w:marTop w:val="0"/>
      <w:marBottom w:val="0"/>
      <w:divBdr>
        <w:top w:val="none" w:sz="0" w:space="0" w:color="auto"/>
        <w:left w:val="none" w:sz="0" w:space="0" w:color="auto"/>
        <w:bottom w:val="none" w:sz="0" w:space="0" w:color="auto"/>
        <w:right w:val="none" w:sz="0" w:space="0" w:color="auto"/>
      </w:divBdr>
    </w:div>
    <w:div w:id="695232665">
      <w:bodyDiv w:val="1"/>
      <w:marLeft w:val="0"/>
      <w:marRight w:val="0"/>
      <w:marTop w:val="0"/>
      <w:marBottom w:val="0"/>
      <w:divBdr>
        <w:top w:val="none" w:sz="0" w:space="0" w:color="auto"/>
        <w:left w:val="none" w:sz="0" w:space="0" w:color="auto"/>
        <w:bottom w:val="none" w:sz="0" w:space="0" w:color="auto"/>
        <w:right w:val="none" w:sz="0" w:space="0" w:color="auto"/>
      </w:divBdr>
    </w:div>
    <w:div w:id="718868283">
      <w:bodyDiv w:val="1"/>
      <w:marLeft w:val="0"/>
      <w:marRight w:val="0"/>
      <w:marTop w:val="0"/>
      <w:marBottom w:val="0"/>
      <w:divBdr>
        <w:top w:val="none" w:sz="0" w:space="0" w:color="auto"/>
        <w:left w:val="none" w:sz="0" w:space="0" w:color="auto"/>
        <w:bottom w:val="none" w:sz="0" w:space="0" w:color="auto"/>
        <w:right w:val="none" w:sz="0" w:space="0" w:color="auto"/>
      </w:divBdr>
    </w:div>
    <w:div w:id="726689840">
      <w:bodyDiv w:val="1"/>
      <w:marLeft w:val="0"/>
      <w:marRight w:val="0"/>
      <w:marTop w:val="0"/>
      <w:marBottom w:val="0"/>
      <w:divBdr>
        <w:top w:val="none" w:sz="0" w:space="0" w:color="auto"/>
        <w:left w:val="none" w:sz="0" w:space="0" w:color="auto"/>
        <w:bottom w:val="none" w:sz="0" w:space="0" w:color="auto"/>
        <w:right w:val="none" w:sz="0" w:space="0" w:color="auto"/>
      </w:divBdr>
    </w:div>
    <w:div w:id="744424333">
      <w:bodyDiv w:val="1"/>
      <w:marLeft w:val="0"/>
      <w:marRight w:val="0"/>
      <w:marTop w:val="0"/>
      <w:marBottom w:val="0"/>
      <w:divBdr>
        <w:top w:val="none" w:sz="0" w:space="0" w:color="auto"/>
        <w:left w:val="none" w:sz="0" w:space="0" w:color="auto"/>
        <w:bottom w:val="none" w:sz="0" w:space="0" w:color="auto"/>
        <w:right w:val="none" w:sz="0" w:space="0" w:color="auto"/>
      </w:divBdr>
    </w:div>
    <w:div w:id="772674751">
      <w:bodyDiv w:val="1"/>
      <w:marLeft w:val="0"/>
      <w:marRight w:val="0"/>
      <w:marTop w:val="0"/>
      <w:marBottom w:val="0"/>
      <w:divBdr>
        <w:top w:val="none" w:sz="0" w:space="0" w:color="auto"/>
        <w:left w:val="none" w:sz="0" w:space="0" w:color="auto"/>
        <w:bottom w:val="none" w:sz="0" w:space="0" w:color="auto"/>
        <w:right w:val="none" w:sz="0" w:space="0" w:color="auto"/>
      </w:divBdr>
    </w:div>
    <w:div w:id="785349913">
      <w:bodyDiv w:val="1"/>
      <w:marLeft w:val="0"/>
      <w:marRight w:val="0"/>
      <w:marTop w:val="0"/>
      <w:marBottom w:val="0"/>
      <w:divBdr>
        <w:top w:val="none" w:sz="0" w:space="0" w:color="auto"/>
        <w:left w:val="none" w:sz="0" w:space="0" w:color="auto"/>
        <w:bottom w:val="none" w:sz="0" w:space="0" w:color="auto"/>
        <w:right w:val="none" w:sz="0" w:space="0" w:color="auto"/>
      </w:divBdr>
    </w:div>
    <w:div w:id="791822721">
      <w:bodyDiv w:val="1"/>
      <w:marLeft w:val="0"/>
      <w:marRight w:val="0"/>
      <w:marTop w:val="0"/>
      <w:marBottom w:val="0"/>
      <w:divBdr>
        <w:top w:val="none" w:sz="0" w:space="0" w:color="auto"/>
        <w:left w:val="none" w:sz="0" w:space="0" w:color="auto"/>
        <w:bottom w:val="none" w:sz="0" w:space="0" w:color="auto"/>
        <w:right w:val="none" w:sz="0" w:space="0" w:color="auto"/>
      </w:divBdr>
    </w:div>
    <w:div w:id="892473293">
      <w:bodyDiv w:val="1"/>
      <w:marLeft w:val="0"/>
      <w:marRight w:val="0"/>
      <w:marTop w:val="0"/>
      <w:marBottom w:val="0"/>
      <w:divBdr>
        <w:top w:val="none" w:sz="0" w:space="0" w:color="auto"/>
        <w:left w:val="none" w:sz="0" w:space="0" w:color="auto"/>
        <w:bottom w:val="none" w:sz="0" w:space="0" w:color="auto"/>
        <w:right w:val="none" w:sz="0" w:space="0" w:color="auto"/>
      </w:divBdr>
    </w:div>
    <w:div w:id="922035553">
      <w:bodyDiv w:val="1"/>
      <w:marLeft w:val="0"/>
      <w:marRight w:val="0"/>
      <w:marTop w:val="0"/>
      <w:marBottom w:val="0"/>
      <w:divBdr>
        <w:top w:val="none" w:sz="0" w:space="0" w:color="auto"/>
        <w:left w:val="none" w:sz="0" w:space="0" w:color="auto"/>
        <w:bottom w:val="none" w:sz="0" w:space="0" w:color="auto"/>
        <w:right w:val="none" w:sz="0" w:space="0" w:color="auto"/>
      </w:divBdr>
    </w:div>
    <w:div w:id="962996913">
      <w:bodyDiv w:val="1"/>
      <w:marLeft w:val="0"/>
      <w:marRight w:val="0"/>
      <w:marTop w:val="0"/>
      <w:marBottom w:val="0"/>
      <w:divBdr>
        <w:top w:val="none" w:sz="0" w:space="0" w:color="auto"/>
        <w:left w:val="none" w:sz="0" w:space="0" w:color="auto"/>
        <w:bottom w:val="none" w:sz="0" w:space="0" w:color="auto"/>
        <w:right w:val="none" w:sz="0" w:space="0" w:color="auto"/>
      </w:divBdr>
    </w:div>
    <w:div w:id="1005061465">
      <w:bodyDiv w:val="1"/>
      <w:marLeft w:val="0"/>
      <w:marRight w:val="0"/>
      <w:marTop w:val="0"/>
      <w:marBottom w:val="0"/>
      <w:divBdr>
        <w:top w:val="none" w:sz="0" w:space="0" w:color="auto"/>
        <w:left w:val="none" w:sz="0" w:space="0" w:color="auto"/>
        <w:bottom w:val="none" w:sz="0" w:space="0" w:color="auto"/>
        <w:right w:val="none" w:sz="0" w:space="0" w:color="auto"/>
      </w:divBdr>
    </w:div>
    <w:div w:id="1034232097">
      <w:bodyDiv w:val="1"/>
      <w:marLeft w:val="0"/>
      <w:marRight w:val="0"/>
      <w:marTop w:val="0"/>
      <w:marBottom w:val="0"/>
      <w:divBdr>
        <w:top w:val="none" w:sz="0" w:space="0" w:color="auto"/>
        <w:left w:val="none" w:sz="0" w:space="0" w:color="auto"/>
        <w:bottom w:val="none" w:sz="0" w:space="0" w:color="auto"/>
        <w:right w:val="none" w:sz="0" w:space="0" w:color="auto"/>
      </w:divBdr>
    </w:div>
    <w:div w:id="1040856669">
      <w:bodyDiv w:val="1"/>
      <w:marLeft w:val="0"/>
      <w:marRight w:val="0"/>
      <w:marTop w:val="0"/>
      <w:marBottom w:val="0"/>
      <w:divBdr>
        <w:top w:val="none" w:sz="0" w:space="0" w:color="auto"/>
        <w:left w:val="none" w:sz="0" w:space="0" w:color="auto"/>
        <w:bottom w:val="none" w:sz="0" w:space="0" w:color="auto"/>
        <w:right w:val="none" w:sz="0" w:space="0" w:color="auto"/>
      </w:divBdr>
    </w:div>
    <w:div w:id="1089499763">
      <w:bodyDiv w:val="1"/>
      <w:marLeft w:val="0"/>
      <w:marRight w:val="0"/>
      <w:marTop w:val="0"/>
      <w:marBottom w:val="0"/>
      <w:divBdr>
        <w:top w:val="none" w:sz="0" w:space="0" w:color="auto"/>
        <w:left w:val="none" w:sz="0" w:space="0" w:color="auto"/>
        <w:bottom w:val="none" w:sz="0" w:space="0" w:color="auto"/>
        <w:right w:val="none" w:sz="0" w:space="0" w:color="auto"/>
      </w:divBdr>
    </w:div>
    <w:div w:id="1104813105">
      <w:bodyDiv w:val="1"/>
      <w:marLeft w:val="0"/>
      <w:marRight w:val="0"/>
      <w:marTop w:val="0"/>
      <w:marBottom w:val="0"/>
      <w:divBdr>
        <w:top w:val="none" w:sz="0" w:space="0" w:color="auto"/>
        <w:left w:val="none" w:sz="0" w:space="0" w:color="auto"/>
        <w:bottom w:val="none" w:sz="0" w:space="0" w:color="auto"/>
        <w:right w:val="none" w:sz="0" w:space="0" w:color="auto"/>
      </w:divBdr>
    </w:div>
    <w:div w:id="1391926708">
      <w:bodyDiv w:val="1"/>
      <w:marLeft w:val="0"/>
      <w:marRight w:val="0"/>
      <w:marTop w:val="0"/>
      <w:marBottom w:val="0"/>
      <w:divBdr>
        <w:top w:val="none" w:sz="0" w:space="0" w:color="auto"/>
        <w:left w:val="none" w:sz="0" w:space="0" w:color="auto"/>
        <w:bottom w:val="none" w:sz="0" w:space="0" w:color="auto"/>
        <w:right w:val="none" w:sz="0" w:space="0" w:color="auto"/>
      </w:divBdr>
    </w:div>
    <w:div w:id="1470634398">
      <w:bodyDiv w:val="1"/>
      <w:marLeft w:val="0"/>
      <w:marRight w:val="0"/>
      <w:marTop w:val="0"/>
      <w:marBottom w:val="0"/>
      <w:divBdr>
        <w:top w:val="none" w:sz="0" w:space="0" w:color="auto"/>
        <w:left w:val="none" w:sz="0" w:space="0" w:color="auto"/>
        <w:bottom w:val="none" w:sz="0" w:space="0" w:color="auto"/>
        <w:right w:val="none" w:sz="0" w:space="0" w:color="auto"/>
      </w:divBdr>
    </w:div>
    <w:div w:id="1543326383">
      <w:bodyDiv w:val="1"/>
      <w:marLeft w:val="0"/>
      <w:marRight w:val="0"/>
      <w:marTop w:val="0"/>
      <w:marBottom w:val="0"/>
      <w:divBdr>
        <w:top w:val="none" w:sz="0" w:space="0" w:color="auto"/>
        <w:left w:val="none" w:sz="0" w:space="0" w:color="auto"/>
        <w:bottom w:val="none" w:sz="0" w:space="0" w:color="auto"/>
        <w:right w:val="none" w:sz="0" w:space="0" w:color="auto"/>
      </w:divBdr>
    </w:div>
    <w:div w:id="1650356499">
      <w:bodyDiv w:val="1"/>
      <w:marLeft w:val="0"/>
      <w:marRight w:val="0"/>
      <w:marTop w:val="0"/>
      <w:marBottom w:val="0"/>
      <w:divBdr>
        <w:top w:val="none" w:sz="0" w:space="0" w:color="auto"/>
        <w:left w:val="none" w:sz="0" w:space="0" w:color="auto"/>
        <w:bottom w:val="none" w:sz="0" w:space="0" w:color="auto"/>
        <w:right w:val="none" w:sz="0" w:space="0" w:color="auto"/>
      </w:divBdr>
    </w:div>
    <w:div w:id="1668315979">
      <w:bodyDiv w:val="1"/>
      <w:marLeft w:val="0"/>
      <w:marRight w:val="0"/>
      <w:marTop w:val="0"/>
      <w:marBottom w:val="0"/>
      <w:divBdr>
        <w:top w:val="none" w:sz="0" w:space="0" w:color="auto"/>
        <w:left w:val="none" w:sz="0" w:space="0" w:color="auto"/>
        <w:bottom w:val="none" w:sz="0" w:space="0" w:color="auto"/>
        <w:right w:val="none" w:sz="0" w:space="0" w:color="auto"/>
      </w:divBdr>
    </w:div>
    <w:div w:id="1684164100">
      <w:bodyDiv w:val="1"/>
      <w:marLeft w:val="0"/>
      <w:marRight w:val="0"/>
      <w:marTop w:val="0"/>
      <w:marBottom w:val="0"/>
      <w:divBdr>
        <w:top w:val="none" w:sz="0" w:space="0" w:color="auto"/>
        <w:left w:val="none" w:sz="0" w:space="0" w:color="auto"/>
        <w:bottom w:val="none" w:sz="0" w:space="0" w:color="auto"/>
        <w:right w:val="none" w:sz="0" w:space="0" w:color="auto"/>
      </w:divBdr>
    </w:div>
    <w:div w:id="1696728127">
      <w:bodyDiv w:val="1"/>
      <w:marLeft w:val="0"/>
      <w:marRight w:val="0"/>
      <w:marTop w:val="0"/>
      <w:marBottom w:val="0"/>
      <w:divBdr>
        <w:top w:val="none" w:sz="0" w:space="0" w:color="auto"/>
        <w:left w:val="none" w:sz="0" w:space="0" w:color="auto"/>
        <w:bottom w:val="none" w:sz="0" w:space="0" w:color="auto"/>
        <w:right w:val="none" w:sz="0" w:space="0" w:color="auto"/>
      </w:divBdr>
    </w:div>
    <w:div w:id="1706326329">
      <w:bodyDiv w:val="1"/>
      <w:marLeft w:val="0"/>
      <w:marRight w:val="0"/>
      <w:marTop w:val="0"/>
      <w:marBottom w:val="0"/>
      <w:divBdr>
        <w:top w:val="none" w:sz="0" w:space="0" w:color="auto"/>
        <w:left w:val="none" w:sz="0" w:space="0" w:color="auto"/>
        <w:bottom w:val="none" w:sz="0" w:space="0" w:color="auto"/>
        <w:right w:val="none" w:sz="0" w:space="0" w:color="auto"/>
      </w:divBdr>
    </w:div>
    <w:div w:id="1707221507">
      <w:bodyDiv w:val="1"/>
      <w:marLeft w:val="0"/>
      <w:marRight w:val="0"/>
      <w:marTop w:val="0"/>
      <w:marBottom w:val="0"/>
      <w:divBdr>
        <w:top w:val="none" w:sz="0" w:space="0" w:color="auto"/>
        <w:left w:val="none" w:sz="0" w:space="0" w:color="auto"/>
        <w:bottom w:val="none" w:sz="0" w:space="0" w:color="auto"/>
        <w:right w:val="none" w:sz="0" w:space="0" w:color="auto"/>
      </w:divBdr>
    </w:div>
    <w:div w:id="1771584889">
      <w:bodyDiv w:val="1"/>
      <w:marLeft w:val="0"/>
      <w:marRight w:val="0"/>
      <w:marTop w:val="0"/>
      <w:marBottom w:val="0"/>
      <w:divBdr>
        <w:top w:val="none" w:sz="0" w:space="0" w:color="auto"/>
        <w:left w:val="none" w:sz="0" w:space="0" w:color="auto"/>
        <w:bottom w:val="none" w:sz="0" w:space="0" w:color="auto"/>
        <w:right w:val="none" w:sz="0" w:space="0" w:color="auto"/>
      </w:divBdr>
    </w:div>
    <w:div w:id="1863661993">
      <w:bodyDiv w:val="1"/>
      <w:marLeft w:val="0"/>
      <w:marRight w:val="0"/>
      <w:marTop w:val="0"/>
      <w:marBottom w:val="0"/>
      <w:divBdr>
        <w:top w:val="none" w:sz="0" w:space="0" w:color="auto"/>
        <w:left w:val="none" w:sz="0" w:space="0" w:color="auto"/>
        <w:bottom w:val="none" w:sz="0" w:space="0" w:color="auto"/>
        <w:right w:val="none" w:sz="0" w:space="0" w:color="auto"/>
      </w:divBdr>
    </w:div>
    <w:div w:id="1904757516">
      <w:bodyDiv w:val="1"/>
      <w:marLeft w:val="0"/>
      <w:marRight w:val="0"/>
      <w:marTop w:val="0"/>
      <w:marBottom w:val="0"/>
      <w:divBdr>
        <w:top w:val="none" w:sz="0" w:space="0" w:color="auto"/>
        <w:left w:val="none" w:sz="0" w:space="0" w:color="auto"/>
        <w:bottom w:val="none" w:sz="0" w:space="0" w:color="auto"/>
        <w:right w:val="none" w:sz="0" w:space="0" w:color="auto"/>
      </w:divBdr>
    </w:div>
    <w:div w:id="1934779672">
      <w:bodyDiv w:val="1"/>
      <w:marLeft w:val="0"/>
      <w:marRight w:val="0"/>
      <w:marTop w:val="0"/>
      <w:marBottom w:val="0"/>
      <w:divBdr>
        <w:top w:val="none" w:sz="0" w:space="0" w:color="auto"/>
        <w:left w:val="none" w:sz="0" w:space="0" w:color="auto"/>
        <w:bottom w:val="none" w:sz="0" w:space="0" w:color="auto"/>
        <w:right w:val="none" w:sz="0" w:space="0" w:color="auto"/>
      </w:divBdr>
    </w:div>
    <w:div w:id="1936329886">
      <w:bodyDiv w:val="1"/>
      <w:marLeft w:val="0"/>
      <w:marRight w:val="0"/>
      <w:marTop w:val="0"/>
      <w:marBottom w:val="0"/>
      <w:divBdr>
        <w:top w:val="none" w:sz="0" w:space="0" w:color="auto"/>
        <w:left w:val="none" w:sz="0" w:space="0" w:color="auto"/>
        <w:bottom w:val="none" w:sz="0" w:space="0" w:color="auto"/>
        <w:right w:val="none" w:sz="0" w:space="0" w:color="auto"/>
      </w:divBdr>
    </w:div>
    <w:div w:id="1948852011">
      <w:bodyDiv w:val="1"/>
      <w:marLeft w:val="0"/>
      <w:marRight w:val="0"/>
      <w:marTop w:val="0"/>
      <w:marBottom w:val="0"/>
      <w:divBdr>
        <w:top w:val="none" w:sz="0" w:space="0" w:color="auto"/>
        <w:left w:val="none" w:sz="0" w:space="0" w:color="auto"/>
        <w:bottom w:val="none" w:sz="0" w:space="0" w:color="auto"/>
        <w:right w:val="none" w:sz="0" w:space="0" w:color="auto"/>
      </w:divBdr>
    </w:div>
    <w:div w:id="1961691651">
      <w:bodyDiv w:val="1"/>
      <w:marLeft w:val="0"/>
      <w:marRight w:val="0"/>
      <w:marTop w:val="0"/>
      <w:marBottom w:val="0"/>
      <w:divBdr>
        <w:top w:val="none" w:sz="0" w:space="0" w:color="auto"/>
        <w:left w:val="none" w:sz="0" w:space="0" w:color="auto"/>
        <w:bottom w:val="none" w:sz="0" w:space="0" w:color="auto"/>
        <w:right w:val="none" w:sz="0" w:space="0" w:color="auto"/>
      </w:divBdr>
    </w:div>
    <w:div w:id="1999573812">
      <w:bodyDiv w:val="1"/>
      <w:marLeft w:val="0"/>
      <w:marRight w:val="0"/>
      <w:marTop w:val="0"/>
      <w:marBottom w:val="0"/>
      <w:divBdr>
        <w:top w:val="none" w:sz="0" w:space="0" w:color="auto"/>
        <w:left w:val="none" w:sz="0" w:space="0" w:color="auto"/>
        <w:bottom w:val="none" w:sz="0" w:space="0" w:color="auto"/>
        <w:right w:val="none" w:sz="0" w:space="0" w:color="auto"/>
      </w:divBdr>
    </w:div>
    <w:div w:id="2014911512">
      <w:bodyDiv w:val="1"/>
      <w:marLeft w:val="0"/>
      <w:marRight w:val="0"/>
      <w:marTop w:val="0"/>
      <w:marBottom w:val="0"/>
      <w:divBdr>
        <w:top w:val="none" w:sz="0" w:space="0" w:color="auto"/>
        <w:left w:val="none" w:sz="0" w:space="0" w:color="auto"/>
        <w:bottom w:val="none" w:sz="0" w:space="0" w:color="auto"/>
        <w:right w:val="none" w:sz="0" w:space="0" w:color="auto"/>
      </w:divBdr>
    </w:div>
    <w:div w:id="2035229666">
      <w:bodyDiv w:val="1"/>
      <w:marLeft w:val="0"/>
      <w:marRight w:val="0"/>
      <w:marTop w:val="0"/>
      <w:marBottom w:val="0"/>
      <w:divBdr>
        <w:top w:val="none" w:sz="0" w:space="0" w:color="auto"/>
        <w:left w:val="none" w:sz="0" w:space="0" w:color="auto"/>
        <w:bottom w:val="none" w:sz="0" w:space="0" w:color="auto"/>
        <w:right w:val="none" w:sz="0" w:space="0" w:color="auto"/>
      </w:divBdr>
    </w:div>
    <w:div w:id="2064481832">
      <w:bodyDiv w:val="1"/>
      <w:marLeft w:val="0"/>
      <w:marRight w:val="0"/>
      <w:marTop w:val="0"/>
      <w:marBottom w:val="0"/>
      <w:divBdr>
        <w:top w:val="none" w:sz="0" w:space="0" w:color="auto"/>
        <w:left w:val="none" w:sz="0" w:space="0" w:color="auto"/>
        <w:bottom w:val="none" w:sz="0" w:space="0" w:color="auto"/>
        <w:right w:val="none" w:sz="0" w:space="0" w:color="auto"/>
      </w:divBdr>
    </w:div>
    <w:div w:id="2080012044">
      <w:bodyDiv w:val="1"/>
      <w:marLeft w:val="0"/>
      <w:marRight w:val="0"/>
      <w:marTop w:val="0"/>
      <w:marBottom w:val="0"/>
      <w:divBdr>
        <w:top w:val="none" w:sz="0" w:space="0" w:color="auto"/>
        <w:left w:val="none" w:sz="0" w:space="0" w:color="auto"/>
        <w:bottom w:val="none" w:sz="0" w:space="0" w:color="auto"/>
        <w:right w:val="none" w:sz="0" w:space="0" w:color="auto"/>
      </w:divBdr>
    </w:div>
    <w:div w:id="213609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9383A1-9987-49A8-BC5E-6BA2EA3BA945}">
  <we:reference id="wa200005669" version="2.0.0.0" store="ar-SA"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8931-6622-4364-B077-902F238C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34</Pages>
  <Words>6771</Words>
  <Characters>38595</Characters>
  <Application>Microsoft Office Word</Application>
  <DocSecurity>0</DocSecurity>
  <Lines>321</Lines>
  <Paragraphs>90</Paragraphs>
  <ScaleCrop>false</ScaleCrop>
  <HeadingPairs>
    <vt:vector size="2" baseType="variant">
      <vt:variant>
        <vt:lpstr>العنوان</vt:lpstr>
      </vt:variant>
      <vt:variant>
        <vt:i4>1</vt:i4>
      </vt:variant>
    </vt:vector>
  </HeadingPairs>
  <TitlesOfParts>
    <vt:vector size="1" baseType="lpstr">
      <vt:lpstr/>
    </vt:vector>
  </TitlesOfParts>
  <Company>Toshiba</Company>
  <LinksUpToDate>false</LinksUpToDate>
  <CharactersWithSpaces>45276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mans good</cp:lastModifiedBy>
  <cp:revision>3</cp:revision>
  <cp:lastPrinted>2025-11-11T21:20:00Z</cp:lastPrinted>
  <dcterms:created xsi:type="dcterms:W3CDTF">2026-01-13T17:00:00Z</dcterms:created>
  <dcterms:modified xsi:type="dcterms:W3CDTF">2026-01-13T17:03:00Z</dcterms:modified>
</cp:coreProperties>
</file>