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5CD" w:rsidRPr="004C102F" w:rsidRDefault="00F43F7A">
      <w:pPr>
        <w:spacing w:before="200" w:after="400"/>
        <w:jc w:val="center"/>
        <w:rPr>
          <w:sz w:val="24"/>
          <w:szCs w:val="24"/>
        </w:rPr>
      </w:pPr>
      <w:r w:rsidRPr="004C102F">
        <w:rPr>
          <w:noProof/>
          <w:sz w:val="24"/>
          <w:szCs w:val="24"/>
        </w:rPr>
        <w:drawing>
          <wp:inline distT="0" distB="0" distL="0" distR="0">
            <wp:extent cx="2095500" cy="6858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095500" cy="685800"/>
                    </a:xfrm>
                    <a:prstGeom prst="rect">
                      <a:avLst/>
                    </a:prstGeom>
                  </pic:spPr>
                </pic:pic>
              </a:graphicData>
            </a:graphic>
          </wp:inline>
        </w:drawing>
      </w:r>
    </w:p>
    <w:p w:rsidR="007155CD" w:rsidRPr="004C102F" w:rsidRDefault="00F43F7A">
      <w:pPr>
        <w:bidi/>
        <w:spacing w:before="200" w:after="100"/>
        <w:jc w:val="center"/>
        <w:rPr>
          <w:color w:val="2E74B5" w:themeColor="accent1" w:themeShade="BF"/>
          <w:sz w:val="24"/>
          <w:szCs w:val="24"/>
        </w:rPr>
      </w:pPr>
      <w:r w:rsidRPr="004C102F">
        <w:rPr>
          <w:rFonts w:eastAsia="Traditional Arabic"/>
          <w:b/>
          <w:bCs/>
          <w:color w:val="2E74B5" w:themeColor="accent1" w:themeShade="BF"/>
          <w:sz w:val="24"/>
          <w:szCs w:val="24"/>
          <w:rtl/>
        </w:rPr>
        <w:t>خطة تسجيل أطروحة الدكتوراه</w:t>
      </w:r>
    </w:p>
    <w:p w:rsidR="007155CD" w:rsidRPr="004C102F" w:rsidRDefault="00F43F7A">
      <w:pPr>
        <w:spacing w:after="500"/>
        <w:jc w:val="center"/>
        <w:rPr>
          <w:sz w:val="24"/>
          <w:szCs w:val="24"/>
        </w:rPr>
      </w:pPr>
      <w:r w:rsidRPr="004C102F">
        <w:rPr>
          <w:rFonts w:eastAsia="Calibri"/>
          <w:i/>
          <w:iCs/>
          <w:color w:val="595959"/>
          <w:sz w:val="24"/>
          <w:szCs w:val="24"/>
        </w:rPr>
        <w:t>Doctoral Thesis Registration Plan</w:t>
      </w:r>
    </w:p>
    <w:p w:rsidR="007155CD" w:rsidRPr="004C102F" w:rsidRDefault="00F43F7A">
      <w:pPr>
        <w:bidi/>
        <w:spacing w:before="200" w:after="60"/>
        <w:jc w:val="center"/>
        <w:rPr>
          <w:sz w:val="24"/>
          <w:szCs w:val="24"/>
        </w:rPr>
      </w:pPr>
      <w:r w:rsidRPr="004C102F">
        <w:rPr>
          <w:rFonts w:eastAsia="Traditional Arabic"/>
          <w:b/>
          <w:bCs/>
          <w:color w:val="1A1A1A"/>
          <w:sz w:val="24"/>
          <w:szCs w:val="24"/>
          <w:rtl/>
        </w:rPr>
        <w:t>العنوان باللغة العربية:</w:t>
      </w:r>
    </w:p>
    <w:p w:rsidR="007155CD" w:rsidRPr="004C102F" w:rsidRDefault="00F43F7A">
      <w:pPr>
        <w:pBdr>
          <w:bottom w:val="single" w:sz="4" w:space="4" w:color="BFBFBF"/>
        </w:pBdr>
        <w:bidi/>
        <w:spacing w:after="300"/>
        <w:jc w:val="center"/>
        <w:rPr>
          <w:sz w:val="24"/>
          <w:szCs w:val="24"/>
        </w:rPr>
      </w:pPr>
      <w:r w:rsidRPr="004C102F">
        <w:rPr>
          <w:rFonts w:eastAsia="Traditional Arabic"/>
          <w:b/>
          <w:bCs/>
          <w:color w:val="1A1A1A"/>
          <w:sz w:val="24"/>
          <w:szCs w:val="24"/>
          <w:rtl/>
        </w:rPr>
        <w:t>إطار دفاع سايبراني متكيف للبنى التحتية الحيوية باستخدام الذكاء الاصطناعي القابل للشرح ومبدأ الثقة الصفرية: دراسة حالة لجزر القمر</w:t>
      </w:r>
    </w:p>
    <w:p w:rsidR="007155CD" w:rsidRPr="004C102F" w:rsidRDefault="00F43F7A">
      <w:pPr>
        <w:bidi/>
        <w:spacing w:before="200" w:after="60"/>
        <w:jc w:val="center"/>
        <w:rPr>
          <w:sz w:val="24"/>
          <w:szCs w:val="24"/>
        </w:rPr>
      </w:pPr>
      <w:r w:rsidRPr="004C102F">
        <w:rPr>
          <w:rFonts w:eastAsia="Traditional Arabic"/>
          <w:b/>
          <w:bCs/>
          <w:color w:val="1A1A1A"/>
          <w:sz w:val="24"/>
          <w:szCs w:val="24"/>
          <w:rtl/>
        </w:rPr>
        <w:t>العنوان باللغة الإنجليزية:</w:t>
      </w:r>
    </w:p>
    <w:p w:rsidR="007155CD" w:rsidRPr="004C102F" w:rsidRDefault="00F43F7A">
      <w:pPr>
        <w:pBdr>
          <w:bottom w:val="single" w:sz="4" w:space="4" w:color="BFBFBF"/>
        </w:pBdr>
        <w:spacing w:after="40"/>
        <w:jc w:val="center"/>
        <w:rPr>
          <w:color w:val="2E74B5" w:themeColor="accent1" w:themeShade="BF"/>
          <w:sz w:val="24"/>
          <w:szCs w:val="24"/>
        </w:rPr>
      </w:pPr>
      <w:r w:rsidRPr="004C102F">
        <w:rPr>
          <w:rFonts w:eastAsia="Calibri"/>
          <w:b/>
          <w:bCs/>
          <w:color w:val="2E74B5" w:themeColor="accent1" w:themeShade="BF"/>
          <w:sz w:val="24"/>
          <w:szCs w:val="24"/>
        </w:rPr>
        <w:t xml:space="preserve">An Adaptive Cyber Defense Design Framework for Critical Infrastructures Integrating Explainable Artificial Intelligence and Zero </w:t>
      </w:r>
      <w:proofErr w:type="gramStart"/>
      <w:r w:rsidRPr="004C102F">
        <w:rPr>
          <w:rFonts w:eastAsia="Calibri"/>
          <w:b/>
          <w:bCs/>
          <w:color w:val="2E74B5" w:themeColor="accent1" w:themeShade="BF"/>
          <w:sz w:val="24"/>
          <w:szCs w:val="24"/>
        </w:rPr>
        <w:t>Trust:</w:t>
      </w:r>
      <w:proofErr w:type="gramEnd"/>
      <w:r w:rsidRPr="004C102F">
        <w:rPr>
          <w:rFonts w:eastAsia="Calibri"/>
          <w:b/>
          <w:bCs/>
          <w:color w:val="2E74B5" w:themeColor="accent1" w:themeShade="BF"/>
          <w:sz w:val="24"/>
          <w:szCs w:val="24"/>
        </w:rPr>
        <w:t xml:space="preserve"> A Case Study of the Union of the Comoros</w:t>
      </w:r>
    </w:p>
    <w:p w:rsidR="007155CD" w:rsidRPr="004C102F" w:rsidRDefault="007155CD">
      <w:pPr>
        <w:spacing w:before="400"/>
        <w:rPr>
          <w:sz w:val="24"/>
          <w:szCs w:val="24"/>
        </w:rPr>
      </w:pPr>
    </w:p>
    <w:p w:rsidR="007155CD" w:rsidRPr="004C102F" w:rsidRDefault="00F43F7A">
      <w:pPr>
        <w:bidi/>
        <w:spacing w:before="200" w:after="60"/>
        <w:jc w:val="center"/>
        <w:rPr>
          <w:sz w:val="24"/>
          <w:szCs w:val="24"/>
        </w:rPr>
      </w:pPr>
      <w:r w:rsidRPr="004C102F">
        <w:rPr>
          <w:rFonts w:eastAsia="Traditional Arabic"/>
          <w:b/>
          <w:bCs/>
          <w:color w:val="1A1A1A"/>
          <w:sz w:val="24"/>
          <w:szCs w:val="24"/>
          <w:rtl/>
        </w:rPr>
        <w:t>اسم الباحث:</w:t>
      </w:r>
    </w:p>
    <w:p w:rsidR="007155CD" w:rsidRPr="004C102F" w:rsidRDefault="00F43F7A">
      <w:pPr>
        <w:pBdr>
          <w:bottom w:val="single" w:sz="4" w:space="4" w:color="BFBFBF"/>
        </w:pBdr>
        <w:spacing w:after="40"/>
        <w:jc w:val="center"/>
        <w:rPr>
          <w:color w:val="2E74B5" w:themeColor="accent1" w:themeShade="BF"/>
          <w:sz w:val="24"/>
          <w:szCs w:val="24"/>
        </w:rPr>
      </w:pPr>
      <w:r w:rsidRPr="004C102F">
        <w:rPr>
          <w:rFonts w:eastAsia="Calibri"/>
          <w:b/>
          <w:bCs/>
          <w:color w:val="2E74B5" w:themeColor="accent1" w:themeShade="BF"/>
          <w:sz w:val="24"/>
          <w:szCs w:val="24"/>
        </w:rPr>
        <w:t>ALI MMADI</w:t>
      </w:r>
    </w:p>
    <w:p w:rsidR="007155CD" w:rsidRPr="004C102F" w:rsidRDefault="00F43F7A">
      <w:pPr>
        <w:bidi/>
        <w:spacing w:before="200" w:after="60"/>
        <w:jc w:val="center"/>
        <w:rPr>
          <w:sz w:val="24"/>
          <w:szCs w:val="24"/>
        </w:rPr>
      </w:pPr>
      <w:r w:rsidRPr="004C102F">
        <w:rPr>
          <w:rFonts w:eastAsia="Traditional Arabic"/>
          <w:b/>
          <w:bCs/>
          <w:color w:val="1A1A1A"/>
          <w:sz w:val="24"/>
          <w:szCs w:val="24"/>
          <w:rtl/>
        </w:rPr>
        <w:t>الرقم الأكاديمي:</w:t>
      </w:r>
    </w:p>
    <w:p w:rsidR="007155CD" w:rsidRPr="004C102F" w:rsidRDefault="00F43F7A">
      <w:pPr>
        <w:pBdr>
          <w:bottom w:val="single" w:sz="4" w:space="4" w:color="BFBFBF"/>
        </w:pBdr>
        <w:spacing w:after="40"/>
        <w:jc w:val="center"/>
        <w:rPr>
          <w:color w:val="2E74B5" w:themeColor="accent1" w:themeShade="BF"/>
          <w:sz w:val="24"/>
          <w:szCs w:val="24"/>
        </w:rPr>
      </w:pPr>
      <w:r w:rsidRPr="004C102F">
        <w:rPr>
          <w:rFonts w:eastAsia="Calibri"/>
          <w:b/>
          <w:bCs/>
          <w:color w:val="2E74B5" w:themeColor="accent1" w:themeShade="BF"/>
          <w:sz w:val="24"/>
          <w:szCs w:val="24"/>
        </w:rPr>
        <w:t>252001605</w:t>
      </w:r>
    </w:p>
    <w:p w:rsidR="007155CD" w:rsidRPr="004C102F" w:rsidRDefault="00F43F7A">
      <w:pPr>
        <w:bidi/>
        <w:spacing w:before="200" w:after="60"/>
        <w:jc w:val="center"/>
        <w:rPr>
          <w:sz w:val="24"/>
          <w:szCs w:val="24"/>
        </w:rPr>
      </w:pPr>
      <w:r w:rsidRPr="004C102F">
        <w:rPr>
          <w:rFonts w:eastAsia="Traditional Arabic"/>
          <w:b/>
          <w:bCs/>
          <w:color w:val="1A1A1A"/>
          <w:sz w:val="24"/>
          <w:szCs w:val="24"/>
          <w:rtl/>
        </w:rPr>
        <w:t>الكلية:</w:t>
      </w:r>
    </w:p>
    <w:p w:rsidR="007155CD" w:rsidRPr="004C102F" w:rsidRDefault="00F43F7A">
      <w:pPr>
        <w:pBdr>
          <w:bottom w:val="single" w:sz="4" w:space="4" w:color="BFBFBF"/>
        </w:pBdr>
        <w:spacing w:after="40"/>
        <w:jc w:val="center"/>
        <w:rPr>
          <w:color w:val="2E74B5" w:themeColor="accent1" w:themeShade="BF"/>
          <w:sz w:val="24"/>
          <w:szCs w:val="24"/>
        </w:rPr>
      </w:pPr>
      <w:r w:rsidRPr="004C102F">
        <w:rPr>
          <w:rFonts w:eastAsia="Calibri"/>
          <w:b/>
          <w:bCs/>
          <w:color w:val="2E74B5" w:themeColor="accent1" w:themeShade="BF"/>
          <w:sz w:val="24"/>
          <w:szCs w:val="24"/>
        </w:rPr>
        <w:t xml:space="preserve">Doctor of Philosophy (PhD) in Information Technology — </w:t>
      </w:r>
      <w:proofErr w:type="gramStart"/>
      <w:r w:rsidRPr="004C102F">
        <w:rPr>
          <w:rFonts w:eastAsia="Calibri"/>
          <w:b/>
          <w:bCs/>
          <w:color w:val="2E74B5" w:themeColor="accent1" w:themeShade="BF"/>
          <w:sz w:val="24"/>
          <w:szCs w:val="24"/>
        </w:rPr>
        <w:t>Specialization:</w:t>
      </w:r>
      <w:proofErr w:type="gramEnd"/>
      <w:r w:rsidRPr="004C102F">
        <w:rPr>
          <w:rFonts w:eastAsia="Calibri"/>
          <w:b/>
          <w:bCs/>
          <w:color w:val="2E74B5" w:themeColor="accent1" w:themeShade="BF"/>
          <w:sz w:val="24"/>
          <w:szCs w:val="24"/>
        </w:rPr>
        <w:t xml:space="preserve"> Cybersecurity</w:t>
      </w:r>
    </w:p>
    <w:p w:rsidR="007155CD" w:rsidRPr="004C102F" w:rsidRDefault="00F43F7A">
      <w:pPr>
        <w:bidi/>
        <w:spacing w:before="500"/>
        <w:jc w:val="center"/>
        <w:rPr>
          <w:sz w:val="24"/>
          <w:szCs w:val="24"/>
        </w:rPr>
      </w:pPr>
      <w:r w:rsidRPr="004C102F">
        <w:rPr>
          <w:rFonts w:eastAsia="Traditional Arabic"/>
          <w:b/>
          <w:bCs/>
          <w:color w:val="595959"/>
          <w:sz w:val="24"/>
          <w:szCs w:val="24"/>
          <w:rtl/>
        </w:rPr>
        <w:t>1447 / 1448</w:t>
      </w:r>
      <w:proofErr w:type="gramStart"/>
      <w:r w:rsidRPr="004C102F">
        <w:rPr>
          <w:rFonts w:eastAsia="Traditional Arabic"/>
          <w:b/>
          <w:bCs/>
          <w:color w:val="595959"/>
          <w:sz w:val="24"/>
          <w:szCs w:val="24"/>
          <w:rtl/>
        </w:rPr>
        <w:t>هـ  -</w:t>
      </w:r>
      <w:proofErr w:type="gramEnd"/>
      <w:r w:rsidRPr="004C102F">
        <w:rPr>
          <w:rFonts w:eastAsia="Traditional Arabic"/>
          <w:b/>
          <w:bCs/>
          <w:color w:val="595959"/>
          <w:sz w:val="24"/>
          <w:szCs w:val="24"/>
          <w:rtl/>
        </w:rPr>
        <w:t xml:space="preserve">  2026م</w:t>
      </w:r>
    </w:p>
    <w:p w:rsidR="007155CD" w:rsidRPr="004C102F" w:rsidRDefault="00F43F7A">
      <w:pPr>
        <w:spacing w:before="40"/>
        <w:jc w:val="center"/>
        <w:rPr>
          <w:sz w:val="24"/>
          <w:szCs w:val="24"/>
        </w:rPr>
      </w:pPr>
      <w:r w:rsidRPr="004C102F">
        <w:rPr>
          <w:rFonts w:eastAsia="Calibri"/>
          <w:b/>
          <w:bCs/>
          <w:color w:val="0B8EE9"/>
          <w:sz w:val="24"/>
          <w:szCs w:val="24"/>
        </w:rPr>
        <w:t>MIDOCEAN UNIVERSITY</w:t>
      </w:r>
    </w:p>
    <w:p w:rsidR="007155CD" w:rsidRPr="004C102F" w:rsidRDefault="00F43F7A">
      <w:pPr>
        <w:rPr>
          <w:sz w:val="24"/>
          <w:szCs w:val="24"/>
        </w:rPr>
      </w:pPr>
      <w:r w:rsidRPr="004C102F">
        <w:rPr>
          <w:sz w:val="24"/>
          <w:szCs w:val="24"/>
        </w:rPr>
        <w:br w:type="page"/>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075A94"/>
          <w:sz w:val="24"/>
          <w:szCs w:val="24"/>
          <w:rtl/>
        </w:rPr>
        <w:lastRenderedPageBreak/>
        <w:t>مقدمة الدراسة</w:t>
      </w:r>
    </w:p>
    <w:p w:rsidR="007155CD" w:rsidRPr="004C102F" w:rsidRDefault="00F43F7A">
      <w:pPr>
        <w:spacing w:after="200"/>
        <w:rPr>
          <w:sz w:val="24"/>
          <w:szCs w:val="24"/>
        </w:rPr>
      </w:pPr>
      <w:r w:rsidRPr="004C102F">
        <w:rPr>
          <w:rFonts w:eastAsia="Calibri"/>
          <w:i/>
          <w:iCs/>
          <w:color w:val="595959"/>
          <w:sz w:val="24"/>
          <w:szCs w:val="24"/>
        </w:rPr>
        <w:t>Introduction to the Study</w:t>
      </w:r>
    </w:p>
    <w:p w:rsidR="007155CD" w:rsidRPr="004C102F" w:rsidRDefault="00F43F7A">
      <w:pPr>
        <w:spacing w:before="240" w:after="100"/>
        <w:rPr>
          <w:sz w:val="24"/>
          <w:szCs w:val="24"/>
        </w:rPr>
      </w:pPr>
      <w:r w:rsidRPr="004C102F">
        <w:rPr>
          <w:rFonts w:eastAsia="Calibri"/>
          <w:b/>
          <w:bCs/>
          <w:color w:val="075A94"/>
          <w:sz w:val="24"/>
          <w:szCs w:val="24"/>
        </w:rPr>
        <w:t>1.1 Global Context</w:t>
      </w:r>
    </w:p>
    <w:p w:rsidR="007155CD" w:rsidRPr="004C102F" w:rsidRDefault="00F43F7A">
      <w:pPr>
        <w:spacing w:after="160" w:line="276" w:lineRule="auto"/>
        <w:jc w:val="both"/>
        <w:rPr>
          <w:sz w:val="24"/>
          <w:szCs w:val="24"/>
        </w:rPr>
      </w:pPr>
      <w:r w:rsidRPr="004C102F">
        <w:rPr>
          <w:rFonts w:eastAsia="Calibri"/>
          <w:color w:val="1A1A1A"/>
          <w:sz w:val="24"/>
          <w:szCs w:val="24"/>
        </w:rPr>
        <w:t>Critical infrastructures — including energy systems, telecommunications networks, transportation services, healthcare facilities, water distribution systems, and governmental information systems — constitute the backbone of modern societies and economies. As digital transformation accelerates globally, these infrastructures have become increasingly interconnected and dependent on information and communication technologies (ICTs). While this interconnectivity improves operational efficiency, it simultaneously increases exposure to sophisticated cyber threats.</w:t>
      </w:r>
    </w:p>
    <w:p w:rsidR="007155CD" w:rsidRPr="004C102F" w:rsidRDefault="00F43F7A">
      <w:pPr>
        <w:spacing w:after="160" w:line="276" w:lineRule="auto"/>
        <w:jc w:val="both"/>
        <w:rPr>
          <w:sz w:val="24"/>
          <w:szCs w:val="24"/>
        </w:rPr>
      </w:pPr>
      <w:r w:rsidRPr="004C102F">
        <w:rPr>
          <w:rFonts w:eastAsia="Calibri"/>
          <w:color w:val="1A1A1A"/>
          <w:sz w:val="24"/>
          <w:szCs w:val="24"/>
        </w:rPr>
        <w:t>Recent cyberattacks against critical infrastructures have demonstrated the limitations of traditional perimeter-based security approaches. Advanced Persistent Threats (APTs), ransomware campaigns, insider threats, supply-chain attacks, and AI-powered attacks have become more sophisticated and difficult to detect using conventional security mechanisms.</w:t>
      </w:r>
    </w:p>
    <w:p w:rsidR="007155CD" w:rsidRPr="004C102F" w:rsidRDefault="00F43F7A">
      <w:pPr>
        <w:spacing w:after="160" w:line="276" w:lineRule="auto"/>
        <w:jc w:val="both"/>
        <w:rPr>
          <w:sz w:val="24"/>
          <w:szCs w:val="24"/>
        </w:rPr>
      </w:pPr>
      <w:r w:rsidRPr="004C102F">
        <w:rPr>
          <w:rFonts w:eastAsia="Calibri"/>
          <w:color w:val="1A1A1A"/>
          <w:sz w:val="24"/>
          <w:szCs w:val="24"/>
        </w:rPr>
        <w:t>Zero Trust Architecture (ZTA) has emerged as a promising cybersecurity paradigm based on the principle of “Never Trust, Always Verify.” It addresses modern threats through identity verification, continuous authentication, and least-privilege access — principles that remain effective regardless of network perimeter.</w:t>
      </w:r>
    </w:p>
    <w:p w:rsidR="007155CD" w:rsidRPr="004C102F" w:rsidRDefault="00F43F7A">
      <w:pPr>
        <w:spacing w:after="160" w:line="276" w:lineRule="auto"/>
        <w:jc w:val="both"/>
        <w:rPr>
          <w:sz w:val="24"/>
          <w:szCs w:val="24"/>
        </w:rPr>
      </w:pPr>
      <w:r w:rsidRPr="004C102F">
        <w:rPr>
          <w:rFonts w:eastAsia="Calibri"/>
          <w:color w:val="1A1A1A"/>
          <w:sz w:val="24"/>
          <w:szCs w:val="24"/>
        </w:rPr>
        <w:t>Explainable Artificial Intelligence (XAI) complements ZTA by providing transparent and interpretable machine learning mechanisms. XAI directly resolves the “black-box” problem that limits acceptance of AI-based security tools among cybersecurity analysts and decision-makers — a concern addressed by the Technology Acceptance Model (TAM) and the Unified Theory of Acceptance and Use of Technology (UTAUT).</w:t>
      </w:r>
    </w:p>
    <w:p w:rsidR="007155CD" w:rsidRPr="004C102F" w:rsidRDefault="00F43F7A">
      <w:pPr>
        <w:spacing w:before="240" w:after="100"/>
        <w:rPr>
          <w:sz w:val="24"/>
          <w:szCs w:val="24"/>
        </w:rPr>
      </w:pPr>
      <w:r w:rsidRPr="004C102F">
        <w:rPr>
          <w:rFonts w:eastAsia="Calibri"/>
          <w:b/>
          <w:bCs/>
          <w:color w:val="075A94"/>
          <w:sz w:val="24"/>
          <w:szCs w:val="24"/>
        </w:rPr>
        <w:t>1.2 Comoros-Specific Context</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The Union of the Comoros is currently undergoing rapid digital transformation involving governmental institutions, telecommunications operators (notably Comores Telecom), financial services, and energy infrastructure. However, the country faces significant cybersecurity </w:t>
      </w:r>
      <w:proofErr w:type="gramStart"/>
      <w:r w:rsidRPr="004C102F">
        <w:rPr>
          <w:rFonts w:eastAsia="Calibri"/>
          <w:color w:val="1A1A1A"/>
          <w:sz w:val="24"/>
          <w:szCs w:val="24"/>
        </w:rPr>
        <w:t>challenges:</w:t>
      </w:r>
      <w:proofErr w:type="gramEnd"/>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No dedicated national Computer Emergency Response Team (CERT) or cybersecurity monitoring hub</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No enacted national cybersecurity law or comprehensive regulatory framework</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Limited telecom penetration (~60%), amplifying unmonitored digital exposure</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Shortage of cybersecurity expertise and qualified professionals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Fragmented security governance across state entities and sectors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Insufficient adoption of advanced security frameworks</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The absence of regional cybersecurity monitoring hubs and the island-isolated digital environment (spanning three </w:t>
      </w:r>
      <w:proofErr w:type="gramStart"/>
      <w:r w:rsidRPr="004C102F">
        <w:rPr>
          <w:rFonts w:eastAsia="Calibri"/>
          <w:color w:val="1A1A1A"/>
          <w:sz w:val="24"/>
          <w:szCs w:val="24"/>
        </w:rPr>
        <w:t>islands:</w:t>
      </w:r>
      <w:proofErr w:type="gramEnd"/>
      <w:r w:rsidRPr="004C102F">
        <w:rPr>
          <w:rFonts w:eastAsia="Calibri"/>
          <w:color w:val="1A1A1A"/>
          <w:sz w:val="24"/>
          <w:szCs w:val="24"/>
        </w:rPr>
        <w:t xml:space="preserve"> Grande Comore, Anjouan, and Moheli) further accelerates the need for a locally adaptive, low-resource cyber defense model calibrated to these structural constraints.</w:t>
      </w:r>
    </w:p>
    <w:p w:rsidR="007155CD" w:rsidRPr="004C102F" w:rsidRDefault="00F43F7A">
      <w:pPr>
        <w:spacing w:after="160" w:line="276" w:lineRule="auto"/>
        <w:jc w:val="both"/>
        <w:rPr>
          <w:sz w:val="24"/>
          <w:szCs w:val="24"/>
        </w:rPr>
      </w:pPr>
      <w:r w:rsidRPr="004C102F">
        <w:rPr>
          <w:rFonts w:eastAsia="Calibri"/>
          <w:color w:val="1A1A1A"/>
          <w:sz w:val="24"/>
          <w:szCs w:val="24"/>
        </w:rPr>
        <w:t>This study proposes the design, implementation, and evaluation of an Adaptive Cyber Defense Design Framework that combines Explainable Artificial Intelligence and Zero Trust Architecture for protecting critical infrastructures in the Union of the Comoros.</w:t>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075A94"/>
          <w:sz w:val="24"/>
          <w:szCs w:val="24"/>
          <w:rtl/>
        </w:rPr>
        <w:lastRenderedPageBreak/>
        <w:t>مشكلة الدراسة وتساؤلاتها</w:t>
      </w:r>
    </w:p>
    <w:p w:rsidR="007155CD" w:rsidRPr="004C102F" w:rsidRDefault="00F43F7A">
      <w:pPr>
        <w:spacing w:after="200"/>
        <w:rPr>
          <w:sz w:val="24"/>
          <w:szCs w:val="24"/>
        </w:rPr>
      </w:pPr>
      <w:r w:rsidRPr="004C102F">
        <w:rPr>
          <w:rFonts w:eastAsia="Calibri"/>
          <w:i/>
          <w:iCs/>
          <w:color w:val="595959"/>
          <w:sz w:val="24"/>
          <w:szCs w:val="24"/>
        </w:rPr>
        <w:t>Research Problem and Questions</w:t>
      </w:r>
    </w:p>
    <w:p w:rsidR="007155CD" w:rsidRPr="004C102F" w:rsidRDefault="00F43F7A">
      <w:pPr>
        <w:spacing w:after="160" w:line="276" w:lineRule="auto"/>
        <w:jc w:val="both"/>
        <w:rPr>
          <w:sz w:val="24"/>
          <w:szCs w:val="24"/>
        </w:rPr>
      </w:pPr>
      <w:r w:rsidRPr="004C102F">
        <w:rPr>
          <w:rFonts w:eastAsia="Calibri"/>
          <w:color w:val="1A1A1A"/>
          <w:sz w:val="24"/>
          <w:szCs w:val="24"/>
        </w:rPr>
        <w:t>The increasing digitalization of critical infrastructures in the Union of the Comoros has expanded the cyber threat landscape. Three interconnected problem dimensions justify this research.</w:t>
      </w:r>
    </w:p>
    <w:p w:rsidR="007155CD" w:rsidRPr="004C102F" w:rsidRDefault="00F43F7A">
      <w:pPr>
        <w:spacing w:before="240" w:after="100"/>
        <w:rPr>
          <w:sz w:val="24"/>
          <w:szCs w:val="24"/>
        </w:rPr>
      </w:pPr>
      <w:r w:rsidRPr="004C102F">
        <w:rPr>
          <w:rFonts w:eastAsia="Calibri"/>
          <w:b/>
          <w:bCs/>
          <w:color w:val="075A94"/>
          <w:sz w:val="24"/>
          <w:szCs w:val="24"/>
        </w:rPr>
        <w:t>Reactive Security Posture</w:t>
      </w:r>
    </w:p>
    <w:p w:rsidR="007155CD" w:rsidRPr="004C102F" w:rsidRDefault="00F43F7A">
      <w:pPr>
        <w:spacing w:after="160" w:line="276" w:lineRule="auto"/>
        <w:jc w:val="both"/>
        <w:rPr>
          <w:sz w:val="24"/>
          <w:szCs w:val="24"/>
        </w:rPr>
      </w:pPr>
      <w:r w:rsidRPr="004C102F">
        <w:rPr>
          <w:rFonts w:eastAsia="Calibri"/>
          <w:color w:val="1A1A1A"/>
          <w:sz w:val="24"/>
          <w:szCs w:val="24"/>
        </w:rPr>
        <w:t>Existing cybersecurity practices primarily rely on reactive security measures and traditional access control mechanisms that are insufficient against modern cyberattacks. No proactive or adaptive framework currently exists at the national level to protect Comorian critical infrastructure.</w:t>
      </w:r>
    </w:p>
    <w:p w:rsidR="007155CD" w:rsidRPr="004C102F" w:rsidRDefault="00F43F7A">
      <w:pPr>
        <w:spacing w:before="240" w:after="100"/>
        <w:rPr>
          <w:sz w:val="24"/>
          <w:szCs w:val="24"/>
        </w:rPr>
      </w:pPr>
      <w:r w:rsidRPr="004C102F">
        <w:rPr>
          <w:rFonts w:eastAsia="Calibri"/>
          <w:b/>
          <w:bCs/>
          <w:color w:val="075A94"/>
          <w:sz w:val="24"/>
          <w:szCs w:val="24"/>
        </w:rPr>
        <w:t>Black-Box AI Distrust</w:t>
      </w:r>
    </w:p>
    <w:p w:rsidR="007155CD" w:rsidRPr="004C102F" w:rsidRDefault="00F43F7A">
      <w:pPr>
        <w:spacing w:after="160" w:line="276" w:lineRule="auto"/>
        <w:jc w:val="both"/>
        <w:rPr>
          <w:sz w:val="24"/>
          <w:szCs w:val="24"/>
        </w:rPr>
      </w:pPr>
      <w:r w:rsidRPr="004C102F">
        <w:rPr>
          <w:rFonts w:eastAsia="Calibri"/>
          <w:color w:val="1A1A1A"/>
          <w:sz w:val="24"/>
          <w:szCs w:val="24"/>
        </w:rPr>
        <w:t>Current AI-based cybersecurity solutions often lack transparency and explainability, making it difficult for cybersecurity professionals to understand, trust, and validate security decisions generated by intelligent systems. Per the Technology Acceptance Model (TAM) and UTAUT, perceived transparency is a primary determinant of adoption intention. The absence of explainability constitutes a fundamental barrier to adoption and must be addressed through formal XAI integration.</w:t>
      </w:r>
    </w:p>
    <w:p w:rsidR="007155CD" w:rsidRPr="004C102F" w:rsidRDefault="00F43F7A">
      <w:pPr>
        <w:spacing w:before="240" w:after="100"/>
        <w:rPr>
          <w:sz w:val="24"/>
          <w:szCs w:val="24"/>
        </w:rPr>
      </w:pPr>
      <w:r w:rsidRPr="004C102F">
        <w:rPr>
          <w:rFonts w:eastAsia="Calibri"/>
          <w:b/>
          <w:bCs/>
          <w:color w:val="075A94"/>
          <w:sz w:val="24"/>
          <w:szCs w:val="24"/>
        </w:rPr>
        <w:t>Absence of a Contextual Framework</w:t>
      </w:r>
    </w:p>
    <w:p w:rsidR="007155CD" w:rsidRPr="004C102F" w:rsidRDefault="00F43F7A">
      <w:pPr>
        <w:spacing w:after="160" w:line="276" w:lineRule="auto"/>
        <w:jc w:val="both"/>
        <w:rPr>
          <w:sz w:val="24"/>
          <w:szCs w:val="24"/>
        </w:rPr>
      </w:pPr>
      <w:r w:rsidRPr="004C102F">
        <w:rPr>
          <w:rFonts w:eastAsia="Calibri"/>
          <w:color w:val="1A1A1A"/>
          <w:sz w:val="24"/>
          <w:szCs w:val="24"/>
        </w:rPr>
        <w:t>There is currently no comprehensive adaptive cybersecurity design framework specifically designed for the context of critical infrastructures in the Union of the Comoros that combines Zero Trust Architecture, Explainable Artificial Intelligence, real-time threat detection, adaptive response mechanisms, national cybersecurity resilience requirements, and adaptation to island-context constraints (limited bandwidth, legacy hardware, fragmented governance).</w:t>
      </w:r>
    </w:p>
    <w:p w:rsidR="007155CD" w:rsidRPr="004C102F" w:rsidRDefault="00F43F7A">
      <w:pPr>
        <w:spacing w:before="240" w:after="100"/>
        <w:rPr>
          <w:sz w:val="24"/>
          <w:szCs w:val="24"/>
        </w:rPr>
      </w:pPr>
      <w:r w:rsidRPr="004C102F">
        <w:rPr>
          <w:rFonts w:eastAsia="Calibri"/>
          <w:b/>
          <w:bCs/>
          <w:color w:val="075A94"/>
          <w:sz w:val="24"/>
          <w:szCs w:val="24"/>
        </w:rPr>
        <w:t>Theoretical Grounding</w:t>
      </w:r>
    </w:p>
    <w:p w:rsidR="007155CD" w:rsidRPr="004C102F" w:rsidRDefault="00F43F7A">
      <w:pPr>
        <w:spacing w:after="160" w:line="276" w:lineRule="auto"/>
        <w:jc w:val="both"/>
        <w:rPr>
          <w:sz w:val="24"/>
          <w:szCs w:val="24"/>
        </w:rPr>
      </w:pPr>
      <w:r w:rsidRPr="004C102F">
        <w:rPr>
          <w:rFonts w:eastAsia="Calibri"/>
          <w:color w:val="1A1A1A"/>
          <w:sz w:val="24"/>
          <w:szCs w:val="24"/>
        </w:rPr>
        <w:t>This study applies Sociotechnical Systems Theory to bridge infrastructure, policy, and human professionals as interacting components of a single security system; the Technology Acceptance Model (TAM) and the Unified Theory of Acceptance and Use of Technology (UTAUT) to justify why explanation transparency (XAI) structurally addresses the “black-box” human-distrust problem identified above; and island-context systems theory to explain how the specific structural constraints of small island developing states (bandwidth, legacy hardware, fragmented governance) alter standard cybersecurity framework design.</w:t>
      </w:r>
    </w:p>
    <w:p w:rsidR="007155CD" w:rsidRPr="004C102F" w:rsidRDefault="00F43F7A">
      <w:pPr>
        <w:spacing w:after="160" w:line="276" w:lineRule="auto"/>
        <w:jc w:val="both"/>
        <w:rPr>
          <w:sz w:val="24"/>
          <w:szCs w:val="24"/>
        </w:rPr>
      </w:pPr>
      <w:r w:rsidRPr="004C102F">
        <w:rPr>
          <w:rFonts w:eastAsia="Calibri"/>
          <w:color w:val="1A1A1A"/>
          <w:sz w:val="24"/>
          <w:szCs w:val="24"/>
        </w:rPr>
        <w:t>Consequently, there is a need to develop and evaluate a novel design framework capable of improving security effectiveness while maintaining transparency, trustworthiness, and applicability within the low-resource island context of the Union of the Comoros.</w:t>
      </w:r>
    </w:p>
    <w:p w:rsidR="007155CD" w:rsidRPr="004C102F" w:rsidRDefault="00F43F7A">
      <w:pPr>
        <w:spacing w:before="240" w:after="100"/>
        <w:rPr>
          <w:sz w:val="24"/>
          <w:szCs w:val="24"/>
        </w:rPr>
      </w:pPr>
      <w:r w:rsidRPr="004C102F">
        <w:rPr>
          <w:rFonts w:eastAsia="Calibri"/>
          <w:b/>
          <w:bCs/>
          <w:color w:val="075A94"/>
          <w:sz w:val="24"/>
          <w:szCs w:val="24"/>
        </w:rPr>
        <w:t>Main Research Question</w:t>
      </w:r>
    </w:p>
    <w:p w:rsidR="007155CD" w:rsidRPr="004C102F" w:rsidRDefault="00F43F7A">
      <w:pPr>
        <w:spacing w:after="160" w:line="276" w:lineRule="auto"/>
        <w:jc w:val="both"/>
        <w:rPr>
          <w:sz w:val="24"/>
          <w:szCs w:val="24"/>
        </w:rPr>
      </w:pPr>
      <w:r w:rsidRPr="004C102F">
        <w:rPr>
          <w:rFonts w:eastAsia="Calibri"/>
          <w:b/>
          <w:bCs/>
          <w:color w:val="1A1A1A"/>
          <w:sz w:val="24"/>
          <w:szCs w:val="24"/>
        </w:rPr>
        <w:t xml:space="preserve">How can an adaptive cyber defense design framework integrating Explainable Artificial Intelligence and Zero Trust Architecture enhance the security and resilience of critical infrastructures in the Union of the </w:t>
      </w:r>
      <w:proofErr w:type="gramStart"/>
      <w:r w:rsidRPr="004C102F">
        <w:rPr>
          <w:rFonts w:eastAsia="Calibri"/>
          <w:b/>
          <w:bCs/>
          <w:color w:val="1A1A1A"/>
          <w:sz w:val="24"/>
          <w:szCs w:val="24"/>
        </w:rPr>
        <w:t>Comoros?</w:t>
      </w:r>
      <w:proofErr w:type="gramEnd"/>
    </w:p>
    <w:p w:rsidR="007155CD" w:rsidRPr="004C102F" w:rsidRDefault="00F43F7A">
      <w:pPr>
        <w:spacing w:before="240" w:after="100"/>
        <w:rPr>
          <w:sz w:val="24"/>
          <w:szCs w:val="24"/>
        </w:rPr>
      </w:pPr>
      <w:r w:rsidRPr="004C102F">
        <w:rPr>
          <w:rFonts w:eastAsia="Calibri"/>
          <w:b/>
          <w:bCs/>
          <w:color w:val="075A94"/>
          <w:sz w:val="24"/>
          <w:szCs w:val="24"/>
        </w:rPr>
        <w:t>Sub-Questions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What are the main cybersecurity challenges (regulatory, technical, and governance) affecting critical infrastructures in the Union of the Comoros, based on empirical assessment of key ICT </w:t>
      </w:r>
      <w:proofErr w:type="gramStart"/>
      <w:r w:rsidRPr="004C102F">
        <w:rPr>
          <w:rFonts w:eastAsia="Calibri"/>
          <w:color w:val="1A1A1A"/>
          <w:sz w:val="24"/>
          <w:szCs w:val="24"/>
        </w:rPr>
        <w:t>stakeholders?</w:t>
      </w:r>
      <w:proofErr w:type="gramEnd"/>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lastRenderedPageBreak/>
        <w:t>How can XAI techniques improve cyber threat detection and decision-making — specifically, how does explanation transparency address the black-box distrust problem as modeled by TAM/</w:t>
      </w:r>
      <w:proofErr w:type="gramStart"/>
      <w:r w:rsidRPr="004C102F">
        <w:rPr>
          <w:rFonts w:eastAsia="Calibri"/>
          <w:color w:val="1A1A1A"/>
          <w:sz w:val="24"/>
          <w:szCs w:val="24"/>
        </w:rPr>
        <w:t>UTAUT?</w:t>
      </w:r>
      <w:proofErr w:type="gramEnd"/>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How can Zero Trust principles — identity verification, continuous authentication, and least-privilege — strengthen access control and reduce attack surfaces in a low-resource island </w:t>
      </w:r>
      <w:proofErr w:type="gramStart"/>
      <w:r w:rsidRPr="004C102F">
        <w:rPr>
          <w:rFonts w:eastAsia="Calibri"/>
          <w:color w:val="1A1A1A"/>
          <w:sz w:val="24"/>
          <w:szCs w:val="24"/>
        </w:rPr>
        <w:t>context?</w:t>
      </w:r>
      <w:proofErr w:type="gramEnd"/>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What adaptive mechanisms can dynamically respond to evolving cyber threats in resource-constrained </w:t>
      </w:r>
      <w:proofErr w:type="gramStart"/>
      <w:r w:rsidRPr="004C102F">
        <w:rPr>
          <w:rFonts w:eastAsia="Calibri"/>
          <w:color w:val="1A1A1A"/>
          <w:sz w:val="24"/>
          <w:szCs w:val="24"/>
        </w:rPr>
        <w:t>environments?</w:t>
      </w:r>
      <w:proofErr w:type="gramEnd"/>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What is the impact of the proposed framework on cybersecurity resilience, detection accuracy, and incident response efficiency compared to traditional security </w:t>
      </w:r>
      <w:proofErr w:type="gramStart"/>
      <w:r w:rsidRPr="004C102F">
        <w:rPr>
          <w:rFonts w:eastAsia="Calibri"/>
          <w:color w:val="1A1A1A"/>
          <w:sz w:val="24"/>
          <w:szCs w:val="24"/>
        </w:rPr>
        <w:t>architectures?</w:t>
      </w:r>
      <w:proofErr w:type="gramEnd"/>
    </w:p>
    <w:p w:rsidR="007155CD" w:rsidRPr="004C102F" w:rsidRDefault="00F43F7A">
      <w:pPr>
        <w:bidi/>
        <w:spacing w:before="120" w:after="40"/>
        <w:jc w:val="center"/>
        <w:rPr>
          <w:sz w:val="24"/>
          <w:szCs w:val="24"/>
        </w:rPr>
      </w:pPr>
      <w:r w:rsidRPr="004C102F">
        <w:rPr>
          <w:rFonts w:eastAsia="Traditional Arabic"/>
          <w:i/>
          <w:iCs/>
          <w:color w:val="A93226"/>
          <w:sz w:val="24"/>
          <w:szCs w:val="24"/>
          <w:rtl/>
        </w:rPr>
        <w:t>قواعد الكتابة والمراجع وفقًا لنظام جمعية علم النفس الأمريكية APA (الإصدار السابع)</w:t>
      </w:r>
    </w:p>
    <w:p w:rsidR="007155CD" w:rsidRPr="004C102F" w:rsidRDefault="00F43F7A">
      <w:pPr>
        <w:spacing w:after="200"/>
        <w:jc w:val="center"/>
        <w:rPr>
          <w:sz w:val="24"/>
          <w:szCs w:val="24"/>
        </w:rPr>
      </w:pPr>
      <w:r w:rsidRPr="004C102F">
        <w:rPr>
          <w:rFonts w:eastAsia="Calibri"/>
          <w:i/>
          <w:iCs/>
          <w:color w:val="A93226"/>
          <w:sz w:val="24"/>
          <w:szCs w:val="24"/>
        </w:rPr>
        <w:t>Referenced and formatted according to American Psychological Association (APA), 7th Edition</w:t>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075A94"/>
          <w:sz w:val="24"/>
          <w:szCs w:val="24"/>
          <w:rtl/>
        </w:rPr>
        <w:t>أهمية الدراسة (النظرية والتطبيقية)</w:t>
      </w:r>
    </w:p>
    <w:p w:rsidR="007155CD" w:rsidRPr="004C102F" w:rsidRDefault="00F43F7A">
      <w:pPr>
        <w:spacing w:after="200"/>
        <w:rPr>
          <w:sz w:val="24"/>
          <w:szCs w:val="24"/>
        </w:rPr>
      </w:pPr>
      <w:r w:rsidRPr="004C102F">
        <w:rPr>
          <w:rFonts w:eastAsia="Calibri"/>
          <w:i/>
          <w:iCs/>
          <w:color w:val="595959"/>
          <w:sz w:val="24"/>
          <w:szCs w:val="24"/>
        </w:rPr>
        <w:t>Significance of the Study — Theoretical and Practical</w:t>
      </w:r>
    </w:p>
    <w:p w:rsidR="007155CD" w:rsidRPr="004C102F" w:rsidRDefault="00F43F7A">
      <w:pPr>
        <w:spacing w:before="240" w:after="100"/>
        <w:rPr>
          <w:sz w:val="24"/>
          <w:szCs w:val="24"/>
        </w:rPr>
      </w:pPr>
      <w:r w:rsidRPr="004C102F">
        <w:rPr>
          <w:rFonts w:eastAsia="Calibri"/>
          <w:b/>
          <w:bCs/>
          <w:color w:val="075A94"/>
          <w:sz w:val="24"/>
          <w:szCs w:val="24"/>
        </w:rPr>
        <w:t>Theoretical Significance</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Academically, “tailoring a cybersecurity framework for developing countries” means more than translating existing </w:t>
      </w:r>
      <w:proofErr w:type="gramStart"/>
      <w:r w:rsidRPr="004C102F">
        <w:rPr>
          <w:rFonts w:eastAsia="Calibri"/>
          <w:color w:val="1A1A1A"/>
          <w:sz w:val="24"/>
          <w:szCs w:val="24"/>
        </w:rPr>
        <w:t>standards:</w:t>
      </w:r>
      <w:proofErr w:type="gramEnd"/>
      <w:r w:rsidRPr="004C102F">
        <w:rPr>
          <w:rFonts w:eastAsia="Calibri"/>
          <w:color w:val="1A1A1A"/>
          <w:sz w:val="24"/>
          <w:szCs w:val="24"/>
        </w:rPr>
        <w:t xml:space="preserve"> it means formally re-weighting design assumptions that mainstream ZTA/XAI models take for granted — continuous high-bandwidth connectivity, modern hardware refresh cycles, and unified governance — against the structural realities of small island developing states (SIDS). This study operationalizes that adaptation through three theoretical </w:t>
      </w:r>
      <w:proofErr w:type="gramStart"/>
      <w:r w:rsidRPr="004C102F">
        <w:rPr>
          <w:rFonts w:eastAsia="Calibri"/>
          <w:color w:val="1A1A1A"/>
          <w:sz w:val="24"/>
          <w:szCs w:val="24"/>
        </w:rPr>
        <w:t>adjustments:</w:t>
      </w:r>
      <w:proofErr w:type="gramEnd"/>
      <w:r w:rsidRPr="004C102F">
        <w:rPr>
          <w:rFonts w:eastAsia="Calibri"/>
          <w:color w:val="1A1A1A"/>
          <w:sz w:val="24"/>
          <w:szCs w:val="24"/>
        </w:rPr>
        <w:t xml:space="preserve"> (1) latency- and bandwidth-aware verification thresholds within Zero Trust policy engines, (2) computationally lightweight explainability approximations suited to legacy hardware, and (3) governance-fragmentation-aware policy automation that does not assume a single national security authority.</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Introduces quantitative metrics to measure trust in Zero Trust environments (e.g., continuous authentication confidence scores), advancing theoretical understanding of trust measurement in adaptive security systems.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Formally demonstrates how XAI (SHAP/LIME) addresses the black-box dilemma in critical infrastructure protection, grounded in TAM/UTAUT adoption theory.</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Defines academic criteria for adapting cybersecurity frameworks to low-resource, bandwidth-limited, and governance-fragmented digital environments — establishing transferable principles for small island developing states (SIDS).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Advances research on trustworthy AI in cybersecurity contexts.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Contributes to Africa's cybersecurity resilience research body.</w:t>
      </w:r>
    </w:p>
    <w:p w:rsidR="007155CD" w:rsidRPr="004C102F" w:rsidRDefault="00F43F7A">
      <w:pPr>
        <w:spacing w:before="240" w:after="100"/>
        <w:rPr>
          <w:sz w:val="24"/>
          <w:szCs w:val="24"/>
        </w:rPr>
      </w:pPr>
      <w:r w:rsidRPr="004C102F">
        <w:rPr>
          <w:rFonts w:eastAsia="Calibri"/>
          <w:b/>
          <w:bCs/>
          <w:color w:val="075A94"/>
          <w:sz w:val="24"/>
          <w:szCs w:val="24"/>
        </w:rPr>
        <w:t>Practical Significance</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Improves detection and protection of Comorian critical infrastructure across energy, telecommunications, government, financial, and water sectors.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Enables policymakers to build a national cybersecurity governance framework grounded in empirical data.</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lastRenderedPageBreak/>
        <w:t>Provides a replicable Zero Trust implementation roadmap for low-resource island nations.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Delivers an XAI-powered threat detection engine validated against international benchmark datasets.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Establishes a reference cybersecurity maturity model applicable across small island developing states (SIDS).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Strengthens national digital resilience and supports alignment with emerging regional ICT regulatory frameworks.</w:t>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075A94"/>
          <w:sz w:val="24"/>
          <w:szCs w:val="24"/>
          <w:rtl/>
        </w:rPr>
        <w:t>أهداف الدراسة</w:t>
      </w:r>
    </w:p>
    <w:p w:rsidR="007155CD" w:rsidRPr="004C102F" w:rsidRDefault="00F43F7A">
      <w:pPr>
        <w:spacing w:after="200"/>
        <w:rPr>
          <w:sz w:val="24"/>
          <w:szCs w:val="24"/>
        </w:rPr>
      </w:pPr>
      <w:r w:rsidRPr="004C102F">
        <w:rPr>
          <w:rFonts w:eastAsia="Calibri"/>
          <w:i/>
          <w:iCs/>
          <w:color w:val="595959"/>
          <w:sz w:val="24"/>
          <w:szCs w:val="24"/>
        </w:rPr>
        <w:t>Objectives of the Study</w:t>
      </w:r>
    </w:p>
    <w:p w:rsidR="007155CD" w:rsidRPr="004C102F" w:rsidRDefault="00F43F7A">
      <w:pPr>
        <w:spacing w:after="160" w:line="276" w:lineRule="auto"/>
        <w:jc w:val="both"/>
        <w:rPr>
          <w:sz w:val="24"/>
          <w:szCs w:val="24"/>
        </w:rPr>
      </w:pPr>
      <w:r w:rsidRPr="004C102F">
        <w:rPr>
          <w:rFonts w:eastAsia="Calibri"/>
          <w:i/>
          <w:iCs/>
          <w:color w:val="595959"/>
          <w:sz w:val="24"/>
          <w:szCs w:val="24"/>
        </w:rPr>
        <w:t>Each objective below is formulated to be Specific, Measurable, Achievable, Realistic, and Timely (SMART), consistent with the guidance of the registration plan.</w:t>
      </w:r>
    </w:p>
    <w:p w:rsidR="007155CD" w:rsidRPr="004C102F" w:rsidRDefault="00F43F7A">
      <w:pPr>
        <w:spacing w:before="240" w:after="100"/>
        <w:rPr>
          <w:sz w:val="24"/>
          <w:szCs w:val="24"/>
        </w:rPr>
      </w:pPr>
      <w:r w:rsidRPr="004C102F">
        <w:rPr>
          <w:rFonts w:eastAsia="Calibri"/>
          <w:b/>
          <w:bCs/>
          <w:color w:val="075A94"/>
          <w:sz w:val="24"/>
          <w:szCs w:val="24"/>
        </w:rPr>
        <w:t>General Objective</w:t>
      </w:r>
    </w:p>
    <w:p w:rsidR="007155CD" w:rsidRPr="004C102F" w:rsidRDefault="00F43F7A">
      <w:pPr>
        <w:spacing w:after="160" w:line="276" w:lineRule="auto"/>
        <w:jc w:val="both"/>
        <w:rPr>
          <w:sz w:val="24"/>
          <w:szCs w:val="24"/>
        </w:rPr>
      </w:pPr>
      <w:r w:rsidRPr="004C102F">
        <w:rPr>
          <w:rFonts w:eastAsia="Calibri"/>
          <w:color w:val="1A1A1A"/>
          <w:sz w:val="24"/>
          <w:szCs w:val="24"/>
        </w:rPr>
        <w:t>To develop and evaluate an Adaptive Cyber Defense Design Framework for critical infrastructures that integrates Explainable Artificial Intelligence and Zero Trust Architecture — adapted to the specific constraints of the Union of the Comoros.</w:t>
      </w:r>
    </w:p>
    <w:p w:rsidR="007155CD" w:rsidRPr="004C102F" w:rsidRDefault="00F43F7A">
      <w:pPr>
        <w:spacing w:before="240" w:after="100"/>
        <w:rPr>
          <w:sz w:val="24"/>
          <w:szCs w:val="24"/>
        </w:rPr>
      </w:pPr>
      <w:r w:rsidRPr="004C102F">
        <w:rPr>
          <w:rFonts w:eastAsia="Calibri"/>
          <w:b/>
          <w:bCs/>
          <w:color w:val="075A94"/>
          <w:sz w:val="24"/>
          <w:szCs w:val="24"/>
        </w:rPr>
        <w:t>Specific Objectives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To conduct an empirical baseline assessment (5–10 Comorian IT/ICT leaders) to analyze cybersecurity risks affecting critical infrastructures and document existing governance mandates.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To design a cybersecurity design framework integrating Explainable AI and Zero Trust principles, adapted for low-resource and island-isolated infrastructure constraints.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To develop XAI-powered intelligent threat detection mechanisms (e.g., SHAP-based feature attribution) optimized for resource-constrained computing environments.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To implement dynamic policy automation and adaptive incident response strategies aligned with Zero Trust continuous verification principles.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To evaluate the effectiveness of the proposed framework through engineering simulations on benchmark datasets and expert validation with 100–150 cybersecurity professionals.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To provide actionable cybersecurity policy recommendations for national critical infrastructure protection in the Union of the Comoros and replicable guidance for small island developing states.</w:t>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075A94"/>
          <w:sz w:val="24"/>
          <w:szCs w:val="24"/>
          <w:rtl/>
        </w:rPr>
        <w:t>فرضيات الدراسة</w:t>
      </w:r>
    </w:p>
    <w:p w:rsidR="007155CD" w:rsidRPr="004C102F" w:rsidRDefault="00F43F7A">
      <w:pPr>
        <w:spacing w:after="200"/>
        <w:rPr>
          <w:sz w:val="24"/>
          <w:szCs w:val="24"/>
        </w:rPr>
      </w:pPr>
      <w:r w:rsidRPr="004C102F">
        <w:rPr>
          <w:rFonts w:eastAsia="Calibri"/>
          <w:i/>
          <w:iCs/>
          <w:color w:val="595959"/>
          <w:sz w:val="24"/>
          <w:szCs w:val="24"/>
        </w:rPr>
        <w:t>Research Hypotheses</w:t>
      </w:r>
    </w:p>
    <w:p w:rsidR="007155CD" w:rsidRPr="004C102F" w:rsidRDefault="00F43F7A">
      <w:pPr>
        <w:spacing w:after="160" w:line="276" w:lineRule="auto"/>
        <w:jc w:val="both"/>
        <w:rPr>
          <w:sz w:val="24"/>
          <w:szCs w:val="24"/>
        </w:rPr>
      </w:pPr>
      <w:r w:rsidRPr="004C102F">
        <w:rPr>
          <w:rFonts w:eastAsia="Calibri"/>
          <w:b/>
          <w:bCs/>
          <w:color w:val="1A1A1A"/>
          <w:sz w:val="24"/>
          <w:szCs w:val="24"/>
        </w:rPr>
        <w:t>H</w:t>
      </w:r>
      <w:proofErr w:type="gramStart"/>
      <w:r w:rsidRPr="004C102F">
        <w:rPr>
          <w:rFonts w:eastAsia="Calibri"/>
          <w:b/>
          <w:bCs/>
          <w:color w:val="1A1A1A"/>
          <w:sz w:val="24"/>
          <w:szCs w:val="24"/>
        </w:rPr>
        <w:t>1:</w:t>
      </w:r>
      <w:proofErr w:type="gramEnd"/>
      <w:r w:rsidRPr="004C102F">
        <w:rPr>
          <w:rFonts w:eastAsia="Calibri"/>
          <w:b/>
          <w:bCs/>
          <w:color w:val="1A1A1A"/>
          <w:sz w:val="24"/>
          <w:szCs w:val="24"/>
        </w:rPr>
        <w:t xml:space="preserve"> XAI-based threat detection significantly improves detection accuracy (Precision, Recall, F1-Score) in Comorian critical infrastructure compared to non-explainable AI baselines.</w:t>
      </w:r>
    </w:p>
    <w:p w:rsidR="007155CD" w:rsidRPr="004C102F" w:rsidRDefault="00F43F7A">
      <w:pPr>
        <w:spacing w:after="160" w:line="276" w:lineRule="auto"/>
        <w:jc w:val="both"/>
        <w:rPr>
          <w:sz w:val="24"/>
          <w:szCs w:val="24"/>
        </w:rPr>
      </w:pPr>
      <w:r w:rsidRPr="004C102F">
        <w:rPr>
          <w:rFonts w:eastAsia="Calibri"/>
          <w:b/>
          <w:bCs/>
          <w:color w:val="1A1A1A"/>
          <w:sz w:val="24"/>
          <w:szCs w:val="24"/>
        </w:rPr>
        <w:t>H</w:t>
      </w:r>
      <w:proofErr w:type="gramStart"/>
      <w:r w:rsidRPr="004C102F">
        <w:rPr>
          <w:rFonts w:eastAsia="Calibri"/>
          <w:b/>
          <w:bCs/>
          <w:color w:val="1A1A1A"/>
          <w:sz w:val="24"/>
          <w:szCs w:val="24"/>
        </w:rPr>
        <w:t>2:</w:t>
      </w:r>
      <w:proofErr w:type="gramEnd"/>
      <w:r w:rsidRPr="004C102F">
        <w:rPr>
          <w:rFonts w:eastAsia="Calibri"/>
          <w:b/>
          <w:bCs/>
          <w:color w:val="1A1A1A"/>
          <w:sz w:val="24"/>
          <w:szCs w:val="24"/>
        </w:rPr>
        <w:t xml:space="preserve"> Zero Trust Architecture significantly reduces unauthorized access attempts through continuous authentication and least-privilege enforcement in island-context network environments.</w:t>
      </w:r>
    </w:p>
    <w:p w:rsidR="007155CD" w:rsidRPr="004C102F" w:rsidRDefault="00F43F7A">
      <w:pPr>
        <w:spacing w:after="160" w:line="276" w:lineRule="auto"/>
        <w:jc w:val="both"/>
        <w:rPr>
          <w:sz w:val="24"/>
          <w:szCs w:val="24"/>
        </w:rPr>
      </w:pPr>
      <w:r w:rsidRPr="004C102F">
        <w:rPr>
          <w:rFonts w:eastAsia="Calibri"/>
          <w:b/>
          <w:bCs/>
          <w:color w:val="1A1A1A"/>
          <w:sz w:val="24"/>
          <w:szCs w:val="24"/>
        </w:rPr>
        <w:lastRenderedPageBreak/>
        <w:t>H</w:t>
      </w:r>
      <w:proofErr w:type="gramStart"/>
      <w:r w:rsidRPr="004C102F">
        <w:rPr>
          <w:rFonts w:eastAsia="Calibri"/>
          <w:b/>
          <w:bCs/>
          <w:color w:val="1A1A1A"/>
          <w:sz w:val="24"/>
          <w:szCs w:val="24"/>
        </w:rPr>
        <w:t>3:</w:t>
      </w:r>
      <w:proofErr w:type="gramEnd"/>
      <w:r w:rsidRPr="004C102F">
        <w:rPr>
          <w:rFonts w:eastAsia="Calibri"/>
          <w:b/>
          <w:bCs/>
          <w:color w:val="1A1A1A"/>
          <w:sz w:val="24"/>
          <w:szCs w:val="24"/>
        </w:rPr>
        <w:t xml:space="preserve"> Adaptive cyber defense mechanisms significantly improve incident response time and effectiveness, as validated through engineering simulation on benchmark network datasets.</w:t>
      </w:r>
    </w:p>
    <w:p w:rsidR="007155CD" w:rsidRPr="004C102F" w:rsidRDefault="00F43F7A">
      <w:pPr>
        <w:spacing w:after="160" w:line="276" w:lineRule="auto"/>
        <w:jc w:val="both"/>
        <w:rPr>
          <w:sz w:val="24"/>
          <w:szCs w:val="24"/>
        </w:rPr>
      </w:pPr>
      <w:r w:rsidRPr="004C102F">
        <w:rPr>
          <w:rFonts w:eastAsia="Calibri"/>
          <w:b/>
          <w:bCs/>
          <w:color w:val="1A1A1A"/>
          <w:sz w:val="24"/>
          <w:szCs w:val="24"/>
        </w:rPr>
        <w:t>H</w:t>
      </w:r>
      <w:proofErr w:type="gramStart"/>
      <w:r w:rsidRPr="004C102F">
        <w:rPr>
          <w:rFonts w:eastAsia="Calibri"/>
          <w:b/>
          <w:bCs/>
          <w:color w:val="1A1A1A"/>
          <w:sz w:val="24"/>
          <w:szCs w:val="24"/>
        </w:rPr>
        <w:t>4:</w:t>
      </w:r>
      <w:proofErr w:type="gramEnd"/>
      <w:r w:rsidRPr="004C102F">
        <w:rPr>
          <w:rFonts w:eastAsia="Calibri"/>
          <w:b/>
          <w:bCs/>
          <w:color w:val="1A1A1A"/>
          <w:sz w:val="24"/>
          <w:szCs w:val="24"/>
        </w:rPr>
        <w:t xml:space="preserve"> The integrated XAI + Zero Trust framework significantly enhances overall cybersecurity resilience as measured by a composite cybersecurity maturity index.</w:t>
      </w:r>
    </w:p>
    <w:p w:rsidR="007155CD" w:rsidRPr="004C102F" w:rsidRDefault="00F43F7A">
      <w:pPr>
        <w:spacing w:after="160" w:line="276" w:lineRule="auto"/>
        <w:jc w:val="both"/>
        <w:rPr>
          <w:sz w:val="24"/>
          <w:szCs w:val="24"/>
        </w:rPr>
      </w:pPr>
      <w:r w:rsidRPr="004C102F">
        <w:rPr>
          <w:rFonts w:eastAsia="Calibri"/>
          <w:b/>
          <w:bCs/>
          <w:color w:val="1A1A1A"/>
          <w:sz w:val="24"/>
          <w:szCs w:val="24"/>
        </w:rPr>
        <w:t>H</w:t>
      </w:r>
      <w:proofErr w:type="gramStart"/>
      <w:r w:rsidRPr="004C102F">
        <w:rPr>
          <w:rFonts w:eastAsia="Calibri"/>
          <w:b/>
          <w:bCs/>
          <w:color w:val="1A1A1A"/>
          <w:sz w:val="24"/>
          <w:szCs w:val="24"/>
        </w:rPr>
        <w:t>5:</w:t>
      </w:r>
      <w:proofErr w:type="gramEnd"/>
      <w:r w:rsidRPr="004C102F">
        <w:rPr>
          <w:rFonts w:eastAsia="Calibri"/>
          <w:b/>
          <w:bCs/>
          <w:color w:val="1A1A1A"/>
          <w:sz w:val="24"/>
          <w:szCs w:val="24"/>
        </w:rPr>
        <w:t xml:space="preserve"> The proposed framework outperforms traditional perimeter-based security architectures across detection rate, false-positive rate, prevention score, and mean response time.</w:t>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075A94"/>
          <w:sz w:val="24"/>
          <w:szCs w:val="24"/>
          <w:rtl/>
        </w:rPr>
        <w:t>نموذج الدراسة</w:t>
      </w:r>
    </w:p>
    <w:p w:rsidR="007155CD" w:rsidRPr="004C102F" w:rsidRDefault="00F43F7A">
      <w:pPr>
        <w:spacing w:after="200"/>
        <w:rPr>
          <w:sz w:val="24"/>
          <w:szCs w:val="24"/>
        </w:rPr>
      </w:pPr>
      <w:r w:rsidRPr="004C102F">
        <w:rPr>
          <w:rFonts w:eastAsia="Calibri"/>
          <w:i/>
          <w:iCs/>
          <w:color w:val="595959"/>
          <w:sz w:val="24"/>
          <w:szCs w:val="24"/>
        </w:rPr>
        <w:t>Conceptual Model of the Study</w:t>
      </w:r>
    </w:p>
    <w:p w:rsidR="007155CD" w:rsidRPr="004C102F" w:rsidRDefault="00F43F7A">
      <w:pPr>
        <w:spacing w:before="240" w:after="100"/>
        <w:rPr>
          <w:sz w:val="24"/>
          <w:szCs w:val="24"/>
        </w:rPr>
      </w:pPr>
      <w:r w:rsidRPr="004C102F">
        <w:rPr>
          <w:rFonts w:eastAsia="Calibri"/>
          <w:b/>
          <w:bCs/>
          <w:color w:val="075A94"/>
          <w:sz w:val="24"/>
          <w:szCs w:val="24"/>
        </w:rPr>
        <w:t>Independent Variables</w:t>
      </w:r>
    </w:p>
    <w:p w:rsidR="007155CD" w:rsidRPr="004C102F" w:rsidRDefault="00F43F7A">
      <w:pPr>
        <w:spacing w:after="160" w:line="276" w:lineRule="auto"/>
        <w:jc w:val="both"/>
        <w:rPr>
          <w:sz w:val="24"/>
          <w:szCs w:val="24"/>
        </w:rPr>
      </w:pPr>
      <w:r w:rsidRPr="004C102F">
        <w:rPr>
          <w:rFonts w:eastAsia="Calibri"/>
          <w:color w:val="1A1A1A"/>
          <w:sz w:val="24"/>
          <w:szCs w:val="24"/>
        </w:rPr>
        <w:t>Explainable Artificial Intelligence (XAI</w:t>
      </w:r>
      <w:proofErr w:type="gramStart"/>
      <w:r w:rsidRPr="004C102F">
        <w:rPr>
          <w:rFonts w:eastAsia="Calibri"/>
          <w:color w:val="1A1A1A"/>
          <w:sz w:val="24"/>
          <w:szCs w:val="24"/>
        </w:rPr>
        <w:t>):</w:t>
      </w:r>
      <w:proofErr w:type="gramEnd"/>
      <w:r w:rsidRPr="004C102F">
        <w:rPr>
          <w:rFonts w:eastAsia="Calibri"/>
          <w:color w:val="1A1A1A"/>
          <w:sz w:val="24"/>
          <w:szCs w:val="24"/>
        </w:rPr>
        <w:t xml:space="preserve"> Feature Importance (SHAP), Model Transparency (LIME), and Decision Interpretability.</w:t>
      </w:r>
    </w:p>
    <w:p w:rsidR="007155CD" w:rsidRPr="004C102F" w:rsidRDefault="00F43F7A">
      <w:pPr>
        <w:spacing w:after="160" w:line="276" w:lineRule="auto"/>
        <w:jc w:val="both"/>
        <w:rPr>
          <w:sz w:val="24"/>
          <w:szCs w:val="24"/>
        </w:rPr>
      </w:pPr>
      <w:r w:rsidRPr="004C102F">
        <w:rPr>
          <w:rFonts w:eastAsia="Calibri"/>
          <w:color w:val="1A1A1A"/>
          <w:sz w:val="24"/>
          <w:szCs w:val="24"/>
        </w:rPr>
        <w:t>Zero Trust Architecture (ZTA</w:t>
      </w:r>
      <w:proofErr w:type="gramStart"/>
      <w:r w:rsidRPr="004C102F">
        <w:rPr>
          <w:rFonts w:eastAsia="Calibri"/>
          <w:color w:val="1A1A1A"/>
          <w:sz w:val="24"/>
          <w:szCs w:val="24"/>
        </w:rPr>
        <w:t>):</w:t>
      </w:r>
      <w:proofErr w:type="gramEnd"/>
      <w:r w:rsidRPr="004C102F">
        <w:rPr>
          <w:rFonts w:eastAsia="Calibri"/>
          <w:color w:val="1A1A1A"/>
          <w:sz w:val="24"/>
          <w:szCs w:val="24"/>
        </w:rPr>
        <w:t xml:space="preserve"> Identity Verification, Continuous Authentication, Least Privilege Access, and Micro-Segmentation.</w:t>
      </w:r>
    </w:p>
    <w:p w:rsidR="007155CD" w:rsidRPr="004C102F" w:rsidRDefault="00F43F7A">
      <w:pPr>
        <w:spacing w:after="160" w:line="276" w:lineRule="auto"/>
        <w:jc w:val="both"/>
        <w:rPr>
          <w:sz w:val="24"/>
          <w:szCs w:val="24"/>
        </w:rPr>
      </w:pPr>
      <w:r w:rsidRPr="004C102F">
        <w:rPr>
          <w:rFonts w:eastAsia="Calibri"/>
          <w:color w:val="1A1A1A"/>
          <w:sz w:val="24"/>
          <w:szCs w:val="24"/>
        </w:rPr>
        <w:t>Island-Context Constraints (Moderating</w:t>
      </w:r>
      <w:proofErr w:type="gramStart"/>
      <w:r w:rsidRPr="004C102F">
        <w:rPr>
          <w:rFonts w:eastAsia="Calibri"/>
          <w:color w:val="1A1A1A"/>
          <w:sz w:val="24"/>
          <w:szCs w:val="24"/>
        </w:rPr>
        <w:t>):</w:t>
      </w:r>
      <w:proofErr w:type="gramEnd"/>
      <w:r w:rsidRPr="004C102F">
        <w:rPr>
          <w:rFonts w:eastAsia="Calibri"/>
          <w:color w:val="1A1A1A"/>
          <w:sz w:val="24"/>
          <w:szCs w:val="24"/>
        </w:rPr>
        <w:t xml:space="preserve"> low bandwidth and connectivity limitations, legacy hardware environments, and governance fragmentation across islands.</w:t>
      </w:r>
    </w:p>
    <w:p w:rsidR="007155CD" w:rsidRPr="004C102F" w:rsidRDefault="00F43F7A">
      <w:pPr>
        <w:spacing w:before="240" w:after="100"/>
        <w:rPr>
          <w:sz w:val="24"/>
          <w:szCs w:val="24"/>
        </w:rPr>
      </w:pPr>
      <w:r w:rsidRPr="004C102F">
        <w:rPr>
          <w:rFonts w:eastAsia="Calibri"/>
          <w:b/>
          <w:bCs/>
          <w:color w:val="075A94"/>
          <w:sz w:val="24"/>
          <w:szCs w:val="24"/>
        </w:rPr>
        <w:t>Mediating Variable</w:t>
      </w:r>
    </w:p>
    <w:p w:rsidR="007155CD" w:rsidRPr="004C102F" w:rsidRDefault="00F43F7A">
      <w:pPr>
        <w:spacing w:after="160" w:line="276" w:lineRule="auto"/>
        <w:jc w:val="both"/>
        <w:rPr>
          <w:sz w:val="24"/>
          <w:szCs w:val="24"/>
        </w:rPr>
      </w:pPr>
      <w:r w:rsidRPr="004C102F">
        <w:rPr>
          <w:rFonts w:eastAsia="Calibri"/>
          <w:color w:val="1A1A1A"/>
          <w:sz w:val="24"/>
          <w:szCs w:val="24"/>
        </w:rPr>
        <w:t>Adaptive Threat Intelligence — the dynamic synthesis of XAI outputs and ZTA policy signals that enables real-time threat prioritization and response calibration.</w:t>
      </w:r>
    </w:p>
    <w:p w:rsidR="007155CD" w:rsidRPr="004C102F" w:rsidRDefault="00F43F7A">
      <w:pPr>
        <w:spacing w:before="240" w:after="100"/>
        <w:rPr>
          <w:sz w:val="24"/>
          <w:szCs w:val="24"/>
        </w:rPr>
      </w:pPr>
      <w:r w:rsidRPr="004C102F">
        <w:rPr>
          <w:rFonts w:eastAsia="Calibri"/>
          <w:b/>
          <w:bCs/>
          <w:color w:val="075A94"/>
          <w:sz w:val="24"/>
          <w:szCs w:val="24"/>
        </w:rPr>
        <w:t>Dependent Variables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Cybersecurity Resilience — composite maturity index</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Detection Accuracy — Precision / Recall / F1-Score</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Incident Response Effectiveness — Mean Response Time</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Infrastructure Availability — uptime and continuity metrics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Trust &amp; Usability — TAM-based expert validation score</w:t>
      </w:r>
    </w:p>
    <w:p w:rsidR="007155CD" w:rsidRPr="004C102F" w:rsidRDefault="00F43F7A">
      <w:pPr>
        <w:spacing w:after="160" w:line="276" w:lineRule="auto"/>
        <w:jc w:val="both"/>
        <w:rPr>
          <w:sz w:val="24"/>
          <w:szCs w:val="24"/>
        </w:rPr>
      </w:pPr>
      <w:r w:rsidRPr="004C102F">
        <w:rPr>
          <w:rFonts w:eastAsia="Calibri"/>
          <w:i/>
          <w:iCs/>
          <w:color w:val="595959"/>
          <w:sz w:val="24"/>
          <w:szCs w:val="24"/>
        </w:rPr>
        <w:t xml:space="preserve">Conceptually, the model flows as </w:t>
      </w:r>
      <w:proofErr w:type="gramStart"/>
      <w:r w:rsidRPr="004C102F">
        <w:rPr>
          <w:rFonts w:eastAsia="Calibri"/>
          <w:i/>
          <w:iCs/>
          <w:color w:val="595959"/>
          <w:sz w:val="24"/>
          <w:szCs w:val="24"/>
        </w:rPr>
        <w:t>follows:</w:t>
      </w:r>
      <w:proofErr w:type="gramEnd"/>
      <w:r w:rsidRPr="004C102F">
        <w:rPr>
          <w:rFonts w:eastAsia="Calibri"/>
          <w:i/>
          <w:iCs/>
          <w:color w:val="595959"/>
          <w:sz w:val="24"/>
          <w:szCs w:val="24"/>
        </w:rPr>
        <w:t xml:space="preserve"> the independent variables (XAI + ZTA), moderated by island-context constraints, feed into the mediating variable (Adaptive Threat Intelligence), which in turn produces measurable effects on the five dependent variables listed above.</w:t>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075A94"/>
          <w:sz w:val="24"/>
          <w:szCs w:val="24"/>
          <w:rtl/>
        </w:rPr>
        <w:t>الدراسات المرجعية</w:t>
      </w:r>
    </w:p>
    <w:p w:rsidR="007155CD" w:rsidRPr="004C102F" w:rsidRDefault="00F43F7A">
      <w:pPr>
        <w:spacing w:after="80"/>
        <w:rPr>
          <w:sz w:val="24"/>
          <w:szCs w:val="24"/>
        </w:rPr>
      </w:pPr>
      <w:r w:rsidRPr="004C102F">
        <w:rPr>
          <w:rFonts w:eastAsia="Calibri"/>
          <w:i/>
          <w:iCs/>
          <w:color w:val="595959"/>
          <w:sz w:val="24"/>
          <w:szCs w:val="24"/>
        </w:rPr>
        <w:t>Literature Review — Related Studies and Research Gap</w:t>
      </w:r>
    </w:p>
    <w:p w:rsidR="007155CD" w:rsidRPr="004C102F" w:rsidRDefault="00F43F7A">
      <w:pPr>
        <w:spacing w:after="60"/>
        <w:rPr>
          <w:sz w:val="24"/>
          <w:szCs w:val="24"/>
        </w:rPr>
      </w:pPr>
      <w:r w:rsidRPr="004C102F">
        <w:rPr>
          <w:rFonts w:eastAsia="Calibri"/>
          <w:i/>
          <w:iCs/>
          <w:color w:val="595959"/>
          <w:sz w:val="24"/>
          <w:szCs w:val="24"/>
        </w:rPr>
        <w:t>(Author, Year + Title + Objective + Critical Analysis)</w:t>
      </w:r>
    </w:p>
    <w:p w:rsidR="007155CD" w:rsidRPr="004C102F" w:rsidRDefault="007155CD">
      <w:pPr>
        <w:spacing w:after="80"/>
        <w:rPr>
          <w:sz w:val="24"/>
          <w:szCs w:val="24"/>
        </w:rPr>
      </w:pPr>
    </w:p>
    <w:p w:rsidR="007155CD" w:rsidRPr="004C102F" w:rsidRDefault="00F43F7A">
      <w:pPr>
        <w:spacing w:after="200" w:line="276" w:lineRule="auto"/>
        <w:jc w:val="both"/>
        <w:rPr>
          <w:sz w:val="24"/>
          <w:szCs w:val="24"/>
        </w:rPr>
      </w:pPr>
      <w:r w:rsidRPr="004C102F">
        <w:rPr>
          <w:rFonts w:eastAsia="Calibri"/>
          <w:color w:val="1A1A1A"/>
          <w:sz w:val="24"/>
          <w:szCs w:val="24"/>
        </w:rPr>
        <w:t xml:space="preserve">The following section presents a critical analysis of the six foundational studies that underpin this thesis. For each work, the review </w:t>
      </w:r>
      <w:proofErr w:type="gramStart"/>
      <w:r w:rsidRPr="004C102F">
        <w:rPr>
          <w:rFonts w:eastAsia="Calibri"/>
          <w:color w:val="1A1A1A"/>
          <w:sz w:val="24"/>
          <w:szCs w:val="24"/>
        </w:rPr>
        <w:t>covers:</w:t>
      </w:r>
      <w:proofErr w:type="gramEnd"/>
      <w:r w:rsidRPr="004C102F">
        <w:rPr>
          <w:rFonts w:eastAsia="Calibri"/>
          <w:color w:val="1A1A1A"/>
          <w:sz w:val="24"/>
          <w:szCs w:val="24"/>
        </w:rPr>
        <w:t xml:space="preserve"> (1) what the author proposes; (2) how the method functions; (3) its key strength and why it is interesting; (4) its principal limitation; and (5) its specific link to the Adaptive Cyber Defense Design Framework developed in this research. A comparative matrix follows the individual reviews.</w:t>
      </w:r>
    </w:p>
    <w:p w:rsidR="007155CD" w:rsidRPr="004C102F" w:rsidRDefault="00F43F7A">
      <w:pPr>
        <w:spacing w:before="280" w:after="80"/>
        <w:jc w:val="both"/>
        <w:rPr>
          <w:sz w:val="24"/>
          <w:szCs w:val="24"/>
        </w:rPr>
      </w:pPr>
      <w:r w:rsidRPr="004C102F">
        <w:rPr>
          <w:rFonts w:eastAsia="Calibri"/>
          <w:b/>
          <w:bCs/>
          <w:color w:val="075A94"/>
          <w:sz w:val="24"/>
          <w:szCs w:val="24"/>
        </w:rPr>
        <w:lastRenderedPageBreak/>
        <w:t>Rose, Borchert, Mitchell &amp; Connelly (NIST SP 800-207, 2020)</w:t>
      </w:r>
    </w:p>
    <w:p w:rsidR="007155CD" w:rsidRPr="004C102F" w:rsidRDefault="00F43F7A">
      <w:pPr>
        <w:spacing w:after="80"/>
        <w:jc w:val="both"/>
        <w:rPr>
          <w:sz w:val="24"/>
          <w:szCs w:val="24"/>
        </w:rPr>
      </w:pPr>
      <w:r w:rsidRPr="004C102F">
        <w:rPr>
          <w:rFonts w:eastAsia="Calibri"/>
          <w:i/>
          <w:iCs/>
          <w:color w:val="595959"/>
          <w:sz w:val="24"/>
          <w:szCs w:val="24"/>
        </w:rPr>
        <w:t>Rose, S., Borchert, O., Mitchell, S., &amp; Connelly, S. (2020). Zero Trust Architecture (NIST SP 800-207). National Institute of Standards and Technology.</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065A82"/>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PROPOSAL — WHAT THE AUTHOR PROPOSES</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Rose and colleagues, writing under the National Institute of Standards and Technology (NIST), formally articulate Zero Trust Architecture (ZTA) as a security paradigm grounded in the principle that no user, device, or network segment should be trusted by default — even when operating inside the traditional network perimeter. The document defines seven tenets of ZTA and specifies three principal deployment </w:t>
      </w:r>
      <w:proofErr w:type="gramStart"/>
      <w:r w:rsidRPr="004C102F">
        <w:rPr>
          <w:rFonts w:eastAsia="Calibri"/>
          <w:color w:val="1A1A1A"/>
          <w:sz w:val="24"/>
          <w:szCs w:val="24"/>
        </w:rPr>
        <w:t>models:</w:t>
      </w:r>
      <w:proofErr w:type="gramEnd"/>
      <w:r w:rsidRPr="004C102F">
        <w:rPr>
          <w:rFonts w:eastAsia="Calibri"/>
          <w:color w:val="1A1A1A"/>
          <w:sz w:val="24"/>
          <w:szCs w:val="24"/>
        </w:rPr>
        <w:t xml:space="preserve"> the Enhanced Identity Governance model, the Micro-Segmented Network model, and the Software-Defined Perimeter model.</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065A82"/>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HOW THE METHOD WORKS</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ZTA as specified by NIST operates through a Policy Decision Point (PDP) and </w:t>
      </w:r>
      <w:proofErr w:type="gramStart"/>
      <w:r w:rsidRPr="004C102F">
        <w:rPr>
          <w:rFonts w:eastAsia="Calibri"/>
          <w:color w:val="1A1A1A"/>
          <w:sz w:val="24"/>
          <w:szCs w:val="24"/>
        </w:rPr>
        <w:t>a</w:t>
      </w:r>
      <w:proofErr w:type="gramEnd"/>
      <w:r w:rsidRPr="004C102F">
        <w:rPr>
          <w:rFonts w:eastAsia="Calibri"/>
          <w:color w:val="1A1A1A"/>
          <w:sz w:val="24"/>
          <w:szCs w:val="24"/>
        </w:rPr>
        <w:t xml:space="preserve"> Policy Enforcement Point (PEP) working in tandem. Every access request — regardless of source — is evaluated in real time against a dynamic trust score computed from identity attributes, device health signals, and behavioural context. Access is granted on a per-session, least-privilege basis and is continuously re-evaluated. The framework does not incorporate machine learning or AI-driven </w:t>
      </w:r>
      <w:proofErr w:type="gramStart"/>
      <w:r w:rsidRPr="004C102F">
        <w:rPr>
          <w:rFonts w:eastAsia="Calibri"/>
          <w:color w:val="1A1A1A"/>
          <w:sz w:val="24"/>
          <w:szCs w:val="24"/>
        </w:rPr>
        <w:t>detection;</w:t>
      </w:r>
      <w:proofErr w:type="gramEnd"/>
      <w:r w:rsidRPr="004C102F">
        <w:rPr>
          <w:rFonts w:eastAsia="Calibri"/>
          <w:color w:val="1A1A1A"/>
          <w:sz w:val="24"/>
          <w:szCs w:val="24"/>
        </w:rPr>
        <w:t xml:space="preserve"> its trust calculus is rule-based and policy-driven.</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166534"/>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KEY STRENGTH</w:t>
            </w:r>
          </w:p>
        </w:tc>
      </w:tr>
    </w:tbl>
    <w:p w:rsidR="007155CD" w:rsidRPr="004C102F" w:rsidRDefault="00F43F7A">
      <w:pPr>
        <w:spacing w:after="120" w:line="276" w:lineRule="auto"/>
        <w:jc w:val="both"/>
        <w:rPr>
          <w:sz w:val="24"/>
          <w:szCs w:val="24"/>
        </w:rPr>
      </w:pPr>
      <w:r w:rsidRPr="004C102F">
        <w:rPr>
          <w:rFonts w:eastAsia="Calibri"/>
          <w:color w:val="1A1A1A"/>
          <w:sz w:val="24"/>
          <w:szCs w:val="24"/>
        </w:rPr>
        <w:t>NIST SP 800-207 is the de facto international reference standard for Zero Trust implementation. Its policy-based rigour ensures that access decisions are auditable, reproducible, and legally defensible — qualities essential for critical infrastructure environments. The document's architectural agnosticism (applicable to cloud, on-premise, and hybrid environments) makes it broadly adaptable.</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9B1C1C"/>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LIMITATION</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The standard is entirely static from an intelligence </w:t>
      </w:r>
      <w:proofErr w:type="gramStart"/>
      <w:r w:rsidRPr="004C102F">
        <w:rPr>
          <w:rFonts w:eastAsia="Calibri"/>
          <w:color w:val="1A1A1A"/>
          <w:sz w:val="24"/>
          <w:szCs w:val="24"/>
        </w:rPr>
        <w:t>perspective:</w:t>
      </w:r>
      <w:proofErr w:type="gramEnd"/>
      <w:r w:rsidRPr="004C102F">
        <w:rPr>
          <w:rFonts w:eastAsia="Calibri"/>
          <w:color w:val="1A1A1A"/>
          <w:sz w:val="24"/>
          <w:szCs w:val="24"/>
        </w:rPr>
        <w:t xml:space="preserve"> trust scores are computed from pre-defined policy rules, not from adaptive machine learning. It offers no explainability mechanism to help security analysts understand why a specific access request was blocked or flagged. Furthermore, the framework is designed for well-resourced federal and enterprise environments and provides no guidance for bandwidth-constrained, legacy-hardware, or fragmented-governance contexts — conditions characteristic of small island developing states such as the Union of the Comoros.</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1E40AF"/>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LINK TO THIS THESIS</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This thesis adopts NIST SP 800-207 as the foundational ZTA specification. However, where Rose et al. </w:t>
      </w:r>
      <w:proofErr w:type="gramStart"/>
      <w:r w:rsidRPr="004C102F">
        <w:rPr>
          <w:rFonts w:eastAsia="Calibri"/>
          <w:color w:val="1A1A1A"/>
          <w:sz w:val="24"/>
          <w:szCs w:val="24"/>
        </w:rPr>
        <w:t>stop</w:t>
      </w:r>
      <w:proofErr w:type="gramEnd"/>
      <w:r w:rsidRPr="004C102F">
        <w:rPr>
          <w:rFonts w:eastAsia="Calibri"/>
          <w:color w:val="1A1A1A"/>
          <w:sz w:val="24"/>
          <w:szCs w:val="24"/>
        </w:rPr>
        <w:t xml:space="preserve"> at static policy enforcement, this study extends the architecture by integrating an XAI-driven threat intelligence layer that dynamically adjusts trust scores based on real-time ML inference and SHAP-attributed feature signals. The proposed framework also addresses the island-context deployment gap through a phased Zero Trust roadmap calibrated for Comorian infrastructure constraints.</w:t>
      </w:r>
    </w:p>
    <w:p w:rsidR="007155CD" w:rsidRPr="004C102F" w:rsidRDefault="007155CD">
      <w:pPr>
        <w:spacing w:after="60"/>
        <w:rPr>
          <w:sz w:val="24"/>
          <w:szCs w:val="24"/>
        </w:rPr>
      </w:pPr>
    </w:p>
    <w:p w:rsidR="007155CD" w:rsidRPr="004C102F" w:rsidRDefault="007155CD">
      <w:pPr>
        <w:pBdr>
          <w:bottom w:val="single" w:sz="4" w:space="4" w:color="C0D8E8"/>
        </w:pBdr>
        <w:spacing w:before="200" w:after="160"/>
        <w:rPr>
          <w:sz w:val="24"/>
          <w:szCs w:val="24"/>
        </w:rPr>
      </w:pPr>
    </w:p>
    <w:p w:rsidR="007155CD" w:rsidRPr="004C102F" w:rsidRDefault="00F43F7A">
      <w:pPr>
        <w:spacing w:before="280" w:after="80"/>
        <w:jc w:val="both"/>
        <w:rPr>
          <w:sz w:val="24"/>
          <w:szCs w:val="24"/>
        </w:rPr>
      </w:pPr>
      <w:r w:rsidRPr="004C102F">
        <w:rPr>
          <w:rFonts w:eastAsia="Calibri"/>
          <w:b/>
          <w:bCs/>
          <w:color w:val="075A94"/>
          <w:sz w:val="24"/>
          <w:szCs w:val="24"/>
        </w:rPr>
        <w:t>Neupane, Ables, Anderson, Mittal, Rahimi, Banicescu &amp; Seale (IEEE Access, 2022)</w:t>
      </w:r>
    </w:p>
    <w:p w:rsidR="007155CD" w:rsidRPr="004C102F" w:rsidRDefault="00F43F7A">
      <w:pPr>
        <w:spacing w:after="80"/>
        <w:jc w:val="both"/>
        <w:rPr>
          <w:sz w:val="24"/>
          <w:szCs w:val="24"/>
        </w:rPr>
      </w:pPr>
      <w:r w:rsidRPr="004C102F">
        <w:rPr>
          <w:rFonts w:eastAsia="Calibri"/>
          <w:i/>
          <w:iCs/>
          <w:color w:val="595959"/>
          <w:sz w:val="24"/>
          <w:szCs w:val="24"/>
        </w:rPr>
        <w:t>Neupane, S., Ables, J., Anderson, W., Mittal, S., Rahimi, S., Banicescu, I., &amp; Seale, M. (2022). Explainable intrusion detection systems (X-IDS</w:t>
      </w:r>
      <w:proofErr w:type="gramStart"/>
      <w:r w:rsidRPr="004C102F">
        <w:rPr>
          <w:rFonts w:eastAsia="Calibri"/>
          <w:i/>
          <w:iCs/>
          <w:color w:val="595959"/>
          <w:sz w:val="24"/>
          <w:szCs w:val="24"/>
        </w:rPr>
        <w:t>):</w:t>
      </w:r>
      <w:proofErr w:type="gramEnd"/>
      <w:r w:rsidRPr="004C102F">
        <w:rPr>
          <w:rFonts w:eastAsia="Calibri"/>
          <w:i/>
          <w:iCs/>
          <w:color w:val="595959"/>
          <w:sz w:val="24"/>
          <w:szCs w:val="24"/>
        </w:rPr>
        <w:t xml:space="preserve"> A survey of current methods, challenges, and opportunities. IEEE Access, 10, 112392–112415.</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065A82"/>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PROPOSAL — WHAT THE AUTHOR PROPOSES</w:t>
            </w:r>
          </w:p>
        </w:tc>
      </w:tr>
    </w:tbl>
    <w:p w:rsidR="007155CD" w:rsidRPr="004C102F" w:rsidRDefault="00F43F7A">
      <w:pPr>
        <w:spacing w:after="120" w:line="276" w:lineRule="auto"/>
        <w:jc w:val="both"/>
        <w:rPr>
          <w:sz w:val="24"/>
          <w:szCs w:val="24"/>
        </w:rPr>
      </w:pPr>
      <w:r w:rsidRPr="004C102F">
        <w:rPr>
          <w:rFonts w:eastAsia="Calibri"/>
          <w:color w:val="1A1A1A"/>
          <w:sz w:val="24"/>
          <w:szCs w:val="24"/>
        </w:rPr>
        <w:t>Neupane and colleagues provide a comprehensive survey of Explainable Intrusion Detection Systems (X-IDS), reviewing how SHAP, LIME, and rule-based post-hoc explanation methods are applied to network intrusion detection. The survey's central claim is that explanation mechanisms are a necessary condition for operational trust in AI-driven security systems — a position directly aligned with the Technology Acceptance Model (TAM) and UTAUT.</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065A82"/>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HOW THE METHOD WORKS</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The study surveys three categories of explanation method applied to </w:t>
      </w:r>
      <w:proofErr w:type="gramStart"/>
      <w:r w:rsidRPr="004C102F">
        <w:rPr>
          <w:rFonts w:eastAsia="Calibri"/>
          <w:color w:val="1A1A1A"/>
          <w:sz w:val="24"/>
          <w:szCs w:val="24"/>
        </w:rPr>
        <w:t>IDS:</w:t>
      </w:r>
      <w:proofErr w:type="gramEnd"/>
      <w:r w:rsidRPr="004C102F">
        <w:rPr>
          <w:rFonts w:eastAsia="Calibri"/>
          <w:color w:val="1A1A1A"/>
          <w:sz w:val="24"/>
          <w:szCs w:val="24"/>
        </w:rPr>
        <w:t xml:space="preserve"> feature attribution (SHAP, LIME), rule extraction (decision-tree surrogates), and attention-based methods (for deep learning models). It evaluates each category against criteria of fidelity, comprehensibility, and computational cost. The authors do not implement a new </w:t>
      </w:r>
      <w:proofErr w:type="gramStart"/>
      <w:r w:rsidRPr="004C102F">
        <w:rPr>
          <w:rFonts w:eastAsia="Calibri"/>
          <w:color w:val="1A1A1A"/>
          <w:sz w:val="24"/>
          <w:szCs w:val="24"/>
        </w:rPr>
        <w:t>model;</w:t>
      </w:r>
      <w:proofErr w:type="gramEnd"/>
      <w:r w:rsidRPr="004C102F">
        <w:rPr>
          <w:rFonts w:eastAsia="Calibri"/>
          <w:color w:val="1A1A1A"/>
          <w:sz w:val="24"/>
          <w:szCs w:val="24"/>
        </w:rPr>
        <w:t xml:space="preserve"> rather, they synthesise experimental results from 80+ primary studies to derive design recommendations for X-IDS systems.</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166534"/>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KEY STRENGTH</w:t>
            </w:r>
          </w:p>
        </w:tc>
      </w:tr>
    </w:tbl>
    <w:p w:rsidR="007155CD" w:rsidRPr="004C102F" w:rsidRDefault="00F43F7A">
      <w:pPr>
        <w:spacing w:after="120" w:line="276" w:lineRule="auto"/>
        <w:jc w:val="both"/>
        <w:rPr>
          <w:sz w:val="24"/>
          <w:szCs w:val="24"/>
        </w:rPr>
      </w:pPr>
      <w:r w:rsidRPr="004C102F">
        <w:rPr>
          <w:rFonts w:eastAsia="Calibri"/>
          <w:color w:val="1A1A1A"/>
          <w:sz w:val="24"/>
          <w:szCs w:val="24"/>
        </w:rPr>
        <w:t>This is the most complete survey of XAI applied specifically to network intrusion detection, bridging the gap between general XAI theory (Arrieta et al., 2020) and security application. Its fidelity-comprehensibility-cost framework provides directly actionable criteria for selecting explanation methods in the proposed framework.</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9B1C1C"/>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LIMITATION</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The survey evaluates methods in enterprise and general IT </w:t>
      </w:r>
      <w:proofErr w:type="gramStart"/>
      <w:r w:rsidRPr="004C102F">
        <w:rPr>
          <w:rFonts w:eastAsia="Calibri"/>
          <w:color w:val="1A1A1A"/>
          <w:sz w:val="24"/>
          <w:szCs w:val="24"/>
        </w:rPr>
        <w:t>environments;</w:t>
      </w:r>
      <w:proofErr w:type="gramEnd"/>
      <w:r w:rsidRPr="004C102F">
        <w:rPr>
          <w:rFonts w:eastAsia="Calibri"/>
          <w:color w:val="1A1A1A"/>
          <w:sz w:val="24"/>
          <w:szCs w:val="24"/>
        </w:rPr>
        <w:t xml:space="preserve"> no study reviewed addresses developing-nation or island-context deployment constraints. Additionally, no integration with Zero Trust access control is </w:t>
      </w:r>
      <w:proofErr w:type="gramStart"/>
      <w:r w:rsidRPr="004C102F">
        <w:rPr>
          <w:rFonts w:eastAsia="Calibri"/>
          <w:color w:val="1A1A1A"/>
          <w:sz w:val="24"/>
          <w:szCs w:val="24"/>
        </w:rPr>
        <w:t>considered:</w:t>
      </w:r>
      <w:proofErr w:type="gramEnd"/>
      <w:r w:rsidRPr="004C102F">
        <w:rPr>
          <w:rFonts w:eastAsia="Calibri"/>
          <w:color w:val="1A1A1A"/>
          <w:sz w:val="24"/>
          <w:szCs w:val="24"/>
        </w:rPr>
        <w:t xml:space="preserve"> XAI is treated as an output explanation layer, not as an input to dynamic trust scoring.</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1E40AF"/>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LINK TO THIS THESIS</w:t>
            </w:r>
          </w:p>
        </w:tc>
      </w:tr>
    </w:tbl>
    <w:p w:rsidR="007155CD" w:rsidRPr="004C102F" w:rsidRDefault="00F43F7A">
      <w:pPr>
        <w:spacing w:after="120" w:line="276" w:lineRule="auto"/>
        <w:jc w:val="both"/>
        <w:rPr>
          <w:sz w:val="24"/>
          <w:szCs w:val="24"/>
        </w:rPr>
      </w:pPr>
      <w:r w:rsidRPr="004C102F">
        <w:rPr>
          <w:rFonts w:eastAsia="Calibri"/>
          <w:color w:val="1A1A1A"/>
          <w:sz w:val="24"/>
          <w:szCs w:val="24"/>
        </w:rPr>
        <w:t>The X-IDS design recommendations directly inform the architecture of the XAI-powered threat detection engine in this thesis. In particular, the recommendation for SHAP-based feature attribution as the highest-fidelity, computationally feasible post-hoc method for tree-ensemble models justifies the selection of TreeSHAP in the proposed framework. This thesis extends the X-IDS paradigm by coupling XAI output to Zero Trust dynamic trust scoring — a combination absent from any study reviewed by Neupane et al.</w:t>
      </w:r>
    </w:p>
    <w:p w:rsidR="007155CD" w:rsidRPr="004C102F" w:rsidRDefault="007155CD">
      <w:pPr>
        <w:spacing w:after="60"/>
        <w:rPr>
          <w:sz w:val="24"/>
          <w:szCs w:val="24"/>
        </w:rPr>
      </w:pPr>
    </w:p>
    <w:p w:rsidR="007155CD" w:rsidRPr="004C102F" w:rsidRDefault="007155CD">
      <w:pPr>
        <w:pBdr>
          <w:bottom w:val="single" w:sz="4" w:space="4" w:color="C0D8E8"/>
        </w:pBdr>
        <w:spacing w:before="200" w:after="160"/>
        <w:rPr>
          <w:sz w:val="24"/>
          <w:szCs w:val="24"/>
        </w:rPr>
      </w:pPr>
    </w:p>
    <w:p w:rsidR="007155CD" w:rsidRPr="004C102F" w:rsidRDefault="00F43F7A">
      <w:pPr>
        <w:spacing w:before="280" w:after="80"/>
        <w:jc w:val="both"/>
        <w:rPr>
          <w:sz w:val="24"/>
          <w:szCs w:val="24"/>
        </w:rPr>
      </w:pPr>
      <w:r w:rsidRPr="004C102F">
        <w:rPr>
          <w:rFonts w:eastAsia="Calibri"/>
          <w:b/>
          <w:bCs/>
          <w:color w:val="075A94"/>
          <w:sz w:val="24"/>
          <w:szCs w:val="24"/>
        </w:rPr>
        <w:t>Moustafa, Koroniotis, Keshk, Zomaya &amp; Tari (IEEE COMST, 2023)</w:t>
      </w:r>
    </w:p>
    <w:p w:rsidR="007155CD" w:rsidRPr="004C102F" w:rsidRDefault="00F43F7A">
      <w:pPr>
        <w:spacing w:after="80"/>
        <w:jc w:val="both"/>
        <w:rPr>
          <w:sz w:val="24"/>
          <w:szCs w:val="24"/>
        </w:rPr>
      </w:pPr>
      <w:r w:rsidRPr="004C102F">
        <w:rPr>
          <w:rFonts w:eastAsia="Calibri"/>
          <w:i/>
          <w:iCs/>
          <w:color w:val="595959"/>
          <w:sz w:val="24"/>
          <w:szCs w:val="24"/>
        </w:rPr>
        <w:t xml:space="preserve">Moustafa, N., Koroniotis, N., Keshk, M., Zomaya, A. Y., &amp; Tari, Z. (2023). Explainable intrusion detection for cyber defences in the Internet of </w:t>
      </w:r>
      <w:proofErr w:type="gramStart"/>
      <w:r w:rsidRPr="004C102F">
        <w:rPr>
          <w:rFonts w:eastAsia="Calibri"/>
          <w:i/>
          <w:iCs/>
          <w:color w:val="595959"/>
          <w:sz w:val="24"/>
          <w:szCs w:val="24"/>
        </w:rPr>
        <w:t>Things:</w:t>
      </w:r>
      <w:proofErr w:type="gramEnd"/>
      <w:r w:rsidRPr="004C102F">
        <w:rPr>
          <w:rFonts w:eastAsia="Calibri"/>
          <w:i/>
          <w:iCs/>
          <w:color w:val="595959"/>
          <w:sz w:val="24"/>
          <w:szCs w:val="24"/>
        </w:rPr>
        <w:t xml:space="preserve"> Techniques and challenges. IEEE Communications Surveys &amp; Tutorials, 25(3), 1780–1818.</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065A82"/>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PROPOSAL — WHAT THE AUTHOR PROPOSES</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Moustafa and colleagues survey explainable intrusion detection specifically within Internet-of-Things (IoT) and cyber-physical systems — environments sharing key characteristics with Comorian critical </w:t>
      </w:r>
      <w:proofErr w:type="gramStart"/>
      <w:r w:rsidRPr="004C102F">
        <w:rPr>
          <w:rFonts w:eastAsia="Calibri"/>
          <w:color w:val="1A1A1A"/>
          <w:sz w:val="24"/>
          <w:szCs w:val="24"/>
        </w:rPr>
        <w:t>infrastructure:</w:t>
      </w:r>
      <w:proofErr w:type="gramEnd"/>
      <w:r w:rsidRPr="004C102F">
        <w:rPr>
          <w:rFonts w:eastAsia="Calibri"/>
          <w:color w:val="1A1A1A"/>
          <w:sz w:val="24"/>
          <w:szCs w:val="24"/>
        </w:rPr>
        <w:t xml:space="preserve"> resource constraints, heterogeneous devices, and limited computational power. The study proposes a layered XAI-IDS architecture combining SHAP and LIME with lightweight neural network classifiers.</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065A82"/>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HOW THE METHOD WORKS</w:t>
            </w:r>
          </w:p>
        </w:tc>
      </w:tr>
    </w:tbl>
    <w:p w:rsidR="007155CD" w:rsidRPr="004C102F" w:rsidRDefault="00F43F7A">
      <w:pPr>
        <w:spacing w:after="120" w:line="276" w:lineRule="auto"/>
        <w:jc w:val="both"/>
        <w:rPr>
          <w:sz w:val="24"/>
          <w:szCs w:val="24"/>
        </w:rPr>
      </w:pPr>
      <w:r w:rsidRPr="004C102F">
        <w:rPr>
          <w:rFonts w:eastAsia="Calibri"/>
          <w:color w:val="1A1A1A"/>
          <w:sz w:val="24"/>
          <w:szCs w:val="24"/>
        </w:rPr>
        <w:t>The proposed architecture layers a lightweight detection model (designed for IoT resource constraints) with post-hoc SHAP/LIME explanation. A federated learning component allows distributed training across IoT nodes without centralising raw data. Evaluation uses the UNSW-NB15 and BoT-IoT benchmark datasets across metrics of accuracy, precision, recall, and explanation fidelity.</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166534"/>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KEY STRENGTH</w:t>
            </w:r>
          </w:p>
        </w:tc>
      </w:tr>
    </w:tbl>
    <w:p w:rsidR="007155CD" w:rsidRPr="004C102F" w:rsidRDefault="00F43F7A">
      <w:pPr>
        <w:spacing w:after="120" w:line="276" w:lineRule="auto"/>
        <w:jc w:val="both"/>
        <w:rPr>
          <w:sz w:val="24"/>
          <w:szCs w:val="24"/>
        </w:rPr>
      </w:pPr>
      <w:r w:rsidRPr="004C102F">
        <w:rPr>
          <w:rFonts w:eastAsia="Calibri"/>
          <w:color w:val="1A1A1A"/>
          <w:sz w:val="24"/>
          <w:szCs w:val="24"/>
        </w:rPr>
        <w:t>This is the closest existing study to the Comorian context in terms of resource constraints and heterogeneous infrastructure. Its demonstration that SHAP and LIME remain effective in low-compute environments, and its use of benchmark datasets for evaluation, directly supports the feasibility of the proposed framework's engineering approach.</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9B1C1C"/>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LIMITATION</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The study focuses exclusively on IoT and cyber-physical </w:t>
      </w:r>
      <w:proofErr w:type="gramStart"/>
      <w:r w:rsidRPr="004C102F">
        <w:rPr>
          <w:rFonts w:eastAsia="Calibri"/>
          <w:color w:val="1A1A1A"/>
          <w:sz w:val="24"/>
          <w:szCs w:val="24"/>
        </w:rPr>
        <w:t>networks;</w:t>
      </w:r>
      <w:proofErr w:type="gramEnd"/>
      <w:r w:rsidRPr="004C102F">
        <w:rPr>
          <w:rFonts w:eastAsia="Calibri"/>
          <w:color w:val="1A1A1A"/>
          <w:sz w:val="24"/>
          <w:szCs w:val="24"/>
        </w:rPr>
        <w:t xml:space="preserve"> it does not address the administrative and governance dimensions of critical infrastructure security. Zero Trust Architecture is not integrated, and there is no consideration of fragmented national governance, absence of CERT infrastructure, or developing-country policy contexts.</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1E40AF"/>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LINK TO THIS THESIS</w:t>
            </w:r>
          </w:p>
        </w:tc>
      </w:tr>
    </w:tbl>
    <w:p w:rsidR="007155CD" w:rsidRPr="004C102F" w:rsidRDefault="00F43F7A">
      <w:pPr>
        <w:spacing w:after="120" w:line="276" w:lineRule="auto"/>
        <w:jc w:val="both"/>
        <w:rPr>
          <w:sz w:val="24"/>
          <w:szCs w:val="24"/>
        </w:rPr>
      </w:pPr>
      <w:r w:rsidRPr="004C102F">
        <w:rPr>
          <w:rFonts w:eastAsia="Calibri"/>
          <w:color w:val="1A1A1A"/>
          <w:sz w:val="24"/>
          <w:szCs w:val="24"/>
        </w:rPr>
        <w:t>Moustafa et al.'s lightweight SHAP/LIME architecture is adopted as the technical reference for the resource-constrained XAI implementation in this thesis. The federated training approach is considered for Phase 2 deployment across Comorian islands. This thesis adds the missing ZTA governance layer and island-context policy adaptation that Moustafa et al.'s purely technical framework does not address.</w:t>
      </w:r>
    </w:p>
    <w:p w:rsidR="007155CD" w:rsidRPr="004C102F" w:rsidRDefault="007155CD">
      <w:pPr>
        <w:spacing w:after="60"/>
        <w:rPr>
          <w:sz w:val="24"/>
          <w:szCs w:val="24"/>
        </w:rPr>
      </w:pPr>
    </w:p>
    <w:p w:rsidR="007155CD" w:rsidRPr="004C102F" w:rsidRDefault="007155CD">
      <w:pPr>
        <w:pBdr>
          <w:bottom w:val="single" w:sz="4" w:space="4" w:color="C0D8E8"/>
        </w:pBdr>
        <w:spacing w:before="200" w:after="160"/>
        <w:rPr>
          <w:sz w:val="24"/>
          <w:szCs w:val="24"/>
        </w:rPr>
      </w:pPr>
    </w:p>
    <w:p w:rsidR="007155CD" w:rsidRPr="004C102F" w:rsidRDefault="00F43F7A">
      <w:pPr>
        <w:spacing w:before="280" w:after="80"/>
        <w:jc w:val="both"/>
        <w:rPr>
          <w:sz w:val="24"/>
          <w:szCs w:val="24"/>
        </w:rPr>
      </w:pPr>
      <w:r w:rsidRPr="004C102F">
        <w:rPr>
          <w:rFonts w:eastAsia="Calibri"/>
          <w:b/>
          <w:bCs/>
          <w:color w:val="075A94"/>
          <w:sz w:val="24"/>
          <w:szCs w:val="24"/>
        </w:rPr>
        <w:t>Cao, Pokhrel, Zhu, Doss &amp; Li (Machine Intelligence Research, 2024)</w:t>
      </w:r>
    </w:p>
    <w:p w:rsidR="007155CD" w:rsidRPr="004C102F" w:rsidRDefault="00F43F7A">
      <w:pPr>
        <w:spacing w:after="80"/>
        <w:jc w:val="both"/>
        <w:rPr>
          <w:sz w:val="24"/>
          <w:szCs w:val="24"/>
        </w:rPr>
      </w:pPr>
      <w:r w:rsidRPr="004C102F">
        <w:rPr>
          <w:rFonts w:eastAsia="Calibri"/>
          <w:i/>
          <w:iCs/>
          <w:color w:val="595959"/>
          <w:sz w:val="24"/>
          <w:szCs w:val="24"/>
        </w:rPr>
        <w:t xml:space="preserve">Cao, J., Pokhrel, S. R., Zhu, L., Doss, R., &amp; Li, S. (2024). Automation and orchestration of Zero Trust </w:t>
      </w:r>
      <w:proofErr w:type="gramStart"/>
      <w:r w:rsidRPr="004C102F">
        <w:rPr>
          <w:rFonts w:eastAsia="Calibri"/>
          <w:i/>
          <w:iCs/>
          <w:color w:val="595959"/>
          <w:sz w:val="24"/>
          <w:szCs w:val="24"/>
        </w:rPr>
        <w:t>Architecture:</w:t>
      </w:r>
      <w:proofErr w:type="gramEnd"/>
      <w:r w:rsidRPr="004C102F">
        <w:rPr>
          <w:rFonts w:eastAsia="Calibri"/>
          <w:i/>
          <w:iCs/>
          <w:color w:val="595959"/>
          <w:sz w:val="24"/>
          <w:szCs w:val="24"/>
        </w:rPr>
        <w:t xml:space="preserve"> Potential and challenges. Machine Intelligence Research, 21(2), 234–253.</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065A82"/>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PROPOSAL — WHAT THE AUTHOR PROPOSES</w:t>
            </w:r>
          </w:p>
        </w:tc>
      </w:tr>
    </w:tbl>
    <w:p w:rsidR="007155CD" w:rsidRPr="004C102F" w:rsidRDefault="00F43F7A">
      <w:pPr>
        <w:spacing w:after="120" w:line="276" w:lineRule="auto"/>
        <w:jc w:val="both"/>
        <w:rPr>
          <w:sz w:val="24"/>
          <w:szCs w:val="24"/>
        </w:rPr>
      </w:pPr>
      <w:r w:rsidRPr="004C102F">
        <w:rPr>
          <w:rFonts w:eastAsia="Calibri"/>
          <w:color w:val="1A1A1A"/>
          <w:sz w:val="24"/>
          <w:szCs w:val="24"/>
        </w:rPr>
        <w:t>Cao and colleagues address a gap in existing ZTA literature by proposing automated orchestration of Zero Trust policies using AI-driven decision engines. Rather than treating ZTA as a static configuration, they advocate for real-time, machine-learning-driven adjustment of trust policies in response to detected behavioural anomalies — making it the closest existing study to the adaptive component of this thesis.</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065A82"/>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HOW THE METHOD WORKS</w:t>
            </w:r>
          </w:p>
        </w:tc>
      </w:tr>
    </w:tbl>
    <w:p w:rsidR="007155CD" w:rsidRPr="004C102F" w:rsidRDefault="00F43F7A">
      <w:pPr>
        <w:spacing w:after="120" w:line="276" w:lineRule="auto"/>
        <w:jc w:val="both"/>
        <w:rPr>
          <w:sz w:val="24"/>
          <w:szCs w:val="24"/>
        </w:rPr>
      </w:pPr>
      <w:r w:rsidRPr="004C102F">
        <w:rPr>
          <w:rFonts w:eastAsia="Calibri"/>
          <w:color w:val="1A1A1A"/>
          <w:sz w:val="24"/>
          <w:szCs w:val="24"/>
        </w:rPr>
        <w:t>The study proposes a ZTA orchestration layer using reinforcement learning to dynamically update micro-segmentation policies and access control rules based on real-time threat signals. Policy decisions are automated through a feedback loop between a threat detection module and the Policy Decision Point. The approach is evaluated in cloud and enterprise simulation environments.</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166534"/>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KEY STRENGTH</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By introducing ML-driven adaptive policy orchestration into ZTA, Cao et al. </w:t>
      </w:r>
      <w:proofErr w:type="gramStart"/>
      <w:r w:rsidRPr="004C102F">
        <w:rPr>
          <w:rFonts w:eastAsia="Calibri"/>
          <w:color w:val="1A1A1A"/>
          <w:sz w:val="24"/>
          <w:szCs w:val="24"/>
        </w:rPr>
        <w:t>bridge</w:t>
      </w:r>
      <w:proofErr w:type="gramEnd"/>
      <w:r w:rsidRPr="004C102F">
        <w:rPr>
          <w:rFonts w:eastAsia="Calibri"/>
          <w:color w:val="1A1A1A"/>
          <w:sz w:val="24"/>
          <w:szCs w:val="24"/>
        </w:rPr>
        <w:t xml:space="preserve"> the static-policy limitation identified in NIST SP 800-207. Their reinforcement learning framework demonstrates measurably faster policy response to detected anomalies compared to rule-based baselines — a result that validates the adaptive response mechanism proposed in this thesis.</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9B1C1C"/>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LIMITATION</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The study uses no explainability </w:t>
      </w:r>
      <w:proofErr w:type="gramStart"/>
      <w:r w:rsidRPr="004C102F">
        <w:rPr>
          <w:rFonts w:eastAsia="Calibri"/>
          <w:color w:val="1A1A1A"/>
          <w:sz w:val="24"/>
          <w:szCs w:val="24"/>
        </w:rPr>
        <w:t>mechanism:</w:t>
      </w:r>
      <w:proofErr w:type="gramEnd"/>
      <w:r w:rsidRPr="004C102F">
        <w:rPr>
          <w:rFonts w:eastAsia="Calibri"/>
          <w:color w:val="1A1A1A"/>
          <w:sz w:val="24"/>
          <w:szCs w:val="24"/>
        </w:rPr>
        <w:t xml:space="preserve"> the reinforcement learning policy engine operates as a black box. There is no transparency for security analysts or governance stakeholders. All evaluations are conducted in cloud/enterprise environments with no consideration of legacy hardware, limited bandwidth, or developing-country governance.</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1E40AF"/>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LINK TO THIS THESIS</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Cao et al.'s adaptive ZTA orchestration directly inspires the adaptive response layer of the proposed framework. However, this thesis adds two missing </w:t>
      </w:r>
      <w:proofErr w:type="gramStart"/>
      <w:r w:rsidRPr="004C102F">
        <w:rPr>
          <w:rFonts w:eastAsia="Calibri"/>
          <w:color w:val="1A1A1A"/>
          <w:sz w:val="24"/>
          <w:szCs w:val="24"/>
        </w:rPr>
        <w:t>dimensions:</w:t>
      </w:r>
      <w:proofErr w:type="gramEnd"/>
      <w:r w:rsidRPr="004C102F">
        <w:rPr>
          <w:rFonts w:eastAsia="Calibri"/>
          <w:color w:val="1A1A1A"/>
          <w:sz w:val="24"/>
          <w:szCs w:val="24"/>
        </w:rPr>
        <w:t xml:space="preserve"> first, XAI (SHAP) is applied to the threat detection output to make adaptive decisions transparent and auditable; second, the orchestration layer is calibrated for Comorian infrastructure constraints (legacy hardware, bandwidth limits, fragmented governance) absent from Cao et al.'s cloud-centric design.</w:t>
      </w:r>
    </w:p>
    <w:p w:rsidR="007155CD" w:rsidRPr="004C102F" w:rsidRDefault="007155CD">
      <w:pPr>
        <w:spacing w:after="60"/>
        <w:rPr>
          <w:sz w:val="24"/>
          <w:szCs w:val="24"/>
        </w:rPr>
      </w:pPr>
    </w:p>
    <w:p w:rsidR="007155CD" w:rsidRPr="004C102F" w:rsidRDefault="007155CD">
      <w:pPr>
        <w:pBdr>
          <w:bottom w:val="single" w:sz="4" w:space="4" w:color="C0D8E8"/>
        </w:pBdr>
        <w:spacing w:before="200" w:after="160"/>
        <w:rPr>
          <w:sz w:val="24"/>
          <w:szCs w:val="24"/>
        </w:rPr>
      </w:pPr>
    </w:p>
    <w:p w:rsidR="007155CD" w:rsidRPr="004C102F" w:rsidRDefault="00F43F7A">
      <w:pPr>
        <w:spacing w:before="280" w:after="80"/>
        <w:jc w:val="both"/>
        <w:rPr>
          <w:sz w:val="24"/>
          <w:szCs w:val="24"/>
        </w:rPr>
      </w:pPr>
      <w:r w:rsidRPr="004C102F">
        <w:rPr>
          <w:rFonts w:eastAsia="Calibri"/>
          <w:b/>
          <w:bCs/>
          <w:color w:val="075A94"/>
          <w:sz w:val="24"/>
          <w:szCs w:val="24"/>
        </w:rPr>
        <w:t>Bertino &amp; Islam (IEEE Security &amp; Privacy, 2023)</w:t>
      </w:r>
    </w:p>
    <w:p w:rsidR="007155CD" w:rsidRPr="004C102F" w:rsidRDefault="00F43F7A">
      <w:pPr>
        <w:spacing w:after="80"/>
        <w:jc w:val="both"/>
        <w:rPr>
          <w:sz w:val="24"/>
          <w:szCs w:val="24"/>
        </w:rPr>
      </w:pPr>
      <w:r w:rsidRPr="004C102F">
        <w:rPr>
          <w:rFonts w:eastAsia="Calibri"/>
          <w:i/>
          <w:iCs/>
          <w:color w:val="595959"/>
          <w:sz w:val="24"/>
          <w:szCs w:val="24"/>
        </w:rPr>
        <w:lastRenderedPageBreak/>
        <w:t xml:space="preserve">Bertino, E., &amp; Islam, N. (2023). Zero Trust architecture in </w:t>
      </w:r>
      <w:proofErr w:type="gramStart"/>
      <w:r w:rsidRPr="004C102F">
        <w:rPr>
          <w:rFonts w:eastAsia="Calibri"/>
          <w:i/>
          <w:iCs/>
          <w:color w:val="595959"/>
          <w:sz w:val="24"/>
          <w:szCs w:val="24"/>
        </w:rPr>
        <w:t>practice:</w:t>
      </w:r>
      <w:proofErr w:type="gramEnd"/>
      <w:r w:rsidRPr="004C102F">
        <w:rPr>
          <w:rFonts w:eastAsia="Calibri"/>
          <w:i/>
          <w:iCs/>
          <w:color w:val="595959"/>
          <w:sz w:val="24"/>
          <w:szCs w:val="24"/>
        </w:rPr>
        <w:t xml:space="preserve"> Challenges and solutions for critical infrastructure. IEEE Security &amp; Privacy, 21(2), 45–54.</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065A82"/>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PROPOSAL — WHAT THE AUTHOR PROPOSES</w:t>
            </w:r>
          </w:p>
        </w:tc>
      </w:tr>
    </w:tbl>
    <w:p w:rsidR="007155CD" w:rsidRPr="004C102F" w:rsidRDefault="00F43F7A">
      <w:pPr>
        <w:spacing w:after="120" w:line="276" w:lineRule="auto"/>
        <w:jc w:val="both"/>
        <w:rPr>
          <w:sz w:val="24"/>
          <w:szCs w:val="24"/>
        </w:rPr>
      </w:pPr>
      <w:r w:rsidRPr="004C102F">
        <w:rPr>
          <w:rFonts w:eastAsia="Calibri"/>
          <w:color w:val="1A1A1A"/>
          <w:sz w:val="24"/>
          <w:szCs w:val="24"/>
        </w:rPr>
        <w:t>Bertino and Islam move beyond the theoretical ZTA specification of NIST SP 800-207 to conduct a systematic assessment of practical adoption challenges in industrial and critical infrastructure environments. Their study identifies legacy system incompatibility, fragmented governance structures, and operational continuity requirements as the three dominant barriers to ZTA deployment — findings directly relevant to the Comorian context studied in this thesis.</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065A82"/>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HOW THE METHOD WORKS</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The study employs case analysis across critical infrastructure sectors (energy, transportation, healthcare), documenting real-world ZTA adoption attempts, their failure modes, and the organisational and technical conditions that determined outcomes. It does not propose a new </w:t>
      </w:r>
      <w:proofErr w:type="gramStart"/>
      <w:r w:rsidRPr="004C102F">
        <w:rPr>
          <w:rFonts w:eastAsia="Calibri"/>
          <w:color w:val="1A1A1A"/>
          <w:sz w:val="24"/>
          <w:szCs w:val="24"/>
        </w:rPr>
        <w:t>algorithm;</w:t>
      </w:r>
      <w:proofErr w:type="gramEnd"/>
      <w:r w:rsidRPr="004C102F">
        <w:rPr>
          <w:rFonts w:eastAsia="Calibri"/>
          <w:color w:val="1A1A1A"/>
          <w:sz w:val="24"/>
          <w:szCs w:val="24"/>
        </w:rPr>
        <w:t xml:space="preserve"> rather, it delivers a structured diagnostic framework mapping barriers to mitigation strategies at the policy and engineering levels.</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166534"/>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KEY STRENGTH</w:t>
            </w:r>
          </w:p>
        </w:tc>
      </w:tr>
    </w:tbl>
    <w:p w:rsidR="007155CD" w:rsidRPr="004C102F" w:rsidRDefault="00F43F7A">
      <w:pPr>
        <w:spacing w:after="120" w:line="276" w:lineRule="auto"/>
        <w:jc w:val="both"/>
        <w:rPr>
          <w:sz w:val="24"/>
          <w:szCs w:val="24"/>
        </w:rPr>
      </w:pPr>
      <w:r w:rsidRPr="004C102F">
        <w:rPr>
          <w:rFonts w:eastAsia="Calibri"/>
          <w:color w:val="1A1A1A"/>
          <w:sz w:val="24"/>
          <w:szCs w:val="24"/>
        </w:rPr>
        <w:t>By grounding ZTA analysis in real deployment evidence, Bertino and Islam produce the most practically relevant ZTA study for critical infrastructure contexts. Their identification of legacy hardware and governance fragmentation as primary barriers is the first systematic empirical documentation of these constraints — previously only anecdotally acknowledged in the literature.</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9B1C1C"/>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LIMITATION</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The study is purely </w:t>
      </w:r>
      <w:proofErr w:type="gramStart"/>
      <w:r w:rsidRPr="004C102F">
        <w:rPr>
          <w:rFonts w:eastAsia="Calibri"/>
          <w:color w:val="1A1A1A"/>
          <w:sz w:val="24"/>
          <w:szCs w:val="24"/>
        </w:rPr>
        <w:t>diagnostic:</w:t>
      </w:r>
      <w:proofErr w:type="gramEnd"/>
      <w:r w:rsidRPr="004C102F">
        <w:rPr>
          <w:rFonts w:eastAsia="Calibri"/>
          <w:color w:val="1A1A1A"/>
          <w:sz w:val="24"/>
          <w:szCs w:val="24"/>
        </w:rPr>
        <w:t xml:space="preserve"> it characterises barriers but proposes no explainability layer, no AI-driven adaptive mitigation, and no context-specific guidance for developing nations or small island states. All case studies originate from industrialised countries, leaving a significant gap for resource-constrained environments with fragmented digital governance.</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1E40AF"/>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LINK TO THIS THESIS</w:t>
            </w:r>
          </w:p>
        </w:tc>
      </w:tr>
    </w:tbl>
    <w:p w:rsidR="007155CD" w:rsidRPr="004C102F" w:rsidRDefault="00F43F7A">
      <w:pPr>
        <w:spacing w:after="120" w:line="276" w:lineRule="auto"/>
        <w:jc w:val="both"/>
        <w:rPr>
          <w:sz w:val="24"/>
          <w:szCs w:val="24"/>
        </w:rPr>
      </w:pPr>
      <w:r w:rsidRPr="004C102F">
        <w:rPr>
          <w:rFonts w:eastAsia="Calibri"/>
          <w:color w:val="1A1A1A"/>
          <w:sz w:val="24"/>
          <w:szCs w:val="24"/>
        </w:rPr>
        <w:t>The barriers documented by Bertino and Islam — legacy hardware, governance fragmentation, operational continuity — are directly operationalised as design constraints in this thesis. The proposed framework's phased Zero Trust roadmap is specifically structured to respect these constraints within the Comorian infrastructure environment, translating Bertino and Islam's diagnostic findings into actionable engineering design.</w:t>
      </w:r>
    </w:p>
    <w:p w:rsidR="007155CD" w:rsidRPr="004C102F" w:rsidRDefault="007155CD">
      <w:pPr>
        <w:spacing w:after="60"/>
        <w:rPr>
          <w:sz w:val="24"/>
          <w:szCs w:val="24"/>
        </w:rPr>
      </w:pPr>
    </w:p>
    <w:p w:rsidR="007155CD" w:rsidRPr="004C102F" w:rsidRDefault="007155CD">
      <w:pPr>
        <w:pBdr>
          <w:bottom w:val="single" w:sz="4" w:space="4" w:color="C0D8E8"/>
        </w:pBdr>
        <w:spacing w:before="200" w:after="160"/>
        <w:rPr>
          <w:sz w:val="24"/>
          <w:szCs w:val="24"/>
        </w:rPr>
      </w:pPr>
    </w:p>
    <w:p w:rsidR="007155CD" w:rsidRPr="004C102F" w:rsidRDefault="00F43F7A">
      <w:pPr>
        <w:spacing w:before="280" w:after="80"/>
        <w:jc w:val="both"/>
        <w:rPr>
          <w:sz w:val="24"/>
          <w:szCs w:val="24"/>
        </w:rPr>
      </w:pPr>
      <w:r w:rsidRPr="004C102F">
        <w:rPr>
          <w:rFonts w:eastAsia="Calibri"/>
          <w:b/>
          <w:bCs/>
          <w:color w:val="075A94"/>
          <w:sz w:val="24"/>
          <w:szCs w:val="24"/>
        </w:rPr>
        <w:t>European Union Agency for Cybersecurity — ENISA (2024)</w:t>
      </w:r>
    </w:p>
    <w:p w:rsidR="007155CD" w:rsidRPr="004C102F" w:rsidRDefault="00F43F7A">
      <w:pPr>
        <w:spacing w:after="80"/>
        <w:jc w:val="both"/>
        <w:rPr>
          <w:sz w:val="24"/>
          <w:szCs w:val="24"/>
        </w:rPr>
      </w:pPr>
      <w:r w:rsidRPr="004C102F">
        <w:rPr>
          <w:rFonts w:eastAsia="Calibri"/>
          <w:i/>
          <w:iCs/>
          <w:color w:val="595959"/>
          <w:sz w:val="24"/>
          <w:szCs w:val="24"/>
        </w:rPr>
        <w:t>European Union Agency for Cybersecurity (ENISA). (2024). ENISA Threat Landscape 2024. ENISA.</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065A82"/>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PROPOSAL — WHAT THE AUTHOR PROPOSES</w:t>
            </w:r>
          </w:p>
        </w:tc>
      </w:tr>
    </w:tbl>
    <w:p w:rsidR="007155CD" w:rsidRPr="004C102F" w:rsidRDefault="00F43F7A">
      <w:pPr>
        <w:spacing w:after="120" w:line="276" w:lineRule="auto"/>
        <w:jc w:val="both"/>
        <w:rPr>
          <w:sz w:val="24"/>
          <w:szCs w:val="24"/>
        </w:rPr>
      </w:pPr>
      <w:r w:rsidRPr="004C102F">
        <w:rPr>
          <w:rFonts w:eastAsia="Calibri"/>
          <w:color w:val="1A1A1A"/>
          <w:sz w:val="24"/>
          <w:szCs w:val="24"/>
        </w:rPr>
        <w:t>The European Union Agency for Cybersecurity (ENISA) publishes its annual Threat Landscape report as an authoritative synthesis of cyber threats targeting critical infrastructure sectors across EU member states. The 2024 edition documents a significant escalation in attacks on energy, transport, healthcare, and public administration, attributing this trend to geopolitical tensions, digital transformation, and the expanded availability of Ransomware-as-a-Service platforms.</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065A82"/>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HOW THE METHOD WORKS</w:t>
            </w:r>
          </w:p>
        </w:tc>
      </w:tr>
    </w:tbl>
    <w:p w:rsidR="007155CD" w:rsidRPr="004C102F" w:rsidRDefault="00F43F7A">
      <w:pPr>
        <w:spacing w:after="120" w:line="276" w:lineRule="auto"/>
        <w:jc w:val="both"/>
        <w:rPr>
          <w:sz w:val="24"/>
          <w:szCs w:val="24"/>
        </w:rPr>
      </w:pPr>
      <w:r w:rsidRPr="004C102F">
        <w:rPr>
          <w:rFonts w:eastAsia="Calibri"/>
          <w:color w:val="1A1A1A"/>
          <w:sz w:val="24"/>
          <w:szCs w:val="24"/>
        </w:rPr>
        <w:t>ENISA aggregates threat intelligence from national CERTs, sector-specific information-sharing bodies, and open-source intelligence feeds across EU member states. Attack data is categorised by vector (ransomware, supply chain compromise, DDoS, social engineering), sector, and severity, then cross-referenced against the MITRE ATT&amp;CK framework to produce a structured threat catalogue aligned with international incident response standards.</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166534"/>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KEY STRENGTH</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ENISA's report is the most comprehensive and authoritative threat landscape assessment available for critical infrastructure. Its sector-specific attack vector taxonomy and MITRE ATT&amp;CK alignment provide a rigorous, internationally recognised benchmark for evaluating threat detection capabilities — directly applicable as </w:t>
      </w:r>
      <w:proofErr w:type="gramStart"/>
      <w:r w:rsidRPr="004C102F">
        <w:rPr>
          <w:rFonts w:eastAsia="Calibri"/>
          <w:color w:val="1A1A1A"/>
          <w:sz w:val="24"/>
          <w:szCs w:val="24"/>
        </w:rPr>
        <w:t>a</w:t>
      </w:r>
      <w:proofErr w:type="gramEnd"/>
      <w:r w:rsidRPr="004C102F">
        <w:rPr>
          <w:rFonts w:eastAsia="Calibri"/>
          <w:color w:val="1A1A1A"/>
          <w:sz w:val="24"/>
          <w:szCs w:val="24"/>
        </w:rPr>
        <w:t xml:space="preserve"> simulation scenario reference for framework evaluation.</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9B1C1C"/>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LIMITATION</w:t>
            </w:r>
          </w:p>
        </w:tc>
      </w:tr>
    </w:tbl>
    <w:p w:rsidR="007155CD" w:rsidRPr="004C102F" w:rsidRDefault="00F43F7A">
      <w:pPr>
        <w:spacing w:after="120" w:line="276" w:lineRule="auto"/>
        <w:jc w:val="both"/>
        <w:rPr>
          <w:sz w:val="24"/>
          <w:szCs w:val="24"/>
        </w:rPr>
      </w:pPr>
      <w:r w:rsidRPr="004C102F">
        <w:rPr>
          <w:rFonts w:eastAsia="Calibri"/>
          <w:color w:val="1A1A1A"/>
          <w:sz w:val="24"/>
          <w:szCs w:val="24"/>
        </w:rPr>
        <w:t>The report is inherently EU-</w:t>
      </w:r>
      <w:proofErr w:type="gramStart"/>
      <w:r w:rsidRPr="004C102F">
        <w:rPr>
          <w:rFonts w:eastAsia="Calibri"/>
          <w:color w:val="1A1A1A"/>
          <w:sz w:val="24"/>
          <w:szCs w:val="24"/>
        </w:rPr>
        <w:t>centric:</w:t>
      </w:r>
      <w:proofErr w:type="gramEnd"/>
      <w:r w:rsidRPr="004C102F">
        <w:rPr>
          <w:rFonts w:eastAsia="Calibri"/>
          <w:color w:val="1A1A1A"/>
          <w:sz w:val="24"/>
          <w:szCs w:val="24"/>
        </w:rPr>
        <w:t xml:space="preserve"> its threat profiles, regulatory context, and incident response infrastructure are specific to well-resourced European member states. It offers no explainability or AI-driven adaptive detection mechanism. Its findings are not calibrated for small island developing states with different threat exposure, limited CERT capacity, and fragmented governance — conditions defining the Comorian context.</w:t>
      </w:r>
    </w:p>
    <w:p w:rsidR="007155CD" w:rsidRPr="004C102F" w:rsidRDefault="007155CD">
      <w:pPr>
        <w:spacing w:after="60"/>
        <w:rPr>
          <w:sz w:val="24"/>
          <w:szCs w:val="24"/>
        </w:rPr>
      </w:pPr>
    </w:p>
    <w:tbl>
      <w:tblPr>
        <w:tblW w:w="9026" w:type="dxa"/>
        <w:tblBorders>
          <w:top w:val="single" w:sz="4" w:space="0" w:color="C0D8E8"/>
          <w:left w:val="single" w:sz="4" w:space="0" w:color="C0D8E8"/>
          <w:bottom w:val="single" w:sz="4" w:space="0" w:color="C0D8E8"/>
          <w:right w:val="single" w:sz="4" w:space="0" w:color="C0D8E8"/>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1E40AF"/>
            <w:tcMar>
              <w:top w:w="100" w:type="dxa"/>
              <w:left w:w="160" w:type="dxa"/>
              <w:bottom w:w="100" w:type="dxa"/>
              <w:right w:w="160" w:type="dxa"/>
            </w:tcMar>
          </w:tcPr>
          <w:p w:rsidR="007155CD" w:rsidRPr="004C102F" w:rsidRDefault="00F43F7A">
            <w:pPr>
              <w:rPr>
                <w:sz w:val="24"/>
                <w:szCs w:val="24"/>
              </w:rPr>
            </w:pPr>
            <w:r w:rsidRPr="004C102F">
              <w:rPr>
                <w:rFonts w:eastAsia="Calibri"/>
                <w:b/>
                <w:bCs/>
                <w:color w:val="FFFFFF"/>
                <w:sz w:val="24"/>
                <w:szCs w:val="24"/>
              </w:rPr>
              <w:t>LINK TO THIS THESIS</w:t>
            </w:r>
          </w:p>
        </w:tc>
      </w:tr>
    </w:tbl>
    <w:p w:rsidR="007155CD" w:rsidRPr="004C102F" w:rsidRDefault="00F43F7A">
      <w:pPr>
        <w:spacing w:after="120" w:line="276" w:lineRule="auto"/>
        <w:jc w:val="both"/>
        <w:rPr>
          <w:sz w:val="24"/>
          <w:szCs w:val="24"/>
        </w:rPr>
      </w:pPr>
      <w:r w:rsidRPr="004C102F">
        <w:rPr>
          <w:rFonts w:eastAsia="Calibri"/>
          <w:color w:val="1A1A1A"/>
          <w:sz w:val="24"/>
          <w:szCs w:val="24"/>
        </w:rPr>
        <w:t xml:space="preserve">The ENISA threat taxonomy — particularly ransomware, supply chain attacks, and DDoS targeting critical infrastructure — provides the benchmark attack scenario categories used in this thesis to design and evaluate simulation experiments for the XAI-powered threat detection engine. The proposed framework explicitly addresses the gaps ENISA cannot </w:t>
      </w:r>
      <w:proofErr w:type="gramStart"/>
      <w:r w:rsidRPr="004C102F">
        <w:rPr>
          <w:rFonts w:eastAsia="Calibri"/>
          <w:color w:val="1A1A1A"/>
          <w:sz w:val="24"/>
          <w:szCs w:val="24"/>
        </w:rPr>
        <w:t>fill:</w:t>
      </w:r>
      <w:proofErr w:type="gramEnd"/>
      <w:r w:rsidRPr="004C102F">
        <w:rPr>
          <w:rFonts w:eastAsia="Calibri"/>
          <w:color w:val="1A1A1A"/>
          <w:sz w:val="24"/>
          <w:szCs w:val="24"/>
        </w:rPr>
        <w:t xml:space="preserve"> adaptive, explainable, island-context-calibrated detection and response capabilities absent from the EU-centric intelligence model.</w:t>
      </w:r>
    </w:p>
    <w:p w:rsidR="007155CD" w:rsidRPr="004C102F" w:rsidRDefault="007155CD">
      <w:pPr>
        <w:spacing w:after="60"/>
        <w:rPr>
          <w:sz w:val="24"/>
          <w:szCs w:val="24"/>
        </w:rPr>
      </w:pPr>
    </w:p>
    <w:p w:rsidR="007155CD" w:rsidRPr="004C102F" w:rsidRDefault="007155CD">
      <w:pPr>
        <w:pBdr>
          <w:bottom w:val="single" w:sz="4" w:space="4" w:color="C0D8E8"/>
        </w:pBdr>
        <w:spacing w:before="200" w:after="160"/>
        <w:rPr>
          <w:sz w:val="24"/>
          <w:szCs w:val="24"/>
        </w:rPr>
      </w:pPr>
    </w:p>
    <w:p w:rsidR="007155CD" w:rsidRPr="004C102F" w:rsidRDefault="00F43F7A">
      <w:pPr>
        <w:spacing w:before="320" w:after="160"/>
        <w:rPr>
          <w:sz w:val="24"/>
          <w:szCs w:val="24"/>
        </w:rPr>
      </w:pPr>
      <w:proofErr w:type="gramStart"/>
      <w:r w:rsidRPr="004C102F">
        <w:rPr>
          <w:rFonts w:eastAsia="Calibri"/>
          <w:b/>
          <w:bCs/>
          <w:color w:val="075A94"/>
          <w:sz w:val="24"/>
          <w:szCs w:val="24"/>
        </w:rPr>
        <w:t>Synthesis:</w:t>
      </w:r>
      <w:proofErr w:type="gramEnd"/>
      <w:r w:rsidRPr="004C102F">
        <w:rPr>
          <w:rFonts w:eastAsia="Calibri"/>
          <w:b/>
          <w:bCs/>
          <w:color w:val="075A94"/>
          <w:sz w:val="24"/>
          <w:szCs w:val="24"/>
        </w:rPr>
        <w:t xml:space="preserve"> What the Literature Collectively Reveals</w:t>
      </w:r>
    </w:p>
    <w:p w:rsidR="007155CD" w:rsidRPr="004C102F" w:rsidRDefault="00F43F7A">
      <w:pPr>
        <w:spacing w:after="160" w:line="276" w:lineRule="auto"/>
        <w:jc w:val="both"/>
        <w:rPr>
          <w:sz w:val="24"/>
          <w:szCs w:val="24"/>
        </w:rPr>
      </w:pPr>
      <w:r w:rsidRPr="004C102F">
        <w:rPr>
          <w:rFonts w:eastAsia="Calibri"/>
          <w:color w:val="1A1A1A"/>
          <w:sz w:val="24"/>
          <w:szCs w:val="24"/>
        </w:rPr>
        <w:lastRenderedPageBreak/>
        <w:t>The six studies reviewed above collectively establish the theoretical and empirical foundation of this thesis. Taken together, they also reveal a clearly delimited research gap that no existing work addresses in its entirety.</w:t>
      </w:r>
    </w:p>
    <w:p w:rsidR="007155CD" w:rsidRPr="004C102F" w:rsidRDefault="00F43F7A">
      <w:pPr>
        <w:spacing w:after="160" w:line="276" w:lineRule="auto"/>
        <w:jc w:val="both"/>
        <w:rPr>
          <w:sz w:val="24"/>
          <w:szCs w:val="24"/>
        </w:rPr>
      </w:pPr>
      <w:r w:rsidRPr="004C102F">
        <w:rPr>
          <w:rFonts w:eastAsia="Calibri"/>
          <w:b/>
          <w:bCs/>
          <w:color w:val="075A94"/>
          <w:sz w:val="24"/>
          <w:szCs w:val="24"/>
        </w:rPr>
        <w:t xml:space="preserve">Rose et al. (2020) and Bertino &amp; Islam (2023) </w:t>
      </w:r>
      <w:r w:rsidRPr="004C102F">
        <w:rPr>
          <w:rFonts w:eastAsia="Calibri"/>
          <w:color w:val="1A1A1A"/>
          <w:sz w:val="24"/>
          <w:szCs w:val="24"/>
        </w:rPr>
        <w:t>jointly establish that Zero Trust Architecture is the appropriate security paradigm for critical infrastructure, but that its practical deployment is constrained by legacy hardware, governance fragmentation, and the absence of adaptive intelligence — exactly the conditions present in the Union of the Comoros.</w:t>
      </w:r>
    </w:p>
    <w:p w:rsidR="007155CD" w:rsidRPr="004C102F" w:rsidRDefault="00F43F7A">
      <w:pPr>
        <w:spacing w:after="160" w:line="276" w:lineRule="auto"/>
        <w:jc w:val="both"/>
        <w:rPr>
          <w:sz w:val="24"/>
          <w:szCs w:val="24"/>
        </w:rPr>
      </w:pPr>
      <w:r w:rsidRPr="004C102F">
        <w:rPr>
          <w:rFonts w:eastAsia="Calibri"/>
          <w:b/>
          <w:bCs/>
          <w:color w:val="075A94"/>
          <w:sz w:val="24"/>
          <w:szCs w:val="24"/>
        </w:rPr>
        <w:t xml:space="preserve">Neupane et al. (2022) and Moustafa et al. (2023) </w:t>
      </w:r>
      <w:r w:rsidRPr="004C102F">
        <w:rPr>
          <w:rFonts w:eastAsia="Calibri"/>
          <w:color w:val="1A1A1A"/>
          <w:sz w:val="24"/>
          <w:szCs w:val="24"/>
        </w:rPr>
        <w:t xml:space="preserve">demonstrate that XAI-driven intrusion detection is feasible even in resource-constrained environments, supplying the technical design rationale for the XAI engine. </w:t>
      </w:r>
      <w:r w:rsidRPr="004C102F">
        <w:rPr>
          <w:rFonts w:eastAsia="Calibri"/>
          <w:b/>
          <w:bCs/>
          <w:color w:val="075A94"/>
          <w:sz w:val="24"/>
          <w:szCs w:val="24"/>
        </w:rPr>
        <w:t xml:space="preserve">Cao et al. (2024) </w:t>
      </w:r>
      <w:r w:rsidRPr="004C102F">
        <w:rPr>
          <w:rFonts w:eastAsia="Calibri"/>
          <w:color w:val="1A1A1A"/>
          <w:sz w:val="24"/>
          <w:szCs w:val="24"/>
        </w:rPr>
        <w:t>show that adaptive, ML-driven ZTA orchestration delivers measurably faster response to anomalies — but without any explainability layer, leaving the black-box problem unresolved.</w:t>
      </w:r>
    </w:p>
    <w:p w:rsidR="007155CD" w:rsidRPr="004C102F" w:rsidRDefault="00F43F7A">
      <w:pPr>
        <w:spacing w:after="160" w:line="276" w:lineRule="auto"/>
        <w:jc w:val="both"/>
        <w:rPr>
          <w:sz w:val="24"/>
          <w:szCs w:val="24"/>
        </w:rPr>
      </w:pPr>
      <w:r w:rsidRPr="004C102F">
        <w:rPr>
          <w:rFonts w:eastAsia="Calibri"/>
          <w:b/>
          <w:bCs/>
          <w:color w:val="075A94"/>
          <w:sz w:val="24"/>
          <w:szCs w:val="24"/>
        </w:rPr>
        <w:t xml:space="preserve">Finally, ENISA (2024) </w:t>
      </w:r>
      <w:r w:rsidRPr="004C102F">
        <w:rPr>
          <w:rFonts w:eastAsia="Calibri"/>
          <w:color w:val="1A1A1A"/>
          <w:sz w:val="24"/>
          <w:szCs w:val="24"/>
        </w:rPr>
        <w:t>provides the benchmark threat taxonomy against which the proposed framework's detection capabilities are evaluated — while simultaneously confirming, through its EU-centrism, the absence of any equivalent adaptive, explainable framework for small island developing states.</w:t>
      </w:r>
    </w:p>
    <w:p w:rsidR="007155CD" w:rsidRPr="004C102F" w:rsidRDefault="007155CD">
      <w:pPr>
        <w:spacing w:after="80"/>
        <w:rPr>
          <w:sz w:val="24"/>
          <w:szCs w:val="24"/>
        </w:rPr>
      </w:pPr>
    </w:p>
    <w:tbl>
      <w:tblPr>
        <w:tblW w:w="9026" w:type="dxa"/>
        <w:tblBorders>
          <w:top w:val="single" w:sz="4" w:space="0" w:color="0B8EE9"/>
          <w:left w:val="single" w:sz="4" w:space="0" w:color="0B8EE9"/>
          <w:bottom w:val="single" w:sz="4" w:space="0" w:color="0B8EE9"/>
          <w:right w:val="single" w:sz="4" w:space="0" w:color="0B8EE9"/>
        </w:tblBorders>
        <w:tblCellMar>
          <w:left w:w="10" w:type="dxa"/>
          <w:right w:w="10" w:type="dxa"/>
        </w:tblCellMar>
        <w:tblLook w:val="0000" w:firstRow="0" w:lastRow="0" w:firstColumn="0" w:lastColumn="0" w:noHBand="0" w:noVBand="0"/>
      </w:tblPr>
      <w:tblGrid>
        <w:gridCol w:w="9026"/>
      </w:tblGrid>
      <w:tr w:rsidR="007155CD" w:rsidRPr="004C102F">
        <w:tc>
          <w:tcPr>
            <w:tcW w:w="9026" w:type="dxa"/>
            <w:shd w:val="clear" w:color="auto" w:fill="D4EEF7"/>
            <w:tcMar>
              <w:top w:w="140" w:type="dxa"/>
              <w:left w:w="180" w:type="dxa"/>
              <w:bottom w:w="140" w:type="dxa"/>
              <w:right w:w="180" w:type="dxa"/>
            </w:tcMar>
          </w:tcPr>
          <w:p w:rsidR="007155CD" w:rsidRPr="004C102F" w:rsidRDefault="00F43F7A">
            <w:pPr>
              <w:jc w:val="both"/>
              <w:rPr>
                <w:sz w:val="24"/>
                <w:szCs w:val="24"/>
              </w:rPr>
            </w:pPr>
            <w:r w:rsidRPr="004C102F">
              <w:rPr>
                <w:rFonts w:eastAsia="Calibri"/>
                <w:b/>
                <w:bCs/>
                <w:color w:val="0D2137"/>
                <w:sz w:val="24"/>
                <w:szCs w:val="24"/>
              </w:rPr>
              <w:t xml:space="preserve">What no single existing study provides </w:t>
            </w:r>
            <w:r w:rsidRPr="004C102F">
              <w:rPr>
                <w:rFonts w:eastAsia="Calibri"/>
                <w:color w:val="1A1A1A"/>
                <w:sz w:val="24"/>
                <w:szCs w:val="24"/>
              </w:rPr>
              <w:t>— and what this thesis uniquely contributes — is a unified design framework that simultaneously delivers: (1) Zero Trust access control adapted to island-context constraints; (2) XAI-driven, transparent, real-time threat detection; (3) adaptive response mechanisms calibrated for low-resource environments; and (4) empirical validation within the specific infrastructure context of the Union of the Comoros.</w:t>
            </w:r>
          </w:p>
        </w:tc>
      </w:tr>
    </w:tbl>
    <w:p w:rsidR="007155CD" w:rsidRPr="004C102F" w:rsidRDefault="007155CD">
      <w:pPr>
        <w:spacing w:after="100"/>
        <w:rPr>
          <w:sz w:val="24"/>
          <w:szCs w:val="24"/>
        </w:rPr>
      </w:pPr>
    </w:p>
    <w:p w:rsidR="007155CD" w:rsidRPr="004C102F" w:rsidRDefault="00F43F7A">
      <w:pPr>
        <w:spacing w:before="280" w:after="120"/>
        <w:rPr>
          <w:sz w:val="24"/>
          <w:szCs w:val="24"/>
        </w:rPr>
      </w:pPr>
      <w:r w:rsidRPr="004C102F">
        <w:rPr>
          <w:rFonts w:eastAsia="Calibri"/>
          <w:b/>
          <w:bCs/>
          <w:color w:val="075A94"/>
          <w:sz w:val="24"/>
          <w:szCs w:val="24"/>
        </w:rPr>
        <w:t>Research Gap Matrix — Comparative Analysis</w:t>
      </w:r>
    </w:p>
    <w:p w:rsidR="007155CD" w:rsidRPr="004C102F" w:rsidRDefault="00F43F7A">
      <w:pPr>
        <w:spacing w:after="140" w:line="276" w:lineRule="auto"/>
        <w:jc w:val="both"/>
        <w:rPr>
          <w:sz w:val="24"/>
          <w:szCs w:val="24"/>
        </w:rPr>
      </w:pPr>
      <w:r w:rsidRPr="004C102F">
        <w:rPr>
          <w:rFonts w:eastAsia="Calibri"/>
          <w:i/>
          <w:iCs/>
          <w:color w:val="595959"/>
          <w:sz w:val="24"/>
          <w:szCs w:val="24"/>
        </w:rPr>
        <w:t>The table below synthesises all six studies across five analytical dimensions. The table complements the detailed paragraphs above and does not replace them — readers are directed to the individual reviews for full methodological discussion.</w:t>
      </w:r>
    </w:p>
    <w:p w:rsidR="007155CD" w:rsidRPr="004C102F" w:rsidRDefault="007155CD">
      <w:pPr>
        <w:spacing w:after="60"/>
        <w:rPr>
          <w:sz w:val="24"/>
          <w:szCs w:val="24"/>
        </w:rPr>
      </w:pPr>
    </w:p>
    <w:tbl>
      <w:tblPr>
        <w:tblW w:w="9026" w:type="dxa"/>
        <w:tblBorders>
          <w:top w:val="single" w:sz="4" w:space="0" w:color="0B8EE9"/>
          <w:left w:val="single" w:sz="4" w:space="0" w:color="0B8EE9"/>
          <w:bottom w:val="single" w:sz="4" w:space="0" w:color="0B8EE9"/>
          <w:right w:val="single" w:sz="4" w:space="0" w:color="0B8EE9"/>
          <w:insideH w:val="single" w:sz="4" w:space="0" w:color="C0D8E8"/>
          <w:insideV w:val="single" w:sz="4" w:space="0" w:color="C0D8E8"/>
        </w:tblBorders>
        <w:tblCellMar>
          <w:left w:w="10" w:type="dxa"/>
          <w:right w:w="10" w:type="dxa"/>
        </w:tblCellMar>
        <w:tblLook w:val="0000" w:firstRow="0" w:lastRow="0" w:firstColumn="0" w:lastColumn="0" w:noHBand="0" w:noVBand="0"/>
      </w:tblPr>
      <w:tblGrid>
        <w:gridCol w:w="1246"/>
        <w:gridCol w:w="1672"/>
        <w:gridCol w:w="1746"/>
        <w:gridCol w:w="1453"/>
        <w:gridCol w:w="1914"/>
        <w:gridCol w:w="1465"/>
      </w:tblGrid>
      <w:tr w:rsidR="007155CD" w:rsidRPr="004C102F">
        <w:tc>
          <w:tcPr>
            <w:tcW w:w="1550" w:type="dxa"/>
            <w:shd w:val="clear" w:color="auto" w:fill="0B8EE9"/>
            <w:tcMar>
              <w:top w:w="80" w:type="dxa"/>
              <w:left w:w="100" w:type="dxa"/>
              <w:bottom w:w="80" w:type="dxa"/>
              <w:right w:w="100" w:type="dxa"/>
            </w:tcMar>
          </w:tcPr>
          <w:p w:rsidR="007155CD" w:rsidRPr="004C102F" w:rsidRDefault="00F43F7A">
            <w:pPr>
              <w:rPr>
                <w:sz w:val="24"/>
                <w:szCs w:val="24"/>
              </w:rPr>
            </w:pPr>
            <w:r w:rsidRPr="004C102F">
              <w:rPr>
                <w:rFonts w:eastAsia="Calibri"/>
                <w:b/>
                <w:bCs/>
                <w:color w:val="FFFFFF"/>
                <w:sz w:val="24"/>
                <w:szCs w:val="24"/>
              </w:rPr>
              <w:t>Author / Year</w:t>
            </w:r>
          </w:p>
        </w:tc>
        <w:tc>
          <w:tcPr>
            <w:tcW w:w="1580" w:type="dxa"/>
            <w:shd w:val="clear" w:color="auto" w:fill="0B8EE9"/>
            <w:tcMar>
              <w:top w:w="80" w:type="dxa"/>
              <w:left w:w="100" w:type="dxa"/>
              <w:bottom w:w="80" w:type="dxa"/>
              <w:right w:w="100" w:type="dxa"/>
            </w:tcMar>
          </w:tcPr>
          <w:p w:rsidR="007155CD" w:rsidRPr="004C102F" w:rsidRDefault="00F43F7A">
            <w:pPr>
              <w:rPr>
                <w:sz w:val="24"/>
                <w:szCs w:val="24"/>
              </w:rPr>
            </w:pPr>
            <w:r w:rsidRPr="004C102F">
              <w:rPr>
                <w:rFonts w:eastAsia="Calibri"/>
                <w:b/>
                <w:bCs/>
                <w:color w:val="FFFFFF"/>
                <w:sz w:val="24"/>
                <w:szCs w:val="24"/>
              </w:rPr>
              <w:t>What is Proposed</w:t>
            </w:r>
          </w:p>
        </w:tc>
        <w:tc>
          <w:tcPr>
            <w:tcW w:w="1580" w:type="dxa"/>
            <w:shd w:val="clear" w:color="auto" w:fill="0B8EE9"/>
            <w:tcMar>
              <w:top w:w="80" w:type="dxa"/>
              <w:left w:w="100" w:type="dxa"/>
              <w:bottom w:w="80" w:type="dxa"/>
              <w:right w:w="100" w:type="dxa"/>
            </w:tcMar>
          </w:tcPr>
          <w:p w:rsidR="007155CD" w:rsidRPr="004C102F" w:rsidRDefault="00F43F7A">
            <w:pPr>
              <w:rPr>
                <w:sz w:val="24"/>
                <w:szCs w:val="24"/>
              </w:rPr>
            </w:pPr>
            <w:r w:rsidRPr="004C102F">
              <w:rPr>
                <w:rFonts w:eastAsia="Calibri"/>
                <w:b/>
                <w:bCs/>
                <w:color w:val="FFFFFF"/>
                <w:sz w:val="24"/>
                <w:szCs w:val="24"/>
              </w:rPr>
              <w:t>How the Method Works</w:t>
            </w:r>
          </w:p>
        </w:tc>
        <w:tc>
          <w:tcPr>
            <w:tcW w:w="1406" w:type="dxa"/>
            <w:shd w:val="clear" w:color="auto" w:fill="0B8EE9"/>
            <w:tcMar>
              <w:top w:w="80" w:type="dxa"/>
              <w:left w:w="100" w:type="dxa"/>
              <w:bottom w:w="80" w:type="dxa"/>
              <w:right w:w="100" w:type="dxa"/>
            </w:tcMar>
          </w:tcPr>
          <w:p w:rsidR="007155CD" w:rsidRPr="004C102F" w:rsidRDefault="00F43F7A">
            <w:pPr>
              <w:rPr>
                <w:sz w:val="24"/>
                <w:szCs w:val="24"/>
              </w:rPr>
            </w:pPr>
            <w:r w:rsidRPr="004C102F">
              <w:rPr>
                <w:rFonts w:eastAsia="Calibri"/>
                <w:b/>
                <w:bCs/>
                <w:color w:val="FFFFFF"/>
                <w:sz w:val="24"/>
                <w:szCs w:val="24"/>
              </w:rPr>
              <w:t>Key Strength</w:t>
            </w:r>
          </w:p>
        </w:tc>
        <w:tc>
          <w:tcPr>
            <w:tcW w:w="1406" w:type="dxa"/>
            <w:shd w:val="clear" w:color="auto" w:fill="0B8EE9"/>
            <w:tcMar>
              <w:top w:w="80" w:type="dxa"/>
              <w:left w:w="100" w:type="dxa"/>
              <w:bottom w:w="80" w:type="dxa"/>
              <w:right w:w="100" w:type="dxa"/>
            </w:tcMar>
          </w:tcPr>
          <w:p w:rsidR="007155CD" w:rsidRPr="004C102F" w:rsidRDefault="00F43F7A">
            <w:pPr>
              <w:rPr>
                <w:sz w:val="24"/>
                <w:szCs w:val="24"/>
              </w:rPr>
            </w:pPr>
            <w:r w:rsidRPr="004C102F">
              <w:rPr>
                <w:rFonts w:eastAsia="Calibri"/>
                <w:b/>
                <w:bCs/>
                <w:color w:val="FFFFFF"/>
                <w:sz w:val="24"/>
                <w:szCs w:val="24"/>
              </w:rPr>
              <w:t>Limitation</w:t>
            </w:r>
          </w:p>
        </w:tc>
        <w:tc>
          <w:tcPr>
            <w:tcW w:w="1504" w:type="dxa"/>
            <w:shd w:val="clear" w:color="auto" w:fill="0B8EE9"/>
            <w:tcMar>
              <w:top w:w="80" w:type="dxa"/>
              <w:left w:w="100" w:type="dxa"/>
              <w:bottom w:w="80" w:type="dxa"/>
              <w:right w:w="100" w:type="dxa"/>
            </w:tcMar>
          </w:tcPr>
          <w:p w:rsidR="007155CD" w:rsidRPr="004C102F" w:rsidRDefault="00F43F7A">
            <w:pPr>
              <w:rPr>
                <w:sz w:val="24"/>
                <w:szCs w:val="24"/>
              </w:rPr>
            </w:pPr>
            <w:r w:rsidRPr="004C102F">
              <w:rPr>
                <w:rFonts w:eastAsia="Calibri"/>
                <w:b/>
                <w:bCs/>
                <w:color w:val="FFFFFF"/>
                <w:sz w:val="24"/>
                <w:szCs w:val="24"/>
              </w:rPr>
              <w:t>Link to This Thesis</w:t>
            </w:r>
          </w:p>
        </w:tc>
      </w:tr>
      <w:tr w:rsidR="007155CD" w:rsidRPr="004C102F">
        <w:tc>
          <w:tcPr>
            <w:tcW w:w="1550" w:type="dxa"/>
            <w:shd w:val="clear" w:color="auto" w:fill="FFFFFF"/>
            <w:tcMar>
              <w:top w:w="80" w:type="dxa"/>
              <w:left w:w="100" w:type="dxa"/>
              <w:bottom w:w="80" w:type="dxa"/>
              <w:right w:w="100" w:type="dxa"/>
            </w:tcMar>
          </w:tcPr>
          <w:p w:rsidR="007155CD" w:rsidRPr="004C102F" w:rsidRDefault="00F43F7A">
            <w:pPr>
              <w:rPr>
                <w:sz w:val="24"/>
                <w:szCs w:val="24"/>
              </w:rPr>
            </w:pPr>
            <w:r w:rsidRPr="004C102F">
              <w:rPr>
                <w:rFonts w:eastAsia="Calibri"/>
                <w:b/>
                <w:bCs/>
                <w:color w:val="075A94"/>
                <w:sz w:val="24"/>
                <w:szCs w:val="24"/>
              </w:rPr>
              <w:t>Rose et al. (NIST SP 800-207, 2020)</w:t>
            </w:r>
          </w:p>
        </w:tc>
        <w:tc>
          <w:tcPr>
            <w:tcW w:w="1580" w:type="dxa"/>
            <w:shd w:val="clear" w:color="auto" w:fill="FFFFFF"/>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Formal specification of ZTA for federal/enterprise systems; defines 7 tenets and 3 deployment models.</w:t>
            </w:r>
          </w:p>
        </w:tc>
        <w:tc>
          <w:tcPr>
            <w:tcW w:w="1580" w:type="dxa"/>
            <w:shd w:val="clear" w:color="auto" w:fill="FFFFFF"/>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 xml:space="preserve">Policy Decision Point + Policy Enforcement </w:t>
            </w:r>
            <w:proofErr w:type="gramStart"/>
            <w:r w:rsidRPr="004C102F">
              <w:rPr>
                <w:rFonts w:eastAsia="Calibri"/>
                <w:color w:val="1A1A1A"/>
                <w:sz w:val="24"/>
                <w:szCs w:val="24"/>
              </w:rPr>
              <w:t>Point;</w:t>
            </w:r>
            <w:proofErr w:type="gramEnd"/>
            <w:r w:rsidRPr="004C102F">
              <w:rPr>
                <w:rFonts w:eastAsia="Calibri"/>
                <w:color w:val="1A1A1A"/>
                <w:sz w:val="24"/>
                <w:szCs w:val="24"/>
              </w:rPr>
              <w:t xml:space="preserve"> rule-based, per-session least-privilege access. No ML.</w:t>
            </w:r>
          </w:p>
        </w:tc>
        <w:tc>
          <w:tcPr>
            <w:tcW w:w="1406" w:type="dxa"/>
            <w:shd w:val="clear" w:color="auto" w:fill="F0FDF4"/>
            <w:tcMar>
              <w:top w:w="80" w:type="dxa"/>
              <w:left w:w="100" w:type="dxa"/>
              <w:bottom w:w="80" w:type="dxa"/>
              <w:right w:w="100" w:type="dxa"/>
            </w:tcMar>
          </w:tcPr>
          <w:p w:rsidR="007155CD" w:rsidRPr="004C102F" w:rsidRDefault="00F43F7A">
            <w:pPr>
              <w:rPr>
                <w:sz w:val="24"/>
                <w:szCs w:val="24"/>
              </w:rPr>
            </w:pPr>
            <w:r w:rsidRPr="004C102F">
              <w:rPr>
                <w:rFonts w:eastAsia="Calibri"/>
                <w:color w:val="166534"/>
                <w:sz w:val="24"/>
                <w:szCs w:val="24"/>
              </w:rPr>
              <w:t>De facto ZTA reference standard; auditable and legally defensible access decisions.</w:t>
            </w:r>
          </w:p>
        </w:tc>
        <w:tc>
          <w:tcPr>
            <w:tcW w:w="1406" w:type="dxa"/>
            <w:shd w:val="clear" w:color="auto" w:fill="FFF1F2"/>
            <w:tcMar>
              <w:top w:w="80" w:type="dxa"/>
              <w:left w:w="100" w:type="dxa"/>
              <w:bottom w:w="80" w:type="dxa"/>
              <w:right w:w="100" w:type="dxa"/>
            </w:tcMar>
          </w:tcPr>
          <w:p w:rsidR="007155CD" w:rsidRPr="004C102F" w:rsidRDefault="00F43F7A">
            <w:pPr>
              <w:rPr>
                <w:sz w:val="24"/>
                <w:szCs w:val="24"/>
              </w:rPr>
            </w:pPr>
            <w:r w:rsidRPr="004C102F">
              <w:rPr>
                <w:rFonts w:eastAsia="Calibri"/>
                <w:color w:val="9B1C1C"/>
                <w:sz w:val="24"/>
                <w:szCs w:val="24"/>
              </w:rPr>
              <w:t>Static policy engine; no XAI; not designed for low-resource or island-context environments.</w:t>
            </w:r>
          </w:p>
        </w:tc>
        <w:tc>
          <w:tcPr>
            <w:tcW w:w="1504" w:type="dxa"/>
            <w:shd w:val="clear" w:color="auto" w:fill="EFF6FF"/>
            <w:tcMar>
              <w:top w:w="80" w:type="dxa"/>
              <w:left w:w="100" w:type="dxa"/>
              <w:bottom w:w="80" w:type="dxa"/>
              <w:right w:w="100" w:type="dxa"/>
            </w:tcMar>
          </w:tcPr>
          <w:p w:rsidR="007155CD" w:rsidRPr="004C102F" w:rsidRDefault="00F43F7A">
            <w:pPr>
              <w:rPr>
                <w:sz w:val="24"/>
                <w:szCs w:val="24"/>
              </w:rPr>
            </w:pPr>
            <w:r w:rsidRPr="004C102F">
              <w:rPr>
                <w:rFonts w:eastAsia="Calibri"/>
                <w:color w:val="1E40AF"/>
                <w:sz w:val="24"/>
                <w:szCs w:val="24"/>
              </w:rPr>
              <w:t>ZTA theoretical foundation for this thesis; extended here with XAI-driven adaptive trust scoring and island-</w:t>
            </w:r>
            <w:r w:rsidRPr="004C102F">
              <w:rPr>
                <w:rFonts w:eastAsia="Calibri"/>
                <w:color w:val="1E40AF"/>
                <w:sz w:val="24"/>
                <w:szCs w:val="24"/>
              </w:rPr>
              <w:lastRenderedPageBreak/>
              <w:t>context roadmap.</w:t>
            </w:r>
          </w:p>
        </w:tc>
      </w:tr>
      <w:tr w:rsidR="007155CD" w:rsidRPr="004C102F">
        <w:tc>
          <w:tcPr>
            <w:tcW w:w="1550" w:type="dxa"/>
            <w:shd w:val="clear" w:color="auto" w:fill="EBF5FB"/>
            <w:tcMar>
              <w:top w:w="80" w:type="dxa"/>
              <w:left w:w="100" w:type="dxa"/>
              <w:bottom w:w="80" w:type="dxa"/>
              <w:right w:w="100" w:type="dxa"/>
            </w:tcMar>
          </w:tcPr>
          <w:p w:rsidR="007155CD" w:rsidRPr="004C102F" w:rsidRDefault="00F43F7A">
            <w:pPr>
              <w:rPr>
                <w:sz w:val="24"/>
                <w:szCs w:val="24"/>
              </w:rPr>
            </w:pPr>
            <w:r w:rsidRPr="004C102F">
              <w:rPr>
                <w:rFonts w:eastAsia="Calibri"/>
                <w:b/>
                <w:bCs/>
                <w:color w:val="075A94"/>
                <w:sz w:val="24"/>
                <w:szCs w:val="24"/>
              </w:rPr>
              <w:lastRenderedPageBreak/>
              <w:t>Neupane et al. (IEEE Access, 2022)</w:t>
            </w:r>
          </w:p>
        </w:tc>
        <w:tc>
          <w:tcPr>
            <w:tcW w:w="1580" w:type="dxa"/>
            <w:shd w:val="clear" w:color="auto" w:fill="EBF5FB"/>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Survey of Explainable IDS (X-IDS) methods; design recommendations for SHAP/LIME in intrusion detection.</w:t>
            </w:r>
          </w:p>
        </w:tc>
        <w:tc>
          <w:tcPr>
            <w:tcW w:w="1580" w:type="dxa"/>
            <w:shd w:val="clear" w:color="auto" w:fill="EBF5FB"/>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Compares SHAP, LIME, and rule-extraction across 80+ studies on criteria of fidelity, comprehensibility, and compute cost.</w:t>
            </w:r>
          </w:p>
        </w:tc>
        <w:tc>
          <w:tcPr>
            <w:tcW w:w="1406" w:type="dxa"/>
            <w:shd w:val="clear" w:color="auto" w:fill="F0FDF4"/>
            <w:tcMar>
              <w:top w:w="80" w:type="dxa"/>
              <w:left w:w="100" w:type="dxa"/>
              <w:bottom w:w="80" w:type="dxa"/>
              <w:right w:w="100" w:type="dxa"/>
            </w:tcMar>
          </w:tcPr>
          <w:p w:rsidR="007155CD" w:rsidRPr="004C102F" w:rsidRDefault="00F43F7A">
            <w:pPr>
              <w:rPr>
                <w:sz w:val="24"/>
                <w:szCs w:val="24"/>
              </w:rPr>
            </w:pPr>
            <w:r w:rsidRPr="004C102F">
              <w:rPr>
                <w:rFonts w:eastAsia="Calibri"/>
                <w:color w:val="166534"/>
                <w:sz w:val="24"/>
                <w:szCs w:val="24"/>
              </w:rPr>
              <w:t>Most complete XAI-IDS survey; fidelity-cost framework directly applicable to framework design.</w:t>
            </w:r>
          </w:p>
        </w:tc>
        <w:tc>
          <w:tcPr>
            <w:tcW w:w="1406" w:type="dxa"/>
            <w:shd w:val="clear" w:color="auto" w:fill="FFF1F2"/>
            <w:tcMar>
              <w:top w:w="80" w:type="dxa"/>
              <w:left w:w="100" w:type="dxa"/>
              <w:bottom w:w="80" w:type="dxa"/>
              <w:right w:w="100" w:type="dxa"/>
            </w:tcMar>
          </w:tcPr>
          <w:p w:rsidR="007155CD" w:rsidRPr="004C102F" w:rsidRDefault="00F43F7A">
            <w:pPr>
              <w:rPr>
                <w:sz w:val="24"/>
                <w:szCs w:val="24"/>
              </w:rPr>
            </w:pPr>
            <w:r w:rsidRPr="004C102F">
              <w:rPr>
                <w:rFonts w:eastAsia="Calibri"/>
                <w:color w:val="9B1C1C"/>
                <w:sz w:val="24"/>
                <w:szCs w:val="24"/>
              </w:rPr>
              <w:t>Enterprise-only context; no ZTA integration; XAI is output explanation only, not input to dynamic trust scoring.</w:t>
            </w:r>
          </w:p>
        </w:tc>
        <w:tc>
          <w:tcPr>
            <w:tcW w:w="1504" w:type="dxa"/>
            <w:shd w:val="clear" w:color="auto" w:fill="EFF6FF"/>
            <w:tcMar>
              <w:top w:w="80" w:type="dxa"/>
              <w:left w:w="100" w:type="dxa"/>
              <w:bottom w:w="80" w:type="dxa"/>
              <w:right w:w="100" w:type="dxa"/>
            </w:tcMar>
          </w:tcPr>
          <w:p w:rsidR="007155CD" w:rsidRPr="004C102F" w:rsidRDefault="00F43F7A">
            <w:pPr>
              <w:rPr>
                <w:sz w:val="24"/>
                <w:szCs w:val="24"/>
              </w:rPr>
            </w:pPr>
            <w:r w:rsidRPr="004C102F">
              <w:rPr>
                <w:rFonts w:eastAsia="Calibri"/>
                <w:color w:val="1E40AF"/>
                <w:sz w:val="24"/>
                <w:szCs w:val="24"/>
              </w:rPr>
              <w:t>Justifies TreeSHAP selection for the proposed detection engine; this thesis adds ZTA coupling absent from X-IDS literature.</w:t>
            </w:r>
          </w:p>
        </w:tc>
      </w:tr>
      <w:tr w:rsidR="007155CD" w:rsidRPr="004C102F">
        <w:tc>
          <w:tcPr>
            <w:tcW w:w="1550" w:type="dxa"/>
            <w:shd w:val="clear" w:color="auto" w:fill="FFFFFF"/>
            <w:tcMar>
              <w:top w:w="80" w:type="dxa"/>
              <w:left w:w="100" w:type="dxa"/>
              <w:bottom w:w="80" w:type="dxa"/>
              <w:right w:w="100" w:type="dxa"/>
            </w:tcMar>
          </w:tcPr>
          <w:p w:rsidR="007155CD" w:rsidRPr="004C102F" w:rsidRDefault="00F43F7A">
            <w:pPr>
              <w:rPr>
                <w:sz w:val="24"/>
                <w:szCs w:val="24"/>
              </w:rPr>
            </w:pPr>
            <w:r w:rsidRPr="004C102F">
              <w:rPr>
                <w:rFonts w:eastAsia="Calibri"/>
                <w:b/>
                <w:bCs/>
                <w:color w:val="075A94"/>
                <w:sz w:val="24"/>
                <w:szCs w:val="24"/>
              </w:rPr>
              <w:t>Moustafa et al. (IEEE COMST, 2023)</w:t>
            </w:r>
          </w:p>
        </w:tc>
        <w:tc>
          <w:tcPr>
            <w:tcW w:w="1580" w:type="dxa"/>
            <w:shd w:val="clear" w:color="auto" w:fill="FFFFFF"/>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Layered XAI-IDS architecture (SHAP + LIME + lightweight classifier) for IoT/cyber-physical environments.</w:t>
            </w:r>
          </w:p>
        </w:tc>
        <w:tc>
          <w:tcPr>
            <w:tcW w:w="1580" w:type="dxa"/>
            <w:shd w:val="clear" w:color="auto" w:fill="FFFFFF"/>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Lightweight neural network + SHAP/LIME explanation + federated training; evaluated on UNSW-NB15 and BoT-IoT datasets.</w:t>
            </w:r>
          </w:p>
        </w:tc>
        <w:tc>
          <w:tcPr>
            <w:tcW w:w="1406" w:type="dxa"/>
            <w:shd w:val="clear" w:color="auto" w:fill="F0FDF4"/>
            <w:tcMar>
              <w:top w:w="80" w:type="dxa"/>
              <w:left w:w="100" w:type="dxa"/>
              <w:bottom w:w="80" w:type="dxa"/>
              <w:right w:w="100" w:type="dxa"/>
            </w:tcMar>
          </w:tcPr>
          <w:p w:rsidR="007155CD" w:rsidRPr="004C102F" w:rsidRDefault="00F43F7A">
            <w:pPr>
              <w:rPr>
                <w:sz w:val="24"/>
                <w:szCs w:val="24"/>
              </w:rPr>
            </w:pPr>
            <w:r w:rsidRPr="004C102F">
              <w:rPr>
                <w:rFonts w:eastAsia="Calibri"/>
                <w:color w:val="166534"/>
                <w:sz w:val="24"/>
                <w:szCs w:val="24"/>
              </w:rPr>
              <w:t>Demonstrates SHAP/LIME feasibility in resource-constrained environments; closest prior work to Comorian context.</w:t>
            </w:r>
          </w:p>
        </w:tc>
        <w:tc>
          <w:tcPr>
            <w:tcW w:w="1406" w:type="dxa"/>
            <w:shd w:val="clear" w:color="auto" w:fill="FFF1F2"/>
            <w:tcMar>
              <w:top w:w="80" w:type="dxa"/>
              <w:left w:w="100" w:type="dxa"/>
              <w:bottom w:w="80" w:type="dxa"/>
              <w:right w:w="100" w:type="dxa"/>
            </w:tcMar>
          </w:tcPr>
          <w:p w:rsidR="007155CD" w:rsidRPr="004C102F" w:rsidRDefault="00F43F7A">
            <w:pPr>
              <w:rPr>
                <w:sz w:val="24"/>
                <w:szCs w:val="24"/>
              </w:rPr>
            </w:pPr>
            <w:r w:rsidRPr="004C102F">
              <w:rPr>
                <w:rFonts w:eastAsia="Calibri"/>
                <w:color w:val="9B1C1C"/>
                <w:sz w:val="24"/>
                <w:szCs w:val="24"/>
              </w:rPr>
              <w:t>No ZTA governance layer; no national/developing-country policy context; purely technical focus.</w:t>
            </w:r>
          </w:p>
        </w:tc>
        <w:tc>
          <w:tcPr>
            <w:tcW w:w="1504" w:type="dxa"/>
            <w:shd w:val="clear" w:color="auto" w:fill="EFF6FF"/>
            <w:tcMar>
              <w:top w:w="80" w:type="dxa"/>
              <w:left w:w="100" w:type="dxa"/>
              <w:bottom w:w="80" w:type="dxa"/>
              <w:right w:w="100" w:type="dxa"/>
            </w:tcMar>
          </w:tcPr>
          <w:p w:rsidR="007155CD" w:rsidRPr="004C102F" w:rsidRDefault="00F43F7A">
            <w:pPr>
              <w:rPr>
                <w:sz w:val="24"/>
                <w:szCs w:val="24"/>
              </w:rPr>
            </w:pPr>
            <w:r w:rsidRPr="004C102F">
              <w:rPr>
                <w:rFonts w:eastAsia="Calibri"/>
                <w:color w:val="1E40AF"/>
                <w:sz w:val="24"/>
                <w:szCs w:val="24"/>
              </w:rPr>
              <w:t>Lightweight SHAP architecture adopted as reference for resource-constrained XAI engine; this thesis adds ZTA and governance layers.</w:t>
            </w:r>
          </w:p>
        </w:tc>
      </w:tr>
      <w:tr w:rsidR="007155CD" w:rsidRPr="004C102F">
        <w:tc>
          <w:tcPr>
            <w:tcW w:w="1550" w:type="dxa"/>
            <w:shd w:val="clear" w:color="auto" w:fill="EBF5FB"/>
            <w:tcMar>
              <w:top w:w="80" w:type="dxa"/>
              <w:left w:w="100" w:type="dxa"/>
              <w:bottom w:w="80" w:type="dxa"/>
              <w:right w:w="100" w:type="dxa"/>
            </w:tcMar>
          </w:tcPr>
          <w:p w:rsidR="007155CD" w:rsidRPr="004C102F" w:rsidRDefault="00F43F7A">
            <w:pPr>
              <w:rPr>
                <w:sz w:val="24"/>
                <w:szCs w:val="24"/>
              </w:rPr>
            </w:pPr>
            <w:r w:rsidRPr="004C102F">
              <w:rPr>
                <w:rFonts w:eastAsia="Calibri"/>
                <w:b/>
                <w:bCs/>
                <w:color w:val="075A94"/>
                <w:sz w:val="24"/>
                <w:szCs w:val="24"/>
              </w:rPr>
              <w:t>Cao et al. (Machine Intelligence Research, 2024)</w:t>
            </w:r>
          </w:p>
        </w:tc>
        <w:tc>
          <w:tcPr>
            <w:tcW w:w="1580" w:type="dxa"/>
            <w:shd w:val="clear" w:color="auto" w:fill="EBF5FB"/>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ML-driven automated orchestration of Zero Trust policies using reinforcement learning.</w:t>
            </w:r>
          </w:p>
        </w:tc>
        <w:tc>
          <w:tcPr>
            <w:tcW w:w="1580" w:type="dxa"/>
            <w:shd w:val="clear" w:color="auto" w:fill="EBF5FB"/>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RL agent adjusts micro-segmentation policies in real time based on behavioural anomaly signals; evaluated in cloud simulations.</w:t>
            </w:r>
          </w:p>
        </w:tc>
        <w:tc>
          <w:tcPr>
            <w:tcW w:w="1406" w:type="dxa"/>
            <w:shd w:val="clear" w:color="auto" w:fill="F0FDF4"/>
            <w:tcMar>
              <w:top w:w="80" w:type="dxa"/>
              <w:left w:w="100" w:type="dxa"/>
              <w:bottom w:w="80" w:type="dxa"/>
              <w:right w:w="100" w:type="dxa"/>
            </w:tcMar>
          </w:tcPr>
          <w:p w:rsidR="007155CD" w:rsidRPr="004C102F" w:rsidRDefault="00F43F7A">
            <w:pPr>
              <w:rPr>
                <w:sz w:val="24"/>
                <w:szCs w:val="24"/>
              </w:rPr>
            </w:pPr>
            <w:r w:rsidRPr="004C102F">
              <w:rPr>
                <w:rFonts w:eastAsia="Calibri"/>
                <w:color w:val="166534"/>
                <w:sz w:val="24"/>
                <w:szCs w:val="24"/>
              </w:rPr>
              <w:t>First adaptive ZTA orchestration; faster anomaly response than rule-based baselines; bridges NIST SP 800-207 gap.</w:t>
            </w:r>
          </w:p>
        </w:tc>
        <w:tc>
          <w:tcPr>
            <w:tcW w:w="1406" w:type="dxa"/>
            <w:shd w:val="clear" w:color="auto" w:fill="FFF1F2"/>
            <w:tcMar>
              <w:top w:w="80" w:type="dxa"/>
              <w:left w:w="100" w:type="dxa"/>
              <w:bottom w:w="80" w:type="dxa"/>
              <w:right w:w="100" w:type="dxa"/>
            </w:tcMar>
          </w:tcPr>
          <w:p w:rsidR="007155CD" w:rsidRPr="004C102F" w:rsidRDefault="00F43F7A">
            <w:pPr>
              <w:rPr>
                <w:sz w:val="24"/>
                <w:szCs w:val="24"/>
              </w:rPr>
            </w:pPr>
            <w:r w:rsidRPr="004C102F">
              <w:rPr>
                <w:rFonts w:eastAsia="Calibri"/>
                <w:color w:val="9B1C1C"/>
                <w:sz w:val="24"/>
                <w:szCs w:val="24"/>
              </w:rPr>
              <w:t>No XAI; black-box RL engine; cloud/enterprise only; no developing-country or legacy hardware consideration.</w:t>
            </w:r>
          </w:p>
        </w:tc>
        <w:tc>
          <w:tcPr>
            <w:tcW w:w="1504" w:type="dxa"/>
            <w:shd w:val="clear" w:color="auto" w:fill="EFF6FF"/>
            <w:tcMar>
              <w:top w:w="80" w:type="dxa"/>
              <w:left w:w="100" w:type="dxa"/>
              <w:bottom w:w="80" w:type="dxa"/>
              <w:right w:w="100" w:type="dxa"/>
            </w:tcMar>
          </w:tcPr>
          <w:p w:rsidR="007155CD" w:rsidRPr="004C102F" w:rsidRDefault="00F43F7A">
            <w:pPr>
              <w:rPr>
                <w:sz w:val="24"/>
                <w:szCs w:val="24"/>
              </w:rPr>
            </w:pPr>
            <w:r w:rsidRPr="004C102F">
              <w:rPr>
                <w:rFonts w:eastAsia="Calibri"/>
                <w:color w:val="1E40AF"/>
                <w:sz w:val="24"/>
                <w:szCs w:val="24"/>
              </w:rPr>
              <w:t>Adaptive response layer design inspired by this work; this thesis adds SHAP explainability to adaptive ZTA decisions.</w:t>
            </w:r>
          </w:p>
        </w:tc>
      </w:tr>
      <w:tr w:rsidR="007155CD" w:rsidRPr="004C102F">
        <w:tc>
          <w:tcPr>
            <w:tcW w:w="1550" w:type="dxa"/>
            <w:shd w:val="clear" w:color="auto" w:fill="FFFFFF"/>
            <w:tcMar>
              <w:top w:w="80" w:type="dxa"/>
              <w:left w:w="100" w:type="dxa"/>
              <w:bottom w:w="80" w:type="dxa"/>
              <w:right w:w="100" w:type="dxa"/>
            </w:tcMar>
          </w:tcPr>
          <w:p w:rsidR="007155CD" w:rsidRPr="004C102F" w:rsidRDefault="00F43F7A">
            <w:pPr>
              <w:rPr>
                <w:sz w:val="24"/>
                <w:szCs w:val="24"/>
              </w:rPr>
            </w:pPr>
            <w:r w:rsidRPr="004C102F">
              <w:rPr>
                <w:rFonts w:eastAsia="Calibri"/>
                <w:b/>
                <w:bCs/>
                <w:color w:val="075A94"/>
                <w:sz w:val="24"/>
                <w:szCs w:val="24"/>
              </w:rPr>
              <w:t>Bertino &amp; Islam (IEEE Security &amp; Privacy, 2023)</w:t>
            </w:r>
          </w:p>
        </w:tc>
        <w:tc>
          <w:tcPr>
            <w:tcW w:w="1580" w:type="dxa"/>
            <w:shd w:val="clear" w:color="auto" w:fill="FFFFFF"/>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Systematic assessment of ZTA adoption barriers in critical infrastructure: legacy, governance, continuity.</w:t>
            </w:r>
          </w:p>
        </w:tc>
        <w:tc>
          <w:tcPr>
            <w:tcW w:w="1580" w:type="dxa"/>
            <w:shd w:val="clear" w:color="auto" w:fill="FFFFFF"/>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 xml:space="preserve">Case analysis across energy, transport, and healthcare sectors; structured diagnostic framework mapping </w:t>
            </w:r>
            <w:r w:rsidRPr="004C102F">
              <w:rPr>
                <w:rFonts w:eastAsia="Calibri"/>
                <w:color w:val="1A1A1A"/>
                <w:sz w:val="24"/>
                <w:szCs w:val="24"/>
              </w:rPr>
              <w:lastRenderedPageBreak/>
              <w:t>barriers to mitigations.</w:t>
            </w:r>
          </w:p>
        </w:tc>
        <w:tc>
          <w:tcPr>
            <w:tcW w:w="1406" w:type="dxa"/>
            <w:shd w:val="clear" w:color="auto" w:fill="F0FDF4"/>
            <w:tcMar>
              <w:top w:w="80" w:type="dxa"/>
              <w:left w:w="100" w:type="dxa"/>
              <w:bottom w:w="80" w:type="dxa"/>
              <w:right w:w="100" w:type="dxa"/>
            </w:tcMar>
          </w:tcPr>
          <w:p w:rsidR="007155CD" w:rsidRPr="004C102F" w:rsidRDefault="00F43F7A">
            <w:pPr>
              <w:rPr>
                <w:sz w:val="24"/>
                <w:szCs w:val="24"/>
              </w:rPr>
            </w:pPr>
            <w:r w:rsidRPr="004C102F">
              <w:rPr>
                <w:rFonts w:eastAsia="Calibri"/>
                <w:color w:val="166534"/>
                <w:sz w:val="24"/>
                <w:szCs w:val="24"/>
              </w:rPr>
              <w:lastRenderedPageBreak/>
              <w:t xml:space="preserve">First empirical documentation of ZTA adoption constraints directly relevant to </w:t>
            </w:r>
            <w:r w:rsidRPr="004C102F">
              <w:rPr>
                <w:rFonts w:eastAsia="Calibri"/>
                <w:color w:val="166534"/>
                <w:sz w:val="24"/>
                <w:szCs w:val="24"/>
              </w:rPr>
              <w:lastRenderedPageBreak/>
              <w:t>Comorian context.</w:t>
            </w:r>
          </w:p>
        </w:tc>
        <w:tc>
          <w:tcPr>
            <w:tcW w:w="1406" w:type="dxa"/>
            <w:shd w:val="clear" w:color="auto" w:fill="FFF1F2"/>
            <w:tcMar>
              <w:top w:w="80" w:type="dxa"/>
              <w:left w:w="100" w:type="dxa"/>
              <w:bottom w:w="80" w:type="dxa"/>
              <w:right w:w="100" w:type="dxa"/>
            </w:tcMar>
          </w:tcPr>
          <w:p w:rsidR="007155CD" w:rsidRPr="004C102F" w:rsidRDefault="00F43F7A">
            <w:pPr>
              <w:rPr>
                <w:sz w:val="24"/>
                <w:szCs w:val="24"/>
              </w:rPr>
            </w:pPr>
            <w:r w:rsidRPr="004C102F">
              <w:rPr>
                <w:rFonts w:eastAsia="Calibri"/>
                <w:color w:val="9B1C1C"/>
                <w:sz w:val="24"/>
                <w:szCs w:val="24"/>
              </w:rPr>
              <w:lastRenderedPageBreak/>
              <w:t>Diagnostic only; no XAI; no adaptive AI mitigation; all cases from industrialised countries.</w:t>
            </w:r>
          </w:p>
        </w:tc>
        <w:tc>
          <w:tcPr>
            <w:tcW w:w="1504" w:type="dxa"/>
            <w:shd w:val="clear" w:color="auto" w:fill="EFF6FF"/>
            <w:tcMar>
              <w:top w:w="80" w:type="dxa"/>
              <w:left w:w="100" w:type="dxa"/>
              <w:bottom w:w="80" w:type="dxa"/>
              <w:right w:w="100" w:type="dxa"/>
            </w:tcMar>
          </w:tcPr>
          <w:p w:rsidR="007155CD" w:rsidRPr="004C102F" w:rsidRDefault="00F43F7A">
            <w:pPr>
              <w:rPr>
                <w:sz w:val="24"/>
                <w:szCs w:val="24"/>
              </w:rPr>
            </w:pPr>
            <w:r w:rsidRPr="004C102F">
              <w:rPr>
                <w:rFonts w:eastAsia="Calibri"/>
                <w:color w:val="1E40AF"/>
                <w:sz w:val="24"/>
                <w:szCs w:val="24"/>
              </w:rPr>
              <w:t xml:space="preserve">Identified barriers operationalised as design constraints; phased ZTA roadmap in this thesis addresses </w:t>
            </w:r>
            <w:r w:rsidRPr="004C102F">
              <w:rPr>
                <w:rFonts w:eastAsia="Calibri"/>
                <w:color w:val="1E40AF"/>
                <w:sz w:val="24"/>
                <w:szCs w:val="24"/>
              </w:rPr>
              <w:lastRenderedPageBreak/>
              <w:t>each barrier directly.</w:t>
            </w:r>
          </w:p>
        </w:tc>
      </w:tr>
      <w:tr w:rsidR="007155CD" w:rsidRPr="004C102F">
        <w:tc>
          <w:tcPr>
            <w:tcW w:w="1550" w:type="dxa"/>
            <w:shd w:val="clear" w:color="auto" w:fill="EBF5FB"/>
            <w:tcMar>
              <w:top w:w="80" w:type="dxa"/>
              <w:left w:w="100" w:type="dxa"/>
              <w:bottom w:w="80" w:type="dxa"/>
              <w:right w:w="100" w:type="dxa"/>
            </w:tcMar>
          </w:tcPr>
          <w:p w:rsidR="007155CD" w:rsidRPr="004C102F" w:rsidRDefault="00F43F7A">
            <w:pPr>
              <w:rPr>
                <w:sz w:val="24"/>
                <w:szCs w:val="24"/>
              </w:rPr>
            </w:pPr>
            <w:r w:rsidRPr="004C102F">
              <w:rPr>
                <w:rFonts w:eastAsia="Calibri"/>
                <w:b/>
                <w:bCs/>
                <w:color w:val="075A94"/>
                <w:sz w:val="24"/>
                <w:szCs w:val="24"/>
              </w:rPr>
              <w:lastRenderedPageBreak/>
              <w:t>ENISA Threat Landscape (2024)</w:t>
            </w:r>
          </w:p>
        </w:tc>
        <w:tc>
          <w:tcPr>
            <w:tcW w:w="1580" w:type="dxa"/>
            <w:shd w:val="clear" w:color="auto" w:fill="EBF5FB"/>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Authoritative EU threat landscape report: attack taxonomy across critical infrastructure sectors.</w:t>
            </w:r>
          </w:p>
        </w:tc>
        <w:tc>
          <w:tcPr>
            <w:tcW w:w="1580" w:type="dxa"/>
            <w:shd w:val="clear" w:color="auto" w:fill="EBF5FB"/>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Multi-source threat intelligence aggregation; categorised by vector and sector; aligned with MITRE ATT&amp;CK.</w:t>
            </w:r>
          </w:p>
        </w:tc>
        <w:tc>
          <w:tcPr>
            <w:tcW w:w="1406" w:type="dxa"/>
            <w:shd w:val="clear" w:color="auto" w:fill="F0FDF4"/>
            <w:tcMar>
              <w:top w:w="80" w:type="dxa"/>
              <w:left w:w="100" w:type="dxa"/>
              <w:bottom w:w="80" w:type="dxa"/>
              <w:right w:w="100" w:type="dxa"/>
            </w:tcMar>
          </w:tcPr>
          <w:p w:rsidR="007155CD" w:rsidRPr="004C102F" w:rsidRDefault="00F43F7A">
            <w:pPr>
              <w:rPr>
                <w:sz w:val="24"/>
                <w:szCs w:val="24"/>
              </w:rPr>
            </w:pPr>
            <w:r w:rsidRPr="004C102F">
              <w:rPr>
                <w:rFonts w:eastAsia="Calibri"/>
                <w:color w:val="166534"/>
                <w:sz w:val="24"/>
                <w:szCs w:val="24"/>
              </w:rPr>
              <w:t>Most comprehensive critical infrastructure threat taxonomy; MITRE ATT&amp;CK alignment enables structured evaluation.</w:t>
            </w:r>
          </w:p>
        </w:tc>
        <w:tc>
          <w:tcPr>
            <w:tcW w:w="1406" w:type="dxa"/>
            <w:shd w:val="clear" w:color="auto" w:fill="FFF1F2"/>
            <w:tcMar>
              <w:top w:w="80" w:type="dxa"/>
              <w:left w:w="100" w:type="dxa"/>
              <w:bottom w:w="80" w:type="dxa"/>
              <w:right w:w="100" w:type="dxa"/>
            </w:tcMar>
          </w:tcPr>
          <w:p w:rsidR="007155CD" w:rsidRPr="004C102F" w:rsidRDefault="00F43F7A">
            <w:pPr>
              <w:rPr>
                <w:sz w:val="24"/>
                <w:szCs w:val="24"/>
              </w:rPr>
            </w:pPr>
            <w:r w:rsidRPr="004C102F">
              <w:rPr>
                <w:rFonts w:eastAsia="Calibri"/>
                <w:color w:val="9B1C1C"/>
                <w:sz w:val="24"/>
                <w:szCs w:val="24"/>
              </w:rPr>
              <w:t>EU-centric; no XAI or adaptive detection; inapplicable to island developing states.</w:t>
            </w:r>
          </w:p>
        </w:tc>
        <w:tc>
          <w:tcPr>
            <w:tcW w:w="1504" w:type="dxa"/>
            <w:shd w:val="clear" w:color="auto" w:fill="EFF6FF"/>
            <w:tcMar>
              <w:top w:w="80" w:type="dxa"/>
              <w:left w:w="100" w:type="dxa"/>
              <w:bottom w:w="80" w:type="dxa"/>
              <w:right w:w="100" w:type="dxa"/>
            </w:tcMar>
          </w:tcPr>
          <w:p w:rsidR="007155CD" w:rsidRPr="004C102F" w:rsidRDefault="00F43F7A">
            <w:pPr>
              <w:rPr>
                <w:sz w:val="24"/>
                <w:szCs w:val="24"/>
              </w:rPr>
            </w:pPr>
            <w:r w:rsidRPr="004C102F">
              <w:rPr>
                <w:rFonts w:eastAsia="Calibri"/>
                <w:color w:val="1E40AF"/>
                <w:sz w:val="24"/>
                <w:szCs w:val="24"/>
              </w:rPr>
              <w:t>Threat categories used as benchmark simulation scenarios for framework evaluation; confirms need for island-specific adaptive model.</w:t>
            </w:r>
          </w:p>
        </w:tc>
      </w:tr>
      <w:tr w:rsidR="007155CD" w:rsidRPr="004C102F">
        <w:tc>
          <w:tcPr>
            <w:tcW w:w="1550" w:type="dxa"/>
            <w:shd w:val="clear" w:color="auto" w:fill="D4EEF7"/>
            <w:tcMar>
              <w:top w:w="80" w:type="dxa"/>
              <w:left w:w="100" w:type="dxa"/>
              <w:bottom w:w="80" w:type="dxa"/>
              <w:right w:w="100" w:type="dxa"/>
            </w:tcMar>
          </w:tcPr>
          <w:p w:rsidR="007155CD" w:rsidRPr="004C102F" w:rsidRDefault="00F43F7A">
            <w:pPr>
              <w:rPr>
                <w:sz w:val="24"/>
                <w:szCs w:val="24"/>
              </w:rPr>
            </w:pPr>
            <w:r w:rsidRPr="004C102F">
              <w:rPr>
                <w:rFonts w:eastAsia="Calibri"/>
                <w:b/>
                <w:bCs/>
                <w:color w:val="065A82"/>
                <w:sz w:val="24"/>
                <w:szCs w:val="24"/>
              </w:rPr>
              <w:t>Proposed Framework (This Thesis)</w:t>
            </w:r>
          </w:p>
        </w:tc>
        <w:tc>
          <w:tcPr>
            <w:tcW w:w="1580" w:type="dxa"/>
            <w:shd w:val="clear" w:color="auto" w:fill="D4EEF7"/>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Adaptive Cyber Defense Design Framework integrating XAI + ZTA for Comorian critical infrastructure.</w:t>
            </w:r>
          </w:p>
        </w:tc>
        <w:tc>
          <w:tcPr>
            <w:tcW w:w="1580" w:type="dxa"/>
            <w:shd w:val="clear" w:color="auto" w:fill="D4EEF7"/>
            <w:tcMar>
              <w:top w:w="80" w:type="dxa"/>
              <w:left w:w="100" w:type="dxa"/>
              <w:bottom w:w="80" w:type="dxa"/>
              <w:right w:w="100" w:type="dxa"/>
            </w:tcMar>
          </w:tcPr>
          <w:p w:rsidR="007155CD" w:rsidRPr="004C102F" w:rsidRDefault="00F43F7A">
            <w:pPr>
              <w:rPr>
                <w:sz w:val="24"/>
                <w:szCs w:val="24"/>
              </w:rPr>
            </w:pPr>
            <w:r w:rsidRPr="004C102F">
              <w:rPr>
                <w:rFonts w:eastAsia="Calibri"/>
                <w:color w:val="1A1A1A"/>
                <w:sz w:val="24"/>
                <w:szCs w:val="24"/>
              </w:rPr>
              <w:t>XAI (SHAP/LIME) threat detection engine + adaptive ZTA orchestration + phased island-context deployment roadmap.</w:t>
            </w:r>
          </w:p>
        </w:tc>
        <w:tc>
          <w:tcPr>
            <w:tcW w:w="1406" w:type="dxa"/>
            <w:shd w:val="clear" w:color="auto" w:fill="F0FDF4"/>
            <w:tcMar>
              <w:top w:w="80" w:type="dxa"/>
              <w:left w:w="100" w:type="dxa"/>
              <w:bottom w:w="80" w:type="dxa"/>
              <w:right w:w="100" w:type="dxa"/>
            </w:tcMar>
          </w:tcPr>
          <w:p w:rsidR="007155CD" w:rsidRPr="004C102F" w:rsidRDefault="00F43F7A">
            <w:pPr>
              <w:rPr>
                <w:sz w:val="24"/>
                <w:szCs w:val="24"/>
              </w:rPr>
            </w:pPr>
            <w:r w:rsidRPr="004C102F">
              <w:rPr>
                <w:rFonts w:eastAsia="Calibri"/>
                <w:color w:val="166534"/>
                <w:sz w:val="24"/>
                <w:szCs w:val="24"/>
              </w:rPr>
              <w:t>First unified XAI+ZTA framework validated for island developing-state critical infrastructure context.</w:t>
            </w:r>
          </w:p>
        </w:tc>
        <w:tc>
          <w:tcPr>
            <w:tcW w:w="1406" w:type="dxa"/>
            <w:shd w:val="clear" w:color="auto" w:fill="FFF1F2"/>
            <w:tcMar>
              <w:top w:w="80" w:type="dxa"/>
              <w:left w:w="100" w:type="dxa"/>
              <w:bottom w:w="80" w:type="dxa"/>
              <w:right w:w="100" w:type="dxa"/>
            </w:tcMar>
          </w:tcPr>
          <w:p w:rsidR="007155CD" w:rsidRPr="004C102F" w:rsidRDefault="00F43F7A">
            <w:pPr>
              <w:rPr>
                <w:sz w:val="24"/>
                <w:szCs w:val="24"/>
              </w:rPr>
            </w:pPr>
            <w:r w:rsidRPr="004C102F">
              <w:rPr>
                <w:rFonts w:eastAsia="Calibri"/>
                <w:color w:val="9B1C1C"/>
                <w:sz w:val="24"/>
                <w:szCs w:val="24"/>
              </w:rPr>
              <w:t>Empirical validation limited to Comorian context; real infrastructure logs constrained by confidentiality.</w:t>
            </w:r>
          </w:p>
        </w:tc>
        <w:tc>
          <w:tcPr>
            <w:tcW w:w="1504" w:type="dxa"/>
            <w:shd w:val="clear" w:color="auto" w:fill="EFF6FF"/>
            <w:tcMar>
              <w:top w:w="80" w:type="dxa"/>
              <w:left w:w="100" w:type="dxa"/>
              <w:bottom w:w="80" w:type="dxa"/>
              <w:right w:w="100" w:type="dxa"/>
            </w:tcMar>
          </w:tcPr>
          <w:p w:rsidR="007155CD" w:rsidRPr="004C102F" w:rsidRDefault="00F43F7A">
            <w:pPr>
              <w:rPr>
                <w:sz w:val="24"/>
                <w:szCs w:val="24"/>
              </w:rPr>
            </w:pPr>
            <w:r w:rsidRPr="004C102F">
              <w:rPr>
                <w:rFonts w:eastAsia="Calibri"/>
                <w:color w:val="1E40AF"/>
                <w:sz w:val="24"/>
                <w:szCs w:val="24"/>
              </w:rPr>
              <w:t>Synthesises and extends all six prior works; addresses gaps in XAI transparency, ZTA adaptivity, and developing-nation applicability.</w:t>
            </w:r>
          </w:p>
        </w:tc>
      </w:tr>
    </w:tbl>
    <w:p w:rsidR="007155CD" w:rsidRPr="004C102F" w:rsidRDefault="007155CD">
      <w:pPr>
        <w:spacing w:after="120"/>
        <w:rPr>
          <w:sz w:val="24"/>
          <w:szCs w:val="24"/>
        </w:rPr>
      </w:pPr>
    </w:p>
    <w:p w:rsidR="007155CD" w:rsidRDefault="007155CD">
      <w:pPr>
        <w:spacing w:after="80"/>
        <w:rPr>
          <w:rFonts w:eastAsia="Calibri"/>
          <w:b/>
          <w:bCs/>
          <w:color w:val="595959"/>
          <w:sz w:val="24"/>
          <w:szCs w:val="24"/>
        </w:rPr>
      </w:pPr>
    </w:p>
    <w:p w:rsidR="000936CF" w:rsidRPr="004C102F" w:rsidRDefault="000936CF">
      <w:pPr>
        <w:spacing w:after="80"/>
        <w:rPr>
          <w:sz w:val="24"/>
          <w:szCs w:val="24"/>
        </w:rPr>
      </w:pPr>
    </w:p>
    <w:p w:rsidR="007155CD" w:rsidRPr="004C102F" w:rsidRDefault="00F43F7A">
      <w:pPr>
        <w:bidi/>
        <w:spacing w:before="120" w:after="40"/>
        <w:jc w:val="center"/>
        <w:rPr>
          <w:sz w:val="24"/>
          <w:szCs w:val="24"/>
        </w:rPr>
      </w:pPr>
      <w:r w:rsidRPr="004C102F">
        <w:rPr>
          <w:rFonts w:eastAsia="Traditional Arabic"/>
          <w:i/>
          <w:iCs/>
          <w:color w:val="A93226"/>
          <w:sz w:val="24"/>
          <w:szCs w:val="24"/>
          <w:rtl/>
        </w:rPr>
        <w:t>قواعد الكتابة والمراجع وفقًا لنظام جمعية علم النفس الأمريكية APA (الإصدار السابع)</w:t>
      </w:r>
    </w:p>
    <w:p w:rsidR="007155CD" w:rsidRPr="004C102F" w:rsidRDefault="00F43F7A">
      <w:pPr>
        <w:spacing w:after="200"/>
        <w:jc w:val="center"/>
        <w:rPr>
          <w:sz w:val="24"/>
          <w:szCs w:val="24"/>
        </w:rPr>
      </w:pPr>
      <w:r w:rsidRPr="004C102F">
        <w:rPr>
          <w:rFonts w:eastAsia="Calibri"/>
          <w:i/>
          <w:iCs/>
          <w:color w:val="A93226"/>
          <w:sz w:val="24"/>
          <w:szCs w:val="24"/>
        </w:rPr>
        <w:t>Referenced and formatted according to American Psychological Association (APA), 7th Edition</w:t>
      </w:r>
      <w:bookmarkStart w:id="0" w:name="_GoBack"/>
      <w:bookmarkEnd w:id="0"/>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075A94"/>
          <w:sz w:val="24"/>
          <w:szCs w:val="24"/>
          <w:rtl/>
        </w:rPr>
        <w:t>مصطلحات الدراسة وتعريفاتها الإجرائية</w:t>
      </w:r>
    </w:p>
    <w:p w:rsidR="007155CD" w:rsidRPr="004C102F" w:rsidRDefault="00F43F7A">
      <w:pPr>
        <w:spacing w:after="200"/>
        <w:rPr>
          <w:sz w:val="24"/>
          <w:szCs w:val="24"/>
        </w:rPr>
      </w:pPr>
      <w:r w:rsidRPr="004C102F">
        <w:rPr>
          <w:rFonts w:eastAsia="Calibri"/>
          <w:i/>
          <w:iCs/>
          <w:color w:val="595959"/>
          <w:sz w:val="24"/>
          <w:szCs w:val="24"/>
        </w:rPr>
        <w:t>Terms of the Study and Operational Definitions</w:t>
      </w:r>
    </w:p>
    <w:p w:rsidR="007155CD" w:rsidRPr="004C102F" w:rsidRDefault="00F43F7A">
      <w:pPr>
        <w:spacing w:after="160" w:line="276" w:lineRule="auto"/>
        <w:jc w:val="both"/>
        <w:rPr>
          <w:sz w:val="24"/>
          <w:szCs w:val="24"/>
        </w:rPr>
      </w:pPr>
      <w:r w:rsidRPr="004C102F">
        <w:rPr>
          <w:rFonts w:eastAsia="Calibri"/>
          <w:b/>
          <w:bCs/>
          <w:color w:val="1A1A1A"/>
          <w:sz w:val="24"/>
          <w:szCs w:val="24"/>
        </w:rPr>
        <w:t>Zero Trust Architecture (ZTA</w:t>
      </w:r>
      <w:proofErr w:type="gramStart"/>
      <w:r w:rsidRPr="004C102F">
        <w:rPr>
          <w:rFonts w:eastAsia="Calibri"/>
          <w:b/>
          <w:bCs/>
          <w:color w:val="1A1A1A"/>
          <w:sz w:val="24"/>
          <w:szCs w:val="24"/>
        </w:rPr>
        <w:t>):</w:t>
      </w:r>
      <w:proofErr w:type="gramEnd"/>
      <w:r w:rsidRPr="004C102F">
        <w:rPr>
          <w:rFonts w:eastAsia="Calibri"/>
          <w:b/>
          <w:bCs/>
          <w:color w:val="1A1A1A"/>
          <w:sz w:val="24"/>
          <w:szCs w:val="24"/>
        </w:rPr>
        <w:t xml:space="preserve"> </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A security model in which no user, device, or network segment is trusted by </w:t>
      </w:r>
      <w:proofErr w:type="gramStart"/>
      <w:r w:rsidRPr="004C102F">
        <w:rPr>
          <w:rFonts w:eastAsia="Calibri"/>
          <w:color w:val="1A1A1A"/>
          <w:sz w:val="24"/>
          <w:szCs w:val="24"/>
        </w:rPr>
        <w:t>default;</w:t>
      </w:r>
      <w:proofErr w:type="gramEnd"/>
      <w:r w:rsidRPr="004C102F">
        <w:rPr>
          <w:rFonts w:eastAsia="Calibri"/>
          <w:color w:val="1A1A1A"/>
          <w:sz w:val="24"/>
          <w:szCs w:val="24"/>
        </w:rPr>
        <w:t xml:space="preserve"> access is continuously verified regardless of network location, based on identity, context, and least-privilege principles.</w:t>
      </w:r>
    </w:p>
    <w:p w:rsidR="007155CD" w:rsidRPr="004C102F" w:rsidRDefault="00F43F7A">
      <w:pPr>
        <w:spacing w:after="160" w:line="276" w:lineRule="auto"/>
        <w:jc w:val="both"/>
        <w:rPr>
          <w:sz w:val="24"/>
          <w:szCs w:val="24"/>
        </w:rPr>
      </w:pPr>
      <w:r w:rsidRPr="004C102F">
        <w:rPr>
          <w:rFonts w:eastAsia="Calibri"/>
          <w:b/>
          <w:bCs/>
          <w:color w:val="1A1A1A"/>
          <w:sz w:val="24"/>
          <w:szCs w:val="24"/>
        </w:rPr>
        <w:t>Explainable Artificial Intelligence (XAI</w:t>
      </w:r>
      <w:proofErr w:type="gramStart"/>
      <w:r w:rsidRPr="004C102F">
        <w:rPr>
          <w:rFonts w:eastAsia="Calibri"/>
          <w:b/>
          <w:bCs/>
          <w:color w:val="1A1A1A"/>
          <w:sz w:val="24"/>
          <w:szCs w:val="24"/>
        </w:rPr>
        <w:t>):</w:t>
      </w:r>
      <w:proofErr w:type="gramEnd"/>
      <w:r w:rsidRPr="004C102F">
        <w:rPr>
          <w:rFonts w:eastAsia="Calibri"/>
          <w:b/>
          <w:bCs/>
          <w:color w:val="1A1A1A"/>
          <w:sz w:val="24"/>
          <w:szCs w:val="24"/>
        </w:rPr>
        <w:t xml:space="preserve"> </w:t>
      </w:r>
    </w:p>
    <w:p w:rsidR="007155CD" w:rsidRPr="004C102F" w:rsidRDefault="00F43F7A">
      <w:pPr>
        <w:spacing w:after="160" w:line="276" w:lineRule="auto"/>
        <w:jc w:val="both"/>
        <w:rPr>
          <w:sz w:val="24"/>
          <w:szCs w:val="24"/>
        </w:rPr>
      </w:pPr>
      <w:r w:rsidRPr="004C102F">
        <w:rPr>
          <w:rFonts w:eastAsia="Calibri"/>
          <w:color w:val="1A1A1A"/>
          <w:sz w:val="24"/>
          <w:szCs w:val="24"/>
        </w:rPr>
        <w:t>A set of methods and techniques (e.g., SHAP, LIME) that render the outputs and decisions of AI/machine-learning models interpretable and understandable to human analysts.</w:t>
      </w:r>
    </w:p>
    <w:p w:rsidR="007155CD" w:rsidRPr="004C102F" w:rsidRDefault="00F43F7A">
      <w:pPr>
        <w:spacing w:after="160" w:line="276" w:lineRule="auto"/>
        <w:jc w:val="both"/>
        <w:rPr>
          <w:sz w:val="24"/>
          <w:szCs w:val="24"/>
        </w:rPr>
      </w:pPr>
      <w:r w:rsidRPr="004C102F">
        <w:rPr>
          <w:rFonts w:eastAsia="Calibri"/>
          <w:b/>
          <w:bCs/>
          <w:color w:val="1A1A1A"/>
          <w:sz w:val="24"/>
          <w:szCs w:val="24"/>
        </w:rPr>
        <w:t xml:space="preserve">Critical </w:t>
      </w:r>
      <w:proofErr w:type="gramStart"/>
      <w:r w:rsidRPr="004C102F">
        <w:rPr>
          <w:rFonts w:eastAsia="Calibri"/>
          <w:b/>
          <w:bCs/>
          <w:color w:val="1A1A1A"/>
          <w:sz w:val="24"/>
          <w:szCs w:val="24"/>
        </w:rPr>
        <w:t>Infrastructure:</w:t>
      </w:r>
      <w:proofErr w:type="gramEnd"/>
      <w:r w:rsidRPr="004C102F">
        <w:rPr>
          <w:rFonts w:eastAsia="Calibri"/>
          <w:b/>
          <w:bCs/>
          <w:color w:val="1A1A1A"/>
          <w:sz w:val="24"/>
          <w:szCs w:val="24"/>
        </w:rPr>
        <w:t xml:space="preserve"> </w:t>
      </w:r>
    </w:p>
    <w:p w:rsidR="007155CD" w:rsidRPr="004C102F" w:rsidRDefault="00F43F7A">
      <w:pPr>
        <w:spacing w:after="160" w:line="276" w:lineRule="auto"/>
        <w:jc w:val="both"/>
        <w:rPr>
          <w:sz w:val="24"/>
          <w:szCs w:val="24"/>
        </w:rPr>
      </w:pPr>
      <w:r w:rsidRPr="004C102F">
        <w:rPr>
          <w:rFonts w:eastAsia="Calibri"/>
          <w:color w:val="1A1A1A"/>
          <w:sz w:val="24"/>
          <w:szCs w:val="24"/>
        </w:rPr>
        <w:lastRenderedPageBreak/>
        <w:t>Systems and assets — energy, telecommunications, government, financial, and water — whose disruption would have a debilitating effect on national security, economy, or public safety.</w:t>
      </w:r>
    </w:p>
    <w:p w:rsidR="007155CD" w:rsidRPr="004C102F" w:rsidRDefault="00F43F7A">
      <w:pPr>
        <w:spacing w:after="160" w:line="276" w:lineRule="auto"/>
        <w:jc w:val="both"/>
        <w:rPr>
          <w:sz w:val="24"/>
          <w:szCs w:val="24"/>
        </w:rPr>
      </w:pPr>
      <w:r w:rsidRPr="004C102F">
        <w:rPr>
          <w:rFonts w:eastAsia="Calibri"/>
          <w:b/>
          <w:bCs/>
          <w:color w:val="1A1A1A"/>
          <w:sz w:val="24"/>
          <w:szCs w:val="24"/>
        </w:rPr>
        <w:t xml:space="preserve">Adaptive Cyber Defense </w:t>
      </w:r>
      <w:proofErr w:type="gramStart"/>
      <w:r w:rsidRPr="004C102F">
        <w:rPr>
          <w:rFonts w:eastAsia="Calibri"/>
          <w:b/>
          <w:bCs/>
          <w:color w:val="1A1A1A"/>
          <w:sz w:val="24"/>
          <w:szCs w:val="24"/>
        </w:rPr>
        <w:t>Framework:</w:t>
      </w:r>
      <w:proofErr w:type="gramEnd"/>
      <w:r w:rsidRPr="004C102F">
        <w:rPr>
          <w:rFonts w:eastAsia="Calibri"/>
          <w:b/>
          <w:bCs/>
          <w:color w:val="1A1A1A"/>
          <w:sz w:val="24"/>
          <w:szCs w:val="24"/>
        </w:rPr>
        <w:t xml:space="preserve"> </w:t>
      </w:r>
    </w:p>
    <w:p w:rsidR="007155CD" w:rsidRPr="004C102F" w:rsidRDefault="00F43F7A">
      <w:pPr>
        <w:spacing w:after="160" w:line="276" w:lineRule="auto"/>
        <w:jc w:val="both"/>
        <w:rPr>
          <w:sz w:val="24"/>
          <w:szCs w:val="24"/>
        </w:rPr>
      </w:pPr>
      <w:r w:rsidRPr="004C102F">
        <w:rPr>
          <w:rFonts w:eastAsia="Calibri"/>
          <w:color w:val="1A1A1A"/>
          <w:sz w:val="24"/>
          <w:szCs w:val="24"/>
        </w:rPr>
        <w:t>A security architecture capable of dynamically adjusting its detection and response mechanisms in response to evolving threat conditions and contextual constraints.</w:t>
      </w:r>
    </w:p>
    <w:p w:rsidR="007155CD" w:rsidRPr="004C102F" w:rsidRDefault="00F43F7A">
      <w:pPr>
        <w:spacing w:after="160" w:line="276" w:lineRule="auto"/>
        <w:jc w:val="both"/>
        <w:rPr>
          <w:sz w:val="24"/>
          <w:szCs w:val="24"/>
        </w:rPr>
      </w:pPr>
      <w:r w:rsidRPr="004C102F">
        <w:rPr>
          <w:rFonts w:eastAsia="Calibri"/>
          <w:b/>
          <w:bCs/>
          <w:color w:val="1A1A1A"/>
          <w:sz w:val="24"/>
          <w:szCs w:val="24"/>
        </w:rPr>
        <w:t xml:space="preserve">Island-Context / SIDS </w:t>
      </w:r>
      <w:proofErr w:type="gramStart"/>
      <w:r w:rsidRPr="004C102F">
        <w:rPr>
          <w:rFonts w:eastAsia="Calibri"/>
          <w:b/>
          <w:bCs/>
          <w:color w:val="1A1A1A"/>
          <w:sz w:val="24"/>
          <w:szCs w:val="24"/>
        </w:rPr>
        <w:t>Constraints:</w:t>
      </w:r>
      <w:proofErr w:type="gramEnd"/>
      <w:r w:rsidRPr="004C102F">
        <w:rPr>
          <w:rFonts w:eastAsia="Calibri"/>
          <w:b/>
          <w:bCs/>
          <w:color w:val="1A1A1A"/>
          <w:sz w:val="24"/>
          <w:szCs w:val="24"/>
        </w:rPr>
        <w:t xml:space="preserve"> </w:t>
      </w:r>
    </w:p>
    <w:p w:rsidR="007155CD" w:rsidRPr="004C102F" w:rsidRDefault="00F43F7A">
      <w:pPr>
        <w:spacing w:after="160" w:line="276" w:lineRule="auto"/>
        <w:jc w:val="both"/>
        <w:rPr>
          <w:sz w:val="24"/>
          <w:szCs w:val="24"/>
        </w:rPr>
      </w:pPr>
      <w:r w:rsidRPr="004C102F">
        <w:rPr>
          <w:rFonts w:eastAsia="Calibri"/>
          <w:color w:val="1A1A1A"/>
          <w:sz w:val="24"/>
          <w:szCs w:val="24"/>
        </w:rPr>
        <w:t>Structural limitations characteristic of small island developing states — limited bandwidth, legacy hardware, and fragmented governance — that affect the design and deployment of technology frameworks.</w:t>
      </w:r>
    </w:p>
    <w:p w:rsidR="007155CD" w:rsidRPr="004C102F" w:rsidRDefault="00F43F7A">
      <w:pPr>
        <w:spacing w:after="160" w:line="276" w:lineRule="auto"/>
        <w:jc w:val="both"/>
        <w:rPr>
          <w:sz w:val="24"/>
          <w:szCs w:val="24"/>
        </w:rPr>
      </w:pPr>
      <w:r w:rsidRPr="004C102F">
        <w:rPr>
          <w:rFonts w:eastAsia="Calibri"/>
          <w:b/>
          <w:bCs/>
          <w:color w:val="1A1A1A"/>
          <w:sz w:val="24"/>
          <w:szCs w:val="24"/>
        </w:rPr>
        <w:t xml:space="preserve">Cybersecurity </w:t>
      </w:r>
      <w:proofErr w:type="gramStart"/>
      <w:r w:rsidRPr="004C102F">
        <w:rPr>
          <w:rFonts w:eastAsia="Calibri"/>
          <w:b/>
          <w:bCs/>
          <w:color w:val="1A1A1A"/>
          <w:sz w:val="24"/>
          <w:szCs w:val="24"/>
        </w:rPr>
        <w:t>Resilience:</w:t>
      </w:r>
      <w:proofErr w:type="gramEnd"/>
      <w:r w:rsidRPr="004C102F">
        <w:rPr>
          <w:rFonts w:eastAsia="Calibri"/>
          <w:b/>
          <w:bCs/>
          <w:color w:val="1A1A1A"/>
          <w:sz w:val="24"/>
          <w:szCs w:val="24"/>
        </w:rPr>
        <w:t xml:space="preserve"> </w:t>
      </w:r>
    </w:p>
    <w:p w:rsidR="007155CD" w:rsidRPr="004C102F" w:rsidRDefault="00F43F7A">
      <w:pPr>
        <w:spacing w:after="160" w:line="276" w:lineRule="auto"/>
        <w:jc w:val="both"/>
        <w:rPr>
          <w:sz w:val="24"/>
          <w:szCs w:val="24"/>
        </w:rPr>
      </w:pPr>
      <w:r w:rsidRPr="004C102F">
        <w:rPr>
          <w:rFonts w:eastAsia="Calibri"/>
          <w:color w:val="1A1A1A"/>
          <w:sz w:val="24"/>
          <w:szCs w:val="24"/>
        </w:rPr>
        <w:t>The capacity of a system or organization to withstand, adapt to, and recover from cyberattacks while maintaining essential functions.</w:t>
      </w:r>
    </w:p>
    <w:p w:rsidR="007155CD" w:rsidRPr="004C102F" w:rsidRDefault="00F43F7A">
      <w:pPr>
        <w:spacing w:after="160" w:line="276" w:lineRule="auto"/>
        <w:jc w:val="both"/>
        <w:rPr>
          <w:sz w:val="24"/>
          <w:szCs w:val="24"/>
        </w:rPr>
      </w:pPr>
      <w:r w:rsidRPr="004C102F">
        <w:rPr>
          <w:rFonts w:eastAsia="Calibri"/>
          <w:b/>
          <w:bCs/>
          <w:color w:val="1A1A1A"/>
          <w:sz w:val="24"/>
          <w:szCs w:val="24"/>
        </w:rPr>
        <w:t xml:space="preserve">Cybersecurity Maturity </w:t>
      </w:r>
      <w:proofErr w:type="gramStart"/>
      <w:r w:rsidRPr="004C102F">
        <w:rPr>
          <w:rFonts w:eastAsia="Calibri"/>
          <w:b/>
          <w:bCs/>
          <w:color w:val="1A1A1A"/>
          <w:sz w:val="24"/>
          <w:szCs w:val="24"/>
        </w:rPr>
        <w:t>Index:</w:t>
      </w:r>
      <w:proofErr w:type="gramEnd"/>
      <w:r w:rsidRPr="004C102F">
        <w:rPr>
          <w:rFonts w:eastAsia="Calibri"/>
          <w:b/>
          <w:bCs/>
          <w:color w:val="1A1A1A"/>
          <w:sz w:val="24"/>
          <w:szCs w:val="24"/>
        </w:rPr>
        <w:t xml:space="preserve"> </w:t>
      </w:r>
    </w:p>
    <w:p w:rsidR="007155CD" w:rsidRPr="004C102F" w:rsidRDefault="00F43F7A">
      <w:pPr>
        <w:spacing w:after="160" w:line="276" w:lineRule="auto"/>
        <w:jc w:val="both"/>
        <w:rPr>
          <w:sz w:val="24"/>
          <w:szCs w:val="24"/>
        </w:rPr>
      </w:pPr>
      <w:r w:rsidRPr="004C102F">
        <w:rPr>
          <w:rFonts w:eastAsia="Calibri"/>
          <w:color w:val="1A1A1A"/>
          <w:sz w:val="24"/>
          <w:szCs w:val="24"/>
        </w:rPr>
        <w:t>A composite score used to measure an organization's security posture and adaptive capability across governance, technical, and operational dimensions.</w:t>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075A94"/>
          <w:sz w:val="24"/>
          <w:szCs w:val="24"/>
          <w:rtl/>
        </w:rPr>
        <w:t>إجراءات الدراسة</w:t>
      </w:r>
    </w:p>
    <w:p w:rsidR="007155CD" w:rsidRPr="004C102F" w:rsidRDefault="00F43F7A" w:rsidP="0072259F">
      <w:pPr>
        <w:spacing w:after="200"/>
        <w:rPr>
          <w:sz w:val="24"/>
          <w:szCs w:val="24"/>
        </w:rPr>
      </w:pPr>
      <w:r w:rsidRPr="004C102F">
        <w:rPr>
          <w:rFonts w:eastAsia="Calibri"/>
          <w:i/>
          <w:iCs/>
          <w:color w:val="595959"/>
          <w:sz w:val="24"/>
          <w:szCs w:val="24"/>
        </w:rPr>
        <w:t>Study Procedures</w:t>
      </w:r>
    </w:p>
    <w:p w:rsidR="0072259F" w:rsidRPr="004C102F" w:rsidRDefault="0072259F" w:rsidP="0072259F">
      <w:pPr>
        <w:spacing w:after="200"/>
        <w:rPr>
          <w:sz w:val="24"/>
          <w:szCs w:val="24"/>
        </w:rPr>
      </w:pP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1A1A1A"/>
          <w:sz w:val="24"/>
          <w:szCs w:val="24"/>
          <w:rtl/>
        </w:rPr>
        <w:t>منهج الدراسة</w:t>
      </w:r>
    </w:p>
    <w:p w:rsidR="007155CD" w:rsidRPr="004C102F" w:rsidRDefault="00F43F7A">
      <w:pPr>
        <w:spacing w:after="200"/>
        <w:rPr>
          <w:sz w:val="24"/>
          <w:szCs w:val="24"/>
        </w:rPr>
      </w:pPr>
      <w:r w:rsidRPr="004C102F">
        <w:rPr>
          <w:rFonts w:eastAsia="Calibri"/>
          <w:i/>
          <w:iCs/>
          <w:color w:val="595959"/>
          <w:sz w:val="24"/>
          <w:szCs w:val="24"/>
        </w:rPr>
        <w:t>Research Methodology</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A mixed-methods approach combining Design Science Research (DSR) with a case-study methodology. The methodology is structured into two clearly separated phases to avoid conflating engineering evaluation with behavioral/perception </w:t>
      </w:r>
      <w:proofErr w:type="gramStart"/>
      <w:r w:rsidRPr="004C102F">
        <w:rPr>
          <w:rFonts w:eastAsia="Calibri"/>
          <w:color w:val="1A1A1A"/>
          <w:sz w:val="24"/>
          <w:szCs w:val="24"/>
        </w:rPr>
        <w:t>analysis:</w:t>
      </w:r>
      <w:proofErr w:type="gramEnd"/>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Phase 1 — Engineering Phase (Quantitative/Technical</w:t>
      </w:r>
      <w:proofErr w:type="gramStart"/>
      <w:r w:rsidRPr="004C102F">
        <w:rPr>
          <w:rFonts w:eastAsia="Calibri"/>
          <w:color w:val="1A1A1A"/>
          <w:sz w:val="24"/>
          <w:szCs w:val="24"/>
        </w:rPr>
        <w:t>):</w:t>
      </w:r>
      <w:proofErr w:type="gramEnd"/>
      <w:r w:rsidRPr="004C102F">
        <w:rPr>
          <w:rFonts w:eastAsia="Calibri"/>
          <w:color w:val="1A1A1A"/>
          <w:sz w:val="24"/>
          <w:szCs w:val="24"/>
        </w:rPr>
        <w:t xml:space="preserve"> builds and evaluates the technical framework artifact using internationally benchmarked cyber datasets (NSL-KDD, CICIDS), refined with anonymized localized sample logs from consenting Comorian entities. Evaluation </w:t>
      </w:r>
      <w:proofErr w:type="gramStart"/>
      <w:r w:rsidRPr="004C102F">
        <w:rPr>
          <w:rFonts w:eastAsia="Calibri"/>
          <w:color w:val="1A1A1A"/>
          <w:sz w:val="24"/>
          <w:szCs w:val="24"/>
        </w:rPr>
        <w:t>metrics:</w:t>
      </w:r>
      <w:proofErr w:type="gramEnd"/>
      <w:r w:rsidRPr="004C102F">
        <w:rPr>
          <w:rFonts w:eastAsia="Calibri"/>
          <w:color w:val="1A1A1A"/>
          <w:sz w:val="24"/>
          <w:szCs w:val="24"/>
        </w:rPr>
        <w:t xml:space="preserve"> Accuracy, Precision, Recall, F1-Score, Detection Rate, False Positive Rate, and Mean Response Time, compared against baseline traditional security architectures.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Phase 2 — Validation Phase (Qualitative/Expert Review</w:t>
      </w:r>
      <w:proofErr w:type="gramStart"/>
      <w:r w:rsidRPr="004C102F">
        <w:rPr>
          <w:rFonts w:eastAsia="Calibri"/>
          <w:color w:val="1A1A1A"/>
          <w:sz w:val="24"/>
          <w:szCs w:val="24"/>
        </w:rPr>
        <w:t>):</w:t>
      </w:r>
      <w:proofErr w:type="gramEnd"/>
      <w:r w:rsidRPr="004C102F">
        <w:rPr>
          <w:rFonts w:eastAsia="Calibri"/>
          <w:color w:val="1A1A1A"/>
          <w:sz w:val="24"/>
          <w:szCs w:val="24"/>
        </w:rPr>
        <w:t xml:space="preserve"> uses expert interviews, structured questionnaires, and system-log review with cybersecurity professionals to validate real-world applicability and usability in the Comorian context.</w:t>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1A1A1A"/>
          <w:sz w:val="24"/>
          <w:szCs w:val="24"/>
          <w:rtl/>
        </w:rPr>
        <w:t>مجتمع وعينة الدراسة</w:t>
      </w:r>
    </w:p>
    <w:p w:rsidR="007155CD" w:rsidRPr="004C102F" w:rsidRDefault="00F43F7A">
      <w:pPr>
        <w:spacing w:after="200"/>
        <w:rPr>
          <w:sz w:val="24"/>
          <w:szCs w:val="24"/>
        </w:rPr>
      </w:pPr>
      <w:r w:rsidRPr="004C102F">
        <w:rPr>
          <w:rFonts w:eastAsia="Calibri"/>
          <w:i/>
          <w:iCs/>
          <w:color w:val="595959"/>
          <w:sz w:val="24"/>
          <w:szCs w:val="24"/>
        </w:rPr>
        <w:t>Population and Sample</w:t>
      </w:r>
    </w:p>
    <w:p w:rsidR="007155CD" w:rsidRPr="004C102F" w:rsidRDefault="00F43F7A">
      <w:pPr>
        <w:spacing w:before="240" w:after="100"/>
        <w:rPr>
          <w:sz w:val="24"/>
          <w:szCs w:val="24"/>
        </w:rPr>
      </w:pPr>
      <w:r w:rsidRPr="004C102F">
        <w:rPr>
          <w:rFonts w:eastAsia="Calibri"/>
          <w:b/>
          <w:bCs/>
          <w:color w:val="075A94"/>
          <w:sz w:val="24"/>
          <w:szCs w:val="24"/>
        </w:rPr>
        <w:t>Population of the Study</w:t>
      </w:r>
    </w:p>
    <w:p w:rsidR="007155CD" w:rsidRPr="004C102F" w:rsidRDefault="00F43F7A">
      <w:pPr>
        <w:spacing w:after="160" w:line="276" w:lineRule="auto"/>
        <w:jc w:val="both"/>
        <w:rPr>
          <w:sz w:val="24"/>
          <w:szCs w:val="24"/>
        </w:rPr>
      </w:pPr>
      <w:r w:rsidRPr="004C102F">
        <w:rPr>
          <w:rFonts w:eastAsia="Calibri"/>
          <w:color w:val="1A1A1A"/>
          <w:sz w:val="24"/>
          <w:szCs w:val="24"/>
        </w:rPr>
        <w:lastRenderedPageBreak/>
        <w:t xml:space="preserve">Critical infrastructure organizations in the Union of the Comoros across five </w:t>
      </w:r>
      <w:proofErr w:type="gramStart"/>
      <w:r w:rsidRPr="004C102F">
        <w:rPr>
          <w:rFonts w:eastAsia="Calibri"/>
          <w:color w:val="1A1A1A"/>
          <w:sz w:val="24"/>
          <w:szCs w:val="24"/>
        </w:rPr>
        <w:t>sectors:</w:t>
      </w:r>
      <w:proofErr w:type="gramEnd"/>
      <w:r w:rsidRPr="004C102F">
        <w:rPr>
          <w:rFonts w:eastAsia="Calibri"/>
          <w:color w:val="1A1A1A"/>
          <w:sz w:val="24"/>
          <w:szCs w:val="24"/>
        </w:rPr>
        <w:t xml:space="preserve"> Energy, Telecommunications, Government Institutions, Financial Institutions, and Water Management Systems.</w:t>
      </w:r>
    </w:p>
    <w:p w:rsidR="007155CD" w:rsidRPr="004C102F" w:rsidRDefault="00F43F7A">
      <w:pPr>
        <w:spacing w:before="240" w:after="100"/>
        <w:rPr>
          <w:sz w:val="24"/>
          <w:szCs w:val="24"/>
        </w:rPr>
      </w:pPr>
      <w:r w:rsidRPr="004C102F">
        <w:rPr>
          <w:rFonts w:eastAsia="Calibri"/>
          <w:b/>
          <w:bCs/>
          <w:color w:val="075A94"/>
          <w:sz w:val="24"/>
          <w:szCs w:val="24"/>
        </w:rPr>
        <w:t>Sample of the Study</w:t>
      </w:r>
    </w:p>
    <w:p w:rsidR="007155CD" w:rsidRPr="004C102F" w:rsidRDefault="00F43F7A">
      <w:pPr>
        <w:spacing w:after="160" w:line="276" w:lineRule="auto"/>
        <w:jc w:val="both"/>
        <w:rPr>
          <w:sz w:val="24"/>
          <w:szCs w:val="24"/>
        </w:rPr>
      </w:pPr>
      <w:r w:rsidRPr="004C102F">
        <w:rPr>
          <w:rFonts w:eastAsia="Calibri"/>
          <w:color w:val="1A1A1A"/>
          <w:sz w:val="24"/>
          <w:szCs w:val="24"/>
        </w:rPr>
        <w:t>Phase 1 (baseline assessment</w:t>
      </w:r>
      <w:proofErr w:type="gramStart"/>
      <w:r w:rsidRPr="004C102F">
        <w:rPr>
          <w:rFonts w:eastAsia="Calibri"/>
          <w:color w:val="1A1A1A"/>
          <w:sz w:val="24"/>
          <w:szCs w:val="24"/>
        </w:rPr>
        <w:t>):</w:t>
      </w:r>
      <w:proofErr w:type="gramEnd"/>
      <w:r w:rsidRPr="004C102F">
        <w:rPr>
          <w:rFonts w:eastAsia="Calibri"/>
          <w:color w:val="1A1A1A"/>
          <w:sz w:val="24"/>
          <w:szCs w:val="24"/>
        </w:rPr>
        <w:t xml:space="preserve"> purposive sample of 5–10 Comorian IT/ICT leaders. Phase 2 (expert validation</w:t>
      </w:r>
      <w:proofErr w:type="gramStart"/>
      <w:r w:rsidRPr="004C102F">
        <w:rPr>
          <w:rFonts w:eastAsia="Calibri"/>
          <w:color w:val="1A1A1A"/>
          <w:sz w:val="24"/>
          <w:szCs w:val="24"/>
        </w:rPr>
        <w:t>):</w:t>
      </w:r>
      <w:proofErr w:type="gramEnd"/>
      <w:r w:rsidRPr="004C102F">
        <w:rPr>
          <w:rFonts w:eastAsia="Calibri"/>
          <w:color w:val="1A1A1A"/>
          <w:sz w:val="24"/>
          <w:szCs w:val="24"/>
        </w:rPr>
        <w:t xml:space="preserve"> purposive sample of 100–150 cybersecurity professionals, IT administrators, infrastructure managers, and government ICT officials across the same five sectors.</w:t>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1A1A1A"/>
          <w:sz w:val="24"/>
          <w:szCs w:val="24"/>
          <w:rtl/>
        </w:rPr>
        <w:t>حدود الدراسة</w:t>
      </w:r>
    </w:p>
    <w:p w:rsidR="007155CD" w:rsidRPr="004C102F" w:rsidRDefault="00F43F7A">
      <w:pPr>
        <w:spacing w:after="200"/>
        <w:rPr>
          <w:sz w:val="24"/>
          <w:szCs w:val="24"/>
        </w:rPr>
      </w:pPr>
      <w:r w:rsidRPr="004C102F">
        <w:rPr>
          <w:rFonts w:eastAsia="Calibri"/>
          <w:i/>
          <w:iCs/>
          <w:color w:val="595959"/>
          <w:sz w:val="24"/>
          <w:szCs w:val="24"/>
        </w:rPr>
        <w:t>Scope and Boundaries of the Study (Spatial, Temporal, and Human)</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Spatial </w:t>
      </w:r>
      <w:proofErr w:type="gramStart"/>
      <w:r w:rsidRPr="004C102F">
        <w:rPr>
          <w:rFonts w:eastAsia="Calibri"/>
          <w:color w:val="1A1A1A"/>
          <w:sz w:val="24"/>
          <w:szCs w:val="24"/>
        </w:rPr>
        <w:t>scope:</w:t>
      </w:r>
      <w:proofErr w:type="gramEnd"/>
      <w:r w:rsidRPr="004C102F">
        <w:rPr>
          <w:rFonts w:eastAsia="Calibri"/>
          <w:color w:val="1A1A1A"/>
          <w:sz w:val="24"/>
          <w:szCs w:val="24"/>
        </w:rPr>
        <w:t xml:space="preserve"> Union of the Comoros (Grande Comore, Anjouan, Moheli).</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Temporal </w:t>
      </w:r>
      <w:proofErr w:type="gramStart"/>
      <w:r w:rsidRPr="004C102F">
        <w:rPr>
          <w:rFonts w:eastAsia="Calibri"/>
          <w:color w:val="1A1A1A"/>
          <w:sz w:val="24"/>
          <w:szCs w:val="24"/>
        </w:rPr>
        <w:t>scope:</w:t>
      </w:r>
      <w:proofErr w:type="gramEnd"/>
      <w:r w:rsidRPr="004C102F">
        <w:rPr>
          <w:rFonts w:eastAsia="Calibri"/>
          <w:color w:val="1A1A1A"/>
          <w:sz w:val="24"/>
          <w:szCs w:val="24"/>
        </w:rPr>
        <w:t xml:space="preserve"> 2025–2028.</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Human </w:t>
      </w:r>
      <w:proofErr w:type="gramStart"/>
      <w:r w:rsidRPr="004C102F">
        <w:rPr>
          <w:rFonts w:eastAsia="Calibri"/>
          <w:color w:val="1A1A1A"/>
          <w:sz w:val="24"/>
          <w:szCs w:val="24"/>
        </w:rPr>
        <w:t>scope:</w:t>
      </w:r>
      <w:proofErr w:type="gramEnd"/>
      <w:r w:rsidRPr="004C102F">
        <w:rPr>
          <w:rFonts w:eastAsia="Calibri"/>
          <w:color w:val="1A1A1A"/>
          <w:sz w:val="24"/>
          <w:szCs w:val="24"/>
        </w:rPr>
        <w:t xml:space="preserve"> Comorian IT/ICT leaders, cybersecurity professionals, infrastructure managers, and government ICT officials across the energy, telecommunications, government, financial, and water sectors.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Thematic </w:t>
      </w:r>
      <w:proofErr w:type="gramStart"/>
      <w:r w:rsidRPr="004C102F">
        <w:rPr>
          <w:rFonts w:eastAsia="Calibri"/>
          <w:color w:val="1A1A1A"/>
          <w:sz w:val="24"/>
          <w:szCs w:val="24"/>
        </w:rPr>
        <w:t>scope:</w:t>
      </w:r>
      <w:proofErr w:type="gramEnd"/>
      <w:r w:rsidRPr="004C102F">
        <w:rPr>
          <w:rFonts w:eastAsia="Calibri"/>
          <w:color w:val="1A1A1A"/>
          <w:sz w:val="24"/>
          <w:szCs w:val="24"/>
        </w:rPr>
        <w:t xml:space="preserve"> cybersecurity of critical infrastructures through Explainable AI and Zero Trust Architecture, covering network-level and identity-level access control, AI-based intrusion detection, adaptive response mechanisms, XAI decision transparency, and Zero Trust policy automation.</w:t>
      </w:r>
    </w:p>
    <w:p w:rsidR="007155CD" w:rsidRPr="004C102F" w:rsidRDefault="00F43F7A">
      <w:pPr>
        <w:spacing w:after="160" w:line="276" w:lineRule="auto"/>
        <w:jc w:val="both"/>
        <w:rPr>
          <w:sz w:val="24"/>
          <w:szCs w:val="24"/>
        </w:rPr>
      </w:pPr>
      <w:r w:rsidRPr="004C102F">
        <w:rPr>
          <w:rFonts w:eastAsia="Calibri"/>
          <w:i/>
          <w:iCs/>
          <w:color w:val="595959"/>
          <w:sz w:val="24"/>
          <w:szCs w:val="24"/>
        </w:rPr>
        <w:t xml:space="preserve">Excluded from </w:t>
      </w:r>
      <w:proofErr w:type="gramStart"/>
      <w:r w:rsidRPr="004C102F">
        <w:rPr>
          <w:rFonts w:eastAsia="Calibri"/>
          <w:i/>
          <w:iCs/>
          <w:color w:val="595959"/>
          <w:sz w:val="24"/>
          <w:szCs w:val="24"/>
        </w:rPr>
        <w:t>scope:</w:t>
      </w:r>
      <w:proofErr w:type="gramEnd"/>
      <w:r w:rsidRPr="004C102F">
        <w:rPr>
          <w:rFonts w:eastAsia="Calibri"/>
          <w:i/>
          <w:iCs/>
          <w:color w:val="595959"/>
          <w:sz w:val="24"/>
          <w:szCs w:val="24"/>
        </w:rPr>
        <w:t xml:space="preserve"> physical security of infrastructure facilities, low-level cryptographic hardware/firmware engineering, non-Comorian case studies (used only for benchmarking), general (non-cybersecurity) AI research, and non-digital governance matters.</w:t>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1A1A1A"/>
          <w:sz w:val="24"/>
          <w:szCs w:val="24"/>
          <w:rtl/>
        </w:rPr>
        <w:t>وسائل جمع بيانات الدراسة</w:t>
      </w:r>
    </w:p>
    <w:p w:rsidR="007155CD" w:rsidRPr="004C102F" w:rsidRDefault="00F43F7A">
      <w:pPr>
        <w:spacing w:after="200"/>
        <w:rPr>
          <w:sz w:val="24"/>
          <w:szCs w:val="24"/>
        </w:rPr>
      </w:pPr>
      <w:r w:rsidRPr="004C102F">
        <w:rPr>
          <w:rFonts w:eastAsia="Calibri"/>
          <w:i/>
          <w:iCs/>
          <w:color w:val="595959"/>
          <w:sz w:val="24"/>
          <w:szCs w:val="24"/>
        </w:rPr>
        <w:t>Data Collection Tools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Internationally benchmarked cyber-security datasets (NSL-KDD, CICIDS) and anonymized localized system logs.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ML training pipelines and XAI libraries (SHAP, LIME) with network-simulation environments.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Structured expert interviews and validated questionnaires.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System log review conducted with participating Comorian organizations.</w:t>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1A1A1A"/>
          <w:sz w:val="24"/>
          <w:szCs w:val="24"/>
          <w:rtl/>
        </w:rPr>
        <w:t>المعالجات الإحصائية المقترحة</w:t>
      </w:r>
    </w:p>
    <w:p w:rsidR="007155CD" w:rsidRPr="004C102F" w:rsidRDefault="00F43F7A">
      <w:pPr>
        <w:spacing w:after="200"/>
        <w:rPr>
          <w:sz w:val="24"/>
          <w:szCs w:val="24"/>
        </w:rPr>
      </w:pPr>
      <w:r w:rsidRPr="004C102F">
        <w:rPr>
          <w:rFonts w:eastAsia="Calibri"/>
          <w:i/>
          <w:iCs/>
          <w:color w:val="595959"/>
          <w:sz w:val="24"/>
          <w:szCs w:val="24"/>
        </w:rPr>
        <w:t>Proposed Statistical Treatments</w:t>
      </w:r>
    </w:p>
    <w:p w:rsidR="007155CD" w:rsidRPr="004C102F" w:rsidRDefault="00F43F7A">
      <w:pPr>
        <w:spacing w:before="240" w:after="100"/>
        <w:rPr>
          <w:sz w:val="24"/>
          <w:szCs w:val="24"/>
        </w:rPr>
      </w:pPr>
      <w:r w:rsidRPr="004C102F">
        <w:rPr>
          <w:rFonts w:eastAsia="Calibri"/>
          <w:b/>
          <w:bCs/>
          <w:color w:val="075A94"/>
          <w:sz w:val="24"/>
          <w:szCs w:val="24"/>
        </w:rPr>
        <w:t>Quantitative Analysis (Engineering Phase)</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Machine-learning performance </w:t>
      </w:r>
      <w:proofErr w:type="gramStart"/>
      <w:r w:rsidRPr="004C102F">
        <w:rPr>
          <w:rFonts w:eastAsia="Calibri"/>
          <w:color w:val="1A1A1A"/>
          <w:sz w:val="24"/>
          <w:szCs w:val="24"/>
        </w:rPr>
        <w:t>metrics:</w:t>
      </w:r>
      <w:proofErr w:type="gramEnd"/>
      <w:r w:rsidRPr="004C102F">
        <w:rPr>
          <w:rFonts w:eastAsia="Calibri"/>
          <w:color w:val="1A1A1A"/>
          <w:sz w:val="24"/>
          <w:szCs w:val="24"/>
        </w:rPr>
        <w:t xml:space="preserve"> Precision, Recall, F1-Score, Detection Rate, False Positive Rate, Mean Response Time.</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Descriptive statistics summarizing dataset characteristics and model baselines.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lastRenderedPageBreak/>
        <w:t>Comparative analysis of the proposed framework versus traditional security architectures using paired metrics.</w:t>
      </w:r>
    </w:p>
    <w:p w:rsidR="007155CD" w:rsidRPr="004C102F" w:rsidRDefault="00F43F7A">
      <w:pPr>
        <w:spacing w:before="240" w:after="100"/>
        <w:rPr>
          <w:sz w:val="24"/>
          <w:szCs w:val="24"/>
        </w:rPr>
      </w:pPr>
      <w:r w:rsidRPr="004C102F">
        <w:rPr>
          <w:rFonts w:eastAsia="Calibri"/>
          <w:b/>
          <w:bCs/>
          <w:color w:val="075A94"/>
          <w:sz w:val="24"/>
          <w:szCs w:val="24"/>
        </w:rPr>
        <w:t>Qualitative Analysis (Validation Phase)</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Thematic analysis of expert-interview coding for adoption barriers and enablers.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Content analysis of policy documents and regulatory frameworks.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Structural Equation Modeling (SEM) and Regression/ANOVA, applied exclusively to TAM/UTAUT-based expert perception data — kept strictly separate from the technical ML evaluation.</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Cybersecurity maturity scoring — a composite index measuring resilience improvement across sectors.</w:t>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1A1A1A"/>
          <w:sz w:val="24"/>
          <w:szCs w:val="24"/>
          <w:rtl/>
        </w:rPr>
        <w:t>خطوات تنفيذ خطة الدراسة</w:t>
      </w:r>
    </w:p>
    <w:p w:rsidR="007155CD" w:rsidRPr="004C102F" w:rsidRDefault="00F43F7A">
      <w:pPr>
        <w:spacing w:after="200"/>
        <w:rPr>
          <w:sz w:val="24"/>
          <w:szCs w:val="24"/>
        </w:rPr>
      </w:pPr>
      <w:r w:rsidRPr="004C102F">
        <w:rPr>
          <w:rFonts w:eastAsia="Calibri"/>
          <w:i/>
          <w:iCs/>
          <w:color w:val="595959"/>
          <w:sz w:val="24"/>
          <w:szCs w:val="24"/>
        </w:rPr>
        <w:t>Steps for Implementing the Study Plan</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Step 1 (2025, Q3–Q4</w:t>
      </w:r>
      <w:proofErr w:type="gramStart"/>
      <w:r w:rsidRPr="004C102F">
        <w:rPr>
          <w:rFonts w:eastAsia="Calibri"/>
          <w:color w:val="1A1A1A"/>
          <w:sz w:val="24"/>
          <w:szCs w:val="24"/>
        </w:rPr>
        <w:t>):</w:t>
      </w:r>
      <w:proofErr w:type="gramEnd"/>
      <w:r w:rsidRPr="004C102F">
        <w:rPr>
          <w:rFonts w:eastAsia="Calibri"/>
          <w:color w:val="1A1A1A"/>
          <w:sz w:val="24"/>
          <w:szCs w:val="24"/>
        </w:rPr>
        <w:t xml:space="preserve"> Literature consolidation, ethical approvals, and empirical baseline assessment with Comorian IT/ICT leaders.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Step 2 (2026</w:t>
      </w:r>
      <w:proofErr w:type="gramStart"/>
      <w:r w:rsidRPr="004C102F">
        <w:rPr>
          <w:rFonts w:eastAsia="Calibri"/>
          <w:color w:val="1A1A1A"/>
          <w:sz w:val="24"/>
          <w:szCs w:val="24"/>
        </w:rPr>
        <w:t>):</w:t>
      </w:r>
      <w:proofErr w:type="gramEnd"/>
      <w:r w:rsidRPr="004C102F">
        <w:rPr>
          <w:rFonts w:eastAsia="Calibri"/>
          <w:color w:val="1A1A1A"/>
          <w:sz w:val="24"/>
          <w:szCs w:val="24"/>
        </w:rPr>
        <w:t xml:space="preserve"> Design of the Adaptive Cyber Defense Framework; development of XAI-powered detection mechanisms on benchmark datasets (NSL-KDD, CICIDS).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Step 3 (2026–2027</w:t>
      </w:r>
      <w:proofErr w:type="gramStart"/>
      <w:r w:rsidRPr="004C102F">
        <w:rPr>
          <w:rFonts w:eastAsia="Calibri"/>
          <w:color w:val="1A1A1A"/>
          <w:sz w:val="24"/>
          <w:szCs w:val="24"/>
        </w:rPr>
        <w:t>):</w:t>
      </w:r>
      <w:proofErr w:type="gramEnd"/>
      <w:r w:rsidRPr="004C102F">
        <w:rPr>
          <w:rFonts w:eastAsia="Calibri"/>
          <w:color w:val="1A1A1A"/>
          <w:sz w:val="24"/>
          <w:szCs w:val="24"/>
        </w:rPr>
        <w:t xml:space="preserve"> Integration of Zero Trust policy automation and adaptive incident-response mechanisms; engineering simulation and benchmarking against traditional architectures.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Step 4 (2027</w:t>
      </w:r>
      <w:proofErr w:type="gramStart"/>
      <w:r w:rsidRPr="004C102F">
        <w:rPr>
          <w:rFonts w:eastAsia="Calibri"/>
          <w:color w:val="1A1A1A"/>
          <w:sz w:val="24"/>
          <w:szCs w:val="24"/>
        </w:rPr>
        <w:t>):</w:t>
      </w:r>
      <w:proofErr w:type="gramEnd"/>
      <w:r w:rsidRPr="004C102F">
        <w:rPr>
          <w:rFonts w:eastAsia="Calibri"/>
          <w:color w:val="1A1A1A"/>
          <w:sz w:val="24"/>
          <w:szCs w:val="24"/>
        </w:rPr>
        <w:t xml:space="preserve"> Expert validation phase — interviews and questionnaires with 100–150 cybersecurity professionals; SEM/ANOVA analysis of adoption and trust data.</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Step 5 (2027–2028</w:t>
      </w:r>
      <w:proofErr w:type="gramStart"/>
      <w:r w:rsidRPr="004C102F">
        <w:rPr>
          <w:rFonts w:eastAsia="Calibri"/>
          <w:color w:val="1A1A1A"/>
          <w:sz w:val="24"/>
          <w:szCs w:val="24"/>
        </w:rPr>
        <w:t>):</w:t>
      </w:r>
      <w:proofErr w:type="gramEnd"/>
      <w:r w:rsidRPr="004C102F">
        <w:rPr>
          <w:rFonts w:eastAsia="Calibri"/>
          <w:color w:val="1A1A1A"/>
          <w:sz w:val="24"/>
          <w:szCs w:val="24"/>
        </w:rPr>
        <w:t xml:space="preserve"> Consolidation of findings, cybersecurity maturity scoring, policy recommendations, and dissertation write-up and defense.</w:t>
      </w:r>
    </w:p>
    <w:p w:rsidR="007155CD" w:rsidRPr="004C102F" w:rsidRDefault="00F43F7A">
      <w:pPr>
        <w:spacing w:after="160" w:line="276" w:lineRule="auto"/>
        <w:jc w:val="both"/>
        <w:rPr>
          <w:sz w:val="24"/>
          <w:szCs w:val="24"/>
        </w:rPr>
      </w:pPr>
      <w:r w:rsidRPr="004C102F">
        <w:rPr>
          <w:rFonts w:eastAsia="Calibri"/>
          <w:i/>
          <w:iCs/>
          <w:color w:val="595959"/>
          <w:sz w:val="24"/>
          <w:szCs w:val="24"/>
        </w:rPr>
        <w:t>Anticipated methodological limitations — data scarcity, computational resource constraints on legacy hardware, policy-adoption inertia, and geographic access across three islands — are mitigated respectively through benchmark-dataset training with localized refinement, lightweight SHAP approximation, co-design engagement with government ICT officials, and remote data-collection partnerships with Comores Telecom and national ICT divisions.</w:t>
      </w:r>
    </w:p>
    <w:p w:rsidR="007155CD" w:rsidRPr="004C102F" w:rsidRDefault="00F43F7A">
      <w:pPr>
        <w:rPr>
          <w:sz w:val="24"/>
          <w:szCs w:val="24"/>
        </w:rPr>
      </w:pPr>
      <w:r w:rsidRPr="004C102F">
        <w:rPr>
          <w:sz w:val="24"/>
          <w:szCs w:val="24"/>
        </w:rPr>
        <w:br w:type="page"/>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075A94"/>
          <w:sz w:val="24"/>
          <w:szCs w:val="24"/>
          <w:rtl/>
        </w:rPr>
        <w:lastRenderedPageBreak/>
        <w:t>المراجع</w:t>
      </w:r>
    </w:p>
    <w:p w:rsidR="007155CD" w:rsidRPr="004C102F" w:rsidRDefault="00F43F7A">
      <w:pPr>
        <w:spacing w:after="200"/>
        <w:rPr>
          <w:sz w:val="24"/>
          <w:szCs w:val="24"/>
        </w:rPr>
      </w:pPr>
      <w:r w:rsidRPr="004C102F">
        <w:rPr>
          <w:rFonts w:eastAsia="Calibri"/>
          <w:i/>
          <w:iCs/>
          <w:color w:val="595959"/>
          <w:sz w:val="24"/>
          <w:szCs w:val="24"/>
        </w:rPr>
        <w:t>References</w:t>
      </w:r>
    </w:p>
    <w:p w:rsidR="007155CD" w:rsidRPr="004C102F" w:rsidRDefault="00F43F7A">
      <w:pPr>
        <w:bidi/>
        <w:spacing w:before="120" w:after="40"/>
        <w:jc w:val="center"/>
        <w:rPr>
          <w:sz w:val="24"/>
          <w:szCs w:val="24"/>
        </w:rPr>
      </w:pPr>
      <w:r w:rsidRPr="004C102F">
        <w:rPr>
          <w:rFonts w:eastAsia="Traditional Arabic"/>
          <w:i/>
          <w:iCs/>
          <w:color w:val="A93226"/>
          <w:sz w:val="24"/>
          <w:szCs w:val="24"/>
          <w:rtl/>
        </w:rPr>
        <w:t>قواعد توثيق المراجع وفقًا لنظام جمعية علم النفس الأمريكية APA (الإصدار السابع)</w:t>
      </w:r>
    </w:p>
    <w:p w:rsidR="007155CD" w:rsidRPr="004C102F" w:rsidRDefault="00F43F7A">
      <w:pPr>
        <w:spacing w:after="200"/>
        <w:jc w:val="center"/>
        <w:rPr>
          <w:sz w:val="24"/>
          <w:szCs w:val="24"/>
        </w:rPr>
      </w:pPr>
      <w:r w:rsidRPr="004C102F">
        <w:rPr>
          <w:rFonts w:eastAsia="Calibri"/>
          <w:i/>
          <w:iCs/>
          <w:color w:val="A93226"/>
          <w:sz w:val="24"/>
          <w:szCs w:val="24"/>
        </w:rPr>
        <w:t>Referenced and formatted according to American Psychological Association (APA), 7th Edition</w:t>
      </w:r>
    </w:p>
    <w:p w:rsidR="007155CD" w:rsidRPr="004C102F" w:rsidRDefault="00F43F7A">
      <w:pPr>
        <w:spacing w:after="160" w:line="276" w:lineRule="auto"/>
        <w:jc w:val="both"/>
        <w:rPr>
          <w:sz w:val="24"/>
          <w:szCs w:val="24"/>
        </w:rPr>
      </w:pPr>
      <w:r w:rsidRPr="004C102F">
        <w:rPr>
          <w:rFonts w:eastAsia="Calibri"/>
          <w:color w:val="1A1A1A"/>
          <w:sz w:val="24"/>
          <w:szCs w:val="24"/>
        </w:rPr>
        <w:t>Arreche, O., Guntur, T. R., Roberts, J. W., &amp; Abdallah, M. (2024). E-</w:t>
      </w:r>
      <w:proofErr w:type="gramStart"/>
      <w:r w:rsidRPr="004C102F">
        <w:rPr>
          <w:rFonts w:eastAsia="Calibri"/>
          <w:color w:val="1A1A1A"/>
          <w:sz w:val="24"/>
          <w:szCs w:val="24"/>
        </w:rPr>
        <w:t>XAI:</w:t>
      </w:r>
      <w:proofErr w:type="gramEnd"/>
      <w:r w:rsidRPr="004C102F">
        <w:rPr>
          <w:rFonts w:eastAsia="Calibri"/>
          <w:color w:val="1A1A1A"/>
          <w:sz w:val="24"/>
          <w:szCs w:val="24"/>
        </w:rPr>
        <w:t xml:space="preserve"> Evaluating black-box explainable AI frameworks for network intrusion detection. IEEE Access, 12, 23954–23988.</w:t>
      </w:r>
    </w:p>
    <w:p w:rsidR="007155CD" w:rsidRPr="004C102F" w:rsidRDefault="00F43F7A">
      <w:pPr>
        <w:spacing w:after="160" w:line="276" w:lineRule="auto"/>
        <w:jc w:val="both"/>
        <w:rPr>
          <w:sz w:val="24"/>
          <w:szCs w:val="24"/>
        </w:rPr>
      </w:pPr>
      <w:r w:rsidRPr="004C102F">
        <w:rPr>
          <w:rFonts w:eastAsia="Calibri"/>
          <w:color w:val="1A1A1A"/>
          <w:sz w:val="24"/>
          <w:szCs w:val="24"/>
        </w:rPr>
        <w:t>Arrieta, A. B., Diaz-Rodriguez, N., Del Ser, J., Bennetot, A., Tabik, S., Barbado, A., &amp; Herrera, F. (2020). Explainable Artificial Intelligence (XAI</w:t>
      </w:r>
      <w:proofErr w:type="gramStart"/>
      <w:r w:rsidRPr="004C102F">
        <w:rPr>
          <w:rFonts w:eastAsia="Calibri"/>
          <w:color w:val="1A1A1A"/>
          <w:sz w:val="24"/>
          <w:szCs w:val="24"/>
        </w:rPr>
        <w:t>):</w:t>
      </w:r>
      <w:proofErr w:type="gramEnd"/>
      <w:r w:rsidRPr="004C102F">
        <w:rPr>
          <w:rFonts w:eastAsia="Calibri"/>
          <w:color w:val="1A1A1A"/>
          <w:sz w:val="24"/>
          <w:szCs w:val="24"/>
        </w:rPr>
        <w:t xml:space="preserve"> Concepts, taxonomies, opportunities and challenges toward responsible AI. Information Fusion, 58, 82–115.</w:t>
      </w:r>
    </w:p>
    <w:p w:rsidR="007155CD" w:rsidRPr="004C102F" w:rsidRDefault="00F43F7A">
      <w:pPr>
        <w:spacing w:after="160" w:line="276" w:lineRule="auto"/>
        <w:jc w:val="both"/>
        <w:rPr>
          <w:sz w:val="24"/>
          <w:szCs w:val="24"/>
        </w:rPr>
      </w:pPr>
      <w:r w:rsidRPr="004C102F">
        <w:rPr>
          <w:rFonts w:eastAsia="Calibri"/>
          <w:color w:val="1A1A1A"/>
          <w:sz w:val="24"/>
          <w:szCs w:val="24"/>
        </w:rPr>
        <w:t>Barnard, P., Marchetti, N., &amp; DaSilva, L. A. (2022). Robust network intrusion detection through explainable artificial intelligence (XAI). IEEE Networking Letters, 4(3), 167–171.</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Bertino, E., &amp; Islam, N. (2023). Zero Trust architecture in </w:t>
      </w:r>
      <w:proofErr w:type="gramStart"/>
      <w:r w:rsidRPr="004C102F">
        <w:rPr>
          <w:rFonts w:eastAsia="Calibri"/>
          <w:color w:val="1A1A1A"/>
          <w:sz w:val="24"/>
          <w:szCs w:val="24"/>
        </w:rPr>
        <w:t>practice:</w:t>
      </w:r>
      <w:proofErr w:type="gramEnd"/>
      <w:r w:rsidRPr="004C102F">
        <w:rPr>
          <w:rFonts w:eastAsia="Calibri"/>
          <w:color w:val="1A1A1A"/>
          <w:sz w:val="24"/>
          <w:szCs w:val="24"/>
        </w:rPr>
        <w:t xml:space="preserve"> Challenges and solutions for critical infrastructure. IEEE Security &amp; Privacy, 21(2), 45–54.</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Cao, Y., Pokhrel, S. R., Zhu, Y., Doss, R., &amp; Li, G. (2024). Automation and orchestration of zero trust </w:t>
      </w:r>
      <w:proofErr w:type="gramStart"/>
      <w:r w:rsidRPr="004C102F">
        <w:rPr>
          <w:rFonts w:eastAsia="Calibri"/>
          <w:color w:val="1A1A1A"/>
          <w:sz w:val="24"/>
          <w:szCs w:val="24"/>
        </w:rPr>
        <w:t>architecture:</w:t>
      </w:r>
      <w:proofErr w:type="gramEnd"/>
      <w:r w:rsidRPr="004C102F">
        <w:rPr>
          <w:rFonts w:eastAsia="Calibri"/>
          <w:color w:val="1A1A1A"/>
          <w:sz w:val="24"/>
          <w:szCs w:val="24"/>
        </w:rPr>
        <w:t xml:space="preserve"> Potential solutions and challenges. Machine Intelligence Research. Advance online publication.</w:t>
      </w:r>
    </w:p>
    <w:p w:rsidR="007155CD" w:rsidRPr="004C102F" w:rsidRDefault="00F43F7A">
      <w:pPr>
        <w:spacing w:after="160" w:line="276" w:lineRule="auto"/>
        <w:jc w:val="both"/>
        <w:rPr>
          <w:sz w:val="24"/>
          <w:szCs w:val="24"/>
        </w:rPr>
      </w:pPr>
      <w:r w:rsidRPr="004C102F">
        <w:rPr>
          <w:rFonts w:eastAsia="Calibri"/>
          <w:color w:val="1A1A1A"/>
          <w:sz w:val="24"/>
          <w:szCs w:val="24"/>
        </w:rPr>
        <w:t>European Union Agency for Cybersecurity (ENISA). (2024). ENISA threat landscape 2024. ENISA.</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Gilpin, L. H., Bau, D., Yuan, B. Z., Bajwa, A., Specter, M., &amp; Madry, A. (2023). Explaining </w:t>
      </w:r>
      <w:proofErr w:type="gramStart"/>
      <w:r w:rsidRPr="004C102F">
        <w:rPr>
          <w:rFonts w:eastAsia="Calibri"/>
          <w:color w:val="1A1A1A"/>
          <w:sz w:val="24"/>
          <w:szCs w:val="24"/>
        </w:rPr>
        <w:t>explanations:</w:t>
      </w:r>
      <w:proofErr w:type="gramEnd"/>
      <w:r w:rsidRPr="004C102F">
        <w:rPr>
          <w:rFonts w:eastAsia="Calibri"/>
          <w:color w:val="1A1A1A"/>
          <w:sz w:val="24"/>
          <w:szCs w:val="24"/>
        </w:rPr>
        <w:t xml:space="preserve"> An overview of interpretability in machine learning. IEEE Transactions on Neural Networks and Learning Systems, 34(1), 217–236.</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ISO/IEC </w:t>
      </w:r>
      <w:proofErr w:type="gramStart"/>
      <w:r w:rsidRPr="004C102F">
        <w:rPr>
          <w:rFonts w:eastAsia="Calibri"/>
          <w:color w:val="1A1A1A"/>
          <w:sz w:val="24"/>
          <w:szCs w:val="24"/>
        </w:rPr>
        <w:t>27001:</w:t>
      </w:r>
      <w:proofErr w:type="gramEnd"/>
      <w:r w:rsidRPr="004C102F">
        <w:rPr>
          <w:rFonts w:eastAsia="Calibri"/>
          <w:color w:val="1A1A1A"/>
          <w:sz w:val="24"/>
          <w:szCs w:val="24"/>
        </w:rPr>
        <w:t>2022. Information security, cybersecurity and privacy protection — Information security management systems — Requirements. ISO.</w:t>
      </w:r>
    </w:p>
    <w:p w:rsidR="007155CD" w:rsidRPr="004C102F" w:rsidRDefault="00F43F7A">
      <w:pPr>
        <w:spacing w:after="160" w:line="276" w:lineRule="auto"/>
        <w:jc w:val="both"/>
        <w:rPr>
          <w:sz w:val="24"/>
          <w:szCs w:val="24"/>
        </w:rPr>
      </w:pPr>
      <w:r w:rsidRPr="004C102F">
        <w:rPr>
          <w:rFonts w:eastAsia="Calibri"/>
          <w:color w:val="1A1A1A"/>
          <w:sz w:val="24"/>
          <w:szCs w:val="24"/>
        </w:rPr>
        <w:t>Lundberg, S. M., &amp; Lee, S.-I. (2022). A unified approach to interpreting model predictions (SHAP). Advances in Neural Information Processing Systems, 35, 4765–4780.</w:t>
      </w:r>
    </w:p>
    <w:p w:rsidR="007155CD" w:rsidRPr="004C102F" w:rsidRDefault="00F43F7A">
      <w:pPr>
        <w:spacing w:after="160" w:line="276" w:lineRule="auto"/>
        <w:jc w:val="both"/>
        <w:rPr>
          <w:sz w:val="24"/>
          <w:szCs w:val="24"/>
        </w:rPr>
      </w:pPr>
      <w:r w:rsidRPr="004C102F">
        <w:rPr>
          <w:rFonts w:eastAsia="Calibri"/>
          <w:color w:val="1A1A1A"/>
          <w:sz w:val="24"/>
          <w:szCs w:val="24"/>
        </w:rPr>
        <w:t>MITRE Corporation. (2025). MITRE ATT&amp;CK framework (v14.1).</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Moustafa, N., Koroniotis, N., Keshk, M., Zomaya, A. Y., &amp; Tari, Z. (2023). Explainable intrusion detection for cyber defences in the Internet of </w:t>
      </w:r>
      <w:proofErr w:type="gramStart"/>
      <w:r w:rsidRPr="004C102F">
        <w:rPr>
          <w:rFonts w:eastAsia="Calibri"/>
          <w:color w:val="1A1A1A"/>
          <w:sz w:val="24"/>
          <w:szCs w:val="24"/>
        </w:rPr>
        <w:t>Things:</w:t>
      </w:r>
      <w:proofErr w:type="gramEnd"/>
      <w:r w:rsidRPr="004C102F">
        <w:rPr>
          <w:rFonts w:eastAsia="Calibri"/>
          <w:color w:val="1A1A1A"/>
          <w:sz w:val="24"/>
          <w:szCs w:val="24"/>
        </w:rPr>
        <w:t xml:space="preserve"> Opportunities and solutions. IEEE Communications Surveys &amp; Tutorials, 25(3), 1775–1807.</w:t>
      </w:r>
    </w:p>
    <w:p w:rsidR="007155CD" w:rsidRPr="004C102F" w:rsidRDefault="00F43F7A">
      <w:pPr>
        <w:spacing w:after="160" w:line="276" w:lineRule="auto"/>
        <w:jc w:val="both"/>
        <w:rPr>
          <w:sz w:val="24"/>
          <w:szCs w:val="24"/>
        </w:rPr>
      </w:pPr>
      <w:r w:rsidRPr="004C102F">
        <w:rPr>
          <w:rFonts w:eastAsia="Calibri"/>
          <w:color w:val="1A1A1A"/>
          <w:sz w:val="24"/>
          <w:szCs w:val="24"/>
        </w:rPr>
        <w:t>National Institute of Standards and Technology (NIST). (2023). Artificial Intelligence Risk Management Framework (AI RMF 1.0) (NIST AI 100-1). U.S. Department of Commerce.</w:t>
      </w:r>
    </w:p>
    <w:p w:rsidR="007155CD" w:rsidRPr="004C102F" w:rsidRDefault="00F43F7A">
      <w:pPr>
        <w:spacing w:after="160" w:line="276" w:lineRule="auto"/>
        <w:jc w:val="both"/>
        <w:rPr>
          <w:sz w:val="24"/>
          <w:szCs w:val="24"/>
        </w:rPr>
      </w:pPr>
      <w:r w:rsidRPr="004C102F">
        <w:rPr>
          <w:rFonts w:eastAsia="Calibri"/>
          <w:color w:val="1A1A1A"/>
          <w:sz w:val="24"/>
          <w:szCs w:val="24"/>
        </w:rPr>
        <w:t>Neupane, S., Ables, J., Anderson, W., Mittal, S., Rahimi, S., Banicescu, I., &amp; Seale, M. (2022). Explainable Intrusion Detection Systems (X-IDS</w:t>
      </w:r>
      <w:proofErr w:type="gramStart"/>
      <w:r w:rsidRPr="004C102F">
        <w:rPr>
          <w:rFonts w:eastAsia="Calibri"/>
          <w:color w:val="1A1A1A"/>
          <w:sz w:val="24"/>
          <w:szCs w:val="24"/>
        </w:rPr>
        <w:t>):</w:t>
      </w:r>
      <w:proofErr w:type="gramEnd"/>
      <w:r w:rsidRPr="004C102F">
        <w:rPr>
          <w:rFonts w:eastAsia="Calibri"/>
          <w:color w:val="1A1A1A"/>
          <w:sz w:val="24"/>
          <w:szCs w:val="24"/>
        </w:rPr>
        <w:t xml:space="preserve"> A survey of current methods, challenges, and opportunities. IEEE Access, 10, 112392–112415.</w:t>
      </w:r>
    </w:p>
    <w:p w:rsidR="007155CD" w:rsidRPr="004C102F" w:rsidRDefault="00F43F7A">
      <w:pPr>
        <w:spacing w:after="160" w:line="276" w:lineRule="auto"/>
        <w:jc w:val="both"/>
        <w:rPr>
          <w:sz w:val="24"/>
          <w:szCs w:val="24"/>
        </w:rPr>
      </w:pPr>
      <w:r w:rsidRPr="004C102F">
        <w:rPr>
          <w:rFonts w:eastAsia="Calibri"/>
          <w:color w:val="1A1A1A"/>
          <w:sz w:val="24"/>
          <w:szCs w:val="24"/>
        </w:rPr>
        <w:t>Phiayura, P., &amp; Teerakanok, S. (2023). A comprehensive framework for migrating to zero trust architecture. IEEE Access, 11, 19487–19511.</w:t>
      </w:r>
    </w:p>
    <w:p w:rsidR="007155CD" w:rsidRPr="004C102F" w:rsidRDefault="00F43F7A">
      <w:pPr>
        <w:spacing w:after="160" w:line="276" w:lineRule="auto"/>
        <w:jc w:val="both"/>
        <w:rPr>
          <w:sz w:val="24"/>
          <w:szCs w:val="24"/>
        </w:rPr>
      </w:pPr>
      <w:r w:rsidRPr="004C102F">
        <w:rPr>
          <w:rFonts w:eastAsia="Calibri"/>
          <w:color w:val="1A1A1A"/>
          <w:sz w:val="24"/>
          <w:szCs w:val="24"/>
        </w:rPr>
        <w:lastRenderedPageBreak/>
        <w:t xml:space="preserve">Ribeiro, M. T., Singh, S., &amp; Guestrin, C. (2023). “Why should I trust </w:t>
      </w:r>
      <w:proofErr w:type="gramStart"/>
      <w:r w:rsidRPr="004C102F">
        <w:rPr>
          <w:rFonts w:eastAsia="Calibri"/>
          <w:color w:val="1A1A1A"/>
          <w:sz w:val="24"/>
          <w:szCs w:val="24"/>
        </w:rPr>
        <w:t>you?</w:t>
      </w:r>
      <w:proofErr w:type="gramEnd"/>
      <w:r w:rsidRPr="004C102F">
        <w:rPr>
          <w:rFonts w:eastAsia="Calibri"/>
          <w:color w:val="1A1A1A"/>
          <w:sz w:val="24"/>
          <w:szCs w:val="24"/>
        </w:rPr>
        <w:t>”: Explaining the predictions of any classifier. Proceedings of the ACM SIGKDD International Conference on Knowledge Discovery &amp; Data Mining, 1135–1144.</w:t>
      </w:r>
    </w:p>
    <w:p w:rsidR="007155CD" w:rsidRPr="004C102F" w:rsidRDefault="00F43F7A">
      <w:pPr>
        <w:spacing w:after="160" w:line="276" w:lineRule="auto"/>
        <w:jc w:val="both"/>
        <w:rPr>
          <w:sz w:val="24"/>
          <w:szCs w:val="24"/>
        </w:rPr>
      </w:pPr>
      <w:r w:rsidRPr="004C102F">
        <w:rPr>
          <w:rFonts w:eastAsia="Calibri"/>
          <w:color w:val="1A1A1A"/>
          <w:sz w:val="24"/>
          <w:szCs w:val="24"/>
        </w:rPr>
        <w:t>Rose, S., Borchert, O., Mitchell, S., &amp; Connelly, S. (2020). Zero Trust Architecture (NIST SP 800-207). National Institute of Standards and Technology.</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Shokri, R., Strobel, M., &amp; Zick, Y. (2023). Privacy in machine </w:t>
      </w:r>
      <w:proofErr w:type="gramStart"/>
      <w:r w:rsidRPr="004C102F">
        <w:rPr>
          <w:rFonts w:eastAsia="Calibri"/>
          <w:color w:val="1A1A1A"/>
          <w:sz w:val="24"/>
          <w:szCs w:val="24"/>
        </w:rPr>
        <w:t>learning:</w:t>
      </w:r>
      <w:proofErr w:type="gramEnd"/>
      <w:r w:rsidRPr="004C102F">
        <w:rPr>
          <w:rFonts w:eastAsia="Calibri"/>
          <w:color w:val="1A1A1A"/>
          <w:sz w:val="24"/>
          <w:szCs w:val="24"/>
        </w:rPr>
        <w:t xml:space="preserve"> Threats, mitigations, and applications in XAI cybersecurity. ACM Computing Surveys, 55(8), 1–38.</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Venkatesh, V., Morris, M. G., Davis, G. B., &amp; Davis, F. D. (2023). User acceptance of information </w:t>
      </w:r>
      <w:proofErr w:type="gramStart"/>
      <w:r w:rsidRPr="004C102F">
        <w:rPr>
          <w:rFonts w:eastAsia="Calibri"/>
          <w:color w:val="1A1A1A"/>
          <w:sz w:val="24"/>
          <w:szCs w:val="24"/>
        </w:rPr>
        <w:t>technology:</w:t>
      </w:r>
      <w:proofErr w:type="gramEnd"/>
      <w:r w:rsidRPr="004C102F">
        <w:rPr>
          <w:rFonts w:eastAsia="Calibri"/>
          <w:color w:val="1A1A1A"/>
          <w:sz w:val="24"/>
          <w:szCs w:val="24"/>
        </w:rPr>
        <w:t xml:space="preserve"> Toward a unified view (UTAUT). MIS Quarterly, 27(3), 425–478.</w:t>
      </w:r>
    </w:p>
    <w:p w:rsidR="007155CD" w:rsidRPr="004C102F" w:rsidRDefault="00F43F7A">
      <w:pPr>
        <w:spacing w:after="160" w:line="276" w:lineRule="auto"/>
        <w:jc w:val="both"/>
        <w:rPr>
          <w:sz w:val="24"/>
          <w:szCs w:val="24"/>
        </w:rPr>
      </w:pPr>
      <w:r w:rsidRPr="004C102F">
        <w:rPr>
          <w:rFonts w:eastAsia="Calibri"/>
          <w:color w:val="1A1A1A"/>
          <w:sz w:val="24"/>
          <w:szCs w:val="24"/>
        </w:rPr>
        <w:t xml:space="preserve">Yeoh, W., Liu, M., Shore, M., &amp; Jiang, F. (2023). Zero trust </w:t>
      </w:r>
      <w:proofErr w:type="gramStart"/>
      <w:r w:rsidRPr="004C102F">
        <w:rPr>
          <w:rFonts w:eastAsia="Calibri"/>
          <w:color w:val="1A1A1A"/>
          <w:sz w:val="24"/>
          <w:szCs w:val="24"/>
        </w:rPr>
        <w:t>cybersecurity:</w:t>
      </w:r>
      <w:proofErr w:type="gramEnd"/>
      <w:r w:rsidRPr="004C102F">
        <w:rPr>
          <w:rFonts w:eastAsia="Calibri"/>
          <w:color w:val="1A1A1A"/>
          <w:sz w:val="24"/>
          <w:szCs w:val="24"/>
        </w:rPr>
        <w:t xml:space="preserve"> Critical success factors and a maturity assessment framework. Computers &amp; Security, 133, 103412.</w:t>
      </w:r>
    </w:p>
    <w:p w:rsidR="007155CD" w:rsidRPr="004C102F" w:rsidRDefault="00F43F7A">
      <w:pPr>
        <w:rPr>
          <w:sz w:val="24"/>
          <w:szCs w:val="24"/>
        </w:rPr>
      </w:pPr>
      <w:r w:rsidRPr="004C102F">
        <w:rPr>
          <w:sz w:val="24"/>
          <w:szCs w:val="24"/>
        </w:rPr>
        <w:br w:type="page"/>
      </w:r>
    </w:p>
    <w:p w:rsidR="007155CD" w:rsidRPr="004C102F" w:rsidRDefault="00F43F7A">
      <w:pPr>
        <w:pBdr>
          <w:bottom w:val="single" w:sz="6" w:space="4" w:color="0B8EE9"/>
        </w:pBdr>
        <w:bidi/>
        <w:spacing w:before="400" w:after="120"/>
        <w:jc w:val="right"/>
        <w:rPr>
          <w:sz w:val="24"/>
          <w:szCs w:val="24"/>
        </w:rPr>
      </w:pPr>
      <w:r w:rsidRPr="004C102F">
        <w:rPr>
          <w:rFonts w:eastAsia="Traditional Arabic"/>
          <w:b/>
          <w:bCs/>
          <w:color w:val="075A94"/>
          <w:sz w:val="24"/>
          <w:szCs w:val="24"/>
          <w:rtl/>
        </w:rPr>
        <w:lastRenderedPageBreak/>
        <w:t>ملحق: معلومات تكميلية</w:t>
      </w:r>
    </w:p>
    <w:p w:rsidR="007155CD" w:rsidRPr="004C102F" w:rsidRDefault="00F43F7A">
      <w:pPr>
        <w:spacing w:after="200"/>
        <w:rPr>
          <w:sz w:val="24"/>
          <w:szCs w:val="24"/>
        </w:rPr>
      </w:pPr>
      <w:proofErr w:type="gramStart"/>
      <w:r w:rsidRPr="004C102F">
        <w:rPr>
          <w:rFonts w:eastAsia="Calibri"/>
          <w:i/>
          <w:iCs/>
          <w:color w:val="595959"/>
          <w:sz w:val="24"/>
          <w:szCs w:val="24"/>
        </w:rPr>
        <w:t>Appendix:</w:t>
      </w:r>
      <w:proofErr w:type="gramEnd"/>
      <w:r w:rsidRPr="004C102F">
        <w:rPr>
          <w:rFonts w:eastAsia="Calibri"/>
          <w:i/>
          <w:iCs/>
          <w:color w:val="595959"/>
          <w:sz w:val="24"/>
          <w:szCs w:val="24"/>
        </w:rPr>
        <w:t xml:space="preserve"> Supplementary Information (beyond the core registration-plan template)</w:t>
      </w:r>
    </w:p>
    <w:p w:rsidR="007155CD" w:rsidRPr="004C102F" w:rsidRDefault="00F43F7A">
      <w:pPr>
        <w:spacing w:before="240" w:after="100"/>
        <w:rPr>
          <w:sz w:val="24"/>
          <w:szCs w:val="24"/>
        </w:rPr>
      </w:pPr>
      <w:r w:rsidRPr="004C102F">
        <w:rPr>
          <w:rFonts w:eastAsia="Calibri"/>
          <w:b/>
          <w:bCs/>
          <w:color w:val="075A94"/>
          <w:sz w:val="24"/>
          <w:szCs w:val="24"/>
        </w:rPr>
        <w:t>Expected Scientific Contributions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Development of a novel Adaptive Cyber Defense Design Framework — a validated engineering artifact combining XAI and ZTA for island critical infrastructure.</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Creation of an XAI-powered cybersecurity model (SHAP/LIME-based intrusion detection optimized for low-resource environments).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Enhancement of Zero Trust implementation methodologies through phased, constraint-aware roadmaps.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Contribution to cybersecurity resilience research in Africa and developing nations.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Establishment of a reference cybersecurity design framework for small island developing states (SIDS).</w:t>
      </w:r>
    </w:p>
    <w:p w:rsidR="007155CD" w:rsidRPr="004C102F" w:rsidRDefault="00F43F7A">
      <w:pPr>
        <w:spacing w:before="240" w:after="100"/>
        <w:rPr>
          <w:sz w:val="24"/>
          <w:szCs w:val="24"/>
        </w:rPr>
      </w:pPr>
      <w:r w:rsidRPr="004C102F">
        <w:rPr>
          <w:rFonts w:eastAsia="Calibri"/>
          <w:b/>
          <w:bCs/>
          <w:color w:val="075A94"/>
          <w:sz w:val="24"/>
          <w:szCs w:val="24"/>
        </w:rPr>
        <w:t>Expected Outcomes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Empirical baseline assessment of Comorian critical-infrastructure cybersecurity posture.</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Validated adaptive cyber defense design framework, tested on benchmark datasets.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XAI-powered threat-detection engine with precision/recall evaluation.</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Zero Trust implementation roadmap tailored to low-bandwidth, fragmented-governance contexts.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Cybersecurity maturity assessment framework and national policy recommendations.</w:t>
      </w:r>
    </w:p>
    <w:p w:rsidR="007155CD" w:rsidRPr="004C102F" w:rsidRDefault="00F43F7A">
      <w:pPr>
        <w:spacing w:before="240" w:after="100"/>
        <w:rPr>
          <w:sz w:val="24"/>
          <w:szCs w:val="24"/>
        </w:rPr>
      </w:pPr>
      <w:r w:rsidRPr="004C102F">
        <w:rPr>
          <w:rFonts w:eastAsia="Calibri"/>
          <w:b/>
          <w:bCs/>
          <w:color w:val="075A94"/>
          <w:sz w:val="24"/>
          <w:szCs w:val="24"/>
        </w:rPr>
        <w:t>Limitations and Mitigation Strategies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L1 — Data </w:t>
      </w:r>
      <w:proofErr w:type="gramStart"/>
      <w:r w:rsidRPr="004C102F">
        <w:rPr>
          <w:rFonts w:eastAsia="Calibri"/>
          <w:color w:val="1A1A1A"/>
          <w:sz w:val="24"/>
          <w:szCs w:val="24"/>
        </w:rPr>
        <w:t>scarcity:</w:t>
      </w:r>
      <w:proofErr w:type="gramEnd"/>
      <w:r w:rsidRPr="004C102F">
        <w:rPr>
          <w:rFonts w:eastAsia="Calibri"/>
          <w:color w:val="1A1A1A"/>
          <w:sz w:val="24"/>
          <w:szCs w:val="24"/>
        </w:rPr>
        <w:t xml:space="preserve"> mitigated via benchmark datasets (NSL-KDD, CICIDS) refined with anonymized localized logs.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L2 — Computational resource </w:t>
      </w:r>
      <w:proofErr w:type="gramStart"/>
      <w:r w:rsidRPr="004C102F">
        <w:rPr>
          <w:rFonts w:eastAsia="Calibri"/>
          <w:color w:val="1A1A1A"/>
          <w:sz w:val="24"/>
          <w:szCs w:val="24"/>
        </w:rPr>
        <w:t>constraints:</w:t>
      </w:r>
      <w:proofErr w:type="gramEnd"/>
      <w:r w:rsidRPr="004C102F">
        <w:rPr>
          <w:rFonts w:eastAsia="Calibri"/>
          <w:color w:val="1A1A1A"/>
          <w:sz w:val="24"/>
          <w:szCs w:val="24"/>
        </w:rPr>
        <w:t xml:space="preserve"> mitigated via model compression and lightweight SHAP approximations.</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L3 — Policy adoption </w:t>
      </w:r>
      <w:proofErr w:type="gramStart"/>
      <w:r w:rsidRPr="004C102F">
        <w:rPr>
          <w:rFonts w:eastAsia="Calibri"/>
          <w:color w:val="1A1A1A"/>
          <w:sz w:val="24"/>
          <w:szCs w:val="24"/>
        </w:rPr>
        <w:t>inertia:</w:t>
      </w:r>
      <w:proofErr w:type="gramEnd"/>
      <w:r w:rsidRPr="004C102F">
        <w:rPr>
          <w:rFonts w:eastAsia="Calibri"/>
          <w:color w:val="1A1A1A"/>
          <w:sz w:val="24"/>
          <w:szCs w:val="24"/>
        </w:rPr>
        <w:t xml:space="preserve"> mitigated via co-design validation with government ICT officials and a phased roadmap.</w:t>
      </w:r>
    </w:p>
    <w:p w:rsidR="007155CD" w:rsidRPr="004C102F" w:rsidRDefault="00F43F7A">
      <w:pPr>
        <w:pStyle w:val="Paragraphedeliste"/>
        <w:numPr>
          <w:ilvl w:val="0"/>
          <w:numId w:val="1"/>
        </w:numPr>
        <w:spacing w:after="100" w:line="276" w:lineRule="auto"/>
        <w:rPr>
          <w:sz w:val="24"/>
          <w:szCs w:val="24"/>
        </w:rPr>
      </w:pPr>
      <w:r w:rsidRPr="004C102F">
        <w:rPr>
          <w:rFonts w:eastAsia="Calibri"/>
          <w:color w:val="1A1A1A"/>
          <w:sz w:val="24"/>
          <w:szCs w:val="24"/>
        </w:rPr>
        <w:t xml:space="preserve">L4 — Geographic and sample access across three </w:t>
      </w:r>
      <w:proofErr w:type="gramStart"/>
      <w:r w:rsidRPr="004C102F">
        <w:rPr>
          <w:rFonts w:eastAsia="Calibri"/>
          <w:color w:val="1A1A1A"/>
          <w:sz w:val="24"/>
          <w:szCs w:val="24"/>
        </w:rPr>
        <w:t>islands:</w:t>
      </w:r>
      <w:proofErr w:type="gramEnd"/>
      <w:r w:rsidRPr="004C102F">
        <w:rPr>
          <w:rFonts w:eastAsia="Calibri"/>
          <w:color w:val="1A1A1A"/>
          <w:sz w:val="24"/>
          <w:szCs w:val="24"/>
        </w:rPr>
        <w:t xml:space="preserve"> mitigated via remote interviews, online questionnaires, and partnership with Comores Telecom.</w:t>
      </w:r>
    </w:p>
    <w:p w:rsidR="007155CD" w:rsidRPr="004C102F" w:rsidRDefault="00F43F7A">
      <w:pPr>
        <w:rPr>
          <w:sz w:val="24"/>
          <w:szCs w:val="24"/>
        </w:rPr>
      </w:pPr>
      <w:r w:rsidRPr="004C102F">
        <w:rPr>
          <w:sz w:val="24"/>
          <w:szCs w:val="24"/>
        </w:rPr>
        <w:br w:type="page"/>
      </w:r>
    </w:p>
    <w:p w:rsidR="007155CD" w:rsidRPr="004C102F" w:rsidRDefault="00F43F7A">
      <w:pPr>
        <w:spacing w:before="1600" w:after="200"/>
        <w:jc w:val="center"/>
        <w:rPr>
          <w:sz w:val="24"/>
          <w:szCs w:val="24"/>
        </w:rPr>
      </w:pPr>
      <w:r w:rsidRPr="004C102F">
        <w:rPr>
          <w:noProof/>
          <w:sz w:val="24"/>
          <w:szCs w:val="24"/>
        </w:rPr>
        <w:lastRenderedPageBreak/>
        <w:drawing>
          <wp:inline distT="0" distB="0" distL="0" distR="0">
            <wp:extent cx="2476500" cy="8191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476500" cy="819150"/>
                    </a:xfrm>
                    <a:prstGeom prst="rect">
                      <a:avLst/>
                    </a:prstGeom>
                  </pic:spPr>
                </pic:pic>
              </a:graphicData>
            </a:graphic>
          </wp:inline>
        </w:drawing>
      </w:r>
    </w:p>
    <w:p w:rsidR="007155CD" w:rsidRPr="004C102F" w:rsidRDefault="00F43F7A">
      <w:pPr>
        <w:bidi/>
        <w:spacing w:before="300"/>
        <w:jc w:val="center"/>
        <w:rPr>
          <w:sz w:val="24"/>
          <w:szCs w:val="24"/>
        </w:rPr>
      </w:pPr>
      <w:r w:rsidRPr="004C102F">
        <w:rPr>
          <w:rFonts w:eastAsia="Traditional Arabic"/>
          <w:b/>
          <w:bCs/>
          <w:color w:val="075A94"/>
          <w:sz w:val="24"/>
          <w:szCs w:val="24"/>
          <w:rtl/>
        </w:rPr>
        <w:t>جامعة ميدأوشن</w:t>
      </w:r>
    </w:p>
    <w:sectPr w:rsidR="007155CD" w:rsidRPr="004C102F">
      <w:footerReference w:type="default" r:id="rId8"/>
      <w:pgSz w:w="11906" w:h="16838"/>
      <w:pgMar w:top="1000" w:right="1200" w:bottom="1000" w:left="12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F5F" w:rsidRDefault="00C95F5F">
      <w:r>
        <w:separator/>
      </w:r>
    </w:p>
  </w:endnote>
  <w:endnote w:type="continuationSeparator" w:id="0">
    <w:p w:rsidR="00C95F5F" w:rsidRDefault="00C95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aditional Arabic">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5CD" w:rsidRDefault="00F43F7A">
    <w:pPr>
      <w:jc w:val="center"/>
    </w:pPr>
    <w:r>
      <w:rPr>
        <w:rFonts w:ascii="Calibri" w:eastAsia="Calibri" w:hAnsi="Calibri" w:cs="Calibri"/>
        <w:color w:val="595959"/>
        <w:sz w:val="18"/>
        <w:szCs w:val="18"/>
      </w:rPr>
      <w:fldChar w:fldCharType="begin"/>
    </w:r>
    <w:r>
      <w:rPr>
        <w:rFonts w:ascii="Calibri" w:eastAsia="Calibri" w:hAnsi="Calibri" w:cs="Calibri"/>
        <w:color w:val="595959"/>
        <w:sz w:val="18"/>
        <w:szCs w:val="18"/>
      </w:rPr>
      <w:instrText>PAGE</w:instrText>
    </w:r>
    <w:r>
      <w:rPr>
        <w:rFonts w:ascii="Calibri" w:eastAsia="Calibri" w:hAnsi="Calibri" w:cs="Calibri"/>
        <w:color w:val="595959"/>
        <w:sz w:val="18"/>
        <w:szCs w:val="18"/>
      </w:rPr>
      <w:fldChar w:fldCharType="separate"/>
    </w:r>
    <w:r w:rsidR="000936CF">
      <w:rPr>
        <w:rFonts w:ascii="Calibri" w:eastAsia="Calibri" w:hAnsi="Calibri" w:cs="Calibri"/>
        <w:noProof/>
        <w:color w:val="595959"/>
        <w:sz w:val="18"/>
        <w:szCs w:val="18"/>
      </w:rPr>
      <w:t>21</w:t>
    </w:r>
    <w:r>
      <w:rPr>
        <w:rFonts w:ascii="Calibri" w:eastAsia="Calibri" w:hAnsi="Calibri" w:cs="Calibri"/>
        <w:color w:val="595959"/>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F5F" w:rsidRDefault="00C95F5F">
      <w:r>
        <w:separator/>
      </w:r>
    </w:p>
  </w:footnote>
  <w:footnote w:type="continuationSeparator" w:id="0">
    <w:p w:rsidR="00C95F5F" w:rsidRDefault="00C95F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8917AC"/>
    <w:multiLevelType w:val="hybridMultilevel"/>
    <w:tmpl w:val="AF8E718E"/>
    <w:lvl w:ilvl="0" w:tplc="DE7CE334">
      <w:start w:val="1"/>
      <w:numFmt w:val="bullet"/>
      <w:lvlText w:val="●"/>
      <w:lvlJc w:val="left"/>
      <w:pPr>
        <w:ind w:left="720" w:hanging="360"/>
      </w:pPr>
    </w:lvl>
    <w:lvl w:ilvl="1" w:tplc="ECB20312">
      <w:start w:val="1"/>
      <w:numFmt w:val="bullet"/>
      <w:lvlText w:val="○"/>
      <w:lvlJc w:val="left"/>
      <w:pPr>
        <w:ind w:left="1440" w:hanging="360"/>
      </w:pPr>
    </w:lvl>
    <w:lvl w:ilvl="2" w:tplc="214CADE2">
      <w:start w:val="1"/>
      <w:numFmt w:val="bullet"/>
      <w:lvlText w:val="■"/>
      <w:lvlJc w:val="left"/>
      <w:pPr>
        <w:ind w:left="2160" w:hanging="360"/>
      </w:pPr>
    </w:lvl>
    <w:lvl w:ilvl="3" w:tplc="6090C7FE">
      <w:start w:val="1"/>
      <w:numFmt w:val="bullet"/>
      <w:lvlText w:val="●"/>
      <w:lvlJc w:val="left"/>
      <w:pPr>
        <w:ind w:left="2880" w:hanging="360"/>
      </w:pPr>
    </w:lvl>
    <w:lvl w:ilvl="4" w:tplc="DB44526C">
      <w:start w:val="1"/>
      <w:numFmt w:val="bullet"/>
      <w:lvlText w:val="○"/>
      <w:lvlJc w:val="left"/>
      <w:pPr>
        <w:ind w:left="3600" w:hanging="360"/>
      </w:pPr>
    </w:lvl>
    <w:lvl w:ilvl="5" w:tplc="811696B4">
      <w:start w:val="1"/>
      <w:numFmt w:val="bullet"/>
      <w:lvlText w:val="■"/>
      <w:lvlJc w:val="left"/>
      <w:pPr>
        <w:ind w:left="4320" w:hanging="360"/>
      </w:pPr>
    </w:lvl>
    <w:lvl w:ilvl="6" w:tplc="FDCC14B0">
      <w:start w:val="1"/>
      <w:numFmt w:val="bullet"/>
      <w:lvlText w:val="●"/>
      <w:lvlJc w:val="left"/>
      <w:pPr>
        <w:ind w:left="5040" w:hanging="360"/>
      </w:pPr>
    </w:lvl>
    <w:lvl w:ilvl="7" w:tplc="E32EECA0">
      <w:start w:val="1"/>
      <w:numFmt w:val="bullet"/>
      <w:lvlText w:val="●"/>
      <w:lvlJc w:val="left"/>
      <w:pPr>
        <w:ind w:left="5760" w:hanging="360"/>
      </w:pPr>
    </w:lvl>
    <w:lvl w:ilvl="8" w:tplc="44DE43D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5CD"/>
    <w:rsid w:val="000936CF"/>
    <w:rsid w:val="004C102F"/>
    <w:rsid w:val="00584EA9"/>
    <w:rsid w:val="00701E43"/>
    <w:rsid w:val="007155CD"/>
    <w:rsid w:val="0072259F"/>
    <w:rsid w:val="007530C5"/>
    <w:rsid w:val="008130D4"/>
    <w:rsid w:val="00B009FE"/>
    <w:rsid w:val="00C95F5F"/>
    <w:rsid w:val="00DE3E70"/>
    <w:rsid w:val="00F43F7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1A3F"/>
  <w15:docId w15:val="{64269066-3E39-4B07-81C7-28CAD09D4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qFormat/>
    <w:pPr>
      <w:outlineLvl w:val="0"/>
    </w:pPr>
    <w:rPr>
      <w:color w:val="2E74B5"/>
      <w:sz w:val="32"/>
      <w:szCs w:val="32"/>
    </w:rPr>
  </w:style>
  <w:style w:type="paragraph" w:styleId="Titre2">
    <w:name w:val="heading 2"/>
    <w:qFormat/>
    <w:pPr>
      <w:outlineLvl w:val="1"/>
    </w:pPr>
    <w:rPr>
      <w:color w:val="2E74B5"/>
      <w:sz w:val="26"/>
      <w:szCs w:val="26"/>
    </w:rPr>
  </w:style>
  <w:style w:type="paragraph" w:styleId="Titre3">
    <w:name w:val="heading 3"/>
    <w:qFormat/>
    <w:pPr>
      <w:outlineLvl w:val="2"/>
    </w:pPr>
    <w:rPr>
      <w:color w:val="1F4D78"/>
      <w:sz w:val="24"/>
      <w:szCs w:val="24"/>
    </w:rPr>
  </w:style>
  <w:style w:type="paragraph" w:styleId="Titre4">
    <w:name w:val="heading 4"/>
    <w:qFormat/>
    <w:pPr>
      <w:outlineLvl w:val="3"/>
    </w:pPr>
    <w:rPr>
      <w:i/>
      <w:iCs/>
      <w:color w:val="2E74B5"/>
    </w:rPr>
  </w:style>
  <w:style w:type="paragraph" w:styleId="Titre5">
    <w:name w:val="heading 5"/>
    <w:qFormat/>
    <w:pPr>
      <w:outlineLvl w:val="4"/>
    </w:pPr>
    <w:rPr>
      <w:color w:val="2E74B5"/>
    </w:rPr>
  </w:style>
  <w:style w:type="paragraph" w:styleId="Titre6">
    <w:name w:val="heading 6"/>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style>
  <w:style w:type="character" w:customStyle="1" w:styleId="NotedefinCar">
    <w:name w:val="Note de fin Car"/>
    <w:link w:val="Notedefin"/>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22</Pages>
  <Words>7221</Words>
  <Characters>39716</Characters>
  <Application>Microsoft Office Word</Application>
  <DocSecurity>0</DocSecurity>
  <Lines>330</Lines>
  <Paragraphs>93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26937</cp:lastModifiedBy>
  <cp:revision>3</cp:revision>
  <dcterms:created xsi:type="dcterms:W3CDTF">2026-07-18T12:13:00Z</dcterms:created>
  <dcterms:modified xsi:type="dcterms:W3CDTF">2026-07-18T12:28:00Z</dcterms:modified>
</cp:coreProperties>
</file>