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25155" w14:textId="77777777" w:rsidR="00E7256B" w:rsidRPr="00822632" w:rsidRDefault="00E7256B" w:rsidP="00E7256B">
      <w:pPr>
        <w:spacing w:after="200" w:line="240" w:lineRule="auto"/>
        <w:rPr>
          <w:rFonts w:ascii="Times New Roman" w:eastAsia="Times New Roman" w:hAnsi="Times New Roman" w:cs="Times New Roman"/>
          <w:color w:val="1C1C1C"/>
        </w:rPr>
      </w:pPr>
      <w:r w:rsidRPr="00822632">
        <w:rPr>
          <w:rFonts w:ascii="Times New Roman" w:eastAsia="Times New Roman" w:hAnsi="Times New Roman" w:cs="Times New Roman"/>
          <w:noProof/>
          <w:color w:val="1C1C1C"/>
        </w:rPr>
        <w:drawing>
          <wp:anchor distT="0" distB="0" distL="114300" distR="114300" simplePos="0" relativeHeight="251659264" behindDoc="0" locked="0" layoutInCell="1" allowOverlap="1" wp14:anchorId="1B73AF56" wp14:editId="401A387B">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05C6D9FD" w14:textId="77777777" w:rsidR="00E7256B" w:rsidRPr="00822632" w:rsidRDefault="00E7256B" w:rsidP="00E7256B">
      <w:pPr>
        <w:spacing w:after="200" w:line="276" w:lineRule="auto"/>
        <w:rPr>
          <w:rFonts w:ascii="Times New Roman" w:eastAsia="Times New Roman" w:hAnsi="Times New Roman" w:cs="Times New Roman"/>
          <w:color w:val="1C1C1C"/>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48F5900A" wp14:editId="0FA3A2CE">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B68058A" w14:textId="77777777" w:rsidR="00E7256B" w:rsidRPr="0039166C" w:rsidRDefault="00E7256B" w:rsidP="00E7256B">
                            <w:pPr>
                              <w:jc w:val="center"/>
                              <w:rPr>
                                <w:b/>
                                <w:bCs/>
                                <w:sz w:val="28"/>
                                <w:szCs w:val="28"/>
                                <w:rtl/>
                                <w:lang w:bidi="ar-EG"/>
                              </w:rPr>
                            </w:pPr>
                            <w:r w:rsidRPr="0039166C">
                              <w:rPr>
                                <w:rFonts w:hint="cs"/>
                                <w:b/>
                                <w:bCs/>
                                <w:sz w:val="28"/>
                                <w:szCs w:val="28"/>
                                <w:rtl/>
                                <w:lang w:bidi="ar-EG"/>
                              </w:rPr>
                              <w:t xml:space="preserve">جامعة ميد اوشن </w:t>
                            </w:r>
                          </w:p>
                          <w:p w14:paraId="10A97F30" w14:textId="77777777" w:rsidR="00E7256B" w:rsidRPr="0039166C" w:rsidRDefault="00E7256B" w:rsidP="00E7256B">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F5900A" id="Rectangle 53" o:spid="_x0000_s1026" style="position:absolute;margin-left:332.3pt;margin-top:12.0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6B68058A" w14:textId="77777777" w:rsidR="00E7256B" w:rsidRPr="0039166C" w:rsidRDefault="00E7256B" w:rsidP="00E7256B">
                      <w:pPr>
                        <w:jc w:val="center"/>
                        <w:rPr>
                          <w:b/>
                          <w:bCs/>
                          <w:sz w:val="28"/>
                          <w:szCs w:val="28"/>
                          <w:rtl/>
                          <w:lang w:bidi="ar-EG"/>
                        </w:rPr>
                      </w:pPr>
                      <w:r w:rsidRPr="0039166C">
                        <w:rPr>
                          <w:rFonts w:hint="cs"/>
                          <w:b/>
                          <w:bCs/>
                          <w:sz w:val="28"/>
                          <w:szCs w:val="28"/>
                          <w:rtl/>
                          <w:lang w:bidi="ar-EG"/>
                        </w:rPr>
                        <w:t xml:space="preserve">جامعة ميد اوشن </w:t>
                      </w:r>
                    </w:p>
                    <w:p w14:paraId="10A97F30" w14:textId="77777777" w:rsidR="00E7256B" w:rsidRPr="0039166C" w:rsidRDefault="00E7256B" w:rsidP="00E7256B">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38A5638D" w14:textId="77777777" w:rsidR="00E7256B" w:rsidRPr="00822632" w:rsidRDefault="00E7256B" w:rsidP="00E7256B">
      <w:pPr>
        <w:spacing w:after="200" w:line="276" w:lineRule="auto"/>
        <w:jc w:val="right"/>
        <w:rPr>
          <w:rFonts w:ascii="Times New Roman" w:eastAsia="Times New Roman" w:hAnsi="Times New Roman" w:cs="Times New Roman"/>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7256B" w:rsidRPr="00822632" w14:paraId="31BF8EED" w14:textId="77777777" w:rsidTr="00B34633">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BE8EB3E" w14:textId="77777777" w:rsidR="00E7256B" w:rsidRDefault="00E7256B" w:rsidP="00B34633">
            <w:pPr>
              <w:spacing w:after="0" w:line="240" w:lineRule="auto"/>
              <w:jc w:val="center"/>
              <w:rPr>
                <w:rFonts w:ascii="Times New Roman" w:eastAsia="Times New Roman" w:hAnsi="Times New Roman" w:cs="Times New Roman"/>
                <w:color w:val="1C1C1C"/>
                <w:rtl/>
              </w:rPr>
            </w:pPr>
          </w:p>
          <w:p w14:paraId="71958D40" w14:textId="77777777" w:rsidR="00E7256B" w:rsidRPr="00822632" w:rsidRDefault="00E7256B" w:rsidP="00B34633">
            <w:pPr>
              <w:spacing w:after="0" w:line="240" w:lineRule="auto"/>
              <w:jc w:val="center"/>
              <w:rPr>
                <w:rFonts w:ascii="Times New Roman" w:eastAsia="Times New Roman" w:hAnsi="Times New Roman" w:cs="Times New Roman"/>
                <w:color w:val="1C1C1C"/>
              </w:rPr>
            </w:pPr>
          </w:p>
          <w:p w14:paraId="1158C764" w14:textId="77777777" w:rsidR="00E7256B" w:rsidRPr="00822632" w:rsidRDefault="00E7256B" w:rsidP="00B34633">
            <w:pPr>
              <w:spacing w:after="0" w:line="240" w:lineRule="auto"/>
              <w:jc w:val="right"/>
              <w:rPr>
                <w:rFonts w:ascii="Times New Roman" w:eastAsia="Times New Roman" w:hAnsi="Times New Roman" w:cs="Times New Roman"/>
                <w:color w:val="1C1C1C"/>
              </w:rPr>
            </w:pPr>
          </w:p>
          <w:p w14:paraId="15E5F39D" w14:textId="77777777" w:rsidR="00E7256B" w:rsidRPr="00822632" w:rsidRDefault="00E7256B" w:rsidP="00B34633">
            <w:pPr>
              <w:spacing w:before="60" w:after="0" w:line="240" w:lineRule="auto"/>
              <w:jc w:val="right"/>
              <w:rPr>
                <w:rFonts w:ascii="Times New Roman" w:eastAsia="Times New Roman" w:hAnsi="Times New Roman" w:cs="Times New Roman"/>
                <w:color w:val="1C1C1C"/>
              </w:rPr>
            </w:pPr>
          </w:p>
        </w:tc>
      </w:tr>
    </w:tbl>
    <w:p w14:paraId="1CDAD91D" w14:textId="77777777" w:rsidR="00E7256B" w:rsidRPr="007B6382" w:rsidRDefault="00E7256B" w:rsidP="00E7256B">
      <w:pPr>
        <w:bidi/>
        <w:spacing w:line="360" w:lineRule="auto"/>
        <w:jc w:val="center"/>
        <w:rPr>
          <w:rFonts w:ascii="Traditional Arabic" w:hAnsi="Traditional Arabic" w:cs="Traditional Arabic"/>
          <w:b/>
          <w:bCs/>
          <w:sz w:val="36"/>
          <w:szCs w:val="36"/>
        </w:rPr>
      </w:pPr>
      <w:r w:rsidRPr="007B6382">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الدور الوسيط لاندماج الموظفين على العلاقة بين إدارة المواهب وأداء المنظمات: دراسة حالة شركة الدرعية بالرياض</w:t>
      </w:r>
    </w:p>
    <w:p w14:paraId="12C7FE29" w14:textId="77777777" w:rsidR="00E7256B" w:rsidRPr="00822632" w:rsidRDefault="00E7256B" w:rsidP="00E7256B">
      <w:pPr>
        <w:spacing w:after="80" w:line="240" w:lineRule="auto"/>
        <w:jc w:val="center"/>
        <w:rPr>
          <w:rFonts w:ascii="Times New Roman" w:eastAsia="Times New Roman" w:hAnsi="Times New Roman" w:cs="Times New Roman"/>
          <w:b/>
          <w:bCs/>
          <w:color w:val="1C1C1C"/>
          <w:sz w:val="32"/>
          <w:szCs w:val="32"/>
        </w:rPr>
      </w:pPr>
    </w:p>
    <w:p w14:paraId="1D6E2F75" w14:textId="77777777" w:rsidR="00E7256B" w:rsidRPr="00822632" w:rsidRDefault="00E7256B" w:rsidP="00E7256B">
      <w:pPr>
        <w:spacing w:after="80" w:line="240" w:lineRule="auto"/>
        <w:jc w:val="center"/>
        <w:rPr>
          <w:rFonts w:ascii="Times New Roman" w:eastAsia="Times New Roman" w:hAnsi="Times New Roman" w:cs="Times New Roman"/>
          <w:color w:val="1C1C1C"/>
          <w:sz w:val="28"/>
          <w:szCs w:val="28"/>
        </w:rPr>
      </w:pPr>
    </w:p>
    <w:p w14:paraId="271F56B3" w14:textId="77777777" w:rsidR="00E7256B" w:rsidRPr="00822632" w:rsidRDefault="00E7256B" w:rsidP="00E7256B">
      <w:pPr>
        <w:spacing w:after="80" w:line="240" w:lineRule="auto"/>
        <w:jc w:val="center"/>
        <w:rPr>
          <w:rFonts w:ascii="Times New Roman" w:eastAsia="Times New Roman" w:hAnsi="Times New Roman" w:cs="Times New Roman"/>
          <w:color w:val="1C1C1C"/>
          <w:sz w:val="32"/>
          <w:szCs w:val="32"/>
        </w:rPr>
      </w:pPr>
    </w:p>
    <w:p w14:paraId="784DD788" w14:textId="77777777" w:rsidR="00E7256B" w:rsidRPr="00822632" w:rsidRDefault="00E7256B" w:rsidP="00E7256B">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5D5279AF" w14:textId="77777777" w:rsidR="00E7256B" w:rsidRPr="001A20A7" w:rsidRDefault="00E7256B" w:rsidP="00E7256B">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1A20A7">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خالد مطر سائر المضياني العنزي</w:t>
      </w:r>
    </w:p>
    <w:p w14:paraId="40132363" w14:textId="77777777" w:rsidR="00E7256B" w:rsidRPr="00822632" w:rsidRDefault="00E7256B" w:rsidP="00E7256B">
      <w:pPr>
        <w:spacing w:after="60" w:line="240" w:lineRule="auto"/>
        <w:rPr>
          <w:rFonts w:ascii="Times New Roman" w:eastAsia="Times New Roman" w:hAnsi="Times New Roman" w:cs="Times New Roman"/>
          <w:color w:val="1C1C1C"/>
          <w:sz w:val="28"/>
          <w:szCs w:val="28"/>
        </w:rPr>
      </w:pPr>
    </w:p>
    <w:p w14:paraId="39416DA0" w14:textId="77777777" w:rsidR="00E7256B" w:rsidRPr="00822632" w:rsidRDefault="00E7256B" w:rsidP="00E7256B">
      <w:pPr>
        <w:spacing w:after="60" w:line="240" w:lineRule="auto"/>
        <w:rPr>
          <w:rFonts w:ascii="Times New Roman" w:eastAsia="Times New Roman" w:hAnsi="Times New Roman" w:cs="Times New Roman"/>
          <w:color w:val="1C1C1C"/>
          <w:sz w:val="28"/>
          <w:szCs w:val="28"/>
          <w:rtl/>
        </w:rPr>
      </w:pPr>
    </w:p>
    <w:p w14:paraId="1E1752BE" w14:textId="77777777" w:rsidR="00E7256B" w:rsidRPr="00822632" w:rsidRDefault="00E7256B" w:rsidP="00E7256B">
      <w:pPr>
        <w:spacing w:after="60" w:line="276" w:lineRule="auto"/>
        <w:rPr>
          <w:rFonts w:ascii="Times New Roman" w:eastAsia="Times New Roman" w:hAnsi="Times New Roman" w:cs="Times New Roman"/>
          <w:color w:val="1C1C1C"/>
          <w:sz w:val="28"/>
          <w:szCs w:val="28"/>
        </w:rPr>
      </w:pPr>
      <w:bookmarkStart w:id="0" w:name="OLE_LINK2"/>
    </w:p>
    <w:p w14:paraId="7FCDFEAA" w14:textId="77777777" w:rsidR="00E7256B" w:rsidRPr="00822632" w:rsidRDefault="00E7256B" w:rsidP="00E7256B">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r w:rsidRPr="00822632">
        <w:rPr>
          <w:rFonts w:ascii="Times New Roman" w:eastAsia="Times New Roman" w:hAnsi="Times New Roman" w:cs="Times New Roman" w:hint="cs"/>
          <w:color w:val="1C1C1C"/>
          <w:sz w:val="28"/>
          <w:szCs w:val="28"/>
          <w:rtl/>
        </w:rPr>
        <w:t>إلى برنامج الدكتوراة</w:t>
      </w:r>
    </w:p>
    <w:p w14:paraId="1CAFB014" w14:textId="77777777" w:rsidR="00E7256B" w:rsidRPr="00822632" w:rsidRDefault="00E7256B" w:rsidP="00E7256B">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الادارة</w:t>
      </w:r>
      <w:r>
        <w:rPr>
          <w:rFonts w:ascii="Times New Roman" w:eastAsia="Times New Roman" w:hAnsi="Times New Roman" w:cs="Times New Roman" w:hint="cs"/>
          <w:b/>
          <w:bCs/>
          <w:color w:val="1C1C1C"/>
          <w:sz w:val="28"/>
          <w:szCs w:val="28"/>
          <w:rtl/>
        </w:rPr>
        <w:t>)</w:t>
      </w:r>
    </w:p>
    <w:bookmarkEnd w:id="0"/>
    <w:p w14:paraId="1B02AD89" w14:textId="77777777" w:rsidR="00E7256B" w:rsidRPr="00822632" w:rsidRDefault="00E7256B" w:rsidP="00E7256B">
      <w:pPr>
        <w:bidi/>
        <w:spacing w:after="0" w:line="276" w:lineRule="auto"/>
        <w:jc w:val="center"/>
        <w:rPr>
          <w:rFonts w:ascii="Times New Roman" w:eastAsia="Times New Roman" w:hAnsi="Times New Roman" w:cs="Times New Roman"/>
          <w:color w:val="1C1C1C"/>
          <w:sz w:val="28"/>
          <w:szCs w:val="28"/>
          <w:rtl/>
        </w:rPr>
      </w:pPr>
    </w:p>
    <w:p w14:paraId="50C81212" w14:textId="77777777" w:rsidR="00E7256B" w:rsidRPr="00822632" w:rsidRDefault="00E7256B" w:rsidP="00E7256B">
      <w:pPr>
        <w:bidi/>
        <w:spacing w:after="0" w:line="276" w:lineRule="auto"/>
        <w:jc w:val="center"/>
        <w:rPr>
          <w:rFonts w:ascii="Times New Roman" w:eastAsia="Times New Roman" w:hAnsi="Times New Roman" w:cs="Times New Roman"/>
          <w:color w:val="1C1C1C"/>
          <w:sz w:val="28"/>
          <w:szCs w:val="28"/>
          <w:rtl/>
        </w:rPr>
      </w:pPr>
    </w:p>
    <w:p w14:paraId="266A2A50" w14:textId="77777777" w:rsidR="00E7256B" w:rsidRPr="00822632" w:rsidRDefault="00E7256B" w:rsidP="00E7256B">
      <w:pPr>
        <w:bidi/>
        <w:spacing w:after="0" w:line="276" w:lineRule="auto"/>
        <w:jc w:val="center"/>
        <w:rPr>
          <w:rFonts w:ascii="Times New Roman" w:eastAsia="Times New Roman" w:hAnsi="Times New Roman" w:cs="Times New Roman"/>
          <w:color w:val="1C1C1C"/>
          <w:sz w:val="28"/>
          <w:szCs w:val="28"/>
          <w:rtl/>
        </w:rPr>
      </w:pPr>
    </w:p>
    <w:p w14:paraId="51E5F682" w14:textId="77777777" w:rsidR="00E7256B" w:rsidRDefault="00E7256B" w:rsidP="00E7256B">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7E2EC2F2" w14:textId="77777777" w:rsidR="00E7256B" w:rsidRDefault="00E7256B" w:rsidP="00E7256B">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2F9C96E" w14:textId="77777777" w:rsidR="00E7256B" w:rsidRDefault="00E7256B" w:rsidP="00E7256B">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3B16332" w14:textId="77777777" w:rsidR="00E7256B" w:rsidRDefault="00E7256B" w:rsidP="00E7256B">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7372DA8" w14:textId="77777777" w:rsidR="00E7256B" w:rsidRPr="00822632" w:rsidRDefault="00E7256B" w:rsidP="00E7256B">
      <w:pPr>
        <w:spacing w:after="0" w:line="240" w:lineRule="auto"/>
        <w:rPr>
          <w:rFonts w:ascii="Times New Roman" w:eastAsia="Times New Roman" w:hAnsi="Times New Roman" w:cs="Times New Roman"/>
          <w:color w:val="1C1C1C"/>
        </w:rPr>
      </w:pPr>
      <w:r w:rsidRPr="00822632">
        <w:rPr>
          <w:rFonts w:ascii="Times New Roman" w:eastAsia="Times New Roman" w:hAnsi="Times New Roman" w:cs="Times New Roman"/>
          <w:noProof/>
          <w:color w:val="1C1C1C"/>
        </w:rPr>
        <w:drawing>
          <wp:anchor distT="0" distB="0" distL="114300" distR="114300" simplePos="0" relativeHeight="251662336" behindDoc="0" locked="0" layoutInCell="1" allowOverlap="1" wp14:anchorId="13A98424" wp14:editId="693F219B">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rPr>
        <mc:AlternateContent>
          <mc:Choice Requires="wps">
            <w:drawing>
              <wp:anchor distT="0" distB="0" distL="114300" distR="114300" simplePos="0" relativeHeight="251661312" behindDoc="0" locked="0" layoutInCell="1" allowOverlap="1" wp14:anchorId="35F930EB" wp14:editId="33D679A5">
                <wp:simplePos x="0" y="0"/>
                <wp:positionH relativeFrom="column">
                  <wp:posOffset>4434840</wp:posOffset>
                </wp:positionH>
                <wp:positionV relativeFrom="paragraph">
                  <wp:posOffset>213360</wp:posOffset>
                </wp:positionV>
                <wp:extent cx="1882140" cy="929640"/>
                <wp:effectExtent l="0" t="0" r="22860" b="22860"/>
                <wp:wrapSquare wrapText="bothSides"/>
                <wp:docPr id="2"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08C117C" w14:textId="77777777" w:rsidR="00E7256B" w:rsidRPr="0039166C" w:rsidRDefault="00E7256B" w:rsidP="00E7256B">
                            <w:pPr>
                              <w:rPr>
                                <w:b/>
                                <w:bCs/>
                                <w:sz w:val="28"/>
                                <w:szCs w:val="28"/>
                                <w:rtl/>
                                <w:lang w:bidi="ar-EG"/>
                              </w:rPr>
                            </w:pPr>
                            <w:r w:rsidRPr="0039166C">
                              <w:rPr>
                                <w:b/>
                                <w:bCs/>
                                <w:sz w:val="28"/>
                                <w:szCs w:val="28"/>
                                <w:lang w:bidi="ar-EG"/>
                              </w:rPr>
                              <w:t>Midocean University</w:t>
                            </w:r>
                          </w:p>
                          <w:p w14:paraId="7887B1C3" w14:textId="77777777" w:rsidR="00E7256B" w:rsidRPr="0039166C" w:rsidRDefault="00E7256B" w:rsidP="00E7256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F930EB" id="Rectangle 9" o:spid="_x0000_s1027" style="position:absolute;margin-left:349.2pt;margin-top:16.8pt;width:148.2pt;height:73.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608C117C" w14:textId="77777777" w:rsidR="00E7256B" w:rsidRPr="0039166C" w:rsidRDefault="00E7256B" w:rsidP="00E7256B">
                      <w:pPr>
                        <w:rPr>
                          <w:b/>
                          <w:bCs/>
                          <w:sz w:val="28"/>
                          <w:szCs w:val="28"/>
                          <w:rtl/>
                          <w:lang w:bidi="ar-EG"/>
                        </w:rPr>
                      </w:pPr>
                      <w:r w:rsidRPr="0039166C">
                        <w:rPr>
                          <w:b/>
                          <w:bCs/>
                          <w:sz w:val="28"/>
                          <w:szCs w:val="28"/>
                          <w:lang w:bidi="ar-EG"/>
                        </w:rPr>
                        <w:t>Midocean University</w:t>
                      </w:r>
                    </w:p>
                    <w:p w14:paraId="7887B1C3" w14:textId="77777777" w:rsidR="00E7256B" w:rsidRPr="0039166C" w:rsidRDefault="00E7256B" w:rsidP="00E7256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7256B" w:rsidRPr="00822632" w14:paraId="184ED664" w14:textId="77777777" w:rsidTr="00B34633">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ADF8496" w14:textId="77777777" w:rsidR="00E7256B" w:rsidRPr="00822632" w:rsidRDefault="00E7256B" w:rsidP="00B34633">
            <w:pPr>
              <w:spacing w:after="0" w:line="240" w:lineRule="auto"/>
              <w:jc w:val="center"/>
              <w:rPr>
                <w:rFonts w:ascii="Times New Roman" w:eastAsia="Times New Roman" w:hAnsi="Times New Roman" w:cs="Times New Roman"/>
                <w:color w:val="1C1C1C"/>
              </w:rPr>
            </w:pPr>
          </w:p>
          <w:p w14:paraId="7BEE4050" w14:textId="77777777" w:rsidR="00E7256B" w:rsidRPr="00822632" w:rsidRDefault="00E7256B" w:rsidP="00B34633">
            <w:pPr>
              <w:spacing w:after="0" w:line="240" w:lineRule="auto"/>
              <w:jc w:val="center"/>
              <w:rPr>
                <w:rFonts w:ascii="Times New Roman" w:eastAsia="Times New Roman" w:hAnsi="Times New Roman" w:cs="Times New Roman"/>
                <w:color w:val="1C1C1C"/>
              </w:rPr>
            </w:pPr>
          </w:p>
          <w:p w14:paraId="7E262463" w14:textId="77777777" w:rsidR="00E7256B" w:rsidRPr="00822632" w:rsidRDefault="00E7256B" w:rsidP="00B34633">
            <w:pPr>
              <w:spacing w:before="60" w:after="0" w:line="240" w:lineRule="auto"/>
              <w:jc w:val="right"/>
              <w:rPr>
                <w:rFonts w:ascii="Times New Roman" w:eastAsia="Times New Roman" w:hAnsi="Times New Roman" w:cs="Times New Roman"/>
                <w:color w:val="1C1C1C"/>
              </w:rPr>
            </w:pPr>
          </w:p>
        </w:tc>
      </w:tr>
    </w:tbl>
    <w:p w14:paraId="23836783" w14:textId="77777777" w:rsidR="00E7256B" w:rsidRPr="00822632" w:rsidRDefault="00E7256B" w:rsidP="00E7256B">
      <w:pPr>
        <w:spacing w:after="80" w:line="240" w:lineRule="auto"/>
        <w:jc w:val="center"/>
        <w:rPr>
          <w:rFonts w:ascii="Times New Roman" w:eastAsia="Times New Roman" w:hAnsi="Times New Roman" w:cs="Times New Roman"/>
          <w:color w:val="1C1C1C"/>
          <w:sz w:val="28"/>
          <w:szCs w:val="28"/>
        </w:rPr>
      </w:pPr>
      <w:r w:rsidRPr="00A03FCA">
        <w:rPr>
          <w:rFonts w:ascii="Times New Roman" w:eastAsia="Times New Roman" w:hAnsi="Times New Roman" w:cs="Times New Roman"/>
          <w:b/>
          <w:bCs/>
          <w:color w:val="1C1C1C"/>
          <w:sz w:val="32"/>
          <w:szCs w:val="32"/>
        </w:rPr>
        <w:t>The Mediating Role of Employee Engagement in the Relationship Between Talent Management and Organizational Performance: A Case Study of Diriyah Company in Riyadh</w:t>
      </w:r>
    </w:p>
    <w:p w14:paraId="0326D460" w14:textId="77777777" w:rsidR="00E7256B" w:rsidRDefault="00E7256B" w:rsidP="00E7256B">
      <w:pPr>
        <w:spacing w:after="80" w:line="240" w:lineRule="auto"/>
        <w:jc w:val="center"/>
        <w:rPr>
          <w:rFonts w:ascii="Times New Roman" w:eastAsia="Times New Roman" w:hAnsi="Times New Roman" w:cs="Times New Roman"/>
          <w:color w:val="1C1C1C"/>
          <w:sz w:val="28"/>
          <w:szCs w:val="28"/>
        </w:rPr>
      </w:pPr>
    </w:p>
    <w:p w14:paraId="03AE1ACE" w14:textId="77777777" w:rsidR="00E7256B" w:rsidRDefault="00E7256B" w:rsidP="00E7256B">
      <w:pPr>
        <w:spacing w:after="80" w:line="240" w:lineRule="auto"/>
        <w:jc w:val="center"/>
        <w:rPr>
          <w:rFonts w:ascii="Times New Roman" w:eastAsia="Times New Roman" w:hAnsi="Times New Roman" w:cs="Times New Roman"/>
          <w:color w:val="1C1C1C"/>
          <w:sz w:val="28"/>
          <w:szCs w:val="28"/>
        </w:rPr>
      </w:pPr>
    </w:p>
    <w:p w14:paraId="4946FF98" w14:textId="77777777" w:rsidR="00E7256B" w:rsidRDefault="00E7256B" w:rsidP="00E7256B">
      <w:pPr>
        <w:spacing w:after="80" w:line="240" w:lineRule="auto"/>
        <w:jc w:val="center"/>
        <w:rPr>
          <w:rFonts w:ascii="Times New Roman" w:eastAsia="Times New Roman" w:hAnsi="Times New Roman" w:cs="Times New Roman"/>
          <w:color w:val="1C1C1C"/>
          <w:sz w:val="28"/>
          <w:szCs w:val="28"/>
        </w:rPr>
      </w:pPr>
    </w:p>
    <w:p w14:paraId="43C841E0" w14:textId="77777777" w:rsidR="00E7256B" w:rsidRPr="00822632" w:rsidRDefault="00E7256B" w:rsidP="00E7256B">
      <w:pPr>
        <w:spacing w:after="80" w:line="240" w:lineRule="auto"/>
        <w:jc w:val="center"/>
        <w:rPr>
          <w:rFonts w:ascii="Times New Roman" w:eastAsia="Times New Roman" w:hAnsi="Times New Roman" w:cs="Times New Roman"/>
          <w:color w:val="1C1C1C"/>
          <w:sz w:val="28"/>
          <w:szCs w:val="28"/>
        </w:rPr>
      </w:pPr>
    </w:p>
    <w:p w14:paraId="74940CDB" w14:textId="77777777" w:rsidR="00E7256B" w:rsidRPr="00822632" w:rsidRDefault="00E7256B" w:rsidP="00E7256B">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6EBE2FA2" w14:textId="77777777" w:rsidR="00E7256B" w:rsidRPr="00822632" w:rsidRDefault="00E7256B" w:rsidP="00E7256B">
      <w:pPr>
        <w:spacing w:after="0" w:line="240" w:lineRule="auto"/>
        <w:jc w:val="center"/>
        <w:rPr>
          <w:rFonts w:ascii="Times New Roman" w:eastAsia="Times New Roman" w:hAnsi="Times New Roman" w:cs="Times New Roman"/>
          <w:b/>
          <w:bCs/>
          <w:color w:val="1C1C1C"/>
          <w:sz w:val="28"/>
          <w:szCs w:val="28"/>
          <w:rtl/>
        </w:rPr>
      </w:pPr>
      <w:r>
        <w:rPr>
          <w:rFonts w:ascii="Times New Roman" w:eastAsia="Calibri" w:hAnsi="Times New Roman" w:cs="Times New Roman" w:hint="cs"/>
          <w:b/>
          <w:bCs/>
          <w:sz w:val="28"/>
          <w:szCs w:val="28"/>
          <w:rtl/>
        </w:rPr>
        <w:t>)</w:t>
      </w:r>
      <w:r>
        <w:rPr>
          <w:rFonts w:ascii="Times New Roman" w:eastAsia="Calibri" w:hAnsi="Times New Roman" w:cs="Times New Roman"/>
          <w:b/>
          <w:bCs/>
          <w:sz w:val="28"/>
          <w:szCs w:val="28"/>
        </w:rPr>
        <w:t xml:space="preserve"> Khaled Mata S Almodhyani Alanazi</w:t>
      </w:r>
      <w:r>
        <w:rPr>
          <w:rFonts w:ascii="Times New Roman" w:eastAsia="Calibri" w:hAnsi="Times New Roman" w:cs="Times New Roman" w:hint="cs"/>
          <w:b/>
          <w:bCs/>
          <w:sz w:val="28"/>
          <w:szCs w:val="28"/>
          <w:rtl/>
        </w:rPr>
        <w:t xml:space="preserve"> (</w:t>
      </w:r>
    </w:p>
    <w:p w14:paraId="11364048" w14:textId="77777777" w:rsidR="00E7256B" w:rsidRPr="00822632" w:rsidRDefault="00E7256B" w:rsidP="00E7256B">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694CC952" w14:textId="77777777" w:rsidR="00E7256B" w:rsidRPr="00822632" w:rsidRDefault="00E7256B" w:rsidP="00E7256B">
      <w:pPr>
        <w:spacing w:after="60" w:line="240" w:lineRule="auto"/>
        <w:rPr>
          <w:rFonts w:ascii="Times New Roman" w:eastAsia="Times New Roman" w:hAnsi="Times New Roman" w:cs="Times New Roman"/>
          <w:color w:val="1C1C1C"/>
        </w:rPr>
      </w:pPr>
    </w:p>
    <w:p w14:paraId="41D42D59" w14:textId="77777777" w:rsidR="00E7256B" w:rsidRPr="00822632" w:rsidRDefault="00E7256B" w:rsidP="00E7256B">
      <w:pPr>
        <w:spacing w:after="60" w:line="276" w:lineRule="auto"/>
        <w:jc w:val="center"/>
        <w:rPr>
          <w:rFonts w:ascii="Times New Roman" w:eastAsia="Times New Roman" w:hAnsi="Times New Roman" w:cs="Times New Roman"/>
          <w:color w:val="1C1C1C"/>
        </w:rPr>
      </w:pPr>
    </w:p>
    <w:p w14:paraId="03DC9204" w14:textId="77777777" w:rsidR="00E7256B" w:rsidRPr="00822632" w:rsidRDefault="00E7256B" w:rsidP="00E7256B">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rPr>
        <w:t>A Dissertation submitted to Doctorate Program</w:t>
      </w:r>
    </w:p>
    <w:p w14:paraId="3FDA5F65" w14:textId="77777777" w:rsidR="00E7256B" w:rsidRPr="00822632" w:rsidRDefault="00E7256B" w:rsidP="00E7256B">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rPr>
        <w:t>In partial fulfillment of the requirements for the Degree of</w:t>
      </w:r>
    </w:p>
    <w:p w14:paraId="378A8B85" w14:textId="77777777" w:rsidR="00E7256B" w:rsidRPr="002D494F" w:rsidRDefault="00E7256B" w:rsidP="00E7256B">
      <w:pPr>
        <w:spacing w:line="276" w:lineRule="auto"/>
        <w:jc w:val="center"/>
        <w:rPr>
          <w:rFonts w:ascii="Times New Roman" w:eastAsia="Times New Roman" w:hAnsi="Times New Roman" w:cs="Times New Roman"/>
          <w:b/>
          <w:bCs/>
          <w:color w:val="1C1C1C"/>
          <w:lang w:val="en"/>
        </w:rPr>
      </w:pPr>
      <w:r w:rsidRPr="00822632">
        <w:rPr>
          <w:rFonts w:ascii="Times New Roman" w:eastAsia="Times New Roman" w:hAnsi="Times New Roman" w:cs="Times New Roman"/>
          <w:b/>
          <w:bCs/>
          <w:color w:val="1C1C1C"/>
        </w:rPr>
        <w:t xml:space="preserve">Doctor of Philosophy (PhD) In </w:t>
      </w:r>
      <w:r w:rsidRPr="007804F9">
        <w:rPr>
          <w:rFonts w:ascii="Times New Roman" w:eastAsia="Times New Roman" w:hAnsi="Times New Roman" w:cs="Times New Roman"/>
          <w:b/>
          <w:bCs/>
          <w:color w:val="1C1C1C"/>
          <w:lang w:val="en"/>
        </w:rPr>
        <w:t>(Management)</w:t>
      </w:r>
    </w:p>
    <w:p w14:paraId="59174162" w14:textId="77777777" w:rsidR="00E7256B" w:rsidRPr="002D494F" w:rsidRDefault="00E7256B" w:rsidP="00E7256B">
      <w:pPr>
        <w:spacing w:after="0" w:line="276" w:lineRule="auto"/>
        <w:jc w:val="center"/>
        <w:rPr>
          <w:rFonts w:ascii="Times New Roman" w:eastAsia="Times New Roman" w:hAnsi="Times New Roman" w:cs="Times New Roman"/>
          <w:b/>
          <w:bCs/>
          <w:color w:val="1C1C1C"/>
          <w:lang w:val="en"/>
        </w:rPr>
      </w:pPr>
    </w:p>
    <w:p w14:paraId="6C344529" w14:textId="77777777" w:rsidR="00E7256B" w:rsidRPr="00822632" w:rsidRDefault="00E7256B" w:rsidP="00E7256B">
      <w:pPr>
        <w:spacing w:after="0" w:line="276" w:lineRule="auto"/>
        <w:jc w:val="center"/>
        <w:rPr>
          <w:rFonts w:ascii="Times New Roman" w:eastAsia="Times New Roman" w:hAnsi="Times New Roman" w:cs="Times New Roman"/>
          <w:color w:val="1C1C1C"/>
          <w:rtl/>
        </w:rPr>
      </w:pPr>
    </w:p>
    <w:p w14:paraId="2C4E19B3" w14:textId="77777777" w:rsidR="00E7256B" w:rsidRPr="00822632" w:rsidRDefault="00E7256B" w:rsidP="00E7256B">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rPr>
        <w:t>Academic Year: 2026 AD</w:t>
      </w:r>
      <w:r w:rsidRPr="00822632">
        <w:rPr>
          <w:rFonts w:ascii="Times New Roman" w:eastAsia="Times New Roman" w:hAnsi="Times New Roman" w:cs="Times New Roman"/>
          <w:b/>
          <w:bCs/>
          <w:color w:val="1C1C1C"/>
          <w:rtl/>
        </w:rPr>
        <w:t> </w:t>
      </w:r>
      <w:r w:rsidRPr="00822632">
        <w:rPr>
          <w:rFonts w:ascii="Times New Roman" w:eastAsia="Times New Roman" w:hAnsi="Times New Roman" w:cs="Times New Roman"/>
          <w:b/>
          <w:bCs/>
          <w:color w:val="1C1C1C"/>
          <w:rtl/>
        </w:rPr>
        <w:br/>
      </w:r>
      <w:r w:rsidRPr="00822632">
        <w:rPr>
          <w:rFonts w:ascii="Times New Roman" w:eastAsia="Times New Roman" w:hAnsi="Times New Roman" w:cs="Times New Roman"/>
          <w:color w:val="1C1C1C"/>
          <w:rtl/>
        </w:rPr>
        <w:t xml:space="preserve">1447–1448 </w:t>
      </w:r>
      <w:r w:rsidRPr="00822632">
        <w:rPr>
          <w:rFonts w:ascii="Times New Roman" w:eastAsia="Times New Roman" w:hAnsi="Times New Roman" w:cs="Times New Roman"/>
          <w:color w:val="1C1C1C"/>
        </w:rPr>
        <w:t>AH</w:t>
      </w:r>
    </w:p>
    <w:p w14:paraId="4B3CBFC5" w14:textId="77777777" w:rsidR="00E7256B" w:rsidRDefault="00E7256B" w:rsidP="00E7256B">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495B6F0" w14:textId="77777777" w:rsidR="00E7256B" w:rsidRDefault="00E7256B" w:rsidP="00E7256B">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E98153E" w14:textId="77777777" w:rsidR="00E7256B" w:rsidRPr="0070499B" w:rsidRDefault="00E7256B" w:rsidP="00E7256B">
      <w:pPr>
        <w:bidi/>
        <w:spacing w:line="360" w:lineRule="auto"/>
        <w:rPr>
          <w:rFonts w:asciiTheme="majorBidi" w:hAnsiTheme="majorBidi" w:cstheme="majorBidi"/>
          <w:sz w:val="28"/>
          <w:szCs w:val="28"/>
        </w:rPr>
      </w:pPr>
    </w:p>
    <w:p w14:paraId="319B2B39" w14:textId="63D0D406" w:rsidR="0060733E" w:rsidRPr="002826A0" w:rsidRDefault="0060733E" w:rsidP="00711179">
      <w:pPr>
        <w:bidi/>
        <w:spacing w:after="0" w:line="360" w:lineRule="auto"/>
        <w:jc w:val="center"/>
        <w:rPr>
          <w:rFonts w:ascii="Traditional Arabic" w:hAnsi="Traditional Arabic" w:cs="Traditional Arabic"/>
          <w:b/>
          <w:bCs/>
          <w:sz w:val="32"/>
          <w:szCs w:val="32"/>
          <w:rtl/>
        </w:rPr>
      </w:pPr>
      <w:r w:rsidRPr="002826A0">
        <w:rPr>
          <w:rFonts w:ascii="Traditional Arabic" w:hAnsi="Traditional Arabic" w:cs="Traditional Arabic" w:hint="cs"/>
          <w:b/>
          <w:bCs/>
          <w:sz w:val="32"/>
          <w:szCs w:val="32"/>
          <w:rtl/>
        </w:rPr>
        <w:lastRenderedPageBreak/>
        <w:t>قائمة المحتويات</w:t>
      </w:r>
    </w:p>
    <w:p w14:paraId="0AB0C67C" w14:textId="1480E0D5" w:rsidR="00DC4E13" w:rsidRPr="003577EF" w:rsidRDefault="00DC4E13" w:rsidP="008627C8">
      <w:pPr>
        <w:tabs>
          <w:tab w:val="left" w:pos="864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الفصل الأول: الإطار المنهجي للدراسة</w:t>
      </w:r>
      <w:r w:rsidR="00FE765B" w:rsidRPr="003577EF">
        <w:rPr>
          <w:rFonts w:ascii="Traditional Arabic" w:hAnsi="Traditional Arabic" w:cs="Traditional Arabic"/>
          <w:b/>
          <w:bCs/>
          <w:rtl/>
        </w:rPr>
        <w:t>:</w:t>
      </w:r>
      <w:r w:rsidR="00130CA0" w:rsidRPr="003577EF">
        <w:rPr>
          <w:rFonts w:ascii="Traditional Arabic" w:hAnsi="Traditional Arabic" w:cs="Traditional Arabic"/>
          <w:b/>
          <w:bCs/>
          <w:rtl/>
        </w:rPr>
        <w:tab/>
      </w:r>
      <w:r w:rsidR="001D6490">
        <w:rPr>
          <w:rFonts w:ascii="Traditional Arabic" w:hAnsi="Traditional Arabic" w:cs="Traditional Arabic"/>
          <w:b/>
          <w:bCs/>
        </w:rPr>
        <w:t>4</w:t>
      </w:r>
    </w:p>
    <w:p w14:paraId="3ABB2E22" w14:textId="7C94391E" w:rsidR="00DC4E13" w:rsidRPr="003577EF" w:rsidRDefault="00DC4E13" w:rsidP="008627C8">
      <w:pPr>
        <w:tabs>
          <w:tab w:val="left" w:pos="864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مقدمة الدراسة</w:t>
      </w:r>
      <w:r w:rsidR="00FE765B" w:rsidRPr="003577EF">
        <w:rPr>
          <w:rFonts w:ascii="Traditional Arabic" w:hAnsi="Traditional Arabic" w:cs="Traditional Arabic"/>
          <w:b/>
          <w:bCs/>
          <w:rtl/>
        </w:rPr>
        <w:t>:</w:t>
      </w:r>
      <w:r w:rsidR="003E4C9F" w:rsidRPr="003577EF">
        <w:rPr>
          <w:rFonts w:ascii="Traditional Arabic" w:hAnsi="Traditional Arabic" w:cs="Traditional Arabic"/>
          <w:b/>
          <w:bCs/>
          <w:rtl/>
        </w:rPr>
        <w:tab/>
      </w:r>
      <w:r w:rsidR="001D6490">
        <w:rPr>
          <w:rFonts w:ascii="Traditional Arabic" w:hAnsi="Traditional Arabic" w:cs="Traditional Arabic"/>
          <w:b/>
          <w:bCs/>
        </w:rPr>
        <w:t>4</w:t>
      </w:r>
    </w:p>
    <w:p w14:paraId="78B6BE0E" w14:textId="4EE3D962" w:rsidR="00DC4E13" w:rsidRPr="003577EF" w:rsidRDefault="00DC4E13"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مشكلة الدراسة</w:t>
      </w:r>
      <w:r w:rsidR="00FE765B" w:rsidRPr="003577EF">
        <w:rPr>
          <w:rFonts w:ascii="Traditional Arabic" w:hAnsi="Traditional Arabic" w:cs="Traditional Arabic"/>
          <w:b/>
          <w:bCs/>
          <w:rtl/>
        </w:rPr>
        <w:t>:</w:t>
      </w:r>
      <w:r w:rsidR="002C1C1B" w:rsidRPr="003577EF">
        <w:rPr>
          <w:rFonts w:ascii="Traditional Arabic" w:hAnsi="Traditional Arabic" w:cs="Traditional Arabic"/>
          <w:b/>
          <w:bCs/>
          <w:rtl/>
        </w:rPr>
        <w:tab/>
      </w:r>
      <w:r w:rsidR="001D6490">
        <w:rPr>
          <w:rFonts w:ascii="Traditional Arabic" w:hAnsi="Traditional Arabic" w:cs="Traditional Arabic"/>
          <w:b/>
          <w:bCs/>
        </w:rPr>
        <w:t>4</w:t>
      </w:r>
    </w:p>
    <w:p w14:paraId="15A61E8B" w14:textId="6D030981" w:rsidR="00DC4E13" w:rsidRPr="003577EF" w:rsidRDefault="00DC4E13"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تساؤلات الدراسة</w:t>
      </w:r>
      <w:r w:rsidR="00FE765B" w:rsidRPr="003577EF">
        <w:rPr>
          <w:rFonts w:ascii="Traditional Arabic" w:hAnsi="Traditional Arabic" w:cs="Traditional Arabic"/>
          <w:b/>
          <w:bCs/>
          <w:rtl/>
        </w:rPr>
        <w:t>:</w:t>
      </w:r>
      <w:r w:rsidR="002C1C1B" w:rsidRPr="003577EF">
        <w:rPr>
          <w:rFonts w:ascii="Traditional Arabic" w:hAnsi="Traditional Arabic" w:cs="Traditional Arabic"/>
          <w:b/>
          <w:bCs/>
          <w:rtl/>
        </w:rPr>
        <w:tab/>
      </w:r>
      <w:r w:rsidR="0013210B">
        <w:rPr>
          <w:rFonts w:ascii="Traditional Arabic" w:hAnsi="Traditional Arabic" w:cs="Traditional Arabic"/>
          <w:b/>
          <w:bCs/>
        </w:rPr>
        <w:t>5</w:t>
      </w:r>
    </w:p>
    <w:p w14:paraId="20EE6CED" w14:textId="31AE576B" w:rsidR="00DC4E13" w:rsidRPr="003577EF" w:rsidRDefault="00DC4E13"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أهمية الدراسة</w:t>
      </w:r>
      <w:r w:rsidR="00FE765B" w:rsidRPr="003577EF">
        <w:rPr>
          <w:rFonts w:ascii="Traditional Arabic" w:hAnsi="Traditional Arabic" w:cs="Traditional Arabic"/>
          <w:b/>
          <w:bCs/>
          <w:rtl/>
        </w:rPr>
        <w:t>:</w:t>
      </w:r>
      <w:r w:rsidR="002C1C1B" w:rsidRPr="003577EF">
        <w:rPr>
          <w:rFonts w:ascii="Traditional Arabic" w:hAnsi="Traditional Arabic" w:cs="Traditional Arabic"/>
          <w:b/>
          <w:bCs/>
          <w:rtl/>
        </w:rPr>
        <w:tab/>
      </w:r>
      <w:r w:rsidR="0013210B">
        <w:rPr>
          <w:rFonts w:ascii="Traditional Arabic" w:hAnsi="Traditional Arabic" w:cs="Traditional Arabic"/>
          <w:b/>
          <w:bCs/>
        </w:rPr>
        <w:t>6</w:t>
      </w:r>
    </w:p>
    <w:p w14:paraId="75D57CF0" w14:textId="4B2762C2" w:rsidR="00DC4E13" w:rsidRPr="003577EF" w:rsidRDefault="00DC4E13"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الأهمية النظرية</w:t>
      </w:r>
      <w:r w:rsidR="00FE765B" w:rsidRPr="003577EF">
        <w:rPr>
          <w:rFonts w:ascii="Traditional Arabic" w:hAnsi="Traditional Arabic" w:cs="Traditional Arabic"/>
          <w:b/>
          <w:bCs/>
          <w:rtl/>
        </w:rPr>
        <w:t>:</w:t>
      </w:r>
      <w:r w:rsidR="002C1C1B" w:rsidRPr="003577EF">
        <w:rPr>
          <w:rFonts w:ascii="Traditional Arabic" w:hAnsi="Traditional Arabic" w:cs="Traditional Arabic"/>
          <w:b/>
          <w:bCs/>
          <w:rtl/>
        </w:rPr>
        <w:tab/>
      </w:r>
      <w:r w:rsidR="00A92FA9">
        <w:rPr>
          <w:rFonts w:ascii="Traditional Arabic" w:hAnsi="Traditional Arabic" w:cs="Traditional Arabic"/>
          <w:b/>
          <w:bCs/>
        </w:rPr>
        <w:t>6</w:t>
      </w:r>
    </w:p>
    <w:p w14:paraId="1A26EFE9" w14:textId="68F47CD1" w:rsidR="00DC4E13" w:rsidRPr="003577EF" w:rsidRDefault="00DC4E13"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الأهمية التطبيقية</w:t>
      </w:r>
      <w:r w:rsidR="002C1C1B" w:rsidRPr="003577EF">
        <w:rPr>
          <w:rFonts w:ascii="Traditional Arabic" w:hAnsi="Traditional Arabic" w:cs="Traditional Arabic"/>
          <w:b/>
          <w:bCs/>
          <w:rtl/>
        </w:rPr>
        <w:tab/>
      </w:r>
      <w:r w:rsidR="00A92FA9">
        <w:rPr>
          <w:rFonts w:ascii="Traditional Arabic" w:hAnsi="Traditional Arabic" w:cs="Traditional Arabic"/>
          <w:b/>
          <w:bCs/>
        </w:rPr>
        <w:t>7</w:t>
      </w:r>
    </w:p>
    <w:p w14:paraId="62CE86B3" w14:textId="7532DF33" w:rsidR="00DC4E13" w:rsidRPr="003577EF" w:rsidRDefault="00DC4E13"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أهداف الدراسة:</w:t>
      </w:r>
      <w:r w:rsidR="00D97CB7" w:rsidRPr="003577EF">
        <w:rPr>
          <w:rFonts w:ascii="Traditional Arabic" w:hAnsi="Traditional Arabic" w:cs="Traditional Arabic"/>
          <w:b/>
          <w:bCs/>
          <w:rtl/>
        </w:rPr>
        <w:tab/>
      </w:r>
      <w:r w:rsidR="00A92FA9">
        <w:rPr>
          <w:rFonts w:ascii="Traditional Arabic" w:hAnsi="Traditional Arabic" w:cs="Traditional Arabic"/>
          <w:b/>
          <w:bCs/>
        </w:rPr>
        <w:t>7</w:t>
      </w:r>
    </w:p>
    <w:p w14:paraId="28125EB1" w14:textId="737B265F" w:rsidR="00DC4E13" w:rsidRPr="003577EF" w:rsidRDefault="00DC4E13" w:rsidP="008627C8">
      <w:pPr>
        <w:tabs>
          <w:tab w:val="left" w:pos="864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فروض الدراسة</w:t>
      </w:r>
      <w:r w:rsidR="00D97CB7" w:rsidRPr="003577EF">
        <w:rPr>
          <w:rFonts w:ascii="Traditional Arabic" w:hAnsi="Traditional Arabic" w:cs="Traditional Arabic"/>
          <w:b/>
          <w:bCs/>
          <w:rtl/>
        </w:rPr>
        <w:t>:</w:t>
      </w:r>
      <w:r w:rsidR="00E92092" w:rsidRPr="003577EF">
        <w:rPr>
          <w:rFonts w:ascii="Traditional Arabic" w:hAnsi="Traditional Arabic" w:cs="Traditional Arabic"/>
          <w:b/>
          <w:bCs/>
          <w:rtl/>
        </w:rPr>
        <w:t xml:space="preserve"> </w:t>
      </w:r>
      <w:r w:rsidR="00D97CB7" w:rsidRPr="003577EF">
        <w:rPr>
          <w:rFonts w:ascii="Traditional Arabic" w:hAnsi="Traditional Arabic" w:cs="Traditional Arabic"/>
          <w:b/>
          <w:bCs/>
          <w:rtl/>
        </w:rPr>
        <w:tab/>
      </w:r>
      <w:r w:rsidR="00A92FA9">
        <w:rPr>
          <w:rFonts w:ascii="Traditional Arabic" w:hAnsi="Traditional Arabic" w:cs="Traditional Arabic"/>
          <w:b/>
          <w:bCs/>
        </w:rPr>
        <w:t>7</w:t>
      </w:r>
    </w:p>
    <w:p w14:paraId="7A657171" w14:textId="0C0C6D26" w:rsidR="00554EF0" w:rsidRPr="003577EF" w:rsidRDefault="00554EF0"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 xml:space="preserve">الفرضية الأولى: </w:t>
      </w:r>
      <w:r w:rsidR="00E92092" w:rsidRPr="003577EF">
        <w:rPr>
          <w:rFonts w:ascii="Traditional Arabic" w:hAnsi="Traditional Arabic" w:cs="Traditional Arabic"/>
          <w:b/>
          <w:bCs/>
          <w:rtl/>
        </w:rPr>
        <w:tab/>
      </w:r>
      <w:r w:rsidR="00A659D3">
        <w:rPr>
          <w:rFonts w:ascii="Traditional Arabic" w:hAnsi="Traditional Arabic" w:cs="Traditional Arabic"/>
          <w:b/>
          <w:bCs/>
        </w:rPr>
        <w:t>7</w:t>
      </w:r>
    </w:p>
    <w:p w14:paraId="20BDF42A" w14:textId="243D9C74" w:rsidR="00554EF0" w:rsidRPr="003577EF" w:rsidRDefault="00554EF0"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الفرضية الثانية:</w:t>
      </w:r>
      <w:r w:rsidR="00E92092" w:rsidRPr="003577EF">
        <w:rPr>
          <w:rFonts w:ascii="Traditional Arabic" w:hAnsi="Traditional Arabic" w:cs="Traditional Arabic"/>
          <w:b/>
          <w:bCs/>
          <w:rtl/>
        </w:rPr>
        <w:tab/>
      </w:r>
      <w:r w:rsidR="00A659D3">
        <w:rPr>
          <w:rFonts w:ascii="Traditional Arabic" w:hAnsi="Traditional Arabic" w:cs="Traditional Arabic"/>
          <w:b/>
          <w:bCs/>
        </w:rPr>
        <w:t>8</w:t>
      </w:r>
    </w:p>
    <w:p w14:paraId="324CA954" w14:textId="4627FD9B" w:rsidR="00554EF0" w:rsidRPr="003577EF" w:rsidRDefault="00554EF0"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 xml:space="preserve">الفرضية الثالثة: </w:t>
      </w:r>
      <w:r w:rsidR="00E92092" w:rsidRPr="003577EF">
        <w:rPr>
          <w:rFonts w:ascii="Traditional Arabic" w:hAnsi="Traditional Arabic" w:cs="Traditional Arabic"/>
          <w:b/>
          <w:bCs/>
          <w:rtl/>
        </w:rPr>
        <w:tab/>
      </w:r>
      <w:r w:rsidR="00A659D3">
        <w:rPr>
          <w:rFonts w:ascii="Traditional Arabic" w:hAnsi="Traditional Arabic" w:cs="Traditional Arabic"/>
          <w:b/>
          <w:bCs/>
        </w:rPr>
        <w:t>8</w:t>
      </w:r>
    </w:p>
    <w:p w14:paraId="4208CC97" w14:textId="30ECC5A0" w:rsidR="00554EF0" w:rsidRPr="003577EF" w:rsidRDefault="00554EF0"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 xml:space="preserve">الفرضية الرابعة: </w:t>
      </w:r>
      <w:r w:rsidR="00E92092" w:rsidRPr="003577EF">
        <w:rPr>
          <w:rFonts w:ascii="Traditional Arabic" w:hAnsi="Traditional Arabic" w:cs="Traditional Arabic"/>
          <w:b/>
          <w:bCs/>
          <w:rtl/>
        </w:rPr>
        <w:tab/>
      </w:r>
      <w:r w:rsidR="00A659D3">
        <w:rPr>
          <w:rFonts w:ascii="Traditional Arabic" w:hAnsi="Traditional Arabic" w:cs="Traditional Arabic"/>
          <w:b/>
          <w:bCs/>
        </w:rPr>
        <w:t>8</w:t>
      </w:r>
    </w:p>
    <w:p w14:paraId="669D84DC" w14:textId="1D2E7817" w:rsidR="00554EF0" w:rsidRPr="003577EF" w:rsidRDefault="00554EF0" w:rsidP="008627C8">
      <w:pPr>
        <w:tabs>
          <w:tab w:val="left" w:pos="864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مفاهيم الدراسة</w:t>
      </w:r>
      <w:r w:rsidR="00E92092" w:rsidRPr="003577EF">
        <w:rPr>
          <w:rFonts w:ascii="Traditional Arabic" w:hAnsi="Traditional Arabic" w:cs="Traditional Arabic"/>
          <w:b/>
          <w:bCs/>
          <w:rtl/>
        </w:rPr>
        <w:t xml:space="preserve">: </w:t>
      </w:r>
      <w:r w:rsidR="00E92092" w:rsidRPr="003577EF">
        <w:rPr>
          <w:rFonts w:ascii="Traditional Arabic" w:hAnsi="Traditional Arabic" w:cs="Traditional Arabic"/>
          <w:b/>
          <w:bCs/>
          <w:rtl/>
        </w:rPr>
        <w:tab/>
      </w:r>
      <w:r w:rsidR="00A659D3">
        <w:rPr>
          <w:rFonts w:ascii="Traditional Arabic" w:hAnsi="Traditional Arabic" w:cs="Traditional Arabic"/>
          <w:b/>
          <w:bCs/>
        </w:rPr>
        <w:t>9</w:t>
      </w:r>
    </w:p>
    <w:p w14:paraId="43FEDB1E" w14:textId="761C6924" w:rsidR="00554EF0" w:rsidRDefault="00554EF0" w:rsidP="008627C8">
      <w:pPr>
        <w:tabs>
          <w:tab w:val="left" w:pos="864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حدود الدراسة</w:t>
      </w:r>
      <w:r w:rsidR="00E92092" w:rsidRPr="003577EF">
        <w:rPr>
          <w:rFonts w:ascii="Traditional Arabic" w:hAnsi="Traditional Arabic" w:cs="Traditional Arabic"/>
          <w:b/>
          <w:bCs/>
          <w:rtl/>
        </w:rPr>
        <w:t xml:space="preserve">: </w:t>
      </w:r>
      <w:r w:rsidR="00E92092" w:rsidRPr="003577EF">
        <w:rPr>
          <w:rFonts w:ascii="Traditional Arabic" w:hAnsi="Traditional Arabic" w:cs="Traditional Arabic"/>
          <w:b/>
          <w:bCs/>
          <w:rtl/>
        </w:rPr>
        <w:tab/>
      </w:r>
      <w:r w:rsidR="00A659D3">
        <w:rPr>
          <w:rFonts w:ascii="Traditional Arabic" w:hAnsi="Traditional Arabic" w:cs="Traditional Arabic"/>
          <w:b/>
          <w:bCs/>
        </w:rPr>
        <w:t>10</w:t>
      </w:r>
    </w:p>
    <w:p w14:paraId="3749C24F" w14:textId="7DE436E7" w:rsidR="005955C8" w:rsidRPr="005955C8" w:rsidRDefault="005955C8" w:rsidP="008627C8">
      <w:pPr>
        <w:tabs>
          <w:tab w:val="left" w:pos="8640"/>
        </w:tabs>
        <w:bidi/>
        <w:spacing w:after="0" w:line="360" w:lineRule="auto"/>
        <w:rPr>
          <w:rFonts w:ascii="Traditional Arabic" w:hAnsi="Traditional Arabic" w:cs="Traditional Arabic"/>
          <w:b/>
          <w:bCs/>
          <w:rtl/>
        </w:rPr>
      </w:pPr>
      <w:r w:rsidRPr="005955C8">
        <w:rPr>
          <w:rFonts w:ascii="Traditional Arabic" w:hAnsi="Traditional Arabic" w:cs="Traditional Arabic" w:hint="cs"/>
          <w:b/>
          <w:bCs/>
          <w:rtl/>
        </w:rPr>
        <w:t>إجراءات ومنهجية الدراسة</w:t>
      </w:r>
      <w:r>
        <w:rPr>
          <w:rFonts w:ascii="Traditional Arabic" w:hAnsi="Traditional Arabic" w:cs="Traditional Arabic" w:hint="cs"/>
          <w:b/>
          <w:bCs/>
          <w:rtl/>
        </w:rPr>
        <w:t xml:space="preserve">: </w:t>
      </w:r>
      <w:r>
        <w:rPr>
          <w:rFonts w:ascii="Traditional Arabic" w:hAnsi="Traditional Arabic" w:cs="Traditional Arabic"/>
          <w:b/>
          <w:bCs/>
          <w:rtl/>
        </w:rPr>
        <w:tab/>
      </w:r>
      <w:r w:rsidR="002B4769">
        <w:rPr>
          <w:rFonts w:ascii="Traditional Arabic" w:hAnsi="Traditional Arabic" w:cs="Traditional Arabic"/>
          <w:b/>
          <w:bCs/>
        </w:rPr>
        <w:t>11</w:t>
      </w:r>
    </w:p>
    <w:p w14:paraId="23B01C14" w14:textId="318600D0" w:rsidR="005955C8" w:rsidRDefault="005955C8" w:rsidP="008627C8">
      <w:pPr>
        <w:tabs>
          <w:tab w:val="left" w:pos="8640"/>
        </w:tabs>
        <w:bidi/>
        <w:spacing w:after="0" w:line="360" w:lineRule="auto"/>
        <w:rPr>
          <w:rFonts w:ascii="Traditional Arabic" w:hAnsi="Traditional Arabic" w:cs="Traditional Arabic"/>
          <w:b/>
          <w:bCs/>
          <w:rtl/>
        </w:rPr>
      </w:pPr>
      <w:r w:rsidRPr="005955C8">
        <w:rPr>
          <w:rFonts w:ascii="Traditional Arabic" w:hAnsi="Traditional Arabic" w:cs="Traditional Arabic"/>
          <w:b/>
          <w:bCs/>
          <w:rtl/>
        </w:rPr>
        <w:t>نموذج الدراسة</w:t>
      </w:r>
      <w:r>
        <w:rPr>
          <w:rFonts w:ascii="Traditional Arabic" w:hAnsi="Traditional Arabic" w:cs="Traditional Arabic" w:hint="cs"/>
          <w:b/>
          <w:bCs/>
          <w:rtl/>
        </w:rPr>
        <w:t xml:space="preserve">: </w:t>
      </w:r>
      <w:r>
        <w:rPr>
          <w:rFonts w:ascii="Traditional Arabic" w:hAnsi="Traditional Arabic" w:cs="Traditional Arabic"/>
          <w:b/>
          <w:bCs/>
          <w:rtl/>
        </w:rPr>
        <w:tab/>
      </w:r>
      <w:r w:rsidR="007C4BC5">
        <w:rPr>
          <w:rFonts w:ascii="Traditional Arabic" w:hAnsi="Traditional Arabic" w:cs="Traditional Arabic"/>
          <w:b/>
          <w:bCs/>
        </w:rPr>
        <w:t>12</w:t>
      </w:r>
    </w:p>
    <w:p w14:paraId="4D7A49B8" w14:textId="30C4182D" w:rsidR="008A0099" w:rsidRPr="008A0099" w:rsidRDefault="008A0099" w:rsidP="008627C8">
      <w:pPr>
        <w:tabs>
          <w:tab w:val="left" w:pos="8640"/>
        </w:tabs>
        <w:bidi/>
        <w:spacing w:after="0" w:line="360" w:lineRule="auto"/>
        <w:rPr>
          <w:rFonts w:ascii="Traditional Arabic" w:hAnsi="Traditional Arabic" w:cs="Traditional Arabic"/>
          <w:b/>
          <w:bCs/>
          <w:rtl/>
        </w:rPr>
      </w:pPr>
      <w:r w:rsidRPr="008A0099">
        <w:rPr>
          <w:rFonts w:ascii="Traditional Arabic" w:hAnsi="Traditional Arabic" w:cs="Traditional Arabic"/>
          <w:b/>
          <w:bCs/>
          <w:rtl/>
        </w:rPr>
        <w:t>المراجع والدراسات الأدبية</w:t>
      </w:r>
      <w:r>
        <w:rPr>
          <w:rFonts w:ascii="Traditional Arabic" w:hAnsi="Traditional Arabic" w:cs="Traditional Arabic" w:hint="cs"/>
          <w:b/>
          <w:bCs/>
          <w:rtl/>
        </w:rPr>
        <w:t xml:space="preserve">: </w:t>
      </w:r>
      <w:r>
        <w:rPr>
          <w:rFonts w:ascii="Traditional Arabic" w:hAnsi="Traditional Arabic" w:cs="Traditional Arabic"/>
          <w:b/>
          <w:bCs/>
          <w:rtl/>
        </w:rPr>
        <w:tab/>
      </w:r>
      <w:r w:rsidR="007C4BC5">
        <w:rPr>
          <w:rFonts w:ascii="Traditional Arabic" w:hAnsi="Traditional Arabic" w:cs="Traditional Arabic"/>
          <w:b/>
          <w:bCs/>
        </w:rPr>
        <w:t>13</w:t>
      </w:r>
    </w:p>
    <w:p w14:paraId="676AEEFC" w14:textId="70556135" w:rsidR="008A0099" w:rsidRPr="005201F9" w:rsidRDefault="008A0099" w:rsidP="008627C8">
      <w:pPr>
        <w:tabs>
          <w:tab w:val="left" w:pos="8640"/>
        </w:tabs>
        <w:bidi/>
        <w:spacing w:after="0" w:line="360" w:lineRule="auto"/>
        <w:rPr>
          <w:rFonts w:ascii="Traditional Arabic" w:hAnsi="Traditional Arabic" w:cs="Traditional Arabic"/>
          <w:b/>
          <w:bCs/>
          <w:rtl/>
        </w:rPr>
      </w:pPr>
      <w:r w:rsidRPr="005201F9">
        <w:rPr>
          <w:rFonts w:ascii="Traditional Arabic" w:hAnsi="Traditional Arabic" w:cs="Traditional Arabic"/>
          <w:b/>
          <w:bCs/>
          <w:rtl/>
        </w:rPr>
        <w:t>المراجع العربية:</w:t>
      </w:r>
      <w:r>
        <w:rPr>
          <w:rFonts w:ascii="Traditional Arabic" w:hAnsi="Traditional Arabic" w:cs="Traditional Arabic" w:hint="cs"/>
          <w:b/>
          <w:bCs/>
          <w:rtl/>
        </w:rPr>
        <w:t xml:space="preserve"> </w:t>
      </w:r>
      <w:r>
        <w:rPr>
          <w:rFonts w:ascii="Traditional Arabic" w:hAnsi="Traditional Arabic" w:cs="Traditional Arabic"/>
          <w:b/>
          <w:bCs/>
          <w:rtl/>
        </w:rPr>
        <w:tab/>
      </w:r>
      <w:r w:rsidR="007C4BC5">
        <w:rPr>
          <w:rFonts w:ascii="Traditional Arabic" w:hAnsi="Traditional Arabic" w:cs="Traditional Arabic"/>
          <w:b/>
          <w:bCs/>
        </w:rPr>
        <w:t>13</w:t>
      </w:r>
    </w:p>
    <w:p w14:paraId="0B08037B" w14:textId="7EEB7324" w:rsidR="008A0099" w:rsidRPr="005955C8" w:rsidRDefault="008A0099" w:rsidP="008627C8">
      <w:pPr>
        <w:tabs>
          <w:tab w:val="left" w:pos="8640"/>
        </w:tabs>
        <w:bidi/>
        <w:spacing w:after="0" w:line="360" w:lineRule="auto"/>
        <w:rPr>
          <w:rFonts w:ascii="Traditional Arabic" w:hAnsi="Traditional Arabic" w:cs="Traditional Arabic"/>
          <w:b/>
          <w:bCs/>
          <w:rtl/>
        </w:rPr>
      </w:pPr>
      <w:r w:rsidRPr="005201F9">
        <w:rPr>
          <w:rFonts w:ascii="Traditional Arabic" w:hAnsi="Traditional Arabic" w:cs="Traditional Arabic"/>
          <w:b/>
          <w:bCs/>
          <w:rtl/>
        </w:rPr>
        <w:t>المراجع الأجنبية</w:t>
      </w:r>
      <w:r>
        <w:rPr>
          <w:rFonts w:ascii="Traditional Arabic" w:hAnsi="Traditional Arabic" w:cs="Traditional Arabic" w:hint="cs"/>
          <w:b/>
          <w:bCs/>
          <w:rtl/>
        </w:rPr>
        <w:t xml:space="preserve">: </w:t>
      </w:r>
      <w:r>
        <w:rPr>
          <w:rFonts w:ascii="Traditional Arabic" w:hAnsi="Traditional Arabic" w:cs="Traditional Arabic"/>
          <w:b/>
          <w:bCs/>
          <w:rtl/>
        </w:rPr>
        <w:tab/>
      </w:r>
      <w:r w:rsidR="007C4BC5">
        <w:rPr>
          <w:rFonts w:ascii="Traditional Arabic" w:hAnsi="Traditional Arabic" w:cs="Traditional Arabic"/>
          <w:b/>
          <w:bCs/>
        </w:rPr>
        <w:t>14</w:t>
      </w:r>
    </w:p>
    <w:p w14:paraId="6E6130E5" w14:textId="77777777" w:rsidR="006E28C5" w:rsidRDefault="006E28C5" w:rsidP="006E28C5">
      <w:pPr>
        <w:bidi/>
        <w:spacing w:after="0" w:line="360" w:lineRule="auto"/>
        <w:jc w:val="both"/>
        <w:rPr>
          <w:rFonts w:ascii="Traditional Arabic" w:hAnsi="Traditional Arabic" w:cs="Traditional Arabic"/>
          <w:b/>
          <w:bCs/>
          <w:sz w:val="32"/>
          <w:szCs w:val="32"/>
        </w:rPr>
      </w:pPr>
    </w:p>
    <w:p w14:paraId="45991A42" w14:textId="0E7A9E0D" w:rsidR="00486F2D" w:rsidRPr="00000612" w:rsidRDefault="00486F2D" w:rsidP="00886745">
      <w:pPr>
        <w:bidi/>
        <w:spacing w:after="0" w:line="360" w:lineRule="auto"/>
        <w:jc w:val="both"/>
        <w:rPr>
          <w:rFonts w:ascii="Traditional Arabic" w:hAnsi="Traditional Arabic" w:cs="Traditional Arabic"/>
          <w:b/>
          <w:bCs/>
          <w:sz w:val="32"/>
          <w:szCs w:val="32"/>
          <w:rtl/>
        </w:rPr>
      </w:pPr>
      <w:r w:rsidRPr="00000612">
        <w:rPr>
          <w:rFonts w:ascii="Traditional Arabic" w:hAnsi="Traditional Arabic" w:cs="Traditional Arabic" w:hint="cs"/>
          <w:b/>
          <w:bCs/>
          <w:sz w:val="32"/>
          <w:szCs w:val="32"/>
          <w:rtl/>
        </w:rPr>
        <w:lastRenderedPageBreak/>
        <w:t>الفصل الأول: الإطار المنهجي</w:t>
      </w:r>
      <w:r w:rsidR="00FD38C0" w:rsidRPr="00000612">
        <w:rPr>
          <w:rFonts w:ascii="Traditional Arabic" w:hAnsi="Traditional Arabic" w:cs="Traditional Arabic" w:hint="cs"/>
          <w:b/>
          <w:bCs/>
          <w:sz w:val="32"/>
          <w:szCs w:val="32"/>
          <w:rtl/>
        </w:rPr>
        <w:t xml:space="preserve"> للدراسة</w:t>
      </w:r>
    </w:p>
    <w:p w14:paraId="21738CEA" w14:textId="6F44ECE0" w:rsidR="002F6F39" w:rsidRPr="005201F9" w:rsidRDefault="002F6F39" w:rsidP="0060733E">
      <w:pPr>
        <w:bidi/>
        <w:spacing w:after="0" w:line="360" w:lineRule="auto"/>
        <w:jc w:val="both"/>
        <w:rPr>
          <w:rFonts w:ascii="Traditional Arabic" w:hAnsi="Traditional Arabic" w:cs="Traditional Arabic"/>
          <w:b/>
          <w:bCs/>
          <w:sz w:val="28"/>
          <w:szCs w:val="28"/>
        </w:rPr>
      </w:pPr>
      <w:r w:rsidRPr="005201F9">
        <w:rPr>
          <w:rFonts w:ascii="Traditional Arabic" w:hAnsi="Traditional Arabic" w:cs="Traditional Arabic"/>
          <w:b/>
          <w:bCs/>
          <w:sz w:val="28"/>
          <w:szCs w:val="28"/>
          <w:rtl/>
        </w:rPr>
        <w:t>مقدمة الدراسة</w:t>
      </w:r>
    </w:p>
    <w:p w14:paraId="2053E12E" w14:textId="77777777" w:rsidR="00D12ED3" w:rsidRPr="005201F9" w:rsidRDefault="00D12ED3" w:rsidP="003570DC">
      <w:pPr>
        <w:bidi/>
        <w:spacing w:line="360" w:lineRule="auto"/>
        <w:jc w:val="both"/>
        <w:rPr>
          <w:rFonts w:ascii="Traditional Arabic" w:hAnsi="Traditional Arabic" w:cs="Traditional Arabic"/>
        </w:rPr>
      </w:pPr>
      <w:r w:rsidRPr="005201F9">
        <w:rPr>
          <w:rFonts w:ascii="Traditional Arabic" w:hAnsi="Traditional Arabic" w:cs="Traditional Arabic"/>
          <w:rtl/>
        </w:rPr>
        <w:t>يُعد الأداء التنظيمي أحد المفاهيم الأساسية في الدراسات الإدارية، حيث يعكس قدرة المنظمة على تحقيق أهدافها بكفاءة وفعالية من خلال الاستخدام الأمثل للموارد المتاحة. ويشمل الأداء التنظيمي عدة أبعاد، منها جودة العمل، وكفاءة العمليات، وسرعة الإنجاز، ومستوى التنسيق بين الوحدات التنظيمية، مما يجعله مؤشراً رئيساً لقياس نجاح المنظمات واستدامتها (</w:t>
      </w:r>
      <w:r w:rsidRPr="005201F9">
        <w:rPr>
          <w:rFonts w:ascii="Traditional Arabic" w:hAnsi="Traditional Arabic" w:cs="Traditional Arabic"/>
        </w:rPr>
        <w:t>Al Aina &amp; Atan, 2020</w:t>
      </w:r>
      <w:r w:rsidRPr="005201F9">
        <w:rPr>
          <w:rFonts w:ascii="Traditional Arabic" w:hAnsi="Traditional Arabic" w:cs="Traditional Arabic"/>
          <w:rtl/>
        </w:rPr>
        <w:t>). كما تشير الأدبيات إلى أن الأداء التنظيمي يرتبط ارتباطًا وثيقًا بجودة رأس المال البشري ومستوى تفاعله داخل بيئة العمل، حيث تسهم ممارسات إدارة المواهب في تعزيز كفاءة العاملين ورفع مستوى اندماجهم بما ينعكس إيجابًا على الأداء التنظيمي (</w:t>
      </w:r>
      <w:r w:rsidRPr="005201F9">
        <w:rPr>
          <w:rFonts w:ascii="Traditional Arabic" w:hAnsi="Traditional Arabic" w:cs="Traditional Arabic"/>
        </w:rPr>
        <w:t>Menezes et al., 2025; Sinisterra et al., 2024</w:t>
      </w:r>
      <w:r w:rsidRPr="005201F9">
        <w:rPr>
          <w:rFonts w:ascii="Traditional Arabic" w:hAnsi="Traditional Arabic" w:cs="Traditional Arabic"/>
          <w:rtl/>
        </w:rPr>
        <w:t>).</w:t>
      </w:r>
    </w:p>
    <w:p w14:paraId="4CF27242" w14:textId="77777777" w:rsidR="00D12ED3" w:rsidRPr="005201F9" w:rsidRDefault="00D12ED3" w:rsidP="006D7F2E">
      <w:pPr>
        <w:bidi/>
        <w:spacing w:line="360" w:lineRule="auto"/>
        <w:jc w:val="both"/>
        <w:rPr>
          <w:rFonts w:ascii="Traditional Arabic" w:hAnsi="Traditional Arabic" w:cs="Traditional Arabic"/>
        </w:rPr>
      </w:pPr>
      <w:r w:rsidRPr="005201F9">
        <w:rPr>
          <w:rFonts w:ascii="Traditional Arabic" w:hAnsi="Traditional Arabic" w:cs="Traditional Arabic"/>
          <w:rtl/>
        </w:rPr>
        <w:t>وفي هذا السياق، برزت إدارة المواهب كأحد المداخل الاستراتيجية الحديثة التي تسعى المنظمات من خلالها إلى تحسين الأداء التنظيمي، حيث تمثل إدارة المواهب مجموعة من الممارسات التي تهدف إلى استقطاب الكفاءات البشرية المتميزة، وتطويرها، والاحتفاظ بها بما يدعم تحقيق التميز التنظيمي. وتشير الأدبيات الحديثة إلى أن المنظمات التي تتبنى ممارسات فعالة في إدارة المواهب تكون أكثر قدرة على تحقيق مستويات أداء مرتفعة مقارنة بغيرها</w:t>
      </w:r>
      <w:r w:rsidRPr="005201F9">
        <w:rPr>
          <w:rFonts w:ascii="Traditional Arabic" w:hAnsi="Traditional Arabic" w:cs="Traditional Arabic"/>
        </w:rPr>
        <w:t xml:space="preserve"> (Collings et al., 2021; Al Ariss et al., 2022).</w:t>
      </w:r>
    </w:p>
    <w:p w14:paraId="0C1631EF" w14:textId="77777777" w:rsidR="00D12ED3" w:rsidRPr="005201F9" w:rsidRDefault="00D12ED3" w:rsidP="006D7F2E">
      <w:pPr>
        <w:bidi/>
        <w:spacing w:line="360" w:lineRule="auto"/>
        <w:jc w:val="both"/>
        <w:rPr>
          <w:rFonts w:ascii="Traditional Arabic" w:hAnsi="Traditional Arabic" w:cs="Traditional Arabic"/>
        </w:rPr>
      </w:pPr>
      <w:r w:rsidRPr="005201F9">
        <w:rPr>
          <w:rFonts w:ascii="Traditional Arabic" w:hAnsi="Traditional Arabic" w:cs="Traditional Arabic"/>
          <w:rtl/>
        </w:rPr>
        <w:t>ومع ذلك، فإن العلاقة بين إدارة المواهب والأداء التنظيمي لا تكون مباشرة دائمًا، بل تتأثر بمجموعة من العوامل السلوكية داخل المنظمة، من أبرزها اندماج الموظفين. ويُعد اندماج الموظفين من المتغيرات السلوكية المهمة التي تعكس مدى ارتباط الأفراد بوظائفهم ومنظماتهم، حيث يسهم في تعزيز مستويات الالتزام والإنتاجية، مما ينعكس إيجابياً على الأداء التنظيمي</w:t>
      </w:r>
      <w:r w:rsidRPr="005201F9">
        <w:rPr>
          <w:rFonts w:ascii="Traditional Arabic" w:hAnsi="Traditional Arabic" w:cs="Traditional Arabic"/>
        </w:rPr>
        <w:t xml:space="preserve"> (Luna-Arocas &amp; Morley, 2020; Kravariti et al., 2023).</w:t>
      </w:r>
    </w:p>
    <w:p w14:paraId="1FAFF437" w14:textId="77777777" w:rsidR="00D12ED3" w:rsidRPr="005201F9" w:rsidRDefault="00D12ED3" w:rsidP="006D7F2E">
      <w:pPr>
        <w:bidi/>
        <w:spacing w:line="360" w:lineRule="auto"/>
        <w:jc w:val="both"/>
        <w:rPr>
          <w:rFonts w:ascii="Traditional Arabic" w:hAnsi="Traditional Arabic" w:cs="Traditional Arabic"/>
        </w:rPr>
      </w:pPr>
      <w:r w:rsidRPr="005201F9">
        <w:rPr>
          <w:rFonts w:ascii="Traditional Arabic" w:hAnsi="Traditional Arabic" w:cs="Traditional Arabic"/>
          <w:rtl/>
        </w:rPr>
        <w:t>وفي هذا الإطار، تشير الأدبيات الحديثة إلى أن اندماج الموظفين يلعب دوراً وسيطاً مهماً في تفسير العلاقة بين إدارة المواهب والأداء التنظيمي، حيث تسهم ممارسات إدارة المواهب في رفع مستوى اندماج الموظفين، والذي بدوره ينعكس على تحسين الأداء داخل المنظمة</w:t>
      </w:r>
      <w:r w:rsidRPr="005201F9">
        <w:rPr>
          <w:rFonts w:ascii="Traditional Arabic" w:hAnsi="Traditional Arabic" w:cs="Traditional Arabic"/>
        </w:rPr>
        <w:t xml:space="preserve"> (Sinisterra et al., 2024). </w:t>
      </w:r>
      <w:r w:rsidRPr="005201F9">
        <w:rPr>
          <w:rFonts w:ascii="Traditional Arabic" w:hAnsi="Traditional Arabic" w:cs="Traditional Arabic"/>
          <w:rtl/>
        </w:rPr>
        <w:t>ومن ثم، فإن دراسة هذا الدور الوسيط تعد مدخلاً مهماً لفهم طبيعة العلاقة بين هذه المتغيرات بصورة أكثر عمقًا</w:t>
      </w:r>
      <w:r w:rsidRPr="005201F9">
        <w:rPr>
          <w:rFonts w:ascii="Traditional Arabic" w:hAnsi="Traditional Arabic" w:cs="Traditional Arabic"/>
        </w:rPr>
        <w:t>.</w:t>
      </w:r>
    </w:p>
    <w:p w14:paraId="61E17A24" w14:textId="77777777" w:rsidR="00D12ED3" w:rsidRPr="005201F9" w:rsidRDefault="00D12ED3" w:rsidP="006D7F2E">
      <w:pPr>
        <w:bidi/>
        <w:spacing w:line="360" w:lineRule="auto"/>
        <w:jc w:val="both"/>
        <w:rPr>
          <w:rFonts w:ascii="Traditional Arabic" w:hAnsi="Traditional Arabic" w:cs="Traditional Arabic"/>
        </w:rPr>
      </w:pPr>
      <w:r w:rsidRPr="005201F9">
        <w:rPr>
          <w:rFonts w:ascii="Traditional Arabic" w:hAnsi="Traditional Arabic" w:cs="Traditional Arabic"/>
          <w:rtl/>
        </w:rPr>
        <w:t>وفي سياق الشركات التنموية الكبرى، تزداد أهمية إدارة المواهب واندماج الموظفين نظرًا لتعقيد العمليات وتعدد أصحاب المصلحة، مما يجعل الاستثمار في الكفاءات البشرية عاملاً حاسمًا في تحقيق الأداء المستهدف</w:t>
      </w:r>
      <w:r w:rsidRPr="005201F9">
        <w:rPr>
          <w:rFonts w:ascii="Traditional Arabic" w:hAnsi="Traditional Arabic" w:cs="Traditional Arabic"/>
        </w:rPr>
        <w:t xml:space="preserve"> (Boselie et al., 2024; Alrifae et al., 2025).</w:t>
      </w:r>
    </w:p>
    <w:p w14:paraId="7DDD1081" w14:textId="77777777" w:rsidR="00D12ED3" w:rsidRPr="005201F9" w:rsidRDefault="00D12ED3" w:rsidP="006D7F2E">
      <w:pPr>
        <w:bidi/>
        <w:spacing w:line="360" w:lineRule="auto"/>
        <w:jc w:val="both"/>
        <w:rPr>
          <w:rFonts w:ascii="Traditional Arabic" w:hAnsi="Traditional Arabic" w:cs="Traditional Arabic"/>
        </w:rPr>
      </w:pPr>
      <w:r w:rsidRPr="005201F9">
        <w:rPr>
          <w:rFonts w:ascii="Traditional Arabic" w:hAnsi="Traditional Arabic" w:cs="Traditional Arabic"/>
          <w:rtl/>
        </w:rPr>
        <w:t xml:space="preserve">وفي سياق المملكة العربية السعودية، ومع توجهات رؤية 2030، تبرز أهمية إدارة المواهب كأحد الممكنات الأساسية لنجاح المشاريع التنموية الكبرى، ويعد مشروع تطوير الدرعية أحد أبرز هذه المشاريع، حيث تعتمد شركة الدرعية على كفاءات بشرية عالية في بيئة عمل ديناميكية ومعقدة. وتشير الدراسات الحديثة </w:t>
      </w:r>
      <w:r w:rsidRPr="005201F9">
        <w:rPr>
          <w:rFonts w:ascii="Traditional Arabic" w:hAnsi="Traditional Arabic" w:cs="Traditional Arabic"/>
          <w:rtl/>
        </w:rPr>
        <w:lastRenderedPageBreak/>
        <w:t>إلى أن تطوير ممارسات إدارة المواهب وتعزيز اندماج الموظفين يُعدان من العوامل المؤثرة في تحسين الأداء التنظيمي داخل المنظمات السعودية</w:t>
      </w:r>
      <w:r w:rsidRPr="005201F9">
        <w:rPr>
          <w:rFonts w:ascii="Traditional Arabic" w:hAnsi="Traditional Arabic" w:cs="Traditional Arabic"/>
        </w:rPr>
        <w:t xml:space="preserve"> (Kayal, 2025).</w:t>
      </w:r>
    </w:p>
    <w:p w14:paraId="393855A6" w14:textId="77777777" w:rsidR="00D12ED3" w:rsidRDefault="00D12ED3" w:rsidP="006D7F2E">
      <w:pPr>
        <w:bidi/>
        <w:spacing w:line="360" w:lineRule="auto"/>
        <w:jc w:val="both"/>
        <w:rPr>
          <w:rFonts w:ascii="Traditional Arabic" w:hAnsi="Traditional Arabic" w:cs="Traditional Arabic"/>
          <w:rtl/>
        </w:rPr>
      </w:pPr>
      <w:r w:rsidRPr="005201F9">
        <w:rPr>
          <w:rFonts w:ascii="Traditional Arabic" w:hAnsi="Traditional Arabic" w:cs="Traditional Arabic"/>
          <w:rtl/>
        </w:rPr>
        <w:t>وعليه، تنطلق هذه الدراسة من محاولة تحليل العلاقة بين إدارة المواهب والأداء التنظيمي، مع التركيز على الدور الوسيط لاندماج الموظفين في هذه العلاقة، وذلك في إطار تطبيقي على شركة الدرعية</w:t>
      </w:r>
      <w:r w:rsidRPr="005201F9">
        <w:rPr>
          <w:rFonts w:ascii="Traditional Arabic" w:hAnsi="Traditional Arabic" w:cs="Traditional Arabic"/>
        </w:rPr>
        <w:t>.</w:t>
      </w:r>
    </w:p>
    <w:p w14:paraId="7CFE14F2" w14:textId="77777777" w:rsidR="00CE48B4" w:rsidRPr="005201F9" w:rsidRDefault="00CE48B4" w:rsidP="00CE48B4">
      <w:pPr>
        <w:bidi/>
        <w:spacing w:line="360" w:lineRule="auto"/>
        <w:jc w:val="both"/>
        <w:rPr>
          <w:rFonts w:ascii="Traditional Arabic" w:hAnsi="Traditional Arabic" w:cs="Traditional Arabic"/>
        </w:rPr>
      </w:pPr>
    </w:p>
    <w:p w14:paraId="001AC3D2" w14:textId="39B32670" w:rsidR="00413D0F" w:rsidRPr="005201F9" w:rsidRDefault="00413D0F" w:rsidP="005201F9">
      <w:pPr>
        <w:bidi/>
        <w:spacing w:after="0" w:line="360" w:lineRule="auto"/>
        <w:jc w:val="both"/>
        <w:rPr>
          <w:rFonts w:ascii="Traditional Arabic" w:hAnsi="Traditional Arabic" w:cs="Traditional Arabic"/>
          <w:b/>
          <w:bCs/>
          <w:sz w:val="28"/>
          <w:szCs w:val="28"/>
        </w:rPr>
      </w:pPr>
      <w:r w:rsidRPr="005201F9">
        <w:rPr>
          <w:rFonts w:ascii="Traditional Arabic" w:hAnsi="Traditional Arabic" w:cs="Traditional Arabic"/>
          <w:b/>
          <w:bCs/>
          <w:sz w:val="28"/>
          <w:szCs w:val="28"/>
          <w:rtl/>
        </w:rPr>
        <w:t>مشكلة الدراسة</w:t>
      </w:r>
    </w:p>
    <w:p w14:paraId="1DD71114" w14:textId="77777777" w:rsidR="00413D0F" w:rsidRPr="005201F9" w:rsidRDefault="00413D0F" w:rsidP="006D7F2E">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تتمثل مشكلة الدراسة في وجود تحديات تتعلق بمستوى الأداء التنظيمي في شركة الدرعية، حيث تتطلب طبيعة المشاريع التنموية الكبرى التي تنفذها الشركة مستويات عالية من الكفاءة والتنسيق وسرعة الإنجاز، الأمر الذي يجعل تحقيق الأداء التنظيمي المتميز تحديًا مستمرًا في ظل بيئة عمل ديناميكية ومعقدة تعتمد بشكل كبير على الكفاءات البشرية</w:t>
      </w:r>
      <w:r w:rsidRPr="005201F9">
        <w:rPr>
          <w:rFonts w:ascii="Traditional Arabic" w:hAnsi="Traditional Arabic" w:cs="Traditional Arabic"/>
        </w:rPr>
        <w:t>.</w:t>
      </w:r>
    </w:p>
    <w:p w14:paraId="2B757C45" w14:textId="016EDC0C" w:rsidR="00413D0F" w:rsidRPr="005201F9" w:rsidRDefault="00413D0F" w:rsidP="006D7F2E">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ولدى مراجعة الباحث للدراسات السابقة، تبين أن العديد من الدراسات ركزت على ممارسات إدارة الموارد البشرية بصورة عامة، كما اهتمت بعض الدراسات بتحليل تأثير إدارة المواهب على أداء المنظمات، حيث أظهرت هذه الدراسات وجود علاقة إيجابية بين ممارسات إدارة المواهب ومستويات الأداء التنظيمي</w:t>
      </w:r>
      <w:r w:rsidRPr="005201F9">
        <w:rPr>
          <w:rFonts w:ascii="Traditional Arabic" w:hAnsi="Traditional Arabic" w:cs="Traditional Arabic"/>
        </w:rPr>
        <w:t xml:space="preserve"> (Collings et al., 2021; Al Ariss et al., 2022).</w:t>
      </w:r>
      <w:r w:rsidR="00651B2B" w:rsidRPr="005201F9">
        <w:rPr>
          <w:rFonts w:ascii="Traditional Arabic" w:hAnsi="Traditional Arabic" w:cs="Traditional Arabic"/>
          <w:rtl/>
        </w:rPr>
        <w:t xml:space="preserve">. </w:t>
      </w:r>
      <w:r w:rsidRPr="005201F9">
        <w:rPr>
          <w:rFonts w:ascii="Traditional Arabic" w:hAnsi="Traditional Arabic" w:cs="Traditional Arabic"/>
          <w:rtl/>
        </w:rPr>
        <w:t>إلا أن هذه الدراسات ركزت في كثير من الأحيان على العلاقة المباشرة بين إدارة المواهب والأداء التنظيمي، دون التعمق في تحليل الآليات التي تنتقل من خلالها تأثيرات إدارة المواهب إلى الأداء، أو دراسة دور المتغيرات السلوكية التي قد تسهم في تفسير هذه العلاقة</w:t>
      </w:r>
      <w:r w:rsidRPr="005201F9">
        <w:rPr>
          <w:rFonts w:ascii="Traditional Arabic" w:hAnsi="Traditional Arabic" w:cs="Traditional Arabic"/>
        </w:rPr>
        <w:t>.</w:t>
      </w:r>
    </w:p>
    <w:p w14:paraId="552D2753" w14:textId="77777777" w:rsidR="00413D0F" w:rsidRPr="005201F9" w:rsidRDefault="00413D0F" w:rsidP="006D7F2E">
      <w:pPr>
        <w:bidi/>
        <w:spacing w:after="0" w:line="360" w:lineRule="auto"/>
        <w:jc w:val="both"/>
        <w:rPr>
          <w:rFonts w:ascii="Traditional Arabic" w:hAnsi="Traditional Arabic" w:cs="Traditional Arabic"/>
        </w:rPr>
      </w:pPr>
      <w:r w:rsidRPr="005201F9">
        <w:rPr>
          <w:rFonts w:ascii="Traditional Arabic" w:hAnsi="Traditional Arabic" w:cs="Traditional Arabic"/>
          <w:rtl/>
        </w:rPr>
        <w:t>وفي سياق البحث عن تحسين الأداء، تشير الدراسات الحديثة إلى أن الأداء التنظيمي لا يعتمد فقط على توفر الكفاءات، بل يتأثر بدرجة تفاعل هذه الكفاءات واندماجها داخل بيئة العمل، مما يبرز أهمية دراسة تأثير إدارة المواهب على الأداء التنظيمي من خلال التركيز على اندماج الموظفين كمتغير وسيط في هذه العلاقة</w:t>
      </w:r>
      <w:r w:rsidRPr="005201F9">
        <w:rPr>
          <w:rFonts w:ascii="Traditional Arabic" w:hAnsi="Traditional Arabic" w:cs="Traditional Arabic"/>
        </w:rPr>
        <w:t xml:space="preserve"> (Luna-Arocas &amp; Morley, 2020; Sinisterra et al., 2024).</w:t>
      </w:r>
    </w:p>
    <w:p w14:paraId="404A8733" w14:textId="752A7709" w:rsidR="00413D0F" w:rsidRPr="005201F9" w:rsidRDefault="00413D0F" w:rsidP="006D7F2E">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وفي السياق السعودي، وعلى الرغم من الاهتمام المتزايد بتطوير ممارسات إدارة المواهب في ظل التحولات الاقتصادية ورؤية 2030، إلا أن الدراسات التطبيقية التي تربط بين إدارة المواهب واندماج الموظفين والأداء التنظيمي في الشركات التنموية الكبرى، مثل شركة الدرعية، ما تزال محدودة، مما يشير إلى وجود فجوة بحثية تستدعي الدراسة</w:t>
      </w:r>
      <w:r w:rsidRPr="005201F9">
        <w:rPr>
          <w:rFonts w:ascii="Traditional Arabic" w:hAnsi="Traditional Arabic" w:cs="Traditional Arabic"/>
        </w:rPr>
        <w:t>.</w:t>
      </w:r>
    </w:p>
    <w:p w14:paraId="72532AFF" w14:textId="77777777" w:rsidR="00413D0F" w:rsidRDefault="00413D0F" w:rsidP="005201F9">
      <w:pPr>
        <w:bidi/>
        <w:spacing w:after="0" w:line="360" w:lineRule="auto"/>
        <w:jc w:val="both"/>
        <w:rPr>
          <w:rFonts w:ascii="Traditional Arabic" w:hAnsi="Traditional Arabic" w:cs="Traditional Arabic"/>
        </w:rPr>
      </w:pPr>
    </w:p>
    <w:p w14:paraId="46F52DB7" w14:textId="0DA9DB51" w:rsidR="002543C9" w:rsidRPr="005201F9" w:rsidRDefault="002543C9" w:rsidP="002543C9">
      <w:pPr>
        <w:bidi/>
        <w:spacing w:after="0" w:line="360" w:lineRule="auto"/>
        <w:jc w:val="both"/>
        <w:rPr>
          <w:rFonts w:ascii="Traditional Arabic" w:hAnsi="Traditional Arabic" w:cs="Traditional Arabic"/>
        </w:rPr>
      </w:pPr>
      <w:r w:rsidRPr="005201F9">
        <w:rPr>
          <w:rFonts w:ascii="Traditional Arabic" w:hAnsi="Traditional Arabic" w:cs="Traditional Arabic"/>
          <w:b/>
          <w:bCs/>
          <w:sz w:val="28"/>
          <w:szCs w:val="28"/>
          <w:rtl/>
        </w:rPr>
        <w:t>تساؤلات</w:t>
      </w:r>
      <w:r>
        <w:rPr>
          <w:rFonts w:ascii="Traditional Arabic" w:hAnsi="Traditional Arabic" w:cs="Traditional Arabic" w:hint="cs"/>
          <w:b/>
          <w:bCs/>
          <w:sz w:val="28"/>
          <w:szCs w:val="28"/>
          <w:rtl/>
        </w:rPr>
        <w:t xml:space="preserve"> الدراسة</w:t>
      </w:r>
    </w:p>
    <w:p w14:paraId="06318686" w14:textId="6CC37B12" w:rsidR="00413D0F" w:rsidRPr="005201F9" w:rsidRDefault="00413D0F" w:rsidP="006D7F2E">
      <w:pPr>
        <w:bidi/>
        <w:spacing w:after="0" w:line="360" w:lineRule="auto"/>
        <w:jc w:val="both"/>
        <w:rPr>
          <w:rFonts w:ascii="Traditional Arabic" w:hAnsi="Traditional Arabic" w:cs="Traditional Arabic"/>
        </w:rPr>
      </w:pPr>
      <w:r w:rsidRPr="005201F9">
        <w:rPr>
          <w:rFonts w:ascii="Traditional Arabic" w:hAnsi="Traditional Arabic" w:cs="Traditional Arabic"/>
          <w:rtl/>
        </w:rPr>
        <w:t>وانطلاقًا من ذلك</w:t>
      </w:r>
      <w:r w:rsidR="00E15378">
        <w:rPr>
          <w:rFonts w:ascii="Traditional Arabic" w:hAnsi="Traditional Arabic" w:cs="Traditional Arabic" w:hint="cs"/>
          <w:rtl/>
        </w:rPr>
        <w:t xml:space="preserve"> الذي تم ذكره</w:t>
      </w:r>
      <w:r w:rsidRPr="005201F9">
        <w:rPr>
          <w:rFonts w:ascii="Traditional Arabic" w:hAnsi="Traditional Arabic" w:cs="Traditional Arabic"/>
          <w:rtl/>
        </w:rPr>
        <w:t>، تتحدد مشكلة الدراسة في الإجابة عن التساؤل الرئيس التالي</w:t>
      </w:r>
      <w:r w:rsidRPr="005201F9">
        <w:rPr>
          <w:rFonts w:ascii="Traditional Arabic" w:hAnsi="Traditional Arabic" w:cs="Traditional Arabic"/>
        </w:rPr>
        <w:t>:</w:t>
      </w:r>
    </w:p>
    <w:p w14:paraId="3AD97B18" w14:textId="02E7BF34" w:rsidR="002F6F39" w:rsidRPr="005201F9" w:rsidRDefault="00413D0F" w:rsidP="006D7F2E">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lastRenderedPageBreak/>
        <w:t>ما أثر إدارة المواهب على الأداء التنظيمي في شركة الدرعية، وما الدور الوسيط لاندماج الموظفين في هذه العلاقة؟</w:t>
      </w:r>
      <w:r w:rsidR="00B56B72" w:rsidRPr="005201F9">
        <w:rPr>
          <w:rFonts w:ascii="Traditional Arabic" w:hAnsi="Traditional Arabic" w:cs="Traditional Arabic"/>
          <w:rtl/>
        </w:rPr>
        <w:t xml:space="preserve"> </w:t>
      </w:r>
      <w:r w:rsidR="00D91264" w:rsidRPr="005201F9">
        <w:rPr>
          <w:rFonts w:ascii="Traditional Arabic" w:hAnsi="Traditional Arabic" w:cs="Traditional Arabic"/>
          <w:rtl/>
        </w:rPr>
        <w:t xml:space="preserve">والذي ينبثق منه الأسئلة الفرعية: </w:t>
      </w:r>
    </w:p>
    <w:p w14:paraId="27FF3FAF" w14:textId="22FE38CA" w:rsidR="003A2DC8" w:rsidRPr="005201F9" w:rsidRDefault="003A2DC8" w:rsidP="005201F9">
      <w:pPr>
        <w:pStyle w:val="ListParagraph"/>
        <w:numPr>
          <w:ilvl w:val="0"/>
          <w:numId w:val="3"/>
        </w:numPr>
        <w:bidi/>
        <w:spacing w:after="0" w:line="360" w:lineRule="auto"/>
        <w:jc w:val="both"/>
        <w:rPr>
          <w:rFonts w:ascii="Traditional Arabic" w:hAnsi="Traditional Arabic" w:cs="Traditional Arabic"/>
        </w:rPr>
      </w:pPr>
      <w:r w:rsidRPr="005201F9">
        <w:rPr>
          <w:rFonts w:ascii="Traditional Arabic" w:hAnsi="Traditional Arabic" w:cs="Traditional Arabic"/>
          <w:rtl/>
        </w:rPr>
        <w:t>ما</w:t>
      </w:r>
      <w:r w:rsidR="00117040" w:rsidRPr="005201F9">
        <w:rPr>
          <w:rFonts w:ascii="Traditional Arabic" w:hAnsi="Traditional Arabic" w:cs="Traditional Arabic"/>
          <w:rtl/>
        </w:rPr>
        <w:t xml:space="preserve"> هو تأثير</w:t>
      </w:r>
      <w:r w:rsidRPr="005201F9">
        <w:rPr>
          <w:rFonts w:ascii="Traditional Arabic" w:hAnsi="Traditional Arabic" w:cs="Traditional Arabic"/>
          <w:rtl/>
        </w:rPr>
        <w:t xml:space="preserve"> إدارة المواهب على الأداء التنظيمي في شركة الدرعية؟</w:t>
      </w:r>
    </w:p>
    <w:p w14:paraId="063AEB8D" w14:textId="1A4C2016" w:rsidR="003A2DC8" w:rsidRPr="005201F9" w:rsidRDefault="003A2DC8" w:rsidP="005201F9">
      <w:pPr>
        <w:pStyle w:val="ListParagraph"/>
        <w:numPr>
          <w:ilvl w:val="0"/>
          <w:numId w:val="3"/>
        </w:numPr>
        <w:bidi/>
        <w:spacing w:after="0" w:line="360" w:lineRule="auto"/>
        <w:jc w:val="both"/>
        <w:rPr>
          <w:rFonts w:ascii="Traditional Arabic" w:hAnsi="Traditional Arabic" w:cs="Traditional Arabic"/>
        </w:rPr>
      </w:pPr>
      <w:r w:rsidRPr="005201F9">
        <w:rPr>
          <w:rFonts w:ascii="Traditional Arabic" w:hAnsi="Traditional Arabic" w:cs="Traditional Arabic"/>
          <w:rtl/>
        </w:rPr>
        <w:t xml:space="preserve">ما </w:t>
      </w:r>
      <w:r w:rsidR="00117040" w:rsidRPr="005201F9">
        <w:rPr>
          <w:rFonts w:ascii="Traditional Arabic" w:hAnsi="Traditional Arabic" w:cs="Traditional Arabic"/>
          <w:rtl/>
        </w:rPr>
        <w:t>هو تأثير</w:t>
      </w:r>
      <w:r w:rsidRPr="005201F9">
        <w:rPr>
          <w:rFonts w:ascii="Traditional Arabic" w:hAnsi="Traditional Arabic" w:cs="Traditional Arabic"/>
          <w:rtl/>
        </w:rPr>
        <w:t xml:space="preserve"> إدارة المواهب على اندماج الموظفين في شركة الدرعية؟</w:t>
      </w:r>
    </w:p>
    <w:p w14:paraId="1D6B44EF" w14:textId="0CC846C1" w:rsidR="003A2DC8" w:rsidRPr="005201F9" w:rsidRDefault="003A2DC8" w:rsidP="005201F9">
      <w:pPr>
        <w:pStyle w:val="ListParagraph"/>
        <w:numPr>
          <w:ilvl w:val="0"/>
          <w:numId w:val="3"/>
        </w:numPr>
        <w:bidi/>
        <w:spacing w:after="0" w:line="360" w:lineRule="auto"/>
        <w:jc w:val="both"/>
        <w:rPr>
          <w:rFonts w:ascii="Traditional Arabic" w:hAnsi="Traditional Arabic" w:cs="Traditional Arabic"/>
        </w:rPr>
      </w:pPr>
      <w:r w:rsidRPr="005201F9">
        <w:rPr>
          <w:rFonts w:ascii="Traditional Arabic" w:hAnsi="Traditional Arabic" w:cs="Traditional Arabic"/>
          <w:rtl/>
        </w:rPr>
        <w:t xml:space="preserve">ما </w:t>
      </w:r>
      <w:r w:rsidR="00117040" w:rsidRPr="005201F9">
        <w:rPr>
          <w:rFonts w:ascii="Traditional Arabic" w:hAnsi="Traditional Arabic" w:cs="Traditional Arabic"/>
          <w:rtl/>
        </w:rPr>
        <w:t>هو تأثير</w:t>
      </w:r>
      <w:r w:rsidRPr="005201F9">
        <w:rPr>
          <w:rFonts w:ascii="Traditional Arabic" w:hAnsi="Traditional Arabic" w:cs="Traditional Arabic"/>
          <w:rtl/>
        </w:rPr>
        <w:t xml:space="preserve"> اندماج الموظفين على الأداء التنظيمي في شركة الدرعية؟</w:t>
      </w:r>
    </w:p>
    <w:p w14:paraId="560D9D89" w14:textId="37404DF5" w:rsidR="003A2DC8" w:rsidRPr="005201F9" w:rsidRDefault="003A2DC8" w:rsidP="005201F9">
      <w:pPr>
        <w:pStyle w:val="ListParagraph"/>
        <w:numPr>
          <w:ilvl w:val="0"/>
          <w:numId w:val="3"/>
        </w:num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ما الدور الوسيط لاندماج الموظفين في العلاقة بين إدارة المواهب والأداء التنظيمي في شركة الدرعية؟</w:t>
      </w:r>
    </w:p>
    <w:p w14:paraId="44541A11" w14:textId="77777777" w:rsidR="002F6F39" w:rsidRPr="005201F9" w:rsidRDefault="002F6F39" w:rsidP="005201F9">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حيث تسعى الدراسة إلى تحليل العلاقة بين هذه المتغيرات باستخدام منهجية تجمع بين الأسلوب الكمي والنوعي، بهدف تقديم فهم أكثر شمولًا لطبيعة هذه العلاقة في بيئة تنظيمية تطبيقية.</w:t>
      </w:r>
    </w:p>
    <w:p w14:paraId="2AE6DFFF" w14:textId="77777777" w:rsidR="003A2DC8" w:rsidRPr="005201F9" w:rsidRDefault="003A2DC8" w:rsidP="005201F9">
      <w:pPr>
        <w:bidi/>
        <w:spacing w:after="0" w:line="360" w:lineRule="auto"/>
        <w:jc w:val="both"/>
        <w:rPr>
          <w:rFonts w:ascii="Traditional Arabic" w:hAnsi="Traditional Arabic" w:cs="Traditional Arabic"/>
          <w:rtl/>
        </w:rPr>
      </w:pPr>
    </w:p>
    <w:p w14:paraId="5AD32FD8" w14:textId="77777777" w:rsidR="00D54582" w:rsidRPr="005201F9" w:rsidRDefault="00D54582" w:rsidP="005201F9">
      <w:pPr>
        <w:bidi/>
        <w:spacing w:after="0" w:line="360" w:lineRule="auto"/>
        <w:jc w:val="both"/>
        <w:rPr>
          <w:rFonts w:ascii="Traditional Arabic" w:hAnsi="Traditional Arabic" w:cs="Traditional Arabic"/>
          <w:b/>
          <w:bCs/>
          <w:sz w:val="28"/>
          <w:szCs w:val="28"/>
        </w:rPr>
      </w:pPr>
      <w:r w:rsidRPr="005201F9">
        <w:rPr>
          <w:rFonts w:ascii="Traditional Arabic" w:hAnsi="Traditional Arabic" w:cs="Traditional Arabic"/>
          <w:b/>
          <w:bCs/>
          <w:sz w:val="28"/>
          <w:szCs w:val="28"/>
          <w:rtl/>
        </w:rPr>
        <w:t>أهمية الدراسة</w:t>
      </w:r>
    </w:p>
    <w:p w14:paraId="72DF4E61" w14:textId="77777777" w:rsidR="00D54582" w:rsidRPr="005201F9" w:rsidRDefault="00D54582" w:rsidP="005201F9">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الأهمية النظرية:</w:t>
      </w:r>
      <w:r w:rsidRPr="005201F9">
        <w:rPr>
          <w:rFonts w:ascii="Traditional Arabic" w:hAnsi="Traditional Arabic" w:cs="Traditional Arabic"/>
          <w:rtl/>
        </w:rPr>
        <w:t xml:space="preserve"> تنبع الأهمية النظرية لهذه الدراسة من تناولها لثلاثة مفاهيم محورية في أدبيات الإدارة الحديثة، وهي: إدارة المواهب، واندماج الموظفين، والأداء التنظيمي، حيث تسعى إلى بناء إطار تحليلي يربط بين هذه المفاهيم في نموذج تكاملي يوضح طبيعة العلاقات فيما بينها.</w:t>
      </w:r>
    </w:p>
    <w:p w14:paraId="7BCEC211" w14:textId="77777777" w:rsidR="00D54582" w:rsidRPr="005201F9" w:rsidRDefault="00D54582" w:rsidP="005201F9">
      <w:pPr>
        <w:bidi/>
        <w:spacing w:after="0" w:line="360" w:lineRule="auto"/>
        <w:jc w:val="both"/>
        <w:rPr>
          <w:rFonts w:ascii="Traditional Arabic" w:hAnsi="Traditional Arabic" w:cs="Traditional Arabic"/>
          <w:rtl/>
        </w:rPr>
      </w:pPr>
    </w:p>
    <w:p w14:paraId="45F7F67E" w14:textId="77777777" w:rsidR="00D54582" w:rsidRPr="005201F9" w:rsidRDefault="00D54582" w:rsidP="005201F9">
      <w:pPr>
        <w:bidi/>
        <w:spacing w:after="0" w:line="360" w:lineRule="auto"/>
        <w:jc w:val="both"/>
        <w:rPr>
          <w:rFonts w:ascii="Traditional Arabic" w:hAnsi="Traditional Arabic" w:cs="Traditional Arabic"/>
        </w:rPr>
      </w:pPr>
      <w:r w:rsidRPr="005201F9">
        <w:rPr>
          <w:rFonts w:ascii="Traditional Arabic" w:hAnsi="Traditional Arabic" w:cs="Traditional Arabic"/>
          <w:rtl/>
        </w:rPr>
        <w:t>وتكتسب الدراسة أهميتها من تركيزها على مفهوم إدارة المواهب باعتباره أحد المداخل الاستراتيجية الحديثة في إدارة الموارد البشرية، والذي يسهم في استقطاب الكفاءات وتطويرها والمحافظة عليها بما يعزز من قدرات المنظمة التنافسية (</w:t>
      </w:r>
      <w:r w:rsidRPr="005201F9">
        <w:rPr>
          <w:rFonts w:ascii="Traditional Arabic" w:hAnsi="Traditional Arabic" w:cs="Traditional Arabic"/>
        </w:rPr>
        <w:t>Collings et al., 2021; Al Ariss et al., 2022</w:t>
      </w:r>
      <w:r w:rsidRPr="005201F9">
        <w:rPr>
          <w:rFonts w:ascii="Traditional Arabic" w:hAnsi="Traditional Arabic" w:cs="Traditional Arabic"/>
          <w:rtl/>
        </w:rPr>
        <w:t>). كما تسلط الدراسة الضوء على مفهوم اندماج الموظفين بوصفه أحد المتغيرات السلوكية المهمة التي تعكس مستوى ارتباط الأفراد بأعمالهم ومنظماتهم، والذي يُعد من العوامل المؤثرة في تحسين الأداء التنظيمي.</w:t>
      </w:r>
    </w:p>
    <w:p w14:paraId="54B82467" w14:textId="77777777" w:rsidR="00D54582" w:rsidRPr="005201F9" w:rsidRDefault="00D54582" w:rsidP="005201F9">
      <w:pPr>
        <w:bidi/>
        <w:spacing w:after="0" w:line="360" w:lineRule="auto"/>
        <w:jc w:val="both"/>
        <w:rPr>
          <w:rFonts w:ascii="Traditional Arabic" w:hAnsi="Traditional Arabic" w:cs="Traditional Arabic"/>
          <w:rtl/>
        </w:rPr>
      </w:pPr>
    </w:p>
    <w:p w14:paraId="37595B16" w14:textId="77777777" w:rsidR="00D54582" w:rsidRPr="005201F9" w:rsidRDefault="00D54582" w:rsidP="005201F9">
      <w:pPr>
        <w:bidi/>
        <w:spacing w:after="0" w:line="360" w:lineRule="auto"/>
        <w:jc w:val="both"/>
        <w:rPr>
          <w:rFonts w:ascii="Traditional Arabic" w:hAnsi="Traditional Arabic" w:cs="Traditional Arabic"/>
        </w:rPr>
      </w:pPr>
      <w:r w:rsidRPr="005201F9">
        <w:rPr>
          <w:rFonts w:ascii="Traditional Arabic" w:hAnsi="Traditional Arabic" w:cs="Traditional Arabic"/>
          <w:rtl/>
        </w:rPr>
        <w:t>كما تبرز أهمية الدراسة في تناول الأداء التنظيمي كأحد المؤشرات الأساسية لقياس كفاءة وفعالية المنظمات، وربط هذا الأداء بكل من ممارسات إدارة المواهب ومستوى اندماج الموظفين. ومن خلال ذلك، تسهم الدراسة في إثراء الأدبيات النظرية عبر توضيح الدور الوسيط لاندماج الموظفين في العلاقة بين إدارة المواهب والأداء التنظيمي، وهو جانب لم يحظَ بالاهتمام الكافي في بعض الدراسات السابقة.</w:t>
      </w:r>
    </w:p>
    <w:p w14:paraId="7A082265" w14:textId="77777777" w:rsidR="00D54582" w:rsidRPr="005201F9" w:rsidRDefault="00D54582" w:rsidP="005201F9">
      <w:pPr>
        <w:bidi/>
        <w:spacing w:after="0" w:line="360" w:lineRule="auto"/>
        <w:jc w:val="both"/>
        <w:rPr>
          <w:rFonts w:ascii="Traditional Arabic" w:hAnsi="Traditional Arabic" w:cs="Traditional Arabic"/>
        </w:rPr>
      </w:pPr>
      <w:r w:rsidRPr="005201F9">
        <w:rPr>
          <w:rFonts w:ascii="Traditional Arabic" w:hAnsi="Traditional Arabic" w:cs="Traditional Arabic"/>
          <w:rtl/>
        </w:rPr>
        <w:t>وبالتالي، فإن الدراسة تسهم نظريًا في:</w:t>
      </w:r>
    </w:p>
    <w:p w14:paraId="251C80DE" w14:textId="77777777" w:rsidR="00D54582" w:rsidRPr="005201F9" w:rsidRDefault="00D54582" w:rsidP="005201F9">
      <w:pPr>
        <w:pStyle w:val="ListParagraph"/>
        <w:numPr>
          <w:ilvl w:val="0"/>
          <w:numId w:val="1"/>
        </w:numPr>
        <w:bidi/>
        <w:spacing w:after="0" w:line="360" w:lineRule="auto"/>
        <w:jc w:val="both"/>
        <w:rPr>
          <w:rFonts w:ascii="Traditional Arabic" w:hAnsi="Traditional Arabic" w:cs="Traditional Arabic"/>
        </w:rPr>
      </w:pPr>
      <w:r w:rsidRPr="005201F9">
        <w:rPr>
          <w:rFonts w:ascii="Traditional Arabic" w:hAnsi="Traditional Arabic" w:cs="Traditional Arabic"/>
          <w:rtl/>
        </w:rPr>
        <w:t>توضيح العلاقة بين إدارة المواهب والأداء التنظيمي.</w:t>
      </w:r>
    </w:p>
    <w:p w14:paraId="51888802" w14:textId="77777777" w:rsidR="00D54582" w:rsidRPr="005201F9" w:rsidRDefault="00D54582" w:rsidP="005201F9">
      <w:pPr>
        <w:pStyle w:val="ListParagraph"/>
        <w:numPr>
          <w:ilvl w:val="0"/>
          <w:numId w:val="1"/>
        </w:numPr>
        <w:bidi/>
        <w:spacing w:after="0" w:line="360" w:lineRule="auto"/>
        <w:jc w:val="both"/>
        <w:rPr>
          <w:rFonts w:ascii="Traditional Arabic" w:hAnsi="Traditional Arabic" w:cs="Traditional Arabic"/>
        </w:rPr>
      </w:pPr>
      <w:r w:rsidRPr="005201F9">
        <w:rPr>
          <w:rFonts w:ascii="Traditional Arabic" w:hAnsi="Traditional Arabic" w:cs="Traditional Arabic"/>
          <w:rtl/>
        </w:rPr>
        <w:t>إبراز دور اندماج الموظفين كمتغير وسيط في تفسير هذه العلاقة.</w:t>
      </w:r>
    </w:p>
    <w:p w14:paraId="7DD699E0" w14:textId="77777777" w:rsidR="00D54582" w:rsidRPr="005201F9" w:rsidRDefault="00D54582" w:rsidP="005201F9">
      <w:pPr>
        <w:pStyle w:val="ListParagraph"/>
        <w:numPr>
          <w:ilvl w:val="0"/>
          <w:numId w:val="1"/>
        </w:numPr>
        <w:bidi/>
        <w:spacing w:after="0" w:line="360" w:lineRule="auto"/>
        <w:jc w:val="both"/>
        <w:rPr>
          <w:rFonts w:ascii="Traditional Arabic" w:hAnsi="Traditional Arabic" w:cs="Traditional Arabic"/>
        </w:rPr>
      </w:pPr>
      <w:r w:rsidRPr="005201F9">
        <w:rPr>
          <w:rFonts w:ascii="Traditional Arabic" w:hAnsi="Traditional Arabic" w:cs="Traditional Arabic"/>
          <w:rtl/>
        </w:rPr>
        <w:t>دعم التكامل بين مفاهيم إدارة الموارد البشرية والسلوك التنظيمي.</w:t>
      </w:r>
    </w:p>
    <w:p w14:paraId="2CDA2ED2" w14:textId="77777777" w:rsidR="00D54582" w:rsidRPr="005201F9" w:rsidRDefault="00D54582" w:rsidP="005201F9">
      <w:pPr>
        <w:pStyle w:val="ListParagraph"/>
        <w:numPr>
          <w:ilvl w:val="0"/>
          <w:numId w:val="1"/>
        </w:numPr>
        <w:bidi/>
        <w:spacing w:after="0" w:line="360" w:lineRule="auto"/>
        <w:jc w:val="both"/>
        <w:rPr>
          <w:rFonts w:ascii="Traditional Arabic" w:hAnsi="Traditional Arabic" w:cs="Traditional Arabic"/>
          <w:rtl/>
        </w:rPr>
      </w:pPr>
      <w:r w:rsidRPr="005201F9">
        <w:rPr>
          <w:rFonts w:ascii="Traditional Arabic" w:hAnsi="Traditional Arabic" w:cs="Traditional Arabic"/>
          <w:rtl/>
        </w:rPr>
        <w:lastRenderedPageBreak/>
        <w:t>إثراء الأدبيات العربية بدراسة حديثة تربط بين هذه المتغيرات في نموذج واحد.</w:t>
      </w:r>
    </w:p>
    <w:p w14:paraId="2A487AEC" w14:textId="77777777" w:rsidR="00D54582" w:rsidRPr="005201F9" w:rsidRDefault="00D54582" w:rsidP="006D7F2E">
      <w:pPr>
        <w:bidi/>
        <w:spacing w:line="360" w:lineRule="auto"/>
        <w:jc w:val="both"/>
        <w:rPr>
          <w:rFonts w:ascii="Traditional Arabic" w:hAnsi="Traditional Arabic" w:cs="Traditional Arabic"/>
        </w:rPr>
      </w:pPr>
      <w:r w:rsidRPr="005201F9">
        <w:rPr>
          <w:rFonts w:ascii="Traditional Arabic" w:hAnsi="Traditional Arabic" w:cs="Traditional Arabic"/>
          <w:b/>
          <w:bCs/>
          <w:rtl/>
        </w:rPr>
        <w:t>الأهمية التطبيقية:</w:t>
      </w:r>
      <w:r w:rsidRPr="005201F9">
        <w:rPr>
          <w:rFonts w:ascii="Traditional Arabic" w:hAnsi="Traditional Arabic" w:cs="Traditional Arabic"/>
          <w:rtl/>
        </w:rPr>
        <w:t xml:space="preserve"> تكتسب الدراسة أهمية تطبيقية من خلال تطبيقها على شركة الدرعية، باعتبارها إحدى الشركات التنموية الكبرى التي تعتمد على الكفاءات البشرية في تنفيذ مشاريع استراتيجية معقدة، مما يجعل إدارة المواهب واندماج الموظفين من العوامل المؤثرة في مستوى الأداء التنظيمي داخلها.</w:t>
      </w:r>
    </w:p>
    <w:p w14:paraId="39A07CB0" w14:textId="77777777" w:rsidR="00D54582" w:rsidRPr="005201F9" w:rsidRDefault="00D54582" w:rsidP="006D7F2E">
      <w:pPr>
        <w:bidi/>
        <w:spacing w:line="360" w:lineRule="auto"/>
        <w:jc w:val="both"/>
        <w:rPr>
          <w:rFonts w:ascii="Traditional Arabic" w:hAnsi="Traditional Arabic" w:cs="Traditional Arabic"/>
        </w:rPr>
      </w:pPr>
      <w:r w:rsidRPr="005201F9">
        <w:rPr>
          <w:rFonts w:ascii="Traditional Arabic" w:hAnsi="Traditional Arabic" w:cs="Traditional Arabic"/>
          <w:rtl/>
        </w:rPr>
        <w:t>وتسهم هذه الدراسة في تقديم نتائج يمكن أن تساعد متخذي القرار في الشركة على فهم العلاقة بين ممارسات إدارة المواهب ومستوى اندماج الموظفين، وانعكاس ذلك على الأداء التنظيمي، بما يدعم تطوير سياسات الموارد البشرية وتحسين بيئة العمل.</w:t>
      </w:r>
    </w:p>
    <w:p w14:paraId="5CDC3451" w14:textId="77777777" w:rsidR="00D54582" w:rsidRPr="005201F9" w:rsidRDefault="00D54582" w:rsidP="006D7F2E">
      <w:pPr>
        <w:bidi/>
        <w:spacing w:line="360" w:lineRule="auto"/>
        <w:jc w:val="both"/>
        <w:rPr>
          <w:rFonts w:ascii="Traditional Arabic" w:hAnsi="Traditional Arabic" w:cs="Traditional Arabic"/>
          <w:rtl/>
        </w:rPr>
      </w:pPr>
      <w:r w:rsidRPr="005201F9">
        <w:rPr>
          <w:rFonts w:ascii="Traditional Arabic" w:hAnsi="Traditional Arabic" w:cs="Traditional Arabic"/>
          <w:rtl/>
        </w:rPr>
        <w:t>كما توفر الدراسة مؤشرات عملية لإدارة الموارد البشرية حول أهمية تعزيز اندماج الموظفين كعامل مهم ومفيد جدا لرفع مستوى الأداء، وتوجيه الجهود نحو بناء بيئة تنظيمية محفزة تسهم في تحقيق أهداف المنظمة بكفاءة أعلى.</w:t>
      </w:r>
    </w:p>
    <w:p w14:paraId="7704DD70" w14:textId="523F7E3C" w:rsidR="00E712CB" w:rsidRPr="005201F9" w:rsidRDefault="00E712CB" w:rsidP="006D7F2E">
      <w:pPr>
        <w:bidi/>
        <w:spacing w:line="360" w:lineRule="auto"/>
        <w:jc w:val="both"/>
        <w:rPr>
          <w:rFonts w:ascii="Traditional Arabic" w:hAnsi="Traditional Arabic" w:cs="Traditional Arabic"/>
          <w:rtl/>
        </w:rPr>
      </w:pPr>
    </w:p>
    <w:p w14:paraId="748F9F75" w14:textId="5B40A094" w:rsidR="00D54582" w:rsidRPr="005201F9" w:rsidRDefault="00D54582" w:rsidP="005201F9">
      <w:pPr>
        <w:bidi/>
        <w:spacing w:line="360" w:lineRule="auto"/>
        <w:rPr>
          <w:rFonts w:ascii="Traditional Arabic" w:hAnsi="Traditional Arabic" w:cs="Traditional Arabic"/>
          <w:b/>
          <w:bCs/>
          <w:sz w:val="28"/>
          <w:szCs w:val="28"/>
        </w:rPr>
      </w:pPr>
      <w:r w:rsidRPr="005201F9">
        <w:rPr>
          <w:rFonts w:ascii="Traditional Arabic" w:hAnsi="Traditional Arabic" w:cs="Traditional Arabic"/>
          <w:b/>
          <w:bCs/>
          <w:sz w:val="28"/>
          <w:szCs w:val="28"/>
          <w:rtl/>
        </w:rPr>
        <w:t>أهداف الدراسة:</w:t>
      </w:r>
    </w:p>
    <w:p w14:paraId="44E5427D" w14:textId="77777777" w:rsidR="00D54582" w:rsidRPr="005201F9" w:rsidRDefault="00D54582" w:rsidP="005201F9">
      <w:pPr>
        <w:pStyle w:val="ListParagraph"/>
        <w:numPr>
          <w:ilvl w:val="0"/>
          <w:numId w:val="2"/>
        </w:numPr>
        <w:bidi/>
        <w:spacing w:after="0" w:line="360" w:lineRule="auto"/>
        <w:rPr>
          <w:rFonts w:ascii="Traditional Arabic" w:hAnsi="Traditional Arabic" w:cs="Traditional Arabic"/>
        </w:rPr>
      </w:pPr>
      <w:r w:rsidRPr="005201F9">
        <w:rPr>
          <w:rFonts w:ascii="Traditional Arabic" w:hAnsi="Traditional Arabic" w:cs="Traditional Arabic"/>
          <w:rtl/>
        </w:rPr>
        <w:t>تحديد تأثير إدارة المواهب على الأداء التنظيمي في شركة الدرعية.</w:t>
      </w:r>
    </w:p>
    <w:p w14:paraId="2A34A056" w14:textId="77777777" w:rsidR="00D54582" w:rsidRPr="005201F9" w:rsidRDefault="00D54582" w:rsidP="005201F9">
      <w:pPr>
        <w:pStyle w:val="ListParagraph"/>
        <w:numPr>
          <w:ilvl w:val="0"/>
          <w:numId w:val="2"/>
        </w:numPr>
        <w:bidi/>
        <w:spacing w:after="0" w:line="360" w:lineRule="auto"/>
        <w:rPr>
          <w:rFonts w:ascii="Traditional Arabic" w:hAnsi="Traditional Arabic" w:cs="Traditional Arabic"/>
        </w:rPr>
      </w:pPr>
      <w:r w:rsidRPr="005201F9">
        <w:rPr>
          <w:rFonts w:ascii="Traditional Arabic" w:hAnsi="Traditional Arabic" w:cs="Traditional Arabic"/>
          <w:rtl/>
        </w:rPr>
        <w:t>تحديد تأثير إدارة المواهب على اندماج الموظفين في شركة الدرعية.</w:t>
      </w:r>
    </w:p>
    <w:p w14:paraId="3FF7BE70" w14:textId="77777777" w:rsidR="00D54582" w:rsidRPr="005201F9" w:rsidRDefault="00D54582" w:rsidP="005201F9">
      <w:pPr>
        <w:pStyle w:val="ListParagraph"/>
        <w:numPr>
          <w:ilvl w:val="0"/>
          <w:numId w:val="2"/>
        </w:numPr>
        <w:bidi/>
        <w:spacing w:after="0" w:line="360" w:lineRule="auto"/>
        <w:rPr>
          <w:rFonts w:ascii="Traditional Arabic" w:hAnsi="Traditional Arabic" w:cs="Traditional Arabic"/>
        </w:rPr>
      </w:pPr>
      <w:r w:rsidRPr="005201F9">
        <w:rPr>
          <w:rFonts w:ascii="Traditional Arabic" w:hAnsi="Traditional Arabic" w:cs="Traditional Arabic"/>
          <w:rtl/>
        </w:rPr>
        <w:t>بيان تأثير اندماج الموظفين على الأداء التنظيمي في شركة الدرعية.</w:t>
      </w:r>
    </w:p>
    <w:p w14:paraId="1E519533" w14:textId="77777777" w:rsidR="00D54582" w:rsidRPr="005201F9" w:rsidRDefault="00D54582" w:rsidP="005201F9">
      <w:pPr>
        <w:pStyle w:val="ListParagraph"/>
        <w:numPr>
          <w:ilvl w:val="0"/>
          <w:numId w:val="2"/>
        </w:numPr>
        <w:bidi/>
        <w:spacing w:after="0" w:line="360" w:lineRule="auto"/>
        <w:rPr>
          <w:rFonts w:ascii="Traditional Arabic" w:hAnsi="Traditional Arabic" w:cs="Traditional Arabic"/>
          <w:sz w:val="22"/>
          <w:szCs w:val="22"/>
          <w:rtl/>
        </w:rPr>
      </w:pPr>
      <w:r w:rsidRPr="005201F9">
        <w:rPr>
          <w:rFonts w:ascii="Traditional Arabic" w:hAnsi="Traditional Arabic" w:cs="Traditional Arabic"/>
          <w:rtl/>
        </w:rPr>
        <w:t>تحليل الدور الوسيط لاندماج الموظفين في العلاقة بين إدارة المواهب والأداء التنظيمي في شركة الدرعية.</w:t>
      </w:r>
    </w:p>
    <w:p w14:paraId="2C77370B" w14:textId="77777777" w:rsidR="006D7F2E" w:rsidRDefault="006D7F2E" w:rsidP="005201F9">
      <w:pPr>
        <w:bidi/>
        <w:spacing w:line="360" w:lineRule="auto"/>
        <w:rPr>
          <w:rFonts w:ascii="Traditional Arabic" w:hAnsi="Traditional Arabic" w:cs="Traditional Arabic"/>
          <w:b/>
          <w:bCs/>
          <w:sz w:val="28"/>
          <w:szCs w:val="28"/>
          <w:rtl/>
        </w:rPr>
      </w:pPr>
    </w:p>
    <w:p w14:paraId="2ECCBF84" w14:textId="56664523" w:rsidR="00D54582" w:rsidRPr="005201F9" w:rsidRDefault="00D54582" w:rsidP="006D7F2E">
      <w:pPr>
        <w:bidi/>
        <w:spacing w:line="360" w:lineRule="auto"/>
        <w:rPr>
          <w:rFonts w:ascii="Traditional Arabic" w:hAnsi="Traditional Arabic" w:cs="Traditional Arabic"/>
          <w:b/>
          <w:bCs/>
          <w:sz w:val="28"/>
          <w:szCs w:val="28"/>
        </w:rPr>
      </w:pPr>
      <w:r w:rsidRPr="005201F9">
        <w:rPr>
          <w:rFonts w:ascii="Traditional Arabic" w:hAnsi="Traditional Arabic" w:cs="Traditional Arabic"/>
          <w:b/>
          <w:bCs/>
          <w:sz w:val="28"/>
          <w:szCs w:val="28"/>
          <w:rtl/>
        </w:rPr>
        <w:t>فر</w:t>
      </w:r>
      <w:r w:rsidR="007F485A">
        <w:rPr>
          <w:rFonts w:ascii="Traditional Arabic" w:hAnsi="Traditional Arabic" w:cs="Traditional Arabic" w:hint="cs"/>
          <w:b/>
          <w:bCs/>
          <w:sz w:val="28"/>
          <w:szCs w:val="28"/>
          <w:rtl/>
        </w:rPr>
        <w:t>وض</w:t>
      </w:r>
      <w:r w:rsidRPr="005201F9">
        <w:rPr>
          <w:rFonts w:ascii="Traditional Arabic" w:hAnsi="Traditional Arabic" w:cs="Traditional Arabic"/>
          <w:b/>
          <w:bCs/>
          <w:sz w:val="28"/>
          <w:szCs w:val="28"/>
          <w:rtl/>
        </w:rPr>
        <w:t xml:space="preserve"> الدراسة:</w:t>
      </w:r>
    </w:p>
    <w:p w14:paraId="7FDBF295" w14:textId="77777777" w:rsidR="00D54582" w:rsidRPr="005201F9" w:rsidRDefault="00D54582" w:rsidP="005201F9">
      <w:pPr>
        <w:bidi/>
        <w:spacing w:line="360" w:lineRule="auto"/>
        <w:rPr>
          <w:rFonts w:ascii="Traditional Arabic" w:hAnsi="Traditional Arabic" w:cs="Traditional Arabic"/>
          <w:b/>
          <w:bCs/>
        </w:rPr>
      </w:pPr>
      <w:r w:rsidRPr="005201F9">
        <w:rPr>
          <w:rFonts w:ascii="Traditional Arabic" w:hAnsi="Traditional Arabic" w:cs="Traditional Arabic"/>
          <w:b/>
          <w:bCs/>
          <w:rtl/>
        </w:rPr>
        <w:t xml:space="preserve">الفرضية الأولى: </w:t>
      </w:r>
      <w:r w:rsidRPr="005201F9">
        <w:rPr>
          <w:rFonts w:ascii="Traditional Arabic" w:hAnsi="Traditional Arabic" w:cs="Traditional Arabic"/>
          <w:rtl/>
        </w:rPr>
        <w:t>إدارة المواهب تؤثر مباشرة على الأداء.</w:t>
      </w:r>
    </w:p>
    <w:p w14:paraId="33F630D8" w14:textId="77777777" w:rsidR="00D54582" w:rsidRPr="005201F9" w:rsidRDefault="00D54582" w:rsidP="005201F9">
      <w:pPr>
        <w:bidi/>
        <w:spacing w:line="360" w:lineRule="auto"/>
        <w:rPr>
          <w:rFonts w:ascii="Traditional Arabic" w:hAnsi="Traditional Arabic" w:cs="Traditional Arabic"/>
          <w:b/>
          <w:bCs/>
          <w:rtl/>
        </w:rPr>
      </w:pPr>
      <w:r w:rsidRPr="005201F9">
        <w:rPr>
          <w:rFonts w:ascii="Traditional Arabic" w:hAnsi="Traditional Arabic" w:cs="Traditional Arabic"/>
          <w:b/>
          <w:bCs/>
          <w:rtl/>
        </w:rPr>
        <w:t xml:space="preserve">العلاقة: </w:t>
      </w:r>
      <w:r w:rsidRPr="005201F9">
        <w:rPr>
          <w:rFonts w:ascii="Traditional Arabic" w:hAnsi="Traditional Arabic" w:cs="Traditional Arabic"/>
          <w:rtl/>
        </w:rPr>
        <w:t>إدارة المواهب (</w:t>
      </w:r>
      <w:r w:rsidRPr="005201F9">
        <w:rPr>
          <w:rFonts w:ascii="Traditional Arabic" w:hAnsi="Traditional Arabic" w:cs="Traditional Arabic"/>
        </w:rPr>
        <w:t>X</w:t>
      </w:r>
      <w:r w:rsidRPr="005201F9">
        <w:rPr>
          <w:rFonts w:ascii="Traditional Arabic" w:hAnsi="Traditional Arabic" w:cs="Traditional Arabic"/>
          <w:rtl/>
        </w:rPr>
        <w:t xml:space="preserve">) </w:t>
      </w:r>
      <w:r w:rsidRPr="005201F9">
        <w:rPr>
          <w:rFonts w:ascii="Times New Roman" w:hAnsi="Times New Roman" w:cs="Times New Roman" w:hint="cs"/>
          <w:b/>
          <w:bCs/>
          <w:rtl/>
        </w:rPr>
        <w:t>←</w:t>
      </w:r>
      <w:r w:rsidRPr="005201F9">
        <w:rPr>
          <w:rFonts w:ascii="Traditional Arabic" w:hAnsi="Traditional Arabic" w:cs="Traditional Arabic"/>
          <w:rtl/>
        </w:rPr>
        <w:t xml:space="preserve"> الأداء التنظيمي (</w:t>
      </w:r>
      <w:r w:rsidRPr="005201F9">
        <w:rPr>
          <w:rFonts w:ascii="Traditional Arabic" w:hAnsi="Traditional Arabic" w:cs="Traditional Arabic"/>
        </w:rPr>
        <w:t>Y</w:t>
      </w:r>
      <w:r w:rsidRPr="005201F9">
        <w:rPr>
          <w:rFonts w:ascii="Traditional Arabic" w:hAnsi="Traditional Arabic" w:cs="Traditional Arabic"/>
          <w:rtl/>
        </w:rPr>
        <w:t>)</w:t>
      </w:r>
    </w:p>
    <w:p w14:paraId="0F1BAA2B" w14:textId="2C8DC2D6" w:rsidR="00D54582" w:rsidRPr="005201F9" w:rsidRDefault="00D54582" w:rsidP="005201F9">
      <w:pPr>
        <w:bidi/>
        <w:spacing w:line="360" w:lineRule="auto"/>
        <w:rPr>
          <w:rFonts w:ascii="Traditional Arabic" w:hAnsi="Traditional Arabic" w:cs="Traditional Arabic"/>
        </w:rPr>
      </w:pPr>
      <w:r w:rsidRPr="005201F9">
        <w:rPr>
          <w:rFonts w:ascii="Traditional Arabic" w:hAnsi="Traditional Arabic" w:cs="Traditional Arabic"/>
          <w:b/>
          <w:bCs/>
          <w:rtl/>
        </w:rPr>
        <w:t>الفرضية الصفرية (</w:t>
      </w:r>
      <w:r w:rsidRPr="005201F9">
        <w:rPr>
          <w:rFonts w:ascii="Traditional Arabic" w:hAnsi="Traditional Arabic" w:cs="Traditional Arabic"/>
          <w:b/>
          <w:bCs/>
        </w:rPr>
        <w:t>H01</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لا 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لإدارة المواهب على الأداء التنظيمي في شركة الدرعية.</w:t>
      </w:r>
    </w:p>
    <w:p w14:paraId="66C646E0" w14:textId="07735014" w:rsidR="00D54582" w:rsidRPr="005201F9" w:rsidRDefault="00D54582" w:rsidP="005201F9">
      <w:pPr>
        <w:bidi/>
        <w:spacing w:line="360" w:lineRule="auto"/>
        <w:rPr>
          <w:rFonts w:ascii="Traditional Arabic" w:hAnsi="Traditional Arabic" w:cs="Traditional Arabic"/>
          <w:rtl/>
        </w:rPr>
      </w:pPr>
      <w:r w:rsidRPr="005201F9">
        <w:rPr>
          <w:rFonts w:ascii="Traditional Arabic" w:hAnsi="Traditional Arabic" w:cs="Traditional Arabic"/>
          <w:b/>
          <w:bCs/>
          <w:rtl/>
        </w:rPr>
        <w:t>الفرضية البديلة (</w:t>
      </w:r>
      <w:r w:rsidRPr="005201F9">
        <w:rPr>
          <w:rFonts w:ascii="Traditional Arabic" w:hAnsi="Traditional Arabic" w:cs="Traditional Arabic"/>
          <w:b/>
          <w:bCs/>
        </w:rPr>
        <w:t>H1</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لإدارة المواهب على الأداء التنظيمي في شركة الدرعية.</w:t>
      </w:r>
    </w:p>
    <w:p w14:paraId="5F99E1E7" w14:textId="77777777" w:rsidR="00D54582" w:rsidRDefault="00D54582" w:rsidP="005201F9">
      <w:pPr>
        <w:bidi/>
        <w:spacing w:line="360" w:lineRule="auto"/>
        <w:jc w:val="both"/>
        <w:rPr>
          <w:rFonts w:ascii="Traditional Arabic" w:hAnsi="Traditional Arabic" w:cs="Traditional Arabic"/>
          <w:rtl/>
        </w:rPr>
      </w:pPr>
    </w:p>
    <w:p w14:paraId="2D7C55A7" w14:textId="77777777"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lastRenderedPageBreak/>
        <w:t xml:space="preserve">الفرضية الثانية: </w:t>
      </w:r>
      <w:r w:rsidRPr="005201F9">
        <w:rPr>
          <w:rFonts w:ascii="Traditional Arabic" w:hAnsi="Traditional Arabic" w:cs="Traditional Arabic"/>
          <w:rtl/>
        </w:rPr>
        <w:t>إدارة المواهب تجعل الموظفين أكثر اندماجًا.</w:t>
      </w:r>
    </w:p>
    <w:p w14:paraId="15EEAF61" w14:textId="77777777"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t>العلاقة:</w:t>
      </w:r>
      <w:r w:rsidRPr="005201F9">
        <w:rPr>
          <w:rFonts w:ascii="Traditional Arabic" w:hAnsi="Traditional Arabic" w:cs="Traditional Arabic"/>
          <w:rtl/>
        </w:rPr>
        <w:t xml:space="preserve"> إدارة المواهب (</w:t>
      </w:r>
      <w:r w:rsidRPr="005201F9">
        <w:rPr>
          <w:rFonts w:ascii="Traditional Arabic" w:hAnsi="Traditional Arabic" w:cs="Traditional Arabic"/>
        </w:rPr>
        <w:t>X</w:t>
      </w:r>
      <w:r w:rsidRPr="005201F9">
        <w:rPr>
          <w:rFonts w:ascii="Traditional Arabic" w:hAnsi="Traditional Arabic" w:cs="Traditional Arabic"/>
          <w:rtl/>
        </w:rPr>
        <w:t xml:space="preserve">) </w:t>
      </w:r>
      <w:r w:rsidRPr="005201F9">
        <w:rPr>
          <w:rFonts w:ascii="Times New Roman" w:hAnsi="Times New Roman" w:cs="Times New Roman" w:hint="cs"/>
          <w:b/>
          <w:bCs/>
          <w:rtl/>
        </w:rPr>
        <w:t>←</w:t>
      </w:r>
      <w:r w:rsidRPr="005201F9">
        <w:rPr>
          <w:rFonts w:ascii="Traditional Arabic" w:hAnsi="Traditional Arabic" w:cs="Traditional Arabic"/>
          <w:rtl/>
        </w:rPr>
        <w:t xml:space="preserve"> اندماج الموظفين (</w:t>
      </w:r>
      <w:r w:rsidRPr="005201F9">
        <w:rPr>
          <w:rFonts w:ascii="Traditional Arabic" w:hAnsi="Traditional Arabic" w:cs="Traditional Arabic"/>
        </w:rPr>
        <w:t>M</w:t>
      </w:r>
      <w:r w:rsidRPr="005201F9">
        <w:rPr>
          <w:rFonts w:ascii="Traditional Arabic" w:hAnsi="Traditional Arabic" w:cs="Traditional Arabic"/>
          <w:rtl/>
        </w:rPr>
        <w:t>)</w:t>
      </w:r>
    </w:p>
    <w:p w14:paraId="7E955C66" w14:textId="7232EA0D"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t>الفرضية الصفرية (</w:t>
      </w:r>
      <w:r w:rsidRPr="005201F9">
        <w:rPr>
          <w:rFonts w:ascii="Traditional Arabic" w:hAnsi="Traditional Arabic" w:cs="Traditional Arabic"/>
          <w:b/>
          <w:bCs/>
        </w:rPr>
        <w:t>H02</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لا 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لإدارة المواهب على اندماج الموظفين في شركة الدرعية.</w:t>
      </w:r>
    </w:p>
    <w:p w14:paraId="75500C12" w14:textId="7D770327" w:rsidR="00D54582" w:rsidRPr="005201F9" w:rsidRDefault="00D54582" w:rsidP="005201F9">
      <w:pPr>
        <w:bidi/>
        <w:spacing w:line="360" w:lineRule="auto"/>
        <w:jc w:val="both"/>
        <w:rPr>
          <w:rFonts w:ascii="Traditional Arabic" w:hAnsi="Traditional Arabic" w:cs="Traditional Arabic"/>
          <w:rtl/>
        </w:rPr>
      </w:pPr>
      <w:r w:rsidRPr="005201F9">
        <w:rPr>
          <w:rFonts w:ascii="Traditional Arabic" w:hAnsi="Traditional Arabic" w:cs="Traditional Arabic"/>
          <w:b/>
          <w:bCs/>
          <w:rtl/>
        </w:rPr>
        <w:t>الفرضية البديلة (</w:t>
      </w:r>
      <w:r w:rsidRPr="005201F9">
        <w:rPr>
          <w:rFonts w:ascii="Traditional Arabic" w:hAnsi="Traditional Arabic" w:cs="Traditional Arabic"/>
          <w:b/>
          <w:bCs/>
        </w:rPr>
        <w:t>H2</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لإدارة المواهب على اندماج الموظفين في شركة الدرعية.</w:t>
      </w:r>
    </w:p>
    <w:p w14:paraId="1AEBFF15" w14:textId="77777777" w:rsidR="00D54582" w:rsidRPr="005201F9" w:rsidRDefault="00D54582" w:rsidP="005201F9">
      <w:pPr>
        <w:bidi/>
        <w:spacing w:line="360" w:lineRule="auto"/>
        <w:jc w:val="both"/>
        <w:rPr>
          <w:rFonts w:ascii="Traditional Arabic" w:hAnsi="Traditional Arabic" w:cs="Traditional Arabic"/>
          <w:rtl/>
        </w:rPr>
      </w:pPr>
    </w:p>
    <w:p w14:paraId="6AA59BDF" w14:textId="77777777"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t>الفرضية الثالثة:</w:t>
      </w:r>
      <w:r w:rsidRPr="005201F9">
        <w:rPr>
          <w:rFonts w:ascii="Traditional Arabic" w:hAnsi="Traditional Arabic" w:cs="Traditional Arabic"/>
          <w:rtl/>
        </w:rPr>
        <w:t xml:space="preserve"> الموظف المندمج يحسن الأداء.</w:t>
      </w:r>
    </w:p>
    <w:p w14:paraId="6E59B2A5" w14:textId="77777777"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t>العلاقة:</w:t>
      </w:r>
      <w:r w:rsidRPr="005201F9">
        <w:rPr>
          <w:rFonts w:ascii="Traditional Arabic" w:hAnsi="Traditional Arabic" w:cs="Traditional Arabic"/>
          <w:rtl/>
        </w:rPr>
        <w:t xml:space="preserve"> اندماج الموظفين (</w:t>
      </w:r>
      <w:r w:rsidRPr="005201F9">
        <w:rPr>
          <w:rFonts w:ascii="Traditional Arabic" w:hAnsi="Traditional Arabic" w:cs="Traditional Arabic"/>
        </w:rPr>
        <w:t>M</w:t>
      </w:r>
      <w:r w:rsidRPr="005201F9">
        <w:rPr>
          <w:rFonts w:ascii="Traditional Arabic" w:hAnsi="Traditional Arabic" w:cs="Traditional Arabic"/>
          <w:rtl/>
        </w:rPr>
        <w:t xml:space="preserve">) </w:t>
      </w:r>
      <w:r w:rsidRPr="005201F9">
        <w:rPr>
          <w:rFonts w:ascii="Times New Roman" w:hAnsi="Times New Roman" w:cs="Times New Roman" w:hint="cs"/>
          <w:b/>
          <w:bCs/>
          <w:rtl/>
        </w:rPr>
        <w:t>←</w:t>
      </w:r>
      <w:r w:rsidRPr="005201F9">
        <w:rPr>
          <w:rFonts w:ascii="Traditional Arabic" w:hAnsi="Traditional Arabic" w:cs="Traditional Arabic"/>
          <w:rtl/>
        </w:rPr>
        <w:t xml:space="preserve"> الأداء التنظيمي (</w:t>
      </w:r>
      <w:r w:rsidRPr="005201F9">
        <w:rPr>
          <w:rFonts w:ascii="Traditional Arabic" w:hAnsi="Traditional Arabic" w:cs="Traditional Arabic"/>
        </w:rPr>
        <w:t>Y</w:t>
      </w:r>
      <w:r w:rsidRPr="005201F9">
        <w:rPr>
          <w:rFonts w:ascii="Traditional Arabic" w:hAnsi="Traditional Arabic" w:cs="Traditional Arabic"/>
          <w:rtl/>
        </w:rPr>
        <w:t>)</w:t>
      </w:r>
    </w:p>
    <w:p w14:paraId="3903962D" w14:textId="591F07AB" w:rsidR="00D54582" w:rsidRPr="005201F9" w:rsidRDefault="00D54582" w:rsidP="005201F9">
      <w:pPr>
        <w:bidi/>
        <w:spacing w:line="360" w:lineRule="auto"/>
        <w:jc w:val="both"/>
        <w:rPr>
          <w:rFonts w:ascii="Traditional Arabic" w:hAnsi="Traditional Arabic" w:cs="Traditional Arabic"/>
        </w:rPr>
      </w:pPr>
      <w:r w:rsidRPr="005201F9">
        <w:rPr>
          <w:rFonts w:ascii="Traditional Arabic" w:hAnsi="Traditional Arabic" w:cs="Traditional Arabic"/>
          <w:b/>
          <w:bCs/>
          <w:rtl/>
        </w:rPr>
        <w:t>الفرضية الصفرية (</w:t>
      </w:r>
      <w:r w:rsidRPr="005201F9">
        <w:rPr>
          <w:rFonts w:ascii="Traditional Arabic" w:hAnsi="Traditional Arabic" w:cs="Traditional Arabic"/>
          <w:b/>
          <w:bCs/>
        </w:rPr>
        <w:t>H03</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لا 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لاندماج الموظفين على الأداء التنظيمي في شركة الدرعية.</w:t>
      </w:r>
    </w:p>
    <w:p w14:paraId="2CB2FF3A" w14:textId="4C329A4D" w:rsidR="00D54582" w:rsidRPr="005201F9" w:rsidRDefault="00D54582" w:rsidP="005201F9">
      <w:pPr>
        <w:bidi/>
        <w:spacing w:line="360" w:lineRule="auto"/>
        <w:jc w:val="both"/>
        <w:rPr>
          <w:rFonts w:ascii="Traditional Arabic" w:hAnsi="Traditional Arabic" w:cs="Traditional Arabic"/>
          <w:rtl/>
        </w:rPr>
      </w:pPr>
      <w:r w:rsidRPr="005201F9">
        <w:rPr>
          <w:rFonts w:ascii="Traditional Arabic" w:hAnsi="Traditional Arabic" w:cs="Traditional Arabic"/>
          <w:b/>
          <w:bCs/>
          <w:rtl/>
        </w:rPr>
        <w:t>الفرضية البديلة (</w:t>
      </w:r>
      <w:r w:rsidRPr="005201F9">
        <w:rPr>
          <w:rFonts w:ascii="Traditional Arabic" w:hAnsi="Traditional Arabic" w:cs="Traditional Arabic"/>
          <w:b/>
          <w:bCs/>
        </w:rPr>
        <w:t>H3</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لاندماج الموظفين على الأداء التنظيمي في شركة الدرعية.</w:t>
      </w:r>
    </w:p>
    <w:p w14:paraId="28043447" w14:textId="77777777" w:rsidR="00621060" w:rsidRPr="005201F9" w:rsidRDefault="00621060" w:rsidP="005201F9">
      <w:pPr>
        <w:bidi/>
        <w:spacing w:line="360" w:lineRule="auto"/>
        <w:rPr>
          <w:rFonts w:ascii="Traditional Arabic" w:hAnsi="Traditional Arabic" w:cs="Traditional Arabic"/>
          <w:b/>
          <w:bCs/>
          <w:rtl/>
        </w:rPr>
      </w:pPr>
    </w:p>
    <w:p w14:paraId="69F620DF" w14:textId="4C565B95" w:rsidR="00D54582" w:rsidRPr="005201F9" w:rsidRDefault="00D54582" w:rsidP="005201F9">
      <w:pPr>
        <w:bidi/>
        <w:spacing w:line="360" w:lineRule="auto"/>
        <w:rPr>
          <w:rFonts w:ascii="Traditional Arabic" w:hAnsi="Traditional Arabic" w:cs="Traditional Arabic"/>
        </w:rPr>
      </w:pPr>
      <w:r w:rsidRPr="005201F9">
        <w:rPr>
          <w:rFonts w:ascii="Traditional Arabic" w:hAnsi="Traditional Arabic" w:cs="Traditional Arabic"/>
          <w:b/>
          <w:bCs/>
          <w:rtl/>
        </w:rPr>
        <w:t>الفرضية الرابعة:</w:t>
      </w:r>
      <w:r w:rsidRPr="005201F9">
        <w:rPr>
          <w:rFonts w:ascii="Traditional Arabic" w:hAnsi="Traditional Arabic" w:cs="Traditional Arabic"/>
          <w:rtl/>
        </w:rPr>
        <w:t xml:space="preserve"> إدارة المواهب تؤثر على الأداء عن طريق اندماج الموظفين.</w:t>
      </w:r>
    </w:p>
    <w:p w14:paraId="2257EBD2" w14:textId="77777777" w:rsidR="00D54582" w:rsidRPr="005201F9" w:rsidRDefault="00D54582" w:rsidP="005201F9">
      <w:pPr>
        <w:bidi/>
        <w:spacing w:line="360" w:lineRule="auto"/>
        <w:rPr>
          <w:rFonts w:ascii="Traditional Arabic" w:hAnsi="Traditional Arabic" w:cs="Traditional Arabic"/>
          <w:b/>
          <w:bCs/>
          <w:rtl/>
        </w:rPr>
      </w:pPr>
      <w:r w:rsidRPr="005201F9">
        <w:rPr>
          <w:rFonts w:ascii="Traditional Arabic" w:hAnsi="Traditional Arabic" w:cs="Traditional Arabic"/>
          <w:b/>
          <w:bCs/>
          <w:rtl/>
        </w:rPr>
        <w:t xml:space="preserve">العلاقة: </w:t>
      </w:r>
      <w:r w:rsidRPr="005201F9">
        <w:rPr>
          <w:rFonts w:ascii="Traditional Arabic" w:hAnsi="Traditional Arabic" w:cs="Traditional Arabic"/>
          <w:rtl/>
        </w:rPr>
        <w:t>إدارة المواهب (</w:t>
      </w:r>
      <w:r w:rsidRPr="005201F9">
        <w:rPr>
          <w:rFonts w:ascii="Traditional Arabic" w:hAnsi="Traditional Arabic" w:cs="Traditional Arabic"/>
        </w:rPr>
        <w:t>X</w:t>
      </w:r>
      <w:r w:rsidRPr="005201F9">
        <w:rPr>
          <w:rFonts w:ascii="Traditional Arabic" w:hAnsi="Traditional Arabic" w:cs="Traditional Arabic"/>
          <w:rtl/>
        </w:rPr>
        <w:t xml:space="preserve">) </w:t>
      </w:r>
      <w:r w:rsidRPr="005201F9">
        <w:rPr>
          <w:rFonts w:ascii="Times New Roman" w:hAnsi="Times New Roman" w:cs="Times New Roman" w:hint="cs"/>
          <w:b/>
          <w:bCs/>
          <w:rtl/>
        </w:rPr>
        <w:t>←</w:t>
      </w:r>
      <w:r w:rsidRPr="005201F9">
        <w:rPr>
          <w:rFonts w:ascii="Traditional Arabic" w:hAnsi="Traditional Arabic" w:cs="Traditional Arabic"/>
          <w:rtl/>
        </w:rPr>
        <w:t xml:space="preserve"> اندماج الموظفين (</w:t>
      </w:r>
      <w:r w:rsidRPr="005201F9">
        <w:rPr>
          <w:rFonts w:ascii="Traditional Arabic" w:hAnsi="Traditional Arabic" w:cs="Traditional Arabic"/>
        </w:rPr>
        <w:t>M</w:t>
      </w:r>
      <w:r w:rsidRPr="005201F9">
        <w:rPr>
          <w:rFonts w:ascii="Traditional Arabic" w:hAnsi="Traditional Arabic" w:cs="Traditional Arabic"/>
          <w:rtl/>
        </w:rPr>
        <w:t xml:space="preserve">) </w:t>
      </w:r>
      <w:r w:rsidRPr="005201F9">
        <w:rPr>
          <w:rFonts w:ascii="Times New Roman" w:hAnsi="Times New Roman" w:cs="Times New Roman" w:hint="cs"/>
          <w:b/>
          <w:bCs/>
          <w:rtl/>
        </w:rPr>
        <w:t>←</w:t>
      </w:r>
      <w:r w:rsidRPr="005201F9">
        <w:rPr>
          <w:rFonts w:ascii="Traditional Arabic" w:hAnsi="Traditional Arabic" w:cs="Traditional Arabic"/>
          <w:b/>
          <w:bCs/>
        </w:rPr>
        <w:t xml:space="preserve"> </w:t>
      </w:r>
      <w:r w:rsidRPr="005201F9">
        <w:rPr>
          <w:rFonts w:ascii="Traditional Arabic" w:hAnsi="Traditional Arabic" w:cs="Traditional Arabic"/>
          <w:rtl/>
        </w:rPr>
        <w:t>الأداء التنظيمي (</w:t>
      </w:r>
      <w:r w:rsidRPr="005201F9">
        <w:rPr>
          <w:rFonts w:ascii="Traditional Arabic" w:hAnsi="Traditional Arabic" w:cs="Traditional Arabic"/>
        </w:rPr>
        <w:t>Y</w:t>
      </w:r>
      <w:r w:rsidRPr="005201F9">
        <w:rPr>
          <w:rFonts w:ascii="Traditional Arabic" w:hAnsi="Traditional Arabic" w:cs="Traditional Arabic"/>
          <w:rtl/>
        </w:rPr>
        <w:t>)</w:t>
      </w:r>
    </w:p>
    <w:p w14:paraId="4106A5DF" w14:textId="3F4B8847" w:rsidR="00D54582" w:rsidRPr="005201F9" w:rsidRDefault="00D54582" w:rsidP="005201F9">
      <w:pPr>
        <w:bidi/>
        <w:spacing w:line="360" w:lineRule="auto"/>
        <w:rPr>
          <w:rFonts w:ascii="Traditional Arabic" w:hAnsi="Traditional Arabic" w:cs="Traditional Arabic"/>
        </w:rPr>
      </w:pPr>
      <w:r w:rsidRPr="005201F9">
        <w:rPr>
          <w:rFonts w:ascii="Traditional Arabic" w:hAnsi="Traditional Arabic" w:cs="Traditional Arabic"/>
          <w:b/>
          <w:bCs/>
          <w:rtl/>
        </w:rPr>
        <w:t>الفرضية الصفرية (</w:t>
      </w:r>
      <w:r w:rsidRPr="005201F9">
        <w:rPr>
          <w:rFonts w:ascii="Traditional Arabic" w:hAnsi="Traditional Arabic" w:cs="Traditional Arabic"/>
          <w:b/>
          <w:bCs/>
        </w:rPr>
        <w:t>H04</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لا 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للدور الوسيط لاندماج الموظفين في العلاقة بين إدارة المواهب والأداء التنظيمي في شركة الدرعية.</w:t>
      </w:r>
    </w:p>
    <w:p w14:paraId="67D817FD" w14:textId="5A70465D" w:rsidR="00D54582" w:rsidRPr="005201F9" w:rsidRDefault="00D54582" w:rsidP="005201F9">
      <w:pPr>
        <w:bidi/>
        <w:spacing w:line="360" w:lineRule="auto"/>
        <w:rPr>
          <w:rFonts w:ascii="Traditional Arabic" w:hAnsi="Traditional Arabic" w:cs="Traditional Arabic"/>
          <w:rtl/>
        </w:rPr>
      </w:pPr>
      <w:r w:rsidRPr="005201F9">
        <w:rPr>
          <w:rFonts w:ascii="Traditional Arabic" w:hAnsi="Traditional Arabic" w:cs="Traditional Arabic"/>
          <w:b/>
          <w:bCs/>
          <w:rtl/>
        </w:rPr>
        <w:t>الفرضية البديلة (</w:t>
      </w:r>
      <w:r w:rsidRPr="005201F9">
        <w:rPr>
          <w:rFonts w:ascii="Traditional Arabic" w:hAnsi="Traditional Arabic" w:cs="Traditional Arabic"/>
          <w:b/>
          <w:bCs/>
        </w:rPr>
        <w:t>H4</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للدور الوسيط لاندماج الموظفين في العلاقة بين إدارة المواهب والأداء التنظيمي في شركة الدرعية.</w:t>
      </w:r>
    </w:p>
    <w:p w14:paraId="7E300D59" w14:textId="77777777" w:rsidR="00871C05" w:rsidRDefault="00871C05" w:rsidP="005201F9">
      <w:pPr>
        <w:bidi/>
        <w:spacing w:line="360" w:lineRule="auto"/>
        <w:rPr>
          <w:rFonts w:ascii="Traditional Arabic" w:hAnsi="Traditional Arabic" w:cs="Traditional Arabic"/>
          <w:rtl/>
        </w:rPr>
      </w:pPr>
    </w:p>
    <w:p w14:paraId="512FABEB" w14:textId="77777777" w:rsidR="006D7F2E" w:rsidRDefault="006D7F2E" w:rsidP="006D7F2E">
      <w:pPr>
        <w:bidi/>
        <w:spacing w:line="360" w:lineRule="auto"/>
        <w:rPr>
          <w:rFonts w:ascii="Traditional Arabic" w:hAnsi="Traditional Arabic" w:cs="Traditional Arabic"/>
          <w:rtl/>
        </w:rPr>
      </w:pPr>
    </w:p>
    <w:p w14:paraId="21E2E31F" w14:textId="77777777" w:rsidR="006D7F2E" w:rsidRPr="005201F9" w:rsidRDefault="006D7F2E" w:rsidP="006D7F2E">
      <w:pPr>
        <w:bidi/>
        <w:spacing w:line="360" w:lineRule="auto"/>
        <w:rPr>
          <w:rFonts w:ascii="Traditional Arabic" w:hAnsi="Traditional Arabic" w:cs="Traditional Arabic"/>
          <w:rtl/>
        </w:rPr>
      </w:pPr>
    </w:p>
    <w:p w14:paraId="0B733B80" w14:textId="11D3E29A" w:rsidR="00B83912" w:rsidRPr="00A8590F" w:rsidRDefault="00B83912" w:rsidP="005201F9">
      <w:pPr>
        <w:bidi/>
        <w:spacing w:line="360" w:lineRule="auto"/>
        <w:jc w:val="both"/>
        <w:rPr>
          <w:rFonts w:ascii="Traditional Arabic" w:hAnsi="Traditional Arabic" w:cs="Traditional Arabic"/>
          <w:b/>
          <w:bCs/>
          <w:sz w:val="28"/>
          <w:szCs w:val="28"/>
          <w:rtl/>
        </w:rPr>
      </w:pPr>
      <w:r w:rsidRPr="00A8590F">
        <w:rPr>
          <w:rFonts w:ascii="Traditional Arabic" w:hAnsi="Traditional Arabic" w:cs="Traditional Arabic" w:hint="cs"/>
          <w:b/>
          <w:bCs/>
          <w:sz w:val="28"/>
          <w:szCs w:val="28"/>
          <w:rtl/>
        </w:rPr>
        <w:lastRenderedPageBreak/>
        <w:t>مفاهيم الدراسة</w:t>
      </w:r>
    </w:p>
    <w:p w14:paraId="135195CD" w14:textId="77777777" w:rsidR="0012211B" w:rsidRPr="005201F9" w:rsidRDefault="0012211B" w:rsidP="0012211B">
      <w:pPr>
        <w:bidi/>
        <w:spacing w:after="0" w:line="360" w:lineRule="auto"/>
        <w:jc w:val="both"/>
        <w:rPr>
          <w:rFonts w:ascii="Traditional Arabic" w:hAnsi="Traditional Arabic" w:cs="Traditional Arabic"/>
          <w:b/>
          <w:bCs/>
        </w:rPr>
      </w:pPr>
      <w:r w:rsidRPr="005201F9">
        <w:rPr>
          <w:rFonts w:ascii="Traditional Arabic" w:hAnsi="Traditional Arabic" w:cs="Traditional Arabic"/>
          <w:b/>
          <w:bCs/>
          <w:rtl/>
        </w:rPr>
        <w:t>أولاً: إدارة المواهب</w:t>
      </w:r>
    </w:p>
    <w:p w14:paraId="3BEC90B2"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التعريف النظري:</w:t>
      </w:r>
      <w:r w:rsidRPr="005201F9">
        <w:rPr>
          <w:rFonts w:ascii="Traditional Arabic" w:hAnsi="Traditional Arabic" w:cs="Traditional Arabic"/>
          <w:rtl/>
        </w:rPr>
        <w:t xml:space="preserve"> تُعرَّف إدارة المواهب بأنها مجموعة الممارسات والاستراتيجيات التي تعتمدها المنظمة لاستقطاب الكفاءات البشرية المتميزة، وتطويرها، والاحتفاظ بها، بما يسهم في تحقيق الأداء المتميز وتعزيز القدرة التنافسية للمنظمة (</w:t>
      </w:r>
      <w:r w:rsidRPr="005201F9">
        <w:rPr>
          <w:rFonts w:ascii="Traditional Arabic" w:hAnsi="Traditional Arabic" w:cs="Traditional Arabic"/>
        </w:rPr>
        <w:t>Collings et al., 2021</w:t>
      </w:r>
      <w:r w:rsidRPr="005201F9">
        <w:rPr>
          <w:rFonts w:ascii="Traditional Arabic" w:hAnsi="Traditional Arabic" w:cs="Traditional Arabic"/>
          <w:rtl/>
        </w:rPr>
        <w:t>).</w:t>
      </w:r>
    </w:p>
    <w:p w14:paraId="7D77D17B"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rtl/>
        </w:rPr>
        <w:t xml:space="preserve">كما يشير </w:t>
      </w:r>
      <w:r w:rsidRPr="005201F9">
        <w:rPr>
          <w:rFonts w:ascii="Traditional Arabic" w:hAnsi="Traditional Arabic" w:cs="Traditional Arabic"/>
        </w:rPr>
        <w:t>Resource-Based View</w:t>
      </w:r>
      <w:r w:rsidRPr="005201F9">
        <w:rPr>
          <w:rFonts w:ascii="Traditional Arabic" w:hAnsi="Traditional Arabic" w:cs="Traditional Arabic"/>
          <w:rtl/>
        </w:rPr>
        <w:t xml:space="preserve"> إلى أن الكفاءات البشرية تمثل مورداً استراتيجياً نادراً وقابلاً لخلق ميزة تنافسية مستدامة عندما يتم استثماره بفعالية (</w:t>
      </w:r>
      <w:r w:rsidRPr="005201F9">
        <w:rPr>
          <w:rFonts w:ascii="Traditional Arabic" w:hAnsi="Traditional Arabic" w:cs="Traditional Arabic"/>
        </w:rPr>
        <w:t>Al Ariss et al., 2022</w:t>
      </w:r>
      <w:r w:rsidRPr="005201F9">
        <w:rPr>
          <w:rFonts w:ascii="Traditional Arabic" w:hAnsi="Traditional Arabic" w:cs="Traditional Arabic"/>
          <w:rtl/>
        </w:rPr>
        <w:t>).</w:t>
      </w:r>
    </w:p>
    <w:p w14:paraId="78AC4D32" w14:textId="77777777" w:rsidR="0012211B" w:rsidRPr="005201F9" w:rsidRDefault="0012211B" w:rsidP="0012211B">
      <w:pPr>
        <w:bidi/>
        <w:spacing w:after="0" w:line="360" w:lineRule="auto"/>
        <w:jc w:val="both"/>
        <w:rPr>
          <w:rFonts w:ascii="Traditional Arabic" w:hAnsi="Traditional Arabic" w:cs="Traditional Arabic"/>
        </w:rPr>
      </w:pPr>
    </w:p>
    <w:p w14:paraId="051A7E90"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التعريف الإجرائي:</w:t>
      </w:r>
      <w:r w:rsidRPr="005201F9">
        <w:rPr>
          <w:rFonts w:ascii="Traditional Arabic" w:hAnsi="Traditional Arabic" w:cs="Traditional Arabic"/>
          <w:rtl/>
        </w:rPr>
        <w:t xml:space="preserve"> يقصد بإدارة المواهب في هذه الدراسة: مدى تطبيق شركة الدرعية لممارسات فعالة في استقطاب الكفاءات وتطويرها والاحتفاظ بها، كما يُدركها أفراد العينة، ويتم قياس ذلك من خلال متوسط استجاباتهم على فقرات محور (إدارة المواهب) في الاستبانة.</w:t>
      </w:r>
    </w:p>
    <w:p w14:paraId="6476167A" w14:textId="77777777" w:rsidR="0012211B" w:rsidRPr="005201F9" w:rsidRDefault="0012211B" w:rsidP="0012211B">
      <w:pPr>
        <w:bidi/>
        <w:spacing w:after="0" w:line="360" w:lineRule="auto"/>
        <w:jc w:val="both"/>
        <w:rPr>
          <w:rFonts w:ascii="Traditional Arabic" w:hAnsi="Traditional Arabic" w:cs="Traditional Arabic"/>
        </w:rPr>
      </w:pPr>
    </w:p>
    <w:p w14:paraId="2149410E" w14:textId="77777777" w:rsidR="0012211B" w:rsidRPr="005201F9" w:rsidRDefault="0012211B" w:rsidP="0012211B">
      <w:pPr>
        <w:bidi/>
        <w:spacing w:after="0" w:line="360" w:lineRule="auto"/>
        <w:jc w:val="both"/>
        <w:rPr>
          <w:rFonts w:ascii="Traditional Arabic" w:hAnsi="Traditional Arabic" w:cs="Traditional Arabic"/>
          <w:b/>
          <w:bCs/>
        </w:rPr>
      </w:pPr>
      <w:r w:rsidRPr="005201F9">
        <w:rPr>
          <w:rFonts w:ascii="Traditional Arabic" w:hAnsi="Traditional Arabic" w:cs="Traditional Arabic"/>
          <w:b/>
          <w:bCs/>
          <w:rtl/>
        </w:rPr>
        <w:t xml:space="preserve">ثانياً: اندماج الموظفين </w:t>
      </w:r>
    </w:p>
    <w:p w14:paraId="12517DCC"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التعريف النظري:</w:t>
      </w:r>
      <w:r w:rsidRPr="005201F9">
        <w:rPr>
          <w:rFonts w:ascii="Traditional Arabic" w:hAnsi="Traditional Arabic" w:cs="Traditional Arabic"/>
          <w:rtl/>
        </w:rPr>
        <w:t xml:space="preserve"> يُعرَّف اندماج الموظفين بأنه مستوى الارتباط النفسي والعاطفي الذي يشعر به الموظف تجاه عمله ومنظمته، والذي ينعكس في الحماس، والالتزام، والاستعداد لبذل جهد إضافي لتحقيق أهداف المنظمة (</w:t>
      </w:r>
      <w:r w:rsidRPr="005201F9">
        <w:rPr>
          <w:rFonts w:ascii="Traditional Arabic" w:hAnsi="Traditional Arabic" w:cs="Traditional Arabic"/>
        </w:rPr>
        <w:t>Luna-Arocas &amp; Morley, 2020</w:t>
      </w:r>
      <w:r w:rsidRPr="005201F9">
        <w:rPr>
          <w:rFonts w:ascii="Traditional Arabic" w:hAnsi="Traditional Arabic" w:cs="Traditional Arabic"/>
          <w:rtl/>
        </w:rPr>
        <w:t>).</w:t>
      </w:r>
    </w:p>
    <w:p w14:paraId="5B53A811"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rtl/>
        </w:rPr>
        <w:t>كما تشير الدراسات الحديثة إلى أن اندماج الموظفين يمثل أحد العوامل السلوكية الأساسية التي تسهم في تعزيز الأداء التنظيمي، وتفسير تأثير ممارسات إدارة الموارد البشرية على نتائج العمل (</w:t>
      </w:r>
      <w:r w:rsidRPr="005201F9">
        <w:rPr>
          <w:rFonts w:ascii="Traditional Arabic" w:hAnsi="Traditional Arabic" w:cs="Traditional Arabic"/>
        </w:rPr>
        <w:t>Kravariti et al., 2023; Sinisterra et al., 2024</w:t>
      </w:r>
      <w:r w:rsidRPr="005201F9">
        <w:rPr>
          <w:rFonts w:ascii="Traditional Arabic" w:hAnsi="Traditional Arabic" w:cs="Traditional Arabic"/>
          <w:rtl/>
        </w:rPr>
        <w:t>).</w:t>
      </w:r>
    </w:p>
    <w:p w14:paraId="33636D6B" w14:textId="77777777" w:rsidR="0012211B" w:rsidRPr="005201F9" w:rsidRDefault="0012211B" w:rsidP="0012211B">
      <w:pPr>
        <w:bidi/>
        <w:spacing w:after="0" w:line="360" w:lineRule="auto"/>
        <w:jc w:val="both"/>
        <w:rPr>
          <w:rFonts w:ascii="Traditional Arabic" w:hAnsi="Traditional Arabic" w:cs="Traditional Arabic"/>
        </w:rPr>
      </w:pPr>
    </w:p>
    <w:p w14:paraId="0869622A"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التعريف الإجرائي:</w:t>
      </w:r>
      <w:r w:rsidRPr="005201F9">
        <w:rPr>
          <w:rFonts w:ascii="Traditional Arabic" w:hAnsi="Traditional Arabic" w:cs="Traditional Arabic"/>
          <w:rtl/>
        </w:rPr>
        <w:t xml:space="preserve"> يقصد باندماج الموظفين في هذه الدراسة: مستوى الحماس والالتزام والانتماء الذي يظهره العاملون في شركة الدرعية تجاه أعمالهم، كما يدركه أفراد العينة، ويتم قياسه من خلال متوسط استجاباتهم على فقرات محور (اندماج الموظفين) في الاستبانة.</w:t>
      </w:r>
    </w:p>
    <w:p w14:paraId="4DE792E3" w14:textId="77777777" w:rsidR="0012211B" w:rsidRPr="005201F9" w:rsidRDefault="0012211B" w:rsidP="0012211B">
      <w:pPr>
        <w:bidi/>
        <w:spacing w:after="0" w:line="360" w:lineRule="auto"/>
        <w:jc w:val="both"/>
        <w:rPr>
          <w:rFonts w:ascii="Traditional Arabic" w:hAnsi="Traditional Arabic" w:cs="Traditional Arabic"/>
        </w:rPr>
      </w:pPr>
    </w:p>
    <w:p w14:paraId="47FB000E" w14:textId="77777777" w:rsidR="0012211B" w:rsidRPr="005201F9" w:rsidRDefault="0012211B" w:rsidP="0012211B">
      <w:pPr>
        <w:bidi/>
        <w:spacing w:after="0" w:line="360" w:lineRule="auto"/>
        <w:jc w:val="both"/>
        <w:rPr>
          <w:rFonts w:ascii="Traditional Arabic" w:hAnsi="Traditional Arabic" w:cs="Traditional Arabic"/>
          <w:b/>
          <w:bCs/>
        </w:rPr>
      </w:pPr>
      <w:r w:rsidRPr="005201F9">
        <w:rPr>
          <w:rFonts w:ascii="Traditional Arabic" w:hAnsi="Traditional Arabic" w:cs="Traditional Arabic"/>
          <w:b/>
          <w:bCs/>
          <w:rtl/>
        </w:rPr>
        <w:t xml:space="preserve">ثالثاً: الأداء التنظيمي </w:t>
      </w:r>
    </w:p>
    <w:p w14:paraId="033E0104"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التعريف النظري:</w:t>
      </w:r>
      <w:r w:rsidRPr="005201F9">
        <w:rPr>
          <w:rFonts w:ascii="Traditional Arabic" w:hAnsi="Traditional Arabic" w:cs="Traditional Arabic"/>
          <w:rtl/>
        </w:rPr>
        <w:t xml:space="preserve"> يُعرَّف الأداء التنظيمي بأنه مستوى كفاءة وفعالية العمليات الداخلية للمنظمة في تحقيق أهدافها، ويشمل جودة الأداء، وكفاءة استخدام الموارد، وسرعة الإنجاز، ومستوى التنسيق بين الإدارات (</w:t>
      </w:r>
      <w:r w:rsidRPr="005201F9">
        <w:rPr>
          <w:rFonts w:ascii="Traditional Arabic" w:hAnsi="Traditional Arabic" w:cs="Traditional Arabic"/>
        </w:rPr>
        <w:t>Al Aina &amp; Atan, 2020</w:t>
      </w:r>
      <w:r w:rsidRPr="005201F9">
        <w:rPr>
          <w:rFonts w:ascii="Traditional Arabic" w:hAnsi="Traditional Arabic" w:cs="Traditional Arabic"/>
          <w:rtl/>
        </w:rPr>
        <w:t>).</w:t>
      </w:r>
    </w:p>
    <w:p w14:paraId="7CB9A774" w14:textId="77777777" w:rsidR="0012211B" w:rsidRPr="005201F9" w:rsidRDefault="0012211B" w:rsidP="0012211B">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lastRenderedPageBreak/>
        <w:t>كما تؤكد الأدبيات أن الأداء التنظيمي يرتبط ارتباطًا وثيقًا بجودة رأس المال البشري ومستوى تفاعله داخل بيئة العمل، حيث تسهم ممارسات إدارة المواهب في تعزيز كفاءة العاملين ورفع مستوى اندماجهم بما ينعكس إيجابًا على الأداء التنظيمي (</w:t>
      </w:r>
      <w:r w:rsidRPr="005201F9">
        <w:rPr>
          <w:rFonts w:ascii="Traditional Arabic" w:hAnsi="Traditional Arabic" w:cs="Traditional Arabic"/>
        </w:rPr>
        <w:t>Al Aina &amp; Atan, 2020; Menezes et al., 2025; Sinisterra et al., 2024</w:t>
      </w:r>
      <w:r w:rsidRPr="005201F9">
        <w:rPr>
          <w:rFonts w:ascii="Traditional Arabic" w:hAnsi="Traditional Arabic" w:cs="Traditional Arabic"/>
          <w:rtl/>
        </w:rPr>
        <w:t>).</w:t>
      </w:r>
    </w:p>
    <w:p w14:paraId="795A0566" w14:textId="77777777" w:rsidR="0012211B" w:rsidRPr="005201F9" w:rsidRDefault="0012211B" w:rsidP="0012211B">
      <w:pPr>
        <w:bidi/>
        <w:spacing w:after="0" w:line="360" w:lineRule="auto"/>
        <w:jc w:val="both"/>
        <w:rPr>
          <w:rFonts w:ascii="Traditional Arabic" w:hAnsi="Traditional Arabic" w:cs="Traditional Arabic"/>
        </w:rPr>
      </w:pPr>
    </w:p>
    <w:p w14:paraId="0D8E1F5B" w14:textId="77777777" w:rsidR="0012211B" w:rsidRPr="005201F9" w:rsidRDefault="0012211B" w:rsidP="0012211B">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التعريف الإجرائي:</w:t>
      </w:r>
      <w:r w:rsidRPr="005201F9">
        <w:rPr>
          <w:rFonts w:ascii="Traditional Arabic" w:hAnsi="Traditional Arabic" w:cs="Traditional Arabic"/>
          <w:rtl/>
        </w:rPr>
        <w:t xml:space="preserve"> يقصد بالأداء التنظيمي في هذه الدراسة: مستوى كفاءة العمليات والأداء داخل شركة الدرعية كما يدركه أفراد العينة، ويتم قياسه من خلال متوسط استجاباتهم على فقرات محور (الأداء التنظيمي) في الاستبانة.</w:t>
      </w:r>
    </w:p>
    <w:p w14:paraId="20559EEE" w14:textId="77777777" w:rsidR="0012211B" w:rsidRPr="005201F9" w:rsidRDefault="0012211B" w:rsidP="0012211B">
      <w:pPr>
        <w:bidi/>
        <w:spacing w:after="0" w:line="360" w:lineRule="auto"/>
        <w:jc w:val="both"/>
        <w:rPr>
          <w:rFonts w:ascii="Traditional Arabic" w:hAnsi="Traditional Arabic" w:cs="Traditional Arabic"/>
        </w:rPr>
      </w:pPr>
    </w:p>
    <w:p w14:paraId="0FBEE522" w14:textId="77777777" w:rsidR="0012211B" w:rsidRPr="005201F9" w:rsidRDefault="0012211B" w:rsidP="0012211B">
      <w:pPr>
        <w:bidi/>
        <w:spacing w:after="0" w:line="360" w:lineRule="auto"/>
        <w:jc w:val="both"/>
        <w:rPr>
          <w:rFonts w:ascii="Traditional Arabic" w:hAnsi="Traditional Arabic" w:cs="Traditional Arabic"/>
          <w:b/>
          <w:bCs/>
        </w:rPr>
      </w:pPr>
      <w:r w:rsidRPr="005201F9">
        <w:rPr>
          <w:rFonts w:ascii="Traditional Arabic" w:hAnsi="Traditional Arabic" w:cs="Traditional Arabic"/>
          <w:b/>
          <w:bCs/>
          <w:rtl/>
        </w:rPr>
        <w:t xml:space="preserve">رابعاً: شركة الدرعية </w:t>
      </w:r>
    </w:p>
    <w:p w14:paraId="29690692" w14:textId="77777777" w:rsidR="0012211B" w:rsidRDefault="0012211B" w:rsidP="0012211B">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يقصد بشركة الدرعية في هذه الدراسة: الشركة التنموية التابعة لصندوق الاستثمارات العامة في المملكة العربية السعودية، والمسؤولة عن تطوير مشروع الدرعية، والتي تمثل البيئة التطبيقية للدراسة، ويقتصر نطاق الدراسة على العاملين في المستويات الإدارية (مشرفين، مدراء، تنفيذيين، وإدارة الموارد البشرية).</w:t>
      </w:r>
    </w:p>
    <w:p w14:paraId="2EBCC7F0" w14:textId="77777777" w:rsidR="00A8590F" w:rsidRDefault="00A8590F" w:rsidP="00A8590F">
      <w:pPr>
        <w:bidi/>
        <w:spacing w:after="0" w:line="360" w:lineRule="auto"/>
        <w:jc w:val="both"/>
        <w:rPr>
          <w:rFonts w:ascii="Traditional Arabic" w:hAnsi="Traditional Arabic" w:cs="Traditional Arabic"/>
          <w:rtl/>
        </w:rPr>
      </w:pPr>
    </w:p>
    <w:p w14:paraId="55771CCE" w14:textId="58CB6704" w:rsidR="00A8590F" w:rsidRDefault="00A8590F" w:rsidP="00A8590F">
      <w:pPr>
        <w:bidi/>
        <w:spacing w:after="0" w:line="360" w:lineRule="auto"/>
        <w:jc w:val="both"/>
        <w:rPr>
          <w:rFonts w:ascii="Traditional Arabic" w:hAnsi="Traditional Arabic" w:cs="Traditional Arabic"/>
          <w:b/>
          <w:bCs/>
          <w:sz w:val="28"/>
          <w:szCs w:val="28"/>
          <w:rtl/>
        </w:rPr>
      </w:pPr>
      <w:r w:rsidRPr="00A8590F">
        <w:rPr>
          <w:rFonts w:ascii="Traditional Arabic" w:hAnsi="Traditional Arabic" w:cs="Traditional Arabic" w:hint="cs"/>
          <w:b/>
          <w:bCs/>
          <w:sz w:val="28"/>
          <w:szCs w:val="28"/>
          <w:rtl/>
        </w:rPr>
        <w:t>حدود الدراسة</w:t>
      </w:r>
    </w:p>
    <w:p w14:paraId="11E25058" w14:textId="77777777" w:rsidR="00B429D5" w:rsidRPr="005201F9" w:rsidRDefault="00B429D5" w:rsidP="00B429D5">
      <w:pPr>
        <w:bidi/>
        <w:spacing w:line="360" w:lineRule="auto"/>
        <w:rPr>
          <w:rFonts w:ascii="Traditional Arabic" w:hAnsi="Traditional Arabic" w:cs="Traditional Arabic"/>
        </w:rPr>
      </w:pPr>
      <w:r w:rsidRPr="005201F9">
        <w:rPr>
          <w:rFonts w:ascii="Traditional Arabic" w:hAnsi="Traditional Arabic" w:cs="Traditional Arabic"/>
          <w:b/>
          <w:bCs/>
          <w:rtl/>
        </w:rPr>
        <w:t xml:space="preserve">أولاً: الحدود المكانية: </w:t>
      </w:r>
      <w:r w:rsidRPr="005201F9">
        <w:rPr>
          <w:rFonts w:ascii="Traditional Arabic" w:hAnsi="Traditional Arabic" w:cs="Traditional Arabic"/>
          <w:rtl/>
        </w:rPr>
        <w:t>تقتصر هذه الدراسة مكانيًا على شركة الدرعية في المملكة العربية السعودية، باعتبارها بيئة تطبيقية تمثل نموذجًا للشركات التنموية الكبرى ذات الطابع الاستراتيجي، والتي تعتمد على كفاءات بشرية عالية في إدارة مشاريع معقدة ومتعددة الأطراف.</w:t>
      </w:r>
    </w:p>
    <w:p w14:paraId="323109C6" w14:textId="77777777" w:rsidR="00B429D5" w:rsidRPr="005201F9" w:rsidRDefault="00B429D5" w:rsidP="00B429D5">
      <w:pPr>
        <w:bidi/>
        <w:spacing w:line="360" w:lineRule="auto"/>
        <w:rPr>
          <w:rFonts w:ascii="Traditional Arabic" w:hAnsi="Traditional Arabic" w:cs="Traditional Arabic"/>
        </w:rPr>
      </w:pPr>
      <w:r w:rsidRPr="005201F9">
        <w:rPr>
          <w:rFonts w:ascii="Traditional Arabic" w:hAnsi="Traditional Arabic" w:cs="Traditional Arabic"/>
          <w:rtl/>
        </w:rPr>
        <w:t>ويأتي اختيار هذا النطاق المكاني نظرًا لملاءمته لموضوع الدراسة، حيث تتجلى أهمية إدارة المواهب بصورة واضحة في المنظمات التي ترتبط بتحقيق مستهدفات تنموية كبرى ضمن رؤية 2030، وهو ما يجعل نتائج الدراسة مرتبطة بالسياق التنظيمي لهذه الشركة تحديدًا.</w:t>
      </w:r>
    </w:p>
    <w:p w14:paraId="1C041ECD" w14:textId="77777777" w:rsidR="00B429D5" w:rsidRPr="005201F9" w:rsidRDefault="00B429D5" w:rsidP="00B429D5">
      <w:pPr>
        <w:bidi/>
        <w:spacing w:line="360" w:lineRule="auto"/>
        <w:rPr>
          <w:rFonts w:ascii="Traditional Arabic" w:hAnsi="Traditional Arabic" w:cs="Traditional Arabic"/>
        </w:rPr>
      </w:pPr>
      <w:r w:rsidRPr="005201F9">
        <w:rPr>
          <w:rFonts w:ascii="Traditional Arabic" w:hAnsi="Traditional Arabic" w:cs="Traditional Arabic"/>
          <w:b/>
          <w:bCs/>
          <w:rtl/>
        </w:rPr>
        <w:t xml:space="preserve">ثانياً: الحدود الزمانية: </w:t>
      </w:r>
      <w:r w:rsidRPr="005201F9">
        <w:rPr>
          <w:rFonts w:ascii="Traditional Arabic" w:hAnsi="Traditional Arabic" w:cs="Traditional Arabic"/>
          <w:rtl/>
        </w:rPr>
        <w:t>تقتصر الدراسة زمانيًا على الفترة التي يتم فيها جمع البيانات وتحليلها خلال عام 2027، بحيث تعكس النتائج إدراك أفراد العينة لواقع سياسات قبول وعدم قبول الموهوبين وتأثيرها على الأداء والنتائج خلال فترة التطبيق.</w:t>
      </w:r>
    </w:p>
    <w:p w14:paraId="5AB8A0BA" w14:textId="77777777" w:rsidR="00B429D5" w:rsidRPr="005201F9" w:rsidRDefault="00B429D5" w:rsidP="00B429D5">
      <w:pPr>
        <w:bidi/>
        <w:spacing w:line="360" w:lineRule="auto"/>
        <w:rPr>
          <w:rFonts w:ascii="Traditional Arabic" w:hAnsi="Traditional Arabic" w:cs="Traditional Arabic"/>
        </w:rPr>
      </w:pPr>
      <w:r w:rsidRPr="005201F9">
        <w:rPr>
          <w:rFonts w:ascii="Traditional Arabic" w:hAnsi="Traditional Arabic" w:cs="Traditional Arabic"/>
          <w:b/>
          <w:bCs/>
          <w:rtl/>
        </w:rPr>
        <w:t>ثالثاً: الحدود البشرية:</w:t>
      </w:r>
      <w:r w:rsidRPr="005201F9">
        <w:rPr>
          <w:rFonts w:ascii="Traditional Arabic" w:hAnsi="Traditional Arabic" w:cs="Traditional Arabic"/>
          <w:rtl/>
        </w:rPr>
        <w:t xml:space="preserve"> تقتصر الدراسة بشريًا على الفئات الإدارية التالية داخل شركة الدرعية:</w:t>
      </w:r>
    </w:p>
    <w:p w14:paraId="77FAEFA9" w14:textId="77777777" w:rsidR="00B429D5" w:rsidRPr="005201F9" w:rsidRDefault="00B429D5" w:rsidP="00B429D5">
      <w:pPr>
        <w:bidi/>
        <w:spacing w:after="0" w:line="360" w:lineRule="auto"/>
        <w:rPr>
          <w:rFonts w:ascii="Traditional Arabic" w:hAnsi="Traditional Arabic" w:cs="Traditional Arabic"/>
        </w:rPr>
      </w:pPr>
      <w:r w:rsidRPr="005201F9">
        <w:rPr>
          <w:rFonts w:ascii="Traditional Arabic" w:hAnsi="Traditional Arabic" w:cs="Traditional Arabic"/>
          <w:rtl/>
        </w:rPr>
        <w:t>- المشرفون</w:t>
      </w:r>
      <w:r w:rsidRPr="005201F9">
        <w:rPr>
          <w:rFonts w:ascii="Traditional Arabic" w:hAnsi="Traditional Arabic" w:cs="Traditional Arabic"/>
          <w:rtl/>
        </w:rPr>
        <w:tab/>
        <w:t>- المدراء</w:t>
      </w:r>
      <w:r w:rsidRPr="005201F9">
        <w:rPr>
          <w:rFonts w:ascii="Traditional Arabic" w:hAnsi="Traditional Arabic" w:cs="Traditional Arabic"/>
          <w:rtl/>
        </w:rPr>
        <w:tab/>
      </w:r>
      <w:r w:rsidRPr="005201F9">
        <w:rPr>
          <w:rFonts w:ascii="Traditional Arabic" w:hAnsi="Traditional Arabic" w:cs="Traditional Arabic"/>
          <w:rtl/>
        </w:rPr>
        <w:tab/>
        <w:t>- التنفيذيون</w:t>
      </w:r>
      <w:r w:rsidRPr="005201F9">
        <w:rPr>
          <w:rFonts w:ascii="Traditional Arabic" w:hAnsi="Traditional Arabic" w:cs="Traditional Arabic"/>
          <w:rtl/>
        </w:rPr>
        <w:tab/>
        <w:t>- إدارة الموارد البشرية</w:t>
      </w:r>
    </w:p>
    <w:p w14:paraId="70C91C67" w14:textId="77777777" w:rsidR="00B429D5" w:rsidRPr="005201F9" w:rsidRDefault="00B429D5" w:rsidP="00B429D5">
      <w:pPr>
        <w:bidi/>
        <w:spacing w:after="0" w:line="360" w:lineRule="auto"/>
        <w:rPr>
          <w:rFonts w:ascii="Traditional Arabic" w:hAnsi="Traditional Arabic" w:cs="Traditional Arabic"/>
        </w:rPr>
      </w:pPr>
      <w:r w:rsidRPr="005201F9">
        <w:rPr>
          <w:rFonts w:ascii="Traditional Arabic" w:hAnsi="Traditional Arabic" w:cs="Traditional Arabic"/>
          <w:rtl/>
        </w:rPr>
        <w:t>ويرجع ذلك إلى:</w:t>
      </w:r>
    </w:p>
    <w:p w14:paraId="19046ED2" w14:textId="0B81E675" w:rsidR="00B429D5" w:rsidRPr="005201F9" w:rsidRDefault="00B429D5" w:rsidP="00321EDF">
      <w:pPr>
        <w:bidi/>
        <w:spacing w:after="0" w:line="360" w:lineRule="auto"/>
        <w:rPr>
          <w:rFonts w:ascii="Traditional Arabic" w:hAnsi="Traditional Arabic" w:cs="Traditional Arabic"/>
        </w:rPr>
      </w:pPr>
      <w:r w:rsidRPr="005201F9">
        <w:rPr>
          <w:rFonts w:ascii="Traditional Arabic" w:hAnsi="Traditional Arabic" w:cs="Traditional Arabic"/>
          <w:rtl/>
        </w:rPr>
        <w:t>- دورهم المباشر في عمليات الاستقطاب والتعيين</w:t>
      </w:r>
      <w:r w:rsidR="00321EDF">
        <w:rPr>
          <w:rFonts w:ascii="Traditional Arabic" w:hAnsi="Traditional Arabic" w:cs="Traditional Arabic" w:hint="cs"/>
          <w:rtl/>
        </w:rPr>
        <w:t xml:space="preserve">        </w:t>
      </w:r>
      <w:r w:rsidRPr="005201F9">
        <w:rPr>
          <w:rFonts w:ascii="Traditional Arabic" w:hAnsi="Traditional Arabic" w:cs="Traditional Arabic"/>
          <w:rtl/>
        </w:rPr>
        <w:t>- اطلاعهم على مؤشرات الأداء التنظيمي</w:t>
      </w:r>
      <w:r w:rsidR="00321EDF">
        <w:rPr>
          <w:rFonts w:ascii="Traditional Arabic" w:hAnsi="Traditional Arabic" w:cs="Traditional Arabic" w:hint="cs"/>
          <w:rtl/>
        </w:rPr>
        <w:t xml:space="preserve">        </w:t>
      </w:r>
      <w:r w:rsidRPr="005201F9">
        <w:rPr>
          <w:rFonts w:ascii="Traditional Arabic" w:hAnsi="Traditional Arabic" w:cs="Traditional Arabic"/>
          <w:rtl/>
        </w:rPr>
        <w:t>- مشاركتهم في تقييم النتائج الاستراتيجية</w:t>
      </w:r>
    </w:p>
    <w:p w14:paraId="06D79064" w14:textId="77777777" w:rsidR="00B429D5" w:rsidRPr="005201F9" w:rsidRDefault="00B429D5" w:rsidP="00B429D5">
      <w:pPr>
        <w:bidi/>
        <w:spacing w:line="360" w:lineRule="auto"/>
        <w:rPr>
          <w:rFonts w:ascii="Traditional Arabic" w:hAnsi="Traditional Arabic" w:cs="Traditional Arabic"/>
          <w:rtl/>
        </w:rPr>
      </w:pPr>
      <w:r w:rsidRPr="005201F9">
        <w:rPr>
          <w:rFonts w:ascii="Traditional Arabic" w:hAnsi="Traditional Arabic" w:cs="Traditional Arabic"/>
          <w:rtl/>
        </w:rPr>
        <w:lastRenderedPageBreak/>
        <w:t>ولا تشمل الدراسة الموظفين غير الإداريين أو العاملين الميدانيين، نظرًا لعدم ارتباطهم المباشر بقرارات قبول الكفاءات أو تقييم النتائج الاستراتيجية.</w:t>
      </w:r>
    </w:p>
    <w:p w14:paraId="15F26979" w14:textId="77777777" w:rsidR="00B429D5" w:rsidRPr="00A8590F" w:rsidRDefault="00B429D5" w:rsidP="00B429D5">
      <w:pPr>
        <w:bidi/>
        <w:spacing w:after="0" w:line="360" w:lineRule="auto"/>
        <w:jc w:val="both"/>
        <w:rPr>
          <w:rFonts w:ascii="Traditional Arabic" w:hAnsi="Traditional Arabic" w:cs="Traditional Arabic"/>
          <w:b/>
          <w:bCs/>
          <w:sz w:val="28"/>
          <w:szCs w:val="28"/>
          <w:rtl/>
        </w:rPr>
      </w:pPr>
    </w:p>
    <w:p w14:paraId="686C06E6" w14:textId="78344697" w:rsidR="0012211B" w:rsidRPr="00797703" w:rsidRDefault="00797703" w:rsidP="0012211B">
      <w:pPr>
        <w:bidi/>
        <w:spacing w:line="360" w:lineRule="auto"/>
        <w:jc w:val="both"/>
        <w:rPr>
          <w:rFonts w:ascii="Traditional Arabic" w:hAnsi="Traditional Arabic" w:cs="Traditional Arabic"/>
          <w:b/>
          <w:bCs/>
          <w:sz w:val="28"/>
          <w:szCs w:val="28"/>
          <w:rtl/>
        </w:rPr>
      </w:pPr>
      <w:r w:rsidRPr="00797703">
        <w:rPr>
          <w:rFonts w:ascii="Traditional Arabic" w:hAnsi="Traditional Arabic" w:cs="Traditional Arabic" w:hint="cs"/>
          <w:b/>
          <w:bCs/>
          <w:sz w:val="28"/>
          <w:szCs w:val="28"/>
          <w:rtl/>
        </w:rPr>
        <w:t>إجراءات ومنهجية الدراسة</w:t>
      </w:r>
    </w:p>
    <w:p w14:paraId="193505D3" w14:textId="12001A53" w:rsidR="00634DC7" w:rsidRDefault="003A1F12" w:rsidP="00634DC7">
      <w:pPr>
        <w:bidi/>
        <w:spacing w:line="360" w:lineRule="auto"/>
        <w:jc w:val="both"/>
        <w:rPr>
          <w:rFonts w:ascii="Traditional Arabic" w:hAnsi="Traditional Arabic" w:cs="Traditional Arabic"/>
          <w:b/>
          <w:bCs/>
        </w:rPr>
      </w:pPr>
      <w:r w:rsidRPr="005201F9">
        <w:rPr>
          <w:rFonts w:ascii="Traditional Arabic" w:hAnsi="Traditional Arabic" w:cs="Traditional Arabic"/>
          <w:b/>
          <w:bCs/>
          <w:rtl/>
        </w:rPr>
        <w:t xml:space="preserve">أولاً: نوع الدراسة ومنهجيتها: </w:t>
      </w:r>
      <w:r w:rsidR="008E3770" w:rsidRPr="009637FF">
        <w:rPr>
          <w:rFonts w:ascii="Traditional Arabic" w:hAnsi="Traditional Arabic" w:cs="Traditional Arabic"/>
          <w:rtl/>
        </w:rPr>
        <w:t xml:space="preserve">تعتمد الدراسة على المنهج الوصفي التحليلي بوصفه </w:t>
      </w:r>
      <w:r w:rsidR="002D4EDA" w:rsidRPr="009637FF">
        <w:rPr>
          <w:rFonts w:ascii="Traditional Arabic" w:hAnsi="Traditional Arabic" w:cs="Traditional Arabic"/>
          <w:rtl/>
        </w:rPr>
        <w:t>الإطار</w:t>
      </w:r>
      <w:r w:rsidR="008E3770" w:rsidRPr="009637FF">
        <w:rPr>
          <w:rFonts w:ascii="Traditional Arabic" w:hAnsi="Traditional Arabic" w:cs="Traditional Arabic"/>
          <w:rtl/>
        </w:rPr>
        <w:t xml:space="preserve"> العام للدراسة، لملاءمته لطبيعة الدراسة وأهدافها، لتحديد طبيعة المتغيرات ووصف الظاهرة، وتم اعتماد المنهج المختلط من خلال الدمج بين الأساليب الكمية والنوعية حيث يهدف الجانب الكمي إلى قياس العلاقات بين</w:t>
      </w:r>
      <w:r w:rsidR="002D4EDA" w:rsidRPr="009637FF">
        <w:rPr>
          <w:rFonts w:ascii="Traditional Arabic" w:hAnsi="Traditional Arabic" w:cs="Traditional Arabic"/>
          <w:rtl/>
        </w:rPr>
        <w:t xml:space="preserve"> إدارة المواهب واندماج الموظفين والأداء التنظيمي، في حين ي</w:t>
      </w:r>
      <w:r w:rsidR="002D4EDA" w:rsidRPr="00634DC7">
        <w:rPr>
          <w:rFonts w:ascii="Traditional Arabic" w:hAnsi="Traditional Arabic" w:cs="Traditional Arabic"/>
          <w:rtl/>
        </w:rPr>
        <w:t>هدف الجانب النوعي إلى تعميق</w:t>
      </w:r>
      <w:r w:rsidR="002D4EDA" w:rsidRPr="009637FF">
        <w:rPr>
          <w:rFonts w:ascii="Traditional Arabic" w:hAnsi="Traditional Arabic" w:cs="Traditional Arabic"/>
          <w:rtl/>
        </w:rPr>
        <w:t xml:space="preserve"> تفسير النتائج وفهم السياق التنظيمي الذي تظهر فيه هذه العلاقات.</w:t>
      </w:r>
      <w:r w:rsidR="00634DC7">
        <w:rPr>
          <w:rFonts w:ascii="Traditional Arabic" w:hAnsi="Traditional Arabic" w:cs="Traditional Arabic"/>
        </w:rPr>
        <w:t xml:space="preserve"> </w:t>
      </w:r>
      <w:r w:rsidR="00634DC7" w:rsidRPr="00634DC7">
        <w:rPr>
          <w:rFonts w:ascii="Traditional Arabic" w:hAnsi="Traditional Arabic" w:cs="Traditional Arabic" w:hint="cs"/>
          <w:rtl/>
        </w:rPr>
        <w:t>واعتمدت</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الدراسة</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في</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جمع</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بياناتها</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على</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ثلاث</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أدوات</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رئيسة</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الاستبانة،</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والمقابلات</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الشخصية،</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والملاحظة</w:t>
      </w:r>
      <w:r w:rsidR="00634DC7" w:rsidRPr="00634DC7">
        <w:rPr>
          <w:rFonts w:ascii="Traditional Arabic" w:hAnsi="Traditional Arabic" w:cs="Traditional Arabic"/>
          <w:rtl/>
        </w:rPr>
        <w:t xml:space="preserve"> </w:t>
      </w:r>
      <w:r w:rsidR="00634DC7" w:rsidRPr="00634DC7">
        <w:rPr>
          <w:rFonts w:ascii="Traditional Arabic" w:hAnsi="Traditional Arabic" w:cs="Traditional Arabic" w:hint="cs"/>
          <w:rtl/>
        </w:rPr>
        <w:t>الشخصية</w:t>
      </w:r>
      <w:r w:rsidR="00ED6B2A">
        <w:rPr>
          <w:rFonts w:ascii="Traditional Arabic" w:hAnsi="Traditional Arabic" w:cs="Traditional Arabic"/>
        </w:rPr>
        <w:t>.</w:t>
      </w:r>
    </w:p>
    <w:p w14:paraId="62533194" w14:textId="489F43E5" w:rsidR="003A1F12" w:rsidRPr="005201F9" w:rsidRDefault="003A1F12" w:rsidP="002D4EDA">
      <w:pPr>
        <w:bidi/>
        <w:spacing w:line="360" w:lineRule="auto"/>
        <w:jc w:val="both"/>
        <w:rPr>
          <w:rFonts w:ascii="Traditional Arabic" w:hAnsi="Traditional Arabic" w:cs="Traditional Arabic"/>
        </w:rPr>
      </w:pPr>
      <w:r w:rsidRPr="005201F9">
        <w:rPr>
          <w:rFonts w:ascii="Traditional Arabic" w:hAnsi="Traditional Arabic" w:cs="Traditional Arabic"/>
          <w:b/>
          <w:bCs/>
          <w:rtl/>
        </w:rPr>
        <w:t xml:space="preserve">ثانياً: مجتمع الدراسة: </w:t>
      </w:r>
      <w:r w:rsidRPr="005201F9">
        <w:rPr>
          <w:rFonts w:ascii="Traditional Arabic" w:hAnsi="Traditional Arabic" w:cs="Traditional Arabic"/>
          <w:rtl/>
        </w:rPr>
        <w:t>سيتم اعتماد أسلوب الحصر الشامل لكافة أفراد المجتمع نظرًا لكون الدراسة دراسة حالة على منظمة واحدة</w:t>
      </w:r>
      <w:r w:rsidRPr="005201F9">
        <w:rPr>
          <w:rFonts w:ascii="Traditional Arabic" w:hAnsi="Traditional Arabic" w:cs="Traditional Arabic"/>
        </w:rPr>
        <w:t>.</w:t>
      </w:r>
      <w:r w:rsidRPr="005201F9">
        <w:rPr>
          <w:rFonts w:ascii="Traditional Arabic" w:hAnsi="Traditional Arabic" w:cs="Traditional Arabic"/>
          <w:rtl/>
        </w:rPr>
        <w:t xml:space="preserve"> ويتكون مجتمع الدراسة من المشرفين، والمدراء، والتنفيذيين، وإدارة الموارد البشرية في شركة الدرعية. هذا يعزز دقة القياس وموضوعية البيانات. ويرجع اختيار هذه الفئات إلى: </w:t>
      </w:r>
    </w:p>
    <w:p w14:paraId="4E1AEE34" w14:textId="65B03DA5" w:rsidR="003A1F12" w:rsidRPr="005201F9" w:rsidRDefault="003A1F12" w:rsidP="00397802">
      <w:pPr>
        <w:bidi/>
        <w:spacing w:line="360" w:lineRule="auto"/>
        <w:jc w:val="both"/>
        <w:rPr>
          <w:rFonts w:ascii="Traditional Arabic" w:hAnsi="Traditional Arabic" w:cs="Traditional Arabic"/>
        </w:rPr>
      </w:pPr>
      <w:r w:rsidRPr="005201F9">
        <w:rPr>
          <w:rFonts w:ascii="Traditional Arabic" w:hAnsi="Traditional Arabic" w:cs="Traditional Arabic"/>
          <w:rtl/>
        </w:rPr>
        <w:t xml:space="preserve">- دورهم المباشر في قرارات الاستقطاب والتعيين </w:t>
      </w:r>
      <w:r w:rsidR="00DD7167">
        <w:rPr>
          <w:rFonts w:ascii="Traditional Arabic" w:hAnsi="Traditional Arabic" w:cs="Traditional Arabic" w:hint="cs"/>
          <w:rtl/>
        </w:rPr>
        <w:t xml:space="preserve">         </w:t>
      </w:r>
      <w:r w:rsidR="00397802">
        <w:rPr>
          <w:rFonts w:ascii="Traditional Arabic" w:hAnsi="Traditional Arabic" w:cs="Traditional Arabic" w:hint="cs"/>
          <w:rtl/>
        </w:rPr>
        <w:t xml:space="preserve">     </w:t>
      </w:r>
      <w:r w:rsidRPr="005201F9">
        <w:rPr>
          <w:rFonts w:ascii="Traditional Arabic" w:hAnsi="Traditional Arabic" w:cs="Traditional Arabic"/>
          <w:rtl/>
        </w:rPr>
        <w:t>- مشاركتهم في تقييم الأداء التنظيمي</w:t>
      </w:r>
      <w:r w:rsidR="00DD7167">
        <w:rPr>
          <w:rFonts w:ascii="Traditional Arabic" w:hAnsi="Traditional Arabic" w:cs="Traditional Arabic" w:hint="cs"/>
          <w:rtl/>
        </w:rPr>
        <w:t xml:space="preserve">               </w:t>
      </w:r>
      <w:r w:rsidRPr="005201F9">
        <w:rPr>
          <w:rFonts w:ascii="Traditional Arabic" w:hAnsi="Traditional Arabic" w:cs="Traditional Arabic"/>
          <w:rtl/>
        </w:rPr>
        <w:t>- إدراكهم لمستوى الأداء التنظيمي</w:t>
      </w:r>
      <w:r w:rsidRPr="005201F9">
        <w:rPr>
          <w:rFonts w:ascii="Traditional Arabic" w:hAnsi="Traditional Arabic" w:cs="Traditional Arabic"/>
          <w:rtl/>
        </w:rPr>
        <w:tab/>
      </w:r>
    </w:p>
    <w:p w14:paraId="7A310FB6" w14:textId="77777777" w:rsidR="003A1F12" w:rsidRPr="005201F9" w:rsidRDefault="003A1F12" w:rsidP="003A1F12">
      <w:pPr>
        <w:bidi/>
        <w:spacing w:line="360" w:lineRule="auto"/>
        <w:jc w:val="lowKashida"/>
        <w:rPr>
          <w:rFonts w:ascii="Traditional Arabic" w:hAnsi="Traditional Arabic" w:cs="Traditional Arabic"/>
        </w:rPr>
      </w:pPr>
      <w:r w:rsidRPr="005201F9">
        <w:rPr>
          <w:rFonts w:ascii="Traditional Arabic" w:hAnsi="Traditional Arabic" w:cs="Traditional Arabic"/>
          <w:b/>
          <w:bCs/>
          <w:rtl/>
        </w:rPr>
        <w:t xml:space="preserve">ثالثاً: عينة الدراسة وحجمها: </w:t>
      </w:r>
      <w:r w:rsidRPr="005201F9">
        <w:rPr>
          <w:rFonts w:ascii="Traditional Arabic" w:hAnsi="Traditional Arabic" w:cs="Traditional Arabic"/>
          <w:rtl/>
        </w:rPr>
        <w:t>نظرًا لطبيعة الدراسة كدراسة حالة، سيتم استخدام أسلوب الحصر الشامل، إن أمكن، لكافة القيادات الإدارية والمشرفين في شركة الدرعية والبالغ عددهم (250)، بهدف تحقيق أعلى درجة من الدقة والتمثيل. وهو الأسلوب الذي يُعد من أكثر الأساليب دقة في الدراسات التطبيقية، مما يسهم في تعزيز موثوقية النتائج وقابليتها للتعميم داخل نطاق المنظمة</w:t>
      </w:r>
      <w:r w:rsidRPr="005201F9">
        <w:rPr>
          <w:rFonts w:ascii="Traditional Arabic" w:hAnsi="Traditional Arabic" w:cs="Traditional Arabic"/>
        </w:rPr>
        <w:t>.</w:t>
      </w:r>
    </w:p>
    <w:p w14:paraId="133D1988" w14:textId="1282EF1D" w:rsidR="003A1F12" w:rsidRDefault="003A1F12" w:rsidP="00EF363D">
      <w:pPr>
        <w:bidi/>
        <w:spacing w:after="0" w:line="360" w:lineRule="auto"/>
        <w:jc w:val="both"/>
        <w:rPr>
          <w:rFonts w:ascii="Traditional Arabic" w:hAnsi="Traditional Arabic" w:cs="Traditional Arabic"/>
        </w:rPr>
      </w:pPr>
      <w:r w:rsidRPr="005201F9">
        <w:rPr>
          <w:rFonts w:ascii="Traditional Arabic" w:hAnsi="Traditional Arabic" w:cs="Traditional Arabic"/>
          <w:b/>
          <w:bCs/>
          <w:rtl/>
        </w:rPr>
        <w:t>حجم العينة المقترح:</w:t>
      </w:r>
      <w:r w:rsidRPr="005201F9">
        <w:rPr>
          <w:rFonts w:ascii="Traditional Arabic" w:hAnsi="Traditional Arabic" w:cs="Traditional Arabic"/>
          <w:rtl/>
        </w:rPr>
        <w:t xml:space="preserve"> وفقًا لقاعدة التحليل الإحصائي في الانحدار المتعدد، يُفضل ألا يقل حجم العينة عن 10–15 مفردة لكل متغير مستقل. وبما أن الدراسة تحتوي على متغير مستقل (إدارة المواهب)، ومتغير وسيط (اندماج الموظفين)، ومتغير تابع (الأداء التنظيمي)، فإن الحد الأدنى المقبول هو 100 مبحوثا، بينما حجم العينة في هذا البحث (250) مشاركًا لزيادة القوة الإحصائية ودقة النتائج. </w:t>
      </w:r>
    </w:p>
    <w:p w14:paraId="7E35B184" w14:textId="77777777" w:rsidR="00EF363D" w:rsidRDefault="00EF363D" w:rsidP="00EF363D">
      <w:pPr>
        <w:bidi/>
        <w:spacing w:after="0" w:line="360" w:lineRule="auto"/>
        <w:jc w:val="both"/>
        <w:rPr>
          <w:rFonts w:ascii="Traditional Arabic" w:hAnsi="Traditional Arabic" w:cs="Traditional Arabic"/>
        </w:rPr>
      </w:pPr>
    </w:p>
    <w:p w14:paraId="089F4D82" w14:textId="77777777" w:rsidR="002B4769" w:rsidRDefault="002B4769" w:rsidP="002B4769">
      <w:pPr>
        <w:bidi/>
        <w:spacing w:after="0" w:line="360" w:lineRule="auto"/>
        <w:jc w:val="both"/>
        <w:rPr>
          <w:rFonts w:ascii="Traditional Arabic" w:hAnsi="Traditional Arabic" w:cs="Traditional Arabic"/>
        </w:rPr>
      </w:pPr>
    </w:p>
    <w:p w14:paraId="0F5424AE" w14:textId="77777777" w:rsidR="002B4769" w:rsidRDefault="002B4769" w:rsidP="002B4769">
      <w:pPr>
        <w:bidi/>
        <w:spacing w:after="0" w:line="360" w:lineRule="auto"/>
        <w:jc w:val="both"/>
        <w:rPr>
          <w:rFonts w:ascii="Traditional Arabic" w:hAnsi="Traditional Arabic" w:cs="Traditional Arabic"/>
        </w:rPr>
      </w:pPr>
    </w:p>
    <w:p w14:paraId="3E003B34" w14:textId="77777777" w:rsidR="002B4769" w:rsidRDefault="002B4769" w:rsidP="002B4769">
      <w:pPr>
        <w:bidi/>
        <w:spacing w:after="0" w:line="360" w:lineRule="auto"/>
        <w:jc w:val="both"/>
        <w:rPr>
          <w:rFonts w:ascii="Traditional Arabic" w:hAnsi="Traditional Arabic" w:cs="Traditional Arabic"/>
        </w:rPr>
      </w:pPr>
    </w:p>
    <w:p w14:paraId="60C65E37" w14:textId="77777777" w:rsidR="002B4769" w:rsidRDefault="002B4769" w:rsidP="002B4769">
      <w:pPr>
        <w:bidi/>
        <w:spacing w:after="0" w:line="360" w:lineRule="auto"/>
        <w:jc w:val="both"/>
        <w:rPr>
          <w:rFonts w:ascii="Traditional Arabic" w:hAnsi="Traditional Arabic" w:cs="Traditional Arabic"/>
        </w:rPr>
      </w:pPr>
    </w:p>
    <w:p w14:paraId="2839A6DD" w14:textId="77777777" w:rsidR="002B4769" w:rsidRPr="005201F9" w:rsidRDefault="002B4769" w:rsidP="002B4769">
      <w:pPr>
        <w:bidi/>
        <w:spacing w:after="0" w:line="360" w:lineRule="auto"/>
        <w:jc w:val="both"/>
        <w:rPr>
          <w:rFonts w:ascii="Traditional Arabic" w:hAnsi="Traditional Arabic" w:cs="Traditional Arabic"/>
        </w:rPr>
      </w:pPr>
    </w:p>
    <w:p w14:paraId="15DE1B9F" w14:textId="77777777" w:rsidR="002F4F22" w:rsidRDefault="0007781D" w:rsidP="00B83912">
      <w:pPr>
        <w:bidi/>
        <w:spacing w:line="360" w:lineRule="auto"/>
        <w:jc w:val="both"/>
        <w:rPr>
          <w:rFonts w:ascii="Traditional Arabic" w:hAnsi="Traditional Arabic" w:cs="Traditional Arabic"/>
          <w:b/>
          <w:bCs/>
          <w:sz w:val="28"/>
          <w:szCs w:val="28"/>
          <w:rtl/>
        </w:rPr>
      </w:pPr>
      <w:r w:rsidRPr="002F4F22">
        <w:rPr>
          <w:rFonts w:ascii="Traditional Arabic" w:hAnsi="Traditional Arabic" w:cs="Traditional Arabic"/>
          <w:b/>
          <w:bCs/>
          <w:sz w:val="28"/>
          <w:szCs w:val="28"/>
          <w:rtl/>
        </w:rPr>
        <w:lastRenderedPageBreak/>
        <w:t>نموذج الدراسة</w:t>
      </w:r>
    </w:p>
    <w:p w14:paraId="7FD5ADD7" w14:textId="1BB1D19D" w:rsidR="0007781D" w:rsidRPr="005201F9" w:rsidRDefault="0007781D" w:rsidP="00EF363D">
      <w:pPr>
        <w:bidi/>
        <w:spacing w:line="360" w:lineRule="auto"/>
        <w:jc w:val="both"/>
        <w:rPr>
          <w:rFonts w:ascii="Traditional Arabic" w:hAnsi="Traditional Arabic" w:cs="Traditional Arabic"/>
          <w:rtl/>
        </w:rPr>
      </w:pPr>
      <w:r w:rsidRPr="005201F9">
        <w:rPr>
          <w:rFonts w:ascii="Traditional Arabic" w:hAnsi="Traditional Arabic" w:cs="Traditional Arabic"/>
          <w:b/>
          <w:bCs/>
        </w:rPr>
        <w:t xml:space="preserve"> </w:t>
      </w:r>
      <w:r w:rsidRPr="005201F9">
        <w:rPr>
          <w:rFonts w:ascii="Traditional Arabic" w:hAnsi="Traditional Arabic" w:cs="Traditional Arabic"/>
          <w:rtl/>
        </w:rPr>
        <w:t>يعتمد نموذج الدراسة الحالية على افتراض أن إدارة المواهب تمثل مدخلاً استراتيجياً يؤثر في الأداء التنظيمي بشكل مباشر وغير مباشر من خلال اندماج الموظفين كمتغير وسيط. ويستند هذا النموذج إلى أدبيات إدارة الموارد البشرية الاستراتيجية التي تؤكد أن فعالية ممارسات إدارة المواهب تسهم في تعزيز اندماج الموظفين، مما ينعكس إيجابياً على الأداء التنظيمي (</w:t>
      </w:r>
      <w:r w:rsidRPr="005201F9">
        <w:rPr>
          <w:rFonts w:ascii="Traditional Arabic" w:hAnsi="Traditional Arabic" w:cs="Traditional Arabic"/>
        </w:rPr>
        <w:t>Collings et al., 2021; Al Ariss et al., 2022</w:t>
      </w:r>
      <w:r w:rsidRPr="005201F9">
        <w:rPr>
          <w:rFonts w:ascii="Traditional Arabic" w:hAnsi="Traditional Arabic" w:cs="Traditional Arabic"/>
          <w:rtl/>
        </w:rPr>
        <w:t>). كما يدعم منظور الموارد القائمة على المنظمة</w:t>
      </w:r>
      <w:r w:rsidR="00034136" w:rsidRPr="005201F9">
        <w:rPr>
          <w:rFonts w:ascii="Traditional Arabic" w:hAnsi="Traditional Arabic" w:cs="Traditional Arabic"/>
          <w:rtl/>
        </w:rPr>
        <w:t xml:space="preserve"> هذا التوجه</w:t>
      </w:r>
      <w:r w:rsidRPr="005201F9">
        <w:rPr>
          <w:rFonts w:ascii="Traditional Arabic" w:hAnsi="Traditional Arabic" w:cs="Traditional Arabic"/>
          <w:rtl/>
        </w:rPr>
        <w:t xml:space="preserve">، </w:t>
      </w:r>
      <w:r w:rsidRPr="005201F9">
        <w:rPr>
          <w:rFonts w:ascii="Traditional Arabic" w:hAnsi="Traditional Arabic" w:cs="Traditional Arabic"/>
        </w:rPr>
        <w:t>Resources Based View</w:t>
      </w:r>
      <w:r w:rsidRPr="005201F9">
        <w:rPr>
          <w:rFonts w:ascii="Traditional Arabic" w:hAnsi="Traditional Arabic" w:cs="Traditional Arabic"/>
          <w:rtl/>
        </w:rPr>
        <w:t xml:space="preserve"> (</w:t>
      </w:r>
      <w:r w:rsidRPr="005201F9">
        <w:rPr>
          <w:rFonts w:ascii="Traditional Arabic" w:hAnsi="Traditional Arabic" w:cs="Traditional Arabic"/>
        </w:rPr>
        <w:t>RBV</w:t>
      </w:r>
      <w:r w:rsidR="00034136" w:rsidRPr="005201F9">
        <w:rPr>
          <w:rFonts w:ascii="Traditional Arabic" w:hAnsi="Traditional Arabic" w:cs="Traditional Arabic"/>
          <w:rtl/>
        </w:rPr>
        <w:t>)،</w:t>
      </w:r>
      <w:r w:rsidRPr="005201F9">
        <w:rPr>
          <w:rFonts w:ascii="Traditional Arabic" w:hAnsi="Traditional Arabic" w:cs="Traditional Arabic"/>
          <w:rtl/>
        </w:rPr>
        <w:t xml:space="preserve"> حيث تُعد الكفاءات البشرية مورداً استراتيجياً يحقق ميزة تنافسية مستدامة عند استثماره بفعالية.</w:t>
      </w:r>
      <w:r w:rsidR="00EF363D">
        <w:rPr>
          <w:rFonts w:ascii="Traditional Arabic" w:hAnsi="Traditional Arabic" w:cs="Traditional Arabic"/>
        </w:rPr>
        <w:t xml:space="preserve"> </w:t>
      </w:r>
      <w:r w:rsidRPr="005201F9">
        <w:rPr>
          <w:rFonts w:ascii="Traditional Arabic" w:hAnsi="Traditional Arabic" w:cs="Traditional Arabic"/>
          <w:rtl/>
        </w:rPr>
        <w:t>ويتكون نموذج الدراسة من ثلاث متغيرات رئيسة، وهي: إدارة المواهب كمتغير مستقل، واندماج الموظفين كمتغير وسيط، والأداء التنظيمي كمتغير تابع.</w:t>
      </w:r>
    </w:p>
    <w:p w14:paraId="1384EC8D" w14:textId="6D73A347" w:rsidR="0001549B" w:rsidRDefault="0001549B" w:rsidP="00FC790D">
      <w:pPr>
        <w:bidi/>
        <w:spacing w:after="0" w:line="240" w:lineRule="auto"/>
        <w:jc w:val="center"/>
        <w:rPr>
          <w:rFonts w:ascii="Traditional Arabic" w:hAnsi="Traditional Arabic" w:cs="Traditional Arabic"/>
          <w:rtl/>
        </w:rPr>
      </w:pPr>
      <w:r w:rsidRPr="005201F9">
        <w:rPr>
          <w:rFonts w:ascii="Traditional Arabic" w:hAnsi="Traditional Arabic" w:cs="Traditional Arabic"/>
          <w:noProof/>
        </w:rPr>
        <w:drawing>
          <wp:inline distT="0" distB="0" distL="0" distR="0" wp14:anchorId="084BD4A1" wp14:editId="786B258D">
            <wp:extent cx="3533485" cy="902786"/>
            <wp:effectExtent l="76200" t="76200" r="67310" b="692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38165" cy="903982"/>
                    </a:xfrm>
                    <a:prstGeom prst="rect">
                      <a:avLst/>
                    </a:prstGeom>
                    <a:ln w="38100" cap="sq">
                      <a:solidFill>
                        <a:srgbClr val="000000"/>
                      </a:solidFill>
                      <a:prstDash val="solid"/>
                      <a:miter lim="800000"/>
                    </a:ln>
                    <a:effectLst>
                      <a:outerShdw blurRad="1270000" dir="21540000" sx="200000" sy="200000" algn="tl" rotWithShape="0">
                        <a:srgbClr val="000000">
                          <a:alpha val="0"/>
                        </a:srgbClr>
                      </a:outerShdw>
                      <a:softEdge rad="38100"/>
                    </a:effectLst>
                  </pic:spPr>
                </pic:pic>
              </a:graphicData>
            </a:graphic>
          </wp:inline>
        </w:drawing>
      </w:r>
    </w:p>
    <w:p w14:paraId="03EE2704" w14:textId="4607EE95" w:rsidR="00FE5DC2" w:rsidRPr="00FC15ED" w:rsidRDefault="004E4893" w:rsidP="00B32124">
      <w:pPr>
        <w:bidi/>
        <w:spacing w:after="0" w:line="360" w:lineRule="auto"/>
        <w:jc w:val="center"/>
        <w:rPr>
          <w:rFonts w:ascii="Traditional Arabic" w:hAnsi="Traditional Arabic" w:cs="Traditional Arabic"/>
          <w:b/>
          <w:bCs/>
          <w:sz w:val="20"/>
          <w:szCs w:val="20"/>
          <w:rtl/>
        </w:rPr>
      </w:pPr>
      <w:r w:rsidRPr="00FC15ED">
        <w:rPr>
          <w:rFonts w:ascii="Traditional Arabic" w:hAnsi="Traditional Arabic" w:cs="Traditional Arabic" w:hint="cs"/>
          <w:b/>
          <w:bCs/>
          <w:sz w:val="20"/>
          <w:szCs w:val="20"/>
          <w:rtl/>
        </w:rPr>
        <w:t xml:space="preserve">الشكل1: نموذج </w:t>
      </w:r>
      <w:r w:rsidR="00D44324" w:rsidRPr="00FC15ED">
        <w:rPr>
          <w:rFonts w:ascii="Traditional Arabic" w:hAnsi="Traditional Arabic" w:cs="Traditional Arabic" w:hint="cs"/>
          <w:b/>
          <w:bCs/>
          <w:sz w:val="20"/>
          <w:szCs w:val="20"/>
          <w:rtl/>
        </w:rPr>
        <w:t>الدراسة</w:t>
      </w:r>
      <w:r w:rsidR="00D44324">
        <w:rPr>
          <w:rFonts w:ascii="Traditional Arabic" w:hAnsi="Traditional Arabic" w:cs="Traditional Arabic" w:hint="cs"/>
          <w:b/>
          <w:bCs/>
          <w:sz w:val="20"/>
          <w:szCs w:val="20"/>
          <w:rtl/>
        </w:rPr>
        <w:t>،</w:t>
      </w:r>
      <w:r w:rsidR="00D8463C" w:rsidRPr="00FC15ED">
        <w:rPr>
          <w:rFonts w:ascii="Traditional Arabic" w:hAnsi="Traditional Arabic" w:cs="Traditional Arabic" w:hint="cs"/>
          <w:b/>
          <w:bCs/>
          <w:sz w:val="20"/>
          <w:szCs w:val="20"/>
          <w:rtl/>
        </w:rPr>
        <w:t xml:space="preserve"> (المصدر: إعداد الباحث)</w:t>
      </w:r>
    </w:p>
    <w:p w14:paraId="437B13A1" w14:textId="77777777" w:rsidR="0007781D" w:rsidRPr="005201F9" w:rsidRDefault="0007781D" w:rsidP="005201F9">
      <w:pPr>
        <w:bidi/>
        <w:spacing w:line="360" w:lineRule="auto"/>
        <w:rPr>
          <w:rFonts w:ascii="Traditional Arabic" w:hAnsi="Traditional Arabic" w:cs="Traditional Arabic"/>
          <w:rtl/>
        </w:rPr>
      </w:pPr>
    </w:p>
    <w:p w14:paraId="14CFE4CB" w14:textId="77777777" w:rsidR="0007781D" w:rsidRPr="005201F9" w:rsidRDefault="0007781D" w:rsidP="005201F9">
      <w:pPr>
        <w:spacing w:line="360" w:lineRule="auto"/>
        <w:rPr>
          <w:rFonts w:ascii="Traditional Arabic" w:hAnsi="Traditional Arabic" w:cs="Traditional Arabic"/>
        </w:rPr>
      </w:pPr>
    </w:p>
    <w:p w14:paraId="051A54E4" w14:textId="77777777" w:rsidR="001B1D3A" w:rsidRDefault="001B1D3A" w:rsidP="005201F9">
      <w:pPr>
        <w:bidi/>
        <w:spacing w:line="360" w:lineRule="auto"/>
        <w:rPr>
          <w:rFonts w:ascii="Traditional Arabic" w:hAnsi="Traditional Arabic" w:cs="Traditional Arabic"/>
        </w:rPr>
      </w:pPr>
    </w:p>
    <w:p w14:paraId="48B455D8" w14:textId="77777777" w:rsidR="002B4769" w:rsidRDefault="002B4769" w:rsidP="002B4769">
      <w:pPr>
        <w:bidi/>
        <w:spacing w:line="360" w:lineRule="auto"/>
        <w:rPr>
          <w:rFonts w:ascii="Traditional Arabic" w:hAnsi="Traditional Arabic" w:cs="Traditional Arabic"/>
        </w:rPr>
      </w:pPr>
    </w:p>
    <w:p w14:paraId="56138784" w14:textId="77777777" w:rsidR="002B4769" w:rsidRDefault="002B4769" w:rsidP="002B4769">
      <w:pPr>
        <w:bidi/>
        <w:spacing w:line="360" w:lineRule="auto"/>
        <w:rPr>
          <w:rFonts w:ascii="Traditional Arabic" w:hAnsi="Traditional Arabic" w:cs="Traditional Arabic"/>
        </w:rPr>
      </w:pPr>
    </w:p>
    <w:p w14:paraId="05F7646A" w14:textId="77777777" w:rsidR="002B4769" w:rsidRDefault="002B4769" w:rsidP="002B4769">
      <w:pPr>
        <w:bidi/>
        <w:spacing w:line="360" w:lineRule="auto"/>
        <w:rPr>
          <w:rFonts w:ascii="Traditional Arabic" w:hAnsi="Traditional Arabic" w:cs="Traditional Arabic"/>
        </w:rPr>
      </w:pPr>
    </w:p>
    <w:p w14:paraId="23739255" w14:textId="77777777" w:rsidR="002B4769" w:rsidRDefault="002B4769" w:rsidP="002B4769">
      <w:pPr>
        <w:bidi/>
        <w:spacing w:line="360" w:lineRule="auto"/>
        <w:rPr>
          <w:rFonts w:ascii="Traditional Arabic" w:hAnsi="Traditional Arabic" w:cs="Traditional Arabic"/>
        </w:rPr>
      </w:pPr>
    </w:p>
    <w:p w14:paraId="5303A9C3" w14:textId="77777777" w:rsidR="002B4769" w:rsidRDefault="002B4769" w:rsidP="002B4769">
      <w:pPr>
        <w:bidi/>
        <w:spacing w:line="360" w:lineRule="auto"/>
        <w:rPr>
          <w:rFonts w:ascii="Traditional Arabic" w:hAnsi="Traditional Arabic" w:cs="Traditional Arabic"/>
        </w:rPr>
      </w:pPr>
    </w:p>
    <w:p w14:paraId="3052E4CC" w14:textId="77777777" w:rsidR="002B4769" w:rsidRPr="005201F9" w:rsidRDefault="002B4769" w:rsidP="002B4769">
      <w:pPr>
        <w:bidi/>
        <w:spacing w:line="360" w:lineRule="auto"/>
        <w:rPr>
          <w:rFonts w:ascii="Traditional Arabic" w:hAnsi="Traditional Arabic" w:cs="Traditional Arabic"/>
          <w:rtl/>
        </w:rPr>
      </w:pPr>
    </w:p>
    <w:p w14:paraId="4947705B" w14:textId="6D78367B" w:rsidR="00E30EA5" w:rsidRPr="007253BD" w:rsidRDefault="00E712CB" w:rsidP="00226EAB">
      <w:pPr>
        <w:bidi/>
        <w:spacing w:line="360" w:lineRule="auto"/>
        <w:jc w:val="center"/>
        <w:rPr>
          <w:rFonts w:ascii="Traditional Arabic" w:hAnsi="Traditional Arabic" w:cs="Traditional Arabic"/>
          <w:b/>
          <w:bCs/>
          <w:sz w:val="32"/>
          <w:szCs w:val="32"/>
          <w:rtl/>
        </w:rPr>
      </w:pPr>
      <w:r w:rsidRPr="007253BD">
        <w:rPr>
          <w:rFonts w:ascii="Traditional Arabic" w:hAnsi="Traditional Arabic" w:cs="Traditional Arabic"/>
          <w:b/>
          <w:bCs/>
          <w:sz w:val="32"/>
          <w:szCs w:val="32"/>
          <w:rtl/>
        </w:rPr>
        <w:lastRenderedPageBreak/>
        <w:t>المراجع</w:t>
      </w:r>
      <w:r w:rsidR="00F26A4A" w:rsidRPr="007253BD">
        <w:rPr>
          <w:rFonts w:ascii="Traditional Arabic" w:hAnsi="Traditional Arabic" w:cs="Traditional Arabic"/>
          <w:b/>
          <w:bCs/>
          <w:sz w:val="32"/>
          <w:szCs w:val="32"/>
          <w:rtl/>
        </w:rPr>
        <w:t xml:space="preserve"> والدراسات الأدبية</w:t>
      </w:r>
    </w:p>
    <w:p w14:paraId="6545AEA0" w14:textId="77777777" w:rsidR="00D26B97" w:rsidRPr="007253BD" w:rsidRDefault="00D26B97" w:rsidP="005201F9">
      <w:pPr>
        <w:bidi/>
        <w:spacing w:after="0" w:line="360" w:lineRule="auto"/>
        <w:rPr>
          <w:rFonts w:ascii="Traditional Arabic" w:hAnsi="Traditional Arabic" w:cs="Traditional Arabic"/>
          <w:b/>
          <w:bCs/>
          <w:sz w:val="28"/>
          <w:szCs w:val="28"/>
          <w:rtl/>
        </w:rPr>
      </w:pPr>
      <w:r w:rsidRPr="007253BD">
        <w:rPr>
          <w:rFonts w:ascii="Traditional Arabic" w:hAnsi="Traditional Arabic" w:cs="Traditional Arabic"/>
          <w:b/>
          <w:bCs/>
          <w:sz w:val="28"/>
          <w:szCs w:val="28"/>
          <w:rtl/>
        </w:rPr>
        <w:t>المراجع العربية:</w:t>
      </w:r>
    </w:p>
    <w:p w14:paraId="3D4917D4"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الأيوبي، م. م. ع.، &amp; سلمان، م. ح. (2020). إدارة المواهب كمدخل إلى تطوير الأداء المؤسسي في الكليات التقنية بقطاع غزة.</w:t>
      </w:r>
      <w:r w:rsidRPr="005201F9">
        <w:rPr>
          <w:rFonts w:ascii="Traditional Arabic" w:hAnsi="Traditional Arabic" w:cs="Traditional Arabic"/>
          <w:b/>
          <w:bCs/>
          <w:rtl/>
        </w:rPr>
        <w:t xml:space="preserve"> </w:t>
      </w:r>
      <w:r w:rsidRPr="005201F9">
        <w:rPr>
          <w:rFonts w:ascii="Traditional Arabic" w:hAnsi="Traditional Arabic" w:cs="Traditional Arabic"/>
          <w:b/>
          <w:bCs/>
          <w:i/>
          <w:iCs/>
          <w:rtl/>
        </w:rPr>
        <w:t>المجلة العربية لضمان جودة التعليم الجامعي</w:t>
      </w:r>
      <w:r w:rsidRPr="005201F9">
        <w:rPr>
          <w:rFonts w:ascii="Traditional Arabic" w:hAnsi="Traditional Arabic" w:cs="Traditional Arabic"/>
          <w:rtl/>
        </w:rPr>
        <w:t>، 13(45).</w:t>
      </w:r>
      <w:r w:rsidRPr="005201F9">
        <w:rPr>
          <w:rFonts w:ascii="Traditional Arabic" w:hAnsi="Traditional Arabic" w:cs="Traditional Arabic"/>
        </w:rPr>
        <w:br/>
      </w:r>
      <w:hyperlink r:id="rId10" w:history="1">
        <w:r w:rsidRPr="005201F9">
          <w:rPr>
            <w:rStyle w:val="Hyperlink"/>
            <w:rFonts w:ascii="Traditional Arabic" w:hAnsi="Traditional Arabic" w:cs="Traditional Arabic"/>
          </w:rPr>
          <w:t>https://search.shamaa.org/PDF/Articles/YEAjqahe/45AjqaheVol13No45Y2020/ajqahe_2020-v13-n45_065-096.pdf</w:t>
        </w:r>
      </w:hyperlink>
    </w:p>
    <w:p w14:paraId="3823E27A"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 xml:space="preserve">أبو جامع، إ. أ.، بنات، س. ي.، &amp; وهبة، ف. ع. (2023). مستوى إدارة مواهب الموارد البشرية في الجامعات الأردنية الخاصة في ظل العصر الرقمي. </w:t>
      </w:r>
      <w:r w:rsidRPr="005201F9">
        <w:rPr>
          <w:rFonts w:ascii="Traditional Arabic" w:hAnsi="Traditional Arabic" w:cs="Traditional Arabic"/>
          <w:b/>
          <w:bCs/>
          <w:i/>
          <w:iCs/>
        </w:rPr>
        <w:t>Journal of Educational and Psychological Sciences</w:t>
      </w:r>
      <w:r w:rsidRPr="005201F9">
        <w:rPr>
          <w:rFonts w:ascii="Traditional Arabic" w:hAnsi="Traditional Arabic" w:cs="Traditional Arabic"/>
          <w:b/>
          <w:bCs/>
        </w:rPr>
        <w:t>,</w:t>
      </w:r>
      <w:r w:rsidRPr="005201F9">
        <w:rPr>
          <w:rFonts w:ascii="Traditional Arabic" w:hAnsi="Traditional Arabic" w:cs="Traditional Arabic"/>
        </w:rPr>
        <w:t xml:space="preserve"> 7(3)</w:t>
      </w:r>
      <w:r w:rsidRPr="005201F9">
        <w:rPr>
          <w:rFonts w:ascii="Traditional Arabic" w:hAnsi="Traditional Arabic" w:cs="Traditional Arabic"/>
          <w:rtl/>
        </w:rPr>
        <w:t>.</w:t>
      </w:r>
    </w:p>
    <w:p w14:paraId="53B44094" w14:textId="77777777" w:rsidR="00D26B97" w:rsidRPr="005201F9" w:rsidRDefault="00000000" w:rsidP="005201F9">
      <w:pPr>
        <w:bidi/>
        <w:spacing w:after="0" w:line="360" w:lineRule="auto"/>
        <w:rPr>
          <w:rFonts w:ascii="Traditional Arabic" w:hAnsi="Traditional Arabic" w:cs="Traditional Arabic"/>
          <w:rtl/>
        </w:rPr>
      </w:pPr>
      <w:hyperlink r:id="rId11" w:history="1">
        <w:r w:rsidR="00D26B97" w:rsidRPr="005201F9">
          <w:rPr>
            <w:rStyle w:val="Hyperlink"/>
            <w:rFonts w:ascii="Traditional Arabic" w:hAnsi="Traditional Arabic" w:cs="Traditional Arabic"/>
          </w:rPr>
          <w:t>https://www.journals.ajsrp.com/index.php/jeps/article/download/6050/5795</w:t>
        </w:r>
      </w:hyperlink>
    </w:p>
    <w:p w14:paraId="451E5AF0"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 xml:space="preserve">الحربي، س. ب. غ.، &amp; جعفري، ع. ب. ع. (2022). أثر إدارة المواهب على التعاقب الوظيفي في القطاع الصحي (الشؤون الصحية بالرياض). </w:t>
      </w:r>
      <w:r w:rsidRPr="005201F9">
        <w:rPr>
          <w:rFonts w:ascii="Traditional Arabic" w:hAnsi="Traditional Arabic" w:cs="Traditional Arabic"/>
          <w:b/>
          <w:bCs/>
          <w:i/>
          <w:iCs/>
          <w:rtl/>
        </w:rPr>
        <w:t>المجلة العلمية للبحوث والدراسات التجارية</w:t>
      </w:r>
      <w:r w:rsidRPr="005201F9">
        <w:rPr>
          <w:rFonts w:ascii="Traditional Arabic" w:hAnsi="Traditional Arabic" w:cs="Traditional Arabic"/>
          <w:b/>
          <w:bCs/>
          <w:rtl/>
        </w:rPr>
        <w:t>،</w:t>
      </w:r>
      <w:r w:rsidRPr="005201F9">
        <w:rPr>
          <w:rFonts w:ascii="Traditional Arabic" w:hAnsi="Traditional Arabic" w:cs="Traditional Arabic"/>
          <w:rtl/>
        </w:rPr>
        <w:t xml:space="preserve"> 36(4).</w:t>
      </w:r>
    </w:p>
    <w:p w14:paraId="3893759D" w14:textId="77777777" w:rsidR="00D26B97" w:rsidRPr="005201F9" w:rsidRDefault="00000000" w:rsidP="005201F9">
      <w:pPr>
        <w:bidi/>
        <w:spacing w:after="0" w:line="360" w:lineRule="auto"/>
        <w:rPr>
          <w:rFonts w:ascii="Traditional Arabic" w:hAnsi="Traditional Arabic" w:cs="Traditional Arabic"/>
          <w:rtl/>
        </w:rPr>
      </w:pPr>
      <w:hyperlink r:id="rId12" w:history="1">
        <w:r w:rsidR="00D26B97" w:rsidRPr="005201F9">
          <w:rPr>
            <w:rStyle w:val="Hyperlink"/>
            <w:rFonts w:ascii="Traditional Arabic" w:hAnsi="Traditional Arabic" w:cs="Traditional Arabic"/>
          </w:rPr>
          <w:t>https://sjrbs.journals.ekb.eg/article_274096_7f82f33deb578578145798409abd7fdf.pdf</w:t>
        </w:r>
      </w:hyperlink>
    </w:p>
    <w:p w14:paraId="0C13EC5E"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 xml:space="preserve">الرشيدي، ي. خ. ح. (2024). دور تطبيق استراتيجيات إدارة المواهب في تحقيق التميز المؤسسي: دراسة تطبيقية على وزارة التربية بدولة الكويت. </w:t>
      </w:r>
      <w:r w:rsidRPr="005201F9">
        <w:rPr>
          <w:rFonts w:ascii="Traditional Arabic" w:hAnsi="Traditional Arabic" w:cs="Traditional Arabic"/>
          <w:b/>
          <w:bCs/>
          <w:i/>
          <w:iCs/>
          <w:rtl/>
        </w:rPr>
        <w:t>المجلة التربوية، كلية التربية، جامعة سوهاج.</w:t>
      </w:r>
    </w:p>
    <w:p w14:paraId="735F8DF0" w14:textId="77777777" w:rsidR="00D26B97" w:rsidRPr="005201F9" w:rsidRDefault="00000000" w:rsidP="005201F9">
      <w:pPr>
        <w:bidi/>
        <w:spacing w:after="0" w:line="360" w:lineRule="auto"/>
        <w:rPr>
          <w:rFonts w:ascii="Traditional Arabic" w:hAnsi="Traditional Arabic" w:cs="Traditional Arabic"/>
          <w:rtl/>
        </w:rPr>
      </w:pPr>
      <w:hyperlink r:id="rId13" w:history="1">
        <w:r w:rsidR="00D26B97" w:rsidRPr="005201F9">
          <w:rPr>
            <w:rStyle w:val="Hyperlink"/>
            <w:rFonts w:ascii="Traditional Arabic" w:hAnsi="Traditional Arabic" w:cs="Traditional Arabic"/>
          </w:rPr>
          <w:t>https://edusohag.journals.ekb.eg/article_380780_471cf5c517c641b0abff4846e2bcfc0b.pdf</w:t>
        </w:r>
      </w:hyperlink>
    </w:p>
    <w:p w14:paraId="33D52E71"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الشهري، ف. ع. (2022). دور إدارة المواهب في تعزيز الأداء الإبداعي في وزارة الخارجية بمدينة جدة لعام 2022.</w:t>
      </w:r>
      <w:r w:rsidRPr="005201F9">
        <w:rPr>
          <w:rFonts w:ascii="Traditional Arabic" w:hAnsi="Traditional Arabic" w:cs="Traditional Arabic"/>
          <w:b/>
          <w:bCs/>
          <w:rtl/>
        </w:rPr>
        <w:t xml:space="preserve"> </w:t>
      </w:r>
      <w:r w:rsidRPr="005201F9">
        <w:rPr>
          <w:rFonts w:ascii="Traditional Arabic" w:hAnsi="Traditional Arabic" w:cs="Traditional Arabic"/>
          <w:b/>
          <w:bCs/>
          <w:i/>
          <w:iCs/>
          <w:rtl/>
        </w:rPr>
        <w:t>مجلة العلوم الاقتصادية والإدارية والقانونية</w:t>
      </w:r>
      <w:r w:rsidRPr="005201F9">
        <w:rPr>
          <w:rFonts w:ascii="Traditional Arabic" w:hAnsi="Traditional Arabic" w:cs="Traditional Arabic"/>
          <w:b/>
          <w:bCs/>
          <w:rtl/>
        </w:rPr>
        <w:t>،</w:t>
      </w:r>
      <w:r w:rsidRPr="005201F9">
        <w:rPr>
          <w:rFonts w:ascii="Traditional Arabic" w:hAnsi="Traditional Arabic" w:cs="Traditional Arabic"/>
          <w:rtl/>
        </w:rPr>
        <w:t xml:space="preserve"> 6(21)، 119–144.</w:t>
      </w:r>
    </w:p>
    <w:p w14:paraId="14638171" w14:textId="77777777" w:rsidR="00D26B97" w:rsidRPr="005201F9" w:rsidRDefault="00000000" w:rsidP="005201F9">
      <w:pPr>
        <w:bidi/>
        <w:spacing w:after="0" w:line="360" w:lineRule="auto"/>
        <w:rPr>
          <w:rFonts w:ascii="Traditional Arabic" w:hAnsi="Traditional Arabic" w:cs="Traditional Arabic"/>
          <w:rtl/>
        </w:rPr>
      </w:pPr>
      <w:hyperlink r:id="rId14" w:history="1">
        <w:r w:rsidR="00D26B97" w:rsidRPr="005201F9">
          <w:rPr>
            <w:rStyle w:val="Hyperlink"/>
            <w:rFonts w:ascii="Traditional Arabic" w:hAnsi="Traditional Arabic" w:cs="Traditional Arabic"/>
          </w:rPr>
          <w:t>https://www.journals.ajsrp.com/index.php/jeals/article/download/5516/5260</w:t>
        </w:r>
      </w:hyperlink>
    </w:p>
    <w:p w14:paraId="48697E1A" w14:textId="77777777" w:rsidR="00D26B97" w:rsidRPr="005201F9" w:rsidRDefault="00D26B97" w:rsidP="005201F9">
      <w:pPr>
        <w:bidi/>
        <w:spacing w:after="0" w:line="360" w:lineRule="auto"/>
        <w:rPr>
          <w:rFonts w:ascii="Traditional Arabic" w:hAnsi="Traditional Arabic" w:cs="Traditional Arabic"/>
          <w:b/>
          <w:bCs/>
          <w:rtl/>
        </w:rPr>
      </w:pPr>
      <w:r w:rsidRPr="005201F9">
        <w:rPr>
          <w:rFonts w:ascii="Traditional Arabic" w:hAnsi="Traditional Arabic" w:cs="Traditional Arabic"/>
          <w:rtl/>
        </w:rPr>
        <w:t>العتيبي، ر. ب. غ. ا. (2024). علاقة إدارة المواهب في تعزيز السلوك الإبداعي لدى العاملين بشركة الاتصالات السعودية "موبايلي</w:t>
      </w:r>
      <w:r w:rsidRPr="005201F9">
        <w:rPr>
          <w:rFonts w:ascii="Traditional Arabic" w:hAnsi="Traditional Arabic" w:cs="Traditional Arabic"/>
          <w:b/>
          <w:bCs/>
          <w:rtl/>
        </w:rPr>
        <w:t>".</w:t>
      </w:r>
      <w:r w:rsidRPr="005201F9">
        <w:rPr>
          <w:rFonts w:ascii="Traditional Arabic" w:hAnsi="Traditional Arabic" w:cs="Traditional Arabic"/>
          <w:b/>
          <w:bCs/>
          <w:i/>
          <w:iCs/>
          <w:rtl/>
        </w:rPr>
        <w:t xml:space="preserve"> جامعة شقراء، كلية العلوم والدراسات الإنسانية.</w:t>
      </w:r>
    </w:p>
    <w:p w14:paraId="1217922D" w14:textId="77777777" w:rsidR="00D26B97" w:rsidRPr="005201F9" w:rsidRDefault="00000000" w:rsidP="005201F9">
      <w:pPr>
        <w:bidi/>
        <w:spacing w:after="0" w:line="360" w:lineRule="auto"/>
        <w:rPr>
          <w:rFonts w:ascii="Traditional Arabic" w:hAnsi="Traditional Arabic" w:cs="Traditional Arabic"/>
          <w:rtl/>
        </w:rPr>
      </w:pPr>
      <w:hyperlink r:id="rId15" w:history="1">
        <w:r w:rsidR="00D26B97" w:rsidRPr="005201F9">
          <w:rPr>
            <w:rStyle w:val="Hyperlink"/>
            <w:rFonts w:ascii="Traditional Arabic" w:hAnsi="Traditional Arabic" w:cs="Traditional Arabic"/>
          </w:rPr>
          <w:t>https://www.jces.journals.ekb.eg/article_390228_98d1a33235382d190451148efea3c59d.pdf</w:t>
        </w:r>
      </w:hyperlink>
    </w:p>
    <w:p w14:paraId="2D4F7CF3"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الكيلاني، ر. خ.، وهبة، م.، &amp; الخولي، س. (2021). أثر إدارة المواهب على الأداء المؤسسي (دراسة تطبيقية على هيئة أبحاث العلوم الطبيعية والتكنولوجيا).</w:t>
      </w:r>
    </w:p>
    <w:p w14:paraId="5D793D62" w14:textId="77777777" w:rsidR="00D26B97" w:rsidRPr="005201F9" w:rsidRDefault="00000000" w:rsidP="005201F9">
      <w:pPr>
        <w:bidi/>
        <w:spacing w:after="0" w:line="360" w:lineRule="auto"/>
        <w:rPr>
          <w:rFonts w:ascii="Traditional Arabic" w:hAnsi="Traditional Arabic" w:cs="Traditional Arabic"/>
          <w:rtl/>
        </w:rPr>
      </w:pPr>
      <w:hyperlink r:id="rId16" w:history="1">
        <w:r w:rsidR="00D26B97" w:rsidRPr="005201F9">
          <w:rPr>
            <w:rStyle w:val="Hyperlink"/>
            <w:rFonts w:ascii="Traditional Arabic" w:hAnsi="Traditional Arabic" w:cs="Traditional Arabic"/>
          </w:rPr>
          <w:t>https://jces.journals.ekb.eg/article_168682_eecafa389d3a4360904413163ed6e2b8.pdf</w:t>
        </w:r>
      </w:hyperlink>
    </w:p>
    <w:p w14:paraId="0F34C0E8"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 xml:space="preserve">عبد الرحمن، ن. ع. ر.، شحته، ر. ع. م.، &amp; الطبال، ع. ا. ع. ا. (2022). الاتجاهات الحديثة في إدارة الموارد البشرية: مدخل إدارة المواهب "دراسة نظرية". </w:t>
      </w:r>
      <w:r w:rsidRPr="005201F9">
        <w:rPr>
          <w:rFonts w:ascii="Traditional Arabic" w:hAnsi="Traditional Arabic" w:cs="Traditional Arabic"/>
          <w:b/>
          <w:bCs/>
          <w:i/>
          <w:iCs/>
          <w:rtl/>
        </w:rPr>
        <w:t>مجلة البحوث الإدارية والمالية والكمية</w:t>
      </w:r>
      <w:r w:rsidRPr="005201F9">
        <w:rPr>
          <w:rFonts w:ascii="Traditional Arabic" w:hAnsi="Traditional Arabic" w:cs="Traditional Arabic"/>
          <w:b/>
          <w:bCs/>
          <w:rtl/>
        </w:rPr>
        <w:t xml:space="preserve">. </w:t>
      </w:r>
    </w:p>
    <w:p w14:paraId="75D931C3" w14:textId="77777777" w:rsidR="00D26B97" w:rsidRPr="005201F9" w:rsidRDefault="00000000" w:rsidP="005201F9">
      <w:pPr>
        <w:bidi/>
        <w:spacing w:after="0" w:line="360" w:lineRule="auto"/>
        <w:rPr>
          <w:rFonts w:ascii="Traditional Arabic" w:hAnsi="Traditional Arabic" w:cs="Traditional Arabic"/>
          <w:rtl/>
        </w:rPr>
      </w:pPr>
      <w:hyperlink r:id="rId17" w:history="1">
        <w:r w:rsidR="00D26B97" w:rsidRPr="005201F9">
          <w:rPr>
            <w:rStyle w:val="Hyperlink"/>
            <w:rFonts w:ascii="Traditional Arabic" w:hAnsi="Traditional Arabic" w:cs="Traditional Arabic"/>
          </w:rPr>
          <w:t>https://safq.journals.ekb.eg/article_229990.html</w:t>
        </w:r>
      </w:hyperlink>
    </w:p>
    <w:p w14:paraId="2856E97F"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عبد الهادي، ج. م. (2020). أثر إدارة المواهب على تحسين الأداء الوظيفي: دراسة تطبيقية على الشركة المصرية للاتصالات.</w:t>
      </w:r>
      <w:r w:rsidRPr="005201F9">
        <w:rPr>
          <w:rFonts w:ascii="Traditional Arabic" w:hAnsi="Traditional Arabic" w:cs="Traditional Arabic"/>
          <w:b/>
          <w:bCs/>
          <w:rtl/>
        </w:rPr>
        <w:t xml:space="preserve"> </w:t>
      </w:r>
      <w:r w:rsidRPr="005201F9">
        <w:rPr>
          <w:rFonts w:ascii="Traditional Arabic" w:hAnsi="Traditional Arabic" w:cs="Traditional Arabic"/>
          <w:b/>
          <w:bCs/>
          <w:i/>
          <w:iCs/>
          <w:rtl/>
        </w:rPr>
        <w:t>المجلة العلمية للدراسات التجارية والبيئية.</w:t>
      </w:r>
      <w:r w:rsidRPr="005201F9">
        <w:rPr>
          <w:rFonts w:ascii="Traditional Arabic" w:hAnsi="Traditional Arabic" w:cs="Traditional Arabic"/>
        </w:rPr>
        <w:br/>
      </w:r>
      <w:hyperlink r:id="rId18" w:history="1">
        <w:r w:rsidRPr="005201F9">
          <w:rPr>
            <w:rStyle w:val="Hyperlink"/>
            <w:rFonts w:ascii="Traditional Arabic" w:hAnsi="Traditional Arabic" w:cs="Traditional Arabic"/>
          </w:rPr>
          <w:t>https://journals.ekb.eg/article_143664.html</w:t>
        </w:r>
      </w:hyperlink>
    </w:p>
    <w:p w14:paraId="29487718"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 xml:space="preserve">مهدي، ش. م. إ. (2023). أثر الالتزام التنظيمي على العلاقة بين ممارسات إدارة المواهب والأداء الوظيفي: دراسة تطبيقية على العاملين بالتمريض في المستشفيات التعليمية في مصر. </w:t>
      </w:r>
      <w:r w:rsidRPr="005201F9">
        <w:rPr>
          <w:rFonts w:ascii="Traditional Arabic" w:hAnsi="Traditional Arabic" w:cs="Traditional Arabic"/>
          <w:b/>
          <w:bCs/>
          <w:i/>
          <w:iCs/>
          <w:rtl/>
        </w:rPr>
        <w:t>المجلة العلمية للدراسات والبحوث المالية والتجارية</w:t>
      </w:r>
      <w:r w:rsidRPr="005201F9">
        <w:rPr>
          <w:rFonts w:ascii="Traditional Arabic" w:hAnsi="Traditional Arabic" w:cs="Traditional Arabic"/>
          <w:rtl/>
        </w:rPr>
        <w:t>، 4(1)، 497–546.</w:t>
      </w:r>
    </w:p>
    <w:p w14:paraId="5C0D91E8" w14:textId="77777777" w:rsidR="00D26B97" w:rsidRPr="005201F9" w:rsidRDefault="00000000" w:rsidP="005201F9">
      <w:pPr>
        <w:bidi/>
        <w:spacing w:after="0" w:line="360" w:lineRule="auto"/>
        <w:rPr>
          <w:rFonts w:ascii="Traditional Arabic" w:hAnsi="Traditional Arabic" w:cs="Traditional Arabic"/>
          <w:rtl/>
        </w:rPr>
      </w:pPr>
      <w:hyperlink r:id="rId19" w:history="1">
        <w:r w:rsidR="00D26B97" w:rsidRPr="005201F9">
          <w:rPr>
            <w:rStyle w:val="Hyperlink"/>
            <w:rFonts w:ascii="Traditional Arabic" w:hAnsi="Traditional Arabic" w:cs="Traditional Arabic"/>
          </w:rPr>
          <w:t>https://cfdj.journals.ekb.eg/article_259980_dd499ee2ce5f82cd597a60197262f2d7.pdf</w:t>
        </w:r>
      </w:hyperlink>
    </w:p>
    <w:p w14:paraId="0FA36858" w14:textId="77777777" w:rsidR="00D26B97" w:rsidRPr="005201F9" w:rsidRDefault="00D26B97" w:rsidP="005201F9">
      <w:pPr>
        <w:bidi/>
        <w:spacing w:after="0" w:line="360" w:lineRule="auto"/>
        <w:rPr>
          <w:rFonts w:ascii="Traditional Arabic" w:hAnsi="Traditional Arabic" w:cs="Traditional Arabic"/>
          <w:rtl/>
        </w:rPr>
      </w:pPr>
      <w:r w:rsidRPr="005201F9">
        <w:rPr>
          <w:rFonts w:ascii="Traditional Arabic" w:hAnsi="Traditional Arabic" w:cs="Traditional Arabic"/>
          <w:rtl/>
        </w:rPr>
        <w:t xml:space="preserve">يوسف، د. ط. م. (2022). آليات تفعيل إدارة المواهب للقيادات الإدارية بجامعة المنيا على ضوء مدخل التطوير التنظيمي. </w:t>
      </w:r>
      <w:r w:rsidRPr="005201F9">
        <w:rPr>
          <w:rFonts w:ascii="Traditional Arabic" w:hAnsi="Traditional Arabic" w:cs="Traditional Arabic"/>
          <w:b/>
          <w:bCs/>
          <w:i/>
          <w:iCs/>
          <w:rtl/>
        </w:rPr>
        <w:t>دراسات تربوية واجتماعية،</w:t>
      </w:r>
      <w:r w:rsidRPr="005201F9">
        <w:rPr>
          <w:rFonts w:ascii="Traditional Arabic" w:hAnsi="Traditional Arabic" w:cs="Traditional Arabic"/>
          <w:rtl/>
        </w:rPr>
        <w:t xml:space="preserve"> 28(12)، 99–226.</w:t>
      </w:r>
      <w:r w:rsidRPr="005201F9">
        <w:rPr>
          <w:rFonts w:ascii="Traditional Arabic" w:hAnsi="Traditional Arabic" w:cs="Traditional Arabic"/>
        </w:rPr>
        <w:br/>
      </w:r>
      <w:hyperlink r:id="rId20" w:history="1">
        <w:r w:rsidRPr="005201F9">
          <w:rPr>
            <w:rStyle w:val="Hyperlink"/>
            <w:rFonts w:ascii="Traditional Arabic" w:hAnsi="Traditional Arabic" w:cs="Traditional Arabic"/>
          </w:rPr>
          <w:t>https://search.shamaa.org/PDF/Articles/EGDti/DtiVol28No12P4Y2022/dti_2022-v28-n12-p4_099-226.pdf</w:t>
        </w:r>
      </w:hyperlink>
    </w:p>
    <w:p w14:paraId="0AE6C380" w14:textId="77777777" w:rsidR="00D26B97" w:rsidRPr="005201F9" w:rsidRDefault="00D26B97" w:rsidP="005201F9">
      <w:pPr>
        <w:bidi/>
        <w:spacing w:after="0" w:line="360" w:lineRule="auto"/>
        <w:rPr>
          <w:rFonts w:ascii="Traditional Arabic" w:hAnsi="Traditional Arabic" w:cs="Traditional Arabic"/>
          <w:rtl/>
        </w:rPr>
      </w:pPr>
    </w:p>
    <w:p w14:paraId="1C864A83" w14:textId="77777777" w:rsidR="00D26B97" w:rsidRPr="007253BD" w:rsidRDefault="00D26B97" w:rsidP="005201F9">
      <w:pPr>
        <w:bidi/>
        <w:spacing w:line="360" w:lineRule="auto"/>
        <w:rPr>
          <w:rFonts w:ascii="Traditional Arabic" w:hAnsi="Traditional Arabic" w:cs="Traditional Arabic"/>
          <w:b/>
          <w:bCs/>
          <w:sz w:val="28"/>
          <w:szCs w:val="28"/>
          <w:rtl/>
        </w:rPr>
      </w:pPr>
      <w:r w:rsidRPr="007253BD">
        <w:rPr>
          <w:rFonts w:ascii="Traditional Arabic" w:hAnsi="Traditional Arabic" w:cs="Traditional Arabic"/>
          <w:b/>
          <w:bCs/>
          <w:sz w:val="28"/>
          <w:szCs w:val="28"/>
          <w:rtl/>
        </w:rPr>
        <w:t>المراجع الأجنبية</w:t>
      </w:r>
    </w:p>
    <w:p w14:paraId="4D29561D"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 xml:space="preserve">Al Aina, R., &amp; Atan, T. (2020). The impact of implementing talent management practices on sustainable organizational performance. </w:t>
      </w:r>
      <w:r w:rsidRPr="00746944">
        <w:rPr>
          <w:rFonts w:asciiTheme="majorBidi" w:hAnsiTheme="majorBidi" w:cstheme="majorBidi"/>
          <w:b/>
          <w:bCs/>
          <w:i/>
          <w:iCs/>
        </w:rPr>
        <w:t>Sustainability.</w:t>
      </w:r>
    </w:p>
    <w:p w14:paraId="45D97026" w14:textId="77777777" w:rsidR="00D26B97" w:rsidRPr="00746944" w:rsidRDefault="00000000" w:rsidP="00746944">
      <w:pPr>
        <w:spacing w:line="360" w:lineRule="auto"/>
        <w:rPr>
          <w:rFonts w:asciiTheme="majorBidi" w:hAnsiTheme="majorBidi" w:cstheme="majorBidi"/>
          <w:rtl/>
        </w:rPr>
      </w:pPr>
      <w:hyperlink r:id="rId21" w:history="1">
        <w:r w:rsidR="00D26B97" w:rsidRPr="00746944">
          <w:rPr>
            <w:rStyle w:val="Hyperlink"/>
            <w:rFonts w:asciiTheme="majorBidi" w:hAnsiTheme="majorBidi" w:cstheme="majorBidi"/>
          </w:rPr>
          <w:t>https://www.mdpi.com/2071-1050/12/20/8372</w:t>
        </w:r>
      </w:hyperlink>
    </w:p>
    <w:p w14:paraId="41B044EF"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 xml:space="preserve">Al Ariss, A., Cascio, W. F., &amp; Paauwe, J. (2014). Talent management: Current theories and future research directions. </w:t>
      </w:r>
      <w:r w:rsidRPr="00746944">
        <w:rPr>
          <w:rFonts w:asciiTheme="majorBidi" w:hAnsiTheme="majorBidi" w:cstheme="majorBidi"/>
          <w:b/>
          <w:bCs/>
          <w:i/>
          <w:iCs/>
        </w:rPr>
        <w:t>Journal of World Business</w:t>
      </w:r>
      <w:r w:rsidRPr="00746944">
        <w:rPr>
          <w:rFonts w:asciiTheme="majorBidi" w:hAnsiTheme="majorBidi" w:cstheme="majorBidi"/>
        </w:rPr>
        <w:t xml:space="preserve">, 49(2), 173–179. </w:t>
      </w:r>
    </w:p>
    <w:p w14:paraId="22516A94" w14:textId="77777777" w:rsidR="00D26B97" w:rsidRPr="00746944" w:rsidRDefault="00000000" w:rsidP="00746944">
      <w:pPr>
        <w:spacing w:line="360" w:lineRule="auto"/>
        <w:rPr>
          <w:rFonts w:asciiTheme="majorBidi" w:hAnsiTheme="majorBidi" w:cstheme="majorBidi"/>
          <w:rtl/>
        </w:rPr>
      </w:pPr>
      <w:hyperlink r:id="rId22" w:history="1">
        <w:r w:rsidR="00D26B97" w:rsidRPr="00746944">
          <w:rPr>
            <w:rStyle w:val="Hyperlink"/>
            <w:rFonts w:asciiTheme="majorBidi" w:hAnsiTheme="majorBidi" w:cstheme="majorBidi"/>
          </w:rPr>
          <w:t>https://doi.org/10.1016/j.jwb.2013.11.001</w:t>
        </w:r>
      </w:hyperlink>
    </w:p>
    <w:p w14:paraId="28727CDE"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lastRenderedPageBreak/>
        <w:t xml:space="preserve">Almashyakhi, A. M. (2024). Talent management practices and employee retention: Does it make a difference? </w:t>
      </w:r>
      <w:r w:rsidRPr="00746944">
        <w:rPr>
          <w:rFonts w:asciiTheme="majorBidi" w:hAnsiTheme="majorBidi" w:cstheme="majorBidi"/>
          <w:b/>
          <w:bCs/>
          <w:i/>
          <w:iCs/>
        </w:rPr>
        <w:t>Merits</w:t>
      </w:r>
      <w:r w:rsidRPr="00746944">
        <w:rPr>
          <w:rFonts w:asciiTheme="majorBidi" w:hAnsiTheme="majorBidi" w:cstheme="majorBidi"/>
        </w:rPr>
        <w:t>, 4(4), 453–462.</w:t>
      </w:r>
      <w:r w:rsidRPr="00746944">
        <w:rPr>
          <w:rFonts w:asciiTheme="majorBidi" w:hAnsiTheme="majorBidi" w:cstheme="majorBidi"/>
        </w:rPr>
        <w:br/>
      </w:r>
      <w:hyperlink r:id="rId23" w:history="1">
        <w:r w:rsidRPr="00746944">
          <w:rPr>
            <w:rStyle w:val="Hyperlink"/>
            <w:rFonts w:asciiTheme="majorBidi" w:hAnsiTheme="majorBidi" w:cstheme="majorBidi"/>
          </w:rPr>
          <w:t>https://www.mdpi.com/2673-8104/4/4/32</w:t>
        </w:r>
      </w:hyperlink>
    </w:p>
    <w:p w14:paraId="4B2D26F7"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t xml:space="preserve">Alrifae, A. A. M., Alhabeeb, A. A., Alhanatleh, H., &amp; Alnajdawi, S. M. A. (2025). Exploring the role of succession planning and talent development in enhancing organizational agility: The case of Saudi banking. </w:t>
      </w:r>
      <w:r w:rsidRPr="00746944">
        <w:rPr>
          <w:rFonts w:asciiTheme="majorBidi" w:hAnsiTheme="majorBidi" w:cstheme="majorBidi"/>
          <w:b/>
          <w:bCs/>
          <w:i/>
          <w:iCs/>
        </w:rPr>
        <w:t>Sustainability</w:t>
      </w:r>
      <w:r w:rsidRPr="00746944">
        <w:rPr>
          <w:rFonts w:asciiTheme="majorBidi" w:hAnsiTheme="majorBidi" w:cstheme="majorBidi"/>
        </w:rPr>
        <w:t>, 17(24), 11215.</w:t>
      </w:r>
      <w:r w:rsidRPr="00746944">
        <w:rPr>
          <w:rFonts w:asciiTheme="majorBidi" w:hAnsiTheme="majorBidi" w:cstheme="majorBidi"/>
        </w:rPr>
        <w:br/>
      </w:r>
      <w:hyperlink r:id="rId24" w:history="1">
        <w:r w:rsidRPr="00746944">
          <w:rPr>
            <w:rStyle w:val="Hyperlink"/>
            <w:rFonts w:asciiTheme="majorBidi" w:hAnsiTheme="majorBidi" w:cstheme="majorBidi"/>
          </w:rPr>
          <w:t>https://www.mdpi.com/2071-1050/17/24/11215</w:t>
        </w:r>
      </w:hyperlink>
    </w:p>
    <w:p w14:paraId="1E3CB52A"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t xml:space="preserve">Attar, R. W., Alanazi, A., &amp; Alhazmi, A. H. (2025). Investigating the effect of talent management practices on sustainable competitive advantage in private-sector organizations. </w:t>
      </w:r>
      <w:r w:rsidRPr="00746944">
        <w:rPr>
          <w:rFonts w:asciiTheme="majorBidi" w:hAnsiTheme="majorBidi" w:cstheme="majorBidi"/>
          <w:b/>
          <w:bCs/>
          <w:i/>
          <w:iCs/>
        </w:rPr>
        <w:t>Sustainability,</w:t>
      </w:r>
      <w:r w:rsidRPr="00746944">
        <w:rPr>
          <w:rFonts w:asciiTheme="majorBidi" w:hAnsiTheme="majorBidi" w:cstheme="majorBidi"/>
        </w:rPr>
        <w:t xml:space="preserve"> 17(21), 9909.</w:t>
      </w:r>
      <w:r w:rsidRPr="00746944">
        <w:rPr>
          <w:rFonts w:asciiTheme="majorBidi" w:hAnsiTheme="majorBidi" w:cstheme="majorBidi"/>
        </w:rPr>
        <w:br/>
      </w:r>
      <w:hyperlink r:id="rId25" w:history="1">
        <w:r w:rsidRPr="00746944">
          <w:rPr>
            <w:rStyle w:val="Hyperlink"/>
            <w:rFonts w:asciiTheme="majorBidi" w:hAnsiTheme="majorBidi" w:cstheme="majorBidi"/>
          </w:rPr>
          <w:t>https://www.mdpi.com/2071-1050/17/21/9909</w:t>
        </w:r>
      </w:hyperlink>
    </w:p>
    <w:p w14:paraId="19FEC129"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t xml:space="preserve">Collings, D. G., Mellahi, K., &amp; Cascio, W. F. (2019). Global talent management and performance in multinational enterprises: A multilevel perspective. </w:t>
      </w:r>
      <w:r w:rsidRPr="00746944">
        <w:rPr>
          <w:rFonts w:asciiTheme="majorBidi" w:hAnsiTheme="majorBidi" w:cstheme="majorBidi"/>
          <w:b/>
          <w:bCs/>
          <w:i/>
          <w:iCs/>
        </w:rPr>
        <w:t>Journal of Management</w:t>
      </w:r>
      <w:r w:rsidRPr="00746944">
        <w:rPr>
          <w:rFonts w:asciiTheme="majorBidi" w:hAnsiTheme="majorBidi" w:cstheme="majorBidi"/>
        </w:rPr>
        <w:t xml:space="preserve">, 45(2), 540–566. </w:t>
      </w:r>
      <w:hyperlink r:id="rId26" w:history="1">
        <w:r w:rsidRPr="00746944">
          <w:rPr>
            <w:rStyle w:val="Hyperlink"/>
            <w:rFonts w:asciiTheme="majorBidi" w:hAnsiTheme="majorBidi" w:cstheme="majorBidi"/>
          </w:rPr>
          <w:t>https://doi.org/10.1177/0149206318757018</w:t>
        </w:r>
      </w:hyperlink>
    </w:p>
    <w:p w14:paraId="5D44FE83"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t xml:space="preserve">Gallardo-Gallardo, E., Thunnissen, M., &amp; Scullion, H. (2020). Talent management: Context matters. </w:t>
      </w:r>
      <w:r w:rsidRPr="00746944">
        <w:rPr>
          <w:rFonts w:asciiTheme="majorBidi" w:hAnsiTheme="majorBidi" w:cstheme="majorBidi"/>
          <w:b/>
          <w:bCs/>
          <w:i/>
          <w:iCs/>
        </w:rPr>
        <w:t>The International Journal of Human Resource Management</w:t>
      </w:r>
      <w:r w:rsidRPr="00746944">
        <w:rPr>
          <w:rFonts w:asciiTheme="majorBidi" w:hAnsiTheme="majorBidi" w:cstheme="majorBidi"/>
        </w:rPr>
        <w:t xml:space="preserve">, 31(4), 457–473. </w:t>
      </w:r>
      <w:hyperlink r:id="rId27" w:history="1">
        <w:r w:rsidRPr="00746944">
          <w:rPr>
            <w:rStyle w:val="Hyperlink"/>
            <w:rFonts w:asciiTheme="majorBidi" w:hAnsiTheme="majorBidi" w:cstheme="majorBidi"/>
          </w:rPr>
          <w:t>https://doi.org/10.1080/09585192.2019.1642645</w:t>
        </w:r>
      </w:hyperlink>
    </w:p>
    <w:p w14:paraId="3AE4BF68"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 xml:space="preserve">Kayal, G. G., &amp; Khalife, M. R. (2025). Optimizing quality assurance practices: Exploring the Saudi Arabian perspective and their influence on international accreditation and rankings. </w:t>
      </w:r>
      <w:r w:rsidRPr="00746944">
        <w:rPr>
          <w:rFonts w:asciiTheme="majorBidi" w:hAnsiTheme="majorBidi" w:cstheme="majorBidi"/>
          <w:b/>
          <w:bCs/>
          <w:i/>
          <w:iCs/>
        </w:rPr>
        <w:t>Cogent Education</w:t>
      </w:r>
      <w:r w:rsidRPr="00746944">
        <w:rPr>
          <w:rFonts w:asciiTheme="majorBidi" w:hAnsiTheme="majorBidi" w:cstheme="majorBidi"/>
        </w:rPr>
        <w:t>, 12(1), 2482455.</w:t>
      </w:r>
    </w:p>
    <w:p w14:paraId="748FCE1F" w14:textId="77777777" w:rsidR="00D26B97" w:rsidRPr="00746944" w:rsidRDefault="00000000" w:rsidP="00746944">
      <w:pPr>
        <w:spacing w:line="360" w:lineRule="auto"/>
        <w:rPr>
          <w:rFonts w:asciiTheme="majorBidi" w:hAnsiTheme="majorBidi" w:cstheme="majorBidi"/>
          <w:rtl/>
        </w:rPr>
      </w:pPr>
      <w:hyperlink r:id="rId28" w:history="1">
        <w:r w:rsidR="00D26B97" w:rsidRPr="00746944">
          <w:rPr>
            <w:rStyle w:val="Hyperlink"/>
            <w:rFonts w:asciiTheme="majorBidi" w:hAnsiTheme="majorBidi" w:cstheme="majorBidi"/>
          </w:rPr>
          <w:t>https://doi.org/10.1080/2331186X.2025.2482455</w:t>
        </w:r>
      </w:hyperlink>
    </w:p>
    <w:p w14:paraId="4BE37731"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Kravariti, F., Tasoulis, K., Scullion, H., &amp; Alali, M. K. (2022). Talent management and performance in the public sector: The role of organisational and line managerial support for development.</w:t>
      </w:r>
      <w:r w:rsidRPr="00746944">
        <w:rPr>
          <w:rFonts w:asciiTheme="majorBidi" w:hAnsiTheme="majorBidi" w:cstheme="majorBidi"/>
          <w:b/>
          <w:bCs/>
          <w:i/>
          <w:iCs/>
        </w:rPr>
        <w:t xml:space="preserve"> The International Journal of Human Resource Management</w:t>
      </w:r>
      <w:r w:rsidRPr="00746944">
        <w:rPr>
          <w:rFonts w:asciiTheme="majorBidi" w:hAnsiTheme="majorBidi" w:cstheme="majorBidi"/>
        </w:rPr>
        <w:t>, 34(9), 1782–1807.</w:t>
      </w:r>
    </w:p>
    <w:p w14:paraId="70607D6C" w14:textId="77777777" w:rsidR="00D26B97" w:rsidRPr="00746944" w:rsidRDefault="00000000" w:rsidP="00746944">
      <w:pPr>
        <w:spacing w:line="360" w:lineRule="auto"/>
        <w:rPr>
          <w:rFonts w:asciiTheme="majorBidi" w:hAnsiTheme="majorBidi" w:cstheme="majorBidi"/>
          <w:rtl/>
        </w:rPr>
      </w:pPr>
      <w:hyperlink r:id="rId29" w:history="1">
        <w:r w:rsidR="00D26B97" w:rsidRPr="00746944">
          <w:rPr>
            <w:rStyle w:val="Hyperlink"/>
            <w:rFonts w:asciiTheme="majorBidi" w:hAnsiTheme="majorBidi" w:cstheme="majorBidi"/>
          </w:rPr>
          <w:t>https://doi.org/10.1080/09585192.2022.2032265</w:t>
        </w:r>
      </w:hyperlink>
    </w:p>
    <w:p w14:paraId="40B88448"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 xml:space="preserve">Luna-Arocas, R., &amp; Lara, F. J. (2020). Talent management, affective organizational commitment and service performance in local government. </w:t>
      </w:r>
      <w:r w:rsidRPr="00746944">
        <w:rPr>
          <w:rFonts w:asciiTheme="majorBidi" w:hAnsiTheme="majorBidi" w:cstheme="majorBidi"/>
          <w:b/>
          <w:bCs/>
          <w:i/>
          <w:iCs/>
        </w:rPr>
        <w:t>International Journal of Environmental Research and Public Health</w:t>
      </w:r>
      <w:r w:rsidRPr="00746944">
        <w:rPr>
          <w:rFonts w:asciiTheme="majorBidi" w:hAnsiTheme="majorBidi" w:cstheme="majorBidi"/>
        </w:rPr>
        <w:t>, 17(13), 4827.</w:t>
      </w:r>
    </w:p>
    <w:p w14:paraId="01B7954D" w14:textId="77777777" w:rsidR="00D26B97" w:rsidRPr="00746944" w:rsidRDefault="00000000" w:rsidP="00746944">
      <w:pPr>
        <w:spacing w:line="360" w:lineRule="auto"/>
        <w:rPr>
          <w:rFonts w:asciiTheme="majorBidi" w:hAnsiTheme="majorBidi" w:cstheme="majorBidi"/>
          <w:rtl/>
        </w:rPr>
      </w:pPr>
      <w:hyperlink r:id="rId30" w:history="1">
        <w:r w:rsidR="00D26B97" w:rsidRPr="00746944">
          <w:rPr>
            <w:rStyle w:val="Hyperlink"/>
            <w:rFonts w:asciiTheme="majorBidi" w:hAnsiTheme="majorBidi" w:cstheme="majorBidi"/>
          </w:rPr>
          <w:t>https://doi.org/10.3390/ijerph17134827</w:t>
        </w:r>
      </w:hyperlink>
    </w:p>
    <w:p w14:paraId="7AE767F6"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t xml:space="preserve">Martínez-Morán, P. C., Díez, F., Solabarrieta, J., Fernández-Rico, J. M., &amp; Igoa-Iraola, E. (2024). Talent management digitalization and company size as a catalyst. </w:t>
      </w:r>
      <w:r w:rsidRPr="00746944">
        <w:rPr>
          <w:rFonts w:asciiTheme="majorBidi" w:hAnsiTheme="majorBidi" w:cstheme="majorBidi"/>
          <w:b/>
          <w:bCs/>
          <w:i/>
          <w:iCs/>
        </w:rPr>
        <w:t>Systems</w:t>
      </w:r>
      <w:r w:rsidRPr="00746944">
        <w:rPr>
          <w:rFonts w:asciiTheme="majorBidi" w:hAnsiTheme="majorBidi" w:cstheme="majorBidi"/>
        </w:rPr>
        <w:t xml:space="preserve">, 12(5), 168. </w:t>
      </w:r>
      <w:hyperlink r:id="rId31" w:history="1">
        <w:r w:rsidRPr="00746944">
          <w:rPr>
            <w:rStyle w:val="Hyperlink"/>
            <w:rFonts w:asciiTheme="majorBidi" w:hAnsiTheme="majorBidi" w:cstheme="majorBidi"/>
          </w:rPr>
          <w:t>https://doi.org/10.3390/systems12050168</w:t>
        </w:r>
      </w:hyperlink>
    </w:p>
    <w:p w14:paraId="1A8C4308"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t xml:space="preserve">Menezes, D. B. S., Gumashvili, M., &amp; Kanokon, K. (2025). The role of talent management in enhancing employee retention: Mediating the influence of psychological empowerment. </w:t>
      </w:r>
      <w:r w:rsidRPr="00746944">
        <w:rPr>
          <w:rFonts w:asciiTheme="majorBidi" w:hAnsiTheme="majorBidi" w:cstheme="majorBidi"/>
          <w:b/>
          <w:bCs/>
          <w:i/>
          <w:iCs/>
        </w:rPr>
        <w:t>Sustainability</w:t>
      </w:r>
      <w:r w:rsidRPr="00746944">
        <w:rPr>
          <w:rFonts w:asciiTheme="majorBidi" w:hAnsiTheme="majorBidi" w:cstheme="majorBidi"/>
        </w:rPr>
        <w:t xml:space="preserve">, 17(7), 3277. </w:t>
      </w:r>
      <w:hyperlink r:id="rId32" w:history="1">
        <w:r w:rsidRPr="00746944">
          <w:rPr>
            <w:rStyle w:val="Hyperlink"/>
            <w:rFonts w:asciiTheme="majorBidi" w:hAnsiTheme="majorBidi" w:cstheme="majorBidi"/>
          </w:rPr>
          <w:t>https://doi.org/10.3390/su17073277</w:t>
        </w:r>
      </w:hyperlink>
    </w:p>
    <w:p w14:paraId="11F43B4A"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 xml:space="preserve">Sinisterra, L., Penalver, J., &amp; Salanova, M. (2024). Connecting the organizational incomes and outcomes: A systematic review of the relationship between talent management, employee engagement, and turnover intention. </w:t>
      </w:r>
      <w:r w:rsidRPr="00746944">
        <w:rPr>
          <w:rFonts w:asciiTheme="majorBidi" w:hAnsiTheme="majorBidi" w:cstheme="majorBidi"/>
          <w:b/>
          <w:bCs/>
          <w:i/>
          <w:iCs/>
        </w:rPr>
        <w:t>Frontiers in Psychology</w:t>
      </w:r>
      <w:r w:rsidRPr="00746944">
        <w:rPr>
          <w:rFonts w:asciiTheme="majorBidi" w:hAnsiTheme="majorBidi" w:cstheme="majorBidi"/>
        </w:rPr>
        <w:t>, 15, 1439127.</w:t>
      </w:r>
    </w:p>
    <w:p w14:paraId="61932DE5"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 xml:space="preserve"> </w:t>
      </w:r>
      <w:hyperlink r:id="rId33" w:history="1">
        <w:r w:rsidRPr="00746944">
          <w:rPr>
            <w:rStyle w:val="Hyperlink"/>
            <w:rFonts w:asciiTheme="majorBidi" w:hAnsiTheme="majorBidi" w:cstheme="majorBidi"/>
          </w:rPr>
          <w:t>https://doi.org/10.3389/fpsyg.2024.1439127</w:t>
        </w:r>
      </w:hyperlink>
    </w:p>
    <w:p w14:paraId="665483E1" w14:textId="77777777" w:rsidR="00D26B97" w:rsidRPr="00746944" w:rsidRDefault="00D26B97" w:rsidP="00746944">
      <w:pPr>
        <w:spacing w:line="360" w:lineRule="auto"/>
        <w:rPr>
          <w:rFonts w:asciiTheme="majorBidi" w:hAnsiTheme="majorBidi" w:cstheme="majorBidi"/>
          <w:rtl/>
        </w:rPr>
      </w:pPr>
      <w:r w:rsidRPr="00746944">
        <w:rPr>
          <w:rFonts w:asciiTheme="majorBidi" w:hAnsiTheme="majorBidi" w:cstheme="majorBidi"/>
        </w:rPr>
        <w:t>Thunnissen, M., &amp; Boselie, P. (Eds.). (2024). Talent management in higher education. Emerald Publishing Limited.</w:t>
      </w:r>
    </w:p>
    <w:p w14:paraId="535438D6" w14:textId="77777777" w:rsidR="00D26B97" w:rsidRPr="00746944" w:rsidRDefault="00000000" w:rsidP="00746944">
      <w:pPr>
        <w:spacing w:line="360" w:lineRule="auto"/>
        <w:rPr>
          <w:rFonts w:asciiTheme="majorBidi" w:hAnsiTheme="majorBidi" w:cstheme="majorBidi"/>
          <w:rtl/>
        </w:rPr>
      </w:pPr>
      <w:hyperlink r:id="rId34" w:history="1">
        <w:r w:rsidR="00D26B97" w:rsidRPr="00746944">
          <w:rPr>
            <w:rStyle w:val="Hyperlink"/>
            <w:rFonts w:asciiTheme="majorBidi" w:hAnsiTheme="majorBidi" w:cstheme="majorBidi"/>
            <w:color w:val="auto"/>
          </w:rPr>
          <w:t>https://bookstore.emerald.com/media/openaccess/9781802626858.pdf</w:t>
        </w:r>
      </w:hyperlink>
    </w:p>
    <w:p w14:paraId="61154B5F" w14:textId="77777777" w:rsidR="00D26B97" w:rsidRPr="00746944" w:rsidRDefault="00D26B97" w:rsidP="00746944">
      <w:pPr>
        <w:spacing w:line="360" w:lineRule="auto"/>
        <w:rPr>
          <w:rFonts w:asciiTheme="majorBidi" w:hAnsiTheme="majorBidi" w:cstheme="majorBidi"/>
        </w:rPr>
      </w:pPr>
      <w:r w:rsidRPr="00746944">
        <w:rPr>
          <w:rFonts w:asciiTheme="majorBidi" w:hAnsiTheme="majorBidi" w:cstheme="majorBidi"/>
        </w:rPr>
        <w:t xml:space="preserve">van der Merwe, M., Nel, P., &amp; Hoole, C. (2024). How talent management execution impacts career experiences: Exploring the organization–individual intersect. </w:t>
      </w:r>
      <w:r w:rsidRPr="00746944">
        <w:rPr>
          <w:rFonts w:asciiTheme="majorBidi" w:hAnsiTheme="majorBidi" w:cstheme="majorBidi"/>
          <w:b/>
          <w:bCs/>
          <w:i/>
          <w:iCs/>
        </w:rPr>
        <w:t>Frontiers in Psychology</w:t>
      </w:r>
      <w:r w:rsidRPr="00746944">
        <w:rPr>
          <w:rFonts w:asciiTheme="majorBidi" w:hAnsiTheme="majorBidi" w:cstheme="majorBidi"/>
        </w:rPr>
        <w:t xml:space="preserve">, 15, 1272645. </w:t>
      </w:r>
      <w:hyperlink r:id="rId35" w:history="1">
        <w:r w:rsidRPr="00746944">
          <w:rPr>
            <w:rStyle w:val="Hyperlink"/>
            <w:rFonts w:asciiTheme="majorBidi" w:hAnsiTheme="majorBidi" w:cstheme="majorBidi"/>
          </w:rPr>
          <w:t>https://doi.org/10.3389/fpsyg.2024.1272645</w:t>
        </w:r>
      </w:hyperlink>
    </w:p>
    <w:p w14:paraId="27209DAE" w14:textId="2278AD5B" w:rsidR="00D26B97" w:rsidRPr="00746944" w:rsidRDefault="00D26B97" w:rsidP="00746944">
      <w:pPr>
        <w:spacing w:line="360" w:lineRule="auto"/>
        <w:rPr>
          <w:rStyle w:val="Hyperlink"/>
          <w:rFonts w:asciiTheme="majorBidi" w:hAnsiTheme="majorBidi" w:cstheme="majorBidi"/>
          <w:color w:val="auto"/>
          <w:u w:val="none"/>
          <w:rtl/>
        </w:rPr>
      </w:pPr>
      <w:r w:rsidRPr="00746944">
        <w:rPr>
          <w:rFonts w:asciiTheme="majorBidi" w:hAnsiTheme="majorBidi" w:cstheme="majorBidi"/>
        </w:rPr>
        <w:t xml:space="preserve">Zahrani, A. A. (2026). Developing a new model for talent management and employee performance: The role of training and employee development in the sustainability of organizations. </w:t>
      </w:r>
      <w:r w:rsidRPr="00746944">
        <w:rPr>
          <w:rFonts w:asciiTheme="majorBidi" w:hAnsiTheme="majorBidi" w:cstheme="majorBidi"/>
          <w:b/>
          <w:bCs/>
          <w:i/>
          <w:iCs/>
        </w:rPr>
        <w:t>Frontiers in Sustainability</w:t>
      </w:r>
      <w:r w:rsidRPr="00746944">
        <w:rPr>
          <w:rFonts w:asciiTheme="majorBidi" w:hAnsiTheme="majorBidi" w:cstheme="majorBidi"/>
        </w:rPr>
        <w:t>, 7, 1741640.</w:t>
      </w:r>
      <w:r w:rsidRPr="00746944">
        <w:rPr>
          <w:rFonts w:asciiTheme="majorBidi" w:hAnsiTheme="majorBidi" w:cstheme="majorBidi"/>
        </w:rPr>
        <w:br/>
      </w:r>
      <w:hyperlink r:id="rId36" w:history="1">
        <w:r w:rsidRPr="00746944">
          <w:rPr>
            <w:rStyle w:val="Hyperlink"/>
            <w:rFonts w:asciiTheme="majorBidi" w:hAnsiTheme="majorBidi" w:cstheme="majorBidi"/>
          </w:rPr>
          <w:t>https://www.frontiersin.org/articles/10.3389/frsus.2026.1741640/full</w:t>
        </w:r>
      </w:hyperlink>
    </w:p>
    <w:sectPr w:rsidR="00D26B97" w:rsidRPr="00746944" w:rsidSect="00DD0106">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DF4A0" w14:textId="77777777" w:rsidR="00A36855" w:rsidRDefault="00A36855" w:rsidP="00AA0D58">
      <w:pPr>
        <w:spacing w:after="0" w:line="240" w:lineRule="auto"/>
      </w:pPr>
      <w:r>
        <w:separator/>
      </w:r>
    </w:p>
  </w:endnote>
  <w:endnote w:type="continuationSeparator" w:id="0">
    <w:p w14:paraId="173D9756" w14:textId="77777777" w:rsidR="00A36855" w:rsidRDefault="00A36855" w:rsidP="00AA0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16549"/>
      <w:docPartObj>
        <w:docPartGallery w:val="Page Numbers (Bottom of Page)"/>
        <w:docPartUnique/>
      </w:docPartObj>
    </w:sdtPr>
    <w:sdtEndPr>
      <w:rPr>
        <w:noProof/>
      </w:rPr>
    </w:sdtEndPr>
    <w:sdtContent>
      <w:p w14:paraId="0037C5A6" w14:textId="1895866C" w:rsidR="00AA0D58" w:rsidRDefault="00AA0D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7068C" w14:textId="77777777" w:rsidR="00AA0D58" w:rsidRDefault="00AA0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3F3DA" w14:textId="77777777" w:rsidR="00A36855" w:rsidRDefault="00A36855" w:rsidP="00AA0D58">
      <w:pPr>
        <w:spacing w:after="0" w:line="240" w:lineRule="auto"/>
      </w:pPr>
      <w:r>
        <w:separator/>
      </w:r>
    </w:p>
  </w:footnote>
  <w:footnote w:type="continuationSeparator" w:id="0">
    <w:p w14:paraId="711E8F88" w14:textId="77777777" w:rsidR="00A36855" w:rsidRDefault="00A36855" w:rsidP="00AA0D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F5AFE"/>
    <w:multiLevelType w:val="hybridMultilevel"/>
    <w:tmpl w:val="098E0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DD0241"/>
    <w:multiLevelType w:val="hybridMultilevel"/>
    <w:tmpl w:val="57E8B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0926A7"/>
    <w:multiLevelType w:val="hybridMultilevel"/>
    <w:tmpl w:val="12C0D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911147"/>
    <w:multiLevelType w:val="hybridMultilevel"/>
    <w:tmpl w:val="ECDE8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9394861">
    <w:abstractNumId w:val="0"/>
  </w:num>
  <w:num w:numId="2" w16cid:durableId="526874326">
    <w:abstractNumId w:val="2"/>
  </w:num>
  <w:num w:numId="3" w16cid:durableId="1512261252">
    <w:abstractNumId w:val="3"/>
  </w:num>
  <w:num w:numId="4" w16cid:durableId="834489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CED"/>
    <w:rsid w:val="00000612"/>
    <w:rsid w:val="000022A3"/>
    <w:rsid w:val="00005A5E"/>
    <w:rsid w:val="0001549B"/>
    <w:rsid w:val="00016E5C"/>
    <w:rsid w:val="000264F4"/>
    <w:rsid w:val="000278BF"/>
    <w:rsid w:val="00034136"/>
    <w:rsid w:val="00044151"/>
    <w:rsid w:val="0007781D"/>
    <w:rsid w:val="00084D6C"/>
    <w:rsid w:val="0008614F"/>
    <w:rsid w:val="00091ABE"/>
    <w:rsid w:val="0009513C"/>
    <w:rsid w:val="000A741C"/>
    <w:rsid w:val="000A74D3"/>
    <w:rsid w:val="000D213C"/>
    <w:rsid w:val="00101C37"/>
    <w:rsid w:val="00105228"/>
    <w:rsid w:val="00117040"/>
    <w:rsid w:val="0012211B"/>
    <w:rsid w:val="00130CA0"/>
    <w:rsid w:val="0013210B"/>
    <w:rsid w:val="0013739F"/>
    <w:rsid w:val="00137F06"/>
    <w:rsid w:val="00142A04"/>
    <w:rsid w:val="001532E6"/>
    <w:rsid w:val="001630B6"/>
    <w:rsid w:val="00192403"/>
    <w:rsid w:val="00194062"/>
    <w:rsid w:val="001942A3"/>
    <w:rsid w:val="001A56B0"/>
    <w:rsid w:val="001A7A87"/>
    <w:rsid w:val="001B0F33"/>
    <w:rsid w:val="001B1D3A"/>
    <w:rsid w:val="001C5B97"/>
    <w:rsid w:val="001D1887"/>
    <w:rsid w:val="001D6490"/>
    <w:rsid w:val="001E69DC"/>
    <w:rsid w:val="00226EAB"/>
    <w:rsid w:val="0023078C"/>
    <w:rsid w:val="00247D52"/>
    <w:rsid w:val="002543C9"/>
    <w:rsid w:val="00254CC9"/>
    <w:rsid w:val="00276D1F"/>
    <w:rsid w:val="002826A0"/>
    <w:rsid w:val="002833FB"/>
    <w:rsid w:val="00284B0E"/>
    <w:rsid w:val="002B4769"/>
    <w:rsid w:val="002B5B54"/>
    <w:rsid w:val="002C1C1B"/>
    <w:rsid w:val="002D1435"/>
    <w:rsid w:val="002D2700"/>
    <w:rsid w:val="002D4EDA"/>
    <w:rsid w:val="002D7CEA"/>
    <w:rsid w:val="002E094B"/>
    <w:rsid w:val="002F4F22"/>
    <w:rsid w:val="002F6F39"/>
    <w:rsid w:val="0030023A"/>
    <w:rsid w:val="003031B2"/>
    <w:rsid w:val="003139AC"/>
    <w:rsid w:val="00316758"/>
    <w:rsid w:val="00317406"/>
    <w:rsid w:val="00321EDF"/>
    <w:rsid w:val="00336978"/>
    <w:rsid w:val="0034295A"/>
    <w:rsid w:val="00342AD9"/>
    <w:rsid w:val="0035640B"/>
    <w:rsid w:val="003570DC"/>
    <w:rsid w:val="003577EF"/>
    <w:rsid w:val="00360206"/>
    <w:rsid w:val="00373B44"/>
    <w:rsid w:val="003828FF"/>
    <w:rsid w:val="0038421D"/>
    <w:rsid w:val="00397802"/>
    <w:rsid w:val="003A1F12"/>
    <w:rsid w:val="003A2DC8"/>
    <w:rsid w:val="003A3A00"/>
    <w:rsid w:val="003C467F"/>
    <w:rsid w:val="003E06C8"/>
    <w:rsid w:val="003E236A"/>
    <w:rsid w:val="003E4C9F"/>
    <w:rsid w:val="003E62E1"/>
    <w:rsid w:val="003F026A"/>
    <w:rsid w:val="0040035F"/>
    <w:rsid w:val="004018F4"/>
    <w:rsid w:val="00413D0F"/>
    <w:rsid w:val="00415069"/>
    <w:rsid w:val="00415359"/>
    <w:rsid w:val="004200B0"/>
    <w:rsid w:val="00426123"/>
    <w:rsid w:val="0043220B"/>
    <w:rsid w:val="00441B0E"/>
    <w:rsid w:val="00451F82"/>
    <w:rsid w:val="00454875"/>
    <w:rsid w:val="00455923"/>
    <w:rsid w:val="00464807"/>
    <w:rsid w:val="00482618"/>
    <w:rsid w:val="004861D3"/>
    <w:rsid w:val="00486F2D"/>
    <w:rsid w:val="00497DAC"/>
    <w:rsid w:val="004A05BD"/>
    <w:rsid w:val="004A64E6"/>
    <w:rsid w:val="004D0CEF"/>
    <w:rsid w:val="004E272C"/>
    <w:rsid w:val="004E4893"/>
    <w:rsid w:val="004F6B97"/>
    <w:rsid w:val="004F7524"/>
    <w:rsid w:val="005201F9"/>
    <w:rsid w:val="0052137E"/>
    <w:rsid w:val="00541AF5"/>
    <w:rsid w:val="00542131"/>
    <w:rsid w:val="00554EF0"/>
    <w:rsid w:val="00555657"/>
    <w:rsid w:val="0057485F"/>
    <w:rsid w:val="00581756"/>
    <w:rsid w:val="005904B2"/>
    <w:rsid w:val="005955C8"/>
    <w:rsid w:val="005A4DD9"/>
    <w:rsid w:val="005E69FB"/>
    <w:rsid w:val="006012B3"/>
    <w:rsid w:val="0060733E"/>
    <w:rsid w:val="00611C2A"/>
    <w:rsid w:val="00621060"/>
    <w:rsid w:val="00632F1E"/>
    <w:rsid w:val="00634DC7"/>
    <w:rsid w:val="00635001"/>
    <w:rsid w:val="00641FBB"/>
    <w:rsid w:val="006506A1"/>
    <w:rsid w:val="00650BF5"/>
    <w:rsid w:val="00651B2B"/>
    <w:rsid w:val="00654EBA"/>
    <w:rsid w:val="00663F3A"/>
    <w:rsid w:val="00674D1D"/>
    <w:rsid w:val="00674F57"/>
    <w:rsid w:val="00692E11"/>
    <w:rsid w:val="006C7D3E"/>
    <w:rsid w:val="006D0B84"/>
    <w:rsid w:val="006D5D1F"/>
    <w:rsid w:val="006D7F2E"/>
    <w:rsid w:val="006E28C5"/>
    <w:rsid w:val="006F42B3"/>
    <w:rsid w:val="0070280A"/>
    <w:rsid w:val="0071060A"/>
    <w:rsid w:val="00711179"/>
    <w:rsid w:val="00715561"/>
    <w:rsid w:val="00717DF5"/>
    <w:rsid w:val="007253BD"/>
    <w:rsid w:val="00730B19"/>
    <w:rsid w:val="00737DA3"/>
    <w:rsid w:val="00740968"/>
    <w:rsid w:val="00740E76"/>
    <w:rsid w:val="0074123D"/>
    <w:rsid w:val="00745FBA"/>
    <w:rsid w:val="00746944"/>
    <w:rsid w:val="0074711B"/>
    <w:rsid w:val="00751343"/>
    <w:rsid w:val="0075335F"/>
    <w:rsid w:val="00757E84"/>
    <w:rsid w:val="00765C69"/>
    <w:rsid w:val="007669DF"/>
    <w:rsid w:val="00774DC9"/>
    <w:rsid w:val="00776063"/>
    <w:rsid w:val="00776F4B"/>
    <w:rsid w:val="00787015"/>
    <w:rsid w:val="007914E7"/>
    <w:rsid w:val="00797703"/>
    <w:rsid w:val="007A3CED"/>
    <w:rsid w:val="007C4BC5"/>
    <w:rsid w:val="007D72EC"/>
    <w:rsid w:val="007E2DE5"/>
    <w:rsid w:val="007F485A"/>
    <w:rsid w:val="00802B12"/>
    <w:rsid w:val="0080536C"/>
    <w:rsid w:val="0080711D"/>
    <w:rsid w:val="00817C25"/>
    <w:rsid w:val="00822D6F"/>
    <w:rsid w:val="00827FFE"/>
    <w:rsid w:val="00845A56"/>
    <w:rsid w:val="008627C8"/>
    <w:rsid w:val="00871C05"/>
    <w:rsid w:val="00886745"/>
    <w:rsid w:val="008A0099"/>
    <w:rsid w:val="008A33F8"/>
    <w:rsid w:val="008A7498"/>
    <w:rsid w:val="008B6F7F"/>
    <w:rsid w:val="008C40F6"/>
    <w:rsid w:val="008C729D"/>
    <w:rsid w:val="008D20C7"/>
    <w:rsid w:val="008D748F"/>
    <w:rsid w:val="008E3770"/>
    <w:rsid w:val="008F3E70"/>
    <w:rsid w:val="0090058A"/>
    <w:rsid w:val="00931A95"/>
    <w:rsid w:val="00932F9F"/>
    <w:rsid w:val="00956BC8"/>
    <w:rsid w:val="009637FF"/>
    <w:rsid w:val="0097537F"/>
    <w:rsid w:val="009A29A2"/>
    <w:rsid w:val="009B198A"/>
    <w:rsid w:val="009C045C"/>
    <w:rsid w:val="009C6B1D"/>
    <w:rsid w:val="009D7930"/>
    <w:rsid w:val="009F435E"/>
    <w:rsid w:val="009F60A9"/>
    <w:rsid w:val="00A01381"/>
    <w:rsid w:val="00A0587A"/>
    <w:rsid w:val="00A0673D"/>
    <w:rsid w:val="00A16DF4"/>
    <w:rsid w:val="00A26264"/>
    <w:rsid w:val="00A30BAD"/>
    <w:rsid w:val="00A3463D"/>
    <w:rsid w:val="00A36855"/>
    <w:rsid w:val="00A4042D"/>
    <w:rsid w:val="00A4048A"/>
    <w:rsid w:val="00A443B0"/>
    <w:rsid w:val="00A53109"/>
    <w:rsid w:val="00A61D8F"/>
    <w:rsid w:val="00A659D3"/>
    <w:rsid w:val="00A80364"/>
    <w:rsid w:val="00A8590F"/>
    <w:rsid w:val="00A92FA9"/>
    <w:rsid w:val="00A93FE8"/>
    <w:rsid w:val="00AA0D58"/>
    <w:rsid w:val="00AD2ACA"/>
    <w:rsid w:val="00B12C80"/>
    <w:rsid w:val="00B1377E"/>
    <w:rsid w:val="00B32124"/>
    <w:rsid w:val="00B429D5"/>
    <w:rsid w:val="00B43322"/>
    <w:rsid w:val="00B442CC"/>
    <w:rsid w:val="00B47225"/>
    <w:rsid w:val="00B56B72"/>
    <w:rsid w:val="00B629CC"/>
    <w:rsid w:val="00B6487B"/>
    <w:rsid w:val="00B7517D"/>
    <w:rsid w:val="00B83912"/>
    <w:rsid w:val="00B9257C"/>
    <w:rsid w:val="00B967F8"/>
    <w:rsid w:val="00BC3B2A"/>
    <w:rsid w:val="00BD2E96"/>
    <w:rsid w:val="00BF0AB8"/>
    <w:rsid w:val="00BF4DE5"/>
    <w:rsid w:val="00C13722"/>
    <w:rsid w:val="00C21FBC"/>
    <w:rsid w:val="00C30B64"/>
    <w:rsid w:val="00C55ADF"/>
    <w:rsid w:val="00C74348"/>
    <w:rsid w:val="00C77B8E"/>
    <w:rsid w:val="00C82970"/>
    <w:rsid w:val="00C863A2"/>
    <w:rsid w:val="00C929A8"/>
    <w:rsid w:val="00C97B6A"/>
    <w:rsid w:val="00CA2B45"/>
    <w:rsid w:val="00CA44C6"/>
    <w:rsid w:val="00CB1667"/>
    <w:rsid w:val="00CC112B"/>
    <w:rsid w:val="00CE16E2"/>
    <w:rsid w:val="00CE48B4"/>
    <w:rsid w:val="00CF42E2"/>
    <w:rsid w:val="00D12ED3"/>
    <w:rsid w:val="00D22FEC"/>
    <w:rsid w:val="00D26B97"/>
    <w:rsid w:val="00D31DC0"/>
    <w:rsid w:val="00D44324"/>
    <w:rsid w:val="00D521A8"/>
    <w:rsid w:val="00D54582"/>
    <w:rsid w:val="00D66349"/>
    <w:rsid w:val="00D82417"/>
    <w:rsid w:val="00D8463C"/>
    <w:rsid w:val="00D91264"/>
    <w:rsid w:val="00D95C81"/>
    <w:rsid w:val="00D97CB7"/>
    <w:rsid w:val="00DA51C4"/>
    <w:rsid w:val="00DA5613"/>
    <w:rsid w:val="00DA7676"/>
    <w:rsid w:val="00DB1F1F"/>
    <w:rsid w:val="00DB72F1"/>
    <w:rsid w:val="00DC4E13"/>
    <w:rsid w:val="00DD0106"/>
    <w:rsid w:val="00DD6448"/>
    <w:rsid w:val="00DD7167"/>
    <w:rsid w:val="00DF0D2B"/>
    <w:rsid w:val="00E142FC"/>
    <w:rsid w:val="00E15378"/>
    <w:rsid w:val="00E25049"/>
    <w:rsid w:val="00E30EA5"/>
    <w:rsid w:val="00E33520"/>
    <w:rsid w:val="00E40DC2"/>
    <w:rsid w:val="00E47448"/>
    <w:rsid w:val="00E6563B"/>
    <w:rsid w:val="00E712CB"/>
    <w:rsid w:val="00E7256B"/>
    <w:rsid w:val="00E83920"/>
    <w:rsid w:val="00E92092"/>
    <w:rsid w:val="00E938B2"/>
    <w:rsid w:val="00EA1AA4"/>
    <w:rsid w:val="00EA3EA2"/>
    <w:rsid w:val="00EA4971"/>
    <w:rsid w:val="00EA5C95"/>
    <w:rsid w:val="00EB745E"/>
    <w:rsid w:val="00EC13BE"/>
    <w:rsid w:val="00EC2C94"/>
    <w:rsid w:val="00EC66BC"/>
    <w:rsid w:val="00ED6B2A"/>
    <w:rsid w:val="00EF363D"/>
    <w:rsid w:val="00F17961"/>
    <w:rsid w:val="00F26A4A"/>
    <w:rsid w:val="00F27B21"/>
    <w:rsid w:val="00F367C0"/>
    <w:rsid w:val="00F40B36"/>
    <w:rsid w:val="00F43110"/>
    <w:rsid w:val="00F54FBC"/>
    <w:rsid w:val="00F77167"/>
    <w:rsid w:val="00F87CB1"/>
    <w:rsid w:val="00F90B8B"/>
    <w:rsid w:val="00F922BA"/>
    <w:rsid w:val="00F93F60"/>
    <w:rsid w:val="00FC15ED"/>
    <w:rsid w:val="00FC790D"/>
    <w:rsid w:val="00FD288C"/>
    <w:rsid w:val="00FD38C0"/>
    <w:rsid w:val="00FD7108"/>
    <w:rsid w:val="00FE4234"/>
    <w:rsid w:val="00FE5DC2"/>
    <w:rsid w:val="00FE76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630E"/>
  <w15:chartTrackingRefBased/>
  <w15:docId w15:val="{C1419440-4E96-47F5-A122-3F5117B1C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FBB"/>
  </w:style>
  <w:style w:type="paragraph" w:styleId="Heading1">
    <w:name w:val="heading 1"/>
    <w:basedOn w:val="Normal"/>
    <w:next w:val="Normal"/>
    <w:link w:val="Heading1Char"/>
    <w:uiPriority w:val="9"/>
    <w:qFormat/>
    <w:rsid w:val="007A3C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3C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C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C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C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C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C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C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C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C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3C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C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C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C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C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C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C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CED"/>
    <w:rPr>
      <w:rFonts w:eastAsiaTheme="majorEastAsia" w:cstheme="majorBidi"/>
      <w:color w:val="272727" w:themeColor="text1" w:themeTint="D8"/>
    </w:rPr>
  </w:style>
  <w:style w:type="paragraph" w:styleId="Title">
    <w:name w:val="Title"/>
    <w:basedOn w:val="Normal"/>
    <w:next w:val="Normal"/>
    <w:link w:val="TitleChar"/>
    <w:uiPriority w:val="10"/>
    <w:qFormat/>
    <w:rsid w:val="007A3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C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C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C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CED"/>
    <w:pPr>
      <w:spacing w:before="160"/>
      <w:jc w:val="center"/>
    </w:pPr>
    <w:rPr>
      <w:i/>
      <w:iCs/>
      <w:color w:val="404040" w:themeColor="text1" w:themeTint="BF"/>
    </w:rPr>
  </w:style>
  <w:style w:type="character" w:customStyle="1" w:styleId="QuoteChar">
    <w:name w:val="Quote Char"/>
    <w:basedOn w:val="DefaultParagraphFont"/>
    <w:link w:val="Quote"/>
    <w:uiPriority w:val="29"/>
    <w:rsid w:val="007A3CED"/>
    <w:rPr>
      <w:i/>
      <w:iCs/>
      <w:color w:val="404040" w:themeColor="text1" w:themeTint="BF"/>
    </w:rPr>
  </w:style>
  <w:style w:type="paragraph" w:styleId="ListParagraph">
    <w:name w:val="List Paragraph"/>
    <w:basedOn w:val="Normal"/>
    <w:uiPriority w:val="34"/>
    <w:qFormat/>
    <w:rsid w:val="007A3CED"/>
    <w:pPr>
      <w:ind w:left="720"/>
      <w:contextualSpacing/>
    </w:pPr>
  </w:style>
  <w:style w:type="character" w:styleId="IntenseEmphasis">
    <w:name w:val="Intense Emphasis"/>
    <w:basedOn w:val="DefaultParagraphFont"/>
    <w:uiPriority w:val="21"/>
    <w:qFormat/>
    <w:rsid w:val="007A3CED"/>
    <w:rPr>
      <w:i/>
      <w:iCs/>
      <w:color w:val="0F4761" w:themeColor="accent1" w:themeShade="BF"/>
    </w:rPr>
  </w:style>
  <w:style w:type="paragraph" w:styleId="IntenseQuote">
    <w:name w:val="Intense Quote"/>
    <w:basedOn w:val="Normal"/>
    <w:next w:val="Normal"/>
    <w:link w:val="IntenseQuoteChar"/>
    <w:uiPriority w:val="30"/>
    <w:qFormat/>
    <w:rsid w:val="007A3C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CED"/>
    <w:rPr>
      <w:i/>
      <w:iCs/>
      <w:color w:val="0F4761" w:themeColor="accent1" w:themeShade="BF"/>
    </w:rPr>
  </w:style>
  <w:style w:type="character" w:styleId="IntenseReference">
    <w:name w:val="Intense Reference"/>
    <w:basedOn w:val="DefaultParagraphFont"/>
    <w:uiPriority w:val="32"/>
    <w:qFormat/>
    <w:rsid w:val="007A3CED"/>
    <w:rPr>
      <w:b/>
      <w:bCs/>
      <w:smallCaps/>
      <w:color w:val="0F4761" w:themeColor="accent1" w:themeShade="BF"/>
      <w:spacing w:val="5"/>
    </w:rPr>
  </w:style>
  <w:style w:type="character" w:styleId="Hyperlink">
    <w:name w:val="Hyperlink"/>
    <w:basedOn w:val="DefaultParagraphFont"/>
    <w:uiPriority w:val="99"/>
    <w:unhideWhenUsed/>
    <w:rsid w:val="00E712CB"/>
    <w:rPr>
      <w:color w:val="467886" w:themeColor="hyperlink"/>
      <w:u w:val="single"/>
    </w:rPr>
  </w:style>
  <w:style w:type="character" w:styleId="UnresolvedMention">
    <w:name w:val="Unresolved Mention"/>
    <w:basedOn w:val="DefaultParagraphFont"/>
    <w:uiPriority w:val="99"/>
    <w:semiHidden/>
    <w:unhideWhenUsed/>
    <w:rsid w:val="00E712CB"/>
    <w:rPr>
      <w:color w:val="605E5C"/>
      <w:shd w:val="clear" w:color="auto" w:fill="E1DFDD"/>
    </w:rPr>
  </w:style>
  <w:style w:type="character" w:styleId="FollowedHyperlink">
    <w:name w:val="FollowedHyperlink"/>
    <w:basedOn w:val="DefaultParagraphFont"/>
    <w:uiPriority w:val="99"/>
    <w:semiHidden/>
    <w:unhideWhenUsed/>
    <w:rsid w:val="00827FFE"/>
    <w:rPr>
      <w:color w:val="96607D" w:themeColor="followedHyperlink"/>
      <w:u w:val="single"/>
    </w:rPr>
  </w:style>
  <w:style w:type="paragraph" w:styleId="Header">
    <w:name w:val="header"/>
    <w:basedOn w:val="Normal"/>
    <w:link w:val="HeaderChar"/>
    <w:uiPriority w:val="99"/>
    <w:unhideWhenUsed/>
    <w:rsid w:val="00AA0D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D58"/>
  </w:style>
  <w:style w:type="paragraph" w:styleId="Footer">
    <w:name w:val="footer"/>
    <w:basedOn w:val="Normal"/>
    <w:link w:val="FooterChar"/>
    <w:uiPriority w:val="99"/>
    <w:unhideWhenUsed/>
    <w:rsid w:val="00AA0D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432231">
      <w:bodyDiv w:val="1"/>
      <w:marLeft w:val="0"/>
      <w:marRight w:val="0"/>
      <w:marTop w:val="0"/>
      <w:marBottom w:val="0"/>
      <w:divBdr>
        <w:top w:val="none" w:sz="0" w:space="0" w:color="auto"/>
        <w:left w:val="none" w:sz="0" w:space="0" w:color="auto"/>
        <w:bottom w:val="none" w:sz="0" w:space="0" w:color="auto"/>
        <w:right w:val="none" w:sz="0" w:space="0" w:color="auto"/>
      </w:divBdr>
    </w:div>
    <w:div w:id="850218017">
      <w:bodyDiv w:val="1"/>
      <w:marLeft w:val="0"/>
      <w:marRight w:val="0"/>
      <w:marTop w:val="0"/>
      <w:marBottom w:val="0"/>
      <w:divBdr>
        <w:top w:val="none" w:sz="0" w:space="0" w:color="auto"/>
        <w:left w:val="none" w:sz="0" w:space="0" w:color="auto"/>
        <w:bottom w:val="none" w:sz="0" w:space="0" w:color="auto"/>
        <w:right w:val="none" w:sz="0" w:space="0" w:color="auto"/>
      </w:divBdr>
      <w:divsChild>
        <w:div w:id="288055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9819783">
      <w:bodyDiv w:val="1"/>
      <w:marLeft w:val="0"/>
      <w:marRight w:val="0"/>
      <w:marTop w:val="0"/>
      <w:marBottom w:val="0"/>
      <w:divBdr>
        <w:top w:val="none" w:sz="0" w:space="0" w:color="auto"/>
        <w:left w:val="none" w:sz="0" w:space="0" w:color="auto"/>
        <w:bottom w:val="none" w:sz="0" w:space="0" w:color="auto"/>
        <w:right w:val="none" w:sz="0" w:space="0" w:color="auto"/>
      </w:divBdr>
    </w:div>
    <w:div w:id="1399211978">
      <w:bodyDiv w:val="1"/>
      <w:marLeft w:val="0"/>
      <w:marRight w:val="0"/>
      <w:marTop w:val="0"/>
      <w:marBottom w:val="0"/>
      <w:divBdr>
        <w:top w:val="none" w:sz="0" w:space="0" w:color="auto"/>
        <w:left w:val="none" w:sz="0" w:space="0" w:color="auto"/>
        <w:bottom w:val="none" w:sz="0" w:space="0" w:color="auto"/>
        <w:right w:val="none" w:sz="0" w:space="0" w:color="auto"/>
      </w:divBdr>
    </w:div>
    <w:div w:id="2024670730">
      <w:bodyDiv w:val="1"/>
      <w:marLeft w:val="0"/>
      <w:marRight w:val="0"/>
      <w:marTop w:val="0"/>
      <w:marBottom w:val="0"/>
      <w:divBdr>
        <w:top w:val="none" w:sz="0" w:space="0" w:color="auto"/>
        <w:left w:val="none" w:sz="0" w:space="0" w:color="auto"/>
        <w:bottom w:val="none" w:sz="0" w:space="0" w:color="auto"/>
        <w:right w:val="none" w:sz="0" w:space="0" w:color="auto"/>
      </w:divBdr>
    </w:div>
    <w:div w:id="2127388299">
      <w:bodyDiv w:val="1"/>
      <w:marLeft w:val="0"/>
      <w:marRight w:val="0"/>
      <w:marTop w:val="0"/>
      <w:marBottom w:val="0"/>
      <w:divBdr>
        <w:top w:val="none" w:sz="0" w:space="0" w:color="auto"/>
        <w:left w:val="none" w:sz="0" w:space="0" w:color="auto"/>
        <w:bottom w:val="none" w:sz="0" w:space="0" w:color="auto"/>
        <w:right w:val="none" w:sz="0" w:space="0" w:color="auto"/>
      </w:divBdr>
      <w:divsChild>
        <w:div w:id="440999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sohag.journals.ekb.eg/article_380780_471cf5c517c641b0abff4846e2bcfc0b.pdf" TargetMode="External"/><Relationship Id="rId18" Type="http://schemas.openxmlformats.org/officeDocument/2006/relationships/hyperlink" Target="https://journals.ekb.eg/article_143664.html" TargetMode="External"/><Relationship Id="rId26" Type="http://schemas.openxmlformats.org/officeDocument/2006/relationships/hyperlink" Target="https://doi.org/10.1177/0149206318757018" TargetMode="External"/><Relationship Id="rId39" Type="http://schemas.openxmlformats.org/officeDocument/2006/relationships/theme" Target="theme/theme1.xml"/><Relationship Id="rId21" Type="http://schemas.openxmlformats.org/officeDocument/2006/relationships/hyperlink" Target="https://www.mdpi.com/2071-1050/12/20/8372" TargetMode="External"/><Relationship Id="rId34" Type="http://schemas.openxmlformats.org/officeDocument/2006/relationships/hyperlink" Target="https://bookstore.emerald.com/media/openaccess/9781802626858.pdf" TargetMode="External"/><Relationship Id="rId7" Type="http://schemas.openxmlformats.org/officeDocument/2006/relationships/endnotes" Target="endnotes.xml"/><Relationship Id="rId12" Type="http://schemas.openxmlformats.org/officeDocument/2006/relationships/hyperlink" Target="https://sjrbs.journals.ekb.eg/article_274096_7f82f33deb578578145798409abd7fdf.pdf" TargetMode="External"/><Relationship Id="rId17" Type="http://schemas.openxmlformats.org/officeDocument/2006/relationships/hyperlink" Target="https://safq.journals.ekb.eg/article_229990.html" TargetMode="External"/><Relationship Id="rId25" Type="http://schemas.openxmlformats.org/officeDocument/2006/relationships/hyperlink" Target="https://www.mdpi.com/2071-1050/17/21/9909" TargetMode="External"/><Relationship Id="rId33" Type="http://schemas.openxmlformats.org/officeDocument/2006/relationships/hyperlink" Target="https://doi.org/10.3389/fpsyg.2024.1439127"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ces.journals.ekb.eg/article_168682_eecafa389d3a4360904413163ed6e2b8.pdf" TargetMode="External"/><Relationship Id="rId20" Type="http://schemas.openxmlformats.org/officeDocument/2006/relationships/hyperlink" Target="https://search.shamaa.org/PDF/Articles/EGDti/DtiVol28No12P4Y2022/dti_2022-v28-n12-p4_099-226.pdf" TargetMode="External"/><Relationship Id="rId29" Type="http://schemas.openxmlformats.org/officeDocument/2006/relationships/hyperlink" Target="https://doi.org/10.1080/09585192.2022.20322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urnals.ajsrp.com/index.php/jeps/article/download/6050/5795" TargetMode="External"/><Relationship Id="rId24" Type="http://schemas.openxmlformats.org/officeDocument/2006/relationships/hyperlink" Target="https://www.mdpi.com/2071-1050/17/24/11215" TargetMode="External"/><Relationship Id="rId32" Type="http://schemas.openxmlformats.org/officeDocument/2006/relationships/hyperlink" Target="https://doi.org/10.3390/su17073277"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jces.journals.ekb.eg/article_390228_98d1a33235382d190451148efea3c59d.pdf" TargetMode="External"/><Relationship Id="rId23" Type="http://schemas.openxmlformats.org/officeDocument/2006/relationships/hyperlink" Target="https://www.mdpi.com/2673-8104/4/4/32" TargetMode="External"/><Relationship Id="rId28" Type="http://schemas.openxmlformats.org/officeDocument/2006/relationships/hyperlink" Target="https://doi.org/10.1080/2331186X.2025.2482455" TargetMode="External"/><Relationship Id="rId36" Type="http://schemas.openxmlformats.org/officeDocument/2006/relationships/hyperlink" Target="https://www.frontiersin.org/articles/10.3389/frsus.2026.1741640/full" TargetMode="External"/><Relationship Id="rId10" Type="http://schemas.openxmlformats.org/officeDocument/2006/relationships/hyperlink" Target="https://search.shamaa.org/PDF/Articles/YEAjqahe/45AjqaheVol13No45Y2020/ajqahe_2020-v13-n45_065-096.pdf" TargetMode="External"/><Relationship Id="rId19" Type="http://schemas.openxmlformats.org/officeDocument/2006/relationships/hyperlink" Target="https://cfdj.journals.ekb.eg/article_259980_dd499ee2ce5f82cd597a60197262f2d7.pdf" TargetMode="External"/><Relationship Id="rId31" Type="http://schemas.openxmlformats.org/officeDocument/2006/relationships/hyperlink" Target="https://doi.org/10.3390/systems1205016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journals.ajsrp.com/index.php/jeals/article/download/5516/5260" TargetMode="External"/><Relationship Id="rId22" Type="http://schemas.openxmlformats.org/officeDocument/2006/relationships/hyperlink" Target="https://doi.org/10.1016/j.jwb.2013.11.001" TargetMode="External"/><Relationship Id="rId27" Type="http://schemas.openxmlformats.org/officeDocument/2006/relationships/hyperlink" Target="https://doi.org/10.1080/09585192.2019.1642645" TargetMode="External"/><Relationship Id="rId30" Type="http://schemas.openxmlformats.org/officeDocument/2006/relationships/hyperlink" Target="https://doi.org/10.3390/ijerph17134827" TargetMode="External"/><Relationship Id="rId35" Type="http://schemas.openxmlformats.org/officeDocument/2006/relationships/hyperlink" Target="https://doi.org/10.3389/fpsyg.2024.1272645"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3C4EC-8D65-45D0-800C-FDB601B8A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3733</Words>
  <Characters>21284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dc:creator>
  <cp:keywords/>
  <dc:description/>
  <cp:lastModifiedBy>خالد مطر</cp:lastModifiedBy>
  <cp:revision>4</cp:revision>
  <dcterms:created xsi:type="dcterms:W3CDTF">2026-07-24T13:22:00Z</dcterms:created>
  <dcterms:modified xsi:type="dcterms:W3CDTF">2026-07-24T13:24:00Z</dcterms:modified>
</cp:coreProperties>
</file>