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80780" w14:textId="60F9379B" w:rsidR="00441364" w:rsidRPr="001902DB" w:rsidRDefault="00441364" w:rsidP="00441364">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7728" behindDoc="0" locked="0" layoutInCell="1" allowOverlap="1" wp14:anchorId="276BDF81" wp14:editId="29667690">
            <wp:simplePos x="0" y="0"/>
            <wp:positionH relativeFrom="margin">
              <wp:posOffset>-228600</wp:posOffset>
            </wp:positionH>
            <wp:positionV relativeFrom="margin">
              <wp:posOffset>-638175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2D482DC" w14:textId="067566E6" w:rsidR="00441364" w:rsidRPr="001902DB" w:rsidRDefault="00441364" w:rsidP="00441364">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DACDEBB" w14:textId="77777777" w:rsidR="00441364" w:rsidRPr="009125CE" w:rsidRDefault="00441364" w:rsidP="00441364">
      <w:pPr>
        <w:spacing w:line="276" w:lineRule="auto"/>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5BE9773D" w14:textId="77777777" w:rsidR="00441364" w:rsidRPr="009125CE" w:rsidRDefault="00441364" w:rsidP="00441364">
      <w:pPr>
        <w:spacing w:line="276" w:lineRule="auto"/>
        <w:rPr>
          <w:rFonts w:ascii="Sakkal Majalla" w:hAnsi="Sakkal Majalla" w:cs="Sakkal Majalla"/>
          <w:sz w:val="28"/>
          <w:szCs w:val="28"/>
          <w:rtl/>
          <w:lang w:bidi="ar-EG"/>
        </w:rPr>
      </w:pPr>
    </w:p>
    <w:p w14:paraId="26903EB2" w14:textId="77777777" w:rsidR="00441364" w:rsidRPr="009125CE" w:rsidRDefault="00441364" w:rsidP="00441364">
      <w:pPr>
        <w:spacing w:line="276" w:lineRule="auto"/>
        <w:rPr>
          <w:rFonts w:ascii="Sakkal Majalla" w:hAnsi="Sakkal Majalla" w:cs="Sakkal Majalla"/>
          <w:sz w:val="28"/>
          <w:szCs w:val="28"/>
          <w:rtl/>
          <w:lang w:bidi="ar-EG"/>
        </w:rPr>
      </w:pPr>
    </w:p>
    <w:p w14:paraId="06C1FCD9" w14:textId="77777777" w:rsidR="00441364" w:rsidRPr="009125CE" w:rsidRDefault="00441364" w:rsidP="00441364">
      <w:pPr>
        <w:spacing w:line="276" w:lineRule="auto"/>
        <w:rPr>
          <w:rFonts w:ascii="Sakkal Majalla" w:hAnsi="Sakkal Majalla" w:cs="Sakkal Majalla"/>
          <w:sz w:val="28"/>
          <w:szCs w:val="28"/>
          <w:rtl/>
          <w:lang w:bidi="ar-EG"/>
        </w:rPr>
      </w:pPr>
    </w:p>
    <w:p w14:paraId="5B0DBD90" w14:textId="77777777" w:rsidR="00441364" w:rsidRPr="001902DB" w:rsidRDefault="00441364" w:rsidP="00441364">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92E2803" w14:textId="77777777" w:rsidR="00441364" w:rsidRDefault="00441364" w:rsidP="00441364">
      <w:pPr>
        <w:spacing w:line="276" w:lineRule="auto"/>
        <w:jc w:val="center"/>
        <w:rPr>
          <w:rFonts w:ascii="Sakkal Majalla" w:hAnsi="Sakkal Majalla" w:cs="Sakkal Majalla"/>
          <w:sz w:val="28"/>
          <w:szCs w:val="28"/>
          <w:rtl/>
        </w:rPr>
      </w:pPr>
      <w:r w:rsidRPr="00FC31F9">
        <w:rPr>
          <w:rFonts w:ascii="Sakkal Majalla" w:hAnsi="Sakkal Majalla" w:cs="Sakkal Majalla"/>
          <w:sz w:val="28"/>
          <w:szCs w:val="28"/>
          <w:rtl/>
        </w:rPr>
        <w:t>أثر التحول الرقمي وتطبيقات التجارة الإلكترونية على الأداء المالي للشركات العالمية</w:t>
      </w:r>
    </w:p>
    <w:p w14:paraId="3AC1C7BE" w14:textId="77777777" w:rsidR="00441364" w:rsidRPr="009125CE" w:rsidRDefault="00441364" w:rsidP="00441364">
      <w:pPr>
        <w:spacing w:line="276" w:lineRule="auto"/>
        <w:jc w:val="center"/>
        <w:rPr>
          <w:rFonts w:ascii="Sakkal Majalla" w:hAnsi="Sakkal Majalla" w:cs="Sakkal Majalla"/>
          <w:sz w:val="28"/>
          <w:szCs w:val="28"/>
          <w:rtl/>
        </w:rPr>
      </w:pPr>
      <w:r w:rsidRPr="00FC31F9">
        <w:rPr>
          <w:rFonts w:ascii="Sakkal Majalla" w:hAnsi="Sakkal Majalla" w:cs="Sakkal Majalla"/>
          <w:sz w:val="28"/>
          <w:szCs w:val="28"/>
          <w:rtl/>
        </w:rPr>
        <w:t>دراسة حالة شركة أمازون خلال الأعوام 2020–2024</w:t>
      </w:r>
    </w:p>
    <w:p w14:paraId="371896E5" w14:textId="77777777" w:rsidR="00441364" w:rsidRPr="00FC31F9" w:rsidRDefault="00441364" w:rsidP="00441364">
      <w:pPr>
        <w:spacing w:line="276" w:lineRule="auto"/>
        <w:jc w:val="center"/>
        <w:rPr>
          <w:rFonts w:ascii="Sakkal Majalla" w:hAnsi="Sakkal Majalla" w:cs="Sakkal Majalla"/>
          <w:b/>
          <w:bCs/>
          <w:sz w:val="28"/>
          <w:szCs w:val="28"/>
          <w:rtl/>
          <w:lang w:bidi="ar-EG"/>
        </w:rPr>
      </w:pPr>
      <w:r w:rsidRPr="00FC31F9">
        <w:rPr>
          <w:rFonts w:ascii="Sakkal Majalla" w:hAnsi="Sakkal Majalla" w:cs="Sakkal Majalla"/>
          <w:b/>
          <w:bCs/>
          <w:sz w:val="28"/>
          <w:szCs w:val="28"/>
          <w:lang w:bidi="ar-EG"/>
        </w:rPr>
        <w:t>The Impact of Digital Transformation and E-Commerce Applications on the Financial Performance of Global Companies: A Case Study of Amazon (2020–2024)</w:t>
      </w:r>
    </w:p>
    <w:p w14:paraId="4561A4FC" w14:textId="77777777" w:rsidR="00441364" w:rsidRPr="009125CE" w:rsidRDefault="00441364" w:rsidP="00441364">
      <w:pPr>
        <w:spacing w:line="276" w:lineRule="auto"/>
        <w:jc w:val="center"/>
        <w:rPr>
          <w:rFonts w:ascii="Sakkal Majalla" w:hAnsi="Sakkal Majalla" w:cs="Sakkal Majalla" w:hint="cs"/>
          <w:sz w:val="28"/>
          <w:szCs w:val="28"/>
          <w:rtl/>
        </w:rPr>
      </w:pPr>
    </w:p>
    <w:p w14:paraId="4E033090" w14:textId="77777777" w:rsidR="00441364" w:rsidRPr="001902DB" w:rsidRDefault="00441364" w:rsidP="00441364">
      <w:pPr>
        <w:spacing w:line="276" w:lineRule="auto"/>
        <w:jc w:val="center"/>
        <w:rPr>
          <w:rFonts w:ascii="Sakkal Majalla" w:hAnsi="Sakkal Majalla" w:cs="Sakkal Majalla"/>
          <w:b/>
          <w:bCs/>
          <w:sz w:val="28"/>
          <w:szCs w:val="28"/>
          <w:rtl/>
          <w:lang w:bidi="ar-EG"/>
        </w:rPr>
      </w:pPr>
    </w:p>
    <w:p w14:paraId="6B6AD60F" w14:textId="77777777" w:rsidR="00441364" w:rsidRPr="001902DB" w:rsidRDefault="00441364" w:rsidP="0044136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احمد بن علي</w:t>
      </w:r>
    </w:p>
    <w:p w14:paraId="7CA2DDCE" w14:textId="77777777" w:rsidR="00441364" w:rsidRPr="001902DB" w:rsidRDefault="00441364" w:rsidP="00441364">
      <w:pPr>
        <w:spacing w:line="276" w:lineRule="auto"/>
        <w:jc w:val="center"/>
        <w:rPr>
          <w:rFonts w:ascii="Sakkal Majalla" w:hAnsi="Sakkal Majalla" w:cs="Sakkal Majalla"/>
          <w:b/>
          <w:bCs/>
          <w:sz w:val="28"/>
          <w:szCs w:val="28"/>
          <w:rtl/>
          <w:lang w:bidi="ar-EG"/>
        </w:rPr>
      </w:pPr>
    </w:p>
    <w:p w14:paraId="630A3556" w14:textId="77777777" w:rsidR="00441364" w:rsidRPr="001902DB" w:rsidRDefault="00441364" w:rsidP="0044136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9AD13AA" w14:textId="77777777" w:rsidR="00441364" w:rsidRDefault="00441364" w:rsidP="00441364">
      <w:pPr>
        <w:spacing w:line="276"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1FD8180F" w14:textId="77777777" w:rsidR="00441364" w:rsidRPr="001902DB" w:rsidRDefault="00441364" w:rsidP="00441364">
      <w:pPr>
        <w:spacing w:line="276"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401FACE0" w14:textId="77777777" w:rsidR="00441364" w:rsidRPr="001902DB" w:rsidRDefault="00441364" w:rsidP="00441364">
      <w:pPr>
        <w:spacing w:line="276" w:lineRule="auto"/>
        <w:jc w:val="center"/>
        <w:rPr>
          <w:rFonts w:ascii="Sakkal Majalla" w:hAnsi="Sakkal Majalla" w:cs="Sakkal Majalla"/>
          <w:b/>
          <w:bCs/>
          <w:sz w:val="28"/>
          <w:szCs w:val="28"/>
          <w:rtl/>
          <w:lang w:bidi="ar-EG"/>
        </w:rPr>
      </w:pPr>
    </w:p>
    <w:p w14:paraId="1A37D469" w14:textId="77777777" w:rsidR="00441364" w:rsidRPr="001902DB" w:rsidRDefault="00441364" w:rsidP="0044136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70A1A73" w14:textId="269CB409" w:rsidR="00DD3DF8" w:rsidRPr="008D3D8D" w:rsidRDefault="00441364" w:rsidP="008D3D8D">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r w:rsidR="002E5C2B">
        <w:rPr>
          <w:rFonts w:ascii="Sakkal Majalla" w:hAnsi="Sakkal Majalla" w:cs="Sakkal Majalla" w:hint="cs"/>
          <w:b/>
          <w:bCs/>
          <w:sz w:val="28"/>
          <w:szCs w:val="28"/>
          <w:rtl/>
          <w:lang w:bidi="ar-EG"/>
        </w:rPr>
        <w:t xml:space="preserve"> </w:t>
      </w:r>
      <w:r w:rsidR="00456CDB">
        <w:rPr>
          <w:rFonts w:ascii="Sakkal Majalla" w:hAnsi="Sakkal Majalla" w:cs="Sakkal Majalla"/>
          <w:b/>
          <w:bCs/>
          <w:sz w:val="28"/>
          <w:szCs w:val="28"/>
          <w:rtl/>
          <w:lang w:bidi="ar-EG"/>
        </w:rPr>
        <w:t>–</w:t>
      </w:r>
      <w:r w:rsidR="002E5C2B">
        <w:rPr>
          <w:rFonts w:ascii="Sakkal Majalla" w:hAnsi="Sakkal Majalla" w:cs="Sakkal Majalla" w:hint="cs"/>
          <w:b/>
          <w:bCs/>
          <w:sz w:val="28"/>
          <w:szCs w:val="28"/>
          <w:rtl/>
          <w:lang w:bidi="ar-EG"/>
        </w:rPr>
        <w:t xml:space="preserve"> 2026</w:t>
      </w:r>
    </w:p>
    <w:p w14:paraId="31A92388" w14:textId="77777777" w:rsidR="00DD3DF8" w:rsidRPr="00236417" w:rsidRDefault="00DD3DF8" w:rsidP="00DD3DF8">
      <w:pPr>
        <w:spacing w:line="360" w:lineRule="auto"/>
        <w:rPr>
          <w:rFonts w:ascii="Simplified Arabic" w:hAnsi="Simplified Arabic" w:cs="Simplified Arabic" w:hint="cs"/>
          <w:b/>
          <w:bCs/>
          <w:sz w:val="144"/>
          <w:szCs w:val="144"/>
          <w:rtl/>
        </w:rPr>
      </w:pPr>
    </w:p>
    <w:p w14:paraId="671EFD7C" w14:textId="4D42B518" w:rsidR="00C30482" w:rsidRPr="00236417" w:rsidRDefault="00C30482" w:rsidP="00A420D1">
      <w:pPr>
        <w:spacing w:after="360" w:line="360" w:lineRule="auto"/>
        <w:ind w:left="284"/>
        <w:jc w:val="center"/>
        <w:rPr>
          <w:rFonts w:ascii="Simplified Arabic" w:hAnsi="Simplified Arabic" w:cs="Simplified Arabic"/>
          <w:b/>
          <w:bCs/>
          <w:sz w:val="40"/>
          <w:szCs w:val="40"/>
        </w:rPr>
      </w:pPr>
      <w:r w:rsidRPr="00236417">
        <w:rPr>
          <w:rFonts w:ascii="Simplified Arabic" w:hAnsi="Simplified Arabic" w:cs="Simplified Arabic"/>
          <w:b/>
          <w:bCs/>
          <w:sz w:val="40"/>
          <w:szCs w:val="40"/>
          <w:rtl/>
        </w:rPr>
        <w:t>الفصل الأول</w:t>
      </w:r>
    </w:p>
    <w:p w14:paraId="20494FCC" w14:textId="174E8A24" w:rsidR="00C30482" w:rsidRPr="00236417" w:rsidRDefault="00767B37" w:rsidP="00A420D1">
      <w:pPr>
        <w:spacing w:after="360" w:line="360" w:lineRule="auto"/>
        <w:ind w:left="284"/>
        <w:jc w:val="center"/>
        <w:rPr>
          <w:rFonts w:ascii="Simplified Arabic" w:hAnsi="Simplified Arabic" w:cs="Simplified Arabic"/>
          <w:b/>
          <w:bCs/>
          <w:sz w:val="40"/>
          <w:szCs w:val="40"/>
          <w:rtl/>
        </w:rPr>
      </w:pPr>
      <w:r w:rsidRPr="00236417">
        <w:rPr>
          <w:rFonts w:ascii="Simplified Arabic" w:hAnsi="Simplified Arabic" w:cs="Simplified Arabic" w:hint="cs"/>
          <w:b/>
          <w:bCs/>
          <w:sz w:val="40"/>
          <w:szCs w:val="40"/>
          <w:rtl/>
        </w:rPr>
        <w:t>الإطار</w:t>
      </w:r>
      <w:r w:rsidR="00C30482" w:rsidRPr="00236417">
        <w:rPr>
          <w:rFonts w:ascii="Simplified Arabic" w:hAnsi="Simplified Arabic" w:cs="Simplified Arabic"/>
          <w:b/>
          <w:bCs/>
          <w:sz w:val="40"/>
          <w:szCs w:val="40"/>
          <w:rtl/>
        </w:rPr>
        <w:t xml:space="preserve"> </w:t>
      </w:r>
      <w:r w:rsidR="009F3840" w:rsidRPr="00236417">
        <w:rPr>
          <w:rFonts w:ascii="Simplified Arabic" w:hAnsi="Simplified Arabic" w:cs="Simplified Arabic"/>
          <w:b/>
          <w:bCs/>
          <w:sz w:val="40"/>
          <w:szCs w:val="40"/>
          <w:rtl/>
        </w:rPr>
        <w:t>العام للدراسة</w:t>
      </w:r>
    </w:p>
    <w:p w14:paraId="533CFEA9" w14:textId="77777777" w:rsidR="00C30482" w:rsidRPr="00236417" w:rsidRDefault="00C30482" w:rsidP="00A420D1">
      <w:pPr>
        <w:spacing w:line="360" w:lineRule="auto"/>
        <w:rPr>
          <w:rFonts w:ascii="Simplified Arabic" w:hAnsi="Simplified Arabic" w:cs="Simplified Arabic"/>
          <w:b/>
          <w:bCs/>
          <w:sz w:val="28"/>
          <w:szCs w:val="28"/>
          <w:rtl/>
        </w:rPr>
      </w:pPr>
    </w:p>
    <w:p w14:paraId="061A2156" w14:textId="77777777" w:rsidR="00C30482" w:rsidRPr="00236417" w:rsidRDefault="00C30482" w:rsidP="00A420D1">
      <w:pPr>
        <w:spacing w:line="360" w:lineRule="auto"/>
        <w:rPr>
          <w:rFonts w:ascii="Simplified Arabic" w:hAnsi="Simplified Arabic" w:cs="Simplified Arabic"/>
          <w:b/>
          <w:bCs/>
          <w:sz w:val="28"/>
          <w:szCs w:val="28"/>
          <w:rtl/>
        </w:rPr>
      </w:pPr>
    </w:p>
    <w:p w14:paraId="73AA0ABD" w14:textId="77777777" w:rsidR="00C30482" w:rsidRPr="00236417" w:rsidRDefault="00C30482" w:rsidP="00A420D1">
      <w:pPr>
        <w:spacing w:line="360" w:lineRule="auto"/>
        <w:rPr>
          <w:rFonts w:ascii="Simplified Arabic" w:hAnsi="Simplified Arabic" w:cs="Simplified Arabic"/>
          <w:b/>
          <w:bCs/>
          <w:sz w:val="28"/>
          <w:szCs w:val="28"/>
          <w:rtl/>
        </w:rPr>
      </w:pPr>
    </w:p>
    <w:p w14:paraId="3ADDB96A" w14:textId="0483AFC4" w:rsidR="00C30482" w:rsidRPr="00236417" w:rsidRDefault="00C30482" w:rsidP="00A420D1">
      <w:pPr>
        <w:spacing w:line="360" w:lineRule="auto"/>
        <w:rPr>
          <w:rFonts w:ascii="Simplified Arabic" w:hAnsi="Simplified Arabic" w:cs="Simplified Arabic"/>
          <w:b/>
          <w:bCs/>
          <w:sz w:val="28"/>
          <w:szCs w:val="28"/>
          <w:rtl/>
        </w:rPr>
      </w:pPr>
    </w:p>
    <w:p w14:paraId="60A4B762" w14:textId="1AE29EBF" w:rsidR="00984B30" w:rsidRPr="00236417" w:rsidRDefault="00241F72" w:rsidP="00241F72">
      <w:pPr>
        <w:pStyle w:val="11"/>
      </w:pPr>
      <w:bookmarkStart w:id="0" w:name="_Toc225540579"/>
      <w:r>
        <w:rPr>
          <w:rFonts w:hint="cs"/>
          <w:rtl/>
        </w:rPr>
        <w:lastRenderedPageBreak/>
        <w:t xml:space="preserve">الفصل </w:t>
      </w:r>
      <w:r w:rsidR="009328EA">
        <w:rPr>
          <w:rFonts w:hint="cs"/>
          <w:rtl/>
        </w:rPr>
        <w:t>الأول:</w:t>
      </w:r>
      <w:r>
        <w:rPr>
          <w:rFonts w:hint="cs"/>
          <w:rtl/>
        </w:rPr>
        <w:t xml:space="preserve"> </w:t>
      </w:r>
      <w:r w:rsidR="00984B30" w:rsidRPr="00236417">
        <w:rPr>
          <w:rtl/>
        </w:rPr>
        <w:t>الإطار</w:t>
      </w:r>
      <w:r w:rsidR="00F2624A">
        <w:rPr>
          <w:rFonts w:hint="cs"/>
          <w:rtl/>
        </w:rPr>
        <w:t xml:space="preserve"> </w:t>
      </w:r>
      <w:r w:rsidR="009F3840" w:rsidRPr="00236417">
        <w:rPr>
          <w:rtl/>
        </w:rPr>
        <w:t>العام</w:t>
      </w:r>
      <w:r w:rsidR="00984B30" w:rsidRPr="00236417">
        <w:rPr>
          <w:rtl/>
        </w:rPr>
        <w:t xml:space="preserve"> للدراسة</w:t>
      </w:r>
      <w:bookmarkEnd w:id="0"/>
    </w:p>
    <w:p w14:paraId="2A1C1633" w14:textId="77777777" w:rsidR="00984B30" w:rsidRPr="00A54EE5" w:rsidRDefault="00984B30" w:rsidP="00A54EE5">
      <w:pPr>
        <w:pStyle w:val="21"/>
      </w:pPr>
      <w:bookmarkStart w:id="1" w:name="_Toc225540580"/>
      <w:r w:rsidRPr="00A54EE5">
        <w:rPr>
          <w:rStyle w:val="2Char0"/>
          <w:b/>
          <w:bCs/>
        </w:rPr>
        <w:t>1</w:t>
      </w:r>
      <w:r w:rsidRPr="00A54EE5">
        <w:t xml:space="preserve">-1 </w:t>
      </w:r>
      <w:r w:rsidRPr="00A54EE5">
        <w:rPr>
          <w:rtl/>
        </w:rPr>
        <w:t>مقدمة</w:t>
      </w:r>
      <w:bookmarkEnd w:id="1"/>
    </w:p>
    <w:p w14:paraId="128C7613" w14:textId="21D61EC2" w:rsidR="00984B30" w:rsidRPr="00236417" w:rsidRDefault="0090746F"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   </w:t>
      </w:r>
      <w:r w:rsidR="00984B30" w:rsidRPr="00236417">
        <w:rPr>
          <w:rFonts w:ascii="Simplified Arabic" w:hAnsi="Simplified Arabic" w:cs="Simplified Arabic"/>
          <w:sz w:val="28"/>
          <w:szCs w:val="28"/>
          <w:rtl/>
        </w:rPr>
        <w:t xml:space="preserve">شهد العالم خلال السنوات الأخيرة تطورًا متسارعًا في تقنيات المعلومات والاتصالات، الأمر الذي انعكس بصورة مباشرة على طبيعة الأعمال التجارية وأساليب </w:t>
      </w:r>
      <w:proofErr w:type="gramStart"/>
      <w:r w:rsidR="00984B30" w:rsidRPr="00236417">
        <w:rPr>
          <w:rFonts w:ascii="Simplified Arabic" w:hAnsi="Simplified Arabic" w:cs="Simplified Arabic"/>
          <w:sz w:val="28"/>
          <w:szCs w:val="28"/>
          <w:rtl/>
        </w:rPr>
        <w:t>الإدارة</w:t>
      </w:r>
      <w:proofErr w:type="gramEnd"/>
      <w:r w:rsidR="00984B30" w:rsidRPr="00236417">
        <w:rPr>
          <w:rFonts w:ascii="Simplified Arabic" w:hAnsi="Simplified Arabic" w:cs="Simplified Arabic"/>
          <w:sz w:val="28"/>
          <w:szCs w:val="28"/>
          <w:rtl/>
        </w:rPr>
        <w:t xml:space="preserve"> والتسويق والإنتاج والتوزيع. وقد أدى هذا التطور إلى بروز مفهوم التحول الرقمي بوصفه أحد أهم التوجهات الحديثة التي تبنتها المؤسسات في مختلف القطاعات، حيث لم يعد استخدام الأدوات الرقمية مجرد وسيلة مساندة للعمل، بل أصبح عنصرًا أساسيًا في بناء الميزة التنافسية وتحقيق النمو والاستدامة. كما أسهم هذا التحول في إعادة تشكيل بيئة الأعمال، وخلق نماذج تشغيل جديدة، ورفع مستوى الاعتماد على الأنظمة الذكية والمنصات الرقمية في مختلف الوظائف الإدارية والمالية والتشغيلية</w:t>
      </w:r>
      <w:r w:rsidR="00984B30" w:rsidRPr="00236417">
        <w:rPr>
          <w:rFonts w:ascii="Simplified Arabic" w:hAnsi="Simplified Arabic" w:cs="Simplified Arabic"/>
          <w:sz w:val="28"/>
          <w:szCs w:val="28"/>
        </w:rPr>
        <w:t xml:space="preserve">. </w:t>
      </w:r>
    </w:p>
    <w:p w14:paraId="319A7EAF"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وقد تزامن هذا التحول مع توسع ملحوظ في تطبيقات التجارة الإلكترونية، التي أصبحت تمثل أحد أبرز صور النشاط الاقتصادي في العصر الحديث. فالتجارة الإلكترونية لم تعد مجرد قناة بديلة للبيع، بل أصبحت منظومة متكاملة تشمل إدارة الطلبات، والدفع الإلكتروني، وخدمة العملاء، وتحليل السلوك الشرائي، وسلاسل الإمداد، والتوصيل الذكي. ومع انتشار الإنترنت، وتزايد الاعتماد على الهواتف الذكية، وتحسن البنية التحتية الرقمية، توسعت الأسواق الإلكترونية بصورة غير مسبوقة، وازدادت قدرة الشركات على الوصول إلى العملاء في نطاقات جغرافية واسعة وبتكلفة أقل مقارنة بالنماذج التقليدية</w:t>
      </w:r>
      <w:r w:rsidRPr="00236417">
        <w:rPr>
          <w:rFonts w:ascii="Simplified Arabic" w:hAnsi="Simplified Arabic" w:cs="Simplified Arabic"/>
          <w:sz w:val="28"/>
          <w:szCs w:val="28"/>
        </w:rPr>
        <w:t>.</w:t>
      </w:r>
    </w:p>
    <w:p w14:paraId="0EFAD9DE"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وقد كانت الفترة الممتدة من 2020 إلى 2024 فترة شديدة الأهمية في هذا السياق، إذ شهدت تغيرات كبرى في سلوك المستهلكين وفي طريقة عمل الشركات، خاصة بعد جائحة كورونا التي دفعت مؤسسات كثيرة إلى تسريع تبني التحول الرقمي، والاعتماد بصورة أكبر على التجارة الإلكترونية لضمان استمرارية الأعمال. كما شهدت هذه الفترة توسعًا واضحًا في استخدام الذكاء الاصطناعي، والخدمات السحابية، والأتمتة، وتحليل البيانات الضخمة، وهي أدوات أصبحت تمثل مرتكزات أساسية في إدارة الشركات العالمية الكبرى</w:t>
      </w:r>
      <w:r w:rsidRPr="00236417">
        <w:rPr>
          <w:rFonts w:ascii="Simplified Arabic" w:hAnsi="Simplified Arabic" w:cs="Simplified Arabic"/>
          <w:sz w:val="28"/>
          <w:szCs w:val="28"/>
        </w:rPr>
        <w:t>.</w:t>
      </w:r>
    </w:p>
    <w:p w14:paraId="4884C867"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وتعد شركة أمازون من أبرز النماذج العالمية التي تجسد هذا التحول بصورة واضحة، حيث جمعت بين التجارة الإلكترونية، والخدمات السحابية، والذكاء الاصطناعي، والأتمتة، وإدارة البيانات، والخدمات اللوجستية الذكية، ضمن نموذج أعمال متكامل. وقد انعكس ذلك على أدائها المالي خلال السنوات الأخيرة، سواء من حيث نمو المبيعات، أو تحسن الربحية، أو ضبط المصروفات التشغيلية، أو تنويع مصادر الدخل. ومن هنا، تمثل شركة أمازون حالة تطبيقية غنية تسمح بتحليل العلاقة بين التحول الرقمي وتطبيقات التجارة الإلكترونية من جهة، والأداء المالي من جهة أخرى، ضمن إطار زمني حديث نسبيًا يجمع بين ظروف الجائحة وما بعدها</w:t>
      </w:r>
      <w:r w:rsidRPr="00236417">
        <w:rPr>
          <w:rFonts w:ascii="Simplified Arabic" w:hAnsi="Simplified Arabic" w:cs="Simplified Arabic"/>
          <w:sz w:val="28"/>
          <w:szCs w:val="28"/>
        </w:rPr>
        <w:t xml:space="preserve">. </w:t>
      </w:r>
    </w:p>
    <w:p w14:paraId="2908FE72" w14:textId="77777777" w:rsidR="00984B30" w:rsidRDefault="00984B30" w:rsidP="00A420D1">
      <w:pPr>
        <w:spacing w:after="120" w:line="360" w:lineRule="auto"/>
        <w:rPr>
          <w:rFonts w:ascii="Simplified Arabic" w:hAnsi="Simplified Arabic" w:cs="Simplified Arabic"/>
          <w:sz w:val="28"/>
          <w:szCs w:val="28"/>
          <w:rtl/>
        </w:rPr>
      </w:pPr>
      <w:r w:rsidRPr="00236417">
        <w:rPr>
          <w:rFonts w:ascii="Simplified Arabic" w:hAnsi="Simplified Arabic" w:cs="Simplified Arabic"/>
          <w:sz w:val="28"/>
          <w:szCs w:val="28"/>
          <w:rtl/>
        </w:rPr>
        <w:t>وانطلاقًا من ذلك، تسعى هذه الدراسة إلى تحليل أثر التحول الرقمي وتطبيقات التجارة الإلكترونية على الأداء المالي للشركات العالمية، من خلال دراسة حالة شركة أمازون خلال الأعوام 2020–2024، وذلك بهدف فهم طبيعة هذه العلاقة، والكشف عن أبعادها، وبيان مدى مساهمة الاستثمار الرقمي في تحقيق نتائج مالية ملموسة</w:t>
      </w:r>
      <w:r w:rsidRPr="00236417">
        <w:rPr>
          <w:rFonts w:ascii="Simplified Arabic" w:hAnsi="Simplified Arabic" w:cs="Simplified Arabic"/>
          <w:sz w:val="28"/>
          <w:szCs w:val="28"/>
        </w:rPr>
        <w:t>.</w:t>
      </w:r>
    </w:p>
    <w:p w14:paraId="4EEAC0B4" w14:textId="77777777" w:rsidR="00DD3DF8" w:rsidRPr="00236417" w:rsidRDefault="00DD3DF8" w:rsidP="00A420D1">
      <w:pPr>
        <w:spacing w:after="120" w:line="360" w:lineRule="auto"/>
        <w:rPr>
          <w:rFonts w:ascii="Simplified Arabic" w:hAnsi="Simplified Arabic" w:cs="Simplified Arabic"/>
          <w:sz w:val="28"/>
          <w:szCs w:val="28"/>
          <w:rtl/>
        </w:rPr>
      </w:pPr>
    </w:p>
    <w:p w14:paraId="00794FAB" w14:textId="77777777" w:rsidR="00380584" w:rsidRPr="00236417" w:rsidRDefault="00380584" w:rsidP="00A420D1">
      <w:pPr>
        <w:spacing w:after="120" w:line="360" w:lineRule="auto"/>
        <w:rPr>
          <w:rFonts w:ascii="Simplified Arabic" w:hAnsi="Simplified Arabic" w:cs="Simplified Arabic"/>
          <w:sz w:val="28"/>
          <w:szCs w:val="28"/>
          <w:rtl/>
        </w:rPr>
      </w:pPr>
    </w:p>
    <w:p w14:paraId="077852D2" w14:textId="77777777" w:rsidR="00380584" w:rsidRPr="00236417" w:rsidRDefault="00380584" w:rsidP="00A420D1">
      <w:pPr>
        <w:spacing w:after="120" w:line="360" w:lineRule="auto"/>
        <w:rPr>
          <w:rFonts w:ascii="Simplified Arabic" w:hAnsi="Simplified Arabic" w:cs="Simplified Arabic"/>
          <w:sz w:val="28"/>
          <w:szCs w:val="28"/>
        </w:rPr>
      </w:pPr>
    </w:p>
    <w:p w14:paraId="59162BE3" w14:textId="2E0DF22B" w:rsidR="00984B30" w:rsidRPr="00236417" w:rsidRDefault="00380584" w:rsidP="003D59A4">
      <w:pPr>
        <w:pStyle w:val="21"/>
      </w:pPr>
      <w:r w:rsidRPr="00236417">
        <w:t xml:space="preserve"> </w:t>
      </w:r>
      <w:bookmarkStart w:id="2" w:name="_Toc225540581"/>
      <w:r w:rsidR="00984B30" w:rsidRPr="00236417">
        <w:t xml:space="preserve">1-2 </w:t>
      </w:r>
      <w:r w:rsidR="00984B30" w:rsidRPr="00236417">
        <w:rPr>
          <w:rtl/>
        </w:rPr>
        <w:t>مشكلة الدراسة</w:t>
      </w:r>
      <w:bookmarkEnd w:id="2"/>
    </w:p>
    <w:p w14:paraId="429E8073"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على الرغم من كثرة الدراسات التي تناولت موضوع التحول الرقمي والتجارة الإلكترونية، فإن الملاحظ أن كثيرًا من هذه الدراسات ركز على جانب واحد من الموضوع، مثل أثر التجارة الإلكترونية على المبيعات، أو أثر التحول الرقمي على الكفاءة التشغيلية، أو دور الأنظمة الإلكترونية في تحسين جودة المعلومات المحاسبية. كما أن جزءًا من هذه الدراسات اعتمد على الاستبيانات والبيانات الميدانية الإدراكية، دون أن يربط بصورة مباشرة بين التحول الرقمي وبين المؤشرات المالية الفعلية للشركات</w:t>
      </w:r>
      <w:r w:rsidRPr="00236417">
        <w:rPr>
          <w:rFonts w:ascii="Simplified Arabic" w:hAnsi="Simplified Arabic" w:cs="Simplified Arabic"/>
          <w:sz w:val="28"/>
          <w:szCs w:val="28"/>
        </w:rPr>
        <w:t>.</w:t>
      </w:r>
    </w:p>
    <w:p w14:paraId="55B2A593"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ومن جهة أخرى، فإن عددًا محدودًا نسبيًا من الدراسات تناول شركات عالمية كبرى بحجم شركة أمازون، رغم أنها تمثل نموذجًا متقدمًا في الدمج بين التكنولوجيا والتجارة </w:t>
      </w:r>
      <w:proofErr w:type="gramStart"/>
      <w:r w:rsidRPr="00236417">
        <w:rPr>
          <w:rFonts w:ascii="Simplified Arabic" w:hAnsi="Simplified Arabic" w:cs="Simplified Arabic"/>
          <w:sz w:val="28"/>
          <w:szCs w:val="28"/>
          <w:rtl/>
        </w:rPr>
        <w:t>الإلكترونية</w:t>
      </w:r>
      <w:proofErr w:type="gramEnd"/>
      <w:r w:rsidRPr="00236417">
        <w:rPr>
          <w:rFonts w:ascii="Simplified Arabic" w:hAnsi="Simplified Arabic" w:cs="Simplified Arabic"/>
          <w:sz w:val="28"/>
          <w:szCs w:val="28"/>
          <w:rtl/>
        </w:rPr>
        <w:t xml:space="preserve"> والخدمات السحابية والذكاء الاصطناعي والأتمتة. كما أن الفترة الممتدة من 2020 إلى 2024 تُعد فترة استثنائية، نظرًا لما شهدته من توسع في الاعتماد على الشراء الإلكتروني، ومن تغيرات في بيئة التشغيل العالمية، ومن استثمارات متزايدة في الحلول الرقمية، الأمر الذي يجعل دراسة هذه الفترة ذات أهمية خاصة</w:t>
      </w:r>
      <w:r w:rsidRPr="00236417">
        <w:rPr>
          <w:rFonts w:ascii="Simplified Arabic" w:hAnsi="Simplified Arabic" w:cs="Simplified Arabic"/>
          <w:sz w:val="28"/>
          <w:szCs w:val="28"/>
        </w:rPr>
        <w:t>.</w:t>
      </w:r>
    </w:p>
    <w:p w14:paraId="4186E486"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وتتحدد مشكلة الدراسة في الحاجة إلى تحليل علمي منظم يوضح أثر التحول الرقمي وتطبيقات التجارة الإلكترونية على الأداء المالي لشركة أمازون خلال الفترة 2020–2024، من خلال التركيز </w:t>
      </w:r>
      <w:r w:rsidRPr="00236417">
        <w:rPr>
          <w:rFonts w:ascii="Simplified Arabic" w:hAnsi="Simplified Arabic" w:cs="Simplified Arabic"/>
          <w:sz w:val="28"/>
          <w:szCs w:val="28"/>
          <w:rtl/>
        </w:rPr>
        <w:lastRenderedPageBreak/>
        <w:t>على مؤشرات مالية محددة تتمثل في المبيعات، والربحية، والمصروفات التشغيلية، وذلك للكشف عن طبيعة هذا الأثر، ومدى استمراريته، وحدود مساهمته في تفسير الأداء المالي للشركة</w:t>
      </w:r>
      <w:r w:rsidRPr="00236417">
        <w:rPr>
          <w:rFonts w:ascii="Simplified Arabic" w:hAnsi="Simplified Arabic" w:cs="Simplified Arabic"/>
          <w:sz w:val="28"/>
          <w:szCs w:val="28"/>
        </w:rPr>
        <w:t>.</w:t>
      </w:r>
    </w:p>
    <w:p w14:paraId="51445D03" w14:textId="77777777" w:rsidR="00380584" w:rsidRPr="00236417" w:rsidRDefault="00380584" w:rsidP="00A420D1">
      <w:pPr>
        <w:spacing w:after="120" w:line="360" w:lineRule="auto"/>
        <w:rPr>
          <w:rFonts w:ascii="Simplified Arabic" w:hAnsi="Simplified Arabic" w:cs="Simplified Arabic"/>
          <w:b/>
          <w:bCs/>
          <w:sz w:val="28"/>
          <w:szCs w:val="28"/>
          <w:rtl/>
        </w:rPr>
      </w:pPr>
    </w:p>
    <w:p w14:paraId="6EF9C6A3" w14:textId="68103815"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وبناءً على ذلك، يمكن صياغة مشكلة الدراسة في السؤال الرئيس الآتي</w:t>
      </w:r>
      <w:r w:rsidRPr="00236417">
        <w:rPr>
          <w:rFonts w:ascii="Simplified Arabic" w:hAnsi="Simplified Arabic" w:cs="Simplified Arabic"/>
          <w:sz w:val="28"/>
          <w:szCs w:val="28"/>
        </w:rPr>
        <w:t>:</w:t>
      </w:r>
    </w:p>
    <w:p w14:paraId="7F4652DF" w14:textId="77777777" w:rsidR="00984B30" w:rsidRPr="00236417" w:rsidRDefault="00984B30" w:rsidP="00A420D1">
      <w:pPr>
        <w:spacing w:after="120" w:line="360" w:lineRule="auto"/>
        <w:rPr>
          <w:rFonts w:ascii="Simplified Arabic" w:hAnsi="Simplified Arabic" w:cs="Simplified Arabic"/>
          <w:b/>
          <w:bCs/>
          <w:sz w:val="32"/>
          <w:szCs w:val="32"/>
        </w:rPr>
      </w:pPr>
      <w:r w:rsidRPr="00236417">
        <w:rPr>
          <w:rFonts w:ascii="Simplified Arabic" w:hAnsi="Simplified Arabic" w:cs="Simplified Arabic"/>
          <w:b/>
          <w:bCs/>
          <w:sz w:val="32"/>
          <w:szCs w:val="32"/>
          <w:rtl/>
        </w:rPr>
        <w:t>ما أثر التحول الرقمي وتطبيقات التجارة الإلكترونية على الأداء المالي لشركة أمازون خلال الفترة 2020–2024؟</w:t>
      </w:r>
    </w:p>
    <w:p w14:paraId="47E6385C" w14:textId="7CCFDFF2" w:rsidR="00984B30" w:rsidRPr="00236417" w:rsidRDefault="00984B30" w:rsidP="006A1003">
      <w:pPr>
        <w:pStyle w:val="21"/>
      </w:pPr>
      <w:r w:rsidRPr="00236417">
        <w:t>1-</w:t>
      </w:r>
      <w:proofErr w:type="gramStart"/>
      <w:r w:rsidRPr="00236417">
        <w:t xml:space="preserve">3 </w:t>
      </w:r>
      <w:r w:rsidR="00380584" w:rsidRPr="00236417">
        <w:rPr>
          <w:rtl/>
        </w:rPr>
        <w:t xml:space="preserve"> </w:t>
      </w:r>
      <w:r w:rsidRPr="00236417">
        <w:rPr>
          <w:rtl/>
        </w:rPr>
        <w:t>أسئلة</w:t>
      </w:r>
      <w:proofErr w:type="gramEnd"/>
      <w:r w:rsidRPr="00236417">
        <w:rPr>
          <w:rtl/>
        </w:rPr>
        <w:t xml:space="preserve"> الدراسة</w:t>
      </w:r>
    </w:p>
    <w:p w14:paraId="660D0B4B" w14:textId="4DCF40F9" w:rsidR="00984B30" w:rsidRPr="006A1003" w:rsidRDefault="00984B30" w:rsidP="006A1003">
      <w:pPr>
        <w:pStyle w:val="33"/>
        <w:rPr>
          <w:rStyle w:val="3Char0"/>
          <w:b/>
          <w:bCs/>
          <w:rtl/>
        </w:rPr>
      </w:pPr>
      <w:bookmarkStart w:id="3" w:name="_Toc225540582"/>
      <w:r w:rsidRPr="006A1003">
        <w:t>1-3-</w:t>
      </w:r>
      <w:proofErr w:type="gramStart"/>
      <w:r w:rsidRPr="006A1003">
        <w:rPr>
          <w:rStyle w:val="3Char0"/>
          <w:b/>
          <w:bCs/>
        </w:rPr>
        <w:t xml:space="preserve">1 </w:t>
      </w:r>
      <w:r w:rsidR="00380584" w:rsidRPr="006A1003">
        <w:rPr>
          <w:rStyle w:val="3Char0"/>
          <w:rFonts w:hint="cs"/>
          <w:b/>
          <w:bCs/>
          <w:rtl/>
        </w:rPr>
        <w:t xml:space="preserve"> </w:t>
      </w:r>
      <w:r w:rsidRPr="006A1003">
        <w:rPr>
          <w:rStyle w:val="3Char0"/>
          <w:b/>
          <w:bCs/>
          <w:rtl/>
        </w:rPr>
        <w:t>السؤال</w:t>
      </w:r>
      <w:proofErr w:type="gramEnd"/>
      <w:r w:rsidRPr="006A1003">
        <w:rPr>
          <w:rStyle w:val="3Char0"/>
          <w:b/>
          <w:bCs/>
          <w:rtl/>
        </w:rPr>
        <w:t xml:space="preserve"> الرئيس</w:t>
      </w:r>
      <w:bookmarkEnd w:id="3"/>
    </w:p>
    <w:p w14:paraId="1D772F57" w14:textId="77777777" w:rsidR="00984B30" w:rsidRPr="00236417" w:rsidRDefault="00984B30" w:rsidP="00A420D1">
      <w:pPr>
        <w:spacing w:after="120"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ما أثر التحول الرقمي وتطبيقات التجارة الإلكترونية على الأداء المالي لشركة أمازون خلال الفترة 2020–2024؟</w:t>
      </w:r>
    </w:p>
    <w:p w14:paraId="005FD016" w14:textId="22FC6641" w:rsidR="00984B30" w:rsidRPr="00236417" w:rsidRDefault="00380584" w:rsidP="00F560B2">
      <w:pPr>
        <w:pStyle w:val="33"/>
      </w:pPr>
      <w:r w:rsidRPr="00236417">
        <w:t xml:space="preserve"> </w:t>
      </w:r>
      <w:r w:rsidR="00984B30" w:rsidRPr="00236417">
        <w:t xml:space="preserve">1-3-2 </w:t>
      </w:r>
      <w:r w:rsidR="00984B30" w:rsidRPr="00236417">
        <w:rPr>
          <w:rtl/>
        </w:rPr>
        <w:t>الأسئلة الفرعية</w:t>
      </w:r>
    </w:p>
    <w:p w14:paraId="76BE874C"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إلى أي مدى أسهم التحول الرقمي في تحسين كفاءة العمليات التشغيلية داخل شركة أمازون خلال الفترة المدروسة؟ </w:t>
      </w:r>
    </w:p>
    <w:p w14:paraId="06596E5E"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ما أثر تطبيقات التجارة الإلكترونية على حجم المبيعات السنوية لشركة أمازون؟ </w:t>
      </w:r>
    </w:p>
    <w:p w14:paraId="2FEBC279"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هل ساعد التحول الرقمي في تحسين ربحية الشركة خلال الفترة 2020–2024؟ </w:t>
      </w:r>
    </w:p>
    <w:p w14:paraId="029069E3"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 xml:space="preserve">ما مدى إسهام الأتمتة والذكاء الاصطناعي والخدمات السحابية في خفض المصروفات التشغيلية أو تحسين إدارتها؟ </w:t>
      </w:r>
    </w:p>
    <w:p w14:paraId="793AD957"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هل تختلف آثار التحول الرقمي والتجارة الإلكترونية على الأداء المالي بين سنوات الجائحة والسنوات اللاحقة لها؟ </w:t>
      </w:r>
    </w:p>
    <w:p w14:paraId="61B0E16E" w14:textId="77777777" w:rsidR="00984B30" w:rsidRPr="00236417" w:rsidRDefault="00984B30" w:rsidP="00A420D1">
      <w:pPr>
        <w:numPr>
          <w:ilvl w:val="0"/>
          <w:numId w:val="1"/>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كيف يمكن تفسير العلاقة بين توسع أمازون في الحلول الرقمية وبين تطور أدائها المالي خلال السنوات محل الدراسة؟ </w:t>
      </w:r>
    </w:p>
    <w:p w14:paraId="59C52F6C" w14:textId="37F1E8EB" w:rsidR="00984B30" w:rsidRPr="00236417" w:rsidRDefault="00380584" w:rsidP="00F560B2">
      <w:pPr>
        <w:pStyle w:val="21"/>
      </w:pPr>
      <w:r w:rsidRPr="00236417">
        <w:t xml:space="preserve"> </w:t>
      </w:r>
      <w:r w:rsidR="00984B30" w:rsidRPr="00236417">
        <w:t xml:space="preserve">1-4 </w:t>
      </w:r>
      <w:r w:rsidR="00984B30" w:rsidRPr="00236417">
        <w:rPr>
          <w:rtl/>
        </w:rPr>
        <w:t>أهداف الدراسة</w:t>
      </w:r>
    </w:p>
    <w:p w14:paraId="7CB922BD" w14:textId="568151DE" w:rsidR="00984B30" w:rsidRPr="00236417" w:rsidRDefault="00380584" w:rsidP="00F560B2">
      <w:pPr>
        <w:pStyle w:val="33"/>
      </w:pPr>
      <w:r w:rsidRPr="00236417">
        <w:t xml:space="preserve"> </w:t>
      </w:r>
      <w:r w:rsidR="00984B30" w:rsidRPr="00236417">
        <w:t xml:space="preserve">1-4-1 </w:t>
      </w:r>
      <w:r w:rsidR="00984B30" w:rsidRPr="00236417">
        <w:rPr>
          <w:rtl/>
        </w:rPr>
        <w:t>الهدف الرئيس</w:t>
      </w:r>
    </w:p>
    <w:p w14:paraId="6576AB10"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تحليل أثر التحول الرقمي وتطبيقات التجارة الإلكترونية على الأداء المالي لشركة أمازون خلال الفترة 2020–2024</w:t>
      </w:r>
      <w:r w:rsidRPr="00236417">
        <w:rPr>
          <w:rFonts w:ascii="Simplified Arabic" w:hAnsi="Simplified Arabic" w:cs="Simplified Arabic"/>
          <w:sz w:val="28"/>
          <w:szCs w:val="28"/>
        </w:rPr>
        <w:t>.</w:t>
      </w:r>
    </w:p>
    <w:p w14:paraId="148D6F24" w14:textId="3A2E8AF7" w:rsidR="00984B30" w:rsidRPr="00236417" w:rsidRDefault="00984B30" w:rsidP="00F560B2">
      <w:pPr>
        <w:pStyle w:val="33"/>
      </w:pPr>
      <w:r w:rsidRPr="00236417">
        <w:t>1-4-</w:t>
      </w:r>
      <w:proofErr w:type="gramStart"/>
      <w:r w:rsidRPr="00236417">
        <w:t xml:space="preserve">2 </w:t>
      </w:r>
      <w:r w:rsidR="00380584" w:rsidRPr="00236417">
        <w:rPr>
          <w:rtl/>
        </w:rPr>
        <w:t xml:space="preserve"> </w:t>
      </w:r>
      <w:r w:rsidRPr="00236417">
        <w:rPr>
          <w:rtl/>
        </w:rPr>
        <w:t>الأهداف</w:t>
      </w:r>
      <w:proofErr w:type="gramEnd"/>
      <w:r w:rsidRPr="00236417">
        <w:rPr>
          <w:rtl/>
        </w:rPr>
        <w:t xml:space="preserve"> الفرعية</w:t>
      </w:r>
    </w:p>
    <w:p w14:paraId="10ED61E4"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توضيح المفاهيم الأساسية المرتبطة بالتحول الرقمي والتجارة الإلكترونية والأداء المالي</w:t>
      </w:r>
      <w:r w:rsidRPr="00236417">
        <w:rPr>
          <w:rFonts w:ascii="Simplified Arabic" w:hAnsi="Simplified Arabic" w:cs="Simplified Arabic"/>
          <w:sz w:val="28"/>
          <w:szCs w:val="28"/>
        </w:rPr>
        <w:t xml:space="preserve">. </w:t>
      </w:r>
    </w:p>
    <w:p w14:paraId="7DD128F0"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بيان أوجه العلاقة النظرية بين التحول الرقمي وتطبيقات التجارة الإلكترونية من جهة، والأداء المالي من جهة أخرى</w:t>
      </w:r>
      <w:r w:rsidRPr="00236417">
        <w:rPr>
          <w:rFonts w:ascii="Simplified Arabic" w:hAnsi="Simplified Arabic" w:cs="Simplified Arabic"/>
          <w:sz w:val="28"/>
          <w:szCs w:val="28"/>
        </w:rPr>
        <w:t xml:space="preserve">. </w:t>
      </w:r>
    </w:p>
    <w:p w14:paraId="5C1C7978"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تحليل دور التجارة الإلكترونية في دعم نمو المبيعات السنوية لشركة أمازون</w:t>
      </w:r>
      <w:r w:rsidRPr="00236417">
        <w:rPr>
          <w:rFonts w:ascii="Simplified Arabic" w:hAnsi="Simplified Arabic" w:cs="Simplified Arabic"/>
          <w:sz w:val="28"/>
          <w:szCs w:val="28"/>
        </w:rPr>
        <w:t xml:space="preserve">. </w:t>
      </w:r>
    </w:p>
    <w:p w14:paraId="4B6CDB37"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تحديد أثر التحول الرقمي في تحسين الربحية ورفع كفاءة الأداء التشغيلي</w:t>
      </w:r>
      <w:r w:rsidRPr="00236417">
        <w:rPr>
          <w:rFonts w:ascii="Simplified Arabic" w:hAnsi="Simplified Arabic" w:cs="Simplified Arabic"/>
          <w:sz w:val="28"/>
          <w:szCs w:val="28"/>
        </w:rPr>
        <w:t xml:space="preserve">. </w:t>
      </w:r>
    </w:p>
    <w:p w14:paraId="2A22B907"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دراسة دور الأتمتة والذكاء الاصطناعي والخدمات السحابية في خفض المصروفات التشغيلية أو إعادة هيكلتها</w:t>
      </w:r>
      <w:r w:rsidRPr="00236417">
        <w:rPr>
          <w:rFonts w:ascii="Simplified Arabic" w:hAnsi="Simplified Arabic" w:cs="Simplified Arabic"/>
          <w:sz w:val="28"/>
          <w:szCs w:val="28"/>
        </w:rPr>
        <w:t xml:space="preserve">. </w:t>
      </w:r>
    </w:p>
    <w:p w14:paraId="1121188A"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المقارنة بين تطور الأداء المالي لأمازون خلال سنوات الجائحة وما بعدها</w:t>
      </w:r>
      <w:r w:rsidRPr="00236417">
        <w:rPr>
          <w:rFonts w:ascii="Simplified Arabic" w:hAnsi="Simplified Arabic" w:cs="Simplified Arabic"/>
          <w:sz w:val="28"/>
          <w:szCs w:val="28"/>
        </w:rPr>
        <w:t xml:space="preserve">. </w:t>
      </w:r>
    </w:p>
    <w:p w14:paraId="3DB71530" w14:textId="77777777" w:rsidR="00984B30" w:rsidRPr="00236417" w:rsidRDefault="00984B30" w:rsidP="00A420D1">
      <w:pPr>
        <w:numPr>
          <w:ilvl w:val="0"/>
          <w:numId w:val="2"/>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تقديم استنتاجات وتوصيات علمية وعملية يمكن الإفادة منها في الدراسات المستقبلية وفي بيئات الأعمال المشابهة</w:t>
      </w:r>
      <w:r w:rsidRPr="00236417">
        <w:rPr>
          <w:rFonts w:ascii="Simplified Arabic" w:hAnsi="Simplified Arabic" w:cs="Simplified Arabic"/>
          <w:sz w:val="28"/>
          <w:szCs w:val="28"/>
        </w:rPr>
        <w:t xml:space="preserve">. </w:t>
      </w:r>
    </w:p>
    <w:p w14:paraId="1E8CC8F1" w14:textId="77777777" w:rsidR="00380584" w:rsidRPr="00236417" w:rsidRDefault="00380584" w:rsidP="00380584">
      <w:pPr>
        <w:spacing w:after="120" w:line="360" w:lineRule="auto"/>
        <w:rPr>
          <w:rFonts w:ascii="Simplified Arabic" w:hAnsi="Simplified Arabic" w:cs="Simplified Arabic"/>
          <w:sz w:val="28"/>
          <w:szCs w:val="28"/>
        </w:rPr>
      </w:pPr>
    </w:p>
    <w:p w14:paraId="33B4AEFA" w14:textId="1A0587A4" w:rsidR="00984B30" w:rsidRPr="00236417" w:rsidRDefault="00380584" w:rsidP="00F560B2">
      <w:pPr>
        <w:pStyle w:val="21"/>
      </w:pPr>
      <w:r w:rsidRPr="00236417">
        <w:t xml:space="preserve"> </w:t>
      </w:r>
      <w:r w:rsidR="00984B30" w:rsidRPr="00236417">
        <w:t xml:space="preserve">1-5 </w:t>
      </w:r>
      <w:r w:rsidR="00984B30" w:rsidRPr="00236417">
        <w:rPr>
          <w:rtl/>
        </w:rPr>
        <w:t>أهمية الدراسة</w:t>
      </w:r>
    </w:p>
    <w:p w14:paraId="35A96CCF" w14:textId="613159FF" w:rsidR="00984B30" w:rsidRPr="00236417" w:rsidRDefault="00380584" w:rsidP="00F560B2">
      <w:pPr>
        <w:pStyle w:val="33"/>
      </w:pPr>
      <w:r w:rsidRPr="00236417">
        <w:t xml:space="preserve"> </w:t>
      </w:r>
      <w:r w:rsidR="00984B30" w:rsidRPr="00236417">
        <w:t xml:space="preserve">1-5-1 </w:t>
      </w:r>
      <w:r w:rsidR="00984B30" w:rsidRPr="00236417">
        <w:rPr>
          <w:rtl/>
        </w:rPr>
        <w:t>الأهمية العلمية</w:t>
      </w:r>
    </w:p>
    <w:p w14:paraId="3FC01FAF" w14:textId="77777777" w:rsidR="00984B30" w:rsidRPr="00236417" w:rsidRDefault="00984B30" w:rsidP="00A420D1">
      <w:pPr>
        <w:spacing w:after="120" w:line="360" w:lineRule="auto"/>
        <w:ind w:firstLine="720"/>
        <w:rPr>
          <w:rFonts w:ascii="Simplified Arabic" w:hAnsi="Simplified Arabic" w:cs="Simplified Arabic"/>
          <w:sz w:val="28"/>
          <w:szCs w:val="28"/>
        </w:rPr>
      </w:pPr>
      <w:r w:rsidRPr="00236417">
        <w:rPr>
          <w:rFonts w:ascii="Simplified Arabic" w:hAnsi="Simplified Arabic" w:cs="Simplified Arabic"/>
          <w:sz w:val="28"/>
          <w:szCs w:val="28"/>
          <w:rtl/>
        </w:rPr>
        <w:t>تنبع الأهمية العلمية لهذه الدراسة من أنها تتناول موضوعًا يجمع بين ثلاثة محاور رئيسة تحظى باهتمام واسع في الأدبيات الإدارية والمالية المعاصرة، وهي التحول الرقمي، والتجارة الإلكترونية، والأداء المالي. كما تسهم الدراسة في تعزيز الفهم العلمي للعلاقة بين التغيرات الرقمية وبين النتائج المالية الفعلية للشركات، وهو مجال لا يزال بحاجة إلى المزيد من التحليل التطبيقي، خاصة في الشركات العالمية الكبرى</w:t>
      </w:r>
      <w:r w:rsidRPr="00236417">
        <w:rPr>
          <w:rFonts w:ascii="Simplified Arabic" w:hAnsi="Simplified Arabic" w:cs="Simplified Arabic"/>
          <w:sz w:val="28"/>
          <w:szCs w:val="28"/>
        </w:rPr>
        <w:t>.</w:t>
      </w:r>
    </w:p>
    <w:p w14:paraId="488C5849" w14:textId="77777777" w:rsidR="00984B30" w:rsidRPr="00236417" w:rsidRDefault="00984B30" w:rsidP="00A420D1">
      <w:pPr>
        <w:spacing w:after="120" w:line="360" w:lineRule="auto"/>
        <w:ind w:firstLine="720"/>
        <w:rPr>
          <w:rFonts w:ascii="Simplified Arabic" w:hAnsi="Simplified Arabic" w:cs="Simplified Arabic"/>
          <w:sz w:val="28"/>
          <w:szCs w:val="28"/>
        </w:rPr>
      </w:pPr>
      <w:r w:rsidRPr="00236417">
        <w:rPr>
          <w:rFonts w:ascii="Simplified Arabic" w:hAnsi="Simplified Arabic" w:cs="Simplified Arabic"/>
          <w:sz w:val="28"/>
          <w:szCs w:val="28"/>
          <w:rtl/>
        </w:rPr>
        <w:t xml:space="preserve">وتكتسب الدراسة أهميتها أيضًا من تركيزها على شركة أمازون بوصفها نموذجًا عالميًا متقدمًا في توظيف التقنيات الرقمية، الأمر الذي يثري الأدبيات من خلال تقديم حالة تطبيقية عملية تسهم في تفسير كيف يمكن للتكنولوجيا أن تتحول إلى قيمة مالية مستدامة. كما أن تغطية الدراسة للفترة </w:t>
      </w:r>
      <w:r w:rsidRPr="00236417">
        <w:rPr>
          <w:rFonts w:ascii="Simplified Arabic" w:hAnsi="Simplified Arabic" w:cs="Simplified Arabic"/>
          <w:sz w:val="28"/>
          <w:szCs w:val="28"/>
          <w:rtl/>
        </w:rPr>
        <w:lastRenderedPageBreak/>
        <w:t>2020–2024 تمنحها أهمية خاصة، لأنها تشمل سنوات شهدت تحولات جوهرية في أنماط الاستهلاك، وفي الاستثمار في الأدوات الرقمية، وفي آليات إدارة سلاسل الإمداد والعمليات</w:t>
      </w:r>
      <w:r w:rsidRPr="00236417">
        <w:rPr>
          <w:rFonts w:ascii="Simplified Arabic" w:hAnsi="Simplified Arabic" w:cs="Simplified Arabic"/>
          <w:sz w:val="28"/>
          <w:szCs w:val="28"/>
        </w:rPr>
        <w:t>.</w:t>
      </w:r>
    </w:p>
    <w:p w14:paraId="4B23CEF2" w14:textId="3D56670D" w:rsidR="00984B30" w:rsidRPr="00236417" w:rsidRDefault="00380584" w:rsidP="00F560B2">
      <w:pPr>
        <w:pStyle w:val="33"/>
      </w:pPr>
      <w:r w:rsidRPr="00236417">
        <w:t xml:space="preserve"> </w:t>
      </w:r>
      <w:r w:rsidR="00984B30" w:rsidRPr="00236417">
        <w:t xml:space="preserve">1-5-2 </w:t>
      </w:r>
      <w:r w:rsidR="00984B30" w:rsidRPr="00236417">
        <w:rPr>
          <w:rtl/>
        </w:rPr>
        <w:t>الأهمية العملية</w:t>
      </w:r>
    </w:p>
    <w:p w14:paraId="37C6FF5E" w14:textId="69815122" w:rsidR="00984B30" w:rsidRPr="00236417" w:rsidRDefault="00984B30" w:rsidP="00A420D1">
      <w:pPr>
        <w:spacing w:after="120" w:line="360" w:lineRule="auto"/>
        <w:ind w:firstLine="720"/>
        <w:rPr>
          <w:rFonts w:ascii="Simplified Arabic" w:hAnsi="Simplified Arabic" w:cs="Simplified Arabic"/>
          <w:sz w:val="28"/>
          <w:szCs w:val="28"/>
        </w:rPr>
      </w:pPr>
      <w:r w:rsidRPr="00236417">
        <w:rPr>
          <w:rFonts w:ascii="Simplified Arabic" w:hAnsi="Simplified Arabic" w:cs="Simplified Arabic"/>
          <w:sz w:val="28"/>
          <w:szCs w:val="28"/>
          <w:rtl/>
        </w:rPr>
        <w:t>تتمثل الأهمية العملية للدراسة في أنها تقدم رؤية تطبيقية تساعد الشركات وصناع القرار على فهم كيفية توظيف التحول الرقمي والتجارة الإلكترونية لتحسين النتائج المالية. كما يمكن أن تفيد نتائجها المؤسسات التي تسعى إلى بناء أو تطوير استراتيجيات رقمية، من خلال توضيح الأثر المتوقع لهذه الاستراتيجيات على المبيعات والربحية وكفاءة التكاليف</w:t>
      </w:r>
      <w:r w:rsidRPr="00236417">
        <w:rPr>
          <w:rFonts w:ascii="Simplified Arabic" w:hAnsi="Simplified Arabic" w:cs="Simplified Arabic"/>
          <w:sz w:val="28"/>
          <w:szCs w:val="28"/>
        </w:rPr>
        <w:t>.</w:t>
      </w:r>
    </w:p>
    <w:p w14:paraId="683F90BD"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كذلك، تمثل الدراسة مصدرًا مهمًا للباحثين والمهتمين بالإدارة الرقمية، لأنها تقدم نموذجًا تحليليًا لشركة عالمية رائدة، بما يسمح باستخلاص دروس عملية يمكن تطبيقها أو الاستفادة منها في قطاعات وشركات أخرى، سواء على مستوى الأسواق العالمية أو في البيئات العربية</w:t>
      </w:r>
      <w:r w:rsidRPr="00236417">
        <w:rPr>
          <w:rFonts w:ascii="Simplified Arabic" w:hAnsi="Simplified Arabic" w:cs="Simplified Arabic"/>
          <w:sz w:val="28"/>
          <w:szCs w:val="28"/>
        </w:rPr>
        <w:t>.</w:t>
      </w:r>
    </w:p>
    <w:p w14:paraId="69A08976" w14:textId="36BC2847" w:rsidR="00984B30" w:rsidRPr="00236417" w:rsidRDefault="00380584" w:rsidP="00F560B2">
      <w:pPr>
        <w:pStyle w:val="21"/>
      </w:pPr>
      <w:r w:rsidRPr="00236417">
        <w:t xml:space="preserve"> </w:t>
      </w:r>
      <w:r w:rsidR="00984B30" w:rsidRPr="00236417">
        <w:t xml:space="preserve">1-6 </w:t>
      </w:r>
      <w:r w:rsidR="00984B30" w:rsidRPr="00236417">
        <w:rPr>
          <w:rtl/>
        </w:rPr>
        <w:t>فرضيات الدراسة</w:t>
      </w:r>
    </w:p>
    <w:p w14:paraId="4EC655CC" w14:textId="6B61FB5D" w:rsidR="00984B30" w:rsidRPr="00236417" w:rsidRDefault="00380584" w:rsidP="00F560B2">
      <w:pPr>
        <w:pStyle w:val="33"/>
      </w:pPr>
      <w:r w:rsidRPr="00236417">
        <w:t xml:space="preserve"> </w:t>
      </w:r>
      <w:r w:rsidR="00984B30" w:rsidRPr="00236417">
        <w:t xml:space="preserve">1-6-1 </w:t>
      </w:r>
      <w:r w:rsidR="00984B30" w:rsidRPr="00236417">
        <w:rPr>
          <w:rtl/>
        </w:rPr>
        <w:t>الفرضية الرئيسة</w:t>
      </w:r>
    </w:p>
    <w:p w14:paraId="29D65C76"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يوجد أثر ذو دلالة للتحول الرقمي وتطبيقات التجارة الإلكترونية على الأداء المالي لشركة أمازون خلال الفترة 2020–2024</w:t>
      </w:r>
      <w:r w:rsidRPr="00236417">
        <w:rPr>
          <w:rFonts w:ascii="Simplified Arabic" w:hAnsi="Simplified Arabic" w:cs="Simplified Arabic"/>
          <w:sz w:val="28"/>
          <w:szCs w:val="28"/>
        </w:rPr>
        <w:t>.</w:t>
      </w:r>
    </w:p>
    <w:p w14:paraId="1FA5DD2E" w14:textId="28F51B3E" w:rsidR="00984B30" w:rsidRPr="00236417" w:rsidRDefault="00380584" w:rsidP="00F560B2">
      <w:pPr>
        <w:pStyle w:val="33"/>
      </w:pPr>
      <w:r w:rsidRPr="00236417">
        <w:t xml:space="preserve"> </w:t>
      </w:r>
      <w:r w:rsidR="00984B30" w:rsidRPr="00236417">
        <w:t xml:space="preserve">1-6-2 </w:t>
      </w:r>
      <w:r w:rsidR="00984B30" w:rsidRPr="00236417">
        <w:rPr>
          <w:rtl/>
        </w:rPr>
        <w:t>الفرضيات الفرعية</w:t>
      </w:r>
    </w:p>
    <w:p w14:paraId="3922FE09" w14:textId="77777777" w:rsidR="00984B30" w:rsidRPr="00236417" w:rsidRDefault="00984B30" w:rsidP="00A420D1">
      <w:pPr>
        <w:numPr>
          <w:ilvl w:val="0"/>
          <w:numId w:val="3"/>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يوجد أثر ذو دلالة للتحول الرقمي وتطبيقات التجارة الإلكترونية على زيادة مبيعات شركة أمازون خلال الفترة 2020–2024</w:t>
      </w:r>
      <w:r w:rsidRPr="00236417">
        <w:rPr>
          <w:rFonts w:ascii="Simplified Arabic" w:hAnsi="Simplified Arabic" w:cs="Simplified Arabic"/>
          <w:sz w:val="28"/>
          <w:szCs w:val="28"/>
        </w:rPr>
        <w:t xml:space="preserve">. </w:t>
      </w:r>
    </w:p>
    <w:p w14:paraId="0E786E52" w14:textId="77777777" w:rsidR="00984B30" w:rsidRPr="00236417" w:rsidRDefault="00984B30" w:rsidP="00A420D1">
      <w:pPr>
        <w:numPr>
          <w:ilvl w:val="0"/>
          <w:numId w:val="3"/>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يوجد أثر ذو دلالة للتحول الرقمي وتطبيقات التجارة الإلكترونية على تحسين ربحية شركة أمازون خلال الفترة 2020–2024</w:t>
      </w:r>
      <w:r w:rsidRPr="00236417">
        <w:rPr>
          <w:rFonts w:ascii="Simplified Arabic" w:hAnsi="Simplified Arabic" w:cs="Simplified Arabic"/>
          <w:sz w:val="28"/>
          <w:szCs w:val="28"/>
        </w:rPr>
        <w:t xml:space="preserve">. </w:t>
      </w:r>
    </w:p>
    <w:p w14:paraId="3D2D0B78" w14:textId="77777777" w:rsidR="00984B30" w:rsidRPr="00236417" w:rsidRDefault="00984B30" w:rsidP="00A420D1">
      <w:pPr>
        <w:numPr>
          <w:ilvl w:val="0"/>
          <w:numId w:val="3"/>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يوجد أثر ذو دلالة للتحول الرقمي وتطبيقات التجارة الإلكترونية على خفض المصروفات التشغيلية أو تحسين كفاءة إدارتها في شركة أمازون خلال الفترة 2020–2024</w:t>
      </w:r>
      <w:r w:rsidRPr="00236417">
        <w:rPr>
          <w:rFonts w:ascii="Simplified Arabic" w:hAnsi="Simplified Arabic" w:cs="Simplified Arabic"/>
          <w:sz w:val="28"/>
          <w:szCs w:val="28"/>
        </w:rPr>
        <w:t xml:space="preserve">. </w:t>
      </w:r>
    </w:p>
    <w:p w14:paraId="041DBF9B" w14:textId="77777777" w:rsidR="00984B30" w:rsidRPr="00236417" w:rsidRDefault="00984B30" w:rsidP="00A420D1">
      <w:pPr>
        <w:numPr>
          <w:ilvl w:val="0"/>
          <w:numId w:val="3"/>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يسهم التوسع في الأتمتة والذكاء الاصطناعي والخدمات السحابية في تعزيز الأداء المالي لشركة أمازون</w:t>
      </w:r>
      <w:r w:rsidRPr="00236417">
        <w:rPr>
          <w:rFonts w:ascii="Simplified Arabic" w:hAnsi="Simplified Arabic" w:cs="Simplified Arabic"/>
          <w:sz w:val="28"/>
          <w:szCs w:val="28"/>
        </w:rPr>
        <w:t xml:space="preserve">. </w:t>
      </w:r>
    </w:p>
    <w:p w14:paraId="044C5BF4" w14:textId="77777777" w:rsidR="00984B30" w:rsidRPr="00236417" w:rsidRDefault="00984B30" w:rsidP="00A420D1">
      <w:pPr>
        <w:numPr>
          <w:ilvl w:val="0"/>
          <w:numId w:val="3"/>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يختلف أثر التحول الرقمي وتطبيقات التجارة الإلكترونية على الأداء المالي بين مرحلة الجائحة (2020–2021) والمرحلة اللاحقة لها</w:t>
      </w:r>
      <w:r w:rsidRPr="00236417">
        <w:rPr>
          <w:rFonts w:ascii="Simplified Arabic" w:hAnsi="Simplified Arabic" w:cs="Simplified Arabic"/>
          <w:sz w:val="28"/>
          <w:szCs w:val="28"/>
        </w:rPr>
        <w:t xml:space="preserve"> (2022–2024). </w:t>
      </w:r>
    </w:p>
    <w:p w14:paraId="00704D6D" w14:textId="7E9A0B77" w:rsidR="00984B30" w:rsidRPr="00236417" w:rsidRDefault="00380584" w:rsidP="00F560B2">
      <w:pPr>
        <w:pStyle w:val="21"/>
      </w:pPr>
      <w:r w:rsidRPr="00236417">
        <w:t xml:space="preserve"> </w:t>
      </w:r>
      <w:r w:rsidR="00984B30" w:rsidRPr="00236417">
        <w:t xml:space="preserve">1-7 </w:t>
      </w:r>
      <w:r w:rsidR="00984B30" w:rsidRPr="00236417">
        <w:rPr>
          <w:rtl/>
        </w:rPr>
        <w:t>النموذج المفاهيمي للدراسة</w:t>
      </w:r>
    </w:p>
    <w:p w14:paraId="6F570165"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يقوم النموذج المفاهيمي للدراسة على وجود متغير مستقل يتمثل في التحول الرقمي وتطبيقات التجارة الإلكترونية، ويشمل ذلك استخدام الأنظمة الرقمية، والمنصات الإلكترونية، والذكاء الاصطناعي، والأتمتة، والخدمات السحابية، وتحليل البيانات، وكل ما يرتبط بها من تحسينات تشغيلية وخدمية</w:t>
      </w:r>
      <w:r w:rsidRPr="00236417">
        <w:rPr>
          <w:rFonts w:ascii="Simplified Arabic" w:hAnsi="Simplified Arabic" w:cs="Simplified Arabic"/>
          <w:sz w:val="28"/>
          <w:szCs w:val="28"/>
        </w:rPr>
        <w:t>.</w:t>
      </w:r>
    </w:p>
    <w:p w14:paraId="77DD85BC"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أما المتغير التابع فهو الأداء المالي، ويُقاس في هذه الدراسة من خلال ثلاثة أبعاد رئيسة، هي</w:t>
      </w:r>
      <w:r w:rsidRPr="00236417">
        <w:rPr>
          <w:rFonts w:ascii="Simplified Arabic" w:hAnsi="Simplified Arabic" w:cs="Simplified Arabic"/>
          <w:sz w:val="28"/>
          <w:szCs w:val="28"/>
        </w:rPr>
        <w:t>:</w:t>
      </w:r>
    </w:p>
    <w:p w14:paraId="08608765" w14:textId="77777777" w:rsidR="00984B30" w:rsidRPr="00236417" w:rsidRDefault="00984B30" w:rsidP="00A420D1">
      <w:pPr>
        <w:numPr>
          <w:ilvl w:val="0"/>
          <w:numId w:val="4"/>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المبيعات </w:t>
      </w:r>
    </w:p>
    <w:p w14:paraId="7A36D82C" w14:textId="77777777" w:rsidR="00984B30" w:rsidRPr="00236417" w:rsidRDefault="00984B30" w:rsidP="00A420D1">
      <w:pPr>
        <w:numPr>
          <w:ilvl w:val="0"/>
          <w:numId w:val="4"/>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الربحية </w:t>
      </w:r>
    </w:p>
    <w:p w14:paraId="25100FD0" w14:textId="77777777" w:rsidR="00984B30" w:rsidRPr="00236417" w:rsidRDefault="00984B30" w:rsidP="00A420D1">
      <w:pPr>
        <w:numPr>
          <w:ilvl w:val="0"/>
          <w:numId w:val="4"/>
        </w:num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المصروفات التشغيلية </w:t>
      </w:r>
    </w:p>
    <w:p w14:paraId="743B73E7"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ويفترض هذا النموذج أن تطور مستوى التحول الرقمي وتطبيقات التجارة الإلكترونية يؤدي إلى تغير في المؤشرات المالية محل الدراسة، سواء من خلال توسيع السوق وزيادة الطلب، أو من خلال تحسين الكفاءة وخفض التكاليف، أو عبر تعظيم القيمة المتولدة من الخدمات الرقمية المساندة</w:t>
      </w:r>
      <w:r w:rsidRPr="00236417">
        <w:rPr>
          <w:rFonts w:ascii="Simplified Arabic" w:hAnsi="Simplified Arabic" w:cs="Simplified Arabic"/>
          <w:sz w:val="28"/>
          <w:szCs w:val="28"/>
        </w:rPr>
        <w:t>.</w:t>
      </w:r>
    </w:p>
    <w:p w14:paraId="27DA60DA" w14:textId="77CEC009" w:rsidR="00984B30" w:rsidRPr="00236417" w:rsidRDefault="00984B30" w:rsidP="00E27372">
      <w:pPr>
        <w:pStyle w:val="21"/>
      </w:pPr>
      <w:r w:rsidRPr="00236417">
        <w:t>1-</w:t>
      </w:r>
      <w:proofErr w:type="gramStart"/>
      <w:r w:rsidRPr="00236417">
        <w:t xml:space="preserve">8 </w:t>
      </w:r>
      <w:r w:rsidR="00380584" w:rsidRPr="00236417">
        <w:rPr>
          <w:rtl/>
        </w:rPr>
        <w:t xml:space="preserve"> </w:t>
      </w:r>
      <w:r w:rsidRPr="00236417">
        <w:rPr>
          <w:rtl/>
        </w:rPr>
        <w:t>النظرية</w:t>
      </w:r>
      <w:proofErr w:type="gramEnd"/>
      <w:r w:rsidRPr="00236417">
        <w:rPr>
          <w:rtl/>
        </w:rPr>
        <w:t xml:space="preserve"> العلمية المتبعة في إعداد البحث</w:t>
      </w:r>
    </w:p>
    <w:p w14:paraId="7FC24F74" w14:textId="191AD609"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تستند الدراسة الحالية إلى أكثر من إطار نظري يساعد في تفسير العلاقة بين التكنولوجيا والأداء المالي. ويأتي في مقدمة هذه الأطر نموذج قبول </w:t>
      </w:r>
      <w:proofErr w:type="gramStart"/>
      <w:r w:rsidRPr="00236417">
        <w:rPr>
          <w:rFonts w:ascii="Simplified Arabic" w:hAnsi="Simplified Arabic" w:cs="Simplified Arabic"/>
          <w:sz w:val="28"/>
          <w:szCs w:val="28"/>
          <w:rtl/>
        </w:rPr>
        <w:t>التكنولوجيا</w:t>
      </w:r>
      <w:r w:rsidR="00380584" w:rsidRPr="00236417">
        <w:rPr>
          <w:rFonts w:ascii="Simplified Arabic" w:hAnsi="Simplified Arabic" w:cs="Simplified Arabic"/>
          <w:sz w:val="28"/>
          <w:szCs w:val="28"/>
          <w:rtl/>
        </w:rPr>
        <w:t xml:space="preserve"> </w:t>
      </w:r>
      <w:r w:rsidRPr="00236417">
        <w:rPr>
          <w:rFonts w:ascii="Simplified Arabic" w:hAnsi="Simplified Arabic" w:cs="Simplified Arabic"/>
          <w:sz w:val="28"/>
          <w:szCs w:val="28"/>
        </w:rPr>
        <w:t xml:space="preserve"> (</w:t>
      </w:r>
      <w:proofErr w:type="gramEnd"/>
      <w:r w:rsidRPr="00236417">
        <w:rPr>
          <w:rFonts w:ascii="Simplified Arabic" w:hAnsi="Simplified Arabic" w:cs="Simplified Arabic"/>
          <w:sz w:val="28"/>
          <w:szCs w:val="28"/>
        </w:rPr>
        <w:t>TAM)</w:t>
      </w:r>
      <w:r w:rsidRPr="00236417">
        <w:rPr>
          <w:rFonts w:ascii="Simplified Arabic" w:hAnsi="Simplified Arabic" w:cs="Simplified Arabic"/>
          <w:sz w:val="28"/>
          <w:szCs w:val="28"/>
          <w:rtl/>
        </w:rPr>
        <w:t>، الذي يفترض أن تبني التكنولوجيا يتأثر بدرجة سهولة الاستخدام والمنفعة المتوقعة منها. وتفيد هذه النظرية في تفسير نجاح المنصات الرقمية حين يراها العملاء والعاملون سهلة ونافعة وفعالة في الوقت نفسه</w:t>
      </w:r>
      <w:r w:rsidRPr="00236417">
        <w:rPr>
          <w:rFonts w:ascii="Simplified Arabic" w:hAnsi="Simplified Arabic" w:cs="Simplified Arabic"/>
          <w:sz w:val="28"/>
          <w:szCs w:val="28"/>
        </w:rPr>
        <w:t>.</w:t>
      </w:r>
    </w:p>
    <w:p w14:paraId="5C6F0130" w14:textId="3591DD2E"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كما تعتمد الدراسة على نظرية </w:t>
      </w:r>
      <w:proofErr w:type="gramStart"/>
      <w:r w:rsidRPr="00236417">
        <w:rPr>
          <w:rFonts w:ascii="Simplified Arabic" w:hAnsi="Simplified Arabic" w:cs="Simplified Arabic"/>
          <w:sz w:val="28"/>
          <w:szCs w:val="28"/>
          <w:rtl/>
        </w:rPr>
        <w:t>الموارد</w:t>
      </w:r>
      <w:r w:rsidR="00380584" w:rsidRPr="00236417">
        <w:rPr>
          <w:rFonts w:ascii="Simplified Arabic" w:hAnsi="Simplified Arabic" w:cs="Simplified Arabic"/>
          <w:sz w:val="28"/>
          <w:szCs w:val="28"/>
          <w:rtl/>
        </w:rPr>
        <w:t xml:space="preserve"> </w:t>
      </w:r>
      <w:r w:rsidRPr="00236417">
        <w:rPr>
          <w:rFonts w:ascii="Simplified Arabic" w:hAnsi="Simplified Arabic" w:cs="Simplified Arabic"/>
          <w:sz w:val="28"/>
          <w:szCs w:val="28"/>
        </w:rPr>
        <w:t xml:space="preserve"> (</w:t>
      </w:r>
      <w:proofErr w:type="gramEnd"/>
      <w:r w:rsidRPr="00236417">
        <w:rPr>
          <w:rFonts w:ascii="Simplified Arabic" w:hAnsi="Simplified Arabic" w:cs="Simplified Arabic"/>
          <w:sz w:val="28"/>
          <w:szCs w:val="28"/>
        </w:rPr>
        <w:t>RBV)</w:t>
      </w:r>
      <w:r w:rsidRPr="00236417">
        <w:rPr>
          <w:rFonts w:ascii="Simplified Arabic" w:hAnsi="Simplified Arabic" w:cs="Simplified Arabic"/>
          <w:sz w:val="28"/>
          <w:szCs w:val="28"/>
          <w:rtl/>
        </w:rPr>
        <w:t>، التي ترى أن الشركات تحقق ميزة تنافسية مستدامة عندما تمتلك موارد نادرة وقيّمة ويصعب تقليدها. ويمكن النظر إلى البنية التقنية، والخوارزميات، والبيانات، والخبرة الرقمية، والخدمات السحابية في شركة أمازون بوصفها موارد استراتيجية ساعدت الشركة على تعزيز تفوقها في السوق</w:t>
      </w:r>
      <w:r w:rsidRPr="00236417">
        <w:rPr>
          <w:rFonts w:ascii="Simplified Arabic" w:hAnsi="Simplified Arabic" w:cs="Simplified Arabic"/>
          <w:sz w:val="28"/>
          <w:szCs w:val="28"/>
        </w:rPr>
        <w:t>.</w:t>
      </w:r>
    </w:p>
    <w:p w14:paraId="298D6595"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وتستفيد الدراسة أيضًا من منطق القدرات الديناميكية، الذي يوضح قدرة الشركات على إعادة تشكيل مواردها وعملياتها بما يتناسب مع التغيرات السريعة في البيئة الخارجية. وهذا المنطق مناسب جدًا لدراسة حالة أمازون، لأنها لم تكتفِ بتبني التكنولوجيا، بل أعادت توظيفها وتوسيعها وتحويلها إلى جزء من نموذج أعمالها المالي والتشغيلي</w:t>
      </w:r>
      <w:r w:rsidRPr="00236417">
        <w:rPr>
          <w:rFonts w:ascii="Simplified Arabic" w:hAnsi="Simplified Arabic" w:cs="Simplified Arabic"/>
          <w:sz w:val="28"/>
          <w:szCs w:val="28"/>
        </w:rPr>
        <w:t>.</w:t>
      </w:r>
    </w:p>
    <w:p w14:paraId="307EC21F" w14:textId="37DF0A40" w:rsidR="00984B30" w:rsidRPr="00236417" w:rsidRDefault="00380584" w:rsidP="00E27372">
      <w:pPr>
        <w:pStyle w:val="21"/>
      </w:pPr>
      <w:r w:rsidRPr="00236417">
        <w:lastRenderedPageBreak/>
        <w:t xml:space="preserve"> </w:t>
      </w:r>
      <w:r w:rsidR="00984B30" w:rsidRPr="00236417">
        <w:t xml:space="preserve">1-9 </w:t>
      </w:r>
      <w:r w:rsidR="00984B30" w:rsidRPr="00236417">
        <w:rPr>
          <w:rtl/>
        </w:rPr>
        <w:t>منهجية الدراسة</w:t>
      </w:r>
    </w:p>
    <w:p w14:paraId="09E9F38F"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تعتمد الدراسة الحالية على المنهج الوصفي التحليلي، لكونه المنهج الأنسب لوصف الظاهرة محل الدراسة وتحليل مكوناتها وتفسير العلاقة بين متغيراتها. كما تستفيد الدراسة من أسلوب دراسة الحالة من خلال التركيز على شركة أمازون بوصفها وحدة التحليل الرئيسة</w:t>
      </w:r>
      <w:r w:rsidRPr="00236417">
        <w:rPr>
          <w:rFonts w:ascii="Simplified Arabic" w:hAnsi="Simplified Arabic" w:cs="Simplified Arabic"/>
          <w:sz w:val="28"/>
          <w:szCs w:val="28"/>
        </w:rPr>
        <w:t>.</w:t>
      </w:r>
    </w:p>
    <w:p w14:paraId="6F3175AF"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وتقوم الدراسة على تحليل البيانات الثانوية المستمدة من التقارير المالية السنوية، وتقارير المستثمرين، والبيانات الإحصائية، والدراسات السابقة، والتقارير المؤسسية ذات الصلة. ويتم توظيف هذه البيانات في تفسير العلاقة بين التحول الرقمي والتجارة الإلكترونية من جهة، وبين الأداء المالي من جهة أخرى، مع التركيز على الفترة من 2020 إلى 2024</w:t>
      </w:r>
      <w:r w:rsidRPr="00236417">
        <w:rPr>
          <w:rFonts w:ascii="Simplified Arabic" w:hAnsi="Simplified Arabic" w:cs="Simplified Arabic"/>
          <w:sz w:val="28"/>
          <w:szCs w:val="28"/>
        </w:rPr>
        <w:t>.</w:t>
      </w:r>
    </w:p>
    <w:p w14:paraId="577CB861"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وفي الإطار المنهجي للدراسة، يتمثل المتغير المستقل في التحول الرقمي وتطبيقات التجارة الإلكترونية، ويشمل مختلف صور التوظيف الرقمي داخل الشركة، مثل الأتمتة، والذكاء الاصطناعي، والخدمات السحابية، وتحليل البيانات، وتطوير المنصة الإلكترونية. أما المتغير التابع فيتمثل في الأداء المالي، ويقاس في هذه الدراسة من خلال المبيعات، والربحية، والمصروفات التشغيلية</w:t>
      </w:r>
      <w:r w:rsidRPr="00236417">
        <w:rPr>
          <w:rFonts w:ascii="Simplified Arabic" w:hAnsi="Simplified Arabic" w:cs="Simplified Arabic"/>
          <w:sz w:val="28"/>
          <w:szCs w:val="28"/>
        </w:rPr>
        <w:t>.</w:t>
      </w:r>
    </w:p>
    <w:p w14:paraId="66BA3A2D" w14:textId="77777777" w:rsidR="00984B30" w:rsidRPr="00236417" w:rsidRDefault="00984B30" w:rsidP="00A420D1">
      <w:pPr>
        <w:spacing w:after="120" w:line="360" w:lineRule="auto"/>
        <w:rPr>
          <w:rFonts w:ascii="Simplified Arabic" w:hAnsi="Simplified Arabic" w:cs="Simplified Arabic"/>
          <w:sz w:val="28"/>
          <w:szCs w:val="28"/>
          <w:rtl/>
        </w:rPr>
      </w:pPr>
      <w:r w:rsidRPr="00236417">
        <w:rPr>
          <w:rFonts w:ascii="Simplified Arabic" w:hAnsi="Simplified Arabic" w:cs="Simplified Arabic"/>
          <w:sz w:val="28"/>
          <w:szCs w:val="28"/>
          <w:rtl/>
        </w:rPr>
        <w:t>ومن ثم، فإن الدراسة لا تكتفي بوصف التطورات الرقمية داخل شركة أمازون، بل تسعى إلى تحليل مدى انعكاس هذه التطورات على المؤشرات المالية الرئيسة، وبيان طبيعة الأثر واتجاهه خلال الفترة الزمنية المدروسة</w:t>
      </w:r>
      <w:r w:rsidRPr="00236417">
        <w:rPr>
          <w:rFonts w:ascii="Simplified Arabic" w:hAnsi="Simplified Arabic" w:cs="Simplified Arabic"/>
          <w:sz w:val="28"/>
          <w:szCs w:val="28"/>
        </w:rPr>
        <w:t>.</w:t>
      </w:r>
    </w:p>
    <w:p w14:paraId="4F9CED75" w14:textId="77777777" w:rsidR="00FE3C43" w:rsidRPr="00236417" w:rsidRDefault="00FE3C43" w:rsidP="00A420D1">
      <w:pPr>
        <w:spacing w:after="120" w:line="360" w:lineRule="auto"/>
        <w:rPr>
          <w:rFonts w:ascii="Simplified Arabic" w:hAnsi="Simplified Arabic" w:cs="Simplified Arabic"/>
          <w:sz w:val="28"/>
          <w:szCs w:val="28"/>
          <w:rtl/>
        </w:rPr>
      </w:pPr>
    </w:p>
    <w:p w14:paraId="385AD151" w14:textId="0B1EE7EC" w:rsidR="00062432" w:rsidRPr="00236417" w:rsidRDefault="00BE2EAB" w:rsidP="00A420D1">
      <w:pPr>
        <w:spacing w:after="120" w:line="360" w:lineRule="auto"/>
        <w:rPr>
          <w:rFonts w:ascii="Simplified Arabic" w:hAnsi="Simplified Arabic" w:cs="Simplified Arabic"/>
          <w:sz w:val="28"/>
          <w:szCs w:val="28"/>
          <w:rtl/>
        </w:rPr>
      </w:pPr>
      <w:r w:rsidRPr="00236417">
        <w:rPr>
          <w:rFonts w:ascii="Simplified Arabic" w:hAnsi="Simplified Arabic" w:cs="Simplified Arabic"/>
          <w:noProof/>
          <w:sz w:val="28"/>
          <w:szCs w:val="28"/>
          <w:rtl/>
          <w:lang w:val="ar-SA"/>
        </w:rPr>
        <w:lastRenderedPageBreak/>
        <w:drawing>
          <wp:inline distT="0" distB="0" distL="0" distR="0" wp14:anchorId="3BB3FD09" wp14:editId="1176541A">
            <wp:extent cx="5274310" cy="3076575"/>
            <wp:effectExtent l="0" t="0" r="0" b="9525"/>
            <wp:docPr id="1264368508"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33D0568" w14:textId="15EA7FE7" w:rsidR="00062432" w:rsidRPr="00236417" w:rsidRDefault="00FE3C43" w:rsidP="00FE3C43">
      <w:pPr>
        <w:spacing w:after="120" w:line="360" w:lineRule="auto"/>
        <w:jc w:val="center"/>
        <w:rPr>
          <w:rFonts w:ascii="Simplified Arabic" w:hAnsi="Simplified Arabic" w:cs="Simplified Arabic"/>
          <w:sz w:val="28"/>
          <w:szCs w:val="28"/>
        </w:rPr>
      </w:pPr>
      <w:r w:rsidRPr="00236417">
        <w:rPr>
          <w:rFonts w:ascii="Simplified Arabic" w:hAnsi="Simplified Arabic" w:cs="Simplified Arabic"/>
          <w:sz w:val="28"/>
          <w:szCs w:val="28"/>
          <w:rtl/>
        </w:rPr>
        <w:t>شكل رقم 1-</w:t>
      </w:r>
      <w:proofErr w:type="gramStart"/>
      <w:r w:rsidRPr="00236417">
        <w:rPr>
          <w:rFonts w:ascii="Simplified Arabic" w:hAnsi="Simplified Arabic" w:cs="Simplified Arabic"/>
          <w:sz w:val="28"/>
          <w:szCs w:val="28"/>
          <w:rtl/>
        </w:rPr>
        <w:t>1 :</w:t>
      </w:r>
      <w:proofErr w:type="gramEnd"/>
      <w:r w:rsidRPr="00236417">
        <w:rPr>
          <w:rFonts w:ascii="Simplified Arabic" w:hAnsi="Simplified Arabic" w:cs="Simplified Arabic"/>
          <w:sz w:val="28"/>
          <w:szCs w:val="28"/>
          <w:rtl/>
        </w:rPr>
        <w:t xml:space="preserve"> نموذج البحث</w:t>
      </w:r>
    </w:p>
    <w:p w14:paraId="0E0A7224" w14:textId="77777777" w:rsidR="00962E24" w:rsidRPr="00236417" w:rsidRDefault="00962E24" w:rsidP="00FE3C43">
      <w:pPr>
        <w:spacing w:after="120" w:line="360" w:lineRule="auto"/>
        <w:rPr>
          <w:rFonts w:ascii="Simplified Arabic" w:hAnsi="Simplified Arabic" w:cs="Simplified Arabic"/>
          <w:b/>
          <w:bCs/>
          <w:sz w:val="32"/>
          <w:szCs w:val="32"/>
          <w:rtl/>
        </w:rPr>
      </w:pPr>
    </w:p>
    <w:p w14:paraId="69D91C4F" w14:textId="77777777" w:rsidR="00962E24" w:rsidRPr="00236417" w:rsidRDefault="00962E24" w:rsidP="00FE3C43">
      <w:pPr>
        <w:spacing w:after="120" w:line="360" w:lineRule="auto"/>
        <w:rPr>
          <w:rFonts w:ascii="Simplified Arabic" w:hAnsi="Simplified Arabic" w:cs="Simplified Arabic"/>
          <w:b/>
          <w:bCs/>
          <w:sz w:val="32"/>
          <w:szCs w:val="32"/>
          <w:rtl/>
        </w:rPr>
      </w:pPr>
    </w:p>
    <w:p w14:paraId="1156C17E" w14:textId="41C97D4F" w:rsidR="00984B30" w:rsidRPr="00236417" w:rsidRDefault="00984B30" w:rsidP="00E27372">
      <w:pPr>
        <w:pStyle w:val="21"/>
      </w:pPr>
      <w:r w:rsidRPr="00236417">
        <w:t>1-</w:t>
      </w:r>
      <w:proofErr w:type="gramStart"/>
      <w:r w:rsidRPr="00236417">
        <w:t xml:space="preserve">10 </w:t>
      </w:r>
      <w:r w:rsidR="00380584" w:rsidRPr="00236417">
        <w:rPr>
          <w:rtl/>
        </w:rPr>
        <w:t xml:space="preserve"> </w:t>
      </w:r>
      <w:r w:rsidRPr="00236417">
        <w:rPr>
          <w:rtl/>
        </w:rPr>
        <w:t>مجتمع</w:t>
      </w:r>
      <w:proofErr w:type="gramEnd"/>
      <w:r w:rsidRPr="00236417">
        <w:rPr>
          <w:rtl/>
        </w:rPr>
        <w:t xml:space="preserve"> الدراسة ووحدة التحليل</w:t>
      </w:r>
    </w:p>
    <w:p w14:paraId="4849BCE4"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يتمثل مجتمع الدراسة في الشركات العالمية التي تبنت التحول الرقمي وتطبيقات التجارة الإلكترونية ضمن نماذج أعمالها، وأصبحت تعتمد على التكنولوجيا بوصفها عنصرًا محوريًا في النمو والتنافسية. أما وحدة التحليل في هذه الدراسة فهي شركة أمازون، باعتبارها من أكثر الشركات العالمية ملاءمة لدراسة هذا الموضوع</w:t>
      </w:r>
      <w:r w:rsidRPr="00236417">
        <w:rPr>
          <w:rFonts w:ascii="Simplified Arabic" w:hAnsi="Simplified Arabic" w:cs="Simplified Arabic"/>
          <w:sz w:val="28"/>
          <w:szCs w:val="28"/>
        </w:rPr>
        <w:t>.</w:t>
      </w:r>
    </w:p>
    <w:p w14:paraId="5E977536" w14:textId="66EA189F" w:rsidR="00380584" w:rsidRPr="00236417" w:rsidRDefault="00984B30" w:rsidP="00962E24">
      <w:pPr>
        <w:spacing w:after="120" w:line="360" w:lineRule="auto"/>
        <w:rPr>
          <w:rFonts w:ascii="Simplified Arabic" w:hAnsi="Simplified Arabic" w:cs="Simplified Arabic"/>
          <w:sz w:val="28"/>
          <w:szCs w:val="28"/>
          <w:rtl/>
        </w:rPr>
      </w:pPr>
      <w:r w:rsidRPr="00236417">
        <w:rPr>
          <w:rFonts w:ascii="Simplified Arabic" w:hAnsi="Simplified Arabic" w:cs="Simplified Arabic"/>
          <w:sz w:val="28"/>
          <w:szCs w:val="28"/>
          <w:rtl/>
        </w:rPr>
        <w:lastRenderedPageBreak/>
        <w:t>وقد تم اختيار أمازون لعدة اعتبارات، منها اتساع نشاطها الإلكتروني، وتنوع مصادر إيراداتها، واعتمادها الكبير على الحلول الرقمية المتقدمة، وتوافر بياناتها المالية بصورة منتظمة، إلى جانب كونها تمثل حالة تطبيقية ثرية يمكن من خلالها فهم الأثر العملي للتحول الرقمي في الأداء المالي</w:t>
      </w:r>
      <w:r w:rsidRPr="00236417">
        <w:rPr>
          <w:rFonts w:ascii="Simplified Arabic" w:hAnsi="Simplified Arabic" w:cs="Simplified Arabic"/>
          <w:sz w:val="28"/>
          <w:szCs w:val="28"/>
        </w:rPr>
        <w:t>.</w:t>
      </w:r>
    </w:p>
    <w:p w14:paraId="69197D99" w14:textId="32360CD7" w:rsidR="00984B30" w:rsidRPr="00236417" w:rsidRDefault="00984B30" w:rsidP="00E27372">
      <w:pPr>
        <w:pStyle w:val="21"/>
      </w:pPr>
      <w:r w:rsidRPr="00236417">
        <w:t>1-</w:t>
      </w:r>
      <w:proofErr w:type="gramStart"/>
      <w:r w:rsidRPr="00236417">
        <w:t xml:space="preserve">11 </w:t>
      </w:r>
      <w:r w:rsidR="00380584" w:rsidRPr="00236417">
        <w:rPr>
          <w:rtl/>
        </w:rPr>
        <w:t xml:space="preserve"> </w:t>
      </w:r>
      <w:r w:rsidRPr="00236417">
        <w:rPr>
          <w:rtl/>
        </w:rPr>
        <w:t>حدود</w:t>
      </w:r>
      <w:proofErr w:type="gramEnd"/>
      <w:r w:rsidRPr="00236417">
        <w:rPr>
          <w:rtl/>
        </w:rPr>
        <w:t xml:space="preserve"> الدراسة</w:t>
      </w:r>
    </w:p>
    <w:p w14:paraId="11F433A5" w14:textId="77777777" w:rsidR="00984B30" w:rsidRPr="00236417" w:rsidRDefault="00984B30" w:rsidP="00A420D1">
      <w:pPr>
        <w:spacing w:after="120"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أولًا: الحدود الموضوعية</w:t>
      </w:r>
    </w:p>
    <w:p w14:paraId="606E0B58"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تقتصر الدراسة على تحليل أثر التحول الرقمي وتطبيقات التجارة الإلكترونية على الأداء المالي، دون التوسع في متغيرات أخرى مثل الثقافة التنظيمية أو القيادة أو الموارد البشرية، إلا بالقدر الذي يخدم تفسير الموضوع</w:t>
      </w:r>
      <w:r w:rsidRPr="00236417">
        <w:rPr>
          <w:rFonts w:ascii="Simplified Arabic" w:hAnsi="Simplified Arabic" w:cs="Simplified Arabic"/>
          <w:sz w:val="28"/>
          <w:szCs w:val="28"/>
        </w:rPr>
        <w:t>.</w:t>
      </w:r>
    </w:p>
    <w:p w14:paraId="78B616F7" w14:textId="77777777" w:rsidR="00984B30" w:rsidRPr="00236417" w:rsidRDefault="00984B30" w:rsidP="00A420D1">
      <w:pPr>
        <w:spacing w:after="120"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ثانيًا: الحدود الزمنية</w:t>
      </w:r>
    </w:p>
    <w:p w14:paraId="7C9C066D"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تغطي الدراسة الفترة الممتدة من عام 2020 حتى عام 2024، وهي فترة مهمة لقياس أثر التحولات الرقمية في ظل الجائحة وما بعدها</w:t>
      </w:r>
      <w:r w:rsidRPr="00236417">
        <w:rPr>
          <w:rFonts w:ascii="Simplified Arabic" w:hAnsi="Simplified Arabic" w:cs="Simplified Arabic"/>
          <w:sz w:val="28"/>
          <w:szCs w:val="28"/>
        </w:rPr>
        <w:t>.</w:t>
      </w:r>
    </w:p>
    <w:p w14:paraId="08AF77D1" w14:textId="77777777" w:rsidR="00984B30" w:rsidRPr="00236417" w:rsidRDefault="00984B30" w:rsidP="00A420D1">
      <w:pPr>
        <w:spacing w:after="120"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ثالثًا: الحدود المكانية</w:t>
      </w:r>
    </w:p>
    <w:p w14:paraId="4E9435E9"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تتركز الدراسة على شركة أمازون بوصفها شركة عالمية، مع تحليل نتائجها وأدائها المالي المنشور عالميًا</w:t>
      </w:r>
      <w:r w:rsidRPr="00236417">
        <w:rPr>
          <w:rFonts w:ascii="Simplified Arabic" w:hAnsi="Simplified Arabic" w:cs="Simplified Arabic"/>
          <w:sz w:val="28"/>
          <w:szCs w:val="28"/>
        </w:rPr>
        <w:t>.</w:t>
      </w:r>
    </w:p>
    <w:p w14:paraId="26E51333" w14:textId="77777777" w:rsidR="00984B30" w:rsidRPr="00236417" w:rsidRDefault="00984B30" w:rsidP="00A420D1">
      <w:pPr>
        <w:spacing w:after="120"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رابعًا: الحدود البشرية</w:t>
      </w:r>
    </w:p>
    <w:p w14:paraId="3D1E400D"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لا تعتمد الدراسة على عينة بشرية ميدانية بوصفها مصدرًا أساسًا للنتائج، بل تعتمد على البيانات المالية والوثائق والتقارير المنشورة المتعلقة بالشركة محل الدراسة</w:t>
      </w:r>
      <w:r w:rsidRPr="00236417">
        <w:rPr>
          <w:rFonts w:ascii="Simplified Arabic" w:hAnsi="Simplified Arabic" w:cs="Simplified Arabic"/>
          <w:sz w:val="28"/>
          <w:szCs w:val="28"/>
        </w:rPr>
        <w:t>.</w:t>
      </w:r>
    </w:p>
    <w:p w14:paraId="4C8C1939" w14:textId="77777777" w:rsidR="00984B30" w:rsidRPr="00236417" w:rsidRDefault="00984B30" w:rsidP="00E27372">
      <w:pPr>
        <w:pStyle w:val="21"/>
      </w:pPr>
      <w:r w:rsidRPr="00236417">
        <w:lastRenderedPageBreak/>
        <w:t xml:space="preserve">1-12 </w:t>
      </w:r>
      <w:r w:rsidRPr="00236417">
        <w:rPr>
          <w:rtl/>
        </w:rPr>
        <w:t>مصطلحات الدراسة</w:t>
      </w:r>
    </w:p>
    <w:p w14:paraId="35B08C21"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يقصد بالتحول الرقمي في هذه الدراسة عملية التوظيف المنهجي للتقنيات الرقمية في تطوير العمليات والأنشطة والنماذج التشغيلية بهدف تحسين الكفاءة وتعظيم القيمة. ويقصد بتطبيقات التجارة الإلكترونية جميع الآليات والمنصات والنظم الرقمية التي تمكّن من بيع السلع والخدمات وإدارة التفاعل مع العملاء عبر الإنترنت. أما الأداء المالي، فيقصد به مستوى النتائج المالية التي تحققها الشركة، ويُقاس في هذه الدراسة بالمبيعات، والربحية، والمصروفات التشغيلية</w:t>
      </w:r>
      <w:r w:rsidRPr="00236417">
        <w:rPr>
          <w:rFonts w:ascii="Simplified Arabic" w:hAnsi="Simplified Arabic" w:cs="Simplified Arabic"/>
          <w:sz w:val="28"/>
          <w:szCs w:val="28"/>
        </w:rPr>
        <w:t>.</w:t>
      </w:r>
    </w:p>
    <w:p w14:paraId="50FCA175" w14:textId="7378820A" w:rsidR="00984B30" w:rsidRPr="00236417" w:rsidRDefault="00984B30" w:rsidP="00E27372">
      <w:pPr>
        <w:pStyle w:val="21"/>
        <w:rPr>
          <w:rtl/>
        </w:rPr>
      </w:pPr>
      <w:r w:rsidRPr="00236417">
        <w:t>1-</w:t>
      </w:r>
      <w:proofErr w:type="gramStart"/>
      <w:r w:rsidRPr="00236417">
        <w:t xml:space="preserve">13 </w:t>
      </w:r>
      <w:r w:rsidR="00380584" w:rsidRPr="00236417">
        <w:rPr>
          <w:rtl/>
        </w:rPr>
        <w:t xml:space="preserve"> </w:t>
      </w:r>
      <w:r w:rsidRPr="00236417">
        <w:rPr>
          <w:rtl/>
        </w:rPr>
        <w:t>خاتمة</w:t>
      </w:r>
      <w:proofErr w:type="gramEnd"/>
      <w:r w:rsidRPr="00236417">
        <w:rPr>
          <w:rtl/>
        </w:rPr>
        <w:t xml:space="preserve"> الفصل</w:t>
      </w:r>
    </w:p>
    <w:p w14:paraId="06CAECAF"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عرض هذا الفصل الإطار العام للدراسة من خلال بيان الخلفية الموضوعية للتحول الرقمي والتجارة الإلكترونية في البيئة الاقتصادية الحديثة، وصياغة مشكلة الدراسة وسؤالها الرئيس وأسئلتها الفرعية، وتحديد أهداف الدراسة وأهميتها، وعرض فرضياتها الرئيسة والفرعية، إضافة إلى توضيح النموذج المفاهيمي والنظرية العلمية </w:t>
      </w:r>
      <w:proofErr w:type="gramStart"/>
      <w:r w:rsidRPr="00236417">
        <w:rPr>
          <w:rFonts w:ascii="Simplified Arabic" w:hAnsi="Simplified Arabic" w:cs="Simplified Arabic"/>
          <w:sz w:val="28"/>
          <w:szCs w:val="28"/>
          <w:rtl/>
        </w:rPr>
        <w:t>المعتمدة</w:t>
      </w:r>
      <w:proofErr w:type="gramEnd"/>
      <w:r w:rsidRPr="00236417">
        <w:rPr>
          <w:rFonts w:ascii="Simplified Arabic" w:hAnsi="Simplified Arabic" w:cs="Simplified Arabic"/>
          <w:sz w:val="28"/>
          <w:szCs w:val="28"/>
          <w:rtl/>
        </w:rPr>
        <w:t xml:space="preserve"> والمنهجية العامة وحدود الدراسة ومصطلحاتها</w:t>
      </w:r>
      <w:r w:rsidRPr="00236417">
        <w:rPr>
          <w:rFonts w:ascii="Simplified Arabic" w:hAnsi="Simplified Arabic" w:cs="Simplified Arabic"/>
          <w:sz w:val="28"/>
          <w:szCs w:val="28"/>
        </w:rPr>
        <w:t>.</w:t>
      </w:r>
    </w:p>
    <w:p w14:paraId="31E6AD9F" w14:textId="77777777" w:rsidR="00984B30" w:rsidRPr="00236417" w:rsidRDefault="00984B30" w:rsidP="00A420D1">
      <w:pPr>
        <w:spacing w:after="120"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ويُعد هذا الفصل مدخلًا تأسيسيًا للفصول التالية، إذ يمهد علميًا ومنهجيًا للانتقال إلى الفصل الثاني، الذي يتناول الإطار النظري والدراسات السابقة بصورة أكثر تفصيلًا وعمقًا، بما يدعم بناء الدراسة وتحليل نتائجها لاحقًا</w:t>
      </w:r>
      <w:r w:rsidRPr="00236417">
        <w:rPr>
          <w:rFonts w:ascii="Simplified Arabic" w:hAnsi="Simplified Arabic" w:cs="Simplified Arabic"/>
          <w:sz w:val="28"/>
          <w:szCs w:val="28"/>
        </w:rPr>
        <w:t>.</w:t>
      </w:r>
    </w:p>
    <w:p w14:paraId="10CE9E81" w14:textId="77777777" w:rsidR="00984B30" w:rsidRPr="00236417" w:rsidRDefault="00984B30" w:rsidP="00A420D1">
      <w:pPr>
        <w:spacing w:line="360" w:lineRule="auto"/>
        <w:rPr>
          <w:rFonts w:ascii="Simplified Arabic" w:hAnsi="Simplified Arabic" w:cs="Simplified Arabic"/>
          <w:b/>
          <w:bCs/>
          <w:sz w:val="28"/>
          <w:szCs w:val="28"/>
          <w:rtl/>
        </w:rPr>
      </w:pPr>
    </w:p>
    <w:p w14:paraId="56624A8D" w14:textId="77777777" w:rsidR="00984B30" w:rsidRPr="00236417" w:rsidRDefault="00984B30" w:rsidP="00A420D1">
      <w:pPr>
        <w:spacing w:line="360" w:lineRule="auto"/>
        <w:rPr>
          <w:rFonts w:ascii="Simplified Arabic" w:hAnsi="Simplified Arabic" w:cs="Simplified Arabic"/>
          <w:b/>
          <w:bCs/>
          <w:sz w:val="28"/>
          <w:szCs w:val="28"/>
          <w:rtl/>
        </w:rPr>
      </w:pPr>
    </w:p>
    <w:p w14:paraId="1DC7A5D8" w14:textId="77777777" w:rsidR="00984B30" w:rsidRPr="00236417" w:rsidRDefault="00984B30" w:rsidP="00A420D1">
      <w:pPr>
        <w:spacing w:line="360" w:lineRule="auto"/>
        <w:rPr>
          <w:rFonts w:ascii="Simplified Arabic" w:hAnsi="Simplified Arabic" w:cs="Simplified Arabic"/>
          <w:b/>
          <w:bCs/>
          <w:sz w:val="28"/>
          <w:szCs w:val="28"/>
          <w:rtl/>
        </w:rPr>
      </w:pPr>
    </w:p>
    <w:p w14:paraId="119896B0" w14:textId="77777777" w:rsidR="00984B30" w:rsidRPr="00236417" w:rsidRDefault="00984B30" w:rsidP="00A420D1">
      <w:pPr>
        <w:spacing w:line="360" w:lineRule="auto"/>
        <w:rPr>
          <w:rFonts w:ascii="Simplified Arabic" w:hAnsi="Simplified Arabic" w:cs="Simplified Arabic"/>
          <w:b/>
          <w:bCs/>
          <w:sz w:val="28"/>
          <w:szCs w:val="28"/>
          <w:rtl/>
        </w:rPr>
      </w:pPr>
    </w:p>
    <w:p w14:paraId="2514338C" w14:textId="77777777" w:rsidR="00984B30" w:rsidRPr="00236417" w:rsidRDefault="00984B30" w:rsidP="00A420D1">
      <w:pPr>
        <w:spacing w:line="360" w:lineRule="auto"/>
        <w:rPr>
          <w:rFonts w:ascii="Simplified Arabic" w:hAnsi="Simplified Arabic" w:cs="Simplified Arabic"/>
          <w:b/>
          <w:bCs/>
          <w:sz w:val="28"/>
          <w:szCs w:val="28"/>
          <w:rtl/>
        </w:rPr>
      </w:pPr>
    </w:p>
    <w:p w14:paraId="0B1165E2" w14:textId="77777777" w:rsidR="00984B30" w:rsidRPr="00236417" w:rsidRDefault="00984B30" w:rsidP="00A420D1">
      <w:pPr>
        <w:spacing w:line="360" w:lineRule="auto"/>
        <w:rPr>
          <w:rFonts w:ascii="Simplified Arabic" w:hAnsi="Simplified Arabic" w:cs="Simplified Arabic"/>
          <w:b/>
          <w:bCs/>
          <w:sz w:val="28"/>
          <w:szCs w:val="28"/>
          <w:rtl/>
        </w:rPr>
      </w:pPr>
    </w:p>
    <w:p w14:paraId="45E44F6C" w14:textId="77777777" w:rsidR="00984B30" w:rsidRPr="00236417" w:rsidRDefault="00984B30" w:rsidP="00A420D1">
      <w:pPr>
        <w:spacing w:line="360" w:lineRule="auto"/>
        <w:rPr>
          <w:rFonts w:ascii="Simplified Arabic" w:hAnsi="Simplified Arabic" w:cs="Simplified Arabic"/>
          <w:b/>
          <w:bCs/>
          <w:sz w:val="28"/>
          <w:szCs w:val="28"/>
          <w:rtl/>
        </w:rPr>
      </w:pPr>
    </w:p>
    <w:p w14:paraId="24F6E606" w14:textId="77777777" w:rsidR="00984B30" w:rsidRPr="00236417" w:rsidRDefault="00984B30" w:rsidP="00A420D1">
      <w:pPr>
        <w:spacing w:line="360" w:lineRule="auto"/>
        <w:rPr>
          <w:rFonts w:ascii="Simplified Arabic" w:hAnsi="Simplified Arabic" w:cs="Simplified Arabic"/>
          <w:b/>
          <w:bCs/>
          <w:sz w:val="28"/>
          <w:szCs w:val="28"/>
          <w:rtl/>
        </w:rPr>
      </w:pPr>
    </w:p>
    <w:p w14:paraId="0ACCEEA6" w14:textId="77777777" w:rsidR="007E23DA" w:rsidRPr="00236417" w:rsidRDefault="007E23DA" w:rsidP="00F262BD">
      <w:pPr>
        <w:spacing w:after="360" w:line="360" w:lineRule="auto"/>
        <w:rPr>
          <w:rFonts w:ascii="Simplified Arabic" w:hAnsi="Simplified Arabic" w:cs="Simplified Arabic"/>
          <w:b/>
          <w:bCs/>
          <w:sz w:val="40"/>
          <w:szCs w:val="40"/>
          <w:rtl/>
        </w:rPr>
      </w:pPr>
    </w:p>
    <w:p w14:paraId="6429105C" w14:textId="77777777" w:rsidR="007E23DA" w:rsidRPr="00236417" w:rsidRDefault="007E23DA" w:rsidP="00A420D1">
      <w:pPr>
        <w:spacing w:after="360" w:line="360" w:lineRule="auto"/>
        <w:jc w:val="center"/>
        <w:rPr>
          <w:rFonts w:ascii="Simplified Arabic" w:hAnsi="Simplified Arabic" w:cs="Simplified Arabic"/>
          <w:b/>
          <w:bCs/>
          <w:sz w:val="40"/>
          <w:szCs w:val="40"/>
          <w:rtl/>
        </w:rPr>
      </w:pPr>
    </w:p>
    <w:p w14:paraId="3D529A6F" w14:textId="72EC092E" w:rsidR="00A420D1" w:rsidRPr="00236417" w:rsidRDefault="00A420D1" w:rsidP="00A420D1">
      <w:pPr>
        <w:spacing w:after="360" w:line="360" w:lineRule="auto"/>
        <w:jc w:val="center"/>
        <w:rPr>
          <w:rFonts w:ascii="Simplified Arabic" w:hAnsi="Simplified Arabic" w:cs="Simplified Arabic"/>
          <w:b/>
          <w:bCs/>
          <w:sz w:val="40"/>
          <w:szCs w:val="40"/>
        </w:rPr>
      </w:pPr>
      <w:r w:rsidRPr="00236417">
        <w:rPr>
          <w:rFonts w:ascii="Simplified Arabic" w:hAnsi="Simplified Arabic" w:cs="Simplified Arabic"/>
          <w:b/>
          <w:bCs/>
          <w:sz w:val="40"/>
          <w:szCs w:val="40"/>
          <w:rtl/>
        </w:rPr>
        <w:t>الفصل الثاني</w:t>
      </w:r>
    </w:p>
    <w:p w14:paraId="24FB7715" w14:textId="77777777" w:rsidR="00A420D1" w:rsidRPr="00236417" w:rsidRDefault="00A420D1" w:rsidP="00A420D1">
      <w:pPr>
        <w:spacing w:after="360" w:line="360" w:lineRule="auto"/>
        <w:jc w:val="center"/>
        <w:rPr>
          <w:rFonts w:ascii="Simplified Arabic" w:hAnsi="Simplified Arabic" w:cs="Simplified Arabic"/>
          <w:b/>
          <w:bCs/>
          <w:sz w:val="40"/>
          <w:szCs w:val="40"/>
        </w:rPr>
      </w:pPr>
      <w:r w:rsidRPr="00236417">
        <w:rPr>
          <w:rFonts w:ascii="Simplified Arabic" w:hAnsi="Simplified Arabic" w:cs="Simplified Arabic"/>
          <w:b/>
          <w:bCs/>
          <w:sz w:val="40"/>
          <w:szCs w:val="40"/>
          <w:rtl/>
        </w:rPr>
        <w:t>الإطار النظري والدراسات السابقة</w:t>
      </w:r>
    </w:p>
    <w:p w14:paraId="172576D1" w14:textId="77777777" w:rsidR="00984B30" w:rsidRPr="00236417" w:rsidRDefault="00984B30" w:rsidP="00A420D1">
      <w:pPr>
        <w:spacing w:line="360" w:lineRule="auto"/>
        <w:rPr>
          <w:rFonts w:ascii="Simplified Arabic" w:hAnsi="Simplified Arabic" w:cs="Simplified Arabic"/>
          <w:b/>
          <w:bCs/>
          <w:sz w:val="28"/>
          <w:szCs w:val="28"/>
          <w:rtl/>
        </w:rPr>
      </w:pPr>
    </w:p>
    <w:p w14:paraId="64FD4E72" w14:textId="77777777" w:rsidR="00984B30" w:rsidRPr="00236417" w:rsidRDefault="00984B30" w:rsidP="00A420D1">
      <w:pPr>
        <w:spacing w:line="360" w:lineRule="auto"/>
        <w:rPr>
          <w:rFonts w:ascii="Simplified Arabic" w:hAnsi="Simplified Arabic" w:cs="Simplified Arabic"/>
          <w:b/>
          <w:bCs/>
          <w:sz w:val="28"/>
          <w:szCs w:val="28"/>
          <w:rtl/>
        </w:rPr>
      </w:pPr>
    </w:p>
    <w:p w14:paraId="683305E7" w14:textId="77777777" w:rsidR="00984B30" w:rsidRPr="00236417" w:rsidRDefault="00984B30" w:rsidP="00A420D1">
      <w:pPr>
        <w:spacing w:line="360" w:lineRule="auto"/>
        <w:rPr>
          <w:rFonts w:ascii="Simplified Arabic" w:hAnsi="Simplified Arabic" w:cs="Simplified Arabic"/>
          <w:b/>
          <w:bCs/>
          <w:sz w:val="28"/>
          <w:szCs w:val="28"/>
          <w:rtl/>
        </w:rPr>
      </w:pPr>
    </w:p>
    <w:p w14:paraId="3D3F473C" w14:textId="77777777" w:rsidR="00984B30" w:rsidRPr="00236417" w:rsidRDefault="00984B30" w:rsidP="00A420D1">
      <w:pPr>
        <w:spacing w:line="360" w:lineRule="auto"/>
        <w:rPr>
          <w:rFonts w:ascii="Simplified Arabic" w:hAnsi="Simplified Arabic" w:cs="Simplified Arabic"/>
          <w:b/>
          <w:bCs/>
          <w:sz w:val="28"/>
          <w:szCs w:val="28"/>
          <w:rtl/>
        </w:rPr>
      </w:pPr>
    </w:p>
    <w:p w14:paraId="39F75FA7" w14:textId="166593EF" w:rsidR="00C46D7F" w:rsidRPr="00236417" w:rsidRDefault="00C46D7F" w:rsidP="00F262BD">
      <w:pPr>
        <w:pStyle w:val="11"/>
      </w:pPr>
      <w:r w:rsidRPr="00236417">
        <w:rPr>
          <w:rtl/>
        </w:rPr>
        <w:lastRenderedPageBreak/>
        <w:t>الإطار النظري والدراسات السابقة</w:t>
      </w:r>
    </w:p>
    <w:p w14:paraId="621D65C1" w14:textId="77777777" w:rsidR="00C46D7F" w:rsidRPr="00236417" w:rsidRDefault="00C46D7F" w:rsidP="00F262BD">
      <w:pPr>
        <w:pStyle w:val="21"/>
      </w:pPr>
      <w:r w:rsidRPr="00236417">
        <w:rPr>
          <w:rtl/>
        </w:rPr>
        <w:t>مقدمة الفصل</w:t>
      </w:r>
    </w:p>
    <w:p w14:paraId="1CD58005"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يتناول هذا الفصل الأساس النظري والعلمي الذي تستند إليه الدراسة الحالية، وذلك من خلال عرض الإطار النظري لمتغيرات الدراسة الرئيسة، والمتمثلة في التحول الرقمي، وتطبيقات التجارة الإلكترونية، والأداء المالي، ثم مناقشة العلاقات المتبادلة بينها في ضوء الأدبيات الحديثة. كما يتضمن الفصل عرضًا منظمًا للدراسات السابقة ذات الصلة، سواء العربية والإقليمية أو الأجنبية والعالمية، إلى جانب التقارير المؤسسية المرجعية التي تدعم تحليل حالة شركة أمازون خلال الفترة 2020–2024. ويهدف هذا الفصل إلى بناء أرضية علمية متماسكة تساعد في تفسير نتائج الدراسة، وتوضيح الفجوة البحثية التي تسعى الدراسة الحالية إلى معالجتها</w:t>
      </w:r>
      <w:r w:rsidRPr="00236417">
        <w:rPr>
          <w:rFonts w:ascii="Simplified Arabic" w:hAnsi="Simplified Arabic" w:cs="Simplified Arabic"/>
          <w:sz w:val="28"/>
          <w:szCs w:val="28"/>
        </w:rPr>
        <w:t>.</w:t>
      </w:r>
    </w:p>
    <w:p w14:paraId="459D10AA" w14:textId="77777777" w:rsidR="00C46D7F" w:rsidRPr="00236417" w:rsidRDefault="00C46D7F" w:rsidP="00F262BD">
      <w:pPr>
        <w:pStyle w:val="21"/>
      </w:pPr>
      <w:r w:rsidRPr="00236417">
        <w:rPr>
          <w:rtl/>
        </w:rPr>
        <w:t>أولًا: الإطار النظري</w:t>
      </w:r>
    </w:p>
    <w:p w14:paraId="35952339" w14:textId="03D0A7A6" w:rsidR="00C46D7F" w:rsidRPr="00236417" w:rsidRDefault="00633F34" w:rsidP="00F262BD">
      <w:pPr>
        <w:pStyle w:val="33"/>
      </w:pPr>
      <w:r w:rsidRPr="00236417">
        <w:rPr>
          <w:rtl/>
        </w:rPr>
        <w:t>1.</w:t>
      </w:r>
      <w:r w:rsidR="00C46D7F" w:rsidRPr="00236417">
        <w:t xml:space="preserve"> </w:t>
      </w:r>
      <w:r w:rsidRPr="00236417">
        <w:rPr>
          <w:rtl/>
        </w:rPr>
        <w:t xml:space="preserve"> </w:t>
      </w:r>
      <w:r w:rsidR="00C46D7F" w:rsidRPr="00236417">
        <w:rPr>
          <w:rtl/>
        </w:rPr>
        <w:t>مفهوم التحول الرقمي</w:t>
      </w:r>
    </w:p>
    <w:p w14:paraId="357516E7"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أصبح التحول الرقمي في السنوات الأخيرة من أكثر المفاهيم تداولًا في أدبيات الإدارة والأعمال، نظرًا لما أحدثه من تغيرات جوهرية في بنية المؤسسات وأساليب عملها ونماذجها التشغيلية. ويشير التحول الرقمي إلى عملية توظيف التقنيات الرقمية الحديثة في مختلف الوظائف والأنشطة التنظيمية من أجل تحسين الكفاءة، ورفع جودة الأداء، وتعزيز القيمة المقدمة للعملاء. ولا يقتصر التحول الرقمي على مجرد إدخال التكنولوجيا في بعض العمليات، بل يمثل تحولًا استراتيجيًا شاملًا يعيد تشكيل طريقة التفكير المؤسسي، وآليات اتخاذ القرار، وأساليب تقديم الخدمات والمنتجات</w:t>
      </w:r>
      <w:r w:rsidRPr="00236417">
        <w:rPr>
          <w:rFonts w:ascii="Simplified Arabic" w:hAnsi="Simplified Arabic" w:cs="Simplified Arabic"/>
          <w:sz w:val="28"/>
          <w:szCs w:val="28"/>
        </w:rPr>
        <w:t>.</w:t>
      </w:r>
    </w:p>
    <w:p w14:paraId="67FC638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ومن الناحية التطبيقية، يتضمن التحول الرقمي إعادة تصميم العمليات الداخلية، وتحديث البنية التحتية التقنية، وتطوير نظم المعلومات، وربط البيانات والقرارات التشغيلية والإدارية في منظومة متكاملة. كما يرتبط التحول الرقمي ارتباطًا وثيقًا بقدرة المؤسسة على التكيف مع البيئة التنافسية والتغيرات السريعة في السوق، الأمر الذي يجعله عاملًا حاسمًا في دعم الاستدامة والنمو طويل الأجل</w:t>
      </w:r>
      <w:r w:rsidRPr="00236417">
        <w:rPr>
          <w:rFonts w:ascii="Simplified Arabic" w:hAnsi="Simplified Arabic" w:cs="Simplified Arabic"/>
          <w:sz w:val="28"/>
          <w:szCs w:val="28"/>
        </w:rPr>
        <w:t>.</w:t>
      </w:r>
    </w:p>
    <w:p w14:paraId="5883E493" w14:textId="02766F5B" w:rsidR="00C46D7F" w:rsidRPr="00236417" w:rsidRDefault="00633F34" w:rsidP="00F262BD">
      <w:pPr>
        <w:pStyle w:val="33"/>
      </w:pPr>
      <w:r w:rsidRPr="00236417">
        <w:rPr>
          <w:rtl/>
        </w:rPr>
        <w:t xml:space="preserve">2. </w:t>
      </w:r>
      <w:r w:rsidR="00C46D7F" w:rsidRPr="00236417">
        <w:rPr>
          <w:rtl/>
        </w:rPr>
        <w:t>أبعاد التحول الرقمي في الشركات</w:t>
      </w:r>
    </w:p>
    <w:p w14:paraId="56E4B8C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يمكن النظر إلى التحول الرقمي بوصفه عملية متعددة الأبعاد تشمل البعد التقني، والبعد الإداري، والبعد الثقافي، والبعد الاستراتيجي. فالجانب التقني يتجسد في استخدام أدوات مثل الذكاء الاصطناعي، والحوسبة السحابية، والبيانات الضخمة، والروبوتات، والأتمتة الذكية. أما الجانب الإداري فيرتبط بإعادة هندسة العمليات وتبسيط الإجراءات وتحسين التنسيق بين الإدارات. ويتمثل البعد الثقافي في نشر ثقافة الابتكار والتعلم والتكيف داخل المؤسسة، في حين يتعلق البعد الاستراتيجي بتبني رؤية واضحة تجعل التحول الرقمي جزءًا من التوجه طويل المدى للشركة</w:t>
      </w:r>
      <w:r w:rsidRPr="00236417">
        <w:rPr>
          <w:rFonts w:ascii="Simplified Arabic" w:hAnsi="Simplified Arabic" w:cs="Simplified Arabic"/>
          <w:sz w:val="28"/>
          <w:szCs w:val="28"/>
        </w:rPr>
        <w:t>.</w:t>
      </w:r>
    </w:p>
    <w:p w14:paraId="1F90F71F"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وتزداد أهمية هذه الأبعاد حين تكون الشركة ذات انتشار عالمي مثل أمازون، إذ لا يكون التحول الرقمي مجرد تحسين داخلي، بل أداة لبناء ميزة تنافسية واسعة النطاق تقوم على السرعة، والدقة، والمرونة، والقدرة على التوسع</w:t>
      </w:r>
      <w:r w:rsidRPr="00236417">
        <w:rPr>
          <w:rFonts w:ascii="Simplified Arabic" w:hAnsi="Simplified Arabic" w:cs="Simplified Arabic"/>
          <w:sz w:val="28"/>
          <w:szCs w:val="28"/>
        </w:rPr>
        <w:t>.</w:t>
      </w:r>
    </w:p>
    <w:p w14:paraId="1765116B" w14:textId="18469A1A" w:rsidR="00C46D7F" w:rsidRPr="00236417" w:rsidRDefault="00633F34" w:rsidP="00F262BD">
      <w:pPr>
        <w:pStyle w:val="33"/>
      </w:pPr>
      <w:r w:rsidRPr="00236417">
        <w:rPr>
          <w:rtl/>
        </w:rPr>
        <w:lastRenderedPageBreak/>
        <w:t xml:space="preserve">3. </w:t>
      </w:r>
      <w:r w:rsidR="00C46D7F" w:rsidRPr="00236417">
        <w:t xml:space="preserve"> </w:t>
      </w:r>
      <w:r w:rsidR="00C46D7F" w:rsidRPr="00236417">
        <w:rPr>
          <w:rtl/>
        </w:rPr>
        <w:t>أدوات وتقنيات التحول الرقمي</w:t>
      </w:r>
    </w:p>
    <w:p w14:paraId="1B59EF58"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يرتكز التحول الرقمي على مجموعة من الأدوات والتقنيات التي تشكل بنيته التطبيقية. ومن أبرز هذه الأدوات الحوسبة السحابية التي تتيح مرونة أكبر في تخزين البيانات وتشغيل التطبيقات وتقليل تكاليف البنية التحتية. كما يمثل الذكاء الاصطناعي عنصرًا أساسيًا في تحليل البيانات، ودعم القرارات، وتخصيص تجربة العميل، وتحسين إدارة الطلبات والمخزون. كذلك تؤدي البيانات الضخمة دورًا مهمًا في قراءة سلوك المستهلكين، وتحديد الأنماط الشرائية، والتنبؤ بالطلب المستقبلي، وهو ما يساعد الشركات على إدارة مواردها بكفاءة أعلى</w:t>
      </w:r>
      <w:r w:rsidRPr="00236417">
        <w:rPr>
          <w:rFonts w:ascii="Simplified Arabic" w:hAnsi="Simplified Arabic" w:cs="Simplified Arabic"/>
          <w:sz w:val="28"/>
          <w:szCs w:val="28"/>
        </w:rPr>
        <w:t>.</w:t>
      </w:r>
    </w:p>
    <w:p w14:paraId="643FC2A8"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وتبرز الأتمتة بوصفها أداة عملية لخفض التكاليف التشغيلية، وتقليل الاعتماد على الإجراءات اليدوية، ورفع سرعة الإنجاز ودقته. أما إنترنت الأشياء، فيسهم في ربط الأجهزة والعمليات والأنظمة في سلسلة تشغيلية أكثر تكاملًا. وقد برزت أهمية هذه التقنيات في شركات التجارة الإلكترونية الكبرى، لا سيما في إدارة المستودعات، وتتبع الشحنات، وخدمة العملاء، والبيع المخصص</w:t>
      </w:r>
      <w:r w:rsidRPr="00236417">
        <w:rPr>
          <w:rFonts w:ascii="Simplified Arabic" w:hAnsi="Simplified Arabic" w:cs="Simplified Arabic"/>
          <w:sz w:val="28"/>
          <w:szCs w:val="28"/>
        </w:rPr>
        <w:t>.</w:t>
      </w:r>
    </w:p>
    <w:p w14:paraId="7D1B9001" w14:textId="4222C7AF" w:rsidR="00C46D7F" w:rsidRPr="00236417" w:rsidRDefault="00633F34" w:rsidP="00F262BD">
      <w:pPr>
        <w:pStyle w:val="33"/>
      </w:pPr>
      <w:r w:rsidRPr="00236417">
        <w:rPr>
          <w:rtl/>
        </w:rPr>
        <w:t xml:space="preserve">4. </w:t>
      </w:r>
      <w:r w:rsidR="00C46D7F" w:rsidRPr="00236417">
        <w:t xml:space="preserve"> </w:t>
      </w:r>
      <w:r w:rsidR="00C46D7F" w:rsidRPr="00236417">
        <w:rPr>
          <w:rtl/>
        </w:rPr>
        <w:t>مفهوم التجارة الإلكترونية</w:t>
      </w:r>
    </w:p>
    <w:p w14:paraId="25706290"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تمثل التجارة الإلكترونية أحد أهم المظاهر التطبيقية للتحول الرقمي في عالم الأعمال، إذ تشير إلى جميع عمليات البيع والشراء وتبادل المعلومات والخدمات عبر الوسائط الرقمية، وعلى رأسها الإنترنت. وقد تطورت التجارة الإلكترونية من مجرد قنوات بيع بديلة إلى منظومات متكاملة تشمل العرض والتسويق والدفع والتوصيل وخدمة ما بعد البيع</w:t>
      </w:r>
      <w:r w:rsidRPr="00236417">
        <w:rPr>
          <w:rFonts w:ascii="Simplified Arabic" w:hAnsi="Simplified Arabic" w:cs="Simplified Arabic"/>
          <w:sz w:val="28"/>
          <w:szCs w:val="28"/>
        </w:rPr>
        <w:t>.</w:t>
      </w:r>
    </w:p>
    <w:p w14:paraId="6381ECE0"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ولا تنبع أهمية التجارة الإلكترونية من كونها وسيلة تقنية فحسب، بل من كونها نموذجًا اقتصاديًا وإداريًا مختلفًا يسمح للشركات بالوصول إلى العملاء في نطاق جغرافي واسع، وبتكلفة أقل نسبيًا، وبمرونة زمنية عالية. كما تمنح المستهلكين حرية أكبر في المقارنة والاختيار واتخاذ القرار الشرائي، مما يجعلها أكثر قدرة على إعادة تشكيل سلوك السوق</w:t>
      </w:r>
      <w:r w:rsidRPr="00236417">
        <w:rPr>
          <w:rFonts w:ascii="Simplified Arabic" w:hAnsi="Simplified Arabic" w:cs="Simplified Arabic"/>
          <w:sz w:val="28"/>
          <w:szCs w:val="28"/>
        </w:rPr>
        <w:t>.</w:t>
      </w:r>
    </w:p>
    <w:p w14:paraId="0A6940EB" w14:textId="3E7BA3B0" w:rsidR="00C46D7F" w:rsidRPr="00236417" w:rsidRDefault="00633F34" w:rsidP="00F262BD">
      <w:pPr>
        <w:pStyle w:val="33"/>
      </w:pPr>
      <w:r w:rsidRPr="00236417">
        <w:rPr>
          <w:rtl/>
        </w:rPr>
        <w:t xml:space="preserve">5. </w:t>
      </w:r>
      <w:r w:rsidR="00C46D7F" w:rsidRPr="00236417">
        <w:t xml:space="preserve"> </w:t>
      </w:r>
      <w:r w:rsidR="00C46D7F" w:rsidRPr="00236417">
        <w:rPr>
          <w:rtl/>
        </w:rPr>
        <w:t>أنواع التجارة الإلكترونية</w:t>
      </w:r>
    </w:p>
    <w:p w14:paraId="02EC2E4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تأخذ التجارة الإلكترونية أنماطًا متعددة بحسب طبيعة العلاقة بين أطراف العملية التجارية. فهناك التجارة بين الشركات</w:t>
      </w:r>
      <w:r w:rsidRPr="00236417">
        <w:rPr>
          <w:rFonts w:ascii="Simplified Arabic" w:hAnsi="Simplified Arabic" w:cs="Simplified Arabic"/>
          <w:sz w:val="28"/>
          <w:szCs w:val="28"/>
        </w:rPr>
        <w:t xml:space="preserve"> (B2B) </w:t>
      </w:r>
      <w:r w:rsidRPr="00236417">
        <w:rPr>
          <w:rFonts w:ascii="Simplified Arabic" w:hAnsi="Simplified Arabic" w:cs="Simplified Arabic"/>
          <w:sz w:val="28"/>
          <w:szCs w:val="28"/>
          <w:rtl/>
        </w:rPr>
        <w:t>التي تتم بين المؤسسات، والتجارة بين الشركة والمستهلك</w:t>
      </w:r>
      <w:r w:rsidRPr="00236417">
        <w:rPr>
          <w:rFonts w:ascii="Simplified Arabic" w:hAnsi="Simplified Arabic" w:cs="Simplified Arabic"/>
          <w:sz w:val="28"/>
          <w:szCs w:val="28"/>
        </w:rPr>
        <w:t xml:space="preserve"> (B2C) </w:t>
      </w:r>
      <w:r w:rsidRPr="00236417">
        <w:rPr>
          <w:rFonts w:ascii="Simplified Arabic" w:hAnsi="Simplified Arabic" w:cs="Simplified Arabic"/>
          <w:sz w:val="28"/>
          <w:szCs w:val="28"/>
          <w:rtl/>
        </w:rPr>
        <w:t>التي تعد الأكثر انتشارًا في منصات التجزئة الإلكترونية، والتجارة بين المستهلكين</w:t>
      </w:r>
      <w:r w:rsidRPr="00236417">
        <w:rPr>
          <w:rFonts w:ascii="Simplified Arabic" w:hAnsi="Simplified Arabic" w:cs="Simplified Arabic"/>
          <w:sz w:val="28"/>
          <w:szCs w:val="28"/>
        </w:rPr>
        <w:t xml:space="preserve"> (C2C) </w:t>
      </w:r>
      <w:r w:rsidRPr="00236417">
        <w:rPr>
          <w:rFonts w:ascii="Simplified Arabic" w:hAnsi="Simplified Arabic" w:cs="Simplified Arabic"/>
          <w:sz w:val="28"/>
          <w:szCs w:val="28"/>
          <w:rtl/>
        </w:rPr>
        <w:t>التي تقوم على التبادل بين الأفراد عبر المنصات الرقمية. كما توجد أنماط أخرى مثل التجارة بين المستهلك والحكومة أو بين الشركة والحكومة، إلا أن النمط الأكثر ارتباطًا بهذه الدراسة هو نمط</w:t>
      </w:r>
      <w:r w:rsidRPr="00236417">
        <w:rPr>
          <w:rFonts w:ascii="Simplified Arabic" w:hAnsi="Simplified Arabic" w:cs="Simplified Arabic"/>
          <w:sz w:val="28"/>
          <w:szCs w:val="28"/>
        </w:rPr>
        <w:t xml:space="preserve"> B2C</w:t>
      </w:r>
      <w:r w:rsidRPr="00236417">
        <w:rPr>
          <w:rFonts w:ascii="Simplified Arabic" w:hAnsi="Simplified Arabic" w:cs="Simplified Arabic"/>
          <w:sz w:val="28"/>
          <w:szCs w:val="28"/>
          <w:rtl/>
        </w:rPr>
        <w:t>، لكون شركة أمازون تمثل نموذجًا عالميًا بارزًا في هذا النوع من التجارة</w:t>
      </w:r>
      <w:r w:rsidRPr="00236417">
        <w:rPr>
          <w:rFonts w:ascii="Simplified Arabic" w:hAnsi="Simplified Arabic" w:cs="Simplified Arabic"/>
          <w:sz w:val="28"/>
          <w:szCs w:val="28"/>
        </w:rPr>
        <w:t>.</w:t>
      </w:r>
    </w:p>
    <w:p w14:paraId="39B8D28E" w14:textId="2EAD3493" w:rsidR="00C46D7F" w:rsidRPr="00236417" w:rsidRDefault="00633F34" w:rsidP="00F262BD">
      <w:pPr>
        <w:pStyle w:val="33"/>
      </w:pPr>
      <w:r w:rsidRPr="00236417">
        <w:rPr>
          <w:rtl/>
        </w:rPr>
        <w:t xml:space="preserve">6. </w:t>
      </w:r>
      <w:r w:rsidR="00C46D7F" w:rsidRPr="00236417">
        <w:rPr>
          <w:rtl/>
        </w:rPr>
        <w:t>الأهمية الاستراتيجية للتجارة الإلكترونية</w:t>
      </w:r>
    </w:p>
    <w:p w14:paraId="02726D3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تكتسب التجارة الإلكترونية أهميتها من قدرتها على دعم النمو، وزيادة حجم المبيعات، وتوسيع قاعدة العملاء، وتحسين جودة الخدمة، وتقليل التكاليف المرتبطة بالتشغيل التقليدي. فمن خلال المنصات الرقمية، تستطيع الشركات عرض عدد هائل من المنتجات، وتحليل سلوك العملاء، وتطوير عروض مخصصة، وقياس الأداء بصورة لحظية تقريبًا</w:t>
      </w:r>
      <w:r w:rsidRPr="00236417">
        <w:rPr>
          <w:rFonts w:ascii="Simplified Arabic" w:hAnsi="Simplified Arabic" w:cs="Simplified Arabic"/>
          <w:sz w:val="28"/>
          <w:szCs w:val="28"/>
        </w:rPr>
        <w:t>.</w:t>
      </w:r>
    </w:p>
    <w:p w14:paraId="7AD51A2A"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كما أن التجارة الإلكترونية تساعد الشركات على تحسين سرعة الاستجابة للطلب، وتقصير المسافة بين الشركة والعميل، وإعادة تصميم العلاقة التسويقية على أساس التفاعل المستمر لا المعاملة المنفصلة فقط. وفي هذا السياق، أصبحت التجارة الإلكترونية مصدرًا رئيسيًا للإيرادات في عدد كبير من الشركات العالمية، وأحد محركات التحول في سلاسل القيمة الحديثة</w:t>
      </w:r>
      <w:r w:rsidRPr="00236417">
        <w:rPr>
          <w:rFonts w:ascii="Simplified Arabic" w:hAnsi="Simplified Arabic" w:cs="Simplified Arabic"/>
          <w:sz w:val="28"/>
          <w:szCs w:val="28"/>
        </w:rPr>
        <w:t>.</w:t>
      </w:r>
    </w:p>
    <w:p w14:paraId="5C59C421" w14:textId="69A73599" w:rsidR="00C46D7F" w:rsidRPr="00826577" w:rsidRDefault="00826577" w:rsidP="00826577">
      <w:pPr>
        <w:pStyle w:val="33"/>
      </w:pPr>
      <w:r>
        <w:rPr>
          <w:rFonts w:hint="cs"/>
          <w:rtl/>
        </w:rPr>
        <w:t xml:space="preserve">7- </w:t>
      </w:r>
      <w:r w:rsidR="00C46D7F" w:rsidRPr="00826577">
        <w:rPr>
          <w:rtl/>
        </w:rPr>
        <w:t>مفهوم الأداء المالي</w:t>
      </w:r>
    </w:p>
    <w:p w14:paraId="7AC6151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الأداء المالي هو المحصلة التي تعكس قدرة المؤسسة على استخدام مواردها بكفاءة لتحقيق أهدافها المالية والتشغيلية. ويظهر الأداء المالي في مجموعة من المؤشرات التي توضح قوة الشركة أو ضعفها، وقدرتها على توليد الإيرادات، وتحقيق الأرباح، وضبط التكاليف، وتعظيم العائد من الأنشطة المختلفة</w:t>
      </w:r>
      <w:r w:rsidRPr="00236417">
        <w:rPr>
          <w:rFonts w:ascii="Simplified Arabic" w:hAnsi="Simplified Arabic" w:cs="Simplified Arabic"/>
          <w:sz w:val="28"/>
          <w:szCs w:val="28"/>
        </w:rPr>
        <w:t>.</w:t>
      </w:r>
    </w:p>
    <w:p w14:paraId="1C2494F6"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ولا يقتصر مفهوم الأداء المالي على الربح الصافي فقط، بل يتسع ليشمل المبيعات، وهوامش الربح، والمصروفات التشغيلية، والعائد على الأصول، والعائد على الاستثمار، والسيولة، وغيرها من المؤشرات التي تساعد في الحكم على متانة المركز المالي للشركة. وفي الدراسة الحالية، يتركز الاهتمام على ثلاثة مؤشرات محورية هي: المبيعات، والربحية، والمصروفات التشغيلية، لكونها الأكثر ارتباطًا بطبيعة التحول الرقمي والتجارة الإلكترونية في حالة أمازون</w:t>
      </w:r>
      <w:r w:rsidRPr="00236417">
        <w:rPr>
          <w:rFonts w:ascii="Simplified Arabic" w:hAnsi="Simplified Arabic" w:cs="Simplified Arabic"/>
          <w:sz w:val="28"/>
          <w:szCs w:val="28"/>
        </w:rPr>
        <w:t>.</w:t>
      </w:r>
    </w:p>
    <w:p w14:paraId="4273676D" w14:textId="76DCD78F" w:rsidR="00C46D7F" w:rsidRPr="00236417" w:rsidRDefault="00CA130E" w:rsidP="00826577">
      <w:pPr>
        <w:pStyle w:val="33"/>
      </w:pPr>
      <w:r>
        <w:rPr>
          <w:rFonts w:hint="cs"/>
          <w:rtl/>
        </w:rPr>
        <w:t xml:space="preserve">8- </w:t>
      </w:r>
      <w:r w:rsidR="00C46D7F" w:rsidRPr="00236417">
        <w:rPr>
          <w:rtl/>
        </w:rPr>
        <w:t>مؤشرات الأداء المالي في الدراسة الحالية</w:t>
      </w:r>
    </w:p>
    <w:p w14:paraId="60539411"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تعتمد الدراسة الحالية على ثلاثة مؤشرات رئيسة في تقييم الأداء المالي. أولها حجم المبيعات، وهو مؤشر يعكس قدرة الشركة على الوصول إلى السوق وتحويل الطلب إلى إيراد فعلي. وثانيها الربحية، </w:t>
      </w:r>
      <w:r w:rsidRPr="00236417">
        <w:rPr>
          <w:rFonts w:ascii="Simplified Arabic" w:hAnsi="Simplified Arabic" w:cs="Simplified Arabic"/>
          <w:sz w:val="28"/>
          <w:szCs w:val="28"/>
          <w:rtl/>
        </w:rPr>
        <w:lastRenderedPageBreak/>
        <w:t>التي تبين مدى نجاح الشركة في تحويل الإيرادات إلى نتائج مالية موجبة بعد خصم التكاليف. أما المؤشر الثالث فهو المصروفات التشغيلية، وهو مؤشر بالغ الأهمية لأنه يظهر مدى كفاءة الشركة في إدارة عملياتها، ومدى قدرتها على تقليل الهدر وتحسين الإنتاجية</w:t>
      </w:r>
      <w:r w:rsidRPr="00236417">
        <w:rPr>
          <w:rFonts w:ascii="Simplified Arabic" w:hAnsi="Simplified Arabic" w:cs="Simplified Arabic"/>
          <w:sz w:val="28"/>
          <w:szCs w:val="28"/>
        </w:rPr>
        <w:t>.</w:t>
      </w:r>
    </w:p>
    <w:p w14:paraId="0164375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ويُعد اختيار هذه المؤشرات مناسبًا جدًا لحالة أمازون، لأن نموذج أعمال الشركة يقوم على حجم بيع ضخم، وبنية تشغيلية معقدة، واستثمارات رقمية هائلة، ما يجعل العلاقة بين الإيرادات والربحية والتكاليف أكثر وضوحًا وأهمية في التحليل</w:t>
      </w:r>
      <w:r w:rsidRPr="00236417">
        <w:rPr>
          <w:rFonts w:ascii="Simplified Arabic" w:hAnsi="Simplified Arabic" w:cs="Simplified Arabic"/>
          <w:sz w:val="28"/>
          <w:szCs w:val="28"/>
        </w:rPr>
        <w:t>.</w:t>
      </w:r>
    </w:p>
    <w:p w14:paraId="7CAC561A" w14:textId="4203F53B" w:rsidR="00C46D7F" w:rsidRPr="00236417" w:rsidRDefault="00C46D7F" w:rsidP="00CA130E">
      <w:pPr>
        <w:pStyle w:val="33"/>
        <w:numPr>
          <w:ilvl w:val="0"/>
          <w:numId w:val="19"/>
        </w:numPr>
      </w:pPr>
      <w:r w:rsidRPr="00236417">
        <w:rPr>
          <w:rtl/>
        </w:rPr>
        <w:t>العلاقة بين التحول الرقمي والأداء المالي</w:t>
      </w:r>
    </w:p>
    <w:p w14:paraId="7A701E8D"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تشير الأدبيات الحديثة إلى أن التحول الرقمي لا يؤثر في الأداء المالي عبر قناة واحدة، بل عبر عدة قنوات مترابطة. فهو أولًا يرفع الكفاءة التشغيلية من خلال الأتمتة وتحسين تدفق المعلومات. وثانيًا، يساعد في تحسين دقة القرارات الإدارية والمالية عبر البيانات والتحليلات. وثالثًا، يرفع جودة الخدمة وتجربة العميل، ما ينعكس على المبيعات والاحتفاظ بالعملاء. ورابعًا، يخلق فرصًا جديدة للإيرادات من خلال نماذج أعمال مبتكرة وخدمات رقمية إضافية</w:t>
      </w:r>
      <w:r w:rsidRPr="00236417">
        <w:rPr>
          <w:rFonts w:ascii="Simplified Arabic" w:hAnsi="Simplified Arabic" w:cs="Simplified Arabic"/>
          <w:sz w:val="28"/>
          <w:szCs w:val="28"/>
        </w:rPr>
        <w:t>.</w:t>
      </w:r>
    </w:p>
    <w:p w14:paraId="3A50FD6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وبالتالي فإن التحول الرقمي قد يؤدي إلى زيادة الإيرادات وتحسين الربحية وخفض التكاليف في آن واحد، غير أن حجم هذا التأثير يتوقف على جودة التطبيق، ومستوى نضج البنية التقنية، وقدرة الإدارة على دمج التكنولوجيا ضمن الاستراتيجية المؤسسية العامة</w:t>
      </w:r>
      <w:r w:rsidRPr="00236417">
        <w:rPr>
          <w:rFonts w:ascii="Simplified Arabic" w:hAnsi="Simplified Arabic" w:cs="Simplified Arabic"/>
          <w:sz w:val="28"/>
          <w:szCs w:val="28"/>
        </w:rPr>
        <w:t>.</w:t>
      </w:r>
    </w:p>
    <w:p w14:paraId="501583AC" w14:textId="78194422" w:rsidR="00C46D7F" w:rsidRPr="00CA130E" w:rsidRDefault="00C46D7F" w:rsidP="00CA130E">
      <w:pPr>
        <w:pStyle w:val="33"/>
      </w:pPr>
      <w:r w:rsidRPr="00CA130E">
        <w:rPr>
          <w:rtl/>
        </w:rPr>
        <w:lastRenderedPageBreak/>
        <w:t>العلاقة بين التجارة الإلكترونية والأداء المالي</w:t>
      </w:r>
    </w:p>
    <w:p w14:paraId="64694CFA"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تؤثر التجارة الإلكترونية في الأداء المالي للشركات من خلال توسيع الوصول إلى الأسواق، وتحسين سرعة دوران الطلبات، وتقليل التكاليف المرتبطة بالبيع التقليدي، ورفع كفاءة التسويق الموجه، وتطوير أدوات استهداف العملاء. كما تساعد التجارة الإلكترونية على تحسين مرونة العرض والاستجابة للتغيرات في الطلب، وهو ما ينعكس على المبيعات والإيرادات</w:t>
      </w:r>
      <w:r w:rsidRPr="00236417">
        <w:rPr>
          <w:rFonts w:ascii="Simplified Arabic" w:hAnsi="Simplified Arabic" w:cs="Simplified Arabic"/>
          <w:sz w:val="28"/>
          <w:szCs w:val="28"/>
        </w:rPr>
        <w:t>.</w:t>
      </w:r>
    </w:p>
    <w:p w14:paraId="36BAF77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ومن جانب آخر، فإن التجارة الإلكترونية قد ترفع بعض التكاليف في المراحل الأولى، مثل تكاليف التكنولوجيا واللوجستيات وخدمة العملاء والأمن السيبراني، غير أن هذه التكاليف تتحول في الأجل المتوسط إلى استثمار مولد للقيمة إذا أُديرت بكفاءة. وهذا ما يفسر نجاح بعض الشركات الكبرى في تحويل المنصات الرقمية إلى محركات رئيسة للنمو المالي</w:t>
      </w:r>
      <w:r w:rsidRPr="00236417">
        <w:rPr>
          <w:rFonts w:ascii="Simplified Arabic" w:hAnsi="Simplified Arabic" w:cs="Simplified Arabic"/>
          <w:sz w:val="28"/>
          <w:szCs w:val="28"/>
        </w:rPr>
        <w:t>.</w:t>
      </w:r>
    </w:p>
    <w:p w14:paraId="3DB3CE72" w14:textId="0BCF172A" w:rsidR="00C46D7F" w:rsidRPr="00CA130E" w:rsidRDefault="00C46D7F" w:rsidP="00CA130E">
      <w:pPr>
        <w:pStyle w:val="33"/>
      </w:pPr>
      <w:r w:rsidRPr="00CA130E">
        <w:rPr>
          <w:rtl/>
        </w:rPr>
        <w:t>التحول الرقمي والتجارة الإلكترونية في شركة أمازون</w:t>
      </w:r>
    </w:p>
    <w:p w14:paraId="3603B2D2"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تعد أمازون نموذجًا تطبيقيًا متميزًا للجمع بين التحول الرقمي والتجارة الإلكترونية في إطار واحد. فقد بنت الشركة ميزتها التنافسية على منصة رقمية واسعة، وربطت بين بيانات العملاء، وأنظمة التسعير، وخوارزميات التوصية، وسلسلة الإمداد، والمستودعات الذكية، والخدمات السحابية، في منظومة متكاملة تعزز القيمة الاقتصادية</w:t>
      </w:r>
      <w:r w:rsidRPr="00236417">
        <w:rPr>
          <w:rFonts w:ascii="Simplified Arabic" w:hAnsi="Simplified Arabic" w:cs="Simplified Arabic"/>
          <w:sz w:val="28"/>
          <w:szCs w:val="28"/>
        </w:rPr>
        <w:t>.</w:t>
      </w:r>
    </w:p>
    <w:p w14:paraId="46F00019"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ويظهر أثر التحول الرقمي في أمازون في قدرتها على تحسين تجربة العميل، وتخصيص العروض، وتسريع عمليات التنفيذ والتوصيل، وتقليل الفاقد التشغيلي. كما يظهر أثر التجارة الإلكترونية في اتساع قاعدة العملاء، واستمرار التدفق البيعي، والاعتماد القوي على المنصة الإلكترونية بوصفها </w:t>
      </w:r>
      <w:r w:rsidRPr="00236417">
        <w:rPr>
          <w:rFonts w:ascii="Simplified Arabic" w:hAnsi="Simplified Arabic" w:cs="Simplified Arabic"/>
          <w:sz w:val="28"/>
          <w:szCs w:val="28"/>
          <w:rtl/>
        </w:rPr>
        <w:lastRenderedPageBreak/>
        <w:t xml:space="preserve">القناة الأساسية للأعمال. ولذلك تمثل أمازون حالة مناسبة جدًا لدراسة العلاقة بين </w:t>
      </w:r>
      <w:proofErr w:type="spellStart"/>
      <w:r w:rsidRPr="00236417">
        <w:rPr>
          <w:rFonts w:ascii="Simplified Arabic" w:hAnsi="Simplified Arabic" w:cs="Simplified Arabic"/>
          <w:sz w:val="28"/>
          <w:szCs w:val="28"/>
          <w:rtl/>
        </w:rPr>
        <w:t>الرقمنة</w:t>
      </w:r>
      <w:proofErr w:type="spellEnd"/>
      <w:r w:rsidRPr="00236417">
        <w:rPr>
          <w:rFonts w:ascii="Simplified Arabic" w:hAnsi="Simplified Arabic" w:cs="Simplified Arabic"/>
          <w:sz w:val="28"/>
          <w:szCs w:val="28"/>
          <w:rtl/>
        </w:rPr>
        <w:t xml:space="preserve"> والأداء المالي في شركة عالمية</w:t>
      </w:r>
      <w:r w:rsidRPr="00236417">
        <w:rPr>
          <w:rFonts w:ascii="Simplified Arabic" w:hAnsi="Simplified Arabic" w:cs="Simplified Arabic"/>
          <w:sz w:val="28"/>
          <w:szCs w:val="28"/>
        </w:rPr>
        <w:t>.</w:t>
      </w:r>
    </w:p>
    <w:p w14:paraId="0040A8CF" w14:textId="4CD8045C" w:rsidR="00C46D7F" w:rsidRPr="00236417" w:rsidRDefault="00C46D7F" w:rsidP="00CA130E">
      <w:pPr>
        <w:pStyle w:val="33"/>
      </w:pPr>
      <w:r w:rsidRPr="00236417">
        <w:rPr>
          <w:rtl/>
        </w:rPr>
        <w:t>النظريات المفسرة للدراسة</w:t>
      </w:r>
    </w:p>
    <w:p w14:paraId="4B98CBFD"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يمكن دعم الدراسة الحالية بعدة أطر نظرية. أولها نموذج قبول التكنولوجيا</w:t>
      </w:r>
      <w:r w:rsidRPr="00236417">
        <w:rPr>
          <w:rFonts w:ascii="Simplified Arabic" w:hAnsi="Simplified Arabic" w:cs="Simplified Arabic"/>
          <w:sz w:val="28"/>
          <w:szCs w:val="28"/>
        </w:rPr>
        <w:t xml:space="preserve"> (TAM) </w:t>
      </w:r>
      <w:r w:rsidRPr="00236417">
        <w:rPr>
          <w:rFonts w:ascii="Simplified Arabic" w:hAnsi="Simplified Arabic" w:cs="Simplified Arabic"/>
          <w:sz w:val="28"/>
          <w:szCs w:val="28"/>
          <w:rtl/>
        </w:rPr>
        <w:t>الذي يفسر تبني التكنولوجيا بناءً على مدى سهولة استخدامها والفائدة المتوقعة منها، وهو مهم في فهم قبول العملاء والموظفين للأنظمة الرقمية. وثانيها نظرية الموارد</w:t>
      </w:r>
      <w:r w:rsidRPr="00236417">
        <w:rPr>
          <w:rFonts w:ascii="Simplified Arabic" w:hAnsi="Simplified Arabic" w:cs="Simplified Arabic"/>
          <w:sz w:val="28"/>
          <w:szCs w:val="28"/>
        </w:rPr>
        <w:t xml:space="preserve"> (RBV) </w:t>
      </w:r>
      <w:r w:rsidRPr="00236417">
        <w:rPr>
          <w:rFonts w:ascii="Simplified Arabic" w:hAnsi="Simplified Arabic" w:cs="Simplified Arabic"/>
          <w:sz w:val="28"/>
          <w:szCs w:val="28"/>
          <w:rtl/>
        </w:rPr>
        <w:t>التي ترى أن الشركات تحقق ميزة تنافسية عندما تمتلك موارد نادرة وقيّمة ويصعب تقليدها، مثل البنية الرقمية المتقدمة والبيانات والخوارزميات والخدمات السحابية</w:t>
      </w:r>
      <w:r w:rsidRPr="00236417">
        <w:rPr>
          <w:rFonts w:ascii="Simplified Arabic" w:hAnsi="Simplified Arabic" w:cs="Simplified Arabic"/>
          <w:sz w:val="28"/>
          <w:szCs w:val="28"/>
        </w:rPr>
        <w:t>.</w:t>
      </w:r>
    </w:p>
    <w:p w14:paraId="3FD68AFE"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كما تفيد نظرية القدرات الديناميكية في تفسير قدرة الشركات على إعادة تشكيل مواردها واستراتيجياتها في بيئة متغيرة، وهو ما ينطبق على شركات التقنية والتجارة الإلكترونية. ويمكن كذلك الاستفادة من منطق تكلفة المعاملات، الذي يبين كيف تسهم الأنظمة الرقمية في خفض التكاليف المرتبطة بالبحث والتفاوض والتنفيذ والمراقبة، الأمر الذي ينعكس ماليًا على الشركة</w:t>
      </w:r>
      <w:r w:rsidRPr="00236417">
        <w:rPr>
          <w:rFonts w:ascii="Simplified Arabic" w:hAnsi="Simplified Arabic" w:cs="Simplified Arabic"/>
          <w:sz w:val="28"/>
          <w:szCs w:val="28"/>
        </w:rPr>
        <w:t>.</w:t>
      </w:r>
    </w:p>
    <w:p w14:paraId="249F1196" w14:textId="0AFE4627" w:rsidR="00C46D7F" w:rsidRPr="00236417" w:rsidRDefault="00C46D7F" w:rsidP="00CA130E">
      <w:pPr>
        <w:pStyle w:val="33"/>
      </w:pPr>
      <w:r w:rsidRPr="00236417">
        <w:rPr>
          <w:rtl/>
        </w:rPr>
        <w:t>الإطار المفاهيمي للدراسة</w:t>
      </w:r>
    </w:p>
    <w:p w14:paraId="05725CC5"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في ضوء ما سبق، تقوم الدراسة الحالية على افتراض أن التحول الرقمي وتطبيقات التجارة الإلكترونية يمثلان متغيرين مستقلين أو متداخلين يؤثران في الأداء المالي لشركة أمازون، والذي يقاس بالمبيعات والربحية والمصروفات التشغيلية. فكلما ارتفع مستوى الاستثمار في الأدوات الرقمية، </w:t>
      </w:r>
      <w:r w:rsidRPr="00236417">
        <w:rPr>
          <w:rFonts w:ascii="Simplified Arabic" w:hAnsi="Simplified Arabic" w:cs="Simplified Arabic"/>
          <w:sz w:val="28"/>
          <w:szCs w:val="28"/>
          <w:rtl/>
        </w:rPr>
        <w:lastRenderedPageBreak/>
        <w:t>وتحسن توظيف المنصة الإلكترونية والخدمات الذكية، زادت فرص تحسن المبيعات والربحية، وارتفعت كفاءة ضبط التكاليف التشغيلية</w:t>
      </w:r>
      <w:r w:rsidRPr="00236417">
        <w:rPr>
          <w:rFonts w:ascii="Simplified Arabic" w:hAnsi="Simplified Arabic" w:cs="Simplified Arabic"/>
          <w:sz w:val="28"/>
          <w:szCs w:val="28"/>
        </w:rPr>
        <w:t>.</w:t>
      </w:r>
    </w:p>
    <w:p w14:paraId="0F5DAAAA" w14:textId="221EFC5D" w:rsidR="00C46D7F" w:rsidRPr="00236417" w:rsidRDefault="00C46D7F" w:rsidP="00CA130E">
      <w:pPr>
        <w:pStyle w:val="33"/>
      </w:pPr>
      <w:r w:rsidRPr="00236417">
        <w:rPr>
          <w:rtl/>
        </w:rPr>
        <w:t>تقوية الإطار النظري</w:t>
      </w:r>
    </w:p>
    <w:p w14:paraId="1768FEF9" w14:textId="77777777" w:rsidR="00C46D7F" w:rsidRPr="00236417" w:rsidRDefault="00C46D7F" w:rsidP="00A420D1">
      <w:pPr>
        <w:spacing w:line="360" w:lineRule="auto"/>
        <w:rPr>
          <w:rFonts w:ascii="Simplified Arabic" w:hAnsi="Simplified Arabic" w:cs="Simplified Arabic"/>
          <w:sz w:val="28"/>
          <w:szCs w:val="28"/>
          <w:rtl/>
        </w:rPr>
      </w:pPr>
      <w:r w:rsidRPr="00236417">
        <w:rPr>
          <w:rFonts w:ascii="Simplified Arabic" w:hAnsi="Simplified Arabic" w:cs="Simplified Arabic"/>
          <w:sz w:val="28"/>
          <w:szCs w:val="28"/>
          <w:rtl/>
        </w:rPr>
        <w:t xml:space="preserve">ولتعزيز الإطار النظري، يمكن التأكيد على أن العلاقة بين التكنولوجيا والأداء المالي ليست علاقة آلية مباشرة دائمًا، بل علاقة مشروطة بجودة التنفيذ، وملاءمة الاستراتيجية، ودرجة نضج السوق، وكفاءة الإدارة، ومستوى التكامل بين الأنظمة. ولذلك فإن تحليل حالة أمازون لا ينبغي أن يُفهم بوصفه مجرد مثال على النجاح الرقمي، بل كنموذج يبين أن التحول الرقمي حين يتكامل مع اللوجستيات، والتحليلات، وخدمة العملاء، والتوسع </w:t>
      </w:r>
      <w:proofErr w:type="spellStart"/>
      <w:r w:rsidRPr="00236417">
        <w:rPr>
          <w:rFonts w:ascii="Simplified Arabic" w:hAnsi="Simplified Arabic" w:cs="Simplified Arabic"/>
          <w:sz w:val="28"/>
          <w:szCs w:val="28"/>
          <w:rtl/>
        </w:rPr>
        <w:t>السحابي</w:t>
      </w:r>
      <w:proofErr w:type="spellEnd"/>
      <w:r w:rsidRPr="00236417">
        <w:rPr>
          <w:rFonts w:ascii="Simplified Arabic" w:hAnsi="Simplified Arabic" w:cs="Simplified Arabic"/>
          <w:sz w:val="28"/>
          <w:szCs w:val="28"/>
          <w:rtl/>
        </w:rPr>
        <w:t>، يمكن أن يتحول إلى محرك مالي فعلي ومستدام</w:t>
      </w:r>
      <w:r w:rsidRPr="00236417">
        <w:rPr>
          <w:rFonts w:ascii="Simplified Arabic" w:hAnsi="Simplified Arabic" w:cs="Simplified Arabic"/>
          <w:sz w:val="28"/>
          <w:szCs w:val="28"/>
        </w:rPr>
        <w:t>.</w:t>
      </w:r>
    </w:p>
    <w:p w14:paraId="5DF6C357" w14:textId="77777777" w:rsidR="00633F34" w:rsidRDefault="00633F34" w:rsidP="00A420D1">
      <w:pPr>
        <w:spacing w:line="360" w:lineRule="auto"/>
        <w:rPr>
          <w:rFonts w:ascii="Simplified Arabic" w:hAnsi="Simplified Arabic" w:cs="Simplified Arabic"/>
          <w:sz w:val="28"/>
          <w:szCs w:val="28"/>
          <w:rtl/>
        </w:rPr>
      </w:pPr>
    </w:p>
    <w:p w14:paraId="2F14AB5E" w14:textId="77777777" w:rsidR="00CA130E" w:rsidRDefault="00CA130E" w:rsidP="00A420D1">
      <w:pPr>
        <w:spacing w:line="360" w:lineRule="auto"/>
        <w:rPr>
          <w:rFonts w:ascii="Simplified Arabic" w:hAnsi="Simplified Arabic" w:cs="Simplified Arabic"/>
          <w:sz w:val="28"/>
          <w:szCs w:val="28"/>
          <w:rtl/>
        </w:rPr>
      </w:pPr>
    </w:p>
    <w:p w14:paraId="3E683A31" w14:textId="77777777" w:rsidR="00CA130E" w:rsidRDefault="00CA130E" w:rsidP="00A420D1">
      <w:pPr>
        <w:spacing w:line="360" w:lineRule="auto"/>
        <w:rPr>
          <w:rFonts w:ascii="Simplified Arabic" w:hAnsi="Simplified Arabic" w:cs="Simplified Arabic"/>
          <w:sz w:val="28"/>
          <w:szCs w:val="28"/>
          <w:rtl/>
        </w:rPr>
      </w:pPr>
    </w:p>
    <w:p w14:paraId="27CACEE0" w14:textId="77777777" w:rsidR="00CA130E" w:rsidRDefault="00CA130E" w:rsidP="00A420D1">
      <w:pPr>
        <w:spacing w:line="360" w:lineRule="auto"/>
        <w:rPr>
          <w:rFonts w:ascii="Simplified Arabic" w:hAnsi="Simplified Arabic" w:cs="Simplified Arabic"/>
          <w:sz w:val="28"/>
          <w:szCs w:val="28"/>
          <w:rtl/>
        </w:rPr>
      </w:pPr>
    </w:p>
    <w:p w14:paraId="0606909C" w14:textId="77777777" w:rsidR="00CA130E" w:rsidRPr="00236417" w:rsidRDefault="00CA130E" w:rsidP="00A420D1">
      <w:pPr>
        <w:spacing w:line="360" w:lineRule="auto"/>
        <w:rPr>
          <w:rFonts w:ascii="Simplified Arabic" w:hAnsi="Simplified Arabic" w:cs="Simplified Arabic"/>
          <w:sz w:val="28"/>
          <w:szCs w:val="28"/>
          <w:rtl/>
        </w:rPr>
      </w:pPr>
    </w:p>
    <w:p w14:paraId="3DDC0E5A" w14:textId="77777777" w:rsidR="00633F34" w:rsidRPr="00236417" w:rsidRDefault="00633F34" w:rsidP="00A420D1">
      <w:pPr>
        <w:spacing w:line="360" w:lineRule="auto"/>
        <w:rPr>
          <w:rFonts w:ascii="Simplified Arabic" w:hAnsi="Simplified Arabic" w:cs="Simplified Arabic"/>
          <w:sz w:val="28"/>
          <w:szCs w:val="28"/>
          <w:rtl/>
        </w:rPr>
      </w:pPr>
    </w:p>
    <w:p w14:paraId="56FDF0A8" w14:textId="77777777" w:rsidR="00633F34" w:rsidRPr="00236417" w:rsidRDefault="00633F34" w:rsidP="00A420D1">
      <w:pPr>
        <w:spacing w:line="360" w:lineRule="auto"/>
        <w:rPr>
          <w:rFonts w:ascii="Simplified Arabic" w:hAnsi="Simplified Arabic" w:cs="Simplified Arabic"/>
          <w:sz w:val="28"/>
          <w:szCs w:val="28"/>
        </w:rPr>
      </w:pPr>
    </w:p>
    <w:p w14:paraId="320A4750" w14:textId="77777777" w:rsidR="00C46D7F" w:rsidRPr="00236417" w:rsidRDefault="00C46D7F" w:rsidP="00CA130E">
      <w:pPr>
        <w:pStyle w:val="21"/>
      </w:pPr>
      <w:r w:rsidRPr="00236417">
        <w:rPr>
          <w:rtl/>
        </w:rPr>
        <w:lastRenderedPageBreak/>
        <w:t>ثانيًا: الدراسات السابقة</w:t>
      </w:r>
    </w:p>
    <w:p w14:paraId="4F5E8C06" w14:textId="77777777" w:rsidR="00C46D7F" w:rsidRPr="00236417" w:rsidRDefault="00C46D7F" w:rsidP="00A420D1">
      <w:pPr>
        <w:spacing w:line="360" w:lineRule="auto"/>
        <w:rPr>
          <w:rFonts w:ascii="Simplified Arabic" w:hAnsi="Simplified Arabic" w:cs="Simplified Arabic"/>
          <w:b/>
          <w:bCs/>
          <w:sz w:val="32"/>
          <w:szCs w:val="32"/>
        </w:rPr>
      </w:pPr>
      <w:r w:rsidRPr="00236417">
        <w:rPr>
          <w:rFonts w:ascii="Simplified Arabic" w:hAnsi="Simplified Arabic" w:cs="Simplified Arabic"/>
          <w:b/>
          <w:bCs/>
          <w:sz w:val="32"/>
          <w:szCs w:val="32"/>
          <w:rtl/>
        </w:rPr>
        <w:t>مقدمة الدراسات السابقة</w:t>
      </w:r>
    </w:p>
    <w:p w14:paraId="792E925A"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تناولت الدراسات السابقة موضوع التحول الرقمي والتجارة الإلكترونية من زوايا متعددة، فبعضها ركز على تأثير التجارة الإلكترونية في الربحية والمبيعات، وبعضها تناول أثر التحول الرقمي في خفض التكاليف وتحسين الكفاءة التشغيلية، بينما اهتمت دراسات أخرى بتحليل أدوار الأتمتة والذكاء الاصطناعي والحوسبة السحابية في دعم الأداء المالي. ولأغراض التنظيم والتحليل، سيتم عرض الدراسات السابقة ضمن </w:t>
      </w:r>
      <w:proofErr w:type="gramStart"/>
      <w:r w:rsidRPr="00236417">
        <w:rPr>
          <w:rFonts w:ascii="Simplified Arabic" w:hAnsi="Simplified Arabic" w:cs="Simplified Arabic"/>
          <w:sz w:val="28"/>
          <w:szCs w:val="28"/>
          <w:rtl/>
        </w:rPr>
        <w:t>ثلاثة</w:t>
      </w:r>
      <w:proofErr w:type="gramEnd"/>
      <w:r w:rsidRPr="00236417">
        <w:rPr>
          <w:rFonts w:ascii="Simplified Arabic" w:hAnsi="Simplified Arabic" w:cs="Simplified Arabic"/>
          <w:sz w:val="28"/>
          <w:szCs w:val="28"/>
          <w:rtl/>
        </w:rPr>
        <w:t xml:space="preserve"> مسارات: الدراسات العربية والإقليمية، والدراسات الأجنبية والعالمية، والتقارير المؤسسية المرجعية</w:t>
      </w:r>
      <w:r w:rsidRPr="00236417">
        <w:rPr>
          <w:rFonts w:ascii="Simplified Arabic" w:hAnsi="Simplified Arabic" w:cs="Simplified Arabic"/>
          <w:sz w:val="28"/>
          <w:szCs w:val="28"/>
        </w:rPr>
        <w:t>.</w:t>
      </w:r>
    </w:p>
    <w:p w14:paraId="0AB16E2D" w14:textId="77777777" w:rsidR="00C46D7F" w:rsidRPr="00236417" w:rsidRDefault="00C46D7F" w:rsidP="00CA130E">
      <w:pPr>
        <w:pStyle w:val="33"/>
      </w:pPr>
      <w:r w:rsidRPr="00236417">
        <w:rPr>
          <w:rtl/>
        </w:rPr>
        <w:t>أ. الدراسات العربية والإقليمية</w:t>
      </w:r>
    </w:p>
    <w:p w14:paraId="53DC61FA" w14:textId="33AE935F"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عمران وآخرون</w:t>
      </w:r>
      <w:r w:rsidRPr="00236417">
        <w:rPr>
          <w:rFonts w:ascii="Simplified Arabic" w:hAnsi="Simplified Arabic" w:cs="Simplified Arabic"/>
          <w:b/>
          <w:bCs/>
          <w:sz w:val="28"/>
          <w:szCs w:val="28"/>
        </w:rPr>
        <w:t xml:space="preserve"> (2021)</w:t>
      </w:r>
    </w:p>
    <w:p w14:paraId="48A7A569"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هدفت هذه الدراسة إلى تحليل أثر استخدام التجارة الإلكترونية في تحسين العائد على الاستثمار في الشركات. واعتمدت على المنهج الوصفي التحليلي من خلال </w:t>
      </w:r>
      <w:proofErr w:type="gramStart"/>
      <w:r w:rsidRPr="00236417">
        <w:rPr>
          <w:rFonts w:ascii="Simplified Arabic" w:hAnsi="Simplified Arabic" w:cs="Simplified Arabic"/>
          <w:sz w:val="28"/>
          <w:szCs w:val="28"/>
          <w:rtl/>
        </w:rPr>
        <w:t>استبيان</w:t>
      </w:r>
      <w:proofErr w:type="gramEnd"/>
      <w:r w:rsidRPr="00236417">
        <w:rPr>
          <w:rFonts w:ascii="Simplified Arabic" w:hAnsi="Simplified Arabic" w:cs="Simplified Arabic"/>
          <w:sz w:val="28"/>
          <w:szCs w:val="28"/>
          <w:rtl/>
        </w:rPr>
        <w:t xml:space="preserve"> وُجِّه إلى عينة مكوّنة من 67 شركة مساهمة عامة في سوق عمّان المالي. وأظهرت النتائج وجود علاقة طردية ذات دلالة إحصائية بين مستوى استخدام التجارة الإلكترونية والعائد على الاستثمار، كما بينت أن التطبيقات الإلكترونية أسهمت في رفع الكفاءة التشغيلية وتقليل الوقت المستغرق في المعاملات، بالإضافة إلى تحسن مستوى رضا العملاء وانعكاس ذلك على الإيرادات</w:t>
      </w:r>
      <w:r w:rsidRPr="00236417">
        <w:rPr>
          <w:rFonts w:ascii="Simplified Arabic" w:hAnsi="Simplified Arabic" w:cs="Simplified Arabic"/>
          <w:sz w:val="28"/>
          <w:szCs w:val="28"/>
        </w:rPr>
        <w:t>.</w:t>
      </w:r>
    </w:p>
    <w:p w14:paraId="62819511"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وتكمن قوة هذه الدراسة في أنها جمعت بين البعد التقني والبعد المالي، وربطت بين استخدام التجارة الإلكترونية ومؤشر مالي مباشر هو العائد على الاستثمار. أما صلتها بالدراسة الحالية فتظهر في دعمها لفرضية أن التجارة الإلكترونية تساهم في تعزيز ربحية الشركات، وهو ما يتناسب مع موضوع أمازون</w:t>
      </w:r>
      <w:r w:rsidRPr="00236417">
        <w:rPr>
          <w:rFonts w:ascii="Simplified Arabic" w:hAnsi="Simplified Arabic" w:cs="Simplified Arabic"/>
          <w:sz w:val="28"/>
          <w:szCs w:val="28"/>
        </w:rPr>
        <w:t>.</w:t>
      </w:r>
    </w:p>
    <w:p w14:paraId="2040AAE8" w14:textId="110918D8"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 xml:space="preserve">دراسة </w:t>
      </w:r>
      <w:proofErr w:type="spellStart"/>
      <w:r w:rsidRPr="00236417">
        <w:rPr>
          <w:rFonts w:ascii="Simplified Arabic" w:hAnsi="Simplified Arabic" w:cs="Simplified Arabic"/>
          <w:b/>
          <w:bCs/>
          <w:sz w:val="28"/>
          <w:szCs w:val="28"/>
          <w:rtl/>
        </w:rPr>
        <w:t>دلابيح</w:t>
      </w:r>
      <w:proofErr w:type="spellEnd"/>
      <w:r w:rsidRPr="00236417">
        <w:rPr>
          <w:rFonts w:ascii="Simplified Arabic" w:hAnsi="Simplified Arabic" w:cs="Simplified Arabic"/>
          <w:b/>
          <w:bCs/>
          <w:sz w:val="28"/>
          <w:szCs w:val="28"/>
        </w:rPr>
        <w:t xml:space="preserve"> (2019)</w:t>
      </w:r>
    </w:p>
    <w:p w14:paraId="6BE9582D"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هدفت هذه الدراسة إلى بيان أثر تطوير أنظمة المعلومات المحاسبية على تحسين التجارة الإلكترونية في الشركات الصناعية الأردنية. واستخدمت المنهج الوصفي، مع تحليل العلاقات بين المتغيرات باستخدام برنامج</w:t>
      </w:r>
      <w:r w:rsidRPr="00236417">
        <w:rPr>
          <w:rFonts w:ascii="Simplified Arabic" w:hAnsi="Simplified Arabic" w:cs="Simplified Arabic"/>
          <w:sz w:val="28"/>
          <w:szCs w:val="28"/>
        </w:rPr>
        <w:t xml:space="preserve"> SPSS</w:t>
      </w:r>
      <w:r w:rsidRPr="00236417">
        <w:rPr>
          <w:rFonts w:ascii="Simplified Arabic" w:hAnsi="Simplified Arabic" w:cs="Simplified Arabic"/>
          <w:sz w:val="28"/>
          <w:szCs w:val="28"/>
          <w:rtl/>
        </w:rPr>
        <w:t>، ولم يرد في الملخص المتاح حجم العينة. وتوصلت الدراسة إلى أن تطوير نظم المعلومات يزيد من موثوقية البيانات المالية، ويرفع دقة تقارير الأداء المالي، كما يرتبط إيجابيًا بانخفاض الأخطاء التشغيلية</w:t>
      </w:r>
      <w:r w:rsidRPr="00236417">
        <w:rPr>
          <w:rFonts w:ascii="Simplified Arabic" w:hAnsi="Simplified Arabic" w:cs="Simplified Arabic"/>
          <w:sz w:val="28"/>
          <w:szCs w:val="28"/>
        </w:rPr>
        <w:t>.</w:t>
      </w:r>
    </w:p>
    <w:p w14:paraId="71E8A4A4"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وتبرز أهمية هذه الدراسة في أنها تُظهر أن نجاح التجارة الإلكترونية لا ينفصل عن جودة النظام المعلوماتي والمحاسبي الذي يدعمها. وهو جانب مهم للغاية في حالة أمازون، لأن البنية الرقمية القوية لا تؤثر فقط في تجربة العميل، بل في دقة البيانات والقرارات المالية أيضًا</w:t>
      </w:r>
      <w:r w:rsidRPr="00236417">
        <w:rPr>
          <w:rFonts w:ascii="Simplified Arabic" w:hAnsi="Simplified Arabic" w:cs="Simplified Arabic"/>
          <w:sz w:val="28"/>
          <w:szCs w:val="28"/>
        </w:rPr>
        <w:t>.</w:t>
      </w:r>
    </w:p>
    <w:p w14:paraId="05010FCF" w14:textId="546F835F"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أولو–</w:t>
      </w:r>
      <w:proofErr w:type="spellStart"/>
      <w:r w:rsidRPr="00236417">
        <w:rPr>
          <w:rFonts w:ascii="Simplified Arabic" w:hAnsi="Simplified Arabic" w:cs="Simplified Arabic"/>
          <w:b/>
          <w:bCs/>
          <w:sz w:val="28"/>
          <w:szCs w:val="28"/>
          <w:rtl/>
        </w:rPr>
        <w:t>إغبونيوي</w:t>
      </w:r>
      <w:proofErr w:type="spellEnd"/>
      <w:r w:rsidRPr="00236417">
        <w:rPr>
          <w:rFonts w:ascii="Simplified Arabic" w:hAnsi="Simplified Arabic" w:cs="Simplified Arabic"/>
          <w:b/>
          <w:bCs/>
          <w:sz w:val="28"/>
          <w:szCs w:val="28"/>
          <w:rtl/>
        </w:rPr>
        <w:t xml:space="preserve"> </w:t>
      </w:r>
      <w:proofErr w:type="spellStart"/>
      <w:r w:rsidRPr="00236417">
        <w:rPr>
          <w:rFonts w:ascii="Simplified Arabic" w:hAnsi="Simplified Arabic" w:cs="Simplified Arabic"/>
          <w:b/>
          <w:bCs/>
          <w:sz w:val="28"/>
          <w:szCs w:val="28"/>
          <w:rtl/>
        </w:rPr>
        <w:t>ونمريش</w:t>
      </w:r>
      <w:proofErr w:type="spellEnd"/>
      <w:r w:rsidRPr="00236417">
        <w:rPr>
          <w:rFonts w:ascii="Simplified Arabic" w:hAnsi="Simplified Arabic" w:cs="Simplified Arabic"/>
          <w:b/>
          <w:bCs/>
          <w:sz w:val="28"/>
          <w:szCs w:val="28"/>
        </w:rPr>
        <w:t xml:space="preserve"> (2018)</w:t>
      </w:r>
    </w:p>
    <w:p w14:paraId="14C81ECA"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حللت هذه الدراسة دور التجارة الإلكترونية في تحسين جودة نظم المعلومات المحاسبية في البنوك الليبية. ولم يرد في الملخص المتاح حجم العينة أو عدد المشاركين، لكن النتائج الرئيسة أوضحت </w:t>
      </w:r>
      <w:r w:rsidRPr="00236417">
        <w:rPr>
          <w:rFonts w:ascii="Simplified Arabic" w:hAnsi="Simplified Arabic" w:cs="Simplified Arabic"/>
          <w:sz w:val="28"/>
          <w:szCs w:val="28"/>
          <w:rtl/>
        </w:rPr>
        <w:lastRenderedPageBreak/>
        <w:t>ارتفاع جودة البيانات المالية بسبب التحول الرقمي، وتسريع معالجة البيانات وتقليل الأخطاء التشغيلية</w:t>
      </w:r>
      <w:r w:rsidRPr="00236417">
        <w:rPr>
          <w:rFonts w:ascii="Simplified Arabic" w:hAnsi="Simplified Arabic" w:cs="Simplified Arabic"/>
          <w:sz w:val="28"/>
          <w:szCs w:val="28"/>
        </w:rPr>
        <w:t>.</w:t>
      </w:r>
    </w:p>
    <w:p w14:paraId="5C51F3C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وتفيد هذه الدراسة في إبراز البعد المعلوماتي للتحول الرقمي، إذ إن جودة القرارات المالية ترتبط أساسًا بجودة البيانات المتاحة. كما تدعم فرضية الدراسة الحالية في أن التحول الرقمي لا يحسن الكفاءة التشغيلية فحسب، بل يحسن بيئة القرار المالي نفسها</w:t>
      </w:r>
      <w:r w:rsidRPr="00236417">
        <w:rPr>
          <w:rFonts w:ascii="Simplified Arabic" w:hAnsi="Simplified Arabic" w:cs="Simplified Arabic"/>
          <w:sz w:val="28"/>
          <w:szCs w:val="28"/>
        </w:rPr>
        <w:t>.</w:t>
      </w:r>
    </w:p>
    <w:p w14:paraId="4F016B83" w14:textId="35CF4DCB"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Omari (2019)</w:t>
      </w:r>
    </w:p>
    <w:p w14:paraId="04865B1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هدفت هذه الدراسة إلى بيان أثر التجارة الإلكترونية والتحول الرقمي على أعمال الشركات في لبنان. واعتمدت على دراسة ميدانية وتحليل بيانات مالية واقعية لعدد من الشركات، غير أن الملخص المتاح لا يحدد حجم العينة. وقد توصلت الدراسة إلى أن التحول الرقمي يمثل محركًا أساسيًا لزيادة المبيعات، وأن الشركات التي اعتمدت الذكاء الاصطناعي حققت أرباحًا أعلى بنسبة 17% مقارنة بالشركات التقليدية، كما انخفضت التكاليف الإدارية بنسبة تراوحت بين 11% و28% بعد تطبيق التجارة الإلكترونية</w:t>
      </w:r>
      <w:r w:rsidRPr="00236417">
        <w:rPr>
          <w:rFonts w:ascii="Simplified Arabic" w:hAnsi="Simplified Arabic" w:cs="Simplified Arabic"/>
          <w:sz w:val="28"/>
          <w:szCs w:val="28"/>
        </w:rPr>
        <w:t>.</w:t>
      </w:r>
    </w:p>
    <w:p w14:paraId="3161DE78"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وتُعد هذه الدراسة من الدراسات المهمة لأنها تربط مباشرة بين التقنيات الرقمية ونتائج مالية ملموسة. كما أنها تعزز الفروض المتعلقة بخفض التكاليف وتحسين الأرباح، وهو ما يجعلها ذات صلة وثيقة بالدراسة الحالية</w:t>
      </w:r>
      <w:r w:rsidRPr="00236417">
        <w:rPr>
          <w:rFonts w:ascii="Simplified Arabic" w:hAnsi="Simplified Arabic" w:cs="Simplified Arabic"/>
          <w:sz w:val="28"/>
          <w:szCs w:val="28"/>
        </w:rPr>
        <w:t>.</w:t>
      </w:r>
    </w:p>
    <w:p w14:paraId="12A07C43" w14:textId="45FDC536"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الزهراني</w:t>
      </w:r>
      <w:r w:rsidRPr="00236417">
        <w:rPr>
          <w:rFonts w:ascii="Simplified Arabic" w:hAnsi="Simplified Arabic" w:cs="Simplified Arabic"/>
          <w:b/>
          <w:bCs/>
          <w:sz w:val="28"/>
          <w:szCs w:val="28"/>
        </w:rPr>
        <w:t xml:space="preserve"> (2018)</w:t>
      </w:r>
    </w:p>
    <w:p w14:paraId="31CBC19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هدفت هذه الدراسة إلى تحليل أثر تبني التجارة الإلكترونية على استراتيجية المنشآت الصغيرة والمتوسطة في السعودية. ولم يرد في الملخص المتاح حجم العينة، إلا أن النتائج أوضحت تحسنًا ملحوظًا في عمليات التسويق وتوسعة الأسواق، وزيادة عدد العملاء بنسبة 35% بعد اعتماد الأنظمة الإلكترونية، إلى جانب وجود علاقة إيجابية بين التجارة الإلكترونية وارتفاع الأداء المالي</w:t>
      </w:r>
      <w:r w:rsidRPr="00236417">
        <w:rPr>
          <w:rFonts w:ascii="Simplified Arabic" w:hAnsi="Simplified Arabic" w:cs="Simplified Arabic"/>
          <w:sz w:val="28"/>
          <w:szCs w:val="28"/>
        </w:rPr>
        <w:t>.</w:t>
      </w:r>
    </w:p>
    <w:p w14:paraId="70CDF6D2"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وتكمن قيمة هذه الدراسة في أنها تُظهر أن أثر التجارة الإلكترونية لا يقتصر على الشركات العملاقة، بل يمتد كذلك إلى المنشآت الصغيرة والمتوسطة. ورغم اختلاف الحجم عن أمازون، فإنها تدعم الفكرة العامة القائلة إن التجارة الإلكترونية قادرة على تعزيز النتائج المالية في بيئات متنوعة</w:t>
      </w:r>
      <w:r w:rsidRPr="00236417">
        <w:rPr>
          <w:rFonts w:ascii="Simplified Arabic" w:hAnsi="Simplified Arabic" w:cs="Simplified Arabic"/>
          <w:sz w:val="28"/>
          <w:szCs w:val="28"/>
        </w:rPr>
        <w:t>.</w:t>
      </w:r>
    </w:p>
    <w:p w14:paraId="2882CF00" w14:textId="52C84F94"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الخطيب</w:t>
      </w:r>
      <w:r w:rsidRPr="00236417">
        <w:rPr>
          <w:rFonts w:ascii="Simplified Arabic" w:hAnsi="Simplified Arabic" w:cs="Simplified Arabic"/>
          <w:b/>
          <w:bCs/>
          <w:sz w:val="28"/>
          <w:szCs w:val="28"/>
        </w:rPr>
        <w:t xml:space="preserve"> (2020)</w:t>
      </w:r>
    </w:p>
    <w:p w14:paraId="3D4BFE74"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هدفت هذه الدراسة إلى تحليل أثر التحول الرقمي على أداء الشركات اللوجستية في الشرق الأوسط. واعتمدت على المنهج الوصفي التحليلي باستخدام استبيانات شملت 150 شركة. وتوصلت إلى أن التحول الرقمي ساهم في خفض التكاليف التشغيلية بنسبة 18%، وزيادة سرعة إنجاز الطلبات بنسبة 34%، كما ارتبط اعتماد التجارة الإلكترونية بارتفاع رضا العملاء</w:t>
      </w:r>
      <w:r w:rsidRPr="00236417">
        <w:rPr>
          <w:rFonts w:ascii="Simplified Arabic" w:hAnsi="Simplified Arabic" w:cs="Simplified Arabic"/>
          <w:sz w:val="28"/>
          <w:szCs w:val="28"/>
        </w:rPr>
        <w:t>.</w:t>
      </w:r>
    </w:p>
    <w:p w14:paraId="276D7E9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وتبرز أهمية هذه الدراسة في أنها تركز على القطاع اللوجستي، وهو قطاع يرتبط مباشرة بنموذج عمل أمازون، خاصة في الشحن والتخزين وسرعة التنفيذ. ولذلك فهي تمثل سندًا قويًا لفهم الأثر التشغيلي للتحول الرقمي في حالة الدراسة</w:t>
      </w:r>
      <w:r w:rsidRPr="00236417">
        <w:rPr>
          <w:rFonts w:ascii="Simplified Arabic" w:hAnsi="Simplified Arabic" w:cs="Simplified Arabic"/>
          <w:sz w:val="28"/>
          <w:szCs w:val="28"/>
        </w:rPr>
        <w:t>.</w:t>
      </w:r>
    </w:p>
    <w:p w14:paraId="2E9EF1AD" w14:textId="0CFA63E0"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الغامدي</w:t>
      </w:r>
      <w:r w:rsidRPr="00236417">
        <w:rPr>
          <w:rFonts w:ascii="Simplified Arabic" w:hAnsi="Simplified Arabic" w:cs="Simplified Arabic"/>
          <w:b/>
          <w:bCs/>
          <w:sz w:val="28"/>
          <w:szCs w:val="28"/>
        </w:rPr>
        <w:t xml:space="preserve"> (2021)</w:t>
      </w:r>
    </w:p>
    <w:p w14:paraId="22AA4CDF"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هدفت هذه الدراسة إلى تحليل أثر الأتمتة على كفاءة العمليات في الشركات الكبرى بالسعودية. واعتمدت على تحليل بيانات ومقابلات مع مديري التشغيل، ولم يرد في الملخص المتاح عدد المشاركين. وأظهرت النتائج انخفاض النفقات التشغيلية بنسبة تراوحت بين 12% و25%، وارتفاع الإنتاجية بنسبة تصل إلى 40%، وتعزيز الربحية المباشرة بفضل الأتمتة</w:t>
      </w:r>
      <w:r w:rsidRPr="00236417">
        <w:rPr>
          <w:rFonts w:ascii="Simplified Arabic" w:hAnsi="Simplified Arabic" w:cs="Simplified Arabic"/>
          <w:sz w:val="28"/>
          <w:szCs w:val="28"/>
        </w:rPr>
        <w:t>.</w:t>
      </w:r>
    </w:p>
    <w:p w14:paraId="7A53C460"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وتكمن أهمية هذه الدراسة في تركيزها على الأتمتة كأداة عملية لخفض التكاليف وتحسين الإنتاجية، وهو ما يتوافق بوضوح مع استثمارات أمازون في الروبوتات والمستودعات الذكية</w:t>
      </w:r>
      <w:r w:rsidRPr="00236417">
        <w:rPr>
          <w:rFonts w:ascii="Simplified Arabic" w:hAnsi="Simplified Arabic" w:cs="Simplified Arabic"/>
          <w:sz w:val="28"/>
          <w:szCs w:val="28"/>
        </w:rPr>
        <w:t>.</w:t>
      </w:r>
    </w:p>
    <w:p w14:paraId="7AA18E02" w14:textId="2A89B383"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 أبو مصطفى</w:t>
      </w:r>
      <w:r w:rsidRPr="00236417">
        <w:rPr>
          <w:rFonts w:ascii="Simplified Arabic" w:hAnsi="Simplified Arabic" w:cs="Simplified Arabic"/>
          <w:b/>
          <w:bCs/>
          <w:sz w:val="28"/>
          <w:szCs w:val="28"/>
        </w:rPr>
        <w:t xml:space="preserve"> (2022)</w:t>
      </w:r>
    </w:p>
    <w:p w14:paraId="22D1DBBD"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هدفت هذه الدراسة إلى تحليل العوامل المؤثرة في نجاح المتاجر الإلكترونية في الوطن العربي. ولم يرد في الملخص المتاح حجم العينة، لكن النتائج الأساسية أوضحت أن سرعة الموقع وطرق الدفع تحدد 36% من قرار الشراء، وأن التجارة الإلكترونية توسع نطاق العملاء بصورة كبيرة، كما أن جودة الخدمات الإلكترونية ترتبط مباشرة بالأداء المالي</w:t>
      </w:r>
      <w:r w:rsidRPr="00236417">
        <w:rPr>
          <w:rFonts w:ascii="Simplified Arabic" w:hAnsi="Simplified Arabic" w:cs="Simplified Arabic"/>
          <w:sz w:val="28"/>
          <w:szCs w:val="28"/>
        </w:rPr>
        <w:t>.</w:t>
      </w:r>
    </w:p>
    <w:p w14:paraId="67E7A29F"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وتفيد هذه الدراسة في إبراز البعد السلوكي والتقني في نجاح التجارة الإلكترونية، حيث إن الأداء المالي لا يتحدد فقط بما تنفقه الشركة على التقنية، بل أيضًا بمدى فاعلية تجربة المستخدم التي تقدمها المنصة</w:t>
      </w:r>
      <w:r w:rsidRPr="00236417">
        <w:rPr>
          <w:rFonts w:ascii="Simplified Arabic" w:hAnsi="Simplified Arabic" w:cs="Simplified Arabic"/>
          <w:sz w:val="28"/>
          <w:szCs w:val="28"/>
        </w:rPr>
        <w:t>.</w:t>
      </w:r>
    </w:p>
    <w:p w14:paraId="3C569A1C" w14:textId="77777777" w:rsidR="00C46D7F" w:rsidRPr="00236417" w:rsidRDefault="00C46D7F" w:rsidP="00CA130E">
      <w:pPr>
        <w:pStyle w:val="33"/>
      </w:pPr>
      <w:r w:rsidRPr="00236417">
        <w:rPr>
          <w:rtl/>
        </w:rPr>
        <w:t>ب. الدراسات الأجنبية والعالمية</w:t>
      </w:r>
    </w:p>
    <w:p w14:paraId="6162F0AC" w14:textId="4623C3CD"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Kumar &amp; Peterson (2022)</w:t>
      </w:r>
    </w:p>
    <w:p w14:paraId="2BB7E1C9"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هدفت هذه الدراسة إلى تحليل تسارع التجارة الإلكترونية بعد جائحة كورونا وأثره المالي على الشركات العالمية. واعتمد الباحثان على تحليل بيانات مالية لـ 100 شركة عالمية خلال الفترة 2019–2022. وأظهرت النتائج ارتفاع المبيعات عبر الإنترنت بنسبة 46% خلال الجائحة، وأن الشركات التي سرعت التحول الرقمي حققت أرباحًا أعلى بنسبة 23%، كما انخفض متوسط التكاليف التشغيلية بنسبة 14% بفضل الأتمتة</w:t>
      </w:r>
      <w:r w:rsidRPr="00236417">
        <w:rPr>
          <w:rFonts w:ascii="Simplified Arabic" w:hAnsi="Simplified Arabic" w:cs="Simplified Arabic"/>
          <w:sz w:val="28"/>
          <w:szCs w:val="28"/>
        </w:rPr>
        <w:t>.</w:t>
      </w:r>
    </w:p>
    <w:p w14:paraId="485D93B1"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وتُعد هذه الدراسة ذات قيمة عالية لأنها تعتمد على بيانات مالية فعلية لعينة كبيرة نسبيًا، كما أنها تغطي فترة زمنية شديدة الصلة بموضوع الدراسة الحالية، وهي الفترة التي شهدت صعودًا قويًا لأداء أمازون</w:t>
      </w:r>
      <w:r w:rsidRPr="00236417">
        <w:rPr>
          <w:rFonts w:ascii="Simplified Arabic" w:hAnsi="Simplified Arabic" w:cs="Simplified Arabic"/>
          <w:sz w:val="28"/>
          <w:szCs w:val="28"/>
        </w:rPr>
        <w:t>.</w:t>
      </w:r>
    </w:p>
    <w:p w14:paraId="48F7C591" w14:textId="7F2267C3"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Barnes &amp; Hunt (2023)</w:t>
      </w:r>
    </w:p>
    <w:p w14:paraId="64632477"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تناولت هذه الدراسة أثر التحول الرقمي في ربحية شركات التجارة الإلكترونية العالمية. ولم يرد في الملخص المتاح حجم العينة أو نوع الأداة المستخدمة، إلا أن النتائج أوضحت أن التحول الرقمي هو العامل الأكبر المؤثر في ربحية الشركات العملاقة، وأن الاعتماد على خوارزميات الذكاء الاصطناعي رفع الأرباح بنسبة 19</w:t>
      </w:r>
      <w:r w:rsidRPr="00236417">
        <w:rPr>
          <w:rFonts w:ascii="Simplified Arabic" w:hAnsi="Simplified Arabic" w:cs="Simplified Arabic"/>
          <w:sz w:val="28"/>
          <w:szCs w:val="28"/>
        </w:rPr>
        <w:t>%.</w:t>
      </w:r>
    </w:p>
    <w:p w14:paraId="4A7ACC6F"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وتتميز هذه الدراسة بتركيزها المباشر على الربحية بوصفها مخرجًا ماليًا أساسيًا، كما أنها تربط بين الذكاء الاصطناعي والنتائج المالية بصورة واضحة، وهو جانب حاسم في تحليل أمازون</w:t>
      </w:r>
      <w:r w:rsidRPr="00236417">
        <w:rPr>
          <w:rFonts w:ascii="Simplified Arabic" w:hAnsi="Simplified Arabic" w:cs="Simplified Arabic"/>
          <w:sz w:val="28"/>
          <w:szCs w:val="28"/>
        </w:rPr>
        <w:t>.</w:t>
      </w:r>
    </w:p>
    <w:p w14:paraId="6401AB0B" w14:textId="05B260D5" w:rsidR="00C46D7F" w:rsidRPr="00236417" w:rsidRDefault="00C46D7F" w:rsidP="00633F34">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University of Texas (2022)</w:t>
      </w:r>
    </w:p>
    <w:p w14:paraId="2F0BB457"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هدفت هذه الدراسة إلى تحليل دور الذكاء الاصطناعي في عمليات التجارة الإلكترونية من خلال دراسة حالة شركة أمازون. ولم يرد في الملخص المتاح حجم عينة، لأنها تبدو أقرب إلى دراسة حالة تحليلية. وقد أظهرت النتائج أن أنظمة الذكاء الاصطناعي وفرت نحو 5 مليارات دولار سنويًا، وأن تقليل زمن الشحن خفّض إلغاء الطلبات بنسبة 14</w:t>
      </w:r>
      <w:r w:rsidRPr="00236417">
        <w:rPr>
          <w:rFonts w:ascii="Simplified Arabic" w:hAnsi="Simplified Arabic" w:cs="Simplified Arabic"/>
          <w:sz w:val="28"/>
          <w:szCs w:val="28"/>
        </w:rPr>
        <w:t>%.</w:t>
      </w:r>
    </w:p>
    <w:p w14:paraId="6F12444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وتعد هذه الدراسة من أكثر الدراسات التصاقًا بموضوع البحث الحالي، لأنها لا تدرس شركة عامة فحسب، بل تركز تحديدًا على أمازون، وتربط بين الاستثمار في الذكاء الاصطناعي والنتائج المالية والتشغيلية</w:t>
      </w:r>
      <w:r w:rsidRPr="00236417">
        <w:rPr>
          <w:rFonts w:ascii="Simplified Arabic" w:hAnsi="Simplified Arabic" w:cs="Simplified Arabic"/>
          <w:sz w:val="28"/>
          <w:szCs w:val="28"/>
        </w:rPr>
        <w:t>.</w:t>
      </w:r>
    </w:p>
    <w:p w14:paraId="2AD2F785" w14:textId="77777777" w:rsidR="00C46D7F" w:rsidRPr="00236417" w:rsidRDefault="00C46D7F" w:rsidP="00CA130E">
      <w:pPr>
        <w:pStyle w:val="33"/>
      </w:pPr>
      <w:r w:rsidRPr="00236417">
        <w:rPr>
          <w:rtl/>
        </w:rPr>
        <w:t>ج. التقارير المؤسسية والدراسات المرجعية المساندة</w:t>
      </w:r>
    </w:p>
    <w:p w14:paraId="7A6E6FF8" w14:textId="0B99329B"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تقرير</w:t>
      </w:r>
      <w:r w:rsidRPr="00236417">
        <w:rPr>
          <w:rFonts w:ascii="Simplified Arabic" w:hAnsi="Simplified Arabic" w:cs="Simplified Arabic"/>
          <w:b/>
          <w:bCs/>
          <w:sz w:val="28"/>
          <w:szCs w:val="28"/>
        </w:rPr>
        <w:t xml:space="preserve"> Amazon Financial Analysis (2020–2024)</w:t>
      </w:r>
    </w:p>
    <w:p w14:paraId="79CA884F"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يتمثل هذا المصدر في التقارير المالية الرسمية لشركة أمازون خلال الفترة 2020–2024، وهو ليس دراسة ميدانية بالمعنى التقليدي، بل مصدر بيانات أساسي للدراسة الحالية. وتشير المؤشرات الواردة فيه إلى نمو المبيعات بنسبة 38% في عام 2020، وارتفاع صافي الربح إلى 27.5 مليار دولار، ثم استمرار النمو في 2021 بنسبة 22%، مع توسع خدمات</w:t>
      </w:r>
      <w:r w:rsidRPr="00236417">
        <w:rPr>
          <w:rFonts w:ascii="Simplified Arabic" w:hAnsi="Simplified Arabic" w:cs="Simplified Arabic"/>
          <w:sz w:val="28"/>
          <w:szCs w:val="28"/>
        </w:rPr>
        <w:t xml:space="preserve"> AWS </w:t>
      </w:r>
      <w:r w:rsidRPr="00236417">
        <w:rPr>
          <w:rFonts w:ascii="Simplified Arabic" w:hAnsi="Simplified Arabic" w:cs="Simplified Arabic"/>
          <w:sz w:val="28"/>
          <w:szCs w:val="28"/>
          <w:rtl/>
        </w:rPr>
        <w:t>بنسبة 30%. وفي عام 2022 تباطأ النمو إلى 9% بسبب التضخم، قبل أن تعود الشركة إلى النمو خلال 2023–2024 بنسبة تراوحت بين 12% و14%، مع انخفاض المصروفات التشغيلية بفضل الأتمتة وارتفاع الطلبات الإلكترونية بنسبة 21</w:t>
      </w:r>
      <w:r w:rsidRPr="00236417">
        <w:rPr>
          <w:rFonts w:ascii="Simplified Arabic" w:hAnsi="Simplified Arabic" w:cs="Simplified Arabic"/>
          <w:sz w:val="28"/>
          <w:szCs w:val="28"/>
        </w:rPr>
        <w:t>%.</w:t>
      </w:r>
    </w:p>
    <w:p w14:paraId="69DC2B6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وتنبع أهمية هذا المصدر من كونه يقدم بيانات مباشرة تعكس حالة الشركة المدروسة، مما يجعله ركيزة مركزية في التحليل المالي، وليس مجرد مرجع نظري مساعد</w:t>
      </w:r>
      <w:r w:rsidRPr="00236417">
        <w:rPr>
          <w:rFonts w:ascii="Simplified Arabic" w:hAnsi="Simplified Arabic" w:cs="Simplified Arabic"/>
          <w:sz w:val="28"/>
          <w:szCs w:val="28"/>
        </w:rPr>
        <w:t>.</w:t>
      </w:r>
    </w:p>
    <w:p w14:paraId="3E7A974A" w14:textId="2113B10C"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Deloitte (2023)</w:t>
      </w:r>
    </w:p>
    <w:p w14:paraId="000ACF8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أظهرت هذه الدراسة أن 74% من الشركات ربطت بين التحول الرقمي وتحسن الأداء المالي، وأن 66% منها خفضت النفقات التشغيلية بعد التحول الرقمي، بينما ارتفعت أرباح 49% من الشركات في أول عام من التطبيق. ولم يرد في الملخص المتاح حجم العينة</w:t>
      </w:r>
      <w:r w:rsidRPr="00236417">
        <w:rPr>
          <w:rFonts w:ascii="Simplified Arabic" w:hAnsi="Simplified Arabic" w:cs="Simplified Arabic"/>
          <w:sz w:val="28"/>
          <w:szCs w:val="28"/>
        </w:rPr>
        <w:t>.</w:t>
      </w:r>
    </w:p>
    <w:p w14:paraId="39C8E349"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وتفيد هذه الدراسة في تدعيم الاتجاه العام الذي يربط بين التحول الرقمي والنتائج المالية، كما تمنح الدراسة الحالية بعدًا مقارنًا عالميًا يفسر نجاح أمازون في سياق أوسع من مجرد حالة فردية</w:t>
      </w:r>
      <w:r w:rsidRPr="00236417">
        <w:rPr>
          <w:rFonts w:ascii="Simplified Arabic" w:hAnsi="Simplified Arabic" w:cs="Simplified Arabic"/>
          <w:sz w:val="28"/>
          <w:szCs w:val="28"/>
        </w:rPr>
        <w:t>.</w:t>
      </w:r>
    </w:p>
    <w:p w14:paraId="6AC42E8D" w14:textId="1A60E227"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McKinsey (2022)</w:t>
      </w:r>
    </w:p>
    <w:p w14:paraId="033AC632"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أشارت هذه الدراسة إلى ارتفاع التجارة الإلكترونية عالميًا بنسبة 35%، وزيادة أرباح الشركات التي تستخدم الذكاء الاصطناعي بنسبة 22%، وتقليل وقت تنفيذ الطلب بنسبة 60%. ولم يرد في الملخص المتاح حجم العينة</w:t>
      </w:r>
      <w:r w:rsidRPr="00236417">
        <w:rPr>
          <w:rFonts w:ascii="Simplified Arabic" w:hAnsi="Simplified Arabic" w:cs="Simplified Arabic"/>
          <w:sz w:val="28"/>
          <w:szCs w:val="28"/>
        </w:rPr>
        <w:t>.</w:t>
      </w:r>
    </w:p>
    <w:p w14:paraId="00D22018"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وتبرز أهمية هذه الدراسة في أنها توضح التأثير المزدوج للتقنية: فهي من ناحية تزيد الأرباح، ومن ناحية أخرى ترفع كفاءة التنفيذ، وهو ما ينعكس إيجابًا على الأداء المالي والتشغيلي معًا</w:t>
      </w:r>
      <w:r w:rsidRPr="00236417">
        <w:rPr>
          <w:rFonts w:ascii="Simplified Arabic" w:hAnsi="Simplified Arabic" w:cs="Simplified Arabic"/>
          <w:sz w:val="28"/>
          <w:szCs w:val="28"/>
        </w:rPr>
        <w:t>.</w:t>
      </w:r>
    </w:p>
    <w:p w14:paraId="1825E77B" w14:textId="7F067DCD"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دراسة</w:t>
      </w:r>
      <w:r w:rsidRPr="00236417">
        <w:rPr>
          <w:rFonts w:ascii="Simplified Arabic" w:hAnsi="Simplified Arabic" w:cs="Simplified Arabic"/>
          <w:b/>
          <w:bCs/>
          <w:sz w:val="28"/>
          <w:szCs w:val="28"/>
        </w:rPr>
        <w:t xml:space="preserve"> Harvard Business Review (2024)</w:t>
      </w:r>
    </w:p>
    <w:p w14:paraId="012E0AF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lastRenderedPageBreak/>
        <w:t>ركزت هذه الدراسة على كيفية تشكّل الكفاءة المالية في الشركات التقنية الكبرى عبر الأتمتة. وأظهرت النتائج أن أمازون كانت الأكثر استفادة من الأتمتة مقارنة بجوجل ومايكروسوفت، مع انخفاض تكاليف العمليات اللوجستية وتحسن الربحية بفضل الذكاء الاصطناعي والتخزين الذكي</w:t>
      </w:r>
      <w:r w:rsidRPr="00236417">
        <w:rPr>
          <w:rFonts w:ascii="Simplified Arabic" w:hAnsi="Simplified Arabic" w:cs="Simplified Arabic"/>
          <w:sz w:val="28"/>
          <w:szCs w:val="28"/>
        </w:rPr>
        <w:t>.</w:t>
      </w:r>
    </w:p>
    <w:p w14:paraId="5E6819D4"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وتكتسب هذه الدراسة أهميتها من طابعها المقارن، إذ لا تعرض نجاح أمازون في فراغ، بل في سياق مقارنة بشركات تقنية كبرى، ما يقوي الحجة العلمية بشأن تميز نموذج أمازون</w:t>
      </w:r>
      <w:r w:rsidRPr="00236417">
        <w:rPr>
          <w:rFonts w:ascii="Simplified Arabic" w:hAnsi="Simplified Arabic" w:cs="Simplified Arabic"/>
          <w:sz w:val="28"/>
          <w:szCs w:val="28"/>
        </w:rPr>
        <w:t>.</w:t>
      </w:r>
    </w:p>
    <w:p w14:paraId="5AB3B376" w14:textId="7F05C528"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تقرير</w:t>
      </w:r>
      <w:r w:rsidRPr="00236417">
        <w:rPr>
          <w:rFonts w:ascii="Simplified Arabic" w:hAnsi="Simplified Arabic" w:cs="Simplified Arabic"/>
          <w:b/>
          <w:bCs/>
          <w:sz w:val="28"/>
          <w:szCs w:val="28"/>
        </w:rPr>
        <w:t xml:space="preserve"> Statista (2023)</w:t>
      </w:r>
    </w:p>
    <w:p w14:paraId="3AF89E65"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أوضح هذا التقرير أن مبيعات أمازون تجاوزت 575 مليار دولار، وأن 85% من إيرادات الشركة تأتي من التجارة الإلكترونية، بينما شكلت خدمات</w:t>
      </w:r>
      <w:r w:rsidRPr="00236417">
        <w:rPr>
          <w:rFonts w:ascii="Simplified Arabic" w:hAnsi="Simplified Arabic" w:cs="Simplified Arabic"/>
          <w:sz w:val="28"/>
          <w:szCs w:val="28"/>
        </w:rPr>
        <w:t xml:space="preserve"> AWS </w:t>
      </w:r>
      <w:r w:rsidRPr="00236417">
        <w:rPr>
          <w:rFonts w:ascii="Simplified Arabic" w:hAnsi="Simplified Arabic" w:cs="Simplified Arabic"/>
          <w:sz w:val="28"/>
          <w:szCs w:val="28"/>
          <w:rtl/>
        </w:rPr>
        <w:t>ما يقارب 17% من أرباح الشركة. وهو تقرير إحصائي مهم لأنه يضع حالة أمازون في صورة رقمية واضحة</w:t>
      </w:r>
      <w:r w:rsidRPr="00236417">
        <w:rPr>
          <w:rFonts w:ascii="Simplified Arabic" w:hAnsi="Simplified Arabic" w:cs="Simplified Arabic"/>
          <w:sz w:val="28"/>
          <w:szCs w:val="28"/>
        </w:rPr>
        <w:t>.</w:t>
      </w:r>
    </w:p>
    <w:p w14:paraId="6EE14B1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وتكمن أهميته في دعم التحليل الكمي للدراسة، وإبراز الوزن النسبي للتجارة الإلكترونية في بنية إيرادات الشركة </w:t>
      </w:r>
      <w:proofErr w:type="spellStart"/>
      <w:r w:rsidRPr="00236417">
        <w:rPr>
          <w:rFonts w:ascii="Simplified Arabic" w:hAnsi="Simplified Arabic" w:cs="Simplified Arabic"/>
          <w:sz w:val="28"/>
          <w:szCs w:val="28"/>
          <w:rtl/>
        </w:rPr>
        <w:t>وربحيتها</w:t>
      </w:r>
      <w:proofErr w:type="spellEnd"/>
      <w:r w:rsidRPr="00236417">
        <w:rPr>
          <w:rFonts w:ascii="Simplified Arabic" w:hAnsi="Simplified Arabic" w:cs="Simplified Arabic"/>
          <w:sz w:val="28"/>
          <w:szCs w:val="28"/>
        </w:rPr>
        <w:t>.</w:t>
      </w:r>
    </w:p>
    <w:p w14:paraId="540A158E" w14:textId="6D2727B1" w:rsidR="00C46D7F" w:rsidRPr="00236417" w:rsidRDefault="00C46D7F" w:rsidP="0041729D">
      <w:pPr>
        <w:pStyle w:val="a6"/>
        <w:numPr>
          <w:ilvl w:val="0"/>
          <w:numId w:val="6"/>
        </w:numPr>
        <w:spacing w:line="360" w:lineRule="auto"/>
        <w:rPr>
          <w:rFonts w:ascii="Simplified Arabic" w:hAnsi="Simplified Arabic" w:cs="Simplified Arabic"/>
          <w:b/>
          <w:bCs/>
          <w:sz w:val="28"/>
          <w:szCs w:val="28"/>
        </w:rPr>
      </w:pPr>
      <w:r w:rsidRPr="00236417">
        <w:rPr>
          <w:rFonts w:ascii="Simplified Arabic" w:hAnsi="Simplified Arabic" w:cs="Simplified Arabic"/>
          <w:b/>
          <w:bCs/>
          <w:sz w:val="28"/>
          <w:szCs w:val="28"/>
          <w:rtl/>
        </w:rPr>
        <w:t>تقرير</w:t>
      </w:r>
      <w:r w:rsidRPr="00236417">
        <w:rPr>
          <w:rFonts w:ascii="Simplified Arabic" w:hAnsi="Simplified Arabic" w:cs="Simplified Arabic"/>
          <w:b/>
          <w:bCs/>
          <w:sz w:val="28"/>
          <w:szCs w:val="28"/>
        </w:rPr>
        <w:t xml:space="preserve"> Forbes (2024)</w:t>
      </w:r>
    </w:p>
    <w:p w14:paraId="21E9D9F4"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تناول هذا التقرير عوامل ربحية أمازون بعد التوسع الرقمي، وأظهر أن التوسع في الخدمات السحابية رفع الربحية، كما أدى انخفاض تكاليف الشحن الناتج عن الأتمتة إلى تحسين النتائج المالية</w:t>
      </w:r>
      <w:r w:rsidRPr="00236417">
        <w:rPr>
          <w:rFonts w:ascii="Simplified Arabic" w:hAnsi="Simplified Arabic" w:cs="Simplified Arabic"/>
          <w:sz w:val="28"/>
          <w:szCs w:val="28"/>
        </w:rPr>
        <w:t>.</w:t>
      </w:r>
    </w:p>
    <w:p w14:paraId="235B38AA"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وتفيد هذه النتائج في إبراز أن التحول الرقمي في أمازون لا يقتصر على منصة التجارة الإلكترونية وحدها، بل يمتد إلى الخدمات السحابية والكفاءة اللوجستية، وهو ما يوسع تفسير الأداء المالي للشركة</w:t>
      </w:r>
      <w:r w:rsidRPr="00236417">
        <w:rPr>
          <w:rFonts w:ascii="Simplified Arabic" w:hAnsi="Simplified Arabic" w:cs="Simplified Arabic"/>
          <w:sz w:val="28"/>
          <w:szCs w:val="28"/>
        </w:rPr>
        <w:t>.</w:t>
      </w:r>
    </w:p>
    <w:p w14:paraId="7D998F1F" w14:textId="77777777" w:rsidR="00C46D7F" w:rsidRPr="00236417" w:rsidRDefault="00C46D7F" w:rsidP="00CA130E">
      <w:pPr>
        <w:pStyle w:val="21"/>
      </w:pPr>
      <w:r w:rsidRPr="00236417">
        <w:rPr>
          <w:rtl/>
        </w:rPr>
        <w:lastRenderedPageBreak/>
        <w:t>ثالثًا: التحليل النقدي للدراسات السابقة</w:t>
      </w:r>
    </w:p>
    <w:p w14:paraId="07148F67"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تكشف مراجعة الدراسات السابقة عن وجود اتجاه عام واضح يؤكد العلاقة الإيجابية بين التحول الرقمي والتجارة الإلكترونية من جهة، وتحسن الأداء المالي من جهة أخرى. فغالبية الدراسات تشير إلى أن </w:t>
      </w:r>
      <w:proofErr w:type="spellStart"/>
      <w:r w:rsidRPr="00236417">
        <w:rPr>
          <w:rFonts w:ascii="Simplified Arabic" w:hAnsi="Simplified Arabic" w:cs="Simplified Arabic"/>
          <w:sz w:val="28"/>
          <w:szCs w:val="28"/>
          <w:rtl/>
        </w:rPr>
        <w:t>الرقمنة</w:t>
      </w:r>
      <w:proofErr w:type="spellEnd"/>
      <w:r w:rsidRPr="00236417">
        <w:rPr>
          <w:rFonts w:ascii="Simplified Arabic" w:hAnsi="Simplified Arabic" w:cs="Simplified Arabic"/>
          <w:sz w:val="28"/>
          <w:szCs w:val="28"/>
          <w:rtl/>
        </w:rPr>
        <w:t xml:space="preserve"> تسهم في رفع الكفاءة التشغيلية، وخفض الأخطاء، وتقليص الوقت، وتحسين تجربة العميل، وزيادة الإيرادات أو الأرباح. كما أن عددًا من الدراسات أوضح أثرًا مباشرًا للأتمتة والذكاء الاصطناعي والحوسبة السحابية في خفض المصروفات وتحسين الربحية</w:t>
      </w:r>
      <w:r w:rsidRPr="00236417">
        <w:rPr>
          <w:rFonts w:ascii="Simplified Arabic" w:hAnsi="Simplified Arabic" w:cs="Simplified Arabic"/>
          <w:sz w:val="28"/>
          <w:szCs w:val="28"/>
        </w:rPr>
        <w:t>.</w:t>
      </w:r>
    </w:p>
    <w:p w14:paraId="3ACE0EB4"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إلا أن التحليل النقدي لهذه الدراسات يبين أيضًا بعض أوجه القصور. فبعض الدراسات العربية اعتمد على استبانات دون تحليل مالي فعلي، وبعضها لم يوضح حجم العينة أو طبيعة المجتمع المدروس بصورة كافية، مما يحد من قوة التعميم. كما أن عددًا من الدراسات ركز على متغير واحد فقط من متغيرات الأداء المالي، مثل الربحية أو المبيعات، دون معالجة العلاقة المتكاملة بين المبيعات والربحية والمصروفات التشغيلية. إضافة إلى ذلك، فإن عددًا محدودًا فقط من الدراسات تناول شركات عالمية بحجم وتعقيد شركة أمازون، أو غطى الفترة الممتدة من 2020 إلى 2024 بوصفها فترة تجمع بين ظروف الجائحة وما بعدها</w:t>
      </w:r>
      <w:r w:rsidRPr="00236417">
        <w:rPr>
          <w:rFonts w:ascii="Simplified Arabic" w:hAnsi="Simplified Arabic" w:cs="Simplified Arabic"/>
          <w:sz w:val="28"/>
          <w:szCs w:val="28"/>
        </w:rPr>
        <w:t>.</w:t>
      </w:r>
    </w:p>
    <w:p w14:paraId="0E16D048" w14:textId="77777777" w:rsidR="00C46D7F" w:rsidRPr="00236417" w:rsidRDefault="00C46D7F" w:rsidP="00CA130E">
      <w:pPr>
        <w:pStyle w:val="21"/>
      </w:pPr>
      <w:r w:rsidRPr="00236417">
        <w:rPr>
          <w:rtl/>
        </w:rPr>
        <w:t>رابعًا: الفجوة البحثية</w:t>
      </w:r>
    </w:p>
    <w:p w14:paraId="1C41192C"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من خلال مراجعة الأدبيات السابقة، يمكن تحديد الفجوة البحثية في عدة نقاط. أولًا، ندرة الدراسات التي تناولت الأثر المشترك للتحول الرقمي وتطبيقات التجارة الإلكترونية على الأداء المالي في شركة عالمية واحدة بحجم أمازون. ثانيًا، قلة الدراسات التي جمعت بين ثلاثة مؤشرات مالية مترابطة هي </w:t>
      </w:r>
      <w:r w:rsidRPr="00236417">
        <w:rPr>
          <w:rFonts w:ascii="Simplified Arabic" w:hAnsi="Simplified Arabic" w:cs="Simplified Arabic"/>
          <w:sz w:val="28"/>
          <w:szCs w:val="28"/>
          <w:rtl/>
        </w:rPr>
        <w:lastRenderedPageBreak/>
        <w:t>المبيعات والربحية والمصروفات التشغيلية ضمن إطار تحليلي واحد. ثالثًا، محدودية الدراسات التي امتدت زمنيًا لتشمل الفترة من 2020 إلى 2024، وهي فترة اتسمت بتسارع التحول الرقمي، ثم إعادة ضبط النماذج التشغيلية بعد الجائحة. ورابعًا، أن بعض الدراسات اعتمد على التصورات والاستجابات الميدانية أكثر من اعتمادها على تحليل مالي فعلي، في حين تسعى الدراسة الحالية إلى الاستفادة من البيانات المالية المباشرة وتقارير الشركة</w:t>
      </w:r>
      <w:r w:rsidRPr="00236417">
        <w:rPr>
          <w:rFonts w:ascii="Simplified Arabic" w:hAnsi="Simplified Arabic" w:cs="Simplified Arabic"/>
          <w:sz w:val="28"/>
          <w:szCs w:val="28"/>
        </w:rPr>
        <w:t>.</w:t>
      </w:r>
    </w:p>
    <w:p w14:paraId="086F7D9C" w14:textId="77777777" w:rsidR="00C46D7F" w:rsidRPr="00236417" w:rsidRDefault="00C46D7F" w:rsidP="00CA130E">
      <w:pPr>
        <w:pStyle w:val="21"/>
      </w:pPr>
      <w:r w:rsidRPr="00236417">
        <w:rPr>
          <w:rtl/>
        </w:rPr>
        <w:t>خامسًا: أوجه الاستفادة من الدراسات السابقة</w:t>
      </w:r>
    </w:p>
    <w:p w14:paraId="38328E3B"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أفادت الدراسات السابقة الدراسة الحالية في عدة جوانب. فقد ساعدت أولًا في تحديد المتغيرات الرئيسة للدراسة، وتوضيح أن التحول الرقمي والتجارة الإلكترونية يرتبطان بالمبيعات والربحية والتكاليف التشغيلية. كما أسهمت في بناء الفروض والتساؤلات، وفي تدعيم الإطار النظري بالنظريات المناسبة مثل نموذج قبول التكنولوجيا ونظرية الموارد. كذلك استفادت الدراسة الحالية من الدراسات السابقة في اختيار المؤشرات المالية الأكثر صلة بموضوع البحث، وفي تفسير كيف يمكن للأتمتة والذكاء الاصطناعي والخدمات السحابية أن تؤثر في النتائج المالية</w:t>
      </w:r>
      <w:r w:rsidRPr="00236417">
        <w:rPr>
          <w:rFonts w:ascii="Simplified Arabic" w:hAnsi="Simplified Arabic" w:cs="Simplified Arabic"/>
          <w:sz w:val="28"/>
          <w:szCs w:val="28"/>
        </w:rPr>
        <w:t>.</w:t>
      </w:r>
    </w:p>
    <w:p w14:paraId="06874EFE"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ومن أوجه الاستفادة أيضًا أن الدراسات السابقة بينت الفروق بين البيئات البحثية المختلفة، وكشفت أن الأثر الإيجابي للتحول الرقمي يتكرر في قطاعات متنوعة، لكنه يتخذ أشكالًا أكثر تعقيدًا في الشركات العالمية الكبرى. كما ساعدت في تحديد الجوانب التي لم تُغطَّ بشكل كافٍ، وهو ما عزز مبررات الدراسة الحالية</w:t>
      </w:r>
      <w:r w:rsidRPr="00236417">
        <w:rPr>
          <w:rFonts w:ascii="Simplified Arabic" w:hAnsi="Simplified Arabic" w:cs="Simplified Arabic"/>
          <w:sz w:val="28"/>
          <w:szCs w:val="28"/>
        </w:rPr>
        <w:t>.</w:t>
      </w:r>
    </w:p>
    <w:p w14:paraId="0FEE2CC9" w14:textId="77777777" w:rsidR="00C46D7F" w:rsidRPr="00236417" w:rsidRDefault="00C46D7F" w:rsidP="00CA130E">
      <w:pPr>
        <w:pStyle w:val="21"/>
      </w:pPr>
      <w:r w:rsidRPr="00236417">
        <w:rPr>
          <w:rtl/>
        </w:rPr>
        <w:lastRenderedPageBreak/>
        <w:t>سادسًا: ما يميز الدراسة الحالية عن الدراسات السابقة</w:t>
      </w:r>
    </w:p>
    <w:p w14:paraId="3F38CB9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تتميز الدراسة الحالية عن الدراسات السابقة بأنها تجمع بين التحول الرقمي والتجارة الإلكترونية في إطار تحليلي واحد، بدلًا من دراسة كل منهما بمعزل عن الآخر. كما أنها تركز على شركة أمازون بوصفها حالة عالمية رائدة، لا على شركات صغيرة أو قطاعات محلية محدودة فقط. وتتميز أيضًا بأنها تغطي فترة زمنية مهمة تمتد من 2020 إلى 2024، وهي فترة شهدت تحولات استثنائية في أنماط الاستهلاك، والتشغيل، وسلاسل الإمداد، والاستثمار في الذكاء الاصطناعي والأتمتة</w:t>
      </w:r>
      <w:r w:rsidRPr="00236417">
        <w:rPr>
          <w:rFonts w:ascii="Simplified Arabic" w:hAnsi="Simplified Arabic" w:cs="Simplified Arabic"/>
          <w:sz w:val="28"/>
          <w:szCs w:val="28"/>
        </w:rPr>
        <w:t>.</w:t>
      </w:r>
    </w:p>
    <w:p w14:paraId="00E694DB" w14:textId="77777777" w:rsidR="00C46D7F" w:rsidRPr="00236417" w:rsidRDefault="00C46D7F" w:rsidP="00A420D1">
      <w:pPr>
        <w:spacing w:line="360" w:lineRule="auto"/>
        <w:rPr>
          <w:rFonts w:ascii="Simplified Arabic" w:hAnsi="Simplified Arabic" w:cs="Simplified Arabic"/>
          <w:sz w:val="28"/>
          <w:szCs w:val="28"/>
          <w:rtl/>
        </w:rPr>
      </w:pPr>
      <w:r w:rsidRPr="00236417">
        <w:rPr>
          <w:rFonts w:ascii="Simplified Arabic" w:hAnsi="Simplified Arabic" w:cs="Simplified Arabic"/>
          <w:sz w:val="28"/>
          <w:szCs w:val="28"/>
          <w:rtl/>
        </w:rPr>
        <w:t>وفوق ذلك، فإن الدراسة الحالية لا تقتصر على متغير مالي واحد، بل تربط بين المبيعات والربحية والمصروفات التشغيلية، وهو ما يمنحها شمولًا تحليليًا أوسع. كما أنها تستفيد من التقارير المالية المباشرة للشركة، إلى جانب الأدبيات السابقة، الأمر الذي يزيد من قوة التحليل وارتباطه بالواقع</w:t>
      </w:r>
      <w:r w:rsidRPr="00236417">
        <w:rPr>
          <w:rFonts w:ascii="Simplified Arabic" w:hAnsi="Simplified Arabic" w:cs="Simplified Arabic"/>
          <w:sz w:val="28"/>
          <w:szCs w:val="28"/>
        </w:rPr>
        <w:t>.</w:t>
      </w:r>
    </w:p>
    <w:p w14:paraId="2826C855" w14:textId="77777777" w:rsidR="0041729D" w:rsidRPr="00236417" w:rsidRDefault="0041729D" w:rsidP="00A420D1">
      <w:pPr>
        <w:spacing w:line="360" w:lineRule="auto"/>
        <w:rPr>
          <w:rFonts w:ascii="Simplified Arabic" w:hAnsi="Simplified Arabic" w:cs="Simplified Arabic"/>
          <w:sz w:val="28"/>
          <w:szCs w:val="28"/>
        </w:rPr>
      </w:pPr>
    </w:p>
    <w:p w14:paraId="0470BDD2" w14:textId="44CFAB07" w:rsidR="00C46D7F" w:rsidRPr="00CA130E" w:rsidRDefault="00C46D7F" w:rsidP="00CA130E">
      <w:pPr>
        <w:pStyle w:val="21"/>
      </w:pPr>
      <w:r w:rsidRPr="00CA130E">
        <w:rPr>
          <w:rtl/>
        </w:rPr>
        <w:t xml:space="preserve">خاتمة </w:t>
      </w:r>
      <w:r w:rsidRPr="00CA130E">
        <w:rPr>
          <w:rFonts w:hint="cs"/>
          <w:rtl/>
        </w:rPr>
        <w:t>الفصل</w:t>
      </w:r>
    </w:p>
    <w:p w14:paraId="742EC8B3" w14:textId="77777777" w:rsidR="00C46D7F" w:rsidRPr="00236417" w:rsidRDefault="00C46D7F" w:rsidP="00A420D1">
      <w:pPr>
        <w:spacing w:line="360" w:lineRule="auto"/>
        <w:rPr>
          <w:rFonts w:ascii="Simplified Arabic" w:hAnsi="Simplified Arabic" w:cs="Simplified Arabic"/>
          <w:sz w:val="28"/>
          <w:szCs w:val="28"/>
        </w:rPr>
      </w:pPr>
      <w:r w:rsidRPr="00236417">
        <w:rPr>
          <w:rFonts w:ascii="Simplified Arabic" w:hAnsi="Simplified Arabic" w:cs="Simplified Arabic"/>
          <w:sz w:val="28"/>
          <w:szCs w:val="28"/>
          <w:rtl/>
        </w:rPr>
        <w:t xml:space="preserve">خلص هذا الفصل إلى أن التحول الرقمي والتجارة الإلكترونية يشكلان معًا إطارًا تفسيريًا قويًا لتحليل الأداء المالي في الشركات الحديثة. وقد أظهر الإطار النظري أن </w:t>
      </w:r>
      <w:proofErr w:type="spellStart"/>
      <w:r w:rsidRPr="00236417">
        <w:rPr>
          <w:rFonts w:ascii="Simplified Arabic" w:hAnsi="Simplified Arabic" w:cs="Simplified Arabic"/>
          <w:sz w:val="28"/>
          <w:szCs w:val="28"/>
          <w:rtl/>
        </w:rPr>
        <w:t>الرقمنة</w:t>
      </w:r>
      <w:proofErr w:type="spellEnd"/>
      <w:r w:rsidRPr="00236417">
        <w:rPr>
          <w:rFonts w:ascii="Simplified Arabic" w:hAnsi="Simplified Arabic" w:cs="Simplified Arabic"/>
          <w:sz w:val="28"/>
          <w:szCs w:val="28"/>
          <w:rtl/>
        </w:rPr>
        <w:t xml:space="preserve"> تؤثر في الكفاءة، والتكلفة، والقرار، وتجربة العميل، بينما أوضحت الدراسات السابقة وجود اتجاه عام يدعم العلاقة الإيجابية بين التحول الرقمي والتجارة الإلكترونية وتحسن النتائج المالية. كما كشف التحليل النقدي عن فجوة بحثية تتمثل في محدودية الدراسات التي تناولت شركة عالمية مثل أمازون خلال الفترة 2020–2024 </w:t>
      </w:r>
      <w:r w:rsidRPr="00236417">
        <w:rPr>
          <w:rFonts w:ascii="Simplified Arabic" w:hAnsi="Simplified Arabic" w:cs="Simplified Arabic"/>
          <w:sz w:val="28"/>
          <w:szCs w:val="28"/>
          <w:rtl/>
        </w:rPr>
        <w:lastRenderedPageBreak/>
        <w:t>ضمن إطار يجمع بين المبيعات والربحية والمصروفات التشغيلية. وبناءً على ذلك، يمثل هذا الفصل أساسًا علميًا ومنهجيًا مناسبًا للانتقال إلى الفصل الخاص بمنهجية الدراسة وتحليل البيانات</w:t>
      </w:r>
      <w:r w:rsidRPr="00236417">
        <w:rPr>
          <w:rFonts w:ascii="Simplified Arabic" w:hAnsi="Simplified Arabic" w:cs="Simplified Arabic"/>
          <w:sz w:val="28"/>
          <w:szCs w:val="28"/>
        </w:rPr>
        <w:t>.</w:t>
      </w:r>
    </w:p>
    <w:p w14:paraId="5612482F" w14:textId="77777777" w:rsidR="00622647" w:rsidRPr="00236417" w:rsidRDefault="00622647" w:rsidP="00A420D1">
      <w:pPr>
        <w:spacing w:line="360" w:lineRule="auto"/>
        <w:rPr>
          <w:rFonts w:ascii="Simplified Arabic" w:hAnsi="Simplified Arabic" w:cs="Simplified Arabic"/>
          <w:sz w:val="28"/>
          <w:szCs w:val="28"/>
          <w:rtl/>
        </w:rPr>
      </w:pPr>
    </w:p>
    <w:p w14:paraId="6F24DC5D" w14:textId="1B719E08" w:rsidR="00235BCF" w:rsidRPr="00236417" w:rsidRDefault="00235BCF" w:rsidP="00A420D1">
      <w:pPr>
        <w:spacing w:line="360" w:lineRule="auto"/>
        <w:rPr>
          <w:rFonts w:ascii="Simplified Arabic" w:hAnsi="Simplified Arabic" w:cs="Simplified Arabic"/>
          <w:noProof/>
          <w:sz w:val="28"/>
          <w:szCs w:val="28"/>
          <w:rtl/>
        </w:rPr>
      </w:pPr>
    </w:p>
    <w:p w14:paraId="747C1446" w14:textId="77777777" w:rsidR="00E23305" w:rsidRPr="00236417" w:rsidRDefault="00E23305" w:rsidP="00A420D1">
      <w:pPr>
        <w:spacing w:line="360" w:lineRule="auto"/>
        <w:rPr>
          <w:rFonts w:ascii="Simplified Arabic" w:hAnsi="Simplified Arabic" w:cs="Simplified Arabic"/>
          <w:noProof/>
          <w:sz w:val="28"/>
          <w:szCs w:val="28"/>
          <w:rtl/>
        </w:rPr>
      </w:pPr>
    </w:p>
    <w:p w14:paraId="19AA772C" w14:textId="77777777" w:rsidR="00E23305" w:rsidRPr="00236417" w:rsidRDefault="00E23305" w:rsidP="00A420D1">
      <w:pPr>
        <w:spacing w:line="360" w:lineRule="auto"/>
        <w:rPr>
          <w:rFonts w:ascii="Simplified Arabic" w:hAnsi="Simplified Arabic" w:cs="Simplified Arabic"/>
          <w:noProof/>
          <w:sz w:val="28"/>
          <w:szCs w:val="28"/>
          <w:rtl/>
        </w:rPr>
      </w:pPr>
    </w:p>
    <w:p w14:paraId="17FDCE27" w14:textId="77777777" w:rsidR="00E23305" w:rsidRPr="00236417" w:rsidRDefault="00E23305" w:rsidP="00A420D1">
      <w:pPr>
        <w:spacing w:line="360" w:lineRule="auto"/>
        <w:rPr>
          <w:rFonts w:ascii="Simplified Arabic" w:hAnsi="Simplified Arabic" w:cs="Simplified Arabic"/>
          <w:noProof/>
          <w:sz w:val="28"/>
          <w:szCs w:val="28"/>
          <w:rtl/>
        </w:rPr>
      </w:pPr>
    </w:p>
    <w:p w14:paraId="1EB4FC84" w14:textId="77777777" w:rsidR="00E23305" w:rsidRPr="00236417" w:rsidRDefault="00E23305" w:rsidP="00A420D1">
      <w:pPr>
        <w:spacing w:line="360" w:lineRule="auto"/>
        <w:rPr>
          <w:rFonts w:ascii="Simplified Arabic" w:hAnsi="Simplified Arabic" w:cs="Simplified Arabic"/>
          <w:noProof/>
          <w:sz w:val="28"/>
          <w:szCs w:val="28"/>
          <w:rtl/>
        </w:rPr>
      </w:pPr>
    </w:p>
    <w:p w14:paraId="0862C0D7" w14:textId="77777777" w:rsidR="00E23305" w:rsidRPr="00236417" w:rsidRDefault="00E23305" w:rsidP="00A420D1">
      <w:pPr>
        <w:spacing w:line="360" w:lineRule="auto"/>
        <w:rPr>
          <w:rFonts w:ascii="Simplified Arabic" w:hAnsi="Simplified Arabic" w:cs="Simplified Arabic"/>
          <w:noProof/>
          <w:sz w:val="28"/>
          <w:szCs w:val="28"/>
          <w:rtl/>
        </w:rPr>
      </w:pPr>
    </w:p>
    <w:p w14:paraId="63E6F60E" w14:textId="77777777" w:rsidR="00E23305" w:rsidRPr="00236417" w:rsidRDefault="00E23305" w:rsidP="00A420D1">
      <w:pPr>
        <w:spacing w:line="360" w:lineRule="auto"/>
        <w:rPr>
          <w:rFonts w:ascii="Simplified Arabic" w:hAnsi="Simplified Arabic" w:cs="Simplified Arabic"/>
          <w:noProof/>
          <w:sz w:val="28"/>
          <w:szCs w:val="28"/>
          <w:rtl/>
        </w:rPr>
      </w:pPr>
    </w:p>
    <w:p w14:paraId="29C3B4A1" w14:textId="77777777" w:rsidR="00E23305" w:rsidRPr="00236417" w:rsidRDefault="00E23305" w:rsidP="00A420D1">
      <w:pPr>
        <w:spacing w:line="360" w:lineRule="auto"/>
        <w:rPr>
          <w:rFonts w:ascii="Simplified Arabic" w:hAnsi="Simplified Arabic" w:cs="Simplified Arabic"/>
          <w:noProof/>
          <w:sz w:val="28"/>
          <w:szCs w:val="28"/>
          <w:rtl/>
        </w:rPr>
      </w:pPr>
    </w:p>
    <w:p w14:paraId="02680549" w14:textId="77777777" w:rsidR="00E23305" w:rsidRPr="00236417" w:rsidRDefault="00E23305" w:rsidP="00A420D1">
      <w:pPr>
        <w:spacing w:line="360" w:lineRule="auto"/>
        <w:rPr>
          <w:rFonts w:ascii="Simplified Arabic" w:hAnsi="Simplified Arabic" w:cs="Simplified Arabic"/>
          <w:noProof/>
          <w:sz w:val="28"/>
          <w:szCs w:val="28"/>
          <w:rtl/>
        </w:rPr>
      </w:pPr>
    </w:p>
    <w:p w14:paraId="5DE83CDD" w14:textId="77777777" w:rsidR="00E23305" w:rsidRPr="00236417" w:rsidRDefault="00E23305" w:rsidP="00A420D1">
      <w:pPr>
        <w:spacing w:line="360" w:lineRule="auto"/>
        <w:rPr>
          <w:rFonts w:ascii="Simplified Arabic" w:hAnsi="Simplified Arabic" w:cs="Simplified Arabic"/>
          <w:noProof/>
          <w:sz w:val="28"/>
          <w:szCs w:val="28"/>
          <w:rtl/>
        </w:rPr>
      </w:pPr>
    </w:p>
    <w:p w14:paraId="432BFACB" w14:textId="77777777" w:rsidR="00E23305" w:rsidRPr="00236417" w:rsidRDefault="00E23305" w:rsidP="00A420D1">
      <w:pPr>
        <w:spacing w:line="360" w:lineRule="auto"/>
        <w:rPr>
          <w:rFonts w:ascii="Simplified Arabic" w:hAnsi="Simplified Arabic" w:cs="Simplified Arabic"/>
          <w:noProof/>
          <w:sz w:val="28"/>
          <w:szCs w:val="28"/>
          <w:rtl/>
        </w:rPr>
      </w:pPr>
    </w:p>
    <w:p w14:paraId="7AAABF9A" w14:textId="77777777" w:rsidR="005D5E47" w:rsidRPr="00236417" w:rsidRDefault="005D5E47" w:rsidP="00A420D1">
      <w:pPr>
        <w:spacing w:line="360" w:lineRule="auto"/>
        <w:rPr>
          <w:rFonts w:ascii="Simplified Arabic" w:hAnsi="Simplified Arabic" w:cs="Simplified Arabic"/>
          <w:noProof/>
          <w:sz w:val="28"/>
          <w:szCs w:val="28"/>
          <w:rtl/>
        </w:rPr>
      </w:pPr>
    </w:p>
    <w:sectPr w:rsidR="005D5E47" w:rsidRPr="00236417" w:rsidSect="00FE186A">
      <w:footerReference w:type="default" r:id="rId17"/>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BBBF5" w14:textId="77777777" w:rsidR="00EC58B6" w:rsidRDefault="00EC58B6" w:rsidP="00EC58B6">
      <w:pPr>
        <w:spacing w:after="0" w:line="240" w:lineRule="auto"/>
      </w:pPr>
      <w:r>
        <w:separator/>
      </w:r>
    </w:p>
  </w:endnote>
  <w:endnote w:type="continuationSeparator" w:id="0">
    <w:p w14:paraId="7BCAAD11" w14:textId="77777777" w:rsidR="00EC58B6" w:rsidRDefault="00EC58B6" w:rsidP="00EC5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64942061"/>
      <w:docPartObj>
        <w:docPartGallery w:val="Page Numbers (Bottom of Page)"/>
        <w:docPartUnique/>
      </w:docPartObj>
    </w:sdtPr>
    <w:sdtContent>
      <w:p w14:paraId="2E13F436" w14:textId="14BCC3BC" w:rsidR="00EC58B6" w:rsidRDefault="00EC58B6">
        <w:pPr>
          <w:pStyle w:val="ad"/>
          <w:jc w:val="center"/>
        </w:pPr>
        <w:r>
          <w:fldChar w:fldCharType="begin"/>
        </w:r>
        <w:r>
          <w:instrText>PAGE   \* MERGEFORMAT</w:instrText>
        </w:r>
        <w:r>
          <w:fldChar w:fldCharType="separate"/>
        </w:r>
        <w:r>
          <w:rPr>
            <w:rtl/>
            <w:lang w:val="ar-SA"/>
          </w:rPr>
          <w:t>2</w:t>
        </w:r>
        <w:r>
          <w:fldChar w:fldCharType="end"/>
        </w:r>
      </w:p>
    </w:sdtContent>
  </w:sdt>
  <w:p w14:paraId="40F40620" w14:textId="77777777" w:rsidR="00EC58B6" w:rsidRDefault="00EC58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01441" w14:textId="77777777" w:rsidR="00EC58B6" w:rsidRDefault="00EC58B6" w:rsidP="00EC58B6">
      <w:pPr>
        <w:spacing w:after="0" w:line="240" w:lineRule="auto"/>
      </w:pPr>
      <w:r>
        <w:separator/>
      </w:r>
    </w:p>
  </w:footnote>
  <w:footnote w:type="continuationSeparator" w:id="0">
    <w:p w14:paraId="694F13BD" w14:textId="77777777" w:rsidR="00EC58B6" w:rsidRDefault="00EC58B6" w:rsidP="00EC5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765"/>
    <w:multiLevelType w:val="hybridMultilevel"/>
    <w:tmpl w:val="3F10CB26"/>
    <w:lvl w:ilvl="0" w:tplc="12C0CCF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F2FCE"/>
    <w:multiLevelType w:val="hybridMultilevel"/>
    <w:tmpl w:val="720EDF82"/>
    <w:lvl w:ilvl="0" w:tplc="17AA487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43E51"/>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920468"/>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F64A69"/>
    <w:multiLevelType w:val="hybridMultilevel"/>
    <w:tmpl w:val="A04C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D92CCA"/>
    <w:multiLevelType w:val="multilevel"/>
    <w:tmpl w:val="DCFE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1499D"/>
    <w:multiLevelType w:val="hybridMultilevel"/>
    <w:tmpl w:val="F828D54C"/>
    <w:lvl w:ilvl="0" w:tplc="55BA492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25C97"/>
    <w:multiLevelType w:val="multilevel"/>
    <w:tmpl w:val="A8066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E46CF9"/>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640C88"/>
    <w:multiLevelType w:val="multilevel"/>
    <w:tmpl w:val="BDAAD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DC1B3B"/>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E83299"/>
    <w:multiLevelType w:val="multilevel"/>
    <w:tmpl w:val="A68E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DE6D7B"/>
    <w:multiLevelType w:val="multilevel"/>
    <w:tmpl w:val="AFD4FBA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C25ABF"/>
    <w:multiLevelType w:val="multilevel"/>
    <w:tmpl w:val="34F8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C539F9"/>
    <w:multiLevelType w:val="hybridMultilevel"/>
    <w:tmpl w:val="DAB29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D47CCA"/>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E52D4B"/>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F93345"/>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8C064B"/>
    <w:multiLevelType w:val="multilevel"/>
    <w:tmpl w:val="AFD4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768715">
    <w:abstractNumId w:val="7"/>
  </w:num>
  <w:num w:numId="2" w16cid:durableId="173765487">
    <w:abstractNumId w:val="8"/>
  </w:num>
  <w:num w:numId="3" w16cid:durableId="326254187">
    <w:abstractNumId w:val="9"/>
  </w:num>
  <w:num w:numId="4" w16cid:durableId="890116451">
    <w:abstractNumId w:val="13"/>
  </w:num>
  <w:num w:numId="5" w16cid:durableId="939414577">
    <w:abstractNumId w:val="2"/>
  </w:num>
  <w:num w:numId="6" w16cid:durableId="1240554416">
    <w:abstractNumId w:val="14"/>
  </w:num>
  <w:num w:numId="7" w16cid:durableId="802044308">
    <w:abstractNumId w:val="15"/>
  </w:num>
  <w:num w:numId="8" w16cid:durableId="212623502">
    <w:abstractNumId w:val="5"/>
  </w:num>
  <w:num w:numId="9" w16cid:durableId="282998373">
    <w:abstractNumId w:val="17"/>
  </w:num>
  <w:num w:numId="10" w16cid:durableId="1414474884">
    <w:abstractNumId w:val="16"/>
  </w:num>
  <w:num w:numId="11" w16cid:durableId="1375082787">
    <w:abstractNumId w:val="10"/>
  </w:num>
  <w:num w:numId="12" w16cid:durableId="1265573581">
    <w:abstractNumId w:val="3"/>
  </w:num>
  <w:num w:numId="13" w16cid:durableId="1110856609">
    <w:abstractNumId w:val="1"/>
  </w:num>
  <w:num w:numId="14" w16cid:durableId="1752463889">
    <w:abstractNumId w:val="11"/>
  </w:num>
  <w:num w:numId="15" w16cid:durableId="710879865">
    <w:abstractNumId w:val="18"/>
  </w:num>
  <w:num w:numId="16" w16cid:durableId="1315723356">
    <w:abstractNumId w:val="12"/>
  </w:num>
  <w:num w:numId="17" w16cid:durableId="1669405454">
    <w:abstractNumId w:val="4"/>
  </w:num>
  <w:num w:numId="18" w16cid:durableId="392505760">
    <w:abstractNumId w:val="0"/>
  </w:num>
  <w:num w:numId="19" w16cid:durableId="12666885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BD"/>
    <w:rsid w:val="00011A59"/>
    <w:rsid w:val="00014F72"/>
    <w:rsid w:val="00030885"/>
    <w:rsid w:val="00062432"/>
    <w:rsid w:val="000644B2"/>
    <w:rsid w:val="000A1546"/>
    <w:rsid w:val="000A271E"/>
    <w:rsid w:val="000B4416"/>
    <w:rsid w:val="00100EBF"/>
    <w:rsid w:val="00141923"/>
    <w:rsid w:val="0016359F"/>
    <w:rsid w:val="00175AE0"/>
    <w:rsid w:val="00190E5A"/>
    <w:rsid w:val="001A6FBE"/>
    <w:rsid w:val="001B1700"/>
    <w:rsid w:val="001C19C0"/>
    <w:rsid w:val="001C53F2"/>
    <w:rsid w:val="001C7E33"/>
    <w:rsid w:val="001D2043"/>
    <w:rsid w:val="001D5962"/>
    <w:rsid w:val="001F2148"/>
    <w:rsid w:val="0020042C"/>
    <w:rsid w:val="00212D31"/>
    <w:rsid w:val="00220DDB"/>
    <w:rsid w:val="00235BCF"/>
    <w:rsid w:val="00236417"/>
    <w:rsid w:val="00241F72"/>
    <w:rsid w:val="00247843"/>
    <w:rsid w:val="00253A20"/>
    <w:rsid w:val="002639DF"/>
    <w:rsid w:val="00271447"/>
    <w:rsid w:val="00282730"/>
    <w:rsid w:val="002A16AF"/>
    <w:rsid w:val="002A5315"/>
    <w:rsid w:val="002B3343"/>
    <w:rsid w:val="002B7490"/>
    <w:rsid w:val="002D73EC"/>
    <w:rsid w:val="002E2D6B"/>
    <w:rsid w:val="002E5C2B"/>
    <w:rsid w:val="002F4014"/>
    <w:rsid w:val="00304402"/>
    <w:rsid w:val="00315190"/>
    <w:rsid w:val="00323F3F"/>
    <w:rsid w:val="00337BA1"/>
    <w:rsid w:val="00343C13"/>
    <w:rsid w:val="00344B45"/>
    <w:rsid w:val="00373295"/>
    <w:rsid w:val="00380584"/>
    <w:rsid w:val="00392D38"/>
    <w:rsid w:val="003B0278"/>
    <w:rsid w:val="003B5235"/>
    <w:rsid w:val="003C0596"/>
    <w:rsid w:val="003D59A4"/>
    <w:rsid w:val="0041729D"/>
    <w:rsid w:val="00432CC0"/>
    <w:rsid w:val="00441364"/>
    <w:rsid w:val="00456CDB"/>
    <w:rsid w:val="004625D6"/>
    <w:rsid w:val="004718DB"/>
    <w:rsid w:val="00481CB5"/>
    <w:rsid w:val="00494D57"/>
    <w:rsid w:val="004B4400"/>
    <w:rsid w:val="004B4F65"/>
    <w:rsid w:val="004B5D6D"/>
    <w:rsid w:val="004C623E"/>
    <w:rsid w:val="004D57E5"/>
    <w:rsid w:val="004E23C8"/>
    <w:rsid w:val="004F3EF4"/>
    <w:rsid w:val="004F7DF9"/>
    <w:rsid w:val="00526F89"/>
    <w:rsid w:val="00533E68"/>
    <w:rsid w:val="00543799"/>
    <w:rsid w:val="005621AF"/>
    <w:rsid w:val="0057744C"/>
    <w:rsid w:val="00592CA5"/>
    <w:rsid w:val="005A2BBD"/>
    <w:rsid w:val="005D0EED"/>
    <w:rsid w:val="005D5E47"/>
    <w:rsid w:val="005E4A5F"/>
    <w:rsid w:val="005F4BB0"/>
    <w:rsid w:val="00607868"/>
    <w:rsid w:val="0061592F"/>
    <w:rsid w:val="00622647"/>
    <w:rsid w:val="00631461"/>
    <w:rsid w:val="00633F34"/>
    <w:rsid w:val="00634D43"/>
    <w:rsid w:val="00650C1F"/>
    <w:rsid w:val="00664F73"/>
    <w:rsid w:val="0069474A"/>
    <w:rsid w:val="006A1003"/>
    <w:rsid w:val="006B65A9"/>
    <w:rsid w:val="006C1B93"/>
    <w:rsid w:val="006D29A2"/>
    <w:rsid w:val="006E486F"/>
    <w:rsid w:val="00702227"/>
    <w:rsid w:val="0071208E"/>
    <w:rsid w:val="007120B8"/>
    <w:rsid w:val="007124CB"/>
    <w:rsid w:val="0072321E"/>
    <w:rsid w:val="00727E60"/>
    <w:rsid w:val="007358FF"/>
    <w:rsid w:val="00747857"/>
    <w:rsid w:val="00761376"/>
    <w:rsid w:val="00767B37"/>
    <w:rsid w:val="00771604"/>
    <w:rsid w:val="00787ACB"/>
    <w:rsid w:val="00790C9F"/>
    <w:rsid w:val="007B2D52"/>
    <w:rsid w:val="007B3A24"/>
    <w:rsid w:val="007C62CF"/>
    <w:rsid w:val="007E23DA"/>
    <w:rsid w:val="007F14C2"/>
    <w:rsid w:val="0080019C"/>
    <w:rsid w:val="0080345D"/>
    <w:rsid w:val="0082213D"/>
    <w:rsid w:val="00826577"/>
    <w:rsid w:val="0082791A"/>
    <w:rsid w:val="00833E6B"/>
    <w:rsid w:val="0086106D"/>
    <w:rsid w:val="00861AC8"/>
    <w:rsid w:val="00877380"/>
    <w:rsid w:val="008B6BD3"/>
    <w:rsid w:val="008D3D8D"/>
    <w:rsid w:val="008E65F3"/>
    <w:rsid w:val="009024F7"/>
    <w:rsid w:val="0090746F"/>
    <w:rsid w:val="009213F9"/>
    <w:rsid w:val="009308BD"/>
    <w:rsid w:val="009328EA"/>
    <w:rsid w:val="00945398"/>
    <w:rsid w:val="00961871"/>
    <w:rsid w:val="00962743"/>
    <w:rsid w:val="009628AD"/>
    <w:rsid w:val="00962E24"/>
    <w:rsid w:val="00965376"/>
    <w:rsid w:val="00977EE3"/>
    <w:rsid w:val="00984B30"/>
    <w:rsid w:val="009941EE"/>
    <w:rsid w:val="00995806"/>
    <w:rsid w:val="009959C1"/>
    <w:rsid w:val="009A6447"/>
    <w:rsid w:val="009A6613"/>
    <w:rsid w:val="009B37C8"/>
    <w:rsid w:val="009B570D"/>
    <w:rsid w:val="009C29D9"/>
    <w:rsid w:val="009C573E"/>
    <w:rsid w:val="009E23F2"/>
    <w:rsid w:val="009E6CEC"/>
    <w:rsid w:val="009F3840"/>
    <w:rsid w:val="00A01A28"/>
    <w:rsid w:val="00A057A4"/>
    <w:rsid w:val="00A12E09"/>
    <w:rsid w:val="00A13B11"/>
    <w:rsid w:val="00A420D1"/>
    <w:rsid w:val="00A54EE5"/>
    <w:rsid w:val="00A67407"/>
    <w:rsid w:val="00A73F04"/>
    <w:rsid w:val="00AB445A"/>
    <w:rsid w:val="00AD08A4"/>
    <w:rsid w:val="00AD7A8D"/>
    <w:rsid w:val="00AE7BF9"/>
    <w:rsid w:val="00AF5E5A"/>
    <w:rsid w:val="00B176A0"/>
    <w:rsid w:val="00B22C76"/>
    <w:rsid w:val="00B26E18"/>
    <w:rsid w:val="00B36D45"/>
    <w:rsid w:val="00B42A37"/>
    <w:rsid w:val="00B60233"/>
    <w:rsid w:val="00B72878"/>
    <w:rsid w:val="00B825D9"/>
    <w:rsid w:val="00B840D5"/>
    <w:rsid w:val="00BA5667"/>
    <w:rsid w:val="00BC30F3"/>
    <w:rsid w:val="00BD627F"/>
    <w:rsid w:val="00BE2EAB"/>
    <w:rsid w:val="00BF5585"/>
    <w:rsid w:val="00C0152D"/>
    <w:rsid w:val="00C0449B"/>
    <w:rsid w:val="00C30482"/>
    <w:rsid w:val="00C46D7F"/>
    <w:rsid w:val="00C56D93"/>
    <w:rsid w:val="00CA130E"/>
    <w:rsid w:val="00CA2049"/>
    <w:rsid w:val="00CC40BA"/>
    <w:rsid w:val="00CD25D1"/>
    <w:rsid w:val="00CD59DE"/>
    <w:rsid w:val="00CD67F2"/>
    <w:rsid w:val="00CE7357"/>
    <w:rsid w:val="00D036F1"/>
    <w:rsid w:val="00D073CE"/>
    <w:rsid w:val="00D32A4D"/>
    <w:rsid w:val="00D40D35"/>
    <w:rsid w:val="00D50F07"/>
    <w:rsid w:val="00D535EE"/>
    <w:rsid w:val="00D56600"/>
    <w:rsid w:val="00D62866"/>
    <w:rsid w:val="00D7371B"/>
    <w:rsid w:val="00D84B4E"/>
    <w:rsid w:val="00D90EB4"/>
    <w:rsid w:val="00D9192D"/>
    <w:rsid w:val="00DC5DEE"/>
    <w:rsid w:val="00DD3DF8"/>
    <w:rsid w:val="00DF404E"/>
    <w:rsid w:val="00E01DBD"/>
    <w:rsid w:val="00E04716"/>
    <w:rsid w:val="00E163FB"/>
    <w:rsid w:val="00E165D9"/>
    <w:rsid w:val="00E17D71"/>
    <w:rsid w:val="00E23305"/>
    <w:rsid w:val="00E27372"/>
    <w:rsid w:val="00E34FF5"/>
    <w:rsid w:val="00E43F86"/>
    <w:rsid w:val="00E6072A"/>
    <w:rsid w:val="00E661A1"/>
    <w:rsid w:val="00EA12D5"/>
    <w:rsid w:val="00EB54D1"/>
    <w:rsid w:val="00EB7487"/>
    <w:rsid w:val="00EC58B6"/>
    <w:rsid w:val="00EC6BD8"/>
    <w:rsid w:val="00EE072E"/>
    <w:rsid w:val="00EF4E9D"/>
    <w:rsid w:val="00F0440B"/>
    <w:rsid w:val="00F224BF"/>
    <w:rsid w:val="00F2624A"/>
    <w:rsid w:val="00F262BD"/>
    <w:rsid w:val="00F26363"/>
    <w:rsid w:val="00F32598"/>
    <w:rsid w:val="00F518CC"/>
    <w:rsid w:val="00F560B2"/>
    <w:rsid w:val="00F80528"/>
    <w:rsid w:val="00F84646"/>
    <w:rsid w:val="00F87744"/>
    <w:rsid w:val="00F942F3"/>
    <w:rsid w:val="00FB6E46"/>
    <w:rsid w:val="00FE186A"/>
    <w:rsid w:val="00FE3C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619ED"/>
  <w15:chartTrackingRefBased/>
  <w15:docId w15:val="{5F3B0D84-A079-469F-BFE9-9D7A83974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A2B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A2B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2BB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2BB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2BB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2B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2B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2B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2B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2BB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A2BB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2BB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2BB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2BBD"/>
    <w:rPr>
      <w:rFonts w:eastAsiaTheme="majorEastAsia" w:cstheme="majorBidi"/>
      <w:color w:val="0F4761" w:themeColor="accent1" w:themeShade="BF"/>
    </w:rPr>
  </w:style>
  <w:style w:type="character" w:customStyle="1" w:styleId="6Char">
    <w:name w:val="عنوان 6 Char"/>
    <w:basedOn w:val="a0"/>
    <w:link w:val="6"/>
    <w:uiPriority w:val="9"/>
    <w:semiHidden/>
    <w:rsid w:val="005A2BBD"/>
    <w:rPr>
      <w:rFonts w:eastAsiaTheme="majorEastAsia" w:cstheme="majorBidi"/>
      <w:i/>
      <w:iCs/>
      <w:color w:val="595959" w:themeColor="text1" w:themeTint="A6"/>
    </w:rPr>
  </w:style>
  <w:style w:type="character" w:customStyle="1" w:styleId="7Char">
    <w:name w:val="عنوان 7 Char"/>
    <w:basedOn w:val="a0"/>
    <w:link w:val="7"/>
    <w:uiPriority w:val="9"/>
    <w:semiHidden/>
    <w:rsid w:val="005A2BBD"/>
    <w:rPr>
      <w:rFonts w:eastAsiaTheme="majorEastAsia" w:cstheme="majorBidi"/>
      <w:color w:val="595959" w:themeColor="text1" w:themeTint="A6"/>
    </w:rPr>
  </w:style>
  <w:style w:type="character" w:customStyle="1" w:styleId="8Char">
    <w:name w:val="عنوان 8 Char"/>
    <w:basedOn w:val="a0"/>
    <w:link w:val="8"/>
    <w:uiPriority w:val="9"/>
    <w:semiHidden/>
    <w:rsid w:val="005A2BBD"/>
    <w:rPr>
      <w:rFonts w:eastAsiaTheme="majorEastAsia" w:cstheme="majorBidi"/>
      <w:i/>
      <w:iCs/>
      <w:color w:val="272727" w:themeColor="text1" w:themeTint="D8"/>
    </w:rPr>
  </w:style>
  <w:style w:type="character" w:customStyle="1" w:styleId="9Char">
    <w:name w:val="عنوان 9 Char"/>
    <w:basedOn w:val="a0"/>
    <w:link w:val="9"/>
    <w:uiPriority w:val="9"/>
    <w:semiHidden/>
    <w:rsid w:val="005A2BBD"/>
    <w:rPr>
      <w:rFonts w:eastAsiaTheme="majorEastAsia" w:cstheme="majorBidi"/>
      <w:color w:val="272727" w:themeColor="text1" w:themeTint="D8"/>
    </w:rPr>
  </w:style>
  <w:style w:type="paragraph" w:styleId="a3">
    <w:name w:val="Title"/>
    <w:basedOn w:val="a"/>
    <w:next w:val="a"/>
    <w:link w:val="Char"/>
    <w:uiPriority w:val="10"/>
    <w:qFormat/>
    <w:rsid w:val="005A2B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2BB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2BB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2BB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2BBD"/>
    <w:pPr>
      <w:spacing w:before="160"/>
      <w:jc w:val="center"/>
    </w:pPr>
    <w:rPr>
      <w:i/>
      <w:iCs/>
      <w:color w:val="404040" w:themeColor="text1" w:themeTint="BF"/>
    </w:rPr>
  </w:style>
  <w:style w:type="character" w:customStyle="1" w:styleId="Char1">
    <w:name w:val="اقتباس Char"/>
    <w:basedOn w:val="a0"/>
    <w:link w:val="a5"/>
    <w:uiPriority w:val="29"/>
    <w:rsid w:val="005A2BBD"/>
    <w:rPr>
      <w:i/>
      <w:iCs/>
      <w:color w:val="404040" w:themeColor="text1" w:themeTint="BF"/>
    </w:rPr>
  </w:style>
  <w:style w:type="paragraph" w:styleId="a6">
    <w:name w:val="List Paragraph"/>
    <w:basedOn w:val="a"/>
    <w:uiPriority w:val="34"/>
    <w:qFormat/>
    <w:rsid w:val="005A2BBD"/>
    <w:pPr>
      <w:ind w:left="720"/>
      <w:contextualSpacing/>
    </w:pPr>
  </w:style>
  <w:style w:type="character" w:styleId="a7">
    <w:name w:val="Intense Emphasis"/>
    <w:basedOn w:val="a0"/>
    <w:uiPriority w:val="21"/>
    <w:qFormat/>
    <w:rsid w:val="005A2BBD"/>
    <w:rPr>
      <w:i/>
      <w:iCs/>
      <w:color w:val="0F4761" w:themeColor="accent1" w:themeShade="BF"/>
    </w:rPr>
  </w:style>
  <w:style w:type="paragraph" w:styleId="a8">
    <w:name w:val="Intense Quote"/>
    <w:basedOn w:val="a"/>
    <w:next w:val="a"/>
    <w:link w:val="Char2"/>
    <w:uiPriority w:val="30"/>
    <w:qFormat/>
    <w:rsid w:val="005A2B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A2BBD"/>
    <w:rPr>
      <w:i/>
      <w:iCs/>
      <w:color w:val="0F4761" w:themeColor="accent1" w:themeShade="BF"/>
    </w:rPr>
  </w:style>
  <w:style w:type="character" w:styleId="a9">
    <w:name w:val="Intense Reference"/>
    <w:basedOn w:val="a0"/>
    <w:uiPriority w:val="32"/>
    <w:qFormat/>
    <w:rsid w:val="005A2BBD"/>
    <w:rPr>
      <w:b/>
      <w:bCs/>
      <w:smallCaps/>
      <w:color w:val="0F4761" w:themeColor="accent1" w:themeShade="BF"/>
      <w:spacing w:val="5"/>
    </w:rPr>
  </w:style>
  <w:style w:type="table" w:styleId="aa">
    <w:name w:val="Table Grid"/>
    <w:basedOn w:val="a1"/>
    <w:uiPriority w:val="39"/>
    <w:rsid w:val="00C46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A73F0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6314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7-1">
    <w:name w:val="Grid Table 7 Colorful Accent 1"/>
    <w:basedOn w:val="a1"/>
    <w:uiPriority w:val="52"/>
    <w:rsid w:val="00B26E18"/>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5-1">
    <w:name w:val="Grid Table 5 Dark Accent 1"/>
    <w:basedOn w:val="a1"/>
    <w:uiPriority w:val="50"/>
    <w:rsid w:val="00B26E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31">
    <w:name w:val="Grid Table 3"/>
    <w:basedOn w:val="a1"/>
    <w:uiPriority w:val="48"/>
    <w:rsid w:val="00B26E1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2">
    <w:name w:val="Grid Table 3 Accent 2"/>
    <w:basedOn w:val="a1"/>
    <w:uiPriority w:val="48"/>
    <w:rsid w:val="006D29A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50">
    <w:name w:val="Grid Table 5 Dark"/>
    <w:basedOn w:val="a1"/>
    <w:uiPriority w:val="50"/>
    <w:rsid w:val="006D29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20">
    <w:name w:val="List Table 3 Accent 2"/>
    <w:basedOn w:val="a1"/>
    <w:uiPriority w:val="48"/>
    <w:rsid w:val="0082213D"/>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paragraph" w:styleId="ab">
    <w:name w:val="TOC Heading"/>
    <w:basedOn w:val="1"/>
    <w:next w:val="a"/>
    <w:uiPriority w:val="39"/>
    <w:unhideWhenUsed/>
    <w:qFormat/>
    <w:rsid w:val="00771604"/>
    <w:pPr>
      <w:spacing w:before="240" w:after="0"/>
      <w:outlineLvl w:val="9"/>
    </w:pPr>
    <w:rPr>
      <w:kern w:val="0"/>
      <w:sz w:val="32"/>
      <w:szCs w:val="32"/>
      <w:rtl/>
      <w14:ligatures w14:val="none"/>
    </w:rPr>
  </w:style>
  <w:style w:type="paragraph" w:customStyle="1" w:styleId="11">
    <w:name w:val="نمط1"/>
    <w:basedOn w:val="1"/>
    <w:next w:val="1"/>
    <w:link w:val="1Char0"/>
    <w:qFormat/>
    <w:rsid w:val="003B5235"/>
    <w:pPr>
      <w:spacing w:line="360" w:lineRule="auto"/>
    </w:pPr>
    <w:rPr>
      <w:rFonts w:ascii="Simplified Arabic" w:hAnsi="Simplified Arabic" w:cs="Simplified Arabic"/>
      <w:b/>
      <w:bCs/>
      <w:color w:val="000000" w:themeColor="text1"/>
      <w:sz w:val="32"/>
      <w:szCs w:val="36"/>
    </w:rPr>
  </w:style>
  <w:style w:type="character" w:customStyle="1" w:styleId="1Char0">
    <w:name w:val="نمط1 Char"/>
    <w:basedOn w:val="1Char"/>
    <w:link w:val="11"/>
    <w:rsid w:val="003B5235"/>
    <w:rPr>
      <w:rFonts w:ascii="Simplified Arabic" w:eastAsiaTheme="majorEastAsia" w:hAnsi="Simplified Arabic" w:cs="Simplified Arabic"/>
      <w:b/>
      <w:bCs/>
      <w:color w:val="000000" w:themeColor="text1"/>
      <w:sz w:val="32"/>
      <w:szCs w:val="36"/>
    </w:rPr>
  </w:style>
  <w:style w:type="paragraph" w:styleId="12">
    <w:name w:val="toc 1"/>
    <w:basedOn w:val="a"/>
    <w:next w:val="a"/>
    <w:autoRedefine/>
    <w:uiPriority w:val="39"/>
    <w:unhideWhenUsed/>
    <w:rsid w:val="004B4400"/>
    <w:pPr>
      <w:bidi w:val="0"/>
      <w:spacing w:before="120" w:after="120"/>
    </w:pPr>
    <w:rPr>
      <w:rFonts w:cs="Times New Roman"/>
      <w:b/>
      <w:bCs/>
      <w:caps/>
      <w:sz w:val="20"/>
      <w:szCs w:val="24"/>
    </w:rPr>
  </w:style>
  <w:style w:type="character" w:styleId="Hyperlink">
    <w:name w:val="Hyperlink"/>
    <w:basedOn w:val="a0"/>
    <w:uiPriority w:val="99"/>
    <w:unhideWhenUsed/>
    <w:rsid w:val="007358FF"/>
    <w:rPr>
      <w:color w:val="467886" w:themeColor="hyperlink"/>
      <w:u w:val="single"/>
    </w:rPr>
  </w:style>
  <w:style w:type="paragraph" w:styleId="20">
    <w:name w:val="toc 2"/>
    <w:basedOn w:val="a"/>
    <w:next w:val="a"/>
    <w:autoRedefine/>
    <w:uiPriority w:val="39"/>
    <w:unhideWhenUsed/>
    <w:rsid w:val="00100EBF"/>
    <w:pPr>
      <w:bidi w:val="0"/>
      <w:spacing w:after="0"/>
      <w:ind w:left="220"/>
    </w:pPr>
    <w:rPr>
      <w:rFonts w:cs="Times New Roman"/>
      <w:smallCaps/>
      <w:sz w:val="20"/>
      <w:szCs w:val="24"/>
    </w:rPr>
  </w:style>
  <w:style w:type="paragraph" w:styleId="32">
    <w:name w:val="toc 3"/>
    <w:basedOn w:val="a"/>
    <w:next w:val="a"/>
    <w:autoRedefine/>
    <w:uiPriority w:val="39"/>
    <w:unhideWhenUsed/>
    <w:rsid w:val="00AD08A4"/>
    <w:pPr>
      <w:bidi w:val="0"/>
      <w:spacing w:after="0"/>
      <w:ind w:left="440"/>
    </w:pPr>
    <w:rPr>
      <w:rFonts w:cs="Times New Roman"/>
      <w:i/>
      <w:iCs/>
      <w:sz w:val="20"/>
      <w:szCs w:val="24"/>
    </w:rPr>
  </w:style>
  <w:style w:type="paragraph" w:customStyle="1" w:styleId="21">
    <w:name w:val="نمط2"/>
    <w:basedOn w:val="2"/>
    <w:next w:val="2"/>
    <w:link w:val="2Char0"/>
    <w:qFormat/>
    <w:rsid w:val="00861AC8"/>
    <w:pPr>
      <w:spacing w:after="120" w:line="360" w:lineRule="auto"/>
    </w:pPr>
    <w:rPr>
      <w:rFonts w:ascii="Simplified Arabic" w:hAnsi="Simplified Arabic" w:cs="Simplified Arabic"/>
      <w:b/>
      <w:bCs/>
      <w:color w:val="000000" w:themeColor="text1"/>
    </w:rPr>
  </w:style>
  <w:style w:type="character" w:customStyle="1" w:styleId="2Char0">
    <w:name w:val="نمط2 Char"/>
    <w:basedOn w:val="a0"/>
    <w:link w:val="21"/>
    <w:rsid w:val="00861AC8"/>
    <w:rPr>
      <w:rFonts w:ascii="Simplified Arabic" w:eastAsiaTheme="majorEastAsia" w:hAnsi="Simplified Arabic" w:cs="Simplified Arabic"/>
      <w:b/>
      <w:bCs/>
      <w:color w:val="000000" w:themeColor="text1"/>
      <w:sz w:val="32"/>
      <w:szCs w:val="32"/>
    </w:rPr>
  </w:style>
  <w:style w:type="paragraph" w:styleId="40">
    <w:name w:val="toc 4"/>
    <w:basedOn w:val="a"/>
    <w:next w:val="a"/>
    <w:autoRedefine/>
    <w:uiPriority w:val="39"/>
    <w:unhideWhenUsed/>
    <w:rsid w:val="00861AC8"/>
    <w:pPr>
      <w:bidi w:val="0"/>
      <w:spacing w:after="0"/>
      <w:ind w:left="660"/>
    </w:pPr>
    <w:rPr>
      <w:rFonts w:cs="Times New Roman"/>
      <w:sz w:val="18"/>
      <w:szCs w:val="21"/>
    </w:rPr>
  </w:style>
  <w:style w:type="paragraph" w:styleId="51">
    <w:name w:val="toc 5"/>
    <w:basedOn w:val="a"/>
    <w:next w:val="a"/>
    <w:autoRedefine/>
    <w:uiPriority w:val="39"/>
    <w:unhideWhenUsed/>
    <w:rsid w:val="00861AC8"/>
    <w:pPr>
      <w:bidi w:val="0"/>
      <w:spacing w:after="0"/>
      <w:ind w:left="880"/>
    </w:pPr>
    <w:rPr>
      <w:rFonts w:cs="Times New Roman"/>
      <w:sz w:val="18"/>
      <w:szCs w:val="21"/>
    </w:rPr>
  </w:style>
  <w:style w:type="paragraph" w:styleId="60">
    <w:name w:val="toc 6"/>
    <w:basedOn w:val="a"/>
    <w:next w:val="a"/>
    <w:autoRedefine/>
    <w:uiPriority w:val="39"/>
    <w:unhideWhenUsed/>
    <w:rsid w:val="00861AC8"/>
    <w:pPr>
      <w:bidi w:val="0"/>
      <w:spacing w:after="0"/>
      <w:ind w:left="1100"/>
    </w:pPr>
    <w:rPr>
      <w:rFonts w:cs="Times New Roman"/>
      <w:sz w:val="18"/>
      <w:szCs w:val="21"/>
    </w:rPr>
  </w:style>
  <w:style w:type="paragraph" w:styleId="70">
    <w:name w:val="toc 7"/>
    <w:basedOn w:val="a"/>
    <w:next w:val="a"/>
    <w:autoRedefine/>
    <w:uiPriority w:val="39"/>
    <w:unhideWhenUsed/>
    <w:rsid w:val="00861AC8"/>
    <w:pPr>
      <w:bidi w:val="0"/>
      <w:spacing w:after="0"/>
      <w:ind w:left="1320"/>
    </w:pPr>
    <w:rPr>
      <w:rFonts w:cs="Times New Roman"/>
      <w:sz w:val="18"/>
      <w:szCs w:val="21"/>
    </w:rPr>
  </w:style>
  <w:style w:type="paragraph" w:styleId="80">
    <w:name w:val="toc 8"/>
    <w:basedOn w:val="a"/>
    <w:next w:val="a"/>
    <w:autoRedefine/>
    <w:uiPriority w:val="39"/>
    <w:unhideWhenUsed/>
    <w:rsid w:val="00861AC8"/>
    <w:pPr>
      <w:bidi w:val="0"/>
      <w:spacing w:after="0"/>
      <w:ind w:left="1540"/>
    </w:pPr>
    <w:rPr>
      <w:rFonts w:cs="Times New Roman"/>
      <w:sz w:val="18"/>
      <w:szCs w:val="21"/>
    </w:rPr>
  </w:style>
  <w:style w:type="paragraph" w:styleId="90">
    <w:name w:val="toc 9"/>
    <w:basedOn w:val="a"/>
    <w:next w:val="a"/>
    <w:autoRedefine/>
    <w:uiPriority w:val="39"/>
    <w:unhideWhenUsed/>
    <w:rsid w:val="00861AC8"/>
    <w:pPr>
      <w:bidi w:val="0"/>
      <w:spacing w:after="0"/>
      <w:ind w:left="1760"/>
    </w:pPr>
    <w:rPr>
      <w:rFonts w:cs="Times New Roman"/>
      <w:sz w:val="18"/>
      <w:szCs w:val="21"/>
    </w:rPr>
  </w:style>
  <w:style w:type="paragraph" w:customStyle="1" w:styleId="33">
    <w:name w:val="نمط3"/>
    <w:basedOn w:val="3"/>
    <w:link w:val="3Char0"/>
    <w:qFormat/>
    <w:rsid w:val="003D59A4"/>
    <w:pPr>
      <w:spacing w:after="120" w:line="360" w:lineRule="auto"/>
    </w:pPr>
    <w:rPr>
      <w:rFonts w:ascii="Simplified Arabic" w:hAnsi="Simplified Arabic" w:cs="Simplified Arabic"/>
      <w:b/>
      <w:bCs/>
      <w:color w:val="000000" w:themeColor="text1"/>
    </w:rPr>
  </w:style>
  <w:style w:type="character" w:customStyle="1" w:styleId="3Char0">
    <w:name w:val="نمط3 Char"/>
    <w:basedOn w:val="3Char"/>
    <w:link w:val="33"/>
    <w:rsid w:val="003D59A4"/>
    <w:rPr>
      <w:rFonts w:ascii="Simplified Arabic" w:eastAsiaTheme="majorEastAsia" w:hAnsi="Simplified Arabic" w:cs="Simplified Arabic"/>
      <w:b/>
      <w:bCs/>
      <w:color w:val="000000" w:themeColor="text1"/>
      <w:sz w:val="28"/>
      <w:szCs w:val="28"/>
    </w:rPr>
  </w:style>
  <w:style w:type="paragraph" w:styleId="ac">
    <w:name w:val="header"/>
    <w:basedOn w:val="a"/>
    <w:link w:val="Char3"/>
    <w:uiPriority w:val="99"/>
    <w:unhideWhenUsed/>
    <w:rsid w:val="00EC58B6"/>
    <w:pPr>
      <w:tabs>
        <w:tab w:val="center" w:pos="4153"/>
        <w:tab w:val="right" w:pos="8306"/>
      </w:tabs>
      <w:spacing w:after="0" w:line="240" w:lineRule="auto"/>
    </w:pPr>
  </w:style>
  <w:style w:type="character" w:customStyle="1" w:styleId="Char3">
    <w:name w:val="رأس الصفحة Char"/>
    <w:basedOn w:val="a0"/>
    <w:link w:val="ac"/>
    <w:uiPriority w:val="99"/>
    <w:rsid w:val="00EC58B6"/>
  </w:style>
  <w:style w:type="paragraph" w:styleId="ad">
    <w:name w:val="footer"/>
    <w:basedOn w:val="a"/>
    <w:link w:val="Char4"/>
    <w:uiPriority w:val="99"/>
    <w:unhideWhenUsed/>
    <w:rsid w:val="00EC58B6"/>
    <w:pPr>
      <w:tabs>
        <w:tab w:val="center" w:pos="4153"/>
        <w:tab w:val="right" w:pos="8306"/>
      </w:tabs>
      <w:spacing w:after="0" w:line="240" w:lineRule="auto"/>
    </w:pPr>
  </w:style>
  <w:style w:type="character" w:customStyle="1" w:styleId="Char4">
    <w:name w:val="تذييل الصفحة Char"/>
    <w:basedOn w:val="a0"/>
    <w:link w:val="ad"/>
    <w:uiPriority w:val="99"/>
    <w:rsid w:val="00EC5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35F146-8A7F-4527-860B-C8D5212038F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pPr rtl="1"/>
          <a:endParaRPr lang="ar-SA"/>
        </a:p>
      </dgm:t>
    </dgm:pt>
    <dgm:pt modelId="{33E81DB5-EFE6-4D1A-B182-8BC2B966E781}">
      <dgm:prSet phldrT="[نص]"/>
      <dgm:spPr/>
      <dgm:t>
        <a:bodyPr/>
        <a:lstStyle/>
        <a:p>
          <a:pPr rtl="1"/>
          <a:r>
            <a:rPr lang="ar-SA">
              <a:latin typeface="Simplified Arabic" panose="02020603050405020304" pitchFamily="18" charset="-78"/>
              <a:cs typeface="Simplified Arabic" panose="02020603050405020304" pitchFamily="18" charset="-78"/>
            </a:rPr>
            <a:t>المتغير المستقل :</a:t>
          </a:r>
          <a:br>
            <a:rPr lang="ar-SA">
              <a:latin typeface="Simplified Arabic" panose="02020603050405020304" pitchFamily="18" charset="-78"/>
              <a:cs typeface="Simplified Arabic" panose="02020603050405020304" pitchFamily="18" charset="-78"/>
            </a:rPr>
          </a:br>
          <a:r>
            <a:rPr lang="ar-SA">
              <a:latin typeface="Simplified Arabic" panose="02020603050405020304" pitchFamily="18" charset="-78"/>
              <a:cs typeface="Simplified Arabic" panose="02020603050405020304" pitchFamily="18" charset="-78"/>
            </a:rPr>
            <a:t>التحول الرقمي وتطبيقات التجارة الالكترونية</a:t>
          </a:r>
        </a:p>
      </dgm:t>
    </dgm:pt>
    <dgm:pt modelId="{E94BA441-16F0-4F71-A53C-54ED3E85FADD}" type="parTrans" cxnId="{A2A711B4-921A-4706-9490-89A78562F8F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83D521E9-450F-4D5C-9C83-E0A6022854A1}" type="sibTrans" cxnId="{A2A711B4-921A-4706-9490-89A78562F8F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CC74B01A-6AF2-46CF-9C67-236C6F84CBA4}">
      <dgm:prSet phldrT="[نص]"/>
      <dgm:spPr/>
      <dgm:t>
        <a:bodyPr/>
        <a:lstStyle/>
        <a:p>
          <a:pPr rtl="1"/>
          <a:r>
            <a:rPr lang="ar-SA">
              <a:latin typeface="Simplified Arabic" panose="02020603050405020304" pitchFamily="18" charset="-78"/>
              <a:cs typeface="Simplified Arabic" panose="02020603050405020304" pitchFamily="18" charset="-78"/>
            </a:rPr>
            <a:t>المتغير التابع :       الأداء المالي</a:t>
          </a:r>
        </a:p>
      </dgm:t>
    </dgm:pt>
    <dgm:pt modelId="{A9BE7193-31EE-4ACC-9BE2-F493F785FC43}" type="parTrans" cxnId="{D6F3B14D-4B24-4C03-90EE-BB8AE4B91966}">
      <dgm:prSet/>
      <dgm:spPr/>
      <dgm:t>
        <a:bodyPr/>
        <a:lstStyle/>
        <a:p>
          <a:pPr rtl="1"/>
          <a:endParaRPr lang="ar-SA">
            <a:latin typeface="Simplified Arabic" panose="02020603050405020304" pitchFamily="18" charset="-78"/>
            <a:cs typeface="Simplified Arabic" panose="02020603050405020304" pitchFamily="18" charset="-78"/>
          </a:endParaRPr>
        </a:p>
      </dgm:t>
    </dgm:pt>
    <dgm:pt modelId="{F3889DC0-00F7-4348-BF3C-1C623D0312F7}" type="sibTrans" cxnId="{D6F3B14D-4B24-4C03-90EE-BB8AE4B91966}">
      <dgm:prSet/>
      <dgm:spPr/>
      <dgm:t>
        <a:bodyPr/>
        <a:lstStyle/>
        <a:p>
          <a:pPr rtl="1"/>
          <a:endParaRPr lang="ar-SA">
            <a:latin typeface="Simplified Arabic" panose="02020603050405020304" pitchFamily="18" charset="-78"/>
            <a:cs typeface="Simplified Arabic" panose="02020603050405020304" pitchFamily="18" charset="-78"/>
          </a:endParaRPr>
        </a:p>
      </dgm:t>
    </dgm:pt>
    <dgm:pt modelId="{9644A533-86B7-4131-8F17-74DDC7F52D7B}">
      <dgm:prSet phldrT="[نص]"/>
      <dgm:spPr/>
      <dgm:t>
        <a:bodyPr/>
        <a:lstStyle/>
        <a:p>
          <a:pPr rtl="1"/>
          <a:r>
            <a:rPr lang="ar-SA">
              <a:latin typeface="Simplified Arabic" panose="02020603050405020304" pitchFamily="18" charset="-78"/>
              <a:cs typeface="Simplified Arabic" panose="02020603050405020304" pitchFamily="18" charset="-78"/>
            </a:rPr>
            <a:t>المصروفات التشغيلية</a:t>
          </a:r>
        </a:p>
      </dgm:t>
    </dgm:pt>
    <dgm:pt modelId="{FE11173B-BE5F-41EC-98B2-B981B2CF6729}" type="parTrans" cxnId="{BFDEB598-4B7C-4942-B582-F498D259FA9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AEA51E24-4432-4900-9A05-482734AE320C}" type="sibTrans" cxnId="{BFDEB598-4B7C-4942-B582-F498D259FA9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D103A628-064E-461F-BDF2-6576D438FF98}">
      <dgm:prSet phldrT="[نص]"/>
      <dgm:spPr/>
      <dgm:t>
        <a:bodyPr/>
        <a:lstStyle/>
        <a:p>
          <a:pPr rtl="1"/>
          <a:r>
            <a:rPr lang="ar-SA">
              <a:latin typeface="Simplified Arabic" panose="02020603050405020304" pitchFamily="18" charset="-78"/>
              <a:cs typeface="Simplified Arabic" panose="02020603050405020304" pitchFamily="18" charset="-78"/>
            </a:rPr>
            <a:t>المبيعات</a:t>
          </a:r>
        </a:p>
      </dgm:t>
    </dgm:pt>
    <dgm:pt modelId="{1A7D8E8A-CCD7-4A44-9876-B0DF1E85EC86}" type="parTrans" cxnId="{113D1923-3E34-455B-98D0-D9C3DA47EF7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3F678E70-D926-4479-B458-59637F7A287B}" type="sibTrans" cxnId="{113D1923-3E34-455B-98D0-D9C3DA47EF7B}">
      <dgm:prSet/>
      <dgm:spPr/>
      <dgm:t>
        <a:bodyPr/>
        <a:lstStyle/>
        <a:p>
          <a:pPr rtl="1"/>
          <a:endParaRPr lang="ar-SA">
            <a:latin typeface="Simplified Arabic" panose="02020603050405020304" pitchFamily="18" charset="-78"/>
            <a:cs typeface="Simplified Arabic" panose="02020603050405020304" pitchFamily="18" charset="-78"/>
          </a:endParaRPr>
        </a:p>
      </dgm:t>
    </dgm:pt>
    <dgm:pt modelId="{935F7E80-371D-4B5D-AF4D-936D8A19866D}">
      <dgm:prSet phldrT="[نص]"/>
      <dgm:spPr/>
      <dgm:t>
        <a:bodyPr/>
        <a:lstStyle/>
        <a:p>
          <a:pPr rtl="1"/>
          <a:r>
            <a:rPr lang="ar-SA">
              <a:latin typeface="Simplified Arabic" panose="02020603050405020304" pitchFamily="18" charset="-78"/>
              <a:cs typeface="Simplified Arabic" panose="02020603050405020304" pitchFamily="18" charset="-78"/>
            </a:rPr>
            <a:t>الربحية</a:t>
          </a:r>
        </a:p>
      </dgm:t>
    </dgm:pt>
    <dgm:pt modelId="{B426F3DD-22D5-402A-A5AF-93E04242C849}" type="parTrans" cxnId="{FBA0BAFE-7868-4EB3-8006-39B491AADE31}">
      <dgm:prSet/>
      <dgm:spPr/>
      <dgm:t>
        <a:bodyPr/>
        <a:lstStyle/>
        <a:p>
          <a:pPr rtl="1"/>
          <a:endParaRPr lang="ar-SA">
            <a:latin typeface="Simplified Arabic" panose="02020603050405020304" pitchFamily="18" charset="-78"/>
            <a:cs typeface="Simplified Arabic" panose="02020603050405020304" pitchFamily="18" charset="-78"/>
          </a:endParaRPr>
        </a:p>
      </dgm:t>
    </dgm:pt>
    <dgm:pt modelId="{107474E9-3AF3-42A7-AE43-56ABAFE38F38}" type="sibTrans" cxnId="{FBA0BAFE-7868-4EB3-8006-39B491AADE31}">
      <dgm:prSet/>
      <dgm:spPr/>
      <dgm:t>
        <a:bodyPr/>
        <a:lstStyle/>
        <a:p>
          <a:pPr rtl="1"/>
          <a:endParaRPr lang="ar-SA">
            <a:latin typeface="Simplified Arabic" panose="02020603050405020304" pitchFamily="18" charset="-78"/>
            <a:cs typeface="Simplified Arabic" panose="02020603050405020304" pitchFamily="18" charset="-78"/>
          </a:endParaRPr>
        </a:p>
      </dgm:t>
    </dgm:pt>
    <dgm:pt modelId="{33B98383-320C-49CE-AF1D-4227D01B6B39}" type="pres">
      <dgm:prSet presAssocID="{6635F146-8A7F-4527-860B-C8D5212038FC}" presName="hierChild1" presStyleCnt="0">
        <dgm:presLayoutVars>
          <dgm:chPref val="1"/>
          <dgm:dir/>
          <dgm:animOne val="branch"/>
          <dgm:animLvl val="lvl"/>
          <dgm:resizeHandles/>
        </dgm:presLayoutVars>
      </dgm:prSet>
      <dgm:spPr/>
    </dgm:pt>
    <dgm:pt modelId="{0B31DEF7-E0E4-4866-B4D0-61F71A87F335}" type="pres">
      <dgm:prSet presAssocID="{33E81DB5-EFE6-4D1A-B182-8BC2B966E781}" presName="hierRoot1" presStyleCnt="0"/>
      <dgm:spPr/>
    </dgm:pt>
    <dgm:pt modelId="{ECAD872A-8F0F-4A3A-BF27-F27E0B93C068}" type="pres">
      <dgm:prSet presAssocID="{33E81DB5-EFE6-4D1A-B182-8BC2B966E781}" presName="composite" presStyleCnt="0"/>
      <dgm:spPr/>
    </dgm:pt>
    <dgm:pt modelId="{7198D24A-011F-4813-A40C-23ADAAB4DE24}" type="pres">
      <dgm:prSet presAssocID="{33E81DB5-EFE6-4D1A-B182-8BC2B966E781}" presName="background" presStyleLbl="node0" presStyleIdx="0" presStyleCnt="1"/>
      <dgm:spPr/>
    </dgm:pt>
    <dgm:pt modelId="{084D50F7-F874-4407-9689-7D6DE030D7FD}" type="pres">
      <dgm:prSet presAssocID="{33E81DB5-EFE6-4D1A-B182-8BC2B966E781}" presName="text" presStyleLbl="fgAcc0" presStyleIdx="0" presStyleCnt="1">
        <dgm:presLayoutVars>
          <dgm:chPref val="3"/>
        </dgm:presLayoutVars>
      </dgm:prSet>
      <dgm:spPr/>
    </dgm:pt>
    <dgm:pt modelId="{26D67B55-85BA-4E5A-8700-B88C8A6CAAE8}" type="pres">
      <dgm:prSet presAssocID="{33E81DB5-EFE6-4D1A-B182-8BC2B966E781}" presName="hierChild2" presStyleCnt="0"/>
      <dgm:spPr/>
    </dgm:pt>
    <dgm:pt modelId="{F7B513E2-22F5-49BD-808D-7254E52DD5DF}" type="pres">
      <dgm:prSet presAssocID="{A9BE7193-31EE-4ACC-9BE2-F493F785FC43}" presName="Name10" presStyleLbl="parChTrans1D2" presStyleIdx="0" presStyleCnt="1"/>
      <dgm:spPr/>
    </dgm:pt>
    <dgm:pt modelId="{AA94F846-B74A-4D10-8478-38D798252D3C}" type="pres">
      <dgm:prSet presAssocID="{CC74B01A-6AF2-46CF-9C67-236C6F84CBA4}" presName="hierRoot2" presStyleCnt="0"/>
      <dgm:spPr/>
    </dgm:pt>
    <dgm:pt modelId="{24DC1BDF-84F7-4A34-BCBE-79268E92919F}" type="pres">
      <dgm:prSet presAssocID="{CC74B01A-6AF2-46CF-9C67-236C6F84CBA4}" presName="composite2" presStyleCnt="0"/>
      <dgm:spPr/>
    </dgm:pt>
    <dgm:pt modelId="{08AC4BF9-E36C-49D1-885E-FC928B6035E1}" type="pres">
      <dgm:prSet presAssocID="{CC74B01A-6AF2-46CF-9C67-236C6F84CBA4}" presName="background2" presStyleLbl="node2" presStyleIdx="0" presStyleCnt="1"/>
      <dgm:spPr/>
    </dgm:pt>
    <dgm:pt modelId="{E9E3726C-23E8-419E-9646-E0508F0610BC}" type="pres">
      <dgm:prSet presAssocID="{CC74B01A-6AF2-46CF-9C67-236C6F84CBA4}" presName="text2" presStyleLbl="fgAcc2" presStyleIdx="0" presStyleCnt="1">
        <dgm:presLayoutVars>
          <dgm:chPref val="3"/>
        </dgm:presLayoutVars>
      </dgm:prSet>
      <dgm:spPr/>
    </dgm:pt>
    <dgm:pt modelId="{8EB62CEA-EAEF-4A85-A0AD-2F05B82CAABD}" type="pres">
      <dgm:prSet presAssocID="{CC74B01A-6AF2-46CF-9C67-236C6F84CBA4}" presName="hierChild3" presStyleCnt="0"/>
      <dgm:spPr/>
    </dgm:pt>
    <dgm:pt modelId="{0F8864E2-2DE0-486A-A948-8DC0924453B7}" type="pres">
      <dgm:prSet presAssocID="{FE11173B-BE5F-41EC-98B2-B981B2CF6729}" presName="Name17" presStyleLbl="parChTrans1D3" presStyleIdx="0" presStyleCnt="3"/>
      <dgm:spPr/>
    </dgm:pt>
    <dgm:pt modelId="{ED949F39-7251-44F9-87A7-D90E9A47242B}" type="pres">
      <dgm:prSet presAssocID="{9644A533-86B7-4131-8F17-74DDC7F52D7B}" presName="hierRoot3" presStyleCnt="0"/>
      <dgm:spPr/>
    </dgm:pt>
    <dgm:pt modelId="{EABFF2D2-8FFE-4436-B3B2-E9C7FBC3CFF3}" type="pres">
      <dgm:prSet presAssocID="{9644A533-86B7-4131-8F17-74DDC7F52D7B}" presName="composite3" presStyleCnt="0"/>
      <dgm:spPr/>
    </dgm:pt>
    <dgm:pt modelId="{B1548569-65B2-4737-9424-52BF9431AC4F}" type="pres">
      <dgm:prSet presAssocID="{9644A533-86B7-4131-8F17-74DDC7F52D7B}" presName="background3" presStyleLbl="node3" presStyleIdx="0" presStyleCnt="3"/>
      <dgm:spPr/>
    </dgm:pt>
    <dgm:pt modelId="{DED620D5-5508-486C-9268-58C9F1D760C1}" type="pres">
      <dgm:prSet presAssocID="{9644A533-86B7-4131-8F17-74DDC7F52D7B}" presName="text3" presStyleLbl="fgAcc3" presStyleIdx="0" presStyleCnt="3">
        <dgm:presLayoutVars>
          <dgm:chPref val="3"/>
        </dgm:presLayoutVars>
      </dgm:prSet>
      <dgm:spPr/>
    </dgm:pt>
    <dgm:pt modelId="{D4CF6E37-73AF-4807-AC51-A95B2D1D1163}" type="pres">
      <dgm:prSet presAssocID="{9644A533-86B7-4131-8F17-74DDC7F52D7B}" presName="hierChild4" presStyleCnt="0"/>
      <dgm:spPr/>
    </dgm:pt>
    <dgm:pt modelId="{AFB524EB-32FC-448B-84FF-658DD468D6C6}" type="pres">
      <dgm:prSet presAssocID="{B426F3DD-22D5-402A-A5AF-93E04242C849}" presName="Name17" presStyleLbl="parChTrans1D3" presStyleIdx="1" presStyleCnt="3"/>
      <dgm:spPr/>
    </dgm:pt>
    <dgm:pt modelId="{D69027DA-03A6-4DAB-9E6C-8D6C1E95C5DF}" type="pres">
      <dgm:prSet presAssocID="{935F7E80-371D-4B5D-AF4D-936D8A19866D}" presName="hierRoot3" presStyleCnt="0"/>
      <dgm:spPr/>
    </dgm:pt>
    <dgm:pt modelId="{E8114607-79E9-47FD-A8E5-59FA54BCD60F}" type="pres">
      <dgm:prSet presAssocID="{935F7E80-371D-4B5D-AF4D-936D8A19866D}" presName="composite3" presStyleCnt="0"/>
      <dgm:spPr/>
    </dgm:pt>
    <dgm:pt modelId="{1736E764-5436-4278-9CA8-6D0A347D063F}" type="pres">
      <dgm:prSet presAssocID="{935F7E80-371D-4B5D-AF4D-936D8A19866D}" presName="background3" presStyleLbl="node3" presStyleIdx="1" presStyleCnt="3"/>
      <dgm:spPr/>
    </dgm:pt>
    <dgm:pt modelId="{2DDD998F-CC31-4447-8BEF-46CA026DE5CE}" type="pres">
      <dgm:prSet presAssocID="{935F7E80-371D-4B5D-AF4D-936D8A19866D}" presName="text3" presStyleLbl="fgAcc3" presStyleIdx="1" presStyleCnt="3">
        <dgm:presLayoutVars>
          <dgm:chPref val="3"/>
        </dgm:presLayoutVars>
      </dgm:prSet>
      <dgm:spPr/>
    </dgm:pt>
    <dgm:pt modelId="{6D3D731E-FC80-43AA-9A73-C55F0046402F}" type="pres">
      <dgm:prSet presAssocID="{935F7E80-371D-4B5D-AF4D-936D8A19866D}" presName="hierChild4" presStyleCnt="0"/>
      <dgm:spPr/>
    </dgm:pt>
    <dgm:pt modelId="{98EE152C-060D-44FF-8478-21238BB9E6EA}" type="pres">
      <dgm:prSet presAssocID="{1A7D8E8A-CCD7-4A44-9876-B0DF1E85EC86}" presName="Name17" presStyleLbl="parChTrans1D3" presStyleIdx="2" presStyleCnt="3"/>
      <dgm:spPr/>
    </dgm:pt>
    <dgm:pt modelId="{35D97803-408E-4EE7-A731-58B45948D5C5}" type="pres">
      <dgm:prSet presAssocID="{D103A628-064E-461F-BDF2-6576D438FF98}" presName="hierRoot3" presStyleCnt="0"/>
      <dgm:spPr/>
    </dgm:pt>
    <dgm:pt modelId="{A7EEF1A3-5090-4F9B-A0C2-0BA544B5842A}" type="pres">
      <dgm:prSet presAssocID="{D103A628-064E-461F-BDF2-6576D438FF98}" presName="composite3" presStyleCnt="0"/>
      <dgm:spPr/>
    </dgm:pt>
    <dgm:pt modelId="{36EC1A5B-6858-4611-A153-5CE1714FD639}" type="pres">
      <dgm:prSet presAssocID="{D103A628-064E-461F-BDF2-6576D438FF98}" presName="background3" presStyleLbl="node3" presStyleIdx="2" presStyleCnt="3"/>
      <dgm:spPr/>
    </dgm:pt>
    <dgm:pt modelId="{8B6B6F22-D8E9-4DC1-B7E6-00F2482F4A15}" type="pres">
      <dgm:prSet presAssocID="{D103A628-064E-461F-BDF2-6576D438FF98}" presName="text3" presStyleLbl="fgAcc3" presStyleIdx="2" presStyleCnt="3">
        <dgm:presLayoutVars>
          <dgm:chPref val="3"/>
        </dgm:presLayoutVars>
      </dgm:prSet>
      <dgm:spPr/>
    </dgm:pt>
    <dgm:pt modelId="{5044661C-8F5D-4BE6-B402-6DA440A5686E}" type="pres">
      <dgm:prSet presAssocID="{D103A628-064E-461F-BDF2-6576D438FF98}" presName="hierChild4" presStyleCnt="0"/>
      <dgm:spPr/>
    </dgm:pt>
  </dgm:ptLst>
  <dgm:cxnLst>
    <dgm:cxn modelId="{113D1923-3E34-455B-98D0-D9C3DA47EF7B}" srcId="{CC74B01A-6AF2-46CF-9C67-236C6F84CBA4}" destId="{D103A628-064E-461F-BDF2-6576D438FF98}" srcOrd="2" destOrd="0" parTransId="{1A7D8E8A-CCD7-4A44-9876-B0DF1E85EC86}" sibTransId="{3F678E70-D926-4479-B458-59637F7A287B}"/>
    <dgm:cxn modelId="{D9774C3B-6A10-4967-ABD5-36D1847368CA}" type="presOf" srcId="{CC74B01A-6AF2-46CF-9C67-236C6F84CBA4}" destId="{E9E3726C-23E8-419E-9646-E0508F0610BC}" srcOrd="0" destOrd="0" presId="urn:microsoft.com/office/officeart/2005/8/layout/hierarchy1"/>
    <dgm:cxn modelId="{A631D15D-0DB2-4472-A32C-5E2A8B3F3030}" type="presOf" srcId="{33E81DB5-EFE6-4D1A-B182-8BC2B966E781}" destId="{084D50F7-F874-4407-9689-7D6DE030D7FD}" srcOrd="0" destOrd="0" presId="urn:microsoft.com/office/officeart/2005/8/layout/hierarchy1"/>
    <dgm:cxn modelId="{4D6A3668-BCFC-43A5-AF83-8CA0C683D20F}" type="presOf" srcId="{D103A628-064E-461F-BDF2-6576D438FF98}" destId="{8B6B6F22-D8E9-4DC1-B7E6-00F2482F4A15}" srcOrd="0" destOrd="0" presId="urn:microsoft.com/office/officeart/2005/8/layout/hierarchy1"/>
    <dgm:cxn modelId="{CBA6134D-FA5C-448C-AEF6-F61B1BEF0B12}" type="presOf" srcId="{1A7D8E8A-CCD7-4A44-9876-B0DF1E85EC86}" destId="{98EE152C-060D-44FF-8478-21238BB9E6EA}" srcOrd="0" destOrd="0" presId="urn:microsoft.com/office/officeart/2005/8/layout/hierarchy1"/>
    <dgm:cxn modelId="{D6F3B14D-4B24-4C03-90EE-BB8AE4B91966}" srcId="{33E81DB5-EFE6-4D1A-B182-8BC2B966E781}" destId="{CC74B01A-6AF2-46CF-9C67-236C6F84CBA4}" srcOrd="0" destOrd="0" parTransId="{A9BE7193-31EE-4ACC-9BE2-F493F785FC43}" sibTransId="{F3889DC0-00F7-4348-BF3C-1C623D0312F7}"/>
    <dgm:cxn modelId="{C0787A71-F79A-41CC-B505-7CA3008D0308}" type="presOf" srcId="{9644A533-86B7-4131-8F17-74DDC7F52D7B}" destId="{DED620D5-5508-486C-9268-58C9F1D760C1}" srcOrd="0" destOrd="0" presId="urn:microsoft.com/office/officeart/2005/8/layout/hierarchy1"/>
    <dgm:cxn modelId="{597E9951-29A5-42BB-A926-3E86637F505E}" type="presOf" srcId="{A9BE7193-31EE-4ACC-9BE2-F493F785FC43}" destId="{F7B513E2-22F5-49BD-808D-7254E52DD5DF}" srcOrd="0" destOrd="0" presId="urn:microsoft.com/office/officeart/2005/8/layout/hierarchy1"/>
    <dgm:cxn modelId="{99868D90-5A1A-42FA-8F68-4FBB7543CFC8}" type="presOf" srcId="{FE11173B-BE5F-41EC-98B2-B981B2CF6729}" destId="{0F8864E2-2DE0-486A-A948-8DC0924453B7}" srcOrd="0" destOrd="0" presId="urn:microsoft.com/office/officeart/2005/8/layout/hierarchy1"/>
    <dgm:cxn modelId="{BFDEB598-4B7C-4942-B582-F498D259FA9B}" srcId="{CC74B01A-6AF2-46CF-9C67-236C6F84CBA4}" destId="{9644A533-86B7-4131-8F17-74DDC7F52D7B}" srcOrd="0" destOrd="0" parTransId="{FE11173B-BE5F-41EC-98B2-B981B2CF6729}" sibTransId="{AEA51E24-4432-4900-9A05-482734AE320C}"/>
    <dgm:cxn modelId="{A2A711B4-921A-4706-9490-89A78562F8FB}" srcId="{6635F146-8A7F-4527-860B-C8D5212038FC}" destId="{33E81DB5-EFE6-4D1A-B182-8BC2B966E781}" srcOrd="0" destOrd="0" parTransId="{E94BA441-16F0-4F71-A53C-54ED3E85FADD}" sibTransId="{83D521E9-450F-4D5C-9C83-E0A6022854A1}"/>
    <dgm:cxn modelId="{6BEFEDB6-BB1D-4D52-BC64-BE3671053FDA}" type="presOf" srcId="{6635F146-8A7F-4527-860B-C8D5212038FC}" destId="{33B98383-320C-49CE-AF1D-4227D01B6B39}" srcOrd="0" destOrd="0" presId="urn:microsoft.com/office/officeart/2005/8/layout/hierarchy1"/>
    <dgm:cxn modelId="{18EA45DE-931F-4305-899B-060DBA386F1E}" type="presOf" srcId="{B426F3DD-22D5-402A-A5AF-93E04242C849}" destId="{AFB524EB-32FC-448B-84FF-658DD468D6C6}" srcOrd="0" destOrd="0" presId="urn:microsoft.com/office/officeart/2005/8/layout/hierarchy1"/>
    <dgm:cxn modelId="{A78BA7FE-1571-4827-AB30-5427924EEF33}" type="presOf" srcId="{935F7E80-371D-4B5D-AF4D-936D8A19866D}" destId="{2DDD998F-CC31-4447-8BEF-46CA026DE5CE}" srcOrd="0" destOrd="0" presId="urn:microsoft.com/office/officeart/2005/8/layout/hierarchy1"/>
    <dgm:cxn modelId="{FBA0BAFE-7868-4EB3-8006-39B491AADE31}" srcId="{CC74B01A-6AF2-46CF-9C67-236C6F84CBA4}" destId="{935F7E80-371D-4B5D-AF4D-936D8A19866D}" srcOrd="1" destOrd="0" parTransId="{B426F3DD-22D5-402A-A5AF-93E04242C849}" sibTransId="{107474E9-3AF3-42A7-AE43-56ABAFE38F38}"/>
    <dgm:cxn modelId="{983DE448-DCB2-4C4B-98FB-C3DD745402FE}" type="presParOf" srcId="{33B98383-320C-49CE-AF1D-4227D01B6B39}" destId="{0B31DEF7-E0E4-4866-B4D0-61F71A87F335}" srcOrd="0" destOrd="0" presId="urn:microsoft.com/office/officeart/2005/8/layout/hierarchy1"/>
    <dgm:cxn modelId="{877858A8-EDDF-46EF-9AD6-A4DFD09F1CBA}" type="presParOf" srcId="{0B31DEF7-E0E4-4866-B4D0-61F71A87F335}" destId="{ECAD872A-8F0F-4A3A-BF27-F27E0B93C068}" srcOrd="0" destOrd="0" presId="urn:microsoft.com/office/officeart/2005/8/layout/hierarchy1"/>
    <dgm:cxn modelId="{33E16833-45F1-499A-BF76-671B12F179D5}" type="presParOf" srcId="{ECAD872A-8F0F-4A3A-BF27-F27E0B93C068}" destId="{7198D24A-011F-4813-A40C-23ADAAB4DE24}" srcOrd="0" destOrd="0" presId="urn:microsoft.com/office/officeart/2005/8/layout/hierarchy1"/>
    <dgm:cxn modelId="{F0B26723-CE28-4D71-9B5F-D129A6259C33}" type="presParOf" srcId="{ECAD872A-8F0F-4A3A-BF27-F27E0B93C068}" destId="{084D50F7-F874-4407-9689-7D6DE030D7FD}" srcOrd="1" destOrd="0" presId="urn:microsoft.com/office/officeart/2005/8/layout/hierarchy1"/>
    <dgm:cxn modelId="{EB604235-8E79-4DB4-81EC-891E41FAAB90}" type="presParOf" srcId="{0B31DEF7-E0E4-4866-B4D0-61F71A87F335}" destId="{26D67B55-85BA-4E5A-8700-B88C8A6CAAE8}" srcOrd="1" destOrd="0" presId="urn:microsoft.com/office/officeart/2005/8/layout/hierarchy1"/>
    <dgm:cxn modelId="{11017429-F458-4B20-92E4-AA14585FA33A}" type="presParOf" srcId="{26D67B55-85BA-4E5A-8700-B88C8A6CAAE8}" destId="{F7B513E2-22F5-49BD-808D-7254E52DD5DF}" srcOrd="0" destOrd="0" presId="urn:microsoft.com/office/officeart/2005/8/layout/hierarchy1"/>
    <dgm:cxn modelId="{C3366BEB-60D4-40BF-A5A3-2B89F84C59EB}" type="presParOf" srcId="{26D67B55-85BA-4E5A-8700-B88C8A6CAAE8}" destId="{AA94F846-B74A-4D10-8478-38D798252D3C}" srcOrd="1" destOrd="0" presId="urn:microsoft.com/office/officeart/2005/8/layout/hierarchy1"/>
    <dgm:cxn modelId="{CF9FD364-D9DA-4059-BDA7-FA84A665FA7B}" type="presParOf" srcId="{AA94F846-B74A-4D10-8478-38D798252D3C}" destId="{24DC1BDF-84F7-4A34-BCBE-79268E92919F}" srcOrd="0" destOrd="0" presId="urn:microsoft.com/office/officeart/2005/8/layout/hierarchy1"/>
    <dgm:cxn modelId="{42C2530F-9B66-459E-B9A0-E34FA142B660}" type="presParOf" srcId="{24DC1BDF-84F7-4A34-BCBE-79268E92919F}" destId="{08AC4BF9-E36C-49D1-885E-FC928B6035E1}" srcOrd="0" destOrd="0" presId="urn:microsoft.com/office/officeart/2005/8/layout/hierarchy1"/>
    <dgm:cxn modelId="{C09BCE4F-280B-40CF-B95E-80D0248D0889}" type="presParOf" srcId="{24DC1BDF-84F7-4A34-BCBE-79268E92919F}" destId="{E9E3726C-23E8-419E-9646-E0508F0610BC}" srcOrd="1" destOrd="0" presId="urn:microsoft.com/office/officeart/2005/8/layout/hierarchy1"/>
    <dgm:cxn modelId="{B3DD5BB9-85E2-4659-89EA-43EDA4DCE0DD}" type="presParOf" srcId="{AA94F846-B74A-4D10-8478-38D798252D3C}" destId="{8EB62CEA-EAEF-4A85-A0AD-2F05B82CAABD}" srcOrd="1" destOrd="0" presId="urn:microsoft.com/office/officeart/2005/8/layout/hierarchy1"/>
    <dgm:cxn modelId="{D22AAB62-DFDB-4855-83C6-185FD95DA7C9}" type="presParOf" srcId="{8EB62CEA-EAEF-4A85-A0AD-2F05B82CAABD}" destId="{0F8864E2-2DE0-486A-A948-8DC0924453B7}" srcOrd="0" destOrd="0" presId="urn:microsoft.com/office/officeart/2005/8/layout/hierarchy1"/>
    <dgm:cxn modelId="{EB95ED6E-A4F5-4A2D-B78C-CFD8C34B1C31}" type="presParOf" srcId="{8EB62CEA-EAEF-4A85-A0AD-2F05B82CAABD}" destId="{ED949F39-7251-44F9-87A7-D90E9A47242B}" srcOrd="1" destOrd="0" presId="urn:microsoft.com/office/officeart/2005/8/layout/hierarchy1"/>
    <dgm:cxn modelId="{6E57293A-63ED-45B5-88E5-6236238848E3}" type="presParOf" srcId="{ED949F39-7251-44F9-87A7-D90E9A47242B}" destId="{EABFF2D2-8FFE-4436-B3B2-E9C7FBC3CFF3}" srcOrd="0" destOrd="0" presId="urn:microsoft.com/office/officeart/2005/8/layout/hierarchy1"/>
    <dgm:cxn modelId="{73AA3922-7EB0-441E-BE86-84AB834AB826}" type="presParOf" srcId="{EABFF2D2-8FFE-4436-B3B2-E9C7FBC3CFF3}" destId="{B1548569-65B2-4737-9424-52BF9431AC4F}" srcOrd="0" destOrd="0" presId="urn:microsoft.com/office/officeart/2005/8/layout/hierarchy1"/>
    <dgm:cxn modelId="{D162B583-94DD-4721-B64C-1F7808DFF984}" type="presParOf" srcId="{EABFF2D2-8FFE-4436-B3B2-E9C7FBC3CFF3}" destId="{DED620D5-5508-486C-9268-58C9F1D760C1}" srcOrd="1" destOrd="0" presId="urn:microsoft.com/office/officeart/2005/8/layout/hierarchy1"/>
    <dgm:cxn modelId="{3623ABD1-A3D6-43BB-BEA5-0D9A8884CAC3}" type="presParOf" srcId="{ED949F39-7251-44F9-87A7-D90E9A47242B}" destId="{D4CF6E37-73AF-4807-AC51-A95B2D1D1163}" srcOrd="1" destOrd="0" presId="urn:microsoft.com/office/officeart/2005/8/layout/hierarchy1"/>
    <dgm:cxn modelId="{22464AEF-1187-4D1F-B63D-F085E286BF09}" type="presParOf" srcId="{8EB62CEA-EAEF-4A85-A0AD-2F05B82CAABD}" destId="{AFB524EB-32FC-448B-84FF-658DD468D6C6}" srcOrd="2" destOrd="0" presId="urn:microsoft.com/office/officeart/2005/8/layout/hierarchy1"/>
    <dgm:cxn modelId="{3C606C7D-9BC4-4605-8BBC-65499555078E}" type="presParOf" srcId="{8EB62CEA-EAEF-4A85-A0AD-2F05B82CAABD}" destId="{D69027DA-03A6-4DAB-9E6C-8D6C1E95C5DF}" srcOrd="3" destOrd="0" presId="urn:microsoft.com/office/officeart/2005/8/layout/hierarchy1"/>
    <dgm:cxn modelId="{A7BA43F1-38DC-43E6-979B-ED2AEFA2F8E1}" type="presParOf" srcId="{D69027DA-03A6-4DAB-9E6C-8D6C1E95C5DF}" destId="{E8114607-79E9-47FD-A8E5-59FA54BCD60F}" srcOrd="0" destOrd="0" presId="urn:microsoft.com/office/officeart/2005/8/layout/hierarchy1"/>
    <dgm:cxn modelId="{6C65491D-C357-4AE1-A2B7-842347C64211}" type="presParOf" srcId="{E8114607-79E9-47FD-A8E5-59FA54BCD60F}" destId="{1736E764-5436-4278-9CA8-6D0A347D063F}" srcOrd="0" destOrd="0" presId="urn:microsoft.com/office/officeart/2005/8/layout/hierarchy1"/>
    <dgm:cxn modelId="{CD681B98-6127-4DB9-B8C1-638425B710DC}" type="presParOf" srcId="{E8114607-79E9-47FD-A8E5-59FA54BCD60F}" destId="{2DDD998F-CC31-4447-8BEF-46CA026DE5CE}" srcOrd="1" destOrd="0" presId="urn:microsoft.com/office/officeart/2005/8/layout/hierarchy1"/>
    <dgm:cxn modelId="{0C99FFA9-FA53-4870-B27A-9A4634BC7783}" type="presParOf" srcId="{D69027DA-03A6-4DAB-9E6C-8D6C1E95C5DF}" destId="{6D3D731E-FC80-43AA-9A73-C55F0046402F}" srcOrd="1" destOrd="0" presId="urn:microsoft.com/office/officeart/2005/8/layout/hierarchy1"/>
    <dgm:cxn modelId="{D9B07DFD-850C-423A-9646-A43EC82D107C}" type="presParOf" srcId="{8EB62CEA-EAEF-4A85-A0AD-2F05B82CAABD}" destId="{98EE152C-060D-44FF-8478-21238BB9E6EA}" srcOrd="4" destOrd="0" presId="urn:microsoft.com/office/officeart/2005/8/layout/hierarchy1"/>
    <dgm:cxn modelId="{1A85B244-0BCE-4487-842E-52B9DC1AB883}" type="presParOf" srcId="{8EB62CEA-EAEF-4A85-A0AD-2F05B82CAABD}" destId="{35D97803-408E-4EE7-A731-58B45948D5C5}" srcOrd="5" destOrd="0" presId="urn:microsoft.com/office/officeart/2005/8/layout/hierarchy1"/>
    <dgm:cxn modelId="{FF86B358-BB50-4DB4-B5F0-DCCB309D7582}" type="presParOf" srcId="{35D97803-408E-4EE7-A731-58B45948D5C5}" destId="{A7EEF1A3-5090-4F9B-A0C2-0BA544B5842A}" srcOrd="0" destOrd="0" presId="urn:microsoft.com/office/officeart/2005/8/layout/hierarchy1"/>
    <dgm:cxn modelId="{545BB53F-E420-423F-9B82-D9712E67A6EE}" type="presParOf" srcId="{A7EEF1A3-5090-4F9B-A0C2-0BA544B5842A}" destId="{36EC1A5B-6858-4611-A153-5CE1714FD639}" srcOrd="0" destOrd="0" presId="urn:microsoft.com/office/officeart/2005/8/layout/hierarchy1"/>
    <dgm:cxn modelId="{49BCC23D-B539-41E5-8D25-65A184D175D3}" type="presParOf" srcId="{A7EEF1A3-5090-4F9B-A0C2-0BA544B5842A}" destId="{8B6B6F22-D8E9-4DC1-B7E6-00F2482F4A15}" srcOrd="1" destOrd="0" presId="urn:microsoft.com/office/officeart/2005/8/layout/hierarchy1"/>
    <dgm:cxn modelId="{DA25C826-862C-4B19-895D-86B75A2103DF}" type="presParOf" srcId="{35D97803-408E-4EE7-A731-58B45948D5C5}" destId="{5044661C-8F5D-4BE6-B402-6DA440A5686E}"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E152C-060D-44FF-8478-21238BB9E6EA}">
      <dsp:nvSpPr>
        <dsp:cNvPr id="0" name=""/>
        <dsp:cNvSpPr/>
      </dsp:nvSpPr>
      <dsp:spPr>
        <a:xfrm>
          <a:off x="2571226" y="1852438"/>
          <a:ext cx="1450435" cy="345137"/>
        </a:xfrm>
        <a:custGeom>
          <a:avLst/>
          <a:gdLst/>
          <a:ahLst/>
          <a:cxnLst/>
          <a:rect l="0" t="0" r="0" b="0"/>
          <a:pathLst>
            <a:path>
              <a:moveTo>
                <a:pt x="0" y="0"/>
              </a:moveTo>
              <a:lnTo>
                <a:pt x="0" y="235201"/>
              </a:lnTo>
              <a:lnTo>
                <a:pt x="1450435" y="235201"/>
              </a:lnTo>
              <a:lnTo>
                <a:pt x="1450435" y="3451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B524EB-32FC-448B-84FF-658DD468D6C6}">
      <dsp:nvSpPr>
        <dsp:cNvPr id="0" name=""/>
        <dsp:cNvSpPr/>
      </dsp:nvSpPr>
      <dsp:spPr>
        <a:xfrm>
          <a:off x="2525506" y="1852438"/>
          <a:ext cx="91440" cy="345137"/>
        </a:xfrm>
        <a:custGeom>
          <a:avLst/>
          <a:gdLst/>
          <a:ahLst/>
          <a:cxnLst/>
          <a:rect l="0" t="0" r="0" b="0"/>
          <a:pathLst>
            <a:path>
              <a:moveTo>
                <a:pt x="45720" y="0"/>
              </a:moveTo>
              <a:lnTo>
                <a:pt x="45720" y="3451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8864E2-2DE0-486A-A948-8DC0924453B7}">
      <dsp:nvSpPr>
        <dsp:cNvPr id="0" name=""/>
        <dsp:cNvSpPr/>
      </dsp:nvSpPr>
      <dsp:spPr>
        <a:xfrm>
          <a:off x="1120790" y="1852438"/>
          <a:ext cx="1450435" cy="345137"/>
        </a:xfrm>
        <a:custGeom>
          <a:avLst/>
          <a:gdLst/>
          <a:ahLst/>
          <a:cxnLst/>
          <a:rect l="0" t="0" r="0" b="0"/>
          <a:pathLst>
            <a:path>
              <a:moveTo>
                <a:pt x="1450435" y="0"/>
              </a:moveTo>
              <a:lnTo>
                <a:pt x="1450435" y="235201"/>
              </a:lnTo>
              <a:lnTo>
                <a:pt x="0" y="235201"/>
              </a:lnTo>
              <a:lnTo>
                <a:pt x="0" y="3451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B513E2-22F5-49BD-808D-7254E52DD5DF}">
      <dsp:nvSpPr>
        <dsp:cNvPr id="0" name=""/>
        <dsp:cNvSpPr/>
      </dsp:nvSpPr>
      <dsp:spPr>
        <a:xfrm>
          <a:off x="2525506" y="753733"/>
          <a:ext cx="91440" cy="345137"/>
        </a:xfrm>
        <a:custGeom>
          <a:avLst/>
          <a:gdLst/>
          <a:ahLst/>
          <a:cxnLst/>
          <a:rect l="0" t="0" r="0" b="0"/>
          <a:pathLst>
            <a:path>
              <a:moveTo>
                <a:pt x="45720" y="0"/>
              </a:moveTo>
              <a:lnTo>
                <a:pt x="45720" y="3451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98D24A-011F-4813-A40C-23ADAAB4DE24}">
      <dsp:nvSpPr>
        <dsp:cNvPr id="0" name=""/>
        <dsp:cNvSpPr/>
      </dsp:nvSpPr>
      <dsp:spPr>
        <a:xfrm>
          <a:off x="1977866" y="166"/>
          <a:ext cx="1186719" cy="75356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4D50F7-F874-4407-9689-7D6DE030D7FD}">
      <dsp:nvSpPr>
        <dsp:cNvPr id="0" name=""/>
        <dsp:cNvSpPr/>
      </dsp:nvSpPr>
      <dsp:spPr>
        <a:xfrm>
          <a:off x="2109724" y="125431"/>
          <a:ext cx="1186719" cy="7535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المتغير المستقل :</a:t>
          </a:r>
          <a:br>
            <a:rPr lang="ar-SA" sz="1000" kern="1200">
              <a:latin typeface="Simplified Arabic" panose="02020603050405020304" pitchFamily="18" charset="-78"/>
              <a:cs typeface="Simplified Arabic" panose="02020603050405020304" pitchFamily="18" charset="-78"/>
            </a:rPr>
          </a:br>
          <a:r>
            <a:rPr lang="ar-SA" sz="1000" kern="1200">
              <a:latin typeface="Simplified Arabic" panose="02020603050405020304" pitchFamily="18" charset="-78"/>
              <a:cs typeface="Simplified Arabic" panose="02020603050405020304" pitchFamily="18" charset="-78"/>
            </a:rPr>
            <a:t>التحول الرقمي وتطبيقات التجارة الالكترونية</a:t>
          </a:r>
        </a:p>
      </dsp:txBody>
      <dsp:txXfrm>
        <a:off x="2131795" y="147502"/>
        <a:ext cx="1142577" cy="709425"/>
      </dsp:txXfrm>
    </dsp:sp>
    <dsp:sp modelId="{08AC4BF9-E36C-49D1-885E-FC928B6035E1}">
      <dsp:nvSpPr>
        <dsp:cNvPr id="0" name=""/>
        <dsp:cNvSpPr/>
      </dsp:nvSpPr>
      <dsp:spPr>
        <a:xfrm>
          <a:off x="1977866" y="1098871"/>
          <a:ext cx="1186719" cy="75356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E3726C-23E8-419E-9646-E0508F0610BC}">
      <dsp:nvSpPr>
        <dsp:cNvPr id="0" name=""/>
        <dsp:cNvSpPr/>
      </dsp:nvSpPr>
      <dsp:spPr>
        <a:xfrm>
          <a:off x="2109724" y="1224136"/>
          <a:ext cx="1186719" cy="7535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المتغير التابع :       الأداء المالي</a:t>
          </a:r>
        </a:p>
      </dsp:txBody>
      <dsp:txXfrm>
        <a:off x="2131795" y="1246207"/>
        <a:ext cx="1142577" cy="709425"/>
      </dsp:txXfrm>
    </dsp:sp>
    <dsp:sp modelId="{B1548569-65B2-4737-9424-52BF9431AC4F}">
      <dsp:nvSpPr>
        <dsp:cNvPr id="0" name=""/>
        <dsp:cNvSpPr/>
      </dsp:nvSpPr>
      <dsp:spPr>
        <a:xfrm>
          <a:off x="527431" y="2197576"/>
          <a:ext cx="1186719" cy="75356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D620D5-5508-486C-9268-58C9F1D760C1}">
      <dsp:nvSpPr>
        <dsp:cNvPr id="0" name=""/>
        <dsp:cNvSpPr/>
      </dsp:nvSpPr>
      <dsp:spPr>
        <a:xfrm>
          <a:off x="659288" y="2322841"/>
          <a:ext cx="1186719" cy="7535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المصروفات التشغيلية</a:t>
          </a:r>
        </a:p>
      </dsp:txBody>
      <dsp:txXfrm>
        <a:off x="681359" y="2344912"/>
        <a:ext cx="1142577" cy="709425"/>
      </dsp:txXfrm>
    </dsp:sp>
    <dsp:sp modelId="{1736E764-5436-4278-9CA8-6D0A347D063F}">
      <dsp:nvSpPr>
        <dsp:cNvPr id="0" name=""/>
        <dsp:cNvSpPr/>
      </dsp:nvSpPr>
      <dsp:spPr>
        <a:xfrm>
          <a:off x="1977866" y="2197576"/>
          <a:ext cx="1186719" cy="75356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DD998F-CC31-4447-8BEF-46CA026DE5CE}">
      <dsp:nvSpPr>
        <dsp:cNvPr id="0" name=""/>
        <dsp:cNvSpPr/>
      </dsp:nvSpPr>
      <dsp:spPr>
        <a:xfrm>
          <a:off x="2109724" y="2322841"/>
          <a:ext cx="1186719" cy="7535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الربحية</a:t>
          </a:r>
        </a:p>
      </dsp:txBody>
      <dsp:txXfrm>
        <a:off x="2131795" y="2344912"/>
        <a:ext cx="1142577" cy="709425"/>
      </dsp:txXfrm>
    </dsp:sp>
    <dsp:sp modelId="{36EC1A5B-6858-4611-A153-5CE1714FD639}">
      <dsp:nvSpPr>
        <dsp:cNvPr id="0" name=""/>
        <dsp:cNvSpPr/>
      </dsp:nvSpPr>
      <dsp:spPr>
        <a:xfrm>
          <a:off x="3428301" y="2197576"/>
          <a:ext cx="1186719" cy="75356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6B6F22-D8E9-4DC1-B7E6-00F2482F4A15}">
      <dsp:nvSpPr>
        <dsp:cNvPr id="0" name=""/>
        <dsp:cNvSpPr/>
      </dsp:nvSpPr>
      <dsp:spPr>
        <a:xfrm>
          <a:off x="3560159" y="2322841"/>
          <a:ext cx="1186719" cy="7535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المبيعات</a:t>
          </a:r>
        </a:p>
      </dsp:txBody>
      <dsp:txXfrm>
        <a:off x="3582230" y="2344912"/>
        <a:ext cx="1142577" cy="709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5c8923-efb2-4010-813e-84e20db1c1f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DBB2F2CD7054D8527DC1E3E872A41" ma:contentTypeVersion="17" ma:contentTypeDescription="Create a new document." ma:contentTypeScope="" ma:versionID="e5d086811ea3317f3cce63d656d62377">
  <xsd:schema xmlns:xsd="http://www.w3.org/2001/XMLSchema" xmlns:xs="http://www.w3.org/2001/XMLSchema" xmlns:p="http://schemas.microsoft.com/office/2006/metadata/properties" xmlns:ns3="305c8923-efb2-4010-813e-84e20db1c1f5" xmlns:ns4="26ae231d-374f-480e-895b-955547592e9f" targetNamespace="http://schemas.microsoft.com/office/2006/metadata/properties" ma:root="true" ma:fieldsID="f434773a50b22887c7876534d7f0a491" ns3:_="" ns4:_="">
    <xsd:import namespace="305c8923-efb2-4010-813e-84e20db1c1f5"/>
    <xsd:import namespace="26ae231d-374f-480e-895b-955547592e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5c8923-efb2-4010-813e-84e20db1c1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ae231d-374f-480e-895b-955547592e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328F9-AD4B-4CD3-93EF-17EA21208A8F}">
  <ds:schemaRefs>
    <ds:schemaRef ds:uri="26ae231d-374f-480e-895b-955547592e9f"/>
    <ds:schemaRef ds:uri="305c8923-efb2-4010-813e-84e20db1c1f5"/>
    <ds:schemaRef ds:uri="http://schemas.microsoft.com/office/2006/documentManagement/types"/>
    <ds:schemaRef ds:uri="http://purl.org/dc/terms/"/>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9416B34E-DB04-4A8E-81AA-6D21E771EB22}">
  <ds:schemaRefs>
    <ds:schemaRef ds:uri="http://schemas.microsoft.com/sharepoint/v3/contenttype/forms"/>
  </ds:schemaRefs>
</ds:datastoreItem>
</file>

<file path=customXml/itemProps3.xml><?xml version="1.0" encoding="utf-8"?>
<ds:datastoreItem xmlns:ds="http://schemas.openxmlformats.org/officeDocument/2006/customXml" ds:itemID="{76F4EC39-D763-4A00-851E-F18DCD140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5c8923-efb2-4010-813e-84e20db1c1f5"/>
    <ds:schemaRef ds:uri="26ae231d-374f-480e-895b-955547592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5D1042-361B-4FB2-8E9C-986408ECB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5662</Words>
  <Characters>32276</Characters>
  <Application>Microsoft Office Word</Application>
  <DocSecurity>0</DocSecurity>
  <Lines>268</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21412452 - Shahd Ahmed Mohammed Ba Tis</dc:creator>
  <cp:keywords/>
  <dc:description/>
  <cp:lastModifiedBy>Abdullah Ahmed</cp:lastModifiedBy>
  <cp:revision>3</cp:revision>
  <dcterms:created xsi:type="dcterms:W3CDTF">2026-03-27T19:59:00Z</dcterms:created>
  <dcterms:modified xsi:type="dcterms:W3CDTF">2026-03-27T20:01:00Z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0x0101000F7DBB2F2CD7054D8527DC1E3E872A41</vt:lpwstr>
  </property>
</Properties>
</file>