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3C8CFF" w:rsidR="009125CE" w:rsidRPr="009125CE" w:rsidRDefault="00195F1D">
      <w:pPr>
        <w:rPr>
          <w:rFonts w:ascii="Sakkal Majalla" w:hAnsi="Sakkal Majalla" w:cs="Sakkal Majalla"/>
          <w:sz w:val="28"/>
          <w:szCs w:val="28"/>
          <w:rtl/>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w:t>
      </w:r>
      <w:r w:rsidR="00402D7B">
        <w:rPr>
          <w:rFonts w:ascii="Sakkal Majalla" w:hAnsi="Sakkal Majalla" w:cs="Sakkal Majalla" w:hint="cs"/>
          <w:b/>
          <w:bCs/>
          <w:sz w:val="28"/>
          <w:szCs w:val="28"/>
          <w:rtl/>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CC562EB" w14:textId="77777777" w:rsidR="00D06F4B" w:rsidRDefault="00E41D32" w:rsidP="00E41D32">
      <w:pPr>
        <w:jc w:val="center"/>
        <w:rPr>
          <w:rFonts w:ascii="Sakkal Majalla" w:hAnsi="Sakkal Majalla" w:cs="Sakkal Majalla"/>
          <w:b/>
          <w:bCs/>
          <w:sz w:val="28"/>
          <w:szCs w:val="28"/>
          <w:lang w:bidi="ar-EG"/>
        </w:rPr>
      </w:pPr>
      <w:r w:rsidRPr="00E41D32">
        <w:rPr>
          <w:rFonts w:ascii="Sakkal Majalla" w:hAnsi="Sakkal Majalla" w:cs="Sakkal Majalla"/>
          <w:b/>
          <w:bCs/>
          <w:sz w:val="28"/>
          <w:szCs w:val="28"/>
          <w:rtl/>
          <w:lang w:bidi="ar-EG"/>
        </w:rPr>
        <w:t xml:space="preserve">العلاقة بين إدارة المخاطر المالية والحوكمة المؤسسية في القطاع المصرفي </w:t>
      </w:r>
    </w:p>
    <w:p w14:paraId="08796043" w14:textId="7A6613EC" w:rsidR="00E41D32" w:rsidRDefault="00E41D32" w:rsidP="00E41D32">
      <w:pPr>
        <w:jc w:val="center"/>
        <w:rPr>
          <w:rFonts w:ascii="Sakkal Majalla" w:hAnsi="Sakkal Majalla" w:cs="Sakkal Majalla"/>
          <w:b/>
          <w:bCs/>
          <w:sz w:val="28"/>
          <w:szCs w:val="28"/>
          <w:lang w:bidi="ar-EG"/>
        </w:rPr>
      </w:pPr>
      <w:r w:rsidRPr="00E41D32">
        <w:rPr>
          <w:rFonts w:ascii="Sakkal Majalla" w:hAnsi="Sakkal Majalla" w:cs="Sakkal Majalla"/>
          <w:b/>
          <w:bCs/>
          <w:sz w:val="28"/>
          <w:szCs w:val="28"/>
          <w:rtl/>
          <w:lang w:bidi="ar-EG"/>
        </w:rPr>
        <w:t>دراسة تطبيقية على البنوك السعودية</w:t>
      </w:r>
    </w:p>
    <w:p w14:paraId="39174E3B" w14:textId="4E20ECE6" w:rsidR="00D06F4B" w:rsidRDefault="00D06F4B" w:rsidP="00E41D32">
      <w:pPr>
        <w:jc w:val="center"/>
        <w:rPr>
          <w:rFonts w:ascii="Sakkal Majalla" w:hAnsi="Sakkal Majalla" w:cs="Sakkal Majalla"/>
          <w:b/>
          <w:bCs/>
          <w:sz w:val="28"/>
          <w:szCs w:val="28"/>
          <w:lang w:bidi="ar-EG"/>
        </w:rPr>
      </w:pPr>
    </w:p>
    <w:p w14:paraId="602D079F" w14:textId="77777777" w:rsidR="00D06F4B" w:rsidRPr="00E41D32" w:rsidRDefault="00D06F4B" w:rsidP="00E41D32">
      <w:pPr>
        <w:jc w:val="center"/>
        <w:rPr>
          <w:rFonts w:ascii="Sakkal Majalla" w:hAnsi="Sakkal Majalla" w:cs="Sakkal Majalla"/>
          <w:b/>
          <w:bCs/>
          <w:sz w:val="28"/>
          <w:szCs w:val="28"/>
          <w:rtl/>
          <w:lang w:bidi="ar-EG"/>
        </w:rPr>
      </w:pPr>
    </w:p>
    <w:p w14:paraId="336E8FE1"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إعداد الطالب:</w:t>
      </w:r>
    </w:p>
    <w:p w14:paraId="6844C897" w14:textId="31D046F6" w:rsidR="00D06F4B" w:rsidRPr="00E41D32" w:rsidRDefault="00E41D32" w:rsidP="00D06F4B">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صقر أحمد سليمان الذيب</w:t>
      </w:r>
    </w:p>
    <w:p w14:paraId="16F7D350" w14:textId="1E3F19BF" w:rsidR="00E41D32" w:rsidRDefault="00E41D32" w:rsidP="00E41D32">
      <w:pPr>
        <w:jc w:val="center"/>
        <w:rPr>
          <w:rFonts w:ascii="Sakkal Majalla" w:hAnsi="Sakkal Majalla" w:cs="Sakkal Majalla"/>
          <w:b/>
          <w:bCs/>
          <w:sz w:val="28"/>
          <w:szCs w:val="28"/>
          <w:lang w:bidi="ar-EG"/>
        </w:rPr>
      </w:pPr>
      <w:r w:rsidRPr="00E41D32">
        <w:rPr>
          <w:rFonts w:ascii="Sakkal Majalla" w:hAnsi="Sakkal Majalla" w:cs="Sakkal Majalla"/>
          <w:b/>
          <w:bCs/>
          <w:sz w:val="28"/>
          <w:szCs w:val="28"/>
          <w:rtl/>
          <w:lang w:bidi="ar-EG"/>
        </w:rPr>
        <w:t>الرقم الأكاديمي: 243001556</w:t>
      </w:r>
    </w:p>
    <w:p w14:paraId="75CB67B6" w14:textId="17569B38" w:rsidR="00D06F4B" w:rsidRDefault="00D06F4B" w:rsidP="00E41D32">
      <w:pPr>
        <w:jc w:val="center"/>
        <w:rPr>
          <w:rFonts w:ascii="Sakkal Majalla" w:hAnsi="Sakkal Majalla" w:cs="Sakkal Majalla"/>
          <w:b/>
          <w:bCs/>
          <w:sz w:val="28"/>
          <w:szCs w:val="28"/>
          <w:lang w:bidi="ar-EG"/>
        </w:rPr>
      </w:pPr>
    </w:p>
    <w:p w14:paraId="2E5BA4EE"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إشراف:</w:t>
      </w:r>
    </w:p>
    <w:p w14:paraId="0CD2FAEE" w14:textId="1D281635" w:rsidR="00E41D32" w:rsidRPr="00E41D32" w:rsidRDefault="00D06F4B" w:rsidP="00E41D32">
      <w:pPr>
        <w:jc w:val="center"/>
        <w:rPr>
          <w:rFonts w:ascii="Sakkal Majalla" w:hAnsi="Sakkal Majalla" w:cs="Sakkal Majalla"/>
          <w:b/>
          <w:bCs/>
          <w:sz w:val="28"/>
          <w:szCs w:val="28"/>
          <w:rtl/>
          <w:lang w:bidi="ar-EG"/>
        </w:rPr>
      </w:pPr>
      <w:r w:rsidRPr="00D06F4B">
        <w:rPr>
          <w:rFonts w:ascii="Sakkal Majalla" w:hAnsi="Sakkal Majalla" w:cs="Sakkal Majalla"/>
          <w:b/>
          <w:bCs/>
          <w:sz w:val="28"/>
          <w:szCs w:val="28"/>
          <w:rtl/>
          <w:lang w:bidi="ar-EG"/>
        </w:rPr>
        <w:t>أ.د. فايز جراد.</w:t>
      </w:r>
    </w:p>
    <w:p w14:paraId="780BDE8F" w14:textId="77777777" w:rsidR="00D06F4B" w:rsidRPr="001902DB" w:rsidRDefault="00D06F4B" w:rsidP="00E80591">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35A81A50" w:rsidR="009125CE" w:rsidRPr="001902DB" w:rsidRDefault="00402D7B" w:rsidP="00E805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99ADB" w14:textId="7CD94A82" w:rsidR="009125CE" w:rsidRDefault="009125CE" w:rsidP="009125CE">
      <w:pPr>
        <w:jc w:val="center"/>
        <w:rPr>
          <w:rFonts w:ascii="Sakkal Majalla" w:hAnsi="Sakkal Majalla" w:cs="Sakkal Majalla"/>
          <w:b/>
          <w:bCs/>
          <w:sz w:val="28"/>
          <w:szCs w:val="28"/>
          <w:lang w:bidi="ar-EG"/>
        </w:rPr>
      </w:pPr>
    </w:p>
    <w:p w14:paraId="370C5689" w14:textId="6F60A29A" w:rsidR="00D06F4B" w:rsidRDefault="00D06F4B" w:rsidP="009125CE">
      <w:pPr>
        <w:jc w:val="center"/>
        <w:rPr>
          <w:rFonts w:ascii="Sakkal Majalla" w:hAnsi="Sakkal Majalla" w:cs="Sakkal Majalla"/>
          <w:b/>
          <w:bCs/>
          <w:sz w:val="28"/>
          <w:szCs w:val="28"/>
          <w:lang w:bidi="ar-EG"/>
        </w:rPr>
      </w:pPr>
    </w:p>
    <w:p w14:paraId="694AF02B" w14:textId="7AEC9622" w:rsidR="00D06F4B" w:rsidRDefault="00D06F4B" w:rsidP="009125CE">
      <w:pPr>
        <w:jc w:val="center"/>
        <w:rPr>
          <w:rFonts w:ascii="Sakkal Majalla" w:hAnsi="Sakkal Majalla" w:cs="Sakkal Majalla"/>
          <w:b/>
          <w:bCs/>
          <w:sz w:val="28"/>
          <w:szCs w:val="28"/>
          <w:lang w:bidi="ar-EG"/>
        </w:rPr>
      </w:pPr>
    </w:p>
    <w:p w14:paraId="6148817F" w14:textId="359CDBC0" w:rsidR="00D06F4B" w:rsidRDefault="00D06F4B" w:rsidP="009125CE">
      <w:pPr>
        <w:jc w:val="center"/>
        <w:rPr>
          <w:rFonts w:ascii="Sakkal Majalla" w:hAnsi="Sakkal Majalla" w:cs="Sakkal Majalla"/>
          <w:b/>
          <w:bCs/>
          <w:sz w:val="28"/>
          <w:szCs w:val="28"/>
          <w:lang w:bidi="ar-EG"/>
        </w:rPr>
      </w:pPr>
    </w:p>
    <w:p w14:paraId="69F69458" w14:textId="7D08B685" w:rsidR="00D06F4B" w:rsidRPr="001902DB" w:rsidRDefault="00D06F4B" w:rsidP="00D06F4B">
      <w:pPr>
        <w:rPr>
          <w:rFonts w:ascii="Sakkal Majalla" w:hAnsi="Sakkal Majalla" w:cs="Sakkal Majalla"/>
          <w:b/>
          <w:bCs/>
          <w:sz w:val="28"/>
          <w:szCs w:val="28"/>
          <w:rtl/>
          <w:lang w:bidi="ar-EG"/>
        </w:rPr>
      </w:pPr>
    </w:p>
    <w:p w14:paraId="790AF32F" w14:textId="77777777" w:rsidR="00D06F4B" w:rsidRPr="006F3037" w:rsidRDefault="00D06F4B" w:rsidP="00D06F4B">
      <w:pPr>
        <w:rPr>
          <w:rFonts w:ascii="Traditional Arabic" w:hAnsi="Traditional Arabic" w:cs="Traditional Arabic"/>
          <w:b/>
          <w:bCs/>
          <w:sz w:val="32"/>
          <w:szCs w:val="32"/>
          <w:rtl/>
          <w:lang w:bidi="ar-EG"/>
        </w:rPr>
      </w:pPr>
      <w:r w:rsidRPr="006F3037">
        <w:rPr>
          <w:rFonts w:ascii="Traditional Arabic" w:hAnsi="Traditional Arabic" w:cs="Traditional Arabic"/>
          <w:b/>
          <w:bCs/>
          <w:sz w:val="32"/>
          <w:szCs w:val="32"/>
          <w:rtl/>
          <w:lang w:bidi="ar-EG"/>
        </w:rPr>
        <w:lastRenderedPageBreak/>
        <w:t>المقدمة</w:t>
      </w:r>
    </w:p>
    <w:p w14:paraId="342058B9" w14:textId="77777777" w:rsidR="00D06F4B" w:rsidRPr="00D04A59" w:rsidRDefault="00D06F4B" w:rsidP="00D06F4B">
      <w:pPr>
        <w:rPr>
          <w:rFonts w:ascii="Sakkal Majalla" w:hAnsi="Sakkal Majalla" w:cs="Sakkal Majalla"/>
          <w:sz w:val="28"/>
          <w:szCs w:val="28"/>
          <w:highlight w:val="yellow"/>
          <w:rtl/>
          <w:lang w:bidi="ar-EG"/>
        </w:rPr>
      </w:pPr>
    </w:p>
    <w:p w14:paraId="5416ADF1" w14:textId="77777777" w:rsidR="006F3037" w:rsidRPr="006F3037" w:rsidRDefault="006F3037" w:rsidP="006F3037">
      <w:pPr>
        <w:bidi w:val="0"/>
        <w:spacing w:before="100" w:beforeAutospacing="1" w:after="100" w:afterAutospacing="1" w:line="240" w:lineRule="auto"/>
        <w:jc w:val="right"/>
        <w:rPr>
          <w:rFonts w:ascii="Traditional Arabic" w:eastAsia="Times New Roman" w:hAnsi="Traditional Arabic" w:cs="Traditional Arabic"/>
          <w:kern w:val="0"/>
          <w:sz w:val="28"/>
          <w:szCs w:val="28"/>
          <w14:ligatures w14:val="none"/>
        </w:rPr>
      </w:pPr>
      <w:r w:rsidRPr="006F3037">
        <w:rPr>
          <w:rFonts w:ascii="Traditional Arabic" w:eastAsia="Times New Roman" w:hAnsi="Traditional Arabic" w:cs="Traditional Arabic"/>
          <w:kern w:val="0"/>
          <w:sz w:val="28"/>
          <w:szCs w:val="28"/>
          <w:rtl/>
          <w14:ligatures w14:val="none"/>
        </w:rPr>
        <w:t>تُعد إدارة المخاطر المالية أحد الركائز الأساسية التي يقوم عليها استقرار القطاع المصرفي، ولا سيما في ظل التغيرات الاقتصادية والمالية المتسارعة التي يشهدها العالم، والتي تترك أثرًا مباشرًا على أداء المؤسسات المالية. وقد أصبحت البنوك اليوم تواجه مستويات متزايدة من التعقيد نتيجة تنويع المنتجات المصرفية وتطور الأدوات المالية، مما يجعل قدرتها على إدارة المخاطر بفعالية عاملًا رئيسًا في ضمان استمراريتها وتعزيز قدرتها التنافسية</w:t>
      </w:r>
      <w:r w:rsidRPr="006F3037">
        <w:rPr>
          <w:rFonts w:ascii="Traditional Arabic" w:eastAsia="Times New Roman" w:hAnsi="Traditional Arabic" w:cs="Traditional Arabic"/>
          <w:kern w:val="0"/>
          <w:sz w:val="28"/>
          <w:szCs w:val="28"/>
          <w14:ligatures w14:val="none"/>
        </w:rPr>
        <w:t>.</w:t>
      </w:r>
    </w:p>
    <w:p w14:paraId="051BDB1C" w14:textId="77777777" w:rsidR="006F3037" w:rsidRPr="006F3037" w:rsidRDefault="006F3037" w:rsidP="006F3037">
      <w:pPr>
        <w:bidi w:val="0"/>
        <w:spacing w:before="100" w:beforeAutospacing="1" w:after="100" w:afterAutospacing="1" w:line="240" w:lineRule="auto"/>
        <w:jc w:val="right"/>
        <w:rPr>
          <w:rFonts w:ascii="Traditional Arabic" w:eastAsia="Times New Roman" w:hAnsi="Traditional Arabic" w:cs="Traditional Arabic"/>
          <w:kern w:val="0"/>
          <w:sz w:val="28"/>
          <w:szCs w:val="28"/>
          <w14:ligatures w14:val="none"/>
        </w:rPr>
      </w:pPr>
      <w:r w:rsidRPr="006F3037">
        <w:rPr>
          <w:rFonts w:ascii="Traditional Arabic" w:eastAsia="Times New Roman" w:hAnsi="Traditional Arabic" w:cs="Traditional Arabic"/>
          <w:kern w:val="0"/>
          <w:sz w:val="28"/>
          <w:szCs w:val="28"/>
          <w:rtl/>
          <w14:ligatures w14:val="none"/>
        </w:rPr>
        <w:t>وفي المقابل، تبرز الحوكمة المؤسسية بوصفها الإطار التنظيمي الذي يضمن سلامة العمل المصرفي واستدامته، من خلال وضع قواعد واضحة تحكم العلاقة بين الإدارة التنفيذية ومجلس الإدارة وأصحاب المصالح، وتعزز مبادئ الشفافية والمساءلة والرقابة. وتُعد الحوكمة عنصرًا جوهريًا في ضبط السلوك المؤسسي والحد من الممارسات التي قد تهدد الاستقرار المالي للبنك</w:t>
      </w:r>
      <w:r w:rsidRPr="006F3037">
        <w:rPr>
          <w:rFonts w:ascii="Traditional Arabic" w:eastAsia="Times New Roman" w:hAnsi="Traditional Arabic" w:cs="Traditional Arabic"/>
          <w:kern w:val="0"/>
          <w:sz w:val="28"/>
          <w:szCs w:val="28"/>
          <w14:ligatures w14:val="none"/>
        </w:rPr>
        <w:t>.</w:t>
      </w:r>
    </w:p>
    <w:p w14:paraId="18B16B82" w14:textId="77777777" w:rsidR="006F3037" w:rsidRPr="006F3037" w:rsidRDefault="006F3037" w:rsidP="006F3037">
      <w:pPr>
        <w:bidi w:val="0"/>
        <w:spacing w:before="100" w:beforeAutospacing="1" w:after="100" w:afterAutospacing="1" w:line="240" w:lineRule="auto"/>
        <w:jc w:val="right"/>
        <w:rPr>
          <w:rFonts w:ascii="Traditional Arabic" w:eastAsia="Times New Roman" w:hAnsi="Traditional Arabic" w:cs="Traditional Arabic"/>
          <w:kern w:val="0"/>
          <w:sz w:val="28"/>
          <w:szCs w:val="28"/>
          <w14:ligatures w14:val="none"/>
        </w:rPr>
      </w:pPr>
      <w:r w:rsidRPr="006F3037">
        <w:rPr>
          <w:rFonts w:ascii="Traditional Arabic" w:eastAsia="Times New Roman" w:hAnsi="Traditional Arabic" w:cs="Traditional Arabic"/>
          <w:kern w:val="0"/>
          <w:sz w:val="28"/>
          <w:szCs w:val="28"/>
          <w:rtl/>
          <w14:ligatures w14:val="none"/>
        </w:rPr>
        <w:t>وتتلاقى إدارة المخاطر المالية والحوكمة المؤسسية في نقطة مشتركة تتمثل في تحقيق الانضباط المالي والاستقرار التنظيمي، حيث تعمل إدارة المخاطر على تحديد مصادر الخطر وقياسها ومعالجتها، بينما توفّر الحوكمة البيئة الرقابية والتنظيمية التي تضمن تنفيذ سياسات المخاطر بفعالية. ومن هنا تنبع أهمية دراسة العلاقة بين هذين المفهومين في القطاع المصرفي السعودي، الذي يشهد تحولًا كبيرًا ضمن رؤية المملكة 2030، ويُعد من أكثر القطاعات المالية التزامًا بالمعايير الدولية، خاصة مع تطبيق متطلبات لجنة بازل</w:t>
      </w:r>
      <w:r w:rsidRPr="006F3037">
        <w:rPr>
          <w:rFonts w:ascii="Traditional Arabic" w:eastAsia="Times New Roman" w:hAnsi="Traditional Arabic" w:cs="Traditional Arabic"/>
          <w:kern w:val="0"/>
          <w:sz w:val="28"/>
          <w:szCs w:val="28"/>
          <w14:ligatures w14:val="none"/>
        </w:rPr>
        <w:t xml:space="preserve"> III </w:t>
      </w:r>
      <w:r w:rsidRPr="006F3037">
        <w:rPr>
          <w:rFonts w:ascii="Traditional Arabic" w:eastAsia="Times New Roman" w:hAnsi="Traditional Arabic" w:cs="Traditional Arabic"/>
          <w:kern w:val="0"/>
          <w:sz w:val="28"/>
          <w:szCs w:val="28"/>
          <w:rtl/>
          <w14:ligatures w14:val="none"/>
        </w:rPr>
        <w:t>وتعليمات البنك المركزي السعودي (ساما)</w:t>
      </w:r>
      <w:r w:rsidRPr="006F3037">
        <w:rPr>
          <w:rFonts w:ascii="Traditional Arabic" w:eastAsia="Times New Roman" w:hAnsi="Traditional Arabic" w:cs="Traditional Arabic"/>
          <w:kern w:val="0"/>
          <w:sz w:val="28"/>
          <w:szCs w:val="28"/>
          <w14:ligatures w14:val="none"/>
        </w:rPr>
        <w:t>.</w:t>
      </w:r>
    </w:p>
    <w:p w14:paraId="697625C1" w14:textId="31FABCA3" w:rsidR="006F3037" w:rsidRPr="006F3037" w:rsidRDefault="006F3037" w:rsidP="006F3037">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6F3037">
        <w:rPr>
          <w:rFonts w:ascii="Traditional Arabic" w:eastAsia="Times New Roman" w:hAnsi="Traditional Arabic" w:cs="Traditional Arabic"/>
          <w:kern w:val="0"/>
          <w:sz w:val="28"/>
          <w:szCs w:val="28"/>
          <w:rtl/>
          <w14:ligatures w14:val="none"/>
        </w:rPr>
        <w:t>وبذلك تأتي هذه الدراسة لفهم الأسس النظرية للمخاطر المالية والحوكمة المؤسسية، وتوضيح طبيعة العلاقة بينهما، تمهيدًا للجانب التطبيقي في الفصول اللاحقة</w:t>
      </w:r>
    </w:p>
    <w:p w14:paraId="36E18C7F" w14:textId="77777777" w:rsidR="006F3037" w:rsidRDefault="006F3037" w:rsidP="00D06F4B">
      <w:pPr>
        <w:rPr>
          <w:rFonts w:ascii="Sakkal Majalla" w:hAnsi="Sakkal Majalla" w:cs="Sakkal Majalla"/>
          <w:sz w:val="28"/>
          <w:szCs w:val="28"/>
          <w:rtl/>
        </w:rPr>
      </w:pPr>
    </w:p>
    <w:p w14:paraId="3FD99A6A" w14:textId="77777777" w:rsidR="006F3037" w:rsidRDefault="006F3037" w:rsidP="00D06F4B">
      <w:pPr>
        <w:rPr>
          <w:rFonts w:ascii="Sakkal Majalla" w:hAnsi="Sakkal Majalla" w:cs="Sakkal Majalla"/>
          <w:sz w:val="28"/>
          <w:szCs w:val="28"/>
          <w:rtl/>
        </w:rPr>
      </w:pPr>
    </w:p>
    <w:p w14:paraId="694BA37D" w14:textId="77777777" w:rsidR="006F3037" w:rsidRDefault="006F3037" w:rsidP="00D06F4B">
      <w:pPr>
        <w:rPr>
          <w:rFonts w:ascii="Sakkal Majalla" w:hAnsi="Sakkal Majalla" w:cs="Sakkal Majalla"/>
          <w:sz w:val="28"/>
          <w:szCs w:val="28"/>
          <w:rtl/>
        </w:rPr>
      </w:pPr>
    </w:p>
    <w:p w14:paraId="4BF664E8" w14:textId="77777777" w:rsidR="006F3037" w:rsidRDefault="006F3037" w:rsidP="00D06F4B">
      <w:pPr>
        <w:rPr>
          <w:rFonts w:ascii="Sakkal Majalla" w:hAnsi="Sakkal Majalla" w:cs="Sakkal Majalla"/>
          <w:sz w:val="28"/>
          <w:szCs w:val="28"/>
          <w:rtl/>
        </w:rPr>
      </w:pPr>
    </w:p>
    <w:p w14:paraId="34094D38" w14:textId="77777777" w:rsidR="006F3037" w:rsidRDefault="006F3037" w:rsidP="00D06F4B">
      <w:pPr>
        <w:rPr>
          <w:rFonts w:ascii="Sakkal Majalla" w:hAnsi="Sakkal Majalla" w:cs="Sakkal Majalla"/>
          <w:sz w:val="28"/>
          <w:szCs w:val="28"/>
          <w:rtl/>
        </w:rPr>
      </w:pPr>
    </w:p>
    <w:p w14:paraId="46426AF1" w14:textId="77777777" w:rsidR="006F3037" w:rsidRDefault="006F3037" w:rsidP="00D06F4B">
      <w:pPr>
        <w:rPr>
          <w:rFonts w:ascii="Sakkal Majalla" w:hAnsi="Sakkal Majalla" w:cs="Sakkal Majalla"/>
          <w:sz w:val="28"/>
          <w:szCs w:val="28"/>
          <w:rtl/>
        </w:rPr>
      </w:pPr>
    </w:p>
    <w:p w14:paraId="0AFF0B98" w14:textId="77777777" w:rsidR="006F3037" w:rsidRDefault="006F3037" w:rsidP="00D06F4B">
      <w:pPr>
        <w:rPr>
          <w:rFonts w:ascii="Sakkal Majalla" w:hAnsi="Sakkal Majalla" w:cs="Sakkal Majalla"/>
          <w:sz w:val="28"/>
          <w:szCs w:val="28"/>
          <w:rtl/>
        </w:rPr>
      </w:pPr>
    </w:p>
    <w:p w14:paraId="11198760" w14:textId="609EAE02" w:rsidR="009125CE" w:rsidRDefault="009125CE" w:rsidP="009125CE">
      <w:pPr>
        <w:rPr>
          <w:rFonts w:ascii="Sakkal Majalla" w:hAnsi="Sakkal Majalla" w:cs="Sakkal Majalla"/>
          <w:sz w:val="28"/>
          <w:szCs w:val="28"/>
        </w:rPr>
      </w:pPr>
    </w:p>
    <w:p w14:paraId="42866D5A" w14:textId="77777777" w:rsidR="00FB4164" w:rsidRDefault="00FB4164" w:rsidP="009125CE">
      <w:pPr>
        <w:rPr>
          <w:rFonts w:ascii="Sakkal Majalla" w:hAnsi="Sakkal Majalla" w:cs="Sakkal Majalla"/>
          <w:sz w:val="28"/>
          <w:szCs w:val="28"/>
        </w:rPr>
      </w:pPr>
    </w:p>
    <w:p w14:paraId="52A49918" w14:textId="77777777" w:rsidR="000A5464" w:rsidRPr="000A5464" w:rsidRDefault="000A5464" w:rsidP="000A5464">
      <w:pPr>
        <w:rPr>
          <w:rFonts w:ascii="Traditional Arabic" w:hAnsi="Traditional Arabic" w:cs="Traditional Arabic"/>
          <w:b/>
          <w:bCs/>
          <w:sz w:val="32"/>
          <w:szCs w:val="32"/>
          <w:lang w:bidi="ar-EG"/>
        </w:rPr>
      </w:pPr>
      <w:r w:rsidRPr="000A5464">
        <w:rPr>
          <w:rFonts w:ascii="Traditional Arabic" w:hAnsi="Traditional Arabic" w:cs="Traditional Arabic"/>
          <w:b/>
          <w:bCs/>
          <w:sz w:val="32"/>
          <w:szCs w:val="32"/>
          <w:rtl/>
          <w:lang w:bidi="ar-EG"/>
        </w:rPr>
        <w:lastRenderedPageBreak/>
        <w:t>الإطار النظري للدراسة</w:t>
      </w:r>
    </w:p>
    <w:p w14:paraId="0F921460" w14:textId="77777777" w:rsidR="000A5464" w:rsidRPr="000A5464" w:rsidRDefault="000A5464" w:rsidP="000A5464">
      <w:pPr>
        <w:rPr>
          <w:rFonts w:ascii="Traditional Arabic" w:hAnsi="Traditional Arabic" w:cs="Traditional Arabic"/>
          <w:b/>
          <w:bCs/>
          <w:sz w:val="32"/>
          <w:szCs w:val="32"/>
          <w:lang w:bidi="ar-EG"/>
        </w:rPr>
      </w:pPr>
      <w:r w:rsidRPr="000A5464">
        <w:rPr>
          <w:rFonts w:ascii="Traditional Arabic" w:hAnsi="Traditional Arabic" w:cs="Traditional Arabic"/>
          <w:b/>
          <w:bCs/>
          <w:sz w:val="32"/>
          <w:szCs w:val="32"/>
          <w:rtl/>
          <w:lang w:bidi="ar-EG"/>
        </w:rPr>
        <w:t>أولًا: إدارة المخاطر المالية</w:t>
      </w:r>
    </w:p>
    <w:p w14:paraId="72245481"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1. تعريف إدارة المخاطر المالية</w:t>
      </w:r>
    </w:p>
    <w:p w14:paraId="76CACA7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تُعرف المخاطر المالية بأنها احتمال تعرض المؤسسة لخسائر نتيجة تغيرات غير متوقعة في البيئة المالية أو التشغيلية. أما إدارة المخاطر المالية فهي مجموعة من السياسات والإجراءات التي تهدف إلى تحديد المخاطر المحتملة وقياسها وتحليلها، ثم اتخاذ القرارات التي من شأنها الحد من آثارها أو السيطرة عليها.</w:t>
      </w:r>
    </w:p>
    <w:p w14:paraId="5CC5AC11"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وتُعد إدارة المخاطر في البنوك عملية مستمرة تتضمن التنبؤ بالمخاطر المستقبلية وتقييم تأثيرها المحتمل على المراكز المالية، وفق منهجيات كمية ونوعية تعتمد على البيانات التاريخية والتوقعات المستقبلية.</w:t>
      </w:r>
    </w:p>
    <w:p w14:paraId="2666DF9E"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2. أنواع المخاطر المالية في البنوك</w:t>
      </w:r>
    </w:p>
    <w:p w14:paraId="539D8943"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تواجه البنوك السعودية عدة أنواع من المخاطر، أبرزها:</w:t>
      </w:r>
    </w:p>
    <w:p w14:paraId="5DA7B983"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أ– المخاطر الائتمانية</w:t>
      </w:r>
    </w:p>
    <w:p w14:paraId="0684BF3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تنشأ نتيجة عدم قدرة العملاء على سداد القروض أو الالتزامات، وتُعد من أكثر المخاطر شيوعًا في البنوك المحلية.</w:t>
      </w:r>
    </w:p>
    <w:p w14:paraId="2DA7842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ب– مخاطر السوق</w:t>
      </w:r>
    </w:p>
    <w:p w14:paraId="0E85C5B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وتشمل مخاطر تقلب أسعار الفائدة، أسعار الصرف، أو قيم الأدوات المالية.</w:t>
      </w:r>
    </w:p>
    <w:p w14:paraId="3CFE55B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ج– مخاطر السيولة</w:t>
      </w:r>
    </w:p>
    <w:p w14:paraId="042A5633"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وهي عجز البنك عن توفير السيولة اللازمة للوفاء بالتزاماته عند استحقاقها.</w:t>
      </w:r>
    </w:p>
    <w:p w14:paraId="67398F6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د– المخاطر التشغيلية</w:t>
      </w:r>
    </w:p>
    <w:p w14:paraId="263F816B"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الناتجة عن أخطاء بشرية، أو أعطال تقنية، أو ضعف نظم الرقابة الداخلية.</w:t>
      </w:r>
    </w:p>
    <w:p w14:paraId="6D54AA4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هـ– المخاطر النظامية</w:t>
      </w:r>
    </w:p>
    <w:p w14:paraId="64155FC6"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المرتبطة بتقلبات الاقتصاد الكلي أو الأزمات المالية، والتي قد تؤثر على القطاع المصرفي ككل.</w:t>
      </w:r>
    </w:p>
    <w:p w14:paraId="2308240B"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3. مصادر المخاطر المالية</w:t>
      </w:r>
    </w:p>
    <w:p w14:paraId="0A5B902B"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تتعدد مصادر المخاطر، ويمكن تقسيمها إلى:</w:t>
      </w:r>
    </w:p>
    <w:p w14:paraId="75B670BF"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أ– مصادر داخلية</w:t>
      </w:r>
    </w:p>
    <w:p w14:paraId="73105941"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lastRenderedPageBreak/>
        <w:t>– ضعف كفاءة الموظفين</w:t>
      </w:r>
    </w:p>
    <w:p w14:paraId="553CF4D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سوء الإدارة</w:t>
      </w:r>
    </w:p>
    <w:p w14:paraId="1E89E16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نظم معلومات غير فعّالة</w:t>
      </w:r>
    </w:p>
    <w:p w14:paraId="2A990B9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ضعف الرقابة الداخلية</w:t>
      </w:r>
    </w:p>
    <w:p w14:paraId="4C5DFA7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ب– مصادر خارجية</w:t>
      </w:r>
    </w:p>
    <w:p w14:paraId="4C5E8EEE"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التغيرات الاقتصادية العالمية</w:t>
      </w:r>
    </w:p>
    <w:p w14:paraId="629E294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الأزمات المالية</w:t>
      </w:r>
    </w:p>
    <w:p w14:paraId="68A2B3C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القرارات الحكومية أو التنظيمية</w:t>
      </w:r>
    </w:p>
    <w:p w14:paraId="44D7C67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تقلب أسعار النفط التي تؤثر في الاقتصاد السعودي</w:t>
      </w:r>
    </w:p>
    <w:p w14:paraId="24E58FA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4. خطوات إدارة المخاطر المالية</w:t>
      </w:r>
    </w:p>
    <w:p w14:paraId="15C5045D"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تتبنى البنوك السعودية إطارًا متكاملًا لإدارة المخاطر يشمل المراحل الآتية:</w:t>
      </w:r>
    </w:p>
    <w:p w14:paraId="42451F9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1. تحديد المخاطر</w:t>
      </w:r>
    </w:p>
    <w:p w14:paraId="70D948A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التعرف على جميع أنواع المخاطر المحتملة وتحديد مصادرها.</w:t>
      </w:r>
    </w:p>
    <w:p w14:paraId="5AC5315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2. قياس وتحليل المخاطر</w:t>
      </w:r>
    </w:p>
    <w:p w14:paraId="5A02CE6A"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تقدير احتمال حدوث الخطر وتقييم حجم تأثيره باستخدام النماذج الإحصائية والتحليل الكمي.</w:t>
      </w:r>
    </w:p>
    <w:p w14:paraId="38B5A35B"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3. تقييم وترتيب المخاطر</w:t>
      </w:r>
    </w:p>
    <w:p w14:paraId="2B48B4A6"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تصنيف المخاطر حسب الأولوية بناءً على درجة خطورتها وتأثيرها المحتمل.</w:t>
      </w:r>
    </w:p>
    <w:p w14:paraId="1F470EF0"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4. وضع استراتيجيات الاستجابة للمخاطر</w:t>
      </w:r>
    </w:p>
    <w:p w14:paraId="0414BD5F"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تشمل:</w:t>
      </w:r>
    </w:p>
    <w:p w14:paraId="2AB1911F"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تجنب الخطر</w:t>
      </w:r>
    </w:p>
    <w:p w14:paraId="7919212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تخفيض الخطر</w:t>
      </w:r>
    </w:p>
    <w:p w14:paraId="541A05FF"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نقل الخطر (مثل التأمين)</w:t>
      </w:r>
    </w:p>
    <w:p w14:paraId="0564FB41"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قبول الخطر عند مستويات آمنة</w:t>
      </w:r>
    </w:p>
    <w:p w14:paraId="0E07AA8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lastRenderedPageBreak/>
        <w:t>5. الرقابة والمتابعة المستمرة</w:t>
      </w:r>
    </w:p>
    <w:p w14:paraId="5724F20D"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مراجعة السياسات والمعايير وتحديثها وفق المتغيرات المالية.</w:t>
      </w:r>
    </w:p>
    <w:p w14:paraId="4F2A5401" w14:textId="77777777" w:rsidR="000A5464" w:rsidRDefault="000A5464" w:rsidP="000A5464">
      <w:pPr>
        <w:rPr>
          <w:rFonts w:ascii="Traditional Arabic" w:hAnsi="Traditional Arabic" w:cs="Traditional Arabic"/>
          <w:b/>
          <w:bCs/>
          <w:sz w:val="32"/>
          <w:szCs w:val="32"/>
          <w:lang w:bidi="ar-EG"/>
        </w:rPr>
      </w:pPr>
    </w:p>
    <w:p w14:paraId="72218425" w14:textId="77777777" w:rsidR="000A5464" w:rsidRDefault="000A5464" w:rsidP="000A5464">
      <w:pPr>
        <w:rPr>
          <w:rFonts w:ascii="Traditional Arabic" w:hAnsi="Traditional Arabic" w:cs="Traditional Arabic"/>
          <w:b/>
          <w:bCs/>
          <w:sz w:val="32"/>
          <w:szCs w:val="32"/>
          <w:lang w:bidi="ar-EG"/>
        </w:rPr>
      </w:pPr>
    </w:p>
    <w:p w14:paraId="066B8429" w14:textId="77777777" w:rsidR="000A5464" w:rsidRDefault="000A5464" w:rsidP="000A5464">
      <w:pPr>
        <w:rPr>
          <w:rFonts w:ascii="Traditional Arabic" w:hAnsi="Traditional Arabic" w:cs="Traditional Arabic"/>
          <w:b/>
          <w:bCs/>
          <w:sz w:val="32"/>
          <w:szCs w:val="32"/>
          <w:lang w:bidi="ar-EG"/>
        </w:rPr>
      </w:pPr>
    </w:p>
    <w:p w14:paraId="23E50A0E" w14:textId="77777777" w:rsidR="000A5464" w:rsidRDefault="000A5464" w:rsidP="000A5464">
      <w:pPr>
        <w:rPr>
          <w:rFonts w:ascii="Traditional Arabic" w:hAnsi="Traditional Arabic" w:cs="Traditional Arabic"/>
          <w:b/>
          <w:bCs/>
          <w:sz w:val="32"/>
          <w:szCs w:val="32"/>
          <w:lang w:bidi="ar-EG"/>
        </w:rPr>
      </w:pPr>
    </w:p>
    <w:p w14:paraId="6411C1A8" w14:textId="77777777" w:rsidR="000A5464" w:rsidRDefault="000A5464" w:rsidP="000A5464">
      <w:pPr>
        <w:rPr>
          <w:rFonts w:ascii="Traditional Arabic" w:hAnsi="Traditional Arabic" w:cs="Traditional Arabic"/>
          <w:b/>
          <w:bCs/>
          <w:sz w:val="32"/>
          <w:szCs w:val="32"/>
          <w:lang w:bidi="ar-EG"/>
        </w:rPr>
      </w:pPr>
    </w:p>
    <w:p w14:paraId="4C6C2FDC" w14:textId="77777777" w:rsidR="000A5464" w:rsidRDefault="000A5464" w:rsidP="000A5464">
      <w:pPr>
        <w:rPr>
          <w:rFonts w:ascii="Traditional Arabic" w:hAnsi="Traditional Arabic" w:cs="Traditional Arabic"/>
          <w:b/>
          <w:bCs/>
          <w:sz w:val="32"/>
          <w:szCs w:val="32"/>
          <w:lang w:bidi="ar-EG"/>
        </w:rPr>
      </w:pPr>
    </w:p>
    <w:p w14:paraId="39CEEF1F" w14:textId="77777777" w:rsidR="000A5464" w:rsidRDefault="000A5464" w:rsidP="000A5464">
      <w:pPr>
        <w:rPr>
          <w:rFonts w:ascii="Traditional Arabic" w:hAnsi="Traditional Arabic" w:cs="Traditional Arabic"/>
          <w:b/>
          <w:bCs/>
          <w:sz w:val="32"/>
          <w:szCs w:val="32"/>
          <w:lang w:bidi="ar-EG"/>
        </w:rPr>
      </w:pPr>
    </w:p>
    <w:p w14:paraId="0563336A" w14:textId="77777777" w:rsidR="000A5464" w:rsidRDefault="000A5464" w:rsidP="000A5464">
      <w:pPr>
        <w:rPr>
          <w:rFonts w:ascii="Traditional Arabic" w:hAnsi="Traditional Arabic" w:cs="Traditional Arabic"/>
          <w:b/>
          <w:bCs/>
          <w:sz w:val="32"/>
          <w:szCs w:val="32"/>
          <w:lang w:bidi="ar-EG"/>
        </w:rPr>
      </w:pPr>
    </w:p>
    <w:p w14:paraId="34F25B9A" w14:textId="77777777" w:rsidR="000A5464" w:rsidRDefault="000A5464" w:rsidP="000A5464">
      <w:pPr>
        <w:rPr>
          <w:rFonts w:ascii="Traditional Arabic" w:hAnsi="Traditional Arabic" w:cs="Traditional Arabic"/>
          <w:b/>
          <w:bCs/>
          <w:sz w:val="32"/>
          <w:szCs w:val="32"/>
          <w:lang w:bidi="ar-EG"/>
        </w:rPr>
      </w:pPr>
    </w:p>
    <w:p w14:paraId="304EC329" w14:textId="77777777" w:rsidR="000A5464" w:rsidRDefault="000A5464" w:rsidP="000A5464">
      <w:pPr>
        <w:rPr>
          <w:rFonts w:ascii="Traditional Arabic" w:hAnsi="Traditional Arabic" w:cs="Traditional Arabic"/>
          <w:b/>
          <w:bCs/>
          <w:sz w:val="32"/>
          <w:szCs w:val="32"/>
          <w:lang w:bidi="ar-EG"/>
        </w:rPr>
      </w:pPr>
    </w:p>
    <w:p w14:paraId="4FE28963" w14:textId="77777777" w:rsidR="000A5464" w:rsidRDefault="000A5464" w:rsidP="000A5464">
      <w:pPr>
        <w:rPr>
          <w:rFonts w:ascii="Traditional Arabic" w:hAnsi="Traditional Arabic" w:cs="Traditional Arabic"/>
          <w:b/>
          <w:bCs/>
          <w:sz w:val="32"/>
          <w:szCs w:val="32"/>
          <w:lang w:bidi="ar-EG"/>
        </w:rPr>
      </w:pPr>
    </w:p>
    <w:p w14:paraId="407E85C4" w14:textId="77777777" w:rsidR="000A5464" w:rsidRDefault="000A5464" w:rsidP="000A5464">
      <w:pPr>
        <w:rPr>
          <w:rFonts w:ascii="Traditional Arabic" w:hAnsi="Traditional Arabic" w:cs="Traditional Arabic"/>
          <w:b/>
          <w:bCs/>
          <w:sz w:val="32"/>
          <w:szCs w:val="32"/>
          <w:lang w:bidi="ar-EG"/>
        </w:rPr>
      </w:pPr>
    </w:p>
    <w:p w14:paraId="02E72ABE" w14:textId="77777777" w:rsidR="000A5464" w:rsidRDefault="000A5464" w:rsidP="000A5464">
      <w:pPr>
        <w:rPr>
          <w:rFonts w:ascii="Traditional Arabic" w:hAnsi="Traditional Arabic" w:cs="Traditional Arabic"/>
          <w:b/>
          <w:bCs/>
          <w:sz w:val="32"/>
          <w:szCs w:val="32"/>
          <w:lang w:bidi="ar-EG"/>
        </w:rPr>
      </w:pPr>
    </w:p>
    <w:p w14:paraId="5E162B0D" w14:textId="77777777" w:rsidR="000A5464" w:rsidRDefault="000A5464" w:rsidP="000A5464">
      <w:pPr>
        <w:rPr>
          <w:rFonts w:ascii="Traditional Arabic" w:hAnsi="Traditional Arabic" w:cs="Traditional Arabic"/>
          <w:b/>
          <w:bCs/>
          <w:sz w:val="32"/>
          <w:szCs w:val="32"/>
          <w:lang w:bidi="ar-EG"/>
        </w:rPr>
      </w:pPr>
    </w:p>
    <w:p w14:paraId="75F6ADB4" w14:textId="77777777" w:rsidR="000A5464" w:rsidRDefault="000A5464" w:rsidP="000A5464">
      <w:pPr>
        <w:rPr>
          <w:rFonts w:ascii="Traditional Arabic" w:hAnsi="Traditional Arabic" w:cs="Traditional Arabic"/>
          <w:b/>
          <w:bCs/>
          <w:sz w:val="32"/>
          <w:szCs w:val="32"/>
          <w:lang w:bidi="ar-EG"/>
        </w:rPr>
      </w:pPr>
    </w:p>
    <w:p w14:paraId="350639FD" w14:textId="77777777" w:rsidR="000A5464" w:rsidRDefault="000A5464" w:rsidP="000A5464">
      <w:pPr>
        <w:rPr>
          <w:rFonts w:ascii="Traditional Arabic" w:hAnsi="Traditional Arabic" w:cs="Traditional Arabic"/>
          <w:b/>
          <w:bCs/>
          <w:sz w:val="32"/>
          <w:szCs w:val="32"/>
          <w:lang w:bidi="ar-EG"/>
        </w:rPr>
      </w:pPr>
    </w:p>
    <w:p w14:paraId="4270BE5E" w14:textId="77777777" w:rsidR="000A5464" w:rsidRDefault="000A5464" w:rsidP="000A5464">
      <w:pPr>
        <w:rPr>
          <w:rFonts w:ascii="Traditional Arabic" w:hAnsi="Traditional Arabic" w:cs="Traditional Arabic"/>
          <w:b/>
          <w:bCs/>
          <w:sz w:val="32"/>
          <w:szCs w:val="32"/>
          <w:lang w:bidi="ar-EG"/>
        </w:rPr>
      </w:pPr>
    </w:p>
    <w:p w14:paraId="1C26DDC0" w14:textId="77777777" w:rsidR="000A5464" w:rsidRDefault="000A5464" w:rsidP="000A5464">
      <w:pPr>
        <w:rPr>
          <w:rFonts w:ascii="Traditional Arabic" w:hAnsi="Traditional Arabic" w:cs="Traditional Arabic"/>
          <w:b/>
          <w:bCs/>
          <w:sz w:val="32"/>
          <w:szCs w:val="32"/>
          <w:lang w:bidi="ar-EG"/>
        </w:rPr>
      </w:pPr>
    </w:p>
    <w:p w14:paraId="62C9E03B" w14:textId="7A43F54F" w:rsidR="000A5464" w:rsidRPr="000A5464" w:rsidRDefault="000A5464" w:rsidP="000A5464">
      <w:pPr>
        <w:rPr>
          <w:rFonts w:ascii="Traditional Arabic" w:hAnsi="Traditional Arabic" w:cs="Traditional Arabic"/>
          <w:b/>
          <w:bCs/>
          <w:sz w:val="32"/>
          <w:szCs w:val="32"/>
          <w:lang w:bidi="ar-EG"/>
        </w:rPr>
      </w:pPr>
      <w:r w:rsidRPr="000A5464">
        <w:rPr>
          <w:rFonts w:ascii="Traditional Arabic" w:hAnsi="Traditional Arabic" w:cs="Traditional Arabic"/>
          <w:b/>
          <w:bCs/>
          <w:sz w:val="32"/>
          <w:szCs w:val="32"/>
          <w:rtl/>
          <w:lang w:bidi="ar-EG"/>
        </w:rPr>
        <w:lastRenderedPageBreak/>
        <w:t>ثانيًا: الحوكمة المؤسسية</w:t>
      </w:r>
    </w:p>
    <w:p w14:paraId="75AC32C3"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1. تعريف الحوكمة المؤسسية</w:t>
      </w:r>
    </w:p>
    <w:p w14:paraId="6A24624A"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تشير الحوكمة المؤسسية إلى مجموعة القواعد والإجراءات التي تحكم العلاقة بين الإدارة التنفيذية ومجلس الإدارة والمساهمين وأصحاب المصالح، بهدف تنظيم العمل المؤسسي وتحقيق الشفافية والمساءلة والعدالة.</w:t>
      </w:r>
    </w:p>
    <w:p w14:paraId="10DBB00A"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وفي القطاع المصرفي، تُعد الحوكمة عنصرًا أساسيًا لضمان سلامة النظام المالي ومنع الممارسات التي قد تهدد استقراره.</w:t>
      </w:r>
    </w:p>
    <w:p w14:paraId="56FD2C7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2. مبادئ الحوكمة في البنوك</w:t>
      </w:r>
    </w:p>
    <w:p w14:paraId="49A00AAD"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وفق تعليمات البنك المركزي السعودي (ساما) والمعايير الدولية، تقوم الحوكمة على مبادئ، منها:</w:t>
      </w:r>
    </w:p>
    <w:p w14:paraId="1BC67E3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الشفافية والإفصاح</w:t>
      </w:r>
    </w:p>
    <w:p w14:paraId="28E3F47F"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العدالة والمساواة</w:t>
      </w:r>
    </w:p>
    <w:p w14:paraId="4C2765AE"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حماية حقوق المساهمين</w:t>
      </w:r>
    </w:p>
    <w:p w14:paraId="1E74B13C"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استقلالية مجلس الإدارة</w:t>
      </w:r>
    </w:p>
    <w:p w14:paraId="7DC0094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كفاءة اللجان المتخصصة</w:t>
      </w:r>
    </w:p>
    <w:p w14:paraId="4B31221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المسؤولية والمساءلة</w:t>
      </w:r>
    </w:p>
    <w:p w14:paraId="36F5ADD7"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3. دور لجان الحوكمة في البنوك</w:t>
      </w:r>
    </w:p>
    <w:p w14:paraId="0A1AD0A6"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تلعب اللجان التنظيمية دورًا مهمًا، مثل:</w:t>
      </w:r>
    </w:p>
    <w:p w14:paraId="41C324FB"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لجنة المراجعة الداخلية</w:t>
      </w:r>
    </w:p>
    <w:p w14:paraId="766E7F4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لجنة إدارة المخاطر</w:t>
      </w:r>
    </w:p>
    <w:p w14:paraId="0814EB2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لجنة الحوكمة</w:t>
      </w:r>
    </w:p>
    <w:p w14:paraId="258E31D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لجنة التدقيق</w:t>
      </w:r>
    </w:p>
    <w:p w14:paraId="5B1A52C1"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وتسهم هذه اللجان في ضمان وجود نظام رقابي فعّال يحد من المخاطر ويدعم اتخاذ القرار السليم.</w:t>
      </w:r>
    </w:p>
    <w:p w14:paraId="7AD6149E" w14:textId="77777777" w:rsidR="000A5464" w:rsidRDefault="000A5464" w:rsidP="000A5464">
      <w:pPr>
        <w:rPr>
          <w:rFonts w:ascii="Traditional Arabic" w:hAnsi="Traditional Arabic" w:cs="Traditional Arabic"/>
          <w:b/>
          <w:bCs/>
          <w:sz w:val="32"/>
          <w:szCs w:val="32"/>
          <w:lang w:bidi="ar-EG"/>
        </w:rPr>
      </w:pPr>
    </w:p>
    <w:p w14:paraId="5437F01B" w14:textId="77777777" w:rsidR="000A5464" w:rsidRDefault="000A5464" w:rsidP="000A5464">
      <w:pPr>
        <w:rPr>
          <w:rFonts w:ascii="Traditional Arabic" w:hAnsi="Traditional Arabic" w:cs="Traditional Arabic"/>
          <w:b/>
          <w:bCs/>
          <w:sz w:val="32"/>
          <w:szCs w:val="32"/>
          <w:lang w:bidi="ar-EG"/>
        </w:rPr>
      </w:pPr>
    </w:p>
    <w:p w14:paraId="50745973" w14:textId="01E1F31A" w:rsidR="000A5464" w:rsidRPr="000A5464" w:rsidRDefault="000A5464" w:rsidP="000A5464">
      <w:pPr>
        <w:rPr>
          <w:rFonts w:ascii="Traditional Arabic" w:hAnsi="Traditional Arabic" w:cs="Traditional Arabic"/>
          <w:b/>
          <w:bCs/>
          <w:sz w:val="32"/>
          <w:szCs w:val="32"/>
          <w:lang w:bidi="ar-EG"/>
        </w:rPr>
      </w:pPr>
      <w:r w:rsidRPr="000A5464">
        <w:rPr>
          <w:rFonts w:ascii="Traditional Arabic" w:hAnsi="Traditional Arabic" w:cs="Traditional Arabic"/>
          <w:b/>
          <w:bCs/>
          <w:sz w:val="32"/>
          <w:szCs w:val="32"/>
          <w:rtl/>
          <w:lang w:bidi="ar-EG"/>
        </w:rPr>
        <w:lastRenderedPageBreak/>
        <w:t>ثالثًا: العلاقة بين إدارة المخاطر المالية والحوكمة المؤسسية</w:t>
      </w:r>
    </w:p>
    <w:p w14:paraId="1A987AF4"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ترتبط إدارة المخاطر بالحوكمة المؤسسية ارتباطًا تكامليًا يمكن توضيحه كما يلي:</w:t>
      </w:r>
    </w:p>
    <w:p w14:paraId="66B1A4E0"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توفر الحوكمة الإطار التنظيمي الذي يضمن تطبيق سياسات إدارة المخاطر بفعالية.</w:t>
      </w:r>
    </w:p>
    <w:p w14:paraId="480F1518"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تساعد إدارة المخاطر على تعزيز الشفافية من خلال تقديم معلومات دقيقة عن مستوى الخطر.</w:t>
      </w:r>
    </w:p>
    <w:p w14:paraId="05A90CE5"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تؤدي الحوكمة الجيدة إلى تقليل المخاطر الناتجة عن تضارب المصالح أو ضعف الرقابة.</w:t>
      </w:r>
    </w:p>
    <w:p w14:paraId="4160522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يعتمد نجاح الحوكمة في البنوك على وجود إدارة مخاطر قوية، والعكس صحيح.</w:t>
      </w:r>
    </w:p>
    <w:p w14:paraId="273BAAE2"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تعزز العلاقة بينهما استقرار القطاع المصرفي وتزيد ثقة المودعين والمستثمرين.</w:t>
      </w:r>
    </w:p>
    <w:p w14:paraId="37177359" w14:textId="77777777" w:rsidR="000A5464" w:rsidRPr="000A5464" w:rsidRDefault="000A5464" w:rsidP="000A5464">
      <w:pPr>
        <w:rPr>
          <w:rFonts w:ascii="Traditional Arabic" w:hAnsi="Traditional Arabic" w:cs="Traditional Arabic"/>
          <w:sz w:val="28"/>
          <w:szCs w:val="28"/>
          <w:lang w:bidi="ar-EG"/>
        </w:rPr>
      </w:pPr>
      <w:r w:rsidRPr="000A5464">
        <w:rPr>
          <w:rFonts w:ascii="Traditional Arabic" w:hAnsi="Traditional Arabic" w:cs="Traditional Arabic"/>
          <w:sz w:val="28"/>
          <w:szCs w:val="28"/>
          <w:rtl/>
          <w:lang w:bidi="ar-EG"/>
        </w:rPr>
        <w:t xml:space="preserve">وبذلك يشكّل التكامل بين إدارة المخاطر والحوكمة أحد أهم متطلبات لجنة بازل </w:t>
      </w:r>
      <w:r w:rsidRPr="000A5464">
        <w:rPr>
          <w:rFonts w:ascii="Traditional Arabic" w:hAnsi="Traditional Arabic" w:cs="Traditional Arabic"/>
          <w:sz w:val="28"/>
          <w:szCs w:val="28"/>
          <w:lang w:bidi="ar-EG"/>
        </w:rPr>
        <w:t>III</w:t>
      </w:r>
      <w:r w:rsidRPr="000A5464">
        <w:rPr>
          <w:rFonts w:ascii="Traditional Arabic" w:hAnsi="Traditional Arabic" w:cs="Traditional Arabic"/>
          <w:sz w:val="28"/>
          <w:szCs w:val="28"/>
          <w:rtl/>
          <w:lang w:bidi="ar-EG"/>
        </w:rPr>
        <w:t>، وأحد العوامل الأساسية لتحقيق الاستدامة المالية للمؤسسات المصرفية السعودية.</w:t>
      </w:r>
    </w:p>
    <w:p w14:paraId="148A704F" w14:textId="77777777" w:rsidR="009125CE" w:rsidRPr="000A5464"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6E52896B" w14:textId="3A1DDB61" w:rsidR="009125CE" w:rsidRDefault="009125CE" w:rsidP="009B2F6C">
      <w:pPr>
        <w:pStyle w:val="NormalWeb"/>
        <w:rPr>
          <w:rtl/>
        </w:rPr>
      </w:pPr>
    </w:p>
    <w:p w14:paraId="2675EF3B" w14:textId="15677FDB" w:rsidR="00FB4164" w:rsidRDefault="00FB4164" w:rsidP="009B2F6C">
      <w:pPr>
        <w:pStyle w:val="NormalWeb"/>
        <w:rPr>
          <w:rtl/>
        </w:rPr>
      </w:pPr>
    </w:p>
    <w:p w14:paraId="3EA0AABB" w14:textId="34C2AE49" w:rsidR="00FB4164" w:rsidRDefault="00FB4164" w:rsidP="009B2F6C">
      <w:pPr>
        <w:pStyle w:val="NormalWeb"/>
        <w:rPr>
          <w:rtl/>
        </w:rPr>
      </w:pPr>
    </w:p>
    <w:p w14:paraId="2BA50501" w14:textId="74BDD313" w:rsidR="00FB4164" w:rsidRDefault="00FB4164" w:rsidP="009B2F6C">
      <w:pPr>
        <w:pStyle w:val="NormalWeb"/>
        <w:rPr>
          <w:rtl/>
        </w:rPr>
      </w:pPr>
    </w:p>
    <w:p w14:paraId="31576655" w14:textId="00FD8A0C" w:rsidR="00FB4164" w:rsidRDefault="00FB4164" w:rsidP="009B2F6C">
      <w:pPr>
        <w:pStyle w:val="NormalWeb"/>
        <w:rPr>
          <w:rtl/>
        </w:rPr>
      </w:pPr>
    </w:p>
    <w:p w14:paraId="19A5A68F" w14:textId="02F37846" w:rsidR="00FB4164" w:rsidRDefault="00FB4164" w:rsidP="009B2F6C">
      <w:pPr>
        <w:pStyle w:val="NormalWeb"/>
        <w:rPr>
          <w:rtl/>
        </w:rPr>
      </w:pPr>
    </w:p>
    <w:p w14:paraId="5159B683" w14:textId="79BB8DB4" w:rsidR="00FB4164" w:rsidRDefault="00FB4164" w:rsidP="009B2F6C">
      <w:pPr>
        <w:pStyle w:val="NormalWeb"/>
        <w:rPr>
          <w:rtl/>
        </w:rPr>
      </w:pPr>
    </w:p>
    <w:p w14:paraId="2B381DD7" w14:textId="22DD86DE" w:rsidR="00FB4164" w:rsidRDefault="00FB4164" w:rsidP="009B2F6C">
      <w:pPr>
        <w:pStyle w:val="NormalWeb"/>
        <w:rPr>
          <w:rtl/>
        </w:rPr>
      </w:pPr>
    </w:p>
    <w:p w14:paraId="278BAA3F" w14:textId="340F042F" w:rsidR="00FB4164" w:rsidRDefault="00FB4164" w:rsidP="009B2F6C">
      <w:pPr>
        <w:pStyle w:val="NormalWeb"/>
        <w:rPr>
          <w:rtl/>
        </w:rPr>
      </w:pPr>
    </w:p>
    <w:p w14:paraId="3F205BFC" w14:textId="5775B560" w:rsidR="00FB4164" w:rsidRDefault="00FB4164" w:rsidP="009B2F6C">
      <w:pPr>
        <w:pStyle w:val="NormalWeb"/>
        <w:rPr>
          <w:rtl/>
        </w:rPr>
      </w:pPr>
    </w:p>
    <w:p w14:paraId="59BC141E" w14:textId="1F5CA07C" w:rsidR="00FB4164" w:rsidRDefault="00FB4164" w:rsidP="009B2F6C">
      <w:pPr>
        <w:pStyle w:val="NormalWeb"/>
        <w:rPr>
          <w:rtl/>
        </w:rPr>
      </w:pPr>
    </w:p>
    <w:p w14:paraId="3F8589DE" w14:textId="0106D4CE" w:rsidR="00FB4164" w:rsidRDefault="00FB4164" w:rsidP="009B2F6C">
      <w:pPr>
        <w:pStyle w:val="NormalWeb"/>
        <w:rPr>
          <w:rtl/>
        </w:rPr>
      </w:pPr>
    </w:p>
    <w:p w14:paraId="7E1E9D6D" w14:textId="778A6072" w:rsidR="00FB4164" w:rsidRDefault="00FB4164" w:rsidP="009B2F6C">
      <w:pPr>
        <w:pStyle w:val="NormalWeb"/>
        <w:rPr>
          <w:rtl/>
        </w:rPr>
      </w:pPr>
    </w:p>
    <w:p w14:paraId="12A2F8EB" w14:textId="1133FA75" w:rsidR="00FB4164" w:rsidRDefault="00FB4164" w:rsidP="009B2F6C">
      <w:pPr>
        <w:pStyle w:val="NormalWeb"/>
        <w:rPr>
          <w:rtl/>
        </w:rPr>
      </w:pPr>
    </w:p>
    <w:p w14:paraId="121C1EFE" w14:textId="5BDDAA7F" w:rsidR="00FB4164" w:rsidRDefault="00FB4164" w:rsidP="009B2F6C">
      <w:pPr>
        <w:pStyle w:val="NormalWeb"/>
        <w:rPr>
          <w:rtl/>
        </w:rPr>
      </w:pPr>
    </w:p>
    <w:p w14:paraId="61E2BB20" w14:textId="5231B788" w:rsidR="00FB4164" w:rsidRDefault="00FB4164" w:rsidP="009B2F6C">
      <w:pPr>
        <w:pStyle w:val="NormalWeb"/>
        <w:rPr>
          <w:rtl/>
        </w:rPr>
      </w:pPr>
    </w:p>
    <w:p w14:paraId="585AAE60" w14:textId="29E08E24" w:rsidR="00FB4164" w:rsidRDefault="00FB4164" w:rsidP="009B2F6C">
      <w:pPr>
        <w:pStyle w:val="NormalWeb"/>
        <w:rPr>
          <w:rtl/>
        </w:rPr>
      </w:pPr>
    </w:p>
    <w:p w14:paraId="26B9B8D2" w14:textId="3DF41D8A" w:rsidR="00FB4164" w:rsidRDefault="00FB4164" w:rsidP="009B2F6C">
      <w:pPr>
        <w:pStyle w:val="NormalWeb"/>
        <w:rPr>
          <w:rtl/>
        </w:rPr>
      </w:pPr>
    </w:p>
    <w:p w14:paraId="591E1B63" w14:textId="730D8026" w:rsidR="00FB4164" w:rsidRDefault="00FB4164" w:rsidP="009B2F6C">
      <w:pPr>
        <w:pStyle w:val="NormalWeb"/>
        <w:rPr>
          <w:rtl/>
        </w:rPr>
      </w:pPr>
    </w:p>
    <w:p w14:paraId="67FA342E" w14:textId="04B0A4A7" w:rsidR="00FB4164" w:rsidRPr="00FB4164" w:rsidRDefault="00FB4164" w:rsidP="00FB4164">
      <w:pPr>
        <w:pStyle w:val="NormalWeb"/>
        <w:jc w:val="center"/>
        <w:rPr>
          <w:rFonts w:ascii="Traditional Arabic" w:hAnsi="Traditional Arabic" w:cs="Traditional Arabic"/>
          <w:b/>
          <w:bCs/>
          <w:sz w:val="56"/>
          <w:szCs w:val="56"/>
          <w:rtl/>
        </w:rPr>
      </w:pPr>
    </w:p>
    <w:p w14:paraId="07A94947" w14:textId="3885695E" w:rsidR="00FB4164" w:rsidRPr="00FB4164" w:rsidRDefault="00FB4164" w:rsidP="00FB4164">
      <w:pPr>
        <w:pStyle w:val="NormalWeb"/>
        <w:jc w:val="center"/>
        <w:rPr>
          <w:rFonts w:ascii="Traditional Arabic" w:hAnsi="Traditional Arabic" w:cs="Traditional Arabic"/>
          <w:b/>
          <w:bCs/>
          <w:sz w:val="56"/>
          <w:szCs w:val="56"/>
          <w:rtl/>
        </w:rPr>
      </w:pPr>
      <w:r w:rsidRPr="00FB4164">
        <w:rPr>
          <w:rFonts w:ascii="Traditional Arabic" w:hAnsi="Traditional Arabic" w:cs="Traditional Arabic"/>
          <w:b/>
          <w:bCs/>
          <w:sz w:val="56"/>
          <w:szCs w:val="56"/>
          <w:rtl/>
        </w:rPr>
        <w:t>الفصل الثاني</w:t>
      </w:r>
    </w:p>
    <w:p w14:paraId="608BCD96" w14:textId="545C1EB2" w:rsidR="00FB4164" w:rsidRDefault="00FB4164" w:rsidP="00FB4164">
      <w:pPr>
        <w:pStyle w:val="NormalWeb"/>
        <w:jc w:val="center"/>
        <w:rPr>
          <w:rFonts w:ascii="Traditional Arabic" w:hAnsi="Traditional Arabic" w:cs="Traditional Arabic"/>
          <w:b/>
          <w:bCs/>
          <w:sz w:val="56"/>
          <w:szCs w:val="56"/>
        </w:rPr>
      </w:pPr>
      <w:r w:rsidRPr="00FB4164">
        <w:rPr>
          <w:rFonts w:ascii="Traditional Arabic" w:hAnsi="Traditional Arabic" w:cs="Traditional Arabic"/>
          <w:b/>
          <w:bCs/>
          <w:sz w:val="56"/>
          <w:szCs w:val="56"/>
          <w:rtl/>
        </w:rPr>
        <w:t>الدراسات السابقة</w:t>
      </w:r>
    </w:p>
    <w:p w14:paraId="6D12757E" w14:textId="78325303" w:rsidR="00FB4164" w:rsidRDefault="00FB4164" w:rsidP="00FB4164">
      <w:pPr>
        <w:pStyle w:val="NormalWeb"/>
        <w:jc w:val="center"/>
        <w:rPr>
          <w:rFonts w:ascii="Traditional Arabic" w:hAnsi="Traditional Arabic" w:cs="Traditional Arabic"/>
          <w:b/>
          <w:bCs/>
          <w:sz w:val="56"/>
          <w:szCs w:val="56"/>
        </w:rPr>
      </w:pPr>
    </w:p>
    <w:p w14:paraId="3DA79E30" w14:textId="626C7A44" w:rsidR="00FB4164" w:rsidRDefault="00FB4164" w:rsidP="00FB4164">
      <w:pPr>
        <w:pStyle w:val="NormalWeb"/>
        <w:jc w:val="center"/>
        <w:rPr>
          <w:rFonts w:ascii="Traditional Arabic" w:hAnsi="Traditional Arabic" w:cs="Traditional Arabic"/>
          <w:b/>
          <w:bCs/>
          <w:sz w:val="56"/>
          <w:szCs w:val="56"/>
        </w:rPr>
      </w:pPr>
    </w:p>
    <w:p w14:paraId="769B72F1" w14:textId="44958B80" w:rsidR="00FB4164" w:rsidRDefault="00FB4164" w:rsidP="00FB4164">
      <w:pPr>
        <w:pStyle w:val="NormalWeb"/>
        <w:jc w:val="center"/>
        <w:rPr>
          <w:rFonts w:ascii="Traditional Arabic" w:hAnsi="Traditional Arabic" w:cs="Traditional Arabic"/>
          <w:b/>
          <w:bCs/>
          <w:sz w:val="56"/>
          <w:szCs w:val="56"/>
        </w:rPr>
      </w:pPr>
    </w:p>
    <w:p w14:paraId="38158265" w14:textId="2C382ED0" w:rsidR="00FB4164" w:rsidRDefault="00FB4164" w:rsidP="00FB4164">
      <w:pPr>
        <w:pStyle w:val="NormalWeb"/>
        <w:jc w:val="center"/>
        <w:rPr>
          <w:rFonts w:ascii="Traditional Arabic" w:hAnsi="Traditional Arabic" w:cs="Traditional Arabic"/>
          <w:b/>
          <w:bCs/>
          <w:sz w:val="56"/>
          <w:szCs w:val="56"/>
        </w:rPr>
      </w:pPr>
    </w:p>
    <w:p w14:paraId="0268BE67" w14:textId="075D2AEC" w:rsidR="00FB4164" w:rsidRDefault="00FB4164" w:rsidP="00FB4164">
      <w:pPr>
        <w:pStyle w:val="NormalWeb"/>
        <w:jc w:val="center"/>
        <w:rPr>
          <w:rFonts w:ascii="Traditional Arabic" w:hAnsi="Traditional Arabic" w:cs="Traditional Arabic"/>
          <w:b/>
          <w:bCs/>
          <w:sz w:val="56"/>
          <w:szCs w:val="56"/>
        </w:rPr>
      </w:pPr>
    </w:p>
    <w:p w14:paraId="5BC618F1" w14:textId="77777777" w:rsidR="00FB4164" w:rsidRPr="00FB4164" w:rsidRDefault="00FB4164" w:rsidP="00FB4164">
      <w:pPr>
        <w:pStyle w:val="NormalWeb"/>
        <w:jc w:val="right"/>
        <w:rPr>
          <w:rFonts w:ascii="Traditional Arabic" w:hAnsi="Traditional Arabic" w:cs="Traditional Arabic"/>
          <w:b/>
          <w:bCs/>
          <w:sz w:val="32"/>
          <w:szCs w:val="32"/>
        </w:rPr>
      </w:pPr>
      <w:r w:rsidRPr="00FB4164">
        <w:rPr>
          <w:rFonts w:ascii="Traditional Arabic" w:hAnsi="Traditional Arabic" w:cs="Traditional Arabic"/>
          <w:b/>
          <w:bCs/>
          <w:sz w:val="32"/>
          <w:szCs w:val="32"/>
          <w:rtl/>
        </w:rPr>
        <w:lastRenderedPageBreak/>
        <w:t>مقدمة الفصل</w:t>
      </w:r>
    </w:p>
    <w:p w14:paraId="59B7BCCD" w14:textId="77777777" w:rsidR="00FB4164" w:rsidRPr="00FB4164" w:rsidRDefault="00FB4164" w:rsidP="00FB4164">
      <w:pPr>
        <w:pStyle w:val="NormalWeb"/>
        <w:jc w:val="right"/>
        <w:rPr>
          <w:rFonts w:ascii="Traditional Arabic" w:hAnsi="Traditional Arabic" w:cs="Traditional Arabic"/>
          <w:b/>
          <w:bCs/>
          <w:sz w:val="32"/>
          <w:szCs w:val="32"/>
        </w:rPr>
      </w:pPr>
    </w:p>
    <w:p w14:paraId="78D2E9D9" w14:textId="77777777" w:rsidR="00FB4164" w:rsidRPr="00FB4164" w:rsidRDefault="00FB4164" w:rsidP="00FB4164">
      <w:pPr>
        <w:pStyle w:val="NormalWeb"/>
        <w:jc w:val="right"/>
        <w:rPr>
          <w:rFonts w:ascii="Traditional Arabic" w:hAnsi="Traditional Arabic" w:cs="Traditional Arabic"/>
          <w:sz w:val="28"/>
          <w:szCs w:val="28"/>
        </w:rPr>
      </w:pPr>
      <w:r w:rsidRPr="00FB4164">
        <w:rPr>
          <w:rFonts w:ascii="Traditional Arabic" w:hAnsi="Traditional Arabic" w:cs="Traditional Arabic"/>
          <w:sz w:val="28"/>
          <w:szCs w:val="28"/>
          <w:rtl/>
        </w:rPr>
        <w:t>تُعد الدراسات السابقة أحد الركائز العلمية التي يعتمد عليها الباحث في بناء الإطار المفاهيمي للدراسة، وربط موضوع البحث بسياقه العلمي، واستخلاص ما توصلت إليه الأدبيات من نتائج واتجاهات. وتساعد الدراسات السابقة في الكشف عن أساليب معالجة موضوع إدارة المخاطر المالية والحوكمة المؤسسية في البنوك، وتوضيح الثغرات العلمية التي لم تُعالج بعد، مما يمكّن الباحث من تحديد موقع دراسته من بين هذه الجهود البحثية</w:t>
      </w:r>
      <w:r w:rsidRPr="00FB4164">
        <w:rPr>
          <w:rFonts w:ascii="Traditional Arabic" w:hAnsi="Traditional Arabic" w:cs="Traditional Arabic"/>
          <w:sz w:val="28"/>
          <w:szCs w:val="28"/>
        </w:rPr>
        <w:t>.</w:t>
      </w:r>
    </w:p>
    <w:p w14:paraId="4E6220D1" w14:textId="77777777" w:rsidR="00FB4164" w:rsidRPr="00FB4164" w:rsidRDefault="00FB4164" w:rsidP="00FB4164">
      <w:pPr>
        <w:pStyle w:val="NormalWeb"/>
        <w:jc w:val="right"/>
        <w:rPr>
          <w:rFonts w:ascii="Traditional Arabic" w:hAnsi="Traditional Arabic" w:cs="Traditional Arabic"/>
          <w:sz w:val="28"/>
          <w:szCs w:val="28"/>
        </w:rPr>
      </w:pPr>
    </w:p>
    <w:p w14:paraId="2591DCDA" w14:textId="77777777" w:rsidR="00FB4164" w:rsidRPr="00FB4164" w:rsidRDefault="00FB4164" w:rsidP="00FB4164">
      <w:pPr>
        <w:pStyle w:val="NormalWeb"/>
        <w:jc w:val="right"/>
        <w:rPr>
          <w:rFonts w:ascii="Traditional Arabic" w:hAnsi="Traditional Arabic" w:cs="Traditional Arabic"/>
          <w:sz w:val="28"/>
          <w:szCs w:val="28"/>
        </w:rPr>
      </w:pPr>
      <w:r w:rsidRPr="00FB4164">
        <w:rPr>
          <w:rFonts w:ascii="Traditional Arabic" w:hAnsi="Traditional Arabic" w:cs="Traditional Arabic"/>
          <w:sz w:val="28"/>
          <w:szCs w:val="28"/>
          <w:rtl/>
        </w:rPr>
        <w:t>وفي هذا الفصل، سيتم عرض مجموعة من الدراسات العربية والأجنبية المتعلقة بموضوع البحث، وذلك وفق ترتيب منهجي يعتمد على تحديد</w:t>
      </w:r>
      <w:r w:rsidRPr="00FB4164">
        <w:rPr>
          <w:rFonts w:ascii="Traditional Arabic" w:hAnsi="Traditional Arabic" w:cs="Traditional Arabic"/>
          <w:sz w:val="28"/>
          <w:szCs w:val="28"/>
        </w:rPr>
        <w:t>:</w:t>
      </w:r>
    </w:p>
    <w:p w14:paraId="67D25263" w14:textId="77777777" w:rsidR="00FB4164" w:rsidRPr="00FB4164" w:rsidRDefault="00FB4164" w:rsidP="00FB4164">
      <w:pPr>
        <w:pStyle w:val="NormalWeb"/>
        <w:jc w:val="right"/>
        <w:rPr>
          <w:rFonts w:ascii="Traditional Arabic" w:hAnsi="Traditional Arabic" w:cs="Traditional Arabic"/>
          <w:sz w:val="28"/>
          <w:szCs w:val="28"/>
        </w:rPr>
      </w:pPr>
      <w:r w:rsidRPr="00FB4164">
        <w:rPr>
          <w:rFonts w:ascii="Traditional Arabic" w:hAnsi="Traditional Arabic" w:cs="Traditional Arabic"/>
          <w:sz w:val="28"/>
          <w:szCs w:val="28"/>
          <w:rtl/>
        </w:rPr>
        <w:t>هدف الدراسة – منهجها – أدواتها – عيّنتها – أهم نتائجها</w:t>
      </w:r>
      <w:r w:rsidRPr="00FB4164">
        <w:rPr>
          <w:rFonts w:ascii="Traditional Arabic" w:hAnsi="Traditional Arabic" w:cs="Traditional Arabic"/>
          <w:sz w:val="28"/>
          <w:szCs w:val="28"/>
        </w:rPr>
        <w:t>.</w:t>
      </w:r>
    </w:p>
    <w:p w14:paraId="0AAF8CD7" w14:textId="77777777" w:rsidR="00FB4164" w:rsidRPr="00FB4164" w:rsidRDefault="00FB4164" w:rsidP="00FB4164">
      <w:pPr>
        <w:pStyle w:val="NormalWeb"/>
        <w:jc w:val="right"/>
        <w:rPr>
          <w:rFonts w:ascii="Traditional Arabic" w:hAnsi="Traditional Arabic" w:cs="Traditional Arabic"/>
          <w:b/>
          <w:bCs/>
          <w:sz w:val="32"/>
          <w:szCs w:val="32"/>
        </w:rPr>
      </w:pPr>
      <w:r w:rsidRPr="00FB4164">
        <w:rPr>
          <w:rFonts w:ascii="Traditional Arabic" w:hAnsi="Traditional Arabic" w:cs="Traditional Arabic"/>
          <w:sz w:val="28"/>
          <w:szCs w:val="28"/>
          <w:rtl/>
        </w:rPr>
        <w:t>يتبع ذلك تقديم مقارنة بين هذه الدراسات وتوضيح ما يميز الدراسة الحالية</w:t>
      </w:r>
      <w:r w:rsidRPr="00FB4164">
        <w:rPr>
          <w:rFonts w:ascii="Traditional Arabic" w:hAnsi="Traditional Arabic" w:cs="Traditional Arabic"/>
          <w:b/>
          <w:bCs/>
          <w:sz w:val="32"/>
          <w:szCs w:val="32"/>
        </w:rPr>
        <w:t>.</w:t>
      </w:r>
    </w:p>
    <w:p w14:paraId="0BBAC4AA" w14:textId="2CB604E6" w:rsidR="00FB4164" w:rsidRDefault="00FB4164" w:rsidP="00FB4164">
      <w:pPr>
        <w:pStyle w:val="NormalWeb"/>
        <w:jc w:val="right"/>
        <w:rPr>
          <w:rFonts w:ascii="Traditional Arabic" w:hAnsi="Traditional Arabic" w:cs="Traditional Arabic"/>
          <w:b/>
          <w:bCs/>
          <w:sz w:val="32"/>
          <w:szCs w:val="32"/>
        </w:rPr>
      </w:pPr>
    </w:p>
    <w:p w14:paraId="5DE6A5B3" w14:textId="746F9C11" w:rsidR="00FB4164" w:rsidRDefault="00FB4164" w:rsidP="00FB4164">
      <w:pPr>
        <w:pStyle w:val="NormalWeb"/>
        <w:jc w:val="right"/>
        <w:rPr>
          <w:rFonts w:ascii="Traditional Arabic" w:hAnsi="Traditional Arabic" w:cs="Traditional Arabic"/>
          <w:b/>
          <w:bCs/>
          <w:sz w:val="32"/>
          <w:szCs w:val="32"/>
        </w:rPr>
      </w:pPr>
    </w:p>
    <w:p w14:paraId="78C3226C" w14:textId="710C78F3" w:rsidR="00FB4164" w:rsidRDefault="00FB4164" w:rsidP="00FB4164">
      <w:pPr>
        <w:pStyle w:val="NormalWeb"/>
        <w:jc w:val="right"/>
        <w:rPr>
          <w:rFonts w:ascii="Traditional Arabic" w:hAnsi="Traditional Arabic" w:cs="Traditional Arabic"/>
          <w:b/>
          <w:bCs/>
          <w:sz w:val="32"/>
          <w:szCs w:val="32"/>
        </w:rPr>
      </w:pPr>
    </w:p>
    <w:p w14:paraId="0688FBE4" w14:textId="503405CF" w:rsidR="00FB4164" w:rsidRDefault="00FB4164" w:rsidP="00FB4164">
      <w:pPr>
        <w:pStyle w:val="NormalWeb"/>
        <w:jc w:val="right"/>
        <w:rPr>
          <w:rFonts w:ascii="Traditional Arabic" w:hAnsi="Traditional Arabic" w:cs="Traditional Arabic"/>
          <w:b/>
          <w:bCs/>
          <w:sz w:val="32"/>
          <w:szCs w:val="32"/>
        </w:rPr>
      </w:pPr>
    </w:p>
    <w:p w14:paraId="76CFC7F0" w14:textId="1C36380D" w:rsidR="00FB4164" w:rsidRDefault="00FB4164" w:rsidP="00FB4164">
      <w:pPr>
        <w:pStyle w:val="NormalWeb"/>
        <w:jc w:val="right"/>
        <w:rPr>
          <w:rFonts w:ascii="Traditional Arabic" w:hAnsi="Traditional Arabic" w:cs="Traditional Arabic"/>
          <w:b/>
          <w:bCs/>
          <w:sz w:val="32"/>
          <w:szCs w:val="32"/>
        </w:rPr>
      </w:pPr>
    </w:p>
    <w:p w14:paraId="671119EB" w14:textId="161C4C5A" w:rsidR="00FB4164" w:rsidRDefault="00FB4164" w:rsidP="00FB4164">
      <w:pPr>
        <w:pStyle w:val="NormalWeb"/>
        <w:jc w:val="right"/>
        <w:rPr>
          <w:rFonts w:ascii="Traditional Arabic" w:hAnsi="Traditional Arabic" w:cs="Traditional Arabic"/>
          <w:b/>
          <w:bCs/>
          <w:sz w:val="32"/>
          <w:szCs w:val="32"/>
        </w:rPr>
      </w:pPr>
    </w:p>
    <w:p w14:paraId="56A9D576" w14:textId="4C6EF59F" w:rsidR="00FB4164" w:rsidRDefault="00FB4164" w:rsidP="00FB4164">
      <w:pPr>
        <w:pStyle w:val="NormalWeb"/>
        <w:jc w:val="right"/>
        <w:rPr>
          <w:rFonts w:ascii="Traditional Arabic" w:hAnsi="Traditional Arabic" w:cs="Traditional Arabic"/>
          <w:b/>
          <w:bCs/>
          <w:sz w:val="32"/>
          <w:szCs w:val="32"/>
        </w:rPr>
      </w:pPr>
    </w:p>
    <w:p w14:paraId="57D1A1DD" w14:textId="203B719B" w:rsidR="00FB4164" w:rsidRDefault="00FB4164" w:rsidP="00FB4164">
      <w:pPr>
        <w:pStyle w:val="NormalWeb"/>
        <w:jc w:val="right"/>
        <w:rPr>
          <w:rFonts w:ascii="Traditional Arabic" w:hAnsi="Traditional Arabic" w:cs="Traditional Arabic"/>
          <w:b/>
          <w:bCs/>
          <w:sz w:val="32"/>
          <w:szCs w:val="32"/>
        </w:rPr>
      </w:pPr>
    </w:p>
    <w:p w14:paraId="23820461" w14:textId="77777777" w:rsidR="00FB4164" w:rsidRPr="00FB4164" w:rsidRDefault="00FB4164" w:rsidP="00FB4164">
      <w:pPr>
        <w:pStyle w:val="NormalWeb"/>
        <w:jc w:val="right"/>
        <w:rPr>
          <w:rFonts w:ascii="Traditional Arabic" w:hAnsi="Traditional Arabic" w:cs="Traditional Arabic"/>
          <w:b/>
          <w:bCs/>
          <w:sz w:val="32"/>
          <w:szCs w:val="32"/>
        </w:rPr>
      </w:pPr>
    </w:p>
    <w:p w14:paraId="005EA9EC" w14:textId="42004F9C" w:rsidR="008A1EC9" w:rsidRDefault="00FB4164" w:rsidP="008A1EC9">
      <w:pPr>
        <w:pStyle w:val="NormalWeb"/>
        <w:jc w:val="right"/>
        <w:rPr>
          <w:rFonts w:ascii="Traditional Arabic" w:hAnsi="Traditional Arabic" w:cs="Traditional Arabic"/>
          <w:b/>
          <w:bCs/>
          <w:sz w:val="32"/>
          <w:szCs w:val="32"/>
          <w:rtl/>
        </w:rPr>
      </w:pPr>
      <w:r w:rsidRPr="00FB4164">
        <w:rPr>
          <w:rFonts w:ascii="Traditional Arabic" w:hAnsi="Traditional Arabic" w:cs="Traditional Arabic"/>
          <w:b/>
          <w:bCs/>
          <w:sz w:val="32"/>
          <w:szCs w:val="32"/>
          <w:rtl/>
        </w:rPr>
        <w:lastRenderedPageBreak/>
        <w:t>أولًا: الدراسات العربية</w:t>
      </w:r>
    </w:p>
    <w:p w14:paraId="20FADDDA" w14:textId="11C1C5E6" w:rsidR="008A1EC9" w:rsidRPr="008A1EC9" w:rsidRDefault="008A1EC9" w:rsidP="008A1EC9">
      <w:pPr>
        <w:pStyle w:val="NormalWeb"/>
        <w:numPr>
          <w:ilvl w:val="0"/>
          <w:numId w:val="28"/>
        </w:numPr>
        <w:bidi/>
        <w:rPr>
          <w:rFonts w:ascii="Traditional Arabic" w:hAnsi="Traditional Arabic" w:cs="Traditional Arabic"/>
          <w:b/>
          <w:bCs/>
          <w:sz w:val="32"/>
          <w:szCs w:val="32"/>
        </w:rPr>
      </w:pPr>
      <w:r>
        <w:rPr>
          <w:rFonts w:ascii="Traditional Arabic" w:hAnsi="Traditional Arabic" w:cs="Traditional Arabic" w:hint="cs"/>
          <w:b/>
          <w:bCs/>
          <w:sz w:val="32"/>
          <w:szCs w:val="32"/>
          <w:rtl/>
        </w:rPr>
        <w:t>دراسة الحربي (2020)</w:t>
      </w:r>
    </w:p>
    <w:p w14:paraId="0CBD6308" w14:textId="77777777"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العنوان: أثر إدارة المخاطر على الأداء المالي في البنوك السعودية</w:t>
      </w:r>
    </w:p>
    <w:p w14:paraId="588CD48A" w14:textId="3CF618A3"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الهدف: تحليل العلاقة بين تطبيق ممارسات إدارة المخاطر ومستوى الأداء المالي</w:t>
      </w:r>
    </w:p>
    <w:p w14:paraId="2DC29989" w14:textId="0A280936"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المنهج: وصفي تحليلي قائم على بيانات مالية منشورة</w:t>
      </w:r>
    </w:p>
    <w:p w14:paraId="1D88E9B9" w14:textId="0A0F5B23"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العينة: عدد من البنوك المدرجة في السوق المالية السعودية</w:t>
      </w:r>
    </w:p>
    <w:p w14:paraId="287B2697" w14:textId="0651C56B"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الأداة: تحليل المؤشرات المالية</w:t>
      </w:r>
    </w:p>
    <w:p w14:paraId="45D209C5" w14:textId="795D2B44"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النتائج</w:t>
      </w:r>
      <w:r w:rsidRPr="008A1EC9">
        <w:rPr>
          <w:rFonts w:ascii="Traditional Arabic" w:hAnsi="Traditional Arabic" w:cs="Traditional Arabic"/>
          <w:sz w:val="28"/>
          <w:szCs w:val="28"/>
        </w:rPr>
        <w:t>:</w:t>
      </w:r>
    </w:p>
    <w:p w14:paraId="5F95DF84" w14:textId="4BF30262"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ارتفاع مستوى تطبيق ممارسات المخاطر في البنوك السعودي</w:t>
      </w:r>
    </w:p>
    <w:p w14:paraId="65BE5D6D" w14:textId="3936DC1C"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وجود تأثير إيجابي لإدارة المخاطر على أداء البنو</w:t>
      </w:r>
      <w:r w:rsidR="008A1EC9">
        <w:rPr>
          <w:rFonts w:ascii="Traditional Arabic" w:hAnsi="Traditional Arabic" w:cs="Traditional Arabic" w:hint="cs"/>
          <w:sz w:val="28"/>
          <w:szCs w:val="28"/>
          <w:rtl/>
        </w:rPr>
        <w:t>ك</w:t>
      </w:r>
    </w:p>
    <w:p w14:paraId="5313174E" w14:textId="62FFC358"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ساهمت سياسات المخاطر في تقليل التذبذب في الأربا</w:t>
      </w:r>
      <w:r w:rsidR="008A1EC9">
        <w:rPr>
          <w:rFonts w:ascii="Traditional Arabic" w:hAnsi="Traditional Arabic" w:cs="Traditional Arabic" w:hint="cs"/>
          <w:sz w:val="28"/>
          <w:szCs w:val="28"/>
          <w:rtl/>
        </w:rPr>
        <w:t>ح</w:t>
      </w:r>
    </w:p>
    <w:p w14:paraId="1606B7C4" w14:textId="101DCFB1" w:rsidR="00FB4164" w:rsidRDefault="00FB4164" w:rsidP="008A1EC9">
      <w:pPr>
        <w:pStyle w:val="NormalWeb"/>
        <w:jc w:val="right"/>
        <w:rPr>
          <w:rFonts w:ascii="Traditional Arabic" w:hAnsi="Traditional Arabic" w:cs="Traditional Arabic"/>
          <w:sz w:val="28"/>
          <w:szCs w:val="28"/>
          <w:rtl/>
        </w:rPr>
      </w:pPr>
    </w:p>
    <w:p w14:paraId="6F8F6ADA" w14:textId="58A2BD49" w:rsidR="008A1EC9" w:rsidRPr="008A1EC9" w:rsidRDefault="008A1EC9" w:rsidP="008A1EC9">
      <w:pPr>
        <w:pStyle w:val="NormalWeb"/>
        <w:numPr>
          <w:ilvl w:val="0"/>
          <w:numId w:val="28"/>
        </w:numPr>
        <w:bidi/>
        <w:rPr>
          <w:rFonts w:ascii="Traditional Arabic" w:hAnsi="Traditional Arabic" w:cs="Traditional Arabic"/>
          <w:b/>
          <w:bCs/>
          <w:sz w:val="32"/>
          <w:szCs w:val="32"/>
        </w:rPr>
      </w:pPr>
      <w:r w:rsidRPr="008A1EC9">
        <w:rPr>
          <w:rFonts w:ascii="Traditional Arabic" w:hAnsi="Traditional Arabic" w:cs="Traditional Arabic" w:hint="cs"/>
          <w:b/>
          <w:bCs/>
          <w:sz w:val="32"/>
          <w:szCs w:val="32"/>
          <w:rtl/>
        </w:rPr>
        <w:t>دراسة العامري (2022)</w:t>
      </w:r>
    </w:p>
    <w:p w14:paraId="1AC4A954" w14:textId="77777777" w:rsidR="00FB4164" w:rsidRPr="008A1EC9" w:rsidRDefault="00FB4164" w:rsidP="00FB4164">
      <w:pPr>
        <w:pStyle w:val="NormalWeb"/>
        <w:jc w:val="right"/>
        <w:rPr>
          <w:rFonts w:ascii="Traditional Arabic" w:hAnsi="Traditional Arabic" w:cs="Traditional Arabic"/>
          <w:sz w:val="28"/>
          <w:szCs w:val="28"/>
        </w:rPr>
      </w:pPr>
    </w:p>
    <w:p w14:paraId="05A0CE2A" w14:textId="77777777"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العنوان: العلاقة بين الحوكمة المؤسسية وإدارة المخاطر في المصارف الخليجية</w:t>
      </w:r>
    </w:p>
    <w:p w14:paraId="0511E226" w14:textId="1969816B"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الهدف: تحليل أثر مبادئ الحوكمة (الشفافية – المساءلة – الإفصاح) على كفاءة إدارة المخاطر</w:t>
      </w:r>
    </w:p>
    <w:p w14:paraId="1A1D8AD2" w14:textId="7F96AD46"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المنهج: وصفي تحليلي مع تحليل استبانات</w:t>
      </w:r>
    </w:p>
    <w:p w14:paraId="7A636AE9" w14:textId="79921845" w:rsidR="00FB4164" w:rsidRDefault="00FB4164" w:rsidP="00FB4164">
      <w:pPr>
        <w:pStyle w:val="NormalWeb"/>
        <w:jc w:val="right"/>
        <w:rPr>
          <w:rFonts w:ascii="Traditional Arabic" w:hAnsi="Traditional Arabic" w:cs="Traditional Arabic"/>
          <w:sz w:val="28"/>
          <w:szCs w:val="28"/>
          <w:rtl/>
        </w:rPr>
      </w:pPr>
      <w:r w:rsidRPr="008A1EC9">
        <w:rPr>
          <w:rFonts w:ascii="Traditional Arabic" w:hAnsi="Traditional Arabic" w:cs="Traditional Arabic"/>
          <w:sz w:val="28"/>
          <w:szCs w:val="28"/>
          <w:rtl/>
        </w:rPr>
        <w:t>العينة: مؤسسات مصرفية خليجية</w:t>
      </w:r>
    </w:p>
    <w:p w14:paraId="74BA17A8" w14:textId="222A8D55" w:rsidR="008A1EC9" w:rsidRDefault="008A1EC9" w:rsidP="008A1EC9">
      <w:pPr>
        <w:pStyle w:val="NormalWeb"/>
        <w:jc w:val="right"/>
        <w:rPr>
          <w:rFonts w:ascii="Traditional Arabic" w:hAnsi="Traditional Arabic" w:cs="Traditional Arabic"/>
          <w:sz w:val="28"/>
          <w:szCs w:val="28"/>
          <w:rtl/>
        </w:rPr>
      </w:pPr>
    </w:p>
    <w:p w14:paraId="557CAEC0" w14:textId="77777777" w:rsidR="008A1EC9" w:rsidRPr="008A1EC9" w:rsidRDefault="008A1EC9" w:rsidP="008A1EC9">
      <w:pPr>
        <w:pStyle w:val="NormalWeb"/>
        <w:jc w:val="right"/>
        <w:rPr>
          <w:rFonts w:ascii="Traditional Arabic" w:hAnsi="Traditional Arabic" w:cs="Traditional Arabic"/>
          <w:sz w:val="28"/>
          <w:szCs w:val="28"/>
        </w:rPr>
      </w:pPr>
    </w:p>
    <w:p w14:paraId="2871374F" w14:textId="515AC18F"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lastRenderedPageBreak/>
        <w:t>النتائج</w:t>
      </w:r>
    </w:p>
    <w:p w14:paraId="7ADE5424" w14:textId="2019B01A"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وجود علاقة إيجابية قوية بين الحوكمة وإدارة المخاطر</w:t>
      </w:r>
    </w:p>
    <w:p w14:paraId="3E4EDE44" w14:textId="29366265" w:rsidR="00FB4164" w:rsidRDefault="00FB4164" w:rsidP="00FB4164">
      <w:pPr>
        <w:pStyle w:val="NormalWeb"/>
        <w:jc w:val="right"/>
        <w:rPr>
          <w:rFonts w:ascii="Traditional Arabic" w:hAnsi="Traditional Arabic" w:cs="Traditional Arabic"/>
          <w:sz w:val="28"/>
          <w:szCs w:val="28"/>
          <w:rtl/>
        </w:rPr>
      </w:pPr>
      <w:r w:rsidRPr="008A1EC9">
        <w:rPr>
          <w:rFonts w:ascii="Traditional Arabic" w:hAnsi="Traditional Arabic" w:cs="Traditional Arabic"/>
          <w:sz w:val="28"/>
          <w:szCs w:val="28"/>
          <w:rtl/>
        </w:rPr>
        <w:t>تفعيل دور لجان المراجعة والمخاطر أدى إلى انخفاض المخاطر التشغيل</w:t>
      </w:r>
      <w:r w:rsidR="008A1EC9">
        <w:rPr>
          <w:rFonts w:ascii="Traditional Arabic" w:hAnsi="Traditional Arabic" w:cs="Traditional Arabic" w:hint="cs"/>
          <w:sz w:val="28"/>
          <w:szCs w:val="28"/>
          <w:rtl/>
        </w:rPr>
        <w:t>ية</w:t>
      </w:r>
    </w:p>
    <w:p w14:paraId="26697B42" w14:textId="37AA6027" w:rsidR="008A1EC9" w:rsidRDefault="008A1EC9" w:rsidP="008A1EC9">
      <w:pPr>
        <w:pStyle w:val="NormalWeb"/>
        <w:jc w:val="right"/>
        <w:rPr>
          <w:rFonts w:ascii="Traditional Arabic" w:hAnsi="Traditional Arabic" w:cs="Traditional Arabic"/>
          <w:sz w:val="28"/>
          <w:szCs w:val="28"/>
          <w:rtl/>
        </w:rPr>
      </w:pPr>
    </w:p>
    <w:p w14:paraId="1E379575" w14:textId="77777777" w:rsidR="008A1EC9" w:rsidRPr="008A1EC9" w:rsidRDefault="008A1EC9" w:rsidP="008A1EC9">
      <w:pPr>
        <w:pStyle w:val="NormalWeb"/>
        <w:jc w:val="right"/>
        <w:rPr>
          <w:rFonts w:ascii="Traditional Arabic" w:hAnsi="Traditional Arabic" w:cs="Traditional Arabic"/>
          <w:sz w:val="28"/>
          <w:szCs w:val="28"/>
        </w:rPr>
      </w:pPr>
    </w:p>
    <w:p w14:paraId="264D107B" w14:textId="197CFE13" w:rsidR="00FB4164" w:rsidRPr="008A1EC9" w:rsidRDefault="00FB4164" w:rsidP="008A1EC9">
      <w:pPr>
        <w:pStyle w:val="NormalWeb"/>
        <w:numPr>
          <w:ilvl w:val="0"/>
          <w:numId w:val="28"/>
        </w:numPr>
        <w:bidi/>
        <w:rPr>
          <w:rFonts w:ascii="Traditional Arabic" w:hAnsi="Traditional Arabic" w:cs="Traditional Arabic"/>
          <w:b/>
          <w:bCs/>
          <w:sz w:val="32"/>
          <w:szCs w:val="32"/>
        </w:rPr>
      </w:pPr>
      <w:r w:rsidRPr="008A1EC9">
        <w:rPr>
          <w:rFonts w:ascii="Traditional Arabic" w:hAnsi="Traditional Arabic" w:cs="Traditional Arabic"/>
          <w:sz w:val="28"/>
          <w:szCs w:val="28"/>
        </w:rPr>
        <w:t xml:space="preserve"> </w:t>
      </w:r>
      <w:r w:rsidRPr="008A1EC9">
        <w:rPr>
          <w:rFonts w:ascii="Traditional Arabic" w:hAnsi="Traditional Arabic" w:cs="Traditional Arabic"/>
          <w:b/>
          <w:bCs/>
          <w:sz w:val="32"/>
          <w:szCs w:val="32"/>
          <w:rtl/>
        </w:rPr>
        <w:t>دراسة الكعبي</w:t>
      </w:r>
      <w:r w:rsidRPr="008A1EC9">
        <w:rPr>
          <w:rFonts w:ascii="Traditional Arabic" w:hAnsi="Traditional Arabic" w:cs="Traditional Arabic"/>
          <w:b/>
          <w:bCs/>
          <w:sz w:val="32"/>
          <w:szCs w:val="32"/>
        </w:rPr>
        <w:t xml:space="preserve"> (2023)</w:t>
      </w:r>
    </w:p>
    <w:p w14:paraId="757DFC59" w14:textId="77777777" w:rsidR="00FB4164" w:rsidRPr="008A1EC9" w:rsidRDefault="00FB4164" w:rsidP="00FB4164">
      <w:pPr>
        <w:pStyle w:val="NormalWeb"/>
        <w:jc w:val="right"/>
        <w:rPr>
          <w:rFonts w:ascii="Traditional Arabic" w:hAnsi="Traditional Arabic" w:cs="Traditional Arabic"/>
          <w:sz w:val="28"/>
          <w:szCs w:val="28"/>
        </w:rPr>
      </w:pPr>
    </w:p>
    <w:p w14:paraId="7D46CEFA" w14:textId="77777777"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العنوان: تطبيقات الحوكمة المؤسسية في البنوك الإسلامية الخليجية</w:t>
      </w:r>
    </w:p>
    <w:p w14:paraId="207F3559" w14:textId="3538AAA4" w:rsidR="00FB4164" w:rsidRPr="008A1EC9" w:rsidRDefault="00FB4164" w:rsidP="00FB4164">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الهدف: مقارنة مستوى الحوكمة بين البنوك الإسلامية والتقليدية وتأثيرها على المخاطر الائتمانية</w:t>
      </w:r>
    </w:p>
    <w:p w14:paraId="4C379F01" w14:textId="70A947DA"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النتائج</w:t>
      </w:r>
    </w:p>
    <w:p w14:paraId="68C21232" w14:textId="4ABC6E2F" w:rsidR="00FB4164" w:rsidRPr="008A1EC9" w:rsidRDefault="00FB4164" w:rsidP="008A1EC9">
      <w:pPr>
        <w:pStyle w:val="NormalWeb"/>
        <w:jc w:val="right"/>
        <w:rPr>
          <w:rFonts w:ascii="Traditional Arabic" w:hAnsi="Traditional Arabic" w:cs="Traditional Arabic"/>
          <w:sz w:val="28"/>
          <w:szCs w:val="28"/>
        </w:rPr>
      </w:pPr>
      <w:r w:rsidRPr="008A1EC9">
        <w:rPr>
          <w:rFonts w:ascii="Traditional Arabic" w:hAnsi="Traditional Arabic" w:cs="Traditional Arabic"/>
          <w:sz w:val="28"/>
          <w:szCs w:val="28"/>
          <w:rtl/>
        </w:rPr>
        <w:t>تطبيق الحوكمة في البنوك الإسلامية أقل من التقليدية</w:t>
      </w:r>
    </w:p>
    <w:p w14:paraId="7840EC7D" w14:textId="3496E172" w:rsidR="00FB4164" w:rsidRPr="00FB4164" w:rsidRDefault="00FB4164" w:rsidP="00FB4164">
      <w:pPr>
        <w:pStyle w:val="NormalWeb"/>
        <w:jc w:val="right"/>
        <w:rPr>
          <w:rFonts w:ascii="Traditional Arabic" w:hAnsi="Traditional Arabic" w:cs="Traditional Arabic"/>
          <w:b/>
          <w:bCs/>
          <w:sz w:val="32"/>
          <w:szCs w:val="32"/>
        </w:rPr>
      </w:pPr>
      <w:r w:rsidRPr="008A1EC9">
        <w:rPr>
          <w:rFonts w:ascii="Traditional Arabic" w:hAnsi="Traditional Arabic" w:cs="Traditional Arabic"/>
          <w:sz w:val="28"/>
          <w:szCs w:val="28"/>
          <w:rtl/>
        </w:rPr>
        <w:t>وجود علاقة مباشرة بين قوة الحوكمة وانخفاض المخاطر الائتماني</w:t>
      </w:r>
      <w:r w:rsidR="008A1EC9">
        <w:rPr>
          <w:rFonts w:ascii="Traditional Arabic" w:hAnsi="Traditional Arabic" w:cs="Traditional Arabic" w:hint="cs"/>
          <w:sz w:val="28"/>
          <w:szCs w:val="28"/>
          <w:rtl/>
        </w:rPr>
        <w:t>ة</w:t>
      </w:r>
    </w:p>
    <w:p w14:paraId="6DBD7FED" w14:textId="556D6273" w:rsidR="00FB4164" w:rsidRDefault="00FB4164" w:rsidP="00FB4164">
      <w:pPr>
        <w:pStyle w:val="NormalWeb"/>
        <w:jc w:val="right"/>
        <w:rPr>
          <w:rFonts w:ascii="Traditional Arabic" w:hAnsi="Traditional Arabic" w:cs="Traditional Arabic"/>
          <w:b/>
          <w:bCs/>
          <w:sz w:val="32"/>
          <w:szCs w:val="32"/>
          <w:rtl/>
        </w:rPr>
      </w:pPr>
    </w:p>
    <w:p w14:paraId="6066B16A" w14:textId="5EB10EF7" w:rsidR="008A1EC9" w:rsidRDefault="008A1EC9" w:rsidP="008A1EC9">
      <w:pPr>
        <w:pStyle w:val="NormalWeb"/>
        <w:jc w:val="right"/>
        <w:rPr>
          <w:rFonts w:ascii="Traditional Arabic" w:hAnsi="Traditional Arabic" w:cs="Traditional Arabic"/>
          <w:b/>
          <w:bCs/>
          <w:sz w:val="32"/>
          <w:szCs w:val="32"/>
          <w:rtl/>
        </w:rPr>
      </w:pPr>
    </w:p>
    <w:p w14:paraId="4998034E" w14:textId="67C39E8D" w:rsidR="008A1EC9" w:rsidRDefault="008A1EC9" w:rsidP="008A1EC9">
      <w:pPr>
        <w:pStyle w:val="NormalWeb"/>
        <w:jc w:val="right"/>
        <w:rPr>
          <w:rFonts w:ascii="Traditional Arabic" w:hAnsi="Traditional Arabic" w:cs="Traditional Arabic"/>
          <w:b/>
          <w:bCs/>
          <w:sz w:val="32"/>
          <w:szCs w:val="32"/>
          <w:rtl/>
        </w:rPr>
      </w:pPr>
    </w:p>
    <w:p w14:paraId="56A6718B" w14:textId="4A5ED808" w:rsidR="008A1EC9" w:rsidRDefault="008A1EC9" w:rsidP="008A1EC9">
      <w:pPr>
        <w:pStyle w:val="NormalWeb"/>
        <w:jc w:val="right"/>
        <w:rPr>
          <w:rFonts w:ascii="Traditional Arabic" w:hAnsi="Traditional Arabic" w:cs="Traditional Arabic"/>
          <w:b/>
          <w:bCs/>
          <w:sz w:val="32"/>
          <w:szCs w:val="32"/>
          <w:rtl/>
        </w:rPr>
      </w:pPr>
    </w:p>
    <w:p w14:paraId="33929262" w14:textId="19068D86" w:rsidR="008A1EC9" w:rsidRDefault="008A1EC9" w:rsidP="008A1EC9">
      <w:pPr>
        <w:pStyle w:val="NormalWeb"/>
        <w:jc w:val="right"/>
        <w:rPr>
          <w:rFonts w:ascii="Traditional Arabic" w:hAnsi="Traditional Arabic" w:cs="Traditional Arabic"/>
          <w:b/>
          <w:bCs/>
          <w:sz w:val="32"/>
          <w:szCs w:val="32"/>
          <w:rtl/>
        </w:rPr>
      </w:pPr>
    </w:p>
    <w:p w14:paraId="2B7011F1" w14:textId="056D103D" w:rsidR="008A1EC9" w:rsidRDefault="008A1EC9" w:rsidP="008A1EC9">
      <w:pPr>
        <w:pStyle w:val="NormalWeb"/>
        <w:jc w:val="right"/>
        <w:rPr>
          <w:rFonts w:ascii="Traditional Arabic" w:hAnsi="Traditional Arabic" w:cs="Traditional Arabic"/>
          <w:b/>
          <w:bCs/>
          <w:sz w:val="32"/>
          <w:szCs w:val="32"/>
          <w:rtl/>
        </w:rPr>
      </w:pPr>
    </w:p>
    <w:p w14:paraId="4414A4CA" w14:textId="77777777" w:rsidR="008A1EC9" w:rsidRPr="00FB4164" w:rsidRDefault="008A1EC9" w:rsidP="008A1EC9">
      <w:pPr>
        <w:pStyle w:val="NormalWeb"/>
        <w:jc w:val="right"/>
        <w:rPr>
          <w:rFonts w:ascii="Traditional Arabic" w:hAnsi="Traditional Arabic" w:cs="Traditional Arabic"/>
          <w:b/>
          <w:bCs/>
          <w:sz w:val="32"/>
          <w:szCs w:val="32"/>
        </w:rPr>
      </w:pPr>
    </w:p>
    <w:p w14:paraId="1C444760" w14:textId="054A742F" w:rsidR="00FB4164" w:rsidRDefault="008A1EC9" w:rsidP="008A1EC9">
      <w:pPr>
        <w:pStyle w:val="NormalWeb"/>
        <w:bidi/>
        <w:rPr>
          <w:rFonts w:ascii="Traditional Arabic" w:hAnsi="Traditional Arabic" w:cs="Traditional Arabic"/>
          <w:b/>
          <w:bCs/>
          <w:sz w:val="32"/>
          <w:szCs w:val="32"/>
          <w:rtl/>
        </w:rPr>
      </w:pPr>
      <w:r w:rsidRPr="008A1EC9">
        <w:rPr>
          <w:rFonts w:ascii="Traditional Arabic" w:hAnsi="Traditional Arabic" w:cs="Traditional Arabic"/>
          <w:b/>
          <w:bCs/>
          <w:sz w:val="32"/>
          <w:szCs w:val="32"/>
          <w:rtl/>
        </w:rPr>
        <w:lastRenderedPageBreak/>
        <w:t>ثانيًا: الدراسات الأجنبية</w:t>
      </w:r>
    </w:p>
    <w:p w14:paraId="7B64EB3F" w14:textId="2AA0E072"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Pr>
        <w:t>Khan &amp; Ahmed (2019)</w:t>
      </w:r>
    </w:p>
    <w:p w14:paraId="69A1D6D5" w14:textId="77777777"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tl/>
        </w:rPr>
        <w:t>العنوان</w:t>
      </w:r>
      <w:r w:rsidRPr="00806742">
        <w:rPr>
          <w:rFonts w:ascii="Traditional Arabic" w:hAnsi="Traditional Arabic" w:cs="Traditional Arabic"/>
          <w:sz w:val="28"/>
          <w:szCs w:val="28"/>
        </w:rPr>
        <w:t>: The Impact of Financial Risk Management on Corporate Governance in Banking Sector</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الهدف</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دراسة أثر ممارسات إدارة المخاطر على الحوكمة في بنوك الأسواق الناشئة</w:t>
      </w:r>
      <w:r w:rsidRPr="00806742">
        <w:rPr>
          <w:rFonts w:ascii="Traditional Arabic" w:hAnsi="Traditional Arabic" w:cs="Traditional Arabic"/>
          <w:sz w:val="28"/>
          <w:szCs w:val="28"/>
        </w:rPr>
        <w:t>.</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النتائج</w:t>
      </w:r>
      <w:r w:rsidRPr="00806742">
        <w:rPr>
          <w:rFonts w:ascii="Traditional Arabic" w:hAnsi="Traditional Arabic" w:cs="Traditional Arabic"/>
          <w:sz w:val="28"/>
          <w:szCs w:val="28"/>
        </w:rPr>
        <w:t>:</w:t>
      </w:r>
    </w:p>
    <w:p w14:paraId="00BB8878" w14:textId="77777777" w:rsidR="00806742" w:rsidRPr="00806742" w:rsidRDefault="00806742" w:rsidP="00806742">
      <w:pPr>
        <w:pStyle w:val="NormalWeb"/>
        <w:numPr>
          <w:ilvl w:val="0"/>
          <w:numId w:val="29"/>
        </w:numPr>
        <w:bidi/>
        <w:rPr>
          <w:rFonts w:ascii="Traditional Arabic" w:hAnsi="Traditional Arabic" w:cs="Traditional Arabic"/>
          <w:sz w:val="28"/>
          <w:szCs w:val="28"/>
        </w:rPr>
      </w:pPr>
      <w:r w:rsidRPr="00806742">
        <w:rPr>
          <w:rFonts w:ascii="Traditional Arabic" w:hAnsi="Traditional Arabic" w:cs="Traditional Arabic"/>
          <w:sz w:val="28"/>
          <w:szCs w:val="28"/>
          <w:rtl/>
        </w:rPr>
        <w:t>وجود علاقة طردية ودالة إحصائيًا بين إدارة المخاطر ومستوى الحوكمة</w:t>
      </w:r>
      <w:r w:rsidRPr="00806742">
        <w:rPr>
          <w:rFonts w:ascii="Traditional Arabic" w:hAnsi="Traditional Arabic" w:cs="Traditional Arabic"/>
          <w:sz w:val="28"/>
          <w:szCs w:val="28"/>
        </w:rPr>
        <w:t>.</w:t>
      </w:r>
    </w:p>
    <w:p w14:paraId="356F03F7" w14:textId="77777777" w:rsidR="00806742" w:rsidRPr="00806742" w:rsidRDefault="00806742" w:rsidP="00806742">
      <w:pPr>
        <w:pStyle w:val="NormalWeb"/>
        <w:numPr>
          <w:ilvl w:val="0"/>
          <w:numId w:val="29"/>
        </w:numPr>
        <w:bidi/>
        <w:rPr>
          <w:rFonts w:ascii="Traditional Arabic" w:hAnsi="Traditional Arabic" w:cs="Traditional Arabic"/>
          <w:sz w:val="28"/>
          <w:szCs w:val="28"/>
        </w:rPr>
      </w:pPr>
      <w:r w:rsidRPr="00806742">
        <w:rPr>
          <w:rFonts w:ascii="Traditional Arabic" w:hAnsi="Traditional Arabic" w:cs="Traditional Arabic"/>
          <w:sz w:val="28"/>
          <w:szCs w:val="28"/>
          <w:rtl/>
        </w:rPr>
        <w:t>البنوك الأكثر التزامًا بالمخاطر تطبق حوكمة أكثر فعالية</w:t>
      </w:r>
      <w:r w:rsidRPr="00806742">
        <w:rPr>
          <w:rFonts w:ascii="Traditional Arabic" w:hAnsi="Traditional Arabic" w:cs="Traditional Arabic"/>
          <w:sz w:val="28"/>
          <w:szCs w:val="28"/>
        </w:rPr>
        <w:t>.</w:t>
      </w:r>
    </w:p>
    <w:p w14:paraId="1457E6F9" w14:textId="79EBBA80" w:rsidR="008A1EC9" w:rsidRPr="00806742" w:rsidRDefault="008A1EC9" w:rsidP="008A1EC9">
      <w:pPr>
        <w:pStyle w:val="NormalWeb"/>
        <w:bidi/>
        <w:rPr>
          <w:rFonts w:ascii="Traditional Arabic" w:hAnsi="Traditional Arabic" w:cs="Traditional Arabic"/>
          <w:sz w:val="28"/>
          <w:szCs w:val="28"/>
          <w:rtl/>
        </w:rPr>
      </w:pPr>
    </w:p>
    <w:p w14:paraId="2BC57BC3" w14:textId="47914214"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Pr>
        <w:t>Al-Tamimi &amp; Al-</w:t>
      </w:r>
      <w:proofErr w:type="spellStart"/>
      <w:r w:rsidRPr="00806742">
        <w:rPr>
          <w:rFonts w:ascii="Traditional Arabic" w:hAnsi="Traditional Arabic" w:cs="Traditional Arabic"/>
          <w:sz w:val="28"/>
          <w:szCs w:val="28"/>
        </w:rPr>
        <w:t>Mazrooei</w:t>
      </w:r>
      <w:proofErr w:type="spellEnd"/>
      <w:r w:rsidRPr="00806742">
        <w:rPr>
          <w:rFonts w:ascii="Traditional Arabic" w:hAnsi="Traditional Arabic" w:cs="Traditional Arabic"/>
          <w:sz w:val="28"/>
          <w:szCs w:val="28"/>
        </w:rPr>
        <w:t xml:space="preserve"> (2020)</w:t>
      </w:r>
    </w:p>
    <w:p w14:paraId="5229A0A2" w14:textId="77777777"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tl/>
        </w:rPr>
        <w:t>العنوان</w:t>
      </w:r>
      <w:r w:rsidRPr="00806742">
        <w:rPr>
          <w:rFonts w:ascii="Traditional Arabic" w:hAnsi="Traditional Arabic" w:cs="Traditional Arabic"/>
          <w:sz w:val="28"/>
          <w:szCs w:val="28"/>
        </w:rPr>
        <w:t>: Risk Management Practices and Corporate Governance: A Comparative Study of GCC Banks</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الهدف</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مقارنة سياسات إدارة المخاطر في البنوك الخليجية</w:t>
      </w:r>
      <w:r w:rsidRPr="00806742">
        <w:rPr>
          <w:rFonts w:ascii="Traditional Arabic" w:hAnsi="Traditional Arabic" w:cs="Traditional Arabic"/>
          <w:sz w:val="28"/>
          <w:szCs w:val="28"/>
        </w:rPr>
        <w:t>.</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النتائج</w:t>
      </w:r>
      <w:r w:rsidRPr="00806742">
        <w:rPr>
          <w:rFonts w:ascii="Traditional Arabic" w:hAnsi="Traditional Arabic" w:cs="Traditional Arabic"/>
          <w:sz w:val="28"/>
          <w:szCs w:val="28"/>
        </w:rPr>
        <w:t>:</w:t>
      </w:r>
    </w:p>
    <w:p w14:paraId="22045AEB" w14:textId="77777777" w:rsidR="00806742" w:rsidRPr="00806742" w:rsidRDefault="00806742" w:rsidP="00806742">
      <w:pPr>
        <w:pStyle w:val="NormalWeb"/>
        <w:numPr>
          <w:ilvl w:val="0"/>
          <w:numId w:val="30"/>
        </w:numPr>
        <w:bidi/>
        <w:rPr>
          <w:rFonts w:ascii="Traditional Arabic" w:hAnsi="Traditional Arabic" w:cs="Traditional Arabic"/>
          <w:sz w:val="28"/>
          <w:szCs w:val="28"/>
        </w:rPr>
      </w:pPr>
      <w:r w:rsidRPr="00806742">
        <w:rPr>
          <w:rFonts w:ascii="Traditional Arabic" w:hAnsi="Traditional Arabic" w:cs="Traditional Arabic"/>
          <w:sz w:val="28"/>
          <w:szCs w:val="28"/>
          <w:rtl/>
        </w:rPr>
        <w:t>لجان المخاطر والإفصاح المالي عنصران رئيسيان في فاعلية الحوكمة</w:t>
      </w:r>
      <w:r w:rsidRPr="00806742">
        <w:rPr>
          <w:rFonts w:ascii="Traditional Arabic" w:hAnsi="Traditional Arabic" w:cs="Traditional Arabic"/>
          <w:sz w:val="28"/>
          <w:szCs w:val="28"/>
        </w:rPr>
        <w:t>.</w:t>
      </w:r>
    </w:p>
    <w:p w14:paraId="1C20AAB6" w14:textId="2FBEF8E6" w:rsidR="00806742" w:rsidRDefault="00806742" w:rsidP="00806742">
      <w:pPr>
        <w:pStyle w:val="NormalWeb"/>
        <w:numPr>
          <w:ilvl w:val="0"/>
          <w:numId w:val="30"/>
        </w:numPr>
        <w:bidi/>
        <w:rPr>
          <w:rFonts w:ascii="Traditional Arabic" w:hAnsi="Traditional Arabic" w:cs="Traditional Arabic"/>
          <w:sz w:val="28"/>
          <w:szCs w:val="28"/>
        </w:rPr>
      </w:pPr>
      <w:r w:rsidRPr="00806742">
        <w:rPr>
          <w:rFonts w:ascii="Traditional Arabic" w:hAnsi="Traditional Arabic" w:cs="Traditional Arabic"/>
          <w:sz w:val="28"/>
          <w:szCs w:val="28"/>
          <w:rtl/>
        </w:rPr>
        <w:t>ضعف بعض البنوك الخليجية في دمج إدارة المخاطر ضمن الهياكل التنظيمية</w:t>
      </w:r>
      <w:r w:rsidRPr="00806742">
        <w:rPr>
          <w:rFonts w:ascii="Traditional Arabic" w:hAnsi="Traditional Arabic" w:cs="Traditional Arabic"/>
          <w:sz w:val="28"/>
          <w:szCs w:val="28"/>
        </w:rPr>
        <w:t>.</w:t>
      </w:r>
    </w:p>
    <w:p w14:paraId="4C5F5C0E" w14:textId="015B7063" w:rsidR="00806742" w:rsidRPr="00806742" w:rsidRDefault="00806742" w:rsidP="00806742">
      <w:pPr>
        <w:pStyle w:val="NormalWeb"/>
        <w:bidi/>
        <w:ind w:left="720"/>
        <w:rPr>
          <w:rFonts w:ascii="Traditional Arabic" w:hAnsi="Traditional Arabic" w:cs="Traditional Arabic"/>
          <w:sz w:val="28"/>
          <w:szCs w:val="28"/>
          <w:rtl/>
        </w:rPr>
      </w:pPr>
    </w:p>
    <w:p w14:paraId="6F5E014D" w14:textId="3956874C" w:rsidR="00806742" w:rsidRPr="00806742" w:rsidRDefault="00806742" w:rsidP="00806742">
      <w:pPr>
        <w:pStyle w:val="NormalWeb"/>
        <w:bidi/>
        <w:ind w:left="720"/>
        <w:rPr>
          <w:rFonts w:ascii="Traditional Arabic" w:hAnsi="Traditional Arabic" w:cs="Traditional Arabic"/>
          <w:sz w:val="28"/>
          <w:szCs w:val="28"/>
        </w:rPr>
      </w:pPr>
      <w:r w:rsidRPr="00806742">
        <w:rPr>
          <w:rFonts w:ascii="Traditional Arabic" w:hAnsi="Traditional Arabic" w:cs="Traditional Arabic"/>
          <w:sz w:val="28"/>
          <w:szCs w:val="28"/>
        </w:rPr>
        <w:t>Smith (2021)</w:t>
      </w:r>
    </w:p>
    <w:p w14:paraId="0464D126" w14:textId="77777777" w:rsidR="00806742" w:rsidRPr="00806742" w:rsidRDefault="00806742" w:rsidP="00806742">
      <w:pPr>
        <w:pStyle w:val="NormalWeb"/>
        <w:bidi/>
        <w:ind w:left="720"/>
        <w:rPr>
          <w:rFonts w:ascii="Traditional Arabic" w:hAnsi="Traditional Arabic" w:cs="Traditional Arabic"/>
          <w:sz w:val="28"/>
          <w:szCs w:val="28"/>
        </w:rPr>
      </w:pPr>
      <w:r w:rsidRPr="00806742">
        <w:rPr>
          <w:rFonts w:ascii="Traditional Arabic" w:hAnsi="Traditional Arabic" w:cs="Traditional Arabic"/>
          <w:sz w:val="28"/>
          <w:szCs w:val="28"/>
          <w:rtl/>
        </w:rPr>
        <w:t>العنوان</w:t>
      </w:r>
      <w:r w:rsidRPr="00806742">
        <w:rPr>
          <w:rFonts w:ascii="Traditional Arabic" w:hAnsi="Traditional Arabic" w:cs="Traditional Arabic"/>
          <w:sz w:val="28"/>
          <w:szCs w:val="28"/>
        </w:rPr>
        <w:t>: Corporate Governance and Risk Management Integration</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الهدف</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تطوير نموذج تكاملي للحوكمة وإدارة المخاطر</w:t>
      </w:r>
      <w:r w:rsidRPr="00806742">
        <w:rPr>
          <w:rFonts w:ascii="Traditional Arabic" w:hAnsi="Traditional Arabic" w:cs="Traditional Arabic"/>
          <w:sz w:val="28"/>
          <w:szCs w:val="28"/>
        </w:rPr>
        <w:t>.</w:t>
      </w:r>
      <w:r w:rsidRPr="00806742">
        <w:rPr>
          <w:rFonts w:ascii="Traditional Arabic" w:hAnsi="Traditional Arabic" w:cs="Traditional Arabic"/>
          <w:sz w:val="28"/>
          <w:szCs w:val="28"/>
        </w:rPr>
        <w:br/>
      </w:r>
      <w:r w:rsidRPr="00806742">
        <w:rPr>
          <w:rFonts w:ascii="Traditional Arabic" w:hAnsi="Traditional Arabic" w:cs="Traditional Arabic"/>
          <w:sz w:val="28"/>
          <w:szCs w:val="28"/>
          <w:rtl/>
        </w:rPr>
        <w:t>النتائج</w:t>
      </w:r>
      <w:r w:rsidRPr="00806742">
        <w:rPr>
          <w:rFonts w:ascii="Traditional Arabic" w:hAnsi="Traditional Arabic" w:cs="Traditional Arabic"/>
          <w:sz w:val="28"/>
          <w:szCs w:val="28"/>
        </w:rPr>
        <w:t>:</w:t>
      </w:r>
    </w:p>
    <w:p w14:paraId="2AB8611E" w14:textId="77777777" w:rsidR="00806742" w:rsidRPr="00806742" w:rsidRDefault="00806742" w:rsidP="00806742">
      <w:pPr>
        <w:pStyle w:val="NormalWeb"/>
        <w:numPr>
          <w:ilvl w:val="0"/>
          <w:numId w:val="31"/>
        </w:numPr>
        <w:bidi/>
        <w:rPr>
          <w:rFonts w:ascii="Traditional Arabic" w:hAnsi="Traditional Arabic" w:cs="Traditional Arabic"/>
          <w:sz w:val="28"/>
          <w:szCs w:val="28"/>
        </w:rPr>
      </w:pPr>
      <w:r w:rsidRPr="00806742">
        <w:rPr>
          <w:rFonts w:ascii="Traditional Arabic" w:hAnsi="Traditional Arabic" w:cs="Traditional Arabic"/>
          <w:sz w:val="28"/>
          <w:szCs w:val="28"/>
          <w:rtl/>
        </w:rPr>
        <w:t>التكامل بين الحوكمة والمخاطر يحقق الاستدامة المالية</w:t>
      </w:r>
      <w:r w:rsidRPr="00806742">
        <w:rPr>
          <w:rFonts w:ascii="Traditional Arabic" w:hAnsi="Traditional Arabic" w:cs="Traditional Arabic"/>
          <w:sz w:val="28"/>
          <w:szCs w:val="28"/>
        </w:rPr>
        <w:t>.</w:t>
      </w:r>
    </w:p>
    <w:p w14:paraId="7E728C38" w14:textId="77777777" w:rsidR="00806742" w:rsidRPr="00806742" w:rsidRDefault="00806742" w:rsidP="00806742">
      <w:pPr>
        <w:pStyle w:val="NormalWeb"/>
        <w:numPr>
          <w:ilvl w:val="0"/>
          <w:numId w:val="31"/>
        </w:numPr>
        <w:bidi/>
        <w:rPr>
          <w:rFonts w:ascii="Traditional Arabic" w:hAnsi="Traditional Arabic" w:cs="Traditional Arabic"/>
          <w:sz w:val="28"/>
          <w:szCs w:val="28"/>
        </w:rPr>
      </w:pPr>
      <w:r w:rsidRPr="00806742">
        <w:rPr>
          <w:rFonts w:ascii="Traditional Arabic" w:hAnsi="Traditional Arabic" w:cs="Traditional Arabic"/>
          <w:sz w:val="28"/>
          <w:szCs w:val="28"/>
          <w:rtl/>
        </w:rPr>
        <w:t>الثقافة التنظيمية والرقابة الفعالة عنصران أساسيان في الحد من المخاطر</w:t>
      </w:r>
      <w:r w:rsidRPr="00806742">
        <w:rPr>
          <w:rFonts w:ascii="Traditional Arabic" w:hAnsi="Traditional Arabic" w:cs="Traditional Arabic"/>
          <w:sz w:val="28"/>
          <w:szCs w:val="28"/>
        </w:rPr>
        <w:t>.</w:t>
      </w:r>
    </w:p>
    <w:p w14:paraId="2BF33DA3" w14:textId="77777777" w:rsidR="00806742" w:rsidRPr="00806742" w:rsidRDefault="00806742" w:rsidP="00806742">
      <w:pPr>
        <w:pStyle w:val="NormalWeb"/>
        <w:bidi/>
        <w:ind w:left="720"/>
        <w:rPr>
          <w:rFonts w:ascii="Traditional Arabic" w:hAnsi="Traditional Arabic" w:cs="Traditional Arabic"/>
          <w:sz w:val="28"/>
          <w:szCs w:val="28"/>
        </w:rPr>
      </w:pPr>
    </w:p>
    <w:p w14:paraId="635ECB0A" w14:textId="24800AF8" w:rsidR="00806742" w:rsidRDefault="00806742" w:rsidP="00806742">
      <w:pPr>
        <w:pStyle w:val="NormalWeb"/>
        <w:bidi/>
        <w:rPr>
          <w:rFonts w:ascii="Traditional Arabic" w:hAnsi="Traditional Arabic" w:cs="Traditional Arabic"/>
          <w:b/>
          <w:bCs/>
          <w:sz w:val="32"/>
          <w:szCs w:val="32"/>
          <w:rtl/>
        </w:rPr>
      </w:pPr>
      <w:r w:rsidRPr="00806742">
        <w:rPr>
          <w:rFonts w:ascii="Traditional Arabic" w:hAnsi="Traditional Arabic" w:cs="Traditional Arabic"/>
          <w:b/>
          <w:bCs/>
          <w:sz w:val="32"/>
          <w:szCs w:val="32"/>
          <w:rtl/>
        </w:rPr>
        <w:lastRenderedPageBreak/>
        <w:t>ثالثًا: المقارنة بين الدراسات السابقة</w:t>
      </w:r>
    </w:p>
    <w:p w14:paraId="54C7BDC1" w14:textId="77777777" w:rsidR="00806742" w:rsidRPr="00806742" w:rsidRDefault="00806742" w:rsidP="00806742">
      <w:pPr>
        <w:pStyle w:val="NormalWeb"/>
        <w:bidi/>
        <w:rPr>
          <w:rFonts w:ascii="Traditional Arabic" w:hAnsi="Traditional Arabic" w:cs="Traditional Arabic"/>
          <w:b/>
          <w:bCs/>
          <w:sz w:val="32"/>
          <w:szCs w:val="32"/>
        </w:rPr>
      </w:pPr>
      <w:r w:rsidRPr="00806742">
        <w:rPr>
          <w:rFonts w:ascii="Traditional Arabic" w:hAnsi="Traditional Arabic" w:cs="Traditional Arabic"/>
          <w:b/>
          <w:bCs/>
          <w:sz w:val="32"/>
          <w:szCs w:val="32"/>
          <w:rtl/>
        </w:rPr>
        <w:t>من خلال تحليل الدراسات السابقة، يمكن ملاحظة ما يلي</w:t>
      </w:r>
      <w:r w:rsidRPr="00806742">
        <w:rPr>
          <w:rFonts w:ascii="Traditional Arabic" w:hAnsi="Traditional Arabic" w:cs="Traditional Arabic"/>
          <w:b/>
          <w:bCs/>
          <w:sz w:val="32"/>
          <w:szCs w:val="32"/>
        </w:rPr>
        <w:t>:</w:t>
      </w:r>
    </w:p>
    <w:p w14:paraId="0DC787C2" w14:textId="0E65D672" w:rsidR="00806742" w:rsidRPr="00806742" w:rsidRDefault="00806742" w:rsidP="00806742">
      <w:pPr>
        <w:pStyle w:val="NormalWeb"/>
        <w:bidi/>
        <w:rPr>
          <w:rFonts w:ascii="Traditional Arabic" w:hAnsi="Traditional Arabic" w:cs="Traditional Arabic"/>
          <w:sz w:val="28"/>
          <w:szCs w:val="28"/>
        </w:rPr>
      </w:pPr>
      <w:proofErr w:type="gramStart"/>
      <w:r w:rsidRPr="00806742">
        <w:rPr>
          <w:rFonts w:ascii="Traditional Arabic" w:hAnsi="Traditional Arabic" w:cs="Traditional Arabic"/>
          <w:sz w:val="28"/>
          <w:szCs w:val="28"/>
        </w:rPr>
        <w:t xml:space="preserve">1 </w:t>
      </w:r>
      <w:r>
        <w:rPr>
          <w:rFonts w:ascii="Traditional Arabic" w:hAnsi="Traditional Arabic" w:cs="Traditional Arabic" w:hint="cs"/>
          <w:sz w:val="28"/>
          <w:szCs w:val="28"/>
          <w:rtl/>
        </w:rPr>
        <w:t xml:space="preserve"> </w:t>
      </w:r>
      <w:r w:rsidRPr="00806742">
        <w:rPr>
          <w:rFonts w:ascii="Traditional Arabic" w:hAnsi="Traditional Arabic" w:cs="Traditional Arabic"/>
          <w:sz w:val="28"/>
          <w:szCs w:val="28"/>
          <w:rtl/>
        </w:rPr>
        <w:t>أوجه</w:t>
      </w:r>
      <w:proofErr w:type="gramEnd"/>
      <w:r w:rsidRPr="00806742">
        <w:rPr>
          <w:rFonts w:ascii="Traditional Arabic" w:hAnsi="Traditional Arabic" w:cs="Traditional Arabic"/>
          <w:sz w:val="28"/>
          <w:szCs w:val="28"/>
          <w:rtl/>
        </w:rPr>
        <w:t xml:space="preserve"> الاتفاق</w:t>
      </w:r>
    </w:p>
    <w:p w14:paraId="3AAFCD82" w14:textId="77777777" w:rsidR="00806742" w:rsidRPr="00806742" w:rsidRDefault="00806742" w:rsidP="00806742">
      <w:pPr>
        <w:pStyle w:val="NormalWeb"/>
        <w:numPr>
          <w:ilvl w:val="0"/>
          <w:numId w:val="32"/>
        </w:numPr>
        <w:bidi/>
        <w:rPr>
          <w:rFonts w:ascii="Traditional Arabic" w:hAnsi="Traditional Arabic" w:cs="Traditional Arabic"/>
          <w:sz w:val="28"/>
          <w:szCs w:val="28"/>
        </w:rPr>
      </w:pPr>
      <w:r w:rsidRPr="00806742">
        <w:rPr>
          <w:rFonts w:ascii="Traditional Arabic" w:hAnsi="Traditional Arabic" w:cs="Traditional Arabic"/>
          <w:sz w:val="28"/>
          <w:szCs w:val="28"/>
          <w:rtl/>
        </w:rPr>
        <w:t>اتفاق غالبية الدراسات على وجود علاقة إيجابية بين الحوكمة وإدارة المخاطر</w:t>
      </w:r>
      <w:r w:rsidRPr="00806742">
        <w:rPr>
          <w:rFonts w:ascii="Traditional Arabic" w:hAnsi="Traditional Arabic" w:cs="Traditional Arabic"/>
          <w:sz w:val="28"/>
          <w:szCs w:val="28"/>
        </w:rPr>
        <w:t>.</w:t>
      </w:r>
    </w:p>
    <w:p w14:paraId="056BB844" w14:textId="77777777" w:rsidR="00806742" w:rsidRPr="00806742" w:rsidRDefault="00806742" w:rsidP="00806742">
      <w:pPr>
        <w:pStyle w:val="NormalWeb"/>
        <w:numPr>
          <w:ilvl w:val="0"/>
          <w:numId w:val="32"/>
        </w:numPr>
        <w:bidi/>
        <w:rPr>
          <w:rFonts w:ascii="Traditional Arabic" w:hAnsi="Traditional Arabic" w:cs="Traditional Arabic"/>
          <w:sz w:val="28"/>
          <w:szCs w:val="28"/>
        </w:rPr>
      </w:pPr>
      <w:r w:rsidRPr="00806742">
        <w:rPr>
          <w:rFonts w:ascii="Traditional Arabic" w:hAnsi="Traditional Arabic" w:cs="Traditional Arabic"/>
          <w:sz w:val="28"/>
          <w:szCs w:val="28"/>
          <w:rtl/>
        </w:rPr>
        <w:t>وجود دور محوري للجان المتخصصة (لجنة المراجعة – لجنة المخاطر) في الحد من المخاطر</w:t>
      </w:r>
      <w:r w:rsidRPr="00806742">
        <w:rPr>
          <w:rFonts w:ascii="Traditional Arabic" w:hAnsi="Traditional Arabic" w:cs="Traditional Arabic"/>
          <w:sz w:val="28"/>
          <w:szCs w:val="28"/>
        </w:rPr>
        <w:t>.</w:t>
      </w:r>
    </w:p>
    <w:p w14:paraId="1088B97C" w14:textId="77777777" w:rsidR="00806742" w:rsidRPr="00806742" w:rsidRDefault="00806742" w:rsidP="00806742">
      <w:pPr>
        <w:pStyle w:val="NormalWeb"/>
        <w:numPr>
          <w:ilvl w:val="0"/>
          <w:numId w:val="32"/>
        </w:numPr>
        <w:bidi/>
        <w:rPr>
          <w:rFonts w:ascii="Traditional Arabic" w:hAnsi="Traditional Arabic" w:cs="Traditional Arabic"/>
          <w:sz w:val="28"/>
          <w:szCs w:val="28"/>
        </w:rPr>
      </w:pPr>
      <w:r w:rsidRPr="00806742">
        <w:rPr>
          <w:rFonts w:ascii="Traditional Arabic" w:hAnsi="Traditional Arabic" w:cs="Traditional Arabic"/>
          <w:sz w:val="28"/>
          <w:szCs w:val="28"/>
          <w:rtl/>
        </w:rPr>
        <w:t>إدارة المخاطر تسهم مباشرة في تحسين الأداء المالي</w:t>
      </w:r>
      <w:r w:rsidRPr="00806742">
        <w:rPr>
          <w:rFonts w:ascii="Traditional Arabic" w:hAnsi="Traditional Arabic" w:cs="Traditional Arabic"/>
          <w:sz w:val="28"/>
          <w:szCs w:val="28"/>
        </w:rPr>
        <w:t>.</w:t>
      </w:r>
    </w:p>
    <w:p w14:paraId="68408709" w14:textId="29221EF2" w:rsidR="00806742" w:rsidRPr="00806742" w:rsidRDefault="00806742" w:rsidP="00806742">
      <w:pPr>
        <w:pStyle w:val="NormalWeb"/>
        <w:bidi/>
        <w:rPr>
          <w:rFonts w:ascii="Traditional Arabic" w:hAnsi="Traditional Arabic" w:cs="Traditional Arabic"/>
          <w:sz w:val="28"/>
          <w:szCs w:val="28"/>
        </w:rPr>
      </w:pPr>
      <w:r>
        <w:rPr>
          <w:rFonts w:ascii="Traditional Arabic" w:hAnsi="Traditional Arabic" w:cs="Traditional Arabic" w:hint="cs"/>
          <w:sz w:val="28"/>
          <w:szCs w:val="28"/>
          <w:rtl/>
        </w:rPr>
        <w:t xml:space="preserve"> </w:t>
      </w:r>
      <w:proofErr w:type="gramStart"/>
      <w:r w:rsidRPr="00806742">
        <w:rPr>
          <w:rFonts w:ascii="Traditional Arabic" w:hAnsi="Traditional Arabic" w:cs="Traditional Arabic"/>
          <w:sz w:val="28"/>
          <w:szCs w:val="28"/>
        </w:rPr>
        <w:t>2</w:t>
      </w:r>
      <w:r>
        <w:rPr>
          <w:rFonts w:ascii="Traditional Arabic" w:hAnsi="Traditional Arabic" w:cs="Traditional Arabic" w:hint="cs"/>
          <w:sz w:val="28"/>
          <w:szCs w:val="28"/>
          <w:rtl/>
        </w:rPr>
        <w:t xml:space="preserve"> </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أوجه</w:t>
      </w:r>
      <w:proofErr w:type="gramEnd"/>
      <w:r w:rsidRPr="00806742">
        <w:rPr>
          <w:rFonts w:ascii="Traditional Arabic" w:hAnsi="Traditional Arabic" w:cs="Traditional Arabic"/>
          <w:sz w:val="28"/>
          <w:szCs w:val="28"/>
          <w:rtl/>
        </w:rPr>
        <w:t xml:space="preserve"> الاختلاف</w:t>
      </w:r>
    </w:p>
    <w:p w14:paraId="0E895EEE" w14:textId="77777777" w:rsidR="00806742" w:rsidRPr="00806742" w:rsidRDefault="00806742" w:rsidP="00806742">
      <w:pPr>
        <w:pStyle w:val="NormalWeb"/>
        <w:numPr>
          <w:ilvl w:val="0"/>
          <w:numId w:val="33"/>
        </w:numPr>
        <w:bidi/>
        <w:rPr>
          <w:rFonts w:ascii="Traditional Arabic" w:hAnsi="Traditional Arabic" w:cs="Traditional Arabic"/>
          <w:sz w:val="28"/>
          <w:szCs w:val="28"/>
        </w:rPr>
      </w:pPr>
      <w:r w:rsidRPr="00806742">
        <w:rPr>
          <w:rFonts w:ascii="Traditional Arabic" w:hAnsi="Traditional Arabic" w:cs="Traditional Arabic"/>
          <w:sz w:val="28"/>
          <w:szCs w:val="28"/>
          <w:rtl/>
        </w:rPr>
        <w:t>اختلاف المنهجيات بين الدراسات (مالية – ميدانية – مقارنة)</w:t>
      </w:r>
      <w:r w:rsidRPr="00806742">
        <w:rPr>
          <w:rFonts w:ascii="Traditional Arabic" w:hAnsi="Traditional Arabic" w:cs="Traditional Arabic"/>
          <w:sz w:val="28"/>
          <w:szCs w:val="28"/>
        </w:rPr>
        <w:t>.</w:t>
      </w:r>
    </w:p>
    <w:p w14:paraId="470B9133" w14:textId="77777777" w:rsidR="00806742" w:rsidRPr="00806742" w:rsidRDefault="00806742" w:rsidP="00806742">
      <w:pPr>
        <w:pStyle w:val="NormalWeb"/>
        <w:numPr>
          <w:ilvl w:val="0"/>
          <w:numId w:val="33"/>
        </w:numPr>
        <w:bidi/>
        <w:rPr>
          <w:rFonts w:ascii="Traditional Arabic" w:hAnsi="Traditional Arabic" w:cs="Traditional Arabic"/>
          <w:sz w:val="28"/>
          <w:szCs w:val="28"/>
        </w:rPr>
      </w:pPr>
      <w:r w:rsidRPr="00806742">
        <w:rPr>
          <w:rFonts w:ascii="Traditional Arabic" w:hAnsi="Traditional Arabic" w:cs="Traditional Arabic"/>
          <w:sz w:val="28"/>
          <w:szCs w:val="28"/>
          <w:rtl/>
        </w:rPr>
        <w:t>تفاوت في مستوى تطبيق الحوكمة بين البنوك التقليدية والإسلامية</w:t>
      </w:r>
      <w:r w:rsidRPr="00806742">
        <w:rPr>
          <w:rFonts w:ascii="Traditional Arabic" w:hAnsi="Traditional Arabic" w:cs="Traditional Arabic"/>
          <w:sz w:val="28"/>
          <w:szCs w:val="28"/>
        </w:rPr>
        <w:t>.</w:t>
      </w:r>
    </w:p>
    <w:p w14:paraId="21CE28F9" w14:textId="77777777" w:rsidR="00806742" w:rsidRPr="00806742" w:rsidRDefault="00806742" w:rsidP="00806742">
      <w:pPr>
        <w:pStyle w:val="NormalWeb"/>
        <w:numPr>
          <w:ilvl w:val="0"/>
          <w:numId w:val="33"/>
        </w:numPr>
        <w:bidi/>
        <w:rPr>
          <w:rFonts w:ascii="Traditional Arabic" w:hAnsi="Traditional Arabic" w:cs="Traditional Arabic"/>
          <w:sz w:val="28"/>
          <w:szCs w:val="28"/>
        </w:rPr>
      </w:pPr>
      <w:r w:rsidRPr="00806742">
        <w:rPr>
          <w:rFonts w:ascii="Traditional Arabic" w:hAnsi="Traditional Arabic" w:cs="Traditional Arabic"/>
          <w:sz w:val="28"/>
          <w:szCs w:val="28"/>
          <w:rtl/>
        </w:rPr>
        <w:t>اختلاف السياقات الاقتصادية بين السعودية والخليج والأسواق العالمية</w:t>
      </w:r>
      <w:r w:rsidRPr="00806742">
        <w:rPr>
          <w:rFonts w:ascii="Traditional Arabic" w:hAnsi="Traditional Arabic" w:cs="Traditional Arabic"/>
          <w:sz w:val="28"/>
          <w:szCs w:val="28"/>
        </w:rPr>
        <w:t>.</w:t>
      </w:r>
    </w:p>
    <w:p w14:paraId="7D068AF5" w14:textId="575376B8" w:rsidR="00806742" w:rsidRPr="00806742" w:rsidRDefault="00806742" w:rsidP="00806742">
      <w:pPr>
        <w:pStyle w:val="NormalWeb"/>
        <w:bidi/>
        <w:rPr>
          <w:rFonts w:ascii="Traditional Arabic" w:hAnsi="Traditional Arabic" w:cs="Traditional Arabic"/>
          <w:sz w:val="28"/>
          <w:szCs w:val="28"/>
        </w:rPr>
      </w:pPr>
      <w:r>
        <w:rPr>
          <w:rFonts w:ascii="Traditional Arabic" w:hAnsi="Traditional Arabic" w:cs="Traditional Arabic" w:hint="cs"/>
          <w:sz w:val="28"/>
          <w:szCs w:val="28"/>
          <w:rtl/>
        </w:rPr>
        <w:t xml:space="preserve">3 </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منهجيات القياس</w:t>
      </w:r>
    </w:p>
    <w:p w14:paraId="7F0DC32C" w14:textId="77777777" w:rsidR="00806742" w:rsidRPr="00806742" w:rsidRDefault="00806742" w:rsidP="00806742">
      <w:pPr>
        <w:pStyle w:val="NormalWeb"/>
        <w:numPr>
          <w:ilvl w:val="0"/>
          <w:numId w:val="34"/>
        </w:numPr>
        <w:bidi/>
        <w:rPr>
          <w:rFonts w:ascii="Traditional Arabic" w:hAnsi="Traditional Arabic" w:cs="Traditional Arabic"/>
          <w:sz w:val="28"/>
          <w:szCs w:val="28"/>
        </w:rPr>
      </w:pPr>
      <w:r w:rsidRPr="00806742">
        <w:rPr>
          <w:rFonts w:ascii="Traditional Arabic" w:hAnsi="Traditional Arabic" w:cs="Traditional Arabic"/>
          <w:sz w:val="28"/>
          <w:szCs w:val="28"/>
          <w:rtl/>
        </w:rPr>
        <w:t>بعض الدراسات استخدمت بيانات مالية فقط</w:t>
      </w:r>
      <w:r w:rsidRPr="00806742">
        <w:rPr>
          <w:rFonts w:ascii="Traditional Arabic" w:hAnsi="Traditional Arabic" w:cs="Traditional Arabic"/>
          <w:sz w:val="28"/>
          <w:szCs w:val="28"/>
        </w:rPr>
        <w:t>.</w:t>
      </w:r>
    </w:p>
    <w:p w14:paraId="4E057E06" w14:textId="77777777" w:rsidR="00806742" w:rsidRPr="00806742" w:rsidRDefault="00806742" w:rsidP="00806742">
      <w:pPr>
        <w:pStyle w:val="NormalWeb"/>
        <w:numPr>
          <w:ilvl w:val="0"/>
          <w:numId w:val="34"/>
        </w:numPr>
        <w:bidi/>
        <w:rPr>
          <w:rFonts w:ascii="Traditional Arabic" w:hAnsi="Traditional Arabic" w:cs="Traditional Arabic"/>
          <w:sz w:val="28"/>
          <w:szCs w:val="28"/>
        </w:rPr>
      </w:pPr>
      <w:r w:rsidRPr="00806742">
        <w:rPr>
          <w:rFonts w:ascii="Traditional Arabic" w:hAnsi="Traditional Arabic" w:cs="Traditional Arabic"/>
          <w:sz w:val="28"/>
          <w:szCs w:val="28"/>
          <w:rtl/>
        </w:rPr>
        <w:t>البعض الآخر اعتمد على استبانات ومقابلات</w:t>
      </w:r>
      <w:r w:rsidRPr="00806742">
        <w:rPr>
          <w:rFonts w:ascii="Traditional Arabic" w:hAnsi="Traditional Arabic" w:cs="Traditional Arabic"/>
          <w:sz w:val="28"/>
          <w:szCs w:val="28"/>
        </w:rPr>
        <w:t>.</w:t>
      </w:r>
    </w:p>
    <w:p w14:paraId="43C07C94" w14:textId="77777777" w:rsidR="00806742" w:rsidRPr="00806742" w:rsidRDefault="00806742" w:rsidP="00806742">
      <w:pPr>
        <w:pStyle w:val="NormalWeb"/>
        <w:numPr>
          <w:ilvl w:val="0"/>
          <w:numId w:val="34"/>
        </w:numPr>
        <w:bidi/>
        <w:rPr>
          <w:rFonts w:ascii="Traditional Arabic" w:hAnsi="Traditional Arabic" w:cs="Traditional Arabic"/>
          <w:sz w:val="28"/>
          <w:szCs w:val="28"/>
        </w:rPr>
      </w:pPr>
      <w:r w:rsidRPr="00806742">
        <w:rPr>
          <w:rFonts w:ascii="Traditional Arabic" w:hAnsi="Traditional Arabic" w:cs="Traditional Arabic"/>
          <w:sz w:val="28"/>
          <w:szCs w:val="28"/>
          <w:rtl/>
        </w:rPr>
        <w:t>دراسات قليلة فقط دمجت بين الطريقتين لتحقيق تحليل أكثر قوة</w:t>
      </w:r>
      <w:r w:rsidRPr="00806742">
        <w:rPr>
          <w:rFonts w:ascii="Traditional Arabic" w:hAnsi="Traditional Arabic" w:cs="Traditional Arabic"/>
          <w:sz w:val="28"/>
          <w:szCs w:val="28"/>
        </w:rPr>
        <w:t>.</w:t>
      </w:r>
    </w:p>
    <w:p w14:paraId="5F3191B3" w14:textId="37FE528D" w:rsidR="00806742" w:rsidRDefault="00806742" w:rsidP="00806742">
      <w:pPr>
        <w:pStyle w:val="NormalWeb"/>
        <w:bidi/>
        <w:rPr>
          <w:rFonts w:ascii="Traditional Arabic" w:hAnsi="Traditional Arabic" w:cs="Traditional Arabic"/>
          <w:b/>
          <w:bCs/>
          <w:sz w:val="32"/>
          <w:szCs w:val="32"/>
          <w:rtl/>
        </w:rPr>
      </w:pPr>
    </w:p>
    <w:p w14:paraId="32B1BFAB" w14:textId="6812D1CB" w:rsidR="00806742" w:rsidRDefault="00806742" w:rsidP="00806742">
      <w:pPr>
        <w:pStyle w:val="NormalWeb"/>
        <w:bidi/>
        <w:rPr>
          <w:rFonts w:ascii="Traditional Arabic" w:hAnsi="Traditional Arabic" w:cs="Traditional Arabic"/>
          <w:b/>
          <w:bCs/>
          <w:sz w:val="32"/>
          <w:szCs w:val="32"/>
          <w:rtl/>
        </w:rPr>
      </w:pPr>
    </w:p>
    <w:p w14:paraId="35074E4F" w14:textId="74540650" w:rsidR="00806742" w:rsidRDefault="00806742" w:rsidP="00806742">
      <w:pPr>
        <w:pStyle w:val="NormalWeb"/>
        <w:bidi/>
        <w:rPr>
          <w:rFonts w:ascii="Traditional Arabic" w:hAnsi="Traditional Arabic" w:cs="Traditional Arabic"/>
          <w:b/>
          <w:bCs/>
          <w:sz w:val="32"/>
          <w:szCs w:val="32"/>
          <w:rtl/>
        </w:rPr>
      </w:pPr>
    </w:p>
    <w:p w14:paraId="56830E31" w14:textId="7CC453A0" w:rsidR="00806742" w:rsidRDefault="00806742" w:rsidP="00806742">
      <w:pPr>
        <w:pStyle w:val="NormalWeb"/>
        <w:bidi/>
        <w:rPr>
          <w:rFonts w:ascii="Traditional Arabic" w:hAnsi="Traditional Arabic" w:cs="Traditional Arabic"/>
          <w:b/>
          <w:bCs/>
          <w:sz w:val="32"/>
          <w:szCs w:val="32"/>
          <w:rtl/>
        </w:rPr>
      </w:pPr>
    </w:p>
    <w:p w14:paraId="1FA92945" w14:textId="1E7C747E" w:rsidR="00806742" w:rsidRDefault="00806742" w:rsidP="00806742">
      <w:pPr>
        <w:pStyle w:val="NormalWeb"/>
        <w:bidi/>
        <w:rPr>
          <w:rFonts w:ascii="Traditional Arabic" w:hAnsi="Traditional Arabic" w:cs="Traditional Arabic"/>
          <w:b/>
          <w:bCs/>
          <w:sz w:val="32"/>
          <w:szCs w:val="32"/>
        </w:rPr>
      </w:pPr>
    </w:p>
    <w:p w14:paraId="278DCEAE" w14:textId="77777777" w:rsidR="00806742" w:rsidRDefault="00806742" w:rsidP="00806742">
      <w:pPr>
        <w:pStyle w:val="NormalWeb"/>
        <w:bidi/>
        <w:rPr>
          <w:rFonts w:ascii="Traditional Arabic" w:hAnsi="Traditional Arabic" w:cs="Traditional Arabic"/>
          <w:b/>
          <w:bCs/>
          <w:sz w:val="32"/>
          <w:szCs w:val="32"/>
          <w:rtl/>
        </w:rPr>
      </w:pPr>
    </w:p>
    <w:p w14:paraId="0A14ADAD" w14:textId="77777777" w:rsidR="00806742" w:rsidRDefault="00806742" w:rsidP="00806742">
      <w:pPr>
        <w:pStyle w:val="NormalWeb"/>
        <w:bidi/>
        <w:rPr>
          <w:rFonts w:ascii="Traditional Arabic" w:hAnsi="Traditional Arabic" w:cs="Traditional Arabic"/>
          <w:b/>
          <w:bCs/>
          <w:sz w:val="32"/>
          <w:szCs w:val="32"/>
          <w:rtl/>
        </w:rPr>
      </w:pPr>
    </w:p>
    <w:p w14:paraId="7709D5AA" w14:textId="063EB8F0" w:rsidR="00806742" w:rsidRDefault="00806742" w:rsidP="00806742">
      <w:pPr>
        <w:pStyle w:val="NormalWeb"/>
        <w:bidi/>
        <w:rPr>
          <w:rFonts w:ascii="Traditional Arabic" w:hAnsi="Traditional Arabic" w:cs="Traditional Arabic"/>
          <w:b/>
          <w:bCs/>
          <w:sz w:val="32"/>
          <w:szCs w:val="32"/>
        </w:rPr>
      </w:pPr>
      <w:r w:rsidRPr="00806742">
        <w:rPr>
          <w:rFonts w:ascii="Traditional Arabic" w:hAnsi="Traditional Arabic" w:cs="Traditional Arabic"/>
          <w:b/>
          <w:bCs/>
          <w:sz w:val="32"/>
          <w:szCs w:val="32"/>
          <w:rtl/>
        </w:rPr>
        <w:lastRenderedPageBreak/>
        <w:t>رابعًا: ما يميز الدراسة الحالية (الفجوة البحثية)</w:t>
      </w:r>
    </w:p>
    <w:p w14:paraId="2F498CDB" w14:textId="33AD73D8" w:rsidR="00806742" w:rsidRDefault="00806742" w:rsidP="00806742">
      <w:pPr>
        <w:pStyle w:val="NormalWeb"/>
        <w:bidi/>
        <w:rPr>
          <w:rFonts w:ascii="Traditional Arabic" w:hAnsi="Traditional Arabic" w:cs="Traditional Arabic"/>
          <w:b/>
          <w:bCs/>
          <w:sz w:val="32"/>
          <w:szCs w:val="32"/>
        </w:rPr>
      </w:pPr>
    </w:p>
    <w:p w14:paraId="6C4BE9FA" w14:textId="77777777"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tl/>
        </w:rPr>
        <w:t>على الرغم من تعدد الدراسات التي تناولت إدارة المخاطر أو الحوكمة كلٌ على حدة، إلا أن الدراسات التي ركزت على العلاقة التكاملية بينهما في البنوك السعودية تحديدًا ما تزال محدودة، خاصة تلك التي تعتمد على</w:t>
      </w:r>
      <w:r w:rsidRPr="00806742">
        <w:rPr>
          <w:rFonts w:ascii="Traditional Arabic" w:hAnsi="Traditional Arabic" w:cs="Traditional Arabic"/>
          <w:sz w:val="28"/>
          <w:szCs w:val="28"/>
        </w:rPr>
        <w:t>:</w:t>
      </w:r>
    </w:p>
    <w:p w14:paraId="375BFB48" w14:textId="77777777" w:rsidR="00806742" w:rsidRPr="00806742" w:rsidRDefault="00806742" w:rsidP="00806742">
      <w:pPr>
        <w:pStyle w:val="NormalWeb"/>
        <w:numPr>
          <w:ilvl w:val="0"/>
          <w:numId w:val="35"/>
        </w:numPr>
        <w:bidi/>
        <w:rPr>
          <w:rFonts w:ascii="Traditional Arabic" w:hAnsi="Traditional Arabic" w:cs="Traditional Arabic"/>
          <w:sz w:val="28"/>
          <w:szCs w:val="28"/>
        </w:rPr>
      </w:pPr>
      <w:r w:rsidRPr="00806742">
        <w:rPr>
          <w:rFonts w:ascii="Traditional Arabic" w:hAnsi="Traditional Arabic" w:cs="Traditional Arabic"/>
          <w:sz w:val="28"/>
          <w:szCs w:val="28"/>
          <w:rtl/>
        </w:rPr>
        <w:t>دراسة ميدانية مباشرة من داخل البنوك</w:t>
      </w:r>
    </w:p>
    <w:p w14:paraId="5EC3CAC0" w14:textId="77777777" w:rsidR="00806742" w:rsidRPr="00806742" w:rsidRDefault="00806742" w:rsidP="00806742">
      <w:pPr>
        <w:pStyle w:val="NormalWeb"/>
        <w:numPr>
          <w:ilvl w:val="0"/>
          <w:numId w:val="35"/>
        </w:numPr>
        <w:bidi/>
        <w:rPr>
          <w:rFonts w:ascii="Traditional Arabic" w:hAnsi="Traditional Arabic" w:cs="Traditional Arabic"/>
          <w:sz w:val="28"/>
          <w:szCs w:val="28"/>
        </w:rPr>
      </w:pPr>
      <w:r w:rsidRPr="00806742">
        <w:rPr>
          <w:rFonts w:ascii="Traditional Arabic" w:hAnsi="Traditional Arabic" w:cs="Traditional Arabic"/>
          <w:sz w:val="28"/>
          <w:szCs w:val="28"/>
          <w:rtl/>
        </w:rPr>
        <w:t>تحليل تأثير إدارة المخاطر على أبعاد الحوكمة</w:t>
      </w:r>
    </w:p>
    <w:p w14:paraId="1846208A" w14:textId="77777777" w:rsidR="00806742" w:rsidRPr="00806742" w:rsidRDefault="00806742" w:rsidP="00806742">
      <w:pPr>
        <w:pStyle w:val="NormalWeb"/>
        <w:numPr>
          <w:ilvl w:val="0"/>
          <w:numId w:val="35"/>
        </w:numPr>
        <w:bidi/>
        <w:rPr>
          <w:rFonts w:ascii="Traditional Arabic" w:hAnsi="Traditional Arabic" w:cs="Traditional Arabic"/>
          <w:sz w:val="28"/>
          <w:szCs w:val="28"/>
        </w:rPr>
      </w:pPr>
      <w:r w:rsidRPr="00806742">
        <w:rPr>
          <w:rFonts w:ascii="Traditional Arabic" w:hAnsi="Traditional Arabic" w:cs="Traditional Arabic"/>
          <w:sz w:val="28"/>
          <w:szCs w:val="28"/>
          <w:rtl/>
        </w:rPr>
        <w:t>التركيز على البيئة التنظيمية السعودية</w:t>
      </w:r>
      <w:r w:rsidRPr="00806742">
        <w:rPr>
          <w:rFonts w:ascii="Traditional Arabic" w:hAnsi="Traditional Arabic" w:cs="Traditional Arabic"/>
          <w:sz w:val="28"/>
          <w:szCs w:val="28"/>
        </w:rPr>
        <w:t xml:space="preserve"> (</w:t>
      </w:r>
      <w:r w:rsidRPr="00806742">
        <w:rPr>
          <w:rFonts w:ascii="Traditional Arabic" w:hAnsi="Traditional Arabic" w:cs="Traditional Arabic"/>
          <w:sz w:val="28"/>
          <w:szCs w:val="28"/>
          <w:rtl/>
        </w:rPr>
        <w:t>ساما + بازل</w:t>
      </w:r>
      <w:r w:rsidRPr="00806742">
        <w:rPr>
          <w:rFonts w:ascii="Traditional Arabic" w:hAnsi="Traditional Arabic" w:cs="Traditional Arabic"/>
          <w:sz w:val="28"/>
          <w:szCs w:val="28"/>
        </w:rPr>
        <w:t xml:space="preserve"> III)</w:t>
      </w:r>
    </w:p>
    <w:p w14:paraId="555AFA1D" w14:textId="77777777" w:rsidR="00806742" w:rsidRPr="00806742" w:rsidRDefault="00806742" w:rsidP="00806742">
      <w:pPr>
        <w:pStyle w:val="NormalWeb"/>
        <w:bidi/>
        <w:rPr>
          <w:rFonts w:ascii="Traditional Arabic" w:hAnsi="Traditional Arabic" w:cs="Traditional Arabic"/>
          <w:sz w:val="28"/>
          <w:szCs w:val="28"/>
        </w:rPr>
      </w:pPr>
      <w:r w:rsidRPr="00806742">
        <w:rPr>
          <w:rFonts w:ascii="Traditional Arabic" w:hAnsi="Traditional Arabic" w:cs="Traditional Arabic"/>
          <w:sz w:val="28"/>
          <w:szCs w:val="28"/>
          <w:rtl/>
        </w:rPr>
        <w:t>وهنا تأتي أهمية الدراسة الحالية لأنها</w:t>
      </w:r>
      <w:r w:rsidRPr="00806742">
        <w:rPr>
          <w:rFonts w:ascii="Traditional Arabic" w:hAnsi="Traditional Arabic" w:cs="Traditional Arabic"/>
          <w:sz w:val="28"/>
          <w:szCs w:val="28"/>
        </w:rPr>
        <w:t>:</w:t>
      </w:r>
    </w:p>
    <w:p w14:paraId="1E3A1C47" w14:textId="77777777" w:rsidR="00806742" w:rsidRPr="00806742" w:rsidRDefault="00806742" w:rsidP="00806742">
      <w:pPr>
        <w:pStyle w:val="NormalWeb"/>
        <w:numPr>
          <w:ilvl w:val="0"/>
          <w:numId w:val="36"/>
        </w:numPr>
        <w:bidi/>
        <w:rPr>
          <w:rFonts w:ascii="Traditional Arabic" w:hAnsi="Traditional Arabic" w:cs="Traditional Arabic"/>
          <w:sz w:val="28"/>
          <w:szCs w:val="28"/>
        </w:rPr>
      </w:pPr>
      <w:r w:rsidRPr="00806742">
        <w:rPr>
          <w:rFonts w:ascii="Traditional Arabic" w:hAnsi="Traditional Arabic" w:cs="Traditional Arabic"/>
          <w:sz w:val="28"/>
          <w:szCs w:val="28"/>
          <w:rtl/>
        </w:rPr>
        <w:t>تُعد من الدراسات القليلة التي تربط بين إدارة المخاطر والحوكمة في إطار ميداني سعودي</w:t>
      </w:r>
      <w:r w:rsidRPr="00806742">
        <w:rPr>
          <w:rFonts w:ascii="Traditional Arabic" w:hAnsi="Traditional Arabic" w:cs="Traditional Arabic"/>
          <w:sz w:val="28"/>
          <w:szCs w:val="28"/>
        </w:rPr>
        <w:t>.</w:t>
      </w:r>
    </w:p>
    <w:p w14:paraId="365B9F4B" w14:textId="77777777" w:rsidR="00806742" w:rsidRPr="00806742" w:rsidRDefault="00806742" w:rsidP="00806742">
      <w:pPr>
        <w:pStyle w:val="NormalWeb"/>
        <w:numPr>
          <w:ilvl w:val="0"/>
          <w:numId w:val="36"/>
        </w:numPr>
        <w:bidi/>
        <w:rPr>
          <w:rFonts w:ascii="Traditional Arabic" w:hAnsi="Traditional Arabic" w:cs="Traditional Arabic"/>
          <w:sz w:val="28"/>
          <w:szCs w:val="28"/>
        </w:rPr>
      </w:pPr>
      <w:r w:rsidRPr="00806742">
        <w:rPr>
          <w:rFonts w:ascii="Traditional Arabic" w:hAnsi="Traditional Arabic" w:cs="Traditional Arabic"/>
          <w:sz w:val="28"/>
          <w:szCs w:val="28"/>
          <w:rtl/>
        </w:rPr>
        <w:t>تعتمد على استبانة مخصصة للعاملين في إدارات المخاطر والحوكمة، مما يعطي نتائج واقعية</w:t>
      </w:r>
      <w:r w:rsidRPr="00806742">
        <w:rPr>
          <w:rFonts w:ascii="Traditional Arabic" w:hAnsi="Traditional Arabic" w:cs="Traditional Arabic"/>
          <w:sz w:val="28"/>
          <w:szCs w:val="28"/>
        </w:rPr>
        <w:t>.</w:t>
      </w:r>
    </w:p>
    <w:p w14:paraId="73FACF5E" w14:textId="77777777" w:rsidR="00806742" w:rsidRPr="00806742" w:rsidRDefault="00806742" w:rsidP="00806742">
      <w:pPr>
        <w:pStyle w:val="NormalWeb"/>
        <w:numPr>
          <w:ilvl w:val="0"/>
          <w:numId w:val="36"/>
        </w:numPr>
        <w:bidi/>
        <w:rPr>
          <w:rFonts w:ascii="Traditional Arabic" w:hAnsi="Traditional Arabic" w:cs="Traditional Arabic"/>
          <w:sz w:val="28"/>
          <w:szCs w:val="28"/>
        </w:rPr>
      </w:pPr>
      <w:r w:rsidRPr="00806742">
        <w:rPr>
          <w:rFonts w:ascii="Traditional Arabic" w:hAnsi="Traditional Arabic" w:cs="Traditional Arabic"/>
          <w:sz w:val="28"/>
          <w:szCs w:val="28"/>
          <w:rtl/>
        </w:rPr>
        <w:t>تقدم نموذجًا تحليليًا يمكن الاستفادة منه في تحسين سياسات البنوك السعودية</w:t>
      </w:r>
      <w:r w:rsidRPr="00806742">
        <w:rPr>
          <w:rFonts w:ascii="Traditional Arabic" w:hAnsi="Traditional Arabic" w:cs="Traditional Arabic"/>
          <w:sz w:val="28"/>
          <w:szCs w:val="28"/>
        </w:rPr>
        <w:t>.</w:t>
      </w:r>
    </w:p>
    <w:p w14:paraId="77F24228" w14:textId="77777777" w:rsidR="00806742" w:rsidRPr="00806742" w:rsidRDefault="00806742" w:rsidP="00806742">
      <w:pPr>
        <w:pStyle w:val="NormalWeb"/>
        <w:numPr>
          <w:ilvl w:val="0"/>
          <w:numId w:val="36"/>
        </w:numPr>
        <w:bidi/>
        <w:rPr>
          <w:rFonts w:ascii="Traditional Arabic" w:hAnsi="Traditional Arabic" w:cs="Traditional Arabic"/>
          <w:sz w:val="28"/>
          <w:szCs w:val="28"/>
        </w:rPr>
      </w:pPr>
      <w:r w:rsidRPr="00806742">
        <w:rPr>
          <w:rFonts w:ascii="Traditional Arabic" w:hAnsi="Traditional Arabic" w:cs="Traditional Arabic"/>
          <w:sz w:val="28"/>
          <w:szCs w:val="28"/>
          <w:rtl/>
        </w:rPr>
        <w:t>تسد فجوة بحثية واضحة في الأدبيات العربية حول التكامل بين الوظيفتين داخل القطاع المصرفي السعودي</w:t>
      </w:r>
      <w:r w:rsidRPr="00806742">
        <w:rPr>
          <w:rFonts w:ascii="Traditional Arabic" w:hAnsi="Traditional Arabic" w:cs="Traditional Arabic"/>
          <w:sz w:val="28"/>
          <w:szCs w:val="28"/>
        </w:rPr>
        <w:t>.</w:t>
      </w:r>
    </w:p>
    <w:p w14:paraId="2041E77C" w14:textId="77777777" w:rsidR="00806742" w:rsidRPr="00806742" w:rsidRDefault="00806742" w:rsidP="00806742">
      <w:pPr>
        <w:pStyle w:val="NormalWeb"/>
        <w:bidi/>
        <w:rPr>
          <w:rFonts w:ascii="Traditional Arabic" w:hAnsi="Traditional Arabic" w:cs="Traditional Arabic" w:hint="cs"/>
          <w:b/>
          <w:bCs/>
          <w:sz w:val="32"/>
          <w:szCs w:val="32"/>
          <w:rtl/>
        </w:rPr>
      </w:pPr>
    </w:p>
    <w:sectPr w:rsidR="00806742" w:rsidRPr="0080674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3EC930" w14:textId="77777777" w:rsidR="00A97EAD" w:rsidRDefault="00A97EAD" w:rsidP="009125CE">
      <w:pPr>
        <w:spacing w:after="0" w:line="240" w:lineRule="auto"/>
      </w:pPr>
      <w:r>
        <w:separator/>
      </w:r>
    </w:p>
  </w:endnote>
  <w:endnote w:type="continuationSeparator" w:id="0">
    <w:p w14:paraId="2FB1EE72" w14:textId="77777777" w:rsidR="00A97EAD" w:rsidRDefault="00A97E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51D8FE" w14:textId="77777777" w:rsidR="00A97EAD" w:rsidRDefault="00A97EAD" w:rsidP="009125CE">
      <w:pPr>
        <w:spacing w:after="0" w:line="240" w:lineRule="auto"/>
      </w:pPr>
      <w:r>
        <w:separator/>
      </w:r>
    </w:p>
  </w:footnote>
  <w:footnote w:type="continuationSeparator" w:id="0">
    <w:p w14:paraId="456F449C" w14:textId="77777777" w:rsidR="00A97EAD" w:rsidRDefault="00A97E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22FC5"/>
    <w:multiLevelType w:val="multilevel"/>
    <w:tmpl w:val="C75C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82663"/>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B1A99"/>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6C7284"/>
    <w:multiLevelType w:val="hybridMultilevel"/>
    <w:tmpl w:val="06DEDEF2"/>
    <w:lvl w:ilvl="0" w:tplc="79C62E9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551F1"/>
    <w:multiLevelType w:val="multilevel"/>
    <w:tmpl w:val="9A0C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935C1"/>
    <w:multiLevelType w:val="multilevel"/>
    <w:tmpl w:val="BCA8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A5D54"/>
    <w:multiLevelType w:val="multilevel"/>
    <w:tmpl w:val="5218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14EF0"/>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AB78AF"/>
    <w:multiLevelType w:val="hybridMultilevel"/>
    <w:tmpl w:val="9FAC09D0"/>
    <w:lvl w:ilvl="0" w:tplc="6526C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8E0074"/>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FE3623"/>
    <w:multiLevelType w:val="multilevel"/>
    <w:tmpl w:val="4C20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B65A6F"/>
    <w:multiLevelType w:val="multilevel"/>
    <w:tmpl w:val="55C6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841C77"/>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DD07E1"/>
    <w:multiLevelType w:val="multilevel"/>
    <w:tmpl w:val="E1B4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31DB2"/>
    <w:multiLevelType w:val="multilevel"/>
    <w:tmpl w:val="CBBA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812AC2"/>
    <w:multiLevelType w:val="multilevel"/>
    <w:tmpl w:val="3E6E9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B510B0"/>
    <w:multiLevelType w:val="hybridMultilevel"/>
    <w:tmpl w:val="EFF40A5E"/>
    <w:lvl w:ilvl="0" w:tplc="31BECC0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5367DA"/>
    <w:multiLevelType w:val="multilevel"/>
    <w:tmpl w:val="E3CE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B1D62"/>
    <w:multiLevelType w:val="multilevel"/>
    <w:tmpl w:val="DD22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F451C0"/>
    <w:multiLevelType w:val="multilevel"/>
    <w:tmpl w:val="DC62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375BAA"/>
    <w:multiLevelType w:val="multilevel"/>
    <w:tmpl w:val="9F6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A26F1E"/>
    <w:multiLevelType w:val="hybridMultilevel"/>
    <w:tmpl w:val="FC9EDB40"/>
    <w:lvl w:ilvl="0" w:tplc="C46E528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E222BA"/>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9932F4"/>
    <w:multiLevelType w:val="multilevel"/>
    <w:tmpl w:val="D2F4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621FDC"/>
    <w:multiLevelType w:val="multilevel"/>
    <w:tmpl w:val="D420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142F5A"/>
    <w:multiLevelType w:val="hybridMultilevel"/>
    <w:tmpl w:val="9AC051AA"/>
    <w:lvl w:ilvl="0" w:tplc="0868DAD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0D7911"/>
    <w:multiLevelType w:val="multilevel"/>
    <w:tmpl w:val="90F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5D23F7"/>
    <w:multiLevelType w:val="multilevel"/>
    <w:tmpl w:val="CD16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8D607D"/>
    <w:multiLevelType w:val="multilevel"/>
    <w:tmpl w:val="D88E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C60522"/>
    <w:multiLevelType w:val="multilevel"/>
    <w:tmpl w:val="3DD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105FDC"/>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0A7BB9"/>
    <w:multiLevelType w:val="multilevel"/>
    <w:tmpl w:val="6A7A2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C27A89"/>
    <w:multiLevelType w:val="multilevel"/>
    <w:tmpl w:val="417C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3F3353"/>
    <w:multiLevelType w:val="multilevel"/>
    <w:tmpl w:val="5AFC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1732D"/>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211BBF"/>
    <w:multiLevelType w:val="multilevel"/>
    <w:tmpl w:val="6F069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2"/>
  </w:num>
  <w:num w:numId="3">
    <w:abstractNumId w:val="15"/>
  </w:num>
  <w:num w:numId="4">
    <w:abstractNumId w:val="12"/>
  </w:num>
  <w:num w:numId="5">
    <w:abstractNumId w:val="0"/>
  </w:num>
  <w:num w:numId="6">
    <w:abstractNumId w:val="19"/>
  </w:num>
  <w:num w:numId="7">
    <w:abstractNumId w:val="6"/>
  </w:num>
  <w:num w:numId="8">
    <w:abstractNumId w:val="33"/>
  </w:num>
  <w:num w:numId="9">
    <w:abstractNumId w:val="7"/>
  </w:num>
  <w:num w:numId="10">
    <w:abstractNumId w:val="2"/>
  </w:num>
  <w:num w:numId="11">
    <w:abstractNumId w:val="9"/>
  </w:num>
  <w:num w:numId="12">
    <w:abstractNumId w:val="4"/>
  </w:num>
  <w:num w:numId="13">
    <w:abstractNumId w:val="34"/>
  </w:num>
  <w:num w:numId="14">
    <w:abstractNumId w:val="20"/>
  </w:num>
  <w:num w:numId="15">
    <w:abstractNumId w:val="13"/>
  </w:num>
  <w:num w:numId="16">
    <w:abstractNumId w:val="17"/>
  </w:num>
  <w:num w:numId="17">
    <w:abstractNumId w:val="30"/>
  </w:num>
  <w:num w:numId="18">
    <w:abstractNumId w:val="22"/>
  </w:num>
  <w:num w:numId="19">
    <w:abstractNumId w:val="8"/>
  </w:num>
  <w:num w:numId="20">
    <w:abstractNumId w:val="14"/>
  </w:num>
  <w:num w:numId="21">
    <w:abstractNumId w:val="35"/>
  </w:num>
  <w:num w:numId="22">
    <w:abstractNumId w:val="28"/>
  </w:num>
  <w:num w:numId="23">
    <w:abstractNumId w:val="18"/>
  </w:num>
  <w:num w:numId="24">
    <w:abstractNumId w:val="26"/>
  </w:num>
  <w:num w:numId="25">
    <w:abstractNumId w:val="21"/>
  </w:num>
  <w:num w:numId="26">
    <w:abstractNumId w:val="25"/>
  </w:num>
  <w:num w:numId="27">
    <w:abstractNumId w:val="16"/>
  </w:num>
  <w:num w:numId="28">
    <w:abstractNumId w:val="3"/>
  </w:num>
  <w:num w:numId="29">
    <w:abstractNumId w:val="5"/>
  </w:num>
  <w:num w:numId="30">
    <w:abstractNumId w:val="24"/>
  </w:num>
  <w:num w:numId="31">
    <w:abstractNumId w:val="10"/>
  </w:num>
  <w:num w:numId="32">
    <w:abstractNumId w:val="31"/>
  </w:num>
  <w:num w:numId="33">
    <w:abstractNumId w:val="27"/>
  </w:num>
  <w:num w:numId="34">
    <w:abstractNumId w:val="23"/>
  </w:num>
  <w:num w:numId="35">
    <w:abstractNumId w:val="29"/>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5464"/>
    <w:rsid w:val="000F44B4"/>
    <w:rsid w:val="001902DB"/>
    <w:rsid w:val="001951F6"/>
    <w:rsid w:val="00195F1D"/>
    <w:rsid w:val="001C2162"/>
    <w:rsid w:val="00327CAA"/>
    <w:rsid w:val="00402D7B"/>
    <w:rsid w:val="00580B7F"/>
    <w:rsid w:val="00590B27"/>
    <w:rsid w:val="0062761F"/>
    <w:rsid w:val="006948DE"/>
    <w:rsid w:val="006F3037"/>
    <w:rsid w:val="007B0E54"/>
    <w:rsid w:val="007E3A20"/>
    <w:rsid w:val="00806742"/>
    <w:rsid w:val="00877AAC"/>
    <w:rsid w:val="008A1EC9"/>
    <w:rsid w:val="008F1EAE"/>
    <w:rsid w:val="009125CE"/>
    <w:rsid w:val="009B2F6C"/>
    <w:rsid w:val="009B6888"/>
    <w:rsid w:val="009C0161"/>
    <w:rsid w:val="009D108D"/>
    <w:rsid w:val="009E1436"/>
    <w:rsid w:val="009E5668"/>
    <w:rsid w:val="00A74F76"/>
    <w:rsid w:val="00A97EAD"/>
    <w:rsid w:val="00AA79E9"/>
    <w:rsid w:val="00AB0A70"/>
    <w:rsid w:val="00B63B0F"/>
    <w:rsid w:val="00B7678A"/>
    <w:rsid w:val="00B777B5"/>
    <w:rsid w:val="00C71E18"/>
    <w:rsid w:val="00D04A59"/>
    <w:rsid w:val="00D06F4B"/>
    <w:rsid w:val="00D22171"/>
    <w:rsid w:val="00D80AC4"/>
    <w:rsid w:val="00E41D32"/>
    <w:rsid w:val="00E71C79"/>
    <w:rsid w:val="00E80591"/>
    <w:rsid w:val="00EA6B5D"/>
    <w:rsid w:val="00EC333B"/>
    <w:rsid w:val="00F546CE"/>
    <w:rsid w:val="00FB41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5"/>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41D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D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41D3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0A546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E41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41D32"/>
    <w:rPr>
      <w:b/>
      <w:bCs/>
    </w:rPr>
  </w:style>
  <w:style w:type="character" w:customStyle="1" w:styleId="Heading3Char">
    <w:name w:val="Heading 3 Char"/>
    <w:basedOn w:val="DefaultParagraphFont"/>
    <w:link w:val="Heading3"/>
    <w:uiPriority w:val="9"/>
    <w:rsid w:val="00E41D32"/>
    <w:rPr>
      <w:rFonts w:ascii="Times New Roman" w:eastAsia="Times New Roman" w:hAnsi="Times New Roman" w:cs="Times New Roman"/>
      <w:b/>
      <w:bCs/>
      <w:kern w:val="0"/>
      <w:sz w:val="27"/>
      <w:szCs w:val="27"/>
      <w14:ligatures w14:val="none"/>
    </w:rPr>
  </w:style>
  <w:style w:type="character" w:customStyle="1" w:styleId="Heading2Char">
    <w:name w:val="Heading 2 Char"/>
    <w:basedOn w:val="DefaultParagraphFont"/>
    <w:link w:val="Heading2"/>
    <w:uiPriority w:val="9"/>
    <w:semiHidden/>
    <w:rsid w:val="00E41D3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41D32"/>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777B5"/>
    <w:rPr>
      <w:i/>
      <w:iCs/>
    </w:rPr>
  </w:style>
  <w:style w:type="paragraph" w:styleId="ListParagraph">
    <w:name w:val="List Paragraph"/>
    <w:basedOn w:val="Normal"/>
    <w:uiPriority w:val="34"/>
    <w:qFormat/>
    <w:rsid w:val="00327CAA"/>
    <w:pPr>
      <w:ind w:left="720"/>
      <w:contextualSpacing/>
    </w:pPr>
  </w:style>
  <w:style w:type="character" w:customStyle="1" w:styleId="Heading4Char">
    <w:name w:val="Heading 4 Char"/>
    <w:basedOn w:val="DefaultParagraphFont"/>
    <w:link w:val="Heading4"/>
    <w:uiPriority w:val="9"/>
    <w:semiHidden/>
    <w:rsid w:val="000A546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07714">
      <w:bodyDiv w:val="1"/>
      <w:marLeft w:val="0"/>
      <w:marRight w:val="0"/>
      <w:marTop w:val="0"/>
      <w:marBottom w:val="0"/>
      <w:divBdr>
        <w:top w:val="none" w:sz="0" w:space="0" w:color="auto"/>
        <w:left w:val="none" w:sz="0" w:space="0" w:color="auto"/>
        <w:bottom w:val="none" w:sz="0" w:space="0" w:color="auto"/>
        <w:right w:val="none" w:sz="0" w:space="0" w:color="auto"/>
      </w:divBdr>
    </w:div>
    <w:div w:id="210043902">
      <w:bodyDiv w:val="1"/>
      <w:marLeft w:val="0"/>
      <w:marRight w:val="0"/>
      <w:marTop w:val="0"/>
      <w:marBottom w:val="0"/>
      <w:divBdr>
        <w:top w:val="none" w:sz="0" w:space="0" w:color="auto"/>
        <w:left w:val="none" w:sz="0" w:space="0" w:color="auto"/>
        <w:bottom w:val="none" w:sz="0" w:space="0" w:color="auto"/>
        <w:right w:val="none" w:sz="0" w:space="0" w:color="auto"/>
      </w:divBdr>
    </w:div>
    <w:div w:id="211769624">
      <w:bodyDiv w:val="1"/>
      <w:marLeft w:val="0"/>
      <w:marRight w:val="0"/>
      <w:marTop w:val="0"/>
      <w:marBottom w:val="0"/>
      <w:divBdr>
        <w:top w:val="none" w:sz="0" w:space="0" w:color="auto"/>
        <w:left w:val="none" w:sz="0" w:space="0" w:color="auto"/>
        <w:bottom w:val="none" w:sz="0" w:space="0" w:color="auto"/>
        <w:right w:val="none" w:sz="0" w:space="0" w:color="auto"/>
      </w:divBdr>
    </w:div>
    <w:div w:id="341325933">
      <w:bodyDiv w:val="1"/>
      <w:marLeft w:val="0"/>
      <w:marRight w:val="0"/>
      <w:marTop w:val="0"/>
      <w:marBottom w:val="0"/>
      <w:divBdr>
        <w:top w:val="none" w:sz="0" w:space="0" w:color="auto"/>
        <w:left w:val="none" w:sz="0" w:space="0" w:color="auto"/>
        <w:bottom w:val="none" w:sz="0" w:space="0" w:color="auto"/>
        <w:right w:val="none" w:sz="0" w:space="0" w:color="auto"/>
      </w:divBdr>
    </w:div>
    <w:div w:id="398946974">
      <w:bodyDiv w:val="1"/>
      <w:marLeft w:val="0"/>
      <w:marRight w:val="0"/>
      <w:marTop w:val="0"/>
      <w:marBottom w:val="0"/>
      <w:divBdr>
        <w:top w:val="none" w:sz="0" w:space="0" w:color="auto"/>
        <w:left w:val="none" w:sz="0" w:space="0" w:color="auto"/>
        <w:bottom w:val="none" w:sz="0" w:space="0" w:color="auto"/>
        <w:right w:val="none" w:sz="0" w:space="0" w:color="auto"/>
      </w:divBdr>
    </w:div>
    <w:div w:id="520704565">
      <w:bodyDiv w:val="1"/>
      <w:marLeft w:val="0"/>
      <w:marRight w:val="0"/>
      <w:marTop w:val="0"/>
      <w:marBottom w:val="0"/>
      <w:divBdr>
        <w:top w:val="none" w:sz="0" w:space="0" w:color="auto"/>
        <w:left w:val="none" w:sz="0" w:space="0" w:color="auto"/>
        <w:bottom w:val="none" w:sz="0" w:space="0" w:color="auto"/>
        <w:right w:val="none" w:sz="0" w:space="0" w:color="auto"/>
      </w:divBdr>
    </w:div>
    <w:div w:id="648559650">
      <w:bodyDiv w:val="1"/>
      <w:marLeft w:val="0"/>
      <w:marRight w:val="0"/>
      <w:marTop w:val="0"/>
      <w:marBottom w:val="0"/>
      <w:divBdr>
        <w:top w:val="none" w:sz="0" w:space="0" w:color="auto"/>
        <w:left w:val="none" w:sz="0" w:space="0" w:color="auto"/>
        <w:bottom w:val="none" w:sz="0" w:space="0" w:color="auto"/>
        <w:right w:val="none" w:sz="0" w:space="0" w:color="auto"/>
      </w:divBdr>
    </w:div>
    <w:div w:id="659502138">
      <w:bodyDiv w:val="1"/>
      <w:marLeft w:val="0"/>
      <w:marRight w:val="0"/>
      <w:marTop w:val="0"/>
      <w:marBottom w:val="0"/>
      <w:divBdr>
        <w:top w:val="none" w:sz="0" w:space="0" w:color="auto"/>
        <w:left w:val="none" w:sz="0" w:space="0" w:color="auto"/>
        <w:bottom w:val="none" w:sz="0" w:space="0" w:color="auto"/>
        <w:right w:val="none" w:sz="0" w:space="0" w:color="auto"/>
      </w:divBdr>
    </w:div>
    <w:div w:id="702368300">
      <w:bodyDiv w:val="1"/>
      <w:marLeft w:val="0"/>
      <w:marRight w:val="0"/>
      <w:marTop w:val="0"/>
      <w:marBottom w:val="0"/>
      <w:divBdr>
        <w:top w:val="none" w:sz="0" w:space="0" w:color="auto"/>
        <w:left w:val="none" w:sz="0" w:space="0" w:color="auto"/>
        <w:bottom w:val="none" w:sz="0" w:space="0" w:color="auto"/>
        <w:right w:val="none" w:sz="0" w:space="0" w:color="auto"/>
      </w:divBdr>
    </w:div>
    <w:div w:id="711808196">
      <w:bodyDiv w:val="1"/>
      <w:marLeft w:val="0"/>
      <w:marRight w:val="0"/>
      <w:marTop w:val="0"/>
      <w:marBottom w:val="0"/>
      <w:divBdr>
        <w:top w:val="none" w:sz="0" w:space="0" w:color="auto"/>
        <w:left w:val="none" w:sz="0" w:space="0" w:color="auto"/>
        <w:bottom w:val="none" w:sz="0" w:space="0" w:color="auto"/>
        <w:right w:val="none" w:sz="0" w:space="0" w:color="auto"/>
      </w:divBdr>
    </w:div>
    <w:div w:id="746270487">
      <w:bodyDiv w:val="1"/>
      <w:marLeft w:val="0"/>
      <w:marRight w:val="0"/>
      <w:marTop w:val="0"/>
      <w:marBottom w:val="0"/>
      <w:divBdr>
        <w:top w:val="none" w:sz="0" w:space="0" w:color="auto"/>
        <w:left w:val="none" w:sz="0" w:space="0" w:color="auto"/>
        <w:bottom w:val="none" w:sz="0" w:space="0" w:color="auto"/>
        <w:right w:val="none" w:sz="0" w:space="0" w:color="auto"/>
      </w:divBdr>
    </w:div>
    <w:div w:id="778447001">
      <w:bodyDiv w:val="1"/>
      <w:marLeft w:val="0"/>
      <w:marRight w:val="0"/>
      <w:marTop w:val="0"/>
      <w:marBottom w:val="0"/>
      <w:divBdr>
        <w:top w:val="none" w:sz="0" w:space="0" w:color="auto"/>
        <w:left w:val="none" w:sz="0" w:space="0" w:color="auto"/>
        <w:bottom w:val="none" w:sz="0" w:space="0" w:color="auto"/>
        <w:right w:val="none" w:sz="0" w:space="0" w:color="auto"/>
      </w:divBdr>
    </w:div>
    <w:div w:id="821234273">
      <w:bodyDiv w:val="1"/>
      <w:marLeft w:val="0"/>
      <w:marRight w:val="0"/>
      <w:marTop w:val="0"/>
      <w:marBottom w:val="0"/>
      <w:divBdr>
        <w:top w:val="none" w:sz="0" w:space="0" w:color="auto"/>
        <w:left w:val="none" w:sz="0" w:space="0" w:color="auto"/>
        <w:bottom w:val="none" w:sz="0" w:space="0" w:color="auto"/>
        <w:right w:val="none" w:sz="0" w:space="0" w:color="auto"/>
      </w:divBdr>
    </w:div>
    <w:div w:id="924075475">
      <w:bodyDiv w:val="1"/>
      <w:marLeft w:val="0"/>
      <w:marRight w:val="0"/>
      <w:marTop w:val="0"/>
      <w:marBottom w:val="0"/>
      <w:divBdr>
        <w:top w:val="none" w:sz="0" w:space="0" w:color="auto"/>
        <w:left w:val="none" w:sz="0" w:space="0" w:color="auto"/>
        <w:bottom w:val="none" w:sz="0" w:space="0" w:color="auto"/>
        <w:right w:val="none" w:sz="0" w:space="0" w:color="auto"/>
      </w:divBdr>
    </w:div>
    <w:div w:id="977149961">
      <w:bodyDiv w:val="1"/>
      <w:marLeft w:val="0"/>
      <w:marRight w:val="0"/>
      <w:marTop w:val="0"/>
      <w:marBottom w:val="0"/>
      <w:divBdr>
        <w:top w:val="none" w:sz="0" w:space="0" w:color="auto"/>
        <w:left w:val="none" w:sz="0" w:space="0" w:color="auto"/>
        <w:bottom w:val="none" w:sz="0" w:space="0" w:color="auto"/>
        <w:right w:val="none" w:sz="0" w:space="0" w:color="auto"/>
      </w:divBdr>
    </w:div>
    <w:div w:id="1038965674">
      <w:bodyDiv w:val="1"/>
      <w:marLeft w:val="0"/>
      <w:marRight w:val="0"/>
      <w:marTop w:val="0"/>
      <w:marBottom w:val="0"/>
      <w:divBdr>
        <w:top w:val="none" w:sz="0" w:space="0" w:color="auto"/>
        <w:left w:val="none" w:sz="0" w:space="0" w:color="auto"/>
        <w:bottom w:val="none" w:sz="0" w:space="0" w:color="auto"/>
        <w:right w:val="none" w:sz="0" w:space="0" w:color="auto"/>
      </w:divBdr>
    </w:div>
    <w:div w:id="1060858742">
      <w:bodyDiv w:val="1"/>
      <w:marLeft w:val="0"/>
      <w:marRight w:val="0"/>
      <w:marTop w:val="0"/>
      <w:marBottom w:val="0"/>
      <w:divBdr>
        <w:top w:val="none" w:sz="0" w:space="0" w:color="auto"/>
        <w:left w:val="none" w:sz="0" w:space="0" w:color="auto"/>
        <w:bottom w:val="none" w:sz="0" w:space="0" w:color="auto"/>
        <w:right w:val="none" w:sz="0" w:space="0" w:color="auto"/>
      </w:divBdr>
    </w:div>
    <w:div w:id="1066336943">
      <w:bodyDiv w:val="1"/>
      <w:marLeft w:val="0"/>
      <w:marRight w:val="0"/>
      <w:marTop w:val="0"/>
      <w:marBottom w:val="0"/>
      <w:divBdr>
        <w:top w:val="none" w:sz="0" w:space="0" w:color="auto"/>
        <w:left w:val="none" w:sz="0" w:space="0" w:color="auto"/>
        <w:bottom w:val="none" w:sz="0" w:space="0" w:color="auto"/>
        <w:right w:val="none" w:sz="0" w:space="0" w:color="auto"/>
      </w:divBdr>
    </w:div>
    <w:div w:id="1122191636">
      <w:bodyDiv w:val="1"/>
      <w:marLeft w:val="0"/>
      <w:marRight w:val="0"/>
      <w:marTop w:val="0"/>
      <w:marBottom w:val="0"/>
      <w:divBdr>
        <w:top w:val="none" w:sz="0" w:space="0" w:color="auto"/>
        <w:left w:val="none" w:sz="0" w:space="0" w:color="auto"/>
        <w:bottom w:val="none" w:sz="0" w:space="0" w:color="auto"/>
        <w:right w:val="none" w:sz="0" w:space="0" w:color="auto"/>
      </w:divBdr>
    </w:div>
    <w:div w:id="1128158627">
      <w:bodyDiv w:val="1"/>
      <w:marLeft w:val="0"/>
      <w:marRight w:val="0"/>
      <w:marTop w:val="0"/>
      <w:marBottom w:val="0"/>
      <w:divBdr>
        <w:top w:val="none" w:sz="0" w:space="0" w:color="auto"/>
        <w:left w:val="none" w:sz="0" w:space="0" w:color="auto"/>
        <w:bottom w:val="none" w:sz="0" w:space="0" w:color="auto"/>
        <w:right w:val="none" w:sz="0" w:space="0" w:color="auto"/>
      </w:divBdr>
      <w:divsChild>
        <w:div w:id="63722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526060">
      <w:bodyDiv w:val="1"/>
      <w:marLeft w:val="0"/>
      <w:marRight w:val="0"/>
      <w:marTop w:val="0"/>
      <w:marBottom w:val="0"/>
      <w:divBdr>
        <w:top w:val="none" w:sz="0" w:space="0" w:color="auto"/>
        <w:left w:val="none" w:sz="0" w:space="0" w:color="auto"/>
        <w:bottom w:val="none" w:sz="0" w:space="0" w:color="auto"/>
        <w:right w:val="none" w:sz="0" w:space="0" w:color="auto"/>
      </w:divBdr>
    </w:div>
    <w:div w:id="1362247152">
      <w:bodyDiv w:val="1"/>
      <w:marLeft w:val="0"/>
      <w:marRight w:val="0"/>
      <w:marTop w:val="0"/>
      <w:marBottom w:val="0"/>
      <w:divBdr>
        <w:top w:val="none" w:sz="0" w:space="0" w:color="auto"/>
        <w:left w:val="none" w:sz="0" w:space="0" w:color="auto"/>
        <w:bottom w:val="none" w:sz="0" w:space="0" w:color="auto"/>
        <w:right w:val="none" w:sz="0" w:space="0" w:color="auto"/>
      </w:divBdr>
      <w:divsChild>
        <w:div w:id="125005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931079">
      <w:bodyDiv w:val="1"/>
      <w:marLeft w:val="0"/>
      <w:marRight w:val="0"/>
      <w:marTop w:val="0"/>
      <w:marBottom w:val="0"/>
      <w:divBdr>
        <w:top w:val="none" w:sz="0" w:space="0" w:color="auto"/>
        <w:left w:val="none" w:sz="0" w:space="0" w:color="auto"/>
        <w:bottom w:val="none" w:sz="0" w:space="0" w:color="auto"/>
        <w:right w:val="none" w:sz="0" w:space="0" w:color="auto"/>
      </w:divBdr>
    </w:div>
    <w:div w:id="1572083442">
      <w:bodyDiv w:val="1"/>
      <w:marLeft w:val="0"/>
      <w:marRight w:val="0"/>
      <w:marTop w:val="0"/>
      <w:marBottom w:val="0"/>
      <w:divBdr>
        <w:top w:val="none" w:sz="0" w:space="0" w:color="auto"/>
        <w:left w:val="none" w:sz="0" w:space="0" w:color="auto"/>
        <w:bottom w:val="none" w:sz="0" w:space="0" w:color="auto"/>
        <w:right w:val="none" w:sz="0" w:space="0" w:color="auto"/>
      </w:divBdr>
    </w:div>
    <w:div w:id="1613631654">
      <w:bodyDiv w:val="1"/>
      <w:marLeft w:val="0"/>
      <w:marRight w:val="0"/>
      <w:marTop w:val="0"/>
      <w:marBottom w:val="0"/>
      <w:divBdr>
        <w:top w:val="none" w:sz="0" w:space="0" w:color="auto"/>
        <w:left w:val="none" w:sz="0" w:space="0" w:color="auto"/>
        <w:bottom w:val="none" w:sz="0" w:space="0" w:color="auto"/>
        <w:right w:val="none" w:sz="0" w:space="0" w:color="auto"/>
      </w:divBdr>
    </w:div>
    <w:div w:id="1649704016">
      <w:bodyDiv w:val="1"/>
      <w:marLeft w:val="0"/>
      <w:marRight w:val="0"/>
      <w:marTop w:val="0"/>
      <w:marBottom w:val="0"/>
      <w:divBdr>
        <w:top w:val="none" w:sz="0" w:space="0" w:color="auto"/>
        <w:left w:val="none" w:sz="0" w:space="0" w:color="auto"/>
        <w:bottom w:val="none" w:sz="0" w:space="0" w:color="auto"/>
        <w:right w:val="none" w:sz="0" w:space="0" w:color="auto"/>
      </w:divBdr>
    </w:div>
    <w:div w:id="1732580810">
      <w:bodyDiv w:val="1"/>
      <w:marLeft w:val="0"/>
      <w:marRight w:val="0"/>
      <w:marTop w:val="0"/>
      <w:marBottom w:val="0"/>
      <w:divBdr>
        <w:top w:val="none" w:sz="0" w:space="0" w:color="auto"/>
        <w:left w:val="none" w:sz="0" w:space="0" w:color="auto"/>
        <w:bottom w:val="none" w:sz="0" w:space="0" w:color="auto"/>
        <w:right w:val="none" w:sz="0" w:space="0" w:color="auto"/>
      </w:divBdr>
    </w:div>
    <w:div w:id="2102949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1423</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saqer altheeb</cp:lastModifiedBy>
  <cp:revision>3</cp:revision>
  <dcterms:created xsi:type="dcterms:W3CDTF">2025-12-05T17:11:00Z</dcterms:created>
  <dcterms:modified xsi:type="dcterms:W3CDTF">2025-12-05T17:11:00Z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