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CED54E" w14:textId="28902883" w:rsidR="004F600B" w:rsidRDefault="00195FBA">
      <w:pPr>
        <w:bidi/>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9264" behindDoc="0" locked="0" layoutInCell="1" allowOverlap="1" wp14:anchorId="341CDC61" wp14:editId="523F378D">
            <wp:simplePos x="0" y="0"/>
            <wp:positionH relativeFrom="margin">
              <wp:align>center</wp:align>
            </wp:positionH>
            <wp:positionV relativeFrom="margin">
              <wp:posOffset>-228600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png"/>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anchor>
        </w:drawing>
      </w:r>
      <w:r w:rsidR="004314D5">
        <w:rPr>
          <w:rFonts w:ascii="ae_Cortoba" w:hAnsi="ae_Cortoba" w:cs="ae_Cortoba"/>
          <w:b/>
          <w:bCs/>
          <w:color w:val="548DD4" w:themeColor="text2" w:themeTint="99"/>
          <w:sz w:val="40"/>
          <w:szCs w:val="40"/>
        </w:rPr>
        <w:tab/>
      </w:r>
    </w:p>
    <w:p w14:paraId="2CD9EE8C" w14:textId="77777777" w:rsidR="004F600B" w:rsidRDefault="004F600B">
      <w:pPr>
        <w:pStyle w:val="a7"/>
        <w:bidi/>
        <w:spacing w:before="0" w:beforeAutospacing="0" w:after="0" w:afterAutospacing="0"/>
        <w:ind w:right="-270"/>
        <w:jc w:val="center"/>
        <w:rPr>
          <w:rFonts w:ascii="Traditional Arabic" w:hAnsi="Traditional Arabic" w:cs="Traditional Arabic"/>
          <w:b/>
          <w:bCs/>
          <w:color w:val="000000" w:themeColor="text1"/>
          <w:sz w:val="28"/>
          <w:szCs w:val="28"/>
          <w:rtl/>
        </w:rPr>
      </w:pPr>
    </w:p>
    <w:p w14:paraId="3FA14933" w14:textId="77777777" w:rsidR="004F600B" w:rsidRDefault="004F600B">
      <w:pPr>
        <w:pStyle w:val="a7"/>
        <w:bidi/>
        <w:spacing w:before="0" w:beforeAutospacing="0" w:after="0" w:afterAutospacing="0"/>
        <w:ind w:right="-270"/>
        <w:jc w:val="center"/>
        <w:rPr>
          <w:rFonts w:ascii="Traditional Arabic" w:hAnsi="Traditional Arabic" w:cs="Traditional Arabic"/>
          <w:b/>
          <w:bCs/>
          <w:color w:val="000000" w:themeColor="text1"/>
          <w:sz w:val="28"/>
          <w:szCs w:val="28"/>
          <w:rtl/>
        </w:rPr>
      </w:pPr>
    </w:p>
    <w:p w14:paraId="2982094A" w14:textId="77777777" w:rsidR="004F600B" w:rsidRDefault="00195FBA">
      <w:pPr>
        <w:pStyle w:val="a7"/>
        <w:bidi/>
        <w:spacing w:line="360" w:lineRule="auto"/>
        <w:ind w:right="-270"/>
        <w:jc w:val="center"/>
        <w:rPr>
          <w:rFonts w:ascii="Traditional Arabic" w:hAnsi="Traditional Arabic" w:cs="Traditional Arabic"/>
          <w:b/>
          <w:bCs/>
          <w:color w:val="000000" w:themeColor="text1"/>
          <w:sz w:val="28"/>
          <w:szCs w:val="28"/>
          <w:rtl/>
        </w:rPr>
      </w:pPr>
      <w:r>
        <w:rPr>
          <w:rFonts w:ascii="Traditional Arabic" w:hAnsi="Traditional Arabic" w:cs="Traditional Arabic"/>
          <w:b/>
          <w:bCs/>
          <w:color w:val="000000" w:themeColor="text1"/>
          <w:sz w:val="28"/>
          <w:szCs w:val="28"/>
          <w:rtl/>
        </w:rPr>
        <w:t>جامعة ميدأوشن</w:t>
      </w:r>
    </w:p>
    <w:p w14:paraId="7CAB149A" w14:textId="77777777" w:rsidR="004F600B" w:rsidRDefault="00195FBA">
      <w:pPr>
        <w:pStyle w:val="a7"/>
        <w:bidi/>
        <w:spacing w:line="360" w:lineRule="auto"/>
        <w:ind w:right="-270"/>
        <w:jc w:val="center"/>
        <w:rPr>
          <w:rFonts w:ascii="Traditional Arabic" w:hAnsi="Traditional Arabic" w:cs="Traditional Arabic"/>
          <w:b/>
          <w:bCs/>
          <w:color w:val="000000" w:themeColor="text1"/>
          <w:rtl/>
        </w:rPr>
      </w:pPr>
      <w:r>
        <w:rPr>
          <w:rFonts w:ascii="Traditional Arabic" w:hAnsi="Traditional Arabic" w:cs="Traditional Arabic" w:hint="cs"/>
          <w:b/>
          <w:bCs/>
          <w:color w:val="000000" w:themeColor="text1"/>
          <w:rtl/>
        </w:rPr>
        <w:t>كلية الإدارة</w:t>
      </w:r>
    </w:p>
    <w:p w14:paraId="4A42450A" w14:textId="77777777" w:rsidR="004F600B" w:rsidRDefault="004F600B">
      <w:pPr>
        <w:pStyle w:val="a7"/>
        <w:bidi/>
        <w:spacing w:line="360" w:lineRule="auto"/>
        <w:ind w:right="-270"/>
        <w:jc w:val="center"/>
        <w:rPr>
          <w:rFonts w:ascii="Traditional Arabic" w:hAnsi="Traditional Arabic" w:cs="Traditional Arabic"/>
          <w:b/>
          <w:bCs/>
          <w:color w:val="000000" w:themeColor="text1"/>
          <w:rtl/>
        </w:rPr>
      </w:pPr>
    </w:p>
    <w:p w14:paraId="6B5F7C74" w14:textId="77777777" w:rsidR="004F600B" w:rsidRDefault="00195FBA">
      <w:pPr>
        <w:pStyle w:val="a7"/>
        <w:bidi/>
        <w:spacing w:line="360" w:lineRule="auto"/>
        <w:ind w:right="-270"/>
        <w:jc w:val="center"/>
        <w:rPr>
          <w:rFonts w:ascii="Traditional Arabic" w:hAnsi="Traditional Arabic" w:cs="Traditional Arabic"/>
          <w:b/>
          <w:bCs/>
          <w:color w:val="000000" w:themeColor="text1"/>
          <w:sz w:val="36"/>
          <w:szCs w:val="36"/>
          <w:rtl/>
        </w:rPr>
      </w:pPr>
      <w:r>
        <w:rPr>
          <w:rFonts w:ascii="Traditional Arabic" w:hAnsi="Traditional Arabic" w:cs="Traditional Arabic"/>
          <w:b/>
          <w:bCs/>
          <w:color w:val="000000" w:themeColor="text1"/>
          <w:sz w:val="36"/>
          <w:szCs w:val="36"/>
          <w:rtl/>
        </w:rPr>
        <w:t xml:space="preserve">أثر التميز المؤسسي على جودة تجربة المريض </w:t>
      </w:r>
    </w:p>
    <w:p w14:paraId="49365697" w14:textId="77777777" w:rsidR="004F600B" w:rsidRDefault="00195FBA">
      <w:pPr>
        <w:pStyle w:val="a7"/>
        <w:bidi/>
        <w:spacing w:line="360" w:lineRule="auto"/>
        <w:ind w:right="-270"/>
        <w:jc w:val="center"/>
        <w:rPr>
          <w:rFonts w:ascii="Traditional Arabic" w:hAnsi="Traditional Arabic" w:cs="Traditional Arabic"/>
          <w:b/>
          <w:bCs/>
          <w:color w:val="000000" w:themeColor="text1"/>
          <w:sz w:val="28"/>
          <w:szCs w:val="28"/>
          <w:rtl/>
        </w:rPr>
      </w:pPr>
      <w:r>
        <w:rPr>
          <w:rFonts w:ascii="Traditional Arabic" w:hAnsi="Traditional Arabic" w:cs="Traditional Arabic"/>
          <w:b/>
          <w:bCs/>
          <w:color w:val="000000" w:themeColor="text1"/>
          <w:sz w:val="28"/>
          <w:szCs w:val="28"/>
          <w:rtl/>
        </w:rPr>
        <w:t>دراسة وصفية تحليلية على تجمع القصيم الصحي بالمملكة العربية السعودية</w:t>
      </w:r>
    </w:p>
    <w:p w14:paraId="44A4C0A3" w14:textId="77777777" w:rsidR="004F600B" w:rsidRDefault="00195FBA">
      <w:pPr>
        <w:bidi/>
        <w:spacing w:before="100" w:beforeAutospacing="1" w:after="100" w:afterAutospacing="1" w:line="360" w:lineRule="auto"/>
        <w:ind w:left="534" w:hanging="340"/>
        <w:jc w:val="center"/>
        <w:rPr>
          <w:rFonts w:ascii="Traditional Arabic" w:hAnsi="Traditional Arabic" w:cs="Traditional Arabic"/>
          <w:b/>
          <w:bCs/>
          <w:sz w:val="20"/>
          <w:szCs w:val="20"/>
          <w:rtl/>
        </w:rPr>
      </w:pPr>
      <w:r>
        <w:rPr>
          <w:rFonts w:ascii="Traditional Arabic" w:hAnsi="Traditional Arabic" w:cs="Traditional Arabic"/>
          <w:b/>
          <w:bCs/>
          <w:sz w:val="20"/>
          <w:szCs w:val="20"/>
          <w:rtl/>
        </w:rPr>
        <w:t>إعداد</w:t>
      </w:r>
    </w:p>
    <w:p w14:paraId="7F7F08A0" w14:textId="77777777" w:rsidR="004F600B" w:rsidRDefault="00195FBA">
      <w:pPr>
        <w:bidi/>
        <w:spacing w:before="100" w:beforeAutospacing="1" w:after="100" w:afterAutospacing="1" w:line="360" w:lineRule="auto"/>
        <w:ind w:left="534" w:hanging="340"/>
        <w:jc w:val="center"/>
        <w:rPr>
          <w:rFonts w:ascii="Traditional Arabic" w:hAnsi="Traditional Arabic" w:cs="Traditional Arabic"/>
          <w:b/>
          <w:bCs/>
          <w:color w:val="000000" w:themeColor="text1"/>
          <w:sz w:val="24"/>
          <w:szCs w:val="24"/>
          <w:rtl/>
        </w:rPr>
      </w:pPr>
      <w:r>
        <w:rPr>
          <w:rFonts w:ascii="Traditional Arabic" w:hAnsi="Traditional Arabic" w:cs="Traditional Arabic"/>
          <w:b/>
          <w:bCs/>
          <w:color w:val="000000" w:themeColor="text1"/>
          <w:sz w:val="28"/>
          <w:szCs w:val="28"/>
          <w:rtl/>
        </w:rPr>
        <w:t>عايد عوض الرشيدي</w:t>
      </w:r>
    </w:p>
    <w:p w14:paraId="477AD30B" w14:textId="77777777" w:rsidR="004F600B" w:rsidRDefault="00195FBA">
      <w:pPr>
        <w:bidi/>
        <w:spacing w:before="100" w:beforeAutospacing="1" w:after="100" w:afterAutospacing="1" w:line="360" w:lineRule="auto"/>
        <w:ind w:left="534" w:hanging="340"/>
        <w:jc w:val="center"/>
        <w:rPr>
          <w:rFonts w:ascii="Traditional Arabic" w:hAnsi="Traditional Arabic" w:cs="Traditional Arabic"/>
          <w:b/>
          <w:bCs/>
          <w:color w:val="000000" w:themeColor="text1"/>
          <w:sz w:val="24"/>
          <w:szCs w:val="24"/>
        </w:rPr>
      </w:pPr>
      <w:r>
        <w:rPr>
          <w:rFonts w:ascii="Traditional Arabic" w:hAnsi="Traditional Arabic" w:cs="Traditional Arabic"/>
          <w:b/>
          <w:bCs/>
          <w:color w:val="000000" w:themeColor="text1"/>
          <w:sz w:val="24"/>
          <w:szCs w:val="24"/>
          <w:rtl/>
        </w:rPr>
        <w:t>المملكة العربية السعودية</w:t>
      </w:r>
    </w:p>
    <w:p w14:paraId="4DFF1CA5" w14:textId="77777777" w:rsidR="004F600B" w:rsidRDefault="00195FBA">
      <w:pPr>
        <w:bidi/>
        <w:spacing w:before="100" w:beforeAutospacing="1" w:after="100" w:afterAutospacing="1" w:line="360" w:lineRule="auto"/>
        <w:ind w:left="534" w:hanging="340"/>
        <w:jc w:val="center"/>
        <w:rPr>
          <w:rFonts w:ascii="Traditional Arabic" w:hAnsi="Traditional Arabic" w:cs="Traditional Arabic"/>
          <w:b/>
          <w:bCs/>
          <w:sz w:val="24"/>
          <w:szCs w:val="24"/>
          <w:rtl/>
        </w:rPr>
      </w:pPr>
      <w:r>
        <w:rPr>
          <w:rFonts w:ascii="Traditional Arabic" w:hAnsi="Traditional Arabic" w:cs="Traditional Arabic"/>
          <w:b/>
          <w:bCs/>
          <w:sz w:val="24"/>
          <w:szCs w:val="24"/>
          <w:rtl/>
        </w:rPr>
        <w:t xml:space="preserve">رسالة مٌقدمة لجامعة ميدأوشن لنيل درجة الدكتوراة </w:t>
      </w:r>
    </w:p>
    <w:p w14:paraId="4EFAC300" w14:textId="77777777" w:rsidR="004F600B" w:rsidRDefault="00195FBA">
      <w:pPr>
        <w:bidi/>
        <w:spacing w:before="100" w:beforeAutospacing="1" w:after="100" w:afterAutospacing="1" w:line="360" w:lineRule="auto"/>
        <w:ind w:left="534" w:hanging="340"/>
        <w:jc w:val="center"/>
        <w:rPr>
          <w:rFonts w:ascii="Arial" w:hAnsi="Arial" w:cs="Arial"/>
          <w:sz w:val="20"/>
          <w:szCs w:val="20"/>
          <w:rtl/>
        </w:rPr>
      </w:pPr>
      <w:r>
        <w:rPr>
          <w:rFonts w:ascii="Traditional Arabic" w:hAnsi="Traditional Arabic" w:cs="Traditional Arabic" w:hint="cs"/>
          <w:b/>
          <w:bCs/>
          <w:sz w:val="24"/>
          <w:szCs w:val="24"/>
          <w:rtl/>
        </w:rPr>
        <w:t>في</w:t>
      </w:r>
      <w:r>
        <w:rPr>
          <w:rFonts w:ascii="Arial" w:hAnsi="Arial" w:cs="Arial" w:hint="cs"/>
          <w:sz w:val="20"/>
          <w:szCs w:val="20"/>
          <w:rtl/>
        </w:rPr>
        <w:t xml:space="preserve"> </w:t>
      </w:r>
    </w:p>
    <w:p w14:paraId="0517C7C5" w14:textId="77777777" w:rsidR="004F600B" w:rsidRDefault="00195FBA">
      <w:pPr>
        <w:bidi/>
        <w:spacing w:before="100" w:beforeAutospacing="1" w:after="100" w:afterAutospacing="1" w:line="360" w:lineRule="auto"/>
        <w:ind w:left="534" w:hanging="340"/>
        <w:jc w:val="center"/>
        <w:rPr>
          <w:rFonts w:ascii="Traditional Arabic" w:hAnsi="Traditional Arabic" w:cs="Traditional Arabic"/>
          <w:b/>
          <w:bCs/>
          <w:sz w:val="24"/>
          <w:szCs w:val="24"/>
        </w:rPr>
      </w:pPr>
      <w:r>
        <w:rPr>
          <w:rFonts w:ascii="Traditional Arabic" w:hAnsi="Traditional Arabic" w:cs="Traditional Arabic" w:hint="cs"/>
          <w:b/>
          <w:bCs/>
          <w:sz w:val="24"/>
          <w:szCs w:val="24"/>
          <w:rtl/>
        </w:rPr>
        <w:t>الإدارة</w:t>
      </w:r>
    </w:p>
    <w:p w14:paraId="7C579233" w14:textId="77777777" w:rsidR="004F600B" w:rsidRDefault="00195FBA">
      <w:pPr>
        <w:bidi/>
        <w:spacing w:before="100" w:beforeAutospacing="1" w:after="100" w:afterAutospacing="1" w:line="360" w:lineRule="auto"/>
        <w:ind w:left="534" w:hanging="340"/>
        <w:jc w:val="center"/>
        <w:rPr>
          <w:rFonts w:ascii="Traditional Arabic" w:hAnsi="Traditional Arabic" w:cs="Traditional Arabic"/>
          <w:sz w:val="16"/>
          <w:szCs w:val="16"/>
        </w:rPr>
      </w:pPr>
      <w:r>
        <w:rPr>
          <w:rFonts w:ascii="Traditional Arabic" w:hAnsi="Traditional Arabic" w:cs="Traditional Arabic"/>
          <w:sz w:val="16"/>
          <w:szCs w:val="16"/>
          <w:rtl/>
        </w:rPr>
        <w:t>عام ...........</w:t>
      </w:r>
    </w:p>
    <w:p w14:paraId="4690B33A" w14:textId="77777777" w:rsidR="004F600B" w:rsidRDefault="004F600B">
      <w:pPr>
        <w:bidi/>
        <w:spacing w:line="360" w:lineRule="auto"/>
        <w:ind w:left="534" w:hanging="340"/>
        <w:jc w:val="center"/>
        <w:rPr>
          <w:rFonts w:ascii="Arial" w:hAnsi="Arial" w:cs="Arial"/>
          <w:sz w:val="20"/>
          <w:szCs w:val="20"/>
        </w:rPr>
      </w:pPr>
    </w:p>
    <w:p w14:paraId="383885EC" w14:textId="77777777" w:rsidR="004F600B" w:rsidRDefault="004F600B">
      <w:pPr>
        <w:bidi/>
        <w:spacing w:line="360" w:lineRule="auto"/>
        <w:ind w:left="534" w:hanging="340"/>
        <w:jc w:val="center"/>
        <w:rPr>
          <w:rFonts w:ascii="Arial" w:hAnsi="Arial" w:cs="Arial"/>
          <w:sz w:val="20"/>
          <w:szCs w:val="20"/>
        </w:rPr>
      </w:pPr>
    </w:p>
    <w:p w14:paraId="6B767E02" w14:textId="77777777" w:rsidR="004F600B" w:rsidRDefault="004F600B">
      <w:pPr>
        <w:bidi/>
        <w:spacing w:line="360" w:lineRule="auto"/>
        <w:ind w:left="534" w:hanging="340"/>
        <w:jc w:val="center"/>
        <w:rPr>
          <w:rFonts w:ascii="Arial" w:hAnsi="Arial" w:cs="Arial"/>
          <w:sz w:val="20"/>
          <w:szCs w:val="20"/>
        </w:rPr>
      </w:pPr>
    </w:p>
    <w:p w14:paraId="3BCCF34F" w14:textId="77777777" w:rsidR="004F600B" w:rsidRDefault="00195FBA">
      <w:pPr>
        <w:bidi/>
        <w:spacing w:line="360" w:lineRule="auto"/>
        <w:ind w:left="534" w:hanging="340"/>
        <w:jc w:val="center"/>
        <w:rPr>
          <w:rFonts w:ascii="Arial" w:hAnsi="Arial" w:cs="Arial"/>
          <w:sz w:val="20"/>
          <w:szCs w:val="20"/>
        </w:rPr>
      </w:pPr>
      <w:r>
        <w:rPr>
          <w:rFonts w:asciiTheme="majorBidi" w:hAnsiTheme="majorBidi" w:cstheme="majorBidi"/>
          <w:noProof/>
          <w:sz w:val="20"/>
          <w:szCs w:val="20"/>
        </w:rPr>
        <w:lastRenderedPageBreak/>
        <w:drawing>
          <wp:anchor distT="0" distB="0" distL="114300" distR="114300" simplePos="0" relativeHeight="251661312" behindDoc="1" locked="0" layoutInCell="1" allowOverlap="1" wp14:anchorId="5E42EC8B" wp14:editId="487985E9">
            <wp:simplePos x="0" y="0"/>
            <wp:positionH relativeFrom="column">
              <wp:posOffset>1917700</wp:posOffset>
            </wp:positionH>
            <wp:positionV relativeFrom="paragraph">
              <wp:posOffset>6350</wp:posOffset>
            </wp:positionV>
            <wp:extent cx="1518285" cy="664210"/>
            <wp:effectExtent l="0" t="0" r="5715" b="2540"/>
            <wp:wrapTight wrapText="bothSides">
              <wp:wrapPolygon edited="0">
                <wp:start x="19513" y="0"/>
                <wp:lineTo x="0" y="6815"/>
                <wp:lineTo x="0" y="21063"/>
                <wp:lineTo x="21139" y="21063"/>
                <wp:lineTo x="21410" y="18585"/>
                <wp:lineTo x="21410" y="3098"/>
                <wp:lineTo x="21139" y="0"/>
                <wp:lineTo x="19513" y="0"/>
              </wp:wrapPolygon>
            </wp:wrapTight>
            <wp:docPr id="61622654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226548" name="صورة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1518285" cy="664210"/>
                    </a:xfrm>
                    <a:prstGeom prst="rect">
                      <a:avLst/>
                    </a:prstGeom>
                    <a:noFill/>
                  </pic:spPr>
                </pic:pic>
              </a:graphicData>
            </a:graphic>
          </wp:anchor>
        </w:drawing>
      </w:r>
    </w:p>
    <w:p w14:paraId="409EFCC9" w14:textId="77777777" w:rsidR="004F600B" w:rsidRDefault="004F600B">
      <w:pPr>
        <w:bidi/>
        <w:spacing w:line="360" w:lineRule="auto"/>
        <w:ind w:left="534" w:hanging="340"/>
        <w:jc w:val="center"/>
        <w:rPr>
          <w:rFonts w:ascii="Arial" w:hAnsi="Arial" w:cs="Arial"/>
          <w:sz w:val="20"/>
          <w:szCs w:val="20"/>
        </w:rPr>
      </w:pPr>
    </w:p>
    <w:p w14:paraId="2E5471C1" w14:textId="77777777" w:rsidR="004F600B" w:rsidRDefault="004F600B">
      <w:pPr>
        <w:spacing w:line="360" w:lineRule="auto"/>
        <w:ind w:left="534" w:hanging="340"/>
        <w:jc w:val="center"/>
        <w:rPr>
          <w:rFonts w:asciiTheme="majorBidi" w:hAnsiTheme="majorBidi" w:cstheme="majorBidi"/>
          <w:sz w:val="20"/>
          <w:szCs w:val="20"/>
        </w:rPr>
      </w:pPr>
    </w:p>
    <w:p w14:paraId="789CBE92" w14:textId="77777777" w:rsidR="004F600B" w:rsidRDefault="004F600B">
      <w:pPr>
        <w:spacing w:line="360" w:lineRule="auto"/>
        <w:ind w:left="534" w:hanging="340"/>
        <w:jc w:val="center"/>
        <w:rPr>
          <w:rFonts w:asciiTheme="majorBidi" w:hAnsiTheme="majorBidi" w:cstheme="majorBidi"/>
          <w:sz w:val="20"/>
          <w:szCs w:val="20"/>
        </w:rPr>
      </w:pPr>
    </w:p>
    <w:p w14:paraId="3047CF7E" w14:textId="77777777" w:rsidR="004F600B" w:rsidRDefault="00195FBA">
      <w:pPr>
        <w:spacing w:before="100" w:beforeAutospacing="1" w:after="100" w:afterAutospacing="1" w:line="360" w:lineRule="auto"/>
        <w:ind w:left="534" w:hanging="340"/>
        <w:jc w:val="center"/>
        <w:rPr>
          <w:rFonts w:asciiTheme="majorBidi" w:hAnsiTheme="majorBidi" w:cstheme="majorBidi"/>
          <w:b/>
          <w:bCs/>
          <w:sz w:val="28"/>
          <w:szCs w:val="28"/>
        </w:rPr>
      </w:pPr>
      <w:r>
        <w:rPr>
          <w:rFonts w:asciiTheme="majorBidi" w:hAnsiTheme="majorBidi" w:cstheme="majorBidi"/>
          <w:b/>
          <w:bCs/>
          <w:sz w:val="28"/>
          <w:szCs w:val="28"/>
        </w:rPr>
        <w:t>Midocean University</w:t>
      </w:r>
    </w:p>
    <w:p w14:paraId="4DEFD031" w14:textId="77777777" w:rsidR="004F600B" w:rsidRDefault="00195FBA">
      <w:pPr>
        <w:spacing w:before="100" w:beforeAutospacing="1" w:after="100" w:afterAutospacing="1" w:line="360" w:lineRule="auto"/>
        <w:ind w:left="534" w:hanging="340"/>
        <w:jc w:val="center"/>
        <w:rPr>
          <w:rFonts w:asciiTheme="majorBidi" w:hAnsiTheme="majorBidi" w:cstheme="majorBidi"/>
          <w:b/>
          <w:bCs/>
          <w:sz w:val="24"/>
          <w:szCs w:val="24"/>
        </w:rPr>
      </w:pPr>
      <w:r>
        <w:rPr>
          <w:rFonts w:asciiTheme="majorBidi" w:hAnsiTheme="majorBidi" w:cstheme="majorBidi"/>
          <w:b/>
          <w:bCs/>
          <w:sz w:val="24"/>
          <w:szCs w:val="24"/>
        </w:rPr>
        <w:t>College of Management</w:t>
      </w:r>
    </w:p>
    <w:p w14:paraId="0412C338" w14:textId="77777777" w:rsidR="004F600B" w:rsidRDefault="004F600B">
      <w:pPr>
        <w:spacing w:before="100" w:beforeAutospacing="1" w:after="100" w:afterAutospacing="1" w:line="360" w:lineRule="auto"/>
        <w:rPr>
          <w:rFonts w:asciiTheme="majorBidi" w:hAnsiTheme="majorBidi" w:cstheme="majorBidi"/>
          <w:sz w:val="20"/>
          <w:szCs w:val="20"/>
        </w:rPr>
      </w:pPr>
    </w:p>
    <w:p w14:paraId="5ED7DF88" w14:textId="77777777" w:rsidR="004F600B" w:rsidRDefault="00195FBA">
      <w:pPr>
        <w:pStyle w:val="a7"/>
        <w:spacing w:line="360" w:lineRule="auto"/>
        <w:ind w:right="-270"/>
        <w:jc w:val="center"/>
        <w:rPr>
          <w:rFonts w:asciiTheme="majorBidi" w:hAnsiTheme="majorBidi" w:cstheme="majorBidi"/>
          <w:b/>
          <w:bCs/>
          <w:color w:val="000000" w:themeColor="text1"/>
          <w:sz w:val="28"/>
          <w:szCs w:val="28"/>
        </w:rPr>
      </w:pPr>
      <w:r>
        <w:rPr>
          <w:rFonts w:asciiTheme="majorBidi" w:hAnsiTheme="majorBidi" w:cstheme="majorBidi"/>
          <w:b/>
          <w:bCs/>
          <w:color w:val="000000" w:themeColor="text1"/>
          <w:sz w:val="36"/>
          <w:szCs w:val="36"/>
        </w:rPr>
        <w:t>The Impact of Institutional Excellence on Quality of Patient Experience</w:t>
      </w:r>
    </w:p>
    <w:p w14:paraId="1AA75A59" w14:textId="77777777" w:rsidR="004F600B" w:rsidRDefault="00195FBA">
      <w:pPr>
        <w:pStyle w:val="a7"/>
        <w:spacing w:line="360" w:lineRule="auto"/>
        <w:ind w:right="-270"/>
        <w:jc w:val="center"/>
        <w:rPr>
          <w:rFonts w:asciiTheme="majorBidi" w:hAnsiTheme="majorBidi" w:cstheme="majorBidi"/>
          <w:b/>
          <w:bCs/>
          <w:color w:val="000000" w:themeColor="text1"/>
          <w:sz w:val="28"/>
          <w:szCs w:val="28"/>
        </w:rPr>
      </w:pPr>
      <w:r>
        <w:rPr>
          <w:rFonts w:asciiTheme="majorBidi" w:hAnsiTheme="majorBidi" w:cstheme="majorBidi"/>
          <w:b/>
          <w:bCs/>
          <w:color w:val="000000" w:themeColor="text1"/>
          <w:sz w:val="28"/>
          <w:szCs w:val="28"/>
        </w:rPr>
        <w:t xml:space="preserve"> Descriptive analytical study at Qassim Health Cluster, Saudi Arabia</w:t>
      </w:r>
    </w:p>
    <w:p w14:paraId="2141B810" w14:textId="77777777" w:rsidR="004F600B" w:rsidRDefault="00195FBA">
      <w:pPr>
        <w:spacing w:before="100" w:beforeAutospacing="1" w:after="100" w:afterAutospacing="1" w:line="360" w:lineRule="auto"/>
        <w:jc w:val="center"/>
        <w:rPr>
          <w:rFonts w:asciiTheme="majorBidi" w:hAnsiTheme="majorBidi" w:cstheme="majorBidi"/>
          <w:b/>
          <w:bCs/>
          <w:color w:val="000000" w:themeColor="text1"/>
          <w:sz w:val="28"/>
          <w:szCs w:val="28"/>
        </w:rPr>
      </w:pPr>
      <w:r>
        <w:rPr>
          <w:rFonts w:asciiTheme="majorBidi" w:hAnsiTheme="majorBidi" w:cstheme="majorBidi"/>
          <w:b/>
          <w:bCs/>
          <w:color w:val="000000" w:themeColor="text1"/>
          <w:sz w:val="28"/>
          <w:szCs w:val="28"/>
        </w:rPr>
        <w:t>By</w:t>
      </w:r>
    </w:p>
    <w:p w14:paraId="713F0C56" w14:textId="77777777" w:rsidR="004F600B" w:rsidRDefault="00195FBA">
      <w:pPr>
        <w:spacing w:before="100" w:beforeAutospacing="1" w:after="100" w:afterAutospacing="1" w:line="360" w:lineRule="auto"/>
        <w:jc w:val="center"/>
        <w:rPr>
          <w:rFonts w:asciiTheme="majorBidi" w:hAnsiTheme="majorBidi" w:cstheme="majorBidi"/>
          <w:b/>
          <w:bCs/>
          <w:color w:val="000000" w:themeColor="text1"/>
          <w:sz w:val="24"/>
          <w:szCs w:val="24"/>
        </w:rPr>
      </w:pPr>
      <w:r>
        <w:rPr>
          <w:rFonts w:asciiTheme="majorBidi" w:hAnsiTheme="majorBidi" w:cstheme="majorBidi"/>
          <w:b/>
          <w:bCs/>
          <w:color w:val="000000" w:themeColor="text1"/>
          <w:sz w:val="28"/>
          <w:szCs w:val="28"/>
        </w:rPr>
        <w:t>Ayed Awadh Alreshidi</w:t>
      </w:r>
    </w:p>
    <w:p w14:paraId="1AC926DF" w14:textId="77777777" w:rsidR="004F600B" w:rsidRDefault="00195FBA">
      <w:pPr>
        <w:spacing w:before="100" w:beforeAutospacing="1" w:after="100" w:afterAutospacing="1" w:line="360" w:lineRule="auto"/>
        <w:jc w:val="center"/>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Pr>
        <w:t>Kingdom of Saudi Arabia</w:t>
      </w:r>
    </w:p>
    <w:p w14:paraId="31E4F495" w14:textId="77777777" w:rsidR="004F600B" w:rsidRDefault="004F600B">
      <w:pPr>
        <w:spacing w:before="100" w:beforeAutospacing="1" w:after="100" w:afterAutospacing="1" w:line="360" w:lineRule="auto"/>
        <w:jc w:val="center"/>
        <w:rPr>
          <w:rFonts w:ascii="Calibri" w:hAnsi="Calibri" w:cs="Calibri"/>
          <w:b/>
          <w:bCs/>
          <w:color w:val="FF0000"/>
          <w:sz w:val="28"/>
          <w:szCs w:val="28"/>
        </w:rPr>
      </w:pPr>
    </w:p>
    <w:p w14:paraId="3787BB1E" w14:textId="77777777" w:rsidR="004F600B" w:rsidRDefault="00195FBA">
      <w:pPr>
        <w:spacing w:before="100" w:beforeAutospacing="1" w:after="100" w:afterAutospacing="1" w:line="360" w:lineRule="auto"/>
        <w:jc w:val="center"/>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Pr>
        <w:t>Submitted to Midocean University in partial fulfillment of the requirements for the degree of doctor</w:t>
      </w:r>
    </w:p>
    <w:p w14:paraId="6D223035" w14:textId="77777777" w:rsidR="004F600B" w:rsidRDefault="00195FBA">
      <w:pPr>
        <w:spacing w:before="100" w:beforeAutospacing="1" w:after="100" w:afterAutospacing="1" w:line="360" w:lineRule="auto"/>
        <w:jc w:val="center"/>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Pr>
        <w:t>In</w:t>
      </w:r>
    </w:p>
    <w:p w14:paraId="53A057F0" w14:textId="77777777" w:rsidR="004F600B" w:rsidRDefault="00195FBA">
      <w:pPr>
        <w:spacing w:before="100" w:beforeAutospacing="1" w:after="100" w:afterAutospacing="1" w:line="360" w:lineRule="auto"/>
        <w:jc w:val="center"/>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Pr>
        <w:t>Management</w:t>
      </w:r>
    </w:p>
    <w:p w14:paraId="495A879A" w14:textId="77777777" w:rsidR="004F600B" w:rsidRDefault="004F600B">
      <w:pPr>
        <w:spacing w:before="100" w:beforeAutospacing="1" w:after="100" w:afterAutospacing="1" w:line="360" w:lineRule="auto"/>
        <w:jc w:val="center"/>
        <w:rPr>
          <w:rFonts w:ascii="Calibri" w:hAnsi="Calibri" w:cs="Calibri"/>
          <w:b/>
          <w:bCs/>
          <w:color w:val="FF0000"/>
          <w:sz w:val="28"/>
          <w:szCs w:val="28"/>
        </w:rPr>
      </w:pPr>
    </w:p>
    <w:p w14:paraId="3110EAA0" w14:textId="77777777" w:rsidR="004F600B" w:rsidRDefault="00195FBA">
      <w:pPr>
        <w:spacing w:before="100" w:beforeAutospacing="1" w:after="100" w:afterAutospacing="1" w:line="360" w:lineRule="auto"/>
        <w:jc w:val="center"/>
        <w:rPr>
          <w:rFonts w:asciiTheme="majorBidi" w:hAnsiTheme="majorBidi" w:cstheme="majorBidi"/>
          <w:color w:val="000000" w:themeColor="text1"/>
          <w:sz w:val="16"/>
          <w:szCs w:val="16"/>
          <w:rtl/>
        </w:rPr>
      </w:pPr>
      <w:r>
        <w:rPr>
          <w:rFonts w:asciiTheme="majorBidi" w:hAnsiTheme="majorBidi" w:cstheme="majorBidi"/>
          <w:color w:val="000000" w:themeColor="text1"/>
          <w:sz w:val="16"/>
          <w:szCs w:val="16"/>
        </w:rPr>
        <w:t>----------</w:t>
      </w:r>
    </w:p>
    <w:p w14:paraId="7105C122" w14:textId="77777777" w:rsidR="004F600B" w:rsidRDefault="004F600B">
      <w:pPr>
        <w:spacing w:before="100" w:beforeAutospacing="1" w:after="100" w:afterAutospacing="1" w:line="360" w:lineRule="auto"/>
        <w:jc w:val="center"/>
        <w:rPr>
          <w:rFonts w:asciiTheme="majorBidi" w:hAnsiTheme="majorBidi" w:cstheme="majorBidi"/>
          <w:color w:val="000000" w:themeColor="text1"/>
          <w:sz w:val="16"/>
          <w:szCs w:val="16"/>
          <w:rtl/>
        </w:rPr>
      </w:pPr>
    </w:p>
    <w:p w14:paraId="04CF1A5C" w14:textId="77777777" w:rsidR="004F600B" w:rsidRDefault="00195FBA">
      <w:pPr>
        <w:spacing w:before="100" w:beforeAutospacing="1" w:after="100" w:afterAutospacing="1" w:line="360" w:lineRule="auto"/>
        <w:jc w:val="center"/>
        <w:rPr>
          <w:rFonts w:ascii="Traditional Arabic" w:hAnsi="Traditional Arabic" w:cs="Traditional Arabic"/>
          <w:b/>
          <w:bCs/>
          <w:color w:val="000000" w:themeColor="text1"/>
          <w:sz w:val="32"/>
          <w:szCs w:val="32"/>
        </w:rPr>
      </w:pPr>
      <w:r>
        <w:rPr>
          <w:rFonts w:ascii="Traditional Arabic" w:hAnsi="Traditional Arabic" w:cs="Traditional Arabic" w:hint="cs"/>
          <w:b/>
          <w:bCs/>
          <w:color w:val="000000" w:themeColor="text1"/>
          <w:sz w:val="32"/>
          <w:szCs w:val="32"/>
          <w:rtl/>
        </w:rPr>
        <w:lastRenderedPageBreak/>
        <w:t>قائمة المحتويات</w:t>
      </w:r>
    </w:p>
    <w:tbl>
      <w:tblPr>
        <w:tblStyle w:val="aa"/>
        <w:bidiVisual/>
        <w:tblW w:w="8360" w:type="dxa"/>
        <w:tblInd w:w="162" w:type="dxa"/>
        <w:tblLook w:val="04A0" w:firstRow="1" w:lastRow="0" w:firstColumn="1" w:lastColumn="0" w:noHBand="0" w:noVBand="1"/>
      </w:tblPr>
      <w:tblGrid>
        <w:gridCol w:w="6947"/>
        <w:gridCol w:w="1413"/>
      </w:tblGrid>
      <w:tr w:rsidR="004F600B" w14:paraId="6EE47DC4" w14:textId="77777777">
        <w:trPr>
          <w:trHeight w:val="369"/>
        </w:trPr>
        <w:tc>
          <w:tcPr>
            <w:tcW w:w="6947" w:type="dxa"/>
          </w:tcPr>
          <w:p w14:paraId="1832E935" w14:textId="77777777" w:rsidR="004F600B" w:rsidRDefault="00195FBA">
            <w:pPr>
              <w:bidi/>
              <w:spacing w:before="100" w:beforeAutospacing="1" w:after="100" w:afterAutospacing="1" w:line="360" w:lineRule="auto"/>
              <w:jc w:val="center"/>
              <w:rPr>
                <w:rFonts w:ascii="Traditional Arabic" w:hAnsi="Traditional Arabic" w:cs="Traditional Arabic"/>
                <w:b/>
                <w:bCs/>
                <w:color w:val="000000" w:themeColor="text1"/>
                <w:sz w:val="32"/>
                <w:szCs w:val="32"/>
                <w:rtl/>
              </w:rPr>
            </w:pPr>
            <w:r>
              <w:rPr>
                <w:rFonts w:ascii="Traditional Arabic" w:hAnsi="Traditional Arabic" w:cs="Traditional Arabic" w:hint="cs"/>
                <w:b/>
                <w:bCs/>
                <w:color w:val="000000" w:themeColor="text1"/>
                <w:sz w:val="32"/>
                <w:szCs w:val="32"/>
                <w:rtl/>
              </w:rPr>
              <w:t>فصول الدراسة</w:t>
            </w:r>
          </w:p>
        </w:tc>
        <w:tc>
          <w:tcPr>
            <w:tcW w:w="1413" w:type="dxa"/>
          </w:tcPr>
          <w:p w14:paraId="7429490D" w14:textId="77777777" w:rsidR="004F600B" w:rsidRDefault="00195FBA">
            <w:pPr>
              <w:bidi/>
              <w:spacing w:before="100" w:beforeAutospacing="1" w:after="100" w:afterAutospacing="1" w:line="360" w:lineRule="auto"/>
              <w:jc w:val="center"/>
              <w:rPr>
                <w:rFonts w:ascii="Traditional Arabic" w:hAnsi="Traditional Arabic" w:cs="Traditional Arabic"/>
                <w:b/>
                <w:bCs/>
                <w:color w:val="000000" w:themeColor="text1"/>
                <w:sz w:val="32"/>
                <w:szCs w:val="32"/>
                <w:rtl/>
              </w:rPr>
            </w:pPr>
            <w:r>
              <w:rPr>
                <w:rFonts w:ascii="Traditional Arabic" w:hAnsi="Traditional Arabic" w:cs="Traditional Arabic" w:hint="cs"/>
                <w:b/>
                <w:bCs/>
                <w:color w:val="000000" w:themeColor="text1"/>
                <w:sz w:val="32"/>
                <w:szCs w:val="32"/>
                <w:rtl/>
              </w:rPr>
              <w:t>الصفحة</w:t>
            </w:r>
          </w:p>
        </w:tc>
      </w:tr>
      <w:tr w:rsidR="004F600B" w14:paraId="623574CE" w14:textId="77777777">
        <w:tc>
          <w:tcPr>
            <w:tcW w:w="6947" w:type="dxa"/>
          </w:tcPr>
          <w:p w14:paraId="4EB9C6C2" w14:textId="1B3E5424" w:rsidR="004F600B" w:rsidRDefault="00F97D54" w:rsidP="00F97D54">
            <w:pPr>
              <w:bidi/>
              <w:spacing w:before="100" w:beforeAutospacing="1" w:after="100" w:afterAutospacing="1" w:line="360" w:lineRule="auto"/>
              <w:rPr>
                <w:rFonts w:ascii="Traditional Arabic" w:hAnsi="Traditional Arabic" w:cs="Traditional Arabic"/>
                <w:b/>
                <w:bCs/>
                <w:color w:val="000000" w:themeColor="text1"/>
                <w:sz w:val="28"/>
                <w:szCs w:val="28"/>
                <w:rtl/>
              </w:rPr>
            </w:pPr>
            <w:r w:rsidRPr="00F97D54">
              <w:rPr>
                <w:rFonts w:ascii="Traditional Arabic" w:hAnsi="Traditional Arabic" w:cs="Traditional Arabic"/>
                <w:b/>
                <w:bCs/>
                <w:color w:val="000000" w:themeColor="text1"/>
                <w:sz w:val="28"/>
                <w:szCs w:val="28"/>
                <w:rtl/>
              </w:rPr>
              <w:t>الفصل الثاني: الإطار النظري للدراسة</w:t>
            </w:r>
            <w:r>
              <w:rPr>
                <w:rFonts w:ascii="Traditional Arabic" w:hAnsi="Traditional Arabic" w:cs="Traditional Arabic" w:hint="cs"/>
                <w:b/>
                <w:bCs/>
                <w:color w:val="000000" w:themeColor="text1"/>
                <w:sz w:val="28"/>
                <w:szCs w:val="28"/>
                <w:rtl/>
              </w:rPr>
              <w:t xml:space="preserve"> </w:t>
            </w:r>
            <w:r w:rsidRPr="00F97D54">
              <w:rPr>
                <w:rFonts w:ascii="Traditional Arabic" w:hAnsi="Traditional Arabic" w:cs="Traditional Arabic"/>
                <w:b/>
                <w:bCs/>
                <w:color w:val="000000" w:themeColor="text1"/>
                <w:sz w:val="28"/>
                <w:szCs w:val="28"/>
                <w:rtl/>
              </w:rPr>
              <w:t>(مراجعة الأدبيات ذات العلاقة)</w:t>
            </w:r>
          </w:p>
        </w:tc>
        <w:tc>
          <w:tcPr>
            <w:tcW w:w="1413" w:type="dxa"/>
          </w:tcPr>
          <w:p w14:paraId="480AD25F" w14:textId="77777777" w:rsidR="004F600B" w:rsidRDefault="004F600B">
            <w:pPr>
              <w:bidi/>
              <w:spacing w:before="100" w:beforeAutospacing="1" w:after="100" w:afterAutospacing="1" w:line="360" w:lineRule="auto"/>
              <w:jc w:val="center"/>
              <w:rPr>
                <w:rFonts w:ascii="Traditional Arabic" w:hAnsi="Traditional Arabic" w:cs="Traditional Arabic"/>
                <w:b/>
                <w:bCs/>
                <w:color w:val="000000" w:themeColor="text1"/>
                <w:sz w:val="28"/>
                <w:szCs w:val="28"/>
                <w:rtl/>
              </w:rPr>
            </w:pPr>
          </w:p>
        </w:tc>
      </w:tr>
      <w:tr w:rsidR="004F600B" w14:paraId="1B0DF4B7" w14:textId="77777777">
        <w:tc>
          <w:tcPr>
            <w:tcW w:w="6947" w:type="dxa"/>
          </w:tcPr>
          <w:p w14:paraId="37CEEB10" w14:textId="785D4543" w:rsidR="004F600B" w:rsidRDefault="00D02A7D">
            <w:pPr>
              <w:pStyle w:val="ab"/>
              <w:numPr>
                <w:ilvl w:val="0"/>
                <w:numId w:val="1"/>
              </w:numPr>
              <w:bidi/>
              <w:spacing w:before="100" w:beforeAutospacing="1" w:after="100" w:afterAutospacing="1" w:line="360" w:lineRule="auto"/>
              <w:rPr>
                <w:rFonts w:ascii="Traditional Arabic" w:hAnsi="Traditional Arabic" w:cs="Traditional Arabic"/>
                <w:b/>
                <w:bCs/>
                <w:color w:val="000000" w:themeColor="text1"/>
                <w:sz w:val="24"/>
                <w:szCs w:val="24"/>
                <w:rtl/>
              </w:rPr>
            </w:pPr>
            <w:r w:rsidRPr="00D02A7D">
              <w:rPr>
                <w:rFonts w:ascii="Traditional Arabic" w:hAnsi="Traditional Arabic" w:cs="Traditional Arabic"/>
                <w:b/>
                <w:bCs/>
                <w:color w:val="000000" w:themeColor="text1"/>
                <w:sz w:val="24"/>
                <w:szCs w:val="24"/>
                <w:rtl/>
              </w:rPr>
              <w:t>الإطار النظري</w:t>
            </w:r>
          </w:p>
        </w:tc>
        <w:tc>
          <w:tcPr>
            <w:tcW w:w="1413" w:type="dxa"/>
          </w:tcPr>
          <w:p w14:paraId="181C91B1" w14:textId="0D61C548" w:rsidR="004F600B" w:rsidRDefault="004F600B">
            <w:pPr>
              <w:bidi/>
              <w:spacing w:before="100" w:beforeAutospacing="1" w:after="100" w:afterAutospacing="1" w:line="360" w:lineRule="auto"/>
              <w:jc w:val="center"/>
              <w:rPr>
                <w:rFonts w:ascii="Traditional Arabic" w:hAnsi="Traditional Arabic" w:cs="Traditional Arabic" w:hint="cs"/>
                <w:b/>
                <w:bCs/>
                <w:color w:val="000000" w:themeColor="text1"/>
                <w:sz w:val="24"/>
                <w:szCs w:val="24"/>
                <w:rtl/>
              </w:rPr>
            </w:pPr>
          </w:p>
        </w:tc>
      </w:tr>
      <w:tr w:rsidR="004F600B" w14:paraId="29357B34" w14:textId="77777777">
        <w:tc>
          <w:tcPr>
            <w:tcW w:w="6947" w:type="dxa"/>
          </w:tcPr>
          <w:p w14:paraId="0171D9EA" w14:textId="638B2B18" w:rsidR="004F600B" w:rsidRDefault="00D02A7D">
            <w:pPr>
              <w:pStyle w:val="ab"/>
              <w:numPr>
                <w:ilvl w:val="0"/>
                <w:numId w:val="1"/>
              </w:numPr>
              <w:bidi/>
              <w:spacing w:before="100" w:beforeAutospacing="1" w:after="100" w:afterAutospacing="1" w:line="360" w:lineRule="auto"/>
              <w:rPr>
                <w:rFonts w:ascii="Traditional Arabic" w:hAnsi="Traditional Arabic" w:cs="Traditional Arabic"/>
                <w:b/>
                <w:bCs/>
                <w:color w:val="000000" w:themeColor="text1"/>
                <w:sz w:val="24"/>
                <w:szCs w:val="24"/>
                <w:rtl/>
              </w:rPr>
            </w:pPr>
            <w:r>
              <w:rPr>
                <w:rFonts w:ascii="Traditional Arabic" w:hAnsi="Traditional Arabic" w:cs="Traditional Arabic" w:hint="cs"/>
                <w:b/>
                <w:bCs/>
                <w:color w:val="000000" w:themeColor="text1"/>
                <w:sz w:val="24"/>
                <w:szCs w:val="24"/>
                <w:rtl/>
              </w:rPr>
              <w:t>الدراسات السابقة</w:t>
            </w:r>
          </w:p>
        </w:tc>
        <w:tc>
          <w:tcPr>
            <w:tcW w:w="1413" w:type="dxa"/>
          </w:tcPr>
          <w:p w14:paraId="07C199C9" w14:textId="77777777" w:rsidR="004F600B" w:rsidRDefault="004F600B">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p>
        </w:tc>
      </w:tr>
    </w:tbl>
    <w:p w14:paraId="254A1940" w14:textId="77777777" w:rsidR="004F600B" w:rsidRDefault="004F600B">
      <w:pPr>
        <w:bidi/>
        <w:spacing w:before="100" w:beforeAutospacing="1" w:after="100" w:afterAutospacing="1" w:line="360" w:lineRule="auto"/>
        <w:rPr>
          <w:rFonts w:ascii="Sakkal Majalla" w:hAnsi="Sakkal Majalla" w:cs="Sakkal Majalla"/>
          <w:b/>
          <w:bCs/>
          <w:color w:val="00B0F0"/>
          <w:sz w:val="32"/>
          <w:szCs w:val="32"/>
          <w:u w:val="single"/>
          <w:rtl/>
        </w:rPr>
      </w:pPr>
    </w:p>
    <w:p w14:paraId="26B78557" w14:textId="77777777" w:rsidR="004F600B" w:rsidRDefault="004F600B">
      <w:pPr>
        <w:bidi/>
        <w:spacing w:before="100" w:beforeAutospacing="1" w:after="100" w:afterAutospacing="1" w:line="360" w:lineRule="auto"/>
        <w:rPr>
          <w:rFonts w:ascii="Sakkal Majalla" w:hAnsi="Sakkal Majalla" w:cs="Sakkal Majalla"/>
          <w:b/>
          <w:bCs/>
          <w:color w:val="00B0F0"/>
          <w:sz w:val="32"/>
          <w:szCs w:val="32"/>
          <w:u w:val="single"/>
          <w:rtl/>
        </w:rPr>
      </w:pPr>
    </w:p>
    <w:p w14:paraId="69833351" w14:textId="77777777" w:rsidR="004F600B" w:rsidRDefault="004F600B">
      <w:pPr>
        <w:bidi/>
        <w:spacing w:after="200" w:line="276" w:lineRule="auto"/>
        <w:rPr>
          <w:rFonts w:ascii="Sakkal Majalla" w:hAnsi="Sakkal Majalla" w:cs="Sakkal Majalla"/>
          <w:b/>
          <w:bCs/>
          <w:color w:val="00B0F0"/>
          <w:sz w:val="32"/>
          <w:szCs w:val="32"/>
          <w:u w:val="single"/>
          <w:rtl/>
        </w:rPr>
      </w:pPr>
    </w:p>
    <w:p w14:paraId="312A5A44" w14:textId="77777777" w:rsidR="00D02A7D" w:rsidRDefault="00D02A7D" w:rsidP="00947153">
      <w:pPr>
        <w:bidi/>
        <w:spacing w:after="200" w:line="276" w:lineRule="auto"/>
        <w:rPr>
          <w:rFonts w:ascii="Sakkal Majalla" w:hAnsi="Sakkal Majalla" w:cs="Sakkal Majalla"/>
          <w:b/>
          <w:bCs/>
          <w:color w:val="00B0F0"/>
          <w:sz w:val="32"/>
          <w:szCs w:val="32"/>
          <w:u w:val="single"/>
          <w:rtl/>
        </w:rPr>
      </w:pPr>
    </w:p>
    <w:p w14:paraId="60FA05D3" w14:textId="77777777" w:rsidR="00D02A7D" w:rsidRDefault="00D02A7D" w:rsidP="00D02A7D">
      <w:pPr>
        <w:bidi/>
        <w:spacing w:after="200" w:line="276" w:lineRule="auto"/>
        <w:rPr>
          <w:rFonts w:ascii="Sakkal Majalla" w:hAnsi="Sakkal Majalla" w:cs="Sakkal Majalla"/>
          <w:b/>
          <w:bCs/>
          <w:color w:val="00B0F0"/>
          <w:sz w:val="32"/>
          <w:szCs w:val="32"/>
          <w:u w:val="single"/>
          <w:rtl/>
        </w:rPr>
      </w:pPr>
    </w:p>
    <w:p w14:paraId="0AE7E380" w14:textId="77777777" w:rsidR="00D02A7D" w:rsidRDefault="00D02A7D" w:rsidP="00D02A7D">
      <w:pPr>
        <w:bidi/>
        <w:spacing w:after="200" w:line="276" w:lineRule="auto"/>
        <w:rPr>
          <w:rFonts w:ascii="Sakkal Majalla" w:hAnsi="Sakkal Majalla" w:cs="Sakkal Majalla"/>
          <w:b/>
          <w:bCs/>
          <w:color w:val="00B0F0"/>
          <w:sz w:val="32"/>
          <w:szCs w:val="32"/>
          <w:u w:val="single"/>
          <w:rtl/>
        </w:rPr>
      </w:pPr>
    </w:p>
    <w:p w14:paraId="4E73DBE9" w14:textId="77777777" w:rsidR="00D02A7D" w:rsidRDefault="00D02A7D" w:rsidP="00D02A7D">
      <w:pPr>
        <w:bidi/>
        <w:spacing w:after="200" w:line="276" w:lineRule="auto"/>
        <w:rPr>
          <w:rFonts w:ascii="Sakkal Majalla" w:hAnsi="Sakkal Majalla" w:cs="Sakkal Majalla"/>
          <w:b/>
          <w:bCs/>
          <w:color w:val="00B0F0"/>
          <w:sz w:val="32"/>
          <w:szCs w:val="32"/>
          <w:u w:val="single"/>
          <w:rtl/>
        </w:rPr>
      </w:pPr>
    </w:p>
    <w:p w14:paraId="17DE9D3E" w14:textId="77777777" w:rsidR="00D02A7D" w:rsidRDefault="00D02A7D" w:rsidP="00D02A7D">
      <w:pPr>
        <w:bidi/>
        <w:spacing w:after="200" w:line="276" w:lineRule="auto"/>
        <w:rPr>
          <w:rFonts w:ascii="Sakkal Majalla" w:hAnsi="Sakkal Majalla" w:cs="Sakkal Majalla"/>
          <w:b/>
          <w:bCs/>
          <w:color w:val="00B0F0"/>
          <w:sz w:val="32"/>
          <w:szCs w:val="32"/>
          <w:u w:val="single"/>
          <w:rtl/>
        </w:rPr>
      </w:pPr>
    </w:p>
    <w:p w14:paraId="6FBE24B0" w14:textId="77777777" w:rsidR="00D02A7D" w:rsidRDefault="00D02A7D" w:rsidP="00D02A7D">
      <w:pPr>
        <w:bidi/>
        <w:spacing w:after="200" w:line="276" w:lineRule="auto"/>
        <w:rPr>
          <w:rFonts w:ascii="Sakkal Majalla" w:hAnsi="Sakkal Majalla" w:cs="Sakkal Majalla"/>
          <w:b/>
          <w:bCs/>
          <w:color w:val="00B0F0"/>
          <w:sz w:val="32"/>
          <w:szCs w:val="32"/>
          <w:u w:val="single"/>
          <w:rtl/>
        </w:rPr>
      </w:pPr>
    </w:p>
    <w:p w14:paraId="4778F21A" w14:textId="77777777" w:rsidR="00D02A7D" w:rsidRDefault="00D02A7D" w:rsidP="00D02A7D">
      <w:pPr>
        <w:bidi/>
        <w:spacing w:after="200" w:line="276" w:lineRule="auto"/>
        <w:rPr>
          <w:rFonts w:ascii="Sakkal Majalla" w:hAnsi="Sakkal Majalla" w:cs="Sakkal Majalla"/>
          <w:b/>
          <w:bCs/>
          <w:color w:val="00B0F0"/>
          <w:sz w:val="32"/>
          <w:szCs w:val="32"/>
          <w:u w:val="single"/>
          <w:rtl/>
        </w:rPr>
      </w:pPr>
    </w:p>
    <w:p w14:paraId="66128591" w14:textId="77777777" w:rsidR="00D02A7D" w:rsidRDefault="00D02A7D" w:rsidP="00D02A7D">
      <w:pPr>
        <w:bidi/>
        <w:spacing w:after="200" w:line="276" w:lineRule="auto"/>
        <w:rPr>
          <w:rFonts w:ascii="Sakkal Majalla" w:hAnsi="Sakkal Majalla" w:cs="Sakkal Majalla"/>
          <w:b/>
          <w:bCs/>
          <w:color w:val="00B0F0"/>
          <w:sz w:val="32"/>
          <w:szCs w:val="32"/>
          <w:u w:val="single"/>
          <w:rtl/>
        </w:rPr>
      </w:pPr>
    </w:p>
    <w:p w14:paraId="24BA06BF" w14:textId="77777777" w:rsidR="00D02A7D" w:rsidRDefault="00D02A7D" w:rsidP="00D02A7D">
      <w:pPr>
        <w:bidi/>
        <w:spacing w:after="200" w:line="276" w:lineRule="auto"/>
        <w:rPr>
          <w:rFonts w:ascii="Sakkal Majalla" w:hAnsi="Sakkal Majalla" w:cs="Sakkal Majalla"/>
          <w:b/>
          <w:bCs/>
          <w:color w:val="00B0F0"/>
          <w:sz w:val="32"/>
          <w:szCs w:val="32"/>
          <w:u w:val="single"/>
          <w:rtl/>
        </w:rPr>
      </w:pPr>
    </w:p>
    <w:p w14:paraId="46403D43" w14:textId="77777777" w:rsidR="00D02A7D" w:rsidRDefault="00D02A7D" w:rsidP="00D02A7D">
      <w:pPr>
        <w:bidi/>
        <w:spacing w:after="200" w:line="276" w:lineRule="auto"/>
        <w:rPr>
          <w:rFonts w:ascii="Sakkal Majalla" w:hAnsi="Sakkal Majalla" w:cs="Sakkal Majalla"/>
          <w:b/>
          <w:bCs/>
          <w:color w:val="00B0F0"/>
          <w:sz w:val="32"/>
          <w:szCs w:val="32"/>
          <w:u w:val="single"/>
          <w:rtl/>
        </w:rPr>
      </w:pPr>
    </w:p>
    <w:p w14:paraId="70033766" w14:textId="72BEA340" w:rsidR="00D02A7D" w:rsidRPr="001416DA" w:rsidRDefault="004D75FB" w:rsidP="00362D29">
      <w:pPr>
        <w:bidi/>
        <w:spacing w:after="200" w:line="360" w:lineRule="auto"/>
        <w:rPr>
          <w:rFonts w:ascii="Traditional Arabic" w:hAnsi="Traditional Arabic" w:cs="Traditional Arabic"/>
          <w:b/>
          <w:bCs/>
          <w:color w:val="000000" w:themeColor="text1"/>
          <w:sz w:val="32"/>
          <w:szCs w:val="32"/>
          <w:u w:val="single"/>
          <w:rtl/>
        </w:rPr>
      </w:pPr>
      <w:r w:rsidRPr="001416DA">
        <w:rPr>
          <w:rFonts w:ascii="Traditional Arabic" w:hAnsi="Traditional Arabic" w:cs="Traditional Arabic"/>
          <w:b/>
          <w:bCs/>
          <w:color w:val="000000" w:themeColor="text1"/>
          <w:sz w:val="32"/>
          <w:szCs w:val="32"/>
          <w:u w:val="single"/>
          <w:rtl/>
        </w:rPr>
        <w:lastRenderedPageBreak/>
        <w:t>الفصل الثاني :</w:t>
      </w:r>
      <w:r w:rsidR="00E06221" w:rsidRPr="001416DA">
        <w:rPr>
          <w:rFonts w:ascii="Traditional Arabic" w:hAnsi="Traditional Arabic" w:cs="Traditional Arabic"/>
          <w:b/>
          <w:bCs/>
          <w:color w:val="000000" w:themeColor="text1"/>
          <w:sz w:val="32"/>
          <w:szCs w:val="32"/>
          <w:u w:val="single"/>
          <w:rtl/>
        </w:rPr>
        <w:t>الإطار النظري</w:t>
      </w:r>
      <w:r w:rsidRPr="001416DA">
        <w:rPr>
          <w:rFonts w:ascii="Traditional Arabic" w:hAnsi="Traditional Arabic" w:cs="Traditional Arabic"/>
          <w:b/>
          <w:bCs/>
          <w:color w:val="000000" w:themeColor="text1"/>
          <w:sz w:val="32"/>
          <w:szCs w:val="32"/>
          <w:u w:val="single"/>
          <w:rtl/>
        </w:rPr>
        <w:t xml:space="preserve"> والدراسات السابقة</w:t>
      </w:r>
    </w:p>
    <w:p w14:paraId="03CB27E5" w14:textId="1360FD73" w:rsidR="00E06221" w:rsidRPr="00362D29" w:rsidRDefault="00E06221" w:rsidP="00362D29">
      <w:pPr>
        <w:bidi/>
        <w:spacing w:after="200" w:line="360" w:lineRule="auto"/>
        <w:rPr>
          <w:rFonts w:ascii="Traditional Arabic" w:hAnsi="Traditional Arabic" w:cs="Traditional Arabic"/>
          <w:b/>
          <w:bCs/>
          <w:color w:val="000000" w:themeColor="text1"/>
          <w:sz w:val="28"/>
          <w:szCs w:val="28"/>
          <w:rtl/>
        </w:rPr>
      </w:pPr>
      <w:r w:rsidRPr="00362D29">
        <w:rPr>
          <w:rFonts w:ascii="Traditional Arabic" w:hAnsi="Traditional Arabic" w:cs="Traditional Arabic"/>
          <w:b/>
          <w:bCs/>
          <w:color w:val="000000" w:themeColor="text1"/>
          <w:sz w:val="28"/>
          <w:szCs w:val="28"/>
          <w:rtl/>
        </w:rPr>
        <w:t>مقدمة :</w:t>
      </w:r>
    </w:p>
    <w:p w14:paraId="40C0F315" w14:textId="41BAF1AB" w:rsidR="00771E8A" w:rsidRPr="00362D29" w:rsidRDefault="00575EB6" w:rsidP="00362D29">
      <w:pPr>
        <w:bidi/>
        <w:spacing w:line="360" w:lineRule="auto"/>
        <w:jc w:val="both"/>
        <w:rPr>
          <w:rFonts w:ascii="Traditional Arabic" w:hAnsi="Traditional Arabic" w:cs="Traditional Arabic"/>
          <w:color w:val="000000" w:themeColor="text1"/>
          <w:sz w:val="24"/>
          <w:szCs w:val="24"/>
          <w:rtl/>
        </w:rPr>
      </w:pPr>
      <w:r w:rsidRPr="00362D29">
        <w:rPr>
          <w:rFonts w:ascii="Traditional Arabic" w:hAnsi="Traditional Arabic" w:cs="Traditional Arabic"/>
          <w:color w:val="000000" w:themeColor="text1"/>
          <w:sz w:val="24"/>
          <w:szCs w:val="24"/>
          <w:rtl/>
        </w:rPr>
        <w:t xml:space="preserve">    </w:t>
      </w:r>
      <w:r w:rsidR="00771E8A" w:rsidRPr="00362D29">
        <w:rPr>
          <w:rFonts w:ascii="Traditional Arabic" w:hAnsi="Traditional Arabic" w:cs="Traditional Arabic"/>
          <w:color w:val="000000" w:themeColor="text1"/>
          <w:sz w:val="24"/>
          <w:szCs w:val="24"/>
          <w:rtl/>
        </w:rPr>
        <w:t>يتناول هذا الفصل الإطار النظري والدراسات السابقة ذات الصلة بموضوع الدراسة الحالية "أثر التميز المؤسسي على جودة تجربة المريض: دراسة وصفية تحليلية على تجمع القصيم الصحي بالمملكة العربية السعودية"، وذلك بهدف تأسيس قاعدة علمية راسخة تسهم في تفسير العلاقة بين متغيرات الدراسة، وتحديد موقعها ضمن الأدبيات المعاصرة في مجال الإدارة الصحية والتميز المؤسسي وتجربة المريض</w:t>
      </w:r>
      <w:r w:rsidR="00771E8A" w:rsidRPr="00362D29">
        <w:rPr>
          <w:rFonts w:ascii="Traditional Arabic" w:hAnsi="Traditional Arabic" w:cs="Traditional Arabic"/>
          <w:color w:val="000000" w:themeColor="text1"/>
          <w:sz w:val="24"/>
          <w:szCs w:val="24"/>
        </w:rPr>
        <w:t>.</w:t>
      </w:r>
    </w:p>
    <w:p w14:paraId="65107966" w14:textId="6D39AB00" w:rsidR="00771E8A" w:rsidRPr="00362D29" w:rsidRDefault="00FD1985" w:rsidP="00362D29">
      <w:pPr>
        <w:bidi/>
        <w:spacing w:line="360" w:lineRule="auto"/>
        <w:jc w:val="both"/>
        <w:rPr>
          <w:rFonts w:ascii="Traditional Arabic" w:hAnsi="Traditional Arabic" w:cs="Traditional Arabic"/>
          <w:color w:val="000000" w:themeColor="text1"/>
          <w:sz w:val="24"/>
          <w:szCs w:val="24"/>
          <w:rtl/>
        </w:rPr>
      </w:pPr>
      <w:r w:rsidRPr="00362D29">
        <w:rPr>
          <w:rFonts w:ascii="Traditional Arabic" w:hAnsi="Traditional Arabic" w:cs="Traditional Arabic"/>
          <w:color w:val="000000" w:themeColor="text1"/>
          <w:sz w:val="24"/>
          <w:szCs w:val="24"/>
          <w:rtl/>
        </w:rPr>
        <w:t xml:space="preserve">    </w:t>
      </w:r>
      <w:r w:rsidR="00771E8A" w:rsidRPr="00362D29">
        <w:rPr>
          <w:rFonts w:ascii="Traditional Arabic" w:hAnsi="Traditional Arabic" w:cs="Traditional Arabic"/>
          <w:color w:val="000000" w:themeColor="text1"/>
          <w:sz w:val="24"/>
          <w:szCs w:val="24"/>
          <w:rtl/>
        </w:rPr>
        <w:t>ويُعَدّ الإطار النظري أحد الركائز الأساسية في البناء العلمي للدراسة، إذ يوفّر الأسس المفاهيمية والنماذج المرجعية التي تفسّر أبعاد التميز المؤسسي من جهة، ومحددات جودة تجربة المريض من جهة أخرى، كما يوضح الخلفيات الفكرية للنموذج الوطني السعودي للتميز المؤسسي لجائزة الملك عبد العزيز للجودة، وعلاقته بالنماذج العالمية للتميز، في سياق التحول الصحي ورؤية المملكة 2030</w:t>
      </w:r>
      <w:r w:rsidR="00771E8A" w:rsidRPr="00362D29">
        <w:rPr>
          <w:rFonts w:ascii="Traditional Arabic" w:hAnsi="Traditional Arabic" w:cs="Traditional Arabic"/>
          <w:color w:val="000000" w:themeColor="text1"/>
          <w:sz w:val="24"/>
          <w:szCs w:val="24"/>
        </w:rPr>
        <w:t>.</w:t>
      </w:r>
    </w:p>
    <w:p w14:paraId="6BD15CB2" w14:textId="5464AAAF" w:rsidR="00771E8A" w:rsidRPr="00362D29" w:rsidRDefault="000A066F" w:rsidP="00362D29">
      <w:pPr>
        <w:bidi/>
        <w:spacing w:line="360" w:lineRule="auto"/>
        <w:jc w:val="both"/>
        <w:rPr>
          <w:rFonts w:ascii="Traditional Arabic" w:hAnsi="Traditional Arabic" w:cs="Traditional Arabic"/>
          <w:color w:val="000000" w:themeColor="text1"/>
          <w:sz w:val="24"/>
          <w:szCs w:val="24"/>
          <w:rtl/>
        </w:rPr>
      </w:pPr>
      <w:r w:rsidRPr="00362D29">
        <w:rPr>
          <w:rFonts w:ascii="Traditional Arabic" w:hAnsi="Traditional Arabic" w:cs="Traditional Arabic"/>
          <w:color w:val="000000" w:themeColor="text1"/>
          <w:sz w:val="24"/>
          <w:szCs w:val="24"/>
          <w:rtl/>
        </w:rPr>
        <w:t xml:space="preserve">    </w:t>
      </w:r>
      <w:r w:rsidR="00771E8A" w:rsidRPr="00362D29">
        <w:rPr>
          <w:rFonts w:ascii="Traditional Arabic" w:hAnsi="Traditional Arabic" w:cs="Traditional Arabic"/>
          <w:color w:val="000000" w:themeColor="text1"/>
          <w:sz w:val="24"/>
          <w:szCs w:val="24"/>
          <w:rtl/>
        </w:rPr>
        <w:t xml:space="preserve">كما يستعرض الفصل الدراسات السابقة العربية والأجنبية الحديثة ذات الصلة بالمتغير المستقل (التميز المؤسسي) والمتغير التابع (جودة تجربة المريض)، إضافة إلى الدراسات التي تناولت العلاقة بينهما بصورة مباشرة أو غير مباشرة، مع تحليل أوجه التشابه والاختلاف بينها وبين الدراسة الحالية، </w:t>
      </w:r>
      <w:r w:rsidR="008251F8" w:rsidRPr="00362D29">
        <w:rPr>
          <w:rFonts w:ascii="Traditional Arabic" w:hAnsi="Traditional Arabic" w:cs="Traditional Arabic"/>
          <w:color w:val="000000" w:themeColor="text1"/>
          <w:sz w:val="24"/>
          <w:szCs w:val="24"/>
          <w:rtl/>
        </w:rPr>
        <w:t xml:space="preserve">مع إبراز أوجه الاستفادة من تلك الدراسات وما تميزت به الدراسة الحالية </w:t>
      </w:r>
      <w:r w:rsidR="00771E8A" w:rsidRPr="00362D29">
        <w:rPr>
          <w:rFonts w:ascii="Traditional Arabic" w:hAnsi="Traditional Arabic" w:cs="Traditional Arabic"/>
          <w:color w:val="000000" w:themeColor="text1"/>
          <w:sz w:val="24"/>
          <w:szCs w:val="24"/>
          <w:rtl/>
        </w:rPr>
        <w:t>وصولًا إلى تحديد الفجوة البحثية التي تسعى هذه الدراسة إلى سدّها من خلال اختبار العلاقة التطبيقية بين مبادئ النموذج الوطني للتميز المؤسسي وأبعاد تجربة المريض في بيئة التجمعات الصحية السعودية</w:t>
      </w:r>
      <w:r w:rsidR="00771E8A" w:rsidRPr="00362D29">
        <w:rPr>
          <w:rFonts w:ascii="Traditional Arabic" w:hAnsi="Traditional Arabic" w:cs="Traditional Arabic"/>
          <w:color w:val="000000" w:themeColor="text1"/>
          <w:sz w:val="24"/>
          <w:szCs w:val="24"/>
        </w:rPr>
        <w:t>.</w:t>
      </w:r>
    </w:p>
    <w:p w14:paraId="77D6363D" w14:textId="0B4C903E" w:rsidR="00A11921" w:rsidRPr="00362D29" w:rsidRDefault="00771E8A" w:rsidP="00362D29">
      <w:pPr>
        <w:bidi/>
        <w:spacing w:line="360" w:lineRule="auto"/>
        <w:jc w:val="both"/>
        <w:rPr>
          <w:rFonts w:ascii="Traditional Arabic" w:hAnsi="Traditional Arabic" w:cs="Traditional Arabic"/>
          <w:color w:val="000000" w:themeColor="text1"/>
          <w:sz w:val="24"/>
          <w:szCs w:val="24"/>
          <w:rtl/>
        </w:rPr>
      </w:pPr>
      <w:r w:rsidRPr="00362D29">
        <w:rPr>
          <w:rFonts w:ascii="Traditional Arabic" w:hAnsi="Traditional Arabic" w:cs="Traditional Arabic"/>
          <w:color w:val="000000" w:themeColor="text1"/>
          <w:sz w:val="24"/>
          <w:szCs w:val="24"/>
          <w:rtl/>
        </w:rPr>
        <w:t xml:space="preserve">وذلك </w:t>
      </w:r>
      <w:r w:rsidR="0004727B" w:rsidRPr="00362D29">
        <w:rPr>
          <w:rFonts w:ascii="Traditional Arabic" w:hAnsi="Traditional Arabic" w:cs="Traditional Arabic"/>
          <w:color w:val="000000" w:themeColor="text1"/>
          <w:sz w:val="24"/>
          <w:szCs w:val="24"/>
          <w:rtl/>
        </w:rPr>
        <w:t xml:space="preserve">توضيحا </w:t>
      </w:r>
      <w:r w:rsidR="00E800FF" w:rsidRPr="00362D29">
        <w:rPr>
          <w:rFonts w:ascii="Traditional Arabic" w:hAnsi="Traditional Arabic" w:cs="Traditional Arabic"/>
          <w:color w:val="000000" w:themeColor="text1"/>
          <w:sz w:val="24"/>
          <w:szCs w:val="24"/>
          <w:rtl/>
        </w:rPr>
        <w:t xml:space="preserve">لكيفية </w:t>
      </w:r>
      <w:r w:rsidRPr="00362D29">
        <w:rPr>
          <w:rFonts w:ascii="Traditional Arabic" w:hAnsi="Traditional Arabic" w:cs="Traditional Arabic"/>
          <w:color w:val="000000" w:themeColor="text1"/>
          <w:sz w:val="24"/>
          <w:szCs w:val="24"/>
          <w:rtl/>
        </w:rPr>
        <w:t>بناء النموذج المفاهيمي للدراسة، وصياغة الفرضيات، وتحديد الأبعاد المعتمدة للقياس،</w:t>
      </w:r>
      <w:r w:rsidR="00915879" w:rsidRPr="00362D29">
        <w:rPr>
          <w:rFonts w:ascii="Traditional Arabic" w:hAnsi="Traditional Arabic" w:cs="Traditional Arabic"/>
          <w:color w:val="000000" w:themeColor="text1"/>
          <w:sz w:val="24"/>
          <w:szCs w:val="24"/>
          <w:rtl/>
        </w:rPr>
        <w:t xml:space="preserve"> الذي</w:t>
      </w:r>
      <w:r w:rsidRPr="00362D29">
        <w:rPr>
          <w:rFonts w:ascii="Traditional Arabic" w:hAnsi="Traditional Arabic" w:cs="Traditional Arabic"/>
          <w:color w:val="000000" w:themeColor="text1"/>
          <w:sz w:val="24"/>
          <w:szCs w:val="24"/>
          <w:rtl/>
        </w:rPr>
        <w:t xml:space="preserve"> يعزز الاتساق العلمي بين الإطار النظري والمنهجية التطبيقية للدراسة.</w:t>
      </w:r>
      <w:r w:rsidR="000535EB" w:rsidRPr="00362D29">
        <w:rPr>
          <w:rFonts w:ascii="Traditional Arabic" w:hAnsi="Traditional Arabic" w:cs="Traditional Arabic"/>
          <w:color w:val="000000" w:themeColor="text1"/>
          <w:sz w:val="24"/>
          <w:szCs w:val="24"/>
          <w:rtl/>
        </w:rPr>
        <w:t xml:space="preserve"> </w:t>
      </w:r>
      <w:r w:rsidR="00A11921" w:rsidRPr="00362D29">
        <w:rPr>
          <w:rFonts w:ascii="Traditional Arabic" w:hAnsi="Traditional Arabic" w:cs="Traditional Arabic"/>
          <w:color w:val="000000" w:themeColor="text1"/>
          <w:sz w:val="24"/>
          <w:szCs w:val="24"/>
          <w:rtl/>
        </w:rPr>
        <w:t>و</w:t>
      </w:r>
      <w:r w:rsidR="00915879" w:rsidRPr="00362D29">
        <w:rPr>
          <w:rFonts w:ascii="Traditional Arabic" w:hAnsi="Traditional Arabic" w:cs="Traditional Arabic"/>
          <w:color w:val="000000" w:themeColor="text1"/>
          <w:sz w:val="24"/>
          <w:szCs w:val="24"/>
          <w:rtl/>
        </w:rPr>
        <w:t xml:space="preserve">كذلك </w:t>
      </w:r>
      <w:r w:rsidR="00186AD4" w:rsidRPr="00362D29">
        <w:rPr>
          <w:rFonts w:ascii="Traditional Arabic" w:hAnsi="Traditional Arabic" w:cs="Traditional Arabic"/>
          <w:color w:val="000000" w:themeColor="text1"/>
          <w:sz w:val="24"/>
          <w:szCs w:val="24"/>
          <w:rtl/>
        </w:rPr>
        <w:t>ل</w:t>
      </w:r>
      <w:r w:rsidR="00A11921" w:rsidRPr="00362D29">
        <w:rPr>
          <w:rFonts w:ascii="Traditional Arabic" w:hAnsi="Traditional Arabic" w:cs="Traditional Arabic"/>
          <w:color w:val="000000" w:themeColor="text1"/>
          <w:sz w:val="24"/>
          <w:szCs w:val="24"/>
          <w:rtl/>
        </w:rPr>
        <w:t>تقديم مساهمة علمية وعملية تدعم جهود تطوير القطاع الصحي في المملكة العربية السعودية، بما يتماشى مع التطلعات الوطنية نحو مستقبل صحي مزدهر.</w:t>
      </w:r>
    </w:p>
    <w:p w14:paraId="606DA155" w14:textId="77777777" w:rsidR="00537BE5" w:rsidRPr="00362D29" w:rsidRDefault="00537BE5" w:rsidP="00362D29">
      <w:pPr>
        <w:bidi/>
        <w:spacing w:after="200" w:line="360" w:lineRule="auto"/>
        <w:rPr>
          <w:rFonts w:ascii="Traditional Arabic" w:hAnsi="Traditional Arabic" w:cs="Traditional Arabic"/>
          <w:b/>
          <w:bCs/>
          <w:color w:val="000000" w:themeColor="text1"/>
          <w:sz w:val="28"/>
          <w:szCs w:val="28"/>
          <w:rtl/>
        </w:rPr>
      </w:pPr>
    </w:p>
    <w:p w14:paraId="08C45C30" w14:textId="77777777" w:rsidR="00537BE5" w:rsidRPr="00362D29" w:rsidRDefault="00537BE5" w:rsidP="00362D29">
      <w:pPr>
        <w:bidi/>
        <w:spacing w:after="200" w:line="360" w:lineRule="auto"/>
        <w:rPr>
          <w:rFonts w:ascii="Traditional Arabic" w:hAnsi="Traditional Arabic" w:cs="Traditional Arabic"/>
          <w:b/>
          <w:bCs/>
          <w:color w:val="000000" w:themeColor="text1"/>
          <w:sz w:val="28"/>
          <w:szCs w:val="28"/>
          <w:rtl/>
        </w:rPr>
      </w:pPr>
    </w:p>
    <w:p w14:paraId="61770868" w14:textId="77777777" w:rsidR="00537BE5" w:rsidRPr="00362D29" w:rsidRDefault="00537BE5" w:rsidP="00362D29">
      <w:pPr>
        <w:bidi/>
        <w:spacing w:after="200" w:line="360" w:lineRule="auto"/>
        <w:rPr>
          <w:rFonts w:ascii="Traditional Arabic" w:hAnsi="Traditional Arabic" w:cs="Traditional Arabic"/>
          <w:b/>
          <w:bCs/>
          <w:color w:val="000000" w:themeColor="text1"/>
          <w:sz w:val="28"/>
          <w:szCs w:val="28"/>
          <w:rtl/>
        </w:rPr>
      </w:pPr>
    </w:p>
    <w:p w14:paraId="0C89BDDA" w14:textId="77777777" w:rsidR="00537BE5" w:rsidRPr="00362D29" w:rsidRDefault="00537BE5" w:rsidP="00362D29">
      <w:pPr>
        <w:bidi/>
        <w:spacing w:after="200" w:line="360" w:lineRule="auto"/>
        <w:rPr>
          <w:rFonts w:ascii="Traditional Arabic" w:hAnsi="Traditional Arabic" w:cs="Traditional Arabic"/>
          <w:b/>
          <w:bCs/>
          <w:color w:val="000000" w:themeColor="text1"/>
          <w:sz w:val="28"/>
          <w:szCs w:val="28"/>
          <w:rtl/>
        </w:rPr>
      </w:pPr>
    </w:p>
    <w:p w14:paraId="20D71156" w14:textId="77777777" w:rsidR="00537BE5" w:rsidRPr="00362D29" w:rsidRDefault="00537BE5" w:rsidP="00362D29">
      <w:pPr>
        <w:bidi/>
        <w:spacing w:after="200" w:line="360" w:lineRule="auto"/>
        <w:rPr>
          <w:rFonts w:ascii="Traditional Arabic" w:hAnsi="Traditional Arabic" w:cs="Traditional Arabic"/>
          <w:b/>
          <w:bCs/>
          <w:color w:val="000000" w:themeColor="text1"/>
          <w:sz w:val="28"/>
          <w:szCs w:val="28"/>
          <w:rtl/>
        </w:rPr>
      </w:pPr>
    </w:p>
    <w:p w14:paraId="209CD013" w14:textId="474F17EE" w:rsidR="00771E8A" w:rsidRPr="00362D29" w:rsidRDefault="00BB2F97" w:rsidP="00362D29">
      <w:pPr>
        <w:bidi/>
        <w:spacing w:after="200" w:line="360" w:lineRule="auto"/>
        <w:rPr>
          <w:rFonts w:ascii="Traditional Arabic" w:hAnsi="Traditional Arabic" w:cs="Traditional Arabic"/>
          <w:b/>
          <w:bCs/>
          <w:color w:val="000000" w:themeColor="text1"/>
          <w:sz w:val="28"/>
          <w:szCs w:val="28"/>
          <w:rtl/>
        </w:rPr>
      </w:pPr>
      <w:r w:rsidRPr="00362D29">
        <w:rPr>
          <w:rFonts w:ascii="Traditional Arabic" w:hAnsi="Traditional Arabic" w:cs="Traditional Arabic"/>
          <w:b/>
          <w:bCs/>
          <w:color w:val="000000" w:themeColor="text1"/>
          <w:sz w:val="28"/>
          <w:szCs w:val="28"/>
          <w:rtl/>
        </w:rPr>
        <w:lastRenderedPageBreak/>
        <w:t xml:space="preserve">اولاً : </w:t>
      </w:r>
      <w:r w:rsidR="001F73E2" w:rsidRPr="00362D29">
        <w:rPr>
          <w:rFonts w:ascii="Traditional Arabic" w:hAnsi="Traditional Arabic" w:cs="Traditional Arabic"/>
          <w:b/>
          <w:bCs/>
          <w:color w:val="000000" w:themeColor="text1"/>
          <w:sz w:val="28"/>
          <w:szCs w:val="28"/>
          <w:rtl/>
        </w:rPr>
        <w:t>ال</w:t>
      </w:r>
      <w:r w:rsidR="00DB1F43" w:rsidRPr="00362D29">
        <w:rPr>
          <w:rFonts w:ascii="Traditional Arabic" w:hAnsi="Traditional Arabic" w:cs="Traditional Arabic"/>
          <w:b/>
          <w:bCs/>
          <w:color w:val="000000" w:themeColor="text1"/>
          <w:sz w:val="28"/>
          <w:szCs w:val="28"/>
          <w:rtl/>
        </w:rPr>
        <w:t>مبحث</w:t>
      </w:r>
      <w:r w:rsidR="005125A2" w:rsidRPr="00362D29">
        <w:rPr>
          <w:rFonts w:ascii="Traditional Arabic" w:hAnsi="Traditional Arabic" w:cs="Traditional Arabic"/>
          <w:b/>
          <w:bCs/>
          <w:color w:val="000000" w:themeColor="text1"/>
          <w:sz w:val="28"/>
          <w:szCs w:val="28"/>
          <w:rtl/>
        </w:rPr>
        <w:t xml:space="preserve"> </w:t>
      </w:r>
      <w:r w:rsidR="001F73E2" w:rsidRPr="00362D29">
        <w:rPr>
          <w:rFonts w:ascii="Traditional Arabic" w:hAnsi="Traditional Arabic" w:cs="Traditional Arabic"/>
          <w:b/>
          <w:bCs/>
          <w:color w:val="000000" w:themeColor="text1"/>
          <w:sz w:val="28"/>
          <w:szCs w:val="28"/>
          <w:rtl/>
        </w:rPr>
        <w:t>الأول (</w:t>
      </w:r>
      <w:r w:rsidR="005125A2" w:rsidRPr="00362D29">
        <w:rPr>
          <w:rFonts w:ascii="Traditional Arabic" w:hAnsi="Traditional Arabic" w:cs="Traditional Arabic"/>
          <w:b/>
          <w:bCs/>
          <w:color w:val="000000" w:themeColor="text1"/>
          <w:sz w:val="28"/>
          <w:szCs w:val="28"/>
          <w:rtl/>
        </w:rPr>
        <w:t>المتغير المستقل</w:t>
      </w:r>
      <w:r w:rsidR="001F73E2" w:rsidRPr="00362D29">
        <w:rPr>
          <w:rFonts w:ascii="Traditional Arabic" w:hAnsi="Traditional Arabic" w:cs="Traditional Arabic"/>
          <w:b/>
          <w:bCs/>
          <w:color w:val="000000" w:themeColor="text1"/>
          <w:sz w:val="28"/>
          <w:szCs w:val="28"/>
          <w:rtl/>
        </w:rPr>
        <w:t>)</w:t>
      </w:r>
      <w:r w:rsidR="005125A2" w:rsidRPr="00362D29">
        <w:rPr>
          <w:rFonts w:ascii="Traditional Arabic" w:hAnsi="Traditional Arabic" w:cs="Traditional Arabic"/>
          <w:b/>
          <w:bCs/>
          <w:color w:val="000000" w:themeColor="text1"/>
          <w:sz w:val="28"/>
          <w:szCs w:val="28"/>
          <w:rtl/>
        </w:rPr>
        <w:t xml:space="preserve"> : ا</w:t>
      </w:r>
      <w:r w:rsidR="00E05E1F" w:rsidRPr="00362D29">
        <w:rPr>
          <w:rFonts w:ascii="Traditional Arabic" w:hAnsi="Traditional Arabic" w:cs="Traditional Arabic"/>
          <w:b/>
          <w:bCs/>
          <w:color w:val="000000" w:themeColor="text1"/>
          <w:sz w:val="28"/>
          <w:szCs w:val="28"/>
          <w:rtl/>
        </w:rPr>
        <w:t xml:space="preserve">لتميز المؤسسي </w:t>
      </w:r>
    </w:p>
    <w:p w14:paraId="60AAB455" w14:textId="6A665438" w:rsidR="003D2061" w:rsidRPr="00362D29" w:rsidRDefault="003D2061" w:rsidP="00362D29">
      <w:pPr>
        <w:pStyle w:val="ab"/>
        <w:numPr>
          <w:ilvl w:val="0"/>
          <w:numId w:val="27"/>
        </w:numPr>
        <w:bidi/>
        <w:spacing w:line="360" w:lineRule="auto"/>
        <w:jc w:val="both"/>
        <w:rPr>
          <w:rFonts w:ascii="Traditional Arabic" w:hAnsi="Traditional Arabic" w:cs="Traditional Arabic"/>
          <w:b/>
          <w:bCs/>
          <w:color w:val="000000" w:themeColor="text1"/>
          <w:sz w:val="28"/>
          <w:szCs w:val="28"/>
        </w:rPr>
      </w:pPr>
      <w:r w:rsidRPr="00362D29">
        <w:rPr>
          <w:rFonts w:ascii="Traditional Arabic" w:hAnsi="Traditional Arabic" w:cs="Traditional Arabic"/>
          <w:b/>
          <w:bCs/>
          <w:color w:val="000000" w:themeColor="text1"/>
          <w:sz w:val="28"/>
          <w:szCs w:val="28"/>
          <w:rtl/>
        </w:rPr>
        <w:t>التعريفات والمفاهيم النظرية للتميز المؤسسي</w:t>
      </w:r>
    </w:p>
    <w:p w14:paraId="448BAF10" w14:textId="3AE80459" w:rsidR="00950BE4" w:rsidRPr="00362D29" w:rsidRDefault="00950BE4" w:rsidP="00362D29">
      <w:pPr>
        <w:bidi/>
        <w:spacing w:line="360" w:lineRule="auto"/>
        <w:jc w:val="both"/>
        <w:rPr>
          <w:rFonts w:ascii="Traditional Arabic" w:hAnsi="Traditional Arabic" w:cs="Traditional Arabic"/>
          <w:color w:val="000000" w:themeColor="text1"/>
          <w:sz w:val="24"/>
          <w:szCs w:val="24"/>
          <w:rtl/>
        </w:rPr>
      </w:pPr>
      <w:r w:rsidRPr="00362D29">
        <w:rPr>
          <w:rFonts w:ascii="Traditional Arabic" w:hAnsi="Traditional Arabic" w:cs="Traditional Arabic"/>
          <w:color w:val="000000" w:themeColor="text1"/>
          <w:sz w:val="24"/>
          <w:szCs w:val="24"/>
          <w:rtl/>
        </w:rPr>
        <w:t>يُعد التميز المؤسسي حالة من التفوق والريادة تسعى المنظمات للوصول إليها من خلال تبني ممارسات إدارية حديثة تضمن تحقيق نتائج مستدامة تفوق توقعات جميع أصحاب المصلحة. وقد عرفه (العتيبي، 2021) بأنه "نظام إداري متكامل يهدف إلى تحسين أداء المنظمة بشكل مستمر عبر التركيز على الجودة والابتكار". بينما يشير (النموذج الوطني، 2022) إلى أن التميز هو المكون الأساسي لجوائز الجودة والمحرك الرئيسي للمنشآت نحو تبني أنظمة عمل تتسم بالكفاءة والفعالية</w:t>
      </w:r>
      <w:r w:rsidRPr="00362D29">
        <w:rPr>
          <w:rFonts w:ascii="Traditional Arabic" w:hAnsi="Traditional Arabic" w:cs="Traditional Arabic"/>
          <w:color w:val="000000" w:themeColor="text1"/>
          <w:sz w:val="24"/>
          <w:szCs w:val="24"/>
        </w:rPr>
        <w:t>.</w:t>
      </w:r>
    </w:p>
    <w:p w14:paraId="4213B8AC" w14:textId="23350849" w:rsidR="00A34A80" w:rsidRPr="00362D29" w:rsidRDefault="00A34A80" w:rsidP="00362D29">
      <w:pPr>
        <w:bidi/>
        <w:spacing w:line="360" w:lineRule="auto"/>
        <w:jc w:val="both"/>
        <w:rPr>
          <w:rFonts w:ascii="Traditional Arabic" w:hAnsi="Traditional Arabic" w:cs="Traditional Arabic"/>
          <w:color w:val="000000" w:themeColor="text1"/>
          <w:sz w:val="24"/>
          <w:szCs w:val="24"/>
          <w:rtl/>
        </w:rPr>
      </w:pPr>
      <w:r w:rsidRPr="00362D29">
        <w:rPr>
          <w:rFonts w:ascii="Traditional Arabic" w:hAnsi="Traditional Arabic" w:cs="Traditional Arabic"/>
          <w:color w:val="000000" w:themeColor="text1"/>
          <w:sz w:val="24"/>
          <w:szCs w:val="24"/>
          <w:rtl/>
        </w:rPr>
        <w:t>يُعد التميز المؤسسي أحد المفاهيم الإدارية المعاصرة التي ارتبطت بتطور نماذج الجودة الشاملة والتحول التنظيمي، حيث لم يعد يقتصر على تحقيق الأداء الجيد، بل يمتد ليعكس قدرة المنظمة على تحقيق نتائج مستدامة تتفوق بها على نظيراتها من خلال منظومة متكاملة من القيادة، والاستراتيجية، والموارد، والعمليات، والنتائج (</w:t>
      </w:r>
      <w:r w:rsidRPr="00362D29">
        <w:rPr>
          <w:rFonts w:ascii="Traditional Arabic" w:hAnsi="Traditional Arabic" w:cs="Traditional Arabic"/>
          <w:color w:val="000000" w:themeColor="text1"/>
          <w:sz w:val="24"/>
          <w:szCs w:val="24"/>
        </w:rPr>
        <w:t>Barnawi, 2022</w:t>
      </w:r>
      <w:r w:rsidRPr="00362D29">
        <w:rPr>
          <w:rFonts w:ascii="Traditional Arabic" w:hAnsi="Traditional Arabic" w:cs="Traditional Arabic"/>
          <w:color w:val="000000" w:themeColor="text1"/>
          <w:sz w:val="24"/>
          <w:szCs w:val="24"/>
          <w:rtl/>
        </w:rPr>
        <w:t xml:space="preserve">؛ </w:t>
      </w:r>
      <w:r w:rsidRPr="00362D29">
        <w:rPr>
          <w:rFonts w:ascii="Traditional Arabic" w:hAnsi="Traditional Arabic" w:cs="Traditional Arabic"/>
          <w:color w:val="000000" w:themeColor="text1"/>
          <w:sz w:val="24"/>
          <w:szCs w:val="24"/>
        </w:rPr>
        <w:t>Ahmed &amp; Sur, 2023</w:t>
      </w:r>
      <w:r w:rsidRPr="00362D29">
        <w:rPr>
          <w:rFonts w:ascii="Traditional Arabic" w:hAnsi="Traditional Arabic" w:cs="Traditional Arabic"/>
          <w:color w:val="000000" w:themeColor="text1"/>
          <w:sz w:val="24"/>
          <w:szCs w:val="24"/>
          <w:rtl/>
        </w:rPr>
        <w:t>).</w:t>
      </w:r>
    </w:p>
    <w:p w14:paraId="09A07208" w14:textId="77777777" w:rsidR="00A34A80" w:rsidRPr="00362D29" w:rsidRDefault="00A34A80" w:rsidP="00362D29">
      <w:pPr>
        <w:bidi/>
        <w:spacing w:line="360" w:lineRule="auto"/>
        <w:jc w:val="both"/>
        <w:rPr>
          <w:rFonts w:ascii="Traditional Arabic" w:hAnsi="Traditional Arabic" w:cs="Traditional Arabic"/>
          <w:color w:val="000000" w:themeColor="text1"/>
          <w:sz w:val="24"/>
          <w:szCs w:val="24"/>
          <w:rtl/>
        </w:rPr>
      </w:pPr>
      <w:r w:rsidRPr="00362D29">
        <w:rPr>
          <w:rFonts w:ascii="Traditional Arabic" w:hAnsi="Traditional Arabic" w:cs="Traditional Arabic"/>
          <w:color w:val="000000" w:themeColor="text1"/>
          <w:sz w:val="24"/>
          <w:szCs w:val="24"/>
          <w:rtl/>
        </w:rPr>
        <w:t>وقد عرّفت دراسة (</w:t>
      </w:r>
      <w:r w:rsidRPr="00362D29">
        <w:rPr>
          <w:rFonts w:ascii="Traditional Arabic" w:hAnsi="Traditional Arabic" w:cs="Traditional Arabic"/>
          <w:color w:val="000000" w:themeColor="text1"/>
          <w:sz w:val="24"/>
          <w:szCs w:val="24"/>
        </w:rPr>
        <w:t>Barnawi, 2022</w:t>
      </w:r>
      <w:r w:rsidRPr="00362D29">
        <w:rPr>
          <w:rFonts w:ascii="Traditional Arabic" w:hAnsi="Traditional Arabic" w:cs="Traditional Arabic"/>
          <w:color w:val="000000" w:themeColor="text1"/>
          <w:sz w:val="24"/>
          <w:szCs w:val="24"/>
          <w:rtl/>
        </w:rPr>
        <w:t xml:space="preserve">) </w:t>
      </w:r>
      <w:r w:rsidRPr="00362D29">
        <w:rPr>
          <w:rFonts w:ascii="Traditional Arabic" w:hAnsi="Traditional Arabic" w:cs="Traditional Arabic"/>
          <w:b/>
          <w:bCs/>
          <w:color w:val="000000" w:themeColor="text1"/>
          <w:sz w:val="24"/>
          <w:szCs w:val="24"/>
          <w:rtl/>
        </w:rPr>
        <w:t>التميز المؤسسي</w:t>
      </w:r>
      <w:r w:rsidRPr="00362D29">
        <w:rPr>
          <w:rFonts w:ascii="Traditional Arabic" w:hAnsi="Traditional Arabic" w:cs="Traditional Arabic"/>
          <w:color w:val="000000" w:themeColor="text1"/>
          <w:sz w:val="24"/>
          <w:szCs w:val="24"/>
          <w:rtl/>
        </w:rPr>
        <w:t xml:space="preserve"> بأنه إطار إداري شامل يهدف إلى تحقيق نتائج متوازنة ومستدامة من خلال تطبيق معايير محددة ترتكز على القيادة الفعالة، والحوكمة، والتحسين المستمر، والتركيز على أصحاب المصلحة، مما يؤكد طبيعته المنهجية الاستراتيجية.</w:t>
      </w:r>
    </w:p>
    <w:p w14:paraId="6B4364AF" w14:textId="76621583" w:rsidR="00A34A80" w:rsidRPr="00362D29" w:rsidRDefault="00A34A80" w:rsidP="00362D29">
      <w:pPr>
        <w:bidi/>
        <w:spacing w:line="360" w:lineRule="auto"/>
        <w:jc w:val="both"/>
        <w:rPr>
          <w:rFonts w:ascii="Traditional Arabic" w:hAnsi="Traditional Arabic" w:cs="Traditional Arabic"/>
          <w:color w:val="000000" w:themeColor="text1"/>
          <w:sz w:val="24"/>
          <w:szCs w:val="24"/>
          <w:rtl/>
        </w:rPr>
      </w:pPr>
      <w:r w:rsidRPr="00362D29">
        <w:rPr>
          <w:rFonts w:ascii="Traditional Arabic" w:hAnsi="Traditional Arabic" w:cs="Traditional Arabic"/>
          <w:color w:val="000000" w:themeColor="text1"/>
          <w:sz w:val="24"/>
          <w:szCs w:val="24"/>
          <w:rtl/>
        </w:rPr>
        <w:t xml:space="preserve">وفي </w:t>
      </w:r>
      <w:r w:rsidR="00F05DBE" w:rsidRPr="00362D29">
        <w:rPr>
          <w:rFonts w:ascii="Traditional Arabic" w:hAnsi="Traditional Arabic" w:cs="Traditional Arabic"/>
          <w:color w:val="000000" w:themeColor="text1"/>
          <w:sz w:val="24"/>
          <w:szCs w:val="24"/>
          <w:rtl/>
        </w:rPr>
        <w:t>الرعاية الصحية</w:t>
      </w:r>
      <w:r w:rsidRPr="00362D29">
        <w:rPr>
          <w:rFonts w:ascii="Traditional Arabic" w:hAnsi="Traditional Arabic" w:cs="Traditional Arabic"/>
          <w:color w:val="000000" w:themeColor="text1"/>
          <w:sz w:val="24"/>
          <w:szCs w:val="24"/>
          <w:rtl/>
        </w:rPr>
        <w:t xml:space="preserve">، عرّفت دراسة (الرويلي، 2025) </w:t>
      </w:r>
      <w:r w:rsidRPr="00362D29">
        <w:rPr>
          <w:rFonts w:ascii="Traditional Arabic" w:hAnsi="Traditional Arabic" w:cs="Traditional Arabic"/>
          <w:b/>
          <w:bCs/>
          <w:color w:val="000000" w:themeColor="text1"/>
          <w:sz w:val="24"/>
          <w:szCs w:val="24"/>
          <w:rtl/>
        </w:rPr>
        <w:t>التميز المؤسسي</w:t>
      </w:r>
      <w:r w:rsidRPr="00362D29">
        <w:rPr>
          <w:rFonts w:ascii="Traditional Arabic" w:hAnsi="Traditional Arabic" w:cs="Traditional Arabic"/>
          <w:color w:val="000000" w:themeColor="text1"/>
          <w:sz w:val="24"/>
          <w:szCs w:val="24"/>
          <w:rtl/>
        </w:rPr>
        <w:t xml:space="preserve"> بأنه قدرة المؤسسة الصحية على توظيف مواردها البشرية والتنظيمية بكفاءة عالية بما ينعكس إيجابًا على جودة الرعاية الصحية، مؤكدة أن التطوير المستمر والموارد البشرية المؤهلة يمثلان عاملين حاسمين في تحقيق الأداء المتميز.</w:t>
      </w:r>
    </w:p>
    <w:p w14:paraId="137A8E3B" w14:textId="77777777" w:rsidR="00A34A80" w:rsidRPr="00362D29" w:rsidRDefault="00A34A80" w:rsidP="00362D29">
      <w:pPr>
        <w:bidi/>
        <w:spacing w:line="360" w:lineRule="auto"/>
        <w:jc w:val="both"/>
        <w:rPr>
          <w:rFonts w:ascii="Traditional Arabic" w:hAnsi="Traditional Arabic" w:cs="Traditional Arabic"/>
          <w:color w:val="000000" w:themeColor="text1"/>
          <w:sz w:val="24"/>
          <w:szCs w:val="24"/>
          <w:rtl/>
        </w:rPr>
      </w:pPr>
      <w:r w:rsidRPr="00362D29">
        <w:rPr>
          <w:rFonts w:ascii="Traditional Arabic" w:hAnsi="Traditional Arabic" w:cs="Traditional Arabic"/>
          <w:color w:val="000000" w:themeColor="text1"/>
          <w:sz w:val="24"/>
          <w:szCs w:val="24"/>
          <w:rtl/>
        </w:rPr>
        <w:t>كما أوضحت دراسة (</w:t>
      </w:r>
      <w:r w:rsidRPr="00362D29">
        <w:rPr>
          <w:rFonts w:ascii="Traditional Arabic" w:hAnsi="Traditional Arabic" w:cs="Traditional Arabic"/>
          <w:color w:val="000000" w:themeColor="text1"/>
          <w:sz w:val="24"/>
          <w:szCs w:val="24"/>
        </w:rPr>
        <w:t>Al-Samawi &amp; Al-Sayaghi, 2024</w:t>
      </w:r>
      <w:r w:rsidRPr="00362D29">
        <w:rPr>
          <w:rFonts w:ascii="Traditional Arabic" w:hAnsi="Traditional Arabic" w:cs="Traditional Arabic"/>
          <w:color w:val="000000" w:themeColor="text1"/>
          <w:sz w:val="24"/>
          <w:szCs w:val="24"/>
          <w:rtl/>
        </w:rPr>
        <w:t>) أن التميز المؤسسي في القطاع الصحي يتمثل في منظومة من الممارسات الإدارية المتكاملة التي تؤثر بصورة مباشرة في جودة الخدمات الصحية، لا سيما عبر أبعاد القيادة، والثقافة التنظيمية، والهيكل التنظيمي، والتركيز على العميل.</w:t>
      </w:r>
    </w:p>
    <w:p w14:paraId="5FAF1C43" w14:textId="77777777" w:rsidR="00A34A80" w:rsidRPr="00362D29" w:rsidRDefault="00A34A80" w:rsidP="00362D29">
      <w:pPr>
        <w:bidi/>
        <w:spacing w:line="360" w:lineRule="auto"/>
        <w:jc w:val="both"/>
        <w:rPr>
          <w:rFonts w:ascii="Traditional Arabic" w:hAnsi="Traditional Arabic" w:cs="Traditional Arabic"/>
          <w:color w:val="000000" w:themeColor="text1"/>
          <w:sz w:val="24"/>
          <w:szCs w:val="24"/>
          <w:rtl/>
        </w:rPr>
      </w:pPr>
      <w:r w:rsidRPr="00362D29">
        <w:rPr>
          <w:rFonts w:ascii="Traditional Arabic" w:hAnsi="Traditional Arabic" w:cs="Traditional Arabic"/>
          <w:color w:val="000000" w:themeColor="text1"/>
          <w:sz w:val="24"/>
          <w:szCs w:val="24"/>
          <w:rtl/>
        </w:rPr>
        <w:t>وفي إطار نماذج الأعمال، أشارت دراسة (</w:t>
      </w:r>
      <w:r w:rsidRPr="00362D29">
        <w:rPr>
          <w:rFonts w:ascii="Traditional Arabic" w:hAnsi="Traditional Arabic" w:cs="Traditional Arabic"/>
          <w:color w:val="000000" w:themeColor="text1"/>
          <w:sz w:val="24"/>
          <w:szCs w:val="24"/>
        </w:rPr>
        <w:t>Salih &amp; Dolah, 2023</w:t>
      </w:r>
      <w:r w:rsidRPr="00362D29">
        <w:rPr>
          <w:rFonts w:ascii="Traditional Arabic" w:hAnsi="Traditional Arabic" w:cs="Traditional Arabic"/>
          <w:color w:val="000000" w:themeColor="text1"/>
          <w:sz w:val="24"/>
          <w:szCs w:val="24"/>
          <w:rtl/>
        </w:rPr>
        <w:t>) إلى أن التميز المؤسسي يرتبط بعوامل نجاح حرجة تشمل وضوح الاستراتيجية، وفعالية الاتصال التنظيمي، واستخدام البيانات في اتخاذ القرار، ووجود إطار حوكمة واضح، مما يعكس ضرورة توافر بيئة تنظيمية داعمة لتحقيقه.</w:t>
      </w:r>
    </w:p>
    <w:p w14:paraId="5BDC2455" w14:textId="77777777" w:rsidR="00A34A80" w:rsidRPr="00362D29" w:rsidRDefault="00A34A80" w:rsidP="00362D29">
      <w:pPr>
        <w:bidi/>
        <w:spacing w:line="360" w:lineRule="auto"/>
        <w:jc w:val="both"/>
        <w:rPr>
          <w:rFonts w:ascii="Traditional Arabic" w:hAnsi="Traditional Arabic" w:cs="Traditional Arabic"/>
          <w:color w:val="000000" w:themeColor="text1"/>
          <w:sz w:val="24"/>
          <w:szCs w:val="24"/>
          <w:rtl/>
        </w:rPr>
      </w:pPr>
      <w:r w:rsidRPr="00362D29">
        <w:rPr>
          <w:rFonts w:ascii="Traditional Arabic" w:hAnsi="Traditional Arabic" w:cs="Traditional Arabic"/>
          <w:color w:val="000000" w:themeColor="text1"/>
          <w:sz w:val="24"/>
          <w:szCs w:val="24"/>
          <w:rtl/>
        </w:rPr>
        <w:t>كما أكدت دراسة (</w:t>
      </w:r>
      <w:r w:rsidRPr="00362D29">
        <w:rPr>
          <w:rFonts w:ascii="Traditional Arabic" w:hAnsi="Traditional Arabic" w:cs="Traditional Arabic"/>
          <w:color w:val="000000" w:themeColor="text1"/>
          <w:sz w:val="24"/>
          <w:szCs w:val="24"/>
        </w:rPr>
        <w:t>Alsaleem, 2025</w:t>
      </w:r>
      <w:r w:rsidRPr="00362D29">
        <w:rPr>
          <w:rFonts w:ascii="Traditional Arabic" w:hAnsi="Traditional Arabic" w:cs="Traditional Arabic"/>
          <w:color w:val="000000" w:themeColor="text1"/>
          <w:sz w:val="24"/>
          <w:szCs w:val="24"/>
          <w:rtl/>
        </w:rPr>
        <w:t>) على أهمية التكامل بين معايير الاعتماد الصحي الوطني ونماذج التميز المؤسسي، موضحة أن هذا التكامل يعزز من جودة القيادة الإدارية ويرسخ ممارسات التميز داخل المؤسسات الصحية.</w:t>
      </w:r>
    </w:p>
    <w:p w14:paraId="276AC399" w14:textId="77777777" w:rsidR="00A34A80" w:rsidRPr="00362D29" w:rsidRDefault="00A34A80" w:rsidP="00362D29">
      <w:p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lastRenderedPageBreak/>
        <w:t>وعليه، يمكن تعريف التميز المؤسسي في ضوء الأدبيات السابقة بأنه منظومة إدارية استراتيجية شاملة ترتكز على القيادة الفاعلة، وإدارة الموارد بكفاءة، وتحسين العمليات بصورة مستمرة، بما يؤدي إلى تحقيق نتائج مستدامة ذات قيمة للمستفيدين وأصحاب المصلحة (</w:t>
      </w:r>
      <w:r w:rsidRPr="00362D29">
        <w:rPr>
          <w:rFonts w:ascii="Traditional Arabic" w:hAnsi="Traditional Arabic" w:cs="Traditional Arabic"/>
          <w:color w:val="000000" w:themeColor="text1"/>
          <w:sz w:val="24"/>
          <w:szCs w:val="24"/>
        </w:rPr>
        <w:t>Barnawi, 2022</w:t>
      </w:r>
      <w:r w:rsidRPr="00362D29">
        <w:rPr>
          <w:rFonts w:ascii="Traditional Arabic" w:hAnsi="Traditional Arabic" w:cs="Traditional Arabic"/>
          <w:color w:val="000000" w:themeColor="text1"/>
          <w:sz w:val="24"/>
          <w:szCs w:val="24"/>
          <w:rtl/>
        </w:rPr>
        <w:t xml:space="preserve">؛ </w:t>
      </w:r>
      <w:r w:rsidRPr="00362D29">
        <w:rPr>
          <w:rFonts w:ascii="Traditional Arabic" w:hAnsi="Traditional Arabic" w:cs="Traditional Arabic"/>
          <w:color w:val="000000" w:themeColor="text1"/>
          <w:sz w:val="24"/>
          <w:szCs w:val="24"/>
        </w:rPr>
        <w:t>Ahmed &amp; Sur, 2023</w:t>
      </w:r>
      <w:r w:rsidRPr="00362D29">
        <w:rPr>
          <w:rFonts w:ascii="Traditional Arabic" w:hAnsi="Traditional Arabic" w:cs="Traditional Arabic"/>
          <w:color w:val="000000" w:themeColor="text1"/>
          <w:sz w:val="24"/>
          <w:szCs w:val="24"/>
          <w:rtl/>
        </w:rPr>
        <w:t>؛ الرويلي، 2025).</w:t>
      </w:r>
    </w:p>
    <w:p w14:paraId="58BCF9E0" w14:textId="4FFD8971" w:rsidR="00830769" w:rsidRPr="00362D29" w:rsidRDefault="00830769" w:rsidP="00362D29">
      <w:pPr>
        <w:pStyle w:val="ab"/>
        <w:numPr>
          <w:ilvl w:val="0"/>
          <w:numId w:val="27"/>
        </w:numPr>
        <w:bidi/>
        <w:spacing w:line="360" w:lineRule="auto"/>
        <w:jc w:val="both"/>
        <w:rPr>
          <w:rFonts w:ascii="Traditional Arabic" w:hAnsi="Traditional Arabic" w:cs="Traditional Arabic"/>
          <w:b/>
          <w:bCs/>
          <w:color w:val="000000" w:themeColor="text1"/>
          <w:sz w:val="28"/>
          <w:szCs w:val="28"/>
          <w:rtl/>
        </w:rPr>
      </w:pPr>
      <w:r w:rsidRPr="00362D29">
        <w:rPr>
          <w:rFonts w:ascii="Traditional Arabic" w:hAnsi="Traditional Arabic" w:cs="Traditional Arabic"/>
          <w:b/>
          <w:bCs/>
          <w:color w:val="000000" w:themeColor="text1"/>
          <w:sz w:val="28"/>
          <w:szCs w:val="28"/>
          <w:rtl/>
        </w:rPr>
        <w:t>أهداف التميز المؤسسي</w:t>
      </w:r>
    </w:p>
    <w:p w14:paraId="64CAFE09" w14:textId="4AB36CEE" w:rsidR="00830769" w:rsidRPr="00362D29" w:rsidRDefault="00830769" w:rsidP="00362D29">
      <w:p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تتعدد أهداف التميز المؤسسي وفق السياقات التطبيقية،  وتتفق الأدبيات المعاصرة على أن التميز المؤسسي لا يمثل مجرد إطار تنظيمي، بل منظومة استراتيجية تسعى إلى تحقيق مجموعة من الأهداف المتكاملة التي تعزز الأداء المؤسسي بصورة مستدامة</w:t>
      </w:r>
      <w:r w:rsidR="00537BE5" w:rsidRPr="00362D29">
        <w:rPr>
          <w:rFonts w:ascii="Traditional Arabic" w:hAnsi="Traditional Arabic" w:cs="Traditional Arabic"/>
          <w:rtl/>
        </w:rPr>
        <w:t xml:space="preserve"> (</w:t>
      </w:r>
      <w:r w:rsidR="00537BE5" w:rsidRPr="00362D29">
        <w:rPr>
          <w:rFonts w:ascii="Traditional Arabic" w:hAnsi="Traditional Arabic" w:cs="Traditional Arabic"/>
          <w:color w:val="000000" w:themeColor="text1"/>
          <w:sz w:val="24"/>
          <w:szCs w:val="24"/>
          <w:rtl/>
        </w:rPr>
        <w:t>الرويلي، 2025).</w:t>
      </w:r>
      <w:r w:rsidRPr="00362D29">
        <w:rPr>
          <w:rFonts w:ascii="Traditional Arabic" w:hAnsi="Traditional Arabic" w:cs="Traditional Arabic"/>
          <w:color w:val="000000" w:themeColor="text1"/>
          <w:sz w:val="24"/>
          <w:szCs w:val="24"/>
          <w:rtl/>
        </w:rPr>
        <w:t xml:space="preserve"> ، كما تشير الدراسات إلى مجموعة من الأهداف الجوهرية المشتركة للتميز المؤسسي، من أبرزها والتي يمكن تنظيمها في المحاور الآتية</w:t>
      </w:r>
      <w:r w:rsidRPr="00362D29">
        <w:rPr>
          <w:rFonts w:ascii="Traditional Arabic" w:hAnsi="Traditional Arabic" w:cs="Traditional Arabic"/>
          <w:color w:val="000000" w:themeColor="text1"/>
          <w:sz w:val="24"/>
          <w:szCs w:val="24"/>
        </w:rPr>
        <w:t>:</w:t>
      </w:r>
    </w:p>
    <w:p w14:paraId="5A807C2E" w14:textId="77777777" w:rsidR="00830769" w:rsidRPr="00362D29" w:rsidRDefault="00830769" w:rsidP="00362D29">
      <w:pPr>
        <w:numPr>
          <w:ilvl w:val="0"/>
          <w:numId w:val="30"/>
        </w:numPr>
        <w:bidi/>
        <w:spacing w:line="360" w:lineRule="auto"/>
        <w:jc w:val="both"/>
        <w:rPr>
          <w:rFonts w:ascii="Traditional Arabic" w:hAnsi="Traditional Arabic" w:cs="Traditional Arabic"/>
          <w:b/>
          <w:bCs/>
          <w:color w:val="000000" w:themeColor="text1"/>
          <w:sz w:val="24"/>
          <w:szCs w:val="24"/>
        </w:rPr>
      </w:pPr>
      <w:r w:rsidRPr="00362D29">
        <w:rPr>
          <w:rFonts w:ascii="Traditional Arabic" w:hAnsi="Traditional Arabic" w:cs="Traditional Arabic"/>
          <w:b/>
          <w:bCs/>
          <w:color w:val="000000" w:themeColor="text1"/>
          <w:sz w:val="24"/>
          <w:szCs w:val="24"/>
          <w:rtl/>
        </w:rPr>
        <w:t>تحقيق أداء تنظيمي مستدام ومتفوق</w:t>
      </w:r>
    </w:p>
    <w:p w14:paraId="0E28D38B" w14:textId="77777777" w:rsidR="00830769" w:rsidRPr="00362D29" w:rsidRDefault="00830769" w:rsidP="00362D29">
      <w:p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 xml:space="preserve">بينت دراسة </w:t>
      </w:r>
      <w:r w:rsidRPr="00362D29">
        <w:rPr>
          <w:rFonts w:ascii="Traditional Arabic" w:hAnsi="Traditional Arabic" w:cs="Traditional Arabic"/>
          <w:color w:val="000000" w:themeColor="text1"/>
          <w:sz w:val="24"/>
          <w:szCs w:val="24"/>
        </w:rPr>
        <w:t xml:space="preserve"> (Barnawi, 2022)</w:t>
      </w:r>
      <w:r w:rsidRPr="00362D29">
        <w:rPr>
          <w:rFonts w:ascii="Traditional Arabic" w:hAnsi="Traditional Arabic" w:cs="Traditional Arabic"/>
          <w:color w:val="000000" w:themeColor="text1"/>
          <w:sz w:val="24"/>
          <w:szCs w:val="24"/>
          <w:rtl/>
        </w:rPr>
        <w:t>ان التميز المؤسسي يهدف إلى الانتقال بالمؤسسة من مستوى الأداء المقبول إلى مستوى الأداء المتفوق القادر على الاستمرارية في بيئة تنافسية متغيرة، من خلال تبني منهجية إدارية شاملة تركز على النتائج بعيدة المدى وليس الإنجازات المرحلية فقط. مما يعزز ذلك التحول من الإدارة التقليدية إلى الإدارة الاستراتيجية القائمة على خلق القيمة وتحقيق التوازن بين الممكنات والنتائج</w:t>
      </w:r>
      <w:r w:rsidRPr="00362D29">
        <w:rPr>
          <w:rFonts w:ascii="Traditional Arabic" w:hAnsi="Traditional Arabic" w:cs="Traditional Arabic"/>
          <w:color w:val="000000" w:themeColor="text1"/>
          <w:sz w:val="24"/>
          <w:szCs w:val="24"/>
        </w:rPr>
        <w:t>.</w:t>
      </w:r>
    </w:p>
    <w:p w14:paraId="4F484560" w14:textId="77777777" w:rsidR="00830769" w:rsidRPr="00362D29" w:rsidRDefault="00830769" w:rsidP="00362D29">
      <w:pPr>
        <w:numPr>
          <w:ilvl w:val="0"/>
          <w:numId w:val="29"/>
        </w:numPr>
        <w:bidi/>
        <w:spacing w:line="360" w:lineRule="auto"/>
        <w:jc w:val="both"/>
        <w:rPr>
          <w:rFonts w:ascii="Traditional Arabic" w:hAnsi="Traditional Arabic" w:cs="Traditional Arabic"/>
          <w:b/>
          <w:bCs/>
          <w:color w:val="000000" w:themeColor="text1"/>
          <w:sz w:val="24"/>
          <w:szCs w:val="24"/>
        </w:rPr>
      </w:pPr>
      <w:r w:rsidRPr="00362D29">
        <w:rPr>
          <w:rFonts w:ascii="Traditional Arabic" w:hAnsi="Traditional Arabic" w:cs="Traditional Arabic"/>
          <w:b/>
          <w:bCs/>
          <w:color w:val="000000" w:themeColor="text1"/>
          <w:sz w:val="24"/>
          <w:szCs w:val="24"/>
          <w:rtl/>
        </w:rPr>
        <w:t>رفع جودة الخدمات وتحسين نتائج الأداء</w:t>
      </w:r>
    </w:p>
    <w:p w14:paraId="229A5176" w14:textId="77777777" w:rsidR="00830769" w:rsidRPr="00362D29" w:rsidRDefault="00830769" w:rsidP="00362D29">
      <w:p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 xml:space="preserve">في السياق الصحي، أوضحت دراسة (الرويلي، 2025) ودراسة </w:t>
      </w:r>
      <w:r w:rsidRPr="00362D29">
        <w:rPr>
          <w:rFonts w:ascii="Traditional Arabic" w:hAnsi="Traditional Arabic" w:cs="Traditional Arabic"/>
          <w:color w:val="000000" w:themeColor="text1"/>
          <w:sz w:val="24"/>
          <w:szCs w:val="24"/>
        </w:rPr>
        <w:t>(Al-Samawi &amp; Al-Sayaghi, 2024)</w:t>
      </w:r>
      <w:r w:rsidRPr="00362D29">
        <w:rPr>
          <w:rFonts w:ascii="Traditional Arabic" w:hAnsi="Traditional Arabic" w:cs="Traditional Arabic"/>
          <w:color w:val="000000" w:themeColor="text1"/>
          <w:sz w:val="24"/>
          <w:szCs w:val="24"/>
          <w:rtl/>
        </w:rPr>
        <w:t xml:space="preserve"> ان الهدف الجوهري للتميز المؤسسي يتمثل في تحسين جودة الخدمات الصحية وتعزيز نتائج الرعاية من خلال تطوير العمليات الإدارية والسريرية ورفع كفاءتها كما</w:t>
      </w:r>
      <w:r w:rsidRPr="00362D29">
        <w:rPr>
          <w:rFonts w:ascii="Traditional Arabic" w:hAnsi="Traditional Arabic" w:cs="Traditional Arabic"/>
          <w:color w:val="000000" w:themeColor="text1"/>
          <w:sz w:val="24"/>
          <w:szCs w:val="24"/>
        </w:rPr>
        <w:t xml:space="preserve"> </w:t>
      </w:r>
      <w:r w:rsidRPr="00362D29">
        <w:rPr>
          <w:rFonts w:ascii="Traditional Arabic" w:hAnsi="Traditional Arabic" w:cs="Traditional Arabic"/>
          <w:color w:val="000000" w:themeColor="text1"/>
          <w:sz w:val="24"/>
          <w:szCs w:val="24"/>
          <w:rtl/>
        </w:rPr>
        <w:t>بينت دراسة (الغامدي، 2024) أن تبني الممارسات الاستراتيجية الإبداعية يسهم بصورة مباشرة في تعزيز مستويات التميز القيادي والتشغيلي داخل المستشفيات، مما ينعكس إيجابًا على جودة المخرجات الصحية</w:t>
      </w:r>
      <w:r w:rsidRPr="00362D29">
        <w:rPr>
          <w:rFonts w:ascii="Traditional Arabic" w:hAnsi="Traditional Arabic" w:cs="Traditional Arabic"/>
          <w:color w:val="000000" w:themeColor="text1"/>
          <w:sz w:val="24"/>
          <w:szCs w:val="24"/>
        </w:rPr>
        <w:t>.</w:t>
      </w:r>
    </w:p>
    <w:p w14:paraId="1533F0B0" w14:textId="77777777" w:rsidR="00830769" w:rsidRPr="00362D29" w:rsidRDefault="00830769" w:rsidP="00362D29">
      <w:pPr>
        <w:numPr>
          <w:ilvl w:val="0"/>
          <w:numId w:val="29"/>
        </w:numPr>
        <w:bidi/>
        <w:spacing w:line="360" w:lineRule="auto"/>
        <w:jc w:val="both"/>
        <w:rPr>
          <w:rFonts w:ascii="Traditional Arabic" w:hAnsi="Traditional Arabic" w:cs="Traditional Arabic"/>
          <w:color w:val="000000" w:themeColor="text1"/>
          <w:sz w:val="24"/>
          <w:szCs w:val="24"/>
          <w:rtl/>
        </w:rPr>
      </w:pPr>
      <w:r w:rsidRPr="00362D29">
        <w:rPr>
          <w:rFonts w:ascii="Traditional Arabic" w:hAnsi="Traditional Arabic" w:cs="Traditional Arabic"/>
          <w:b/>
          <w:bCs/>
          <w:color w:val="000000" w:themeColor="text1"/>
          <w:sz w:val="24"/>
          <w:szCs w:val="24"/>
          <w:rtl/>
        </w:rPr>
        <w:t xml:space="preserve">تمكين القيادات الإدارية من اتخاذ قرارات استراتيجية قائمة على البيانات </w:t>
      </w:r>
    </w:p>
    <w:p w14:paraId="04A55B18" w14:textId="77777777" w:rsidR="00830769" w:rsidRPr="00362D29" w:rsidRDefault="00830769" w:rsidP="00362D29">
      <w:pPr>
        <w:bidi/>
        <w:spacing w:line="360" w:lineRule="auto"/>
        <w:jc w:val="both"/>
        <w:rPr>
          <w:rFonts w:ascii="Traditional Arabic" w:hAnsi="Traditional Arabic" w:cs="Traditional Arabic"/>
          <w:color w:val="000000" w:themeColor="text1"/>
          <w:sz w:val="24"/>
          <w:szCs w:val="24"/>
          <w:rtl/>
        </w:rPr>
      </w:pPr>
      <w:r w:rsidRPr="00362D29">
        <w:rPr>
          <w:rFonts w:ascii="Traditional Arabic" w:hAnsi="Traditional Arabic" w:cs="Traditional Arabic"/>
          <w:color w:val="000000" w:themeColor="text1"/>
          <w:sz w:val="24"/>
          <w:szCs w:val="24"/>
          <w:rtl/>
        </w:rPr>
        <w:t>يُعد دعم القيادات الإدارية بالأدوات التحليلية والبيانات الدقيقة أحد الأهداف المحورية للتميز المؤسسي، حيث يسهم في تحسين جودة القرارات الاستراتيجية وتعزيز كفاءة تخصيص الموارد</w:t>
      </w:r>
      <w:r w:rsidRPr="00362D29">
        <w:rPr>
          <w:rFonts w:ascii="Traditional Arabic" w:hAnsi="Traditional Arabic" w:cs="Traditional Arabic"/>
          <w:color w:val="000000" w:themeColor="text1"/>
          <w:sz w:val="24"/>
          <w:szCs w:val="24"/>
        </w:rPr>
        <w:t xml:space="preserve">. </w:t>
      </w:r>
      <w:r w:rsidRPr="00362D29">
        <w:rPr>
          <w:rFonts w:ascii="Traditional Arabic" w:hAnsi="Traditional Arabic" w:cs="Traditional Arabic"/>
          <w:color w:val="000000" w:themeColor="text1"/>
          <w:sz w:val="24"/>
          <w:szCs w:val="24"/>
          <w:rtl/>
        </w:rPr>
        <w:t xml:space="preserve">ويؤكد هذا الهدف أهمية الحوكمة المؤسسية والقيادة القائمة على الأدلة في تحقيق نتائج مؤثرة ومستدامة </w:t>
      </w:r>
      <w:r w:rsidRPr="00362D29">
        <w:rPr>
          <w:rFonts w:ascii="Traditional Arabic" w:hAnsi="Traditional Arabic" w:cs="Traditional Arabic"/>
          <w:color w:val="000000" w:themeColor="text1"/>
          <w:sz w:val="24"/>
          <w:szCs w:val="24"/>
        </w:rPr>
        <w:t>(Alsaleem, 2025)</w:t>
      </w:r>
      <w:r w:rsidRPr="00362D29">
        <w:rPr>
          <w:rFonts w:ascii="Traditional Arabic" w:hAnsi="Traditional Arabic" w:cs="Traditional Arabic"/>
          <w:color w:val="000000" w:themeColor="text1"/>
          <w:sz w:val="24"/>
          <w:szCs w:val="24"/>
          <w:rtl/>
        </w:rPr>
        <w:t>.</w:t>
      </w:r>
    </w:p>
    <w:p w14:paraId="0012B0A8" w14:textId="77777777" w:rsidR="00537BE5" w:rsidRPr="00362D29" w:rsidRDefault="00537BE5" w:rsidP="00362D29">
      <w:pPr>
        <w:bidi/>
        <w:spacing w:line="360" w:lineRule="auto"/>
        <w:jc w:val="both"/>
        <w:rPr>
          <w:rFonts w:ascii="Traditional Arabic" w:hAnsi="Traditional Arabic" w:cs="Traditional Arabic"/>
          <w:color w:val="000000" w:themeColor="text1"/>
          <w:sz w:val="24"/>
          <w:szCs w:val="24"/>
          <w:rtl/>
        </w:rPr>
      </w:pPr>
    </w:p>
    <w:p w14:paraId="4190DEF8" w14:textId="77777777" w:rsidR="00537BE5" w:rsidRPr="00362D29" w:rsidRDefault="00537BE5" w:rsidP="00362D29">
      <w:pPr>
        <w:bidi/>
        <w:spacing w:line="360" w:lineRule="auto"/>
        <w:jc w:val="both"/>
        <w:rPr>
          <w:rFonts w:ascii="Traditional Arabic" w:hAnsi="Traditional Arabic" w:cs="Traditional Arabic"/>
          <w:color w:val="000000" w:themeColor="text1"/>
          <w:sz w:val="24"/>
          <w:szCs w:val="24"/>
          <w:rtl/>
        </w:rPr>
      </w:pPr>
    </w:p>
    <w:p w14:paraId="79CE035B" w14:textId="77777777" w:rsidR="00537BE5" w:rsidRPr="00362D29" w:rsidRDefault="00537BE5" w:rsidP="00362D29">
      <w:pPr>
        <w:bidi/>
        <w:spacing w:line="360" w:lineRule="auto"/>
        <w:jc w:val="both"/>
        <w:rPr>
          <w:rFonts w:ascii="Traditional Arabic" w:hAnsi="Traditional Arabic" w:cs="Traditional Arabic"/>
          <w:color w:val="000000" w:themeColor="text1"/>
          <w:sz w:val="24"/>
          <w:szCs w:val="24"/>
        </w:rPr>
      </w:pPr>
    </w:p>
    <w:p w14:paraId="56A46250" w14:textId="77777777" w:rsidR="00830769" w:rsidRPr="00362D29" w:rsidRDefault="00830769" w:rsidP="00362D29">
      <w:pPr>
        <w:numPr>
          <w:ilvl w:val="0"/>
          <w:numId w:val="29"/>
        </w:numPr>
        <w:bidi/>
        <w:spacing w:line="360" w:lineRule="auto"/>
        <w:jc w:val="both"/>
        <w:rPr>
          <w:rFonts w:ascii="Traditional Arabic" w:hAnsi="Traditional Arabic" w:cs="Traditional Arabic"/>
          <w:color w:val="000000" w:themeColor="text1"/>
          <w:sz w:val="24"/>
          <w:szCs w:val="24"/>
          <w:rtl/>
        </w:rPr>
      </w:pPr>
      <w:r w:rsidRPr="00362D29">
        <w:rPr>
          <w:rFonts w:ascii="Traditional Arabic" w:hAnsi="Traditional Arabic" w:cs="Traditional Arabic"/>
          <w:b/>
          <w:bCs/>
          <w:color w:val="000000" w:themeColor="text1"/>
          <w:sz w:val="24"/>
          <w:szCs w:val="24"/>
          <w:rtl/>
        </w:rPr>
        <w:lastRenderedPageBreak/>
        <w:t>دعم التكامل بين الاعتماد المؤسسي ونماذج الجودة</w:t>
      </w:r>
      <w:r w:rsidRPr="00362D29">
        <w:rPr>
          <w:rFonts w:ascii="Traditional Arabic" w:hAnsi="Traditional Arabic" w:cs="Traditional Arabic"/>
          <w:b/>
          <w:bCs/>
          <w:color w:val="000000" w:themeColor="text1"/>
          <w:sz w:val="24"/>
          <w:szCs w:val="24"/>
        </w:rPr>
        <w:t xml:space="preserve"> </w:t>
      </w:r>
    </w:p>
    <w:p w14:paraId="0A18A124" w14:textId="77777777" w:rsidR="000B335B" w:rsidRPr="00362D29" w:rsidRDefault="00830769" w:rsidP="00362D29">
      <w:pPr>
        <w:bidi/>
        <w:spacing w:line="360" w:lineRule="auto"/>
        <w:jc w:val="both"/>
        <w:rPr>
          <w:rFonts w:ascii="Traditional Arabic" w:hAnsi="Traditional Arabic" w:cs="Traditional Arabic"/>
          <w:color w:val="000000" w:themeColor="text1"/>
          <w:sz w:val="24"/>
          <w:szCs w:val="24"/>
          <w:rtl/>
        </w:rPr>
      </w:pPr>
      <w:r w:rsidRPr="00362D29">
        <w:rPr>
          <w:rFonts w:ascii="Traditional Arabic" w:hAnsi="Traditional Arabic" w:cs="Traditional Arabic"/>
          <w:color w:val="000000" w:themeColor="text1"/>
          <w:sz w:val="24"/>
          <w:szCs w:val="24"/>
          <w:rtl/>
        </w:rPr>
        <w:t xml:space="preserve">تشير دراسة </w:t>
      </w:r>
      <w:r w:rsidRPr="00362D29">
        <w:rPr>
          <w:rFonts w:ascii="Traditional Arabic" w:hAnsi="Traditional Arabic" w:cs="Traditional Arabic"/>
          <w:color w:val="000000" w:themeColor="text1"/>
          <w:sz w:val="24"/>
          <w:szCs w:val="24"/>
        </w:rPr>
        <w:t xml:space="preserve"> (Alsaleem, 2025)</w:t>
      </w:r>
      <w:r w:rsidRPr="00362D29">
        <w:rPr>
          <w:rFonts w:ascii="Traditional Arabic" w:hAnsi="Traditional Arabic" w:cs="Traditional Arabic"/>
          <w:color w:val="000000" w:themeColor="text1"/>
          <w:sz w:val="24"/>
          <w:szCs w:val="24"/>
          <w:rtl/>
        </w:rPr>
        <w:t>ان التميز المؤسسي يسعى إلى مواءمة معايير الاعتماد المؤسسي مع نماذج التميز العالمية والوطنية بما يحقق الاتساق بين متطلبات الجودة والتحسين المستمر</w:t>
      </w:r>
      <w:r w:rsidRPr="00362D29">
        <w:rPr>
          <w:rFonts w:ascii="Traditional Arabic" w:hAnsi="Traditional Arabic" w:cs="Traditional Arabic"/>
          <w:color w:val="000000" w:themeColor="text1"/>
          <w:sz w:val="24"/>
          <w:szCs w:val="24"/>
        </w:rPr>
        <w:t xml:space="preserve">. </w:t>
      </w:r>
      <w:r w:rsidRPr="00362D29">
        <w:rPr>
          <w:rFonts w:ascii="Traditional Arabic" w:hAnsi="Traditional Arabic" w:cs="Traditional Arabic"/>
          <w:color w:val="000000" w:themeColor="text1"/>
          <w:sz w:val="24"/>
          <w:szCs w:val="24"/>
          <w:rtl/>
        </w:rPr>
        <w:t>ويُسهم هذا التكامل في تقليل الازدواجية في الجهود، وتحقيق الاستفادة القصوى من أدوات القياس والتقييم المؤسسي</w:t>
      </w:r>
      <w:r w:rsidRPr="00362D29">
        <w:rPr>
          <w:rFonts w:ascii="Traditional Arabic" w:hAnsi="Traditional Arabic" w:cs="Traditional Arabic"/>
          <w:color w:val="000000" w:themeColor="text1"/>
          <w:sz w:val="24"/>
          <w:szCs w:val="24"/>
        </w:rPr>
        <w:t>.</w:t>
      </w:r>
    </w:p>
    <w:p w14:paraId="24A35CBF" w14:textId="67CBA227" w:rsidR="00830769" w:rsidRPr="00362D29" w:rsidRDefault="00830769" w:rsidP="00362D29">
      <w:pPr>
        <w:pStyle w:val="ab"/>
        <w:numPr>
          <w:ilvl w:val="0"/>
          <w:numId w:val="29"/>
        </w:numPr>
        <w:bidi/>
        <w:spacing w:line="360" w:lineRule="auto"/>
        <w:jc w:val="both"/>
        <w:rPr>
          <w:rFonts w:ascii="Traditional Arabic" w:hAnsi="Traditional Arabic" w:cs="Traditional Arabic"/>
          <w:color w:val="000000" w:themeColor="text1"/>
          <w:sz w:val="24"/>
          <w:szCs w:val="24"/>
          <w:rtl/>
        </w:rPr>
      </w:pPr>
      <w:r w:rsidRPr="00362D29">
        <w:rPr>
          <w:rFonts w:ascii="Traditional Arabic" w:hAnsi="Traditional Arabic" w:cs="Traditional Arabic"/>
          <w:b/>
          <w:bCs/>
          <w:color w:val="000000" w:themeColor="text1"/>
          <w:sz w:val="24"/>
          <w:szCs w:val="24"/>
          <w:rtl/>
        </w:rPr>
        <w:t xml:space="preserve">تعزيز ثقافة التحسين المستمر والابتكار التنظيمي </w:t>
      </w:r>
    </w:p>
    <w:p w14:paraId="2223CC93" w14:textId="320083F8" w:rsidR="00830769" w:rsidRPr="00362D29" w:rsidRDefault="00830769" w:rsidP="00362D29">
      <w:p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من الأهداف المهمة للتميز المؤسسي تحديد نقاط القوة ومجالات التحسين، وترتيب الأولويات الاستراتيجية استنادًا إلى تحليل منهجي للأداء، بما يساعد المؤسسة على التركيز على العوامل ذات التأثير الأعلى في النتائج.</w:t>
      </w:r>
      <w:r w:rsidRPr="00362D29">
        <w:rPr>
          <w:rFonts w:ascii="Traditional Arabic" w:hAnsi="Traditional Arabic" w:cs="Traditional Arabic"/>
          <w:color w:val="000000" w:themeColor="text1"/>
          <w:sz w:val="24"/>
          <w:szCs w:val="24"/>
        </w:rPr>
        <w:t xml:space="preserve"> </w:t>
      </w:r>
      <w:r w:rsidRPr="00362D29">
        <w:rPr>
          <w:rFonts w:ascii="Traditional Arabic" w:hAnsi="Traditional Arabic" w:cs="Traditional Arabic"/>
          <w:color w:val="000000" w:themeColor="text1"/>
          <w:sz w:val="24"/>
          <w:szCs w:val="24"/>
          <w:rtl/>
        </w:rPr>
        <w:t>ويُسهم ذلك في تقليل معوقات الأداء وتعزيز كفاءة تنفيذ الخطط الاستراتيجية (الغامدي، 2024).</w:t>
      </w:r>
      <w:r w:rsidR="00E304C9" w:rsidRPr="00362D29">
        <w:rPr>
          <w:rFonts w:ascii="Traditional Arabic" w:hAnsi="Traditional Arabic" w:cs="Traditional Arabic"/>
          <w:color w:val="000000" w:themeColor="text1"/>
          <w:sz w:val="24"/>
          <w:szCs w:val="24"/>
          <w:rtl/>
        </w:rPr>
        <w:t xml:space="preserve"> </w:t>
      </w:r>
      <w:r w:rsidRPr="00362D29">
        <w:rPr>
          <w:rFonts w:ascii="Traditional Arabic" w:hAnsi="Traditional Arabic" w:cs="Traditional Arabic"/>
          <w:b/>
          <w:bCs/>
          <w:color w:val="000000" w:themeColor="text1"/>
          <w:sz w:val="24"/>
          <w:szCs w:val="24"/>
          <w:rtl/>
        </w:rPr>
        <w:t xml:space="preserve">وفي القطاع الصحي </w:t>
      </w:r>
      <w:r w:rsidRPr="00362D29">
        <w:rPr>
          <w:rFonts w:ascii="Traditional Arabic" w:hAnsi="Traditional Arabic" w:cs="Traditional Arabic"/>
          <w:color w:val="000000" w:themeColor="text1"/>
          <w:sz w:val="24"/>
          <w:szCs w:val="24"/>
          <w:rtl/>
        </w:rPr>
        <w:t xml:space="preserve">، اشارت دراسة </w:t>
      </w:r>
      <w:r w:rsidRPr="00362D29">
        <w:rPr>
          <w:rFonts w:ascii="Traditional Arabic" w:hAnsi="Traditional Arabic" w:cs="Traditional Arabic"/>
          <w:color w:val="000000" w:themeColor="text1"/>
          <w:sz w:val="24"/>
          <w:szCs w:val="24"/>
        </w:rPr>
        <w:t>(Al-Samawi &amp; Al-Sayaghi, 2024)</w:t>
      </w:r>
      <w:r w:rsidRPr="00362D29">
        <w:rPr>
          <w:rFonts w:ascii="Traditional Arabic" w:hAnsi="Traditional Arabic" w:cs="Traditional Arabic"/>
          <w:color w:val="000000" w:themeColor="text1"/>
          <w:sz w:val="24"/>
          <w:szCs w:val="24"/>
          <w:rtl/>
        </w:rPr>
        <w:t xml:space="preserve"> إلى ان التميز المؤسسي يرتبط بهدف رئيسي يتمثل في </w:t>
      </w:r>
      <w:r w:rsidRPr="00362D29">
        <w:rPr>
          <w:rFonts w:ascii="Traditional Arabic" w:hAnsi="Traditional Arabic" w:cs="Traditional Arabic"/>
          <w:b/>
          <w:bCs/>
          <w:color w:val="000000" w:themeColor="text1"/>
          <w:sz w:val="24"/>
          <w:szCs w:val="24"/>
          <w:rtl/>
        </w:rPr>
        <w:t>تحقيق قيمة صحية مستدامة للمريض والمجتمع</w:t>
      </w:r>
      <w:r w:rsidRPr="00362D29">
        <w:rPr>
          <w:rFonts w:ascii="Traditional Arabic" w:hAnsi="Traditional Arabic" w:cs="Traditional Arabic"/>
          <w:color w:val="000000" w:themeColor="text1"/>
          <w:sz w:val="24"/>
          <w:szCs w:val="24"/>
          <w:rtl/>
        </w:rPr>
        <w:t xml:space="preserve"> عبر تحسين النتائج السريرية والإدارية </w:t>
      </w:r>
    </w:p>
    <w:p w14:paraId="21F03EE5" w14:textId="77777777" w:rsidR="0038217F" w:rsidRPr="00362D29" w:rsidRDefault="0038217F" w:rsidP="00362D29">
      <w:pPr>
        <w:pStyle w:val="ab"/>
        <w:numPr>
          <w:ilvl w:val="0"/>
          <w:numId w:val="28"/>
        </w:numPr>
        <w:bidi/>
        <w:spacing w:before="0" w:after="160" w:line="360" w:lineRule="auto"/>
        <w:rPr>
          <w:rFonts w:ascii="Traditional Arabic" w:hAnsi="Traditional Arabic" w:cs="Traditional Arabic"/>
          <w:b/>
          <w:bCs/>
          <w:sz w:val="24"/>
          <w:szCs w:val="24"/>
        </w:rPr>
      </w:pPr>
      <w:r w:rsidRPr="00362D29">
        <w:rPr>
          <w:rFonts w:ascii="Traditional Arabic" w:hAnsi="Traditional Arabic" w:cs="Traditional Arabic"/>
          <w:b/>
          <w:bCs/>
          <w:sz w:val="24"/>
          <w:szCs w:val="24"/>
          <w:rtl/>
        </w:rPr>
        <w:t>تعزيز القدرة التنافسية والسمعة المؤسسية</w:t>
      </w:r>
    </w:p>
    <w:p w14:paraId="651AA9A2" w14:textId="77777777" w:rsidR="005E4C22" w:rsidRPr="00362D29" w:rsidRDefault="005E4C22" w:rsidP="00362D29">
      <w:pPr>
        <w:bidi/>
        <w:spacing w:before="0" w:after="160" w:line="360" w:lineRule="auto"/>
        <w:jc w:val="both"/>
        <w:rPr>
          <w:rFonts w:ascii="Traditional Arabic" w:hAnsi="Traditional Arabic" w:cs="Traditional Arabic"/>
          <w:sz w:val="24"/>
          <w:szCs w:val="24"/>
        </w:rPr>
      </w:pPr>
      <w:r w:rsidRPr="00362D29">
        <w:rPr>
          <w:rFonts w:ascii="Traditional Arabic" w:hAnsi="Traditional Arabic" w:cs="Traditional Arabic"/>
          <w:sz w:val="24"/>
          <w:szCs w:val="24"/>
          <w:rtl/>
        </w:rPr>
        <w:t>بينت دراسة (</w:t>
      </w:r>
      <w:r w:rsidRPr="00362D29">
        <w:rPr>
          <w:rFonts w:ascii="Traditional Arabic" w:hAnsi="Traditional Arabic" w:cs="Traditional Arabic"/>
          <w:sz w:val="24"/>
          <w:szCs w:val="24"/>
        </w:rPr>
        <w:t>Salih &amp; Dolah, 2023</w:t>
      </w:r>
      <w:r w:rsidRPr="00362D29">
        <w:rPr>
          <w:rFonts w:ascii="Traditional Arabic" w:hAnsi="Traditional Arabic" w:cs="Traditional Arabic"/>
          <w:sz w:val="24"/>
          <w:szCs w:val="24"/>
          <w:rtl/>
        </w:rPr>
        <w:t>) أن التميز المؤسسي يهدف إلى تعزيز الموقع التنافسي للمؤسسة من خلال تحسين جودة الأداء ورفع كفاءة العمليات وتقديم قيمة مضافة للمستفيدين، بما يمكّنها من الاستجابة للتحديات وتحقيق نتائج مستدامة تتفوق بها على المنافسين</w:t>
      </w:r>
      <w:r w:rsidRPr="00362D29">
        <w:rPr>
          <w:rFonts w:ascii="Traditional Arabic" w:hAnsi="Traditional Arabic" w:cs="Traditional Arabic"/>
          <w:sz w:val="24"/>
          <w:szCs w:val="24"/>
        </w:rPr>
        <w:t xml:space="preserve"> </w:t>
      </w:r>
      <w:r w:rsidRPr="00362D29">
        <w:rPr>
          <w:rFonts w:ascii="Traditional Arabic" w:hAnsi="Traditional Arabic" w:cs="Traditional Arabic"/>
          <w:sz w:val="24"/>
          <w:szCs w:val="24"/>
          <w:rtl/>
        </w:rPr>
        <w:t>كما يسهم الالتزام بمعايير الجودة والحوكمة والشفافية في بناء سمعة مؤسسية إيجابية وتعزيز ثقة أصحاب المصلحة، خاصة في ظل وضوح الاستراتيجية وفعالية الاتصال التنظيمي</w:t>
      </w:r>
    </w:p>
    <w:p w14:paraId="376138B3" w14:textId="4E17913C" w:rsidR="001330FB" w:rsidRPr="00362D29" w:rsidRDefault="005E4C22" w:rsidP="00362D29">
      <w:pPr>
        <w:bidi/>
        <w:spacing w:before="0" w:after="160" w:line="360" w:lineRule="auto"/>
        <w:jc w:val="both"/>
        <w:rPr>
          <w:rFonts w:ascii="Traditional Arabic" w:hAnsi="Traditional Arabic" w:cs="Traditional Arabic"/>
          <w:sz w:val="24"/>
          <w:szCs w:val="24"/>
          <w:rtl/>
        </w:rPr>
      </w:pPr>
      <w:r w:rsidRPr="00362D29">
        <w:rPr>
          <w:rFonts w:ascii="Traditional Arabic" w:hAnsi="Traditional Arabic" w:cs="Traditional Arabic"/>
          <w:sz w:val="24"/>
          <w:szCs w:val="24"/>
          <w:rtl/>
        </w:rPr>
        <w:t>وفي القطاع الصحي، ترتبط القدرة التنافسية بقدرة المنشأة على جذب المستفيدين والحفاظ على رضاهم واستقطاب الكفاءات البشرية، مما يعزز مكانتها المهنية (البلوي وإسماعيل، 2025). وقد بينت دراسة (الرويلي، 2025) أن تطبيق عوامل التميز المؤسسي في إدارة المستشفيات يسهم في تحسين جودة الرعاية الصحية ورفع الأداء المؤسسي، وهو ما ينعكس إيجابًا على السمعة والمكانة التنافسية</w:t>
      </w:r>
      <w:r w:rsidRPr="00362D29">
        <w:rPr>
          <w:rFonts w:ascii="Traditional Arabic" w:hAnsi="Traditional Arabic" w:cs="Traditional Arabic"/>
          <w:sz w:val="24"/>
          <w:szCs w:val="24"/>
        </w:rPr>
        <w:t>.</w:t>
      </w:r>
    </w:p>
    <w:p w14:paraId="39092F47" w14:textId="26730D9F" w:rsidR="004B31D4" w:rsidRPr="00362D29" w:rsidRDefault="004B31D4" w:rsidP="00362D29">
      <w:pPr>
        <w:pStyle w:val="ab"/>
        <w:numPr>
          <w:ilvl w:val="0"/>
          <w:numId w:val="27"/>
        </w:numPr>
        <w:bidi/>
        <w:spacing w:line="360" w:lineRule="auto"/>
        <w:jc w:val="both"/>
        <w:rPr>
          <w:rFonts w:ascii="Traditional Arabic" w:hAnsi="Traditional Arabic" w:cs="Traditional Arabic"/>
          <w:b/>
          <w:bCs/>
          <w:color w:val="000000" w:themeColor="text1"/>
          <w:sz w:val="28"/>
          <w:szCs w:val="28"/>
        </w:rPr>
      </w:pPr>
      <w:r w:rsidRPr="00362D29">
        <w:rPr>
          <w:rFonts w:ascii="Traditional Arabic" w:hAnsi="Traditional Arabic" w:cs="Traditional Arabic"/>
          <w:b/>
          <w:bCs/>
          <w:color w:val="000000" w:themeColor="text1"/>
          <w:sz w:val="28"/>
          <w:szCs w:val="28"/>
          <w:rtl/>
        </w:rPr>
        <w:t>أهمية التميز المؤسسي</w:t>
      </w:r>
    </w:p>
    <w:p w14:paraId="3067828C" w14:textId="77777777" w:rsidR="004B31D4" w:rsidRPr="001416DA" w:rsidRDefault="004B31D4" w:rsidP="001416DA">
      <w:pPr>
        <w:pStyle w:val="ab"/>
        <w:numPr>
          <w:ilvl w:val="0"/>
          <w:numId w:val="29"/>
        </w:numPr>
        <w:bidi/>
        <w:spacing w:line="360" w:lineRule="auto"/>
        <w:jc w:val="both"/>
        <w:rPr>
          <w:rFonts w:ascii="Traditional Arabic" w:hAnsi="Traditional Arabic" w:cs="Traditional Arabic"/>
          <w:color w:val="000000" w:themeColor="text1"/>
          <w:sz w:val="24"/>
          <w:szCs w:val="24"/>
        </w:rPr>
      </w:pPr>
      <w:r w:rsidRPr="001416DA">
        <w:rPr>
          <w:rFonts w:ascii="Traditional Arabic" w:hAnsi="Traditional Arabic" w:cs="Traditional Arabic"/>
          <w:color w:val="000000" w:themeColor="text1"/>
          <w:sz w:val="24"/>
          <w:szCs w:val="24"/>
          <w:rtl/>
        </w:rPr>
        <w:t>تكمن أهمية التميز المؤسسي في كونه إطارًا استراتيجيًا متكاملًا يسمح بتقييم الأداء المؤسسي بصورة شمولية تربط بين الممكنات والنتائج، مما يضمن تحقيق التوازن بين المدخلات والعمليات والمخرجات (</w:t>
      </w:r>
      <w:r w:rsidRPr="001416DA">
        <w:rPr>
          <w:rFonts w:ascii="Traditional Arabic" w:hAnsi="Traditional Arabic" w:cs="Traditional Arabic"/>
          <w:color w:val="000000" w:themeColor="text1"/>
          <w:sz w:val="24"/>
          <w:szCs w:val="24"/>
        </w:rPr>
        <w:t>Barnawi, 2022</w:t>
      </w:r>
      <w:r w:rsidRPr="001416DA">
        <w:rPr>
          <w:rFonts w:ascii="Traditional Arabic" w:hAnsi="Traditional Arabic" w:cs="Traditional Arabic"/>
          <w:color w:val="000000" w:themeColor="text1"/>
          <w:sz w:val="24"/>
          <w:szCs w:val="24"/>
          <w:rtl/>
        </w:rPr>
        <w:t>).</w:t>
      </w:r>
    </w:p>
    <w:p w14:paraId="0E0800D7" w14:textId="372B5D5F" w:rsidR="004B31D4" w:rsidRPr="001416DA" w:rsidRDefault="008266A1" w:rsidP="001416DA">
      <w:pPr>
        <w:pStyle w:val="ab"/>
        <w:numPr>
          <w:ilvl w:val="0"/>
          <w:numId w:val="29"/>
        </w:numPr>
        <w:bidi/>
        <w:spacing w:line="360" w:lineRule="auto"/>
        <w:jc w:val="both"/>
        <w:rPr>
          <w:rFonts w:ascii="Traditional Arabic" w:hAnsi="Traditional Arabic" w:cs="Traditional Arabic"/>
          <w:color w:val="000000" w:themeColor="text1"/>
          <w:sz w:val="24"/>
          <w:szCs w:val="24"/>
        </w:rPr>
      </w:pPr>
      <w:r w:rsidRPr="001416DA">
        <w:rPr>
          <w:rFonts w:ascii="Traditional Arabic" w:hAnsi="Traditional Arabic" w:cs="Traditional Arabic"/>
          <w:color w:val="000000" w:themeColor="text1"/>
          <w:sz w:val="24"/>
          <w:szCs w:val="24"/>
          <w:rtl/>
        </w:rPr>
        <w:t>يُسهم</w:t>
      </w:r>
      <w:r w:rsidR="004B31D4" w:rsidRPr="001416DA">
        <w:rPr>
          <w:rFonts w:ascii="Traditional Arabic" w:hAnsi="Traditional Arabic" w:cs="Traditional Arabic"/>
          <w:color w:val="000000" w:themeColor="text1"/>
          <w:sz w:val="24"/>
          <w:szCs w:val="24"/>
          <w:rtl/>
        </w:rPr>
        <w:t xml:space="preserve"> </w:t>
      </w:r>
      <w:r w:rsidR="009F4ABE" w:rsidRPr="001416DA">
        <w:rPr>
          <w:rFonts w:ascii="Traditional Arabic" w:hAnsi="Traditional Arabic" w:cs="Traditional Arabic"/>
          <w:color w:val="000000" w:themeColor="text1"/>
          <w:sz w:val="24"/>
          <w:szCs w:val="24"/>
          <w:rtl/>
        </w:rPr>
        <w:t xml:space="preserve">التميز المؤسسي </w:t>
      </w:r>
      <w:r w:rsidR="004B31D4" w:rsidRPr="001416DA">
        <w:rPr>
          <w:rFonts w:ascii="Traditional Arabic" w:hAnsi="Traditional Arabic" w:cs="Traditional Arabic"/>
          <w:color w:val="000000" w:themeColor="text1"/>
          <w:sz w:val="24"/>
          <w:szCs w:val="24"/>
          <w:rtl/>
        </w:rPr>
        <w:t>في تحويل الاستراتيجية إلى مؤشرات أداء قابلة للقياس، مما يعزز فعالية الإدارة المؤسسية</w:t>
      </w:r>
      <w:r w:rsidRPr="001416DA">
        <w:rPr>
          <w:rFonts w:ascii="Traditional Arabic" w:hAnsi="Traditional Arabic" w:cs="Traditional Arabic"/>
          <w:color w:val="000000" w:themeColor="text1"/>
          <w:sz w:val="24"/>
          <w:szCs w:val="24"/>
          <w:rtl/>
        </w:rPr>
        <w:t xml:space="preserve"> (السيابي، 2024)</w:t>
      </w:r>
      <w:r w:rsidR="002237FA" w:rsidRPr="001416DA">
        <w:rPr>
          <w:rFonts w:ascii="Traditional Arabic" w:hAnsi="Traditional Arabic" w:cs="Traditional Arabic"/>
          <w:color w:val="000000" w:themeColor="text1"/>
          <w:sz w:val="24"/>
          <w:szCs w:val="24"/>
          <w:rtl/>
        </w:rPr>
        <w:t>.</w:t>
      </w:r>
    </w:p>
    <w:p w14:paraId="6414F29F" w14:textId="21768FCB" w:rsidR="004B31D4" w:rsidRPr="001416DA" w:rsidRDefault="004B31D4" w:rsidP="001416DA">
      <w:pPr>
        <w:pStyle w:val="ab"/>
        <w:numPr>
          <w:ilvl w:val="0"/>
          <w:numId w:val="29"/>
        </w:numPr>
        <w:bidi/>
        <w:spacing w:line="360" w:lineRule="auto"/>
        <w:jc w:val="both"/>
        <w:rPr>
          <w:rFonts w:ascii="Traditional Arabic" w:hAnsi="Traditional Arabic" w:cs="Traditional Arabic"/>
          <w:color w:val="000000" w:themeColor="text1"/>
          <w:sz w:val="24"/>
          <w:szCs w:val="24"/>
          <w:rtl/>
        </w:rPr>
      </w:pPr>
      <w:r w:rsidRPr="001416DA">
        <w:rPr>
          <w:rFonts w:ascii="Traditional Arabic" w:hAnsi="Traditional Arabic" w:cs="Traditional Arabic"/>
          <w:color w:val="000000" w:themeColor="text1"/>
          <w:sz w:val="24"/>
          <w:szCs w:val="24"/>
          <w:rtl/>
        </w:rPr>
        <w:t>تبني نماذج التميز المؤسسي يسهم في تحسين الحوكمة، وتعزيز ثقافة الجودة، وتحقيق الاستدامة التنظيمية، لا سيما في ظل التحولات الرقمية</w:t>
      </w:r>
      <w:r w:rsidR="002237FA" w:rsidRPr="001416DA">
        <w:rPr>
          <w:rFonts w:ascii="Traditional Arabic" w:hAnsi="Traditional Arabic" w:cs="Traditional Arabic"/>
          <w:color w:val="000000" w:themeColor="text1"/>
          <w:sz w:val="24"/>
          <w:szCs w:val="24"/>
          <w:rtl/>
        </w:rPr>
        <w:t>(</w:t>
      </w:r>
      <w:r w:rsidR="002237FA" w:rsidRPr="001416DA">
        <w:rPr>
          <w:rFonts w:ascii="Traditional Arabic" w:hAnsi="Traditional Arabic" w:cs="Traditional Arabic"/>
          <w:color w:val="000000" w:themeColor="text1"/>
          <w:sz w:val="24"/>
          <w:szCs w:val="24"/>
        </w:rPr>
        <w:t>Ahmed &amp; Sur, 2023</w:t>
      </w:r>
      <w:r w:rsidR="002237FA" w:rsidRPr="001416DA">
        <w:rPr>
          <w:rFonts w:ascii="Traditional Arabic" w:hAnsi="Traditional Arabic" w:cs="Traditional Arabic"/>
          <w:color w:val="000000" w:themeColor="text1"/>
          <w:sz w:val="24"/>
          <w:szCs w:val="24"/>
          <w:rtl/>
        </w:rPr>
        <w:t>).</w:t>
      </w:r>
    </w:p>
    <w:p w14:paraId="12ACB8A6" w14:textId="77777777" w:rsidR="004B31D4" w:rsidRPr="001416DA" w:rsidRDefault="004B31D4" w:rsidP="001416DA">
      <w:pPr>
        <w:pStyle w:val="ab"/>
        <w:numPr>
          <w:ilvl w:val="0"/>
          <w:numId w:val="29"/>
        </w:numPr>
        <w:bidi/>
        <w:spacing w:line="360" w:lineRule="auto"/>
        <w:jc w:val="both"/>
        <w:rPr>
          <w:rFonts w:ascii="Traditional Arabic" w:hAnsi="Traditional Arabic" w:cs="Traditional Arabic"/>
          <w:color w:val="000000" w:themeColor="text1"/>
          <w:sz w:val="24"/>
          <w:szCs w:val="24"/>
        </w:rPr>
      </w:pPr>
      <w:r w:rsidRPr="001416DA">
        <w:rPr>
          <w:rFonts w:ascii="Traditional Arabic" w:hAnsi="Traditional Arabic" w:cs="Traditional Arabic"/>
          <w:color w:val="000000" w:themeColor="text1"/>
          <w:sz w:val="24"/>
          <w:szCs w:val="24"/>
          <w:rtl/>
        </w:rPr>
        <w:lastRenderedPageBreak/>
        <w:t>وفي السياق السعودي، أوضحت دراسة (البلوي وإسماعيل، 2025) أن التزام الإدارة العليا يعد عاملاً حاسمًا في تحقيق التميز المؤسسي المستدام، حيث فسر الالتزام نسبة كبيرة من التغير في الأداء المؤسسي</w:t>
      </w:r>
      <w:r w:rsidRPr="001416DA">
        <w:rPr>
          <w:rFonts w:ascii="Traditional Arabic" w:hAnsi="Traditional Arabic" w:cs="Traditional Arabic"/>
          <w:color w:val="000000" w:themeColor="text1"/>
          <w:sz w:val="24"/>
          <w:szCs w:val="24"/>
        </w:rPr>
        <w:t>.</w:t>
      </w:r>
    </w:p>
    <w:p w14:paraId="07346797" w14:textId="77777777" w:rsidR="004B31D4" w:rsidRPr="001416DA" w:rsidRDefault="004B31D4" w:rsidP="001416DA">
      <w:pPr>
        <w:pStyle w:val="ab"/>
        <w:numPr>
          <w:ilvl w:val="0"/>
          <w:numId w:val="29"/>
        </w:numPr>
        <w:bidi/>
        <w:spacing w:line="360" w:lineRule="auto"/>
        <w:jc w:val="both"/>
        <w:rPr>
          <w:rFonts w:ascii="Traditional Arabic" w:hAnsi="Traditional Arabic" w:cs="Traditional Arabic"/>
          <w:color w:val="000000" w:themeColor="text1"/>
          <w:sz w:val="24"/>
          <w:szCs w:val="24"/>
        </w:rPr>
      </w:pPr>
      <w:r w:rsidRPr="001416DA">
        <w:rPr>
          <w:rFonts w:ascii="Traditional Arabic" w:hAnsi="Traditional Arabic" w:cs="Traditional Arabic"/>
          <w:color w:val="000000" w:themeColor="text1"/>
          <w:sz w:val="24"/>
          <w:szCs w:val="24"/>
          <w:rtl/>
        </w:rPr>
        <w:t>كما أظهرت دراسة</w:t>
      </w:r>
      <w:r w:rsidRPr="001416DA">
        <w:rPr>
          <w:rFonts w:ascii="Traditional Arabic" w:hAnsi="Traditional Arabic" w:cs="Traditional Arabic"/>
          <w:color w:val="000000" w:themeColor="text1"/>
          <w:sz w:val="24"/>
          <w:szCs w:val="24"/>
        </w:rPr>
        <w:t xml:space="preserve"> (Zehra et al., 2025) </w:t>
      </w:r>
      <w:r w:rsidRPr="001416DA">
        <w:rPr>
          <w:rFonts w:ascii="Traditional Arabic" w:hAnsi="Traditional Arabic" w:cs="Traditional Arabic"/>
          <w:color w:val="000000" w:themeColor="text1"/>
          <w:sz w:val="24"/>
          <w:szCs w:val="24"/>
          <w:rtl/>
        </w:rPr>
        <w:t>أن المؤسسات التي تطبق مبادئ التميز تحقق مستويات أعلى من الأداء المتوازن مقارنة بالمؤسسات التقليدية</w:t>
      </w:r>
      <w:r w:rsidRPr="001416DA">
        <w:rPr>
          <w:rFonts w:ascii="Traditional Arabic" w:hAnsi="Traditional Arabic" w:cs="Traditional Arabic"/>
          <w:color w:val="000000" w:themeColor="text1"/>
          <w:sz w:val="24"/>
          <w:szCs w:val="24"/>
        </w:rPr>
        <w:t>.</w:t>
      </w:r>
    </w:p>
    <w:p w14:paraId="0076B093" w14:textId="77777777" w:rsidR="004B31D4" w:rsidRPr="00362D29" w:rsidRDefault="004B31D4" w:rsidP="00362D29">
      <w:pPr>
        <w:bidi/>
        <w:spacing w:line="360" w:lineRule="auto"/>
        <w:jc w:val="both"/>
        <w:rPr>
          <w:rFonts w:ascii="Traditional Arabic" w:hAnsi="Traditional Arabic" w:cs="Traditional Arabic"/>
          <w:b/>
          <w:bCs/>
          <w:color w:val="000000" w:themeColor="text1"/>
          <w:sz w:val="24"/>
          <w:szCs w:val="24"/>
        </w:rPr>
      </w:pPr>
      <w:r w:rsidRPr="00362D29">
        <w:rPr>
          <w:rFonts w:ascii="Traditional Arabic" w:hAnsi="Traditional Arabic" w:cs="Traditional Arabic"/>
          <w:b/>
          <w:bCs/>
          <w:color w:val="000000" w:themeColor="text1"/>
          <w:sz w:val="24"/>
          <w:szCs w:val="24"/>
          <w:rtl/>
        </w:rPr>
        <w:t>وبذلك يمكن القول إن أهمية التميز المؤسسي تتجلى في</w:t>
      </w:r>
      <w:r w:rsidRPr="00362D29">
        <w:rPr>
          <w:rFonts w:ascii="Traditional Arabic" w:hAnsi="Traditional Arabic" w:cs="Traditional Arabic"/>
          <w:b/>
          <w:bCs/>
          <w:color w:val="000000" w:themeColor="text1"/>
          <w:sz w:val="24"/>
          <w:szCs w:val="24"/>
        </w:rPr>
        <w:t>:</w:t>
      </w:r>
    </w:p>
    <w:p w14:paraId="6460AB07" w14:textId="77777777" w:rsidR="004B31D4" w:rsidRPr="00362D29" w:rsidRDefault="004B31D4" w:rsidP="00362D29">
      <w:pPr>
        <w:numPr>
          <w:ilvl w:val="0"/>
          <w:numId w:val="31"/>
        </w:num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توفير إطار استراتيجي موحد لتقييم الأداء</w:t>
      </w:r>
      <w:r w:rsidRPr="00362D29">
        <w:rPr>
          <w:rFonts w:ascii="Traditional Arabic" w:hAnsi="Traditional Arabic" w:cs="Traditional Arabic"/>
          <w:color w:val="000000" w:themeColor="text1"/>
          <w:sz w:val="24"/>
          <w:szCs w:val="24"/>
        </w:rPr>
        <w:t>.</w:t>
      </w:r>
    </w:p>
    <w:p w14:paraId="6B8E0B26" w14:textId="77777777" w:rsidR="004B31D4" w:rsidRPr="00362D29" w:rsidRDefault="004B31D4" w:rsidP="00362D29">
      <w:pPr>
        <w:numPr>
          <w:ilvl w:val="0"/>
          <w:numId w:val="31"/>
        </w:num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تعزيز التكامل بين الجودة والحوكمة</w:t>
      </w:r>
      <w:r w:rsidRPr="00362D29">
        <w:rPr>
          <w:rFonts w:ascii="Traditional Arabic" w:hAnsi="Traditional Arabic" w:cs="Traditional Arabic"/>
          <w:color w:val="000000" w:themeColor="text1"/>
          <w:sz w:val="24"/>
          <w:szCs w:val="24"/>
        </w:rPr>
        <w:t>.</w:t>
      </w:r>
    </w:p>
    <w:p w14:paraId="434EB3C8" w14:textId="77777777" w:rsidR="004B31D4" w:rsidRPr="00362D29" w:rsidRDefault="004B31D4" w:rsidP="00362D29">
      <w:pPr>
        <w:numPr>
          <w:ilvl w:val="0"/>
          <w:numId w:val="31"/>
        </w:num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دعم التحول المؤسسي والرقمي</w:t>
      </w:r>
      <w:r w:rsidRPr="00362D29">
        <w:rPr>
          <w:rFonts w:ascii="Traditional Arabic" w:hAnsi="Traditional Arabic" w:cs="Traditional Arabic"/>
          <w:color w:val="000000" w:themeColor="text1"/>
          <w:sz w:val="24"/>
          <w:szCs w:val="24"/>
        </w:rPr>
        <w:t>.</w:t>
      </w:r>
    </w:p>
    <w:p w14:paraId="3D53C69D" w14:textId="77777777" w:rsidR="004B31D4" w:rsidRPr="00362D29" w:rsidRDefault="004B31D4" w:rsidP="00362D29">
      <w:pPr>
        <w:numPr>
          <w:ilvl w:val="0"/>
          <w:numId w:val="31"/>
        </w:num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تحقيق نتائج متوازنة بين الأداء المالي والتشغيلي وخدمة المستفيد</w:t>
      </w:r>
      <w:r w:rsidRPr="00362D29">
        <w:rPr>
          <w:rFonts w:ascii="Traditional Arabic" w:hAnsi="Traditional Arabic" w:cs="Traditional Arabic"/>
          <w:color w:val="000000" w:themeColor="text1"/>
          <w:sz w:val="24"/>
          <w:szCs w:val="24"/>
        </w:rPr>
        <w:t>.</w:t>
      </w:r>
    </w:p>
    <w:p w14:paraId="51F74F66" w14:textId="77777777" w:rsidR="004B31D4" w:rsidRPr="00362D29" w:rsidRDefault="004B31D4" w:rsidP="00362D29">
      <w:pPr>
        <w:numPr>
          <w:ilvl w:val="0"/>
          <w:numId w:val="31"/>
        </w:num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ضمان الاستدامة المؤسسية طويلة المدى</w:t>
      </w:r>
      <w:r w:rsidRPr="00362D29">
        <w:rPr>
          <w:rFonts w:ascii="Traditional Arabic" w:hAnsi="Traditional Arabic" w:cs="Traditional Arabic"/>
          <w:color w:val="000000" w:themeColor="text1"/>
          <w:sz w:val="24"/>
          <w:szCs w:val="24"/>
        </w:rPr>
        <w:t>.</w:t>
      </w:r>
    </w:p>
    <w:p w14:paraId="06A1A0C1" w14:textId="67E8B694" w:rsidR="005A276F" w:rsidRPr="00362D29" w:rsidRDefault="005A276F" w:rsidP="00362D29">
      <w:pPr>
        <w:pStyle w:val="ab"/>
        <w:numPr>
          <w:ilvl w:val="0"/>
          <w:numId w:val="27"/>
        </w:numPr>
        <w:bidi/>
        <w:spacing w:line="360" w:lineRule="auto"/>
        <w:jc w:val="both"/>
        <w:rPr>
          <w:rFonts w:ascii="Traditional Arabic" w:hAnsi="Traditional Arabic" w:cs="Traditional Arabic"/>
          <w:b/>
          <w:bCs/>
          <w:color w:val="000000" w:themeColor="text1"/>
          <w:sz w:val="28"/>
          <w:szCs w:val="28"/>
        </w:rPr>
      </w:pPr>
      <w:r w:rsidRPr="00362D29">
        <w:rPr>
          <w:rFonts w:ascii="Traditional Arabic" w:hAnsi="Traditional Arabic" w:cs="Traditional Arabic"/>
          <w:b/>
          <w:bCs/>
          <w:color w:val="000000" w:themeColor="text1"/>
          <w:sz w:val="28"/>
          <w:szCs w:val="28"/>
          <w:rtl/>
        </w:rPr>
        <w:t>أبعاد التميز المؤسسي</w:t>
      </w:r>
    </w:p>
    <w:p w14:paraId="01A0ADC3" w14:textId="77777777" w:rsidR="005A276F" w:rsidRPr="00362D29" w:rsidRDefault="005A276F" w:rsidP="00362D29">
      <w:pPr>
        <w:bidi/>
        <w:spacing w:before="0" w:after="160" w:line="360" w:lineRule="auto"/>
        <w:jc w:val="both"/>
        <w:rPr>
          <w:rFonts w:ascii="Traditional Arabic" w:hAnsi="Traditional Arabic" w:cs="Traditional Arabic"/>
          <w:sz w:val="24"/>
          <w:szCs w:val="24"/>
        </w:rPr>
      </w:pPr>
      <w:r w:rsidRPr="00362D29">
        <w:rPr>
          <w:rFonts w:ascii="Traditional Arabic" w:hAnsi="Traditional Arabic" w:cs="Traditional Arabic"/>
          <w:sz w:val="24"/>
          <w:szCs w:val="24"/>
          <w:rtl/>
        </w:rPr>
        <w:t>يرتكز التميز المؤسسي على مجموعة من الأبعاد المتكاملة التي تشكل البنية الهيكلية لأي نموذج تميز ، حيث تتفاعل هذه الأبعاد بصورة ديناميكية لتحقيق نتائج مستدامة ومتوازنة، وقد أكدت دراسة</w:t>
      </w:r>
      <w:r w:rsidRPr="00362D29">
        <w:rPr>
          <w:rFonts w:ascii="Traditional Arabic" w:hAnsi="Traditional Arabic" w:cs="Traditional Arabic"/>
          <w:sz w:val="24"/>
          <w:szCs w:val="24"/>
        </w:rPr>
        <w:t xml:space="preserve"> (Barnawi, 2022) </w:t>
      </w:r>
      <w:r w:rsidRPr="00362D29">
        <w:rPr>
          <w:rFonts w:ascii="Traditional Arabic" w:hAnsi="Traditional Arabic" w:cs="Traditional Arabic"/>
          <w:sz w:val="24"/>
          <w:szCs w:val="24"/>
          <w:rtl/>
        </w:rPr>
        <w:t>أن هذه الأبعاد تمثل الأساس الذي تقوم عليه نماذج التميز المؤسسي المعاصرة. وبالرغم من تنوع أبعاد التميز المؤسسي، إلا أن معظم الدراسات تتفق على أبعاد رئيسية تشمل</w:t>
      </w:r>
      <w:r w:rsidRPr="00362D29">
        <w:rPr>
          <w:rFonts w:ascii="Traditional Arabic" w:hAnsi="Traditional Arabic" w:cs="Traditional Arabic"/>
          <w:sz w:val="24"/>
          <w:szCs w:val="24"/>
        </w:rPr>
        <w:t>:</w:t>
      </w:r>
    </w:p>
    <w:p w14:paraId="0C36B44F" w14:textId="44E572B3" w:rsidR="005A276F" w:rsidRPr="00362D29" w:rsidRDefault="005A276F" w:rsidP="00362D29">
      <w:pPr>
        <w:pStyle w:val="ab"/>
        <w:numPr>
          <w:ilvl w:val="0"/>
          <w:numId w:val="28"/>
        </w:numPr>
        <w:bidi/>
        <w:spacing w:before="0" w:after="160" w:line="360" w:lineRule="auto"/>
        <w:jc w:val="both"/>
        <w:rPr>
          <w:rFonts w:ascii="Traditional Arabic" w:hAnsi="Traditional Arabic" w:cs="Traditional Arabic"/>
          <w:b/>
          <w:bCs/>
          <w:sz w:val="24"/>
          <w:szCs w:val="24"/>
        </w:rPr>
      </w:pPr>
      <w:r w:rsidRPr="00362D29">
        <w:rPr>
          <w:rFonts w:ascii="Traditional Arabic" w:hAnsi="Traditional Arabic" w:cs="Traditional Arabic"/>
          <w:b/>
          <w:bCs/>
          <w:sz w:val="24"/>
          <w:szCs w:val="24"/>
          <w:rtl/>
        </w:rPr>
        <w:t>القيادة</w:t>
      </w:r>
    </w:p>
    <w:p w14:paraId="29B00375" w14:textId="77777777" w:rsidR="005A276F" w:rsidRPr="00362D29" w:rsidRDefault="005A276F" w:rsidP="00362D29">
      <w:pPr>
        <w:bidi/>
        <w:spacing w:before="0" w:after="160" w:line="360" w:lineRule="auto"/>
        <w:jc w:val="both"/>
        <w:rPr>
          <w:rFonts w:ascii="Traditional Arabic" w:hAnsi="Traditional Arabic" w:cs="Traditional Arabic"/>
          <w:sz w:val="24"/>
          <w:szCs w:val="24"/>
          <w:rtl/>
        </w:rPr>
      </w:pPr>
      <w:r w:rsidRPr="00362D29">
        <w:rPr>
          <w:rFonts w:ascii="Traditional Arabic" w:hAnsi="Traditional Arabic" w:cs="Traditional Arabic"/>
          <w:sz w:val="24"/>
          <w:szCs w:val="24"/>
          <w:rtl/>
        </w:rPr>
        <w:t>تمثل القيادة الركيزة الجوهرية في تحقيق التميز المؤسسي، إذ تضطلع بدور استراتيجي في صياغة الرؤية وتحديد الاتجاهات المستقبلية، إضافة إلى ترسيخ ثقافة التحسين المستمر داخل المؤسسة. فالقيادة الفاعلة لا تقتصر على التوجيه الإداري، بل تمتد إلى تمكين العاملين وتحفيزهم، وتعزيز الالتزام بالقيم المؤسسية، ودعم الابتكار التنظيمي. وقد أوضحت دراسة</w:t>
      </w:r>
      <w:r w:rsidRPr="00362D29">
        <w:rPr>
          <w:rFonts w:ascii="Traditional Arabic" w:hAnsi="Traditional Arabic" w:cs="Traditional Arabic"/>
          <w:sz w:val="24"/>
          <w:szCs w:val="24"/>
        </w:rPr>
        <w:t xml:space="preserve"> (Al-Samawi &amp; Al-Sayaghi, 2024) </w:t>
      </w:r>
      <w:r w:rsidRPr="00362D29">
        <w:rPr>
          <w:rFonts w:ascii="Traditional Arabic" w:hAnsi="Traditional Arabic" w:cs="Traditional Arabic"/>
          <w:sz w:val="24"/>
          <w:szCs w:val="24"/>
          <w:rtl/>
        </w:rPr>
        <w:t>أن القيادة ترتبط إيجابيًا بجودة الخدمات الصحية، كما بينت دراسة</w:t>
      </w:r>
      <w:r w:rsidRPr="00362D29">
        <w:rPr>
          <w:rFonts w:ascii="Traditional Arabic" w:hAnsi="Traditional Arabic" w:cs="Traditional Arabic"/>
          <w:sz w:val="24"/>
          <w:szCs w:val="24"/>
        </w:rPr>
        <w:t xml:space="preserve"> (Alsaleem, 2025) </w:t>
      </w:r>
      <w:r w:rsidRPr="00362D29">
        <w:rPr>
          <w:rFonts w:ascii="Traditional Arabic" w:hAnsi="Traditional Arabic" w:cs="Traditional Arabic"/>
          <w:sz w:val="24"/>
          <w:szCs w:val="24"/>
          <w:rtl/>
        </w:rPr>
        <w:t>وجود توافق واضح بين معايير القيادة في برامج الاعتماد الوطني وأبعاد نموذج التميز المؤسسي، مما يعكس أهميتها المحورية في البيئة الصحية السعودية</w:t>
      </w:r>
      <w:r w:rsidRPr="00362D29">
        <w:rPr>
          <w:rFonts w:ascii="Traditional Arabic" w:hAnsi="Traditional Arabic" w:cs="Traditional Arabic"/>
          <w:sz w:val="24"/>
          <w:szCs w:val="24"/>
        </w:rPr>
        <w:t>.</w:t>
      </w:r>
    </w:p>
    <w:p w14:paraId="5D5E0B92" w14:textId="77777777" w:rsidR="00537BE5" w:rsidRPr="00362D29" w:rsidRDefault="00537BE5" w:rsidP="00362D29">
      <w:pPr>
        <w:bidi/>
        <w:spacing w:before="0" w:after="160" w:line="360" w:lineRule="auto"/>
        <w:jc w:val="both"/>
        <w:rPr>
          <w:rFonts w:ascii="Traditional Arabic" w:hAnsi="Traditional Arabic" w:cs="Traditional Arabic"/>
          <w:sz w:val="24"/>
          <w:szCs w:val="24"/>
          <w:rtl/>
        </w:rPr>
      </w:pPr>
    </w:p>
    <w:p w14:paraId="142F1271" w14:textId="77777777" w:rsidR="00537BE5" w:rsidRPr="00362D29" w:rsidRDefault="00537BE5" w:rsidP="00362D29">
      <w:pPr>
        <w:bidi/>
        <w:spacing w:before="0" w:after="160" w:line="360" w:lineRule="auto"/>
        <w:jc w:val="both"/>
        <w:rPr>
          <w:rFonts w:ascii="Traditional Arabic" w:hAnsi="Traditional Arabic" w:cs="Traditional Arabic"/>
          <w:sz w:val="24"/>
          <w:szCs w:val="24"/>
        </w:rPr>
      </w:pPr>
    </w:p>
    <w:p w14:paraId="60816CCA" w14:textId="77777777" w:rsidR="005A276F" w:rsidRPr="00362D29" w:rsidRDefault="005A276F" w:rsidP="00362D29">
      <w:pPr>
        <w:pStyle w:val="ab"/>
        <w:numPr>
          <w:ilvl w:val="0"/>
          <w:numId w:val="28"/>
        </w:numPr>
        <w:bidi/>
        <w:spacing w:before="0" w:after="160" w:line="360" w:lineRule="auto"/>
        <w:jc w:val="both"/>
        <w:rPr>
          <w:rFonts w:ascii="Traditional Arabic" w:hAnsi="Traditional Arabic" w:cs="Traditional Arabic"/>
          <w:b/>
          <w:bCs/>
          <w:sz w:val="24"/>
          <w:szCs w:val="24"/>
        </w:rPr>
      </w:pPr>
      <w:r w:rsidRPr="00362D29">
        <w:rPr>
          <w:rFonts w:ascii="Traditional Arabic" w:hAnsi="Traditional Arabic" w:cs="Traditional Arabic"/>
          <w:b/>
          <w:bCs/>
          <w:sz w:val="24"/>
          <w:szCs w:val="24"/>
          <w:rtl/>
        </w:rPr>
        <w:lastRenderedPageBreak/>
        <w:t>الاستراتيجية</w:t>
      </w:r>
    </w:p>
    <w:p w14:paraId="60377C4D" w14:textId="77777777" w:rsidR="005A276F" w:rsidRPr="00362D29" w:rsidRDefault="005A276F" w:rsidP="00362D29">
      <w:pPr>
        <w:bidi/>
        <w:spacing w:before="0" w:after="160" w:line="360" w:lineRule="auto"/>
        <w:jc w:val="both"/>
        <w:rPr>
          <w:rFonts w:ascii="Traditional Arabic" w:hAnsi="Traditional Arabic" w:cs="Traditional Arabic"/>
          <w:sz w:val="24"/>
          <w:szCs w:val="24"/>
        </w:rPr>
      </w:pPr>
      <w:r w:rsidRPr="00362D29">
        <w:rPr>
          <w:rFonts w:ascii="Traditional Arabic" w:hAnsi="Traditional Arabic" w:cs="Traditional Arabic"/>
          <w:sz w:val="24"/>
          <w:szCs w:val="24"/>
          <w:rtl/>
        </w:rPr>
        <w:t>يقوم التميز المؤسسي على وجود استراتيجية واضحة ومعلنة تستند إلى تحليل بيئي شامل، وتترجم الرؤية المؤسسية إلى أهداف قابلة للقياس والتنفيذ. فالاستراتيجية المتميزة تضمن مواءمة الموارد مع الأولويات، وتربط الخطط التشغيلية بالأهداف بعيدة المدى. وقد أظهرت دراسة (الغامدي، 2024) وجود علاقة قوية بين الممارسات الاستراتيجية الإبداعية ومستوى التميز المؤسسي، مما يؤكد أن وضوح التوجه الاستراتيجي يمثل أحد محددات التفوق المؤسسي</w:t>
      </w:r>
      <w:r w:rsidRPr="00362D29">
        <w:rPr>
          <w:rFonts w:ascii="Traditional Arabic" w:hAnsi="Traditional Arabic" w:cs="Traditional Arabic"/>
          <w:sz w:val="24"/>
          <w:szCs w:val="24"/>
        </w:rPr>
        <w:t>.</w:t>
      </w:r>
    </w:p>
    <w:p w14:paraId="4BA88252" w14:textId="7CC15B54" w:rsidR="005A276F" w:rsidRPr="00362D29" w:rsidRDefault="005A276F" w:rsidP="00362D29">
      <w:pPr>
        <w:pStyle w:val="ab"/>
        <w:numPr>
          <w:ilvl w:val="0"/>
          <w:numId w:val="28"/>
        </w:numPr>
        <w:bidi/>
        <w:spacing w:before="0" w:after="160" w:line="360" w:lineRule="auto"/>
        <w:jc w:val="both"/>
        <w:rPr>
          <w:rFonts w:ascii="Traditional Arabic" w:hAnsi="Traditional Arabic" w:cs="Traditional Arabic"/>
          <w:b/>
          <w:bCs/>
          <w:sz w:val="24"/>
          <w:szCs w:val="24"/>
        </w:rPr>
      </w:pPr>
      <w:r w:rsidRPr="00362D29">
        <w:rPr>
          <w:rFonts w:ascii="Traditional Arabic" w:hAnsi="Traditional Arabic" w:cs="Traditional Arabic"/>
          <w:b/>
          <w:bCs/>
          <w:sz w:val="24"/>
          <w:szCs w:val="24"/>
          <w:rtl/>
        </w:rPr>
        <w:t>الموارد البشرية</w:t>
      </w:r>
    </w:p>
    <w:p w14:paraId="1A9C504B" w14:textId="77777777" w:rsidR="005A276F" w:rsidRPr="00362D29" w:rsidRDefault="005A276F" w:rsidP="00362D29">
      <w:pPr>
        <w:bidi/>
        <w:spacing w:before="0" w:after="160" w:line="360" w:lineRule="auto"/>
        <w:jc w:val="both"/>
        <w:rPr>
          <w:rFonts w:ascii="Traditional Arabic" w:hAnsi="Traditional Arabic" w:cs="Traditional Arabic"/>
          <w:sz w:val="24"/>
          <w:szCs w:val="24"/>
        </w:rPr>
      </w:pPr>
      <w:r w:rsidRPr="00362D29">
        <w:rPr>
          <w:rFonts w:ascii="Traditional Arabic" w:hAnsi="Traditional Arabic" w:cs="Traditional Arabic"/>
          <w:sz w:val="24"/>
          <w:szCs w:val="24"/>
          <w:rtl/>
        </w:rPr>
        <w:t>يشكل المورد البشري عنصرًا حاسمًا في تحقيق التميز، إذ يعتمد الأداء المؤسسي على كفاءة العاملين، ومستوى تمكينهم، ومشاركتهم في اتخاذ القرار. ويتحقق ذلك من خلال التدريب المستمر، والتحفيز، وبناء ثقافة تنظيمية داعمة للأداء العالي. وقد أكدت دراسة</w:t>
      </w:r>
      <w:r w:rsidRPr="00362D29">
        <w:rPr>
          <w:rFonts w:ascii="Traditional Arabic" w:hAnsi="Traditional Arabic" w:cs="Traditional Arabic"/>
          <w:sz w:val="24"/>
          <w:szCs w:val="24"/>
        </w:rPr>
        <w:t xml:space="preserve"> (Barnawi, 2022) </w:t>
      </w:r>
      <w:r w:rsidRPr="00362D29">
        <w:rPr>
          <w:rFonts w:ascii="Traditional Arabic" w:hAnsi="Traditional Arabic" w:cs="Traditional Arabic"/>
          <w:sz w:val="24"/>
          <w:szCs w:val="24"/>
          <w:rtl/>
        </w:rPr>
        <w:t>أن الأفراد يمثلون أحد ممكنات التميز الرئيسة في النماذج العالمية، كما بينت دراسة</w:t>
      </w:r>
      <w:r w:rsidRPr="00362D29">
        <w:rPr>
          <w:rFonts w:ascii="Traditional Arabic" w:hAnsi="Traditional Arabic" w:cs="Traditional Arabic"/>
          <w:sz w:val="24"/>
          <w:szCs w:val="24"/>
        </w:rPr>
        <w:t xml:space="preserve"> (Alsaleem, 2025) </w:t>
      </w:r>
      <w:r w:rsidRPr="00362D29">
        <w:rPr>
          <w:rFonts w:ascii="Traditional Arabic" w:hAnsi="Traditional Arabic" w:cs="Traditional Arabic"/>
          <w:sz w:val="24"/>
          <w:szCs w:val="24"/>
          <w:rtl/>
        </w:rPr>
        <w:t>أهمية تكامل إدارة الموارد البشرية مع معايير الاعتماد لتحقيق الأداء المتميز داخل المستشفيات</w:t>
      </w:r>
      <w:r w:rsidRPr="00362D29">
        <w:rPr>
          <w:rFonts w:ascii="Traditional Arabic" w:hAnsi="Traditional Arabic" w:cs="Traditional Arabic"/>
          <w:sz w:val="24"/>
          <w:szCs w:val="24"/>
        </w:rPr>
        <w:t>.</w:t>
      </w:r>
    </w:p>
    <w:p w14:paraId="79C1122D" w14:textId="72BB4148" w:rsidR="005A276F" w:rsidRPr="00362D29" w:rsidRDefault="005A276F" w:rsidP="00362D29">
      <w:pPr>
        <w:pStyle w:val="ab"/>
        <w:numPr>
          <w:ilvl w:val="0"/>
          <w:numId w:val="28"/>
        </w:numPr>
        <w:bidi/>
        <w:spacing w:before="0" w:after="160" w:line="360" w:lineRule="auto"/>
        <w:jc w:val="both"/>
        <w:rPr>
          <w:rFonts w:ascii="Traditional Arabic" w:hAnsi="Traditional Arabic" w:cs="Traditional Arabic"/>
          <w:b/>
          <w:bCs/>
          <w:sz w:val="24"/>
          <w:szCs w:val="24"/>
        </w:rPr>
      </w:pPr>
      <w:r w:rsidRPr="00362D29">
        <w:rPr>
          <w:rFonts w:ascii="Traditional Arabic" w:hAnsi="Traditional Arabic" w:cs="Traditional Arabic"/>
          <w:b/>
          <w:bCs/>
          <w:sz w:val="24"/>
          <w:szCs w:val="24"/>
          <w:rtl/>
        </w:rPr>
        <w:t>العمليات</w:t>
      </w:r>
    </w:p>
    <w:p w14:paraId="7EE34CBE" w14:textId="77777777" w:rsidR="005A276F" w:rsidRPr="00362D29" w:rsidRDefault="005A276F" w:rsidP="00362D29">
      <w:pPr>
        <w:bidi/>
        <w:spacing w:before="0" w:after="160" w:line="360" w:lineRule="auto"/>
        <w:jc w:val="both"/>
        <w:rPr>
          <w:rFonts w:ascii="Traditional Arabic" w:hAnsi="Traditional Arabic" w:cs="Traditional Arabic"/>
          <w:sz w:val="24"/>
          <w:szCs w:val="24"/>
        </w:rPr>
      </w:pPr>
      <w:r w:rsidRPr="00362D29">
        <w:rPr>
          <w:rFonts w:ascii="Traditional Arabic" w:hAnsi="Traditional Arabic" w:cs="Traditional Arabic"/>
          <w:sz w:val="24"/>
          <w:szCs w:val="24"/>
          <w:rtl/>
        </w:rPr>
        <w:t>تمثل العمليات الإدارية والتشغيلية الإطار الذي يتم من خلاله تحويل الموارد إلى نتائج، ويعد تحسين العمليات بصورة مستمرة شرطًا أساسيًا لتحقيق الكفاءة والجودة. فالعمليات الفعالة تتسم بالوضوح، والانسيابية، وتقليل الهدر، والاعتماد على مؤشرات أداء دقيقة. وقد أشارت دراسة</w:t>
      </w:r>
      <w:r w:rsidRPr="00362D29">
        <w:rPr>
          <w:rFonts w:ascii="Traditional Arabic" w:hAnsi="Traditional Arabic" w:cs="Traditional Arabic"/>
          <w:sz w:val="24"/>
          <w:szCs w:val="24"/>
        </w:rPr>
        <w:t xml:space="preserve"> (Al-Samawi &amp; Al-Sayaghi, 2024) </w:t>
      </w:r>
      <w:r w:rsidRPr="00362D29">
        <w:rPr>
          <w:rFonts w:ascii="Traditional Arabic" w:hAnsi="Traditional Arabic" w:cs="Traditional Arabic"/>
          <w:sz w:val="24"/>
          <w:szCs w:val="24"/>
          <w:rtl/>
        </w:rPr>
        <w:t>إلى أن تطوير العمليات يرتبط مباشرة بتحسين جودة الخدمات الصحية، مما يعكس الدور المحوري لهذا البعد في المؤسسات الصحية</w:t>
      </w:r>
      <w:r w:rsidRPr="00362D29">
        <w:rPr>
          <w:rFonts w:ascii="Traditional Arabic" w:hAnsi="Traditional Arabic" w:cs="Traditional Arabic"/>
          <w:sz w:val="24"/>
          <w:szCs w:val="24"/>
        </w:rPr>
        <w:t>.</w:t>
      </w:r>
    </w:p>
    <w:p w14:paraId="710413B9" w14:textId="1EE4A331" w:rsidR="005A276F" w:rsidRPr="00362D29" w:rsidRDefault="005A276F" w:rsidP="00362D29">
      <w:pPr>
        <w:pStyle w:val="ab"/>
        <w:numPr>
          <w:ilvl w:val="0"/>
          <w:numId w:val="28"/>
        </w:numPr>
        <w:bidi/>
        <w:spacing w:before="0" w:after="160" w:line="360" w:lineRule="auto"/>
        <w:jc w:val="both"/>
        <w:rPr>
          <w:rFonts w:ascii="Traditional Arabic" w:hAnsi="Traditional Arabic" w:cs="Traditional Arabic"/>
          <w:b/>
          <w:bCs/>
          <w:sz w:val="24"/>
          <w:szCs w:val="24"/>
        </w:rPr>
      </w:pPr>
      <w:r w:rsidRPr="00362D29">
        <w:rPr>
          <w:rFonts w:ascii="Traditional Arabic" w:hAnsi="Traditional Arabic" w:cs="Traditional Arabic"/>
          <w:b/>
          <w:bCs/>
          <w:sz w:val="24"/>
          <w:szCs w:val="24"/>
          <w:rtl/>
        </w:rPr>
        <w:t>الشراكات والموارد</w:t>
      </w:r>
    </w:p>
    <w:p w14:paraId="4475A667" w14:textId="77777777" w:rsidR="005A276F" w:rsidRPr="00362D29" w:rsidRDefault="005A276F" w:rsidP="00362D29">
      <w:pPr>
        <w:bidi/>
        <w:spacing w:before="0" w:after="160" w:line="360" w:lineRule="auto"/>
        <w:jc w:val="both"/>
        <w:rPr>
          <w:rFonts w:ascii="Traditional Arabic" w:hAnsi="Traditional Arabic" w:cs="Traditional Arabic"/>
          <w:sz w:val="24"/>
          <w:szCs w:val="24"/>
        </w:rPr>
      </w:pPr>
      <w:r w:rsidRPr="00362D29">
        <w:rPr>
          <w:rFonts w:ascii="Traditional Arabic" w:hAnsi="Traditional Arabic" w:cs="Traditional Arabic"/>
          <w:sz w:val="24"/>
          <w:szCs w:val="24"/>
          <w:rtl/>
        </w:rPr>
        <w:t>يرتبط التميز المؤسسي بقدرة المؤسسة على إدارة مواردها المادية والمالية والتقنية بكفاءة، إضافة إلى بناء شراكات استراتيجية مع الجهات ذات العلاقة. فإدارة الموارد بصورة رشيدة تضمن الاستدامة، بينما تسهم الشراكات في تبادل الخبرات وتعزيز القدرة التنافسية. وقد أوضحت دراسة</w:t>
      </w:r>
      <w:r w:rsidRPr="00362D29">
        <w:rPr>
          <w:rFonts w:ascii="Traditional Arabic" w:hAnsi="Traditional Arabic" w:cs="Traditional Arabic"/>
          <w:sz w:val="24"/>
          <w:szCs w:val="24"/>
        </w:rPr>
        <w:t xml:space="preserve"> (Barnawi, 2022) </w:t>
      </w:r>
      <w:r w:rsidRPr="00362D29">
        <w:rPr>
          <w:rFonts w:ascii="Traditional Arabic" w:hAnsi="Traditional Arabic" w:cs="Traditional Arabic"/>
          <w:sz w:val="24"/>
          <w:szCs w:val="24"/>
          <w:rtl/>
        </w:rPr>
        <w:t>أن إدارة الشراكات والموارد تعد من الممكنات الأساسية في نماذج التميز، لما لها من أثر مباشر في دعم تنفيذ الاستراتيجية وتحقيق النتائج</w:t>
      </w:r>
      <w:r w:rsidRPr="00362D29">
        <w:rPr>
          <w:rFonts w:ascii="Traditional Arabic" w:hAnsi="Traditional Arabic" w:cs="Traditional Arabic"/>
          <w:sz w:val="24"/>
          <w:szCs w:val="24"/>
        </w:rPr>
        <w:t>.</w:t>
      </w:r>
    </w:p>
    <w:p w14:paraId="707DA38B" w14:textId="70904E7D" w:rsidR="005A276F" w:rsidRPr="00362D29" w:rsidRDefault="005A276F" w:rsidP="00362D29">
      <w:pPr>
        <w:pStyle w:val="ab"/>
        <w:numPr>
          <w:ilvl w:val="0"/>
          <w:numId w:val="28"/>
        </w:numPr>
        <w:bidi/>
        <w:spacing w:before="0" w:after="160" w:line="360" w:lineRule="auto"/>
        <w:jc w:val="both"/>
        <w:rPr>
          <w:rFonts w:ascii="Traditional Arabic" w:hAnsi="Traditional Arabic" w:cs="Traditional Arabic"/>
          <w:b/>
          <w:bCs/>
          <w:sz w:val="24"/>
          <w:szCs w:val="24"/>
        </w:rPr>
      </w:pPr>
      <w:r w:rsidRPr="00362D29">
        <w:rPr>
          <w:rFonts w:ascii="Traditional Arabic" w:hAnsi="Traditional Arabic" w:cs="Traditional Arabic"/>
          <w:b/>
          <w:bCs/>
          <w:sz w:val="24"/>
          <w:szCs w:val="24"/>
          <w:rtl/>
        </w:rPr>
        <w:t>النتائج</w:t>
      </w:r>
    </w:p>
    <w:p w14:paraId="50A5967C" w14:textId="1EF7FB71" w:rsidR="00771E8A" w:rsidRPr="00362D29" w:rsidRDefault="005A276F" w:rsidP="00362D29">
      <w:pPr>
        <w:bidi/>
        <w:spacing w:line="360" w:lineRule="auto"/>
        <w:jc w:val="both"/>
        <w:rPr>
          <w:rFonts w:ascii="Traditional Arabic" w:hAnsi="Traditional Arabic" w:cs="Traditional Arabic"/>
          <w:color w:val="000000" w:themeColor="text1"/>
          <w:sz w:val="24"/>
          <w:szCs w:val="24"/>
          <w:rtl/>
        </w:rPr>
      </w:pPr>
      <w:r w:rsidRPr="00362D29">
        <w:rPr>
          <w:rFonts w:ascii="Traditional Arabic" w:hAnsi="Traditional Arabic" w:cs="Traditional Arabic"/>
          <w:sz w:val="24"/>
          <w:szCs w:val="24"/>
          <w:rtl/>
        </w:rPr>
        <w:t xml:space="preserve">تُعد النتائج المؤشر النهائي لمدى نجاح المؤسسة في تطبيق أبعاد التميز، وتشمل نتائج الأداء المالي، ورضا العملاء، ورضا العاملين، ونتائج المجتمع، إضافة إلى النتائج التشغيلية الرئيسية. فالتميز لا يقاس فقط بجودة الممكنات، بل بمدى انعكاسها على مؤشرات الأداء الفعلية. وقد </w:t>
      </w:r>
      <w:r w:rsidRPr="00362D29">
        <w:rPr>
          <w:rFonts w:ascii="Traditional Arabic" w:hAnsi="Traditional Arabic" w:cs="Traditional Arabic"/>
          <w:sz w:val="24"/>
          <w:szCs w:val="24"/>
          <w:rtl/>
        </w:rPr>
        <w:lastRenderedPageBreak/>
        <w:t>أكدت دراسة</w:t>
      </w:r>
      <w:r w:rsidRPr="00362D29">
        <w:rPr>
          <w:rFonts w:ascii="Traditional Arabic" w:hAnsi="Traditional Arabic" w:cs="Traditional Arabic"/>
          <w:sz w:val="24"/>
          <w:szCs w:val="24"/>
        </w:rPr>
        <w:t xml:space="preserve"> (Barnawi, 2022) </w:t>
      </w:r>
      <w:r w:rsidRPr="00362D29">
        <w:rPr>
          <w:rFonts w:ascii="Traditional Arabic" w:hAnsi="Traditional Arabic" w:cs="Traditional Arabic"/>
          <w:sz w:val="24"/>
          <w:szCs w:val="24"/>
          <w:rtl/>
        </w:rPr>
        <w:t xml:space="preserve">أن التركيز على النتائج المتوازنة يمثل جوهر فلسفة التميز المؤسسي، بينما أظهرت دراسة        </w:t>
      </w:r>
      <w:r w:rsidRPr="00362D29">
        <w:rPr>
          <w:rFonts w:ascii="Traditional Arabic" w:hAnsi="Traditional Arabic" w:cs="Traditional Arabic"/>
          <w:sz w:val="24"/>
          <w:szCs w:val="24"/>
        </w:rPr>
        <w:t xml:space="preserve"> (Al-Samawi &amp; Al-Sayaghi, 2024) </w:t>
      </w:r>
      <w:r w:rsidRPr="00362D29">
        <w:rPr>
          <w:rFonts w:ascii="Traditional Arabic" w:hAnsi="Traditional Arabic" w:cs="Traditional Arabic"/>
          <w:sz w:val="24"/>
          <w:szCs w:val="24"/>
          <w:rtl/>
        </w:rPr>
        <w:t>أن ارتفاع مستوى تطبيق أبعاد التميز يرتبط بتحسن ملموس في جودة الخدمات الصحية ورضا المستفيدين</w:t>
      </w:r>
    </w:p>
    <w:p w14:paraId="499E09AB" w14:textId="1B225820" w:rsidR="00E52E8F" w:rsidRPr="00362D29" w:rsidRDefault="00E52E8F" w:rsidP="00362D29">
      <w:pPr>
        <w:pStyle w:val="ab"/>
        <w:numPr>
          <w:ilvl w:val="0"/>
          <w:numId w:val="27"/>
        </w:numPr>
        <w:bidi/>
        <w:spacing w:line="360" w:lineRule="auto"/>
        <w:jc w:val="both"/>
        <w:rPr>
          <w:rFonts w:ascii="Traditional Arabic" w:hAnsi="Traditional Arabic" w:cs="Traditional Arabic"/>
          <w:b/>
          <w:bCs/>
          <w:color w:val="000000" w:themeColor="text1"/>
          <w:sz w:val="28"/>
          <w:szCs w:val="28"/>
        </w:rPr>
      </w:pPr>
      <w:r w:rsidRPr="00362D29">
        <w:rPr>
          <w:rFonts w:ascii="Traditional Arabic" w:hAnsi="Traditional Arabic" w:cs="Traditional Arabic"/>
          <w:b/>
          <w:bCs/>
          <w:color w:val="000000" w:themeColor="text1"/>
          <w:sz w:val="28"/>
          <w:szCs w:val="28"/>
          <w:rtl/>
        </w:rPr>
        <w:t>خصائص التميز المؤسسي</w:t>
      </w:r>
    </w:p>
    <w:p w14:paraId="7B6BCFBD" w14:textId="727F6E6E" w:rsidR="00E52E8F" w:rsidRPr="00362D29" w:rsidRDefault="00E52E8F" w:rsidP="00362D29">
      <w:p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أن التميز المؤسسي لا يُعد مجرد إطار تنظيمي، بل يمثل فلسفة إدارية متكاملة تتسم بمجموعة من الخصائص التي تميّزه عن النظم الإدارية التقليدية</w:t>
      </w:r>
      <w:r w:rsidR="000E7996" w:rsidRPr="00362D29">
        <w:rPr>
          <w:rFonts w:ascii="Traditional Arabic" w:hAnsi="Traditional Arabic" w:cs="Traditional Arabic"/>
          <w:color w:val="000000" w:themeColor="text1"/>
          <w:sz w:val="24"/>
          <w:szCs w:val="24"/>
          <w:rtl/>
        </w:rPr>
        <w:t xml:space="preserve"> </w:t>
      </w:r>
      <w:r w:rsidR="00FB7DFF" w:rsidRPr="00362D29">
        <w:rPr>
          <w:rFonts w:ascii="Traditional Arabic" w:hAnsi="Traditional Arabic" w:cs="Traditional Arabic"/>
          <w:color w:val="000000" w:themeColor="text1"/>
          <w:sz w:val="24"/>
          <w:szCs w:val="24"/>
        </w:rPr>
        <w:t>(Barnawi, 2022)</w:t>
      </w:r>
      <w:r w:rsidRPr="00362D29">
        <w:rPr>
          <w:rFonts w:ascii="Traditional Arabic" w:hAnsi="Traditional Arabic" w:cs="Traditional Arabic"/>
          <w:color w:val="000000" w:themeColor="text1"/>
          <w:sz w:val="24"/>
          <w:szCs w:val="24"/>
          <w:rtl/>
        </w:rPr>
        <w:t>. وقد بينت الدراسات السابقة أن هذه الخصائص تشكل السمات الجوهرية للمنظمات المتميزة، ويمكن عرضها على النحو الآتي</w:t>
      </w:r>
      <w:r w:rsidRPr="00362D29">
        <w:rPr>
          <w:rFonts w:ascii="Traditional Arabic" w:hAnsi="Traditional Arabic" w:cs="Traditional Arabic"/>
          <w:color w:val="000000" w:themeColor="text1"/>
          <w:sz w:val="24"/>
          <w:szCs w:val="24"/>
        </w:rPr>
        <w:t>:</w:t>
      </w:r>
    </w:p>
    <w:p w14:paraId="601DA68E" w14:textId="720D7D18" w:rsidR="00E52E8F" w:rsidRPr="00362D29" w:rsidRDefault="00E52E8F" w:rsidP="00362D29">
      <w:pPr>
        <w:pStyle w:val="ab"/>
        <w:numPr>
          <w:ilvl w:val="0"/>
          <w:numId w:val="29"/>
        </w:num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b/>
          <w:bCs/>
          <w:color w:val="000000" w:themeColor="text1"/>
          <w:sz w:val="24"/>
          <w:szCs w:val="24"/>
          <w:rtl/>
        </w:rPr>
        <w:t>الشمولية والتكامل المؤسسي</w:t>
      </w:r>
    </w:p>
    <w:p w14:paraId="6C8B6DC6" w14:textId="77777777" w:rsidR="00E52E8F" w:rsidRPr="00362D29" w:rsidRDefault="00E52E8F" w:rsidP="00362D29">
      <w:p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يتسم التميز المؤسسي بالشمولية، إذ لا يقتصر على جانب إداري معين، بل يمتد ليشمل القيادة، والاستراتيجية، والموارد، والعمليات، والنتائج في إطار مترابط ومتوازن. فالمنظمة المتميزة تنظر إلى أدائها نظرة كلية، بحيث يتم الربط بين الممكنات والنتائج بصورة منهجية. وقد أكدت دراسة</w:t>
      </w:r>
      <w:r w:rsidRPr="00362D29">
        <w:rPr>
          <w:rFonts w:ascii="Traditional Arabic" w:hAnsi="Traditional Arabic" w:cs="Traditional Arabic"/>
          <w:color w:val="000000" w:themeColor="text1"/>
          <w:sz w:val="24"/>
          <w:szCs w:val="24"/>
        </w:rPr>
        <w:t xml:space="preserve"> (Barnawi, 2022) </w:t>
      </w:r>
      <w:r w:rsidRPr="00362D29">
        <w:rPr>
          <w:rFonts w:ascii="Traditional Arabic" w:hAnsi="Traditional Arabic" w:cs="Traditional Arabic"/>
          <w:color w:val="000000" w:themeColor="text1"/>
          <w:sz w:val="24"/>
          <w:szCs w:val="24"/>
          <w:rtl/>
        </w:rPr>
        <w:t>أن النماذج العالمية للتميز تقوم على فلسفة التكامل بين مختلف مكونات النظام المؤسسي لضمان تحقيق نتائج مستدامة</w:t>
      </w:r>
      <w:r w:rsidRPr="00362D29">
        <w:rPr>
          <w:rFonts w:ascii="Traditional Arabic" w:hAnsi="Traditional Arabic" w:cs="Traditional Arabic"/>
          <w:color w:val="000000" w:themeColor="text1"/>
          <w:sz w:val="24"/>
          <w:szCs w:val="24"/>
        </w:rPr>
        <w:t>.</w:t>
      </w:r>
    </w:p>
    <w:p w14:paraId="3BFF3D1E" w14:textId="722F68D9" w:rsidR="00E52E8F" w:rsidRPr="00362D29" w:rsidRDefault="00E52E8F" w:rsidP="00362D29">
      <w:pPr>
        <w:pStyle w:val="ab"/>
        <w:numPr>
          <w:ilvl w:val="0"/>
          <w:numId w:val="29"/>
        </w:numPr>
        <w:bidi/>
        <w:spacing w:line="360" w:lineRule="auto"/>
        <w:jc w:val="both"/>
        <w:rPr>
          <w:rFonts w:ascii="Traditional Arabic" w:hAnsi="Traditional Arabic" w:cs="Traditional Arabic"/>
          <w:b/>
          <w:bCs/>
          <w:color w:val="000000" w:themeColor="text1"/>
          <w:sz w:val="24"/>
          <w:szCs w:val="24"/>
        </w:rPr>
      </w:pPr>
      <w:r w:rsidRPr="00362D29">
        <w:rPr>
          <w:rFonts w:ascii="Traditional Arabic" w:hAnsi="Traditional Arabic" w:cs="Traditional Arabic"/>
          <w:b/>
          <w:bCs/>
          <w:color w:val="000000" w:themeColor="text1"/>
          <w:sz w:val="24"/>
          <w:szCs w:val="24"/>
          <w:rtl/>
        </w:rPr>
        <w:t>التركيز على أصحاب المصلحة</w:t>
      </w:r>
    </w:p>
    <w:p w14:paraId="49D868DC" w14:textId="77777777" w:rsidR="00E52E8F" w:rsidRPr="00362D29" w:rsidRDefault="00E52E8F" w:rsidP="00362D29">
      <w:p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من الخصائص الأساسية للتميز المؤسسي التركيز على تحقيق قيمة متوازنة لجميع أصحاب المصلحة، وفي مقدمتهم العملاء، والمستفيدون والعاملون والمجتمع. فالمنظمات المتميزة لا تكتفي بتحقيق أهدافها الداخلية، بل تسعى إلى تلبية توقعات المستفيدين وتعزيز رضاهم بصورة مستمرة. وقد أظهرت دراسة</w:t>
      </w:r>
      <w:r w:rsidRPr="00362D29">
        <w:rPr>
          <w:rFonts w:ascii="Traditional Arabic" w:hAnsi="Traditional Arabic" w:cs="Traditional Arabic"/>
          <w:color w:val="000000" w:themeColor="text1"/>
          <w:sz w:val="24"/>
          <w:szCs w:val="24"/>
        </w:rPr>
        <w:t xml:space="preserve"> (Al-Samawi &amp; Al-Sayaghi, 2024) </w:t>
      </w:r>
      <w:r w:rsidRPr="00362D29">
        <w:rPr>
          <w:rFonts w:ascii="Traditional Arabic" w:hAnsi="Traditional Arabic" w:cs="Traditional Arabic"/>
          <w:color w:val="000000" w:themeColor="text1"/>
          <w:sz w:val="24"/>
          <w:szCs w:val="24"/>
          <w:rtl/>
        </w:rPr>
        <w:t>وجود علاقة إيجابية بين تطبيق ممارسات التميز المؤسسي وتحسن جودة الخدمات الصحية ورضا العملاء</w:t>
      </w:r>
      <w:r w:rsidRPr="00362D29">
        <w:rPr>
          <w:rFonts w:ascii="Traditional Arabic" w:hAnsi="Traditional Arabic" w:cs="Traditional Arabic"/>
          <w:color w:val="000000" w:themeColor="text1"/>
          <w:sz w:val="24"/>
          <w:szCs w:val="24"/>
        </w:rPr>
        <w:t>.</w:t>
      </w:r>
    </w:p>
    <w:p w14:paraId="0E3BAC46" w14:textId="3D46FF15" w:rsidR="00E52E8F" w:rsidRPr="00362D29" w:rsidRDefault="00E52E8F" w:rsidP="00362D29">
      <w:pPr>
        <w:pStyle w:val="ab"/>
        <w:numPr>
          <w:ilvl w:val="0"/>
          <w:numId w:val="29"/>
        </w:numPr>
        <w:bidi/>
        <w:spacing w:line="360" w:lineRule="auto"/>
        <w:jc w:val="both"/>
        <w:rPr>
          <w:rFonts w:ascii="Traditional Arabic" w:hAnsi="Traditional Arabic" w:cs="Traditional Arabic"/>
          <w:b/>
          <w:bCs/>
          <w:color w:val="000000" w:themeColor="text1"/>
          <w:sz w:val="24"/>
          <w:szCs w:val="24"/>
        </w:rPr>
      </w:pPr>
      <w:r w:rsidRPr="00362D29">
        <w:rPr>
          <w:rFonts w:ascii="Traditional Arabic" w:hAnsi="Traditional Arabic" w:cs="Traditional Arabic"/>
          <w:b/>
          <w:bCs/>
          <w:color w:val="000000" w:themeColor="text1"/>
          <w:sz w:val="24"/>
          <w:szCs w:val="24"/>
          <w:rtl/>
        </w:rPr>
        <w:t>الاعتماد على القياس وإدارة الأداء</w:t>
      </w:r>
    </w:p>
    <w:p w14:paraId="224C9F92" w14:textId="77777777" w:rsidR="00E52E8F" w:rsidRPr="00362D29" w:rsidRDefault="00E52E8F" w:rsidP="00362D29">
      <w:pPr>
        <w:bidi/>
        <w:spacing w:line="360" w:lineRule="auto"/>
        <w:jc w:val="both"/>
        <w:rPr>
          <w:rFonts w:ascii="Traditional Arabic" w:hAnsi="Traditional Arabic" w:cs="Traditional Arabic"/>
          <w:color w:val="000000" w:themeColor="text1"/>
          <w:sz w:val="24"/>
          <w:szCs w:val="24"/>
          <w:rtl/>
        </w:rPr>
      </w:pPr>
      <w:r w:rsidRPr="00362D29">
        <w:rPr>
          <w:rFonts w:ascii="Traditional Arabic" w:hAnsi="Traditional Arabic" w:cs="Traditional Arabic"/>
          <w:color w:val="000000" w:themeColor="text1"/>
          <w:sz w:val="24"/>
          <w:szCs w:val="24"/>
          <w:rtl/>
        </w:rPr>
        <w:t>يتميز التميز المؤسسي بالاعتماد على مؤشرات أداء واضحة وأنظمة قياس دقيقة لمتابعة التقدم وتحليل الفجوات وتحسين النتائج. فالقياس المستمر يمثل أداة أساسية لاتخاذ القرار المبني على البيانات وتحقيق التحسين المنهجي. وقد أوضحت دراسة (السيابي، 2024) أن التكامل بين نموذج</w:t>
      </w:r>
      <w:r w:rsidRPr="00362D29">
        <w:rPr>
          <w:rFonts w:ascii="Traditional Arabic" w:hAnsi="Traditional Arabic" w:cs="Traditional Arabic"/>
          <w:color w:val="000000" w:themeColor="text1"/>
          <w:sz w:val="24"/>
          <w:szCs w:val="24"/>
        </w:rPr>
        <w:t xml:space="preserve"> EFQM </w:t>
      </w:r>
      <w:r w:rsidRPr="00362D29">
        <w:rPr>
          <w:rFonts w:ascii="Traditional Arabic" w:hAnsi="Traditional Arabic" w:cs="Traditional Arabic"/>
          <w:color w:val="000000" w:themeColor="text1"/>
          <w:sz w:val="24"/>
          <w:szCs w:val="24"/>
          <w:rtl/>
        </w:rPr>
        <w:t>وأدوات قياس الأداء يسهم في تحويل الاستراتيجية إلى مؤشرات قابلة للتقييم والتحسين</w:t>
      </w:r>
      <w:r w:rsidRPr="00362D29">
        <w:rPr>
          <w:rFonts w:ascii="Traditional Arabic" w:hAnsi="Traditional Arabic" w:cs="Traditional Arabic"/>
          <w:color w:val="000000" w:themeColor="text1"/>
          <w:sz w:val="24"/>
          <w:szCs w:val="24"/>
        </w:rPr>
        <w:t>.</w:t>
      </w:r>
    </w:p>
    <w:p w14:paraId="64E1E9AD" w14:textId="77777777" w:rsidR="00537BE5" w:rsidRPr="00362D29" w:rsidRDefault="00537BE5" w:rsidP="00362D29">
      <w:pPr>
        <w:bidi/>
        <w:spacing w:line="360" w:lineRule="auto"/>
        <w:jc w:val="both"/>
        <w:rPr>
          <w:rFonts w:ascii="Traditional Arabic" w:hAnsi="Traditional Arabic" w:cs="Traditional Arabic"/>
          <w:color w:val="000000" w:themeColor="text1"/>
          <w:sz w:val="24"/>
          <w:szCs w:val="24"/>
          <w:rtl/>
        </w:rPr>
      </w:pPr>
    </w:p>
    <w:p w14:paraId="103C82A5" w14:textId="77777777" w:rsidR="00537BE5" w:rsidRPr="00362D29" w:rsidRDefault="00537BE5" w:rsidP="00362D29">
      <w:pPr>
        <w:bidi/>
        <w:spacing w:line="360" w:lineRule="auto"/>
        <w:jc w:val="both"/>
        <w:rPr>
          <w:rFonts w:ascii="Traditional Arabic" w:hAnsi="Traditional Arabic" w:cs="Traditional Arabic"/>
          <w:color w:val="000000" w:themeColor="text1"/>
          <w:sz w:val="24"/>
          <w:szCs w:val="24"/>
        </w:rPr>
      </w:pPr>
    </w:p>
    <w:p w14:paraId="709268F8" w14:textId="6ED1E871" w:rsidR="00E52E8F" w:rsidRPr="00362D29" w:rsidRDefault="00E52E8F" w:rsidP="00362D29">
      <w:pPr>
        <w:pStyle w:val="ab"/>
        <w:numPr>
          <w:ilvl w:val="0"/>
          <w:numId w:val="29"/>
        </w:numPr>
        <w:bidi/>
        <w:spacing w:line="360" w:lineRule="auto"/>
        <w:jc w:val="both"/>
        <w:rPr>
          <w:rFonts w:ascii="Traditional Arabic" w:hAnsi="Traditional Arabic" w:cs="Traditional Arabic"/>
          <w:b/>
          <w:bCs/>
          <w:color w:val="000000" w:themeColor="text1"/>
          <w:sz w:val="24"/>
          <w:szCs w:val="24"/>
        </w:rPr>
      </w:pPr>
      <w:r w:rsidRPr="00362D29">
        <w:rPr>
          <w:rFonts w:ascii="Traditional Arabic" w:hAnsi="Traditional Arabic" w:cs="Traditional Arabic"/>
          <w:b/>
          <w:bCs/>
          <w:color w:val="000000" w:themeColor="text1"/>
          <w:sz w:val="24"/>
          <w:szCs w:val="24"/>
          <w:rtl/>
        </w:rPr>
        <w:lastRenderedPageBreak/>
        <w:t>التحسين المستمر والابتكار</w:t>
      </w:r>
    </w:p>
    <w:p w14:paraId="3BD1F67E" w14:textId="77777777" w:rsidR="00E52E8F" w:rsidRPr="00362D29" w:rsidRDefault="00E52E8F" w:rsidP="00362D29">
      <w:p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يمثل التحسين المستمر سمة جوهرية للتميز المؤسسي، حيث تتبنى المنظمة المتميزة ثقافة تطوير دائمة تسعى من خلالها إلى مراجعة العمليات وتحديث الممارسات وتعزيز الابتكار. وقد أكدت دراسة</w:t>
      </w:r>
      <w:r w:rsidRPr="00362D29">
        <w:rPr>
          <w:rFonts w:ascii="Traditional Arabic" w:hAnsi="Traditional Arabic" w:cs="Traditional Arabic"/>
          <w:color w:val="000000" w:themeColor="text1"/>
          <w:sz w:val="24"/>
          <w:szCs w:val="24"/>
        </w:rPr>
        <w:t xml:space="preserve"> (Salih &amp; Dolah, 2023) </w:t>
      </w:r>
      <w:r w:rsidRPr="00362D29">
        <w:rPr>
          <w:rFonts w:ascii="Traditional Arabic" w:hAnsi="Traditional Arabic" w:cs="Traditional Arabic"/>
          <w:color w:val="000000" w:themeColor="text1"/>
          <w:sz w:val="24"/>
          <w:szCs w:val="24"/>
          <w:rtl/>
        </w:rPr>
        <w:t>أن ثقافة التحسين المستمر تُعد من عوامل النجاح الحرجة في تطبيق نماذج التميز، بينما أشارت دراسة (الغامدي، 2024) إلى أن الممارسات الاستراتيجية الإبداعية ترتبط بارتفاع مستوى التميز المؤسسي</w:t>
      </w:r>
      <w:r w:rsidRPr="00362D29">
        <w:rPr>
          <w:rFonts w:ascii="Traditional Arabic" w:hAnsi="Traditional Arabic" w:cs="Traditional Arabic"/>
          <w:color w:val="000000" w:themeColor="text1"/>
          <w:sz w:val="24"/>
          <w:szCs w:val="24"/>
        </w:rPr>
        <w:t>.</w:t>
      </w:r>
    </w:p>
    <w:p w14:paraId="00EA181E" w14:textId="012198EC" w:rsidR="00E52E8F" w:rsidRPr="00362D29" w:rsidRDefault="00E52E8F" w:rsidP="00362D29">
      <w:pPr>
        <w:pStyle w:val="ab"/>
        <w:numPr>
          <w:ilvl w:val="0"/>
          <w:numId w:val="29"/>
        </w:numPr>
        <w:bidi/>
        <w:spacing w:line="360" w:lineRule="auto"/>
        <w:jc w:val="both"/>
        <w:rPr>
          <w:rFonts w:ascii="Traditional Arabic" w:hAnsi="Traditional Arabic" w:cs="Traditional Arabic"/>
          <w:b/>
          <w:bCs/>
          <w:color w:val="000000" w:themeColor="text1"/>
          <w:sz w:val="24"/>
          <w:szCs w:val="24"/>
        </w:rPr>
      </w:pPr>
      <w:r w:rsidRPr="00362D29">
        <w:rPr>
          <w:rFonts w:ascii="Traditional Arabic" w:hAnsi="Traditional Arabic" w:cs="Traditional Arabic"/>
          <w:b/>
          <w:bCs/>
          <w:color w:val="000000" w:themeColor="text1"/>
          <w:sz w:val="24"/>
          <w:szCs w:val="24"/>
          <w:rtl/>
        </w:rPr>
        <w:t>القيادة التحويلية والحوكمة الرشيدة</w:t>
      </w:r>
    </w:p>
    <w:p w14:paraId="2FABF04B" w14:textId="77777777" w:rsidR="00E52E8F" w:rsidRPr="00362D29" w:rsidRDefault="00E52E8F" w:rsidP="00362D29">
      <w:p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تُعد القيادة الفاعلة أحد أبرز خصائص المنظمات المتميزة، حيث تسهم في ترسيخ القيم المؤسسية، وتعزيز الالتزام التنظيمي، ودعم التغيير الإيجابي. كما ترتبط هذه القيادة بوجود نظام حوكمة واضح يحدد الأدوار والمسؤوليات ويعزز الشفافية والمساءلة. وقد بينت دراسة (الرويلي وظفرة، 2025) وجود تأثير مباشر للقيادة التحويلية على مستوى التميز المؤسسي، كما أكدت دراسة</w:t>
      </w:r>
      <w:r w:rsidRPr="00362D29">
        <w:rPr>
          <w:rFonts w:ascii="Traditional Arabic" w:hAnsi="Traditional Arabic" w:cs="Traditional Arabic"/>
          <w:color w:val="000000" w:themeColor="text1"/>
          <w:sz w:val="24"/>
          <w:szCs w:val="24"/>
        </w:rPr>
        <w:t xml:space="preserve"> (Alsaleem, 2025) </w:t>
      </w:r>
      <w:r w:rsidRPr="00362D29">
        <w:rPr>
          <w:rFonts w:ascii="Traditional Arabic" w:hAnsi="Traditional Arabic" w:cs="Traditional Arabic"/>
          <w:color w:val="000000" w:themeColor="text1"/>
          <w:sz w:val="24"/>
          <w:szCs w:val="24"/>
          <w:rtl/>
        </w:rPr>
        <w:t>أهمية التكامل بين معايير الاعتماد والتميز لتعزيز الحوكمة المؤسسية</w:t>
      </w:r>
      <w:r w:rsidRPr="00362D29">
        <w:rPr>
          <w:rFonts w:ascii="Traditional Arabic" w:hAnsi="Traditional Arabic" w:cs="Traditional Arabic"/>
          <w:color w:val="000000" w:themeColor="text1"/>
          <w:sz w:val="24"/>
          <w:szCs w:val="24"/>
        </w:rPr>
        <w:t>.</w:t>
      </w:r>
    </w:p>
    <w:p w14:paraId="722E4C54" w14:textId="6A0574BC" w:rsidR="00E52E8F" w:rsidRPr="00362D29" w:rsidRDefault="00E52E8F" w:rsidP="00362D29">
      <w:pPr>
        <w:pStyle w:val="ab"/>
        <w:numPr>
          <w:ilvl w:val="0"/>
          <w:numId w:val="29"/>
        </w:numPr>
        <w:bidi/>
        <w:spacing w:line="360" w:lineRule="auto"/>
        <w:jc w:val="both"/>
        <w:rPr>
          <w:rFonts w:ascii="Traditional Arabic" w:hAnsi="Traditional Arabic" w:cs="Traditional Arabic"/>
          <w:b/>
          <w:bCs/>
          <w:color w:val="000000" w:themeColor="text1"/>
          <w:sz w:val="24"/>
          <w:szCs w:val="24"/>
        </w:rPr>
      </w:pPr>
      <w:r w:rsidRPr="00362D29">
        <w:rPr>
          <w:rFonts w:ascii="Traditional Arabic" w:hAnsi="Traditional Arabic" w:cs="Traditional Arabic"/>
          <w:b/>
          <w:bCs/>
          <w:color w:val="000000" w:themeColor="text1"/>
          <w:sz w:val="24"/>
          <w:szCs w:val="24"/>
          <w:rtl/>
        </w:rPr>
        <w:t>الاستدامة والتوجه المستقبلي</w:t>
      </w:r>
    </w:p>
    <w:p w14:paraId="4709CBAE" w14:textId="332A6E78" w:rsidR="00E52E8F" w:rsidRPr="00362D29" w:rsidRDefault="00E52E8F" w:rsidP="00362D29">
      <w:pPr>
        <w:bidi/>
        <w:spacing w:line="360" w:lineRule="auto"/>
        <w:jc w:val="both"/>
        <w:rPr>
          <w:rFonts w:ascii="Traditional Arabic" w:hAnsi="Traditional Arabic" w:cs="Traditional Arabic"/>
          <w:color w:val="000000" w:themeColor="text1"/>
          <w:sz w:val="24"/>
          <w:szCs w:val="24"/>
          <w:rtl/>
        </w:rPr>
      </w:pPr>
      <w:r w:rsidRPr="00362D29">
        <w:rPr>
          <w:rFonts w:ascii="Traditional Arabic" w:hAnsi="Traditional Arabic" w:cs="Traditional Arabic"/>
          <w:color w:val="000000" w:themeColor="text1"/>
          <w:sz w:val="24"/>
          <w:szCs w:val="24"/>
          <w:rtl/>
        </w:rPr>
        <w:t>يتسم التميز المؤسسي بالتوجه نحو الاستدامة طويلة المدى، حيث تسعى المنظمة إلى تحقيق توازن بين الأداء الحالي والاستعداد للتحديات المستقبلية. ويشمل ذلك الاستثمار في الموارد البشرية والتقنية، وبناء قدرات تنظيمية قادرة على التكيف مع المتغيرات. وقد أوضحت دراسة</w:t>
      </w:r>
      <w:r w:rsidRPr="00362D29">
        <w:rPr>
          <w:rFonts w:ascii="Traditional Arabic" w:hAnsi="Traditional Arabic" w:cs="Traditional Arabic"/>
          <w:color w:val="000000" w:themeColor="text1"/>
          <w:sz w:val="24"/>
          <w:szCs w:val="24"/>
        </w:rPr>
        <w:t xml:space="preserve"> (Ahmed &amp; Sur, 2023) </w:t>
      </w:r>
      <w:r w:rsidRPr="00362D29">
        <w:rPr>
          <w:rFonts w:ascii="Traditional Arabic" w:hAnsi="Traditional Arabic" w:cs="Traditional Arabic"/>
          <w:color w:val="000000" w:themeColor="text1"/>
          <w:sz w:val="24"/>
          <w:szCs w:val="24"/>
          <w:rtl/>
        </w:rPr>
        <w:t>أن تطبيق أطر التميز يسهم في تحقيق الاستدامة المؤسسية، خاصة في ظل التحول الرقمي في القطاع الصحي</w:t>
      </w:r>
      <w:r w:rsidRPr="00362D29">
        <w:rPr>
          <w:rFonts w:ascii="Traditional Arabic" w:hAnsi="Traditional Arabic" w:cs="Traditional Arabic"/>
          <w:color w:val="000000" w:themeColor="text1"/>
          <w:sz w:val="24"/>
          <w:szCs w:val="24"/>
        </w:rPr>
        <w:t>.</w:t>
      </w:r>
    </w:p>
    <w:p w14:paraId="3CDC2FC2" w14:textId="3D9A1609" w:rsidR="007C3CCB" w:rsidRPr="00362D29" w:rsidRDefault="007C3CCB" w:rsidP="00362D29">
      <w:pPr>
        <w:pStyle w:val="ab"/>
        <w:numPr>
          <w:ilvl w:val="0"/>
          <w:numId w:val="27"/>
        </w:numPr>
        <w:bidi/>
        <w:spacing w:line="360" w:lineRule="auto"/>
        <w:jc w:val="both"/>
        <w:rPr>
          <w:rFonts w:ascii="Traditional Arabic" w:hAnsi="Traditional Arabic" w:cs="Traditional Arabic"/>
          <w:b/>
          <w:bCs/>
          <w:color w:val="000000" w:themeColor="text1"/>
          <w:sz w:val="28"/>
          <w:szCs w:val="28"/>
          <w:rtl/>
        </w:rPr>
      </w:pPr>
      <w:r w:rsidRPr="00362D29">
        <w:rPr>
          <w:rFonts w:ascii="Traditional Arabic" w:hAnsi="Traditional Arabic" w:cs="Traditional Arabic"/>
          <w:b/>
          <w:bCs/>
          <w:color w:val="000000" w:themeColor="text1"/>
          <w:sz w:val="28"/>
          <w:szCs w:val="28"/>
          <w:rtl/>
        </w:rPr>
        <w:t>المتطلبات الرئيسية لتحقيق التميز المؤسسي</w:t>
      </w:r>
    </w:p>
    <w:p w14:paraId="6620FD97" w14:textId="77777777" w:rsidR="007C3CCB" w:rsidRPr="00362D29" w:rsidRDefault="007C3CCB" w:rsidP="00362D29">
      <w:pPr>
        <w:pStyle w:val="ab"/>
        <w:numPr>
          <w:ilvl w:val="0"/>
          <w:numId w:val="29"/>
        </w:numPr>
        <w:bidi/>
        <w:spacing w:line="360" w:lineRule="auto"/>
        <w:rPr>
          <w:rFonts w:ascii="Traditional Arabic" w:hAnsi="Traditional Arabic" w:cs="Traditional Arabic"/>
          <w:b/>
          <w:bCs/>
          <w:color w:val="000000" w:themeColor="text1"/>
          <w:sz w:val="24"/>
          <w:szCs w:val="24"/>
          <w:rtl/>
        </w:rPr>
      </w:pPr>
      <w:r w:rsidRPr="00362D29">
        <w:rPr>
          <w:rFonts w:ascii="Traditional Arabic" w:hAnsi="Traditional Arabic" w:cs="Traditional Arabic"/>
          <w:b/>
          <w:bCs/>
          <w:color w:val="000000" w:themeColor="text1"/>
          <w:sz w:val="24"/>
          <w:szCs w:val="24"/>
          <w:rtl/>
        </w:rPr>
        <w:t>التزام القيادة العليا وتبنّي التميز كخيار استراتيجي</w:t>
      </w:r>
    </w:p>
    <w:p w14:paraId="0C574CFD" w14:textId="3DC605CA" w:rsidR="007C3CCB" w:rsidRPr="00362D29" w:rsidRDefault="00AB6D67" w:rsidP="00362D29">
      <w:pPr>
        <w:bidi/>
        <w:spacing w:line="360" w:lineRule="auto"/>
        <w:rPr>
          <w:rFonts w:ascii="Traditional Arabic" w:hAnsi="Traditional Arabic" w:cs="Traditional Arabic"/>
          <w:color w:val="000000" w:themeColor="text1"/>
          <w:sz w:val="24"/>
          <w:szCs w:val="24"/>
          <w:rtl/>
        </w:rPr>
      </w:pPr>
      <w:r w:rsidRPr="00362D29">
        <w:rPr>
          <w:rFonts w:ascii="Traditional Arabic" w:hAnsi="Traditional Arabic" w:cs="Traditional Arabic"/>
          <w:color w:val="000000" w:themeColor="text1"/>
          <w:sz w:val="24"/>
          <w:szCs w:val="24"/>
          <w:rtl/>
        </w:rPr>
        <w:t>يتطلب تحقيق التميز المؤسسي توافر مجموعة من المقومات التنظيمية، في مقدمتها التزام الإدارة العليا ودعمها المستمر لمبادرات الجودة ،ويتحقق ذلك</w:t>
      </w:r>
      <w:r w:rsidR="007C3CCB" w:rsidRPr="00362D29">
        <w:rPr>
          <w:rFonts w:ascii="Traditional Arabic" w:hAnsi="Traditional Arabic" w:cs="Traditional Arabic"/>
          <w:color w:val="000000" w:themeColor="text1"/>
          <w:sz w:val="24"/>
          <w:szCs w:val="24"/>
          <w:rtl/>
        </w:rPr>
        <w:t xml:space="preserve"> عندما تتبنى القيادة العليا النموذج وتترجمه إلى توجهات واضحة وأولويات تنفيذية</w:t>
      </w:r>
      <w:r w:rsidRPr="00362D29">
        <w:rPr>
          <w:rFonts w:ascii="Traditional Arabic" w:hAnsi="Traditional Arabic" w:cs="Traditional Arabic"/>
          <w:color w:val="000000" w:themeColor="text1"/>
          <w:sz w:val="24"/>
          <w:szCs w:val="24"/>
          <w:rtl/>
        </w:rPr>
        <w:t xml:space="preserve"> </w:t>
      </w:r>
      <w:r w:rsidR="003F58FC" w:rsidRPr="00362D29">
        <w:rPr>
          <w:rFonts w:ascii="Traditional Arabic" w:hAnsi="Traditional Arabic" w:cs="Traditional Arabic"/>
          <w:color w:val="000000" w:themeColor="text1"/>
          <w:sz w:val="24"/>
          <w:szCs w:val="24"/>
          <w:rtl/>
        </w:rPr>
        <w:t xml:space="preserve"> (البلوي وإسماعيل، 2025)</w:t>
      </w:r>
      <w:r w:rsidRPr="00362D29">
        <w:rPr>
          <w:rFonts w:ascii="Traditional Arabic" w:hAnsi="Traditional Arabic" w:cs="Traditional Arabic"/>
          <w:color w:val="000000" w:themeColor="text1"/>
          <w:sz w:val="24"/>
          <w:szCs w:val="24"/>
          <w:rtl/>
        </w:rPr>
        <w:t>؛</w:t>
      </w:r>
      <w:r w:rsidR="007C3CCB" w:rsidRPr="00362D29">
        <w:rPr>
          <w:rFonts w:ascii="Traditional Arabic" w:hAnsi="Traditional Arabic" w:cs="Traditional Arabic"/>
          <w:color w:val="000000" w:themeColor="text1"/>
          <w:sz w:val="24"/>
          <w:szCs w:val="24"/>
          <w:rtl/>
        </w:rPr>
        <w:t xml:space="preserve"> لأن القيادة هي المحرك الأول لتفعيل المعايير وضمان الاستمرارية</w:t>
      </w:r>
      <w:r w:rsidR="003F58FC" w:rsidRPr="00362D29">
        <w:rPr>
          <w:rFonts w:ascii="Traditional Arabic" w:hAnsi="Traditional Arabic" w:cs="Traditional Arabic"/>
          <w:color w:val="000000" w:themeColor="text1"/>
          <w:sz w:val="24"/>
          <w:szCs w:val="24"/>
          <w:rtl/>
        </w:rPr>
        <w:t xml:space="preserve"> (</w:t>
      </w:r>
      <w:r w:rsidR="003F58FC" w:rsidRPr="00362D29">
        <w:rPr>
          <w:rFonts w:ascii="Traditional Arabic" w:hAnsi="Traditional Arabic" w:cs="Traditional Arabic"/>
          <w:color w:val="000000" w:themeColor="text1"/>
          <w:sz w:val="24"/>
          <w:szCs w:val="24"/>
        </w:rPr>
        <w:t>Alsaleem, 2025</w:t>
      </w:r>
      <w:r w:rsidR="003F58FC" w:rsidRPr="00362D29">
        <w:rPr>
          <w:rFonts w:ascii="Traditional Arabic" w:hAnsi="Traditional Arabic" w:cs="Traditional Arabic"/>
          <w:color w:val="000000" w:themeColor="text1"/>
          <w:sz w:val="24"/>
          <w:szCs w:val="24"/>
          <w:rtl/>
        </w:rPr>
        <w:t>).</w:t>
      </w:r>
    </w:p>
    <w:p w14:paraId="0C314B86" w14:textId="77777777" w:rsidR="007C3CCB" w:rsidRPr="00362D29" w:rsidRDefault="007C3CCB" w:rsidP="00362D29">
      <w:pPr>
        <w:pStyle w:val="ab"/>
        <w:numPr>
          <w:ilvl w:val="0"/>
          <w:numId w:val="29"/>
        </w:numPr>
        <w:bidi/>
        <w:spacing w:line="360" w:lineRule="auto"/>
        <w:rPr>
          <w:rFonts w:ascii="Traditional Arabic" w:hAnsi="Traditional Arabic" w:cs="Traditional Arabic"/>
          <w:b/>
          <w:bCs/>
          <w:color w:val="000000" w:themeColor="text1"/>
          <w:sz w:val="24"/>
          <w:szCs w:val="24"/>
          <w:rtl/>
        </w:rPr>
      </w:pPr>
      <w:r w:rsidRPr="00362D29">
        <w:rPr>
          <w:rFonts w:ascii="Traditional Arabic" w:hAnsi="Traditional Arabic" w:cs="Traditional Arabic"/>
          <w:b/>
          <w:bCs/>
          <w:color w:val="000000" w:themeColor="text1"/>
          <w:sz w:val="24"/>
          <w:szCs w:val="24"/>
          <w:rtl/>
        </w:rPr>
        <w:t>وضوح الرؤية والاستراتيجية وربطها بمؤشرات قياس</w:t>
      </w:r>
    </w:p>
    <w:p w14:paraId="058E1EA5" w14:textId="1DC25D36" w:rsidR="00AB6D67" w:rsidRPr="00362D29" w:rsidRDefault="007C3CCB" w:rsidP="00362D29">
      <w:pPr>
        <w:bidi/>
        <w:spacing w:line="360" w:lineRule="auto"/>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يتطلب التميز وجود رؤية استراتيجية واضحة تُترجم إلى أهداف قابلة للقياس</w:t>
      </w:r>
      <w:r w:rsidR="00CC2120" w:rsidRPr="00362D29">
        <w:rPr>
          <w:rFonts w:ascii="Traditional Arabic" w:hAnsi="Traditional Arabic" w:cs="Traditional Arabic"/>
          <w:color w:val="000000" w:themeColor="text1"/>
          <w:sz w:val="24"/>
          <w:szCs w:val="24"/>
          <w:rtl/>
        </w:rPr>
        <w:t xml:space="preserve"> (الغامدي، 2024)</w:t>
      </w:r>
      <w:r w:rsidRPr="00362D29">
        <w:rPr>
          <w:rFonts w:ascii="Traditional Arabic" w:hAnsi="Traditional Arabic" w:cs="Traditional Arabic"/>
          <w:color w:val="000000" w:themeColor="text1"/>
          <w:sz w:val="24"/>
          <w:szCs w:val="24"/>
          <w:rtl/>
        </w:rPr>
        <w:t xml:space="preserve">، بحيث تصبح جهود التحسين مرتبطة بنتائج محددة وليس أنشطة منفصلة، مما يدعم التقييم والتحسين </w:t>
      </w:r>
      <w:r w:rsidR="00CC2120" w:rsidRPr="00362D29">
        <w:rPr>
          <w:rFonts w:ascii="Traditional Arabic" w:hAnsi="Traditional Arabic" w:cs="Traditional Arabic"/>
          <w:color w:val="000000" w:themeColor="text1"/>
          <w:sz w:val="24"/>
          <w:szCs w:val="24"/>
          <w:rtl/>
        </w:rPr>
        <w:t>المستمر (السيابي، 2023).</w:t>
      </w:r>
      <w:r w:rsidR="002640A2" w:rsidRPr="00362D29">
        <w:rPr>
          <w:rFonts w:ascii="Traditional Arabic" w:hAnsi="Traditional Arabic" w:cs="Traditional Arabic"/>
          <w:color w:val="000000" w:themeColor="text1"/>
          <w:sz w:val="24"/>
          <w:szCs w:val="24"/>
          <w:rtl/>
        </w:rPr>
        <w:t xml:space="preserve"> </w:t>
      </w:r>
    </w:p>
    <w:p w14:paraId="3E45CC25" w14:textId="4F206E62" w:rsidR="007C3CCB" w:rsidRPr="00362D29" w:rsidRDefault="002640A2" w:rsidP="00362D29">
      <w:pPr>
        <w:bidi/>
        <w:spacing w:line="360" w:lineRule="auto"/>
        <w:rPr>
          <w:rFonts w:ascii="Traditional Arabic" w:hAnsi="Traditional Arabic" w:cs="Traditional Arabic"/>
          <w:color w:val="000000" w:themeColor="text1"/>
          <w:sz w:val="24"/>
          <w:szCs w:val="24"/>
          <w:rtl/>
        </w:rPr>
      </w:pPr>
      <w:r w:rsidRPr="00362D29">
        <w:rPr>
          <w:rFonts w:ascii="Traditional Arabic" w:hAnsi="Traditional Arabic" w:cs="Traditional Arabic"/>
          <w:color w:val="000000" w:themeColor="text1"/>
          <w:sz w:val="24"/>
          <w:szCs w:val="24"/>
          <w:rtl/>
        </w:rPr>
        <w:lastRenderedPageBreak/>
        <w:t>حيث أكدت دراسة (</w:t>
      </w:r>
      <w:r w:rsidRPr="00362D29">
        <w:rPr>
          <w:rFonts w:ascii="Traditional Arabic" w:hAnsi="Traditional Arabic" w:cs="Traditional Arabic"/>
          <w:color w:val="000000" w:themeColor="text1"/>
          <w:sz w:val="24"/>
          <w:szCs w:val="24"/>
        </w:rPr>
        <w:t>Salih &amp; Dolah, 2023</w:t>
      </w:r>
      <w:r w:rsidRPr="00362D29">
        <w:rPr>
          <w:rFonts w:ascii="Traditional Arabic" w:hAnsi="Traditional Arabic" w:cs="Traditional Arabic"/>
          <w:color w:val="000000" w:themeColor="text1"/>
          <w:sz w:val="24"/>
          <w:szCs w:val="24"/>
          <w:rtl/>
        </w:rPr>
        <w:t>) أن من أهم عوامل النجاح الحرجة وضوح الاستراتيجية، وفعالية الاتصال التنظيمي، وتحليل البيانات، وتبني إطار حوكمة واضح.</w:t>
      </w:r>
    </w:p>
    <w:p w14:paraId="16B5839B" w14:textId="05F4855E" w:rsidR="007C3CCB" w:rsidRPr="00362D29" w:rsidRDefault="007C3CCB" w:rsidP="00362D29">
      <w:pPr>
        <w:pStyle w:val="ab"/>
        <w:numPr>
          <w:ilvl w:val="0"/>
          <w:numId w:val="29"/>
        </w:numPr>
        <w:bidi/>
        <w:spacing w:line="360" w:lineRule="auto"/>
        <w:rPr>
          <w:rFonts w:ascii="Traditional Arabic" w:hAnsi="Traditional Arabic" w:cs="Traditional Arabic"/>
          <w:b/>
          <w:bCs/>
          <w:color w:val="000000" w:themeColor="text1"/>
          <w:sz w:val="24"/>
          <w:szCs w:val="24"/>
          <w:rtl/>
        </w:rPr>
      </w:pPr>
      <w:r w:rsidRPr="00362D29">
        <w:rPr>
          <w:rFonts w:ascii="Traditional Arabic" w:hAnsi="Traditional Arabic" w:cs="Traditional Arabic"/>
          <w:b/>
          <w:bCs/>
          <w:color w:val="000000" w:themeColor="text1"/>
          <w:sz w:val="24"/>
          <w:szCs w:val="24"/>
          <w:rtl/>
        </w:rPr>
        <w:t xml:space="preserve">ثقافة التحسين المستمر </w:t>
      </w:r>
      <w:r w:rsidR="005D379E" w:rsidRPr="00362D29">
        <w:rPr>
          <w:rFonts w:ascii="Traditional Arabic" w:hAnsi="Traditional Arabic" w:cs="Traditional Arabic"/>
          <w:b/>
          <w:bCs/>
          <w:color w:val="000000" w:themeColor="text1"/>
          <w:sz w:val="24"/>
          <w:szCs w:val="24"/>
          <w:rtl/>
        </w:rPr>
        <w:t>والاستدامة</w:t>
      </w:r>
    </w:p>
    <w:p w14:paraId="62080904" w14:textId="407E6176" w:rsidR="007C3CCB" w:rsidRPr="00362D29" w:rsidRDefault="007C3CCB" w:rsidP="00362D29">
      <w:pPr>
        <w:bidi/>
        <w:spacing w:line="360" w:lineRule="auto"/>
        <w:rPr>
          <w:rFonts w:ascii="Traditional Arabic" w:hAnsi="Traditional Arabic" w:cs="Traditional Arabic"/>
          <w:color w:val="000000" w:themeColor="text1"/>
          <w:sz w:val="24"/>
          <w:szCs w:val="24"/>
          <w:rtl/>
        </w:rPr>
      </w:pPr>
      <w:r w:rsidRPr="00362D29">
        <w:rPr>
          <w:rFonts w:ascii="Traditional Arabic" w:hAnsi="Traditional Arabic" w:cs="Traditional Arabic"/>
          <w:color w:val="000000" w:themeColor="text1"/>
          <w:sz w:val="24"/>
          <w:szCs w:val="24"/>
          <w:rtl/>
        </w:rPr>
        <w:t>تُعد ثقافة التحسين المستمر من المتطلبات الجوهرية لنجاح تطبيق نماذج التميز</w:t>
      </w:r>
      <w:r w:rsidR="002640A2" w:rsidRPr="00362D29">
        <w:rPr>
          <w:rFonts w:ascii="Traditional Arabic" w:hAnsi="Traditional Arabic" w:cs="Traditional Arabic"/>
          <w:color w:val="000000" w:themeColor="text1"/>
          <w:sz w:val="24"/>
          <w:szCs w:val="24"/>
          <w:rtl/>
        </w:rPr>
        <w:t xml:space="preserve"> </w:t>
      </w:r>
      <w:r w:rsidR="002640A2" w:rsidRPr="00362D29">
        <w:rPr>
          <w:rFonts w:ascii="Traditional Arabic" w:hAnsi="Traditional Arabic" w:cs="Traditional Arabic"/>
          <w:color w:val="000000" w:themeColor="text1"/>
          <w:sz w:val="24"/>
          <w:szCs w:val="24"/>
        </w:rPr>
        <w:t>(Salih &amp; Dolah, 2023)</w:t>
      </w:r>
      <w:r w:rsidRPr="00362D29">
        <w:rPr>
          <w:rFonts w:ascii="Traditional Arabic" w:hAnsi="Traditional Arabic" w:cs="Traditional Arabic"/>
          <w:color w:val="000000" w:themeColor="text1"/>
          <w:sz w:val="24"/>
          <w:szCs w:val="24"/>
          <w:rtl/>
        </w:rPr>
        <w:t xml:space="preserve">، لأنها تضمن أن التطوير لا يرتبط بمبادرات </w:t>
      </w:r>
      <w:r w:rsidR="002640A2" w:rsidRPr="00362D29">
        <w:rPr>
          <w:rFonts w:ascii="Traditional Arabic" w:hAnsi="Traditional Arabic" w:cs="Traditional Arabic"/>
          <w:color w:val="000000" w:themeColor="text1"/>
          <w:sz w:val="24"/>
          <w:szCs w:val="24"/>
          <w:rtl/>
        </w:rPr>
        <w:t>مؤقتة،</w:t>
      </w:r>
      <w:r w:rsidRPr="00362D29">
        <w:rPr>
          <w:rFonts w:ascii="Traditional Arabic" w:hAnsi="Traditional Arabic" w:cs="Traditional Arabic"/>
          <w:color w:val="000000" w:themeColor="text1"/>
          <w:sz w:val="24"/>
          <w:szCs w:val="24"/>
          <w:rtl/>
        </w:rPr>
        <w:t xml:space="preserve"> بل يصبح ممارسة تنظيمية </w:t>
      </w:r>
      <w:r w:rsidR="002640A2" w:rsidRPr="00362D29">
        <w:rPr>
          <w:rFonts w:ascii="Traditional Arabic" w:hAnsi="Traditional Arabic" w:cs="Traditional Arabic"/>
          <w:color w:val="000000" w:themeColor="text1"/>
          <w:sz w:val="24"/>
          <w:szCs w:val="24"/>
          <w:rtl/>
        </w:rPr>
        <w:t xml:space="preserve">مستدامة </w:t>
      </w:r>
      <w:r w:rsidR="002640A2" w:rsidRPr="00362D29">
        <w:rPr>
          <w:rFonts w:ascii="Traditional Arabic" w:hAnsi="Traditional Arabic" w:cs="Traditional Arabic"/>
          <w:color w:val="000000" w:themeColor="text1"/>
          <w:sz w:val="24"/>
          <w:szCs w:val="24"/>
        </w:rPr>
        <w:t>.</w:t>
      </w:r>
      <w:r w:rsidRPr="00362D29">
        <w:rPr>
          <w:rFonts w:ascii="Traditional Arabic" w:hAnsi="Traditional Arabic" w:cs="Traditional Arabic"/>
          <w:color w:val="000000" w:themeColor="text1"/>
          <w:sz w:val="24"/>
          <w:szCs w:val="24"/>
        </w:rPr>
        <w:t xml:space="preserve"> </w:t>
      </w:r>
      <w:r w:rsidR="002640A2" w:rsidRPr="00362D29">
        <w:rPr>
          <w:rFonts w:ascii="Traditional Arabic" w:hAnsi="Traditional Arabic" w:cs="Traditional Arabic"/>
          <w:color w:val="000000" w:themeColor="text1"/>
          <w:sz w:val="24"/>
          <w:szCs w:val="24"/>
        </w:rPr>
        <w:t>(</w:t>
      </w:r>
      <w:r w:rsidRPr="00362D29">
        <w:rPr>
          <w:rFonts w:ascii="Traditional Arabic" w:hAnsi="Traditional Arabic" w:cs="Traditional Arabic"/>
          <w:color w:val="000000" w:themeColor="text1"/>
          <w:sz w:val="24"/>
          <w:szCs w:val="24"/>
        </w:rPr>
        <w:t>Ahmed &amp; Sur, 2023)</w:t>
      </w:r>
      <w:r w:rsidR="002640A2" w:rsidRPr="00362D29">
        <w:rPr>
          <w:rFonts w:ascii="Traditional Arabic" w:hAnsi="Traditional Arabic" w:cs="Traditional Arabic"/>
          <w:color w:val="000000" w:themeColor="text1"/>
          <w:sz w:val="24"/>
          <w:szCs w:val="24"/>
          <w:rtl/>
        </w:rPr>
        <w:t xml:space="preserve"> </w:t>
      </w:r>
    </w:p>
    <w:p w14:paraId="694EB84A" w14:textId="2B981F46" w:rsidR="007C3CCB" w:rsidRPr="00362D29" w:rsidRDefault="00635589" w:rsidP="00362D29">
      <w:pPr>
        <w:pStyle w:val="ab"/>
        <w:numPr>
          <w:ilvl w:val="0"/>
          <w:numId w:val="29"/>
        </w:numPr>
        <w:bidi/>
        <w:spacing w:line="360" w:lineRule="auto"/>
        <w:rPr>
          <w:rFonts w:ascii="Traditional Arabic" w:hAnsi="Traditional Arabic" w:cs="Traditional Arabic"/>
          <w:b/>
          <w:bCs/>
          <w:color w:val="000000" w:themeColor="text1"/>
          <w:sz w:val="24"/>
          <w:szCs w:val="24"/>
          <w:rtl/>
        </w:rPr>
      </w:pPr>
      <w:r w:rsidRPr="00362D29">
        <w:rPr>
          <w:rFonts w:ascii="Traditional Arabic" w:hAnsi="Traditional Arabic" w:cs="Traditional Arabic"/>
          <w:b/>
          <w:bCs/>
          <w:color w:val="000000" w:themeColor="text1"/>
          <w:sz w:val="24"/>
          <w:szCs w:val="24"/>
          <w:rtl/>
        </w:rPr>
        <w:t>تطوير الموارد البشرية</w:t>
      </w:r>
      <w:r w:rsidR="007C3CCB" w:rsidRPr="00362D29">
        <w:rPr>
          <w:rFonts w:ascii="Traditional Arabic" w:hAnsi="Traditional Arabic" w:cs="Traditional Arabic"/>
          <w:b/>
          <w:bCs/>
          <w:color w:val="000000" w:themeColor="text1"/>
          <w:sz w:val="24"/>
          <w:szCs w:val="24"/>
          <w:rtl/>
        </w:rPr>
        <w:t xml:space="preserve"> </w:t>
      </w:r>
    </w:p>
    <w:p w14:paraId="44A0D2E5" w14:textId="39A8D2E9" w:rsidR="002640A2" w:rsidRPr="00362D29" w:rsidRDefault="002640A2" w:rsidP="00362D29">
      <w:pPr>
        <w:bidi/>
        <w:spacing w:line="360" w:lineRule="auto"/>
        <w:rPr>
          <w:rFonts w:ascii="Traditional Arabic" w:hAnsi="Traditional Arabic" w:cs="Traditional Arabic"/>
          <w:color w:val="000000" w:themeColor="text1"/>
          <w:sz w:val="24"/>
          <w:szCs w:val="24"/>
          <w:rtl/>
        </w:rPr>
      </w:pPr>
      <w:r w:rsidRPr="00362D29">
        <w:rPr>
          <w:rFonts w:ascii="Traditional Arabic" w:hAnsi="Traditional Arabic" w:cs="Traditional Arabic"/>
          <w:color w:val="000000" w:themeColor="text1"/>
          <w:sz w:val="24"/>
          <w:szCs w:val="24"/>
          <w:rtl/>
        </w:rPr>
        <w:t>أوضحت دراسة (الرويلي، 2025) أن تطوير الموارد البشرية يمثل العامل الحاسم في تحسين جودة النظام الصحي وتحقيق التميز المؤسسي</w:t>
      </w:r>
      <w:r w:rsidRPr="00362D29">
        <w:rPr>
          <w:rFonts w:ascii="Traditional Arabic" w:hAnsi="Traditional Arabic" w:cs="Traditional Arabic"/>
          <w:color w:val="000000" w:themeColor="text1"/>
          <w:sz w:val="24"/>
          <w:szCs w:val="24"/>
        </w:rPr>
        <w:t>.</w:t>
      </w:r>
    </w:p>
    <w:p w14:paraId="19A79EC3" w14:textId="276BD7C4" w:rsidR="007C3CCB" w:rsidRPr="00362D29" w:rsidRDefault="002640A2" w:rsidP="00362D29">
      <w:pPr>
        <w:bidi/>
        <w:spacing w:line="360" w:lineRule="auto"/>
        <w:rPr>
          <w:rFonts w:ascii="Traditional Arabic" w:hAnsi="Traditional Arabic" w:cs="Traditional Arabic"/>
          <w:color w:val="000000" w:themeColor="text1"/>
          <w:sz w:val="24"/>
          <w:szCs w:val="24"/>
          <w:rtl/>
        </w:rPr>
      </w:pPr>
      <w:r w:rsidRPr="00362D29">
        <w:rPr>
          <w:rFonts w:ascii="Traditional Arabic" w:hAnsi="Traditional Arabic" w:cs="Traditional Arabic"/>
          <w:color w:val="000000" w:themeColor="text1"/>
          <w:sz w:val="24"/>
          <w:szCs w:val="24"/>
          <w:rtl/>
        </w:rPr>
        <w:t xml:space="preserve">حيث </w:t>
      </w:r>
      <w:r w:rsidR="007C3CCB" w:rsidRPr="00362D29">
        <w:rPr>
          <w:rFonts w:ascii="Traditional Arabic" w:hAnsi="Traditional Arabic" w:cs="Traditional Arabic"/>
          <w:color w:val="000000" w:themeColor="text1"/>
          <w:sz w:val="24"/>
          <w:szCs w:val="24"/>
          <w:rtl/>
        </w:rPr>
        <w:t>ينجح التميز عندما يمتلك العاملون صلاحيات واقعية لاتخاذ قرارات مرتبطة بعملهم اليومي</w:t>
      </w:r>
      <w:r w:rsidRPr="00362D29">
        <w:rPr>
          <w:rFonts w:ascii="Traditional Arabic" w:hAnsi="Traditional Arabic" w:cs="Traditional Arabic"/>
          <w:color w:val="000000" w:themeColor="text1"/>
          <w:sz w:val="24"/>
          <w:szCs w:val="24"/>
          <w:rtl/>
        </w:rPr>
        <w:t xml:space="preserve"> (سلمان وآخرون، 2025)</w:t>
      </w:r>
      <w:r w:rsidR="007C3CCB" w:rsidRPr="00362D29">
        <w:rPr>
          <w:rFonts w:ascii="Traditional Arabic" w:hAnsi="Traditional Arabic" w:cs="Traditional Arabic"/>
          <w:color w:val="000000" w:themeColor="text1"/>
          <w:sz w:val="24"/>
          <w:szCs w:val="24"/>
          <w:rtl/>
        </w:rPr>
        <w:t xml:space="preserve">، لأن تمكين </w:t>
      </w:r>
      <w:r w:rsidR="005D379E" w:rsidRPr="00362D29">
        <w:rPr>
          <w:rFonts w:ascii="Traditional Arabic" w:hAnsi="Traditional Arabic" w:cs="Traditional Arabic"/>
          <w:color w:val="000000" w:themeColor="text1"/>
          <w:sz w:val="24"/>
          <w:szCs w:val="24"/>
          <w:rtl/>
        </w:rPr>
        <w:t xml:space="preserve">العاملين </w:t>
      </w:r>
      <w:r w:rsidR="007C3CCB" w:rsidRPr="00362D29">
        <w:rPr>
          <w:rFonts w:ascii="Traditional Arabic" w:hAnsi="Traditional Arabic" w:cs="Traditional Arabic"/>
          <w:color w:val="000000" w:themeColor="text1"/>
          <w:sz w:val="24"/>
          <w:szCs w:val="24"/>
          <w:rtl/>
        </w:rPr>
        <w:t xml:space="preserve">يدعم سرعة حل المشكلات ويعزز الانتماء ويقوي جودة التنفيذ داخل </w:t>
      </w:r>
      <w:r w:rsidR="005D379E" w:rsidRPr="00362D29">
        <w:rPr>
          <w:rFonts w:ascii="Traditional Arabic" w:hAnsi="Traditional Arabic" w:cs="Traditional Arabic"/>
          <w:color w:val="000000" w:themeColor="text1"/>
          <w:sz w:val="24"/>
          <w:szCs w:val="24"/>
          <w:rtl/>
        </w:rPr>
        <w:t xml:space="preserve">المؤسسة </w:t>
      </w:r>
      <w:r w:rsidR="005D379E" w:rsidRPr="00362D29">
        <w:rPr>
          <w:rFonts w:ascii="Traditional Arabic" w:hAnsi="Traditional Arabic" w:cs="Traditional Arabic"/>
          <w:color w:val="000000" w:themeColor="text1"/>
          <w:sz w:val="24"/>
          <w:szCs w:val="24"/>
        </w:rPr>
        <w:t>Salih &amp; Dolah, 2023)</w:t>
      </w:r>
      <w:r w:rsidR="005D379E" w:rsidRPr="00362D29">
        <w:rPr>
          <w:rFonts w:ascii="Traditional Arabic" w:hAnsi="Traditional Arabic" w:cs="Traditional Arabic"/>
          <w:color w:val="000000" w:themeColor="text1"/>
          <w:sz w:val="24"/>
          <w:szCs w:val="24"/>
          <w:rtl/>
        </w:rPr>
        <w:t>).</w:t>
      </w:r>
    </w:p>
    <w:p w14:paraId="4E826D10" w14:textId="362B481B" w:rsidR="007C3CCB" w:rsidRPr="00362D29" w:rsidRDefault="007C3CCB" w:rsidP="00362D29">
      <w:pPr>
        <w:pStyle w:val="ab"/>
        <w:numPr>
          <w:ilvl w:val="0"/>
          <w:numId w:val="29"/>
        </w:numPr>
        <w:bidi/>
        <w:spacing w:line="360" w:lineRule="auto"/>
        <w:rPr>
          <w:rFonts w:ascii="Traditional Arabic" w:hAnsi="Traditional Arabic" w:cs="Traditional Arabic"/>
          <w:b/>
          <w:bCs/>
          <w:color w:val="000000" w:themeColor="text1"/>
          <w:sz w:val="24"/>
          <w:szCs w:val="24"/>
          <w:rtl/>
        </w:rPr>
      </w:pPr>
      <w:r w:rsidRPr="00362D29">
        <w:rPr>
          <w:rFonts w:ascii="Traditional Arabic" w:hAnsi="Traditional Arabic" w:cs="Traditional Arabic"/>
          <w:b/>
          <w:bCs/>
          <w:color w:val="000000" w:themeColor="text1"/>
          <w:sz w:val="24"/>
          <w:szCs w:val="24"/>
          <w:rtl/>
        </w:rPr>
        <w:t xml:space="preserve">جاهزية تنظيمية وبنية </w:t>
      </w:r>
      <w:r w:rsidR="00635589" w:rsidRPr="00362D29">
        <w:rPr>
          <w:rFonts w:ascii="Traditional Arabic" w:hAnsi="Traditional Arabic" w:cs="Traditional Arabic"/>
          <w:b/>
          <w:bCs/>
          <w:color w:val="000000" w:themeColor="text1"/>
          <w:sz w:val="24"/>
          <w:szCs w:val="24"/>
          <w:rtl/>
        </w:rPr>
        <w:t>هيكلية</w:t>
      </w:r>
      <w:r w:rsidRPr="00362D29">
        <w:rPr>
          <w:rFonts w:ascii="Traditional Arabic" w:hAnsi="Traditional Arabic" w:cs="Traditional Arabic"/>
          <w:b/>
          <w:bCs/>
          <w:color w:val="000000" w:themeColor="text1"/>
          <w:sz w:val="24"/>
          <w:szCs w:val="24"/>
          <w:rtl/>
        </w:rPr>
        <w:t xml:space="preserve"> داعمة </w:t>
      </w:r>
    </w:p>
    <w:p w14:paraId="788DA66F" w14:textId="411B6C52" w:rsidR="007C3CCB" w:rsidRPr="00362D29" w:rsidRDefault="007C3CCB" w:rsidP="00362D29">
      <w:pPr>
        <w:bidi/>
        <w:spacing w:line="360" w:lineRule="auto"/>
        <w:rPr>
          <w:rFonts w:ascii="Traditional Arabic" w:hAnsi="Traditional Arabic" w:cs="Traditional Arabic"/>
          <w:color w:val="000000" w:themeColor="text1"/>
          <w:sz w:val="24"/>
          <w:szCs w:val="24"/>
          <w:rtl/>
        </w:rPr>
      </w:pPr>
      <w:r w:rsidRPr="00362D29">
        <w:rPr>
          <w:rFonts w:ascii="Traditional Arabic" w:hAnsi="Traditional Arabic" w:cs="Traditional Arabic"/>
          <w:color w:val="000000" w:themeColor="text1"/>
          <w:sz w:val="24"/>
          <w:szCs w:val="24"/>
          <w:rtl/>
        </w:rPr>
        <w:t>تطبيق نم</w:t>
      </w:r>
      <w:r w:rsidR="00C804CA" w:rsidRPr="00362D29">
        <w:rPr>
          <w:rFonts w:ascii="Traditional Arabic" w:hAnsi="Traditional Arabic" w:cs="Traditional Arabic"/>
          <w:color w:val="000000" w:themeColor="text1"/>
          <w:sz w:val="24"/>
          <w:szCs w:val="24"/>
          <w:rtl/>
        </w:rPr>
        <w:t>ا</w:t>
      </w:r>
      <w:r w:rsidRPr="00362D29">
        <w:rPr>
          <w:rFonts w:ascii="Traditional Arabic" w:hAnsi="Traditional Arabic" w:cs="Traditional Arabic"/>
          <w:color w:val="000000" w:themeColor="text1"/>
          <w:sz w:val="24"/>
          <w:szCs w:val="24"/>
          <w:rtl/>
        </w:rPr>
        <w:t xml:space="preserve">ذج التميز </w:t>
      </w:r>
      <w:r w:rsidR="00C804CA" w:rsidRPr="00362D29">
        <w:rPr>
          <w:rFonts w:ascii="Traditional Arabic" w:hAnsi="Traditional Arabic" w:cs="Traditional Arabic"/>
          <w:color w:val="000000" w:themeColor="text1"/>
          <w:sz w:val="24"/>
          <w:szCs w:val="24"/>
          <w:rtl/>
        </w:rPr>
        <w:t>ت</w:t>
      </w:r>
      <w:r w:rsidRPr="00362D29">
        <w:rPr>
          <w:rFonts w:ascii="Traditional Arabic" w:hAnsi="Traditional Arabic" w:cs="Traditional Arabic"/>
          <w:color w:val="000000" w:themeColor="text1"/>
          <w:sz w:val="24"/>
          <w:szCs w:val="24"/>
          <w:rtl/>
        </w:rPr>
        <w:t xml:space="preserve">حتاج </w:t>
      </w:r>
      <w:r w:rsidR="00C804CA" w:rsidRPr="00362D29">
        <w:rPr>
          <w:rFonts w:ascii="Traditional Arabic" w:hAnsi="Traditional Arabic" w:cs="Traditional Arabic"/>
          <w:color w:val="000000" w:themeColor="text1"/>
          <w:sz w:val="24"/>
          <w:szCs w:val="24"/>
          <w:rtl/>
        </w:rPr>
        <w:t>ل</w:t>
      </w:r>
      <w:r w:rsidRPr="00362D29">
        <w:rPr>
          <w:rFonts w:ascii="Traditional Arabic" w:hAnsi="Traditional Arabic" w:cs="Traditional Arabic"/>
          <w:color w:val="000000" w:themeColor="text1"/>
          <w:sz w:val="24"/>
          <w:szCs w:val="24"/>
          <w:rtl/>
        </w:rPr>
        <w:t>جاهزية تنظيمية و</w:t>
      </w:r>
      <w:r w:rsidR="00635589" w:rsidRPr="00362D29">
        <w:rPr>
          <w:rFonts w:ascii="Traditional Arabic" w:hAnsi="Traditional Arabic" w:cs="Traditional Arabic"/>
          <w:color w:val="000000" w:themeColor="text1"/>
          <w:sz w:val="24"/>
          <w:szCs w:val="24"/>
          <w:rtl/>
        </w:rPr>
        <w:t>هيكلة</w:t>
      </w:r>
      <w:r w:rsidRPr="00362D29">
        <w:rPr>
          <w:rFonts w:ascii="Traditional Arabic" w:hAnsi="Traditional Arabic" w:cs="Traditional Arabic"/>
          <w:color w:val="000000" w:themeColor="text1"/>
          <w:sz w:val="24"/>
          <w:szCs w:val="24"/>
          <w:rtl/>
        </w:rPr>
        <w:t xml:space="preserve"> مؤسسية </w:t>
      </w:r>
      <w:r w:rsidR="00635589" w:rsidRPr="00362D29">
        <w:rPr>
          <w:rFonts w:ascii="Traditional Arabic" w:hAnsi="Traditional Arabic" w:cs="Traditional Arabic"/>
          <w:color w:val="000000" w:themeColor="text1"/>
          <w:sz w:val="24"/>
          <w:szCs w:val="24"/>
          <w:rtl/>
        </w:rPr>
        <w:t xml:space="preserve">مرنة </w:t>
      </w:r>
      <w:r w:rsidRPr="00362D29">
        <w:rPr>
          <w:rFonts w:ascii="Traditional Arabic" w:hAnsi="Traditional Arabic" w:cs="Traditional Arabic"/>
          <w:color w:val="000000" w:themeColor="text1"/>
          <w:sz w:val="24"/>
          <w:szCs w:val="24"/>
          <w:rtl/>
        </w:rPr>
        <w:t>داعمة لضمان الاستدامة وتحقيق النتائج</w:t>
      </w:r>
      <w:r w:rsidR="00C804CA" w:rsidRPr="00362D29">
        <w:rPr>
          <w:rFonts w:ascii="Traditional Arabic" w:hAnsi="Traditional Arabic" w:cs="Traditional Arabic"/>
          <w:color w:val="000000" w:themeColor="text1"/>
          <w:sz w:val="24"/>
          <w:szCs w:val="24"/>
          <w:rtl/>
        </w:rPr>
        <w:t xml:space="preserve"> (</w:t>
      </w:r>
      <w:r w:rsidR="00C804CA" w:rsidRPr="00362D29">
        <w:rPr>
          <w:rFonts w:ascii="Traditional Arabic" w:hAnsi="Traditional Arabic" w:cs="Traditional Arabic"/>
          <w:color w:val="000000" w:themeColor="text1"/>
          <w:sz w:val="24"/>
          <w:szCs w:val="24"/>
        </w:rPr>
        <w:t>Alsaleem, 2025</w:t>
      </w:r>
      <w:r w:rsidR="00C804CA" w:rsidRPr="00362D29">
        <w:rPr>
          <w:rFonts w:ascii="Traditional Arabic" w:hAnsi="Traditional Arabic" w:cs="Traditional Arabic"/>
          <w:color w:val="000000" w:themeColor="text1"/>
          <w:sz w:val="24"/>
          <w:szCs w:val="24"/>
          <w:rtl/>
        </w:rPr>
        <w:t>)</w:t>
      </w:r>
      <w:r w:rsidRPr="00362D29">
        <w:rPr>
          <w:rFonts w:ascii="Traditional Arabic" w:hAnsi="Traditional Arabic" w:cs="Traditional Arabic"/>
          <w:color w:val="000000" w:themeColor="text1"/>
          <w:sz w:val="24"/>
          <w:szCs w:val="24"/>
          <w:rtl/>
        </w:rPr>
        <w:t>، وليس مجرد تبنٍ شكلي للمعايير</w:t>
      </w:r>
      <w:r w:rsidR="00C804CA" w:rsidRPr="00362D29">
        <w:rPr>
          <w:rFonts w:ascii="Traditional Arabic" w:hAnsi="Traditional Arabic" w:cs="Traditional Arabic"/>
          <w:color w:val="000000" w:themeColor="text1"/>
          <w:sz w:val="24"/>
          <w:szCs w:val="24"/>
          <w:rtl/>
        </w:rPr>
        <w:t xml:space="preserve"> </w:t>
      </w:r>
      <w:r w:rsidRPr="00362D29">
        <w:rPr>
          <w:rFonts w:ascii="Traditional Arabic" w:hAnsi="Traditional Arabic" w:cs="Traditional Arabic"/>
          <w:color w:val="000000" w:themeColor="text1"/>
          <w:sz w:val="24"/>
          <w:szCs w:val="24"/>
        </w:rPr>
        <w:t xml:space="preserve"> (Barnawi, 2022</w:t>
      </w:r>
      <w:r w:rsidR="00C804CA" w:rsidRPr="00362D29">
        <w:rPr>
          <w:rFonts w:ascii="Traditional Arabic" w:hAnsi="Traditional Arabic" w:cs="Traditional Arabic"/>
          <w:color w:val="000000" w:themeColor="text1"/>
          <w:sz w:val="24"/>
          <w:szCs w:val="24"/>
        </w:rPr>
        <w:t>)</w:t>
      </w:r>
      <w:r w:rsidR="00C804CA" w:rsidRPr="00362D29">
        <w:rPr>
          <w:rFonts w:ascii="Traditional Arabic" w:hAnsi="Traditional Arabic" w:cs="Traditional Arabic"/>
          <w:color w:val="000000" w:themeColor="text1"/>
          <w:sz w:val="24"/>
          <w:szCs w:val="24"/>
          <w:rtl/>
        </w:rPr>
        <w:t>.</w:t>
      </w:r>
    </w:p>
    <w:p w14:paraId="2255C38A" w14:textId="77777777" w:rsidR="007C3CCB" w:rsidRPr="00362D29" w:rsidRDefault="007C3CCB" w:rsidP="00362D29">
      <w:pPr>
        <w:pStyle w:val="ab"/>
        <w:numPr>
          <w:ilvl w:val="0"/>
          <w:numId w:val="29"/>
        </w:numPr>
        <w:bidi/>
        <w:spacing w:line="360" w:lineRule="auto"/>
        <w:rPr>
          <w:rFonts w:ascii="Traditional Arabic" w:hAnsi="Traditional Arabic" w:cs="Traditional Arabic"/>
          <w:b/>
          <w:bCs/>
          <w:color w:val="000000" w:themeColor="text1"/>
          <w:sz w:val="24"/>
          <w:szCs w:val="24"/>
          <w:rtl/>
        </w:rPr>
      </w:pPr>
      <w:r w:rsidRPr="00362D29">
        <w:rPr>
          <w:rFonts w:ascii="Traditional Arabic" w:hAnsi="Traditional Arabic" w:cs="Traditional Arabic"/>
          <w:b/>
          <w:bCs/>
          <w:color w:val="000000" w:themeColor="text1"/>
          <w:sz w:val="24"/>
          <w:szCs w:val="24"/>
          <w:rtl/>
        </w:rPr>
        <w:t>توافر الموارد والتدريب وبناء القدرات</w:t>
      </w:r>
    </w:p>
    <w:p w14:paraId="5EBE3AC2" w14:textId="4A205244" w:rsidR="007C3CCB" w:rsidRPr="00362D29" w:rsidRDefault="007C3CCB" w:rsidP="00362D29">
      <w:p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تحتاج نماذج التميز إلى موارد كافية وبرامج تدريب وتطوير مهني</w:t>
      </w:r>
      <w:r w:rsidR="00FC3D90" w:rsidRPr="00362D29">
        <w:rPr>
          <w:rFonts w:ascii="Traditional Arabic" w:hAnsi="Traditional Arabic" w:cs="Traditional Arabic"/>
          <w:color w:val="000000" w:themeColor="text1"/>
          <w:sz w:val="24"/>
          <w:szCs w:val="24"/>
          <w:rtl/>
        </w:rPr>
        <w:t xml:space="preserve"> (محمود، 2025)</w:t>
      </w:r>
      <w:r w:rsidRPr="00362D29">
        <w:rPr>
          <w:rFonts w:ascii="Traditional Arabic" w:hAnsi="Traditional Arabic" w:cs="Traditional Arabic"/>
          <w:color w:val="000000" w:themeColor="text1"/>
          <w:sz w:val="24"/>
          <w:szCs w:val="24"/>
          <w:rtl/>
        </w:rPr>
        <w:t>، إذ يرتبط فشل التطبيق في كثير من الحالات بنقص الموارد والتدريب وضعف التأهيل المرتبط بالمعايير (</w:t>
      </w:r>
      <w:r w:rsidRPr="00362D29">
        <w:rPr>
          <w:rFonts w:ascii="Traditional Arabic" w:hAnsi="Traditional Arabic" w:cs="Traditional Arabic"/>
          <w:color w:val="000000" w:themeColor="text1"/>
          <w:sz w:val="24"/>
          <w:szCs w:val="24"/>
        </w:rPr>
        <w:t>Salih &amp; Dolah, 2023</w:t>
      </w:r>
      <w:r w:rsidRPr="00362D29">
        <w:rPr>
          <w:rFonts w:ascii="Traditional Arabic" w:hAnsi="Traditional Arabic" w:cs="Traditional Arabic"/>
          <w:color w:val="000000" w:themeColor="text1"/>
          <w:sz w:val="24"/>
          <w:szCs w:val="24"/>
          <w:rtl/>
        </w:rPr>
        <w:t>).</w:t>
      </w:r>
    </w:p>
    <w:p w14:paraId="1DAB5B40" w14:textId="77777777" w:rsidR="00771E8A" w:rsidRPr="00362D29" w:rsidRDefault="00771E8A" w:rsidP="00362D29">
      <w:pPr>
        <w:bidi/>
        <w:spacing w:line="360" w:lineRule="auto"/>
        <w:jc w:val="both"/>
        <w:rPr>
          <w:rFonts w:ascii="Traditional Arabic" w:hAnsi="Traditional Arabic" w:cs="Traditional Arabic"/>
          <w:color w:val="000000" w:themeColor="text1"/>
          <w:sz w:val="24"/>
          <w:szCs w:val="24"/>
          <w:rtl/>
        </w:rPr>
      </w:pPr>
    </w:p>
    <w:p w14:paraId="73D487CB" w14:textId="77777777" w:rsidR="00771E8A" w:rsidRPr="00362D29" w:rsidRDefault="00771E8A" w:rsidP="00362D29">
      <w:pPr>
        <w:bidi/>
        <w:spacing w:line="360" w:lineRule="auto"/>
        <w:jc w:val="both"/>
        <w:rPr>
          <w:rFonts w:ascii="Traditional Arabic" w:hAnsi="Traditional Arabic" w:cs="Traditional Arabic"/>
          <w:color w:val="000000" w:themeColor="text1"/>
          <w:sz w:val="24"/>
          <w:szCs w:val="24"/>
          <w:rtl/>
        </w:rPr>
      </w:pPr>
    </w:p>
    <w:p w14:paraId="7A3A89DF" w14:textId="77777777" w:rsidR="00771E8A" w:rsidRPr="00362D29" w:rsidRDefault="00771E8A" w:rsidP="00362D29">
      <w:pPr>
        <w:bidi/>
        <w:spacing w:line="360" w:lineRule="auto"/>
        <w:jc w:val="both"/>
        <w:rPr>
          <w:rFonts w:ascii="Traditional Arabic" w:hAnsi="Traditional Arabic" w:cs="Traditional Arabic"/>
          <w:color w:val="000000" w:themeColor="text1"/>
          <w:sz w:val="24"/>
          <w:szCs w:val="24"/>
          <w:rtl/>
        </w:rPr>
      </w:pPr>
    </w:p>
    <w:p w14:paraId="4472E537" w14:textId="77777777" w:rsidR="00771E8A" w:rsidRPr="00362D29" w:rsidRDefault="00771E8A" w:rsidP="00362D29">
      <w:pPr>
        <w:bidi/>
        <w:spacing w:line="360" w:lineRule="auto"/>
        <w:jc w:val="both"/>
        <w:rPr>
          <w:rFonts w:ascii="Traditional Arabic" w:hAnsi="Traditional Arabic" w:cs="Traditional Arabic"/>
          <w:color w:val="000000" w:themeColor="text1"/>
          <w:sz w:val="24"/>
          <w:szCs w:val="24"/>
          <w:rtl/>
        </w:rPr>
      </w:pPr>
    </w:p>
    <w:p w14:paraId="7D44ABF4" w14:textId="77777777" w:rsidR="00771E8A" w:rsidRPr="00362D29" w:rsidRDefault="00771E8A" w:rsidP="00362D29">
      <w:pPr>
        <w:bidi/>
        <w:spacing w:line="360" w:lineRule="auto"/>
        <w:jc w:val="both"/>
        <w:rPr>
          <w:rFonts w:ascii="Traditional Arabic" w:hAnsi="Traditional Arabic" w:cs="Traditional Arabic"/>
          <w:color w:val="000000" w:themeColor="text1"/>
          <w:sz w:val="24"/>
          <w:szCs w:val="24"/>
          <w:rtl/>
        </w:rPr>
      </w:pPr>
    </w:p>
    <w:p w14:paraId="774DBEF1" w14:textId="77777777" w:rsidR="00771E8A" w:rsidRPr="00362D29" w:rsidRDefault="00771E8A" w:rsidP="00362D29">
      <w:pPr>
        <w:bidi/>
        <w:spacing w:line="360" w:lineRule="auto"/>
        <w:jc w:val="both"/>
        <w:rPr>
          <w:rFonts w:ascii="Traditional Arabic" w:hAnsi="Traditional Arabic" w:cs="Traditional Arabic"/>
          <w:color w:val="000000" w:themeColor="text1"/>
          <w:sz w:val="24"/>
          <w:szCs w:val="24"/>
          <w:rtl/>
        </w:rPr>
      </w:pPr>
    </w:p>
    <w:p w14:paraId="1A1B0F60" w14:textId="77777777" w:rsidR="00771E8A" w:rsidRPr="00362D29" w:rsidRDefault="00771E8A" w:rsidP="00362D29">
      <w:pPr>
        <w:bidi/>
        <w:spacing w:line="360" w:lineRule="auto"/>
        <w:jc w:val="both"/>
        <w:rPr>
          <w:rFonts w:ascii="Traditional Arabic" w:hAnsi="Traditional Arabic" w:cs="Traditional Arabic"/>
          <w:color w:val="000000" w:themeColor="text1"/>
          <w:sz w:val="24"/>
          <w:szCs w:val="24"/>
          <w:rtl/>
        </w:rPr>
      </w:pPr>
    </w:p>
    <w:p w14:paraId="6591444C" w14:textId="77777777" w:rsidR="00D424B0" w:rsidRPr="00362D29" w:rsidRDefault="00D424B0" w:rsidP="00362D29">
      <w:pPr>
        <w:pStyle w:val="ab"/>
        <w:numPr>
          <w:ilvl w:val="0"/>
          <w:numId w:val="27"/>
        </w:numPr>
        <w:bidi/>
        <w:spacing w:line="360" w:lineRule="auto"/>
        <w:jc w:val="both"/>
        <w:rPr>
          <w:rFonts w:ascii="Traditional Arabic" w:hAnsi="Traditional Arabic" w:cs="Traditional Arabic"/>
          <w:b/>
          <w:bCs/>
          <w:color w:val="000000" w:themeColor="text1"/>
          <w:sz w:val="28"/>
          <w:szCs w:val="28"/>
        </w:rPr>
      </w:pPr>
      <w:r w:rsidRPr="00362D29">
        <w:rPr>
          <w:rFonts w:ascii="Traditional Arabic" w:hAnsi="Traditional Arabic" w:cs="Traditional Arabic"/>
          <w:b/>
          <w:bCs/>
          <w:color w:val="000000" w:themeColor="text1"/>
          <w:sz w:val="28"/>
          <w:szCs w:val="28"/>
          <w:rtl/>
        </w:rPr>
        <w:lastRenderedPageBreak/>
        <w:t>مقومات وعوامل نجاح التميز المؤسسي</w:t>
      </w:r>
    </w:p>
    <w:p w14:paraId="10F5FD97" w14:textId="77777777" w:rsidR="00D424B0" w:rsidRPr="00362D29" w:rsidRDefault="00D424B0" w:rsidP="00362D29">
      <w:pPr>
        <w:numPr>
          <w:ilvl w:val="0"/>
          <w:numId w:val="34"/>
        </w:numPr>
        <w:bidi/>
        <w:spacing w:before="0" w:after="160" w:line="360" w:lineRule="auto"/>
        <w:contextualSpacing/>
        <w:jc w:val="both"/>
        <w:rPr>
          <w:rFonts w:ascii="Traditional Arabic" w:eastAsia="Aptos" w:hAnsi="Traditional Arabic" w:cs="Traditional Arabic"/>
          <w:b/>
          <w:bCs/>
          <w:kern w:val="2"/>
          <w:sz w:val="24"/>
          <w:szCs w:val="24"/>
          <w14:ligatures w14:val="standardContextual"/>
        </w:rPr>
      </w:pPr>
      <w:r w:rsidRPr="00362D29">
        <w:rPr>
          <w:rFonts w:ascii="Traditional Arabic" w:eastAsia="Aptos" w:hAnsi="Traditional Arabic" w:cs="Traditional Arabic"/>
          <w:b/>
          <w:bCs/>
          <w:kern w:val="2"/>
          <w:sz w:val="24"/>
          <w:szCs w:val="24"/>
          <w:rtl/>
          <w14:ligatures w14:val="standardContextual"/>
        </w:rPr>
        <w:t>التزام القيادة العليا وتبني رؤية التميز</w:t>
      </w:r>
    </w:p>
    <w:p w14:paraId="480E4580" w14:textId="77777777" w:rsidR="00D424B0" w:rsidRPr="00362D29" w:rsidRDefault="00D424B0"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يُعد التزام القيادة العليا حجر الأساس في نجاح التميز المؤسسي؛ لأنه يترجم التميز من “شعارات” إلى “قرارات” وسياسات وتمويل ومتابعة. أن القيادة عندما تتبنى رؤية التميز وتدعمها سلوكيًا (قدوة، مساءلة، تحفيز)، ترتفع قدرة المنظمة على تثبيت الممارسات وتحقيق نتائج مستدامة </w:t>
      </w:r>
      <w:r w:rsidRPr="00362D29">
        <w:rPr>
          <w:rFonts w:ascii="Traditional Arabic" w:eastAsia="Aptos" w:hAnsi="Traditional Arabic" w:cs="Traditional Arabic"/>
          <w:kern w:val="2"/>
          <w:sz w:val="24"/>
          <w:szCs w:val="24"/>
          <w14:ligatures w14:val="standardContextual"/>
        </w:rPr>
        <w:t xml:space="preserve">(Barnawi, 2022) </w:t>
      </w:r>
      <w:r w:rsidRPr="00362D29">
        <w:rPr>
          <w:rFonts w:ascii="Traditional Arabic" w:eastAsia="Aptos" w:hAnsi="Traditional Arabic" w:cs="Traditional Arabic"/>
          <w:kern w:val="2"/>
          <w:sz w:val="24"/>
          <w:szCs w:val="24"/>
          <w:rtl/>
          <w14:ligatures w14:val="standardContextual"/>
        </w:rPr>
        <w:t>.</w:t>
      </w:r>
    </w:p>
    <w:p w14:paraId="668D0974" w14:textId="77777777" w:rsidR="00D424B0" w:rsidRPr="00362D29" w:rsidRDefault="00D424B0" w:rsidP="00362D29">
      <w:pPr>
        <w:numPr>
          <w:ilvl w:val="0"/>
          <w:numId w:val="34"/>
        </w:numPr>
        <w:bidi/>
        <w:spacing w:before="0" w:after="160" w:line="360" w:lineRule="auto"/>
        <w:contextualSpacing/>
        <w:jc w:val="both"/>
        <w:rPr>
          <w:rFonts w:ascii="Traditional Arabic" w:eastAsia="Aptos" w:hAnsi="Traditional Arabic" w:cs="Traditional Arabic"/>
          <w:b/>
          <w:bCs/>
          <w:kern w:val="2"/>
          <w:sz w:val="24"/>
          <w:szCs w:val="24"/>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وضوح الرؤية الاستراتيجية </w:t>
      </w:r>
    </w:p>
    <w:p w14:paraId="4BB08BB2" w14:textId="77777777" w:rsidR="00D424B0" w:rsidRPr="00362D29" w:rsidRDefault="00D424B0" w:rsidP="00362D29">
      <w:pPr>
        <w:bidi/>
        <w:spacing w:before="0" w:after="160" w:line="360" w:lineRule="auto"/>
        <w:jc w:val="both"/>
        <w:rPr>
          <w:rFonts w:ascii="Traditional Arabic" w:eastAsia="Aptos" w:hAnsi="Traditional Arabic" w:cs="Traditional Arabic"/>
          <w:b/>
          <w:bCs/>
          <w:kern w:val="2"/>
          <w:sz w:val="24"/>
          <w:szCs w:val="24"/>
          <w14:ligatures w14:val="standardContextual"/>
        </w:rPr>
      </w:pPr>
      <w:r w:rsidRPr="00362D29">
        <w:rPr>
          <w:rFonts w:ascii="Traditional Arabic" w:eastAsia="Aptos" w:hAnsi="Traditional Arabic" w:cs="Traditional Arabic"/>
          <w:kern w:val="2"/>
          <w:sz w:val="24"/>
          <w:szCs w:val="24"/>
          <w:rtl/>
          <w14:ligatures w14:val="standardContextual"/>
        </w:rPr>
        <w:t>نجاح التميز المؤسسي يرتبط بوجود رؤية استراتيجية واضحة تُترجم إلى أهداف تشغيلية قابلة للقياس، بحيث يصبح “التميز” مسارًا إداريًا منظّمًا لا مبادرات متناثرة. أن وضوح الرؤية الاستراتيجية يرفع اتساق القرارات وتكامل الجهود ويُحسّن قدرة المؤسسة على تحديد الأولويات وتوجيه الموارد. (البلوي وإسماعيل، 2025).</w:t>
      </w:r>
    </w:p>
    <w:p w14:paraId="4EEBFC5C" w14:textId="77777777" w:rsidR="00D424B0" w:rsidRPr="00362D29" w:rsidRDefault="00D424B0" w:rsidP="00362D29">
      <w:pPr>
        <w:numPr>
          <w:ilvl w:val="0"/>
          <w:numId w:val="34"/>
        </w:numPr>
        <w:bidi/>
        <w:spacing w:before="0" w:after="160" w:line="360" w:lineRule="auto"/>
        <w:contextualSpacing/>
        <w:jc w:val="both"/>
        <w:rPr>
          <w:rFonts w:ascii="Traditional Arabic" w:eastAsia="Aptos" w:hAnsi="Traditional Arabic" w:cs="Traditional Arabic"/>
          <w:b/>
          <w:bCs/>
          <w:kern w:val="2"/>
          <w:sz w:val="24"/>
          <w:szCs w:val="24"/>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تمكين العاملين </w:t>
      </w:r>
    </w:p>
    <w:p w14:paraId="4E3D4750" w14:textId="77777777" w:rsidR="00D424B0" w:rsidRPr="00362D29" w:rsidRDefault="00D424B0" w:rsidP="00362D29">
      <w:pPr>
        <w:bidi/>
        <w:spacing w:before="0" w:after="160" w:line="360" w:lineRule="auto"/>
        <w:jc w:val="both"/>
        <w:rPr>
          <w:rFonts w:ascii="Traditional Arabic" w:eastAsia="Aptos" w:hAnsi="Traditional Arabic" w:cs="Traditional Arabic"/>
          <w:kern w:val="2"/>
          <w:sz w:val="24"/>
          <w:szCs w:val="24"/>
          <w14:ligatures w14:val="standardContextual"/>
        </w:rPr>
      </w:pPr>
      <w:r w:rsidRPr="00362D29">
        <w:rPr>
          <w:rFonts w:ascii="Traditional Arabic" w:eastAsia="Aptos" w:hAnsi="Traditional Arabic" w:cs="Traditional Arabic"/>
          <w:kern w:val="2"/>
          <w:sz w:val="24"/>
          <w:szCs w:val="24"/>
          <w:rtl/>
          <w14:ligatures w14:val="standardContextual"/>
        </w:rPr>
        <w:t>تمكين العاملين يُعد من مقومات نجاح التميز لأنه يزيد سرعة اتخاذ القرار، ويرفع جودة التنفيذ، ويُحوّل الموظف من منفّذ إلى شريك في التحسين. وتبرز ممارسات التمكين في تفويض الصلاحيات، والتدريب والتطوير المستمر، والتواصل المفتوح، ودعم المبادرات الذاتية بما يعزز الابتكار والمسؤولية المهنية داخل المؤسسة (سالمان وآخرون، 2025)</w:t>
      </w:r>
      <w:r w:rsidRPr="00362D29">
        <w:rPr>
          <w:rFonts w:ascii="Traditional Arabic" w:eastAsia="Aptos" w:hAnsi="Traditional Arabic" w:cs="Traditional Arabic"/>
          <w:kern w:val="2"/>
          <w:sz w:val="24"/>
          <w:szCs w:val="24"/>
          <w14:ligatures w14:val="standardContextual"/>
        </w:rPr>
        <w:t xml:space="preserve">. </w:t>
      </w:r>
    </w:p>
    <w:p w14:paraId="1FE5A580" w14:textId="77777777" w:rsidR="00D424B0" w:rsidRPr="00362D29" w:rsidRDefault="00D424B0" w:rsidP="00362D29">
      <w:pPr>
        <w:numPr>
          <w:ilvl w:val="0"/>
          <w:numId w:val="34"/>
        </w:numPr>
        <w:bidi/>
        <w:spacing w:before="0" w:after="160" w:line="360" w:lineRule="auto"/>
        <w:contextualSpacing/>
        <w:jc w:val="both"/>
        <w:rPr>
          <w:rFonts w:ascii="Traditional Arabic" w:eastAsia="Aptos" w:hAnsi="Traditional Arabic" w:cs="Traditional Arabic"/>
          <w:b/>
          <w:bCs/>
          <w:kern w:val="2"/>
          <w:sz w:val="24"/>
          <w:szCs w:val="24"/>
          <w14:ligatures w14:val="standardContextual"/>
        </w:rPr>
      </w:pPr>
      <w:r w:rsidRPr="00362D29">
        <w:rPr>
          <w:rFonts w:ascii="Traditional Arabic" w:eastAsia="Aptos" w:hAnsi="Traditional Arabic" w:cs="Traditional Arabic"/>
          <w:b/>
          <w:bCs/>
          <w:kern w:val="2"/>
          <w:sz w:val="24"/>
          <w:szCs w:val="24"/>
          <w:rtl/>
          <w14:ligatures w14:val="standardContextual"/>
        </w:rPr>
        <w:t>إدارة التغيير وتقليل مقاومة التحول</w:t>
      </w:r>
    </w:p>
    <w:p w14:paraId="480AE662" w14:textId="77777777" w:rsidR="00D424B0" w:rsidRPr="00362D29" w:rsidRDefault="00D424B0"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إدارة التغيير وتقليل مقاومة التحول</w:t>
      </w:r>
    </w:p>
    <w:p w14:paraId="653510FF" w14:textId="77777777" w:rsidR="00D424B0" w:rsidRPr="00362D29" w:rsidRDefault="00D424B0"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تطبيق نماذج التميز غالباً يتطلب تغييراً في الثقافة والعمليات، لذلك تُعد إدارة التغيير شرطاً لازماً لتقليل مقاومة العاملين وتثبيت الممارسات الجديدة. إن قصور إدارة التغيير من الأسباب المتكررة لفشل تطبيق نماذج التميز أو تذبذب نتائجها حتى مع وجود إطار نموذجي واضح (محمود، 2025).</w:t>
      </w:r>
    </w:p>
    <w:p w14:paraId="3FD9E6D8" w14:textId="77777777" w:rsidR="00D424B0" w:rsidRPr="00362D29" w:rsidRDefault="00D424B0" w:rsidP="00362D29">
      <w:pPr>
        <w:numPr>
          <w:ilvl w:val="0"/>
          <w:numId w:val="34"/>
        </w:numPr>
        <w:bidi/>
        <w:spacing w:before="0" w:after="160" w:line="360" w:lineRule="auto"/>
        <w:contextualSpacing/>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توافر الموارد وبناء القدرات والتدريب</w:t>
      </w:r>
    </w:p>
    <w:p w14:paraId="2579CF00" w14:textId="77777777" w:rsidR="00D424B0" w:rsidRPr="00362D29" w:rsidRDefault="00D424B0"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التميز المؤسسي ليس مجرد تبنٍّ نظري للمعايير، بل يحتاج موارد بشرية ومالية وتقنية تدعم التحول وتضمن استمراره؛ كما أن التدريب يرفع كفاءة التنفيذ ويعزز توحيد الفهم داخل المؤسسة. وتؤكد الأدبيات أن نقص الموارد والتدريب من أبرز معوقات نجاح تطبيق نماذج التميز وتحقيق نتائج مستقرة. (سلمان وآخرون، 2025).</w:t>
      </w:r>
    </w:p>
    <w:p w14:paraId="6B8274DC" w14:textId="77777777" w:rsidR="00F904E1" w:rsidRPr="00362D29" w:rsidRDefault="00F904E1"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p>
    <w:p w14:paraId="4D07075E" w14:textId="77777777" w:rsidR="00D424B0" w:rsidRPr="00362D29" w:rsidRDefault="00D424B0" w:rsidP="00362D29">
      <w:pPr>
        <w:numPr>
          <w:ilvl w:val="0"/>
          <w:numId w:val="34"/>
        </w:numPr>
        <w:bidi/>
        <w:spacing w:before="0" w:after="160" w:line="360" w:lineRule="auto"/>
        <w:contextualSpacing/>
        <w:jc w:val="both"/>
        <w:rPr>
          <w:rFonts w:ascii="Traditional Arabic" w:eastAsia="Aptos" w:hAnsi="Traditional Arabic" w:cs="Traditional Arabic"/>
          <w:b/>
          <w:bCs/>
          <w:kern w:val="2"/>
          <w:sz w:val="24"/>
          <w:szCs w:val="24"/>
          <w14:ligatures w14:val="standardContextual"/>
        </w:rPr>
      </w:pPr>
      <w:r w:rsidRPr="00362D29">
        <w:rPr>
          <w:rFonts w:ascii="Traditional Arabic" w:eastAsia="Aptos" w:hAnsi="Traditional Arabic" w:cs="Traditional Arabic"/>
          <w:b/>
          <w:bCs/>
          <w:kern w:val="2"/>
          <w:sz w:val="24"/>
          <w:szCs w:val="24"/>
          <w:rtl/>
          <w14:ligatures w14:val="standardContextual"/>
        </w:rPr>
        <w:lastRenderedPageBreak/>
        <w:t>الانضباط الإداري والحوكمة وتحديد المسؤوليات</w:t>
      </w:r>
    </w:p>
    <w:p w14:paraId="21B28F38" w14:textId="77777777" w:rsidR="00D424B0" w:rsidRPr="00362D29" w:rsidRDefault="00D424B0" w:rsidP="00362D29">
      <w:pPr>
        <w:bidi/>
        <w:spacing w:before="0" w:after="160" w:line="360" w:lineRule="auto"/>
        <w:jc w:val="both"/>
        <w:rPr>
          <w:rFonts w:ascii="Traditional Arabic" w:eastAsia="Aptos" w:hAnsi="Traditional Arabic" w:cs="Traditional Arabic"/>
          <w:kern w:val="2"/>
          <w:sz w:val="24"/>
          <w:szCs w:val="24"/>
          <w14:ligatures w14:val="standardContextual"/>
        </w:rPr>
      </w:pPr>
      <w:r w:rsidRPr="00362D29">
        <w:rPr>
          <w:rFonts w:ascii="Traditional Arabic" w:eastAsia="Aptos" w:hAnsi="Traditional Arabic" w:cs="Traditional Arabic"/>
          <w:kern w:val="2"/>
          <w:sz w:val="24"/>
          <w:szCs w:val="24"/>
          <w:rtl/>
          <w14:ligatures w14:val="standardContextual"/>
        </w:rPr>
        <w:t>توافر “الضبط الإداري” كمنظومة للحوكمة (لوائح واضحة، متابعة دقيقة، توزيع مسؤوليات، رقابة داخلية) يدعم التميز لأنه يمنع العشوائية ويضمن اتساق القرارات. أن ارتفاع الانضباط الإداري يرتبط بمستويات أعلى من التميز المؤسسي، ويظهر أثره في ثقافة الجودة وقدرة المؤسسة على التقييم الذاتي وتحسين الأداء (أحمد، 2025)</w:t>
      </w:r>
      <w:r w:rsidRPr="00362D29">
        <w:rPr>
          <w:rFonts w:ascii="Traditional Arabic" w:eastAsia="Aptos" w:hAnsi="Traditional Arabic" w:cs="Traditional Arabic"/>
          <w:kern w:val="2"/>
          <w:sz w:val="24"/>
          <w:szCs w:val="24"/>
          <w14:ligatures w14:val="standardContextual"/>
        </w:rPr>
        <w:t xml:space="preserve">. </w:t>
      </w:r>
    </w:p>
    <w:p w14:paraId="5A2D2AAA" w14:textId="77777777" w:rsidR="00D424B0" w:rsidRPr="00362D29" w:rsidRDefault="00D424B0" w:rsidP="00362D29">
      <w:pPr>
        <w:numPr>
          <w:ilvl w:val="0"/>
          <w:numId w:val="34"/>
        </w:numPr>
        <w:bidi/>
        <w:spacing w:before="0" w:after="160" w:line="360" w:lineRule="auto"/>
        <w:contextualSpacing/>
        <w:jc w:val="both"/>
        <w:rPr>
          <w:rFonts w:ascii="Traditional Arabic" w:eastAsia="Aptos" w:hAnsi="Traditional Arabic" w:cs="Traditional Arabic"/>
          <w:b/>
          <w:bCs/>
          <w:kern w:val="2"/>
          <w:sz w:val="24"/>
          <w:szCs w:val="24"/>
          <w14:ligatures w14:val="standardContextual"/>
        </w:rPr>
      </w:pPr>
      <w:r w:rsidRPr="00362D29">
        <w:rPr>
          <w:rFonts w:ascii="Traditional Arabic" w:eastAsia="Aptos" w:hAnsi="Traditional Arabic" w:cs="Traditional Arabic"/>
          <w:b/>
          <w:bCs/>
          <w:kern w:val="2"/>
          <w:sz w:val="24"/>
          <w:szCs w:val="24"/>
          <w:rtl/>
          <w14:ligatures w14:val="standardContextual"/>
        </w:rPr>
        <w:t>التقييم الذاتي وقياس الأداء المنتظم</w:t>
      </w:r>
    </w:p>
    <w:p w14:paraId="11CA9500" w14:textId="77777777" w:rsidR="00D424B0" w:rsidRPr="00362D29" w:rsidRDefault="00D424B0" w:rsidP="00362D29">
      <w:pPr>
        <w:bidi/>
        <w:spacing w:before="0" w:after="160" w:line="360" w:lineRule="auto"/>
        <w:jc w:val="both"/>
        <w:rPr>
          <w:rFonts w:ascii="Traditional Arabic" w:eastAsia="Aptos" w:hAnsi="Traditional Arabic" w:cs="Traditional Arabic"/>
          <w:kern w:val="2"/>
          <w:sz w:val="24"/>
          <w:szCs w:val="24"/>
          <w14:ligatures w14:val="standardContextual"/>
        </w:rPr>
      </w:pPr>
      <w:r w:rsidRPr="00362D29">
        <w:rPr>
          <w:rFonts w:ascii="Traditional Arabic" w:eastAsia="Aptos" w:hAnsi="Traditional Arabic" w:cs="Traditional Arabic"/>
          <w:kern w:val="2"/>
          <w:sz w:val="24"/>
          <w:szCs w:val="24"/>
          <w:rtl/>
          <w14:ligatures w14:val="standardContextual"/>
        </w:rPr>
        <w:t>نجاح التميز المؤسسي يتطلب قياسًا مستمرًا للأداء وتقييمًا ذاتيًا يوضح الفجوات ويُحوّلها إلى خطط تحسين؛ لأن التقييم الذاتي ليس إجراءً شكليًا، بل آلية لضمان التحسين المستمر وربط الأداء بالمؤشرات، بما يعزز القدرة على كشف مكامن الخلل قبل تضخمها (أحمد، 2025)</w:t>
      </w:r>
      <w:r w:rsidRPr="00362D29">
        <w:rPr>
          <w:rFonts w:ascii="Traditional Arabic" w:eastAsia="Aptos" w:hAnsi="Traditional Arabic" w:cs="Traditional Arabic"/>
          <w:kern w:val="2"/>
          <w:sz w:val="24"/>
          <w:szCs w:val="24"/>
          <w14:ligatures w14:val="standardContextual"/>
        </w:rPr>
        <w:t xml:space="preserve">. </w:t>
      </w:r>
    </w:p>
    <w:p w14:paraId="23C2E14A" w14:textId="77777777" w:rsidR="00D424B0" w:rsidRPr="00362D29" w:rsidRDefault="00D424B0" w:rsidP="00362D29">
      <w:pPr>
        <w:numPr>
          <w:ilvl w:val="0"/>
          <w:numId w:val="34"/>
        </w:numPr>
        <w:bidi/>
        <w:spacing w:before="0" w:after="160" w:line="360" w:lineRule="auto"/>
        <w:contextualSpacing/>
        <w:jc w:val="both"/>
        <w:rPr>
          <w:rFonts w:ascii="Traditional Arabic" w:eastAsia="Aptos" w:hAnsi="Traditional Arabic" w:cs="Traditional Arabic"/>
          <w:b/>
          <w:bCs/>
          <w:kern w:val="2"/>
          <w:sz w:val="24"/>
          <w:szCs w:val="24"/>
          <w14:ligatures w14:val="standardContextual"/>
        </w:rPr>
      </w:pPr>
      <w:r w:rsidRPr="00362D29">
        <w:rPr>
          <w:rFonts w:ascii="Traditional Arabic" w:eastAsia="Aptos" w:hAnsi="Traditional Arabic" w:cs="Traditional Arabic"/>
          <w:b/>
          <w:bCs/>
          <w:kern w:val="2"/>
          <w:sz w:val="24"/>
          <w:szCs w:val="24"/>
          <w:rtl/>
          <w14:ligatures w14:val="standardContextual"/>
        </w:rPr>
        <w:t>فعالية مشروعات التحسين وثقافة التحسين المستمر</w:t>
      </w:r>
    </w:p>
    <w:p w14:paraId="4DFEF2F3" w14:textId="6BF7E153" w:rsidR="00D424B0" w:rsidRPr="00362D29" w:rsidRDefault="00D424B0"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تتحقق فاعلية التميز المؤسسي بترجمة معاييره إلى مشروعات تحسين إجرائية ذات مخرجات قابلة للقياس، تدعمها ثقافة مؤسسية تتبنى التطوير المستمر لضمان استدامة الأداء. وقد أكدت دراسة (أحمد، 2025) وجود ارتباط وثيق بين مشروعات التحسين ورفع مستوى التميز في مؤسسات الرعاية الصحية، كما شددت دراسة (الرويلي، 2025) على أن التطوير المستمر يمثل شرطاً جوهرياً للتميز وإدارة النظام الصحي بكفاءة.</w:t>
      </w:r>
    </w:p>
    <w:p w14:paraId="48BB4292" w14:textId="77777777" w:rsidR="00D424B0" w:rsidRPr="00362D29" w:rsidRDefault="00D424B0" w:rsidP="00362D29">
      <w:pPr>
        <w:pStyle w:val="ab"/>
        <w:numPr>
          <w:ilvl w:val="0"/>
          <w:numId w:val="27"/>
        </w:numPr>
        <w:bidi/>
        <w:spacing w:line="360" w:lineRule="auto"/>
        <w:jc w:val="both"/>
        <w:rPr>
          <w:rFonts w:ascii="Traditional Arabic" w:hAnsi="Traditional Arabic" w:cs="Traditional Arabic"/>
          <w:b/>
          <w:bCs/>
          <w:color w:val="000000" w:themeColor="text1"/>
          <w:sz w:val="28"/>
          <w:szCs w:val="28"/>
          <w:rtl/>
        </w:rPr>
      </w:pPr>
      <w:r w:rsidRPr="00362D29">
        <w:rPr>
          <w:rFonts w:ascii="Traditional Arabic" w:hAnsi="Traditional Arabic" w:cs="Traditional Arabic"/>
          <w:b/>
          <w:bCs/>
          <w:color w:val="000000" w:themeColor="text1"/>
          <w:sz w:val="28"/>
          <w:szCs w:val="28"/>
          <w:rtl/>
        </w:rPr>
        <w:t>التحديات والمعوقات في تحقيق التميز المؤسسي</w:t>
      </w:r>
    </w:p>
    <w:p w14:paraId="52F5C343" w14:textId="77777777" w:rsidR="00D424B0" w:rsidRPr="00362D29" w:rsidRDefault="00D424B0" w:rsidP="00362D29">
      <w:pPr>
        <w:numPr>
          <w:ilvl w:val="0"/>
          <w:numId w:val="34"/>
        </w:numPr>
        <w:bidi/>
        <w:spacing w:before="0" w:after="160" w:line="360" w:lineRule="auto"/>
        <w:contextualSpacing/>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ضعف الدعم القيادي </w:t>
      </w:r>
    </w:p>
    <w:p w14:paraId="3950D495" w14:textId="77777777" w:rsidR="00D424B0" w:rsidRPr="00362D29" w:rsidRDefault="00D424B0"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من أبرز معوقات التميز المؤسسي ضعف الدعم القيادي (</w:t>
      </w:r>
      <w:r w:rsidRPr="00362D29">
        <w:rPr>
          <w:rFonts w:ascii="Traditional Arabic" w:eastAsia="Aptos" w:hAnsi="Traditional Arabic" w:cs="Traditional Arabic"/>
          <w:kern w:val="2"/>
          <w:sz w:val="24"/>
          <w:szCs w:val="24"/>
          <w14:ligatures w14:val="standardContextual"/>
        </w:rPr>
        <w:t>Barnawi, 2022</w:t>
      </w:r>
      <w:r w:rsidRPr="00362D29">
        <w:rPr>
          <w:rFonts w:ascii="Traditional Arabic" w:eastAsia="Aptos" w:hAnsi="Traditional Arabic" w:cs="Traditional Arabic"/>
          <w:kern w:val="2"/>
          <w:sz w:val="24"/>
          <w:szCs w:val="24"/>
          <w:rtl/>
          <w14:ligatures w14:val="standardContextual"/>
        </w:rPr>
        <w:t>) ، وتراجع متابعة مؤشرات الأداء، وتباطؤ تنفيذ التحسينات، بما ينعكس على النتائج المؤسسية النهائية (</w:t>
      </w:r>
      <w:r w:rsidRPr="00362D29">
        <w:rPr>
          <w:rFonts w:ascii="Traditional Arabic" w:eastAsia="Aptos" w:hAnsi="Traditional Arabic" w:cs="Traditional Arabic"/>
          <w:kern w:val="2"/>
          <w:sz w:val="24"/>
          <w:szCs w:val="24"/>
          <w14:ligatures w14:val="standardContextual"/>
        </w:rPr>
        <w:t>Salih &amp; Dolah, 2023</w:t>
      </w:r>
      <w:r w:rsidRPr="00362D29">
        <w:rPr>
          <w:rFonts w:ascii="Traditional Arabic" w:eastAsia="Aptos" w:hAnsi="Traditional Arabic" w:cs="Traditional Arabic"/>
          <w:kern w:val="2"/>
          <w:sz w:val="24"/>
          <w:szCs w:val="24"/>
          <w:rtl/>
          <w14:ligatures w14:val="standardContextual"/>
        </w:rPr>
        <w:t>).</w:t>
      </w:r>
    </w:p>
    <w:p w14:paraId="6CF8198A" w14:textId="77777777" w:rsidR="00D424B0" w:rsidRPr="00362D29" w:rsidRDefault="00D424B0" w:rsidP="00362D29">
      <w:pPr>
        <w:numPr>
          <w:ilvl w:val="0"/>
          <w:numId w:val="34"/>
        </w:numPr>
        <w:bidi/>
        <w:spacing w:before="0" w:after="160" w:line="360" w:lineRule="auto"/>
        <w:contextualSpacing/>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مقاومة التغيير والثقافة التنظيمية غير الداعمة</w:t>
      </w:r>
    </w:p>
    <w:p w14:paraId="04F8B2EE" w14:textId="77777777" w:rsidR="00D424B0" w:rsidRPr="00362D29" w:rsidRDefault="00D424B0"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تطبيق نماذج التميز يتطلب تغييرًا في السلوك المؤسسي والعمليات ، لذا تمثل مقاومة التغيير وضعف الثقافة الداعمة للجودة والتحسين المستمر عائقًا جوهريًا(محمود، 2025). حيث تقل المشاركة الداخلية وتتراجع مبادرات التطوير، وتصبح إجراءات التميز شكلية وغير مؤسسية (</w:t>
      </w:r>
      <w:r w:rsidRPr="00362D29">
        <w:rPr>
          <w:rFonts w:ascii="Traditional Arabic" w:eastAsia="Aptos" w:hAnsi="Traditional Arabic" w:cs="Traditional Arabic"/>
          <w:kern w:val="2"/>
          <w:sz w:val="24"/>
          <w:szCs w:val="24"/>
          <w14:ligatures w14:val="standardContextual"/>
        </w:rPr>
        <w:t>Ahmed &amp; Sur, 2023</w:t>
      </w:r>
      <w:r w:rsidRPr="00362D29">
        <w:rPr>
          <w:rFonts w:ascii="Traditional Arabic" w:eastAsia="Aptos" w:hAnsi="Traditional Arabic" w:cs="Traditional Arabic"/>
          <w:kern w:val="2"/>
          <w:sz w:val="24"/>
          <w:szCs w:val="24"/>
          <w:rtl/>
          <w14:ligatures w14:val="standardContextual"/>
        </w:rPr>
        <w:t>).</w:t>
      </w:r>
    </w:p>
    <w:p w14:paraId="53F5083C" w14:textId="77777777" w:rsidR="00D424B0" w:rsidRPr="00362D29" w:rsidRDefault="00D424B0" w:rsidP="00362D29">
      <w:pPr>
        <w:numPr>
          <w:ilvl w:val="0"/>
          <w:numId w:val="34"/>
        </w:numPr>
        <w:bidi/>
        <w:spacing w:before="0" w:after="160" w:line="360" w:lineRule="auto"/>
        <w:contextualSpacing/>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نقص الموارد البشرية والمالية</w:t>
      </w:r>
    </w:p>
    <w:p w14:paraId="7A49D357" w14:textId="77777777" w:rsidR="00D424B0" w:rsidRPr="00362D29" w:rsidRDefault="00D424B0"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تعثر تطبيق التميز يرتبط غالبًا بنقص الموارد البشرية أو المالية أو التقنية، وضعف برامج التدريب وبناء القدرات؛ لأن المعايير تحتاج فهمًا موحدًا ومهارات تنفيذية وأدوات قياس وتحسين (</w:t>
      </w:r>
      <w:r w:rsidRPr="00362D29">
        <w:rPr>
          <w:rFonts w:ascii="Traditional Arabic" w:eastAsia="Aptos" w:hAnsi="Traditional Arabic" w:cs="Traditional Arabic"/>
          <w:kern w:val="2"/>
          <w:sz w:val="24"/>
          <w:szCs w:val="24"/>
          <w14:ligatures w14:val="standardContextual"/>
        </w:rPr>
        <w:t>(Mohamed et al., 2018</w:t>
      </w:r>
      <w:r w:rsidRPr="00362D29">
        <w:rPr>
          <w:rFonts w:ascii="Traditional Arabic" w:eastAsia="Aptos" w:hAnsi="Traditional Arabic" w:cs="Traditional Arabic"/>
          <w:kern w:val="2"/>
          <w:sz w:val="24"/>
          <w:szCs w:val="24"/>
          <w:rtl/>
          <w14:ligatures w14:val="standardContextual"/>
        </w:rPr>
        <w:t>، وبدون ذلك تظهر فجوات واضحة بين التصميم النظري والتطبيق الميداني (</w:t>
      </w:r>
      <w:r w:rsidRPr="00362D29">
        <w:rPr>
          <w:rFonts w:ascii="Traditional Arabic" w:eastAsia="Aptos" w:hAnsi="Traditional Arabic" w:cs="Traditional Arabic"/>
          <w:kern w:val="2"/>
          <w:sz w:val="24"/>
          <w:szCs w:val="24"/>
          <w14:ligatures w14:val="standardContextual"/>
        </w:rPr>
        <w:t>Barnawi, 2022</w:t>
      </w:r>
      <w:r w:rsidRPr="00362D29">
        <w:rPr>
          <w:rFonts w:ascii="Traditional Arabic" w:eastAsia="Aptos" w:hAnsi="Traditional Arabic" w:cs="Traditional Arabic"/>
          <w:kern w:val="2"/>
          <w:sz w:val="24"/>
          <w:szCs w:val="24"/>
          <w:rtl/>
          <w14:ligatures w14:val="standardContextual"/>
        </w:rPr>
        <w:t>).</w:t>
      </w:r>
    </w:p>
    <w:p w14:paraId="7D3D9FDF" w14:textId="77777777" w:rsidR="00D424B0" w:rsidRPr="00362D29" w:rsidRDefault="00D424B0" w:rsidP="00362D29">
      <w:pPr>
        <w:numPr>
          <w:ilvl w:val="0"/>
          <w:numId w:val="34"/>
        </w:numPr>
        <w:bidi/>
        <w:spacing w:before="0" w:after="160" w:line="360" w:lineRule="auto"/>
        <w:contextualSpacing/>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lastRenderedPageBreak/>
        <w:t>ضعف تكامل الاستراتيجية مع مؤشرات الأداء والقياس</w:t>
      </w:r>
    </w:p>
    <w:p w14:paraId="402B242D" w14:textId="77777777" w:rsidR="00D424B0" w:rsidRPr="00362D29" w:rsidRDefault="00D424B0"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من المعوقات المتكررة عدم تحويل الاستراتيجية إلى أهداف تشغيلية ومؤشرات قياس فعّالة، مما يؤدي إلى فجوة بين التخطيط والتنفيذ (</w:t>
      </w:r>
      <w:r w:rsidRPr="00362D29">
        <w:rPr>
          <w:rFonts w:ascii="Traditional Arabic" w:eastAsia="Aptos" w:hAnsi="Traditional Arabic" w:cs="Traditional Arabic"/>
          <w:kern w:val="2"/>
          <w:sz w:val="24"/>
          <w:szCs w:val="24"/>
          <w14:ligatures w14:val="standardContextual"/>
        </w:rPr>
        <w:t>Salih &amp; Dolah, 2023</w:t>
      </w:r>
      <w:r w:rsidRPr="00362D29">
        <w:rPr>
          <w:rFonts w:ascii="Traditional Arabic" w:eastAsia="Aptos" w:hAnsi="Traditional Arabic" w:cs="Traditional Arabic"/>
          <w:kern w:val="2"/>
          <w:sz w:val="24"/>
          <w:szCs w:val="24"/>
          <w:rtl/>
          <w14:ligatures w14:val="standardContextual"/>
        </w:rPr>
        <w:t>)، وغياب القدرة على التقييم الدوري والتحسين المبني على البيانات، فتضعف قدرة المؤسسة على إثبات أثر التميز على النتائج (السيابي، 2024).</w:t>
      </w:r>
    </w:p>
    <w:p w14:paraId="5217970E" w14:textId="77777777" w:rsidR="00D424B0" w:rsidRPr="00362D29" w:rsidRDefault="00D424B0" w:rsidP="00362D29">
      <w:pPr>
        <w:numPr>
          <w:ilvl w:val="0"/>
          <w:numId w:val="34"/>
        </w:numPr>
        <w:bidi/>
        <w:spacing w:before="0" w:after="160" w:line="360" w:lineRule="auto"/>
        <w:contextualSpacing/>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تعقيد العمليات وتفاوت النضج المؤسسي </w:t>
      </w:r>
    </w:p>
    <w:p w14:paraId="6E0AE394" w14:textId="77777777" w:rsidR="00D424B0" w:rsidRPr="00362D29" w:rsidRDefault="00D424B0"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قد تواجه المؤسسة تحديًا يتمثل في تعقيد العمليات وتعدد المسارات الإجرائية وتباين مستوى النضج بين الإدارات (الرويلي، 2025) ، وهو ما يخلق تفاوتًا في الالتزام بالمعايير ويؤدي إلى نتائج غير متجانسة، خصوصًا في المؤسسات الصحية ذات العمليات السريرية والإدارية المتشابكة</w:t>
      </w:r>
      <w:r w:rsidRPr="00362D29">
        <w:rPr>
          <w:rFonts w:ascii="Traditional Arabic" w:eastAsia="Aptos" w:hAnsi="Traditional Arabic" w:cs="Traditional Arabic"/>
          <w:kern w:val="2"/>
          <w:sz w:val="24"/>
          <w:szCs w:val="24"/>
          <w14:ligatures w14:val="standardContextual"/>
        </w:rPr>
        <w:t xml:space="preserve">Al-Samawi &amp; Al-Sayaghi, 2024) </w:t>
      </w:r>
      <w:r w:rsidRPr="00362D29">
        <w:rPr>
          <w:rFonts w:ascii="Traditional Arabic" w:eastAsia="Aptos" w:hAnsi="Traditional Arabic" w:cs="Traditional Arabic"/>
          <w:kern w:val="2"/>
          <w:sz w:val="24"/>
          <w:szCs w:val="24"/>
          <w:rtl/>
          <w14:ligatures w14:val="standardContextual"/>
        </w:rPr>
        <w:t>).</w:t>
      </w:r>
    </w:p>
    <w:p w14:paraId="32C98965" w14:textId="77777777" w:rsidR="00D424B0" w:rsidRPr="00362D29" w:rsidRDefault="00D424B0" w:rsidP="00362D29">
      <w:pPr>
        <w:numPr>
          <w:ilvl w:val="0"/>
          <w:numId w:val="34"/>
        </w:numPr>
        <w:bidi/>
        <w:spacing w:before="0" w:after="160" w:line="360" w:lineRule="auto"/>
        <w:contextualSpacing/>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ضعف الانضباط الإداري وتشتت المسؤوليات</w:t>
      </w:r>
    </w:p>
    <w:p w14:paraId="78A8BF6E" w14:textId="77777777" w:rsidR="00D424B0" w:rsidRPr="00362D29" w:rsidRDefault="00D424B0"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ضعف الانضباط الإداري يؤدي إلى تداخل الأدوار، وتكرار المهام، وضعف المساءلة، مما يضعف تطبيق معايير التميز ويؤثر على الاستدامة (عبد البصير، 2021)، لأن التميز يحتاج وضوح مسؤوليات، وإجراءات متابعة، ومراجعات دورية (</w:t>
      </w:r>
      <w:r w:rsidRPr="00362D29">
        <w:rPr>
          <w:rFonts w:ascii="Traditional Arabic" w:eastAsia="Aptos" w:hAnsi="Traditional Arabic" w:cs="Traditional Arabic"/>
          <w:kern w:val="2"/>
          <w:sz w:val="24"/>
          <w:szCs w:val="24"/>
          <w14:ligatures w14:val="standardContextual"/>
        </w:rPr>
        <w:t>Alanazi, 2017</w:t>
      </w:r>
      <w:r w:rsidRPr="00362D29">
        <w:rPr>
          <w:rFonts w:ascii="Traditional Arabic" w:eastAsia="Aptos" w:hAnsi="Traditional Arabic" w:cs="Traditional Arabic"/>
          <w:kern w:val="2"/>
          <w:sz w:val="24"/>
          <w:szCs w:val="24"/>
          <w:rtl/>
          <w14:ligatures w14:val="standardContextual"/>
        </w:rPr>
        <w:t>).</w:t>
      </w:r>
    </w:p>
    <w:p w14:paraId="7CC4D3B2" w14:textId="77777777" w:rsidR="00D424B0" w:rsidRPr="00362D29" w:rsidRDefault="00D424B0" w:rsidP="00362D29">
      <w:pPr>
        <w:numPr>
          <w:ilvl w:val="0"/>
          <w:numId w:val="34"/>
        </w:numPr>
        <w:bidi/>
        <w:spacing w:before="0" w:after="160" w:line="360" w:lineRule="auto"/>
        <w:contextualSpacing/>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ضعف التكامل بين نماذج التميز ومتطلبات الاعتماد/التقييم</w:t>
      </w:r>
    </w:p>
    <w:p w14:paraId="25FA53DE" w14:textId="6C14BFB2" w:rsidR="00D424B0" w:rsidRPr="00362D29" w:rsidRDefault="00D424B0"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قد تظهر معوقات عندما لا يتم مواءمة نموذج التميز مع متطلبات الاعتماد أو أنظمة التقييم الداخلي، فتتكرر الجهود وتزداد الأعباء الإدارية ويضعف الاتساق</w:t>
      </w:r>
      <w:r w:rsidR="0082429A" w:rsidRPr="00362D29">
        <w:rPr>
          <w:rFonts w:ascii="Traditional Arabic" w:eastAsia="Aptos" w:hAnsi="Traditional Arabic" w:cs="Traditional Arabic"/>
          <w:kern w:val="2"/>
          <w:sz w:val="24"/>
          <w:szCs w:val="24"/>
          <w:rtl/>
          <w14:ligatures w14:val="standardContextual"/>
        </w:rPr>
        <w:t xml:space="preserve"> (</w:t>
      </w:r>
      <w:r w:rsidR="0082429A" w:rsidRPr="00362D29">
        <w:rPr>
          <w:rFonts w:ascii="Traditional Arabic" w:eastAsia="Aptos" w:hAnsi="Traditional Arabic" w:cs="Traditional Arabic"/>
          <w:kern w:val="2"/>
          <w:sz w:val="24"/>
          <w:szCs w:val="24"/>
          <w14:ligatures w14:val="standardContextual"/>
        </w:rPr>
        <w:t>Alsaleem, 2025</w:t>
      </w:r>
      <w:r w:rsidR="0082429A" w:rsidRPr="00362D29">
        <w:rPr>
          <w:rFonts w:ascii="Traditional Arabic" w:eastAsia="Aptos" w:hAnsi="Traditional Arabic" w:cs="Traditional Arabic"/>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بينما ينجح التطبيق عندما يتم دمج الأطر وتوحيد المؤشرات وتقليل الازدواجية (السيابي، 2024)</w:t>
      </w:r>
      <w:r w:rsidR="00235D37" w:rsidRPr="00362D29">
        <w:rPr>
          <w:rFonts w:ascii="Traditional Arabic" w:eastAsia="Aptos" w:hAnsi="Traditional Arabic" w:cs="Traditional Arabic"/>
          <w:kern w:val="2"/>
          <w:sz w:val="24"/>
          <w:szCs w:val="24"/>
          <w:rtl/>
          <w14:ligatures w14:val="standardContextual"/>
        </w:rPr>
        <w:t>.</w:t>
      </w:r>
    </w:p>
    <w:p w14:paraId="0F703D66" w14:textId="77777777" w:rsidR="00D424B0" w:rsidRPr="00362D29" w:rsidRDefault="00D424B0" w:rsidP="00362D29">
      <w:pPr>
        <w:numPr>
          <w:ilvl w:val="0"/>
          <w:numId w:val="34"/>
        </w:numPr>
        <w:bidi/>
        <w:spacing w:before="0" w:after="160" w:line="360" w:lineRule="auto"/>
        <w:contextualSpacing/>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تحديات الاستدامة واستمرارية التحسين بعد مرحلة “التبني”</w:t>
      </w:r>
    </w:p>
    <w:p w14:paraId="5FF02C0C" w14:textId="77777777" w:rsidR="00D424B0" w:rsidRPr="00362D29" w:rsidRDefault="00D424B0" w:rsidP="00362D29">
      <w:pPr>
        <w:bidi/>
        <w:spacing w:before="0" w:after="160" w:line="360" w:lineRule="auto"/>
        <w:jc w:val="both"/>
        <w:rPr>
          <w:rFonts w:ascii="Traditional Arabic" w:eastAsia="Aptos" w:hAnsi="Traditional Arabic" w:cs="Traditional Arabic"/>
          <w:kern w:val="2"/>
          <w:sz w:val="24"/>
          <w:szCs w:val="24"/>
          <w14:ligatures w14:val="standardContextual"/>
        </w:rPr>
      </w:pPr>
      <w:r w:rsidRPr="00362D29">
        <w:rPr>
          <w:rFonts w:ascii="Traditional Arabic" w:eastAsia="Aptos" w:hAnsi="Traditional Arabic" w:cs="Traditional Arabic"/>
          <w:kern w:val="2"/>
          <w:sz w:val="24"/>
          <w:szCs w:val="24"/>
          <w:rtl/>
          <w14:ligatures w14:val="standardContextual"/>
        </w:rPr>
        <w:t>حتى بعد تبني النموذج، قد تواجه المؤسسات صعوبة في استدامة التحسين بسبب الإرهاق التنظيمي، أو ضعف المتابعة، أو عدم تحويل التحسين إلى ممارسة يومية. وتؤكد الأدبيات أن الفشل غالبًا لا يكون في “التطبيق الأولي” بل في “الاستمرار” وتحويل التميز إلى ثقافة مؤسسية (</w:t>
      </w:r>
      <w:r w:rsidRPr="00362D29">
        <w:rPr>
          <w:rFonts w:ascii="Traditional Arabic" w:eastAsia="Aptos" w:hAnsi="Traditional Arabic" w:cs="Traditional Arabic"/>
          <w:kern w:val="2"/>
          <w:sz w:val="24"/>
          <w:szCs w:val="24"/>
          <w14:ligatures w14:val="standardContextual"/>
        </w:rPr>
        <w:t>Ahmed &amp; Sur, 2023</w:t>
      </w:r>
      <w:r w:rsidRPr="00362D29">
        <w:rPr>
          <w:rFonts w:ascii="Traditional Arabic" w:eastAsia="Aptos" w:hAnsi="Traditional Arabic" w:cs="Traditional Arabic"/>
          <w:kern w:val="2"/>
          <w:sz w:val="24"/>
          <w:szCs w:val="24"/>
          <w:rtl/>
          <w14:ligatures w14:val="standardContextual"/>
        </w:rPr>
        <w:t>).</w:t>
      </w:r>
    </w:p>
    <w:p w14:paraId="640432E9" w14:textId="77777777" w:rsidR="00E06221" w:rsidRPr="00362D29" w:rsidRDefault="00E06221" w:rsidP="00362D29">
      <w:pPr>
        <w:bidi/>
        <w:spacing w:after="200" w:line="360" w:lineRule="auto"/>
        <w:jc w:val="both"/>
        <w:rPr>
          <w:rFonts w:ascii="Traditional Arabic" w:hAnsi="Traditional Arabic" w:cs="Traditional Arabic"/>
          <w:b/>
          <w:bCs/>
          <w:color w:val="00B0F0"/>
          <w:sz w:val="24"/>
          <w:szCs w:val="24"/>
          <w:u w:val="single"/>
          <w:rtl/>
        </w:rPr>
      </w:pPr>
    </w:p>
    <w:p w14:paraId="004F0102" w14:textId="77777777" w:rsidR="00D02A7D" w:rsidRPr="00362D29" w:rsidRDefault="00D02A7D" w:rsidP="00362D29">
      <w:pPr>
        <w:bidi/>
        <w:spacing w:after="200" w:line="360" w:lineRule="auto"/>
        <w:rPr>
          <w:rFonts w:ascii="Traditional Arabic" w:hAnsi="Traditional Arabic" w:cs="Traditional Arabic"/>
          <w:b/>
          <w:bCs/>
          <w:color w:val="00B0F0"/>
          <w:sz w:val="32"/>
          <w:szCs w:val="32"/>
          <w:u w:val="single"/>
          <w:rtl/>
        </w:rPr>
      </w:pPr>
    </w:p>
    <w:p w14:paraId="3847869A" w14:textId="77777777" w:rsidR="00701601" w:rsidRPr="00362D29" w:rsidRDefault="00701601" w:rsidP="00362D29">
      <w:pPr>
        <w:bidi/>
        <w:spacing w:before="0" w:after="160" w:line="360" w:lineRule="auto"/>
        <w:rPr>
          <w:rFonts w:ascii="Traditional Arabic" w:eastAsia="Aptos" w:hAnsi="Traditional Arabic" w:cs="Traditional Arabic"/>
          <w:kern w:val="2"/>
          <w:rtl/>
          <w14:ligatures w14:val="standardContextual"/>
        </w:rPr>
      </w:pPr>
    </w:p>
    <w:p w14:paraId="45CC2F20" w14:textId="24359FFE" w:rsidR="00701601" w:rsidRPr="00362D29" w:rsidRDefault="00701601" w:rsidP="00362D29">
      <w:pPr>
        <w:bidi/>
        <w:spacing w:before="0" w:after="160" w:line="360" w:lineRule="auto"/>
        <w:jc w:val="both"/>
        <w:rPr>
          <w:rFonts w:ascii="Traditional Arabic" w:eastAsia="Aptos" w:hAnsi="Traditional Arabic" w:cs="Traditional Arabic"/>
          <w:b/>
          <w:bCs/>
          <w:kern w:val="2"/>
          <w:sz w:val="32"/>
          <w:szCs w:val="32"/>
          <w:rtl/>
          <w14:ligatures w14:val="standardContextual"/>
        </w:rPr>
      </w:pPr>
      <w:r w:rsidRPr="00362D29">
        <w:rPr>
          <w:rFonts w:ascii="Traditional Arabic" w:eastAsia="Aptos" w:hAnsi="Traditional Arabic" w:cs="Traditional Arabic"/>
          <w:b/>
          <w:bCs/>
          <w:kern w:val="2"/>
          <w:sz w:val="32"/>
          <w:szCs w:val="32"/>
          <w:rtl/>
          <w14:ligatures w14:val="standardContextual"/>
        </w:rPr>
        <w:lastRenderedPageBreak/>
        <w:t>التميز المؤسسي وجودة الخدمات الصحية</w:t>
      </w:r>
    </w:p>
    <w:p w14:paraId="4538A73B" w14:textId="4C90F101" w:rsidR="00701601" w:rsidRPr="00362D29" w:rsidRDefault="00701601" w:rsidP="00362D29">
      <w:pPr>
        <w:pStyle w:val="ab"/>
        <w:numPr>
          <w:ilvl w:val="0"/>
          <w:numId w:val="34"/>
        </w:numPr>
        <w:bidi/>
        <w:spacing w:before="0" w:after="160" w:line="360" w:lineRule="auto"/>
        <w:jc w:val="both"/>
        <w:rPr>
          <w:rFonts w:ascii="Traditional Arabic" w:eastAsia="Aptos" w:hAnsi="Traditional Arabic" w:cs="Traditional Arabic"/>
          <w:b/>
          <w:bCs/>
          <w:kern w:val="2"/>
          <w:sz w:val="28"/>
          <w:szCs w:val="28"/>
          <w:rtl/>
          <w14:ligatures w14:val="standardContextual"/>
        </w:rPr>
      </w:pPr>
      <w:r w:rsidRPr="00362D29">
        <w:rPr>
          <w:rFonts w:ascii="Traditional Arabic" w:eastAsia="Aptos" w:hAnsi="Traditional Arabic" w:cs="Traditional Arabic"/>
          <w:b/>
          <w:bCs/>
          <w:kern w:val="2"/>
          <w:sz w:val="28"/>
          <w:szCs w:val="28"/>
          <w:rtl/>
          <w14:ligatures w14:val="standardContextual"/>
        </w:rPr>
        <w:t>التعريف</w:t>
      </w:r>
    </w:p>
    <w:p w14:paraId="29745CA6" w14:textId="5D15E41B" w:rsidR="00701601" w:rsidRPr="00362D29" w:rsidRDefault="0085336B"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    </w:t>
      </w:r>
      <w:r w:rsidR="00701601" w:rsidRPr="00362D29">
        <w:rPr>
          <w:rFonts w:ascii="Traditional Arabic" w:eastAsia="Aptos" w:hAnsi="Traditional Arabic" w:cs="Traditional Arabic"/>
          <w:kern w:val="2"/>
          <w:sz w:val="24"/>
          <w:szCs w:val="24"/>
          <w:rtl/>
          <w14:ligatures w14:val="standardContextual"/>
        </w:rPr>
        <w:t>يُعرَّف التميز المؤسسي في السياق الصحي بأنه منهج إداري شمولي يهدف إلى بلوغ مستويات متفوقة من الأداء التنظيمي والسريري عبر تكامل القيادة الفاعلة، وكفاءة إدارة الموارد، وتحسين العمليات، والتركيز الجوهري على المستفيد، بما ينعكس إيجاباً على جودة الخدمات ونتائج الرعاية الصحية (</w:t>
      </w:r>
      <w:r w:rsidR="00701601" w:rsidRPr="00362D29">
        <w:rPr>
          <w:rFonts w:ascii="Traditional Arabic" w:eastAsia="Aptos" w:hAnsi="Traditional Arabic" w:cs="Traditional Arabic"/>
          <w:kern w:val="2"/>
          <w:sz w:val="24"/>
          <w:szCs w:val="24"/>
          <w14:ligatures w14:val="standardContextual"/>
        </w:rPr>
        <w:t>Ahmed &amp; Sur, 2023</w:t>
      </w:r>
      <w:r w:rsidR="00701601" w:rsidRPr="00362D29">
        <w:rPr>
          <w:rFonts w:ascii="Traditional Arabic" w:eastAsia="Aptos" w:hAnsi="Traditional Arabic" w:cs="Traditional Arabic"/>
          <w:kern w:val="2"/>
          <w:sz w:val="24"/>
          <w:szCs w:val="24"/>
          <w:rtl/>
          <w14:ligatures w14:val="standardContextual"/>
        </w:rPr>
        <w:t>). وفي هذا الإطار، تبرز جودة الخدمات الصحية كقدرة محورية للنظام الصحي على تقديم رعاية آمنة وفعّالة ومتمحورة حول المريض، استناداً إلى معايير علمية دقيقة وقابلة للقياس الكمي والنوعي (الرويلي، 2025).</w:t>
      </w:r>
    </w:p>
    <w:p w14:paraId="70131A74" w14:textId="09052A8A" w:rsidR="00701601" w:rsidRPr="00362D29" w:rsidRDefault="00701601" w:rsidP="00362D29">
      <w:pPr>
        <w:pStyle w:val="ab"/>
        <w:numPr>
          <w:ilvl w:val="0"/>
          <w:numId w:val="34"/>
        </w:numPr>
        <w:bidi/>
        <w:spacing w:before="0" w:after="160" w:line="360" w:lineRule="auto"/>
        <w:jc w:val="both"/>
        <w:rPr>
          <w:rFonts w:ascii="Traditional Arabic" w:eastAsia="Aptos" w:hAnsi="Traditional Arabic" w:cs="Traditional Arabic"/>
          <w:b/>
          <w:bCs/>
          <w:kern w:val="2"/>
          <w:sz w:val="28"/>
          <w:szCs w:val="28"/>
          <w:rtl/>
          <w14:ligatures w14:val="standardContextual"/>
        </w:rPr>
      </w:pPr>
      <w:r w:rsidRPr="00362D29">
        <w:rPr>
          <w:rFonts w:ascii="Traditional Arabic" w:eastAsia="Aptos" w:hAnsi="Traditional Arabic" w:cs="Traditional Arabic"/>
          <w:b/>
          <w:bCs/>
          <w:kern w:val="2"/>
          <w:sz w:val="28"/>
          <w:szCs w:val="28"/>
          <w:rtl/>
          <w14:ligatures w14:val="standardContextual"/>
        </w:rPr>
        <w:t>العلاقة بين التميز المؤسسي وجودة الخدمات الصحية</w:t>
      </w:r>
    </w:p>
    <w:p w14:paraId="27EABF4A" w14:textId="7179A361" w:rsidR="00701601" w:rsidRPr="00362D29" w:rsidRDefault="0085336B"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    </w:t>
      </w:r>
      <w:r w:rsidR="00701601" w:rsidRPr="00362D29">
        <w:rPr>
          <w:rFonts w:ascii="Traditional Arabic" w:eastAsia="Aptos" w:hAnsi="Traditional Arabic" w:cs="Traditional Arabic"/>
          <w:kern w:val="2"/>
          <w:sz w:val="24"/>
          <w:szCs w:val="24"/>
          <w:rtl/>
          <w14:ligatures w14:val="standardContextual"/>
        </w:rPr>
        <w:t>أثبتت الأدبيات العلمية وجود علاقة ارتباطية وتأثيرية طردية بين تبني أبعاد التميز المؤسسي والارتقاء بجودة الخدمات الصحية؛ حيث يعمل التميز كإطار لضبط العمليات وتقليل التباين في الأداء (</w:t>
      </w:r>
      <w:r w:rsidR="00701601" w:rsidRPr="00362D29">
        <w:rPr>
          <w:rFonts w:ascii="Traditional Arabic" w:eastAsia="Aptos" w:hAnsi="Traditional Arabic" w:cs="Traditional Arabic"/>
          <w:kern w:val="2"/>
          <w:sz w:val="24"/>
          <w:szCs w:val="24"/>
          <w14:ligatures w14:val="standardContextual"/>
        </w:rPr>
        <w:t>Mohamed et al., 2018</w:t>
      </w:r>
      <w:r w:rsidR="00701601" w:rsidRPr="00362D29">
        <w:rPr>
          <w:rFonts w:ascii="Traditional Arabic" w:eastAsia="Aptos" w:hAnsi="Traditional Arabic" w:cs="Traditional Arabic"/>
          <w:kern w:val="2"/>
          <w:sz w:val="24"/>
          <w:szCs w:val="24"/>
          <w:rtl/>
          <w14:ligatures w14:val="standardContextual"/>
        </w:rPr>
        <w:t>). كما يسهم في تعزيز التنسيق بين الوحدات الإدارية والسريرية بما يضمن انسيابية الخدمة (عبد البصير، 2021). وقد أكدت الدراسات الحديثة أن المنظمات الصحية التي تتبنى نماذج التميز تحقق قفزات نوعية في مؤشرات السلامة ورضا المستفيدين مقارنة بالمنظمات التقليدية (</w:t>
      </w:r>
      <w:r w:rsidR="00701601" w:rsidRPr="00362D29">
        <w:rPr>
          <w:rFonts w:ascii="Traditional Arabic" w:eastAsia="Aptos" w:hAnsi="Traditional Arabic" w:cs="Traditional Arabic"/>
          <w:kern w:val="2"/>
          <w:sz w:val="24"/>
          <w:szCs w:val="24"/>
          <w14:ligatures w14:val="standardContextual"/>
        </w:rPr>
        <w:t>Al-Samawi &amp; Al-Sayaghi, 2024</w:t>
      </w:r>
      <w:r w:rsidR="00701601" w:rsidRPr="00362D29">
        <w:rPr>
          <w:rFonts w:ascii="Traditional Arabic" w:eastAsia="Aptos" w:hAnsi="Traditional Arabic" w:cs="Traditional Arabic"/>
          <w:kern w:val="2"/>
          <w:sz w:val="24"/>
          <w:szCs w:val="24"/>
          <w:rtl/>
          <w14:ligatures w14:val="standardContextual"/>
        </w:rPr>
        <w:t>).</w:t>
      </w:r>
    </w:p>
    <w:p w14:paraId="73B94A21" w14:textId="1A07FC40" w:rsidR="00701601" w:rsidRPr="00362D29" w:rsidRDefault="00701601" w:rsidP="00362D29">
      <w:pPr>
        <w:pStyle w:val="ab"/>
        <w:numPr>
          <w:ilvl w:val="0"/>
          <w:numId w:val="34"/>
        </w:numPr>
        <w:bidi/>
        <w:spacing w:before="0" w:after="160" w:line="360" w:lineRule="auto"/>
        <w:jc w:val="both"/>
        <w:rPr>
          <w:rFonts w:ascii="Traditional Arabic" w:eastAsia="Aptos" w:hAnsi="Traditional Arabic" w:cs="Traditional Arabic"/>
          <w:b/>
          <w:bCs/>
          <w:kern w:val="2"/>
          <w:sz w:val="28"/>
          <w:szCs w:val="28"/>
          <w:rtl/>
          <w14:ligatures w14:val="standardContextual"/>
        </w:rPr>
      </w:pPr>
      <w:r w:rsidRPr="00362D29">
        <w:rPr>
          <w:rFonts w:ascii="Traditional Arabic" w:eastAsia="Aptos" w:hAnsi="Traditional Arabic" w:cs="Traditional Arabic"/>
          <w:b/>
          <w:bCs/>
          <w:kern w:val="2"/>
          <w:sz w:val="28"/>
          <w:szCs w:val="28"/>
          <w:rtl/>
          <w14:ligatures w14:val="standardContextual"/>
        </w:rPr>
        <w:t>مبررات الربط بين التميز المؤسسي وجودة الخدمات الصحية</w:t>
      </w:r>
    </w:p>
    <w:p w14:paraId="265DC26F" w14:textId="2B078F0A" w:rsidR="00701601" w:rsidRPr="00362D29" w:rsidRDefault="00C7477A"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    </w:t>
      </w:r>
      <w:r w:rsidR="00701601" w:rsidRPr="00362D29">
        <w:rPr>
          <w:rFonts w:ascii="Traditional Arabic" w:eastAsia="Aptos" w:hAnsi="Traditional Arabic" w:cs="Traditional Arabic"/>
          <w:kern w:val="2"/>
          <w:sz w:val="24"/>
          <w:szCs w:val="24"/>
          <w:rtl/>
          <w14:ligatures w14:val="standardContextual"/>
        </w:rPr>
        <w:t>تنبثق مبررات هذا الربط من الطبيعة المعقدة للبيئة الصحية، وتنامي توقعات المستفيدين، وتزايد متطلبات الحوكمة والاشراف السريري، مما يستوجب وجود إطار إداري متكامل يتجاوز الحلول المجزأة (</w:t>
      </w:r>
      <w:r w:rsidR="00701601" w:rsidRPr="00362D29">
        <w:rPr>
          <w:rFonts w:ascii="Traditional Arabic" w:eastAsia="Aptos" w:hAnsi="Traditional Arabic" w:cs="Traditional Arabic"/>
          <w:kern w:val="2"/>
          <w:sz w:val="24"/>
          <w:szCs w:val="24"/>
          <w14:ligatures w14:val="standardContextual"/>
        </w:rPr>
        <w:t>Salih &amp; Dolah, 2023</w:t>
      </w:r>
      <w:r w:rsidR="00701601" w:rsidRPr="00362D29">
        <w:rPr>
          <w:rFonts w:ascii="Traditional Arabic" w:eastAsia="Aptos" w:hAnsi="Traditional Arabic" w:cs="Traditional Arabic"/>
          <w:kern w:val="2"/>
          <w:sz w:val="24"/>
          <w:szCs w:val="24"/>
          <w:rtl/>
          <w14:ligatures w14:val="standardContextual"/>
        </w:rPr>
        <w:t>). وتوفر نماذج التميز هذا الإطار من خلال دمج القيادة، والتوجه الاستراتيجي، وإدارة الأداء، والتحسين المستمر في منظومة موحدة تدعم جودة الخدمة بشكل منهجي ومستدام (السيابي، 2024).</w:t>
      </w:r>
    </w:p>
    <w:p w14:paraId="75F8EC45" w14:textId="15272231" w:rsidR="00701601" w:rsidRPr="00362D29" w:rsidRDefault="00701601" w:rsidP="00362D29">
      <w:pPr>
        <w:pStyle w:val="ab"/>
        <w:numPr>
          <w:ilvl w:val="0"/>
          <w:numId w:val="34"/>
        </w:numPr>
        <w:bidi/>
        <w:spacing w:before="0" w:after="160" w:line="360" w:lineRule="auto"/>
        <w:jc w:val="both"/>
        <w:rPr>
          <w:rFonts w:ascii="Traditional Arabic" w:eastAsia="Aptos" w:hAnsi="Traditional Arabic" w:cs="Traditional Arabic"/>
          <w:b/>
          <w:bCs/>
          <w:kern w:val="2"/>
          <w:sz w:val="28"/>
          <w:szCs w:val="28"/>
          <w:rtl/>
          <w14:ligatures w14:val="standardContextual"/>
        </w:rPr>
      </w:pPr>
      <w:r w:rsidRPr="00362D29">
        <w:rPr>
          <w:rFonts w:ascii="Traditional Arabic" w:eastAsia="Aptos" w:hAnsi="Traditional Arabic" w:cs="Traditional Arabic"/>
          <w:b/>
          <w:bCs/>
          <w:kern w:val="2"/>
          <w:sz w:val="28"/>
          <w:szCs w:val="28"/>
          <w:rtl/>
          <w14:ligatures w14:val="standardContextual"/>
        </w:rPr>
        <w:t>أهمية التميز المؤسسي في تحسين جودة الخدمات الصحية</w:t>
      </w:r>
    </w:p>
    <w:p w14:paraId="698D0C00" w14:textId="50A4B75D" w:rsidR="00701601" w:rsidRPr="00362D29" w:rsidRDefault="00C7477A"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    </w:t>
      </w:r>
      <w:r w:rsidR="00701601" w:rsidRPr="00362D29">
        <w:rPr>
          <w:rFonts w:ascii="Traditional Arabic" w:eastAsia="Aptos" w:hAnsi="Traditional Arabic" w:cs="Traditional Arabic"/>
          <w:kern w:val="2"/>
          <w:sz w:val="24"/>
          <w:szCs w:val="24"/>
          <w:rtl/>
          <w14:ligatures w14:val="standardContextual"/>
        </w:rPr>
        <w:t>تكمن الأهمية الاستراتيجية للتميز المؤسسي في قدرته على تعزيز مرونة المستشفيات في تقديم رعاية آمنة وفعّالة ومتسقة عبر بناء ثقافة مؤسسية داعمة للجودة وتمكين العاملين (الغامدي، 2024). كما يسهم في رفع كفاءة استخدام الموارد وتقليل الهدر المادي والزمني، مما ينعكس على تحسين تجربة المريض الكلية (الرويلي، 2025). وفي سياق التحول الصحي السعودي، يبرز التميز كأداة لتمكين المنشآت من تحقيق مستهدفات الكفاءة التشغيلية وجودة المخرجات السريرية (محمود، 2025).</w:t>
      </w:r>
    </w:p>
    <w:p w14:paraId="63123C6E" w14:textId="5905436B" w:rsidR="00701601" w:rsidRPr="00362D29" w:rsidRDefault="00701601" w:rsidP="00362D29">
      <w:pPr>
        <w:pStyle w:val="ab"/>
        <w:numPr>
          <w:ilvl w:val="0"/>
          <w:numId w:val="34"/>
        </w:numPr>
        <w:bidi/>
        <w:spacing w:before="0" w:after="160" w:line="360" w:lineRule="auto"/>
        <w:jc w:val="both"/>
        <w:rPr>
          <w:rFonts w:ascii="Traditional Arabic" w:eastAsia="Aptos" w:hAnsi="Traditional Arabic" w:cs="Traditional Arabic"/>
          <w:b/>
          <w:bCs/>
          <w:kern w:val="2"/>
          <w:sz w:val="28"/>
          <w:szCs w:val="28"/>
          <w:rtl/>
          <w14:ligatures w14:val="standardContextual"/>
        </w:rPr>
      </w:pPr>
      <w:r w:rsidRPr="00362D29">
        <w:rPr>
          <w:rFonts w:ascii="Traditional Arabic" w:eastAsia="Aptos" w:hAnsi="Traditional Arabic" w:cs="Traditional Arabic"/>
          <w:b/>
          <w:bCs/>
          <w:kern w:val="2"/>
          <w:sz w:val="28"/>
          <w:szCs w:val="28"/>
          <w:rtl/>
          <w14:ligatures w14:val="standardContextual"/>
        </w:rPr>
        <w:lastRenderedPageBreak/>
        <w:t>أهداف التميز المؤسسي المرتبطة بجودة الخدمات الصحية</w:t>
      </w:r>
    </w:p>
    <w:p w14:paraId="4DA53F65" w14:textId="07F0938F" w:rsidR="00701601" w:rsidRPr="00362D29" w:rsidRDefault="00C7477A"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    </w:t>
      </w:r>
      <w:r w:rsidR="00701601" w:rsidRPr="00362D29">
        <w:rPr>
          <w:rFonts w:ascii="Traditional Arabic" w:eastAsia="Aptos" w:hAnsi="Traditional Arabic" w:cs="Traditional Arabic"/>
          <w:kern w:val="2"/>
          <w:sz w:val="24"/>
          <w:szCs w:val="24"/>
          <w:rtl/>
          <w14:ligatures w14:val="standardContextual"/>
        </w:rPr>
        <w:t>تتمحور أهداف التميز في القطاع الصحي حول تحقيق رعاية عالية الجودة تتسم بالاتساق والاستمرارية، مع تعزيز الاعتماد على القرارات المبنية على البيانات والأدلة (</w:t>
      </w:r>
      <w:r w:rsidR="00701601" w:rsidRPr="00362D29">
        <w:rPr>
          <w:rFonts w:ascii="Traditional Arabic" w:eastAsia="Aptos" w:hAnsi="Traditional Arabic" w:cs="Traditional Arabic"/>
          <w:kern w:val="2"/>
          <w:sz w:val="24"/>
          <w:szCs w:val="24"/>
          <w14:ligatures w14:val="standardContextual"/>
        </w:rPr>
        <w:t>Alsaleem, 2025</w:t>
      </w:r>
      <w:r w:rsidR="00701601" w:rsidRPr="00362D29">
        <w:rPr>
          <w:rFonts w:ascii="Traditional Arabic" w:eastAsia="Aptos" w:hAnsi="Traditional Arabic" w:cs="Traditional Arabic"/>
          <w:kern w:val="2"/>
          <w:sz w:val="24"/>
          <w:szCs w:val="24"/>
          <w:rtl/>
          <w14:ligatures w14:val="standardContextual"/>
        </w:rPr>
        <w:t>). كما تسعى هذه الممارسات إلى ضمان التكامل الوظيفي بين مختلف مستويات الرعاية، ورفع مستوى ثقة المستفيدين من خلال تقديم خدمات صحية محورها الإنسان تضمن أعلى معايير السلامة (</w:t>
      </w:r>
      <w:r w:rsidR="00701601" w:rsidRPr="00362D29">
        <w:rPr>
          <w:rFonts w:ascii="Traditional Arabic" w:eastAsia="Aptos" w:hAnsi="Traditional Arabic" w:cs="Traditional Arabic"/>
          <w:kern w:val="2"/>
          <w:sz w:val="24"/>
          <w:szCs w:val="24"/>
          <w14:ligatures w14:val="standardContextual"/>
        </w:rPr>
        <w:t>Al-Samawi &amp; Al-Sayaghi, 2024</w:t>
      </w:r>
      <w:r w:rsidR="00701601" w:rsidRPr="00362D29">
        <w:rPr>
          <w:rFonts w:ascii="Traditional Arabic" w:eastAsia="Aptos" w:hAnsi="Traditional Arabic" w:cs="Traditional Arabic"/>
          <w:kern w:val="2"/>
          <w:sz w:val="24"/>
          <w:szCs w:val="24"/>
          <w:rtl/>
          <w14:ligatures w14:val="standardContextual"/>
        </w:rPr>
        <w:t>) (عبد البصير، 2021).</w:t>
      </w:r>
    </w:p>
    <w:p w14:paraId="577DF40F" w14:textId="150BF2A9" w:rsidR="00701601" w:rsidRPr="00362D29" w:rsidRDefault="00701601" w:rsidP="00362D29">
      <w:pPr>
        <w:pStyle w:val="ab"/>
        <w:numPr>
          <w:ilvl w:val="0"/>
          <w:numId w:val="34"/>
        </w:numPr>
        <w:bidi/>
        <w:spacing w:before="0" w:after="160" w:line="360" w:lineRule="auto"/>
        <w:jc w:val="both"/>
        <w:rPr>
          <w:rFonts w:ascii="Traditional Arabic" w:eastAsia="Aptos" w:hAnsi="Traditional Arabic" w:cs="Traditional Arabic"/>
          <w:b/>
          <w:bCs/>
          <w:kern w:val="2"/>
          <w:sz w:val="28"/>
          <w:szCs w:val="28"/>
          <w:rtl/>
          <w14:ligatures w14:val="standardContextual"/>
        </w:rPr>
      </w:pPr>
      <w:r w:rsidRPr="00362D29">
        <w:rPr>
          <w:rFonts w:ascii="Traditional Arabic" w:eastAsia="Aptos" w:hAnsi="Traditional Arabic" w:cs="Traditional Arabic"/>
          <w:b/>
          <w:bCs/>
          <w:kern w:val="2"/>
          <w:sz w:val="28"/>
          <w:szCs w:val="28"/>
          <w:rtl/>
          <w14:ligatures w14:val="standardContextual"/>
        </w:rPr>
        <w:t>تطبيق التميز المؤسسي لتحسين جودة الخدمات الصحية</w:t>
      </w:r>
    </w:p>
    <w:p w14:paraId="1608D2A5" w14:textId="77777777" w:rsidR="00701601" w:rsidRPr="00362D29" w:rsidRDefault="00701601"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يتحقق التطبيق الفعلي للتميز في المؤسسات الصحية عبر مواءمة الاستراتيجيات التنظيمية مع نماذج التميز المعتمدة مثل </w:t>
      </w:r>
      <w:r w:rsidRPr="00362D29">
        <w:rPr>
          <w:rFonts w:ascii="Traditional Arabic" w:eastAsia="Aptos" w:hAnsi="Traditional Arabic" w:cs="Traditional Arabic"/>
          <w:kern w:val="2"/>
          <w:sz w:val="24"/>
          <w:szCs w:val="24"/>
          <w14:ligatures w14:val="standardContextual"/>
        </w:rPr>
        <w:t>KAQA)</w:t>
      </w:r>
      <w:r w:rsidRPr="00362D29">
        <w:rPr>
          <w:rFonts w:ascii="Traditional Arabic" w:eastAsia="Aptos" w:hAnsi="Traditional Arabic" w:cs="Traditional Arabic"/>
          <w:kern w:val="2"/>
          <w:sz w:val="24"/>
          <w:szCs w:val="24"/>
          <w:rtl/>
          <w14:ligatures w14:val="standardContextual"/>
        </w:rPr>
        <w:t xml:space="preserve"> أو </w:t>
      </w:r>
      <w:r w:rsidRPr="00362D29">
        <w:rPr>
          <w:rFonts w:ascii="Traditional Arabic" w:eastAsia="Aptos" w:hAnsi="Traditional Arabic" w:cs="Traditional Arabic"/>
          <w:kern w:val="2"/>
          <w:sz w:val="24"/>
          <w:szCs w:val="24"/>
          <w14:ligatures w14:val="standardContextual"/>
        </w:rPr>
        <w:t>EFQM</w:t>
      </w:r>
      <w:r w:rsidRPr="00362D29">
        <w:rPr>
          <w:rFonts w:ascii="Traditional Arabic" w:eastAsia="Aptos" w:hAnsi="Traditional Arabic" w:cs="Traditional Arabic"/>
          <w:kern w:val="2"/>
          <w:sz w:val="24"/>
          <w:szCs w:val="24"/>
          <w:rtl/>
          <w14:ligatures w14:val="standardContextual"/>
        </w:rPr>
        <w:t>)، وربطها بمؤشرات أداء (</w:t>
      </w:r>
      <w:r w:rsidRPr="00362D29">
        <w:rPr>
          <w:rFonts w:ascii="Traditional Arabic" w:eastAsia="Aptos" w:hAnsi="Traditional Arabic" w:cs="Traditional Arabic"/>
          <w:kern w:val="2"/>
          <w:sz w:val="24"/>
          <w:szCs w:val="24"/>
          <w14:ligatures w14:val="standardContextual"/>
        </w:rPr>
        <w:t>KPIs</w:t>
      </w:r>
      <w:r w:rsidRPr="00362D29">
        <w:rPr>
          <w:rFonts w:ascii="Traditional Arabic" w:eastAsia="Aptos" w:hAnsi="Traditional Arabic" w:cs="Traditional Arabic"/>
          <w:kern w:val="2"/>
          <w:sz w:val="24"/>
          <w:szCs w:val="24"/>
          <w:rtl/>
          <w14:ligatures w14:val="standardContextual"/>
        </w:rPr>
        <w:t>) دقيقة (الرويلي، 2025). ويشير الباحثون إلى أن نجاح هذا التحول يعتمد بشكل جوهري على تفعيل القيادة الداعمة للجودة، ودمج معايير التميز مع أنظمة الاعتماد الوطني والدولي، مع ضمان التقييم الذاتي الدوري لتحديد فجوات الأداء وتوجيه جهود التحسين (السيابي، 2024) (سليمان وشاهين، 2024).</w:t>
      </w:r>
    </w:p>
    <w:p w14:paraId="26AD45AC" w14:textId="77777777" w:rsidR="0050758E" w:rsidRPr="00362D29" w:rsidRDefault="0050758E" w:rsidP="00362D29">
      <w:pPr>
        <w:bidi/>
        <w:spacing w:before="0" w:after="160" w:line="360" w:lineRule="auto"/>
        <w:jc w:val="both"/>
        <w:rPr>
          <w:rFonts w:ascii="Traditional Arabic" w:eastAsia="Aptos" w:hAnsi="Traditional Arabic" w:cs="Traditional Arabic"/>
          <w:b/>
          <w:bCs/>
          <w:kern w:val="2"/>
          <w:sz w:val="32"/>
          <w:szCs w:val="32"/>
          <w:rtl/>
          <w14:ligatures w14:val="standardContextual"/>
        </w:rPr>
      </w:pPr>
    </w:p>
    <w:p w14:paraId="775C6027" w14:textId="77777777" w:rsidR="0050758E" w:rsidRPr="00362D29" w:rsidRDefault="0050758E" w:rsidP="00362D29">
      <w:pPr>
        <w:bidi/>
        <w:spacing w:before="0" w:after="160" w:line="360" w:lineRule="auto"/>
        <w:jc w:val="both"/>
        <w:rPr>
          <w:rFonts w:ascii="Traditional Arabic" w:eastAsia="Aptos" w:hAnsi="Traditional Arabic" w:cs="Traditional Arabic"/>
          <w:b/>
          <w:bCs/>
          <w:kern w:val="2"/>
          <w:sz w:val="32"/>
          <w:szCs w:val="32"/>
          <w:rtl/>
          <w14:ligatures w14:val="standardContextual"/>
        </w:rPr>
      </w:pPr>
    </w:p>
    <w:p w14:paraId="43DE8F20" w14:textId="77777777" w:rsidR="0050758E" w:rsidRPr="00362D29" w:rsidRDefault="0050758E" w:rsidP="00362D29">
      <w:pPr>
        <w:bidi/>
        <w:spacing w:before="0" w:after="160" w:line="360" w:lineRule="auto"/>
        <w:jc w:val="both"/>
        <w:rPr>
          <w:rFonts w:ascii="Traditional Arabic" w:eastAsia="Aptos" w:hAnsi="Traditional Arabic" w:cs="Traditional Arabic"/>
          <w:b/>
          <w:bCs/>
          <w:kern w:val="2"/>
          <w:sz w:val="32"/>
          <w:szCs w:val="32"/>
          <w:rtl/>
          <w14:ligatures w14:val="standardContextual"/>
        </w:rPr>
      </w:pPr>
    </w:p>
    <w:p w14:paraId="5A007745" w14:textId="77777777" w:rsidR="0050758E" w:rsidRPr="00362D29" w:rsidRDefault="0050758E" w:rsidP="00362D29">
      <w:pPr>
        <w:bidi/>
        <w:spacing w:before="0" w:after="160" w:line="360" w:lineRule="auto"/>
        <w:jc w:val="both"/>
        <w:rPr>
          <w:rFonts w:ascii="Traditional Arabic" w:eastAsia="Aptos" w:hAnsi="Traditional Arabic" w:cs="Traditional Arabic"/>
          <w:b/>
          <w:bCs/>
          <w:kern w:val="2"/>
          <w:sz w:val="32"/>
          <w:szCs w:val="32"/>
          <w:rtl/>
          <w14:ligatures w14:val="standardContextual"/>
        </w:rPr>
      </w:pPr>
    </w:p>
    <w:p w14:paraId="32B1A9E4" w14:textId="77777777" w:rsidR="0050758E" w:rsidRPr="00362D29" w:rsidRDefault="0050758E" w:rsidP="00362D29">
      <w:pPr>
        <w:bidi/>
        <w:spacing w:before="0" w:after="160" w:line="360" w:lineRule="auto"/>
        <w:jc w:val="both"/>
        <w:rPr>
          <w:rFonts w:ascii="Traditional Arabic" w:eastAsia="Aptos" w:hAnsi="Traditional Arabic" w:cs="Traditional Arabic"/>
          <w:b/>
          <w:bCs/>
          <w:kern w:val="2"/>
          <w:sz w:val="32"/>
          <w:szCs w:val="32"/>
          <w:rtl/>
          <w14:ligatures w14:val="standardContextual"/>
        </w:rPr>
      </w:pPr>
    </w:p>
    <w:p w14:paraId="7F94EAA6" w14:textId="77777777" w:rsidR="0050758E" w:rsidRPr="00362D29" w:rsidRDefault="0050758E" w:rsidP="00362D29">
      <w:pPr>
        <w:bidi/>
        <w:spacing w:before="0" w:after="160" w:line="360" w:lineRule="auto"/>
        <w:jc w:val="both"/>
        <w:rPr>
          <w:rFonts w:ascii="Traditional Arabic" w:eastAsia="Aptos" w:hAnsi="Traditional Arabic" w:cs="Traditional Arabic"/>
          <w:b/>
          <w:bCs/>
          <w:kern w:val="2"/>
          <w:sz w:val="32"/>
          <w:szCs w:val="32"/>
          <w:rtl/>
          <w14:ligatures w14:val="standardContextual"/>
        </w:rPr>
      </w:pPr>
    </w:p>
    <w:p w14:paraId="4A2F42A1" w14:textId="77777777" w:rsidR="0050758E" w:rsidRPr="00362D29" w:rsidRDefault="0050758E" w:rsidP="00362D29">
      <w:pPr>
        <w:bidi/>
        <w:spacing w:before="0" w:after="160" w:line="360" w:lineRule="auto"/>
        <w:jc w:val="both"/>
        <w:rPr>
          <w:rFonts w:ascii="Traditional Arabic" w:eastAsia="Aptos" w:hAnsi="Traditional Arabic" w:cs="Traditional Arabic"/>
          <w:b/>
          <w:bCs/>
          <w:kern w:val="2"/>
          <w:sz w:val="32"/>
          <w:szCs w:val="32"/>
          <w:rtl/>
          <w14:ligatures w14:val="standardContextual"/>
        </w:rPr>
      </w:pPr>
    </w:p>
    <w:p w14:paraId="58058ED4" w14:textId="77777777" w:rsidR="0050758E" w:rsidRPr="00362D29" w:rsidRDefault="0050758E" w:rsidP="00362D29">
      <w:pPr>
        <w:bidi/>
        <w:spacing w:before="0" w:after="160" w:line="360" w:lineRule="auto"/>
        <w:jc w:val="both"/>
        <w:rPr>
          <w:rFonts w:ascii="Traditional Arabic" w:eastAsia="Aptos" w:hAnsi="Traditional Arabic" w:cs="Traditional Arabic"/>
          <w:b/>
          <w:bCs/>
          <w:kern w:val="2"/>
          <w:sz w:val="32"/>
          <w:szCs w:val="32"/>
          <w:rtl/>
          <w14:ligatures w14:val="standardContextual"/>
        </w:rPr>
      </w:pPr>
    </w:p>
    <w:p w14:paraId="4224916E" w14:textId="77777777" w:rsidR="0050758E" w:rsidRPr="00362D29" w:rsidRDefault="0050758E" w:rsidP="00362D29">
      <w:pPr>
        <w:bidi/>
        <w:spacing w:before="0" w:after="160" w:line="360" w:lineRule="auto"/>
        <w:jc w:val="both"/>
        <w:rPr>
          <w:rFonts w:ascii="Traditional Arabic" w:eastAsia="Aptos" w:hAnsi="Traditional Arabic" w:cs="Traditional Arabic"/>
          <w:b/>
          <w:bCs/>
          <w:kern w:val="2"/>
          <w:sz w:val="32"/>
          <w:szCs w:val="32"/>
          <w:rtl/>
          <w14:ligatures w14:val="standardContextual"/>
        </w:rPr>
      </w:pPr>
    </w:p>
    <w:p w14:paraId="6B85CCB2" w14:textId="13B92DF3" w:rsidR="00701601" w:rsidRPr="00362D29" w:rsidRDefault="00143959" w:rsidP="00362D29">
      <w:pPr>
        <w:bidi/>
        <w:spacing w:before="0" w:after="160" w:line="360" w:lineRule="auto"/>
        <w:jc w:val="both"/>
        <w:rPr>
          <w:rFonts w:ascii="Traditional Arabic" w:eastAsia="Aptos" w:hAnsi="Traditional Arabic" w:cs="Traditional Arabic"/>
          <w:b/>
          <w:bCs/>
          <w:kern w:val="2"/>
          <w:sz w:val="32"/>
          <w:szCs w:val="32"/>
          <w:rtl/>
          <w14:ligatures w14:val="standardContextual"/>
        </w:rPr>
      </w:pPr>
      <w:r w:rsidRPr="00362D29">
        <w:rPr>
          <w:rFonts w:ascii="Traditional Arabic" w:eastAsia="Aptos" w:hAnsi="Traditional Arabic" w:cs="Traditional Arabic"/>
          <w:b/>
          <w:bCs/>
          <w:kern w:val="2"/>
          <w:sz w:val="32"/>
          <w:szCs w:val="32"/>
          <w:rtl/>
          <w14:ligatures w14:val="standardContextual"/>
        </w:rPr>
        <w:lastRenderedPageBreak/>
        <w:t xml:space="preserve">نماذج التميز المؤسسي </w:t>
      </w:r>
    </w:p>
    <w:p w14:paraId="7472663D" w14:textId="235AAD74" w:rsidR="00143959" w:rsidRPr="00362D29" w:rsidRDefault="0092339D" w:rsidP="00362D29">
      <w:pPr>
        <w:bidi/>
        <w:spacing w:before="0" w:after="160" w:line="360" w:lineRule="auto"/>
        <w:jc w:val="both"/>
        <w:rPr>
          <w:rFonts w:ascii="Traditional Arabic" w:eastAsia="Aptos" w:hAnsi="Traditional Arabic" w:cs="Traditional Arabic"/>
          <w:b/>
          <w:bCs/>
          <w:kern w:val="2"/>
          <w:sz w:val="28"/>
          <w:szCs w:val="28"/>
          <w:rtl/>
          <w14:ligatures w14:val="standardContextual"/>
        </w:rPr>
      </w:pPr>
      <w:r w:rsidRPr="00362D29">
        <w:rPr>
          <w:rFonts w:ascii="Traditional Arabic" w:eastAsia="Aptos" w:hAnsi="Traditional Arabic" w:cs="Traditional Arabic"/>
          <w:b/>
          <w:bCs/>
          <w:kern w:val="2"/>
          <w:sz w:val="28"/>
          <w:szCs w:val="28"/>
          <w:rtl/>
          <w14:ligatures w14:val="standardContextual"/>
        </w:rPr>
        <w:t>مقدمة:</w:t>
      </w:r>
    </w:p>
    <w:p w14:paraId="2396C61B" w14:textId="28A02B49" w:rsidR="0092339D" w:rsidRPr="00362D29" w:rsidRDefault="0092339D" w:rsidP="00362D29">
      <w:pPr>
        <w:bidi/>
        <w:spacing w:before="0" w:after="160" w:line="360" w:lineRule="auto"/>
        <w:jc w:val="both"/>
        <w:rPr>
          <w:rFonts w:ascii="Traditional Arabic" w:eastAsia="Aptos" w:hAnsi="Traditional Arabic" w:cs="Traditional Arabic"/>
          <w:kern w:val="2"/>
          <w:sz w:val="24"/>
          <w:szCs w:val="24"/>
          <w14:ligatures w14:val="standardContextual"/>
        </w:rPr>
      </w:pPr>
      <w:r w:rsidRPr="00362D29">
        <w:rPr>
          <w:rFonts w:ascii="Traditional Arabic" w:eastAsia="Aptos" w:hAnsi="Traditional Arabic" w:cs="Traditional Arabic"/>
          <w:kern w:val="2"/>
          <w:sz w:val="24"/>
          <w:szCs w:val="24"/>
          <w:rtl/>
          <w14:ligatures w14:val="standardContextual"/>
        </w:rPr>
        <w:t xml:space="preserve">تُمثل نماذج التميز المؤسسي أطراً إدارية شمولية صُممت لتمكين المنظمات من تقييم أدائها بشكل ذاتي ومستمر، وتحديد الفجوات بين واقعها التشغيلي ومعايير الريادة العالمية. ولا تقتصر هذه النماذج على كونها أدوات لنيل الجوائز التقديرية، بل تُعد خارطة طريق استراتيجية تهدف إلى </w:t>
      </w:r>
      <w:r w:rsidR="009A6D64" w:rsidRPr="00362D29">
        <w:rPr>
          <w:rFonts w:ascii="Traditional Arabic" w:eastAsia="Aptos" w:hAnsi="Traditional Arabic" w:cs="Traditional Arabic"/>
          <w:kern w:val="2"/>
          <w:sz w:val="24"/>
          <w:szCs w:val="24"/>
          <w:rtl/>
          <w14:ligatures w14:val="standardContextual"/>
        </w:rPr>
        <w:t>تكاملية</w:t>
      </w:r>
      <w:r w:rsidRPr="00362D29">
        <w:rPr>
          <w:rFonts w:ascii="Traditional Arabic" w:eastAsia="Aptos" w:hAnsi="Traditional Arabic" w:cs="Traditional Arabic"/>
          <w:kern w:val="2"/>
          <w:sz w:val="24"/>
          <w:szCs w:val="24"/>
          <w:rtl/>
          <w14:ligatures w14:val="standardContextual"/>
        </w:rPr>
        <w:t xml:space="preserve"> العمليات، وتعزيز ثقافة الابتكار، وتحقيق نتائج مستدامة تلبي تطلعات كافة أصحاب المصلحة (السيابي، 2024).</w:t>
      </w:r>
    </w:p>
    <w:p w14:paraId="6A3AC988" w14:textId="77777777" w:rsidR="0092339D" w:rsidRPr="00362D29" w:rsidRDefault="0092339D"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وتستند فلسفة هذه النماذج إلى مجموعة من المبادئ والقيم الإدارية الحديثة، مثل القيادة بالإلهام، والتركيز على المستفيد، وإدارة العمليات بناءً على الحقائق والبيانات. وتتعدد هذه النماذج وتتنوع باختلاف السياقات الجغرافية والتنظيمية؛ فمنها ما هو عالمي واسع الانتشار كالنموذج الأوروبي (</w:t>
      </w:r>
      <w:r w:rsidRPr="00362D29">
        <w:rPr>
          <w:rFonts w:ascii="Traditional Arabic" w:eastAsia="Aptos" w:hAnsi="Traditional Arabic" w:cs="Traditional Arabic"/>
          <w:kern w:val="2"/>
          <w:sz w:val="24"/>
          <w:szCs w:val="24"/>
          <w14:ligatures w14:val="standardContextual"/>
        </w:rPr>
        <w:t>EFQM</w:t>
      </w:r>
      <w:r w:rsidRPr="00362D29">
        <w:rPr>
          <w:rFonts w:ascii="Traditional Arabic" w:eastAsia="Aptos" w:hAnsi="Traditional Arabic" w:cs="Traditional Arabic"/>
          <w:kern w:val="2"/>
          <w:sz w:val="24"/>
          <w:szCs w:val="24"/>
          <w:rtl/>
          <w14:ligatures w14:val="standardContextual"/>
        </w:rPr>
        <w:t>) ونموذج مالكولم بالدريج الأمريكي (</w:t>
      </w:r>
      <w:r w:rsidRPr="00362D29">
        <w:rPr>
          <w:rFonts w:ascii="Traditional Arabic" w:eastAsia="Aptos" w:hAnsi="Traditional Arabic" w:cs="Traditional Arabic"/>
          <w:kern w:val="2"/>
          <w:sz w:val="24"/>
          <w:szCs w:val="24"/>
          <w14:ligatures w14:val="standardContextual"/>
        </w:rPr>
        <w:t>Baldrige</w:t>
      </w:r>
      <w:r w:rsidRPr="00362D29">
        <w:rPr>
          <w:rFonts w:ascii="Traditional Arabic" w:eastAsia="Aptos" w:hAnsi="Traditional Arabic" w:cs="Traditional Arabic"/>
          <w:kern w:val="2"/>
          <w:sz w:val="24"/>
          <w:szCs w:val="24"/>
          <w:rtl/>
          <w14:ligatures w14:val="standardContextual"/>
        </w:rPr>
        <w:t>)، ومنها ما هو وطني مُصمم ليلائم الخصوصية التنظيمية المحلية كالنموذج الوطني السعودي للتميز المؤسسي (</w:t>
      </w:r>
      <w:r w:rsidRPr="00362D29">
        <w:rPr>
          <w:rFonts w:ascii="Traditional Arabic" w:eastAsia="Aptos" w:hAnsi="Traditional Arabic" w:cs="Traditional Arabic"/>
          <w:kern w:val="2"/>
          <w:sz w:val="24"/>
          <w:szCs w:val="24"/>
          <w14:ligatures w14:val="standardContextual"/>
        </w:rPr>
        <w:t>KAQA</w:t>
      </w:r>
      <w:r w:rsidRPr="00362D29">
        <w:rPr>
          <w:rFonts w:ascii="Traditional Arabic" w:eastAsia="Aptos" w:hAnsi="Traditional Arabic" w:cs="Traditional Arabic"/>
          <w:kern w:val="2"/>
          <w:sz w:val="24"/>
          <w:szCs w:val="24"/>
          <w:rtl/>
          <w14:ligatures w14:val="standardContextual"/>
        </w:rPr>
        <w:t>) (سليمان وشاهين، 2024). وفيما يلي تناول تفصيلي لهذه النماذج من حيث نشأتها، ومكوناتها، وآليات تطبيقها في القطاع الصحي.</w:t>
      </w:r>
    </w:p>
    <w:p w14:paraId="0D90AB41" w14:textId="13F2FF95" w:rsidR="00FF5C4D" w:rsidRPr="00362D29" w:rsidRDefault="00185D1D" w:rsidP="00362D29">
      <w:pPr>
        <w:bidi/>
        <w:spacing w:after="200" w:line="360" w:lineRule="auto"/>
        <w:rPr>
          <w:rFonts w:ascii="Traditional Arabic" w:eastAsia="Calibri" w:hAnsi="Traditional Arabic" w:cs="Traditional Arabic"/>
          <w:b/>
          <w:bCs/>
          <w:color w:val="0070C0"/>
          <w:sz w:val="32"/>
          <w:szCs w:val="32"/>
          <w:rtl/>
        </w:rPr>
      </w:pPr>
      <w:r w:rsidRPr="00362D29">
        <w:rPr>
          <w:rFonts w:ascii="Traditional Arabic" w:eastAsia="Calibri" w:hAnsi="Traditional Arabic" w:cs="Traditional Arabic"/>
          <w:b/>
          <w:bCs/>
          <w:color w:val="0070C0"/>
          <w:sz w:val="32"/>
          <w:szCs w:val="32"/>
          <w:rtl/>
        </w:rPr>
        <w:t>اولا</w:t>
      </w:r>
      <w:r w:rsidR="008F64F8" w:rsidRPr="00362D29">
        <w:rPr>
          <w:rFonts w:ascii="Traditional Arabic" w:eastAsia="Calibri" w:hAnsi="Traditional Arabic" w:cs="Traditional Arabic"/>
          <w:b/>
          <w:bCs/>
          <w:color w:val="0070C0"/>
          <w:sz w:val="32"/>
          <w:szCs w:val="32"/>
          <w:rtl/>
        </w:rPr>
        <w:t>ً: النموذج الأوروبي للتميز المؤسسي</w:t>
      </w:r>
      <w:r w:rsidR="004B792E" w:rsidRPr="00362D29">
        <w:rPr>
          <w:rFonts w:ascii="Traditional Arabic" w:eastAsia="Calibri" w:hAnsi="Traditional Arabic" w:cs="Traditional Arabic"/>
          <w:b/>
          <w:bCs/>
          <w:color w:val="0070C0"/>
          <w:sz w:val="32"/>
          <w:szCs w:val="32"/>
          <w:rtl/>
        </w:rPr>
        <w:t xml:space="preserve"> </w:t>
      </w:r>
      <w:r w:rsidR="004B792E" w:rsidRPr="00362D29">
        <w:rPr>
          <w:rFonts w:ascii="Traditional Arabic" w:eastAsia="Calibri" w:hAnsi="Traditional Arabic" w:cs="Traditional Arabic"/>
          <w:b/>
          <w:bCs/>
          <w:color w:val="0070C0"/>
          <w:sz w:val="32"/>
          <w:szCs w:val="32"/>
        </w:rPr>
        <w:t>. (EFQM, 2025)</w:t>
      </w:r>
    </w:p>
    <w:p w14:paraId="3EBC904F" w14:textId="77B24868" w:rsidR="008F64F8" w:rsidRPr="00362D29" w:rsidRDefault="008F64F8" w:rsidP="00362D29">
      <w:pPr>
        <w:bidi/>
        <w:spacing w:before="0" w:after="160" w:line="360" w:lineRule="auto"/>
        <w:jc w:val="right"/>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14:ligatures w14:val="standardContextual"/>
        </w:rPr>
        <w:t xml:space="preserve"> </w:t>
      </w:r>
      <w:r w:rsidR="00272841" w:rsidRPr="00362D29">
        <w:rPr>
          <w:rFonts w:ascii="Traditional Arabic" w:eastAsia="Aptos" w:hAnsi="Traditional Arabic" w:cs="Traditional Arabic"/>
          <w:b/>
          <w:bCs/>
          <w:kern w:val="2"/>
          <w:sz w:val="24"/>
          <w:szCs w:val="24"/>
          <w14:ligatures w14:val="standardContextual"/>
        </w:rPr>
        <w:t>(</w:t>
      </w:r>
      <w:r w:rsidRPr="00362D29">
        <w:rPr>
          <w:rFonts w:ascii="Traditional Arabic" w:eastAsia="Aptos" w:hAnsi="Traditional Arabic" w:cs="Traditional Arabic"/>
          <w:b/>
          <w:bCs/>
          <w:kern w:val="2"/>
          <w:sz w:val="24"/>
          <w:szCs w:val="24"/>
          <w14:ligatures w14:val="standardContextual"/>
        </w:rPr>
        <w:t>EFQM</w:t>
      </w:r>
      <w:r w:rsidR="00272841" w:rsidRPr="00362D29">
        <w:rPr>
          <w:rFonts w:ascii="Traditional Arabic" w:hAnsi="Traditional Arabic" w:cs="Traditional Arabic"/>
          <w:b/>
          <w:bCs/>
        </w:rPr>
        <w:t xml:space="preserve">) </w:t>
      </w:r>
      <w:r w:rsidR="00272841" w:rsidRPr="00362D29">
        <w:rPr>
          <w:rFonts w:ascii="Traditional Arabic" w:eastAsia="Aptos" w:hAnsi="Traditional Arabic" w:cs="Traditional Arabic"/>
          <w:b/>
          <w:bCs/>
          <w:kern w:val="2"/>
          <w:sz w:val="24"/>
          <w:szCs w:val="24"/>
          <w14:ligatures w14:val="standardContextual"/>
        </w:rPr>
        <w:t>European Foundation for Quality Management</w:t>
      </w:r>
    </w:p>
    <w:p w14:paraId="071D6E38" w14:textId="7C05EB80" w:rsidR="008F64F8" w:rsidRPr="00362D29" w:rsidRDefault="008F64F8" w:rsidP="00362D29">
      <w:pPr>
        <w:pStyle w:val="ab"/>
        <w:numPr>
          <w:ilvl w:val="0"/>
          <w:numId w:val="34"/>
        </w:numPr>
        <w:bidi/>
        <w:spacing w:before="0" w:after="160" w:line="360" w:lineRule="auto"/>
        <w:rPr>
          <w:rFonts w:ascii="Traditional Arabic" w:eastAsia="Aptos" w:hAnsi="Traditional Arabic" w:cs="Traditional Arabic"/>
          <w:b/>
          <w:bCs/>
          <w:kern w:val="2"/>
          <w:sz w:val="24"/>
          <w:szCs w:val="24"/>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التعريف </w:t>
      </w:r>
      <w:r w:rsidR="008737C1" w:rsidRPr="00362D29">
        <w:rPr>
          <w:rFonts w:ascii="Traditional Arabic" w:eastAsia="Aptos" w:hAnsi="Traditional Arabic" w:cs="Traditional Arabic"/>
          <w:b/>
          <w:bCs/>
          <w:kern w:val="2"/>
          <w:sz w:val="24"/>
          <w:szCs w:val="24"/>
          <w:rtl/>
          <w14:ligatures w14:val="standardContextual"/>
        </w:rPr>
        <w:t>والمفهوم</w:t>
      </w:r>
      <w:r w:rsidR="00FF5C4D" w:rsidRPr="00362D29">
        <w:rPr>
          <w:rFonts w:ascii="Traditional Arabic" w:eastAsia="Aptos" w:hAnsi="Traditional Arabic" w:cs="Traditional Arabic"/>
          <w:b/>
          <w:bCs/>
          <w:kern w:val="2"/>
          <w:sz w:val="24"/>
          <w:szCs w:val="24"/>
          <w:rtl/>
          <w14:ligatures w14:val="standardContextual"/>
        </w:rPr>
        <w:t>:</w:t>
      </w:r>
    </w:p>
    <w:p w14:paraId="77BEA9DE" w14:textId="4D309131" w:rsidR="008F64F8" w:rsidRPr="00362D29" w:rsidRDefault="005C77C2" w:rsidP="00362D29">
      <w:pPr>
        <w:bidi/>
        <w:spacing w:before="0" w:after="160" w:line="360" w:lineRule="auto"/>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يُعرف النموذج الأوروبي للتميز المؤسسي </w:t>
      </w:r>
      <w:r w:rsidR="0046083A" w:rsidRPr="00362D29">
        <w:rPr>
          <w:rFonts w:ascii="Traditional Arabic" w:eastAsia="Aptos" w:hAnsi="Traditional Arabic" w:cs="Traditional Arabic"/>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ب</w:t>
      </w:r>
      <w:r w:rsidR="0046083A" w:rsidRPr="00362D29">
        <w:rPr>
          <w:rFonts w:ascii="Traditional Arabic" w:eastAsia="Aptos" w:hAnsi="Traditional Arabic" w:cs="Traditional Arabic"/>
          <w:kern w:val="2"/>
          <w:sz w:val="24"/>
          <w:szCs w:val="24"/>
          <w:rtl/>
          <w14:ligatures w14:val="standardContextual"/>
        </w:rPr>
        <w:t>المؤسسة الأوروبية لإدارة الجودة". تأسست عام 1988 كإطار عمل شامل لتقييم وتحسين أداء المؤسسات</w:t>
      </w:r>
      <w:r w:rsidRPr="00362D29">
        <w:rPr>
          <w:rFonts w:ascii="Traditional Arabic" w:eastAsia="Aptos" w:hAnsi="Traditional Arabic" w:cs="Traditional Arabic"/>
          <w:kern w:val="2"/>
          <w:sz w:val="24"/>
          <w:szCs w:val="24"/>
          <w:rtl/>
          <w14:ligatures w14:val="standardContextual"/>
        </w:rPr>
        <w:t>.</w:t>
      </w:r>
      <w:r w:rsidR="00B05452" w:rsidRPr="00362D29">
        <w:rPr>
          <w:rFonts w:ascii="Traditional Arabic" w:eastAsia="Aptos" w:hAnsi="Traditional Arabic" w:cs="Traditional Arabic"/>
          <w:kern w:val="2"/>
          <w:sz w:val="24"/>
          <w:szCs w:val="24"/>
          <w:rtl/>
          <w14:ligatures w14:val="standardContextual"/>
        </w:rPr>
        <w:t xml:space="preserve"> يُ</w:t>
      </w:r>
      <w:r w:rsidR="008F64F8" w:rsidRPr="00362D29">
        <w:rPr>
          <w:rFonts w:ascii="Traditional Arabic" w:eastAsia="Aptos" w:hAnsi="Traditional Arabic" w:cs="Traditional Arabic"/>
          <w:kern w:val="2"/>
          <w:sz w:val="24"/>
          <w:szCs w:val="24"/>
          <w:rtl/>
          <w14:ligatures w14:val="standardContextual"/>
        </w:rPr>
        <w:t xml:space="preserve">ُعد </w:t>
      </w:r>
      <w:r w:rsidR="007C3E26" w:rsidRPr="00362D29">
        <w:rPr>
          <w:rFonts w:ascii="Traditional Arabic" w:eastAsia="Aptos" w:hAnsi="Traditional Arabic" w:cs="Traditional Arabic"/>
          <w:kern w:val="2"/>
          <w:sz w:val="24"/>
          <w:szCs w:val="24"/>
          <w:rtl/>
          <w14:ligatures w14:val="standardContextual"/>
        </w:rPr>
        <w:t>ال</w:t>
      </w:r>
      <w:r w:rsidR="008F64F8" w:rsidRPr="00362D29">
        <w:rPr>
          <w:rFonts w:ascii="Traditional Arabic" w:eastAsia="Aptos" w:hAnsi="Traditional Arabic" w:cs="Traditional Arabic"/>
          <w:kern w:val="2"/>
          <w:sz w:val="24"/>
          <w:szCs w:val="24"/>
          <w:rtl/>
          <w14:ligatures w14:val="standardContextual"/>
        </w:rPr>
        <w:t>نموذج</w:t>
      </w:r>
      <w:r w:rsidR="007C3E26" w:rsidRPr="00362D29">
        <w:rPr>
          <w:rFonts w:ascii="Traditional Arabic" w:eastAsia="Aptos" w:hAnsi="Traditional Arabic" w:cs="Traditional Arabic"/>
          <w:kern w:val="2"/>
          <w:sz w:val="24"/>
          <w:szCs w:val="24"/>
          <w:rtl/>
          <w14:ligatures w14:val="standardContextual"/>
        </w:rPr>
        <w:t xml:space="preserve"> الأوربي للتميز المؤسسي</w:t>
      </w:r>
      <w:r w:rsidR="008F64F8" w:rsidRPr="00362D29">
        <w:rPr>
          <w:rFonts w:ascii="Traditional Arabic" w:eastAsia="Aptos" w:hAnsi="Traditional Arabic" w:cs="Traditional Arabic"/>
          <w:kern w:val="2"/>
          <w:sz w:val="24"/>
          <w:szCs w:val="24"/>
          <w14:ligatures w14:val="standardContextual"/>
        </w:rPr>
        <w:t xml:space="preserve"> </w:t>
      </w:r>
      <w:r w:rsidR="00B05452" w:rsidRPr="00362D29">
        <w:rPr>
          <w:rFonts w:ascii="Traditional Arabic" w:eastAsia="Aptos" w:hAnsi="Traditional Arabic" w:cs="Traditional Arabic"/>
          <w:kern w:val="2"/>
          <w:sz w:val="24"/>
          <w:szCs w:val="24"/>
          <w14:ligatures w14:val="standardContextual"/>
        </w:rPr>
        <w:t>(</w:t>
      </w:r>
      <w:r w:rsidR="008F64F8" w:rsidRPr="00362D29">
        <w:rPr>
          <w:rFonts w:ascii="Traditional Arabic" w:eastAsia="Aptos" w:hAnsi="Traditional Arabic" w:cs="Traditional Arabic"/>
          <w:kern w:val="2"/>
          <w:sz w:val="24"/>
          <w:szCs w:val="24"/>
          <w14:ligatures w14:val="standardContextual"/>
        </w:rPr>
        <w:t>EFQM</w:t>
      </w:r>
      <w:r w:rsidR="00B05452" w:rsidRPr="00362D29">
        <w:rPr>
          <w:rFonts w:ascii="Traditional Arabic" w:eastAsia="Aptos" w:hAnsi="Traditional Arabic" w:cs="Traditional Arabic"/>
          <w:kern w:val="2"/>
          <w:sz w:val="24"/>
          <w:szCs w:val="24"/>
          <w14:ligatures w14:val="standardContextual"/>
        </w:rPr>
        <w:t>)</w:t>
      </w:r>
      <w:r w:rsidR="008F64F8" w:rsidRPr="00362D29">
        <w:rPr>
          <w:rFonts w:ascii="Traditional Arabic" w:eastAsia="Aptos" w:hAnsi="Traditional Arabic" w:cs="Traditional Arabic"/>
          <w:kern w:val="2"/>
          <w:sz w:val="24"/>
          <w:szCs w:val="24"/>
          <w14:ligatures w14:val="standardContextual"/>
        </w:rPr>
        <w:t xml:space="preserve"> </w:t>
      </w:r>
      <w:r w:rsidR="008F64F8" w:rsidRPr="00362D29">
        <w:rPr>
          <w:rFonts w:ascii="Traditional Arabic" w:eastAsia="Aptos" w:hAnsi="Traditional Arabic" w:cs="Traditional Arabic"/>
          <w:kern w:val="2"/>
          <w:sz w:val="24"/>
          <w:szCs w:val="24"/>
          <w:rtl/>
          <w14:ligatures w14:val="standardContextual"/>
        </w:rPr>
        <w:t xml:space="preserve">إطارًا مرجعيًا عالميًا للتميّز </w:t>
      </w:r>
      <w:r w:rsidR="007C3E26" w:rsidRPr="00362D29">
        <w:rPr>
          <w:rFonts w:ascii="Traditional Arabic" w:eastAsia="Aptos" w:hAnsi="Traditional Arabic" w:cs="Traditional Arabic"/>
          <w:kern w:val="2"/>
          <w:sz w:val="24"/>
          <w:szCs w:val="24"/>
          <w:rtl/>
          <w14:ligatures w14:val="standardContextual"/>
        </w:rPr>
        <w:t xml:space="preserve">يهدف إلى مساعدة </w:t>
      </w:r>
      <w:r w:rsidR="008F64F8" w:rsidRPr="00362D29">
        <w:rPr>
          <w:rFonts w:ascii="Traditional Arabic" w:eastAsia="Aptos" w:hAnsi="Traditional Arabic" w:cs="Traditional Arabic"/>
          <w:kern w:val="2"/>
          <w:sz w:val="24"/>
          <w:szCs w:val="24"/>
          <w:rtl/>
          <w14:ligatures w14:val="standardContextual"/>
        </w:rPr>
        <w:t xml:space="preserve">المؤسسات على تحقيق نتائج </w:t>
      </w:r>
      <w:r w:rsidR="006F22B0" w:rsidRPr="00362D29">
        <w:rPr>
          <w:rFonts w:ascii="Traditional Arabic" w:eastAsia="Aptos" w:hAnsi="Traditional Arabic" w:cs="Traditional Arabic"/>
          <w:kern w:val="2"/>
          <w:sz w:val="24"/>
          <w:szCs w:val="24"/>
          <w:rtl/>
          <w14:ligatures w14:val="standardContextual"/>
        </w:rPr>
        <w:t>متميزة في الأداء،</w:t>
      </w:r>
      <w:r w:rsidR="008F64F8" w:rsidRPr="00362D29">
        <w:rPr>
          <w:rFonts w:ascii="Traditional Arabic" w:eastAsia="Aptos" w:hAnsi="Traditional Arabic" w:cs="Traditional Arabic"/>
          <w:kern w:val="2"/>
          <w:sz w:val="24"/>
          <w:szCs w:val="24"/>
          <w:rtl/>
          <w14:ligatures w14:val="standardContextual"/>
        </w:rPr>
        <w:t xml:space="preserve"> عبر تبنّي أفضل الممارسات، وتحسين القدرة على التحسين المستدام والمستمر وفهم المنظومة المؤسسية</w:t>
      </w:r>
      <w:r w:rsidR="008F64F8" w:rsidRPr="00362D29">
        <w:rPr>
          <w:rFonts w:ascii="Traditional Arabic" w:eastAsia="Aptos" w:hAnsi="Traditional Arabic" w:cs="Traditional Arabic"/>
          <w:kern w:val="2"/>
          <w:sz w:val="24"/>
          <w:szCs w:val="24"/>
          <w14:ligatures w14:val="standardContextual"/>
        </w:rPr>
        <w:t xml:space="preserve"> (Ecosystem) </w:t>
      </w:r>
      <w:r w:rsidR="008F64F8" w:rsidRPr="00362D29">
        <w:rPr>
          <w:rFonts w:ascii="Traditional Arabic" w:eastAsia="Aptos" w:hAnsi="Traditional Arabic" w:cs="Traditional Arabic"/>
          <w:kern w:val="2"/>
          <w:sz w:val="24"/>
          <w:szCs w:val="24"/>
          <w:rtl/>
          <w14:ligatures w14:val="standardContextual"/>
        </w:rPr>
        <w:t>وإدارة العلاقات مع المعنيين الرئيسيين بصورة منهجية</w:t>
      </w:r>
      <w:r w:rsidR="00D64CE0" w:rsidRPr="00362D29">
        <w:rPr>
          <w:rFonts w:ascii="Traditional Arabic" w:eastAsia="Aptos" w:hAnsi="Traditional Arabic" w:cs="Traditional Arabic"/>
          <w:kern w:val="2"/>
          <w:sz w:val="24"/>
          <w:szCs w:val="24"/>
          <w:rtl/>
          <w14:ligatures w14:val="standardContextual"/>
        </w:rPr>
        <w:t xml:space="preserve"> </w:t>
      </w:r>
      <w:r w:rsidR="008F64F8" w:rsidRPr="00362D29">
        <w:rPr>
          <w:rFonts w:ascii="Traditional Arabic" w:eastAsia="Aptos" w:hAnsi="Traditional Arabic" w:cs="Traditional Arabic"/>
          <w:kern w:val="2"/>
          <w:sz w:val="24"/>
          <w:szCs w:val="24"/>
          <w14:ligatures w14:val="standardContextual"/>
        </w:rPr>
        <w:t>. (EFQM</w:t>
      </w:r>
      <w:r w:rsidR="00FF3ED7" w:rsidRPr="00362D29">
        <w:rPr>
          <w:rFonts w:ascii="Traditional Arabic" w:eastAsia="Aptos" w:hAnsi="Traditional Arabic" w:cs="Traditional Arabic"/>
          <w:kern w:val="2"/>
          <w:sz w:val="24"/>
          <w:szCs w:val="24"/>
          <w14:ligatures w14:val="standardContextual"/>
        </w:rPr>
        <w:t>,</w:t>
      </w:r>
      <w:r w:rsidR="00D64CE0" w:rsidRPr="00362D29">
        <w:rPr>
          <w:rFonts w:ascii="Traditional Arabic" w:eastAsia="Aptos" w:hAnsi="Traditional Arabic" w:cs="Traditional Arabic"/>
          <w:kern w:val="2"/>
          <w:sz w:val="24"/>
          <w:szCs w:val="24"/>
          <w14:ligatures w14:val="standardContextual"/>
        </w:rPr>
        <w:t xml:space="preserve"> 2025)</w:t>
      </w:r>
    </w:p>
    <w:p w14:paraId="355BAD53" w14:textId="43ED12B3" w:rsidR="00343959" w:rsidRPr="00362D29" w:rsidRDefault="008F64F8" w:rsidP="00362D29">
      <w:pPr>
        <w:bidi/>
        <w:spacing w:before="0" w:after="160" w:line="360" w:lineRule="auto"/>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يرتكز</w:t>
      </w:r>
      <w:r w:rsidRPr="00362D29">
        <w:rPr>
          <w:rFonts w:ascii="Traditional Arabic" w:eastAsia="Aptos" w:hAnsi="Traditional Arabic" w:cs="Traditional Arabic"/>
          <w:kern w:val="2"/>
          <w:sz w:val="24"/>
          <w:szCs w:val="24"/>
          <w14:ligatures w14:val="standardContextual"/>
        </w:rPr>
        <w:t xml:space="preserve"> </w:t>
      </w:r>
      <w:r w:rsidR="00AB273A" w:rsidRPr="00362D29">
        <w:rPr>
          <w:rFonts w:ascii="Traditional Arabic" w:eastAsia="Aptos" w:hAnsi="Traditional Arabic" w:cs="Traditional Arabic"/>
          <w:kern w:val="2"/>
          <w:sz w:val="24"/>
          <w:szCs w:val="24"/>
          <w14:ligatures w14:val="standardContextual"/>
        </w:rPr>
        <w:t>(</w:t>
      </w:r>
      <w:r w:rsidRPr="00362D29">
        <w:rPr>
          <w:rFonts w:ascii="Traditional Arabic" w:eastAsia="Aptos" w:hAnsi="Traditional Arabic" w:cs="Traditional Arabic"/>
          <w:kern w:val="2"/>
          <w:sz w:val="24"/>
          <w:szCs w:val="24"/>
          <w14:ligatures w14:val="standardContextual"/>
        </w:rPr>
        <w:t>EFQM</w:t>
      </w:r>
      <w:r w:rsidR="00AB273A" w:rsidRPr="00362D29">
        <w:rPr>
          <w:rFonts w:ascii="Traditional Arabic" w:eastAsia="Aptos" w:hAnsi="Traditional Arabic" w:cs="Traditional Arabic"/>
          <w:kern w:val="2"/>
          <w:sz w:val="24"/>
          <w:szCs w:val="24"/>
          <w14:ligatures w14:val="standardContextual"/>
        </w:rPr>
        <w:t>)</w:t>
      </w:r>
      <w:r w:rsidRPr="00362D29">
        <w:rPr>
          <w:rFonts w:ascii="Traditional Arabic" w:eastAsia="Aptos" w:hAnsi="Traditional Arabic" w:cs="Traditional Arabic"/>
          <w:kern w:val="2"/>
          <w:sz w:val="24"/>
          <w:szCs w:val="24"/>
          <w14:ligatures w14:val="standardContextual"/>
        </w:rPr>
        <w:t xml:space="preserve"> </w:t>
      </w:r>
      <w:r w:rsidR="00AB273A" w:rsidRPr="00362D29">
        <w:rPr>
          <w:rFonts w:ascii="Traditional Arabic" w:eastAsia="Aptos" w:hAnsi="Traditional Arabic" w:cs="Traditional Arabic"/>
          <w:kern w:val="2"/>
          <w:sz w:val="24"/>
          <w:szCs w:val="24"/>
          <w:rtl/>
          <w14:ligatures w14:val="standardContextual"/>
        </w:rPr>
        <w:t xml:space="preserve">النموذج الأوروبي للتميز المؤسسي </w:t>
      </w:r>
      <w:r w:rsidRPr="00362D29">
        <w:rPr>
          <w:rFonts w:ascii="Traditional Arabic" w:eastAsia="Aptos" w:hAnsi="Traditional Arabic" w:cs="Traditional Arabic"/>
          <w:kern w:val="2"/>
          <w:sz w:val="24"/>
          <w:szCs w:val="24"/>
          <w:rtl/>
          <w14:ligatures w14:val="standardContextual"/>
        </w:rPr>
        <w:t>على مفهوم ثلاثي يوضح منطق التميز المؤسسي</w:t>
      </w:r>
      <w:r w:rsidR="008737C1" w:rsidRPr="00362D29">
        <w:rPr>
          <w:rFonts w:ascii="Traditional Arabic" w:eastAsia="Aptos" w:hAnsi="Traditional Arabic" w:cs="Traditional Arabic"/>
          <w:kern w:val="2"/>
          <w:sz w:val="24"/>
          <w:szCs w:val="24"/>
          <w:rtl/>
          <w14:ligatures w14:val="standardContextual"/>
        </w:rPr>
        <w:t xml:space="preserve"> يتضمن “التوجه – التنفيذ – النتائج</w:t>
      </w:r>
      <w:r w:rsidR="00343959" w:rsidRPr="00362D29">
        <w:rPr>
          <w:rFonts w:ascii="Traditional Arabic" w:eastAsia="Aptos" w:hAnsi="Traditional Arabic" w:cs="Traditional Arabic"/>
          <w:kern w:val="2"/>
          <w:sz w:val="24"/>
          <w:szCs w:val="24"/>
          <w:rtl/>
          <w14:ligatures w14:val="standardContextual"/>
        </w:rPr>
        <w:t>"</w:t>
      </w:r>
      <w:r w:rsidR="009C10F2" w:rsidRPr="00362D29">
        <w:rPr>
          <w:rFonts w:ascii="Traditional Arabic" w:eastAsia="Aptos" w:hAnsi="Traditional Arabic" w:cs="Traditional Arabic"/>
          <w:kern w:val="2"/>
          <w:sz w:val="24"/>
          <w:szCs w:val="24"/>
          <w14:ligatures w14:val="standardContextual"/>
        </w:rPr>
        <w:t>. (EFQM, 2025)</w:t>
      </w:r>
    </w:p>
    <w:p w14:paraId="7D221628" w14:textId="559D044B" w:rsidR="008F64F8" w:rsidRPr="00362D29" w:rsidRDefault="008F64F8" w:rsidP="00362D29">
      <w:pPr>
        <w:bidi/>
        <w:spacing w:before="0" w:after="160" w:line="360" w:lineRule="auto"/>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التوجه </w:t>
      </w:r>
      <w:r w:rsidR="00343959" w:rsidRPr="00362D29">
        <w:rPr>
          <w:rFonts w:ascii="Traditional Arabic" w:eastAsia="Aptos" w:hAnsi="Traditional Arabic" w:cs="Traditional Arabic"/>
          <w:kern w:val="2"/>
          <w:sz w:val="24"/>
          <w:szCs w:val="24"/>
          <w:rtl/>
          <w14:ligatures w14:val="standardContextual"/>
        </w:rPr>
        <w:t xml:space="preserve">للإجابة على </w:t>
      </w:r>
      <w:r w:rsidRPr="00362D29">
        <w:rPr>
          <w:rFonts w:ascii="Traditional Arabic" w:eastAsia="Aptos" w:hAnsi="Traditional Arabic" w:cs="Traditional Arabic"/>
          <w:kern w:val="2"/>
          <w:sz w:val="24"/>
          <w:szCs w:val="24"/>
          <w:rtl/>
          <w14:ligatures w14:val="standardContextual"/>
        </w:rPr>
        <w:t xml:space="preserve">(لماذا توجد المؤسسة وما غاياتها ورؤيتها واستراتيجيتها)، ثم التنفيذ </w:t>
      </w:r>
      <w:r w:rsidR="009C10F2" w:rsidRPr="00362D29">
        <w:rPr>
          <w:rFonts w:ascii="Traditional Arabic" w:eastAsia="Aptos" w:hAnsi="Traditional Arabic" w:cs="Traditional Arabic"/>
          <w:kern w:val="2"/>
          <w:sz w:val="24"/>
          <w:szCs w:val="24"/>
          <w:rtl/>
          <w14:ligatures w14:val="standardContextual"/>
        </w:rPr>
        <w:t xml:space="preserve">للإجابة على </w:t>
      </w:r>
      <w:r w:rsidRPr="00362D29">
        <w:rPr>
          <w:rFonts w:ascii="Traditional Arabic" w:eastAsia="Aptos" w:hAnsi="Traditional Arabic" w:cs="Traditional Arabic"/>
          <w:kern w:val="2"/>
          <w:sz w:val="24"/>
          <w:szCs w:val="24"/>
          <w:rtl/>
          <w14:ligatures w14:val="standardContextual"/>
        </w:rPr>
        <w:t>(كيف تُدار المؤسسة وتُشرك المعنيين وتخلق قيمة مستدامة وتقيس الأداء والتحول)، ثم النتائج التي تُترجم أثر ذلك على المعنيين والأداء الاستراتيجي والتشغيلي. (السيابي، 2023)</w:t>
      </w:r>
      <w:r w:rsidR="009C10F2" w:rsidRPr="00362D29">
        <w:rPr>
          <w:rFonts w:ascii="Traditional Arabic" w:eastAsia="Aptos" w:hAnsi="Traditional Arabic" w:cs="Traditional Arabic"/>
          <w:kern w:val="2"/>
          <w:sz w:val="24"/>
          <w:szCs w:val="24"/>
          <w:rtl/>
          <w14:ligatures w14:val="standardContextual"/>
        </w:rPr>
        <w:t xml:space="preserve"> </w:t>
      </w:r>
      <w:r w:rsidR="009C10F2" w:rsidRPr="00362D29">
        <w:rPr>
          <w:rFonts w:ascii="Traditional Arabic" w:eastAsia="Aptos" w:hAnsi="Traditional Arabic" w:cs="Traditional Arabic"/>
          <w:kern w:val="2"/>
          <w:sz w:val="24"/>
          <w:szCs w:val="24"/>
          <w14:ligatures w14:val="standardContextual"/>
        </w:rPr>
        <w:t>. (EFQM, 2025)</w:t>
      </w:r>
    </w:p>
    <w:p w14:paraId="690C887C" w14:textId="2AF1EF8A" w:rsidR="0050758E" w:rsidRPr="00362D29" w:rsidRDefault="008F64F8" w:rsidP="00362D29">
      <w:pPr>
        <w:pStyle w:val="ab"/>
        <w:numPr>
          <w:ilvl w:val="0"/>
          <w:numId w:val="34"/>
        </w:numPr>
        <w:bidi/>
        <w:spacing w:before="0" w:after="160" w:line="360" w:lineRule="auto"/>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14:ligatures w14:val="standardContextual"/>
        </w:rPr>
        <w:lastRenderedPageBreak/>
        <w:t xml:space="preserve"> </w:t>
      </w:r>
      <w:r w:rsidRPr="00362D29">
        <w:rPr>
          <w:rFonts w:ascii="Traditional Arabic" w:eastAsia="Aptos" w:hAnsi="Traditional Arabic" w:cs="Traditional Arabic"/>
          <w:b/>
          <w:bCs/>
          <w:kern w:val="2"/>
          <w:sz w:val="24"/>
          <w:szCs w:val="24"/>
          <w:rtl/>
          <w14:ligatures w14:val="standardContextual"/>
        </w:rPr>
        <w:t>المكوّنات والهيكل العام للنموذج</w:t>
      </w:r>
    </w:p>
    <w:p w14:paraId="42B9E802" w14:textId="565B08C4" w:rsidR="00603FCA" w:rsidRPr="00362D29" w:rsidRDefault="008F64F8"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يتكون النموذج من </w:t>
      </w:r>
      <w:r w:rsidR="0050758E" w:rsidRPr="00362D29">
        <w:rPr>
          <w:rFonts w:ascii="Traditional Arabic" w:eastAsia="Aptos" w:hAnsi="Traditional Arabic" w:cs="Traditional Arabic"/>
          <w:kern w:val="2"/>
          <w:sz w:val="24"/>
          <w:szCs w:val="24"/>
          <w:rtl/>
          <w14:ligatures w14:val="standardContextual"/>
        </w:rPr>
        <w:t>ثلاث</w:t>
      </w:r>
      <w:r w:rsidRPr="00362D29">
        <w:rPr>
          <w:rFonts w:ascii="Traditional Arabic" w:eastAsia="Aptos" w:hAnsi="Traditional Arabic" w:cs="Traditional Arabic"/>
          <w:kern w:val="2"/>
          <w:sz w:val="24"/>
          <w:szCs w:val="24"/>
          <w:rtl/>
          <w14:ligatures w14:val="standardContextual"/>
        </w:rPr>
        <w:t xml:space="preserve"> مجالات رئيسية (التوجه–التنفيذ–النتائج)، وتندرج تحتها </w:t>
      </w:r>
      <w:r w:rsidRPr="00362D29">
        <w:rPr>
          <w:rFonts w:ascii="Traditional Arabic" w:eastAsia="Aptos" w:hAnsi="Traditional Arabic" w:cs="Traditional Arabic"/>
          <w:b/>
          <w:bCs/>
          <w:kern w:val="2"/>
          <w:sz w:val="24"/>
          <w:szCs w:val="24"/>
          <w:rtl/>
          <w14:ligatures w14:val="standardContextual"/>
        </w:rPr>
        <w:t>سبعة معايير تمثل مجالات التقييم والتحسين</w:t>
      </w:r>
      <w:r w:rsidRPr="00362D29">
        <w:rPr>
          <w:rFonts w:ascii="Traditional Arabic" w:eastAsia="Aptos" w:hAnsi="Traditional Arabic" w:cs="Traditional Arabic"/>
          <w:kern w:val="2"/>
          <w:sz w:val="24"/>
          <w:szCs w:val="24"/>
          <w:rtl/>
          <w14:ligatures w14:val="standardContextual"/>
        </w:rPr>
        <w:t>، بما يسمح ببناء صورة شاملة عن نضج المؤسسة وقدرتها على تحقيق التميز والاستدامة</w:t>
      </w:r>
      <w:r w:rsidR="000A0001" w:rsidRPr="00362D29">
        <w:rPr>
          <w:rFonts w:ascii="Traditional Arabic" w:eastAsia="Aptos" w:hAnsi="Traditional Arabic" w:cs="Traditional Arabic"/>
          <w:kern w:val="2"/>
          <w:sz w:val="24"/>
          <w:szCs w:val="24"/>
          <w:rtl/>
          <w14:ligatures w14:val="standardContextual"/>
        </w:rPr>
        <w:t xml:space="preserve"> (</w:t>
      </w:r>
      <w:r w:rsidR="000A0001" w:rsidRPr="00362D29">
        <w:rPr>
          <w:rFonts w:ascii="Traditional Arabic" w:eastAsia="Aptos" w:hAnsi="Traditional Arabic" w:cs="Traditional Arabic"/>
          <w:kern w:val="2"/>
          <w:sz w:val="24"/>
          <w:szCs w:val="24"/>
          <w14:ligatures w14:val="standardContextual"/>
        </w:rPr>
        <w:t>EFQM, 2025</w:t>
      </w:r>
      <w:r w:rsidR="000A0001" w:rsidRPr="00362D29">
        <w:rPr>
          <w:rFonts w:ascii="Traditional Arabic" w:eastAsia="Aptos" w:hAnsi="Traditional Arabic" w:cs="Traditional Arabic"/>
          <w:kern w:val="2"/>
          <w:sz w:val="24"/>
          <w:szCs w:val="24"/>
          <w:rtl/>
          <w14:ligatures w14:val="standardContextual"/>
        </w:rPr>
        <w:t>).</w:t>
      </w:r>
    </w:p>
    <w:p w14:paraId="78022A7E" w14:textId="77777777" w:rsidR="00603FCA" w:rsidRPr="00362D29" w:rsidRDefault="00603FCA" w:rsidP="00362D29">
      <w:pPr>
        <w:pStyle w:val="ab"/>
        <w:numPr>
          <w:ilvl w:val="0"/>
          <w:numId w:val="34"/>
        </w:numPr>
        <w:bidi/>
        <w:spacing w:before="0" w:after="160" w:line="360" w:lineRule="auto"/>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معايير </w:t>
      </w:r>
      <w:r w:rsidRPr="00362D29">
        <w:rPr>
          <w:rFonts w:ascii="Traditional Arabic" w:eastAsia="Aptos" w:hAnsi="Traditional Arabic" w:cs="Traditional Arabic"/>
          <w:b/>
          <w:bCs/>
          <w:kern w:val="2"/>
          <w:sz w:val="24"/>
          <w:szCs w:val="24"/>
          <w14:ligatures w14:val="standardContextual"/>
        </w:rPr>
        <w:t>EFQM</w:t>
      </w:r>
      <w:r w:rsidRPr="00362D29">
        <w:rPr>
          <w:rFonts w:ascii="Traditional Arabic" w:eastAsia="Aptos" w:hAnsi="Traditional Arabic" w:cs="Traditional Arabic"/>
          <w:b/>
          <w:bCs/>
          <w:kern w:val="2"/>
          <w:sz w:val="24"/>
          <w:szCs w:val="24"/>
          <w:rtl/>
          <w14:ligatures w14:val="standardContextual"/>
        </w:rPr>
        <w:t xml:space="preserve"> السبعة </w:t>
      </w:r>
    </w:p>
    <w:p w14:paraId="06252780" w14:textId="76D5E0CD" w:rsidR="00603FCA" w:rsidRPr="00362D29" w:rsidRDefault="00603FCA"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يعرض (</w:t>
      </w:r>
      <w:r w:rsidRPr="00362D29">
        <w:rPr>
          <w:rFonts w:ascii="Traditional Arabic" w:eastAsia="Aptos" w:hAnsi="Traditional Arabic" w:cs="Traditional Arabic"/>
          <w:kern w:val="2"/>
          <w:sz w:val="24"/>
          <w:szCs w:val="24"/>
          <w14:ligatures w14:val="standardContextual"/>
        </w:rPr>
        <w:t>EFQM, 2025</w:t>
      </w:r>
      <w:r w:rsidRPr="00362D29">
        <w:rPr>
          <w:rFonts w:ascii="Traditional Arabic" w:eastAsia="Aptos" w:hAnsi="Traditional Arabic" w:cs="Traditional Arabic"/>
          <w:kern w:val="2"/>
          <w:sz w:val="24"/>
          <w:szCs w:val="24"/>
          <w:rtl/>
          <w14:ligatures w14:val="standardContextual"/>
        </w:rPr>
        <w:t>) المعايير على النحو الآتي، بوصفها “خريطة” لتقييم نضج المؤسسة:</w:t>
      </w:r>
    </w:p>
    <w:p w14:paraId="5A691990" w14:textId="66E06CBB" w:rsidR="00603FCA" w:rsidRPr="00362D29" w:rsidRDefault="00603FCA" w:rsidP="00362D29">
      <w:pPr>
        <w:pStyle w:val="ab"/>
        <w:numPr>
          <w:ilvl w:val="0"/>
          <w:numId w:val="34"/>
        </w:num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التوجه (</w:t>
      </w:r>
      <w:r w:rsidRPr="00362D29">
        <w:rPr>
          <w:rFonts w:ascii="Traditional Arabic" w:eastAsia="Aptos" w:hAnsi="Traditional Arabic" w:cs="Traditional Arabic"/>
          <w:b/>
          <w:bCs/>
          <w:kern w:val="2"/>
          <w:sz w:val="24"/>
          <w:szCs w:val="24"/>
          <w14:ligatures w14:val="standardContextual"/>
        </w:rPr>
        <w:t>Direction</w:t>
      </w:r>
      <w:r w:rsidRPr="00362D29">
        <w:rPr>
          <w:rFonts w:ascii="Traditional Arabic" w:eastAsia="Aptos" w:hAnsi="Traditional Arabic" w:cs="Traditional Arabic"/>
          <w:b/>
          <w:bCs/>
          <w:kern w:val="2"/>
          <w:sz w:val="24"/>
          <w:szCs w:val="24"/>
          <w:rtl/>
          <w14:ligatures w14:val="standardContextual"/>
        </w:rPr>
        <w:t>)</w:t>
      </w:r>
    </w:p>
    <w:p w14:paraId="0D068EC5" w14:textId="77777777" w:rsidR="00603FCA" w:rsidRPr="00362D29" w:rsidRDefault="00603FCA"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المعيار 1: الغايات والرؤية والاستراتيجية (</w:t>
      </w:r>
      <w:r w:rsidRPr="00362D29">
        <w:rPr>
          <w:rFonts w:ascii="Traditional Arabic" w:eastAsia="Aptos" w:hAnsi="Traditional Arabic" w:cs="Traditional Arabic"/>
          <w:b/>
          <w:bCs/>
          <w:kern w:val="2"/>
          <w:sz w:val="24"/>
          <w:szCs w:val="24"/>
          <w14:ligatures w14:val="standardContextual"/>
        </w:rPr>
        <w:t>Purpose, Vision &amp; Strategy</w:t>
      </w:r>
      <w:r w:rsidRPr="00362D29">
        <w:rPr>
          <w:rFonts w:ascii="Traditional Arabic" w:eastAsia="Aptos" w:hAnsi="Traditional Arabic" w:cs="Traditional Arabic"/>
          <w:b/>
          <w:bCs/>
          <w:kern w:val="2"/>
          <w:sz w:val="24"/>
          <w:szCs w:val="24"/>
          <w:rtl/>
          <w14:ligatures w14:val="standardContextual"/>
        </w:rPr>
        <w:t>)</w:t>
      </w:r>
    </w:p>
    <w:p w14:paraId="4F9FCCCB" w14:textId="4CE3B40D" w:rsidR="00603FCA" w:rsidRPr="00362D29" w:rsidRDefault="00603FCA"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يركز هذا المعيار على وضوح “سبب وجود المؤسسة” (الغاية/الرسالة الجوهرية)، وكيف تُترجم الغاية إلى رؤية مستقبلية واتجاه استراتيجي واضح. كما يهتم بمدى قدرة المؤسسة على بناء استراتيجية تستند إلى تحليل البيئة الداخلية والخارجية، وفهم احتياجات أصحاب المصلحة، وتحديد الأولويات الاستراتيجية بصورة قابلة للقياس والمتابعة. ويُعد هذا المعيار أساسًا لضمان أن جميع المبادرات والبرامج التشغيلية تعمل في اتجاه واحد متسق مع الغاية والرؤية (</w:t>
      </w:r>
      <w:r w:rsidRPr="00362D29">
        <w:rPr>
          <w:rFonts w:ascii="Traditional Arabic" w:eastAsia="Aptos" w:hAnsi="Traditional Arabic" w:cs="Traditional Arabic"/>
          <w:kern w:val="2"/>
          <w:sz w:val="24"/>
          <w:szCs w:val="24"/>
          <w14:ligatures w14:val="standardContextual"/>
        </w:rPr>
        <w:t>EFQM, 2025</w:t>
      </w:r>
      <w:r w:rsidRPr="00362D29">
        <w:rPr>
          <w:rFonts w:ascii="Traditional Arabic" w:eastAsia="Aptos" w:hAnsi="Traditional Arabic" w:cs="Traditional Arabic"/>
          <w:kern w:val="2"/>
          <w:sz w:val="24"/>
          <w:szCs w:val="24"/>
          <w:rtl/>
          <w14:ligatures w14:val="standardContextual"/>
        </w:rPr>
        <w:t>).</w:t>
      </w:r>
    </w:p>
    <w:p w14:paraId="40806E8C" w14:textId="77777777" w:rsidR="00603FCA" w:rsidRPr="00362D29" w:rsidRDefault="00603FCA"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المعيار 2: الثقافة المؤسسية والقيادة (</w:t>
      </w:r>
      <w:r w:rsidRPr="00362D29">
        <w:rPr>
          <w:rFonts w:ascii="Traditional Arabic" w:eastAsia="Aptos" w:hAnsi="Traditional Arabic" w:cs="Traditional Arabic"/>
          <w:b/>
          <w:bCs/>
          <w:kern w:val="2"/>
          <w:sz w:val="24"/>
          <w:szCs w:val="24"/>
          <w14:ligatures w14:val="standardContextual"/>
        </w:rPr>
        <w:t>Organizational Culture &amp; Leadership</w:t>
      </w:r>
      <w:r w:rsidRPr="00362D29">
        <w:rPr>
          <w:rFonts w:ascii="Traditional Arabic" w:eastAsia="Aptos" w:hAnsi="Traditional Arabic" w:cs="Traditional Arabic"/>
          <w:b/>
          <w:bCs/>
          <w:kern w:val="2"/>
          <w:sz w:val="24"/>
          <w:szCs w:val="24"/>
          <w:rtl/>
          <w14:ligatures w14:val="standardContextual"/>
        </w:rPr>
        <w:t>)</w:t>
      </w:r>
    </w:p>
    <w:p w14:paraId="1A1DD2CB" w14:textId="2E1546CD" w:rsidR="00603FCA" w:rsidRPr="00362D29" w:rsidRDefault="00603FCA"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يركز هذا المعيار على دور القيادة في تشكيل ثقافة مؤسسية داعمة للتميز، عبر ترسيخ القيم، وتعزيز السلوكيات التنظيمية الإيجابية، وخلق بيئة عمل تمكّن الأفراد وتدعم التعلم والشفافية والمساءلة. كما يركز على كيفية قيادة التغيير وإدارة التوازن بين النتائج قصيرة المدى والاستدامة طويلة المدى، بما يضمن أن الثقافة ليست “معلنة” فقط، بل مفعّلة ومُلاحظة في الممارسات اليومية</w:t>
      </w:r>
      <w:r w:rsidR="0001456A" w:rsidRPr="00362D29">
        <w:rPr>
          <w:rFonts w:ascii="Traditional Arabic" w:eastAsia="Aptos" w:hAnsi="Traditional Arabic" w:cs="Traditional Arabic"/>
          <w:kern w:val="2"/>
          <w:sz w:val="24"/>
          <w:szCs w:val="24"/>
          <w:rtl/>
          <w14:ligatures w14:val="standardContextual"/>
        </w:rPr>
        <w:t xml:space="preserve"> </w:t>
      </w:r>
      <w:r w:rsidRPr="00362D29">
        <w:rPr>
          <w:rFonts w:ascii="Traditional Arabic" w:eastAsia="Aptos" w:hAnsi="Traditional Arabic" w:cs="Traditional Arabic"/>
          <w:kern w:val="2"/>
          <w:sz w:val="24"/>
          <w:szCs w:val="24"/>
          <w:rtl/>
          <w14:ligatures w14:val="standardContextual"/>
        </w:rPr>
        <w:t>(</w:t>
      </w:r>
      <w:r w:rsidRPr="00362D29">
        <w:rPr>
          <w:rFonts w:ascii="Traditional Arabic" w:eastAsia="Aptos" w:hAnsi="Traditional Arabic" w:cs="Traditional Arabic"/>
          <w:kern w:val="2"/>
          <w:sz w:val="24"/>
          <w:szCs w:val="24"/>
          <w14:ligatures w14:val="standardContextual"/>
        </w:rPr>
        <w:t>EFQM, 2025</w:t>
      </w:r>
      <w:r w:rsidRPr="00362D29">
        <w:rPr>
          <w:rFonts w:ascii="Traditional Arabic" w:eastAsia="Aptos" w:hAnsi="Traditional Arabic" w:cs="Traditional Arabic"/>
          <w:kern w:val="2"/>
          <w:sz w:val="24"/>
          <w:szCs w:val="24"/>
          <w:rtl/>
          <w14:ligatures w14:val="standardContextual"/>
        </w:rPr>
        <w:t>).</w:t>
      </w:r>
    </w:p>
    <w:p w14:paraId="052C78BC" w14:textId="3CB65137" w:rsidR="00603FCA" w:rsidRPr="00362D29" w:rsidRDefault="00603FCA" w:rsidP="00362D29">
      <w:pPr>
        <w:pStyle w:val="ab"/>
        <w:numPr>
          <w:ilvl w:val="0"/>
          <w:numId w:val="34"/>
        </w:num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التنفيذ (</w:t>
      </w:r>
      <w:r w:rsidRPr="00362D29">
        <w:rPr>
          <w:rFonts w:ascii="Traditional Arabic" w:eastAsia="Aptos" w:hAnsi="Traditional Arabic" w:cs="Traditional Arabic"/>
          <w:b/>
          <w:bCs/>
          <w:kern w:val="2"/>
          <w:sz w:val="24"/>
          <w:szCs w:val="24"/>
          <w14:ligatures w14:val="standardContextual"/>
        </w:rPr>
        <w:t>Execution</w:t>
      </w:r>
      <w:r w:rsidRPr="00362D29">
        <w:rPr>
          <w:rFonts w:ascii="Traditional Arabic" w:eastAsia="Aptos" w:hAnsi="Traditional Arabic" w:cs="Traditional Arabic"/>
          <w:b/>
          <w:bCs/>
          <w:kern w:val="2"/>
          <w:sz w:val="24"/>
          <w:szCs w:val="24"/>
          <w:rtl/>
          <w14:ligatures w14:val="standardContextual"/>
        </w:rPr>
        <w:t>)</w:t>
      </w:r>
    </w:p>
    <w:p w14:paraId="1620869C" w14:textId="77777777" w:rsidR="00603FCA" w:rsidRPr="00362D29" w:rsidRDefault="00603FCA"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المعيار 3: إشراك المعنيين (</w:t>
      </w:r>
      <w:r w:rsidRPr="00362D29">
        <w:rPr>
          <w:rFonts w:ascii="Traditional Arabic" w:eastAsia="Aptos" w:hAnsi="Traditional Arabic" w:cs="Traditional Arabic"/>
          <w:b/>
          <w:bCs/>
          <w:kern w:val="2"/>
          <w:sz w:val="24"/>
          <w:szCs w:val="24"/>
          <w14:ligatures w14:val="standardContextual"/>
        </w:rPr>
        <w:t>Engaging Stakeholders</w:t>
      </w:r>
      <w:r w:rsidRPr="00362D29">
        <w:rPr>
          <w:rFonts w:ascii="Traditional Arabic" w:eastAsia="Aptos" w:hAnsi="Traditional Arabic" w:cs="Traditional Arabic"/>
          <w:b/>
          <w:bCs/>
          <w:kern w:val="2"/>
          <w:sz w:val="24"/>
          <w:szCs w:val="24"/>
          <w:rtl/>
          <w14:ligatures w14:val="standardContextual"/>
        </w:rPr>
        <w:t>)</w:t>
      </w:r>
    </w:p>
    <w:p w14:paraId="32EFABB0" w14:textId="3E0ADE6A" w:rsidR="00603FCA" w:rsidRDefault="00603FCA"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يؤكد هذا المعيار أن تحقيق التميز يتطلب بناء علاقات فعّالة مع المعنيين الرئيسيين (مثل الموظفين، العملاء/المستفيدين، الشركاء، المجتمع)، عبر فهم توقعاتهم وإشراكهم في التحسين والتطوير. ويشمل ذلك آليات التواصل، وإدارة تجربة المعنيين، وقياس مستوى الرضا والانطباعات، وتحويل التغذية الراجعة إلى تحسينات قابلة للتنفيذ، بما يعزز الثقة ويزيد من قيمة المؤسسة لديهم</w:t>
      </w:r>
      <w:r w:rsidR="0001456A" w:rsidRPr="00362D29">
        <w:rPr>
          <w:rFonts w:ascii="Traditional Arabic" w:eastAsia="Aptos" w:hAnsi="Traditional Arabic" w:cs="Traditional Arabic"/>
          <w:kern w:val="2"/>
          <w:sz w:val="24"/>
          <w:szCs w:val="24"/>
          <w:rtl/>
          <w14:ligatures w14:val="standardContextual"/>
        </w:rPr>
        <w:t xml:space="preserve"> (</w:t>
      </w:r>
      <w:r w:rsidR="0001456A" w:rsidRPr="00362D29">
        <w:rPr>
          <w:rFonts w:ascii="Traditional Arabic" w:eastAsia="Aptos" w:hAnsi="Traditional Arabic" w:cs="Traditional Arabic"/>
          <w:kern w:val="2"/>
          <w:sz w:val="24"/>
          <w:szCs w:val="24"/>
          <w14:ligatures w14:val="standardContextual"/>
        </w:rPr>
        <w:t>EFQM, 2025</w:t>
      </w:r>
      <w:r w:rsidR="0001456A" w:rsidRPr="00362D29">
        <w:rPr>
          <w:rFonts w:ascii="Traditional Arabic" w:eastAsia="Aptos" w:hAnsi="Traditional Arabic" w:cs="Traditional Arabic"/>
          <w:kern w:val="2"/>
          <w:sz w:val="24"/>
          <w:szCs w:val="24"/>
          <w:rtl/>
          <w14:ligatures w14:val="standardContextual"/>
        </w:rPr>
        <w:t>).</w:t>
      </w:r>
    </w:p>
    <w:p w14:paraId="4E2DF948" w14:textId="77777777" w:rsidR="00216C7C" w:rsidRDefault="00216C7C" w:rsidP="00216C7C">
      <w:pPr>
        <w:bidi/>
        <w:spacing w:before="0" w:after="160" w:line="360" w:lineRule="auto"/>
        <w:jc w:val="both"/>
        <w:rPr>
          <w:rFonts w:ascii="Traditional Arabic" w:eastAsia="Aptos" w:hAnsi="Traditional Arabic" w:cs="Traditional Arabic"/>
          <w:kern w:val="2"/>
          <w:sz w:val="24"/>
          <w:szCs w:val="24"/>
          <w:rtl/>
          <w14:ligatures w14:val="standardContextual"/>
        </w:rPr>
      </w:pPr>
    </w:p>
    <w:p w14:paraId="0F199E1D" w14:textId="77777777" w:rsidR="00216C7C" w:rsidRPr="00362D29" w:rsidRDefault="00216C7C" w:rsidP="00216C7C">
      <w:pPr>
        <w:bidi/>
        <w:spacing w:before="0" w:after="160" w:line="360" w:lineRule="auto"/>
        <w:jc w:val="both"/>
        <w:rPr>
          <w:rFonts w:ascii="Traditional Arabic" w:eastAsia="Aptos" w:hAnsi="Traditional Arabic" w:cs="Traditional Arabic"/>
          <w:kern w:val="2"/>
          <w:sz w:val="24"/>
          <w:szCs w:val="24"/>
          <w:rtl/>
          <w14:ligatures w14:val="standardContextual"/>
        </w:rPr>
      </w:pPr>
    </w:p>
    <w:p w14:paraId="2F9A4AB1" w14:textId="77777777" w:rsidR="00603FCA" w:rsidRPr="00362D29" w:rsidRDefault="00603FCA"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lastRenderedPageBreak/>
        <w:t>المعيار 4: خلق قيمة مستدامة (</w:t>
      </w:r>
      <w:r w:rsidRPr="00362D29">
        <w:rPr>
          <w:rFonts w:ascii="Traditional Arabic" w:eastAsia="Aptos" w:hAnsi="Traditional Arabic" w:cs="Traditional Arabic"/>
          <w:b/>
          <w:bCs/>
          <w:kern w:val="2"/>
          <w:sz w:val="24"/>
          <w:szCs w:val="24"/>
          <w14:ligatures w14:val="standardContextual"/>
        </w:rPr>
        <w:t>Creating Sustainable Value</w:t>
      </w:r>
      <w:r w:rsidRPr="00362D29">
        <w:rPr>
          <w:rFonts w:ascii="Traditional Arabic" w:eastAsia="Aptos" w:hAnsi="Traditional Arabic" w:cs="Traditional Arabic"/>
          <w:b/>
          <w:bCs/>
          <w:kern w:val="2"/>
          <w:sz w:val="24"/>
          <w:szCs w:val="24"/>
          <w:rtl/>
          <w14:ligatures w14:val="standardContextual"/>
        </w:rPr>
        <w:t>)</w:t>
      </w:r>
    </w:p>
    <w:p w14:paraId="4D303447" w14:textId="4F253795" w:rsidR="00603FCA" w:rsidRPr="00362D29" w:rsidRDefault="00603FCA"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يركز هذا المعيار على كيفية خلق المؤسسة لقيمة “مستمرة” وليست مؤقتة، من خلال تحسين الخدمات/المنتجات، والابتكار، وإدارة الموارد بمسؤولية، ومراعاة الاستدامة البيئية والاجتماعية والاقتصادية. ويتضمن كذلك إدارة سلسلة القيمة وتحسينها وتقليل الهدر ورفع الكفاءة، بما يعكس قدرة المؤسسة على تحقيق نتائج مستدامة وتحسين أثرها على المعنيين والمجتمع </w:t>
      </w:r>
      <w:r w:rsidR="0001456A" w:rsidRPr="00362D29">
        <w:rPr>
          <w:rFonts w:ascii="Traditional Arabic" w:eastAsia="Aptos" w:hAnsi="Traditional Arabic" w:cs="Traditional Arabic"/>
          <w:kern w:val="2"/>
          <w:sz w:val="24"/>
          <w:szCs w:val="24"/>
          <w:rtl/>
          <w14:ligatures w14:val="standardContextual"/>
        </w:rPr>
        <w:t>(السيابي، 2023) (</w:t>
      </w:r>
      <w:r w:rsidR="0001456A" w:rsidRPr="00362D29">
        <w:rPr>
          <w:rFonts w:ascii="Traditional Arabic" w:eastAsia="Aptos" w:hAnsi="Traditional Arabic" w:cs="Traditional Arabic"/>
          <w:kern w:val="2"/>
          <w:sz w:val="24"/>
          <w:szCs w:val="24"/>
          <w14:ligatures w14:val="standardContextual"/>
        </w:rPr>
        <w:t>EFQM, 2025</w:t>
      </w:r>
      <w:r w:rsidR="0001456A" w:rsidRPr="00362D29">
        <w:rPr>
          <w:rFonts w:ascii="Traditional Arabic" w:eastAsia="Aptos" w:hAnsi="Traditional Arabic" w:cs="Traditional Arabic"/>
          <w:kern w:val="2"/>
          <w:sz w:val="24"/>
          <w:szCs w:val="24"/>
          <w:rtl/>
          <w14:ligatures w14:val="standardContextual"/>
        </w:rPr>
        <w:t>)</w:t>
      </w:r>
      <w:r w:rsidR="00CB09E0" w:rsidRPr="00362D29">
        <w:rPr>
          <w:rFonts w:ascii="Traditional Arabic" w:eastAsia="Aptos" w:hAnsi="Traditional Arabic" w:cs="Traditional Arabic"/>
          <w:kern w:val="2"/>
          <w:sz w:val="24"/>
          <w:szCs w:val="24"/>
          <w:rtl/>
          <w14:ligatures w14:val="standardContextual"/>
        </w:rPr>
        <w:t>.</w:t>
      </w:r>
    </w:p>
    <w:p w14:paraId="4D5268AD" w14:textId="77777777" w:rsidR="00603FCA" w:rsidRPr="00362D29" w:rsidRDefault="00603FCA"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المعيار 5: قيادة الأداء والتحول (</w:t>
      </w:r>
      <w:r w:rsidRPr="00362D29">
        <w:rPr>
          <w:rFonts w:ascii="Traditional Arabic" w:eastAsia="Aptos" w:hAnsi="Traditional Arabic" w:cs="Traditional Arabic"/>
          <w:b/>
          <w:bCs/>
          <w:kern w:val="2"/>
          <w:sz w:val="24"/>
          <w:szCs w:val="24"/>
          <w14:ligatures w14:val="standardContextual"/>
        </w:rPr>
        <w:t>Driving Performance &amp; Transformation</w:t>
      </w:r>
      <w:r w:rsidRPr="00362D29">
        <w:rPr>
          <w:rFonts w:ascii="Traditional Arabic" w:eastAsia="Aptos" w:hAnsi="Traditional Arabic" w:cs="Traditional Arabic"/>
          <w:b/>
          <w:bCs/>
          <w:kern w:val="2"/>
          <w:sz w:val="24"/>
          <w:szCs w:val="24"/>
          <w:rtl/>
          <w14:ligatures w14:val="standardContextual"/>
        </w:rPr>
        <w:t>)</w:t>
      </w:r>
    </w:p>
    <w:p w14:paraId="6D86895D" w14:textId="4EF9F877" w:rsidR="00603FCA" w:rsidRPr="00362D29" w:rsidRDefault="00603FCA"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يركز هذا المعيار على إدارة الأداء بشكل منهجي عبر مؤشرات قياس واضحة، ومراجعات دورية، وربط القرارات بالبيانات، بالإضافة إلى قيادة التحول المؤسسي (التطوير/التحول الرقمي/إعادة التصميم). ويهتم بقدرة المؤسسة على تحقيق توازن بين “تشغيل الأداء اليومي” و“إدارة التغيير والتحول”، بما يضمن الاستجابة للمتغيرات والحفاظ على التنافسية والاستدامة</w:t>
      </w:r>
      <w:r w:rsidR="00CB09E0" w:rsidRPr="00362D29">
        <w:rPr>
          <w:rFonts w:ascii="Traditional Arabic" w:eastAsia="Aptos" w:hAnsi="Traditional Arabic" w:cs="Traditional Arabic"/>
          <w:kern w:val="2"/>
          <w:sz w:val="24"/>
          <w:szCs w:val="24"/>
          <w:rtl/>
          <w14:ligatures w14:val="standardContextual"/>
        </w:rPr>
        <w:t>(</w:t>
      </w:r>
      <w:r w:rsidR="00CB09E0" w:rsidRPr="00362D29">
        <w:rPr>
          <w:rFonts w:ascii="Traditional Arabic" w:eastAsia="Aptos" w:hAnsi="Traditional Arabic" w:cs="Traditional Arabic"/>
          <w:kern w:val="2"/>
          <w:sz w:val="24"/>
          <w:szCs w:val="24"/>
          <w14:ligatures w14:val="standardContextual"/>
        </w:rPr>
        <w:t>EFQM, 2025</w:t>
      </w:r>
      <w:r w:rsidR="00CB09E0" w:rsidRPr="00362D29">
        <w:rPr>
          <w:rFonts w:ascii="Traditional Arabic" w:eastAsia="Aptos" w:hAnsi="Traditional Arabic" w:cs="Traditional Arabic"/>
          <w:kern w:val="2"/>
          <w:sz w:val="24"/>
          <w:szCs w:val="24"/>
          <w:rtl/>
          <w14:ligatures w14:val="standardContextual"/>
        </w:rPr>
        <w:t>).</w:t>
      </w:r>
    </w:p>
    <w:p w14:paraId="5D50B0CA" w14:textId="2340B64B" w:rsidR="00603FCA" w:rsidRPr="00362D29" w:rsidRDefault="00603FCA" w:rsidP="00362D29">
      <w:pPr>
        <w:pStyle w:val="ab"/>
        <w:numPr>
          <w:ilvl w:val="0"/>
          <w:numId w:val="34"/>
        </w:num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النتائج (</w:t>
      </w:r>
      <w:r w:rsidRPr="00362D29">
        <w:rPr>
          <w:rFonts w:ascii="Traditional Arabic" w:eastAsia="Aptos" w:hAnsi="Traditional Arabic" w:cs="Traditional Arabic"/>
          <w:b/>
          <w:bCs/>
          <w:kern w:val="2"/>
          <w:sz w:val="24"/>
          <w:szCs w:val="24"/>
          <w14:ligatures w14:val="standardContextual"/>
        </w:rPr>
        <w:t>Results</w:t>
      </w:r>
      <w:r w:rsidRPr="00362D29">
        <w:rPr>
          <w:rFonts w:ascii="Traditional Arabic" w:eastAsia="Aptos" w:hAnsi="Traditional Arabic" w:cs="Traditional Arabic"/>
          <w:b/>
          <w:bCs/>
          <w:kern w:val="2"/>
          <w:sz w:val="24"/>
          <w:szCs w:val="24"/>
          <w:rtl/>
          <w14:ligatures w14:val="standardContextual"/>
        </w:rPr>
        <w:t>)</w:t>
      </w:r>
    </w:p>
    <w:p w14:paraId="7B9B26E5" w14:textId="77777777" w:rsidR="00603FCA" w:rsidRPr="00362D29" w:rsidRDefault="00603FCA"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المعيار 6: انطباعات المعنيين (</w:t>
      </w:r>
      <w:r w:rsidRPr="00362D29">
        <w:rPr>
          <w:rFonts w:ascii="Traditional Arabic" w:eastAsia="Aptos" w:hAnsi="Traditional Arabic" w:cs="Traditional Arabic"/>
          <w:b/>
          <w:bCs/>
          <w:kern w:val="2"/>
          <w:sz w:val="24"/>
          <w:szCs w:val="24"/>
          <w14:ligatures w14:val="standardContextual"/>
        </w:rPr>
        <w:t>Stakeholder Perceptions</w:t>
      </w:r>
      <w:r w:rsidRPr="00362D29">
        <w:rPr>
          <w:rFonts w:ascii="Traditional Arabic" w:eastAsia="Aptos" w:hAnsi="Traditional Arabic" w:cs="Traditional Arabic"/>
          <w:b/>
          <w:bCs/>
          <w:kern w:val="2"/>
          <w:sz w:val="24"/>
          <w:szCs w:val="24"/>
          <w:rtl/>
          <w14:ligatures w14:val="standardContextual"/>
        </w:rPr>
        <w:t>)</w:t>
      </w:r>
    </w:p>
    <w:p w14:paraId="0A302684" w14:textId="473F8E06" w:rsidR="00603FCA" w:rsidRPr="00362D29" w:rsidRDefault="00603FCA"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يركز هذا المعيار على نتائج “الإدراك والانطباع” لدى المعنيين، أي كيف يرى المعنيون المؤسسة فعليًا بناءً على خبراتهم معها (مثل الثقة، الرضا، الولاء، السمعة، جودة العلاقة). ويؤكد أن النتائج لا تُقاس فقط بالأرقام الداخلية، بل بمدى انعكاس الأداء على صورة المؤسسة لدى من تتعامل معهم، باعتبار أن الانطباعات تمثل مؤشرًا حاسمًا لنجاح التوجه والتنفيذ</w:t>
      </w:r>
      <w:r w:rsidR="00CB09E0" w:rsidRPr="00362D29">
        <w:rPr>
          <w:rFonts w:ascii="Traditional Arabic" w:eastAsia="Aptos" w:hAnsi="Traditional Arabic" w:cs="Traditional Arabic"/>
          <w:kern w:val="2"/>
          <w:sz w:val="24"/>
          <w:szCs w:val="24"/>
          <w:rtl/>
          <w14:ligatures w14:val="standardContextual"/>
        </w:rPr>
        <w:t xml:space="preserve"> (</w:t>
      </w:r>
      <w:r w:rsidR="00CB09E0" w:rsidRPr="00362D29">
        <w:rPr>
          <w:rFonts w:ascii="Traditional Arabic" w:eastAsia="Aptos" w:hAnsi="Traditional Arabic" w:cs="Traditional Arabic"/>
          <w:kern w:val="2"/>
          <w:sz w:val="24"/>
          <w:szCs w:val="24"/>
          <w14:ligatures w14:val="standardContextual"/>
        </w:rPr>
        <w:t>EFQM, 2025</w:t>
      </w:r>
      <w:r w:rsidR="00CB09E0" w:rsidRPr="00362D29">
        <w:rPr>
          <w:rFonts w:ascii="Traditional Arabic" w:eastAsia="Aptos" w:hAnsi="Traditional Arabic" w:cs="Traditional Arabic"/>
          <w:kern w:val="2"/>
          <w:sz w:val="24"/>
          <w:szCs w:val="24"/>
          <w:rtl/>
          <w14:ligatures w14:val="standardContextual"/>
        </w:rPr>
        <w:t>).</w:t>
      </w:r>
    </w:p>
    <w:p w14:paraId="74424B39" w14:textId="77777777" w:rsidR="00603FCA" w:rsidRPr="00362D29" w:rsidRDefault="00603FCA"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المعيار 7: الأداء الاستراتيجي والتشغيلي (</w:t>
      </w:r>
      <w:r w:rsidRPr="00362D29">
        <w:rPr>
          <w:rFonts w:ascii="Traditional Arabic" w:eastAsia="Aptos" w:hAnsi="Traditional Arabic" w:cs="Traditional Arabic"/>
          <w:b/>
          <w:bCs/>
          <w:kern w:val="2"/>
          <w:sz w:val="24"/>
          <w:szCs w:val="24"/>
          <w14:ligatures w14:val="standardContextual"/>
        </w:rPr>
        <w:t>Strategic &amp; Operational Performance</w:t>
      </w:r>
      <w:r w:rsidRPr="00362D29">
        <w:rPr>
          <w:rFonts w:ascii="Traditional Arabic" w:eastAsia="Aptos" w:hAnsi="Traditional Arabic" w:cs="Traditional Arabic"/>
          <w:b/>
          <w:bCs/>
          <w:kern w:val="2"/>
          <w:sz w:val="24"/>
          <w:szCs w:val="24"/>
          <w:rtl/>
          <w14:ligatures w14:val="standardContextual"/>
        </w:rPr>
        <w:t>)</w:t>
      </w:r>
    </w:p>
    <w:p w14:paraId="6F43F4B6" w14:textId="76BB3BB1" w:rsidR="00DE262E" w:rsidRPr="00362D29" w:rsidRDefault="00603FCA"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يركز هذا المعيار على النتائج الكمية والعملية التي تحققها المؤسسة مقارنة بأهدافها الاستراتيجية والتشغيلية، مثل مؤشرات الكفاءة، الإنتاجية، الجودة، الاستدامة المالية، وإدارة الموارد. كما يركز على الاتجاهات (</w:t>
      </w:r>
      <w:r w:rsidRPr="00362D29">
        <w:rPr>
          <w:rFonts w:ascii="Traditional Arabic" w:eastAsia="Aptos" w:hAnsi="Traditional Arabic" w:cs="Traditional Arabic"/>
          <w:kern w:val="2"/>
          <w:sz w:val="24"/>
          <w:szCs w:val="24"/>
          <w14:ligatures w14:val="standardContextual"/>
        </w:rPr>
        <w:t>Trends</w:t>
      </w:r>
      <w:r w:rsidRPr="00362D29">
        <w:rPr>
          <w:rFonts w:ascii="Traditional Arabic" w:eastAsia="Aptos" w:hAnsi="Traditional Arabic" w:cs="Traditional Arabic"/>
          <w:kern w:val="2"/>
          <w:sz w:val="24"/>
          <w:szCs w:val="24"/>
          <w:rtl/>
          <w14:ligatures w14:val="standardContextual"/>
        </w:rPr>
        <w:t>) والمقارنات (</w:t>
      </w:r>
      <w:r w:rsidRPr="00362D29">
        <w:rPr>
          <w:rFonts w:ascii="Traditional Arabic" w:eastAsia="Aptos" w:hAnsi="Traditional Arabic" w:cs="Traditional Arabic"/>
          <w:kern w:val="2"/>
          <w:sz w:val="24"/>
          <w:szCs w:val="24"/>
          <w14:ligatures w14:val="standardContextual"/>
        </w:rPr>
        <w:t>Benchmarks</w:t>
      </w:r>
      <w:r w:rsidRPr="00362D29">
        <w:rPr>
          <w:rFonts w:ascii="Traditional Arabic" w:eastAsia="Aptos" w:hAnsi="Traditional Arabic" w:cs="Traditional Arabic"/>
          <w:kern w:val="2"/>
          <w:sz w:val="24"/>
          <w:szCs w:val="24"/>
          <w:rtl/>
          <w14:ligatures w14:val="standardContextual"/>
        </w:rPr>
        <w:t>) ومدى اتساق النتائج عبر الزمن، بما يوضح قدرة المؤسسة على تحقيق أداء قوي ومستقر وليس نتائج متذبذبة</w:t>
      </w:r>
      <w:r w:rsidR="00CB09E0" w:rsidRPr="00362D29">
        <w:rPr>
          <w:rFonts w:ascii="Traditional Arabic" w:eastAsia="Aptos" w:hAnsi="Traditional Arabic" w:cs="Traditional Arabic"/>
          <w:kern w:val="2"/>
          <w:sz w:val="24"/>
          <w:szCs w:val="24"/>
          <w:rtl/>
          <w14:ligatures w14:val="standardContextual"/>
        </w:rPr>
        <w:t xml:space="preserve"> (</w:t>
      </w:r>
      <w:r w:rsidR="00CB09E0" w:rsidRPr="00362D29">
        <w:rPr>
          <w:rFonts w:ascii="Traditional Arabic" w:eastAsia="Aptos" w:hAnsi="Traditional Arabic" w:cs="Traditional Arabic"/>
          <w:kern w:val="2"/>
          <w:sz w:val="24"/>
          <w:szCs w:val="24"/>
          <w14:ligatures w14:val="standardContextual"/>
        </w:rPr>
        <w:t>EFQM, 2025</w:t>
      </w:r>
      <w:r w:rsidR="00CB09E0" w:rsidRPr="00362D29">
        <w:rPr>
          <w:rFonts w:ascii="Traditional Arabic" w:eastAsia="Aptos" w:hAnsi="Traditional Arabic" w:cs="Traditional Arabic"/>
          <w:kern w:val="2"/>
          <w:sz w:val="24"/>
          <w:szCs w:val="24"/>
          <w:rtl/>
          <w14:ligatures w14:val="standardContextual"/>
        </w:rPr>
        <w:t>).</w:t>
      </w:r>
    </w:p>
    <w:p w14:paraId="35C7386D" w14:textId="77EA36C4" w:rsidR="00DE262E" w:rsidRPr="00362D29" w:rsidRDefault="00DE262E" w:rsidP="00362D29">
      <w:pPr>
        <w:pStyle w:val="ab"/>
        <w:numPr>
          <w:ilvl w:val="0"/>
          <w:numId w:val="34"/>
        </w:numPr>
        <w:bidi/>
        <w:spacing w:before="0" w:after="160" w:line="360" w:lineRule="auto"/>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أداة التقييم في النموذج الأوربي للتميز المؤسسي</w:t>
      </w:r>
      <w:r w:rsidRPr="00362D29">
        <w:rPr>
          <w:rFonts w:ascii="Traditional Arabic" w:eastAsia="Aptos" w:hAnsi="Traditional Arabic" w:cs="Traditional Arabic"/>
          <w:b/>
          <w:bCs/>
          <w:kern w:val="2"/>
          <w:sz w:val="24"/>
          <w:szCs w:val="24"/>
          <w14:ligatures w14:val="standardContextual"/>
        </w:rPr>
        <w:t xml:space="preserve"> (RADAR) </w:t>
      </w:r>
    </w:p>
    <w:p w14:paraId="5C3601BC" w14:textId="2D776C02" w:rsidR="00DE262E" w:rsidRDefault="00DE262E" w:rsidP="00362D29">
      <w:pPr>
        <w:bidi/>
        <w:spacing w:before="0" w:after="160" w:line="360" w:lineRule="auto"/>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يعتمد</w:t>
      </w:r>
      <w:r w:rsidRPr="00362D29">
        <w:rPr>
          <w:rFonts w:ascii="Traditional Arabic" w:eastAsia="Aptos" w:hAnsi="Traditional Arabic" w:cs="Traditional Arabic"/>
          <w:kern w:val="2"/>
          <w:sz w:val="24"/>
          <w:szCs w:val="24"/>
          <w14:ligatures w14:val="standardContextual"/>
        </w:rPr>
        <w:t xml:space="preserve"> EFQM </w:t>
      </w:r>
      <w:r w:rsidRPr="00362D29">
        <w:rPr>
          <w:rFonts w:ascii="Traditional Arabic" w:eastAsia="Aptos" w:hAnsi="Traditional Arabic" w:cs="Traditional Arabic"/>
          <w:kern w:val="2"/>
          <w:sz w:val="24"/>
          <w:szCs w:val="24"/>
          <w:rtl/>
          <w14:ligatures w14:val="standardContextual"/>
        </w:rPr>
        <w:t>على أداة تشخيص/تقييم مركزية تُسمى</w:t>
      </w:r>
      <w:r w:rsidRPr="00362D29">
        <w:rPr>
          <w:rFonts w:ascii="Traditional Arabic" w:eastAsia="Aptos" w:hAnsi="Traditional Arabic" w:cs="Traditional Arabic"/>
          <w:kern w:val="2"/>
          <w:sz w:val="24"/>
          <w:szCs w:val="24"/>
          <w14:ligatures w14:val="standardContextual"/>
        </w:rPr>
        <w:t xml:space="preserve"> RADAR </w:t>
      </w:r>
      <w:r w:rsidRPr="00362D29">
        <w:rPr>
          <w:rFonts w:ascii="Traditional Arabic" w:eastAsia="Aptos" w:hAnsi="Traditional Arabic" w:cs="Traditional Arabic"/>
          <w:kern w:val="2"/>
          <w:sz w:val="24"/>
          <w:szCs w:val="24"/>
          <w:rtl/>
          <w14:ligatures w14:val="standardContextual"/>
        </w:rPr>
        <w:t>تُستخدم لتقييم “التوجه والتنفيذ” وكذلك “النتائج”، بما يضمن أن التقييم لا يقتصر على وجود ممارسات مكتوبة، بل يمتد إلى جودة تطبيقها واتساقها ونتائجها (</w:t>
      </w:r>
      <w:r w:rsidRPr="00362D29">
        <w:rPr>
          <w:rFonts w:ascii="Traditional Arabic" w:eastAsia="Aptos" w:hAnsi="Traditional Arabic" w:cs="Traditional Arabic"/>
          <w:kern w:val="2"/>
          <w:sz w:val="24"/>
          <w:szCs w:val="24"/>
          <w14:ligatures w14:val="standardContextual"/>
        </w:rPr>
        <w:t>EFQM, 2025</w:t>
      </w:r>
      <w:r w:rsidRPr="00362D29">
        <w:rPr>
          <w:rFonts w:ascii="Traditional Arabic" w:eastAsia="Aptos" w:hAnsi="Traditional Arabic" w:cs="Traditional Arabic"/>
          <w:kern w:val="2"/>
          <w:sz w:val="24"/>
          <w:szCs w:val="24"/>
          <w:rtl/>
          <w14:ligatures w14:val="standardContextual"/>
        </w:rPr>
        <w:t>).</w:t>
      </w:r>
    </w:p>
    <w:p w14:paraId="1FB84408" w14:textId="77777777" w:rsidR="00216C7C" w:rsidRDefault="00216C7C" w:rsidP="00216C7C">
      <w:pPr>
        <w:bidi/>
        <w:spacing w:before="0" w:after="160" w:line="360" w:lineRule="auto"/>
        <w:rPr>
          <w:rFonts w:ascii="Traditional Arabic" w:eastAsia="Aptos" w:hAnsi="Traditional Arabic" w:cs="Traditional Arabic"/>
          <w:kern w:val="2"/>
          <w:sz w:val="24"/>
          <w:szCs w:val="24"/>
          <w:rtl/>
          <w14:ligatures w14:val="standardContextual"/>
        </w:rPr>
      </w:pPr>
    </w:p>
    <w:p w14:paraId="2D97CE7D" w14:textId="77777777" w:rsidR="00216C7C" w:rsidRPr="00362D29" w:rsidRDefault="00216C7C" w:rsidP="00216C7C">
      <w:pPr>
        <w:bidi/>
        <w:spacing w:before="0" w:after="160" w:line="360" w:lineRule="auto"/>
        <w:rPr>
          <w:rFonts w:ascii="Traditional Arabic" w:eastAsia="Aptos" w:hAnsi="Traditional Arabic" w:cs="Traditional Arabic"/>
          <w:kern w:val="2"/>
          <w:sz w:val="24"/>
          <w:szCs w:val="24"/>
          <w:rtl/>
          <w14:ligatures w14:val="standardContextual"/>
        </w:rPr>
      </w:pPr>
    </w:p>
    <w:p w14:paraId="1895D2A0" w14:textId="066177D7" w:rsidR="00DE262E" w:rsidRPr="00362D29" w:rsidRDefault="00DE262E" w:rsidP="00362D29">
      <w:pPr>
        <w:pStyle w:val="ab"/>
        <w:numPr>
          <w:ilvl w:val="0"/>
          <w:numId w:val="35"/>
        </w:numPr>
        <w:bidi/>
        <w:spacing w:before="0" w:after="160" w:line="360" w:lineRule="auto"/>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lastRenderedPageBreak/>
        <w:t>مكوّنات</w:t>
      </w:r>
      <w:r w:rsidRPr="00362D29">
        <w:rPr>
          <w:rFonts w:ascii="Traditional Arabic" w:eastAsia="Aptos" w:hAnsi="Traditional Arabic" w:cs="Traditional Arabic"/>
          <w:b/>
          <w:bCs/>
          <w:kern w:val="2"/>
          <w:sz w:val="24"/>
          <w:szCs w:val="24"/>
          <w14:ligatures w14:val="standardContextual"/>
        </w:rPr>
        <w:t xml:space="preserve"> RADAR </w:t>
      </w:r>
      <w:r w:rsidRPr="00362D29">
        <w:rPr>
          <w:rFonts w:ascii="Traditional Arabic" w:eastAsia="Aptos" w:hAnsi="Traditional Arabic" w:cs="Traditional Arabic"/>
          <w:b/>
          <w:bCs/>
          <w:kern w:val="2"/>
          <w:sz w:val="24"/>
          <w:szCs w:val="24"/>
          <w:rtl/>
          <w14:ligatures w14:val="standardContextual"/>
        </w:rPr>
        <w:t>لتقييم “التوجه والتنفيذ</w:t>
      </w:r>
      <w:r w:rsidRPr="00362D29">
        <w:rPr>
          <w:rFonts w:ascii="Traditional Arabic" w:eastAsia="Aptos" w:hAnsi="Traditional Arabic" w:cs="Traditional Arabic"/>
          <w:b/>
          <w:bCs/>
          <w:kern w:val="2"/>
          <w:sz w:val="24"/>
          <w:szCs w:val="24"/>
          <w14:ligatures w14:val="standardContextual"/>
        </w:rPr>
        <w:t>”</w:t>
      </w:r>
    </w:p>
    <w:p w14:paraId="01BC5604" w14:textId="66FA137A" w:rsidR="00DE262E" w:rsidRPr="00362D29" w:rsidRDefault="00DE262E" w:rsidP="00362D29">
      <w:pPr>
        <w:bidi/>
        <w:spacing w:before="0" w:after="160" w:line="360" w:lineRule="auto"/>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يُظهر الدليل </w:t>
      </w:r>
      <w:r w:rsidR="00FE3065" w:rsidRPr="00362D29">
        <w:rPr>
          <w:rFonts w:ascii="Traditional Arabic" w:eastAsia="Aptos" w:hAnsi="Traditional Arabic" w:cs="Traditional Arabic"/>
          <w:b/>
          <w:bCs/>
          <w:kern w:val="2"/>
          <w:sz w:val="24"/>
          <w:szCs w:val="24"/>
          <w:rtl/>
          <w14:ligatures w14:val="standardContextual"/>
        </w:rPr>
        <w:t>(</w:t>
      </w:r>
      <w:r w:rsidR="00FE3065" w:rsidRPr="00362D29">
        <w:rPr>
          <w:rFonts w:ascii="Traditional Arabic" w:eastAsia="Aptos" w:hAnsi="Traditional Arabic" w:cs="Traditional Arabic"/>
          <w:b/>
          <w:bCs/>
          <w:kern w:val="2"/>
          <w:sz w:val="24"/>
          <w:szCs w:val="24"/>
          <w14:ligatures w14:val="standardContextual"/>
        </w:rPr>
        <w:t>EFQM, 2025</w:t>
      </w:r>
      <w:r w:rsidR="00FE3065" w:rsidRPr="00362D29">
        <w:rPr>
          <w:rFonts w:ascii="Traditional Arabic" w:eastAsia="Aptos" w:hAnsi="Traditional Arabic" w:cs="Traditional Arabic"/>
          <w:b/>
          <w:bCs/>
          <w:kern w:val="2"/>
          <w:sz w:val="24"/>
          <w:szCs w:val="24"/>
          <w:rtl/>
          <w14:ligatures w14:val="standardContextual"/>
        </w:rPr>
        <w:t xml:space="preserve">) </w:t>
      </w:r>
      <w:r w:rsidRPr="00362D29">
        <w:rPr>
          <w:rFonts w:ascii="Traditional Arabic" w:eastAsia="Aptos" w:hAnsi="Traditional Arabic" w:cs="Traditional Arabic"/>
          <w:b/>
          <w:bCs/>
          <w:kern w:val="2"/>
          <w:sz w:val="24"/>
          <w:szCs w:val="24"/>
          <w:rtl/>
          <w14:ligatures w14:val="standardContextual"/>
        </w:rPr>
        <w:t>أن</w:t>
      </w:r>
      <w:r w:rsidRPr="00362D29">
        <w:rPr>
          <w:rFonts w:ascii="Traditional Arabic" w:eastAsia="Aptos" w:hAnsi="Traditional Arabic" w:cs="Traditional Arabic"/>
          <w:b/>
          <w:bCs/>
          <w:kern w:val="2"/>
          <w:sz w:val="24"/>
          <w:szCs w:val="24"/>
          <w14:ligatures w14:val="standardContextual"/>
        </w:rPr>
        <w:t xml:space="preserve"> RADAR </w:t>
      </w:r>
      <w:r w:rsidRPr="00362D29">
        <w:rPr>
          <w:rFonts w:ascii="Traditional Arabic" w:eastAsia="Aptos" w:hAnsi="Traditional Arabic" w:cs="Traditional Arabic"/>
          <w:b/>
          <w:bCs/>
          <w:kern w:val="2"/>
          <w:sz w:val="24"/>
          <w:szCs w:val="24"/>
          <w:rtl/>
          <w14:ligatures w14:val="standardContextual"/>
        </w:rPr>
        <w:t>يقيس التوجه والتنفيذ عبر عناصر مترابطة، أبرزها</w:t>
      </w:r>
      <w:r w:rsidRPr="00362D29">
        <w:rPr>
          <w:rFonts w:ascii="Traditional Arabic" w:eastAsia="Aptos" w:hAnsi="Traditional Arabic" w:cs="Traditional Arabic"/>
          <w:b/>
          <w:bCs/>
          <w:kern w:val="2"/>
          <w:sz w:val="24"/>
          <w:szCs w:val="24"/>
          <w14:ligatures w14:val="standardContextual"/>
        </w:rPr>
        <w:t>:</w:t>
      </w:r>
    </w:p>
    <w:p w14:paraId="7BB3123C" w14:textId="1D91ABCE" w:rsidR="00DE262E" w:rsidRPr="00362D29" w:rsidRDefault="00DE262E" w:rsidP="00362D29">
      <w:pPr>
        <w:pStyle w:val="ab"/>
        <w:numPr>
          <w:ilvl w:val="0"/>
          <w:numId w:val="36"/>
        </w:numPr>
        <w:bidi/>
        <w:spacing w:before="0" w:after="160" w:line="360" w:lineRule="auto"/>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المنهج</w:t>
      </w:r>
      <w:r w:rsidR="00FE3065" w:rsidRPr="00362D29">
        <w:rPr>
          <w:rFonts w:ascii="Traditional Arabic" w:eastAsia="Aptos" w:hAnsi="Traditional Arabic" w:cs="Traditional Arabic"/>
          <w:kern w:val="2"/>
          <w:sz w:val="24"/>
          <w:szCs w:val="24"/>
          <w14:ligatures w14:val="standardContextual"/>
        </w:rPr>
        <w:t>:</w:t>
      </w:r>
      <w:r w:rsidRPr="00362D29">
        <w:rPr>
          <w:rFonts w:ascii="Traditional Arabic" w:eastAsia="Aptos" w:hAnsi="Traditional Arabic" w:cs="Traditional Arabic"/>
          <w:kern w:val="2"/>
          <w:sz w:val="24"/>
          <w:szCs w:val="24"/>
          <w14:ligatures w14:val="standardContextual"/>
        </w:rPr>
        <w:t xml:space="preserve"> (Approach) </w:t>
      </w:r>
      <w:r w:rsidRPr="00362D29">
        <w:rPr>
          <w:rFonts w:ascii="Traditional Arabic" w:eastAsia="Aptos" w:hAnsi="Traditional Arabic" w:cs="Traditional Arabic"/>
          <w:kern w:val="2"/>
          <w:sz w:val="24"/>
          <w:szCs w:val="24"/>
          <w:rtl/>
          <w14:ligatures w14:val="standardContextual"/>
        </w:rPr>
        <w:t>وجود نهج منطقي واضح يستجيب لاحتياجات المعنيين ويستشرف المتطلبات المستقبلية</w:t>
      </w:r>
      <w:r w:rsidRPr="00362D29">
        <w:rPr>
          <w:rFonts w:ascii="Traditional Arabic" w:eastAsia="Aptos" w:hAnsi="Traditional Arabic" w:cs="Traditional Arabic"/>
          <w:kern w:val="2"/>
          <w:sz w:val="24"/>
          <w:szCs w:val="24"/>
          <w14:ligatures w14:val="standardContextual"/>
        </w:rPr>
        <w:t>.</w:t>
      </w:r>
    </w:p>
    <w:p w14:paraId="75EF2D32" w14:textId="4CFCF048" w:rsidR="00DE262E" w:rsidRPr="00362D29" w:rsidRDefault="00DE262E" w:rsidP="00362D29">
      <w:pPr>
        <w:pStyle w:val="ab"/>
        <w:numPr>
          <w:ilvl w:val="0"/>
          <w:numId w:val="36"/>
        </w:numPr>
        <w:bidi/>
        <w:spacing w:before="0" w:after="160" w:line="360" w:lineRule="auto"/>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التطبيق/التنفيذ</w:t>
      </w:r>
      <w:r w:rsidR="00FE3065" w:rsidRPr="00362D29">
        <w:rPr>
          <w:rFonts w:ascii="Traditional Arabic" w:eastAsia="Aptos" w:hAnsi="Traditional Arabic" w:cs="Traditional Arabic"/>
          <w:kern w:val="2"/>
          <w:sz w:val="24"/>
          <w:szCs w:val="24"/>
          <w14:ligatures w14:val="standardContextual"/>
        </w:rPr>
        <w:t>:</w:t>
      </w:r>
      <w:r w:rsidRPr="00362D29">
        <w:rPr>
          <w:rFonts w:ascii="Traditional Arabic" w:eastAsia="Aptos" w:hAnsi="Traditional Arabic" w:cs="Traditional Arabic"/>
          <w:kern w:val="2"/>
          <w:sz w:val="24"/>
          <w:szCs w:val="24"/>
          <w14:ligatures w14:val="standardContextual"/>
        </w:rPr>
        <w:t xml:space="preserve"> (Deployment) </w:t>
      </w:r>
      <w:r w:rsidRPr="00362D29">
        <w:rPr>
          <w:rFonts w:ascii="Traditional Arabic" w:eastAsia="Aptos" w:hAnsi="Traditional Arabic" w:cs="Traditional Arabic"/>
          <w:kern w:val="2"/>
          <w:sz w:val="24"/>
          <w:szCs w:val="24"/>
          <w:rtl/>
          <w14:ligatures w14:val="standardContextual"/>
        </w:rPr>
        <w:t>تطبيق النهج بشكل مناسب ومستمر وفي النواحي ذات الصلة</w:t>
      </w:r>
      <w:r w:rsidRPr="00362D29">
        <w:rPr>
          <w:rFonts w:ascii="Traditional Arabic" w:eastAsia="Aptos" w:hAnsi="Traditional Arabic" w:cs="Traditional Arabic"/>
          <w:kern w:val="2"/>
          <w:sz w:val="24"/>
          <w:szCs w:val="24"/>
          <w14:ligatures w14:val="standardContextual"/>
        </w:rPr>
        <w:t>.</w:t>
      </w:r>
    </w:p>
    <w:p w14:paraId="3D779522" w14:textId="342E3609" w:rsidR="00DE262E" w:rsidRPr="00362D29" w:rsidRDefault="00DE262E" w:rsidP="00362D29">
      <w:pPr>
        <w:pStyle w:val="ab"/>
        <w:numPr>
          <w:ilvl w:val="0"/>
          <w:numId w:val="36"/>
        </w:numPr>
        <w:bidi/>
        <w:spacing w:before="0" w:after="160" w:line="360" w:lineRule="auto"/>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المرونة</w:t>
      </w:r>
      <w:r w:rsidR="00FE3065" w:rsidRPr="00362D29">
        <w:rPr>
          <w:rFonts w:ascii="Traditional Arabic" w:eastAsia="Aptos" w:hAnsi="Traditional Arabic" w:cs="Traditional Arabic"/>
          <w:kern w:val="2"/>
          <w:sz w:val="24"/>
          <w:szCs w:val="24"/>
          <w14:ligatures w14:val="standardContextual"/>
        </w:rPr>
        <w:t>:</w:t>
      </w:r>
      <w:r w:rsidRPr="00362D29">
        <w:rPr>
          <w:rFonts w:ascii="Traditional Arabic" w:eastAsia="Aptos" w:hAnsi="Traditional Arabic" w:cs="Traditional Arabic"/>
          <w:kern w:val="2"/>
          <w:sz w:val="24"/>
          <w:szCs w:val="24"/>
          <w14:ligatures w14:val="standardContextual"/>
        </w:rPr>
        <w:t xml:space="preserve"> (Agility/Flexibility) </w:t>
      </w:r>
      <w:r w:rsidRPr="00362D29">
        <w:rPr>
          <w:rFonts w:ascii="Traditional Arabic" w:eastAsia="Aptos" w:hAnsi="Traditional Arabic" w:cs="Traditional Arabic"/>
          <w:kern w:val="2"/>
          <w:sz w:val="24"/>
          <w:szCs w:val="24"/>
          <w:rtl/>
          <w14:ligatures w14:val="standardContextual"/>
        </w:rPr>
        <w:t>قابلية التكيف مع المتغيرات</w:t>
      </w:r>
      <w:r w:rsidRPr="00362D29">
        <w:rPr>
          <w:rFonts w:ascii="Traditional Arabic" w:eastAsia="Aptos" w:hAnsi="Traditional Arabic" w:cs="Traditional Arabic"/>
          <w:kern w:val="2"/>
          <w:sz w:val="24"/>
          <w:szCs w:val="24"/>
          <w14:ligatures w14:val="standardContextual"/>
        </w:rPr>
        <w:t>.</w:t>
      </w:r>
    </w:p>
    <w:p w14:paraId="6962E0A4" w14:textId="0AD20570" w:rsidR="007B0D2B" w:rsidRPr="00362D29" w:rsidRDefault="00DE262E" w:rsidP="00362D29">
      <w:pPr>
        <w:pStyle w:val="ab"/>
        <w:numPr>
          <w:ilvl w:val="0"/>
          <w:numId w:val="36"/>
        </w:num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التقويم والتحسين (</w:t>
      </w:r>
      <w:r w:rsidRPr="00362D29">
        <w:rPr>
          <w:rFonts w:ascii="Traditional Arabic" w:eastAsia="Aptos" w:hAnsi="Traditional Arabic" w:cs="Traditional Arabic"/>
          <w:kern w:val="2"/>
          <w:sz w:val="24"/>
          <w:szCs w:val="24"/>
          <w14:ligatures w14:val="standardContextual"/>
        </w:rPr>
        <w:t>Assessment &amp; Refinement</w:t>
      </w:r>
      <w:r w:rsidRPr="00362D29">
        <w:rPr>
          <w:rFonts w:ascii="Traditional Arabic" w:eastAsia="Aptos" w:hAnsi="Traditional Arabic" w:cs="Traditional Arabic"/>
          <w:kern w:val="2"/>
          <w:sz w:val="24"/>
          <w:szCs w:val="24"/>
          <w:rtl/>
          <w14:ligatures w14:val="standardContextual"/>
        </w:rPr>
        <w:t>): جمع التغذية الراجعة الداخلية والخارجية وفهمها وتحويلها إلى تعلم وتحسين ونشر للممارسات المحسنة</w:t>
      </w:r>
      <w:r w:rsidR="00FE3065" w:rsidRPr="00362D29">
        <w:rPr>
          <w:rFonts w:ascii="Traditional Arabic" w:eastAsia="Aptos" w:hAnsi="Traditional Arabic" w:cs="Traditional Arabic"/>
          <w:kern w:val="2"/>
          <w:sz w:val="24"/>
          <w:szCs w:val="24"/>
          <w:rtl/>
          <w14:ligatures w14:val="standardContextual"/>
        </w:rPr>
        <w:t>.</w:t>
      </w:r>
    </w:p>
    <w:p w14:paraId="5E213ED9" w14:textId="326F0D6D" w:rsidR="00974166" w:rsidRPr="00362D29" w:rsidRDefault="0066559F" w:rsidP="00362D29">
      <w:pPr>
        <w:bidi/>
        <w:spacing w:after="200" w:line="360" w:lineRule="auto"/>
        <w:rPr>
          <w:rFonts w:ascii="Traditional Arabic" w:eastAsia="Calibri" w:hAnsi="Traditional Arabic" w:cs="Traditional Arabic"/>
          <w:b/>
          <w:bCs/>
          <w:color w:val="0070C0"/>
          <w:sz w:val="32"/>
          <w:szCs w:val="32"/>
        </w:rPr>
      </w:pPr>
      <w:r w:rsidRPr="00362D29">
        <w:rPr>
          <w:rFonts w:ascii="Traditional Arabic" w:eastAsia="Calibri" w:hAnsi="Traditional Arabic" w:cs="Traditional Arabic"/>
          <w:b/>
          <w:bCs/>
          <w:color w:val="0070C0"/>
          <w:sz w:val="32"/>
          <w:szCs w:val="32"/>
          <w:rtl/>
        </w:rPr>
        <w:t xml:space="preserve">ثانياً : </w:t>
      </w:r>
      <w:r w:rsidR="00974166" w:rsidRPr="00362D29">
        <w:rPr>
          <w:rFonts w:ascii="Traditional Arabic" w:eastAsia="Calibri" w:hAnsi="Traditional Arabic" w:cs="Traditional Arabic"/>
          <w:b/>
          <w:bCs/>
          <w:color w:val="0070C0"/>
          <w:sz w:val="32"/>
          <w:szCs w:val="32"/>
          <w:rtl/>
        </w:rPr>
        <w:t>النموذج الأمريكي للتميز (</w:t>
      </w:r>
      <w:r w:rsidR="00974166" w:rsidRPr="00362D29">
        <w:rPr>
          <w:rFonts w:ascii="Traditional Arabic" w:eastAsia="Calibri" w:hAnsi="Traditional Arabic" w:cs="Traditional Arabic"/>
          <w:b/>
          <w:bCs/>
          <w:color w:val="0070C0"/>
          <w:sz w:val="32"/>
          <w:szCs w:val="32"/>
        </w:rPr>
        <w:t>Baldrige</w:t>
      </w:r>
      <w:r w:rsidR="00974166" w:rsidRPr="00362D29">
        <w:rPr>
          <w:rFonts w:ascii="Traditional Arabic" w:eastAsia="Calibri" w:hAnsi="Traditional Arabic" w:cs="Traditional Arabic"/>
          <w:b/>
          <w:bCs/>
          <w:color w:val="0070C0"/>
          <w:sz w:val="32"/>
          <w:szCs w:val="32"/>
          <w:rtl/>
        </w:rPr>
        <w:t xml:space="preserve">) </w:t>
      </w:r>
    </w:p>
    <w:p w14:paraId="3C74FEAC" w14:textId="66B37C11" w:rsidR="00974166" w:rsidRPr="00362D29" w:rsidRDefault="00974166" w:rsidP="00362D29">
      <w:pPr>
        <w:pStyle w:val="ab"/>
        <w:numPr>
          <w:ilvl w:val="0"/>
          <w:numId w:val="34"/>
        </w:numPr>
        <w:bidi/>
        <w:spacing w:after="0" w:line="360" w:lineRule="auto"/>
        <w:jc w:val="both"/>
        <w:rPr>
          <w:rFonts w:ascii="Traditional Arabic" w:eastAsia="Times New Roman" w:hAnsi="Traditional Arabic" w:cs="Traditional Arabic"/>
          <w:b/>
          <w:bCs/>
          <w:sz w:val="24"/>
          <w:szCs w:val="24"/>
          <w:rtl/>
        </w:rPr>
      </w:pPr>
      <w:r w:rsidRPr="00362D29">
        <w:rPr>
          <w:rFonts w:ascii="Traditional Arabic" w:eastAsia="Times New Roman" w:hAnsi="Traditional Arabic" w:cs="Traditional Arabic"/>
          <w:b/>
          <w:bCs/>
          <w:sz w:val="24"/>
          <w:szCs w:val="24"/>
          <w:rtl/>
        </w:rPr>
        <w:t>التعريف والمفهوم</w:t>
      </w:r>
    </w:p>
    <w:p w14:paraId="6F5ADF47" w14:textId="7E7FC4BD" w:rsidR="00974166" w:rsidRPr="00362D29" w:rsidRDefault="007679DA" w:rsidP="00362D29">
      <w:pPr>
        <w:bidi/>
        <w:spacing w:after="0" w:line="360" w:lineRule="auto"/>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يُعد نموذج بالدريج للتميز (</w:t>
      </w:r>
      <w:r w:rsidRPr="00362D29">
        <w:rPr>
          <w:rFonts w:ascii="Traditional Arabic" w:eastAsia="Times New Roman" w:hAnsi="Traditional Arabic" w:cs="Traditional Arabic"/>
          <w:sz w:val="24"/>
          <w:szCs w:val="24"/>
        </w:rPr>
        <w:t>Baldrige Excellence Framework</w:t>
      </w:r>
      <w:r w:rsidRPr="00362D29">
        <w:rPr>
          <w:rFonts w:ascii="Traditional Arabic" w:eastAsia="Times New Roman" w:hAnsi="Traditional Arabic" w:cs="Traditional Arabic"/>
          <w:sz w:val="24"/>
          <w:szCs w:val="24"/>
          <w:rtl/>
        </w:rPr>
        <w:t>) الإطار الاستراتيجي الشامل المعتمد في الولايات المتحدة الأمريكية لتحسين الأداء المؤسسي. وقد تأسس هذا النموذج بموجب قانون الكونجرس الأمريكي في عام 1987، ويديره المعهد الوطني للمعايير والتقنية (</w:t>
      </w:r>
      <w:r w:rsidRPr="00362D29">
        <w:rPr>
          <w:rFonts w:ascii="Traditional Arabic" w:eastAsia="Times New Roman" w:hAnsi="Traditional Arabic" w:cs="Traditional Arabic"/>
          <w:sz w:val="24"/>
          <w:szCs w:val="24"/>
        </w:rPr>
        <w:t>NIST</w:t>
      </w:r>
      <w:r w:rsidRPr="00362D29">
        <w:rPr>
          <w:rFonts w:ascii="Traditional Arabic" w:eastAsia="Times New Roman" w:hAnsi="Traditional Arabic" w:cs="Traditional Arabic"/>
          <w:sz w:val="24"/>
          <w:szCs w:val="24"/>
          <w:rtl/>
        </w:rPr>
        <w:t>) التابع لوزارة التجارة الأمريكية (</w:t>
      </w:r>
      <w:r w:rsidRPr="00362D29">
        <w:rPr>
          <w:rFonts w:ascii="Traditional Arabic" w:eastAsia="Times New Roman" w:hAnsi="Traditional Arabic" w:cs="Traditional Arabic"/>
          <w:sz w:val="24"/>
          <w:szCs w:val="24"/>
        </w:rPr>
        <w:t>NIST, 2024</w:t>
      </w:r>
      <w:r w:rsidRPr="00362D29">
        <w:rPr>
          <w:rFonts w:ascii="Traditional Arabic" w:eastAsia="Times New Roman" w:hAnsi="Traditional Arabic" w:cs="Traditional Arabic"/>
          <w:sz w:val="24"/>
          <w:szCs w:val="24"/>
          <w:rtl/>
        </w:rPr>
        <w:t>). ويهدف النموذج إلى تعزيز القدرة التنافسية والابتكار وتحقيق نتائج مستدامة</w:t>
      </w:r>
      <w:r w:rsidR="00101D80" w:rsidRPr="00362D29">
        <w:rPr>
          <w:rFonts w:ascii="Traditional Arabic" w:eastAsia="Times New Roman" w:hAnsi="Traditional Arabic" w:cs="Traditional Arabic"/>
          <w:sz w:val="24"/>
          <w:szCs w:val="24"/>
          <w:rtl/>
        </w:rPr>
        <w:t xml:space="preserve"> </w:t>
      </w:r>
      <w:r w:rsidR="00974166" w:rsidRPr="00362D29">
        <w:rPr>
          <w:rFonts w:ascii="Traditional Arabic" w:eastAsia="Times New Roman" w:hAnsi="Traditional Arabic" w:cs="Traditional Arabic"/>
          <w:sz w:val="24"/>
          <w:szCs w:val="24"/>
          <w:rtl/>
        </w:rPr>
        <w:t>(سليمان وشاهين، 2024).</w:t>
      </w:r>
    </w:p>
    <w:p w14:paraId="21E63FEF" w14:textId="77777777" w:rsidR="00275233" w:rsidRPr="00362D29" w:rsidRDefault="00974166" w:rsidP="00362D29">
      <w:pPr>
        <w:bidi/>
        <w:spacing w:after="0" w:line="360" w:lineRule="auto"/>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ويقوم المفهوم الجوهري لنموذج بالدريج على فلسفة "النظام المتكامل"، حيث يتم النظر إلى المؤسسة ككيان واحد تترابط أجزاؤه لتحقيق القيمة. وتؤكد دراسة (</w:t>
      </w:r>
      <w:r w:rsidRPr="00362D29">
        <w:rPr>
          <w:rFonts w:ascii="Traditional Arabic" w:eastAsia="Times New Roman" w:hAnsi="Traditional Arabic" w:cs="Traditional Arabic"/>
          <w:sz w:val="24"/>
          <w:szCs w:val="24"/>
        </w:rPr>
        <w:t>Alanazi, 2017</w:t>
      </w:r>
      <w:r w:rsidRPr="00362D29">
        <w:rPr>
          <w:rFonts w:ascii="Traditional Arabic" w:eastAsia="Times New Roman" w:hAnsi="Traditional Arabic" w:cs="Traditional Arabic"/>
          <w:sz w:val="24"/>
          <w:szCs w:val="24"/>
          <w:rtl/>
        </w:rPr>
        <w:t>) أن هذا النموذج يعد أحد الأطر المرجعية العالمية التي ألهمت العديد من النماذج الوطنية الأخرى، مع ضرورة تكييفه مع الخصوصية الثقافية لكل دولة</w:t>
      </w:r>
    </w:p>
    <w:p w14:paraId="5950C951" w14:textId="008C5003" w:rsidR="00974166" w:rsidRPr="00362D29" w:rsidRDefault="00974166" w:rsidP="00362D29">
      <w:pPr>
        <w:pStyle w:val="ab"/>
        <w:numPr>
          <w:ilvl w:val="0"/>
          <w:numId w:val="34"/>
        </w:numPr>
        <w:bidi/>
        <w:spacing w:after="0" w:line="360" w:lineRule="auto"/>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24"/>
          <w:szCs w:val="24"/>
          <w:rtl/>
        </w:rPr>
        <w:t>المكونات والهيكل</w:t>
      </w:r>
    </w:p>
    <w:p w14:paraId="0B48202A" w14:textId="77777777" w:rsidR="00974166" w:rsidRPr="00362D29" w:rsidRDefault="00974166" w:rsidP="00362D29">
      <w:pPr>
        <w:bidi/>
        <w:spacing w:after="0" w:line="360" w:lineRule="auto"/>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يتكون هيكل نموذج بالدريج من سبع فئات مترابطة تشكل نظاماً إدارياً متكاملاً، وتتمثل في:</w:t>
      </w:r>
    </w:p>
    <w:p w14:paraId="6906A8C6" w14:textId="77777777" w:rsidR="00974166" w:rsidRPr="00362D29" w:rsidRDefault="00974166" w:rsidP="00362D29">
      <w:pPr>
        <w:bidi/>
        <w:spacing w:after="0" w:line="360" w:lineRule="auto"/>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24"/>
          <w:szCs w:val="24"/>
          <w:rtl/>
        </w:rPr>
        <w:t>1.القيادة (</w:t>
      </w:r>
      <w:r w:rsidRPr="00362D29">
        <w:rPr>
          <w:rFonts w:ascii="Traditional Arabic" w:eastAsia="Times New Roman" w:hAnsi="Traditional Arabic" w:cs="Traditional Arabic"/>
          <w:b/>
          <w:bCs/>
          <w:sz w:val="24"/>
          <w:szCs w:val="24"/>
        </w:rPr>
        <w:t>Leadership</w:t>
      </w:r>
      <w:r w:rsidRPr="00362D29">
        <w:rPr>
          <w:rFonts w:ascii="Traditional Arabic" w:eastAsia="Times New Roman" w:hAnsi="Traditional Arabic" w:cs="Traditional Arabic"/>
          <w:b/>
          <w:bCs/>
          <w:sz w:val="24"/>
          <w:szCs w:val="24"/>
          <w:rtl/>
        </w:rPr>
        <w:t>):</w:t>
      </w:r>
      <w:r w:rsidRPr="00362D29">
        <w:rPr>
          <w:rFonts w:ascii="Traditional Arabic" w:eastAsia="Times New Roman" w:hAnsi="Traditional Arabic" w:cs="Traditional Arabic"/>
          <w:sz w:val="24"/>
          <w:szCs w:val="24"/>
          <w:rtl/>
        </w:rPr>
        <w:t xml:space="preserve"> تركز على كيفية قيادة الإدارة العليا للمؤسسة، وهو ما يدعمه (البلوي وإسماعيل، 2025) بتأكيدهم أن التزام الإدارة العليا هو العامل الحاسم في تحقيق التميز المؤسسي المستدام.</w:t>
      </w:r>
    </w:p>
    <w:p w14:paraId="3F8592A4" w14:textId="77777777" w:rsidR="00974166" w:rsidRPr="00362D29" w:rsidRDefault="00974166" w:rsidP="00362D29">
      <w:pPr>
        <w:bidi/>
        <w:spacing w:after="0" w:line="360" w:lineRule="auto"/>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24"/>
          <w:szCs w:val="24"/>
          <w:rtl/>
        </w:rPr>
        <w:t>2.الاستراتيجية (</w:t>
      </w:r>
      <w:r w:rsidRPr="00362D29">
        <w:rPr>
          <w:rFonts w:ascii="Traditional Arabic" w:eastAsia="Times New Roman" w:hAnsi="Traditional Arabic" w:cs="Traditional Arabic"/>
          <w:b/>
          <w:bCs/>
          <w:sz w:val="24"/>
          <w:szCs w:val="24"/>
        </w:rPr>
        <w:t>Strategy</w:t>
      </w:r>
      <w:r w:rsidRPr="00362D29">
        <w:rPr>
          <w:rFonts w:ascii="Traditional Arabic" w:eastAsia="Times New Roman" w:hAnsi="Traditional Arabic" w:cs="Traditional Arabic"/>
          <w:b/>
          <w:bCs/>
          <w:sz w:val="24"/>
          <w:szCs w:val="24"/>
          <w:rtl/>
        </w:rPr>
        <w:t xml:space="preserve">): </w:t>
      </w:r>
      <w:r w:rsidRPr="00362D29">
        <w:rPr>
          <w:rFonts w:ascii="Traditional Arabic" w:eastAsia="Times New Roman" w:hAnsi="Traditional Arabic" w:cs="Traditional Arabic"/>
          <w:sz w:val="24"/>
          <w:szCs w:val="24"/>
          <w:rtl/>
        </w:rPr>
        <w:t>تهتم بكيفية وضع الأهداف الاستراتيجية، حيث أشار (الغامدي، 2024) إلى أن الإدارة الاستراتيجية الإبداعية ترتبط طردياً بتميز المستشفيات.</w:t>
      </w:r>
    </w:p>
    <w:p w14:paraId="025767D6" w14:textId="77777777" w:rsidR="00974166" w:rsidRPr="00362D29" w:rsidRDefault="00974166" w:rsidP="00362D29">
      <w:pPr>
        <w:bidi/>
        <w:spacing w:after="0" w:line="360" w:lineRule="auto"/>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24"/>
          <w:szCs w:val="24"/>
          <w:rtl/>
        </w:rPr>
        <w:lastRenderedPageBreak/>
        <w:t>3.المستفيدون (</w:t>
      </w:r>
      <w:r w:rsidRPr="00362D29">
        <w:rPr>
          <w:rFonts w:ascii="Traditional Arabic" w:eastAsia="Times New Roman" w:hAnsi="Traditional Arabic" w:cs="Traditional Arabic"/>
          <w:b/>
          <w:bCs/>
          <w:sz w:val="24"/>
          <w:szCs w:val="24"/>
        </w:rPr>
        <w:t>Customers/Patients</w:t>
      </w:r>
      <w:r w:rsidRPr="00362D29">
        <w:rPr>
          <w:rFonts w:ascii="Traditional Arabic" w:eastAsia="Times New Roman" w:hAnsi="Traditional Arabic" w:cs="Traditional Arabic"/>
          <w:b/>
          <w:bCs/>
          <w:sz w:val="24"/>
          <w:szCs w:val="24"/>
          <w:rtl/>
        </w:rPr>
        <w:t xml:space="preserve">): </w:t>
      </w:r>
      <w:r w:rsidRPr="00362D29">
        <w:rPr>
          <w:rFonts w:ascii="Traditional Arabic" w:eastAsia="Times New Roman" w:hAnsi="Traditional Arabic" w:cs="Traditional Arabic"/>
          <w:sz w:val="24"/>
          <w:szCs w:val="24"/>
          <w:rtl/>
        </w:rPr>
        <w:t>تركز على بناء علاقات قوية مع المرضى وفهم متطلباتهم، وهو ما أكدته دراسة (</w:t>
      </w:r>
      <w:r w:rsidRPr="00362D29">
        <w:rPr>
          <w:rFonts w:ascii="Traditional Arabic" w:eastAsia="Times New Roman" w:hAnsi="Traditional Arabic" w:cs="Traditional Arabic"/>
          <w:sz w:val="24"/>
          <w:szCs w:val="24"/>
        </w:rPr>
        <w:t>Kamal, 2023</w:t>
      </w:r>
      <w:r w:rsidRPr="00362D29">
        <w:rPr>
          <w:rFonts w:ascii="Traditional Arabic" w:eastAsia="Times New Roman" w:hAnsi="Traditional Arabic" w:cs="Traditional Arabic"/>
          <w:sz w:val="24"/>
          <w:szCs w:val="24"/>
          <w:rtl/>
        </w:rPr>
        <w:t>) من أن التركيز على المستفيد يؤدي لتحسن مباشر في رضا المرضى.</w:t>
      </w:r>
    </w:p>
    <w:p w14:paraId="6E373071" w14:textId="6A817CD8" w:rsidR="00974166" w:rsidRPr="00362D29" w:rsidRDefault="00974166" w:rsidP="00362D29">
      <w:pPr>
        <w:bidi/>
        <w:spacing w:after="0" w:line="360" w:lineRule="auto"/>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24"/>
          <w:szCs w:val="24"/>
          <w:rtl/>
        </w:rPr>
        <w:t>4.القياس والتحليل وإدارة المعرفة (</w:t>
      </w:r>
      <w:r w:rsidRPr="00362D29">
        <w:rPr>
          <w:rFonts w:ascii="Traditional Arabic" w:eastAsia="Times New Roman" w:hAnsi="Traditional Arabic" w:cs="Traditional Arabic"/>
          <w:b/>
          <w:bCs/>
          <w:sz w:val="24"/>
          <w:szCs w:val="24"/>
        </w:rPr>
        <w:t>Measurement, Analysis, and Knowledge Management</w:t>
      </w:r>
      <w:r w:rsidRPr="00362D29">
        <w:rPr>
          <w:rFonts w:ascii="Traditional Arabic" w:eastAsia="Times New Roman" w:hAnsi="Traditional Arabic" w:cs="Traditional Arabic"/>
          <w:b/>
          <w:bCs/>
          <w:sz w:val="24"/>
          <w:szCs w:val="24"/>
          <w:rtl/>
        </w:rPr>
        <w:t xml:space="preserve">): </w:t>
      </w:r>
      <w:r w:rsidRPr="00362D29">
        <w:rPr>
          <w:rFonts w:ascii="Traditional Arabic" w:eastAsia="Times New Roman" w:hAnsi="Traditional Arabic" w:cs="Traditional Arabic"/>
          <w:sz w:val="24"/>
          <w:szCs w:val="24"/>
          <w:rtl/>
        </w:rPr>
        <w:t>تُعد "عقل" النظام، حيث تهتم باستخدام البيانات لدعم اتخاذ القرار (</w:t>
      </w:r>
      <w:r w:rsidRPr="00362D29">
        <w:rPr>
          <w:rFonts w:ascii="Traditional Arabic" w:eastAsia="Times New Roman" w:hAnsi="Traditional Arabic" w:cs="Traditional Arabic"/>
          <w:sz w:val="24"/>
          <w:szCs w:val="24"/>
        </w:rPr>
        <w:t>Salih</w:t>
      </w:r>
      <w:r w:rsidR="00B50DED" w:rsidRPr="00362D29">
        <w:rPr>
          <w:rFonts w:ascii="Traditional Arabic" w:eastAsia="Times New Roman" w:hAnsi="Traditional Arabic" w:cs="Traditional Arabic"/>
          <w:sz w:val="24"/>
          <w:szCs w:val="24"/>
        </w:rPr>
        <w:t>, 2023</w:t>
      </w:r>
      <w:r w:rsidRPr="00362D29">
        <w:rPr>
          <w:rFonts w:ascii="Traditional Arabic" w:eastAsia="Times New Roman" w:hAnsi="Traditional Arabic" w:cs="Traditional Arabic"/>
          <w:sz w:val="24"/>
          <w:szCs w:val="24"/>
          <w:rtl/>
        </w:rPr>
        <w:t xml:space="preserve"> &amp; </w:t>
      </w:r>
      <w:r w:rsidRPr="00362D29">
        <w:rPr>
          <w:rFonts w:ascii="Traditional Arabic" w:eastAsia="Times New Roman" w:hAnsi="Traditional Arabic" w:cs="Traditional Arabic"/>
          <w:sz w:val="24"/>
          <w:szCs w:val="24"/>
        </w:rPr>
        <w:t>Dolah</w:t>
      </w:r>
      <w:r w:rsidRPr="00362D29">
        <w:rPr>
          <w:rFonts w:ascii="Traditional Arabic" w:eastAsia="Times New Roman" w:hAnsi="Traditional Arabic" w:cs="Traditional Arabic"/>
          <w:sz w:val="24"/>
          <w:szCs w:val="24"/>
          <w:rtl/>
        </w:rPr>
        <w:t>).</w:t>
      </w:r>
    </w:p>
    <w:p w14:paraId="564A45A1" w14:textId="77777777" w:rsidR="00974166" w:rsidRPr="00362D29" w:rsidRDefault="00974166" w:rsidP="00362D29">
      <w:pPr>
        <w:bidi/>
        <w:spacing w:after="0" w:line="360" w:lineRule="auto"/>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24"/>
          <w:szCs w:val="24"/>
          <w:rtl/>
        </w:rPr>
        <w:t>5.القوى العاملة (</w:t>
      </w:r>
      <w:r w:rsidRPr="00362D29">
        <w:rPr>
          <w:rFonts w:ascii="Traditional Arabic" w:eastAsia="Times New Roman" w:hAnsi="Traditional Arabic" w:cs="Traditional Arabic"/>
          <w:b/>
          <w:bCs/>
          <w:sz w:val="24"/>
          <w:szCs w:val="24"/>
        </w:rPr>
        <w:t>Workforce</w:t>
      </w:r>
      <w:r w:rsidRPr="00362D29">
        <w:rPr>
          <w:rFonts w:ascii="Traditional Arabic" w:eastAsia="Times New Roman" w:hAnsi="Traditional Arabic" w:cs="Traditional Arabic"/>
          <w:b/>
          <w:bCs/>
          <w:sz w:val="24"/>
          <w:szCs w:val="24"/>
          <w:rtl/>
        </w:rPr>
        <w:t>):</w:t>
      </w:r>
      <w:r w:rsidRPr="00362D29">
        <w:rPr>
          <w:rFonts w:ascii="Traditional Arabic" w:eastAsia="Times New Roman" w:hAnsi="Traditional Arabic" w:cs="Traditional Arabic"/>
          <w:sz w:val="24"/>
          <w:szCs w:val="24"/>
          <w:rtl/>
        </w:rPr>
        <w:t xml:space="preserve"> تركز على تمكين الموظفين وبناء بيئة عمل محفزة، وهو ما يتفق مع دراسة (سلمان وآخرون، 2025) حول دور تمكين العاملين في تعزيز التميز.</w:t>
      </w:r>
    </w:p>
    <w:p w14:paraId="7A5E1584" w14:textId="77777777" w:rsidR="00974166" w:rsidRPr="00362D29" w:rsidRDefault="00974166" w:rsidP="00362D29">
      <w:pPr>
        <w:bidi/>
        <w:spacing w:after="0" w:line="360" w:lineRule="auto"/>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24"/>
          <w:szCs w:val="24"/>
          <w:rtl/>
        </w:rPr>
        <w:t>6.العمليات (</w:t>
      </w:r>
      <w:r w:rsidRPr="00362D29">
        <w:rPr>
          <w:rFonts w:ascii="Traditional Arabic" w:eastAsia="Times New Roman" w:hAnsi="Traditional Arabic" w:cs="Traditional Arabic"/>
          <w:b/>
          <w:bCs/>
          <w:sz w:val="24"/>
          <w:szCs w:val="24"/>
        </w:rPr>
        <w:t>Operations</w:t>
      </w:r>
      <w:r w:rsidRPr="00362D29">
        <w:rPr>
          <w:rFonts w:ascii="Traditional Arabic" w:eastAsia="Times New Roman" w:hAnsi="Traditional Arabic" w:cs="Traditional Arabic"/>
          <w:b/>
          <w:bCs/>
          <w:sz w:val="24"/>
          <w:szCs w:val="24"/>
          <w:rtl/>
        </w:rPr>
        <w:t>):</w:t>
      </w:r>
      <w:r w:rsidRPr="00362D29">
        <w:rPr>
          <w:rFonts w:ascii="Traditional Arabic" w:eastAsia="Times New Roman" w:hAnsi="Traditional Arabic" w:cs="Traditional Arabic"/>
          <w:sz w:val="24"/>
          <w:szCs w:val="24"/>
          <w:rtl/>
        </w:rPr>
        <w:t xml:space="preserve"> تهتم بتصميم وإدارة وتحسين العمليات التشغيلية لتقديم قيمة مستدامة (سليمان وشاهين، 2024).</w:t>
      </w:r>
    </w:p>
    <w:p w14:paraId="499CE9FF" w14:textId="77777777" w:rsidR="002656BE" w:rsidRPr="00362D29" w:rsidRDefault="00974166" w:rsidP="00362D29">
      <w:pPr>
        <w:bidi/>
        <w:spacing w:after="0" w:line="360" w:lineRule="auto"/>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24"/>
          <w:szCs w:val="24"/>
          <w:rtl/>
        </w:rPr>
        <w:t>7.النتائج (</w:t>
      </w:r>
      <w:r w:rsidRPr="00362D29">
        <w:rPr>
          <w:rFonts w:ascii="Traditional Arabic" w:eastAsia="Times New Roman" w:hAnsi="Traditional Arabic" w:cs="Traditional Arabic"/>
          <w:b/>
          <w:bCs/>
          <w:sz w:val="24"/>
          <w:szCs w:val="24"/>
        </w:rPr>
        <w:t>Results</w:t>
      </w:r>
      <w:r w:rsidRPr="00362D29">
        <w:rPr>
          <w:rFonts w:ascii="Traditional Arabic" w:eastAsia="Times New Roman" w:hAnsi="Traditional Arabic" w:cs="Traditional Arabic"/>
          <w:b/>
          <w:bCs/>
          <w:sz w:val="24"/>
          <w:szCs w:val="24"/>
          <w:rtl/>
        </w:rPr>
        <w:t>):</w:t>
      </w:r>
      <w:r w:rsidRPr="00362D29">
        <w:rPr>
          <w:rFonts w:ascii="Traditional Arabic" w:eastAsia="Times New Roman" w:hAnsi="Traditional Arabic" w:cs="Traditional Arabic"/>
          <w:sz w:val="24"/>
          <w:szCs w:val="24"/>
          <w:rtl/>
        </w:rPr>
        <w:t xml:space="preserve"> تقيس مخرجات المؤسسة في كافة المجالات، وهو ما ركزت عليه دراسة (</w:t>
      </w:r>
      <w:r w:rsidRPr="00362D29">
        <w:rPr>
          <w:rFonts w:ascii="Traditional Arabic" w:eastAsia="Times New Roman" w:hAnsi="Traditional Arabic" w:cs="Traditional Arabic"/>
          <w:sz w:val="24"/>
          <w:szCs w:val="24"/>
        </w:rPr>
        <w:t>Mohamed et al., 2018</w:t>
      </w:r>
      <w:r w:rsidRPr="00362D29">
        <w:rPr>
          <w:rFonts w:ascii="Traditional Arabic" w:eastAsia="Times New Roman" w:hAnsi="Traditional Arabic" w:cs="Traditional Arabic"/>
          <w:sz w:val="24"/>
          <w:szCs w:val="24"/>
          <w:rtl/>
        </w:rPr>
        <w:t>) بربط التميز بالإنتاجية التنظيمية.</w:t>
      </w:r>
    </w:p>
    <w:p w14:paraId="3429983E" w14:textId="7C260ED8" w:rsidR="00974166" w:rsidRPr="00362D29" w:rsidRDefault="00974166" w:rsidP="00362D29">
      <w:pPr>
        <w:pStyle w:val="ab"/>
        <w:numPr>
          <w:ilvl w:val="0"/>
          <w:numId w:val="34"/>
        </w:numPr>
        <w:bidi/>
        <w:spacing w:after="0" w:line="360" w:lineRule="auto"/>
        <w:jc w:val="both"/>
        <w:rPr>
          <w:rFonts w:ascii="Traditional Arabic" w:eastAsia="Times New Roman" w:hAnsi="Traditional Arabic" w:cs="Traditional Arabic"/>
          <w:b/>
          <w:bCs/>
          <w:sz w:val="24"/>
          <w:szCs w:val="24"/>
          <w:rtl/>
        </w:rPr>
      </w:pPr>
      <w:r w:rsidRPr="00362D29">
        <w:rPr>
          <w:rFonts w:ascii="Traditional Arabic" w:eastAsia="Times New Roman" w:hAnsi="Traditional Arabic" w:cs="Traditional Arabic"/>
          <w:b/>
          <w:bCs/>
          <w:sz w:val="24"/>
          <w:szCs w:val="24"/>
          <w:rtl/>
        </w:rPr>
        <w:t xml:space="preserve">أداة التقييم (منطق </w:t>
      </w:r>
      <w:r w:rsidRPr="00362D29">
        <w:rPr>
          <w:rFonts w:ascii="Traditional Arabic" w:eastAsia="Times New Roman" w:hAnsi="Traditional Arabic" w:cs="Traditional Arabic"/>
          <w:b/>
          <w:bCs/>
          <w:sz w:val="24"/>
          <w:szCs w:val="24"/>
        </w:rPr>
        <w:t>ADLI</w:t>
      </w:r>
      <w:r w:rsidRPr="00362D29">
        <w:rPr>
          <w:rFonts w:ascii="Traditional Arabic" w:eastAsia="Times New Roman" w:hAnsi="Traditional Arabic" w:cs="Traditional Arabic"/>
          <w:b/>
          <w:bCs/>
          <w:sz w:val="24"/>
          <w:szCs w:val="24"/>
          <w:rtl/>
        </w:rPr>
        <w:t>)</w:t>
      </w:r>
    </w:p>
    <w:p w14:paraId="3AC24D74" w14:textId="77777777" w:rsidR="00974166" w:rsidRPr="00362D29" w:rsidRDefault="00974166" w:rsidP="00362D29">
      <w:pPr>
        <w:bidi/>
        <w:spacing w:after="0" w:line="360" w:lineRule="auto"/>
        <w:ind w:left="360"/>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يستخدم نموذج بالدريج مصفوفة تقييم دقيقة تُعرف بـ (</w:t>
      </w:r>
      <w:r w:rsidRPr="00362D29">
        <w:rPr>
          <w:rFonts w:ascii="Traditional Arabic" w:eastAsia="Times New Roman" w:hAnsi="Traditional Arabic" w:cs="Traditional Arabic"/>
          <w:sz w:val="24"/>
          <w:szCs w:val="24"/>
        </w:rPr>
        <w:t>ADLI</w:t>
      </w:r>
      <w:r w:rsidRPr="00362D29">
        <w:rPr>
          <w:rFonts w:ascii="Traditional Arabic" w:eastAsia="Times New Roman" w:hAnsi="Traditional Arabic" w:cs="Traditional Arabic"/>
          <w:sz w:val="24"/>
          <w:szCs w:val="24"/>
          <w:rtl/>
        </w:rPr>
        <w:t>) لتقييم "العمليات"، وتتكون من:</w:t>
      </w:r>
    </w:p>
    <w:p w14:paraId="4B222731" w14:textId="5B146DED" w:rsidR="00974166" w:rsidRPr="00362D29" w:rsidRDefault="00974166" w:rsidP="00362D29">
      <w:pPr>
        <w:pStyle w:val="ab"/>
        <w:numPr>
          <w:ilvl w:val="0"/>
          <w:numId w:val="38"/>
        </w:numPr>
        <w:bidi/>
        <w:spacing w:after="0" w:line="360" w:lineRule="auto"/>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24"/>
          <w:szCs w:val="24"/>
          <w:rtl/>
        </w:rPr>
        <w:t>المنهج (</w:t>
      </w:r>
      <w:r w:rsidRPr="00362D29">
        <w:rPr>
          <w:rFonts w:ascii="Traditional Arabic" w:eastAsia="Times New Roman" w:hAnsi="Traditional Arabic" w:cs="Traditional Arabic"/>
          <w:b/>
          <w:bCs/>
          <w:sz w:val="24"/>
          <w:szCs w:val="24"/>
        </w:rPr>
        <w:t>Approach</w:t>
      </w:r>
      <w:r w:rsidRPr="00362D29">
        <w:rPr>
          <w:rFonts w:ascii="Traditional Arabic" w:eastAsia="Times New Roman" w:hAnsi="Traditional Arabic" w:cs="Traditional Arabic"/>
          <w:b/>
          <w:bCs/>
          <w:sz w:val="24"/>
          <w:szCs w:val="24"/>
          <w:rtl/>
        </w:rPr>
        <w:t>):</w:t>
      </w:r>
      <w:r w:rsidRPr="00362D29">
        <w:rPr>
          <w:rFonts w:ascii="Traditional Arabic" w:eastAsia="Times New Roman" w:hAnsi="Traditional Arabic" w:cs="Traditional Arabic"/>
          <w:sz w:val="24"/>
          <w:szCs w:val="24"/>
          <w:rtl/>
        </w:rPr>
        <w:t xml:space="preserve"> مدى ملاءمة الأساليب المستخدمة.</w:t>
      </w:r>
    </w:p>
    <w:p w14:paraId="78466AA6" w14:textId="39CA07DF" w:rsidR="00974166" w:rsidRPr="00362D29" w:rsidRDefault="00974166" w:rsidP="00362D29">
      <w:pPr>
        <w:pStyle w:val="ab"/>
        <w:numPr>
          <w:ilvl w:val="0"/>
          <w:numId w:val="38"/>
        </w:numPr>
        <w:bidi/>
        <w:spacing w:after="0" w:line="360" w:lineRule="auto"/>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24"/>
          <w:szCs w:val="24"/>
          <w:rtl/>
        </w:rPr>
        <w:t>التطبيق (</w:t>
      </w:r>
      <w:r w:rsidRPr="00362D29">
        <w:rPr>
          <w:rFonts w:ascii="Traditional Arabic" w:eastAsia="Times New Roman" w:hAnsi="Traditional Arabic" w:cs="Traditional Arabic"/>
          <w:b/>
          <w:bCs/>
          <w:sz w:val="24"/>
          <w:szCs w:val="24"/>
        </w:rPr>
        <w:t>Deployment</w:t>
      </w:r>
      <w:r w:rsidRPr="00362D29">
        <w:rPr>
          <w:rFonts w:ascii="Traditional Arabic" w:eastAsia="Times New Roman" w:hAnsi="Traditional Arabic" w:cs="Traditional Arabic"/>
          <w:b/>
          <w:bCs/>
          <w:sz w:val="24"/>
          <w:szCs w:val="24"/>
          <w:rtl/>
        </w:rPr>
        <w:t>):</w:t>
      </w:r>
      <w:r w:rsidRPr="00362D29">
        <w:rPr>
          <w:rFonts w:ascii="Traditional Arabic" w:eastAsia="Times New Roman" w:hAnsi="Traditional Arabic" w:cs="Traditional Arabic"/>
          <w:sz w:val="24"/>
          <w:szCs w:val="24"/>
          <w:rtl/>
        </w:rPr>
        <w:t xml:space="preserve"> مدى انتشار المنهج في كافة الوحدات التنظيمية.</w:t>
      </w:r>
    </w:p>
    <w:p w14:paraId="40765911" w14:textId="169CC9A2" w:rsidR="00974166" w:rsidRPr="00362D29" w:rsidRDefault="00974166" w:rsidP="00362D29">
      <w:pPr>
        <w:pStyle w:val="ab"/>
        <w:numPr>
          <w:ilvl w:val="0"/>
          <w:numId w:val="38"/>
        </w:numPr>
        <w:bidi/>
        <w:spacing w:after="0" w:line="360" w:lineRule="auto"/>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24"/>
          <w:szCs w:val="24"/>
          <w:rtl/>
        </w:rPr>
        <w:t>التعلم (</w:t>
      </w:r>
      <w:r w:rsidRPr="00362D29">
        <w:rPr>
          <w:rFonts w:ascii="Traditional Arabic" w:eastAsia="Times New Roman" w:hAnsi="Traditional Arabic" w:cs="Traditional Arabic"/>
          <w:b/>
          <w:bCs/>
          <w:sz w:val="24"/>
          <w:szCs w:val="24"/>
        </w:rPr>
        <w:t>Learning</w:t>
      </w:r>
      <w:r w:rsidRPr="00362D29">
        <w:rPr>
          <w:rFonts w:ascii="Traditional Arabic" w:eastAsia="Times New Roman" w:hAnsi="Traditional Arabic" w:cs="Traditional Arabic"/>
          <w:b/>
          <w:bCs/>
          <w:sz w:val="24"/>
          <w:szCs w:val="24"/>
          <w:rtl/>
        </w:rPr>
        <w:t>):</w:t>
      </w:r>
      <w:r w:rsidRPr="00362D29">
        <w:rPr>
          <w:rFonts w:ascii="Traditional Arabic" w:eastAsia="Times New Roman" w:hAnsi="Traditional Arabic" w:cs="Traditional Arabic"/>
          <w:sz w:val="24"/>
          <w:szCs w:val="24"/>
          <w:rtl/>
        </w:rPr>
        <w:t xml:space="preserve"> تقييم المنهج وتحسينه من خلال دورات الابتكار، وهو ما أكد (الرويلي، 2025) على كونه شرطاً أساسياً للتميز.</w:t>
      </w:r>
    </w:p>
    <w:p w14:paraId="1743B745" w14:textId="17F01A9B" w:rsidR="00974166" w:rsidRPr="00362D29" w:rsidRDefault="00974166" w:rsidP="00362D29">
      <w:pPr>
        <w:pStyle w:val="ab"/>
        <w:numPr>
          <w:ilvl w:val="0"/>
          <w:numId w:val="38"/>
        </w:numPr>
        <w:bidi/>
        <w:spacing w:after="0" w:line="360" w:lineRule="auto"/>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24"/>
          <w:szCs w:val="24"/>
          <w:rtl/>
        </w:rPr>
        <w:t>التكامل (</w:t>
      </w:r>
      <w:r w:rsidRPr="00362D29">
        <w:rPr>
          <w:rFonts w:ascii="Traditional Arabic" w:eastAsia="Times New Roman" w:hAnsi="Traditional Arabic" w:cs="Traditional Arabic"/>
          <w:b/>
          <w:bCs/>
          <w:sz w:val="24"/>
          <w:szCs w:val="24"/>
        </w:rPr>
        <w:t>Integration</w:t>
      </w:r>
      <w:r w:rsidRPr="00362D29">
        <w:rPr>
          <w:rFonts w:ascii="Traditional Arabic" w:eastAsia="Times New Roman" w:hAnsi="Traditional Arabic" w:cs="Traditional Arabic"/>
          <w:b/>
          <w:bCs/>
          <w:sz w:val="24"/>
          <w:szCs w:val="24"/>
          <w:rtl/>
        </w:rPr>
        <w:t>):</w:t>
      </w:r>
      <w:r w:rsidRPr="00362D29">
        <w:rPr>
          <w:rFonts w:ascii="Traditional Arabic" w:eastAsia="Times New Roman" w:hAnsi="Traditional Arabic" w:cs="Traditional Arabic"/>
          <w:sz w:val="24"/>
          <w:szCs w:val="24"/>
          <w:rtl/>
        </w:rPr>
        <w:t xml:space="preserve"> مدى مواءمة المنهج مع الاحتياجات التنظيمية الحالية والمستقبلية.</w:t>
      </w:r>
    </w:p>
    <w:p w14:paraId="240B6AD7" w14:textId="32105C41" w:rsidR="00D02A7D" w:rsidRPr="00362D29" w:rsidRDefault="00974166" w:rsidP="00362D29">
      <w:pPr>
        <w:bidi/>
        <w:spacing w:after="0" w:line="360" w:lineRule="auto"/>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وتؤكد دراسة (أحمد، 2025) أن تطبيق هذه المنهجيات في التقييم الذاتي يسهم في رفع مستوى الضبط الإداري وتحقيق التميز في مؤسسات الرعاية الصحية.</w:t>
      </w:r>
    </w:p>
    <w:p w14:paraId="1ECD7F49" w14:textId="1D4D52E9" w:rsidR="00132353" w:rsidRPr="00362D29" w:rsidRDefault="008C3AD7" w:rsidP="00362D29">
      <w:pPr>
        <w:bidi/>
        <w:spacing w:after="200" w:line="360" w:lineRule="auto"/>
        <w:rPr>
          <w:rFonts w:ascii="Traditional Arabic" w:eastAsia="Calibri" w:hAnsi="Traditional Arabic" w:cs="Traditional Arabic"/>
          <w:b/>
          <w:bCs/>
          <w:color w:val="0070C0"/>
          <w:sz w:val="32"/>
          <w:szCs w:val="32"/>
          <w:u w:val="single"/>
        </w:rPr>
      </w:pPr>
      <w:r w:rsidRPr="00362D29">
        <w:rPr>
          <w:rFonts w:ascii="Traditional Arabic" w:eastAsia="Calibri" w:hAnsi="Traditional Arabic" w:cs="Traditional Arabic"/>
          <w:b/>
          <w:bCs/>
          <w:color w:val="0070C0"/>
          <w:sz w:val="32"/>
          <w:szCs w:val="32"/>
          <w:u w:val="single"/>
          <w:rtl/>
        </w:rPr>
        <w:t xml:space="preserve">ثالثاً : </w:t>
      </w:r>
      <w:r w:rsidR="00132353" w:rsidRPr="00362D29">
        <w:rPr>
          <w:rFonts w:ascii="Traditional Arabic" w:eastAsia="Calibri" w:hAnsi="Traditional Arabic" w:cs="Traditional Arabic"/>
          <w:b/>
          <w:bCs/>
          <w:color w:val="0070C0"/>
          <w:sz w:val="32"/>
          <w:szCs w:val="32"/>
          <w:u w:val="single"/>
          <w:rtl/>
        </w:rPr>
        <w:t xml:space="preserve">النموذج الياباني للتميز المؤسسي (جائزة ديمنج – </w:t>
      </w:r>
      <w:r w:rsidR="00132353" w:rsidRPr="00362D29">
        <w:rPr>
          <w:rFonts w:ascii="Traditional Arabic" w:eastAsia="Calibri" w:hAnsi="Traditional Arabic" w:cs="Traditional Arabic"/>
          <w:b/>
          <w:bCs/>
          <w:color w:val="0070C0"/>
          <w:sz w:val="32"/>
          <w:szCs w:val="32"/>
          <w:u w:val="single"/>
        </w:rPr>
        <w:t>(Deming Prize</w:t>
      </w:r>
    </w:p>
    <w:p w14:paraId="4C98D408" w14:textId="77777777" w:rsidR="00132353" w:rsidRPr="00362D29" w:rsidRDefault="00132353" w:rsidP="00362D29">
      <w:pPr>
        <w:numPr>
          <w:ilvl w:val="0"/>
          <w:numId w:val="39"/>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24"/>
          <w:szCs w:val="24"/>
          <w:rtl/>
        </w:rPr>
        <w:t>التعريف والنشأة</w:t>
      </w:r>
    </w:p>
    <w:p w14:paraId="1E0B1FCF" w14:textId="77777777" w:rsidR="00132353" w:rsidRPr="00362D29" w:rsidRDefault="00132353" w:rsidP="00362D29">
      <w:pPr>
        <w:bidi/>
        <w:spacing w:before="0" w:after="0" w:line="360" w:lineRule="auto"/>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يُعد النموذج الياباني للتميز، والمعروف عالمياً بـ "جائزة ديمنج" (</w:t>
      </w:r>
      <w:r w:rsidRPr="00362D29">
        <w:rPr>
          <w:rFonts w:ascii="Traditional Arabic" w:eastAsia="Times New Roman" w:hAnsi="Traditional Arabic" w:cs="Traditional Arabic"/>
          <w:sz w:val="24"/>
          <w:szCs w:val="24"/>
        </w:rPr>
        <w:t>Deming Prize</w:t>
      </w:r>
      <w:r w:rsidRPr="00362D29">
        <w:rPr>
          <w:rFonts w:ascii="Traditional Arabic" w:eastAsia="Times New Roman" w:hAnsi="Traditional Arabic" w:cs="Traditional Arabic"/>
          <w:sz w:val="24"/>
          <w:szCs w:val="24"/>
          <w:rtl/>
        </w:rPr>
        <w:t>)، حجر الزاوية في تاريخ نماذج التميز المؤسسي وأقدمها على الإطلاق. تأسس هذا النموذج في عام 1951 من قبل الاتحاد الياباني للعلماء والمهندسين (</w:t>
      </w:r>
      <w:r w:rsidRPr="00362D29">
        <w:rPr>
          <w:rFonts w:ascii="Traditional Arabic" w:eastAsia="Times New Roman" w:hAnsi="Traditional Arabic" w:cs="Traditional Arabic"/>
          <w:sz w:val="24"/>
          <w:szCs w:val="24"/>
        </w:rPr>
        <w:t>JUSE</w:t>
      </w:r>
      <w:r w:rsidRPr="00362D29">
        <w:rPr>
          <w:rFonts w:ascii="Traditional Arabic" w:eastAsia="Times New Roman" w:hAnsi="Traditional Arabic" w:cs="Traditional Arabic"/>
          <w:sz w:val="24"/>
          <w:szCs w:val="24"/>
          <w:rtl/>
        </w:rPr>
        <w:t xml:space="preserve">) تكريماً لإسهامات "إدوارد ديمنج" </w:t>
      </w:r>
      <w:r w:rsidRPr="00362D29">
        <w:rPr>
          <w:rFonts w:ascii="Traditional Arabic" w:eastAsia="Times New Roman" w:hAnsi="Traditional Arabic" w:cs="Traditional Arabic"/>
          <w:sz w:val="24"/>
          <w:szCs w:val="24"/>
          <w:rtl/>
        </w:rPr>
        <w:lastRenderedPageBreak/>
        <w:t>في تطوير الصناعة اليابانية بعد الحرب العالمية الثانية. ويُعرف النموذج بأنه إطار تقييمي يمنح للمؤسسات التي تنجح في تطبيق مفاهيم إدارة الجودة الشاملة (</w:t>
      </w:r>
      <w:r w:rsidRPr="00362D29">
        <w:rPr>
          <w:rFonts w:ascii="Traditional Arabic" w:eastAsia="Times New Roman" w:hAnsi="Traditional Arabic" w:cs="Traditional Arabic"/>
          <w:sz w:val="24"/>
          <w:szCs w:val="24"/>
        </w:rPr>
        <w:t>TQM</w:t>
      </w:r>
      <w:r w:rsidRPr="00362D29">
        <w:rPr>
          <w:rFonts w:ascii="Traditional Arabic" w:eastAsia="Times New Roman" w:hAnsi="Traditional Arabic" w:cs="Traditional Arabic"/>
          <w:sz w:val="24"/>
          <w:szCs w:val="24"/>
          <w:rtl/>
        </w:rPr>
        <w:t>) بفاعلية وابتكار، مما يساهم في تحسين الأداء المؤسسي وتحقيق الاستدامة (الرويلي، 2025).</w:t>
      </w:r>
    </w:p>
    <w:p w14:paraId="2BD00711" w14:textId="77777777" w:rsidR="00132353" w:rsidRPr="00362D29" w:rsidRDefault="00132353" w:rsidP="00362D29">
      <w:pPr>
        <w:numPr>
          <w:ilvl w:val="0"/>
          <w:numId w:val="39"/>
        </w:numPr>
        <w:bidi/>
        <w:spacing w:before="0" w:after="0" w:line="360" w:lineRule="auto"/>
        <w:contextualSpacing/>
        <w:jc w:val="both"/>
        <w:rPr>
          <w:rFonts w:ascii="Traditional Arabic" w:eastAsia="Times New Roman" w:hAnsi="Traditional Arabic" w:cs="Traditional Arabic"/>
          <w:b/>
          <w:bCs/>
          <w:sz w:val="24"/>
          <w:szCs w:val="24"/>
          <w:rtl/>
        </w:rPr>
      </w:pPr>
      <w:r w:rsidRPr="00362D29">
        <w:rPr>
          <w:rFonts w:ascii="Traditional Arabic" w:eastAsia="Times New Roman" w:hAnsi="Traditional Arabic" w:cs="Traditional Arabic"/>
          <w:b/>
          <w:bCs/>
          <w:sz w:val="24"/>
          <w:szCs w:val="24"/>
          <w:rtl/>
        </w:rPr>
        <w:t>الفلسفة والمفهوم</w:t>
      </w:r>
    </w:p>
    <w:p w14:paraId="66ABD9DC" w14:textId="77777777" w:rsidR="00132353" w:rsidRPr="00362D29" w:rsidRDefault="00132353" w:rsidP="00362D29">
      <w:pPr>
        <w:bidi/>
        <w:spacing w:before="0" w:after="0" w:line="360" w:lineRule="auto"/>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تقوم فلسفة النموذج الياباني على مبدأ أن الجودة هي مسؤولية جماعية تبدأ من الإدارة العليا وتمتد لتشمل كافة العاملين في المؤسسة. ويتمحور المفهوم الجوهري للنموذج حول "التحسين المستمر" (</w:t>
      </w:r>
      <w:r w:rsidRPr="00362D29">
        <w:rPr>
          <w:rFonts w:ascii="Traditional Arabic" w:eastAsia="Times New Roman" w:hAnsi="Traditional Arabic" w:cs="Traditional Arabic"/>
          <w:sz w:val="24"/>
          <w:szCs w:val="24"/>
        </w:rPr>
        <w:t>Kaizen</w:t>
      </w:r>
      <w:r w:rsidRPr="00362D29">
        <w:rPr>
          <w:rFonts w:ascii="Traditional Arabic" w:eastAsia="Times New Roman" w:hAnsi="Traditional Arabic" w:cs="Traditional Arabic"/>
          <w:sz w:val="24"/>
          <w:szCs w:val="24"/>
          <w:rtl/>
        </w:rPr>
        <w:t>) كنهج دائم وليس مجرد إجراء مؤقت. وتؤكد الأدبيات (الرويلي، 2025) أن التطوير المستمر هو الشرط الأساسي الذي تتفق عليه كافة نماذج التميز العالمية، وهو ما جسده ديمنج في فلسفته التي تنبذ الاعتماد على الفحص النهائي وتدعو بدلاً من ذلك إلى الوقاية وبناء الجودة داخل العمليات منذ البداية.</w:t>
      </w:r>
    </w:p>
    <w:p w14:paraId="69D1C016" w14:textId="77777777" w:rsidR="00132353" w:rsidRPr="00362D29" w:rsidRDefault="00132353" w:rsidP="00362D29">
      <w:pPr>
        <w:numPr>
          <w:ilvl w:val="0"/>
          <w:numId w:val="39"/>
        </w:numPr>
        <w:bidi/>
        <w:spacing w:before="0" w:after="0" w:line="360" w:lineRule="auto"/>
        <w:contextualSpacing/>
        <w:jc w:val="both"/>
        <w:rPr>
          <w:rFonts w:ascii="Traditional Arabic" w:eastAsia="Times New Roman" w:hAnsi="Traditional Arabic" w:cs="Traditional Arabic"/>
          <w:b/>
          <w:bCs/>
          <w:sz w:val="24"/>
          <w:szCs w:val="24"/>
          <w:rtl/>
        </w:rPr>
      </w:pPr>
      <w:r w:rsidRPr="00362D29">
        <w:rPr>
          <w:rFonts w:ascii="Traditional Arabic" w:eastAsia="Times New Roman" w:hAnsi="Traditional Arabic" w:cs="Traditional Arabic"/>
          <w:b/>
          <w:bCs/>
          <w:sz w:val="24"/>
          <w:szCs w:val="24"/>
          <w:rtl/>
        </w:rPr>
        <w:t xml:space="preserve">مبادئ ديمنج الأربعة عشر (14 </w:t>
      </w:r>
      <w:r w:rsidRPr="00362D29">
        <w:rPr>
          <w:rFonts w:ascii="Traditional Arabic" w:eastAsia="Times New Roman" w:hAnsi="Traditional Arabic" w:cs="Traditional Arabic"/>
          <w:b/>
          <w:bCs/>
          <w:sz w:val="24"/>
          <w:szCs w:val="24"/>
        </w:rPr>
        <w:t>Principles</w:t>
      </w:r>
      <w:r w:rsidRPr="00362D29">
        <w:rPr>
          <w:rFonts w:ascii="Traditional Arabic" w:eastAsia="Times New Roman" w:hAnsi="Traditional Arabic" w:cs="Traditional Arabic"/>
          <w:b/>
          <w:bCs/>
          <w:sz w:val="24"/>
          <w:szCs w:val="24"/>
          <w:rtl/>
        </w:rPr>
        <w:t>)</w:t>
      </w:r>
    </w:p>
    <w:p w14:paraId="2EC2ECCD" w14:textId="77777777" w:rsidR="00132353" w:rsidRPr="00362D29" w:rsidRDefault="00132353" w:rsidP="00362D29">
      <w:pPr>
        <w:bidi/>
        <w:spacing w:before="0" w:after="0" w:line="360" w:lineRule="auto"/>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يرتكز النموذج الياباني على أربعة عشر مبدأً إدارياً تشكل الدعامة الفكرية للتميز، وهي كالتالي:</w:t>
      </w:r>
    </w:p>
    <w:p w14:paraId="07034207" w14:textId="77777777" w:rsidR="00132353" w:rsidRPr="00362D29" w:rsidRDefault="00132353" w:rsidP="00362D29">
      <w:pPr>
        <w:numPr>
          <w:ilvl w:val="0"/>
          <w:numId w:val="42"/>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تحديد هدف ثابت ودائم للتحسين: لضمان استمرارية المؤسسة وتنافسيتها (البلوي وإسماعيل، 2025).</w:t>
      </w:r>
    </w:p>
    <w:p w14:paraId="2308B9F2" w14:textId="77777777" w:rsidR="00132353" w:rsidRPr="00362D29" w:rsidRDefault="00132353" w:rsidP="00362D29">
      <w:pPr>
        <w:numPr>
          <w:ilvl w:val="0"/>
          <w:numId w:val="42"/>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تبني الفلسفة الجديدة للتميز: لمواجهة التحديات الاقتصادية والتحولات الإدارية الحديثة.</w:t>
      </w:r>
    </w:p>
    <w:p w14:paraId="20D2439F" w14:textId="77777777" w:rsidR="00132353" w:rsidRPr="00362D29" w:rsidRDefault="00132353" w:rsidP="00362D29">
      <w:pPr>
        <w:numPr>
          <w:ilvl w:val="0"/>
          <w:numId w:val="42"/>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التوقف عن الاعتماد على الفحص الكلي: والتركيز على بناء الجودة داخل العمليات منذ البداية.</w:t>
      </w:r>
    </w:p>
    <w:p w14:paraId="3D78E1E9" w14:textId="77777777" w:rsidR="00132353" w:rsidRPr="00362D29" w:rsidRDefault="00132353" w:rsidP="00362D29">
      <w:pPr>
        <w:numPr>
          <w:ilvl w:val="0"/>
          <w:numId w:val="42"/>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التوقف عن تقييم العمل بناءً على السعر فقط: وبناء علاقات طويلة الأمد مع الموردين على أساس الثقة والجودة.</w:t>
      </w:r>
    </w:p>
    <w:p w14:paraId="617F757E" w14:textId="77777777" w:rsidR="00132353" w:rsidRPr="00362D29" w:rsidRDefault="00132353" w:rsidP="00362D29">
      <w:pPr>
        <w:numPr>
          <w:ilvl w:val="0"/>
          <w:numId w:val="42"/>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التحسين المستمر والدائم للنظام: في كل عملية من عمليات التخطيط والإنتاج والخدمة.</w:t>
      </w:r>
    </w:p>
    <w:p w14:paraId="71CB5868" w14:textId="77777777" w:rsidR="00132353" w:rsidRPr="00362D29" w:rsidRDefault="00132353" w:rsidP="00362D29">
      <w:pPr>
        <w:numPr>
          <w:ilvl w:val="0"/>
          <w:numId w:val="42"/>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إرساء قواعد التدريب أثناء العمل: لرفع كفاءة العاملين وتوحيد لغة العمل (</w:t>
      </w:r>
      <w:r w:rsidRPr="00362D29">
        <w:rPr>
          <w:rFonts w:ascii="Traditional Arabic" w:eastAsia="Times New Roman" w:hAnsi="Traditional Arabic" w:cs="Traditional Arabic"/>
          <w:sz w:val="24"/>
          <w:szCs w:val="24"/>
        </w:rPr>
        <w:t>Barnawi, 2022</w:t>
      </w:r>
      <w:r w:rsidRPr="00362D29">
        <w:rPr>
          <w:rFonts w:ascii="Traditional Arabic" w:eastAsia="Times New Roman" w:hAnsi="Traditional Arabic" w:cs="Traditional Arabic"/>
          <w:sz w:val="24"/>
          <w:szCs w:val="24"/>
          <w:rtl/>
        </w:rPr>
        <w:t>).</w:t>
      </w:r>
    </w:p>
    <w:p w14:paraId="210B94BB" w14:textId="77777777" w:rsidR="00132353" w:rsidRPr="00362D29" w:rsidRDefault="00132353" w:rsidP="00362D29">
      <w:pPr>
        <w:numPr>
          <w:ilvl w:val="0"/>
          <w:numId w:val="42"/>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إرساء القيادة الفعالة: التي تهدف لمساعدة الأفراد والمعدات على أداء عمل أفضل (سلمان وآخرون، 2025).</w:t>
      </w:r>
    </w:p>
    <w:p w14:paraId="545582A7" w14:textId="77777777" w:rsidR="00132353" w:rsidRPr="00362D29" w:rsidRDefault="00132353" w:rsidP="00362D29">
      <w:pPr>
        <w:numPr>
          <w:ilvl w:val="0"/>
          <w:numId w:val="42"/>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القضاء على الخوف: لخلق بيئة عمل آمنة تسمح للجميع بالعمل بفاعلية لصالح المؤسسة.</w:t>
      </w:r>
    </w:p>
    <w:p w14:paraId="6F822DC3" w14:textId="77777777" w:rsidR="00132353" w:rsidRPr="00362D29" w:rsidRDefault="00132353" w:rsidP="00362D29">
      <w:pPr>
        <w:numPr>
          <w:ilvl w:val="0"/>
          <w:numId w:val="42"/>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تحطيم الحواجز بين الإدارات: لتعزيز العمل الجماعي كفريق واحد لتحقيق أهداف المؤسسة (</w:t>
      </w:r>
      <w:r w:rsidRPr="00362D29">
        <w:rPr>
          <w:rFonts w:ascii="Traditional Arabic" w:eastAsia="Times New Roman" w:hAnsi="Traditional Arabic" w:cs="Traditional Arabic"/>
          <w:sz w:val="24"/>
          <w:szCs w:val="24"/>
        </w:rPr>
        <w:t>Zhao et al., 2023</w:t>
      </w:r>
      <w:r w:rsidRPr="00362D29">
        <w:rPr>
          <w:rFonts w:ascii="Traditional Arabic" w:eastAsia="Times New Roman" w:hAnsi="Traditional Arabic" w:cs="Traditional Arabic"/>
          <w:sz w:val="24"/>
          <w:szCs w:val="24"/>
          <w:rtl/>
        </w:rPr>
        <w:t>).</w:t>
      </w:r>
    </w:p>
    <w:p w14:paraId="70227DA9" w14:textId="77777777" w:rsidR="00132353" w:rsidRPr="00362D29" w:rsidRDefault="00132353" w:rsidP="00362D29">
      <w:pPr>
        <w:numPr>
          <w:ilvl w:val="0"/>
          <w:numId w:val="42"/>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التخلص من الشعارات والمطالبات الجوفاء: التي تطالب بإنتاجية أعلى دون توفير الوسائل اللازمة لتحقيقها.</w:t>
      </w:r>
    </w:p>
    <w:p w14:paraId="763BA4EB" w14:textId="77777777" w:rsidR="00132353" w:rsidRPr="00362D29" w:rsidRDefault="00132353" w:rsidP="00362D29">
      <w:pPr>
        <w:numPr>
          <w:ilvl w:val="0"/>
          <w:numId w:val="42"/>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التخلص من الحصص الرقمية (الأهداف الكمية): واستبدالها بالقيادة التي تركز على جودة العمليات.</w:t>
      </w:r>
    </w:p>
    <w:p w14:paraId="6932B432" w14:textId="77777777" w:rsidR="00132353" w:rsidRPr="00362D29" w:rsidRDefault="00132353" w:rsidP="00362D29">
      <w:pPr>
        <w:numPr>
          <w:ilvl w:val="0"/>
          <w:numId w:val="42"/>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إزالة العوائق التي تحرم العاملين من حقهم في الاعتزاز بعملهم: وتقدير مساهماتهم الفردية والجماعية.</w:t>
      </w:r>
    </w:p>
    <w:p w14:paraId="5937C07F" w14:textId="77777777" w:rsidR="00132353" w:rsidRPr="00362D29" w:rsidRDefault="00132353" w:rsidP="00362D29">
      <w:pPr>
        <w:numPr>
          <w:ilvl w:val="0"/>
          <w:numId w:val="42"/>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إرساء برنامج قوي للتعليم والتطوير الذاتي: لضمان نمو رأس المال البشري بشكل مستمر.</w:t>
      </w:r>
    </w:p>
    <w:p w14:paraId="4AE0BC46" w14:textId="77777777" w:rsidR="00132353" w:rsidRPr="00362D29" w:rsidRDefault="00132353" w:rsidP="00362D29">
      <w:pPr>
        <w:numPr>
          <w:ilvl w:val="0"/>
          <w:numId w:val="42"/>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اتخاذ الإجراءات اللازمة لإنجاز التحول: بمشاركة جميع العاملين في المؤسسة لتحقيق التميز.</w:t>
      </w:r>
    </w:p>
    <w:p w14:paraId="2AA3B81A" w14:textId="77777777" w:rsidR="00132353" w:rsidRPr="00362D29" w:rsidRDefault="00132353" w:rsidP="00362D29">
      <w:pPr>
        <w:numPr>
          <w:ilvl w:val="0"/>
          <w:numId w:val="39"/>
        </w:numPr>
        <w:bidi/>
        <w:spacing w:before="0" w:after="0" w:line="360" w:lineRule="auto"/>
        <w:contextualSpacing/>
        <w:jc w:val="both"/>
        <w:rPr>
          <w:rFonts w:ascii="Traditional Arabic" w:eastAsia="Times New Roman" w:hAnsi="Traditional Arabic" w:cs="Traditional Arabic"/>
          <w:b/>
          <w:bCs/>
          <w:sz w:val="24"/>
          <w:szCs w:val="24"/>
          <w:rtl/>
        </w:rPr>
      </w:pPr>
      <w:r w:rsidRPr="00362D29">
        <w:rPr>
          <w:rFonts w:ascii="Traditional Arabic" w:eastAsia="Times New Roman" w:hAnsi="Traditional Arabic" w:cs="Traditional Arabic"/>
          <w:b/>
          <w:bCs/>
          <w:sz w:val="24"/>
          <w:szCs w:val="24"/>
          <w:rtl/>
        </w:rPr>
        <w:t xml:space="preserve">منهجية التحسين المستمر (دائرة </w:t>
      </w:r>
      <w:r w:rsidRPr="00362D29">
        <w:rPr>
          <w:rFonts w:ascii="Traditional Arabic" w:eastAsia="Times New Roman" w:hAnsi="Traditional Arabic" w:cs="Traditional Arabic"/>
          <w:b/>
          <w:bCs/>
          <w:sz w:val="24"/>
          <w:szCs w:val="24"/>
        </w:rPr>
        <w:t>PDCA</w:t>
      </w:r>
      <w:r w:rsidRPr="00362D29">
        <w:rPr>
          <w:rFonts w:ascii="Traditional Arabic" w:eastAsia="Times New Roman" w:hAnsi="Traditional Arabic" w:cs="Traditional Arabic"/>
          <w:b/>
          <w:bCs/>
          <w:sz w:val="24"/>
          <w:szCs w:val="24"/>
          <w:rtl/>
        </w:rPr>
        <w:t>)</w:t>
      </w:r>
    </w:p>
    <w:p w14:paraId="65DA7BC9" w14:textId="77777777" w:rsidR="00132353" w:rsidRPr="00362D29" w:rsidRDefault="00132353" w:rsidP="00362D29">
      <w:pPr>
        <w:bidi/>
        <w:spacing w:before="0" w:after="0" w:line="360" w:lineRule="auto"/>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تُعرف هذه المنهجية بـ "دائرة ديمنج " للتحسين المستمر، وتتكون من أربع مراحل دورية:</w:t>
      </w:r>
    </w:p>
    <w:p w14:paraId="09CBACA8" w14:textId="77777777" w:rsidR="00132353" w:rsidRPr="00362D29" w:rsidRDefault="00132353" w:rsidP="00362D29">
      <w:pPr>
        <w:numPr>
          <w:ilvl w:val="0"/>
          <w:numId w:val="41"/>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التخطيط (</w:t>
      </w:r>
      <w:r w:rsidRPr="00362D29">
        <w:rPr>
          <w:rFonts w:ascii="Traditional Arabic" w:eastAsia="Times New Roman" w:hAnsi="Traditional Arabic" w:cs="Traditional Arabic"/>
          <w:sz w:val="24"/>
          <w:szCs w:val="24"/>
        </w:rPr>
        <w:t>Plan</w:t>
      </w:r>
      <w:r w:rsidRPr="00362D29">
        <w:rPr>
          <w:rFonts w:ascii="Traditional Arabic" w:eastAsia="Times New Roman" w:hAnsi="Traditional Arabic" w:cs="Traditional Arabic"/>
          <w:sz w:val="24"/>
          <w:szCs w:val="24"/>
          <w:rtl/>
        </w:rPr>
        <w:t>): تحديد الأهداف وتحليل البيانات للوصول إلى أسباب المشكلات.</w:t>
      </w:r>
    </w:p>
    <w:p w14:paraId="65AB6C51" w14:textId="77777777" w:rsidR="00132353" w:rsidRPr="00362D29" w:rsidRDefault="00132353" w:rsidP="00362D29">
      <w:pPr>
        <w:numPr>
          <w:ilvl w:val="0"/>
          <w:numId w:val="41"/>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lastRenderedPageBreak/>
        <w:t>التنفيذ (</w:t>
      </w:r>
      <w:r w:rsidRPr="00362D29">
        <w:rPr>
          <w:rFonts w:ascii="Traditional Arabic" w:eastAsia="Times New Roman" w:hAnsi="Traditional Arabic" w:cs="Traditional Arabic"/>
          <w:sz w:val="24"/>
          <w:szCs w:val="24"/>
        </w:rPr>
        <w:t>Do</w:t>
      </w:r>
      <w:r w:rsidRPr="00362D29">
        <w:rPr>
          <w:rFonts w:ascii="Traditional Arabic" w:eastAsia="Times New Roman" w:hAnsi="Traditional Arabic" w:cs="Traditional Arabic"/>
          <w:sz w:val="24"/>
          <w:szCs w:val="24"/>
          <w:rtl/>
        </w:rPr>
        <w:t>): تطبيق الحلول المقترحة على نطاق تجريبي محدود.</w:t>
      </w:r>
    </w:p>
    <w:p w14:paraId="7C673D9B" w14:textId="77777777" w:rsidR="00132353" w:rsidRPr="00362D29" w:rsidRDefault="00132353" w:rsidP="00362D29">
      <w:pPr>
        <w:numPr>
          <w:ilvl w:val="0"/>
          <w:numId w:val="41"/>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الفحص (</w:t>
      </w:r>
      <w:r w:rsidRPr="00362D29">
        <w:rPr>
          <w:rFonts w:ascii="Traditional Arabic" w:eastAsia="Times New Roman" w:hAnsi="Traditional Arabic" w:cs="Traditional Arabic"/>
          <w:sz w:val="24"/>
          <w:szCs w:val="24"/>
        </w:rPr>
        <w:t>Check</w:t>
      </w:r>
      <w:r w:rsidRPr="00362D29">
        <w:rPr>
          <w:rFonts w:ascii="Traditional Arabic" w:eastAsia="Times New Roman" w:hAnsi="Traditional Arabic" w:cs="Traditional Arabic"/>
          <w:sz w:val="24"/>
          <w:szCs w:val="24"/>
          <w:rtl/>
        </w:rPr>
        <w:t>): تقييم النتائج ومقارنتها بالأهداف الموضوعة باستخدام أدوات القياس (</w:t>
      </w:r>
      <w:r w:rsidRPr="00362D29">
        <w:rPr>
          <w:rFonts w:ascii="Traditional Arabic" w:eastAsia="Times New Roman" w:hAnsi="Traditional Arabic" w:cs="Traditional Arabic"/>
          <w:sz w:val="24"/>
          <w:szCs w:val="24"/>
        </w:rPr>
        <w:t>Kamal, 2023</w:t>
      </w:r>
      <w:r w:rsidRPr="00362D29">
        <w:rPr>
          <w:rFonts w:ascii="Traditional Arabic" w:eastAsia="Times New Roman" w:hAnsi="Traditional Arabic" w:cs="Traditional Arabic"/>
          <w:sz w:val="24"/>
          <w:szCs w:val="24"/>
          <w:rtl/>
        </w:rPr>
        <w:t>).</w:t>
      </w:r>
    </w:p>
    <w:p w14:paraId="1FB36FE0" w14:textId="77777777" w:rsidR="00132353" w:rsidRPr="00362D29" w:rsidRDefault="00132353" w:rsidP="00362D29">
      <w:pPr>
        <w:numPr>
          <w:ilvl w:val="0"/>
          <w:numId w:val="41"/>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التصحيح/التعميم (</w:t>
      </w:r>
      <w:r w:rsidRPr="00362D29">
        <w:rPr>
          <w:rFonts w:ascii="Traditional Arabic" w:eastAsia="Times New Roman" w:hAnsi="Traditional Arabic" w:cs="Traditional Arabic"/>
          <w:sz w:val="24"/>
          <w:szCs w:val="24"/>
        </w:rPr>
        <w:t>Act</w:t>
      </w:r>
      <w:r w:rsidRPr="00362D29">
        <w:rPr>
          <w:rFonts w:ascii="Traditional Arabic" w:eastAsia="Times New Roman" w:hAnsi="Traditional Arabic" w:cs="Traditional Arabic"/>
          <w:sz w:val="24"/>
          <w:szCs w:val="24"/>
          <w:rtl/>
        </w:rPr>
        <w:t>): اعتماد الحلول الناجحة وتعميمها أو إعادة التخطيط للتحسين.</w:t>
      </w:r>
    </w:p>
    <w:p w14:paraId="41D7B4EC" w14:textId="77777777" w:rsidR="00132353" w:rsidRPr="00362D29" w:rsidRDefault="00132353" w:rsidP="00362D29">
      <w:pPr>
        <w:numPr>
          <w:ilvl w:val="0"/>
          <w:numId w:val="39"/>
        </w:numPr>
        <w:bidi/>
        <w:spacing w:before="0" w:after="0" w:line="360" w:lineRule="auto"/>
        <w:contextualSpacing/>
        <w:jc w:val="both"/>
        <w:rPr>
          <w:rFonts w:ascii="Traditional Arabic" w:eastAsia="Times New Roman" w:hAnsi="Traditional Arabic" w:cs="Traditional Arabic"/>
          <w:b/>
          <w:bCs/>
          <w:sz w:val="24"/>
          <w:szCs w:val="24"/>
          <w:rtl/>
        </w:rPr>
      </w:pPr>
      <w:r w:rsidRPr="00362D29">
        <w:rPr>
          <w:rFonts w:ascii="Traditional Arabic" w:eastAsia="Times New Roman" w:hAnsi="Traditional Arabic" w:cs="Traditional Arabic"/>
          <w:b/>
          <w:bCs/>
          <w:sz w:val="24"/>
          <w:szCs w:val="24"/>
          <w:rtl/>
        </w:rPr>
        <w:t>خامساً: معايير التقييم وأدواته</w:t>
      </w:r>
    </w:p>
    <w:p w14:paraId="0B44A5B1" w14:textId="77777777" w:rsidR="00132353" w:rsidRPr="00362D29" w:rsidRDefault="00132353" w:rsidP="00362D29">
      <w:pPr>
        <w:bidi/>
        <w:spacing w:before="0" w:after="0" w:line="360" w:lineRule="auto"/>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يعتمد النموذج الياباني في تقييمه على ثلاثة محاور رئيسية، يتم تقييم كل منها بمقياس يصل إلى 100 نقطة:</w:t>
      </w:r>
    </w:p>
    <w:p w14:paraId="6395369D" w14:textId="77777777" w:rsidR="00132353" w:rsidRPr="00362D29" w:rsidRDefault="00132353" w:rsidP="00362D29">
      <w:pPr>
        <w:numPr>
          <w:ilvl w:val="0"/>
          <w:numId w:val="43"/>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دور الإدارة العليا: يقيس مدى فهم الإدارة لمبادئ الجودة الشاملة والتزامها بتطبيق السياسات والاستراتيجيات، وهو ما أكده (البلوي وإسماعيل، 2025) كعامل حاسم في استدامة التميز.</w:t>
      </w:r>
    </w:p>
    <w:p w14:paraId="6E5D1187" w14:textId="77777777" w:rsidR="00132353" w:rsidRPr="00362D29" w:rsidRDefault="00132353" w:rsidP="00362D29">
      <w:pPr>
        <w:numPr>
          <w:ilvl w:val="0"/>
          <w:numId w:val="43"/>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العمليات الأساسية: تشمل تكامل العمليات، الابتكار في تقديم الخدمات، ومدى تأثر المؤسسة بالبيئة المحيطة (الغامدي، 2024).</w:t>
      </w:r>
    </w:p>
    <w:p w14:paraId="037668D9" w14:textId="77777777" w:rsidR="00132353" w:rsidRPr="00362D29" w:rsidRDefault="00132353" w:rsidP="00362D29">
      <w:pPr>
        <w:numPr>
          <w:ilvl w:val="0"/>
          <w:numId w:val="43"/>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الأنشطة الاستثنائية: تركز على توظيف الأفكار المتميزة لتحقيق أفضل النتائج الممكنة.</w:t>
      </w:r>
    </w:p>
    <w:p w14:paraId="70A10999" w14:textId="77777777" w:rsidR="00132353" w:rsidRPr="00362D29" w:rsidRDefault="00132353" w:rsidP="00362D29">
      <w:pPr>
        <w:numPr>
          <w:ilvl w:val="0"/>
          <w:numId w:val="44"/>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كما يركز النموذج على استخدام "الأدوات الإحصائية" لضبط الجودة، مثل (مخطط ايشيكاوا، مخطط باريتو، وخرائط المراقبة الإحصائية) لتحليل جذور المشكلات وضمان استقرار العمليات (أحمد، 2025).</w:t>
      </w:r>
    </w:p>
    <w:p w14:paraId="6CFA1855" w14:textId="77777777" w:rsidR="00132353" w:rsidRPr="00362D29" w:rsidRDefault="00132353" w:rsidP="00362D29">
      <w:pPr>
        <w:numPr>
          <w:ilvl w:val="0"/>
          <w:numId w:val="39"/>
        </w:numPr>
        <w:bidi/>
        <w:spacing w:before="0" w:after="0" w:line="360" w:lineRule="auto"/>
        <w:contextualSpacing/>
        <w:jc w:val="both"/>
        <w:rPr>
          <w:rFonts w:ascii="Traditional Arabic" w:eastAsia="Times New Roman" w:hAnsi="Traditional Arabic" w:cs="Traditional Arabic"/>
          <w:b/>
          <w:bCs/>
          <w:sz w:val="24"/>
          <w:szCs w:val="24"/>
          <w:rtl/>
        </w:rPr>
      </w:pPr>
      <w:r w:rsidRPr="00362D29">
        <w:rPr>
          <w:rFonts w:ascii="Traditional Arabic" w:eastAsia="Times New Roman" w:hAnsi="Traditional Arabic" w:cs="Traditional Arabic"/>
          <w:b/>
          <w:bCs/>
          <w:sz w:val="24"/>
          <w:szCs w:val="24"/>
          <w:rtl/>
        </w:rPr>
        <w:t>سادساً: نظام المعرفة العميقة (</w:t>
      </w:r>
      <w:r w:rsidRPr="00362D29">
        <w:rPr>
          <w:rFonts w:ascii="Traditional Arabic" w:eastAsia="Times New Roman" w:hAnsi="Traditional Arabic" w:cs="Traditional Arabic"/>
          <w:b/>
          <w:bCs/>
          <w:sz w:val="24"/>
          <w:szCs w:val="24"/>
        </w:rPr>
        <w:t>System of Profound Knowledge</w:t>
      </w:r>
      <w:r w:rsidRPr="00362D29">
        <w:rPr>
          <w:rFonts w:ascii="Traditional Arabic" w:eastAsia="Times New Roman" w:hAnsi="Traditional Arabic" w:cs="Traditional Arabic"/>
          <w:b/>
          <w:bCs/>
          <w:sz w:val="24"/>
          <w:szCs w:val="24"/>
          <w:rtl/>
        </w:rPr>
        <w:t>)</w:t>
      </w:r>
    </w:p>
    <w:p w14:paraId="5184687E" w14:textId="5572E309" w:rsidR="00132353" w:rsidRPr="00362D29" w:rsidRDefault="00132353" w:rsidP="00362D29">
      <w:pPr>
        <w:bidi/>
        <w:spacing w:before="0" w:after="0" w:line="360" w:lineRule="auto"/>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 xml:space="preserve">يمثل هذا النظام الركيزة الفكرية التي يجب أن يمتلكها المديرون لتحقيق التميز، ويتكون من </w:t>
      </w:r>
      <w:r w:rsidR="002F483E" w:rsidRPr="00362D29">
        <w:rPr>
          <w:rFonts w:ascii="Traditional Arabic" w:eastAsia="Times New Roman" w:hAnsi="Traditional Arabic" w:cs="Traditional Arabic"/>
          <w:sz w:val="24"/>
          <w:szCs w:val="24"/>
          <w:rtl/>
        </w:rPr>
        <w:t>أربع</w:t>
      </w:r>
      <w:r w:rsidRPr="00362D29">
        <w:rPr>
          <w:rFonts w:ascii="Traditional Arabic" w:eastAsia="Times New Roman" w:hAnsi="Traditional Arabic" w:cs="Traditional Arabic"/>
          <w:sz w:val="24"/>
          <w:szCs w:val="24"/>
          <w:rtl/>
        </w:rPr>
        <w:t xml:space="preserve"> مكونات مترابطة:</w:t>
      </w:r>
    </w:p>
    <w:p w14:paraId="5FA98E1A" w14:textId="77777777" w:rsidR="00132353" w:rsidRPr="00362D29" w:rsidRDefault="00132353" w:rsidP="00362D29">
      <w:pPr>
        <w:numPr>
          <w:ilvl w:val="0"/>
          <w:numId w:val="40"/>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فهم النظام: رؤية المؤسسة ككيان متكامل يهدف لتحقيق غرض مشترك (السياسي، 2024).</w:t>
      </w:r>
    </w:p>
    <w:p w14:paraId="06BD5D9B" w14:textId="77777777" w:rsidR="00132353" w:rsidRPr="00362D29" w:rsidRDefault="00132353" w:rsidP="00362D29">
      <w:pPr>
        <w:numPr>
          <w:ilvl w:val="0"/>
          <w:numId w:val="40"/>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فهم التباين: التمييز بين الأسباب العامة والخاصة للانحرافات للتعامل معها بذكاء علمي.</w:t>
      </w:r>
    </w:p>
    <w:p w14:paraId="29BCB4D6" w14:textId="77777777" w:rsidR="00132353" w:rsidRPr="00362D29" w:rsidRDefault="00132353" w:rsidP="00362D29">
      <w:pPr>
        <w:numPr>
          <w:ilvl w:val="0"/>
          <w:numId w:val="40"/>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نظرية المعرفة: اتخاذ القرارات بناءً على بيانات موثوقة وتجارب علمية بدلاً من السدح أو الرأي الشخصي.</w:t>
      </w:r>
    </w:p>
    <w:p w14:paraId="4772520E" w14:textId="77777777" w:rsidR="00132353" w:rsidRPr="00362D29" w:rsidRDefault="00132353" w:rsidP="00362D29">
      <w:pPr>
        <w:numPr>
          <w:ilvl w:val="0"/>
          <w:numId w:val="40"/>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علم النفس: فهم السلوك البشري لبناء بيئة عمل تشجع على التعاون والابتكار (سلمان وآخرون، 2025).</w:t>
      </w:r>
    </w:p>
    <w:p w14:paraId="07C2B489" w14:textId="5328EF02" w:rsidR="00132353" w:rsidRPr="00362D29" w:rsidRDefault="00D473CF" w:rsidP="00362D29">
      <w:pPr>
        <w:bidi/>
        <w:spacing w:after="200" w:line="360" w:lineRule="auto"/>
        <w:rPr>
          <w:rFonts w:ascii="Traditional Arabic" w:eastAsia="Calibri" w:hAnsi="Traditional Arabic" w:cs="Traditional Arabic"/>
          <w:b/>
          <w:bCs/>
          <w:color w:val="0070C0"/>
          <w:sz w:val="32"/>
          <w:szCs w:val="32"/>
          <w:rtl/>
        </w:rPr>
      </w:pPr>
      <w:r w:rsidRPr="00362D29">
        <w:rPr>
          <w:rFonts w:ascii="Traditional Arabic" w:eastAsia="Calibri" w:hAnsi="Traditional Arabic" w:cs="Traditional Arabic"/>
          <w:b/>
          <w:bCs/>
          <w:color w:val="0070C0"/>
          <w:sz w:val="32"/>
          <w:szCs w:val="32"/>
          <w:rtl/>
        </w:rPr>
        <w:t xml:space="preserve">رابعا : </w:t>
      </w:r>
      <w:r w:rsidR="00E825F7" w:rsidRPr="00362D29">
        <w:rPr>
          <w:rFonts w:ascii="Traditional Arabic" w:eastAsia="Calibri" w:hAnsi="Traditional Arabic" w:cs="Traditional Arabic"/>
          <w:b/>
          <w:bCs/>
          <w:color w:val="0070C0"/>
          <w:sz w:val="32"/>
          <w:szCs w:val="32"/>
          <w:rtl/>
        </w:rPr>
        <w:t>النموذج الوطني السعودي للتميز المؤسسي (جائزة الملك عبد العزيز للجودة 2022)</w:t>
      </w:r>
    </w:p>
    <w:p w14:paraId="72CD5850" w14:textId="50352747" w:rsidR="0015367F" w:rsidRDefault="0015367F" w:rsidP="00362D29">
      <w:pPr>
        <w:bidi/>
        <w:spacing w:before="0" w:after="0" w:line="360" w:lineRule="auto"/>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يُعد النموذج الوطني السعودي للتميز المؤسسي، المتمثل في جائزة الملك عبد العزيز للجودة</w:t>
      </w:r>
      <w:r w:rsidR="001477E1" w:rsidRPr="00362D29">
        <w:rPr>
          <w:rFonts w:ascii="Traditional Arabic" w:eastAsia="Times New Roman" w:hAnsi="Traditional Arabic" w:cs="Traditional Arabic"/>
          <w:sz w:val="24"/>
          <w:szCs w:val="24"/>
          <w:rtl/>
        </w:rPr>
        <w:t xml:space="preserve"> -</w:t>
      </w:r>
      <w:r w:rsidR="00CC4555" w:rsidRPr="00362D29">
        <w:rPr>
          <w:rFonts w:ascii="Traditional Arabic" w:eastAsia="Times New Roman" w:hAnsi="Traditional Arabic" w:cs="Traditional Arabic"/>
          <w:sz w:val="24"/>
          <w:szCs w:val="24"/>
          <w:rtl/>
        </w:rPr>
        <w:t xml:space="preserve"> </w:t>
      </w:r>
      <w:r w:rsidR="00CC4555" w:rsidRPr="00362D29">
        <w:rPr>
          <w:rFonts w:ascii="Traditional Arabic" w:eastAsia="Times New Roman" w:hAnsi="Traditional Arabic" w:cs="Traditional Arabic"/>
          <w:sz w:val="24"/>
          <w:szCs w:val="24"/>
        </w:rPr>
        <w:t>King Abdulaziz Quality Award</w:t>
      </w:r>
      <w:r w:rsidRPr="00362D29">
        <w:rPr>
          <w:rFonts w:ascii="Traditional Arabic" w:eastAsia="Times New Roman" w:hAnsi="Traditional Arabic" w:cs="Traditional Arabic"/>
          <w:sz w:val="24"/>
          <w:szCs w:val="24"/>
          <w:rtl/>
        </w:rPr>
        <w:t xml:space="preserve"> (</w:t>
      </w:r>
      <w:r w:rsidRPr="00362D29">
        <w:rPr>
          <w:rFonts w:ascii="Traditional Arabic" w:eastAsia="Times New Roman" w:hAnsi="Traditional Arabic" w:cs="Traditional Arabic"/>
          <w:sz w:val="24"/>
          <w:szCs w:val="24"/>
        </w:rPr>
        <w:t>KAQA</w:t>
      </w:r>
      <w:r w:rsidRPr="00362D29">
        <w:rPr>
          <w:rFonts w:ascii="Traditional Arabic" w:eastAsia="Times New Roman" w:hAnsi="Traditional Arabic" w:cs="Traditional Arabic"/>
          <w:sz w:val="24"/>
          <w:szCs w:val="24"/>
          <w:rtl/>
        </w:rPr>
        <w:t>)، إطاراً وطنياً رائداً يهدف إلى تعزيز ثقافة التميز والجودة الشاملة في مختلف القطاعات بالمملكة العربية السعودية. ويحظى هذا النموذج بأهمية بالغة في رسالة الدكتوراة الحالية نظراً لكون مبادئه هي الأساس الذي تستند إليه الدراسة في قياس أثر التميز المؤسسي على جودة تجربة المريض.</w:t>
      </w:r>
    </w:p>
    <w:p w14:paraId="3EA488F5" w14:textId="77777777" w:rsidR="008976AF" w:rsidRPr="00362D29" w:rsidRDefault="008976AF" w:rsidP="008976AF">
      <w:pPr>
        <w:bidi/>
        <w:spacing w:before="0" w:after="0" w:line="360" w:lineRule="auto"/>
        <w:jc w:val="both"/>
        <w:rPr>
          <w:rFonts w:ascii="Traditional Arabic" w:eastAsia="Times New Roman" w:hAnsi="Traditional Arabic" w:cs="Traditional Arabic"/>
          <w:sz w:val="24"/>
          <w:szCs w:val="24"/>
          <w:rtl/>
        </w:rPr>
      </w:pPr>
    </w:p>
    <w:p w14:paraId="4AC1EE5F" w14:textId="77777777" w:rsidR="0015367F" w:rsidRPr="008976AF" w:rsidRDefault="0015367F" w:rsidP="00362D29">
      <w:pPr>
        <w:numPr>
          <w:ilvl w:val="0"/>
          <w:numId w:val="50"/>
        </w:numPr>
        <w:bidi/>
        <w:spacing w:before="0" w:after="0" w:line="360" w:lineRule="auto"/>
        <w:contextualSpacing/>
        <w:jc w:val="both"/>
        <w:rPr>
          <w:rFonts w:ascii="Traditional Arabic" w:eastAsia="Times New Roman" w:hAnsi="Traditional Arabic" w:cs="Traditional Arabic"/>
          <w:sz w:val="32"/>
          <w:szCs w:val="32"/>
          <w:rtl/>
        </w:rPr>
      </w:pPr>
      <w:r w:rsidRPr="008976AF">
        <w:rPr>
          <w:rFonts w:ascii="Traditional Arabic" w:eastAsia="Times New Roman" w:hAnsi="Traditional Arabic" w:cs="Traditional Arabic"/>
          <w:b/>
          <w:bCs/>
          <w:sz w:val="32"/>
          <w:szCs w:val="32"/>
          <w:rtl/>
        </w:rPr>
        <w:lastRenderedPageBreak/>
        <w:t>التعريف، التاريخ، والتطور</w:t>
      </w:r>
    </w:p>
    <w:p w14:paraId="6AA22531" w14:textId="77777777" w:rsidR="0015367F" w:rsidRPr="00362D29" w:rsidRDefault="0015367F" w:rsidP="00362D29">
      <w:pPr>
        <w:bidi/>
        <w:spacing w:before="0" w:after="0" w:line="360" w:lineRule="auto"/>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يُعرف النموذج الوطني للتميز المؤسسي بأنه إطار عمل متكامل وشامل، مصمم لتقييم أداء المنظمات وتحفيزها على تبني أفضل الممارسات الإدارية، بهدف تحقيق مستويات متقدمة من الجودة والتميز. ويركز النموذج على المواءمة مع الرؤى الوطنية والتطورات العالمية، بما في ذلك مفاهيم الجيل الرابع من الجودة (</w:t>
      </w:r>
      <w:r w:rsidRPr="00362D29">
        <w:rPr>
          <w:rFonts w:ascii="Traditional Arabic" w:eastAsia="Times New Roman" w:hAnsi="Traditional Arabic" w:cs="Traditional Arabic"/>
          <w:sz w:val="24"/>
          <w:szCs w:val="24"/>
        </w:rPr>
        <w:t>Quality 4.0</w:t>
      </w:r>
      <w:r w:rsidRPr="00362D29">
        <w:rPr>
          <w:rFonts w:ascii="Traditional Arabic" w:eastAsia="Times New Roman" w:hAnsi="Traditional Arabic" w:cs="Traditional Arabic"/>
          <w:sz w:val="24"/>
          <w:szCs w:val="24"/>
          <w:rtl/>
        </w:rPr>
        <w:t>) وتطبيقات الثورة الصناعية الرابعة كالذكاء الاصطناعي وإنترنت الأشياء (جائزة الملك عبد العزيز للجودة، 2022).</w:t>
      </w:r>
    </w:p>
    <w:p w14:paraId="6979BD2A" w14:textId="77777777" w:rsidR="0015367F" w:rsidRPr="00362D29" w:rsidRDefault="0015367F" w:rsidP="00362D29">
      <w:pPr>
        <w:numPr>
          <w:ilvl w:val="0"/>
          <w:numId w:val="39"/>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27"/>
          <w:szCs w:val="27"/>
          <w:rtl/>
        </w:rPr>
        <w:t>التاريخ والتطور</w:t>
      </w:r>
    </w:p>
    <w:p w14:paraId="7E5AD177" w14:textId="352FB7B1" w:rsidR="0015367F" w:rsidRPr="00362D29" w:rsidRDefault="0015367F" w:rsidP="00362D29">
      <w:pPr>
        <w:bidi/>
        <w:spacing w:before="0" w:after="0" w:line="360" w:lineRule="auto"/>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تأسست جائزة الملك عبد العزيز للجودة كأعلى جائزة وطنية للتميز في المملكة العربية السعودية</w:t>
      </w:r>
      <w:r w:rsidR="002704B1" w:rsidRPr="00362D29">
        <w:rPr>
          <w:rFonts w:ascii="Traditional Arabic" w:hAnsi="Traditional Arabic" w:cs="Traditional Arabic"/>
          <w:rtl/>
        </w:rPr>
        <w:t xml:space="preserve"> </w:t>
      </w:r>
      <w:r w:rsidR="002704B1" w:rsidRPr="00362D29">
        <w:rPr>
          <w:rFonts w:ascii="Traditional Arabic" w:eastAsia="Times New Roman" w:hAnsi="Traditional Arabic" w:cs="Traditional Arabic"/>
          <w:sz w:val="24"/>
          <w:szCs w:val="24"/>
          <w:rtl/>
        </w:rPr>
        <w:t xml:space="preserve">بموجب </w:t>
      </w:r>
      <w:r w:rsidR="00B505F3" w:rsidRPr="00362D29">
        <w:rPr>
          <w:rFonts w:ascii="Traditional Arabic" w:eastAsia="Times New Roman" w:hAnsi="Traditional Arabic" w:cs="Traditional Arabic"/>
          <w:sz w:val="24"/>
          <w:szCs w:val="24"/>
          <w:rtl/>
        </w:rPr>
        <w:t>توجيهات</w:t>
      </w:r>
      <w:r w:rsidR="002704B1" w:rsidRPr="00362D29">
        <w:rPr>
          <w:rFonts w:ascii="Traditional Arabic" w:eastAsia="Times New Roman" w:hAnsi="Traditional Arabic" w:cs="Traditional Arabic"/>
          <w:sz w:val="24"/>
          <w:szCs w:val="24"/>
          <w:rtl/>
        </w:rPr>
        <w:t xml:space="preserve"> المقام السامي </w:t>
      </w:r>
      <w:r w:rsidR="00B505F3" w:rsidRPr="00362D29">
        <w:rPr>
          <w:rFonts w:ascii="Traditional Arabic" w:eastAsia="Times New Roman" w:hAnsi="Traditional Arabic" w:cs="Traditional Arabic"/>
          <w:sz w:val="24"/>
          <w:szCs w:val="24"/>
          <w:rtl/>
        </w:rPr>
        <w:t xml:space="preserve">في </w:t>
      </w:r>
      <w:r w:rsidR="007615B6" w:rsidRPr="00362D29">
        <w:rPr>
          <w:rFonts w:ascii="Traditional Arabic" w:eastAsia="Times New Roman" w:hAnsi="Traditional Arabic" w:cs="Traditional Arabic"/>
          <w:sz w:val="24"/>
          <w:szCs w:val="24"/>
          <w:rtl/>
        </w:rPr>
        <w:t>1420هـ</w:t>
      </w:r>
      <w:r w:rsidR="002704B1" w:rsidRPr="00362D29">
        <w:rPr>
          <w:rFonts w:ascii="Traditional Arabic" w:eastAsia="Times New Roman" w:hAnsi="Traditional Arabic" w:cs="Traditional Arabic"/>
          <w:sz w:val="24"/>
          <w:szCs w:val="24"/>
          <w:rtl/>
        </w:rPr>
        <w:t>ـ</w:t>
      </w:r>
      <w:r w:rsidRPr="00362D29">
        <w:rPr>
          <w:rFonts w:ascii="Traditional Arabic" w:eastAsia="Times New Roman" w:hAnsi="Traditional Arabic" w:cs="Traditional Arabic"/>
          <w:sz w:val="24"/>
          <w:szCs w:val="24"/>
          <w:rtl/>
        </w:rPr>
        <w:t>، بهدف نشر ثقافة الجودة والتميز وتحفيز المنظمات على التنافس الإيجابي. وقد شهد النموذج تطورات مستمرة لضمان مواكبته لأحدث التوجهات العالمية وأفضل الممارسات. كان آخر هذه التحديثات هو إصدار النموذج لعام 2022، والذي جاء ليعكس توجهات القيادة الرشيدة ورؤية المملكة 2030، مع التركيز على مفاهيم مثل إدارة المعرفة والتحول الرقمي (جائزة الملك عبد العزيز للجودة، 2022).</w:t>
      </w:r>
    </w:p>
    <w:p w14:paraId="7D22C0EE" w14:textId="77777777" w:rsidR="0015367F" w:rsidRPr="00362D29" w:rsidRDefault="0015367F" w:rsidP="00362D29">
      <w:pPr>
        <w:numPr>
          <w:ilvl w:val="0"/>
          <w:numId w:val="39"/>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27"/>
          <w:szCs w:val="27"/>
          <w:rtl/>
        </w:rPr>
        <w:t>النموذج والجودة</w:t>
      </w:r>
    </w:p>
    <w:p w14:paraId="395070A9" w14:textId="7A71F422" w:rsidR="0015367F" w:rsidRPr="00362D29" w:rsidRDefault="0015367F" w:rsidP="00362D29">
      <w:pPr>
        <w:bidi/>
        <w:spacing w:before="0" w:after="0" w:line="360" w:lineRule="auto"/>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 xml:space="preserve">يرتبط النموذج الوطني ارتباطاً وثيقاً بمفاهيم الجودة الشاملة، حيث لا يقتصر على تقييم النتائج النهائية فحسب، بل يمتد ليشمل تقييم العمليات والممكنات التي تؤدي إلى هذه النتائج. ويهدف النموذج إلى غرس ثقافة التحسين المستمر والجودة في نسيج المنظمات، مما يسهم في رفع كفاءة الأداء وتحسين جودة الخدمات المقدمة، وهو ما يتوافق مع التوجهات العالمية نحو الجودة 4.0 التي تعتمد على التقنيات الحديثة لتحقيق مستويات غير مسبوقة من الجودة والكفاءة </w:t>
      </w:r>
      <w:r w:rsidR="00997C5A" w:rsidRPr="00362D29">
        <w:rPr>
          <w:rFonts w:ascii="Traditional Arabic" w:eastAsia="Times New Roman" w:hAnsi="Traditional Arabic" w:cs="Traditional Arabic"/>
          <w:sz w:val="24"/>
          <w:szCs w:val="24"/>
        </w:rPr>
        <w:t>(Ahmed &amp; Sur, 2023)</w:t>
      </w:r>
      <w:r w:rsidRPr="00362D29">
        <w:rPr>
          <w:rFonts w:ascii="Traditional Arabic" w:eastAsia="Times New Roman" w:hAnsi="Traditional Arabic" w:cs="Traditional Arabic"/>
          <w:sz w:val="24"/>
          <w:szCs w:val="24"/>
          <w:rtl/>
        </w:rPr>
        <w:t>.</w:t>
      </w:r>
    </w:p>
    <w:p w14:paraId="5DFEC328" w14:textId="77777777" w:rsidR="0015367F" w:rsidRPr="00362D29" w:rsidRDefault="0015367F" w:rsidP="00362D29">
      <w:pPr>
        <w:numPr>
          <w:ilvl w:val="0"/>
          <w:numId w:val="50"/>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36"/>
          <w:szCs w:val="36"/>
          <w:rtl/>
        </w:rPr>
        <w:t>المبادئ الأساسية للتميز المؤسسي (المبادئ التسعة)</w:t>
      </w:r>
    </w:p>
    <w:p w14:paraId="1191C57A" w14:textId="77777777" w:rsidR="0015367F" w:rsidRPr="00362D29" w:rsidRDefault="0015367F" w:rsidP="00362D29">
      <w:pPr>
        <w:bidi/>
        <w:spacing w:before="0" w:after="0" w:line="360" w:lineRule="auto"/>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 xml:space="preserve">يستند النموذج الوطني للتميز المؤسسي على </w:t>
      </w:r>
      <w:r w:rsidRPr="00362D29">
        <w:rPr>
          <w:rFonts w:ascii="Traditional Arabic" w:eastAsia="Times New Roman" w:hAnsi="Traditional Arabic" w:cs="Traditional Arabic"/>
          <w:b/>
          <w:bCs/>
          <w:sz w:val="24"/>
          <w:szCs w:val="24"/>
          <w:rtl/>
        </w:rPr>
        <w:t>تسعة مبادئ جوهرية</w:t>
      </w:r>
      <w:r w:rsidRPr="00362D29">
        <w:rPr>
          <w:rFonts w:ascii="Traditional Arabic" w:eastAsia="Times New Roman" w:hAnsi="Traditional Arabic" w:cs="Traditional Arabic"/>
          <w:sz w:val="24"/>
          <w:szCs w:val="24"/>
          <w:rtl/>
        </w:rPr>
        <w:t xml:space="preserve"> تشكل الأساس الفلسفي والتوجيهي للمنظمات الساعية للتميز، وهي كالتالي (جائزة الملك عبد العزيز للجودة، 2022):</w:t>
      </w:r>
    </w:p>
    <w:p w14:paraId="20519B09" w14:textId="77777777" w:rsidR="0015367F" w:rsidRPr="00362D29" w:rsidRDefault="0015367F" w:rsidP="00362D29">
      <w:pPr>
        <w:numPr>
          <w:ilvl w:val="0"/>
          <w:numId w:val="45"/>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24"/>
          <w:szCs w:val="24"/>
          <w:rtl/>
        </w:rPr>
        <w:t>القيادة بالإلهام والقدوة الحسنة:</w:t>
      </w:r>
      <w:r w:rsidRPr="00362D29">
        <w:rPr>
          <w:rFonts w:ascii="Traditional Arabic" w:eastAsia="Times New Roman" w:hAnsi="Traditional Arabic" w:cs="Traditional Arabic"/>
          <w:sz w:val="24"/>
          <w:szCs w:val="24"/>
          <w:rtl/>
        </w:rPr>
        <w:t xml:space="preserve"> يؤكد هذا المبدأ على الدور المحوري للقيادة في توجيه المنظمة نحو التميز من خلال تحديد رؤية واضحة، وغرس القيم المؤسسية، وتوفير بيئة عمل محفزة. فالقادة المتميزون هم من يمثلون قدوة حسنة، ويلهمون العاملين، ويضمنون مواءمة الأهداف الاستراتيجية مع رؤية المملكة 2030 (البلوي وإسماعيل، 2025).</w:t>
      </w:r>
    </w:p>
    <w:p w14:paraId="75B56735" w14:textId="77777777" w:rsidR="0015367F" w:rsidRPr="00362D29" w:rsidRDefault="0015367F" w:rsidP="00362D29">
      <w:pPr>
        <w:numPr>
          <w:ilvl w:val="0"/>
          <w:numId w:val="45"/>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24"/>
          <w:szCs w:val="24"/>
          <w:rtl/>
        </w:rPr>
        <w:t>الاهتمام بالموارد البشرية:</w:t>
      </w:r>
      <w:r w:rsidRPr="00362D29">
        <w:rPr>
          <w:rFonts w:ascii="Traditional Arabic" w:eastAsia="Times New Roman" w:hAnsi="Traditional Arabic" w:cs="Traditional Arabic"/>
          <w:sz w:val="24"/>
          <w:szCs w:val="24"/>
          <w:rtl/>
        </w:rPr>
        <w:t xml:space="preserve"> يرى النموذج أن الموارد البشرية هي المحرك الأساسي للتميز. لذا، يجب على المنظمات الاهتمام بتمكين العاملين، وتطوير قدراتهم، وتوفير بيئة عمل جاذبة ومحفزة تشجع على الإبداع والابتكار، مما ينعكس إيجاباً على أدائهم ورضاهم الوظيفي (سلمان وآخرون، 2025).</w:t>
      </w:r>
    </w:p>
    <w:p w14:paraId="4B454C45" w14:textId="77777777" w:rsidR="0015367F" w:rsidRPr="00362D29" w:rsidRDefault="0015367F" w:rsidP="00362D29">
      <w:pPr>
        <w:numPr>
          <w:ilvl w:val="0"/>
          <w:numId w:val="45"/>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24"/>
          <w:szCs w:val="24"/>
          <w:rtl/>
        </w:rPr>
        <w:lastRenderedPageBreak/>
        <w:t>التركيز على المستفيدين:</w:t>
      </w:r>
      <w:r w:rsidRPr="00362D29">
        <w:rPr>
          <w:rFonts w:ascii="Traditional Arabic" w:eastAsia="Times New Roman" w:hAnsi="Traditional Arabic" w:cs="Traditional Arabic"/>
          <w:sz w:val="24"/>
          <w:szCs w:val="24"/>
          <w:rtl/>
        </w:rPr>
        <w:t xml:space="preserve"> يضع هذا المبدأ المستفيد (العميل أو المريض) في صميم اهتمامات المنظمة. فالتميز الحقيقي ينبع من فهم احتياجات المستفيدين وتوقعاتهم، وتقديم خدمات ومنتجات تفوق هذه التوقعات، مع قياس رضاهم بشكل مستمر لضمان ولائهم واستقطاب مستفيدين جدد (عشوري، 2025).</w:t>
      </w:r>
    </w:p>
    <w:p w14:paraId="3C8BE230" w14:textId="77777777" w:rsidR="0015367F" w:rsidRPr="00362D29" w:rsidRDefault="0015367F" w:rsidP="00362D29">
      <w:pPr>
        <w:numPr>
          <w:ilvl w:val="0"/>
          <w:numId w:val="45"/>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24"/>
          <w:szCs w:val="24"/>
          <w:rtl/>
        </w:rPr>
        <w:t>إدارة العمليات:</w:t>
      </w:r>
      <w:r w:rsidRPr="00362D29">
        <w:rPr>
          <w:rFonts w:ascii="Traditional Arabic" w:eastAsia="Times New Roman" w:hAnsi="Traditional Arabic" w:cs="Traditional Arabic"/>
          <w:sz w:val="24"/>
          <w:szCs w:val="24"/>
          <w:rtl/>
        </w:rPr>
        <w:t xml:space="preserve"> يشدد النموذج على أهمية إدارة العمليات الرئيسية والداعمة بفاعلية وكفاءة. ويتطلب ذلك تصميم العمليات وتوثيقها وتحسينها بشكل مستمر لضمان سلاسة الأداء، وتقليل الهدر، وزيادة الإنتاجية، مما يسهم في تحقيق الأهداف الاستراتيجية للمنظمة (منصور، 2021).</w:t>
      </w:r>
    </w:p>
    <w:p w14:paraId="5D710D39" w14:textId="77777777" w:rsidR="0015367F" w:rsidRPr="00362D29" w:rsidRDefault="0015367F" w:rsidP="00362D29">
      <w:pPr>
        <w:numPr>
          <w:ilvl w:val="0"/>
          <w:numId w:val="45"/>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24"/>
          <w:szCs w:val="24"/>
          <w:rtl/>
        </w:rPr>
        <w:t>تطوير الشراكات الناجحة:</w:t>
      </w:r>
      <w:r w:rsidRPr="00362D29">
        <w:rPr>
          <w:rFonts w:ascii="Traditional Arabic" w:eastAsia="Times New Roman" w:hAnsi="Traditional Arabic" w:cs="Traditional Arabic"/>
          <w:sz w:val="24"/>
          <w:szCs w:val="24"/>
          <w:rtl/>
        </w:rPr>
        <w:t xml:space="preserve"> يدرك النموذج أن التميز لا يمكن تحقيقه بمعزل عن الآخرين. لذا، يشجع على بناء وتطوير شراكات استراتيجية مع مختلف الأطراف المعنية (موردين، جهات حكومية، مجتمع) لتبادل المعرفة والموارد، وتعزيز القدرة التنافسية، وتحقيق أهداف مشتركة تسهم في التنمية الشاملة (الغامدي، 2024).</w:t>
      </w:r>
    </w:p>
    <w:p w14:paraId="55152FFA" w14:textId="77777777" w:rsidR="0015367F" w:rsidRPr="00362D29" w:rsidRDefault="0015367F" w:rsidP="00362D29">
      <w:pPr>
        <w:numPr>
          <w:ilvl w:val="0"/>
          <w:numId w:val="45"/>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24"/>
          <w:szCs w:val="24"/>
          <w:rtl/>
        </w:rPr>
        <w:t>التعلم والتحسين المستمر:</w:t>
      </w:r>
      <w:r w:rsidRPr="00362D29">
        <w:rPr>
          <w:rFonts w:ascii="Traditional Arabic" w:eastAsia="Times New Roman" w:hAnsi="Traditional Arabic" w:cs="Traditional Arabic"/>
          <w:sz w:val="24"/>
          <w:szCs w:val="24"/>
          <w:rtl/>
        </w:rPr>
        <w:t xml:space="preserve"> يعتبر هذا المبدأ أساساً لاستدامة التميز، حيث يدعو المنظمات إلى تبني ثقافة التعلم من التجارب والممارسات، وإجراء مقارنات معيارية مع أفضل المنظمات، وتطبيق منهجيات التحسين المستمر (كايزن ودائرة </w:t>
      </w:r>
      <w:r w:rsidRPr="00362D29">
        <w:rPr>
          <w:rFonts w:ascii="Traditional Arabic" w:eastAsia="Times New Roman" w:hAnsi="Traditional Arabic" w:cs="Traditional Arabic"/>
          <w:sz w:val="24"/>
          <w:szCs w:val="24"/>
        </w:rPr>
        <w:t>PDCA</w:t>
      </w:r>
      <w:r w:rsidRPr="00362D29">
        <w:rPr>
          <w:rFonts w:ascii="Traditional Arabic" w:eastAsia="Times New Roman" w:hAnsi="Traditional Arabic" w:cs="Traditional Arabic"/>
          <w:sz w:val="24"/>
          <w:szCs w:val="24"/>
          <w:rtl/>
        </w:rPr>
        <w:t>) لضمان التطور المستمر في الأداء والخدمات (أحمد، 2025).</w:t>
      </w:r>
    </w:p>
    <w:p w14:paraId="28DE75B8" w14:textId="77777777" w:rsidR="0015367F" w:rsidRPr="00362D29" w:rsidRDefault="0015367F" w:rsidP="00362D29">
      <w:pPr>
        <w:numPr>
          <w:ilvl w:val="0"/>
          <w:numId w:val="45"/>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24"/>
          <w:szCs w:val="24"/>
          <w:rtl/>
        </w:rPr>
        <w:t>تعزيز الإبداع وتسخير الابتكار:</w:t>
      </w:r>
      <w:r w:rsidRPr="00362D29">
        <w:rPr>
          <w:rFonts w:ascii="Traditional Arabic" w:eastAsia="Times New Roman" w:hAnsi="Traditional Arabic" w:cs="Traditional Arabic"/>
          <w:sz w:val="24"/>
          <w:szCs w:val="24"/>
          <w:rtl/>
        </w:rPr>
        <w:t xml:space="preserve"> يمثل الإبداع والابتكار ميزة تنافسية حاسمة في العصر الحديث. ويحث النموذج المنظمات على توفير بيئة تشجع على توليد الأفكار الجديدة، وتطوير المنتجات والخدمات المبتكرة، والاستفادة من التقنيات الحديثة لتعزيز قدرتها على التكيف مع المتغيرات وتحقيق الريادة (الرويلي وظفرة، 2025).</w:t>
      </w:r>
    </w:p>
    <w:p w14:paraId="7956DCE5" w14:textId="002A88FF" w:rsidR="0015367F" w:rsidRPr="00362D29" w:rsidRDefault="0015367F" w:rsidP="00362D29">
      <w:pPr>
        <w:numPr>
          <w:ilvl w:val="0"/>
          <w:numId w:val="45"/>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24"/>
          <w:szCs w:val="24"/>
          <w:rtl/>
        </w:rPr>
        <w:t>المساهمة في التنمية المستدامة:</w:t>
      </w:r>
      <w:r w:rsidRPr="00362D29">
        <w:rPr>
          <w:rFonts w:ascii="Traditional Arabic" w:eastAsia="Times New Roman" w:hAnsi="Traditional Arabic" w:cs="Traditional Arabic"/>
          <w:sz w:val="24"/>
          <w:szCs w:val="24"/>
          <w:rtl/>
        </w:rPr>
        <w:t xml:space="preserve"> يؤكد هذا المبدأ على المسؤولية المجتمعية للمنظمات ودورها في تحقيق التنمية المستدامة. ويتطلب ذلك الموازنة بين الأهداف الاقتصادية والاجتماعية والبيئية، والالتزام بالشفافية والممارسات الأخلاقية، والمساهمة الفاعلة في خدمة المجتمع (عبد البصير، 2021).</w:t>
      </w:r>
    </w:p>
    <w:p w14:paraId="14654138" w14:textId="77777777" w:rsidR="0015367F" w:rsidRPr="00362D29" w:rsidRDefault="0015367F" w:rsidP="00362D29">
      <w:pPr>
        <w:numPr>
          <w:ilvl w:val="0"/>
          <w:numId w:val="45"/>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24"/>
          <w:szCs w:val="24"/>
          <w:rtl/>
        </w:rPr>
        <w:t>تحقيق نتائج متفوقة ومستدامة:</w:t>
      </w:r>
      <w:r w:rsidRPr="00362D29">
        <w:rPr>
          <w:rFonts w:ascii="Traditional Arabic" w:eastAsia="Times New Roman" w:hAnsi="Traditional Arabic" w:cs="Traditional Arabic"/>
          <w:sz w:val="24"/>
          <w:szCs w:val="24"/>
          <w:rtl/>
        </w:rPr>
        <w:t xml:space="preserve"> يهدف النموذج في نهاية المطاف إلى تحقيق نتائج متميزة ومستدامة في جميع جوانب الأداء. ويجب أن تكون هذه النتائج شاملة، وإيجابية، ومتوافقة مع أهداف رؤية المملكة 2030، وأن تعكس التزام المنظمة بالتحسين المستمر والتميز (</w:t>
      </w:r>
      <w:r w:rsidRPr="00362D29">
        <w:rPr>
          <w:rFonts w:ascii="Traditional Arabic" w:eastAsia="Times New Roman" w:hAnsi="Traditional Arabic" w:cs="Traditional Arabic"/>
          <w:sz w:val="24"/>
          <w:szCs w:val="24"/>
        </w:rPr>
        <w:t>Mohamed et al., 2018</w:t>
      </w:r>
      <w:r w:rsidRPr="00362D29">
        <w:rPr>
          <w:rFonts w:ascii="Traditional Arabic" w:eastAsia="Times New Roman" w:hAnsi="Traditional Arabic" w:cs="Traditional Arabic"/>
          <w:sz w:val="24"/>
          <w:szCs w:val="24"/>
          <w:rtl/>
        </w:rPr>
        <w:t>).</w:t>
      </w:r>
    </w:p>
    <w:p w14:paraId="0B83B6EC" w14:textId="77777777" w:rsidR="0015367F" w:rsidRPr="00362D29" w:rsidRDefault="0015367F" w:rsidP="00362D29">
      <w:pPr>
        <w:numPr>
          <w:ilvl w:val="0"/>
          <w:numId w:val="39"/>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36"/>
          <w:szCs w:val="36"/>
          <w:rtl/>
        </w:rPr>
        <w:t>معايير التقييم</w:t>
      </w:r>
      <w:r w:rsidRPr="00362D29">
        <w:rPr>
          <w:rFonts w:ascii="Traditional Arabic" w:eastAsia="Times New Roman" w:hAnsi="Traditional Arabic" w:cs="Traditional Arabic"/>
          <w:sz w:val="24"/>
          <w:szCs w:val="24"/>
          <w:rtl/>
        </w:rPr>
        <w:t xml:space="preserve"> </w:t>
      </w:r>
    </w:p>
    <w:p w14:paraId="570D2A57" w14:textId="77777777" w:rsidR="0015367F" w:rsidRPr="00362D29" w:rsidRDefault="0015367F" w:rsidP="00362D29">
      <w:pPr>
        <w:bidi/>
        <w:spacing w:before="0" w:after="0" w:line="360" w:lineRule="auto"/>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يعتمد النموذج الوطني للتميز المؤسسي على ثمانية معايير رئيسية، مقسمة إلى مجموعتين (جائزة الملك عبد العزيز للجودة، 2022):</w:t>
      </w:r>
    </w:p>
    <w:p w14:paraId="2F1E24B2" w14:textId="77777777" w:rsidR="0015367F" w:rsidRPr="00362D29" w:rsidRDefault="0015367F" w:rsidP="00362D29">
      <w:pPr>
        <w:numPr>
          <w:ilvl w:val="0"/>
          <w:numId w:val="44"/>
        </w:numPr>
        <w:bidi/>
        <w:spacing w:before="0" w:after="0" w:line="360" w:lineRule="auto"/>
        <w:contextualSpacing/>
        <w:jc w:val="both"/>
        <w:rPr>
          <w:rFonts w:ascii="Traditional Arabic" w:eastAsia="Times New Roman" w:hAnsi="Traditional Arabic" w:cs="Traditional Arabic"/>
          <w:b/>
          <w:bCs/>
          <w:sz w:val="27"/>
          <w:szCs w:val="27"/>
          <w:rtl/>
        </w:rPr>
      </w:pPr>
      <w:r w:rsidRPr="00362D29">
        <w:rPr>
          <w:rFonts w:ascii="Traditional Arabic" w:eastAsia="Times New Roman" w:hAnsi="Traditional Arabic" w:cs="Traditional Arabic"/>
          <w:b/>
          <w:bCs/>
          <w:sz w:val="27"/>
          <w:szCs w:val="27"/>
          <w:rtl/>
        </w:rPr>
        <w:t>المجموعة الأولى : معايير الممكنات</w:t>
      </w:r>
      <w:r w:rsidRPr="00362D29">
        <w:rPr>
          <w:rFonts w:ascii="Traditional Arabic" w:eastAsia="Times New Roman" w:hAnsi="Traditional Arabic" w:cs="Traditional Arabic"/>
          <w:b/>
          <w:bCs/>
          <w:sz w:val="27"/>
          <w:szCs w:val="27"/>
        </w:rPr>
        <w:t xml:space="preserve">(Enablers) </w:t>
      </w:r>
      <w:r w:rsidRPr="00362D29">
        <w:rPr>
          <w:rFonts w:ascii="Traditional Arabic" w:eastAsia="Times New Roman" w:hAnsi="Traditional Arabic" w:cs="Traditional Arabic"/>
          <w:b/>
          <w:bCs/>
          <w:sz w:val="27"/>
          <w:szCs w:val="27"/>
          <w:rtl/>
        </w:rPr>
        <w:t xml:space="preserve"> - (5) معايير  </w:t>
      </w:r>
    </w:p>
    <w:p w14:paraId="32729961" w14:textId="77777777" w:rsidR="0015367F" w:rsidRPr="00362D29" w:rsidRDefault="0015367F" w:rsidP="00362D29">
      <w:pPr>
        <w:bidi/>
        <w:spacing w:before="0" w:after="0" w:line="360" w:lineRule="auto"/>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 xml:space="preserve">تركز هذه المعايير على </w:t>
      </w:r>
      <w:r w:rsidRPr="00362D29">
        <w:rPr>
          <w:rFonts w:ascii="Traditional Arabic" w:eastAsia="Times New Roman" w:hAnsi="Traditional Arabic" w:cs="Traditional Arabic"/>
          <w:b/>
          <w:bCs/>
          <w:sz w:val="24"/>
          <w:szCs w:val="24"/>
          <w:rtl/>
        </w:rPr>
        <w:t>كيفية تحقيق المنظمة للتميز</w:t>
      </w:r>
      <w:r w:rsidRPr="00362D29">
        <w:rPr>
          <w:rFonts w:ascii="Traditional Arabic" w:eastAsia="Times New Roman" w:hAnsi="Traditional Arabic" w:cs="Traditional Arabic"/>
          <w:sz w:val="24"/>
          <w:szCs w:val="24"/>
          <w:rtl/>
        </w:rPr>
        <w:t xml:space="preserve"> من خلال الممارسات والعمليات. وتشمل:</w:t>
      </w:r>
    </w:p>
    <w:p w14:paraId="7172FA79" w14:textId="77777777" w:rsidR="0015367F" w:rsidRPr="00362D29" w:rsidRDefault="0015367F" w:rsidP="00362D29">
      <w:pPr>
        <w:numPr>
          <w:ilvl w:val="0"/>
          <w:numId w:val="46"/>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lastRenderedPageBreak/>
        <w:t>القيادة الإدارية: تقييم مدى فاعلية القيادة في تحديد التوجه الاستراتيجي، ومراجعة الأداء، وتعزيز العلاقات مع الأطراف المعنية، ودعم ثقافة الجودة والابتكار، وإدارة المخاطر والتغيير.</w:t>
      </w:r>
    </w:p>
    <w:p w14:paraId="62FFE4CC" w14:textId="77777777" w:rsidR="0015367F" w:rsidRPr="00362D29" w:rsidRDefault="0015367F" w:rsidP="00362D29">
      <w:pPr>
        <w:numPr>
          <w:ilvl w:val="0"/>
          <w:numId w:val="46"/>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التخطيط الاستراتيجي: تقييم كيفية إعداد ونشر وتطبيق ومراجعة الخطط الاستراتيجية لضمان تحقيق الأهداف ومواءمتها مع الرؤى الوطنية.</w:t>
      </w:r>
    </w:p>
    <w:p w14:paraId="0DF9553B" w14:textId="77777777" w:rsidR="0015367F" w:rsidRPr="00362D29" w:rsidRDefault="0015367F" w:rsidP="00362D29">
      <w:pPr>
        <w:numPr>
          <w:ilvl w:val="0"/>
          <w:numId w:val="46"/>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الموارد البشرية: تقييم كيفية تخطيط وإدارة وتطوير وتمكين الموارد البشرية، وتوفير بيئة عمل محفزة، وتعزيز التواصل والعمل التطوعي.</w:t>
      </w:r>
    </w:p>
    <w:p w14:paraId="31477A39" w14:textId="77777777" w:rsidR="0015367F" w:rsidRPr="00362D29" w:rsidRDefault="0015367F" w:rsidP="00362D29">
      <w:pPr>
        <w:numPr>
          <w:ilvl w:val="0"/>
          <w:numId w:val="46"/>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الموارد والشراكات: تقييم كيفية إدارة الشراكات الاستراتيجية، والموارد المالية، والمرافق، والتحول الرقمي، وإدارة المعرفة لدعم أهداف المنظمة.</w:t>
      </w:r>
    </w:p>
    <w:p w14:paraId="1E28A29E" w14:textId="77777777" w:rsidR="0015367F" w:rsidRPr="00362D29" w:rsidRDefault="0015367F" w:rsidP="00362D29">
      <w:pPr>
        <w:numPr>
          <w:ilvl w:val="0"/>
          <w:numId w:val="46"/>
        </w:numPr>
        <w:bidi/>
        <w:spacing w:before="0" w:after="0" w:line="360" w:lineRule="auto"/>
        <w:contextualSpacing/>
        <w:jc w:val="both"/>
        <w:rPr>
          <w:rFonts w:ascii="Traditional Arabic" w:eastAsia="Times New Roman" w:hAnsi="Traditional Arabic" w:cs="Traditional Arabic"/>
          <w:sz w:val="24"/>
          <w:szCs w:val="24"/>
        </w:rPr>
      </w:pPr>
      <w:r w:rsidRPr="00362D29">
        <w:rPr>
          <w:rFonts w:ascii="Traditional Arabic" w:eastAsia="Times New Roman" w:hAnsi="Traditional Arabic" w:cs="Traditional Arabic"/>
          <w:sz w:val="24"/>
          <w:szCs w:val="24"/>
          <w:rtl/>
        </w:rPr>
        <w:t>إدارة العمليات والمنتجات والخدمات : تقييم كيفية تصميم وتحديد وإدارة العمليات والمنتجات والخدمات، وتحسينها المستمر، وتسويقها، وإدارة العلاقة مع المستفيدين</w:t>
      </w:r>
    </w:p>
    <w:p w14:paraId="17F34CEF" w14:textId="77777777" w:rsidR="0015367F" w:rsidRPr="00362D29" w:rsidRDefault="0015367F" w:rsidP="00362D29">
      <w:pPr>
        <w:numPr>
          <w:ilvl w:val="0"/>
          <w:numId w:val="44"/>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27"/>
          <w:szCs w:val="27"/>
          <w:rtl/>
        </w:rPr>
        <w:t xml:space="preserve">المجموعة الثانية : معايير النتائج </w:t>
      </w:r>
      <w:r w:rsidRPr="00362D29">
        <w:rPr>
          <w:rFonts w:ascii="Traditional Arabic" w:eastAsia="Times New Roman" w:hAnsi="Traditional Arabic" w:cs="Traditional Arabic"/>
          <w:b/>
          <w:bCs/>
          <w:sz w:val="27"/>
          <w:szCs w:val="27"/>
        </w:rPr>
        <w:t xml:space="preserve">(Results) </w:t>
      </w:r>
      <w:r w:rsidRPr="00362D29">
        <w:rPr>
          <w:rFonts w:ascii="Traditional Arabic" w:eastAsia="Times New Roman" w:hAnsi="Traditional Arabic" w:cs="Traditional Arabic"/>
          <w:b/>
          <w:bCs/>
          <w:sz w:val="27"/>
          <w:szCs w:val="27"/>
          <w:rtl/>
        </w:rPr>
        <w:t xml:space="preserve"> </w:t>
      </w:r>
    </w:p>
    <w:p w14:paraId="6BDB35E1" w14:textId="77777777" w:rsidR="0015367F" w:rsidRPr="00362D29" w:rsidRDefault="0015367F" w:rsidP="00362D29">
      <w:pPr>
        <w:bidi/>
        <w:spacing w:before="0" w:after="0" w:line="360" w:lineRule="auto"/>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 xml:space="preserve">تركز هذه المعايير على </w:t>
      </w:r>
      <w:r w:rsidRPr="00362D29">
        <w:rPr>
          <w:rFonts w:ascii="Traditional Arabic" w:eastAsia="Times New Roman" w:hAnsi="Traditional Arabic" w:cs="Traditional Arabic"/>
          <w:b/>
          <w:bCs/>
          <w:sz w:val="24"/>
          <w:szCs w:val="24"/>
          <w:rtl/>
        </w:rPr>
        <w:t>ما حققته المنظمة من إنجازات</w:t>
      </w:r>
      <w:r w:rsidRPr="00362D29">
        <w:rPr>
          <w:rFonts w:ascii="Traditional Arabic" w:eastAsia="Times New Roman" w:hAnsi="Traditional Arabic" w:cs="Traditional Arabic"/>
          <w:sz w:val="24"/>
          <w:szCs w:val="24"/>
          <w:rtl/>
        </w:rPr>
        <w:t>. وتشمل:</w:t>
      </w:r>
    </w:p>
    <w:p w14:paraId="53AED666" w14:textId="77777777" w:rsidR="0015367F" w:rsidRPr="00362D29" w:rsidRDefault="0015367F" w:rsidP="00362D29">
      <w:pPr>
        <w:numPr>
          <w:ilvl w:val="0"/>
          <w:numId w:val="47"/>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24"/>
          <w:szCs w:val="24"/>
          <w:rtl/>
        </w:rPr>
        <w:t>نتائج المستفيدين:</w:t>
      </w:r>
      <w:r w:rsidRPr="00362D29">
        <w:rPr>
          <w:rFonts w:ascii="Traditional Arabic" w:eastAsia="Times New Roman" w:hAnsi="Traditional Arabic" w:cs="Traditional Arabic"/>
          <w:sz w:val="24"/>
          <w:szCs w:val="24"/>
          <w:rtl/>
        </w:rPr>
        <w:t xml:space="preserve"> تقييم آراء المستفيدين ومؤشرات الأداء المتعلقة برضاهم وولائهم وتوقعاتهم (</w:t>
      </w:r>
      <w:r w:rsidRPr="00362D29">
        <w:rPr>
          <w:rFonts w:ascii="Traditional Arabic" w:eastAsia="Times New Roman" w:hAnsi="Traditional Arabic" w:cs="Traditional Arabic"/>
          <w:sz w:val="24"/>
          <w:szCs w:val="24"/>
        </w:rPr>
        <w:t>Alhuseini et al., 2025</w:t>
      </w:r>
      <w:r w:rsidRPr="00362D29">
        <w:rPr>
          <w:rFonts w:ascii="Traditional Arabic" w:eastAsia="Times New Roman" w:hAnsi="Traditional Arabic" w:cs="Traditional Arabic"/>
          <w:sz w:val="24"/>
          <w:szCs w:val="24"/>
          <w:rtl/>
        </w:rPr>
        <w:t>).</w:t>
      </w:r>
    </w:p>
    <w:p w14:paraId="7563E2FD" w14:textId="77777777" w:rsidR="0015367F" w:rsidRPr="00362D29" w:rsidRDefault="0015367F" w:rsidP="00362D29">
      <w:pPr>
        <w:numPr>
          <w:ilvl w:val="0"/>
          <w:numId w:val="47"/>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24"/>
          <w:szCs w:val="24"/>
          <w:rtl/>
        </w:rPr>
        <w:t>نتائج الموارد البشرية:</w:t>
      </w:r>
      <w:r w:rsidRPr="00362D29">
        <w:rPr>
          <w:rFonts w:ascii="Traditional Arabic" w:eastAsia="Times New Roman" w:hAnsi="Traditional Arabic" w:cs="Traditional Arabic"/>
          <w:sz w:val="24"/>
          <w:szCs w:val="24"/>
          <w:rtl/>
        </w:rPr>
        <w:t xml:space="preserve"> تقييم آراء الموارد البشرية ومؤشرات الأداء المتعلقة برضاهم، ومشاركتهم، وتطويرهم، وبيئة عملهم.</w:t>
      </w:r>
    </w:p>
    <w:p w14:paraId="11D7C6C4" w14:textId="073130CA" w:rsidR="0015367F" w:rsidRPr="00362D29" w:rsidRDefault="0015367F" w:rsidP="00362D29">
      <w:pPr>
        <w:numPr>
          <w:ilvl w:val="0"/>
          <w:numId w:val="47"/>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24"/>
          <w:szCs w:val="24"/>
          <w:rtl/>
        </w:rPr>
        <w:t>نتائج الأداء الرئيسية:</w:t>
      </w:r>
      <w:r w:rsidRPr="00362D29">
        <w:rPr>
          <w:rFonts w:ascii="Traditional Arabic" w:eastAsia="Times New Roman" w:hAnsi="Traditional Arabic" w:cs="Traditional Arabic"/>
          <w:sz w:val="24"/>
          <w:szCs w:val="24"/>
          <w:rtl/>
        </w:rPr>
        <w:t xml:space="preserve"> تقييم مخرجات الأعمال الرئيسية ومؤشرات الأداء التشغيلية والمالية والمجتمعية التي تعكس تحقيق الأهداف الاستراتيجية (</w:t>
      </w:r>
      <w:r w:rsidRPr="00362D29">
        <w:rPr>
          <w:rFonts w:ascii="Traditional Arabic" w:eastAsia="Times New Roman" w:hAnsi="Traditional Arabic" w:cs="Traditional Arabic"/>
          <w:sz w:val="24"/>
          <w:szCs w:val="24"/>
        </w:rPr>
        <w:t>Alsaleem, 2025</w:t>
      </w:r>
      <w:r w:rsidRPr="00362D29">
        <w:rPr>
          <w:rFonts w:ascii="Traditional Arabic" w:eastAsia="Times New Roman" w:hAnsi="Traditional Arabic" w:cs="Traditional Arabic"/>
          <w:sz w:val="24"/>
          <w:szCs w:val="24"/>
          <w:rtl/>
        </w:rPr>
        <w:t>).</w:t>
      </w:r>
    </w:p>
    <w:p w14:paraId="1DF10D7E" w14:textId="77777777" w:rsidR="0015367F" w:rsidRPr="00362D29" w:rsidRDefault="0015367F" w:rsidP="00362D29">
      <w:pPr>
        <w:numPr>
          <w:ilvl w:val="0"/>
          <w:numId w:val="39"/>
        </w:numPr>
        <w:bidi/>
        <w:spacing w:before="0" w:after="0" w:line="360" w:lineRule="auto"/>
        <w:contextualSpacing/>
        <w:jc w:val="both"/>
        <w:rPr>
          <w:rFonts w:ascii="Traditional Arabic" w:eastAsia="Times New Roman" w:hAnsi="Traditional Arabic" w:cs="Traditional Arabic"/>
          <w:b/>
          <w:bCs/>
          <w:sz w:val="36"/>
          <w:szCs w:val="36"/>
          <w:rtl/>
        </w:rPr>
      </w:pPr>
      <w:r w:rsidRPr="00362D29">
        <w:rPr>
          <w:rFonts w:ascii="Traditional Arabic" w:eastAsia="Times New Roman" w:hAnsi="Traditional Arabic" w:cs="Traditional Arabic"/>
          <w:b/>
          <w:bCs/>
          <w:sz w:val="36"/>
          <w:szCs w:val="36"/>
          <w:rtl/>
        </w:rPr>
        <w:t>أداة القياس "إتقان</w:t>
      </w:r>
    </w:p>
    <w:p w14:paraId="439F6EC5" w14:textId="77777777" w:rsidR="0015367F" w:rsidRPr="00362D29" w:rsidRDefault="0015367F" w:rsidP="00362D29">
      <w:pPr>
        <w:numPr>
          <w:ilvl w:val="0"/>
          <w:numId w:val="48"/>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27"/>
          <w:szCs w:val="27"/>
          <w:rtl/>
        </w:rPr>
        <w:t>التعريف</w:t>
      </w:r>
    </w:p>
    <w:p w14:paraId="566946CB" w14:textId="77777777" w:rsidR="0015367F" w:rsidRPr="00362D29" w:rsidRDefault="0015367F" w:rsidP="00362D29">
      <w:pPr>
        <w:bidi/>
        <w:spacing w:before="0" w:after="0" w:line="360" w:lineRule="auto"/>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24"/>
          <w:szCs w:val="24"/>
          <w:rtl/>
        </w:rPr>
        <w:t>"إتقان"</w:t>
      </w:r>
      <w:r w:rsidRPr="00362D29">
        <w:rPr>
          <w:rFonts w:ascii="Traditional Arabic" w:eastAsia="Times New Roman" w:hAnsi="Traditional Arabic" w:cs="Traditional Arabic"/>
          <w:sz w:val="24"/>
          <w:szCs w:val="24"/>
          <w:rtl/>
        </w:rPr>
        <w:t xml:space="preserve"> هي أداة التقييم الذاتي المعتمدة من قبل جائزة الملك عبد العزيز للجودة، وهي مصممة لمساعدة المنظمات على تقييم أدائها بشكل منهجي وموضوعي وفقاً لمعايير النموذج الوطني للتميز المؤسسي. تهدف الأداة إلى تحديد نقاط القوة وفرص التحسين، وتوجيه المنظمات نحو صياغة خطط عمل فعالة لتحقيق التميز (جائزة الملك عبد العزيز للجودة، 2022)</w:t>
      </w:r>
    </w:p>
    <w:p w14:paraId="1FCDC1AD" w14:textId="77777777" w:rsidR="0015367F" w:rsidRPr="00362D29" w:rsidRDefault="0015367F" w:rsidP="00362D29">
      <w:pPr>
        <w:numPr>
          <w:ilvl w:val="0"/>
          <w:numId w:val="48"/>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27"/>
          <w:szCs w:val="27"/>
          <w:rtl/>
        </w:rPr>
        <w:t>المكونات الرئيسية لأداة "إتقان"</w:t>
      </w:r>
    </w:p>
    <w:p w14:paraId="338BBADA" w14:textId="77777777" w:rsidR="0015367F" w:rsidRPr="00362D29" w:rsidRDefault="0015367F" w:rsidP="00362D29">
      <w:pPr>
        <w:bidi/>
        <w:spacing w:before="0" w:after="0" w:line="360" w:lineRule="auto"/>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 xml:space="preserve">تتكون أداة "إتقان" من </w:t>
      </w:r>
      <w:r w:rsidRPr="00362D29">
        <w:rPr>
          <w:rFonts w:ascii="Traditional Arabic" w:eastAsia="Times New Roman" w:hAnsi="Traditional Arabic" w:cs="Traditional Arabic"/>
          <w:b/>
          <w:bCs/>
          <w:sz w:val="24"/>
          <w:szCs w:val="24"/>
          <w:rtl/>
        </w:rPr>
        <w:t>خمس مكونات رئيسية</w:t>
      </w:r>
      <w:r w:rsidRPr="00362D29">
        <w:rPr>
          <w:rFonts w:ascii="Traditional Arabic" w:eastAsia="Times New Roman" w:hAnsi="Traditional Arabic" w:cs="Traditional Arabic"/>
          <w:sz w:val="24"/>
          <w:szCs w:val="24"/>
          <w:rtl/>
        </w:rPr>
        <w:t>، تضمن تقييماً شاملاً ومتوازناً لأداء المنظمة:</w:t>
      </w:r>
    </w:p>
    <w:p w14:paraId="128C0F18" w14:textId="77777777" w:rsidR="0015367F" w:rsidRPr="00362D29" w:rsidRDefault="0015367F" w:rsidP="00362D29">
      <w:pPr>
        <w:numPr>
          <w:ilvl w:val="0"/>
          <w:numId w:val="49"/>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24"/>
          <w:szCs w:val="24"/>
          <w:rtl/>
        </w:rPr>
        <w:t>التقييم الذاتي (</w:t>
      </w:r>
      <w:r w:rsidRPr="00362D29">
        <w:rPr>
          <w:rFonts w:ascii="Traditional Arabic" w:eastAsia="Times New Roman" w:hAnsi="Traditional Arabic" w:cs="Traditional Arabic"/>
          <w:b/>
          <w:bCs/>
          <w:sz w:val="24"/>
          <w:szCs w:val="24"/>
        </w:rPr>
        <w:t>Self-Assessment</w:t>
      </w:r>
      <w:r w:rsidRPr="00362D29">
        <w:rPr>
          <w:rFonts w:ascii="Traditional Arabic" w:eastAsia="Times New Roman" w:hAnsi="Traditional Arabic" w:cs="Traditional Arabic"/>
          <w:b/>
          <w:bCs/>
          <w:sz w:val="24"/>
          <w:szCs w:val="24"/>
          <w:rtl/>
        </w:rPr>
        <w:t>):</w:t>
      </w:r>
      <w:r w:rsidRPr="00362D29">
        <w:rPr>
          <w:rFonts w:ascii="Traditional Arabic" w:eastAsia="Times New Roman" w:hAnsi="Traditional Arabic" w:cs="Traditional Arabic"/>
          <w:sz w:val="24"/>
          <w:szCs w:val="24"/>
          <w:rtl/>
        </w:rPr>
        <w:t xml:space="preserve"> تقوم المنظمة بتقييم أدائها بنفسها بناءً على معايير النموذج، مما يعزز الفهم الداخلي لنقاط القوة والضعف.</w:t>
      </w:r>
    </w:p>
    <w:p w14:paraId="222BD3A7" w14:textId="77777777" w:rsidR="0015367F" w:rsidRPr="00362D29" w:rsidRDefault="0015367F" w:rsidP="00362D29">
      <w:pPr>
        <w:numPr>
          <w:ilvl w:val="0"/>
          <w:numId w:val="49"/>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24"/>
          <w:szCs w:val="24"/>
          <w:rtl/>
        </w:rPr>
        <w:lastRenderedPageBreak/>
        <w:t>الوثائق والأدلة (</w:t>
      </w:r>
      <w:r w:rsidRPr="00362D29">
        <w:rPr>
          <w:rFonts w:ascii="Traditional Arabic" w:eastAsia="Times New Roman" w:hAnsi="Traditional Arabic" w:cs="Traditional Arabic"/>
          <w:b/>
          <w:bCs/>
          <w:sz w:val="24"/>
          <w:szCs w:val="24"/>
        </w:rPr>
        <w:t>Documentation and Evidence</w:t>
      </w:r>
      <w:r w:rsidRPr="00362D29">
        <w:rPr>
          <w:rFonts w:ascii="Traditional Arabic" w:eastAsia="Times New Roman" w:hAnsi="Traditional Arabic" w:cs="Traditional Arabic"/>
          <w:b/>
          <w:bCs/>
          <w:sz w:val="24"/>
          <w:szCs w:val="24"/>
          <w:rtl/>
        </w:rPr>
        <w:t>):</w:t>
      </w:r>
      <w:r w:rsidRPr="00362D29">
        <w:rPr>
          <w:rFonts w:ascii="Traditional Arabic" w:eastAsia="Times New Roman" w:hAnsi="Traditional Arabic" w:cs="Traditional Arabic"/>
          <w:sz w:val="24"/>
          <w:szCs w:val="24"/>
          <w:rtl/>
        </w:rPr>
        <w:t xml:space="preserve"> يتطلب التقييم تقديم وثائق وأدلة موثوقة تدعم الممارسات والنتائج التي تم الإبلاغ عنها.</w:t>
      </w:r>
    </w:p>
    <w:p w14:paraId="06636F89" w14:textId="77777777" w:rsidR="0015367F" w:rsidRPr="00362D29" w:rsidRDefault="0015367F" w:rsidP="00362D29">
      <w:pPr>
        <w:numPr>
          <w:ilvl w:val="0"/>
          <w:numId w:val="49"/>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24"/>
          <w:szCs w:val="24"/>
          <w:rtl/>
        </w:rPr>
        <w:t>الزيارات الميدانية (</w:t>
      </w:r>
      <w:r w:rsidRPr="00362D29">
        <w:rPr>
          <w:rFonts w:ascii="Traditional Arabic" w:eastAsia="Times New Roman" w:hAnsi="Traditional Arabic" w:cs="Traditional Arabic"/>
          <w:b/>
          <w:bCs/>
          <w:sz w:val="24"/>
          <w:szCs w:val="24"/>
        </w:rPr>
        <w:t>Site Visits</w:t>
      </w:r>
      <w:r w:rsidRPr="00362D29">
        <w:rPr>
          <w:rFonts w:ascii="Traditional Arabic" w:eastAsia="Times New Roman" w:hAnsi="Traditional Arabic" w:cs="Traditional Arabic"/>
          <w:b/>
          <w:bCs/>
          <w:sz w:val="24"/>
          <w:szCs w:val="24"/>
          <w:rtl/>
        </w:rPr>
        <w:t>):</w:t>
      </w:r>
      <w:r w:rsidRPr="00362D29">
        <w:rPr>
          <w:rFonts w:ascii="Traditional Arabic" w:eastAsia="Times New Roman" w:hAnsi="Traditional Arabic" w:cs="Traditional Arabic"/>
          <w:sz w:val="24"/>
          <w:szCs w:val="24"/>
          <w:rtl/>
        </w:rPr>
        <w:t xml:space="preserve"> يقوم مقيمون خارجيون بزيارات ميدانية للتحقق من صحة المعلومات المقدمة وملاحظة الممارسات على أرض الواقع.</w:t>
      </w:r>
    </w:p>
    <w:p w14:paraId="2FBA8149" w14:textId="77777777" w:rsidR="0015367F" w:rsidRPr="00362D29" w:rsidRDefault="0015367F" w:rsidP="00362D29">
      <w:pPr>
        <w:numPr>
          <w:ilvl w:val="0"/>
          <w:numId w:val="49"/>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تقرير التغذية الراجعة (</w:t>
      </w:r>
      <w:r w:rsidRPr="00362D29">
        <w:rPr>
          <w:rFonts w:ascii="Traditional Arabic" w:eastAsia="Times New Roman" w:hAnsi="Traditional Arabic" w:cs="Traditional Arabic"/>
          <w:sz w:val="24"/>
          <w:szCs w:val="24"/>
        </w:rPr>
        <w:t>Feedback Report</w:t>
      </w:r>
      <w:r w:rsidRPr="00362D29">
        <w:rPr>
          <w:rFonts w:ascii="Traditional Arabic" w:eastAsia="Times New Roman" w:hAnsi="Traditional Arabic" w:cs="Traditional Arabic"/>
          <w:sz w:val="24"/>
          <w:szCs w:val="24"/>
          <w:rtl/>
        </w:rPr>
        <w:t>): يتم تزويد المنظمة بتقرير مفصل يتضمن نقاط القوة وفرص التحسين، مع توصيات محددة.</w:t>
      </w:r>
    </w:p>
    <w:p w14:paraId="20FE8EEF" w14:textId="77777777" w:rsidR="0015367F" w:rsidRPr="00362D29" w:rsidRDefault="0015367F" w:rsidP="00362D29">
      <w:pPr>
        <w:numPr>
          <w:ilvl w:val="0"/>
          <w:numId w:val="49"/>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خطة التحسين (</w:t>
      </w:r>
      <w:r w:rsidRPr="00362D29">
        <w:rPr>
          <w:rFonts w:ascii="Traditional Arabic" w:eastAsia="Times New Roman" w:hAnsi="Traditional Arabic" w:cs="Traditional Arabic"/>
          <w:sz w:val="24"/>
          <w:szCs w:val="24"/>
        </w:rPr>
        <w:t>Improvement Plan</w:t>
      </w:r>
      <w:r w:rsidRPr="00362D29">
        <w:rPr>
          <w:rFonts w:ascii="Traditional Arabic" w:eastAsia="Times New Roman" w:hAnsi="Traditional Arabic" w:cs="Traditional Arabic"/>
          <w:sz w:val="24"/>
          <w:szCs w:val="24"/>
          <w:rtl/>
        </w:rPr>
        <w:t>): بناءً على التقرير، تقوم المنظمة بوضع خطة عمل تفصيلية لمعالجة فرص التحسين وتحقيق مستويات أعلى من التميز.</w:t>
      </w:r>
    </w:p>
    <w:p w14:paraId="7B4E07C0" w14:textId="4C834658" w:rsidR="0015367F" w:rsidRPr="00362D29" w:rsidRDefault="0015367F" w:rsidP="00362D29">
      <w:pPr>
        <w:bidi/>
        <w:spacing w:before="0" w:after="0" w:line="360" w:lineRule="auto"/>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بهذا التوصيف الشامل، يمثل النموذج الوطني للتميز المؤسسي إطاراً متيناً للدراسة الحالية، حيث يوفر الأسس النظرية والمنهجية لتحليل أثر التميز المؤسسي على جودة تجربة المريض في سياق تجمع القصيم الصحي.</w:t>
      </w:r>
    </w:p>
    <w:p w14:paraId="7B8C3E4B" w14:textId="77777777" w:rsidR="0015367F" w:rsidRPr="00362D29" w:rsidRDefault="0015367F" w:rsidP="00362D29">
      <w:pPr>
        <w:numPr>
          <w:ilvl w:val="0"/>
          <w:numId w:val="50"/>
        </w:numPr>
        <w:bidi/>
        <w:spacing w:before="0" w:after="0" w:line="360" w:lineRule="auto"/>
        <w:contextualSpacing/>
        <w:jc w:val="both"/>
        <w:rPr>
          <w:rFonts w:ascii="Traditional Arabic" w:eastAsia="Times New Roman" w:hAnsi="Traditional Arabic" w:cs="Traditional Arabic"/>
          <w:sz w:val="24"/>
          <w:szCs w:val="24"/>
        </w:rPr>
      </w:pPr>
      <w:r w:rsidRPr="00362D29">
        <w:rPr>
          <w:rFonts w:ascii="Traditional Arabic" w:eastAsia="Times New Roman" w:hAnsi="Traditional Arabic" w:cs="Traditional Arabic"/>
          <w:b/>
          <w:bCs/>
          <w:sz w:val="36"/>
          <w:szCs w:val="36"/>
          <w:rtl/>
        </w:rPr>
        <w:t>النموذج الوطني للتميز المؤسسي والتحول الصحي وجودة الخدمات الصحية</w:t>
      </w:r>
    </w:p>
    <w:p w14:paraId="5659017E" w14:textId="2579C240" w:rsidR="0015367F" w:rsidRPr="00362D29" w:rsidRDefault="0015367F" w:rsidP="000F389E">
      <w:pPr>
        <w:bidi/>
        <w:spacing w:before="0" w:after="0" w:line="360" w:lineRule="auto"/>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يُعد النموذج الوطني للتميز المؤسسي (جائزة الملك عبد العزيز للجودة 2022) ركيزة أساسية في دعم مسيرة التحول الصحي بالمملكة العربية السعودية، حيث يتسق بشكل عميق مع متطلبات رؤية المملكة 2030 وبرنامج التحول الصحي الطموح (جائزة الملك عبد العزيز للجودة، 2022). إن جدوى تطبيق هذا النموذج في القطاع الصحي تتجلى في قدرته على توجيه المنظمات الصحية نحو تبني أفضل الممارسات العالمية والمحلية، مما يعزز كفاءتها التشغيلية وفاعليتها في تقديم الرعاية. وقد أظهرت العديد من الدراسات أن تطبيق أطر التميز المؤسسي يسهم بشكل مباشر في تحسين جودة الخدمات الصحية، من خلال ترسيخ ثقافة التحسين المستمر، وتمكين الكوادر البشرية، وتطوير العمليات (سلمان وآخرون، 2025؛ الرويلي وظفرة، 2025).</w:t>
      </w:r>
    </w:p>
    <w:p w14:paraId="79592ABE" w14:textId="0E5E93F7" w:rsidR="00732864" w:rsidRPr="000F389E" w:rsidRDefault="0015367F" w:rsidP="000F389E">
      <w:pPr>
        <w:bidi/>
        <w:spacing w:before="0" w:after="0" w:line="360" w:lineRule="auto"/>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تخدم مفاهيم النموذج الوطني جودة الخدمات الصحية بشكل محوري، خاصة عبر مبادئه التي تركز على "القيادة بالإلهام والقدوة الحسنة" و"الاهتمام بالموارد البشرية" و"إدارة العمليات"، والتي تضمن بيئة عمل محفزة ومنظمة تسهم في تقديم رعاية صحية عالية الجودة (البلوي وإسماعيل، 2025؛ منصور، 2021). ولكن الأهم من ذلك، يبرز تأثير النموذج على المخرجات الصحية من خلال تركيزه الجوهري على "التركيز على المستفيدين" و"تحقيق نتائج متفوقة ومستدامة". فمن خلال فهم احتياجات المرضى وتوقعاتهم، وقياس رضاهم بشكل مستمر، يمكن للمنظمات الصحية تصميم خدمات تتمحور حول المريض، مما يؤدي إلى تحسين تجربته الصحية بشكل عام (عشوري، 2025). هذا التركيز لا يقتصر على رضا المريض فحسب، بل يمتد ليشمل تحسين المؤشرات السريرية، وتقليل الأخطاء الطبية، وزيادة فعالية العلاج، وبالتالي تحقيق مخرجات صحية أفضل وأكثر استدامة تتوافق مع أهداف التحول الصحي الرامية إلى مجتمع حيوي ونظام رعاية صحية فعال (</w:t>
      </w:r>
      <w:r w:rsidRPr="00362D29">
        <w:rPr>
          <w:rFonts w:ascii="Traditional Arabic" w:eastAsia="Times New Roman" w:hAnsi="Traditional Arabic" w:cs="Traditional Arabic"/>
          <w:sz w:val="24"/>
          <w:szCs w:val="24"/>
        </w:rPr>
        <w:t>Alhuseini et al., 2025</w:t>
      </w:r>
      <w:r w:rsidRPr="00362D29">
        <w:rPr>
          <w:rFonts w:ascii="Traditional Arabic" w:eastAsia="Times New Roman" w:hAnsi="Traditional Arabic" w:cs="Traditional Arabic"/>
          <w:sz w:val="24"/>
          <w:szCs w:val="24"/>
          <w:rtl/>
        </w:rPr>
        <w:t xml:space="preserve">؛ </w:t>
      </w:r>
      <w:r w:rsidRPr="00362D29">
        <w:rPr>
          <w:rFonts w:ascii="Traditional Arabic" w:eastAsia="Times New Roman" w:hAnsi="Traditional Arabic" w:cs="Traditional Arabic"/>
          <w:sz w:val="24"/>
          <w:szCs w:val="24"/>
        </w:rPr>
        <w:t>Alsaleem, 2025</w:t>
      </w:r>
      <w:r w:rsidRPr="00362D29">
        <w:rPr>
          <w:rFonts w:ascii="Traditional Arabic" w:eastAsia="Times New Roman" w:hAnsi="Traditional Arabic" w:cs="Traditional Arabic"/>
          <w:sz w:val="24"/>
          <w:szCs w:val="24"/>
          <w:rtl/>
        </w:rPr>
        <w:t>).</w:t>
      </w:r>
    </w:p>
    <w:p w14:paraId="74AE6A6A" w14:textId="1C92918B" w:rsidR="00732864" w:rsidRPr="00362D29" w:rsidRDefault="001F1000" w:rsidP="00732864">
      <w:pPr>
        <w:bidi/>
        <w:spacing w:before="100" w:beforeAutospacing="1" w:after="100" w:afterAutospacing="1" w:line="360" w:lineRule="auto"/>
        <w:rPr>
          <w:rFonts w:ascii="Traditional Arabic" w:eastAsia="Calibri" w:hAnsi="Traditional Arabic" w:cs="Traditional Arabic"/>
          <w:b/>
          <w:bCs/>
          <w:color w:val="00B0F0"/>
          <w:sz w:val="32"/>
          <w:szCs w:val="32"/>
          <w:u w:val="single"/>
          <w:rtl/>
        </w:rPr>
      </w:pPr>
      <w:r w:rsidRPr="00362D29">
        <w:rPr>
          <w:rFonts w:ascii="Traditional Arabic" w:eastAsia="Calibri" w:hAnsi="Traditional Arabic" w:cs="Traditional Arabic"/>
          <w:b/>
          <w:bCs/>
          <w:color w:val="00B0F0"/>
          <w:sz w:val="32"/>
          <w:szCs w:val="32"/>
          <w:u w:val="single"/>
          <w:rtl/>
        </w:rPr>
        <w:lastRenderedPageBreak/>
        <w:t xml:space="preserve">مقارنة بين نماذج </w:t>
      </w:r>
      <w:r w:rsidR="00096052" w:rsidRPr="00362D29">
        <w:rPr>
          <w:rFonts w:ascii="Traditional Arabic" w:eastAsia="Calibri" w:hAnsi="Traditional Arabic" w:cs="Traditional Arabic"/>
          <w:b/>
          <w:bCs/>
          <w:color w:val="00B0F0"/>
          <w:sz w:val="32"/>
          <w:szCs w:val="32"/>
          <w:u w:val="single"/>
          <w:rtl/>
        </w:rPr>
        <w:t xml:space="preserve">التميز المؤسسي التي تم تناولها </w:t>
      </w:r>
    </w:p>
    <w:tbl>
      <w:tblPr>
        <w:tblpPr w:leftFromText="180" w:rightFromText="180" w:topFromText="120" w:bottomFromText="120" w:vertAnchor="text" w:horzAnchor="margin" w:tblpXSpec="center" w:tblpY="777"/>
        <w:tblW w:w="572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126"/>
        <w:gridCol w:w="2125"/>
        <w:gridCol w:w="2125"/>
        <w:gridCol w:w="2131"/>
        <w:gridCol w:w="990"/>
      </w:tblGrid>
      <w:tr w:rsidR="00732864" w:rsidRPr="00732864" w14:paraId="75A79246" w14:textId="77777777" w:rsidTr="00215DD6">
        <w:trPr>
          <w:cantSplit/>
          <w:trHeight w:val="687"/>
          <w:tblHeader/>
        </w:trPr>
        <w:tc>
          <w:tcPr>
            <w:tcW w:w="1119" w:type="pct"/>
            <w:tcBorders>
              <w:top w:val="single" w:sz="4" w:space="0" w:color="auto"/>
              <w:left w:val="single" w:sz="4" w:space="0" w:color="auto"/>
              <w:bottom w:val="single" w:sz="4" w:space="0" w:color="auto"/>
              <w:right w:val="single" w:sz="4" w:space="0" w:color="auto"/>
            </w:tcBorders>
            <w:shd w:val="clear" w:color="auto" w:fill="E8E8E8"/>
            <w:tcMar>
              <w:top w:w="100" w:type="dxa"/>
              <w:left w:w="120" w:type="dxa"/>
              <w:bottom w:w="100" w:type="dxa"/>
              <w:right w:w="120" w:type="dxa"/>
            </w:tcMar>
            <w:vAlign w:val="center"/>
            <w:hideMark/>
          </w:tcPr>
          <w:p w14:paraId="37988D73" w14:textId="77777777" w:rsidR="00732864" w:rsidRPr="00732864" w:rsidRDefault="00732864" w:rsidP="00732864">
            <w:pPr>
              <w:bidi/>
              <w:spacing w:before="100" w:beforeAutospacing="1" w:after="100" w:afterAutospacing="1"/>
              <w:jc w:val="center"/>
              <w:rPr>
                <w:rFonts w:ascii="Traditional Arabic" w:eastAsia="Times New Roman" w:hAnsi="Traditional Arabic" w:cs="Traditional Arabic"/>
                <w:b/>
                <w:bCs/>
                <w:sz w:val="24"/>
                <w:szCs w:val="24"/>
              </w:rPr>
            </w:pPr>
            <w:r w:rsidRPr="00732864">
              <w:rPr>
                <w:rFonts w:ascii="Traditional Arabic" w:eastAsia="Times New Roman" w:hAnsi="Traditional Arabic" w:cs="Traditional Arabic"/>
                <w:b/>
                <w:bCs/>
                <w:sz w:val="24"/>
                <w:szCs w:val="24"/>
                <w:rtl/>
              </w:rPr>
              <w:t>النموذج الوطني</w:t>
            </w:r>
            <w:r w:rsidRPr="00732864">
              <w:rPr>
                <w:rFonts w:ascii="Traditional Arabic" w:eastAsia="Times New Roman" w:hAnsi="Traditional Arabic" w:cs="Traditional Arabic"/>
                <w:b/>
                <w:bCs/>
                <w:sz w:val="24"/>
                <w:szCs w:val="24"/>
              </w:rPr>
              <w:t xml:space="preserve"> </w:t>
            </w:r>
            <w:r w:rsidRPr="00732864">
              <w:rPr>
                <w:rFonts w:ascii="Traditional Arabic" w:eastAsia="Times New Roman" w:hAnsi="Traditional Arabic" w:cs="Traditional Arabic"/>
                <w:b/>
                <w:bCs/>
                <w:sz w:val="24"/>
                <w:szCs w:val="24"/>
                <w:rtl/>
              </w:rPr>
              <w:t>السعودي</w:t>
            </w:r>
            <w:r w:rsidRPr="00732864">
              <w:rPr>
                <w:rFonts w:ascii="Traditional Arabic" w:eastAsia="Times New Roman" w:hAnsi="Traditional Arabic" w:cs="Traditional Arabic"/>
                <w:b/>
                <w:bCs/>
                <w:sz w:val="24"/>
                <w:szCs w:val="24"/>
              </w:rPr>
              <w:t xml:space="preserve"> (KAQA 2022)</w:t>
            </w:r>
          </w:p>
        </w:tc>
        <w:tc>
          <w:tcPr>
            <w:tcW w:w="1119" w:type="pct"/>
            <w:tcBorders>
              <w:top w:val="single" w:sz="4" w:space="0" w:color="auto"/>
              <w:left w:val="single" w:sz="4" w:space="0" w:color="auto"/>
              <w:bottom w:val="single" w:sz="4" w:space="0" w:color="auto"/>
              <w:right w:val="single" w:sz="4" w:space="0" w:color="auto"/>
            </w:tcBorders>
            <w:shd w:val="clear" w:color="auto" w:fill="E8E8E8"/>
            <w:tcMar>
              <w:top w:w="100" w:type="dxa"/>
              <w:left w:w="120" w:type="dxa"/>
              <w:bottom w:w="100" w:type="dxa"/>
              <w:right w:w="120" w:type="dxa"/>
            </w:tcMar>
            <w:vAlign w:val="center"/>
            <w:hideMark/>
          </w:tcPr>
          <w:p w14:paraId="72774CF7" w14:textId="77777777" w:rsidR="00732864" w:rsidRPr="00732864" w:rsidRDefault="00732864" w:rsidP="00732864">
            <w:pPr>
              <w:bidi/>
              <w:spacing w:before="100" w:beforeAutospacing="1" w:after="100" w:afterAutospacing="1"/>
              <w:jc w:val="center"/>
              <w:rPr>
                <w:rFonts w:ascii="Traditional Arabic" w:eastAsia="Times New Roman" w:hAnsi="Traditional Arabic" w:cs="Traditional Arabic"/>
                <w:b/>
                <w:bCs/>
                <w:sz w:val="24"/>
                <w:szCs w:val="24"/>
              </w:rPr>
            </w:pPr>
            <w:r w:rsidRPr="00732864">
              <w:rPr>
                <w:rFonts w:ascii="Traditional Arabic" w:eastAsia="Times New Roman" w:hAnsi="Traditional Arabic" w:cs="Traditional Arabic"/>
                <w:b/>
                <w:bCs/>
                <w:sz w:val="24"/>
                <w:szCs w:val="24"/>
                <w:rtl/>
              </w:rPr>
              <w:t>النموذج الأوروبي</w:t>
            </w:r>
            <w:r w:rsidRPr="00732864">
              <w:rPr>
                <w:rFonts w:ascii="Traditional Arabic" w:eastAsia="Times New Roman" w:hAnsi="Traditional Arabic" w:cs="Traditional Arabic"/>
                <w:b/>
                <w:bCs/>
                <w:sz w:val="24"/>
                <w:szCs w:val="24"/>
              </w:rPr>
              <w:t xml:space="preserve"> </w:t>
            </w:r>
          </w:p>
          <w:p w14:paraId="65D097EA" w14:textId="77777777" w:rsidR="00732864" w:rsidRPr="00732864" w:rsidRDefault="00732864" w:rsidP="00732864">
            <w:pPr>
              <w:bidi/>
              <w:spacing w:before="100" w:beforeAutospacing="1" w:after="100" w:afterAutospacing="1"/>
              <w:jc w:val="center"/>
              <w:rPr>
                <w:rFonts w:ascii="Traditional Arabic" w:eastAsia="Times New Roman" w:hAnsi="Traditional Arabic" w:cs="Traditional Arabic"/>
                <w:b/>
                <w:bCs/>
                <w:sz w:val="24"/>
                <w:szCs w:val="24"/>
              </w:rPr>
            </w:pPr>
            <w:r w:rsidRPr="00732864">
              <w:rPr>
                <w:rFonts w:ascii="Traditional Arabic" w:eastAsia="Times New Roman" w:hAnsi="Traditional Arabic" w:cs="Traditional Arabic"/>
                <w:b/>
                <w:bCs/>
                <w:sz w:val="24"/>
                <w:szCs w:val="24"/>
              </w:rPr>
              <w:t>(EFQM 2025)</w:t>
            </w:r>
          </w:p>
        </w:tc>
        <w:tc>
          <w:tcPr>
            <w:tcW w:w="1119" w:type="pct"/>
            <w:tcBorders>
              <w:top w:val="single" w:sz="4" w:space="0" w:color="auto"/>
              <w:left w:val="single" w:sz="4" w:space="0" w:color="auto"/>
              <w:bottom w:val="single" w:sz="4" w:space="0" w:color="auto"/>
              <w:right w:val="single" w:sz="4" w:space="0" w:color="auto"/>
            </w:tcBorders>
            <w:shd w:val="clear" w:color="auto" w:fill="E8E8E8"/>
            <w:tcMar>
              <w:top w:w="100" w:type="dxa"/>
              <w:left w:w="120" w:type="dxa"/>
              <w:bottom w:w="100" w:type="dxa"/>
              <w:right w:w="120" w:type="dxa"/>
            </w:tcMar>
            <w:vAlign w:val="center"/>
            <w:hideMark/>
          </w:tcPr>
          <w:p w14:paraId="0E60D356" w14:textId="77777777" w:rsidR="00732864" w:rsidRPr="00732864" w:rsidRDefault="00732864" w:rsidP="00732864">
            <w:pPr>
              <w:bidi/>
              <w:spacing w:before="100" w:beforeAutospacing="1" w:after="100" w:afterAutospacing="1"/>
              <w:jc w:val="center"/>
              <w:rPr>
                <w:rFonts w:ascii="Traditional Arabic" w:eastAsia="Times New Roman" w:hAnsi="Traditional Arabic" w:cs="Traditional Arabic"/>
                <w:b/>
                <w:bCs/>
                <w:sz w:val="24"/>
                <w:szCs w:val="24"/>
              </w:rPr>
            </w:pPr>
            <w:r w:rsidRPr="00732864">
              <w:rPr>
                <w:rFonts w:ascii="Traditional Arabic" w:eastAsia="Times New Roman" w:hAnsi="Traditional Arabic" w:cs="Traditional Arabic"/>
                <w:b/>
                <w:bCs/>
                <w:sz w:val="24"/>
                <w:szCs w:val="24"/>
                <w:rtl/>
              </w:rPr>
              <w:t>النموذج الأمريكي</w:t>
            </w:r>
            <w:r w:rsidRPr="00732864">
              <w:rPr>
                <w:rFonts w:ascii="Traditional Arabic" w:eastAsia="Times New Roman" w:hAnsi="Traditional Arabic" w:cs="Traditional Arabic"/>
                <w:b/>
                <w:bCs/>
                <w:sz w:val="24"/>
                <w:szCs w:val="24"/>
              </w:rPr>
              <w:t xml:space="preserve"> </w:t>
            </w:r>
          </w:p>
          <w:p w14:paraId="3398503A" w14:textId="77777777" w:rsidR="00732864" w:rsidRPr="00732864" w:rsidRDefault="00732864" w:rsidP="00732864">
            <w:pPr>
              <w:bidi/>
              <w:spacing w:before="100" w:beforeAutospacing="1" w:after="100" w:afterAutospacing="1"/>
              <w:jc w:val="center"/>
              <w:rPr>
                <w:rFonts w:ascii="Traditional Arabic" w:eastAsia="Times New Roman" w:hAnsi="Traditional Arabic" w:cs="Traditional Arabic"/>
                <w:b/>
                <w:bCs/>
                <w:sz w:val="24"/>
                <w:szCs w:val="24"/>
              </w:rPr>
            </w:pPr>
            <w:r w:rsidRPr="00732864">
              <w:rPr>
                <w:rFonts w:ascii="Traditional Arabic" w:eastAsia="Times New Roman" w:hAnsi="Traditional Arabic" w:cs="Traditional Arabic"/>
                <w:b/>
                <w:bCs/>
                <w:sz w:val="24"/>
                <w:szCs w:val="24"/>
              </w:rPr>
              <w:t>(Baldrige 2024)</w:t>
            </w:r>
          </w:p>
        </w:tc>
        <w:tc>
          <w:tcPr>
            <w:tcW w:w="1122" w:type="pct"/>
            <w:tcBorders>
              <w:top w:val="single" w:sz="4" w:space="0" w:color="auto"/>
              <w:left w:val="single" w:sz="4" w:space="0" w:color="auto"/>
              <w:bottom w:val="single" w:sz="4" w:space="0" w:color="auto"/>
              <w:right w:val="single" w:sz="4" w:space="0" w:color="auto"/>
            </w:tcBorders>
            <w:shd w:val="clear" w:color="auto" w:fill="E8E8E8"/>
            <w:tcMar>
              <w:top w:w="100" w:type="dxa"/>
              <w:left w:w="120" w:type="dxa"/>
              <w:bottom w:w="100" w:type="dxa"/>
              <w:right w:w="120" w:type="dxa"/>
            </w:tcMar>
            <w:vAlign w:val="center"/>
            <w:hideMark/>
          </w:tcPr>
          <w:p w14:paraId="754A8D92" w14:textId="77777777" w:rsidR="00732864" w:rsidRPr="00732864" w:rsidRDefault="00732864" w:rsidP="00732864">
            <w:pPr>
              <w:bidi/>
              <w:spacing w:before="100" w:beforeAutospacing="1" w:after="100" w:afterAutospacing="1"/>
              <w:jc w:val="center"/>
              <w:rPr>
                <w:rFonts w:ascii="Traditional Arabic" w:eastAsia="Times New Roman" w:hAnsi="Traditional Arabic" w:cs="Traditional Arabic"/>
                <w:b/>
                <w:bCs/>
                <w:sz w:val="24"/>
                <w:szCs w:val="24"/>
              </w:rPr>
            </w:pPr>
            <w:r w:rsidRPr="00732864">
              <w:rPr>
                <w:rFonts w:ascii="Traditional Arabic" w:eastAsia="Times New Roman" w:hAnsi="Traditional Arabic" w:cs="Traditional Arabic"/>
                <w:b/>
                <w:bCs/>
                <w:sz w:val="24"/>
                <w:szCs w:val="24"/>
                <w:rtl/>
              </w:rPr>
              <w:t>النموذج الياباني</w:t>
            </w:r>
            <w:r w:rsidRPr="00732864">
              <w:rPr>
                <w:rFonts w:ascii="Traditional Arabic" w:eastAsia="Times New Roman" w:hAnsi="Traditional Arabic" w:cs="Traditional Arabic"/>
                <w:b/>
                <w:bCs/>
                <w:sz w:val="24"/>
                <w:szCs w:val="24"/>
              </w:rPr>
              <w:t xml:space="preserve"> (Deming Prize)</w:t>
            </w:r>
          </w:p>
        </w:tc>
        <w:tc>
          <w:tcPr>
            <w:tcW w:w="521" w:type="pct"/>
            <w:tcBorders>
              <w:top w:val="single" w:sz="4" w:space="0" w:color="auto"/>
              <w:left w:val="single" w:sz="4" w:space="0" w:color="auto"/>
              <w:bottom w:val="single" w:sz="4" w:space="0" w:color="auto"/>
              <w:right w:val="single" w:sz="4" w:space="0" w:color="auto"/>
            </w:tcBorders>
            <w:shd w:val="clear" w:color="auto" w:fill="E8E8E8"/>
            <w:vAlign w:val="center"/>
            <w:hideMark/>
          </w:tcPr>
          <w:p w14:paraId="48260556" w14:textId="77777777" w:rsidR="00732864" w:rsidRPr="00732864" w:rsidRDefault="00732864" w:rsidP="00732864">
            <w:pPr>
              <w:bidi/>
              <w:spacing w:before="100" w:beforeAutospacing="1" w:after="100" w:afterAutospacing="1"/>
              <w:jc w:val="center"/>
              <w:rPr>
                <w:rFonts w:ascii="Traditional Arabic" w:eastAsia="Times New Roman" w:hAnsi="Traditional Arabic" w:cs="Traditional Arabic"/>
                <w:b/>
                <w:bCs/>
                <w:sz w:val="24"/>
                <w:szCs w:val="24"/>
              </w:rPr>
            </w:pPr>
            <w:r w:rsidRPr="00732864">
              <w:rPr>
                <w:rFonts w:ascii="Traditional Arabic" w:eastAsia="Times New Roman" w:hAnsi="Traditional Arabic" w:cs="Traditional Arabic"/>
                <w:b/>
                <w:bCs/>
                <w:sz w:val="24"/>
                <w:szCs w:val="24"/>
                <w:rtl/>
              </w:rPr>
              <w:t>النموذج</w:t>
            </w:r>
          </w:p>
        </w:tc>
      </w:tr>
      <w:tr w:rsidR="00732864" w:rsidRPr="00732864" w14:paraId="2FE28377" w14:textId="77777777" w:rsidTr="00BA6A92">
        <w:trPr>
          <w:cantSplit/>
          <w:trHeight w:val="550"/>
        </w:trPr>
        <w:tc>
          <w:tcPr>
            <w:tcW w:w="1119" w:type="pct"/>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vAlign w:val="center"/>
            <w:hideMark/>
          </w:tcPr>
          <w:p w14:paraId="38A3860F" w14:textId="77777777" w:rsidR="00732864" w:rsidRPr="00732864" w:rsidRDefault="00732864" w:rsidP="00BA6A92">
            <w:pPr>
              <w:bidi/>
              <w:spacing w:before="100" w:beforeAutospacing="1" w:after="100" w:afterAutospacing="1"/>
              <w:jc w:val="center"/>
              <w:rPr>
                <w:rFonts w:ascii="Traditional Arabic" w:eastAsia="Times New Roman" w:hAnsi="Traditional Arabic" w:cs="Traditional Arabic"/>
                <w:sz w:val="24"/>
                <w:szCs w:val="24"/>
                <w:rtl/>
              </w:rPr>
            </w:pPr>
            <w:r w:rsidRPr="00732864">
              <w:rPr>
                <w:rFonts w:ascii="Traditional Arabic" w:eastAsia="Times New Roman" w:hAnsi="Traditional Arabic" w:cs="Traditional Arabic"/>
                <w:sz w:val="24"/>
                <w:szCs w:val="24"/>
                <w:rtl/>
              </w:rPr>
              <w:t>مزيج من أفضل الممارسات العالمية مع خصوصية محلية</w:t>
            </w:r>
            <w:r w:rsidRPr="00732864">
              <w:rPr>
                <w:rFonts w:ascii="Traditional Arabic" w:eastAsia="Times New Roman" w:hAnsi="Traditional Arabic" w:cs="Traditional Arabic"/>
                <w:sz w:val="24"/>
                <w:szCs w:val="24"/>
              </w:rPr>
              <w:t>.</w:t>
            </w:r>
          </w:p>
        </w:tc>
        <w:tc>
          <w:tcPr>
            <w:tcW w:w="1119" w:type="pct"/>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vAlign w:val="center"/>
            <w:hideMark/>
          </w:tcPr>
          <w:p w14:paraId="745AC663" w14:textId="77777777" w:rsidR="00732864" w:rsidRPr="00732864" w:rsidRDefault="00732864" w:rsidP="00BA6A92">
            <w:pPr>
              <w:bidi/>
              <w:spacing w:before="100" w:beforeAutospacing="1" w:after="100" w:afterAutospacing="1"/>
              <w:jc w:val="center"/>
              <w:rPr>
                <w:rFonts w:ascii="Traditional Arabic" w:eastAsia="Times New Roman" w:hAnsi="Traditional Arabic" w:cs="Traditional Arabic"/>
                <w:sz w:val="24"/>
                <w:szCs w:val="24"/>
              </w:rPr>
            </w:pPr>
            <w:r w:rsidRPr="00732864">
              <w:rPr>
                <w:rFonts w:ascii="Traditional Arabic" w:eastAsia="Times New Roman" w:hAnsi="Traditional Arabic" w:cs="Traditional Arabic"/>
                <w:sz w:val="24"/>
                <w:szCs w:val="24"/>
                <w:rtl/>
              </w:rPr>
              <w:t>الفلسفة الأوروبية للجودة الشاملة والتنمية المستدامة</w:t>
            </w:r>
            <w:r w:rsidRPr="00732864">
              <w:rPr>
                <w:rFonts w:ascii="Traditional Arabic" w:eastAsia="Times New Roman" w:hAnsi="Traditional Arabic" w:cs="Traditional Arabic"/>
                <w:sz w:val="24"/>
                <w:szCs w:val="24"/>
              </w:rPr>
              <w:t>.</w:t>
            </w:r>
          </w:p>
        </w:tc>
        <w:tc>
          <w:tcPr>
            <w:tcW w:w="1119" w:type="pct"/>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vAlign w:val="center"/>
            <w:hideMark/>
          </w:tcPr>
          <w:p w14:paraId="5979B51B" w14:textId="77777777" w:rsidR="00732864" w:rsidRPr="00732864" w:rsidRDefault="00732864" w:rsidP="00BA6A92">
            <w:pPr>
              <w:bidi/>
              <w:spacing w:before="100" w:beforeAutospacing="1" w:after="100" w:afterAutospacing="1"/>
              <w:jc w:val="center"/>
              <w:rPr>
                <w:rFonts w:ascii="Traditional Arabic" w:eastAsia="Times New Roman" w:hAnsi="Traditional Arabic" w:cs="Traditional Arabic"/>
                <w:sz w:val="24"/>
                <w:szCs w:val="24"/>
              </w:rPr>
            </w:pPr>
            <w:r w:rsidRPr="00732864">
              <w:rPr>
                <w:rFonts w:ascii="Traditional Arabic" w:eastAsia="Times New Roman" w:hAnsi="Traditional Arabic" w:cs="Traditional Arabic"/>
                <w:sz w:val="24"/>
                <w:szCs w:val="24"/>
                <w:rtl/>
              </w:rPr>
              <w:t>الفلسفة الأمريكية لإدارة الجودة الشاملة والتميز في الأداء</w:t>
            </w:r>
            <w:r w:rsidRPr="00732864">
              <w:rPr>
                <w:rFonts w:ascii="Traditional Arabic" w:eastAsia="Times New Roman" w:hAnsi="Traditional Arabic" w:cs="Traditional Arabic"/>
                <w:sz w:val="24"/>
                <w:szCs w:val="24"/>
              </w:rPr>
              <w:t>.</w:t>
            </w:r>
          </w:p>
        </w:tc>
        <w:tc>
          <w:tcPr>
            <w:tcW w:w="1122" w:type="pct"/>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vAlign w:val="center"/>
            <w:hideMark/>
          </w:tcPr>
          <w:p w14:paraId="2D25B170" w14:textId="77777777" w:rsidR="00732864" w:rsidRPr="00732864" w:rsidRDefault="00732864" w:rsidP="00BA6A92">
            <w:pPr>
              <w:bidi/>
              <w:spacing w:before="100" w:beforeAutospacing="1" w:after="100" w:afterAutospacing="1"/>
              <w:jc w:val="center"/>
              <w:rPr>
                <w:rFonts w:ascii="Traditional Arabic" w:eastAsia="Times New Roman" w:hAnsi="Traditional Arabic" w:cs="Traditional Arabic"/>
                <w:sz w:val="24"/>
                <w:szCs w:val="24"/>
              </w:rPr>
            </w:pPr>
            <w:r w:rsidRPr="00732864">
              <w:rPr>
                <w:rFonts w:ascii="Traditional Arabic" w:eastAsia="Times New Roman" w:hAnsi="Traditional Arabic" w:cs="Traditional Arabic"/>
                <w:sz w:val="24"/>
                <w:szCs w:val="24"/>
                <w:rtl/>
              </w:rPr>
              <w:t>الفلسفة اليابانية لمبادئ الجودة الشاملة (</w:t>
            </w:r>
            <w:r w:rsidRPr="00732864">
              <w:rPr>
                <w:rFonts w:ascii="Traditional Arabic" w:eastAsia="Times New Roman" w:hAnsi="Traditional Arabic" w:cs="Traditional Arabic"/>
                <w:sz w:val="24"/>
                <w:szCs w:val="24"/>
              </w:rPr>
              <w:t>TQM</w:t>
            </w:r>
            <w:r w:rsidRPr="00732864">
              <w:rPr>
                <w:rFonts w:ascii="Traditional Arabic" w:eastAsia="Times New Roman" w:hAnsi="Traditional Arabic" w:cs="Traditional Arabic"/>
                <w:sz w:val="24"/>
                <w:szCs w:val="24"/>
                <w:rtl/>
              </w:rPr>
              <w:t>)</w:t>
            </w:r>
          </w:p>
        </w:tc>
        <w:tc>
          <w:tcPr>
            <w:tcW w:w="521" w:type="pct"/>
            <w:tcBorders>
              <w:top w:val="single" w:sz="4" w:space="0" w:color="auto"/>
              <w:left w:val="single" w:sz="4" w:space="0" w:color="auto"/>
              <w:bottom w:val="single" w:sz="4" w:space="0" w:color="auto"/>
              <w:right w:val="single" w:sz="4" w:space="0" w:color="auto"/>
            </w:tcBorders>
            <w:shd w:val="clear" w:color="auto" w:fill="E8E8E8"/>
            <w:vAlign w:val="center"/>
            <w:hideMark/>
          </w:tcPr>
          <w:p w14:paraId="1A14ED5B" w14:textId="77777777" w:rsidR="00732864" w:rsidRPr="00732864" w:rsidRDefault="00732864" w:rsidP="00BA6A92">
            <w:pPr>
              <w:bidi/>
              <w:spacing w:before="100" w:beforeAutospacing="1" w:after="100" w:afterAutospacing="1"/>
              <w:jc w:val="center"/>
              <w:rPr>
                <w:rFonts w:ascii="Traditional Arabic" w:eastAsia="Times New Roman" w:hAnsi="Traditional Arabic" w:cs="Traditional Arabic"/>
                <w:b/>
                <w:bCs/>
                <w:sz w:val="24"/>
                <w:szCs w:val="24"/>
                <w:rtl/>
              </w:rPr>
            </w:pPr>
            <w:r w:rsidRPr="00732864">
              <w:rPr>
                <w:rFonts w:ascii="Traditional Arabic" w:eastAsia="Times New Roman" w:hAnsi="Traditional Arabic" w:cs="Traditional Arabic"/>
                <w:b/>
                <w:bCs/>
                <w:sz w:val="24"/>
                <w:szCs w:val="24"/>
                <w:rtl/>
              </w:rPr>
              <w:t>المرجعية الفكرية</w:t>
            </w:r>
          </w:p>
        </w:tc>
      </w:tr>
      <w:tr w:rsidR="00732864" w:rsidRPr="00732864" w14:paraId="554EC594" w14:textId="77777777" w:rsidTr="00BA6A92">
        <w:trPr>
          <w:cantSplit/>
          <w:trHeight w:val="550"/>
        </w:trPr>
        <w:tc>
          <w:tcPr>
            <w:tcW w:w="1119" w:type="pct"/>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vAlign w:val="center"/>
            <w:hideMark/>
          </w:tcPr>
          <w:p w14:paraId="1FDA4A0B" w14:textId="77777777" w:rsidR="00732864" w:rsidRPr="00732864" w:rsidRDefault="00732864" w:rsidP="00BA6A92">
            <w:pPr>
              <w:bidi/>
              <w:spacing w:before="100" w:beforeAutospacing="1" w:after="100" w:afterAutospacing="1"/>
              <w:jc w:val="center"/>
              <w:rPr>
                <w:rFonts w:ascii="Traditional Arabic" w:eastAsia="Times New Roman" w:hAnsi="Traditional Arabic" w:cs="Traditional Arabic"/>
                <w:sz w:val="24"/>
                <w:szCs w:val="24"/>
                <w:rtl/>
              </w:rPr>
            </w:pPr>
            <w:r w:rsidRPr="00732864">
              <w:rPr>
                <w:rFonts w:ascii="Traditional Arabic" w:eastAsia="Times New Roman" w:hAnsi="Traditional Arabic" w:cs="Traditional Arabic"/>
                <w:sz w:val="24"/>
                <w:szCs w:val="24"/>
                <w:rtl/>
              </w:rPr>
              <w:t>تحقيق الريادة الوطنية والعالمية للمنظمات السعودية</w:t>
            </w:r>
            <w:r w:rsidRPr="00732864">
              <w:rPr>
                <w:rFonts w:ascii="Traditional Arabic" w:eastAsia="Times New Roman" w:hAnsi="Traditional Arabic" w:cs="Traditional Arabic"/>
                <w:sz w:val="24"/>
                <w:szCs w:val="24"/>
              </w:rPr>
              <w:t>.</w:t>
            </w:r>
          </w:p>
        </w:tc>
        <w:tc>
          <w:tcPr>
            <w:tcW w:w="1119" w:type="pct"/>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vAlign w:val="center"/>
            <w:hideMark/>
          </w:tcPr>
          <w:p w14:paraId="14574B5C" w14:textId="77777777" w:rsidR="00732864" w:rsidRPr="00732864" w:rsidRDefault="00732864" w:rsidP="00BA6A92">
            <w:pPr>
              <w:bidi/>
              <w:spacing w:before="100" w:beforeAutospacing="1" w:after="100" w:afterAutospacing="1"/>
              <w:jc w:val="center"/>
              <w:rPr>
                <w:rFonts w:ascii="Traditional Arabic" w:eastAsia="Times New Roman" w:hAnsi="Traditional Arabic" w:cs="Traditional Arabic"/>
                <w:sz w:val="24"/>
                <w:szCs w:val="24"/>
              </w:rPr>
            </w:pPr>
            <w:r w:rsidRPr="00732864">
              <w:rPr>
                <w:rFonts w:ascii="Traditional Arabic" w:eastAsia="Times New Roman" w:hAnsi="Traditional Arabic" w:cs="Traditional Arabic"/>
                <w:sz w:val="24"/>
                <w:szCs w:val="24"/>
                <w:rtl/>
              </w:rPr>
              <w:t>تحقيق التميز المستدام والقدرة التنافسية</w:t>
            </w:r>
            <w:r w:rsidRPr="00732864">
              <w:rPr>
                <w:rFonts w:ascii="Traditional Arabic" w:eastAsia="Times New Roman" w:hAnsi="Traditional Arabic" w:cs="Traditional Arabic"/>
                <w:sz w:val="24"/>
                <w:szCs w:val="24"/>
              </w:rPr>
              <w:t>.</w:t>
            </w:r>
          </w:p>
        </w:tc>
        <w:tc>
          <w:tcPr>
            <w:tcW w:w="1119" w:type="pct"/>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vAlign w:val="center"/>
            <w:hideMark/>
          </w:tcPr>
          <w:p w14:paraId="73F2C735" w14:textId="77777777" w:rsidR="00732864" w:rsidRPr="00732864" w:rsidRDefault="00732864" w:rsidP="00BA6A92">
            <w:pPr>
              <w:bidi/>
              <w:spacing w:before="100" w:beforeAutospacing="1" w:after="100" w:afterAutospacing="1"/>
              <w:jc w:val="center"/>
              <w:rPr>
                <w:rFonts w:ascii="Traditional Arabic" w:eastAsia="Times New Roman" w:hAnsi="Traditional Arabic" w:cs="Traditional Arabic"/>
                <w:sz w:val="24"/>
                <w:szCs w:val="24"/>
              </w:rPr>
            </w:pPr>
            <w:r w:rsidRPr="00732864">
              <w:rPr>
                <w:rFonts w:ascii="Traditional Arabic" w:eastAsia="Times New Roman" w:hAnsi="Traditional Arabic" w:cs="Traditional Arabic"/>
                <w:sz w:val="24"/>
                <w:szCs w:val="24"/>
                <w:rtl/>
              </w:rPr>
              <w:t>تعزيز القدرة التنافسية للمنظمات الأمريكية</w:t>
            </w:r>
            <w:r w:rsidRPr="00732864">
              <w:rPr>
                <w:rFonts w:ascii="Traditional Arabic" w:eastAsia="Times New Roman" w:hAnsi="Traditional Arabic" w:cs="Traditional Arabic"/>
                <w:sz w:val="24"/>
                <w:szCs w:val="24"/>
              </w:rPr>
              <w:t>.</w:t>
            </w:r>
          </w:p>
        </w:tc>
        <w:tc>
          <w:tcPr>
            <w:tcW w:w="1122" w:type="pct"/>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vAlign w:val="center"/>
            <w:hideMark/>
          </w:tcPr>
          <w:p w14:paraId="43D144B3" w14:textId="77777777" w:rsidR="00732864" w:rsidRPr="00732864" w:rsidRDefault="00732864" w:rsidP="00BA6A92">
            <w:pPr>
              <w:bidi/>
              <w:spacing w:before="100" w:beforeAutospacing="1" w:after="100" w:afterAutospacing="1"/>
              <w:jc w:val="center"/>
              <w:rPr>
                <w:rFonts w:ascii="Traditional Arabic" w:eastAsia="Times New Roman" w:hAnsi="Traditional Arabic" w:cs="Traditional Arabic"/>
                <w:sz w:val="24"/>
                <w:szCs w:val="24"/>
              </w:rPr>
            </w:pPr>
            <w:r w:rsidRPr="00732864">
              <w:rPr>
                <w:rFonts w:ascii="Traditional Arabic" w:eastAsia="Times New Roman" w:hAnsi="Traditional Arabic" w:cs="Traditional Arabic"/>
                <w:sz w:val="24"/>
                <w:szCs w:val="24"/>
                <w:rtl/>
              </w:rPr>
              <w:t>تحسين جودة المنتجات والخدمات وزيادة الإنتاجية</w:t>
            </w:r>
            <w:r w:rsidRPr="00732864">
              <w:rPr>
                <w:rFonts w:ascii="Traditional Arabic" w:eastAsia="Times New Roman" w:hAnsi="Traditional Arabic" w:cs="Traditional Arabic"/>
                <w:sz w:val="24"/>
                <w:szCs w:val="24"/>
              </w:rPr>
              <w:t>.</w:t>
            </w:r>
          </w:p>
        </w:tc>
        <w:tc>
          <w:tcPr>
            <w:tcW w:w="521" w:type="pct"/>
            <w:tcBorders>
              <w:top w:val="single" w:sz="4" w:space="0" w:color="auto"/>
              <w:left w:val="single" w:sz="4" w:space="0" w:color="auto"/>
              <w:bottom w:val="single" w:sz="4" w:space="0" w:color="auto"/>
              <w:right w:val="single" w:sz="4" w:space="0" w:color="auto"/>
            </w:tcBorders>
            <w:shd w:val="clear" w:color="auto" w:fill="E8E8E8"/>
            <w:vAlign w:val="center"/>
            <w:hideMark/>
          </w:tcPr>
          <w:p w14:paraId="4E455806" w14:textId="01ECD158" w:rsidR="00732864" w:rsidRPr="00732864" w:rsidRDefault="00732864" w:rsidP="00BA6A92">
            <w:pPr>
              <w:bidi/>
              <w:spacing w:before="100" w:beforeAutospacing="1" w:after="100" w:afterAutospacing="1"/>
              <w:jc w:val="center"/>
              <w:rPr>
                <w:rFonts w:ascii="Traditional Arabic" w:eastAsia="Times New Roman" w:hAnsi="Traditional Arabic" w:cs="Traditional Arabic"/>
                <w:b/>
                <w:bCs/>
                <w:sz w:val="24"/>
                <w:szCs w:val="24"/>
              </w:rPr>
            </w:pPr>
            <w:r w:rsidRPr="00732864">
              <w:rPr>
                <w:rFonts w:ascii="Traditional Arabic" w:eastAsia="Times New Roman" w:hAnsi="Traditional Arabic" w:cs="Traditional Arabic"/>
                <w:b/>
                <w:bCs/>
                <w:sz w:val="24"/>
                <w:szCs w:val="24"/>
                <w:rtl/>
              </w:rPr>
              <w:t>الهدف</w:t>
            </w:r>
          </w:p>
        </w:tc>
      </w:tr>
      <w:tr w:rsidR="00732864" w:rsidRPr="00732864" w14:paraId="124BECB2" w14:textId="77777777" w:rsidTr="00BA6A92">
        <w:trPr>
          <w:cantSplit/>
          <w:trHeight w:val="550"/>
        </w:trPr>
        <w:tc>
          <w:tcPr>
            <w:tcW w:w="1119" w:type="pct"/>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vAlign w:val="center"/>
            <w:hideMark/>
          </w:tcPr>
          <w:p w14:paraId="49FEB214" w14:textId="77777777" w:rsidR="00732864" w:rsidRPr="00732864" w:rsidRDefault="00732864" w:rsidP="00BA6A92">
            <w:pPr>
              <w:bidi/>
              <w:spacing w:before="100" w:beforeAutospacing="1" w:after="100" w:afterAutospacing="1"/>
              <w:jc w:val="center"/>
              <w:rPr>
                <w:rFonts w:ascii="Traditional Arabic" w:eastAsia="Times New Roman" w:hAnsi="Traditional Arabic" w:cs="Traditional Arabic"/>
                <w:sz w:val="24"/>
                <w:szCs w:val="24"/>
                <w:rtl/>
              </w:rPr>
            </w:pPr>
            <w:r w:rsidRPr="00732864">
              <w:rPr>
                <w:rFonts w:ascii="Traditional Arabic" w:eastAsia="Times New Roman" w:hAnsi="Traditional Arabic" w:cs="Traditional Arabic"/>
                <w:sz w:val="24"/>
                <w:szCs w:val="24"/>
                <w:rtl/>
              </w:rPr>
              <w:t>إطار وطني لتعزيز التميز والجودة الشاملة ومواكبة رؤية 2030</w:t>
            </w:r>
            <w:r w:rsidRPr="00732864">
              <w:rPr>
                <w:rFonts w:ascii="Traditional Arabic" w:eastAsia="Times New Roman" w:hAnsi="Traditional Arabic" w:cs="Traditional Arabic"/>
                <w:sz w:val="24"/>
                <w:szCs w:val="24"/>
              </w:rPr>
              <w:t>.</w:t>
            </w:r>
          </w:p>
        </w:tc>
        <w:tc>
          <w:tcPr>
            <w:tcW w:w="1119" w:type="pct"/>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vAlign w:val="center"/>
            <w:hideMark/>
          </w:tcPr>
          <w:p w14:paraId="4B029802" w14:textId="77777777" w:rsidR="00732864" w:rsidRPr="00732864" w:rsidRDefault="00732864" w:rsidP="00BA6A92">
            <w:pPr>
              <w:bidi/>
              <w:spacing w:before="100" w:beforeAutospacing="1" w:after="100" w:afterAutospacing="1"/>
              <w:jc w:val="center"/>
              <w:rPr>
                <w:rFonts w:ascii="Traditional Arabic" w:eastAsia="Times New Roman" w:hAnsi="Traditional Arabic" w:cs="Traditional Arabic"/>
                <w:sz w:val="24"/>
                <w:szCs w:val="24"/>
              </w:rPr>
            </w:pPr>
            <w:r w:rsidRPr="00732864">
              <w:rPr>
                <w:rFonts w:ascii="Traditional Arabic" w:eastAsia="Times New Roman" w:hAnsi="Traditional Arabic" w:cs="Traditional Arabic"/>
                <w:sz w:val="24"/>
                <w:szCs w:val="24"/>
                <w:rtl/>
              </w:rPr>
              <w:t>إطار عمل عالمي للتميز المستدام، يركز على خلق قيمة مستدامة</w:t>
            </w:r>
            <w:r w:rsidRPr="00732864">
              <w:rPr>
                <w:rFonts w:ascii="Traditional Arabic" w:eastAsia="Times New Roman" w:hAnsi="Traditional Arabic" w:cs="Traditional Arabic"/>
                <w:sz w:val="24"/>
                <w:szCs w:val="24"/>
              </w:rPr>
              <w:t>.</w:t>
            </w:r>
          </w:p>
        </w:tc>
        <w:tc>
          <w:tcPr>
            <w:tcW w:w="1119" w:type="pct"/>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vAlign w:val="center"/>
            <w:hideMark/>
          </w:tcPr>
          <w:p w14:paraId="3D8E7066" w14:textId="77777777" w:rsidR="00732864" w:rsidRPr="00732864" w:rsidRDefault="00732864" w:rsidP="00BA6A92">
            <w:pPr>
              <w:bidi/>
              <w:spacing w:before="100" w:beforeAutospacing="1" w:after="100" w:afterAutospacing="1"/>
              <w:jc w:val="center"/>
              <w:rPr>
                <w:rFonts w:ascii="Traditional Arabic" w:eastAsia="Times New Roman" w:hAnsi="Traditional Arabic" w:cs="Traditional Arabic"/>
                <w:sz w:val="24"/>
                <w:szCs w:val="24"/>
              </w:rPr>
            </w:pPr>
            <w:r w:rsidRPr="00732864">
              <w:rPr>
                <w:rFonts w:ascii="Traditional Arabic" w:eastAsia="Times New Roman" w:hAnsi="Traditional Arabic" w:cs="Traditional Arabic"/>
                <w:sz w:val="24"/>
                <w:szCs w:val="24"/>
                <w:rtl/>
              </w:rPr>
              <w:t>إطار عمل وطني أمريكي للتميز في الأداء، يركز على التنافسية</w:t>
            </w:r>
            <w:r w:rsidRPr="00732864">
              <w:rPr>
                <w:rFonts w:ascii="Traditional Arabic" w:eastAsia="Times New Roman" w:hAnsi="Traditional Arabic" w:cs="Traditional Arabic"/>
                <w:sz w:val="24"/>
                <w:szCs w:val="24"/>
              </w:rPr>
              <w:t>.</w:t>
            </w:r>
          </w:p>
        </w:tc>
        <w:tc>
          <w:tcPr>
            <w:tcW w:w="1122" w:type="pct"/>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vAlign w:val="center"/>
            <w:hideMark/>
          </w:tcPr>
          <w:p w14:paraId="1C7AD392" w14:textId="77777777" w:rsidR="00732864" w:rsidRPr="00732864" w:rsidRDefault="00732864" w:rsidP="00BA6A92">
            <w:pPr>
              <w:bidi/>
              <w:spacing w:before="100" w:beforeAutospacing="1" w:after="100" w:afterAutospacing="1"/>
              <w:jc w:val="center"/>
              <w:rPr>
                <w:rFonts w:ascii="Traditional Arabic" w:eastAsia="Times New Roman" w:hAnsi="Traditional Arabic" w:cs="Traditional Arabic"/>
                <w:sz w:val="24"/>
                <w:szCs w:val="24"/>
              </w:rPr>
            </w:pPr>
            <w:r w:rsidRPr="00732864">
              <w:rPr>
                <w:rFonts w:ascii="Traditional Arabic" w:eastAsia="Times New Roman" w:hAnsi="Traditional Arabic" w:cs="Traditional Arabic"/>
                <w:sz w:val="24"/>
                <w:szCs w:val="24"/>
                <w:rtl/>
              </w:rPr>
              <w:t>جائزة عالمية للجودة الشاملة، تركز على التحكم الإحصائي</w:t>
            </w:r>
            <w:r w:rsidRPr="00732864">
              <w:rPr>
                <w:rFonts w:ascii="Traditional Arabic" w:eastAsia="Times New Roman" w:hAnsi="Traditional Arabic" w:cs="Traditional Arabic"/>
                <w:sz w:val="24"/>
                <w:szCs w:val="24"/>
              </w:rPr>
              <w:t xml:space="preserve"> </w:t>
            </w:r>
            <w:r w:rsidRPr="00732864">
              <w:rPr>
                <w:rFonts w:ascii="Traditional Arabic" w:eastAsia="Times New Roman" w:hAnsi="Traditional Arabic" w:cs="Traditional Arabic"/>
                <w:sz w:val="24"/>
                <w:szCs w:val="24"/>
                <w:rtl/>
              </w:rPr>
              <w:t>والتحسين المستمر</w:t>
            </w:r>
            <w:r w:rsidRPr="00732864">
              <w:rPr>
                <w:rFonts w:ascii="Traditional Arabic" w:eastAsia="Times New Roman" w:hAnsi="Traditional Arabic" w:cs="Traditional Arabic"/>
                <w:sz w:val="24"/>
                <w:szCs w:val="24"/>
              </w:rPr>
              <w:t>.</w:t>
            </w:r>
          </w:p>
        </w:tc>
        <w:tc>
          <w:tcPr>
            <w:tcW w:w="521" w:type="pct"/>
            <w:tcBorders>
              <w:top w:val="single" w:sz="4" w:space="0" w:color="auto"/>
              <w:left w:val="single" w:sz="4" w:space="0" w:color="auto"/>
              <w:bottom w:val="single" w:sz="4" w:space="0" w:color="auto"/>
              <w:right w:val="single" w:sz="4" w:space="0" w:color="auto"/>
            </w:tcBorders>
            <w:shd w:val="clear" w:color="auto" w:fill="E8E8E8"/>
            <w:vAlign w:val="center"/>
            <w:hideMark/>
          </w:tcPr>
          <w:p w14:paraId="2F134BB3" w14:textId="77777777" w:rsidR="00732864" w:rsidRPr="00732864" w:rsidRDefault="00732864" w:rsidP="00BA6A92">
            <w:pPr>
              <w:bidi/>
              <w:spacing w:before="100" w:beforeAutospacing="1" w:after="100" w:afterAutospacing="1"/>
              <w:jc w:val="center"/>
              <w:rPr>
                <w:rFonts w:ascii="Traditional Arabic" w:eastAsia="Times New Roman" w:hAnsi="Traditional Arabic" w:cs="Traditional Arabic"/>
                <w:b/>
                <w:bCs/>
                <w:sz w:val="24"/>
                <w:szCs w:val="24"/>
              </w:rPr>
            </w:pPr>
            <w:r w:rsidRPr="00732864">
              <w:rPr>
                <w:rFonts w:ascii="Traditional Arabic" w:eastAsia="Times New Roman" w:hAnsi="Traditional Arabic" w:cs="Traditional Arabic"/>
                <w:b/>
                <w:bCs/>
                <w:sz w:val="24"/>
                <w:szCs w:val="24"/>
                <w:rtl/>
              </w:rPr>
              <w:t>التعريف والفلسفة</w:t>
            </w:r>
          </w:p>
        </w:tc>
      </w:tr>
      <w:tr w:rsidR="00732864" w:rsidRPr="00732864" w14:paraId="6121725D" w14:textId="77777777" w:rsidTr="00BA6A92">
        <w:trPr>
          <w:cantSplit/>
          <w:trHeight w:val="550"/>
        </w:trPr>
        <w:tc>
          <w:tcPr>
            <w:tcW w:w="1119" w:type="pct"/>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vAlign w:val="center"/>
            <w:hideMark/>
          </w:tcPr>
          <w:p w14:paraId="05C413E7" w14:textId="77777777" w:rsidR="00732864" w:rsidRPr="00732864" w:rsidRDefault="00732864" w:rsidP="00BA6A92">
            <w:pPr>
              <w:bidi/>
              <w:spacing w:before="100" w:beforeAutospacing="1" w:after="100" w:afterAutospacing="1"/>
              <w:jc w:val="center"/>
              <w:rPr>
                <w:rFonts w:ascii="Traditional Arabic" w:eastAsia="Times New Roman" w:hAnsi="Traditional Arabic" w:cs="Traditional Arabic"/>
                <w:sz w:val="24"/>
                <w:szCs w:val="24"/>
                <w:rtl/>
              </w:rPr>
            </w:pPr>
            <w:r w:rsidRPr="00732864">
              <w:rPr>
                <w:rFonts w:ascii="Traditional Arabic" w:eastAsia="Times New Roman" w:hAnsi="Traditional Arabic" w:cs="Traditional Arabic"/>
                <w:sz w:val="24"/>
                <w:szCs w:val="24"/>
                <w:rtl/>
              </w:rPr>
              <w:t>التميز الشامل في الأداء المؤسسي، ومواءمة الأهداف الوطنية</w:t>
            </w:r>
            <w:r w:rsidRPr="00732864">
              <w:rPr>
                <w:rFonts w:ascii="Traditional Arabic" w:eastAsia="Times New Roman" w:hAnsi="Traditional Arabic" w:cs="Traditional Arabic"/>
                <w:sz w:val="24"/>
                <w:szCs w:val="24"/>
              </w:rPr>
              <w:t>.</w:t>
            </w:r>
          </w:p>
        </w:tc>
        <w:tc>
          <w:tcPr>
            <w:tcW w:w="1119" w:type="pct"/>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vAlign w:val="center"/>
            <w:hideMark/>
          </w:tcPr>
          <w:p w14:paraId="4E3C30FA" w14:textId="77777777" w:rsidR="00732864" w:rsidRPr="00732864" w:rsidRDefault="00732864" w:rsidP="00BA6A92">
            <w:pPr>
              <w:bidi/>
              <w:spacing w:before="100" w:beforeAutospacing="1" w:after="100" w:afterAutospacing="1"/>
              <w:jc w:val="center"/>
              <w:rPr>
                <w:rFonts w:ascii="Traditional Arabic" w:eastAsia="Times New Roman" w:hAnsi="Traditional Arabic" w:cs="Traditional Arabic"/>
                <w:sz w:val="24"/>
                <w:szCs w:val="24"/>
              </w:rPr>
            </w:pPr>
            <w:r w:rsidRPr="00732864">
              <w:rPr>
                <w:rFonts w:ascii="Traditional Arabic" w:eastAsia="Times New Roman" w:hAnsi="Traditional Arabic" w:cs="Traditional Arabic"/>
                <w:sz w:val="24"/>
                <w:szCs w:val="24"/>
                <w:rtl/>
              </w:rPr>
              <w:t>خلق قيمة مستدامة، قيادة الأداء، تسخير الإبداع، بناء</w:t>
            </w:r>
            <w:r w:rsidRPr="00732864">
              <w:rPr>
                <w:rFonts w:ascii="Traditional Arabic" w:eastAsia="Times New Roman" w:hAnsi="Traditional Arabic" w:cs="Traditional Arabic"/>
                <w:sz w:val="24"/>
                <w:szCs w:val="24"/>
              </w:rPr>
              <w:t xml:space="preserve"> </w:t>
            </w:r>
            <w:r w:rsidRPr="00732864">
              <w:rPr>
                <w:rFonts w:ascii="Traditional Arabic" w:eastAsia="Times New Roman" w:hAnsi="Traditional Arabic" w:cs="Traditional Arabic"/>
                <w:sz w:val="24"/>
                <w:szCs w:val="24"/>
                <w:rtl/>
              </w:rPr>
              <w:t>القدرات</w:t>
            </w:r>
            <w:r w:rsidRPr="00732864">
              <w:rPr>
                <w:rFonts w:ascii="Traditional Arabic" w:eastAsia="Times New Roman" w:hAnsi="Traditional Arabic" w:cs="Traditional Arabic"/>
                <w:sz w:val="24"/>
                <w:szCs w:val="24"/>
              </w:rPr>
              <w:t>.</w:t>
            </w:r>
          </w:p>
        </w:tc>
        <w:tc>
          <w:tcPr>
            <w:tcW w:w="1119" w:type="pct"/>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vAlign w:val="center"/>
            <w:hideMark/>
          </w:tcPr>
          <w:p w14:paraId="762FB92A" w14:textId="77777777" w:rsidR="00732864" w:rsidRPr="00732864" w:rsidRDefault="00732864" w:rsidP="00BA6A92">
            <w:pPr>
              <w:bidi/>
              <w:spacing w:before="100" w:beforeAutospacing="1" w:after="100" w:afterAutospacing="1"/>
              <w:jc w:val="center"/>
              <w:rPr>
                <w:rFonts w:ascii="Traditional Arabic" w:eastAsia="Times New Roman" w:hAnsi="Traditional Arabic" w:cs="Traditional Arabic"/>
                <w:sz w:val="24"/>
                <w:szCs w:val="24"/>
              </w:rPr>
            </w:pPr>
            <w:r w:rsidRPr="00732864">
              <w:rPr>
                <w:rFonts w:ascii="Traditional Arabic" w:eastAsia="Times New Roman" w:hAnsi="Traditional Arabic" w:cs="Traditional Arabic"/>
                <w:sz w:val="24"/>
                <w:szCs w:val="24"/>
                <w:rtl/>
              </w:rPr>
              <w:t>التميز في الأداء والنتائج، القيادة، الاستراتيجية، التركيز</w:t>
            </w:r>
            <w:r w:rsidRPr="00732864">
              <w:rPr>
                <w:rFonts w:ascii="Traditional Arabic" w:eastAsia="Times New Roman" w:hAnsi="Traditional Arabic" w:cs="Traditional Arabic"/>
                <w:sz w:val="24"/>
                <w:szCs w:val="24"/>
              </w:rPr>
              <w:t xml:space="preserve"> </w:t>
            </w:r>
            <w:r w:rsidRPr="00732864">
              <w:rPr>
                <w:rFonts w:ascii="Traditional Arabic" w:eastAsia="Times New Roman" w:hAnsi="Traditional Arabic" w:cs="Traditional Arabic"/>
                <w:sz w:val="24"/>
                <w:szCs w:val="24"/>
                <w:rtl/>
              </w:rPr>
              <w:t>على العميل</w:t>
            </w:r>
            <w:r w:rsidRPr="00732864">
              <w:rPr>
                <w:rFonts w:ascii="Traditional Arabic" w:eastAsia="Times New Roman" w:hAnsi="Traditional Arabic" w:cs="Traditional Arabic"/>
                <w:sz w:val="24"/>
                <w:szCs w:val="24"/>
              </w:rPr>
              <w:t>.</w:t>
            </w:r>
          </w:p>
        </w:tc>
        <w:tc>
          <w:tcPr>
            <w:tcW w:w="1122" w:type="pct"/>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vAlign w:val="center"/>
            <w:hideMark/>
          </w:tcPr>
          <w:p w14:paraId="1FDF7200" w14:textId="77777777" w:rsidR="00732864" w:rsidRPr="00732864" w:rsidRDefault="00732864" w:rsidP="00BA6A92">
            <w:pPr>
              <w:bidi/>
              <w:spacing w:before="100" w:beforeAutospacing="1" w:after="100" w:afterAutospacing="1"/>
              <w:jc w:val="center"/>
              <w:rPr>
                <w:rFonts w:ascii="Traditional Arabic" w:eastAsia="Times New Roman" w:hAnsi="Traditional Arabic" w:cs="Traditional Arabic"/>
                <w:sz w:val="24"/>
                <w:szCs w:val="24"/>
              </w:rPr>
            </w:pPr>
            <w:r w:rsidRPr="00732864">
              <w:rPr>
                <w:rFonts w:ascii="Traditional Arabic" w:eastAsia="Times New Roman" w:hAnsi="Traditional Arabic" w:cs="Traditional Arabic"/>
                <w:sz w:val="24"/>
                <w:szCs w:val="24"/>
                <w:rtl/>
              </w:rPr>
              <w:t>الجودة الشاملة، التحسين المستمر، التحكم في العمليات،</w:t>
            </w:r>
            <w:r w:rsidRPr="00732864">
              <w:rPr>
                <w:rFonts w:ascii="Traditional Arabic" w:eastAsia="Times New Roman" w:hAnsi="Traditional Arabic" w:cs="Traditional Arabic"/>
                <w:sz w:val="24"/>
                <w:szCs w:val="24"/>
              </w:rPr>
              <w:t xml:space="preserve"> </w:t>
            </w:r>
            <w:r w:rsidRPr="00732864">
              <w:rPr>
                <w:rFonts w:ascii="Traditional Arabic" w:eastAsia="Times New Roman" w:hAnsi="Traditional Arabic" w:cs="Traditional Arabic"/>
                <w:sz w:val="24"/>
                <w:szCs w:val="24"/>
                <w:rtl/>
              </w:rPr>
              <w:t>مشاركة العاملين</w:t>
            </w:r>
            <w:r w:rsidRPr="00732864">
              <w:rPr>
                <w:rFonts w:ascii="Traditional Arabic" w:eastAsia="Times New Roman" w:hAnsi="Traditional Arabic" w:cs="Traditional Arabic"/>
                <w:sz w:val="24"/>
                <w:szCs w:val="24"/>
              </w:rPr>
              <w:t>.</w:t>
            </w:r>
          </w:p>
        </w:tc>
        <w:tc>
          <w:tcPr>
            <w:tcW w:w="521" w:type="pct"/>
            <w:tcBorders>
              <w:top w:val="single" w:sz="4" w:space="0" w:color="auto"/>
              <w:left w:val="single" w:sz="4" w:space="0" w:color="auto"/>
              <w:bottom w:val="single" w:sz="4" w:space="0" w:color="auto"/>
              <w:right w:val="single" w:sz="4" w:space="0" w:color="auto"/>
            </w:tcBorders>
            <w:shd w:val="clear" w:color="auto" w:fill="E8E8E8"/>
            <w:vAlign w:val="center"/>
            <w:hideMark/>
          </w:tcPr>
          <w:p w14:paraId="5A2539A6" w14:textId="77777777" w:rsidR="00732864" w:rsidRPr="00732864" w:rsidRDefault="00732864" w:rsidP="00BA6A92">
            <w:pPr>
              <w:bidi/>
              <w:spacing w:before="100" w:beforeAutospacing="1" w:after="100" w:afterAutospacing="1"/>
              <w:jc w:val="center"/>
              <w:rPr>
                <w:rFonts w:ascii="Traditional Arabic" w:eastAsia="Times New Roman" w:hAnsi="Traditional Arabic" w:cs="Traditional Arabic"/>
                <w:b/>
                <w:bCs/>
                <w:sz w:val="24"/>
                <w:szCs w:val="24"/>
              </w:rPr>
            </w:pPr>
            <w:r w:rsidRPr="00732864">
              <w:rPr>
                <w:rFonts w:ascii="Traditional Arabic" w:eastAsia="Times New Roman" w:hAnsi="Traditional Arabic" w:cs="Traditional Arabic"/>
                <w:b/>
                <w:bCs/>
                <w:sz w:val="24"/>
                <w:szCs w:val="24"/>
                <w:rtl/>
              </w:rPr>
              <w:t>الركائز الاساسية</w:t>
            </w:r>
          </w:p>
        </w:tc>
      </w:tr>
      <w:tr w:rsidR="00732864" w:rsidRPr="00732864" w14:paraId="2760A38B" w14:textId="77777777" w:rsidTr="00BA6A92">
        <w:trPr>
          <w:cantSplit/>
          <w:trHeight w:val="550"/>
        </w:trPr>
        <w:tc>
          <w:tcPr>
            <w:tcW w:w="1119" w:type="pct"/>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vAlign w:val="center"/>
            <w:hideMark/>
          </w:tcPr>
          <w:p w14:paraId="5B2D4A8D" w14:textId="661C2169" w:rsidR="00732864" w:rsidRPr="00732864" w:rsidRDefault="00BA6A92" w:rsidP="00BA6A92">
            <w:pPr>
              <w:bidi/>
              <w:spacing w:before="100" w:beforeAutospacing="1" w:after="100" w:afterAutospacing="1"/>
              <w:jc w:val="center"/>
              <w:rPr>
                <w:rFonts w:ascii="Traditional Arabic" w:eastAsia="Times New Roman" w:hAnsi="Traditional Arabic" w:cs="Traditional Arabic"/>
                <w:sz w:val="24"/>
                <w:szCs w:val="24"/>
                <w:rtl/>
              </w:rPr>
            </w:pPr>
            <w:r>
              <w:rPr>
                <w:rFonts w:ascii="Traditional Arabic" w:eastAsia="Times New Roman" w:hAnsi="Traditional Arabic" w:cs="Traditional Arabic" w:hint="cs"/>
                <w:sz w:val="24"/>
                <w:szCs w:val="24"/>
                <w:rtl/>
              </w:rPr>
              <w:t xml:space="preserve">9 </w:t>
            </w:r>
            <w:r w:rsidR="00732864" w:rsidRPr="00732864">
              <w:rPr>
                <w:rFonts w:ascii="Traditional Arabic" w:eastAsia="Times New Roman" w:hAnsi="Traditional Arabic" w:cs="Traditional Arabic"/>
                <w:sz w:val="24"/>
                <w:szCs w:val="24"/>
                <w:rtl/>
              </w:rPr>
              <w:t>مبادئ أساسية (مثل القيادة، المستفيدون، الموارد البشرية،</w:t>
            </w:r>
            <w:r w:rsidR="00732864" w:rsidRPr="00732864">
              <w:rPr>
                <w:rFonts w:ascii="Traditional Arabic" w:eastAsia="Times New Roman" w:hAnsi="Traditional Arabic" w:cs="Traditional Arabic"/>
                <w:sz w:val="24"/>
                <w:szCs w:val="24"/>
              </w:rPr>
              <w:t xml:space="preserve"> </w:t>
            </w:r>
            <w:r w:rsidR="00FC7B6E" w:rsidRPr="00732864">
              <w:rPr>
                <w:rFonts w:ascii="Traditional Arabic" w:eastAsia="Times New Roman" w:hAnsi="Traditional Arabic" w:cs="Traditional Arabic" w:hint="cs"/>
                <w:sz w:val="24"/>
                <w:szCs w:val="24"/>
                <w:rtl/>
              </w:rPr>
              <w:t>الابتكار</w:t>
            </w:r>
            <w:r w:rsidR="00FC7B6E">
              <w:rPr>
                <w:rFonts w:ascii="Traditional Arabic" w:eastAsia="Times New Roman" w:hAnsi="Traditional Arabic" w:cs="Traditional Arabic"/>
                <w:sz w:val="24"/>
                <w:szCs w:val="24"/>
              </w:rPr>
              <w:t xml:space="preserve"> (</w:t>
            </w:r>
          </w:p>
        </w:tc>
        <w:tc>
          <w:tcPr>
            <w:tcW w:w="1119" w:type="pct"/>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vAlign w:val="center"/>
            <w:hideMark/>
          </w:tcPr>
          <w:p w14:paraId="7391EB38" w14:textId="483505CB" w:rsidR="00732864" w:rsidRPr="00732864" w:rsidRDefault="00FC7B6E" w:rsidP="00BA6A92">
            <w:pPr>
              <w:bidi/>
              <w:spacing w:before="100" w:beforeAutospacing="1" w:after="100" w:afterAutospacing="1"/>
              <w:jc w:val="center"/>
              <w:rPr>
                <w:rFonts w:ascii="Traditional Arabic" w:eastAsia="Times New Roman" w:hAnsi="Traditional Arabic" w:cs="Traditional Arabic"/>
                <w:sz w:val="24"/>
                <w:szCs w:val="24"/>
              </w:rPr>
            </w:pPr>
            <w:r>
              <w:rPr>
                <w:rFonts w:ascii="Traditional Arabic" w:eastAsia="Times New Roman" w:hAnsi="Traditional Arabic" w:cs="Traditional Arabic" w:hint="cs"/>
                <w:sz w:val="24"/>
                <w:szCs w:val="24"/>
                <w:rtl/>
              </w:rPr>
              <w:t>3</w:t>
            </w:r>
            <w:r w:rsidR="00732864" w:rsidRPr="00732864">
              <w:rPr>
                <w:rFonts w:ascii="Traditional Arabic" w:eastAsia="Times New Roman" w:hAnsi="Traditional Arabic" w:cs="Traditional Arabic"/>
                <w:sz w:val="24"/>
                <w:szCs w:val="24"/>
              </w:rPr>
              <w:t xml:space="preserve"> </w:t>
            </w:r>
            <w:r w:rsidR="00732864" w:rsidRPr="00732864">
              <w:rPr>
                <w:rFonts w:ascii="Traditional Arabic" w:eastAsia="Times New Roman" w:hAnsi="Traditional Arabic" w:cs="Traditional Arabic"/>
                <w:sz w:val="24"/>
                <w:szCs w:val="24"/>
                <w:rtl/>
              </w:rPr>
              <w:t xml:space="preserve">محاور رئيسية (التوجه، التنفيذ، النتائج) </w:t>
            </w:r>
            <w:r w:rsidR="00BA6A92" w:rsidRPr="00732864">
              <w:rPr>
                <w:rFonts w:ascii="Traditional Arabic" w:eastAsia="Times New Roman" w:hAnsi="Traditional Arabic" w:cs="Traditional Arabic" w:hint="cs"/>
                <w:sz w:val="24"/>
                <w:szCs w:val="24"/>
                <w:rtl/>
              </w:rPr>
              <w:t>و7</w:t>
            </w:r>
            <w:r w:rsidR="00732864" w:rsidRPr="00732864">
              <w:rPr>
                <w:rFonts w:ascii="Traditional Arabic" w:eastAsia="Times New Roman" w:hAnsi="Traditional Arabic" w:cs="Traditional Arabic"/>
                <w:sz w:val="24"/>
                <w:szCs w:val="24"/>
                <w:rtl/>
              </w:rPr>
              <w:t xml:space="preserve"> معايير</w:t>
            </w:r>
            <w:r w:rsidR="00732864" w:rsidRPr="00732864">
              <w:rPr>
                <w:rFonts w:ascii="Traditional Arabic" w:eastAsia="Times New Roman" w:hAnsi="Traditional Arabic" w:cs="Traditional Arabic"/>
                <w:sz w:val="24"/>
                <w:szCs w:val="24"/>
              </w:rPr>
              <w:t>.</w:t>
            </w:r>
          </w:p>
        </w:tc>
        <w:tc>
          <w:tcPr>
            <w:tcW w:w="1119" w:type="pct"/>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vAlign w:val="center"/>
            <w:hideMark/>
          </w:tcPr>
          <w:p w14:paraId="3FF9C80B" w14:textId="0EFAA9DC" w:rsidR="00732864" w:rsidRPr="00732864" w:rsidRDefault="00FC7B6E" w:rsidP="00BA6A92">
            <w:pPr>
              <w:bidi/>
              <w:spacing w:before="100" w:beforeAutospacing="1" w:after="100" w:afterAutospacing="1"/>
              <w:jc w:val="center"/>
              <w:rPr>
                <w:rFonts w:ascii="Traditional Arabic" w:eastAsia="Times New Roman" w:hAnsi="Traditional Arabic" w:cs="Traditional Arabic"/>
                <w:sz w:val="24"/>
                <w:szCs w:val="24"/>
              </w:rPr>
            </w:pPr>
            <w:r>
              <w:rPr>
                <w:rFonts w:ascii="Traditional Arabic" w:eastAsia="Times New Roman" w:hAnsi="Traditional Arabic" w:cs="Traditional Arabic" w:hint="cs"/>
                <w:sz w:val="24"/>
                <w:szCs w:val="24"/>
                <w:rtl/>
              </w:rPr>
              <w:t xml:space="preserve">7 </w:t>
            </w:r>
            <w:r w:rsidR="00732864" w:rsidRPr="00732864">
              <w:rPr>
                <w:rFonts w:ascii="Traditional Arabic" w:eastAsia="Times New Roman" w:hAnsi="Traditional Arabic" w:cs="Traditional Arabic"/>
                <w:sz w:val="24"/>
                <w:szCs w:val="24"/>
                <w:rtl/>
              </w:rPr>
              <w:t>فئات رئيسية (القيادة، الاستراتيجية، المستفيدون، القياس،</w:t>
            </w:r>
            <w:r w:rsidR="00732864" w:rsidRPr="00732864">
              <w:rPr>
                <w:rFonts w:ascii="Traditional Arabic" w:eastAsia="Times New Roman" w:hAnsi="Traditional Arabic" w:cs="Traditional Arabic"/>
                <w:sz w:val="24"/>
                <w:szCs w:val="24"/>
              </w:rPr>
              <w:t xml:space="preserve"> </w:t>
            </w:r>
            <w:r w:rsidR="00732864" w:rsidRPr="00732864">
              <w:rPr>
                <w:rFonts w:ascii="Traditional Arabic" w:eastAsia="Times New Roman" w:hAnsi="Traditional Arabic" w:cs="Traditional Arabic"/>
                <w:sz w:val="24"/>
                <w:szCs w:val="24"/>
                <w:rtl/>
              </w:rPr>
              <w:t>القوى العاملة، العمليات، النتائج</w:t>
            </w:r>
            <w:r>
              <w:rPr>
                <w:rFonts w:ascii="Traditional Arabic" w:eastAsia="Times New Roman" w:hAnsi="Traditional Arabic" w:cs="Traditional Arabic" w:hint="cs"/>
                <w:sz w:val="24"/>
                <w:szCs w:val="24"/>
                <w:rtl/>
              </w:rPr>
              <w:t>)</w:t>
            </w:r>
          </w:p>
        </w:tc>
        <w:tc>
          <w:tcPr>
            <w:tcW w:w="1122" w:type="pct"/>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vAlign w:val="center"/>
            <w:hideMark/>
          </w:tcPr>
          <w:p w14:paraId="6C7C1BD8" w14:textId="0D7D936F" w:rsidR="00732864" w:rsidRPr="00732864" w:rsidRDefault="00BA6A92" w:rsidP="00BA6A92">
            <w:pPr>
              <w:bidi/>
              <w:spacing w:before="100" w:beforeAutospacing="1" w:after="100" w:afterAutospacing="1"/>
              <w:jc w:val="center"/>
              <w:rPr>
                <w:rFonts w:ascii="Traditional Arabic" w:eastAsia="Times New Roman" w:hAnsi="Traditional Arabic" w:cs="Traditional Arabic"/>
                <w:sz w:val="24"/>
                <w:szCs w:val="24"/>
              </w:rPr>
            </w:pPr>
            <w:r>
              <w:rPr>
                <w:rFonts w:ascii="Traditional Arabic" w:eastAsia="Times New Roman" w:hAnsi="Traditional Arabic" w:cs="Traditional Arabic" w:hint="cs"/>
                <w:sz w:val="24"/>
                <w:szCs w:val="24"/>
                <w:rtl/>
              </w:rPr>
              <w:t>14</w:t>
            </w:r>
            <w:r w:rsidR="00732864" w:rsidRPr="00732864">
              <w:rPr>
                <w:rFonts w:ascii="Traditional Arabic" w:eastAsia="Times New Roman" w:hAnsi="Traditional Arabic" w:cs="Traditional Arabic"/>
                <w:sz w:val="24"/>
                <w:szCs w:val="24"/>
                <w:rtl/>
              </w:rPr>
              <w:t>مبدأ لديمنج (مثل التحسين المستمر، التدريب</w:t>
            </w:r>
            <w:r w:rsidR="00FC7B6E">
              <w:rPr>
                <w:rFonts w:ascii="Traditional Arabic" w:eastAsia="Times New Roman" w:hAnsi="Traditional Arabic" w:cs="Traditional Arabic" w:hint="cs"/>
                <w:sz w:val="24"/>
                <w:szCs w:val="24"/>
                <w:rtl/>
              </w:rPr>
              <w:t>)</w:t>
            </w:r>
          </w:p>
        </w:tc>
        <w:tc>
          <w:tcPr>
            <w:tcW w:w="521" w:type="pct"/>
            <w:tcBorders>
              <w:top w:val="single" w:sz="4" w:space="0" w:color="auto"/>
              <w:left w:val="single" w:sz="4" w:space="0" w:color="auto"/>
              <w:bottom w:val="single" w:sz="4" w:space="0" w:color="auto"/>
              <w:right w:val="single" w:sz="4" w:space="0" w:color="auto"/>
            </w:tcBorders>
            <w:shd w:val="clear" w:color="auto" w:fill="E8E8E8"/>
            <w:vAlign w:val="center"/>
            <w:hideMark/>
          </w:tcPr>
          <w:p w14:paraId="7045231B" w14:textId="77777777" w:rsidR="00732864" w:rsidRPr="00732864" w:rsidRDefault="00732864" w:rsidP="00BA6A92">
            <w:pPr>
              <w:bidi/>
              <w:spacing w:before="100" w:beforeAutospacing="1" w:after="100" w:afterAutospacing="1"/>
              <w:jc w:val="center"/>
              <w:rPr>
                <w:rFonts w:ascii="Traditional Arabic" w:eastAsia="Times New Roman" w:hAnsi="Traditional Arabic" w:cs="Traditional Arabic"/>
                <w:b/>
                <w:bCs/>
                <w:sz w:val="24"/>
                <w:szCs w:val="24"/>
              </w:rPr>
            </w:pPr>
            <w:r w:rsidRPr="00732864">
              <w:rPr>
                <w:rFonts w:ascii="Traditional Arabic" w:eastAsia="Times New Roman" w:hAnsi="Traditional Arabic" w:cs="Traditional Arabic"/>
                <w:b/>
                <w:bCs/>
                <w:sz w:val="24"/>
                <w:szCs w:val="24"/>
                <w:rtl/>
              </w:rPr>
              <w:t>المبادئ والمعايير</w:t>
            </w:r>
          </w:p>
        </w:tc>
      </w:tr>
      <w:tr w:rsidR="00732864" w:rsidRPr="00732864" w14:paraId="5596F350" w14:textId="77777777" w:rsidTr="00BA6A92">
        <w:trPr>
          <w:cantSplit/>
          <w:trHeight w:val="550"/>
        </w:trPr>
        <w:tc>
          <w:tcPr>
            <w:tcW w:w="1119" w:type="pct"/>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vAlign w:val="center"/>
            <w:hideMark/>
          </w:tcPr>
          <w:p w14:paraId="416ED227" w14:textId="77777777" w:rsidR="00732864" w:rsidRPr="00732864" w:rsidRDefault="00732864" w:rsidP="00BA6A92">
            <w:pPr>
              <w:bidi/>
              <w:spacing w:before="100" w:beforeAutospacing="1" w:after="100" w:afterAutospacing="1"/>
              <w:jc w:val="center"/>
              <w:rPr>
                <w:rFonts w:ascii="Traditional Arabic" w:eastAsia="Times New Roman" w:hAnsi="Traditional Arabic" w:cs="Traditional Arabic"/>
                <w:sz w:val="24"/>
                <w:szCs w:val="24"/>
                <w:rtl/>
              </w:rPr>
            </w:pPr>
            <w:r w:rsidRPr="00732864">
              <w:rPr>
                <w:rFonts w:ascii="Traditional Arabic" w:eastAsia="Times New Roman" w:hAnsi="Traditional Arabic" w:cs="Traditional Arabic"/>
                <w:b/>
                <w:bCs/>
                <w:sz w:val="24"/>
                <w:szCs w:val="24"/>
                <w:rtl/>
              </w:rPr>
              <w:t>إتقان</w:t>
            </w:r>
            <w:r w:rsidRPr="00732864">
              <w:rPr>
                <w:rFonts w:ascii="Traditional Arabic" w:eastAsia="Times New Roman" w:hAnsi="Traditional Arabic" w:cs="Traditional Arabic"/>
                <w:b/>
                <w:bCs/>
                <w:sz w:val="24"/>
                <w:szCs w:val="24"/>
              </w:rPr>
              <w:t>:</w:t>
            </w:r>
            <w:r w:rsidRPr="00732864">
              <w:rPr>
                <w:rFonts w:ascii="Traditional Arabic" w:eastAsia="Times New Roman" w:hAnsi="Traditional Arabic" w:cs="Traditional Arabic"/>
                <w:sz w:val="24"/>
                <w:szCs w:val="24"/>
              </w:rPr>
              <w:t xml:space="preserve"> </w:t>
            </w:r>
            <w:r w:rsidRPr="00732864">
              <w:rPr>
                <w:rFonts w:ascii="Traditional Arabic" w:eastAsia="Times New Roman" w:hAnsi="Traditional Arabic" w:cs="Traditional Arabic"/>
                <w:sz w:val="24"/>
                <w:szCs w:val="24"/>
                <w:rtl/>
              </w:rPr>
              <w:t>تقييم ذاتي، وثائق، زيارات ميدانية، تقرير تغذية راجعة، خطة</w:t>
            </w:r>
            <w:r w:rsidRPr="00732864">
              <w:rPr>
                <w:rFonts w:ascii="Traditional Arabic" w:eastAsia="Times New Roman" w:hAnsi="Traditional Arabic" w:cs="Traditional Arabic"/>
                <w:sz w:val="24"/>
                <w:szCs w:val="24"/>
              </w:rPr>
              <w:t xml:space="preserve"> </w:t>
            </w:r>
            <w:r w:rsidRPr="00732864">
              <w:rPr>
                <w:rFonts w:ascii="Traditional Arabic" w:eastAsia="Times New Roman" w:hAnsi="Traditional Arabic" w:cs="Traditional Arabic"/>
                <w:sz w:val="24"/>
                <w:szCs w:val="24"/>
                <w:rtl/>
              </w:rPr>
              <w:t>تحسين</w:t>
            </w:r>
            <w:r w:rsidRPr="00732864">
              <w:rPr>
                <w:rFonts w:ascii="Traditional Arabic" w:eastAsia="Times New Roman" w:hAnsi="Traditional Arabic" w:cs="Traditional Arabic"/>
                <w:sz w:val="24"/>
                <w:szCs w:val="24"/>
              </w:rPr>
              <w:t>.</w:t>
            </w:r>
          </w:p>
        </w:tc>
        <w:tc>
          <w:tcPr>
            <w:tcW w:w="1119" w:type="pct"/>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vAlign w:val="center"/>
            <w:hideMark/>
          </w:tcPr>
          <w:p w14:paraId="53810705" w14:textId="77777777" w:rsidR="00732864" w:rsidRPr="00732864" w:rsidRDefault="00732864" w:rsidP="00BA6A92">
            <w:pPr>
              <w:bidi/>
              <w:spacing w:before="100" w:beforeAutospacing="1" w:after="100" w:afterAutospacing="1"/>
              <w:jc w:val="center"/>
              <w:rPr>
                <w:rFonts w:ascii="Traditional Arabic" w:eastAsia="Times New Roman" w:hAnsi="Traditional Arabic" w:cs="Traditional Arabic"/>
                <w:b/>
                <w:bCs/>
                <w:sz w:val="24"/>
                <w:szCs w:val="24"/>
              </w:rPr>
            </w:pPr>
            <w:r w:rsidRPr="00732864">
              <w:rPr>
                <w:rFonts w:ascii="Traditional Arabic" w:eastAsia="Times New Roman" w:hAnsi="Traditional Arabic" w:cs="Traditional Arabic"/>
                <w:b/>
                <w:bCs/>
                <w:sz w:val="24"/>
                <w:szCs w:val="24"/>
              </w:rPr>
              <w:t>RADAR</w:t>
            </w:r>
          </w:p>
          <w:p w14:paraId="17F73764" w14:textId="7527CCD8" w:rsidR="00732864" w:rsidRPr="00732864" w:rsidRDefault="00732864" w:rsidP="00BA6A92">
            <w:pPr>
              <w:bidi/>
              <w:spacing w:before="100" w:beforeAutospacing="1" w:after="100" w:afterAutospacing="1"/>
              <w:jc w:val="center"/>
              <w:rPr>
                <w:rFonts w:ascii="Traditional Arabic" w:eastAsia="Times New Roman" w:hAnsi="Traditional Arabic" w:cs="Traditional Arabic"/>
                <w:sz w:val="24"/>
                <w:szCs w:val="24"/>
              </w:rPr>
            </w:pPr>
            <w:r w:rsidRPr="00732864">
              <w:rPr>
                <w:rFonts w:ascii="Traditional Arabic" w:eastAsia="Times New Roman" w:hAnsi="Traditional Arabic" w:cs="Traditional Arabic"/>
                <w:sz w:val="24"/>
                <w:szCs w:val="24"/>
                <w:rtl/>
              </w:rPr>
              <w:t>النتائج، النهج، النشر، التقييم والمراجعة</w:t>
            </w:r>
            <w:r w:rsidRPr="00732864">
              <w:rPr>
                <w:rFonts w:ascii="Traditional Arabic" w:eastAsia="Times New Roman" w:hAnsi="Traditional Arabic" w:cs="Traditional Arabic"/>
                <w:sz w:val="24"/>
                <w:szCs w:val="24"/>
              </w:rPr>
              <w:t>.</w:t>
            </w:r>
          </w:p>
        </w:tc>
        <w:tc>
          <w:tcPr>
            <w:tcW w:w="1119" w:type="pct"/>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vAlign w:val="center"/>
            <w:hideMark/>
          </w:tcPr>
          <w:p w14:paraId="225A45FD" w14:textId="12EA7D4D" w:rsidR="00BA6A92" w:rsidRDefault="00732864" w:rsidP="00BA6A92">
            <w:pPr>
              <w:bidi/>
              <w:spacing w:before="100" w:beforeAutospacing="1" w:after="100" w:afterAutospacing="1"/>
              <w:jc w:val="center"/>
              <w:rPr>
                <w:rFonts w:ascii="Traditional Arabic" w:eastAsia="Times New Roman" w:hAnsi="Traditional Arabic" w:cs="Traditional Arabic"/>
                <w:sz w:val="24"/>
                <w:szCs w:val="24"/>
                <w:rtl/>
              </w:rPr>
            </w:pPr>
            <w:r w:rsidRPr="00732864">
              <w:rPr>
                <w:rFonts w:ascii="Traditional Arabic" w:eastAsia="Times New Roman" w:hAnsi="Traditional Arabic" w:cs="Traditional Arabic"/>
                <w:b/>
                <w:bCs/>
                <w:sz w:val="24"/>
                <w:szCs w:val="24"/>
              </w:rPr>
              <w:t>ADLI:</w:t>
            </w:r>
          </w:p>
          <w:p w14:paraId="6F0BC571" w14:textId="1C707C39" w:rsidR="00732864" w:rsidRPr="00732864" w:rsidRDefault="00732864" w:rsidP="00BA6A92">
            <w:pPr>
              <w:bidi/>
              <w:spacing w:before="100" w:beforeAutospacing="1" w:after="100" w:afterAutospacing="1"/>
              <w:jc w:val="center"/>
              <w:rPr>
                <w:rFonts w:ascii="Traditional Arabic" w:eastAsia="Times New Roman" w:hAnsi="Traditional Arabic" w:cs="Traditional Arabic"/>
                <w:sz w:val="24"/>
                <w:szCs w:val="24"/>
              </w:rPr>
            </w:pPr>
            <w:r w:rsidRPr="00732864">
              <w:rPr>
                <w:rFonts w:ascii="Traditional Arabic" w:eastAsia="Times New Roman" w:hAnsi="Traditional Arabic" w:cs="Traditional Arabic"/>
                <w:sz w:val="24"/>
                <w:szCs w:val="24"/>
                <w:rtl/>
              </w:rPr>
              <w:t>المنهج، التطبيق، التعلم، التكامل (للعمليات) + تقييم</w:t>
            </w:r>
            <w:r w:rsidRPr="00732864">
              <w:rPr>
                <w:rFonts w:ascii="Traditional Arabic" w:eastAsia="Times New Roman" w:hAnsi="Traditional Arabic" w:cs="Traditional Arabic"/>
                <w:sz w:val="24"/>
                <w:szCs w:val="24"/>
              </w:rPr>
              <w:t xml:space="preserve"> </w:t>
            </w:r>
            <w:r w:rsidRPr="00732864">
              <w:rPr>
                <w:rFonts w:ascii="Traditional Arabic" w:eastAsia="Times New Roman" w:hAnsi="Traditional Arabic" w:cs="Traditional Arabic"/>
                <w:sz w:val="24"/>
                <w:szCs w:val="24"/>
                <w:rtl/>
              </w:rPr>
              <w:t>النتائج</w:t>
            </w:r>
            <w:r w:rsidRPr="00732864">
              <w:rPr>
                <w:rFonts w:ascii="Traditional Arabic" w:eastAsia="Times New Roman" w:hAnsi="Traditional Arabic" w:cs="Traditional Arabic"/>
                <w:sz w:val="24"/>
                <w:szCs w:val="24"/>
              </w:rPr>
              <w:t>.</w:t>
            </w:r>
          </w:p>
        </w:tc>
        <w:tc>
          <w:tcPr>
            <w:tcW w:w="1122" w:type="pct"/>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vAlign w:val="center"/>
            <w:hideMark/>
          </w:tcPr>
          <w:p w14:paraId="31A28594" w14:textId="77777777" w:rsidR="00732864" w:rsidRPr="00732864" w:rsidRDefault="00732864" w:rsidP="00BA6A92">
            <w:pPr>
              <w:bidi/>
              <w:spacing w:before="100" w:beforeAutospacing="1" w:after="100" w:afterAutospacing="1"/>
              <w:jc w:val="center"/>
              <w:rPr>
                <w:rFonts w:ascii="Traditional Arabic" w:eastAsia="Times New Roman" w:hAnsi="Traditional Arabic" w:cs="Traditional Arabic"/>
                <w:sz w:val="24"/>
                <w:szCs w:val="24"/>
              </w:rPr>
            </w:pPr>
            <w:r w:rsidRPr="00732864">
              <w:rPr>
                <w:rFonts w:ascii="Traditional Arabic" w:eastAsia="Times New Roman" w:hAnsi="Traditional Arabic" w:cs="Traditional Arabic"/>
                <w:b/>
                <w:bCs/>
                <w:sz w:val="24"/>
                <w:szCs w:val="24"/>
              </w:rPr>
              <w:t>PDCA Cycle:</w:t>
            </w:r>
            <w:r w:rsidRPr="00732864">
              <w:rPr>
                <w:rFonts w:ascii="Traditional Arabic" w:eastAsia="Times New Roman" w:hAnsi="Traditional Arabic" w:cs="Traditional Arabic"/>
                <w:sz w:val="24"/>
                <w:szCs w:val="24"/>
              </w:rPr>
              <w:t xml:space="preserve"> </w:t>
            </w:r>
            <w:r w:rsidRPr="00732864">
              <w:rPr>
                <w:rFonts w:ascii="Traditional Arabic" w:eastAsia="Times New Roman" w:hAnsi="Traditional Arabic" w:cs="Traditional Arabic"/>
                <w:sz w:val="24"/>
                <w:szCs w:val="24"/>
                <w:rtl/>
              </w:rPr>
              <w:t>التخطيط، التنفيذ، الفحص، التصحيح (لتحسين العمليات)</w:t>
            </w:r>
            <w:r w:rsidRPr="00732864">
              <w:rPr>
                <w:rFonts w:ascii="Traditional Arabic" w:eastAsia="Times New Roman" w:hAnsi="Traditional Arabic" w:cs="Traditional Arabic"/>
                <w:sz w:val="24"/>
                <w:szCs w:val="24"/>
              </w:rPr>
              <w:t>.</w:t>
            </w:r>
          </w:p>
        </w:tc>
        <w:tc>
          <w:tcPr>
            <w:tcW w:w="521" w:type="pct"/>
            <w:tcBorders>
              <w:top w:val="single" w:sz="4" w:space="0" w:color="auto"/>
              <w:left w:val="single" w:sz="4" w:space="0" w:color="auto"/>
              <w:bottom w:val="single" w:sz="4" w:space="0" w:color="auto"/>
              <w:right w:val="single" w:sz="4" w:space="0" w:color="auto"/>
            </w:tcBorders>
            <w:shd w:val="clear" w:color="auto" w:fill="E8E8E8"/>
            <w:vAlign w:val="center"/>
            <w:hideMark/>
          </w:tcPr>
          <w:p w14:paraId="42EB3D2E" w14:textId="77777777" w:rsidR="00732864" w:rsidRPr="00732864" w:rsidRDefault="00732864" w:rsidP="00BA6A92">
            <w:pPr>
              <w:bidi/>
              <w:spacing w:before="100" w:beforeAutospacing="1" w:after="100" w:afterAutospacing="1"/>
              <w:jc w:val="center"/>
              <w:rPr>
                <w:rFonts w:ascii="Traditional Arabic" w:eastAsia="Times New Roman" w:hAnsi="Traditional Arabic" w:cs="Traditional Arabic"/>
                <w:b/>
                <w:bCs/>
                <w:sz w:val="24"/>
                <w:szCs w:val="24"/>
              </w:rPr>
            </w:pPr>
            <w:r w:rsidRPr="00732864">
              <w:rPr>
                <w:rFonts w:ascii="Traditional Arabic" w:eastAsia="Times New Roman" w:hAnsi="Traditional Arabic" w:cs="Traditional Arabic"/>
                <w:b/>
                <w:bCs/>
                <w:sz w:val="24"/>
                <w:szCs w:val="24"/>
                <w:rtl/>
              </w:rPr>
              <w:t>أداة التقييم</w:t>
            </w:r>
          </w:p>
        </w:tc>
      </w:tr>
      <w:tr w:rsidR="00732864" w:rsidRPr="00732864" w14:paraId="47AD0D44" w14:textId="77777777" w:rsidTr="00BA6A92">
        <w:trPr>
          <w:cantSplit/>
          <w:trHeight w:val="550"/>
        </w:trPr>
        <w:tc>
          <w:tcPr>
            <w:tcW w:w="1119" w:type="pct"/>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vAlign w:val="center"/>
            <w:hideMark/>
          </w:tcPr>
          <w:p w14:paraId="1B012998" w14:textId="77777777" w:rsidR="00732864" w:rsidRPr="00732864" w:rsidRDefault="00732864" w:rsidP="00BA6A92">
            <w:pPr>
              <w:bidi/>
              <w:spacing w:before="100" w:beforeAutospacing="1" w:after="100" w:afterAutospacing="1"/>
              <w:jc w:val="center"/>
              <w:rPr>
                <w:rFonts w:ascii="Traditional Arabic" w:eastAsia="Times New Roman" w:hAnsi="Traditional Arabic" w:cs="Traditional Arabic"/>
                <w:sz w:val="24"/>
                <w:szCs w:val="24"/>
                <w:rtl/>
              </w:rPr>
            </w:pPr>
            <w:r w:rsidRPr="00732864">
              <w:rPr>
                <w:rFonts w:ascii="Traditional Arabic" w:eastAsia="Times New Roman" w:hAnsi="Traditional Arabic" w:cs="Traditional Arabic"/>
                <w:sz w:val="24"/>
                <w:szCs w:val="24"/>
                <w:rtl/>
              </w:rPr>
              <w:t>جميع القطاعات (حكومي، خاص، غير ربحي)</w:t>
            </w:r>
            <w:r w:rsidRPr="00732864">
              <w:rPr>
                <w:rFonts w:ascii="Traditional Arabic" w:eastAsia="Times New Roman" w:hAnsi="Traditional Arabic" w:cs="Traditional Arabic"/>
                <w:sz w:val="24"/>
                <w:szCs w:val="24"/>
              </w:rPr>
              <w:t>.</w:t>
            </w:r>
          </w:p>
        </w:tc>
        <w:tc>
          <w:tcPr>
            <w:tcW w:w="1119" w:type="pct"/>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vAlign w:val="center"/>
            <w:hideMark/>
          </w:tcPr>
          <w:p w14:paraId="16A5646B" w14:textId="77777777" w:rsidR="00732864" w:rsidRPr="00732864" w:rsidRDefault="00732864" w:rsidP="00BA6A92">
            <w:pPr>
              <w:bidi/>
              <w:spacing w:before="100" w:beforeAutospacing="1" w:after="100" w:afterAutospacing="1"/>
              <w:jc w:val="center"/>
              <w:rPr>
                <w:rFonts w:ascii="Traditional Arabic" w:eastAsia="Times New Roman" w:hAnsi="Traditional Arabic" w:cs="Traditional Arabic"/>
                <w:sz w:val="24"/>
                <w:szCs w:val="24"/>
              </w:rPr>
            </w:pPr>
            <w:r w:rsidRPr="00732864">
              <w:rPr>
                <w:rFonts w:ascii="Traditional Arabic" w:eastAsia="Times New Roman" w:hAnsi="Traditional Arabic" w:cs="Traditional Arabic"/>
                <w:sz w:val="24"/>
                <w:szCs w:val="24"/>
                <w:rtl/>
              </w:rPr>
              <w:t>جميع أنواع المنظمات والقطاعات</w:t>
            </w:r>
            <w:r w:rsidRPr="00732864">
              <w:rPr>
                <w:rFonts w:ascii="Traditional Arabic" w:eastAsia="Times New Roman" w:hAnsi="Traditional Arabic" w:cs="Traditional Arabic"/>
                <w:sz w:val="24"/>
                <w:szCs w:val="24"/>
              </w:rPr>
              <w:t>.</w:t>
            </w:r>
          </w:p>
        </w:tc>
        <w:tc>
          <w:tcPr>
            <w:tcW w:w="1119" w:type="pct"/>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vAlign w:val="center"/>
            <w:hideMark/>
          </w:tcPr>
          <w:p w14:paraId="620A1930" w14:textId="0381D883" w:rsidR="00732864" w:rsidRPr="00732864" w:rsidRDefault="00732864" w:rsidP="00BA6A92">
            <w:pPr>
              <w:bidi/>
              <w:spacing w:before="100" w:beforeAutospacing="1" w:after="100" w:afterAutospacing="1"/>
              <w:jc w:val="center"/>
              <w:rPr>
                <w:rFonts w:ascii="Traditional Arabic" w:eastAsia="Times New Roman" w:hAnsi="Traditional Arabic" w:cs="Traditional Arabic"/>
                <w:sz w:val="24"/>
                <w:szCs w:val="24"/>
              </w:rPr>
            </w:pPr>
            <w:r w:rsidRPr="00732864">
              <w:rPr>
                <w:rFonts w:ascii="Traditional Arabic" w:eastAsia="Times New Roman" w:hAnsi="Traditional Arabic" w:cs="Traditional Arabic"/>
                <w:sz w:val="24"/>
                <w:szCs w:val="24"/>
                <w:rtl/>
              </w:rPr>
              <w:t>جميع أنواع المنظمات والقطاعات (مع إصدارات خاصة بالرعاية</w:t>
            </w:r>
            <w:r w:rsidRPr="00732864">
              <w:rPr>
                <w:rFonts w:ascii="Traditional Arabic" w:eastAsia="Times New Roman" w:hAnsi="Traditional Arabic" w:cs="Traditional Arabic"/>
                <w:sz w:val="24"/>
                <w:szCs w:val="24"/>
              </w:rPr>
              <w:t xml:space="preserve"> </w:t>
            </w:r>
            <w:r w:rsidRPr="00732864">
              <w:rPr>
                <w:rFonts w:ascii="Traditional Arabic" w:eastAsia="Times New Roman" w:hAnsi="Traditional Arabic" w:cs="Traditional Arabic"/>
                <w:sz w:val="24"/>
                <w:szCs w:val="24"/>
                <w:rtl/>
              </w:rPr>
              <w:t>الصحية</w:t>
            </w:r>
            <w:r w:rsidR="009F3A3F">
              <w:rPr>
                <w:rFonts w:ascii="Traditional Arabic" w:eastAsia="Times New Roman" w:hAnsi="Traditional Arabic" w:cs="Traditional Arabic" w:hint="cs"/>
                <w:sz w:val="24"/>
                <w:szCs w:val="24"/>
                <w:rtl/>
              </w:rPr>
              <w:t>)</w:t>
            </w:r>
          </w:p>
        </w:tc>
        <w:tc>
          <w:tcPr>
            <w:tcW w:w="1122" w:type="pct"/>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vAlign w:val="center"/>
            <w:hideMark/>
          </w:tcPr>
          <w:p w14:paraId="387528BF" w14:textId="77777777" w:rsidR="00732864" w:rsidRPr="00732864" w:rsidRDefault="00732864" w:rsidP="00BA6A92">
            <w:pPr>
              <w:bidi/>
              <w:spacing w:before="100" w:beforeAutospacing="1" w:after="100" w:afterAutospacing="1"/>
              <w:jc w:val="center"/>
              <w:rPr>
                <w:rFonts w:ascii="Traditional Arabic" w:eastAsia="Times New Roman" w:hAnsi="Traditional Arabic" w:cs="Traditional Arabic"/>
                <w:sz w:val="24"/>
                <w:szCs w:val="24"/>
              </w:rPr>
            </w:pPr>
            <w:r w:rsidRPr="00732864">
              <w:rPr>
                <w:rFonts w:ascii="Traditional Arabic" w:eastAsia="Times New Roman" w:hAnsi="Traditional Arabic" w:cs="Traditional Arabic"/>
                <w:sz w:val="24"/>
                <w:szCs w:val="24"/>
                <w:rtl/>
              </w:rPr>
              <w:t>جميع أنواع المنظمات والقطاعات</w:t>
            </w:r>
            <w:r w:rsidRPr="00732864">
              <w:rPr>
                <w:rFonts w:ascii="Traditional Arabic" w:eastAsia="Times New Roman" w:hAnsi="Traditional Arabic" w:cs="Traditional Arabic"/>
                <w:sz w:val="24"/>
                <w:szCs w:val="24"/>
              </w:rPr>
              <w:t>.</w:t>
            </w:r>
          </w:p>
        </w:tc>
        <w:tc>
          <w:tcPr>
            <w:tcW w:w="521" w:type="pct"/>
            <w:tcBorders>
              <w:top w:val="single" w:sz="4" w:space="0" w:color="auto"/>
              <w:left w:val="single" w:sz="4" w:space="0" w:color="auto"/>
              <w:bottom w:val="single" w:sz="4" w:space="0" w:color="auto"/>
              <w:right w:val="single" w:sz="4" w:space="0" w:color="auto"/>
            </w:tcBorders>
            <w:shd w:val="clear" w:color="auto" w:fill="E8E8E8"/>
            <w:vAlign w:val="center"/>
            <w:hideMark/>
          </w:tcPr>
          <w:p w14:paraId="01A8E6DB" w14:textId="77777777" w:rsidR="00732864" w:rsidRPr="00732864" w:rsidRDefault="00732864" w:rsidP="00BA6A92">
            <w:pPr>
              <w:bidi/>
              <w:spacing w:before="100" w:beforeAutospacing="1" w:after="100" w:afterAutospacing="1"/>
              <w:jc w:val="center"/>
              <w:rPr>
                <w:rFonts w:ascii="Traditional Arabic" w:eastAsia="Times New Roman" w:hAnsi="Traditional Arabic" w:cs="Traditional Arabic"/>
                <w:b/>
                <w:bCs/>
                <w:sz w:val="24"/>
                <w:szCs w:val="24"/>
              </w:rPr>
            </w:pPr>
            <w:r w:rsidRPr="00732864">
              <w:rPr>
                <w:rFonts w:ascii="Traditional Arabic" w:eastAsia="Times New Roman" w:hAnsi="Traditional Arabic" w:cs="Traditional Arabic"/>
                <w:b/>
                <w:bCs/>
                <w:sz w:val="24"/>
                <w:szCs w:val="24"/>
                <w:rtl/>
              </w:rPr>
              <w:t>القطاع المستهدف</w:t>
            </w:r>
          </w:p>
        </w:tc>
      </w:tr>
    </w:tbl>
    <w:p w14:paraId="5DC7E672" w14:textId="57E61F22" w:rsidR="00051E95" w:rsidRPr="00185E04" w:rsidRDefault="003E0024" w:rsidP="00051E95">
      <w:pPr>
        <w:bidi/>
        <w:rPr>
          <w:rFonts w:ascii="Traditional Arabic" w:hAnsi="Traditional Arabic" w:cs="Traditional Arabic"/>
          <w:sz w:val="24"/>
          <w:szCs w:val="24"/>
          <w:rtl/>
        </w:rPr>
      </w:pPr>
      <w:r>
        <w:rPr>
          <w:rFonts w:ascii="Traditional Arabic" w:eastAsia="Times New Roman" w:hAnsi="Traditional Arabic" w:cs="Traditional Arabic"/>
          <w:sz w:val="24"/>
          <w:szCs w:val="24"/>
        </w:rPr>
        <w:t xml:space="preserve"> </w:t>
      </w:r>
      <w:r w:rsidR="00051E95" w:rsidRPr="00185E04">
        <w:rPr>
          <w:rFonts w:ascii="Traditional Arabic" w:hAnsi="Traditional Arabic" w:cs="Traditional Arabic"/>
          <w:sz w:val="24"/>
          <w:szCs w:val="24"/>
          <w:rtl/>
        </w:rPr>
        <w:t xml:space="preserve">يوضح الجدول التالي مقارنة بين </w:t>
      </w:r>
      <w:r w:rsidR="00051E95" w:rsidRPr="00185E04">
        <w:rPr>
          <w:rFonts w:ascii="Traditional Arabic" w:hAnsi="Traditional Arabic" w:cs="Traditional Arabic" w:hint="cs"/>
          <w:sz w:val="24"/>
          <w:szCs w:val="24"/>
          <w:rtl/>
        </w:rPr>
        <w:t>أبرز</w:t>
      </w:r>
      <w:r w:rsidR="00051E95" w:rsidRPr="00185E04">
        <w:rPr>
          <w:rFonts w:ascii="Traditional Arabic" w:hAnsi="Traditional Arabic" w:cs="Traditional Arabic"/>
          <w:sz w:val="24"/>
          <w:szCs w:val="24"/>
          <w:rtl/>
        </w:rPr>
        <w:t xml:space="preserve"> نماذج التميز المؤسسي العالمية والنموذج الوطني السعودي</w:t>
      </w:r>
      <w:r w:rsidR="00464818">
        <w:rPr>
          <w:rFonts w:ascii="Traditional Arabic" w:hAnsi="Traditional Arabic" w:cs="Traditional Arabic" w:hint="cs"/>
          <w:sz w:val="24"/>
          <w:szCs w:val="24"/>
          <w:rtl/>
        </w:rPr>
        <w:t xml:space="preserve"> للتميز</w:t>
      </w:r>
      <w:r w:rsidR="00051E95">
        <w:rPr>
          <w:rFonts w:ascii="Traditional Arabic" w:hAnsi="Traditional Arabic" w:cs="Traditional Arabic" w:hint="cs"/>
          <w:sz w:val="24"/>
          <w:szCs w:val="24"/>
          <w:rtl/>
        </w:rPr>
        <w:t xml:space="preserve"> لإبراز أوجه التشابه والاختلاف</w:t>
      </w:r>
      <w:r w:rsidR="00051E95" w:rsidRPr="00185E04">
        <w:rPr>
          <w:rFonts w:ascii="Traditional Arabic" w:hAnsi="Traditional Arabic" w:cs="Traditional Arabic"/>
          <w:sz w:val="24"/>
          <w:szCs w:val="24"/>
          <w:rtl/>
        </w:rPr>
        <w:t xml:space="preserve">  </w:t>
      </w:r>
    </w:p>
    <w:p w14:paraId="6A14227D" w14:textId="259EE8AB" w:rsidR="00C202BD" w:rsidRPr="00464818" w:rsidRDefault="00C202BD" w:rsidP="00C202BD">
      <w:pPr>
        <w:bidi/>
        <w:spacing w:before="0" w:after="160" w:line="360" w:lineRule="auto"/>
        <w:ind w:left="720"/>
        <w:contextualSpacing/>
        <w:jc w:val="center"/>
        <w:rPr>
          <w:rFonts w:ascii="Traditional Arabic" w:eastAsia="Aptos" w:hAnsi="Traditional Arabic" w:cs="Traditional Arabic"/>
          <w:kern w:val="2"/>
          <w:sz w:val="24"/>
          <w:szCs w:val="24"/>
          <w14:ligatures w14:val="standardContextual"/>
        </w:rPr>
      </w:pPr>
      <w:r w:rsidRPr="00464818">
        <w:rPr>
          <w:rFonts w:ascii="Traditional Arabic" w:eastAsia="Aptos" w:hAnsi="Traditional Arabic" w:cs="Traditional Arabic"/>
          <w:kern w:val="2"/>
          <w:sz w:val="24"/>
          <w:szCs w:val="24"/>
          <w:rtl/>
          <w14:ligatures w14:val="standardContextual"/>
        </w:rPr>
        <w:t xml:space="preserve">جدول ( .. ) : مقارنة بين </w:t>
      </w:r>
      <w:r w:rsidR="00051E95" w:rsidRPr="00464818">
        <w:rPr>
          <w:rFonts w:ascii="Traditional Arabic" w:eastAsia="Aptos" w:hAnsi="Traditional Arabic" w:cs="Traditional Arabic" w:hint="cs"/>
          <w:kern w:val="2"/>
          <w:sz w:val="24"/>
          <w:szCs w:val="24"/>
          <w:rtl/>
          <w14:ligatures w14:val="standardContextual"/>
        </w:rPr>
        <w:t>أبرز</w:t>
      </w:r>
      <w:r w:rsidRPr="00464818">
        <w:rPr>
          <w:rFonts w:ascii="Traditional Arabic" w:eastAsia="Aptos" w:hAnsi="Traditional Arabic" w:cs="Traditional Arabic" w:hint="cs"/>
          <w:kern w:val="2"/>
          <w:sz w:val="24"/>
          <w:szCs w:val="24"/>
          <w:rtl/>
          <w14:ligatures w14:val="standardContextual"/>
        </w:rPr>
        <w:t xml:space="preserve"> نماذج التميز المؤسسي</w:t>
      </w:r>
      <w:r w:rsidR="00051E95" w:rsidRPr="00464818">
        <w:rPr>
          <w:rFonts w:ascii="Traditional Arabic" w:eastAsia="Aptos" w:hAnsi="Traditional Arabic" w:cs="Traditional Arabic" w:hint="cs"/>
          <w:kern w:val="2"/>
          <w:sz w:val="24"/>
          <w:szCs w:val="24"/>
          <w:rtl/>
          <w14:ligatures w14:val="standardContextual"/>
        </w:rPr>
        <w:t xml:space="preserve"> والنموذج الوطني السعودي</w:t>
      </w:r>
      <w:r w:rsidR="00464818" w:rsidRPr="00464818">
        <w:rPr>
          <w:rFonts w:ascii="Traditional Arabic" w:eastAsia="Aptos" w:hAnsi="Traditional Arabic" w:cs="Traditional Arabic" w:hint="cs"/>
          <w:kern w:val="2"/>
          <w:sz w:val="24"/>
          <w:szCs w:val="24"/>
          <w:rtl/>
          <w14:ligatures w14:val="standardContextual"/>
        </w:rPr>
        <w:t xml:space="preserve"> للتميز</w:t>
      </w:r>
    </w:p>
    <w:p w14:paraId="5B08B62E" w14:textId="77777777" w:rsidR="00732864" w:rsidRDefault="00732864" w:rsidP="00732864">
      <w:pPr>
        <w:bidi/>
        <w:spacing w:before="0" w:after="160" w:line="360" w:lineRule="auto"/>
        <w:rPr>
          <w:rFonts w:ascii="Traditional Arabic" w:eastAsia="Times New Roman" w:hAnsi="Traditional Arabic" w:cs="Traditional Arabic"/>
          <w:sz w:val="24"/>
          <w:szCs w:val="24"/>
          <w:rtl/>
        </w:rPr>
      </w:pPr>
    </w:p>
    <w:p w14:paraId="576719CA" w14:textId="77777777" w:rsidR="00464818" w:rsidRPr="00362D29" w:rsidRDefault="00464818" w:rsidP="00464818">
      <w:pPr>
        <w:bidi/>
        <w:spacing w:before="0" w:after="160" w:line="360" w:lineRule="auto"/>
        <w:rPr>
          <w:rFonts w:ascii="Traditional Arabic" w:eastAsia="Aptos" w:hAnsi="Traditional Arabic" w:cs="Traditional Arabic"/>
          <w:kern w:val="2"/>
          <w:sz w:val="24"/>
          <w:szCs w:val="24"/>
          <w14:ligatures w14:val="standardContextual"/>
        </w:rPr>
      </w:pPr>
    </w:p>
    <w:p w14:paraId="638E3B4C" w14:textId="77777777" w:rsidR="009A7640" w:rsidRPr="00362D29" w:rsidRDefault="009A7640" w:rsidP="00362D29">
      <w:pPr>
        <w:bidi/>
        <w:spacing w:before="0" w:after="160" w:line="360" w:lineRule="auto"/>
        <w:jc w:val="both"/>
        <w:rPr>
          <w:rFonts w:ascii="Traditional Arabic" w:eastAsia="Aptos" w:hAnsi="Traditional Arabic" w:cs="Traditional Arabic"/>
          <w:b/>
          <w:bCs/>
          <w:kern w:val="2"/>
          <w:sz w:val="32"/>
          <w:szCs w:val="32"/>
          <w14:ligatures w14:val="standardContextual"/>
        </w:rPr>
      </w:pPr>
      <w:r w:rsidRPr="00362D29">
        <w:rPr>
          <w:rFonts w:ascii="Traditional Arabic" w:eastAsia="Aptos" w:hAnsi="Traditional Arabic" w:cs="Traditional Arabic"/>
          <w:b/>
          <w:bCs/>
          <w:kern w:val="2"/>
          <w:sz w:val="32"/>
          <w:szCs w:val="32"/>
          <w:rtl/>
          <w14:ligatures w14:val="standardContextual"/>
        </w:rPr>
        <w:lastRenderedPageBreak/>
        <w:t>المبحث الثاني: جودة تجربة المريض (المتغير التابع)</w:t>
      </w:r>
    </w:p>
    <w:p w14:paraId="6285B224" w14:textId="6DF28C44" w:rsidR="009A7640" w:rsidRPr="00362D29" w:rsidRDefault="009A7640" w:rsidP="00362D29">
      <w:pPr>
        <w:bidi/>
        <w:spacing w:before="0" w:after="160" w:line="360" w:lineRule="auto"/>
        <w:jc w:val="both"/>
        <w:rPr>
          <w:rFonts w:ascii="Traditional Arabic" w:eastAsia="Aptos" w:hAnsi="Traditional Arabic" w:cs="Traditional Arabic"/>
          <w:b/>
          <w:bCs/>
          <w:kern w:val="2"/>
          <w:sz w:val="28"/>
          <w:szCs w:val="28"/>
          <w:rtl/>
          <w14:ligatures w14:val="standardContextual"/>
        </w:rPr>
      </w:pPr>
      <w:r w:rsidRPr="00362D29">
        <w:rPr>
          <w:rFonts w:ascii="Traditional Arabic" w:eastAsia="Aptos" w:hAnsi="Traditional Arabic" w:cs="Traditional Arabic"/>
          <w:b/>
          <w:bCs/>
          <w:kern w:val="2"/>
          <w:sz w:val="28"/>
          <w:szCs w:val="28"/>
          <w:rtl/>
          <w14:ligatures w14:val="standardContextual"/>
        </w:rPr>
        <w:t>أولاً: مقدمة عن تجربة المريض</w:t>
      </w:r>
    </w:p>
    <w:p w14:paraId="3E0FFF9F" w14:textId="77777777" w:rsidR="009A7640" w:rsidRPr="00362D29" w:rsidRDefault="009A7640"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تعد تجربة المريض (</w:t>
      </w:r>
      <w:r w:rsidRPr="00362D29">
        <w:rPr>
          <w:rFonts w:ascii="Traditional Arabic" w:eastAsia="Aptos" w:hAnsi="Traditional Arabic" w:cs="Traditional Arabic"/>
          <w:kern w:val="2"/>
          <w:sz w:val="24"/>
          <w:szCs w:val="24"/>
          <w14:ligatures w14:val="standardContextual"/>
        </w:rPr>
        <w:t>Patient Experience</w:t>
      </w:r>
      <w:r w:rsidRPr="00362D29">
        <w:rPr>
          <w:rFonts w:ascii="Traditional Arabic" w:eastAsia="Aptos" w:hAnsi="Traditional Arabic" w:cs="Traditional Arabic"/>
          <w:kern w:val="2"/>
          <w:sz w:val="24"/>
          <w:szCs w:val="24"/>
          <w:rtl/>
          <w14:ligatures w14:val="standardContextual"/>
        </w:rPr>
        <w:t>) أحد الركائز الأساسية التي تقوم عليها النظم الصحية الحديثة، حيث لم يعد المريض مجرد متلقٍ سلبي للخدمة العلاجية، بل أصبح شريكاً محورياً في العملية الرعاية (</w:t>
      </w:r>
      <w:r w:rsidRPr="00362D29">
        <w:rPr>
          <w:rFonts w:ascii="Traditional Arabic" w:eastAsia="Aptos" w:hAnsi="Traditional Arabic" w:cs="Traditional Arabic"/>
          <w:kern w:val="2"/>
          <w:sz w:val="24"/>
          <w:szCs w:val="24"/>
          <w14:ligatures w14:val="standardContextual"/>
        </w:rPr>
        <w:t>Beryl Institute, 2024</w:t>
      </w:r>
      <w:r w:rsidRPr="00362D29">
        <w:rPr>
          <w:rFonts w:ascii="Traditional Arabic" w:eastAsia="Aptos" w:hAnsi="Traditional Arabic" w:cs="Traditional Arabic"/>
          <w:kern w:val="2"/>
          <w:sz w:val="24"/>
          <w:szCs w:val="24"/>
          <w:rtl/>
          <w14:ligatures w14:val="standardContextual"/>
        </w:rPr>
        <w:t>). يبدأ فهم تجربة المريض من إدراك طبيعة "المريض" كإنسان يمر بحالة من الضعف والاحتياج، مما يولد لديه مجموعة من الاحتياجات المادية والنفسية والاجتماعية التي تتجاوز مجرد العلاج السريري (</w:t>
      </w:r>
      <w:r w:rsidRPr="00362D29">
        <w:rPr>
          <w:rFonts w:ascii="Traditional Arabic" w:eastAsia="Aptos" w:hAnsi="Traditional Arabic" w:cs="Traditional Arabic"/>
          <w:kern w:val="2"/>
          <w:sz w:val="24"/>
          <w:szCs w:val="24"/>
          <w14:ligatures w14:val="standardContextual"/>
        </w:rPr>
        <w:t>Oben, 2020</w:t>
      </w:r>
      <w:r w:rsidRPr="00362D29">
        <w:rPr>
          <w:rFonts w:ascii="Traditional Arabic" w:eastAsia="Aptos" w:hAnsi="Traditional Arabic" w:cs="Traditional Arabic"/>
          <w:kern w:val="2"/>
          <w:sz w:val="24"/>
          <w:szCs w:val="24"/>
          <w:rtl/>
          <w14:ligatures w14:val="standardContextual"/>
        </w:rPr>
        <w:t>).</w:t>
      </w:r>
    </w:p>
    <w:p w14:paraId="06CE49DC" w14:textId="77777777" w:rsidR="009A7640" w:rsidRPr="00362D29" w:rsidRDefault="009A7640"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لقد شهد التوجه العالمي في الرعاية الصحية تحولاً جذرياً من "الرعاية المتمحورة حول المرض" إلى "الرعاية المتمحورة حول المريض"، وذلك نتيجة لعدة مبررات جوهرية أبرزها :</w:t>
      </w:r>
    </w:p>
    <w:p w14:paraId="32F44142" w14:textId="77777777" w:rsidR="009A7640" w:rsidRPr="00362D29" w:rsidRDefault="009A7640" w:rsidP="00362D29">
      <w:pPr>
        <w:numPr>
          <w:ilvl w:val="0"/>
          <w:numId w:val="52"/>
        </w:numPr>
        <w:bidi/>
        <w:spacing w:before="0" w:after="160" w:line="360" w:lineRule="auto"/>
        <w:contextualSpacing/>
        <w:jc w:val="both"/>
        <w:rPr>
          <w:rFonts w:ascii="Traditional Arabic" w:eastAsia="Aptos" w:hAnsi="Traditional Arabic" w:cs="Traditional Arabic"/>
          <w:kern w:val="2"/>
          <w:sz w:val="24"/>
          <w:szCs w:val="24"/>
          <w14:ligatures w14:val="standardContextual"/>
        </w:rPr>
      </w:pPr>
      <w:r w:rsidRPr="00362D29">
        <w:rPr>
          <w:rFonts w:ascii="Traditional Arabic" w:eastAsia="Aptos" w:hAnsi="Traditional Arabic" w:cs="Traditional Arabic"/>
          <w:b/>
          <w:bCs/>
          <w:kern w:val="2"/>
          <w:sz w:val="24"/>
          <w:szCs w:val="24"/>
          <w:rtl/>
          <w14:ligatures w14:val="standardContextual"/>
        </w:rPr>
        <w:t>زيادة وعي المستفيدين وتوقعاتهم المتنامية:</w:t>
      </w:r>
      <w:r w:rsidRPr="00362D29">
        <w:rPr>
          <w:rFonts w:ascii="Traditional Arabic" w:eastAsia="Aptos" w:hAnsi="Traditional Arabic" w:cs="Traditional Arabic"/>
          <w:kern w:val="2"/>
          <w:sz w:val="24"/>
          <w:szCs w:val="24"/>
          <w:rtl/>
          <w14:ligatures w14:val="standardContextual"/>
        </w:rPr>
        <w:t xml:space="preserve"> لم يعد المرضى مجرد متلقين سلبيين للخدمة، بل أصبحوا أكثر اطلاعاً على حقوقهم وخياراتهم العلاجية بفضل سهولة الوصول للمعلومات. هذا الوعي المتزايد رفع من سقف توقعاتهم ليس فقط تجاه الجودة السريرية، بل أيضاً تجاه جودة التعامل، الشفافية، والمشاركة في اتخاذ القرارات المتعلقة بصحتهم (</w:t>
      </w:r>
      <w:r w:rsidRPr="00362D29">
        <w:rPr>
          <w:rFonts w:ascii="Traditional Arabic" w:eastAsia="Aptos" w:hAnsi="Traditional Arabic" w:cs="Traditional Arabic"/>
          <w:kern w:val="2"/>
          <w:sz w:val="24"/>
          <w:szCs w:val="24"/>
          <w14:ligatures w14:val="standardContextual"/>
        </w:rPr>
        <w:t>AHRQ, 2017</w:t>
      </w:r>
      <w:r w:rsidRPr="00362D29">
        <w:rPr>
          <w:rFonts w:ascii="Traditional Arabic" w:eastAsia="Aptos" w:hAnsi="Traditional Arabic" w:cs="Traditional Arabic"/>
          <w:kern w:val="2"/>
          <w:sz w:val="24"/>
          <w:szCs w:val="24"/>
          <w:rtl/>
          <w14:ligatures w14:val="standardContextual"/>
        </w:rPr>
        <w:t>).</w:t>
      </w:r>
    </w:p>
    <w:p w14:paraId="5F784DA0" w14:textId="77777777" w:rsidR="009A7640" w:rsidRPr="00362D29" w:rsidRDefault="009A7640" w:rsidP="00362D29">
      <w:pPr>
        <w:numPr>
          <w:ilvl w:val="0"/>
          <w:numId w:val="52"/>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تنامي التنافسية بين المؤسسات الصحية:</w:t>
      </w:r>
      <w:r w:rsidRPr="00362D29">
        <w:rPr>
          <w:rFonts w:ascii="Traditional Arabic" w:eastAsia="Aptos" w:hAnsi="Traditional Arabic" w:cs="Traditional Arabic"/>
          <w:kern w:val="2"/>
          <w:sz w:val="24"/>
          <w:szCs w:val="24"/>
          <w:rtl/>
          <w14:ligatures w14:val="standardContextual"/>
        </w:rPr>
        <w:t xml:space="preserve"> في ظل بيئة الرعاية الصحية التنافسية، أصبحت تجربة المريض عاملاً حاسماً في جذب المرضى والاحتفاظ بهم. المؤسسات التي تقدم تجربة متميزة تكتسب ميزة تنافسية، بينما تلك التي تهمل هذا الجانب قد تخسر حصتها السوقية وثقة المجتمع (</w:t>
      </w:r>
      <w:r w:rsidRPr="00362D29">
        <w:rPr>
          <w:rFonts w:ascii="Traditional Arabic" w:eastAsia="Aptos" w:hAnsi="Traditional Arabic" w:cs="Traditional Arabic"/>
          <w:kern w:val="2"/>
          <w:sz w:val="24"/>
          <w:szCs w:val="24"/>
          <w14:ligatures w14:val="standardContextual"/>
        </w:rPr>
        <w:t>Ozcelik et al., 2021</w:t>
      </w:r>
      <w:r w:rsidRPr="00362D29">
        <w:rPr>
          <w:rFonts w:ascii="Traditional Arabic" w:eastAsia="Aptos" w:hAnsi="Traditional Arabic" w:cs="Traditional Arabic"/>
          <w:kern w:val="2"/>
          <w:sz w:val="24"/>
          <w:szCs w:val="24"/>
          <w:rtl/>
          <w14:ligatures w14:val="standardContextual"/>
        </w:rPr>
        <w:t>).</w:t>
      </w:r>
    </w:p>
    <w:p w14:paraId="2546EC5C" w14:textId="77777777" w:rsidR="009A7640" w:rsidRPr="00362D29" w:rsidRDefault="009A7640" w:rsidP="00362D29">
      <w:pPr>
        <w:numPr>
          <w:ilvl w:val="0"/>
          <w:numId w:val="52"/>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قصور الجودة الفنية وحدها في تحقيق النتائج المرجوة:</w:t>
      </w:r>
      <w:r w:rsidRPr="00362D29">
        <w:rPr>
          <w:rFonts w:ascii="Traditional Arabic" w:eastAsia="Aptos" w:hAnsi="Traditional Arabic" w:cs="Traditional Arabic"/>
          <w:kern w:val="2"/>
          <w:sz w:val="24"/>
          <w:szCs w:val="24"/>
          <w:rtl/>
          <w14:ligatures w14:val="standardContextual"/>
        </w:rPr>
        <w:t xml:space="preserve"> أظهرت العديد من التقارير والدراسات أن التركيز على الجودة السريرية والنتائج الطبية البحتة، دون الاهتمام بالجوانب الإنسانية والتواصلية، لا يكفي لتحقيق الشفاء الكامل أو الرضا المستدام للمريض. فالجودة الشاملة للرعاية تتطلب دمج الجودة الفنية مع الجودة الإدراكية التي يختبرها المريض (</w:t>
      </w:r>
      <w:r w:rsidRPr="00362D29">
        <w:rPr>
          <w:rFonts w:ascii="Traditional Arabic" w:eastAsia="Aptos" w:hAnsi="Traditional Arabic" w:cs="Traditional Arabic"/>
          <w:kern w:val="2"/>
          <w:sz w:val="24"/>
          <w:szCs w:val="24"/>
          <w14:ligatures w14:val="standardContextual"/>
        </w:rPr>
        <w:t>WHO, 2018</w:t>
      </w:r>
      <w:r w:rsidRPr="00362D29">
        <w:rPr>
          <w:rFonts w:ascii="Traditional Arabic" w:eastAsia="Aptos" w:hAnsi="Traditional Arabic" w:cs="Traditional Arabic"/>
          <w:kern w:val="2"/>
          <w:sz w:val="24"/>
          <w:szCs w:val="24"/>
          <w:rtl/>
          <w14:ligatures w14:val="standardContextual"/>
        </w:rPr>
        <w:t>).</w:t>
      </w:r>
    </w:p>
    <w:p w14:paraId="2CE65B37" w14:textId="77777777" w:rsidR="009A7640" w:rsidRPr="00362D29" w:rsidRDefault="009A7640" w:rsidP="00362D29">
      <w:pPr>
        <w:numPr>
          <w:ilvl w:val="0"/>
          <w:numId w:val="52"/>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التأثير المباشر لتجربة المريض على المخرجات الصحية:</w:t>
      </w:r>
      <w:r w:rsidRPr="00362D29">
        <w:rPr>
          <w:rFonts w:ascii="Traditional Arabic" w:eastAsia="Aptos" w:hAnsi="Traditional Arabic" w:cs="Traditional Arabic"/>
          <w:kern w:val="2"/>
          <w:sz w:val="24"/>
          <w:szCs w:val="24"/>
          <w:rtl/>
          <w14:ligatures w14:val="standardContextual"/>
        </w:rPr>
        <w:t xml:space="preserve"> تؤكد الأدبيات الحديثة أن تجربة المريض الإيجابية ترتبط بشكل مباشر بتحسن المخرجات السريرية، حيث يكون المرضى الذين يمرون بتجربة جيدة أكثر التزاماً بخطط العلاج، وأقل عرضة للمضاعفات، وأسرع في التعافي (</w:t>
      </w:r>
      <w:r w:rsidRPr="00362D29">
        <w:rPr>
          <w:rFonts w:ascii="Traditional Arabic" w:eastAsia="Aptos" w:hAnsi="Traditional Arabic" w:cs="Traditional Arabic"/>
          <w:kern w:val="2"/>
          <w:sz w:val="24"/>
          <w:szCs w:val="24"/>
          <w14:ligatures w14:val="standardContextual"/>
        </w:rPr>
        <w:t>Alhuseini et al., 2025</w:t>
      </w:r>
      <w:r w:rsidRPr="00362D29">
        <w:rPr>
          <w:rFonts w:ascii="Traditional Arabic" w:eastAsia="Aptos" w:hAnsi="Traditional Arabic" w:cs="Traditional Arabic"/>
          <w:kern w:val="2"/>
          <w:sz w:val="24"/>
          <w:szCs w:val="24"/>
          <w:rtl/>
          <w14:ligatures w14:val="standardContextual"/>
        </w:rPr>
        <w:t>). هذا التوجه أدى إلى ظهور "تجربة المريض" كبعد مستقل ومهم من أبعاد الجودة، يعكس مدى احترام النظام الصحي لقيم المريض وتفضيلاته.</w:t>
      </w:r>
    </w:p>
    <w:p w14:paraId="39EFEFD4" w14:textId="77777777" w:rsidR="00525B8D" w:rsidRPr="00362D29" w:rsidRDefault="00525B8D" w:rsidP="00362D29">
      <w:pPr>
        <w:bidi/>
        <w:spacing w:before="0" w:after="160" w:line="360" w:lineRule="auto"/>
        <w:jc w:val="both"/>
        <w:rPr>
          <w:rFonts w:ascii="Traditional Arabic" w:eastAsia="Aptos" w:hAnsi="Traditional Arabic" w:cs="Traditional Arabic"/>
          <w:b/>
          <w:bCs/>
          <w:kern w:val="2"/>
          <w:sz w:val="28"/>
          <w:szCs w:val="28"/>
          <w:rtl/>
          <w14:ligatures w14:val="standardContextual"/>
        </w:rPr>
      </w:pPr>
    </w:p>
    <w:p w14:paraId="0A8A5D4C" w14:textId="77777777" w:rsidR="00525B8D" w:rsidRPr="00362D29" w:rsidRDefault="00525B8D" w:rsidP="00362D29">
      <w:pPr>
        <w:bidi/>
        <w:spacing w:before="0" w:after="160" w:line="360" w:lineRule="auto"/>
        <w:jc w:val="both"/>
        <w:rPr>
          <w:rFonts w:ascii="Traditional Arabic" w:eastAsia="Aptos" w:hAnsi="Traditional Arabic" w:cs="Traditional Arabic"/>
          <w:b/>
          <w:bCs/>
          <w:kern w:val="2"/>
          <w:sz w:val="28"/>
          <w:szCs w:val="28"/>
          <w:rtl/>
          <w14:ligatures w14:val="standardContextual"/>
        </w:rPr>
      </w:pPr>
    </w:p>
    <w:p w14:paraId="1C4625FF" w14:textId="44D06A49" w:rsidR="009A7640" w:rsidRPr="00362D29" w:rsidRDefault="009A7640" w:rsidP="00362D29">
      <w:pPr>
        <w:bidi/>
        <w:spacing w:before="0" w:after="160" w:line="360" w:lineRule="auto"/>
        <w:jc w:val="both"/>
        <w:rPr>
          <w:rFonts w:ascii="Traditional Arabic" w:eastAsia="Aptos" w:hAnsi="Traditional Arabic" w:cs="Traditional Arabic"/>
          <w:b/>
          <w:bCs/>
          <w:kern w:val="2"/>
          <w:sz w:val="28"/>
          <w:szCs w:val="28"/>
          <w14:ligatures w14:val="standardContextual"/>
        </w:rPr>
      </w:pPr>
      <w:r w:rsidRPr="00362D29">
        <w:rPr>
          <w:rFonts w:ascii="Traditional Arabic" w:eastAsia="Aptos" w:hAnsi="Traditional Arabic" w:cs="Traditional Arabic"/>
          <w:b/>
          <w:bCs/>
          <w:kern w:val="2"/>
          <w:sz w:val="28"/>
          <w:szCs w:val="28"/>
          <w:rtl/>
          <w14:ligatures w14:val="standardContextual"/>
        </w:rPr>
        <w:lastRenderedPageBreak/>
        <w:t>ثانياً: تعريف تجربة المريض</w:t>
      </w:r>
    </w:p>
    <w:p w14:paraId="4A2C7962" w14:textId="77777777" w:rsidR="009A7640" w:rsidRPr="00362D29" w:rsidRDefault="009A7640"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تعددت التعريفات التي قدمتها المنظمات الدولية والباحثون لمفهوم تجربة المريض، ويمكن استعراض أبرزها فيما يلي:</w:t>
      </w:r>
    </w:p>
    <w:p w14:paraId="273984F6" w14:textId="77777777" w:rsidR="009A7640" w:rsidRPr="00362D29" w:rsidRDefault="009A7640"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1.تعريف معهد بيريل (</w:t>
      </w:r>
      <w:r w:rsidRPr="00362D29">
        <w:rPr>
          <w:rFonts w:ascii="Traditional Arabic" w:eastAsia="Aptos" w:hAnsi="Traditional Arabic" w:cs="Traditional Arabic"/>
          <w:b/>
          <w:bCs/>
          <w:kern w:val="2"/>
          <w:sz w:val="24"/>
          <w:szCs w:val="24"/>
          <w14:ligatures w14:val="standardContextual"/>
        </w:rPr>
        <w:t>The Beryl Institute</w:t>
      </w:r>
      <w:r w:rsidRPr="00362D29">
        <w:rPr>
          <w:rFonts w:ascii="Traditional Arabic" w:eastAsia="Aptos" w:hAnsi="Traditional Arabic" w:cs="Traditional Arabic"/>
          <w:b/>
          <w:bCs/>
          <w:kern w:val="2"/>
          <w:sz w:val="24"/>
          <w:szCs w:val="24"/>
          <w:rtl/>
          <w14:ligatures w14:val="standardContextual"/>
        </w:rPr>
        <w:t xml:space="preserve">): </w:t>
      </w:r>
      <w:r w:rsidRPr="00362D29">
        <w:rPr>
          <w:rFonts w:ascii="Traditional Arabic" w:eastAsia="Aptos" w:hAnsi="Traditional Arabic" w:cs="Traditional Arabic"/>
          <w:kern w:val="2"/>
          <w:sz w:val="24"/>
          <w:szCs w:val="24"/>
          <w:rtl/>
          <w14:ligatures w14:val="standardContextual"/>
        </w:rPr>
        <w:t>يُعرفها بأنها "مجموع كافة التفاعلات التي تتشكل من خلال ثقافة المنظمة، والتي تؤثر على تصورات المريض عبر استمرارية الرعاية" (</w:t>
      </w:r>
      <w:r w:rsidRPr="00362D29">
        <w:rPr>
          <w:rFonts w:ascii="Traditional Arabic" w:eastAsia="Aptos" w:hAnsi="Traditional Arabic" w:cs="Traditional Arabic"/>
          <w:kern w:val="2"/>
          <w:sz w:val="24"/>
          <w:szCs w:val="24"/>
          <w14:ligatures w14:val="standardContextual"/>
        </w:rPr>
        <w:t>Beryl Institute, 2024</w:t>
      </w:r>
      <w:r w:rsidRPr="00362D29">
        <w:rPr>
          <w:rFonts w:ascii="Traditional Arabic" w:eastAsia="Aptos" w:hAnsi="Traditional Arabic" w:cs="Traditional Arabic"/>
          <w:kern w:val="2"/>
          <w:sz w:val="24"/>
          <w:szCs w:val="24"/>
          <w:rtl/>
          <w14:ligatures w14:val="standardContextual"/>
        </w:rPr>
        <w:t>). ويتميز هذا التعريف بشموليته حيث يربط بين التفاعلات المباشرة وثقافة المنظمة وتصورات المريض في جميع مراحل العلاج.</w:t>
      </w:r>
    </w:p>
    <w:p w14:paraId="64AE9B78" w14:textId="77777777" w:rsidR="009A7640" w:rsidRPr="00362D29" w:rsidRDefault="009A7640"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2.تعريف وكالة أبحاث وجودة الرعاية الصحية (</w:t>
      </w:r>
      <w:r w:rsidRPr="00362D29">
        <w:rPr>
          <w:rFonts w:ascii="Traditional Arabic" w:eastAsia="Aptos" w:hAnsi="Traditional Arabic" w:cs="Traditional Arabic"/>
          <w:b/>
          <w:bCs/>
          <w:kern w:val="2"/>
          <w:sz w:val="24"/>
          <w:szCs w:val="24"/>
          <w14:ligatures w14:val="standardContextual"/>
        </w:rPr>
        <w:t>AHRQ</w:t>
      </w:r>
      <w:r w:rsidRPr="00362D29">
        <w:rPr>
          <w:rFonts w:ascii="Traditional Arabic" w:eastAsia="Aptos" w:hAnsi="Traditional Arabic" w:cs="Traditional Arabic"/>
          <w:b/>
          <w:bCs/>
          <w:kern w:val="2"/>
          <w:sz w:val="24"/>
          <w:szCs w:val="24"/>
          <w:rtl/>
          <w14:ligatures w14:val="standardContextual"/>
        </w:rPr>
        <w:t xml:space="preserve">): </w:t>
      </w:r>
      <w:r w:rsidRPr="00362D29">
        <w:rPr>
          <w:rFonts w:ascii="Traditional Arabic" w:eastAsia="Aptos" w:hAnsi="Traditional Arabic" w:cs="Traditional Arabic"/>
          <w:kern w:val="2"/>
          <w:sz w:val="24"/>
          <w:szCs w:val="24"/>
          <w:rtl/>
          <w14:ligatures w14:val="standardContextual"/>
        </w:rPr>
        <w:t>تشير إلى أنها "نطاق التفاعلات التي يمتلكها المرضى مع نظام الرعاية الصحية، بما في ذلك جوانب تقديم الرعاية التي يقدرها المرضى عالياً مثل الحصول على مواعيد في الوقت المناسب، وسهولة الوصول إلى المعلومات، والتواصل الجيد مع مقدمي الرعاية" (</w:t>
      </w:r>
      <w:r w:rsidRPr="00362D29">
        <w:rPr>
          <w:rFonts w:ascii="Traditional Arabic" w:eastAsia="Aptos" w:hAnsi="Traditional Arabic" w:cs="Traditional Arabic"/>
          <w:kern w:val="2"/>
          <w:sz w:val="24"/>
          <w:szCs w:val="24"/>
          <w14:ligatures w14:val="standardContextual"/>
        </w:rPr>
        <w:t>AHRQ, 2017</w:t>
      </w:r>
      <w:r w:rsidRPr="00362D29">
        <w:rPr>
          <w:rFonts w:ascii="Traditional Arabic" w:eastAsia="Aptos" w:hAnsi="Traditional Arabic" w:cs="Traditional Arabic"/>
          <w:kern w:val="2"/>
          <w:sz w:val="24"/>
          <w:szCs w:val="24"/>
          <w:rtl/>
          <w14:ligatures w14:val="standardContextual"/>
        </w:rPr>
        <w:t>).</w:t>
      </w:r>
    </w:p>
    <w:p w14:paraId="198F3D16" w14:textId="77777777" w:rsidR="009A7640" w:rsidRPr="00362D29" w:rsidRDefault="009A7640"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3.تعريف منظمة الصحة العالمية (</w:t>
      </w:r>
      <w:r w:rsidRPr="00362D29">
        <w:rPr>
          <w:rFonts w:ascii="Traditional Arabic" w:eastAsia="Aptos" w:hAnsi="Traditional Arabic" w:cs="Traditional Arabic"/>
          <w:b/>
          <w:bCs/>
          <w:kern w:val="2"/>
          <w:sz w:val="24"/>
          <w:szCs w:val="24"/>
          <w14:ligatures w14:val="standardContextual"/>
        </w:rPr>
        <w:t>WHO</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تركز المنظمة على أن تجربة المريض هي انعكاس لمدى استجابة النظام الصحي لتوقعات الأفراد واحتياجاتهم غير الطبية، مع الحفاظ على كرامتهم واستقلاليتهم (</w:t>
      </w:r>
      <w:r w:rsidRPr="00362D29">
        <w:rPr>
          <w:rFonts w:ascii="Traditional Arabic" w:eastAsia="Aptos" w:hAnsi="Traditional Arabic" w:cs="Traditional Arabic"/>
          <w:kern w:val="2"/>
          <w:sz w:val="24"/>
          <w:szCs w:val="24"/>
          <w14:ligatures w14:val="standardContextual"/>
        </w:rPr>
        <w:t>WHO, 2018</w:t>
      </w:r>
      <w:r w:rsidRPr="00362D29">
        <w:rPr>
          <w:rFonts w:ascii="Traditional Arabic" w:eastAsia="Aptos" w:hAnsi="Traditional Arabic" w:cs="Traditional Arabic"/>
          <w:kern w:val="2"/>
          <w:sz w:val="24"/>
          <w:szCs w:val="24"/>
          <w:rtl/>
          <w14:ligatures w14:val="standardContextual"/>
        </w:rPr>
        <w:t>).</w:t>
      </w:r>
    </w:p>
    <w:p w14:paraId="27273D73" w14:textId="77777777" w:rsidR="009A7640" w:rsidRPr="00362D29" w:rsidRDefault="009A7640"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4</w:t>
      </w:r>
      <w:r w:rsidRPr="00362D29">
        <w:rPr>
          <w:rFonts w:ascii="Traditional Arabic" w:eastAsia="Aptos" w:hAnsi="Traditional Arabic" w:cs="Traditional Arabic"/>
          <w:b/>
          <w:bCs/>
          <w:kern w:val="2"/>
          <w:sz w:val="24"/>
          <w:szCs w:val="24"/>
          <w:rtl/>
          <w14:ligatures w14:val="standardContextual"/>
        </w:rPr>
        <w:t xml:space="preserve">.التعريف الإجرائي (التعريف الشامل): </w:t>
      </w:r>
      <w:r w:rsidRPr="00362D29">
        <w:rPr>
          <w:rFonts w:ascii="Traditional Arabic" w:eastAsia="Aptos" w:hAnsi="Traditional Arabic" w:cs="Traditional Arabic"/>
          <w:kern w:val="2"/>
          <w:sz w:val="24"/>
          <w:szCs w:val="24"/>
          <w:rtl/>
          <w14:ligatures w14:val="standardContextual"/>
        </w:rPr>
        <w:t>يمكن صياغة تجربة المريض بأنها "كل ما يقال ويفعل ويؤثر على أفكار ومشاعر ورفاهية المرضى"، وهي تشمل الجوانب الموضوعية لما حدث فعلاً أثناء الرعاية، والجوانب الذاتية لكيفية إدراك المريض لتلك الرعاية (</w:t>
      </w:r>
      <w:r w:rsidRPr="00362D29">
        <w:rPr>
          <w:rFonts w:ascii="Traditional Arabic" w:eastAsia="Aptos" w:hAnsi="Traditional Arabic" w:cs="Traditional Arabic"/>
          <w:kern w:val="2"/>
          <w:sz w:val="24"/>
          <w:szCs w:val="24"/>
          <w14:ligatures w14:val="standardContextual"/>
        </w:rPr>
        <w:t>Oben, 2020; Ozcelik et al., 2021</w:t>
      </w:r>
      <w:r w:rsidRPr="00362D29">
        <w:rPr>
          <w:rFonts w:ascii="Traditional Arabic" w:eastAsia="Aptos" w:hAnsi="Traditional Arabic" w:cs="Traditional Arabic"/>
          <w:kern w:val="2"/>
          <w:sz w:val="24"/>
          <w:szCs w:val="24"/>
          <w:rtl/>
          <w14:ligatures w14:val="standardContextual"/>
        </w:rPr>
        <w:t>).</w:t>
      </w:r>
    </w:p>
    <w:p w14:paraId="276D310E" w14:textId="6CB06945" w:rsidR="009A7640" w:rsidRPr="00362D29" w:rsidRDefault="009A7640" w:rsidP="00362D29">
      <w:pPr>
        <w:bidi/>
        <w:spacing w:before="0" w:after="160" w:line="360" w:lineRule="auto"/>
        <w:jc w:val="both"/>
        <w:rPr>
          <w:rFonts w:ascii="Traditional Arabic" w:eastAsia="Aptos" w:hAnsi="Traditional Arabic" w:cs="Traditional Arabic"/>
          <w:b/>
          <w:bCs/>
          <w:kern w:val="2"/>
          <w:sz w:val="28"/>
          <w:szCs w:val="28"/>
          <w:rtl/>
          <w14:ligatures w14:val="standardContextual"/>
        </w:rPr>
      </w:pPr>
      <w:r w:rsidRPr="00362D29">
        <w:rPr>
          <w:rFonts w:ascii="Traditional Arabic" w:eastAsia="Aptos" w:hAnsi="Traditional Arabic" w:cs="Traditional Arabic"/>
          <w:b/>
          <w:bCs/>
          <w:kern w:val="2"/>
          <w:sz w:val="28"/>
          <w:szCs w:val="28"/>
          <w:rtl/>
          <w14:ligatures w14:val="standardContextual"/>
        </w:rPr>
        <w:t>ثالثاً: مفهوم تجربة المريض</w:t>
      </w:r>
      <w:r w:rsidR="008A6F36">
        <w:rPr>
          <w:rFonts w:ascii="Traditional Arabic" w:eastAsia="Aptos" w:hAnsi="Traditional Arabic" w:cs="Traditional Arabic" w:hint="cs"/>
          <w:b/>
          <w:bCs/>
          <w:kern w:val="2"/>
          <w:sz w:val="28"/>
          <w:szCs w:val="28"/>
          <w:rtl/>
          <w14:ligatures w14:val="standardContextual"/>
        </w:rPr>
        <w:t xml:space="preserve"> والمفاهيم المتعلقة به</w:t>
      </w:r>
    </w:p>
    <w:p w14:paraId="22FFBC7B" w14:textId="77777777" w:rsidR="009A7640" w:rsidRPr="00362D29" w:rsidRDefault="009A7640"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يعد مفهوم تجربة المريض مفهوماً شمولياً يتجاوز مجرد "رضا المريض". فبينما يركز الرضا على التوقعات الذاتية ومدى تلبيتها، تركز التجربة على رصد حقائق ما حدث فعلاً أثناء رحلة العلاج (هل تم التواصل بوضوح؟ هل تم شرح الأدوية؟) (</w:t>
      </w:r>
      <w:r w:rsidRPr="00362D29">
        <w:rPr>
          <w:rFonts w:ascii="Traditional Arabic" w:eastAsia="Aptos" w:hAnsi="Traditional Arabic" w:cs="Traditional Arabic"/>
          <w:kern w:val="2"/>
          <w:sz w:val="24"/>
          <w:szCs w:val="24"/>
          <w14:ligatures w14:val="standardContextual"/>
        </w:rPr>
        <w:t>Beryl Institute, 2024</w:t>
      </w:r>
      <w:r w:rsidRPr="00362D29">
        <w:rPr>
          <w:rFonts w:ascii="Traditional Arabic" w:eastAsia="Aptos" w:hAnsi="Traditional Arabic" w:cs="Traditional Arabic"/>
          <w:kern w:val="2"/>
          <w:sz w:val="24"/>
          <w:szCs w:val="24"/>
          <w:rtl/>
          <w14:ligatures w14:val="standardContextual"/>
        </w:rPr>
        <w:t>).</w:t>
      </w:r>
    </w:p>
    <w:p w14:paraId="47EE7EB8" w14:textId="77777777" w:rsidR="009A7640" w:rsidRPr="00362D29" w:rsidRDefault="009A7640"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يقوم المفهوم على أربعة عناصر جوهرية:</w:t>
      </w:r>
    </w:p>
    <w:p w14:paraId="23802FFD" w14:textId="77777777" w:rsidR="009A7640" w:rsidRPr="00362D29" w:rsidRDefault="009A7640" w:rsidP="00362D29">
      <w:pPr>
        <w:numPr>
          <w:ilvl w:val="0"/>
          <w:numId w:val="53"/>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التفاعلات (</w:t>
      </w:r>
      <w:r w:rsidRPr="00362D29">
        <w:rPr>
          <w:rFonts w:ascii="Traditional Arabic" w:eastAsia="Aptos" w:hAnsi="Traditional Arabic" w:cs="Traditional Arabic"/>
          <w:kern w:val="2"/>
          <w:sz w:val="24"/>
          <w:szCs w:val="24"/>
          <w14:ligatures w14:val="standardContextual"/>
        </w:rPr>
        <w:t>Interactions</w:t>
      </w:r>
      <w:r w:rsidRPr="00362D29">
        <w:rPr>
          <w:rFonts w:ascii="Traditional Arabic" w:eastAsia="Aptos" w:hAnsi="Traditional Arabic" w:cs="Traditional Arabic"/>
          <w:kern w:val="2"/>
          <w:sz w:val="24"/>
          <w:szCs w:val="24"/>
          <w:rtl/>
          <w14:ligatures w14:val="standardContextual"/>
        </w:rPr>
        <w:t>): وهي نقاط الاتصال المخطط لها بين المريض والمنظمة (أشخاص، عمليات، بيئة).</w:t>
      </w:r>
    </w:p>
    <w:p w14:paraId="07BDB9E8" w14:textId="77777777" w:rsidR="009A7640" w:rsidRPr="00362D29" w:rsidRDefault="009A7640" w:rsidP="00362D29">
      <w:pPr>
        <w:numPr>
          <w:ilvl w:val="0"/>
          <w:numId w:val="53"/>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الثقافة (</w:t>
      </w:r>
      <w:r w:rsidRPr="00362D29">
        <w:rPr>
          <w:rFonts w:ascii="Traditional Arabic" w:eastAsia="Aptos" w:hAnsi="Traditional Arabic" w:cs="Traditional Arabic"/>
          <w:kern w:val="2"/>
          <w:sz w:val="24"/>
          <w:szCs w:val="24"/>
          <w14:ligatures w14:val="standardContextual"/>
        </w:rPr>
        <w:t>Culture</w:t>
      </w:r>
      <w:r w:rsidRPr="00362D29">
        <w:rPr>
          <w:rFonts w:ascii="Traditional Arabic" w:eastAsia="Aptos" w:hAnsi="Traditional Arabic" w:cs="Traditional Arabic"/>
          <w:kern w:val="2"/>
          <w:sz w:val="24"/>
          <w:szCs w:val="24"/>
          <w:rtl/>
          <w14:ligatures w14:val="standardContextual"/>
        </w:rPr>
        <w:t>): القيم والرؤية التي تتبناها المنظمة وتنعكس على سلوك موظفيها.</w:t>
      </w:r>
    </w:p>
    <w:p w14:paraId="1491A737" w14:textId="77777777" w:rsidR="009A7640" w:rsidRPr="00362D29" w:rsidRDefault="009A7640" w:rsidP="00362D29">
      <w:pPr>
        <w:numPr>
          <w:ilvl w:val="0"/>
          <w:numId w:val="53"/>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التصورات (</w:t>
      </w:r>
      <w:r w:rsidRPr="00362D29">
        <w:rPr>
          <w:rFonts w:ascii="Traditional Arabic" w:eastAsia="Aptos" w:hAnsi="Traditional Arabic" w:cs="Traditional Arabic"/>
          <w:kern w:val="2"/>
          <w:sz w:val="24"/>
          <w:szCs w:val="24"/>
          <w14:ligatures w14:val="standardContextual"/>
        </w:rPr>
        <w:t>Perceptions</w:t>
      </w:r>
      <w:r w:rsidRPr="00362D29">
        <w:rPr>
          <w:rFonts w:ascii="Traditional Arabic" w:eastAsia="Aptos" w:hAnsi="Traditional Arabic" w:cs="Traditional Arabic"/>
          <w:kern w:val="2"/>
          <w:sz w:val="24"/>
          <w:szCs w:val="24"/>
          <w:rtl/>
          <w14:ligatures w14:val="standardContextual"/>
        </w:rPr>
        <w:t>): ما يفهمه المريض ويتذكره من تلك التفاعلات بناءً على خلفيته الثقافية وقيمه.</w:t>
      </w:r>
    </w:p>
    <w:p w14:paraId="2336DAF1" w14:textId="12CFABE1" w:rsidR="00476B1D" w:rsidRPr="00362D29" w:rsidRDefault="009A7640" w:rsidP="00362D29">
      <w:pPr>
        <w:numPr>
          <w:ilvl w:val="0"/>
          <w:numId w:val="53"/>
        </w:numPr>
        <w:bidi/>
        <w:spacing w:before="0" w:after="160" w:line="360" w:lineRule="auto"/>
        <w:contextualSpacing/>
        <w:jc w:val="both"/>
        <w:rPr>
          <w:rFonts w:ascii="Traditional Arabic" w:eastAsia="Aptos" w:hAnsi="Traditional Arabic" w:cs="Traditional Arabic"/>
          <w:kern w:val="2"/>
          <w:sz w:val="24"/>
          <w:szCs w:val="24"/>
          <w14:ligatures w14:val="standardContextual"/>
        </w:rPr>
      </w:pPr>
      <w:r w:rsidRPr="00362D29">
        <w:rPr>
          <w:rFonts w:ascii="Traditional Arabic" w:eastAsia="Aptos" w:hAnsi="Traditional Arabic" w:cs="Traditional Arabic"/>
          <w:kern w:val="2"/>
          <w:sz w:val="24"/>
          <w:szCs w:val="24"/>
          <w:rtl/>
          <w14:ligatures w14:val="standardContextual"/>
        </w:rPr>
        <w:t>استمرارية الرعاية (</w:t>
      </w:r>
      <w:r w:rsidRPr="00362D29">
        <w:rPr>
          <w:rFonts w:ascii="Traditional Arabic" w:eastAsia="Aptos" w:hAnsi="Traditional Arabic" w:cs="Traditional Arabic"/>
          <w:kern w:val="2"/>
          <w:sz w:val="24"/>
          <w:szCs w:val="24"/>
          <w14:ligatures w14:val="standardContextual"/>
        </w:rPr>
        <w:t>Continuum of Care</w:t>
      </w:r>
      <w:r w:rsidRPr="00362D29">
        <w:rPr>
          <w:rFonts w:ascii="Traditional Arabic" w:eastAsia="Aptos" w:hAnsi="Traditional Arabic" w:cs="Traditional Arabic"/>
          <w:kern w:val="2"/>
          <w:sz w:val="24"/>
          <w:szCs w:val="24"/>
          <w:rtl/>
          <w14:ligatures w14:val="standardContextual"/>
        </w:rPr>
        <w:t>): تبدأ التجربة من مرحلة ما قبل دخول المستشفى وتستمر إلى ما بعد الخروج (</w:t>
      </w:r>
      <w:r w:rsidRPr="00362D29">
        <w:rPr>
          <w:rFonts w:ascii="Traditional Arabic" w:eastAsia="Aptos" w:hAnsi="Traditional Arabic" w:cs="Traditional Arabic"/>
          <w:kern w:val="2"/>
          <w:sz w:val="24"/>
          <w:szCs w:val="24"/>
          <w14:ligatures w14:val="standardContextual"/>
        </w:rPr>
        <w:t>Oben, 2020</w:t>
      </w:r>
      <w:r w:rsidRPr="00362D29">
        <w:rPr>
          <w:rFonts w:ascii="Traditional Arabic" w:eastAsia="Aptos" w:hAnsi="Traditional Arabic" w:cs="Traditional Arabic"/>
          <w:kern w:val="2"/>
          <w:sz w:val="24"/>
          <w:szCs w:val="24"/>
          <w:rtl/>
          <w14:ligatures w14:val="standardContextual"/>
        </w:rPr>
        <w:t>).</w:t>
      </w:r>
    </w:p>
    <w:p w14:paraId="22852D32" w14:textId="77777777" w:rsidR="00476B1D" w:rsidRPr="00362D29" w:rsidRDefault="00476B1D" w:rsidP="00362D29">
      <w:pPr>
        <w:bidi/>
        <w:spacing w:before="0" w:after="160" w:line="360" w:lineRule="auto"/>
        <w:contextualSpacing/>
        <w:jc w:val="both"/>
        <w:rPr>
          <w:rFonts w:ascii="Traditional Arabic" w:eastAsia="Aptos" w:hAnsi="Traditional Arabic" w:cs="Traditional Arabic"/>
          <w:kern w:val="2"/>
          <w:sz w:val="24"/>
          <w:szCs w:val="24"/>
          <w14:ligatures w14:val="standardContextual"/>
        </w:rPr>
      </w:pPr>
    </w:p>
    <w:p w14:paraId="5723CF49" w14:textId="5E8DE6D8" w:rsidR="009A7640" w:rsidRPr="00362D29" w:rsidRDefault="00680129" w:rsidP="00362D29">
      <w:pPr>
        <w:numPr>
          <w:ilvl w:val="0"/>
          <w:numId w:val="54"/>
        </w:numPr>
        <w:bidi/>
        <w:spacing w:before="0" w:after="160" w:line="360" w:lineRule="auto"/>
        <w:contextualSpacing/>
        <w:jc w:val="both"/>
        <w:rPr>
          <w:rFonts w:ascii="Traditional Arabic" w:eastAsia="Aptos" w:hAnsi="Traditional Arabic" w:cs="Traditional Arabic"/>
          <w:b/>
          <w:bCs/>
          <w:kern w:val="2"/>
          <w:sz w:val="28"/>
          <w:szCs w:val="28"/>
          <w:rtl/>
          <w14:ligatures w14:val="standardContextual"/>
        </w:rPr>
      </w:pPr>
      <w:r w:rsidRPr="00362D29">
        <w:rPr>
          <w:rFonts w:ascii="Traditional Arabic" w:eastAsia="Aptos" w:hAnsi="Traditional Arabic" w:cs="Traditional Arabic"/>
          <w:b/>
          <w:bCs/>
          <w:kern w:val="2"/>
          <w:sz w:val="28"/>
          <w:szCs w:val="28"/>
          <w:rtl/>
          <w14:ligatures w14:val="standardContextual"/>
        </w:rPr>
        <w:lastRenderedPageBreak/>
        <w:t xml:space="preserve">مفهوم </w:t>
      </w:r>
      <w:r w:rsidR="009A7640" w:rsidRPr="00362D29">
        <w:rPr>
          <w:rFonts w:ascii="Traditional Arabic" w:eastAsia="Aptos" w:hAnsi="Traditional Arabic" w:cs="Traditional Arabic"/>
          <w:b/>
          <w:bCs/>
          <w:kern w:val="2"/>
          <w:sz w:val="28"/>
          <w:szCs w:val="28"/>
          <w:rtl/>
          <w14:ligatures w14:val="standardContextual"/>
        </w:rPr>
        <w:t xml:space="preserve">تجربة المريض مقابل </w:t>
      </w:r>
      <w:r w:rsidRPr="00362D29">
        <w:rPr>
          <w:rFonts w:ascii="Traditional Arabic" w:eastAsia="Aptos" w:hAnsi="Traditional Arabic" w:cs="Traditional Arabic"/>
          <w:b/>
          <w:bCs/>
          <w:kern w:val="2"/>
          <w:sz w:val="28"/>
          <w:szCs w:val="28"/>
          <w:rtl/>
          <w14:ligatures w14:val="standardContextual"/>
        </w:rPr>
        <w:t xml:space="preserve">مفهوم </w:t>
      </w:r>
      <w:r w:rsidR="009A7640" w:rsidRPr="00362D29">
        <w:rPr>
          <w:rFonts w:ascii="Traditional Arabic" w:eastAsia="Aptos" w:hAnsi="Traditional Arabic" w:cs="Traditional Arabic"/>
          <w:b/>
          <w:bCs/>
          <w:kern w:val="2"/>
          <w:sz w:val="28"/>
          <w:szCs w:val="28"/>
          <w:rtl/>
          <w14:ligatures w14:val="standardContextual"/>
        </w:rPr>
        <w:t>رضا المريض</w:t>
      </w:r>
    </w:p>
    <w:p w14:paraId="13D3FC63" w14:textId="3170B7AB" w:rsidR="009A7640" w:rsidRPr="00362D29" w:rsidRDefault="009A7640"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يُعد التمييز والتفرقة بين مفهومي تجربة المريض (</w:t>
      </w:r>
      <w:r w:rsidRPr="00362D29">
        <w:rPr>
          <w:rFonts w:ascii="Traditional Arabic" w:eastAsia="Aptos" w:hAnsi="Traditional Arabic" w:cs="Traditional Arabic"/>
          <w:kern w:val="2"/>
          <w:sz w:val="24"/>
          <w:szCs w:val="24"/>
          <w14:ligatures w14:val="standardContextual"/>
        </w:rPr>
        <w:t>Patient Experience</w:t>
      </w:r>
      <w:r w:rsidRPr="00362D29">
        <w:rPr>
          <w:rFonts w:ascii="Traditional Arabic" w:eastAsia="Aptos" w:hAnsi="Traditional Arabic" w:cs="Traditional Arabic"/>
          <w:kern w:val="2"/>
          <w:sz w:val="24"/>
          <w:szCs w:val="24"/>
          <w:rtl/>
          <w14:ligatures w14:val="standardContextual"/>
        </w:rPr>
        <w:t>) ورضا المريض (</w:t>
      </w:r>
      <w:r w:rsidRPr="00362D29">
        <w:rPr>
          <w:rFonts w:ascii="Traditional Arabic" w:eastAsia="Aptos" w:hAnsi="Traditional Arabic" w:cs="Traditional Arabic"/>
          <w:kern w:val="2"/>
          <w:sz w:val="24"/>
          <w:szCs w:val="24"/>
          <w14:ligatures w14:val="standardContextual"/>
        </w:rPr>
        <w:t>Patient Satisfaction</w:t>
      </w:r>
      <w:r w:rsidRPr="00362D29">
        <w:rPr>
          <w:rFonts w:ascii="Traditional Arabic" w:eastAsia="Aptos" w:hAnsi="Traditional Arabic" w:cs="Traditional Arabic"/>
          <w:kern w:val="2"/>
          <w:sz w:val="24"/>
          <w:szCs w:val="24"/>
          <w:rtl/>
          <w14:ligatures w14:val="standardContextual"/>
        </w:rPr>
        <w:t xml:space="preserve">) أمراً جوهرياً في سياق الرعاية الصحية الحديثة، فبالرغم من تداولهما أحياناً بشكل مترادف، إلا أنهما يمثلان بعدين مختلفين تماماً ولهما دلالات متباينة على جودة الرعاية وتحسينها </w:t>
      </w:r>
      <w:r w:rsidR="00EC0B49" w:rsidRPr="00362D29">
        <w:rPr>
          <w:rFonts w:ascii="Traditional Arabic" w:eastAsia="Aptos" w:hAnsi="Traditional Arabic" w:cs="Traditional Arabic"/>
          <w:kern w:val="2"/>
          <w:sz w:val="24"/>
          <w:szCs w:val="24"/>
          <w:rtl/>
          <w14:ligatures w14:val="standardContextual"/>
        </w:rPr>
        <w:t>(</w:t>
      </w:r>
      <w:r w:rsidR="00EC0B49" w:rsidRPr="00362D29">
        <w:rPr>
          <w:rFonts w:ascii="Traditional Arabic" w:eastAsia="Aptos" w:hAnsi="Traditional Arabic" w:cs="Traditional Arabic"/>
          <w:kern w:val="2"/>
          <w:sz w:val="24"/>
          <w:szCs w:val="24"/>
          <w14:ligatures w14:val="standardContextual"/>
        </w:rPr>
        <w:t>Health Academy, 2022</w:t>
      </w:r>
      <w:r w:rsidR="00EC0B49" w:rsidRPr="00362D29">
        <w:rPr>
          <w:rFonts w:ascii="Traditional Arabic" w:eastAsia="Aptos" w:hAnsi="Traditional Arabic" w:cs="Traditional Arabic"/>
          <w:kern w:val="2"/>
          <w:sz w:val="24"/>
          <w:szCs w:val="24"/>
          <w:rtl/>
          <w14:ligatures w14:val="standardContextual"/>
        </w:rPr>
        <w:t>).</w:t>
      </w:r>
    </w:p>
    <w:p w14:paraId="468625C6" w14:textId="77777777" w:rsidR="009A7640" w:rsidRPr="00362D29" w:rsidRDefault="009A7640"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1. تجربة المريض (</w:t>
      </w:r>
      <w:r w:rsidRPr="00362D29">
        <w:rPr>
          <w:rFonts w:ascii="Traditional Arabic" w:eastAsia="Aptos" w:hAnsi="Traditional Arabic" w:cs="Traditional Arabic"/>
          <w:b/>
          <w:bCs/>
          <w:kern w:val="2"/>
          <w:sz w:val="24"/>
          <w:szCs w:val="24"/>
          <w14:ligatures w14:val="standardContextual"/>
        </w:rPr>
        <w:t>Patient Experience</w:t>
      </w:r>
      <w:r w:rsidRPr="00362D29">
        <w:rPr>
          <w:rFonts w:ascii="Traditional Arabic" w:eastAsia="Aptos" w:hAnsi="Traditional Arabic" w:cs="Traditional Arabic"/>
          <w:b/>
          <w:bCs/>
          <w:kern w:val="2"/>
          <w:sz w:val="24"/>
          <w:szCs w:val="24"/>
          <w:rtl/>
          <w14:ligatures w14:val="standardContextual"/>
        </w:rPr>
        <w:t>)</w:t>
      </w:r>
    </w:p>
    <w:p w14:paraId="23640588" w14:textId="558865FB" w:rsidR="009A7640" w:rsidRPr="00362D29" w:rsidRDefault="009A7640"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تُعرف تجربة المريض بأنها مجموع كافة التفاعلات التي يخوضها المريض مع نظام الرعاية الصحية، وكيفية إدراكه لهذه التفاعلات. وهي تشمل كل نقطة اتصال، بدءاً من لحظة الترحيب في الاستقبال، مروراً بالرعاية المقدمة من الأطباء والممرضين وغيرهم من مقدمي الرعاية الصحية </w:t>
      </w:r>
      <w:r w:rsidR="00EC0B49" w:rsidRPr="00362D29">
        <w:rPr>
          <w:rFonts w:ascii="Traditional Arabic" w:eastAsia="Aptos" w:hAnsi="Traditional Arabic" w:cs="Traditional Arabic"/>
          <w:kern w:val="2"/>
          <w:sz w:val="24"/>
          <w:szCs w:val="24"/>
          <w:rtl/>
          <w14:ligatures w14:val="standardContextual"/>
        </w:rPr>
        <w:t>(</w:t>
      </w:r>
      <w:r w:rsidR="00EC0B49" w:rsidRPr="00362D29">
        <w:rPr>
          <w:rFonts w:ascii="Traditional Arabic" w:eastAsia="Aptos" w:hAnsi="Traditional Arabic" w:cs="Traditional Arabic"/>
          <w:kern w:val="2"/>
          <w:sz w:val="24"/>
          <w:szCs w:val="24"/>
          <w14:ligatures w14:val="standardContextual"/>
        </w:rPr>
        <w:t>Health Academy, 2022</w:t>
      </w:r>
      <w:r w:rsidR="00EC0B49" w:rsidRPr="00362D29">
        <w:rPr>
          <w:rFonts w:ascii="Traditional Arabic" w:eastAsia="Aptos" w:hAnsi="Traditional Arabic" w:cs="Traditional Arabic"/>
          <w:kern w:val="2"/>
          <w:sz w:val="24"/>
          <w:szCs w:val="24"/>
          <w:rtl/>
          <w14:ligatures w14:val="standardContextual"/>
        </w:rPr>
        <w:t>).</w:t>
      </w:r>
    </w:p>
    <w:p w14:paraId="4F34FBC3" w14:textId="6E8F7DA2" w:rsidR="009A7640" w:rsidRPr="00362D29" w:rsidRDefault="009A7640"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عند قياس تجربة المريض، ينصب التركيز على (ما قد حدث بالفعل)، أي تقييم الجودة الموضوعية للرعاية من منظور المريض (</w:t>
      </w:r>
      <w:r w:rsidRPr="00362D29">
        <w:rPr>
          <w:rFonts w:ascii="Traditional Arabic" w:eastAsia="Aptos" w:hAnsi="Traditional Arabic" w:cs="Traditional Arabic"/>
          <w:kern w:val="2"/>
          <w:sz w:val="24"/>
          <w:szCs w:val="24"/>
          <w14:ligatures w14:val="standardContextual"/>
        </w:rPr>
        <w:t>AHRQ, 2017</w:t>
      </w:r>
      <w:r w:rsidRPr="00362D29">
        <w:rPr>
          <w:rFonts w:ascii="Traditional Arabic" w:eastAsia="Aptos" w:hAnsi="Traditional Arabic" w:cs="Traditional Arabic"/>
          <w:kern w:val="2"/>
          <w:sz w:val="24"/>
          <w:szCs w:val="24"/>
          <w:rtl/>
          <w14:ligatures w14:val="standardContextual"/>
        </w:rPr>
        <w:t xml:space="preserve">). فالهدف هو تحديد ما إذا كانت الجوانب المختلفة للنظام الصحي – من التواصل وسلامة المرضى إلى بيئة المستشفى – تعكس رعاية عالية الجودة </w:t>
      </w:r>
      <w:r w:rsidR="00EC0B49" w:rsidRPr="00362D29">
        <w:rPr>
          <w:rFonts w:ascii="Traditional Arabic" w:eastAsia="Aptos" w:hAnsi="Traditional Arabic" w:cs="Traditional Arabic"/>
          <w:kern w:val="2"/>
          <w:sz w:val="24"/>
          <w:szCs w:val="24"/>
          <w:rtl/>
          <w14:ligatures w14:val="standardContextual"/>
        </w:rPr>
        <w:t>(</w:t>
      </w:r>
      <w:r w:rsidR="00EC0B49" w:rsidRPr="00362D29">
        <w:rPr>
          <w:rFonts w:ascii="Traditional Arabic" w:eastAsia="Aptos" w:hAnsi="Traditional Arabic" w:cs="Traditional Arabic"/>
          <w:kern w:val="2"/>
          <w:sz w:val="24"/>
          <w:szCs w:val="24"/>
          <w14:ligatures w14:val="standardContextual"/>
        </w:rPr>
        <w:t>Health Academy, 2022</w:t>
      </w:r>
      <w:r w:rsidR="00EC0B49" w:rsidRPr="00362D29">
        <w:rPr>
          <w:rFonts w:ascii="Traditional Arabic" w:eastAsia="Aptos" w:hAnsi="Traditional Arabic" w:cs="Traditional Arabic"/>
          <w:kern w:val="2"/>
          <w:sz w:val="24"/>
          <w:szCs w:val="24"/>
          <w:rtl/>
          <w14:ligatures w14:val="standardContextual"/>
        </w:rPr>
        <w:t>).</w:t>
      </w:r>
    </w:p>
    <w:p w14:paraId="3EAB3B03" w14:textId="77777777" w:rsidR="009A7640" w:rsidRPr="00362D29" w:rsidRDefault="009A7640"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2</w:t>
      </w:r>
      <w:r w:rsidRPr="00362D29">
        <w:rPr>
          <w:rFonts w:ascii="Traditional Arabic" w:eastAsia="Aptos" w:hAnsi="Traditional Arabic" w:cs="Traditional Arabic"/>
          <w:b/>
          <w:bCs/>
          <w:kern w:val="2"/>
          <w:sz w:val="24"/>
          <w:szCs w:val="24"/>
          <w:rtl/>
          <w14:ligatures w14:val="standardContextual"/>
        </w:rPr>
        <w:t>. رضا المريض (</w:t>
      </w:r>
      <w:r w:rsidRPr="00362D29">
        <w:rPr>
          <w:rFonts w:ascii="Traditional Arabic" w:eastAsia="Aptos" w:hAnsi="Traditional Arabic" w:cs="Traditional Arabic"/>
          <w:b/>
          <w:bCs/>
          <w:kern w:val="2"/>
          <w:sz w:val="24"/>
          <w:szCs w:val="24"/>
          <w14:ligatures w14:val="standardContextual"/>
        </w:rPr>
        <w:t>Patient Satisfaction</w:t>
      </w:r>
      <w:r w:rsidRPr="00362D29">
        <w:rPr>
          <w:rFonts w:ascii="Traditional Arabic" w:eastAsia="Aptos" w:hAnsi="Traditional Arabic" w:cs="Traditional Arabic"/>
          <w:b/>
          <w:bCs/>
          <w:kern w:val="2"/>
          <w:sz w:val="24"/>
          <w:szCs w:val="24"/>
          <w:rtl/>
          <w14:ligatures w14:val="standardContextual"/>
        </w:rPr>
        <w:t>)</w:t>
      </w:r>
    </w:p>
    <w:p w14:paraId="1126811C" w14:textId="77777777" w:rsidR="00EC0B49" w:rsidRPr="00362D29" w:rsidRDefault="009A7640"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يعتمد رضا المريض على </w:t>
      </w:r>
      <w:r w:rsidRPr="00362D29">
        <w:rPr>
          <w:rFonts w:ascii="Traditional Arabic" w:eastAsia="Aptos" w:hAnsi="Traditional Arabic" w:cs="Traditional Arabic"/>
          <w:b/>
          <w:bCs/>
          <w:kern w:val="2"/>
          <w:sz w:val="24"/>
          <w:szCs w:val="24"/>
          <w:rtl/>
          <w14:ligatures w14:val="standardContextual"/>
        </w:rPr>
        <w:t>توقعات المريض</w:t>
      </w:r>
      <w:r w:rsidRPr="00362D29">
        <w:rPr>
          <w:rFonts w:ascii="Traditional Arabic" w:eastAsia="Aptos" w:hAnsi="Traditional Arabic" w:cs="Traditional Arabic"/>
          <w:kern w:val="2"/>
          <w:sz w:val="24"/>
          <w:szCs w:val="24"/>
          <w:rtl/>
          <w14:ligatures w14:val="standardContextual"/>
        </w:rPr>
        <w:t xml:space="preserve"> الخاصة به فيما يتعلق بقطاع الرعاية الصحية، وما إذا كانت هذه التوقعات قد تحققت ام لا ، وبالتالي، فإن رضا المريض يُعد مقياساً ذاتياً للرعاية الصحية. يمكن لمريضين أن يتلقيا نفس الرعاية تماماً، ولكن يكون لديهما مستويات رضا مختلفة بسبب اختلاف توقعاتهما الذاتية </w:t>
      </w:r>
      <w:r w:rsidR="00EC0B49" w:rsidRPr="00362D29">
        <w:rPr>
          <w:rFonts w:ascii="Traditional Arabic" w:eastAsia="Aptos" w:hAnsi="Traditional Arabic" w:cs="Traditional Arabic"/>
          <w:kern w:val="2"/>
          <w:sz w:val="24"/>
          <w:szCs w:val="24"/>
          <w:rtl/>
          <w14:ligatures w14:val="standardContextual"/>
        </w:rPr>
        <w:t>(</w:t>
      </w:r>
      <w:r w:rsidR="00EC0B49" w:rsidRPr="00362D29">
        <w:rPr>
          <w:rFonts w:ascii="Traditional Arabic" w:eastAsia="Aptos" w:hAnsi="Traditional Arabic" w:cs="Traditional Arabic"/>
          <w:kern w:val="2"/>
          <w:sz w:val="24"/>
          <w:szCs w:val="24"/>
          <w14:ligatures w14:val="standardContextual"/>
        </w:rPr>
        <w:t>Health Academy, 2022</w:t>
      </w:r>
      <w:r w:rsidR="00EC0B49" w:rsidRPr="00362D29">
        <w:rPr>
          <w:rFonts w:ascii="Traditional Arabic" w:eastAsia="Aptos" w:hAnsi="Traditional Arabic" w:cs="Traditional Arabic"/>
          <w:kern w:val="2"/>
          <w:sz w:val="24"/>
          <w:szCs w:val="24"/>
          <w:rtl/>
          <w14:ligatures w14:val="standardContextual"/>
        </w:rPr>
        <w:t>).</w:t>
      </w:r>
    </w:p>
    <w:p w14:paraId="0A1FC43A" w14:textId="2F52A8E7" w:rsidR="009A7640" w:rsidRPr="00362D29" w:rsidRDefault="009A7640"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كما تشير الأدبيات إلى أن الرضا ليس مقياساً موثوقاً للجودة، حيث يميل المريض إلى إعطاء تقييم إيجابي بعد العلاج مباشرة، وتزداد فرص التقييم الإيجابي إذا صيغت الأسئلة بشكل إيجابي (</w:t>
      </w:r>
      <w:r w:rsidRPr="00362D29">
        <w:rPr>
          <w:rFonts w:ascii="Traditional Arabic" w:eastAsia="Aptos" w:hAnsi="Traditional Arabic" w:cs="Traditional Arabic"/>
          <w:kern w:val="2"/>
          <w:sz w:val="24"/>
          <w:szCs w:val="24"/>
          <w14:ligatures w14:val="standardContextual"/>
        </w:rPr>
        <w:t>Ozcelik et al., 2021</w:t>
      </w:r>
      <w:r w:rsidRPr="00362D29">
        <w:rPr>
          <w:rFonts w:ascii="Traditional Arabic" w:eastAsia="Aptos" w:hAnsi="Traditional Arabic" w:cs="Traditional Arabic"/>
          <w:kern w:val="2"/>
          <w:sz w:val="24"/>
          <w:szCs w:val="24"/>
          <w:rtl/>
          <w14:ligatures w14:val="standardContextual"/>
        </w:rPr>
        <w:t>).</w:t>
      </w:r>
    </w:p>
    <w:p w14:paraId="1289DB9B" w14:textId="4DBA8FAA" w:rsidR="00EC0B49" w:rsidRPr="00362D29" w:rsidRDefault="009A7640" w:rsidP="00362D29">
      <w:pPr>
        <w:pStyle w:val="ab"/>
        <w:numPr>
          <w:ilvl w:val="0"/>
          <w:numId w:val="47"/>
        </w:num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أوجه الاختلاف والتشابه</w:t>
      </w:r>
      <w:r w:rsidR="00662003" w:rsidRPr="00362D29">
        <w:rPr>
          <w:rFonts w:ascii="Traditional Arabic" w:eastAsia="Aptos" w:hAnsi="Traditional Arabic" w:cs="Traditional Arabic"/>
          <w:b/>
          <w:bCs/>
          <w:kern w:val="2"/>
          <w:sz w:val="24"/>
          <w:szCs w:val="24"/>
          <w:rtl/>
          <w14:ligatures w14:val="standardContextual"/>
        </w:rPr>
        <w:t xml:space="preserve"> </w:t>
      </w:r>
      <w:r w:rsidR="00EC0B49" w:rsidRPr="00362D29">
        <w:rPr>
          <w:rFonts w:ascii="Traditional Arabic" w:eastAsia="Aptos" w:hAnsi="Traditional Arabic" w:cs="Traditional Arabic"/>
          <w:b/>
          <w:bCs/>
          <w:kern w:val="2"/>
          <w:sz w:val="24"/>
          <w:szCs w:val="24"/>
          <w:rtl/>
          <w14:ligatures w14:val="standardContextual"/>
        </w:rPr>
        <w:t>(</w:t>
      </w:r>
      <w:r w:rsidR="00EC0B49" w:rsidRPr="00362D29">
        <w:rPr>
          <w:rFonts w:ascii="Traditional Arabic" w:eastAsia="Aptos" w:hAnsi="Traditional Arabic" w:cs="Traditional Arabic"/>
          <w:b/>
          <w:bCs/>
          <w:kern w:val="2"/>
          <w:sz w:val="24"/>
          <w:szCs w:val="24"/>
          <w14:ligatures w14:val="standardContextual"/>
        </w:rPr>
        <w:t>Health Academy, 2022</w:t>
      </w:r>
      <w:r w:rsidR="00EC0B49" w:rsidRPr="00362D29">
        <w:rPr>
          <w:rFonts w:ascii="Traditional Arabic" w:eastAsia="Aptos" w:hAnsi="Traditional Arabic" w:cs="Traditional Arabic"/>
          <w:b/>
          <w:bCs/>
          <w:kern w:val="2"/>
          <w:sz w:val="24"/>
          <w:szCs w:val="24"/>
          <w:rtl/>
          <w14:ligatures w14:val="standardContextual"/>
        </w:rPr>
        <w:t>).</w:t>
      </w:r>
    </w:p>
    <w:p w14:paraId="40670FEA" w14:textId="55ED7914" w:rsidR="009A7640" w:rsidRPr="00362D29" w:rsidRDefault="009A7640" w:rsidP="00362D29">
      <w:pPr>
        <w:bidi/>
        <w:spacing w:before="0" w:after="160" w:line="360" w:lineRule="auto"/>
        <w:ind w:left="360"/>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بينما تتداخل </w:t>
      </w:r>
      <w:r w:rsidR="004D4AE1" w:rsidRPr="00362D29">
        <w:rPr>
          <w:rFonts w:ascii="Traditional Arabic" w:eastAsia="Aptos" w:hAnsi="Traditional Arabic" w:cs="Traditional Arabic"/>
          <w:kern w:val="2"/>
          <w:sz w:val="24"/>
          <w:szCs w:val="24"/>
          <w:rtl/>
          <w14:ligatures w14:val="standardContextual"/>
        </w:rPr>
        <w:t xml:space="preserve">مفاهيم </w:t>
      </w:r>
      <w:r w:rsidRPr="00362D29">
        <w:rPr>
          <w:rFonts w:ascii="Traditional Arabic" w:eastAsia="Aptos" w:hAnsi="Traditional Arabic" w:cs="Traditional Arabic"/>
          <w:kern w:val="2"/>
          <w:sz w:val="24"/>
          <w:szCs w:val="24"/>
          <w:rtl/>
          <w14:ligatures w14:val="standardContextual"/>
        </w:rPr>
        <w:t>تجربة المريض ورضا المريض في بعض الجوانب، إلا أن هناك اختلافات جوهرية تميز كلاً منهما، مما يجعل تجربة المريض مقياساً أفضل لجودة الرعاية. يمكن تلخيص هذه الفروقات في الجدول التالي:</w:t>
      </w:r>
    </w:p>
    <w:p w14:paraId="3C97692F" w14:textId="77777777" w:rsidR="00FB6F0D" w:rsidRPr="00362D29" w:rsidRDefault="00FB6F0D"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p>
    <w:p w14:paraId="5950598A" w14:textId="77777777" w:rsidR="00FB6F0D" w:rsidRPr="00362D29" w:rsidRDefault="00FB6F0D"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p>
    <w:tbl>
      <w:tblPr>
        <w:tblStyle w:val="10"/>
        <w:bidiVisual/>
        <w:tblW w:w="0" w:type="auto"/>
        <w:tblLook w:val="04A0" w:firstRow="1" w:lastRow="0" w:firstColumn="1" w:lastColumn="0" w:noHBand="0" w:noVBand="1"/>
      </w:tblPr>
      <w:tblGrid>
        <w:gridCol w:w="1214"/>
        <w:gridCol w:w="3399"/>
        <w:gridCol w:w="3683"/>
      </w:tblGrid>
      <w:tr w:rsidR="009A7640" w:rsidRPr="00362D29" w14:paraId="4CF49F54" w14:textId="77777777" w:rsidTr="00680129">
        <w:tc>
          <w:tcPr>
            <w:tcW w:w="1214" w:type="dxa"/>
            <w:shd w:val="clear" w:color="auto" w:fill="F2F2F2" w:themeFill="background1" w:themeFillShade="F2"/>
            <w:vAlign w:val="center"/>
          </w:tcPr>
          <w:p w14:paraId="4CDA4891" w14:textId="30B250D0" w:rsidR="009A7640" w:rsidRPr="00362D29" w:rsidRDefault="00965A21" w:rsidP="00362D29">
            <w:pPr>
              <w:bidi/>
              <w:spacing w:line="360" w:lineRule="auto"/>
              <w:jc w:val="center"/>
              <w:rPr>
                <w:rFonts w:ascii="Traditional Arabic" w:eastAsia="Aptos" w:hAnsi="Traditional Arabic" w:cs="Traditional Arabic"/>
                <w:b/>
                <w:bCs/>
                <w:sz w:val="24"/>
                <w:szCs w:val="24"/>
                <w:rtl/>
              </w:rPr>
            </w:pPr>
            <w:r w:rsidRPr="00362D29">
              <w:rPr>
                <w:rFonts w:ascii="Traditional Arabic" w:eastAsia="Aptos" w:hAnsi="Traditional Arabic" w:cs="Traditional Arabic"/>
                <w:b/>
                <w:bCs/>
                <w:sz w:val="24"/>
                <w:szCs w:val="24"/>
                <w:rtl/>
              </w:rPr>
              <w:lastRenderedPageBreak/>
              <w:t>نقاط المقارنة</w:t>
            </w:r>
          </w:p>
        </w:tc>
        <w:tc>
          <w:tcPr>
            <w:tcW w:w="3399" w:type="dxa"/>
            <w:shd w:val="clear" w:color="auto" w:fill="F2F2F2" w:themeFill="background1" w:themeFillShade="F2"/>
          </w:tcPr>
          <w:p w14:paraId="6D1EC43B" w14:textId="2FDC474E" w:rsidR="009A7640" w:rsidRPr="00362D29" w:rsidRDefault="001052BA" w:rsidP="00362D29">
            <w:pPr>
              <w:bidi/>
              <w:spacing w:line="360" w:lineRule="auto"/>
              <w:jc w:val="center"/>
              <w:rPr>
                <w:rFonts w:ascii="Traditional Arabic" w:eastAsia="Aptos" w:hAnsi="Traditional Arabic" w:cs="Traditional Arabic"/>
                <w:b/>
                <w:bCs/>
                <w:sz w:val="24"/>
                <w:szCs w:val="24"/>
                <w:rtl/>
              </w:rPr>
            </w:pPr>
            <w:r w:rsidRPr="00362D29">
              <w:rPr>
                <w:rFonts w:ascii="Traditional Arabic" w:eastAsia="Aptos" w:hAnsi="Traditional Arabic" w:cs="Traditional Arabic"/>
                <w:b/>
                <w:bCs/>
                <w:sz w:val="24"/>
                <w:szCs w:val="24"/>
                <w:rtl/>
              </w:rPr>
              <w:t>تجربة المريض (</w:t>
            </w:r>
            <w:r w:rsidRPr="00362D29">
              <w:rPr>
                <w:rFonts w:ascii="Traditional Arabic" w:eastAsia="Aptos" w:hAnsi="Traditional Arabic" w:cs="Traditional Arabic"/>
                <w:b/>
                <w:bCs/>
                <w:sz w:val="24"/>
                <w:szCs w:val="24"/>
              </w:rPr>
              <w:t>Patient Experience</w:t>
            </w:r>
            <w:r w:rsidRPr="00362D29">
              <w:rPr>
                <w:rFonts w:ascii="Traditional Arabic" w:eastAsia="Aptos" w:hAnsi="Traditional Arabic" w:cs="Traditional Arabic"/>
                <w:b/>
                <w:bCs/>
                <w:sz w:val="24"/>
                <w:szCs w:val="24"/>
                <w:rtl/>
              </w:rPr>
              <w:t>)</w:t>
            </w:r>
          </w:p>
        </w:tc>
        <w:tc>
          <w:tcPr>
            <w:tcW w:w="3683" w:type="dxa"/>
            <w:shd w:val="clear" w:color="auto" w:fill="F2F2F2" w:themeFill="background1" w:themeFillShade="F2"/>
          </w:tcPr>
          <w:p w14:paraId="505AF84E" w14:textId="73F16B00" w:rsidR="009A7640" w:rsidRPr="00362D29" w:rsidRDefault="00DB7E13" w:rsidP="00362D29">
            <w:pPr>
              <w:bidi/>
              <w:spacing w:line="360" w:lineRule="auto"/>
              <w:jc w:val="center"/>
              <w:rPr>
                <w:rFonts w:ascii="Traditional Arabic" w:eastAsia="Aptos" w:hAnsi="Traditional Arabic" w:cs="Traditional Arabic"/>
                <w:b/>
                <w:bCs/>
                <w:sz w:val="24"/>
                <w:szCs w:val="24"/>
                <w:rtl/>
              </w:rPr>
            </w:pPr>
            <w:r w:rsidRPr="00362D29">
              <w:rPr>
                <w:rFonts w:ascii="Traditional Arabic" w:eastAsia="Aptos" w:hAnsi="Traditional Arabic" w:cs="Traditional Arabic"/>
                <w:b/>
                <w:bCs/>
                <w:sz w:val="24"/>
                <w:szCs w:val="24"/>
                <w:rtl/>
              </w:rPr>
              <w:t xml:space="preserve">رضا المريض </w:t>
            </w:r>
            <w:r w:rsidR="004171BF" w:rsidRPr="00362D29">
              <w:rPr>
                <w:rFonts w:ascii="Traditional Arabic" w:eastAsia="Aptos" w:hAnsi="Traditional Arabic" w:cs="Traditional Arabic"/>
                <w:b/>
                <w:bCs/>
                <w:sz w:val="24"/>
                <w:szCs w:val="24"/>
                <w:rtl/>
              </w:rPr>
              <w:t>(</w:t>
            </w:r>
            <w:r w:rsidR="004171BF" w:rsidRPr="00362D29">
              <w:rPr>
                <w:rFonts w:ascii="Traditional Arabic" w:eastAsia="Aptos" w:hAnsi="Traditional Arabic" w:cs="Traditional Arabic"/>
                <w:b/>
                <w:bCs/>
                <w:sz w:val="24"/>
                <w:szCs w:val="24"/>
              </w:rPr>
              <w:t>Patient Satisfaction</w:t>
            </w:r>
            <w:r w:rsidR="004171BF" w:rsidRPr="00362D29">
              <w:rPr>
                <w:rFonts w:ascii="Traditional Arabic" w:eastAsia="Aptos" w:hAnsi="Traditional Arabic" w:cs="Traditional Arabic"/>
                <w:b/>
                <w:bCs/>
                <w:sz w:val="24"/>
                <w:szCs w:val="24"/>
                <w:rtl/>
              </w:rPr>
              <w:t>)</w:t>
            </w:r>
          </w:p>
        </w:tc>
      </w:tr>
      <w:tr w:rsidR="009A7640" w:rsidRPr="00362D29" w14:paraId="798CD869" w14:textId="77777777" w:rsidTr="00680129">
        <w:tc>
          <w:tcPr>
            <w:tcW w:w="1214" w:type="dxa"/>
            <w:shd w:val="clear" w:color="auto" w:fill="F2F2F2" w:themeFill="background1" w:themeFillShade="F2"/>
            <w:vAlign w:val="center"/>
          </w:tcPr>
          <w:p w14:paraId="5F912EEF" w14:textId="77777777" w:rsidR="009A7640" w:rsidRPr="00362D29" w:rsidRDefault="009A7640" w:rsidP="00362D29">
            <w:pPr>
              <w:bidi/>
              <w:spacing w:line="360" w:lineRule="auto"/>
              <w:jc w:val="center"/>
              <w:rPr>
                <w:rFonts w:ascii="Traditional Arabic" w:eastAsia="Aptos" w:hAnsi="Traditional Arabic" w:cs="Traditional Arabic"/>
                <w:b/>
                <w:bCs/>
                <w:sz w:val="24"/>
                <w:szCs w:val="24"/>
                <w:rtl/>
              </w:rPr>
            </w:pPr>
            <w:r w:rsidRPr="00362D29">
              <w:rPr>
                <w:rFonts w:ascii="Traditional Arabic" w:eastAsia="Aptos" w:hAnsi="Traditional Arabic" w:cs="Traditional Arabic"/>
                <w:b/>
                <w:bCs/>
                <w:sz w:val="24"/>
                <w:szCs w:val="24"/>
                <w:rtl/>
              </w:rPr>
              <w:t>التعريف</w:t>
            </w:r>
          </w:p>
        </w:tc>
        <w:tc>
          <w:tcPr>
            <w:tcW w:w="3399" w:type="dxa"/>
          </w:tcPr>
          <w:p w14:paraId="5FC2635C" w14:textId="0FD645C4" w:rsidR="009A7640" w:rsidRPr="00362D29" w:rsidRDefault="007919D0" w:rsidP="00362D29">
            <w:pPr>
              <w:bidi/>
              <w:spacing w:line="360" w:lineRule="auto"/>
              <w:jc w:val="both"/>
              <w:rPr>
                <w:rFonts w:ascii="Traditional Arabic" w:eastAsia="Aptos" w:hAnsi="Traditional Arabic" w:cs="Traditional Arabic"/>
                <w:sz w:val="24"/>
                <w:szCs w:val="24"/>
                <w:rtl/>
              </w:rPr>
            </w:pPr>
            <w:r w:rsidRPr="00362D29">
              <w:rPr>
                <w:rFonts w:ascii="Traditional Arabic" w:eastAsia="Aptos" w:hAnsi="Traditional Arabic" w:cs="Traditional Arabic"/>
                <w:sz w:val="24"/>
                <w:szCs w:val="24"/>
                <w:rtl/>
              </w:rPr>
              <w:t xml:space="preserve">مجموعة التفاعلات التي يخوضها </w:t>
            </w:r>
            <w:r w:rsidR="00094A91" w:rsidRPr="00362D29">
              <w:rPr>
                <w:rFonts w:ascii="Traditional Arabic" w:eastAsia="Aptos" w:hAnsi="Traditional Arabic" w:cs="Traditional Arabic"/>
                <w:sz w:val="24"/>
                <w:szCs w:val="24"/>
                <w:rtl/>
              </w:rPr>
              <w:t xml:space="preserve">المريض في النظام الصحي وكيفية إدراكه لها </w:t>
            </w:r>
          </w:p>
        </w:tc>
        <w:tc>
          <w:tcPr>
            <w:tcW w:w="3683" w:type="dxa"/>
          </w:tcPr>
          <w:p w14:paraId="3F6AA6C6" w14:textId="11FFE252" w:rsidR="009A7640" w:rsidRPr="00362D29" w:rsidRDefault="00662003" w:rsidP="00362D29">
            <w:pPr>
              <w:bidi/>
              <w:spacing w:line="360" w:lineRule="auto"/>
              <w:jc w:val="both"/>
              <w:rPr>
                <w:rFonts w:ascii="Traditional Arabic" w:eastAsia="Aptos" w:hAnsi="Traditional Arabic" w:cs="Traditional Arabic"/>
                <w:sz w:val="24"/>
                <w:szCs w:val="24"/>
                <w:rtl/>
              </w:rPr>
            </w:pPr>
            <w:r w:rsidRPr="00362D29">
              <w:rPr>
                <w:rFonts w:ascii="Traditional Arabic" w:eastAsia="Aptos" w:hAnsi="Traditional Arabic" w:cs="Traditional Arabic"/>
                <w:sz w:val="24"/>
                <w:szCs w:val="24"/>
                <w:rtl/>
              </w:rPr>
              <w:t>مدى تلبية توقعات المريض الخاصة بالرعاية</w:t>
            </w:r>
          </w:p>
        </w:tc>
      </w:tr>
      <w:tr w:rsidR="009A7640" w:rsidRPr="00362D29" w14:paraId="73959E68" w14:textId="77777777" w:rsidTr="00680129">
        <w:tc>
          <w:tcPr>
            <w:tcW w:w="1214" w:type="dxa"/>
            <w:shd w:val="clear" w:color="auto" w:fill="F2F2F2" w:themeFill="background1" w:themeFillShade="F2"/>
            <w:vAlign w:val="center"/>
          </w:tcPr>
          <w:p w14:paraId="2B573639" w14:textId="77777777" w:rsidR="009A7640" w:rsidRPr="00362D29" w:rsidRDefault="009A7640" w:rsidP="00362D29">
            <w:pPr>
              <w:bidi/>
              <w:spacing w:line="360" w:lineRule="auto"/>
              <w:jc w:val="center"/>
              <w:rPr>
                <w:rFonts w:ascii="Traditional Arabic" w:eastAsia="Aptos" w:hAnsi="Traditional Arabic" w:cs="Traditional Arabic"/>
                <w:b/>
                <w:bCs/>
                <w:sz w:val="24"/>
                <w:szCs w:val="24"/>
                <w:rtl/>
              </w:rPr>
            </w:pPr>
            <w:r w:rsidRPr="00362D29">
              <w:rPr>
                <w:rFonts w:ascii="Traditional Arabic" w:eastAsia="Aptos" w:hAnsi="Traditional Arabic" w:cs="Traditional Arabic"/>
                <w:b/>
                <w:bCs/>
                <w:sz w:val="24"/>
                <w:szCs w:val="24"/>
                <w:rtl/>
              </w:rPr>
              <w:t>الهدف</w:t>
            </w:r>
          </w:p>
        </w:tc>
        <w:tc>
          <w:tcPr>
            <w:tcW w:w="3399" w:type="dxa"/>
          </w:tcPr>
          <w:p w14:paraId="4BC7E8C5" w14:textId="09B8ABF2" w:rsidR="009A7640" w:rsidRPr="00362D29" w:rsidRDefault="007B6FA5" w:rsidP="00362D29">
            <w:pPr>
              <w:bidi/>
              <w:spacing w:line="360" w:lineRule="auto"/>
              <w:jc w:val="both"/>
              <w:rPr>
                <w:rFonts w:ascii="Traditional Arabic" w:eastAsia="Aptos" w:hAnsi="Traditional Arabic" w:cs="Traditional Arabic"/>
                <w:sz w:val="24"/>
                <w:szCs w:val="24"/>
                <w:rtl/>
              </w:rPr>
            </w:pPr>
            <w:r w:rsidRPr="00362D29">
              <w:rPr>
                <w:rFonts w:ascii="Traditional Arabic" w:eastAsia="Aptos" w:hAnsi="Traditional Arabic" w:cs="Traditional Arabic"/>
                <w:sz w:val="24"/>
                <w:szCs w:val="24"/>
                <w:rtl/>
              </w:rPr>
              <w:t>تحسين جودة الرعاية من خلال فهم مسار المريض وتفاعلاته</w:t>
            </w:r>
          </w:p>
        </w:tc>
        <w:tc>
          <w:tcPr>
            <w:tcW w:w="3683" w:type="dxa"/>
          </w:tcPr>
          <w:p w14:paraId="4F39B305" w14:textId="7181CBA2" w:rsidR="009A7640" w:rsidRPr="00362D29" w:rsidRDefault="00FE37F4" w:rsidP="00362D29">
            <w:pPr>
              <w:bidi/>
              <w:spacing w:line="360" w:lineRule="auto"/>
              <w:jc w:val="both"/>
              <w:rPr>
                <w:rFonts w:ascii="Traditional Arabic" w:eastAsia="Aptos" w:hAnsi="Traditional Arabic" w:cs="Traditional Arabic"/>
                <w:sz w:val="24"/>
                <w:szCs w:val="24"/>
                <w:rtl/>
              </w:rPr>
            </w:pPr>
            <w:r w:rsidRPr="00362D29">
              <w:rPr>
                <w:rFonts w:ascii="Traditional Arabic" w:eastAsia="Aptos" w:hAnsi="Traditional Arabic" w:cs="Traditional Arabic"/>
                <w:sz w:val="24"/>
                <w:szCs w:val="24"/>
                <w:rtl/>
              </w:rPr>
              <w:t xml:space="preserve">قياس مدى سعادة المريض </w:t>
            </w:r>
            <w:r w:rsidR="001F3FC3" w:rsidRPr="00362D29">
              <w:rPr>
                <w:rFonts w:ascii="Traditional Arabic" w:eastAsia="Aptos" w:hAnsi="Traditional Arabic" w:cs="Traditional Arabic"/>
                <w:sz w:val="24"/>
                <w:szCs w:val="24"/>
                <w:rtl/>
              </w:rPr>
              <w:t xml:space="preserve">عن الخدمة </w:t>
            </w:r>
          </w:p>
        </w:tc>
      </w:tr>
      <w:tr w:rsidR="009A7640" w:rsidRPr="00362D29" w14:paraId="1346D2CA" w14:textId="77777777" w:rsidTr="00680129">
        <w:tc>
          <w:tcPr>
            <w:tcW w:w="1214" w:type="dxa"/>
            <w:shd w:val="clear" w:color="auto" w:fill="F2F2F2" w:themeFill="background1" w:themeFillShade="F2"/>
            <w:vAlign w:val="center"/>
          </w:tcPr>
          <w:p w14:paraId="4DEAE295" w14:textId="47A501B0" w:rsidR="009A7640" w:rsidRPr="00362D29" w:rsidRDefault="00D678BA" w:rsidP="00362D29">
            <w:pPr>
              <w:bidi/>
              <w:spacing w:line="360" w:lineRule="auto"/>
              <w:jc w:val="center"/>
              <w:rPr>
                <w:rFonts w:ascii="Traditional Arabic" w:eastAsia="Aptos" w:hAnsi="Traditional Arabic" w:cs="Traditional Arabic"/>
                <w:b/>
                <w:bCs/>
                <w:sz w:val="24"/>
                <w:szCs w:val="24"/>
                <w:rtl/>
              </w:rPr>
            </w:pPr>
            <w:r w:rsidRPr="00362D29">
              <w:rPr>
                <w:rFonts w:ascii="Traditional Arabic" w:eastAsia="Aptos" w:hAnsi="Traditional Arabic" w:cs="Traditional Arabic"/>
                <w:b/>
                <w:bCs/>
                <w:sz w:val="24"/>
                <w:szCs w:val="24"/>
                <w:rtl/>
              </w:rPr>
              <w:t>الطبيعة</w:t>
            </w:r>
          </w:p>
        </w:tc>
        <w:tc>
          <w:tcPr>
            <w:tcW w:w="3399" w:type="dxa"/>
          </w:tcPr>
          <w:p w14:paraId="4703500F" w14:textId="5D8D7D0D" w:rsidR="009A7640" w:rsidRPr="00362D29" w:rsidRDefault="00251019" w:rsidP="00362D29">
            <w:pPr>
              <w:bidi/>
              <w:spacing w:line="360" w:lineRule="auto"/>
              <w:jc w:val="both"/>
              <w:rPr>
                <w:rFonts w:ascii="Traditional Arabic" w:eastAsia="Aptos" w:hAnsi="Traditional Arabic" w:cs="Traditional Arabic"/>
                <w:sz w:val="24"/>
                <w:szCs w:val="24"/>
                <w:rtl/>
              </w:rPr>
            </w:pPr>
            <w:r w:rsidRPr="00362D29">
              <w:rPr>
                <w:rFonts w:ascii="Traditional Arabic" w:eastAsia="Aptos" w:hAnsi="Traditional Arabic" w:cs="Traditional Arabic"/>
                <w:sz w:val="24"/>
                <w:szCs w:val="24"/>
                <w:rtl/>
              </w:rPr>
              <w:t xml:space="preserve">شاملة ، تركز على العمليات ، والتواصل ، السلامة ، البيئة </w:t>
            </w:r>
          </w:p>
        </w:tc>
        <w:tc>
          <w:tcPr>
            <w:tcW w:w="3683" w:type="dxa"/>
          </w:tcPr>
          <w:p w14:paraId="652338CC" w14:textId="1471E449" w:rsidR="009A7640" w:rsidRPr="00362D29" w:rsidRDefault="00567910" w:rsidP="00362D29">
            <w:pPr>
              <w:bidi/>
              <w:spacing w:line="360" w:lineRule="auto"/>
              <w:jc w:val="both"/>
              <w:rPr>
                <w:rFonts w:ascii="Traditional Arabic" w:eastAsia="Aptos" w:hAnsi="Traditional Arabic" w:cs="Traditional Arabic"/>
                <w:sz w:val="24"/>
                <w:szCs w:val="24"/>
                <w:rtl/>
              </w:rPr>
            </w:pPr>
            <w:r w:rsidRPr="00362D29">
              <w:rPr>
                <w:rFonts w:ascii="Traditional Arabic" w:eastAsia="Aptos" w:hAnsi="Traditional Arabic" w:cs="Traditional Arabic"/>
                <w:sz w:val="24"/>
                <w:szCs w:val="24"/>
                <w:rtl/>
              </w:rPr>
              <w:t xml:space="preserve">ذاتية ، وشخصية ، </w:t>
            </w:r>
            <w:r w:rsidR="00537201" w:rsidRPr="00362D29">
              <w:rPr>
                <w:rFonts w:ascii="Traditional Arabic" w:eastAsia="Aptos" w:hAnsi="Traditional Arabic" w:cs="Traditional Arabic"/>
                <w:sz w:val="24"/>
                <w:szCs w:val="24"/>
                <w:rtl/>
              </w:rPr>
              <w:t>تتأثر</w:t>
            </w:r>
            <w:r w:rsidRPr="00362D29">
              <w:rPr>
                <w:rFonts w:ascii="Traditional Arabic" w:eastAsia="Aptos" w:hAnsi="Traditional Arabic" w:cs="Traditional Arabic"/>
                <w:sz w:val="24"/>
                <w:szCs w:val="24"/>
                <w:rtl/>
              </w:rPr>
              <w:t xml:space="preserve"> بحالة </w:t>
            </w:r>
            <w:r w:rsidR="008661CC" w:rsidRPr="00362D29">
              <w:rPr>
                <w:rFonts w:ascii="Traditional Arabic" w:eastAsia="Aptos" w:hAnsi="Traditional Arabic" w:cs="Traditional Arabic"/>
                <w:sz w:val="24"/>
                <w:szCs w:val="24"/>
                <w:rtl/>
              </w:rPr>
              <w:t>المريض المزاجية والتوقعات الفردية</w:t>
            </w:r>
          </w:p>
        </w:tc>
      </w:tr>
      <w:tr w:rsidR="009A7640" w:rsidRPr="00362D29" w14:paraId="3637A04C" w14:textId="77777777" w:rsidTr="00680129">
        <w:tc>
          <w:tcPr>
            <w:tcW w:w="1214" w:type="dxa"/>
            <w:shd w:val="clear" w:color="auto" w:fill="F2F2F2" w:themeFill="background1" w:themeFillShade="F2"/>
            <w:vAlign w:val="center"/>
          </w:tcPr>
          <w:p w14:paraId="1F113958" w14:textId="5CC84615" w:rsidR="009A7640" w:rsidRPr="00362D29" w:rsidRDefault="00D53D85" w:rsidP="00362D29">
            <w:pPr>
              <w:bidi/>
              <w:spacing w:line="360" w:lineRule="auto"/>
              <w:jc w:val="center"/>
              <w:rPr>
                <w:rFonts w:ascii="Traditional Arabic" w:eastAsia="Aptos" w:hAnsi="Traditional Arabic" w:cs="Traditional Arabic"/>
                <w:b/>
                <w:bCs/>
                <w:sz w:val="24"/>
                <w:szCs w:val="24"/>
                <w:rtl/>
              </w:rPr>
            </w:pPr>
            <w:r w:rsidRPr="00362D29">
              <w:rPr>
                <w:rFonts w:ascii="Traditional Arabic" w:eastAsia="Aptos" w:hAnsi="Traditional Arabic" w:cs="Traditional Arabic"/>
                <w:b/>
                <w:bCs/>
                <w:sz w:val="24"/>
                <w:szCs w:val="24"/>
                <w:rtl/>
              </w:rPr>
              <w:t>التركيز</w:t>
            </w:r>
          </w:p>
        </w:tc>
        <w:tc>
          <w:tcPr>
            <w:tcW w:w="3399" w:type="dxa"/>
          </w:tcPr>
          <w:p w14:paraId="72D1B404" w14:textId="06B8BDBB" w:rsidR="009A7640" w:rsidRPr="00362D29" w:rsidRDefault="00D53D85" w:rsidP="00362D29">
            <w:pPr>
              <w:bidi/>
              <w:spacing w:line="360" w:lineRule="auto"/>
              <w:jc w:val="both"/>
              <w:rPr>
                <w:rFonts w:ascii="Traditional Arabic" w:eastAsia="Aptos" w:hAnsi="Traditional Arabic" w:cs="Traditional Arabic"/>
                <w:sz w:val="24"/>
                <w:szCs w:val="24"/>
                <w:rtl/>
              </w:rPr>
            </w:pPr>
            <w:r w:rsidRPr="00362D29">
              <w:rPr>
                <w:rFonts w:ascii="Traditional Arabic" w:eastAsia="Aptos" w:hAnsi="Traditional Arabic" w:cs="Traditional Arabic"/>
                <w:sz w:val="24"/>
                <w:szCs w:val="24"/>
                <w:rtl/>
              </w:rPr>
              <w:t>الجودة الموضوعية (</w:t>
            </w:r>
            <w:r w:rsidR="00C6189B" w:rsidRPr="00362D29">
              <w:rPr>
                <w:rFonts w:ascii="Traditional Arabic" w:eastAsia="Aptos" w:hAnsi="Traditional Arabic" w:cs="Traditional Arabic"/>
                <w:sz w:val="24"/>
                <w:szCs w:val="24"/>
              </w:rPr>
              <w:t>Objective</w:t>
            </w:r>
            <w:r w:rsidR="00C6189B" w:rsidRPr="00362D29">
              <w:rPr>
                <w:rFonts w:ascii="Traditional Arabic" w:eastAsia="Aptos" w:hAnsi="Traditional Arabic" w:cs="Traditional Arabic"/>
                <w:sz w:val="24"/>
                <w:szCs w:val="24"/>
                <w:rtl/>
              </w:rPr>
              <w:t xml:space="preserve">) ما كان ينبغي ان يحدث </w:t>
            </w:r>
            <w:r w:rsidR="00B44032" w:rsidRPr="00362D29">
              <w:rPr>
                <w:rFonts w:ascii="Traditional Arabic" w:eastAsia="Aptos" w:hAnsi="Traditional Arabic" w:cs="Traditional Arabic"/>
                <w:sz w:val="24"/>
                <w:szCs w:val="24"/>
                <w:rtl/>
              </w:rPr>
              <w:t>حدث بالفعل.</w:t>
            </w:r>
          </w:p>
        </w:tc>
        <w:tc>
          <w:tcPr>
            <w:tcW w:w="3683" w:type="dxa"/>
          </w:tcPr>
          <w:p w14:paraId="71F3EF7E" w14:textId="169C218C" w:rsidR="009A7640" w:rsidRPr="00362D29" w:rsidRDefault="00B44032" w:rsidP="00362D29">
            <w:pPr>
              <w:bidi/>
              <w:spacing w:line="360" w:lineRule="auto"/>
              <w:jc w:val="both"/>
              <w:rPr>
                <w:rFonts w:ascii="Traditional Arabic" w:eastAsia="Aptos" w:hAnsi="Traditional Arabic" w:cs="Traditional Arabic"/>
                <w:sz w:val="24"/>
                <w:szCs w:val="24"/>
                <w:rtl/>
              </w:rPr>
            </w:pPr>
            <w:r w:rsidRPr="00362D29">
              <w:rPr>
                <w:rFonts w:ascii="Traditional Arabic" w:eastAsia="Aptos" w:hAnsi="Traditional Arabic" w:cs="Traditional Arabic"/>
                <w:sz w:val="24"/>
                <w:szCs w:val="24"/>
                <w:rtl/>
              </w:rPr>
              <w:t>الجودة الذاتية (</w:t>
            </w:r>
            <w:r w:rsidRPr="00362D29">
              <w:rPr>
                <w:rFonts w:ascii="Traditional Arabic" w:eastAsia="Aptos" w:hAnsi="Traditional Arabic" w:cs="Traditional Arabic"/>
                <w:sz w:val="24"/>
                <w:szCs w:val="24"/>
              </w:rPr>
              <w:t>Subjective</w:t>
            </w:r>
            <w:r w:rsidRPr="00362D29">
              <w:rPr>
                <w:rFonts w:ascii="Traditional Arabic" w:eastAsia="Aptos" w:hAnsi="Traditional Arabic" w:cs="Traditional Arabic"/>
                <w:sz w:val="24"/>
                <w:szCs w:val="24"/>
                <w:rtl/>
              </w:rPr>
              <w:t xml:space="preserve">) </w:t>
            </w:r>
            <w:r w:rsidR="00547E32" w:rsidRPr="00362D29">
              <w:rPr>
                <w:rFonts w:ascii="Traditional Arabic" w:eastAsia="Aptos" w:hAnsi="Traditional Arabic" w:cs="Traditional Arabic"/>
                <w:sz w:val="24"/>
                <w:szCs w:val="24"/>
                <w:rtl/>
              </w:rPr>
              <w:t>مدى تلبية التوقعات الذاتية للمريض.</w:t>
            </w:r>
          </w:p>
        </w:tc>
      </w:tr>
      <w:tr w:rsidR="009A7640" w:rsidRPr="00362D29" w14:paraId="37C3C329" w14:textId="77777777" w:rsidTr="00680129">
        <w:tc>
          <w:tcPr>
            <w:tcW w:w="1214" w:type="dxa"/>
            <w:shd w:val="clear" w:color="auto" w:fill="F2F2F2" w:themeFill="background1" w:themeFillShade="F2"/>
            <w:vAlign w:val="center"/>
          </w:tcPr>
          <w:p w14:paraId="0F0D5044" w14:textId="737CD249" w:rsidR="009A7640" w:rsidRPr="00362D29" w:rsidRDefault="00547E32" w:rsidP="00362D29">
            <w:pPr>
              <w:bidi/>
              <w:spacing w:line="360" w:lineRule="auto"/>
              <w:jc w:val="center"/>
              <w:rPr>
                <w:rFonts w:ascii="Traditional Arabic" w:eastAsia="Aptos" w:hAnsi="Traditional Arabic" w:cs="Traditional Arabic"/>
                <w:b/>
                <w:bCs/>
                <w:sz w:val="24"/>
                <w:szCs w:val="24"/>
                <w:rtl/>
              </w:rPr>
            </w:pPr>
            <w:r w:rsidRPr="00362D29">
              <w:rPr>
                <w:rFonts w:ascii="Traditional Arabic" w:eastAsia="Aptos" w:hAnsi="Traditional Arabic" w:cs="Traditional Arabic"/>
                <w:b/>
                <w:bCs/>
                <w:sz w:val="24"/>
                <w:szCs w:val="24"/>
                <w:rtl/>
              </w:rPr>
              <w:t>التأثر</w:t>
            </w:r>
          </w:p>
        </w:tc>
        <w:tc>
          <w:tcPr>
            <w:tcW w:w="3399" w:type="dxa"/>
          </w:tcPr>
          <w:p w14:paraId="0CCCED37" w14:textId="0AFF9247" w:rsidR="009A7640" w:rsidRPr="00362D29" w:rsidRDefault="000E760E" w:rsidP="00362D29">
            <w:pPr>
              <w:bidi/>
              <w:spacing w:line="360" w:lineRule="auto"/>
              <w:jc w:val="both"/>
              <w:rPr>
                <w:rFonts w:ascii="Traditional Arabic" w:eastAsia="Aptos" w:hAnsi="Traditional Arabic" w:cs="Traditional Arabic"/>
                <w:sz w:val="24"/>
                <w:szCs w:val="24"/>
                <w:rtl/>
              </w:rPr>
            </w:pPr>
            <w:r w:rsidRPr="00362D29">
              <w:rPr>
                <w:rFonts w:ascii="Traditional Arabic" w:eastAsia="Aptos" w:hAnsi="Traditional Arabic" w:cs="Traditional Arabic"/>
                <w:sz w:val="24"/>
                <w:szCs w:val="24"/>
                <w:rtl/>
              </w:rPr>
              <w:t xml:space="preserve">أقل تأثرا بالعوامل </w:t>
            </w:r>
            <w:r w:rsidR="00755689" w:rsidRPr="00362D29">
              <w:rPr>
                <w:rFonts w:ascii="Traditional Arabic" w:eastAsia="Aptos" w:hAnsi="Traditional Arabic" w:cs="Traditional Arabic"/>
                <w:sz w:val="24"/>
                <w:szCs w:val="24"/>
                <w:rtl/>
              </w:rPr>
              <w:t>الشخصية والمزاجية</w:t>
            </w:r>
          </w:p>
        </w:tc>
        <w:tc>
          <w:tcPr>
            <w:tcW w:w="3683" w:type="dxa"/>
          </w:tcPr>
          <w:p w14:paraId="2CB50669" w14:textId="2CEEECF9" w:rsidR="009A7640" w:rsidRPr="00362D29" w:rsidRDefault="00755689" w:rsidP="00362D29">
            <w:pPr>
              <w:bidi/>
              <w:spacing w:line="360" w:lineRule="auto"/>
              <w:jc w:val="both"/>
              <w:rPr>
                <w:rFonts w:ascii="Traditional Arabic" w:eastAsia="Aptos" w:hAnsi="Traditional Arabic" w:cs="Traditional Arabic"/>
                <w:sz w:val="24"/>
                <w:szCs w:val="24"/>
                <w:rtl/>
              </w:rPr>
            </w:pPr>
            <w:r w:rsidRPr="00362D29">
              <w:rPr>
                <w:rFonts w:ascii="Traditional Arabic" w:eastAsia="Aptos" w:hAnsi="Traditional Arabic" w:cs="Traditional Arabic"/>
                <w:sz w:val="24"/>
                <w:szCs w:val="24"/>
                <w:rtl/>
              </w:rPr>
              <w:t>تتأثر بشدة بالعوامل المزاجية و</w:t>
            </w:r>
            <w:r w:rsidR="005A4B83" w:rsidRPr="00362D29">
              <w:rPr>
                <w:rFonts w:ascii="Traditional Arabic" w:eastAsia="Aptos" w:hAnsi="Traditional Arabic" w:cs="Traditional Arabic"/>
                <w:sz w:val="24"/>
                <w:szCs w:val="24"/>
                <w:rtl/>
              </w:rPr>
              <w:t>كيفية صياغة الاسئلة</w:t>
            </w:r>
          </w:p>
        </w:tc>
      </w:tr>
      <w:tr w:rsidR="009A7640" w:rsidRPr="00362D29" w14:paraId="3F9E321D" w14:textId="77777777" w:rsidTr="00680129">
        <w:tc>
          <w:tcPr>
            <w:tcW w:w="1214" w:type="dxa"/>
            <w:shd w:val="clear" w:color="auto" w:fill="F2F2F2" w:themeFill="background1" w:themeFillShade="F2"/>
            <w:vAlign w:val="center"/>
          </w:tcPr>
          <w:p w14:paraId="6C22CDA4" w14:textId="132C052D" w:rsidR="009A7640" w:rsidRPr="00362D29" w:rsidRDefault="005A4B83" w:rsidP="00362D29">
            <w:pPr>
              <w:bidi/>
              <w:spacing w:line="360" w:lineRule="auto"/>
              <w:jc w:val="center"/>
              <w:rPr>
                <w:rFonts w:ascii="Traditional Arabic" w:eastAsia="Aptos" w:hAnsi="Traditional Arabic" w:cs="Traditional Arabic"/>
                <w:b/>
                <w:bCs/>
                <w:sz w:val="24"/>
                <w:szCs w:val="24"/>
                <w:rtl/>
              </w:rPr>
            </w:pPr>
            <w:r w:rsidRPr="00362D29">
              <w:rPr>
                <w:rFonts w:ascii="Traditional Arabic" w:eastAsia="Aptos" w:hAnsi="Traditional Arabic" w:cs="Traditional Arabic"/>
                <w:b/>
                <w:bCs/>
                <w:sz w:val="24"/>
                <w:szCs w:val="24"/>
                <w:rtl/>
              </w:rPr>
              <w:t>الأهمية للجودة</w:t>
            </w:r>
          </w:p>
        </w:tc>
        <w:tc>
          <w:tcPr>
            <w:tcW w:w="3399" w:type="dxa"/>
          </w:tcPr>
          <w:p w14:paraId="0E37ECF0" w14:textId="18386E61" w:rsidR="009A7640" w:rsidRPr="00362D29" w:rsidRDefault="00FD4DF2" w:rsidP="00362D29">
            <w:pPr>
              <w:bidi/>
              <w:spacing w:line="360" w:lineRule="auto"/>
              <w:jc w:val="both"/>
              <w:rPr>
                <w:rFonts w:ascii="Traditional Arabic" w:eastAsia="Aptos" w:hAnsi="Traditional Arabic" w:cs="Traditional Arabic"/>
                <w:sz w:val="24"/>
                <w:szCs w:val="24"/>
                <w:rtl/>
              </w:rPr>
            </w:pPr>
            <w:r w:rsidRPr="00362D29">
              <w:rPr>
                <w:rFonts w:ascii="Traditional Arabic" w:eastAsia="Aptos" w:hAnsi="Traditional Arabic" w:cs="Traditional Arabic"/>
                <w:sz w:val="24"/>
                <w:szCs w:val="24"/>
                <w:rtl/>
              </w:rPr>
              <w:t xml:space="preserve">من </w:t>
            </w:r>
            <w:r w:rsidR="00740020" w:rsidRPr="00362D29">
              <w:rPr>
                <w:rFonts w:ascii="Traditional Arabic" w:eastAsia="Aptos" w:hAnsi="Traditional Arabic" w:cs="Traditional Arabic"/>
                <w:sz w:val="24"/>
                <w:szCs w:val="24"/>
                <w:rtl/>
              </w:rPr>
              <w:t>أفضل</w:t>
            </w:r>
            <w:r w:rsidRPr="00362D29">
              <w:rPr>
                <w:rFonts w:ascii="Traditional Arabic" w:eastAsia="Aptos" w:hAnsi="Traditional Arabic" w:cs="Traditional Arabic"/>
                <w:sz w:val="24"/>
                <w:szCs w:val="24"/>
                <w:rtl/>
              </w:rPr>
              <w:t xml:space="preserve"> المقاييس </w:t>
            </w:r>
            <w:r w:rsidR="00740020" w:rsidRPr="00362D29">
              <w:rPr>
                <w:rFonts w:ascii="Traditional Arabic" w:eastAsia="Aptos" w:hAnsi="Traditional Arabic" w:cs="Traditional Arabic"/>
                <w:sz w:val="24"/>
                <w:szCs w:val="24"/>
                <w:rtl/>
              </w:rPr>
              <w:t xml:space="preserve">الموثوقة </w:t>
            </w:r>
            <w:r w:rsidR="00D97C32" w:rsidRPr="00362D29">
              <w:rPr>
                <w:rFonts w:ascii="Traditional Arabic" w:eastAsia="Aptos" w:hAnsi="Traditional Arabic" w:cs="Traditional Arabic"/>
                <w:sz w:val="24"/>
                <w:szCs w:val="24"/>
                <w:rtl/>
              </w:rPr>
              <w:t>لجودة الخدمة الصحية ورعاية المرضى</w:t>
            </w:r>
            <w:r w:rsidR="00740020" w:rsidRPr="00362D29">
              <w:rPr>
                <w:rFonts w:ascii="Traditional Arabic" w:eastAsia="Aptos" w:hAnsi="Traditional Arabic" w:cs="Traditional Arabic"/>
                <w:sz w:val="24"/>
                <w:szCs w:val="24"/>
                <w:rtl/>
              </w:rPr>
              <w:t xml:space="preserve">. </w:t>
            </w:r>
            <w:r w:rsidR="00DE351B" w:rsidRPr="00362D29">
              <w:rPr>
                <w:rFonts w:ascii="Traditional Arabic" w:eastAsia="Aptos" w:hAnsi="Traditional Arabic" w:cs="Traditional Arabic"/>
                <w:sz w:val="24"/>
                <w:szCs w:val="24"/>
                <w:rtl/>
              </w:rPr>
              <w:t xml:space="preserve">يعكس الأداء الفعلي ، </w:t>
            </w:r>
            <w:r w:rsidR="00740020" w:rsidRPr="00362D29">
              <w:rPr>
                <w:rFonts w:ascii="Traditional Arabic" w:eastAsia="Aptos" w:hAnsi="Traditional Arabic" w:cs="Traditional Arabic"/>
                <w:sz w:val="24"/>
                <w:szCs w:val="24"/>
                <w:rtl/>
              </w:rPr>
              <w:t xml:space="preserve">يحدد ما </w:t>
            </w:r>
            <w:r w:rsidR="00F36673" w:rsidRPr="00362D29">
              <w:rPr>
                <w:rFonts w:ascii="Traditional Arabic" w:eastAsia="Aptos" w:hAnsi="Traditional Arabic" w:cs="Traditional Arabic"/>
                <w:sz w:val="24"/>
                <w:szCs w:val="24"/>
                <w:rtl/>
              </w:rPr>
              <w:t>إذا</w:t>
            </w:r>
            <w:r w:rsidR="00740020" w:rsidRPr="00362D29">
              <w:rPr>
                <w:rFonts w:ascii="Traditional Arabic" w:eastAsia="Aptos" w:hAnsi="Traditional Arabic" w:cs="Traditional Arabic"/>
                <w:sz w:val="24"/>
                <w:szCs w:val="24"/>
                <w:rtl/>
              </w:rPr>
              <w:t xml:space="preserve"> كانت المعايير تم تحقيقها ام لا</w:t>
            </w:r>
            <w:r w:rsidR="0084010E" w:rsidRPr="00362D29">
              <w:rPr>
                <w:rFonts w:ascii="Traditional Arabic" w:eastAsia="Aptos" w:hAnsi="Traditional Arabic" w:cs="Traditional Arabic"/>
                <w:sz w:val="24"/>
                <w:szCs w:val="24"/>
                <w:rtl/>
              </w:rPr>
              <w:t xml:space="preserve"> </w:t>
            </w:r>
          </w:p>
        </w:tc>
        <w:tc>
          <w:tcPr>
            <w:tcW w:w="3683" w:type="dxa"/>
          </w:tcPr>
          <w:p w14:paraId="12897D72" w14:textId="0BA9ADD4" w:rsidR="009A7640" w:rsidRPr="00362D29" w:rsidRDefault="0084010E" w:rsidP="00362D29">
            <w:pPr>
              <w:bidi/>
              <w:spacing w:line="360" w:lineRule="auto"/>
              <w:jc w:val="both"/>
              <w:rPr>
                <w:rFonts w:ascii="Traditional Arabic" w:eastAsia="Aptos" w:hAnsi="Traditional Arabic" w:cs="Traditional Arabic"/>
                <w:sz w:val="24"/>
                <w:szCs w:val="24"/>
                <w:rtl/>
              </w:rPr>
            </w:pPr>
            <w:r w:rsidRPr="00362D29">
              <w:rPr>
                <w:rFonts w:ascii="Traditional Arabic" w:eastAsia="Aptos" w:hAnsi="Traditional Arabic" w:cs="Traditional Arabic"/>
                <w:sz w:val="24"/>
                <w:szCs w:val="24"/>
                <w:rtl/>
              </w:rPr>
              <w:t>ليس مقياسا موثوقاً لجودة الخدمات الصحية ولا يعكس الأداء الفعلي</w:t>
            </w:r>
          </w:p>
        </w:tc>
      </w:tr>
      <w:tr w:rsidR="009A7640" w:rsidRPr="00362D29" w14:paraId="58F04BF2" w14:textId="77777777" w:rsidTr="00680129">
        <w:tc>
          <w:tcPr>
            <w:tcW w:w="1214" w:type="dxa"/>
            <w:shd w:val="clear" w:color="auto" w:fill="F2F2F2" w:themeFill="background1" w:themeFillShade="F2"/>
            <w:vAlign w:val="center"/>
          </w:tcPr>
          <w:p w14:paraId="32F5691D" w14:textId="57B9969A" w:rsidR="009A7640" w:rsidRPr="00362D29" w:rsidRDefault="00DE351B" w:rsidP="00362D29">
            <w:pPr>
              <w:bidi/>
              <w:spacing w:line="360" w:lineRule="auto"/>
              <w:jc w:val="center"/>
              <w:rPr>
                <w:rFonts w:ascii="Traditional Arabic" w:eastAsia="Aptos" w:hAnsi="Traditional Arabic" w:cs="Traditional Arabic"/>
                <w:b/>
                <w:bCs/>
                <w:sz w:val="24"/>
                <w:szCs w:val="24"/>
                <w:rtl/>
              </w:rPr>
            </w:pPr>
            <w:r w:rsidRPr="00362D29">
              <w:rPr>
                <w:rFonts w:ascii="Traditional Arabic" w:eastAsia="Aptos" w:hAnsi="Traditional Arabic" w:cs="Traditional Arabic"/>
                <w:b/>
                <w:bCs/>
                <w:sz w:val="24"/>
                <w:szCs w:val="24"/>
                <w:rtl/>
              </w:rPr>
              <w:t>القياس</w:t>
            </w:r>
          </w:p>
        </w:tc>
        <w:tc>
          <w:tcPr>
            <w:tcW w:w="3399" w:type="dxa"/>
          </w:tcPr>
          <w:p w14:paraId="0BCE4A91" w14:textId="1D8A46C3" w:rsidR="009A7640" w:rsidRPr="00362D29" w:rsidRDefault="00C05AD8" w:rsidP="00362D29">
            <w:pPr>
              <w:bidi/>
              <w:spacing w:line="360" w:lineRule="auto"/>
              <w:jc w:val="both"/>
              <w:rPr>
                <w:rFonts w:ascii="Traditional Arabic" w:eastAsia="Aptos" w:hAnsi="Traditional Arabic" w:cs="Traditional Arabic"/>
                <w:sz w:val="24"/>
                <w:szCs w:val="24"/>
                <w:rtl/>
              </w:rPr>
            </w:pPr>
            <w:r w:rsidRPr="00362D29">
              <w:rPr>
                <w:rFonts w:ascii="Traditional Arabic" w:eastAsia="Aptos" w:hAnsi="Traditional Arabic" w:cs="Traditional Arabic"/>
                <w:sz w:val="24"/>
                <w:szCs w:val="24"/>
                <w:rtl/>
              </w:rPr>
              <w:t>مقياس موضوعي لجودة ا</w:t>
            </w:r>
            <w:r w:rsidR="003C360A" w:rsidRPr="00362D29">
              <w:rPr>
                <w:rFonts w:ascii="Traditional Arabic" w:eastAsia="Aptos" w:hAnsi="Traditional Arabic" w:cs="Traditional Arabic"/>
                <w:sz w:val="24"/>
                <w:szCs w:val="24"/>
                <w:rtl/>
              </w:rPr>
              <w:t xml:space="preserve">لخدمة من منظور المريض (مثال </w:t>
            </w:r>
            <w:r w:rsidR="003C360A" w:rsidRPr="00362D29">
              <w:rPr>
                <w:rFonts w:ascii="Traditional Arabic" w:eastAsia="Aptos" w:hAnsi="Traditional Arabic" w:cs="Traditional Arabic"/>
                <w:sz w:val="24"/>
                <w:szCs w:val="24"/>
              </w:rPr>
              <w:t>CAHPS</w:t>
            </w:r>
            <w:r w:rsidR="003C360A" w:rsidRPr="00362D29">
              <w:rPr>
                <w:rFonts w:ascii="Traditional Arabic" w:eastAsia="Aptos" w:hAnsi="Traditional Arabic" w:cs="Traditional Arabic"/>
                <w:sz w:val="24"/>
                <w:szCs w:val="24"/>
                <w:rtl/>
              </w:rPr>
              <w:t>)</w:t>
            </w:r>
          </w:p>
        </w:tc>
        <w:tc>
          <w:tcPr>
            <w:tcW w:w="3683" w:type="dxa"/>
          </w:tcPr>
          <w:p w14:paraId="040F45AA" w14:textId="4EA137D8" w:rsidR="009A7640" w:rsidRPr="00362D29" w:rsidRDefault="00F36673" w:rsidP="00362D29">
            <w:pPr>
              <w:bidi/>
              <w:spacing w:line="360" w:lineRule="auto"/>
              <w:jc w:val="both"/>
              <w:rPr>
                <w:rFonts w:ascii="Traditional Arabic" w:eastAsia="Aptos" w:hAnsi="Traditional Arabic" w:cs="Traditional Arabic"/>
                <w:sz w:val="24"/>
                <w:szCs w:val="24"/>
                <w:rtl/>
              </w:rPr>
            </w:pPr>
            <w:r w:rsidRPr="00362D29">
              <w:rPr>
                <w:rFonts w:ascii="Traditional Arabic" w:eastAsia="Aptos" w:hAnsi="Traditional Arabic" w:cs="Traditional Arabic"/>
                <w:sz w:val="24"/>
                <w:szCs w:val="24"/>
                <w:rtl/>
              </w:rPr>
              <w:t xml:space="preserve">مقياس ذاتي يعتمد على توقعات المريض </w:t>
            </w:r>
            <w:r w:rsidR="004174D1" w:rsidRPr="00362D29">
              <w:rPr>
                <w:rFonts w:ascii="Traditional Arabic" w:eastAsia="Aptos" w:hAnsi="Traditional Arabic" w:cs="Traditional Arabic"/>
                <w:sz w:val="24"/>
                <w:szCs w:val="24"/>
                <w:rtl/>
              </w:rPr>
              <w:t>الشخصية (أسئلة مغلقة الإجابة بنعم او لا)</w:t>
            </w:r>
          </w:p>
        </w:tc>
      </w:tr>
    </w:tbl>
    <w:p w14:paraId="67EF4975" w14:textId="107F1405" w:rsidR="00E06F01" w:rsidRPr="00362D29" w:rsidRDefault="00F34388" w:rsidP="00362D29">
      <w:pPr>
        <w:bidi/>
        <w:spacing w:before="0" w:after="160" w:line="360" w:lineRule="auto"/>
        <w:ind w:left="720"/>
        <w:contextualSpacing/>
        <w:jc w:val="center"/>
        <w:rPr>
          <w:rFonts w:ascii="Traditional Arabic" w:eastAsia="Aptos" w:hAnsi="Traditional Arabic" w:cs="Traditional Arabic"/>
          <w:b/>
          <w:bCs/>
          <w:kern w:val="2"/>
          <w:sz w:val="24"/>
          <w:szCs w:val="24"/>
          <w14:ligatures w14:val="standardContextual"/>
        </w:rPr>
      </w:pPr>
      <w:r w:rsidRPr="00362D29">
        <w:rPr>
          <w:rFonts w:ascii="Traditional Arabic" w:eastAsia="Aptos" w:hAnsi="Traditional Arabic" w:cs="Traditional Arabic"/>
          <w:kern w:val="2"/>
          <w:sz w:val="24"/>
          <w:szCs w:val="24"/>
          <w:rtl/>
          <w14:ligatures w14:val="standardContextual"/>
        </w:rPr>
        <w:t xml:space="preserve">جدول ( </w:t>
      </w:r>
      <w:r w:rsidR="006C1C8E" w:rsidRPr="00362D29">
        <w:rPr>
          <w:rFonts w:ascii="Traditional Arabic" w:eastAsia="Aptos" w:hAnsi="Traditional Arabic" w:cs="Traditional Arabic"/>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 : </w:t>
      </w:r>
      <w:r w:rsidR="006D697D" w:rsidRPr="00362D29">
        <w:rPr>
          <w:rFonts w:ascii="Traditional Arabic" w:eastAsia="Aptos" w:hAnsi="Traditional Arabic" w:cs="Traditional Arabic"/>
          <w:kern w:val="2"/>
          <w:sz w:val="24"/>
          <w:szCs w:val="24"/>
          <w:rtl/>
          <w14:ligatures w14:val="standardContextual"/>
        </w:rPr>
        <w:t xml:space="preserve">مقارنة بين </w:t>
      </w:r>
      <w:r w:rsidR="009A7640" w:rsidRPr="00362D29">
        <w:rPr>
          <w:rFonts w:ascii="Traditional Arabic" w:eastAsia="Aptos" w:hAnsi="Traditional Arabic" w:cs="Traditional Arabic"/>
          <w:kern w:val="2"/>
          <w:sz w:val="24"/>
          <w:szCs w:val="24"/>
          <w:rtl/>
          <w14:ligatures w14:val="standardContextual"/>
        </w:rPr>
        <w:t xml:space="preserve">تجربة المريض </w:t>
      </w:r>
      <w:r w:rsidR="00B64AA0" w:rsidRPr="00362D29">
        <w:rPr>
          <w:rFonts w:ascii="Traditional Arabic" w:eastAsia="Aptos" w:hAnsi="Traditional Arabic" w:cs="Traditional Arabic"/>
          <w:kern w:val="2"/>
          <w:sz w:val="24"/>
          <w:szCs w:val="24"/>
          <w:rtl/>
          <w14:ligatures w14:val="standardContextual"/>
        </w:rPr>
        <w:t>ورضا</w:t>
      </w:r>
      <w:r w:rsidR="009A7640" w:rsidRPr="00362D29">
        <w:rPr>
          <w:rFonts w:ascii="Traditional Arabic" w:eastAsia="Aptos" w:hAnsi="Traditional Arabic" w:cs="Traditional Arabic"/>
          <w:kern w:val="2"/>
          <w:sz w:val="24"/>
          <w:szCs w:val="24"/>
          <w:rtl/>
          <w14:ligatures w14:val="standardContextual"/>
        </w:rPr>
        <w:t xml:space="preserve"> المريض</w:t>
      </w:r>
    </w:p>
    <w:p w14:paraId="0E477B9F" w14:textId="67062530" w:rsidR="004D4AE1" w:rsidRPr="00362D29" w:rsidRDefault="009A7640" w:rsidP="00362D29">
      <w:pPr>
        <w:bidi/>
        <w:spacing w:before="0" w:after="160" w:line="360" w:lineRule="auto"/>
        <w:contextualSpacing/>
        <w:jc w:val="both"/>
        <w:rPr>
          <w:rFonts w:ascii="Traditional Arabic" w:eastAsia="Aptos" w:hAnsi="Traditional Arabic" w:cs="Traditional Arabic"/>
          <w:b/>
          <w:bCs/>
          <w:kern w:val="2"/>
          <w:sz w:val="28"/>
          <w:szCs w:val="28"/>
          <w:rtl/>
          <w14:ligatures w14:val="standardContextual"/>
        </w:rPr>
      </w:pPr>
      <w:r w:rsidRPr="00362D29">
        <w:rPr>
          <w:rFonts w:ascii="Traditional Arabic" w:eastAsia="Aptos" w:hAnsi="Traditional Arabic" w:cs="Traditional Arabic"/>
          <w:kern w:val="2"/>
          <w:sz w:val="24"/>
          <w:szCs w:val="24"/>
          <w:rtl/>
          <w14:ligatures w14:val="standardContextual"/>
        </w:rPr>
        <w:t>لذا تُعد تجربة المريض مقياساً أكثر دقة وموثوقية لجودة الرعاية الصحية مقارنة برضا المريض، حيث تركز على الجوانب الموضوعية للرعاية وتفاعلات المريض الفعلية مع النظام الصحي، مما يدفع نحو رعاية تتمحور حول المريض بشكل أكثر فعالية</w:t>
      </w:r>
      <w:r w:rsidRPr="00362D29">
        <w:rPr>
          <w:rFonts w:ascii="Traditional Arabic" w:eastAsia="Aptos" w:hAnsi="Traditional Arabic" w:cs="Traditional Arabic"/>
          <w:kern w:val="2"/>
          <w:sz w:val="24"/>
          <w:szCs w:val="24"/>
          <w14:ligatures w14:val="standardContextual"/>
        </w:rPr>
        <w:t xml:space="preserve"> </w:t>
      </w:r>
      <w:r w:rsidR="004D4AE1" w:rsidRPr="00362D29">
        <w:rPr>
          <w:rFonts w:ascii="Traditional Arabic" w:eastAsia="Aptos" w:hAnsi="Traditional Arabic" w:cs="Traditional Arabic"/>
          <w:kern w:val="2"/>
          <w:sz w:val="24"/>
          <w:szCs w:val="24"/>
          <w14:ligatures w14:val="standardContextual"/>
        </w:rPr>
        <w:t>(Health Academy, 2022</w:t>
      </w:r>
      <w:r w:rsidR="004D4AE1" w:rsidRPr="00362D29">
        <w:rPr>
          <w:rFonts w:ascii="Traditional Arabic" w:eastAsia="Aptos" w:hAnsi="Traditional Arabic" w:cs="Traditional Arabic"/>
          <w:kern w:val="2"/>
          <w:sz w:val="24"/>
          <w:szCs w:val="24"/>
          <w:rtl/>
          <w14:ligatures w14:val="standardContextual"/>
        </w:rPr>
        <w:t>).</w:t>
      </w:r>
    </w:p>
    <w:p w14:paraId="2E5AB989" w14:textId="11448FA6" w:rsidR="009A7640" w:rsidRPr="00362D29" w:rsidRDefault="00680129" w:rsidP="00362D29">
      <w:pPr>
        <w:pStyle w:val="ab"/>
        <w:numPr>
          <w:ilvl w:val="0"/>
          <w:numId w:val="54"/>
        </w:numPr>
        <w:bidi/>
        <w:spacing w:before="0" w:after="160" w:line="360" w:lineRule="auto"/>
        <w:jc w:val="both"/>
        <w:rPr>
          <w:rFonts w:ascii="Traditional Arabic" w:eastAsia="Aptos" w:hAnsi="Traditional Arabic" w:cs="Traditional Arabic"/>
          <w:b/>
          <w:bCs/>
          <w:kern w:val="2"/>
          <w:sz w:val="28"/>
          <w:szCs w:val="28"/>
          <w14:ligatures w14:val="standardContextual"/>
        </w:rPr>
      </w:pPr>
      <w:r w:rsidRPr="00362D29">
        <w:rPr>
          <w:rFonts w:ascii="Traditional Arabic" w:eastAsia="Aptos" w:hAnsi="Traditional Arabic" w:cs="Traditional Arabic"/>
          <w:b/>
          <w:bCs/>
          <w:kern w:val="2"/>
          <w:sz w:val="28"/>
          <w:szCs w:val="28"/>
          <w:rtl/>
          <w14:ligatures w14:val="standardContextual"/>
        </w:rPr>
        <w:t xml:space="preserve">مفهوم </w:t>
      </w:r>
      <w:r w:rsidR="009A7640" w:rsidRPr="00362D29">
        <w:rPr>
          <w:rFonts w:ascii="Traditional Arabic" w:eastAsia="Aptos" w:hAnsi="Traditional Arabic" w:cs="Traditional Arabic"/>
          <w:b/>
          <w:bCs/>
          <w:kern w:val="2"/>
          <w:sz w:val="28"/>
          <w:szCs w:val="28"/>
          <w:rtl/>
          <w14:ligatures w14:val="standardContextual"/>
        </w:rPr>
        <w:t xml:space="preserve">تجربة المريض مقابل </w:t>
      </w:r>
      <w:r w:rsidRPr="00362D29">
        <w:rPr>
          <w:rFonts w:ascii="Traditional Arabic" w:eastAsia="Aptos" w:hAnsi="Traditional Arabic" w:cs="Traditional Arabic"/>
          <w:b/>
          <w:bCs/>
          <w:kern w:val="2"/>
          <w:sz w:val="28"/>
          <w:szCs w:val="28"/>
          <w:rtl/>
          <w14:ligatures w14:val="standardContextual"/>
        </w:rPr>
        <w:t xml:space="preserve">مفهوم </w:t>
      </w:r>
      <w:r w:rsidR="009A7640" w:rsidRPr="00362D29">
        <w:rPr>
          <w:rFonts w:ascii="Traditional Arabic" w:eastAsia="Aptos" w:hAnsi="Traditional Arabic" w:cs="Traditional Arabic"/>
          <w:b/>
          <w:bCs/>
          <w:kern w:val="2"/>
          <w:sz w:val="28"/>
          <w:szCs w:val="28"/>
          <w:rtl/>
          <w14:ligatures w14:val="standardContextual"/>
        </w:rPr>
        <w:t>مشاركة المريض</w:t>
      </w:r>
    </w:p>
    <w:p w14:paraId="736BD1B1" w14:textId="5B877CF8" w:rsidR="00845019" w:rsidRPr="00362D29" w:rsidRDefault="009A7640" w:rsidP="00362D29">
      <w:pPr>
        <w:bidi/>
        <w:spacing w:before="0" w:after="160" w:line="360" w:lineRule="auto"/>
        <w:jc w:val="both"/>
        <w:rPr>
          <w:rFonts w:ascii="Traditional Arabic" w:eastAsia="Aptos" w:hAnsi="Traditional Arabic" w:cs="Traditional Arabic"/>
          <w:kern w:val="2"/>
          <w:sz w:val="24"/>
          <w:szCs w:val="24"/>
          <w14:ligatures w14:val="standardContextual"/>
        </w:rPr>
      </w:pPr>
      <w:r w:rsidRPr="00362D29">
        <w:rPr>
          <w:rFonts w:ascii="Traditional Arabic" w:eastAsia="Aptos" w:hAnsi="Traditional Arabic" w:cs="Traditional Arabic"/>
          <w:kern w:val="2"/>
          <w:sz w:val="24"/>
          <w:szCs w:val="24"/>
          <w:rtl/>
          <w14:ligatures w14:val="standardContextual"/>
        </w:rPr>
        <w:t>في ظل التحولات المتسارعة التي يشهدها القطاع الصحي، برزت مصطلحات محورية تهدف إلى الارتقاء بجودة الرعاية الصحية، ومن أبرز هذه المصطلحات تجربة المريض (</w:t>
      </w:r>
      <w:r w:rsidRPr="00362D29">
        <w:rPr>
          <w:rFonts w:ascii="Traditional Arabic" w:eastAsia="Aptos" w:hAnsi="Traditional Arabic" w:cs="Traditional Arabic"/>
          <w:kern w:val="2"/>
          <w:sz w:val="24"/>
          <w:szCs w:val="24"/>
          <w14:ligatures w14:val="standardContextual"/>
        </w:rPr>
        <w:t>Patient Experience</w:t>
      </w:r>
      <w:r w:rsidRPr="00362D29">
        <w:rPr>
          <w:rFonts w:ascii="Traditional Arabic" w:eastAsia="Aptos" w:hAnsi="Traditional Arabic" w:cs="Traditional Arabic"/>
          <w:kern w:val="2"/>
          <w:sz w:val="24"/>
          <w:szCs w:val="24"/>
          <w:rtl/>
          <w14:ligatures w14:val="standardContextual"/>
        </w:rPr>
        <w:t>) ومشاركة المريض (</w:t>
      </w:r>
      <w:r w:rsidRPr="00362D29">
        <w:rPr>
          <w:rFonts w:ascii="Traditional Arabic" w:eastAsia="Aptos" w:hAnsi="Traditional Arabic" w:cs="Traditional Arabic"/>
          <w:kern w:val="2"/>
          <w:sz w:val="24"/>
          <w:szCs w:val="24"/>
          <w14:ligatures w14:val="standardContextual"/>
        </w:rPr>
        <w:t>Patient Engagement</w:t>
      </w:r>
      <w:r w:rsidRPr="00362D29">
        <w:rPr>
          <w:rFonts w:ascii="Traditional Arabic" w:eastAsia="Aptos" w:hAnsi="Traditional Arabic" w:cs="Traditional Arabic"/>
          <w:kern w:val="2"/>
          <w:sz w:val="24"/>
          <w:szCs w:val="24"/>
          <w:rtl/>
          <w14:ligatures w14:val="standardContextual"/>
        </w:rPr>
        <w:t>). وبالرغم من استخدامهما المتبادل في كثير من الأحيان، إلا أن هناك تمايزاً دقيقاً وجوهرياً بينهما ينعكس على دور المريض في العملية العلاجية (الهيئة السعودية للتخصصات الصحية، 2025).</w:t>
      </w:r>
    </w:p>
    <w:p w14:paraId="0F2AEFC0" w14:textId="77777777" w:rsidR="00F84C30" w:rsidRPr="00362D29" w:rsidRDefault="009A7640"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lastRenderedPageBreak/>
        <w:t>1. مفهوم تجربة المريض (</w:t>
      </w:r>
      <w:r w:rsidRPr="00362D29">
        <w:rPr>
          <w:rFonts w:ascii="Traditional Arabic" w:eastAsia="Aptos" w:hAnsi="Traditional Arabic" w:cs="Traditional Arabic"/>
          <w:b/>
          <w:bCs/>
          <w:kern w:val="2"/>
          <w:sz w:val="24"/>
          <w:szCs w:val="24"/>
          <w14:ligatures w14:val="standardContextual"/>
        </w:rPr>
        <w:t>Patient Experience</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w:t>
      </w:r>
      <w:r w:rsidR="00F84C30" w:rsidRPr="00362D29">
        <w:rPr>
          <w:rFonts w:ascii="Traditional Arabic" w:eastAsia="Aptos" w:hAnsi="Traditional Arabic" w:cs="Traditional Arabic"/>
          <w:b/>
          <w:bCs/>
          <w:kern w:val="2"/>
          <w:sz w:val="24"/>
          <w:szCs w:val="24"/>
          <w:rtl/>
          <w14:ligatures w14:val="standardContextual"/>
        </w:rPr>
        <w:t>(</w:t>
      </w:r>
      <w:r w:rsidR="00F84C30" w:rsidRPr="00362D29">
        <w:rPr>
          <w:rFonts w:ascii="Traditional Arabic" w:eastAsia="Aptos" w:hAnsi="Traditional Arabic" w:cs="Traditional Arabic"/>
          <w:b/>
          <w:bCs/>
          <w:kern w:val="2"/>
          <w:sz w:val="24"/>
          <w:szCs w:val="24"/>
          <w14:ligatures w14:val="standardContextual"/>
        </w:rPr>
        <w:t>Health Academy, 2022</w:t>
      </w:r>
      <w:r w:rsidR="00F84C30" w:rsidRPr="00362D29">
        <w:rPr>
          <w:rFonts w:ascii="Traditional Arabic" w:eastAsia="Aptos" w:hAnsi="Traditional Arabic" w:cs="Traditional Arabic"/>
          <w:b/>
          <w:bCs/>
          <w:kern w:val="2"/>
          <w:sz w:val="24"/>
          <w:szCs w:val="24"/>
          <w:rtl/>
          <w14:ligatures w14:val="standardContextual"/>
        </w:rPr>
        <w:t>).</w:t>
      </w:r>
    </w:p>
    <w:p w14:paraId="3DF575ED" w14:textId="42C9E528" w:rsidR="009A7640" w:rsidRPr="00362D29" w:rsidRDefault="009A7640"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تُشير تجربة المريض بشكل عام إلى حدث "استقبالي" (</w:t>
      </w:r>
      <w:r w:rsidRPr="00362D29">
        <w:rPr>
          <w:rFonts w:ascii="Traditional Arabic" w:eastAsia="Aptos" w:hAnsi="Traditional Arabic" w:cs="Traditional Arabic"/>
          <w:kern w:val="2"/>
          <w:sz w:val="24"/>
          <w:szCs w:val="24"/>
          <w14:ligatures w14:val="standardContextual"/>
        </w:rPr>
        <w:t>Passive Event</w:t>
      </w:r>
      <w:r w:rsidRPr="00362D29">
        <w:rPr>
          <w:rFonts w:ascii="Traditional Arabic" w:eastAsia="Aptos" w:hAnsi="Traditional Arabic" w:cs="Traditional Arabic"/>
          <w:kern w:val="2"/>
          <w:sz w:val="24"/>
          <w:szCs w:val="24"/>
          <w:rtl/>
          <w14:ligatures w14:val="standardContextual"/>
        </w:rPr>
        <w:t xml:space="preserve">) يقع للمريض أو من حوله أثناء رحلته العلاجية. فهي تركز على جودة التفاعلات والخدمات المقدمة وكيفية إدراك المريض لها </w:t>
      </w:r>
      <w:r w:rsidR="00F84C30" w:rsidRPr="00362D29">
        <w:rPr>
          <w:rFonts w:ascii="Traditional Arabic" w:eastAsia="Aptos" w:hAnsi="Traditional Arabic" w:cs="Traditional Arabic"/>
          <w:kern w:val="2"/>
          <w:sz w:val="24"/>
          <w:szCs w:val="24"/>
          <w:rtl/>
          <w14:ligatures w14:val="standardContextual"/>
        </w:rPr>
        <w:t>(</w:t>
      </w:r>
      <w:r w:rsidR="00F84C30" w:rsidRPr="00362D29">
        <w:rPr>
          <w:rFonts w:ascii="Traditional Arabic" w:eastAsia="Aptos" w:hAnsi="Traditional Arabic" w:cs="Traditional Arabic"/>
          <w:kern w:val="2"/>
          <w:sz w:val="24"/>
          <w:szCs w:val="24"/>
          <w14:ligatures w14:val="standardContextual"/>
        </w:rPr>
        <w:t>Health Academy, 2022</w:t>
      </w:r>
      <w:r w:rsidR="00F84C30" w:rsidRPr="00362D29">
        <w:rPr>
          <w:rFonts w:ascii="Traditional Arabic" w:eastAsia="Aptos" w:hAnsi="Traditional Arabic" w:cs="Traditional Arabic"/>
          <w:kern w:val="2"/>
          <w:sz w:val="24"/>
          <w:szCs w:val="24"/>
          <w:rtl/>
          <w14:ligatures w14:val="standardContextual"/>
        </w:rPr>
        <w:t>)</w:t>
      </w:r>
      <w:r w:rsidR="00FE5328" w:rsidRPr="00362D29">
        <w:rPr>
          <w:rFonts w:ascii="Traditional Arabic" w:eastAsia="Aptos" w:hAnsi="Traditional Arabic" w:cs="Traditional Arabic"/>
          <w:kern w:val="2"/>
          <w:sz w:val="24"/>
          <w:szCs w:val="24"/>
          <w:rtl/>
          <w14:ligatures w14:val="standardContextual"/>
        </w:rPr>
        <w:t xml:space="preserve">، </w:t>
      </w:r>
      <w:r w:rsidRPr="00362D29">
        <w:rPr>
          <w:rFonts w:ascii="Traditional Arabic" w:eastAsia="Aptos" w:hAnsi="Traditional Arabic" w:cs="Traditional Arabic"/>
          <w:kern w:val="2"/>
          <w:sz w:val="24"/>
          <w:szCs w:val="24"/>
          <w:rtl/>
          <w14:ligatures w14:val="standardContextual"/>
        </w:rPr>
        <w:t>ومن أمثلة ذلك:</w:t>
      </w:r>
    </w:p>
    <w:p w14:paraId="0CB9EB61" w14:textId="77777777" w:rsidR="009A7640" w:rsidRPr="00362D29" w:rsidRDefault="009A7640" w:rsidP="00362D29">
      <w:pPr>
        <w:numPr>
          <w:ilvl w:val="0"/>
          <w:numId w:val="55"/>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مدى سهولة أو صعوبة الحصول على موعد.</w:t>
      </w:r>
    </w:p>
    <w:p w14:paraId="53879964" w14:textId="77777777" w:rsidR="009A7640" w:rsidRPr="00362D29" w:rsidRDefault="009A7640" w:rsidP="00362D29">
      <w:pPr>
        <w:numPr>
          <w:ilvl w:val="0"/>
          <w:numId w:val="55"/>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مقدار الوقت الذي يقضيه مقدم الخدمة في الاستماع للمريض.</w:t>
      </w:r>
    </w:p>
    <w:p w14:paraId="1414712A" w14:textId="77777777" w:rsidR="009A7640" w:rsidRPr="00362D29" w:rsidRDefault="009A7640" w:rsidP="00362D29">
      <w:pPr>
        <w:numPr>
          <w:ilvl w:val="0"/>
          <w:numId w:val="55"/>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الظروف البيئية في غرفة الانتظار (مثل درجة الحرارة والهدوء).</w:t>
      </w:r>
    </w:p>
    <w:p w14:paraId="6F4617F2" w14:textId="77777777" w:rsidR="009A7640" w:rsidRPr="00362D29" w:rsidRDefault="009A7640" w:rsidP="00362D29">
      <w:pPr>
        <w:numPr>
          <w:ilvl w:val="0"/>
          <w:numId w:val="55"/>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طريقة تعامل الموظفين مع المرضى الآخرين .</w:t>
      </w:r>
    </w:p>
    <w:p w14:paraId="6F1187E3" w14:textId="48608CA3" w:rsidR="009A7640" w:rsidRPr="00362D29" w:rsidRDefault="009A7640"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2. مفهوم مشاركة المريض (</w:t>
      </w:r>
      <w:r w:rsidRPr="00362D29">
        <w:rPr>
          <w:rFonts w:ascii="Traditional Arabic" w:eastAsia="Aptos" w:hAnsi="Traditional Arabic" w:cs="Traditional Arabic"/>
          <w:b/>
          <w:bCs/>
          <w:kern w:val="2"/>
          <w:sz w:val="24"/>
          <w:szCs w:val="24"/>
          <w14:ligatures w14:val="standardContextual"/>
        </w:rPr>
        <w:t>Patient Engagement</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w:t>
      </w:r>
    </w:p>
    <w:p w14:paraId="0E96FBBD" w14:textId="1B1B93C0" w:rsidR="009A7640" w:rsidRPr="00362D29" w:rsidRDefault="009A7640"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على النقيض من ذلك، تُعد مشاركة المريض حدثاً "نشطاً" (</w:t>
      </w:r>
      <w:r w:rsidRPr="00362D29">
        <w:rPr>
          <w:rFonts w:ascii="Traditional Arabic" w:eastAsia="Aptos" w:hAnsi="Traditional Arabic" w:cs="Traditional Arabic"/>
          <w:kern w:val="2"/>
          <w:sz w:val="24"/>
          <w:szCs w:val="24"/>
          <w14:ligatures w14:val="standardContextual"/>
        </w:rPr>
        <w:t>Active Participant</w:t>
      </w:r>
      <w:r w:rsidRPr="00362D29">
        <w:rPr>
          <w:rFonts w:ascii="Traditional Arabic" w:eastAsia="Aptos" w:hAnsi="Traditional Arabic" w:cs="Traditional Arabic"/>
          <w:kern w:val="2"/>
          <w:sz w:val="24"/>
          <w:szCs w:val="24"/>
          <w:rtl/>
          <w14:ligatures w14:val="standardContextual"/>
        </w:rPr>
        <w:t xml:space="preserve">) يحدث عندما يكون المريض مشاركاً فاعلاً وصانعاً للقرار في رعايته الخاصة. فالمشاركة هي خيار يتخذه المريض للانخراط في العملية الصحية </w:t>
      </w:r>
      <w:r w:rsidR="00FE5328" w:rsidRPr="00362D29">
        <w:rPr>
          <w:rFonts w:ascii="Traditional Arabic" w:eastAsia="Aptos" w:hAnsi="Traditional Arabic" w:cs="Traditional Arabic"/>
          <w:kern w:val="2"/>
          <w:sz w:val="24"/>
          <w:szCs w:val="24"/>
          <w:rtl/>
          <w14:ligatures w14:val="standardContextual"/>
        </w:rPr>
        <w:t>(</w:t>
      </w:r>
      <w:r w:rsidR="00FE5328" w:rsidRPr="00362D29">
        <w:rPr>
          <w:rFonts w:ascii="Traditional Arabic" w:eastAsia="Aptos" w:hAnsi="Traditional Arabic" w:cs="Traditional Arabic"/>
          <w:kern w:val="2"/>
          <w:sz w:val="24"/>
          <w:szCs w:val="24"/>
          <w14:ligatures w14:val="standardContextual"/>
        </w:rPr>
        <w:t>Health Academy, 2022</w:t>
      </w:r>
      <w:r w:rsidR="00FE5328" w:rsidRPr="00362D29">
        <w:rPr>
          <w:rFonts w:ascii="Traditional Arabic" w:eastAsia="Aptos" w:hAnsi="Traditional Arabic" w:cs="Traditional Arabic"/>
          <w:kern w:val="2"/>
          <w:sz w:val="24"/>
          <w:szCs w:val="24"/>
          <w:rtl/>
          <w14:ligatures w14:val="standardContextual"/>
        </w:rPr>
        <w:t xml:space="preserve">)، </w:t>
      </w:r>
      <w:r w:rsidRPr="00362D29">
        <w:rPr>
          <w:rFonts w:ascii="Traditional Arabic" w:eastAsia="Aptos" w:hAnsi="Traditional Arabic" w:cs="Traditional Arabic"/>
          <w:kern w:val="2"/>
          <w:sz w:val="24"/>
          <w:szCs w:val="24"/>
          <w:rtl/>
          <w14:ligatures w14:val="standardContextual"/>
        </w:rPr>
        <w:t>ومن أمثلة ذلك:</w:t>
      </w:r>
    </w:p>
    <w:p w14:paraId="51444745" w14:textId="77777777" w:rsidR="009A7640" w:rsidRPr="00362D29" w:rsidRDefault="009A7640" w:rsidP="00362D29">
      <w:pPr>
        <w:numPr>
          <w:ilvl w:val="0"/>
          <w:numId w:val="56"/>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مشاركة المريض وعائلته في أنشطة التثقيف الصحي والوعي الصحي.</w:t>
      </w:r>
    </w:p>
    <w:p w14:paraId="436EF217" w14:textId="77777777" w:rsidR="009A7640" w:rsidRPr="00362D29" w:rsidRDefault="009A7640" w:rsidP="00362D29">
      <w:pPr>
        <w:numPr>
          <w:ilvl w:val="0"/>
          <w:numId w:val="56"/>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وصول المريض إلى سجلاته الصحية الشخصية عبر الإنترنت واستخدامها.</w:t>
      </w:r>
    </w:p>
    <w:p w14:paraId="124A35E6" w14:textId="77777777" w:rsidR="009A7640" w:rsidRPr="00362D29" w:rsidRDefault="009A7640" w:rsidP="00362D29">
      <w:pPr>
        <w:numPr>
          <w:ilvl w:val="0"/>
          <w:numId w:val="56"/>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التزام المريض بخطط الرعاية والعلاج المقررة له.</w:t>
      </w:r>
    </w:p>
    <w:p w14:paraId="739FF359" w14:textId="07DEAE17" w:rsidR="00FE5328" w:rsidRPr="00362D29" w:rsidRDefault="009A7640" w:rsidP="00362D29">
      <w:pPr>
        <w:numPr>
          <w:ilvl w:val="0"/>
          <w:numId w:val="56"/>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مشاركة المريض في مبادرات تقديم التغذية الراجعة والملاحظات.</w:t>
      </w:r>
    </w:p>
    <w:p w14:paraId="5F754E0A" w14:textId="19FA26E7" w:rsidR="009A7640" w:rsidRPr="00362D29" w:rsidRDefault="005C421A"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3</w:t>
      </w:r>
      <w:r w:rsidR="009A7640" w:rsidRPr="00362D29">
        <w:rPr>
          <w:rFonts w:ascii="Traditional Arabic" w:eastAsia="Aptos" w:hAnsi="Traditional Arabic" w:cs="Traditional Arabic"/>
          <w:b/>
          <w:bCs/>
          <w:kern w:val="2"/>
          <w:sz w:val="24"/>
          <w:szCs w:val="24"/>
          <w:rtl/>
          <w14:ligatures w14:val="standardContextual"/>
        </w:rPr>
        <w:t xml:space="preserve">. أوجه الاختلاف والتشابه </w:t>
      </w:r>
      <w:r w:rsidR="009C7175">
        <w:rPr>
          <w:rFonts w:ascii="Traditional Arabic" w:eastAsia="Aptos" w:hAnsi="Traditional Arabic" w:cs="Traditional Arabic" w:hint="cs"/>
          <w:b/>
          <w:bCs/>
          <w:kern w:val="2"/>
          <w:sz w:val="24"/>
          <w:szCs w:val="24"/>
          <w:rtl/>
          <w14:ligatures w14:val="standardContextual"/>
        </w:rPr>
        <w:t xml:space="preserve">بين مفهوم </w:t>
      </w:r>
      <w:r w:rsidR="008A6F36">
        <w:rPr>
          <w:rFonts w:ascii="Traditional Arabic" w:eastAsia="Aptos" w:hAnsi="Traditional Arabic" w:cs="Traditional Arabic" w:hint="cs"/>
          <w:b/>
          <w:bCs/>
          <w:kern w:val="2"/>
          <w:sz w:val="24"/>
          <w:szCs w:val="24"/>
          <w:rtl/>
          <w14:ligatures w14:val="standardContextual"/>
        </w:rPr>
        <w:t>تجربة المريض ومشاركة المريض</w:t>
      </w:r>
    </w:p>
    <w:p w14:paraId="323FCDAB" w14:textId="77777777" w:rsidR="009A7640" w:rsidRPr="00362D29" w:rsidRDefault="009A7640"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يمكن تلخيص الفروقات الجوهرية بين تجربة المريض ومشاركة المريض بناءً على ما ورد في منهج برنامج تجربة المريض (2025) على النحو التالي:</w:t>
      </w:r>
    </w:p>
    <w:tbl>
      <w:tblPr>
        <w:tblStyle w:val="10"/>
        <w:bidiVisual/>
        <w:tblW w:w="0" w:type="auto"/>
        <w:tblLook w:val="04A0" w:firstRow="1" w:lastRow="0" w:firstColumn="1" w:lastColumn="0" w:noHBand="0" w:noVBand="1"/>
      </w:tblPr>
      <w:tblGrid>
        <w:gridCol w:w="1211"/>
        <w:gridCol w:w="3544"/>
        <w:gridCol w:w="3541"/>
      </w:tblGrid>
      <w:tr w:rsidR="00CF70A2" w:rsidRPr="00362D29" w14:paraId="38BF4930" w14:textId="77777777" w:rsidTr="00CF70A2">
        <w:tc>
          <w:tcPr>
            <w:tcW w:w="1211" w:type="dxa"/>
            <w:shd w:val="clear" w:color="auto" w:fill="F2F2F2" w:themeFill="background1" w:themeFillShade="F2"/>
            <w:vAlign w:val="center"/>
          </w:tcPr>
          <w:p w14:paraId="54C1F282" w14:textId="24CF5ECB" w:rsidR="00CF70A2" w:rsidRPr="00362D29" w:rsidRDefault="00CF70A2" w:rsidP="00362D29">
            <w:pPr>
              <w:bidi/>
              <w:spacing w:line="360" w:lineRule="auto"/>
              <w:jc w:val="center"/>
              <w:rPr>
                <w:rFonts w:ascii="Traditional Arabic" w:eastAsia="Aptos" w:hAnsi="Traditional Arabic" w:cs="Traditional Arabic"/>
                <w:b/>
                <w:bCs/>
                <w:sz w:val="24"/>
                <w:szCs w:val="24"/>
                <w:rtl/>
              </w:rPr>
            </w:pPr>
            <w:r w:rsidRPr="00362D29">
              <w:rPr>
                <w:rFonts w:ascii="Traditional Arabic" w:eastAsia="Aptos" w:hAnsi="Traditional Arabic" w:cs="Traditional Arabic"/>
                <w:b/>
                <w:bCs/>
                <w:sz w:val="24"/>
                <w:szCs w:val="24"/>
                <w:rtl/>
              </w:rPr>
              <w:t>نقاط المقارنة</w:t>
            </w:r>
          </w:p>
        </w:tc>
        <w:tc>
          <w:tcPr>
            <w:tcW w:w="3544" w:type="dxa"/>
            <w:shd w:val="clear" w:color="auto" w:fill="F2F2F2" w:themeFill="background1" w:themeFillShade="F2"/>
          </w:tcPr>
          <w:p w14:paraId="2F8159D1" w14:textId="42745CAD" w:rsidR="00CF70A2" w:rsidRPr="00362D29" w:rsidRDefault="00CF70A2" w:rsidP="00362D29">
            <w:pPr>
              <w:bidi/>
              <w:spacing w:line="360" w:lineRule="auto"/>
              <w:jc w:val="center"/>
              <w:rPr>
                <w:rFonts w:ascii="Traditional Arabic" w:eastAsia="Aptos" w:hAnsi="Traditional Arabic" w:cs="Traditional Arabic"/>
                <w:b/>
                <w:bCs/>
                <w:sz w:val="24"/>
                <w:szCs w:val="24"/>
                <w:rtl/>
              </w:rPr>
            </w:pPr>
            <w:r w:rsidRPr="00362D29">
              <w:rPr>
                <w:rFonts w:ascii="Traditional Arabic" w:eastAsia="Aptos" w:hAnsi="Traditional Arabic" w:cs="Traditional Arabic"/>
                <w:b/>
                <w:bCs/>
                <w:sz w:val="24"/>
                <w:szCs w:val="24"/>
                <w:rtl/>
              </w:rPr>
              <w:t>تجربة المريض (</w:t>
            </w:r>
            <w:r w:rsidRPr="00362D29">
              <w:rPr>
                <w:rFonts w:ascii="Traditional Arabic" w:eastAsia="Aptos" w:hAnsi="Traditional Arabic" w:cs="Traditional Arabic"/>
                <w:b/>
                <w:bCs/>
                <w:sz w:val="24"/>
                <w:szCs w:val="24"/>
              </w:rPr>
              <w:t>Patient Experience</w:t>
            </w:r>
            <w:r w:rsidRPr="00362D29">
              <w:rPr>
                <w:rFonts w:ascii="Traditional Arabic" w:eastAsia="Aptos" w:hAnsi="Traditional Arabic" w:cs="Traditional Arabic"/>
                <w:b/>
                <w:bCs/>
                <w:sz w:val="24"/>
                <w:szCs w:val="24"/>
                <w:rtl/>
              </w:rPr>
              <w:t>)</w:t>
            </w:r>
          </w:p>
        </w:tc>
        <w:tc>
          <w:tcPr>
            <w:tcW w:w="3541" w:type="dxa"/>
            <w:shd w:val="clear" w:color="auto" w:fill="F2F2F2" w:themeFill="background1" w:themeFillShade="F2"/>
          </w:tcPr>
          <w:p w14:paraId="105F72AE" w14:textId="31E2A8B0" w:rsidR="00CF70A2" w:rsidRPr="00362D29" w:rsidRDefault="00CF70A2" w:rsidP="00362D29">
            <w:pPr>
              <w:bidi/>
              <w:spacing w:line="360" w:lineRule="auto"/>
              <w:jc w:val="center"/>
              <w:rPr>
                <w:rFonts w:ascii="Traditional Arabic" w:eastAsia="Aptos" w:hAnsi="Traditional Arabic" w:cs="Traditional Arabic"/>
                <w:b/>
                <w:bCs/>
                <w:sz w:val="24"/>
                <w:szCs w:val="24"/>
                <w:rtl/>
              </w:rPr>
            </w:pPr>
            <w:r w:rsidRPr="00362D29">
              <w:rPr>
                <w:rFonts w:ascii="Traditional Arabic" w:eastAsia="Aptos" w:hAnsi="Traditional Arabic" w:cs="Traditional Arabic"/>
                <w:b/>
                <w:bCs/>
                <w:sz w:val="24"/>
                <w:szCs w:val="24"/>
                <w:rtl/>
              </w:rPr>
              <w:t>مشاركة المريض (</w:t>
            </w:r>
            <w:r w:rsidRPr="00362D29">
              <w:rPr>
                <w:rFonts w:ascii="Traditional Arabic" w:eastAsia="Aptos" w:hAnsi="Traditional Arabic" w:cs="Traditional Arabic"/>
                <w:b/>
                <w:bCs/>
                <w:sz w:val="24"/>
                <w:szCs w:val="24"/>
              </w:rPr>
              <w:t xml:space="preserve">Patient </w:t>
            </w:r>
            <w:r w:rsidR="00846BAC" w:rsidRPr="00362D29">
              <w:rPr>
                <w:rFonts w:ascii="Traditional Arabic" w:eastAsia="Aptos" w:hAnsi="Traditional Arabic" w:cs="Traditional Arabic"/>
                <w:b/>
                <w:bCs/>
                <w:sz w:val="24"/>
                <w:szCs w:val="24"/>
              </w:rPr>
              <w:t>Engagement</w:t>
            </w:r>
            <w:r w:rsidRPr="00362D29">
              <w:rPr>
                <w:rFonts w:ascii="Traditional Arabic" w:eastAsia="Aptos" w:hAnsi="Traditional Arabic" w:cs="Traditional Arabic"/>
                <w:b/>
                <w:bCs/>
                <w:sz w:val="24"/>
                <w:szCs w:val="24"/>
                <w:rtl/>
              </w:rPr>
              <w:t>)</w:t>
            </w:r>
          </w:p>
        </w:tc>
      </w:tr>
      <w:tr w:rsidR="009A7640" w:rsidRPr="00362D29" w14:paraId="4674F80C" w14:textId="77777777" w:rsidTr="00FE5328">
        <w:tc>
          <w:tcPr>
            <w:tcW w:w="1211" w:type="dxa"/>
            <w:shd w:val="clear" w:color="auto" w:fill="F2F2F2" w:themeFill="background1" w:themeFillShade="F2"/>
          </w:tcPr>
          <w:p w14:paraId="1D679752" w14:textId="63EDADB3" w:rsidR="009A7640" w:rsidRPr="00362D29" w:rsidRDefault="00257212" w:rsidP="00362D29">
            <w:pPr>
              <w:bidi/>
              <w:spacing w:line="360" w:lineRule="auto"/>
              <w:jc w:val="center"/>
              <w:rPr>
                <w:rFonts w:ascii="Traditional Arabic" w:eastAsia="Aptos" w:hAnsi="Traditional Arabic" w:cs="Traditional Arabic"/>
                <w:b/>
                <w:bCs/>
                <w:sz w:val="24"/>
                <w:szCs w:val="24"/>
                <w:rtl/>
              </w:rPr>
            </w:pPr>
            <w:r w:rsidRPr="00362D29">
              <w:rPr>
                <w:rFonts w:ascii="Traditional Arabic" w:eastAsia="Aptos" w:hAnsi="Traditional Arabic" w:cs="Traditional Arabic"/>
                <w:b/>
                <w:bCs/>
                <w:sz w:val="24"/>
                <w:szCs w:val="24"/>
                <w:rtl/>
              </w:rPr>
              <w:t>المفهوم</w:t>
            </w:r>
          </w:p>
        </w:tc>
        <w:tc>
          <w:tcPr>
            <w:tcW w:w="3544" w:type="dxa"/>
          </w:tcPr>
          <w:p w14:paraId="2A24F94F" w14:textId="5FDE3315" w:rsidR="009A7640" w:rsidRPr="00362D29" w:rsidRDefault="00C2445D" w:rsidP="00362D29">
            <w:pPr>
              <w:bidi/>
              <w:spacing w:line="360" w:lineRule="auto"/>
              <w:jc w:val="both"/>
              <w:rPr>
                <w:rFonts w:ascii="Traditional Arabic" w:eastAsia="Aptos" w:hAnsi="Traditional Arabic" w:cs="Traditional Arabic"/>
                <w:sz w:val="24"/>
                <w:szCs w:val="24"/>
                <w:rtl/>
              </w:rPr>
            </w:pPr>
            <w:r w:rsidRPr="00362D29">
              <w:rPr>
                <w:rFonts w:ascii="Traditional Arabic" w:eastAsia="Aptos" w:hAnsi="Traditional Arabic" w:cs="Traditional Arabic"/>
                <w:sz w:val="24"/>
                <w:szCs w:val="24"/>
                <w:rtl/>
              </w:rPr>
              <w:t>تصف ما حدث للمريض اثناء تلقي الخدمة</w:t>
            </w:r>
          </w:p>
        </w:tc>
        <w:tc>
          <w:tcPr>
            <w:tcW w:w="3541" w:type="dxa"/>
          </w:tcPr>
          <w:p w14:paraId="677D2157" w14:textId="1F3F4DE5" w:rsidR="009A7640" w:rsidRPr="00362D29" w:rsidRDefault="00C2445D" w:rsidP="00362D29">
            <w:pPr>
              <w:bidi/>
              <w:spacing w:line="360" w:lineRule="auto"/>
              <w:jc w:val="both"/>
              <w:rPr>
                <w:rFonts w:ascii="Traditional Arabic" w:eastAsia="Aptos" w:hAnsi="Traditional Arabic" w:cs="Traditional Arabic"/>
                <w:sz w:val="24"/>
                <w:szCs w:val="24"/>
                <w:rtl/>
              </w:rPr>
            </w:pPr>
            <w:r w:rsidRPr="00362D29">
              <w:rPr>
                <w:rFonts w:ascii="Traditional Arabic" w:eastAsia="Aptos" w:hAnsi="Traditional Arabic" w:cs="Traditional Arabic"/>
                <w:sz w:val="24"/>
                <w:szCs w:val="24"/>
                <w:rtl/>
              </w:rPr>
              <w:t xml:space="preserve">تُعبر عن </w:t>
            </w:r>
            <w:r w:rsidR="004B42AE" w:rsidRPr="00362D29">
              <w:rPr>
                <w:rFonts w:ascii="Traditional Arabic" w:eastAsia="Aptos" w:hAnsi="Traditional Arabic" w:cs="Traditional Arabic"/>
                <w:sz w:val="24"/>
                <w:szCs w:val="24"/>
                <w:rtl/>
              </w:rPr>
              <w:t>خيار المريض</w:t>
            </w:r>
            <w:r w:rsidRPr="00362D29">
              <w:rPr>
                <w:rFonts w:ascii="Traditional Arabic" w:eastAsia="Aptos" w:hAnsi="Traditional Arabic" w:cs="Traditional Arabic"/>
                <w:sz w:val="24"/>
                <w:szCs w:val="24"/>
                <w:rtl/>
              </w:rPr>
              <w:t xml:space="preserve"> </w:t>
            </w:r>
            <w:r w:rsidR="004B42AE" w:rsidRPr="00362D29">
              <w:rPr>
                <w:rFonts w:ascii="Traditional Arabic" w:eastAsia="Aptos" w:hAnsi="Traditional Arabic" w:cs="Traditional Arabic"/>
                <w:sz w:val="24"/>
                <w:szCs w:val="24"/>
                <w:rtl/>
              </w:rPr>
              <w:t>في المشاركة والالتزام</w:t>
            </w:r>
          </w:p>
        </w:tc>
      </w:tr>
      <w:tr w:rsidR="009A7640" w:rsidRPr="00362D29" w14:paraId="4B366B00" w14:textId="77777777" w:rsidTr="00FE5328">
        <w:tc>
          <w:tcPr>
            <w:tcW w:w="1211" w:type="dxa"/>
            <w:shd w:val="clear" w:color="auto" w:fill="F2F2F2" w:themeFill="background1" w:themeFillShade="F2"/>
          </w:tcPr>
          <w:p w14:paraId="105CBE5A" w14:textId="5DD29EB7" w:rsidR="009A7640" w:rsidRPr="00362D29" w:rsidRDefault="00AD0FD4" w:rsidP="00362D29">
            <w:pPr>
              <w:bidi/>
              <w:spacing w:line="360" w:lineRule="auto"/>
              <w:jc w:val="center"/>
              <w:rPr>
                <w:rFonts w:ascii="Traditional Arabic" w:eastAsia="Aptos" w:hAnsi="Traditional Arabic" w:cs="Traditional Arabic"/>
                <w:b/>
                <w:bCs/>
                <w:sz w:val="24"/>
                <w:szCs w:val="24"/>
                <w:rtl/>
              </w:rPr>
            </w:pPr>
            <w:r w:rsidRPr="00362D29">
              <w:rPr>
                <w:rFonts w:ascii="Traditional Arabic" w:eastAsia="Aptos" w:hAnsi="Traditional Arabic" w:cs="Traditional Arabic"/>
                <w:b/>
                <w:bCs/>
                <w:sz w:val="24"/>
                <w:szCs w:val="24"/>
                <w:rtl/>
              </w:rPr>
              <w:t>دور المريض</w:t>
            </w:r>
          </w:p>
        </w:tc>
        <w:tc>
          <w:tcPr>
            <w:tcW w:w="3544" w:type="dxa"/>
          </w:tcPr>
          <w:p w14:paraId="50FF3BF1" w14:textId="2657DC13" w:rsidR="009A7640" w:rsidRPr="00362D29" w:rsidRDefault="00AD0FD4" w:rsidP="00362D29">
            <w:pPr>
              <w:bidi/>
              <w:spacing w:line="360" w:lineRule="auto"/>
              <w:jc w:val="both"/>
              <w:rPr>
                <w:rFonts w:ascii="Traditional Arabic" w:eastAsia="Aptos" w:hAnsi="Traditional Arabic" w:cs="Traditional Arabic"/>
                <w:sz w:val="24"/>
                <w:szCs w:val="24"/>
                <w:rtl/>
              </w:rPr>
            </w:pPr>
            <w:r w:rsidRPr="00362D29">
              <w:rPr>
                <w:rFonts w:ascii="Traditional Arabic" w:eastAsia="Aptos" w:hAnsi="Traditional Arabic" w:cs="Traditional Arabic"/>
                <w:sz w:val="24"/>
                <w:szCs w:val="24"/>
                <w:rtl/>
              </w:rPr>
              <w:t>دور استقبالي (</w:t>
            </w:r>
            <w:r w:rsidRPr="00362D29">
              <w:rPr>
                <w:rFonts w:ascii="Traditional Arabic" w:eastAsia="Aptos" w:hAnsi="Traditional Arabic" w:cs="Traditional Arabic"/>
                <w:sz w:val="24"/>
                <w:szCs w:val="24"/>
              </w:rPr>
              <w:t>Passive</w:t>
            </w:r>
            <w:r w:rsidRPr="00362D29">
              <w:rPr>
                <w:rFonts w:ascii="Traditional Arabic" w:eastAsia="Aptos" w:hAnsi="Traditional Arabic" w:cs="Traditional Arabic"/>
                <w:sz w:val="24"/>
                <w:szCs w:val="24"/>
                <w:rtl/>
              </w:rPr>
              <w:t xml:space="preserve">) </w:t>
            </w:r>
            <w:r w:rsidR="00F249B9" w:rsidRPr="00362D29">
              <w:rPr>
                <w:rFonts w:ascii="Traditional Arabic" w:eastAsia="Aptos" w:hAnsi="Traditional Arabic" w:cs="Traditional Arabic"/>
                <w:sz w:val="24"/>
                <w:szCs w:val="24"/>
                <w:rtl/>
              </w:rPr>
              <w:t>متلقي للخدمة</w:t>
            </w:r>
          </w:p>
        </w:tc>
        <w:tc>
          <w:tcPr>
            <w:tcW w:w="3541" w:type="dxa"/>
          </w:tcPr>
          <w:p w14:paraId="6AAB5DB2" w14:textId="5B3B8FD3" w:rsidR="009A7640" w:rsidRPr="00362D29" w:rsidRDefault="00F249B9" w:rsidP="00362D29">
            <w:pPr>
              <w:bidi/>
              <w:spacing w:line="360" w:lineRule="auto"/>
              <w:jc w:val="both"/>
              <w:rPr>
                <w:rFonts w:ascii="Traditional Arabic" w:eastAsia="Aptos" w:hAnsi="Traditional Arabic" w:cs="Traditional Arabic"/>
                <w:sz w:val="24"/>
                <w:szCs w:val="24"/>
                <w:rtl/>
              </w:rPr>
            </w:pPr>
            <w:r w:rsidRPr="00362D29">
              <w:rPr>
                <w:rFonts w:ascii="Traditional Arabic" w:eastAsia="Aptos" w:hAnsi="Traditional Arabic" w:cs="Traditional Arabic"/>
                <w:sz w:val="24"/>
                <w:szCs w:val="24"/>
                <w:rtl/>
              </w:rPr>
              <w:t>دور نشط (</w:t>
            </w:r>
            <w:r w:rsidRPr="00362D29">
              <w:rPr>
                <w:rFonts w:ascii="Traditional Arabic" w:eastAsia="Aptos" w:hAnsi="Traditional Arabic" w:cs="Traditional Arabic"/>
                <w:sz w:val="24"/>
                <w:szCs w:val="24"/>
              </w:rPr>
              <w:t>Active</w:t>
            </w:r>
            <w:r w:rsidRPr="00362D29">
              <w:rPr>
                <w:rFonts w:ascii="Traditional Arabic" w:eastAsia="Aptos" w:hAnsi="Traditional Arabic" w:cs="Traditional Arabic"/>
                <w:sz w:val="24"/>
                <w:szCs w:val="24"/>
                <w:rtl/>
              </w:rPr>
              <w:t xml:space="preserve">) فعال </w:t>
            </w:r>
            <w:r w:rsidR="00DD2694" w:rsidRPr="00362D29">
              <w:rPr>
                <w:rFonts w:ascii="Traditional Arabic" w:eastAsia="Aptos" w:hAnsi="Traditional Arabic" w:cs="Traditional Arabic"/>
                <w:sz w:val="24"/>
                <w:szCs w:val="24"/>
                <w:rtl/>
              </w:rPr>
              <w:t xml:space="preserve">كشريك وصانع قرار </w:t>
            </w:r>
          </w:p>
        </w:tc>
      </w:tr>
      <w:tr w:rsidR="009A7640" w:rsidRPr="00362D29" w14:paraId="2ADCF571" w14:textId="77777777" w:rsidTr="00FE5328">
        <w:tc>
          <w:tcPr>
            <w:tcW w:w="1211" w:type="dxa"/>
            <w:shd w:val="clear" w:color="auto" w:fill="F2F2F2" w:themeFill="background1" w:themeFillShade="F2"/>
          </w:tcPr>
          <w:p w14:paraId="01B3CA14" w14:textId="3A2F322A" w:rsidR="009A7640" w:rsidRPr="00362D29" w:rsidRDefault="00944C06" w:rsidP="00362D29">
            <w:pPr>
              <w:bidi/>
              <w:spacing w:line="360" w:lineRule="auto"/>
              <w:jc w:val="center"/>
              <w:rPr>
                <w:rFonts w:ascii="Traditional Arabic" w:eastAsia="Aptos" w:hAnsi="Traditional Arabic" w:cs="Traditional Arabic"/>
                <w:b/>
                <w:bCs/>
                <w:sz w:val="24"/>
                <w:szCs w:val="24"/>
                <w:rtl/>
              </w:rPr>
            </w:pPr>
            <w:r w:rsidRPr="00362D29">
              <w:rPr>
                <w:rFonts w:ascii="Traditional Arabic" w:eastAsia="Aptos" w:hAnsi="Traditional Arabic" w:cs="Traditional Arabic"/>
                <w:b/>
                <w:bCs/>
                <w:sz w:val="24"/>
                <w:szCs w:val="24"/>
                <w:rtl/>
              </w:rPr>
              <w:t>التركيز</w:t>
            </w:r>
          </w:p>
        </w:tc>
        <w:tc>
          <w:tcPr>
            <w:tcW w:w="3544" w:type="dxa"/>
          </w:tcPr>
          <w:p w14:paraId="695C0408" w14:textId="7F52E013" w:rsidR="009A7640" w:rsidRPr="00362D29" w:rsidRDefault="00502F2C" w:rsidP="00362D29">
            <w:pPr>
              <w:bidi/>
              <w:spacing w:line="360" w:lineRule="auto"/>
              <w:jc w:val="both"/>
              <w:rPr>
                <w:rFonts w:ascii="Traditional Arabic" w:eastAsia="Aptos" w:hAnsi="Traditional Arabic" w:cs="Traditional Arabic"/>
                <w:sz w:val="24"/>
                <w:szCs w:val="24"/>
                <w:rtl/>
              </w:rPr>
            </w:pPr>
            <w:r w:rsidRPr="00362D29">
              <w:rPr>
                <w:rFonts w:ascii="Traditional Arabic" w:eastAsia="Aptos" w:hAnsi="Traditional Arabic" w:cs="Traditional Arabic"/>
                <w:sz w:val="24"/>
                <w:szCs w:val="24"/>
                <w:rtl/>
              </w:rPr>
              <w:t xml:space="preserve"> التركيز </w:t>
            </w:r>
            <w:r w:rsidR="007537FA" w:rsidRPr="00362D29">
              <w:rPr>
                <w:rFonts w:ascii="Traditional Arabic" w:eastAsia="Aptos" w:hAnsi="Traditional Arabic" w:cs="Traditional Arabic"/>
                <w:sz w:val="24"/>
                <w:szCs w:val="24"/>
                <w:rtl/>
              </w:rPr>
              <w:t>على نقاط الاتصال بين المريض والخدمة الصحية</w:t>
            </w:r>
            <w:r w:rsidR="00852AAD" w:rsidRPr="00362D29">
              <w:rPr>
                <w:rFonts w:ascii="Traditional Arabic" w:eastAsia="Aptos" w:hAnsi="Traditional Arabic" w:cs="Traditional Arabic"/>
                <w:sz w:val="24"/>
                <w:szCs w:val="24"/>
                <w:rtl/>
              </w:rPr>
              <w:t xml:space="preserve"> وجودة ال</w:t>
            </w:r>
            <w:r w:rsidR="005657DD" w:rsidRPr="00362D29">
              <w:rPr>
                <w:rFonts w:ascii="Traditional Arabic" w:eastAsia="Aptos" w:hAnsi="Traditional Arabic" w:cs="Traditional Arabic"/>
                <w:sz w:val="24"/>
                <w:szCs w:val="24"/>
                <w:rtl/>
              </w:rPr>
              <w:t>بيئة المحيطة</w:t>
            </w:r>
          </w:p>
        </w:tc>
        <w:tc>
          <w:tcPr>
            <w:tcW w:w="3541" w:type="dxa"/>
          </w:tcPr>
          <w:p w14:paraId="0A138B8A" w14:textId="7DF49027" w:rsidR="009A7640" w:rsidRPr="00362D29" w:rsidRDefault="001A7EAD" w:rsidP="00362D29">
            <w:pPr>
              <w:bidi/>
              <w:spacing w:line="360" w:lineRule="auto"/>
              <w:jc w:val="both"/>
              <w:rPr>
                <w:rFonts w:ascii="Traditional Arabic" w:eastAsia="Aptos" w:hAnsi="Traditional Arabic" w:cs="Traditional Arabic"/>
                <w:sz w:val="24"/>
                <w:szCs w:val="24"/>
                <w:rtl/>
              </w:rPr>
            </w:pPr>
            <w:r w:rsidRPr="00362D29">
              <w:rPr>
                <w:rFonts w:ascii="Traditional Arabic" w:eastAsia="Aptos" w:hAnsi="Traditional Arabic" w:cs="Traditional Arabic"/>
                <w:sz w:val="24"/>
                <w:szCs w:val="24"/>
                <w:rtl/>
              </w:rPr>
              <w:t xml:space="preserve">التركيز على الاستمرارية والالتزام </w:t>
            </w:r>
            <w:r w:rsidR="0024739F" w:rsidRPr="00362D29">
              <w:rPr>
                <w:rFonts w:ascii="Traditional Arabic" w:eastAsia="Aptos" w:hAnsi="Traditional Arabic" w:cs="Traditional Arabic"/>
                <w:sz w:val="24"/>
                <w:szCs w:val="24"/>
                <w:rtl/>
              </w:rPr>
              <w:t>وسلوك المريض ومساهمته في الرعاية</w:t>
            </w:r>
          </w:p>
        </w:tc>
      </w:tr>
      <w:tr w:rsidR="009A7640" w:rsidRPr="00362D29" w14:paraId="31333296" w14:textId="77777777" w:rsidTr="00FE5328">
        <w:tc>
          <w:tcPr>
            <w:tcW w:w="1211" w:type="dxa"/>
            <w:shd w:val="clear" w:color="auto" w:fill="F2F2F2" w:themeFill="background1" w:themeFillShade="F2"/>
          </w:tcPr>
          <w:p w14:paraId="79C0AE63" w14:textId="7FF96AE5" w:rsidR="009A7640" w:rsidRPr="00362D29" w:rsidRDefault="00475468" w:rsidP="00362D29">
            <w:pPr>
              <w:bidi/>
              <w:spacing w:line="360" w:lineRule="auto"/>
              <w:jc w:val="center"/>
              <w:rPr>
                <w:rFonts w:ascii="Traditional Arabic" w:eastAsia="Aptos" w:hAnsi="Traditional Arabic" w:cs="Traditional Arabic"/>
                <w:b/>
                <w:bCs/>
                <w:sz w:val="24"/>
                <w:szCs w:val="24"/>
                <w:rtl/>
              </w:rPr>
            </w:pPr>
            <w:r w:rsidRPr="00362D29">
              <w:rPr>
                <w:rFonts w:ascii="Traditional Arabic" w:eastAsia="Aptos" w:hAnsi="Traditional Arabic" w:cs="Traditional Arabic"/>
                <w:b/>
                <w:bCs/>
                <w:sz w:val="24"/>
                <w:szCs w:val="24"/>
                <w:rtl/>
              </w:rPr>
              <w:lastRenderedPageBreak/>
              <w:t>الهدف</w:t>
            </w:r>
          </w:p>
        </w:tc>
        <w:tc>
          <w:tcPr>
            <w:tcW w:w="3544" w:type="dxa"/>
          </w:tcPr>
          <w:p w14:paraId="6FEF10F6" w14:textId="53188FC1" w:rsidR="009A7640" w:rsidRPr="00362D29" w:rsidRDefault="00475468" w:rsidP="00362D29">
            <w:pPr>
              <w:bidi/>
              <w:spacing w:line="360" w:lineRule="auto"/>
              <w:jc w:val="both"/>
              <w:rPr>
                <w:rFonts w:ascii="Traditional Arabic" w:eastAsia="Aptos" w:hAnsi="Traditional Arabic" w:cs="Traditional Arabic"/>
                <w:sz w:val="24"/>
                <w:szCs w:val="24"/>
                <w:rtl/>
              </w:rPr>
            </w:pPr>
            <w:r w:rsidRPr="00362D29">
              <w:rPr>
                <w:rFonts w:ascii="Traditional Arabic" w:eastAsia="Aptos" w:hAnsi="Traditional Arabic" w:cs="Traditional Arabic"/>
                <w:sz w:val="24"/>
                <w:szCs w:val="24"/>
                <w:rtl/>
              </w:rPr>
              <w:t xml:space="preserve">تحسين جودة </w:t>
            </w:r>
            <w:r w:rsidR="00530C0D" w:rsidRPr="00362D29">
              <w:rPr>
                <w:rFonts w:ascii="Traditional Arabic" w:eastAsia="Aptos" w:hAnsi="Traditional Arabic" w:cs="Traditional Arabic"/>
                <w:sz w:val="24"/>
                <w:szCs w:val="24"/>
                <w:rtl/>
              </w:rPr>
              <w:t xml:space="preserve">الخدمات </w:t>
            </w:r>
            <w:r w:rsidR="00905DA8" w:rsidRPr="00362D29">
              <w:rPr>
                <w:rFonts w:ascii="Traditional Arabic" w:eastAsia="Aptos" w:hAnsi="Traditional Arabic" w:cs="Traditional Arabic"/>
                <w:sz w:val="24"/>
                <w:szCs w:val="24"/>
                <w:rtl/>
              </w:rPr>
              <w:t xml:space="preserve">والنتائج </w:t>
            </w:r>
            <w:r w:rsidR="00530C0D" w:rsidRPr="00362D29">
              <w:rPr>
                <w:rFonts w:ascii="Traditional Arabic" w:eastAsia="Aptos" w:hAnsi="Traditional Arabic" w:cs="Traditional Arabic"/>
                <w:sz w:val="24"/>
                <w:szCs w:val="24"/>
                <w:rtl/>
              </w:rPr>
              <w:t>الصحية من خلال تجاوز التوقعات وتقليل معاناة المريض</w:t>
            </w:r>
          </w:p>
        </w:tc>
        <w:tc>
          <w:tcPr>
            <w:tcW w:w="3541" w:type="dxa"/>
          </w:tcPr>
          <w:p w14:paraId="416A9717" w14:textId="3AD5B7B9" w:rsidR="009A7640" w:rsidRPr="00362D29" w:rsidRDefault="00905DA8" w:rsidP="00362D29">
            <w:pPr>
              <w:bidi/>
              <w:spacing w:line="360" w:lineRule="auto"/>
              <w:jc w:val="both"/>
              <w:rPr>
                <w:rFonts w:ascii="Traditional Arabic" w:eastAsia="Aptos" w:hAnsi="Traditional Arabic" w:cs="Traditional Arabic"/>
                <w:sz w:val="24"/>
                <w:szCs w:val="24"/>
                <w:rtl/>
              </w:rPr>
            </w:pPr>
            <w:r w:rsidRPr="00362D29">
              <w:rPr>
                <w:rFonts w:ascii="Traditional Arabic" w:eastAsia="Aptos" w:hAnsi="Traditional Arabic" w:cs="Traditional Arabic"/>
                <w:sz w:val="24"/>
                <w:szCs w:val="24"/>
                <w:rtl/>
              </w:rPr>
              <w:t xml:space="preserve">تحسين جودة الخدمات والنتائج الصحية من خلال تمكين المرضى وذويهم </w:t>
            </w:r>
            <w:r w:rsidR="001F3A11" w:rsidRPr="00362D29">
              <w:rPr>
                <w:rFonts w:ascii="Traditional Arabic" w:eastAsia="Aptos" w:hAnsi="Traditional Arabic" w:cs="Traditional Arabic"/>
                <w:sz w:val="24"/>
                <w:szCs w:val="24"/>
                <w:rtl/>
              </w:rPr>
              <w:t>ليكونوا فاعلين وخفض التكاليف.</w:t>
            </w:r>
          </w:p>
        </w:tc>
      </w:tr>
      <w:tr w:rsidR="009A7640" w:rsidRPr="00362D29" w14:paraId="7E9C4C9A" w14:textId="77777777" w:rsidTr="00FE5328">
        <w:tc>
          <w:tcPr>
            <w:tcW w:w="1211" w:type="dxa"/>
            <w:shd w:val="clear" w:color="auto" w:fill="F2F2F2" w:themeFill="background1" w:themeFillShade="F2"/>
          </w:tcPr>
          <w:p w14:paraId="1428672E" w14:textId="302D8D6F" w:rsidR="009A7640" w:rsidRPr="00362D29" w:rsidRDefault="006C59D0" w:rsidP="00362D29">
            <w:pPr>
              <w:bidi/>
              <w:spacing w:line="360" w:lineRule="auto"/>
              <w:jc w:val="center"/>
              <w:rPr>
                <w:rFonts w:ascii="Traditional Arabic" w:eastAsia="Aptos" w:hAnsi="Traditional Arabic" w:cs="Traditional Arabic"/>
                <w:b/>
                <w:bCs/>
                <w:sz w:val="24"/>
                <w:szCs w:val="24"/>
                <w:rtl/>
              </w:rPr>
            </w:pPr>
            <w:r w:rsidRPr="00362D29">
              <w:rPr>
                <w:rFonts w:ascii="Traditional Arabic" w:eastAsia="Aptos" w:hAnsi="Traditional Arabic" w:cs="Traditional Arabic"/>
                <w:b/>
                <w:bCs/>
                <w:sz w:val="24"/>
                <w:szCs w:val="24"/>
                <w:rtl/>
              </w:rPr>
              <w:t>التأثير</w:t>
            </w:r>
          </w:p>
        </w:tc>
        <w:tc>
          <w:tcPr>
            <w:tcW w:w="3544" w:type="dxa"/>
          </w:tcPr>
          <w:p w14:paraId="6D0B1C83" w14:textId="3AB27DAD" w:rsidR="009A7640" w:rsidRPr="00362D29" w:rsidRDefault="006C59D0" w:rsidP="00362D29">
            <w:pPr>
              <w:bidi/>
              <w:spacing w:line="360" w:lineRule="auto"/>
              <w:jc w:val="both"/>
              <w:rPr>
                <w:rFonts w:ascii="Traditional Arabic" w:eastAsia="Aptos" w:hAnsi="Traditional Arabic" w:cs="Traditional Arabic"/>
                <w:sz w:val="24"/>
                <w:szCs w:val="24"/>
                <w:rtl/>
              </w:rPr>
            </w:pPr>
            <w:r w:rsidRPr="00362D29">
              <w:rPr>
                <w:rFonts w:ascii="Traditional Arabic" w:eastAsia="Aptos" w:hAnsi="Traditional Arabic" w:cs="Traditional Arabic"/>
                <w:sz w:val="24"/>
                <w:szCs w:val="24"/>
                <w:rtl/>
              </w:rPr>
              <w:t xml:space="preserve">على رضا المريض </w:t>
            </w:r>
            <w:r w:rsidR="003C39B5" w:rsidRPr="00362D29">
              <w:rPr>
                <w:rFonts w:ascii="Traditional Arabic" w:eastAsia="Aptos" w:hAnsi="Traditional Arabic" w:cs="Traditional Arabic"/>
                <w:sz w:val="24"/>
                <w:szCs w:val="24"/>
                <w:rtl/>
              </w:rPr>
              <w:t>وانطباعه عن الخدمة الصحية</w:t>
            </w:r>
          </w:p>
        </w:tc>
        <w:tc>
          <w:tcPr>
            <w:tcW w:w="3541" w:type="dxa"/>
          </w:tcPr>
          <w:p w14:paraId="5E51AE65" w14:textId="2516857F" w:rsidR="009A7640" w:rsidRPr="00362D29" w:rsidRDefault="003C39B5" w:rsidP="00362D29">
            <w:pPr>
              <w:bidi/>
              <w:spacing w:line="360" w:lineRule="auto"/>
              <w:jc w:val="both"/>
              <w:rPr>
                <w:rFonts w:ascii="Traditional Arabic" w:eastAsia="Aptos" w:hAnsi="Traditional Arabic" w:cs="Traditional Arabic"/>
                <w:sz w:val="24"/>
                <w:szCs w:val="24"/>
                <w:rtl/>
              </w:rPr>
            </w:pPr>
            <w:r w:rsidRPr="00362D29">
              <w:rPr>
                <w:rFonts w:ascii="Traditional Arabic" w:eastAsia="Aptos" w:hAnsi="Traditional Arabic" w:cs="Traditional Arabic"/>
                <w:sz w:val="24"/>
                <w:szCs w:val="24"/>
                <w:rtl/>
              </w:rPr>
              <w:t xml:space="preserve">على النتائج </w:t>
            </w:r>
            <w:r w:rsidR="00F06046" w:rsidRPr="00362D29">
              <w:rPr>
                <w:rFonts w:ascii="Traditional Arabic" w:eastAsia="Aptos" w:hAnsi="Traditional Arabic" w:cs="Traditional Arabic"/>
                <w:sz w:val="24"/>
                <w:szCs w:val="24"/>
                <w:rtl/>
              </w:rPr>
              <w:t xml:space="preserve">الصحية وجودة الحياة </w:t>
            </w:r>
          </w:p>
        </w:tc>
      </w:tr>
      <w:tr w:rsidR="009A7640" w:rsidRPr="00362D29" w14:paraId="0A5FDFED" w14:textId="77777777" w:rsidTr="00FE5328">
        <w:tc>
          <w:tcPr>
            <w:tcW w:w="1211" w:type="dxa"/>
            <w:shd w:val="clear" w:color="auto" w:fill="F2F2F2" w:themeFill="background1" w:themeFillShade="F2"/>
          </w:tcPr>
          <w:p w14:paraId="4D33B012" w14:textId="014F2D7B" w:rsidR="009A7640" w:rsidRPr="00362D29" w:rsidRDefault="00F06046" w:rsidP="00362D29">
            <w:pPr>
              <w:bidi/>
              <w:spacing w:line="360" w:lineRule="auto"/>
              <w:jc w:val="center"/>
              <w:rPr>
                <w:rFonts w:ascii="Traditional Arabic" w:eastAsia="Aptos" w:hAnsi="Traditional Arabic" w:cs="Traditional Arabic"/>
                <w:b/>
                <w:bCs/>
                <w:sz w:val="24"/>
                <w:szCs w:val="24"/>
                <w:rtl/>
              </w:rPr>
            </w:pPr>
            <w:r w:rsidRPr="00362D29">
              <w:rPr>
                <w:rFonts w:ascii="Traditional Arabic" w:eastAsia="Aptos" w:hAnsi="Traditional Arabic" w:cs="Traditional Arabic"/>
                <w:b/>
                <w:bCs/>
                <w:sz w:val="24"/>
                <w:szCs w:val="24"/>
                <w:rtl/>
              </w:rPr>
              <w:t>القياس</w:t>
            </w:r>
          </w:p>
        </w:tc>
        <w:tc>
          <w:tcPr>
            <w:tcW w:w="3544" w:type="dxa"/>
          </w:tcPr>
          <w:p w14:paraId="52F693C1" w14:textId="2A8E09F1" w:rsidR="009A7640" w:rsidRPr="00362D29" w:rsidRDefault="0094422B" w:rsidP="00362D29">
            <w:pPr>
              <w:bidi/>
              <w:spacing w:line="360" w:lineRule="auto"/>
              <w:jc w:val="both"/>
              <w:rPr>
                <w:rFonts w:ascii="Traditional Arabic" w:eastAsia="Aptos" w:hAnsi="Traditional Arabic" w:cs="Traditional Arabic"/>
                <w:sz w:val="24"/>
                <w:szCs w:val="24"/>
                <w:rtl/>
              </w:rPr>
            </w:pPr>
            <w:r w:rsidRPr="00362D29">
              <w:rPr>
                <w:rFonts w:ascii="Traditional Arabic" w:eastAsia="Aptos" w:hAnsi="Traditional Arabic" w:cs="Traditional Arabic"/>
                <w:sz w:val="24"/>
                <w:szCs w:val="24"/>
                <w:rtl/>
              </w:rPr>
              <w:t xml:space="preserve">مقاييس تجربة المريض المُبلغ عنها </w:t>
            </w:r>
          </w:p>
        </w:tc>
        <w:tc>
          <w:tcPr>
            <w:tcW w:w="3541" w:type="dxa"/>
          </w:tcPr>
          <w:p w14:paraId="588F3E8F" w14:textId="0426761D" w:rsidR="009A7640" w:rsidRPr="00362D29" w:rsidRDefault="00E87043" w:rsidP="00362D29">
            <w:pPr>
              <w:bidi/>
              <w:spacing w:line="360" w:lineRule="auto"/>
              <w:jc w:val="both"/>
              <w:rPr>
                <w:rFonts w:ascii="Traditional Arabic" w:eastAsia="Aptos" w:hAnsi="Traditional Arabic" w:cs="Traditional Arabic"/>
                <w:sz w:val="24"/>
                <w:szCs w:val="24"/>
                <w:rtl/>
              </w:rPr>
            </w:pPr>
            <w:r w:rsidRPr="00362D29">
              <w:rPr>
                <w:rFonts w:ascii="Traditional Arabic" w:eastAsia="Aptos" w:hAnsi="Traditional Arabic" w:cs="Traditional Arabic"/>
                <w:sz w:val="24"/>
                <w:szCs w:val="24"/>
                <w:rtl/>
              </w:rPr>
              <w:t xml:space="preserve">مقاييس النتائج الصحية المُبلغ عنها </w:t>
            </w:r>
          </w:p>
        </w:tc>
      </w:tr>
    </w:tbl>
    <w:p w14:paraId="29594BBC" w14:textId="09346FA9" w:rsidR="009A68EC" w:rsidRPr="00362D29" w:rsidRDefault="00845019" w:rsidP="00362D29">
      <w:pPr>
        <w:bidi/>
        <w:spacing w:before="0" w:after="160" w:line="360" w:lineRule="auto"/>
        <w:ind w:left="720"/>
        <w:contextualSpacing/>
        <w:jc w:val="center"/>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جدول ( .. ) : مقارنة بين </w:t>
      </w:r>
      <w:r w:rsidR="009A7640" w:rsidRPr="00362D29">
        <w:rPr>
          <w:rFonts w:ascii="Traditional Arabic" w:eastAsia="Aptos" w:hAnsi="Traditional Arabic" w:cs="Traditional Arabic"/>
          <w:kern w:val="2"/>
          <w:sz w:val="24"/>
          <w:szCs w:val="24"/>
          <w:rtl/>
          <w14:ligatures w14:val="standardContextual"/>
        </w:rPr>
        <w:t xml:space="preserve">تجربة المريض </w:t>
      </w:r>
      <w:r w:rsidRPr="00362D29">
        <w:rPr>
          <w:rFonts w:ascii="Traditional Arabic" w:eastAsia="Aptos" w:hAnsi="Traditional Arabic" w:cs="Traditional Arabic"/>
          <w:kern w:val="2"/>
          <w:sz w:val="24"/>
          <w:szCs w:val="24"/>
          <w:rtl/>
          <w14:ligatures w14:val="standardContextual"/>
        </w:rPr>
        <w:t>ومشاركة</w:t>
      </w:r>
      <w:r w:rsidR="009A7640" w:rsidRPr="00362D29">
        <w:rPr>
          <w:rFonts w:ascii="Traditional Arabic" w:eastAsia="Aptos" w:hAnsi="Traditional Arabic" w:cs="Traditional Arabic"/>
          <w:kern w:val="2"/>
          <w:sz w:val="24"/>
          <w:szCs w:val="24"/>
          <w:rtl/>
          <w14:ligatures w14:val="standardContextual"/>
        </w:rPr>
        <w:t xml:space="preserve"> المريض</w:t>
      </w:r>
    </w:p>
    <w:p w14:paraId="05FF6EA5" w14:textId="2AD6723C" w:rsidR="009A68EC" w:rsidRPr="00362D29" w:rsidRDefault="005C421A"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4</w:t>
      </w:r>
      <w:r w:rsidR="009A68EC" w:rsidRPr="00362D29">
        <w:rPr>
          <w:rFonts w:ascii="Traditional Arabic" w:eastAsia="Aptos" w:hAnsi="Traditional Arabic" w:cs="Traditional Arabic"/>
          <w:b/>
          <w:bCs/>
          <w:kern w:val="2"/>
          <w:sz w:val="24"/>
          <w:szCs w:val="24"/>
          <w:rtl/>
          <w14:ligatures w14:val="standardContextual"/>
        </w:rPr>
        <w:t xml:space="preserve">. العلاقة بين </w:t>
      </w:r>
      <w:r w:rsidR="008A6F36">
        <w:rPr>
          <w:rFonts w:ascii="Traditional Arabic" w:eastAsia="Aptos" w:hAnsi="Traditional Arabic" w:cs="Traditional Arabic" w:hint="cs"/>
          <w:b/>
          <w:bCs/>
          <w:kern w:val="2"/>
          <w:sz w:val="24"/>
          <w:szCs w:val="24"/>
          <w:rtl/>
          <w14:ligatures w14:val="standardContextual"/>
        </w:rPr>
        <w:t xml:space="preserve">مفهوم </w:t>
      </w:r>
      <w:r w:rsidR="009A68EC" w:rsidRPr="00362D29">
        <w:rPr>
          <w:rFonts w:ascii="Traditional Arabic" w:eastAsia="Aptos" w:hAnsi="Traditional Arabic" w:cs="Traditional Arabic"/>
          <w:b/>
          <w:bCs/>
          <w:kern w:val="2"/>
          <w:sz w:val="24"/>
          <w:szCs w:val="24"/>
          <w:rtl/>
          <w14:ligatures w14:val="standardContextual"/>
        </w:rPr>
        <w:t>تجربة</w:t>
      </w:r>
      <w:r w:rsidR="009C1D48" w:rsidRPr="00362D29">
        <w:rPr>
          <w:rFonts w:ascii="Traditional Arabic" w:eastAsia="Aptos" w:hAnsi="Traditional Arabic" w:cs="Traditional Arabic"/>
          <w:b/>
          <w:bCs/>
          <w:kern w:val="2"/>
          <w:sz w:val="24"/>
          <w:szCs w:val="24"/>
          <w:rtl/>
          <w14:ligatures w14:val="standardContextual"/>
        </w:rPr>
        <w:t xml:space="preserve"> المريض</w:t>
      </w:r>
      <w:r w:rsidR="009A68EC" w:rsidRPr="00362D29">
        <w:rPr>
          <w:rFonts w:ascii="Traditional Arabic" w:eastAsia="Aptos" w:hAnsi="Traditional Arabic" w:cs="Traditional Arabic"/>
          <w:b/>
          <w:bCs/>
          <w:kern w:val="2"/>
          <w:sz w:val="24"/>
          <w:szCs w:val="24"/>
          <w:rtl/>
          <w14:ligatures w14:val="standardContextual"/>
        </w:rPr>
        <w:t xml:space="preserve"> ومشاركة</w:t>
      </w:r>
      <w:r w:rsidR="009C1D48" w:rsidRPr="00362D29">
        <w:rPr>
          <w:rFonts w:ascii="Traditional Arabic" w:eastAsia="Aptos" w:hAnsi="Traditional Arabic" w:cs="Traditional Arabic"/>
          <w:b/>
          <w:bCs/>
          <w:kern w:val="2"/>
          <w:sz w:val="24"/>
          <w:szCs w:val="24"/>
          <w:rtl/>
          <w14:ligatures w14:val="standardContextual"/>
        </w:rPr>
        <w:t xml:space="preserve"> المريض</w:t>
      </w:r>
    </w:p>
    <w:p w14:paraId="44808BB5" w14:textId="491CB885" w:rsidR="00476B1D" w:rsidRPr="00362D29" w:rsidRDefault="009A7640"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يؤكد هذا التمايز أن </w:t>
      </w:r>
      <w:r w:rsidR="00143E75" w:rsidRPr="00362D29">
        <w:rPr>
          <w:rFonts w:ascii="Traditional Arabic" w:eastAsia="Aptos" w:hAnsi="Traditional Arabic" w:cs="Traditional Arabic"/>
          <w:kern w:val="2"/>
          <w:sz w:val="24"/>
          <w:szCs w:val="24"/>
          <w:rtl/>
          <w14:ligatures w14:val="standardContextual"/>
        </w:rPr>
        <w:t xml:space="preserve">التميز في </w:t>
      </w:r>
      <w:r w:rsidRPr="00362D29">
        <w:rPr>
          <w:rFonts w:ascii="Traditional Arabic" w:eastAsia="Aptos" w:hAnsi="Traditional Arabic" w:cs="Traditional Arabic"/>
          <w:kern w:val="2"/>
          <w:sz w:val="24"/>
          <w:szCs w:val="24"/>
          <w:rtl/>
          <w14:ligatures w14:val="standardContextual"/>
        </w:rPr>
        <w:t xml:space="preserve">الرعاية الصحية </w:t>
      </w:r>
      <w:r w:rsidR="00143E75" w:rsidRPr="00362D29">
        <w:rPr>
          <w:rFonts w:ascii="Traditional Arabic" w:eastAsia="Aptos" w:hAnsi="Traditional Arabic" w:cs="Traditional Arabic"/>
          <w:kern w:val="2"/>
          <w:sz w:val="24"/>
          <w:szCs w:val="24"/>
          <w:rtl/>
          <w14:ligatures w14:val="standardContextual"/>
        </w:rPr>
        <w:t>لا يت</w:t>
      </w:r>
      <w:r w:rsidRPr="00362D29">
        <w:rPr>
          <w:rFonts w:ascii="Traditional Arabic" w:eastAsia="Aptos" w:hAnsi="Traditional Arabic" w:cs="Traditional Arabic"/>
          <w:kern w:val="2"/>
          <w:sz w:val="24"/>
          <w:szCs w:val="24"/>
          <w:rtl/>
          <w14:ligatures w14:val="standardContextual"/>
        </w:rPr>
        <w:t>طلب فقط توفير تجربة مريحة وعالية الجودة للمريض، بل يتعدى ذلك إلى خلق بيئة تحفز المريض على المشاركة النشطة في مساره العلاجي</w:t>
      </w:r>
      <w:r w:rsidR="007B5D6E" w:rsidRPr="00362D29">
        <w:rPr>
          <w:rFonts w:ascii="Traditional Arabic" w:eastAsia="Aptos" w:hAnsi="Traditional Arabic" w:cs="Traditional Arabic"/>
          <w:kern w:val="2"/>
          <w:sz w:val="24"/>
          <w:szCs w:val="24"/>
          <w:rtl/>
          <w14:ligatures w14:val="standardContextual"/>
        </w:rPr>
        <w:t>(محمود، 2025)</w:t>
      </w:r>
      <w:r w:rsidR="00E709C1" w:rsidRPr="00362D29">
        <w:rPr>
          <w:rFonts w:ascii="Traditional Arabic" w:eastAsia="Aptos" w:hAnsi="Traditional Arabic" w:cs="Traditional Arabic"/>
          <w:kern w:val="2"/>
          <w:sz w:val="24"/>
          <w:szCs w:val="24"/>
          <w:rtl/>
          <w14:ligatures w14:val="standardContextual"/>
        </w:rPr>
        <w:t xml:space="preserve">، </w:t>
      </w:r>
      <w:r w:rsidRPr="00362D29">
        <w:rPr>
          <w:rFonts w:ascii="Traditional Arabic" w:eastAsia="Aptos" w:hAnsi="Traditional Arabic" w:cs="Traditional Arabic"/>
          <w:kern w:val="2"/>
          <w:sz w:val="24"/>
          <w:szCs w:val="24"/>
          <w:rtl/>
          <w14:ligatures w14:val="standardContextual"/>
        </w:rPr>
        <w:t xml:space="preserve">وهو ما يتماشى مع توجهات التحول الصحي في المملكة العربية السعودية نحو رعاية تتمحور حول الإنسان </w:t>
      </w:r>
      <w:r w:rsidR="007B5D6E" w:rsidRPr="00362D29">
        <w:rPr>
          <w:rFonts w:ascii="Traditional Arabic" w:eastAsia="Aptos" w:hAnsi="Traditional Arabic" w:cs="Traditional Arabic"/>
          <w:kern w:val="2"/>
          <w:sz w:val="24"/>
          <w:szCs w:val="24"/>
          <w14:ligatures w14:val="standardContextual"/>
        </w:rPr>
        <w:t>(Health Academy, 2022</w:t>
      </w:r>
      <w:r w:rsidR="00E709C1" w:rsidRPr="00362D29">
        <w:rPr>
          <w:rFonts w:ascii="Traditional Arabic" w:eastAsia="Aptos" w:hAnsi="Traditional Arabic" w:cs="Traditional Arabic"/>
          <w:kern w:val="2"/>
          <w:sz w:val="24"/>
          <w:szCs w:val="24"/>
          <w14:ligatures w14:val="standardContextual"/>
        </w:rPr>
        <w:t>)</w:t>
      </w:r>
      <w:r w:rsidR="00E709C1" w:rsidRPr="00362D29">
        <w:rPr>
          <w:rFonts w:ascii="Traditional Arabic" w:eastAsia="Aptos" w:hAnsi="Traditional Arabic" w:cs="Traditional Arabic"/>
          <w:kern w:val="2"/>
          <w:sz w:val="24"/>
          <w:szCs w:val="24"/>
          <w:rtl/>
          <w14:ligatures w14:val="standardContextual"/>
        </w:rPr>
        <w:t>.</w:t>
      </w:r>
    </w:p>
    <w:p w14:paraId="01BBC509" w14:textId="717BE7A2" w:rsidR="005C4F80" w:rsidRPr="00362D29" w:rsidRDefault="005C4F80"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توجد علاقة طردية وثيقة بين المفهومين؛ فالتجربة السيئة للمريض غالباً ما تؤدي إلى ضعف في مستوى مشاركته وانخراطه في الرعاية. وتكمن أهمية هذا التمييز في أن الأبحاث أثبتت أن المرضى الذين يشاركون بفعالية في رعايتهم الصحية هم أكثر عرضة لتحقيق نتائج صحية أفضل </w:t>
      </w:r>
      <w:r w:rsidR="00E709C1" w:rsidRPr="00362D29">
        <w:rPr>
          <w:rFonts w:ascii="Traditional Arabic" w:eastAsia="Aptos" w:hAnsi="Traditional Arabic" w:cs="Traditional Arabic"/>
          <w:kern w:val="2"/>
          <w:sz w:val="24"/>
          <w:szCs w:val="24"/>
          <w:rtl/>
          <w14:ligatures w14:val="standardContextual"/>
        </w:rPr>
        <w:t>(</w:t>
      </w:r>
      <w:r w:rsidR="00E709C1" w:rsidRPr="00362D29">
        <w:rPr>
          <w:rFonts w:ascii="Traditional Arabic" w:eastAsia="Aptos" w:hAnsi="Traditional Arabic" w:cs="Traditional Arabic"/>
          <w:kern w:val="2"/>
          <w:sz w:val="24"/>
          <w:szCs w:val="24"/>
          <w14:ligatures w14:val="standardContextual"/>
        </w:rPr>
        <w:t>Health Academy, 2022</w:t>
      </w:r>
      <w:r w:rsidR="00E709C1" w:rsidRPr="00362D29">
        <w:rPr>
          <w:rFonts w:ascii="Traditional Arabic" w:eastAsia="Aptos" w:hAnsi="Traditional Arabic" w:cs="Traditional Arabic"/>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كما تؤكد الدراسات أن دمج مقاييس تجربة المريض مع مقاييس النتائج يعزز من فاعلية الرعاية الصحية (</w:t>
      </w:r>
      <w:r w:rsidRPr="00362D29">
        <w:rPr>
          <w:rFonts w:ascii="Traditional Arabic" w:eastAsia="Aptos" w:hAnsi="Traditional Arabic" w:cs="Traditional Arabic"/>
          <w:kern w:val="2"/>
          <w:sz w:val="24"/>
          <w:szCs w:val="24"/>
          <w14:ligatures w14:val="standardContextual"/>
        </w:rPr>
        <w:t>Alsubahi et al., 2025</w:t>
      </w:r>
      <w:r w:rsidRPr="00362D29">
        <w:rPr>
          <w:rFonts w:ascii="Traditional Arabic" w:eastAsia="Aptos" w:hAnsi="Traditional Arabic" w:cs="Traditional Arabic"/>
          <w:kern w:val="2"/>
          <w:sz w:val="24"/>
          <w:szCs w:val="24"/>
          <w:rtl/>
          <w14:ligatures w14:val="standardContextual"/>
        </w:rPr>
        <w:t>).</w:t>
      </w:r>
    </w:p>
    <w:p w14:paraId="75F41009" w14:textId="77777777" w:rsidR="00087D96" w:rsidRPr="00362D29" w:rsidRDefault="00087D96" w:rsidP="00362D29">
      <w:pPr>
        <w:bidi/>
        <w:spacing w:before="0" w:after="160" w:line="360" w:lineRule="auto"/>
        <w:jc w:val="both"/>
        <w:rPr>
          <w:rFonts w:ascii="Traditional Arabic" w:eastAsia="Aptos" w:hAnsi="Traditional Arabic" w:cs="Traditional Arabic"/>
          <w:b/>
          <w:bCs/>
          <w:kern w:val="2"/>
          <w:sz w:val="28"/>
          <w:szCs w:val="28"/>
          <w:rtl/>
          <w14:ligatures w14:val="standardContextual"/>
        </w:rPr>
      </w:pPr>
      <w:r w:rsidRPr="00362D29">
        <w:rPr>
          <w:rFonts w:ascii="Traditional Arabic" w:eastAsia="Aptos" w:hAnsi="Traditional Arabic" w:cs="Traditional Arabic"/>
          <w:b/>
          <w:bCs/>
          <w:kern w:val="2"/>
          <w:sz w:val="28"/>
          <w:szCs w:val="28"/>
          <w:rtl/>
          <w14:ligatures w14:val="standardContextual"/>
        </w:rPr>
        <w:t xml:space="preserve">رابعاً: أهمية تجربة المريض </w:t>
      </w:r>
    </w:p>
    <w:p w14:paraId="2F182A72" w14:textId="77777777" w:rsidR="00087D96" w:rsidRPr="00362D29" w:rsidRDefault="00087D96" w:rsidP="00362D29">
      <w:pPr>
        <w:bidi/>
        <w:spacing w:before="0" w:after="160" w:line="360" w:lineRule="auto"/>
        <w:jc w:val="both"/>
        <w:rPr>
          <w:rFonts w:ascii="Traditional Arabic" w:eastAsia="Aptos" w:hAnsi="Traditional Arabic" w:cs="Traditional Arabic"/>
          <w:kern w:val="2"/>
          <w:rtl/>
          <w14:ligatures w14:val="standardContextual"/>
        </w:rPr>
      </w:pPr>
      <w:r w:rsidRPr="00362D29">
        <w:rPr>
          <w:rFonts w:ascii="Traditional Arabic" w:eastAsia="Aptos" w:hAnsi="Traditional Arabic" w:cs="Traditional Arabic"/>
          <w:kern w:val="2"/>
          <w:rtl/>
          <w14:ligatures w14:val="standardContextual"/>
        </w:rPr>
        <w:t>تنبثق أهمية تجربة المريض من تأثيرها المباشر على الخدمات الصحية على عدة مستويات:</w:t>
      </w:r>
    </w:p>
    <w:p w14:paraId="4D2136F2" w14:textId="77777777" w:rsidR="00087D96" w:rsidRPr="00362D29" w:rsidRDefault="00087D96" w:rsidP="00362D29">
      <w:pPr>
        <w:bidi/>
        <w:spacing w:before="0" w:after="160" w:line="360" w:lineRule="auto"/>
        <w:jc w:val="both"/>
        <w:rPr>
          <w:rFonts w:ascii="Traditional Arabic" w:eastAsia="Aptos" w:hAnsi="Traditional Arabic" w:cs="Traditional Arabic"/>
          <w:kern w:val="2"/>
          <w:rtl/>
          <w14:ligatures w14:val="standardContextual"/>
        </w:rPr>
      </w:pPr>
      <w:r w:rsidRPr="00362D29">
        <w:rPr>
          <w:rFonts w:ascii="Traditional Arabic" w:eastAsia="Aptos" w:hAnsi="Traditional Arabic" w:cs="Traditional Arabic"/>
          <w:kern w:val="2"/>
          <w:rtl/>
          <w14:ligatures w14:val="standardContextual"/>
        </w:rPr>
        <w:t>1.المخرجات الصحية (</w:t>
      </w:r>
      <w:r w:rsidRPr="00362D29">
        <w:rPr>
          <w:rFonts w:ascii="Traditional Arabic" w:eastAsia="Aptos" w:hAnsi="Traditional Arabic" w:cs="Traditional Arabic"/>
          <w:kern w:val="2"/>
          <w14:ligatures w14:val="standardContextual"/>
        </w:rPr>
        <w:t>Clinical Outcomes</w:t>
      </w:r>
      <w:r w:rsidRPr="00362D29">
        <w:rPr>
          <w:rFonts w:ascii="Traditional Arabic" w:eastAsia="Aptos" w:hAnsi="Traditional Arabic" w:cs="Traditional Arabic"/>
          <w:kern w:val="2"/>
          <w:rtl/>
          <w14:ligatures w14:val="standardContextual"/>
        </w:rPr>
        <w:t>): تؤكد الدراسات وجود ارتباط طردي بين تجربة المريض الإيجابية والنتائج السريرية؛ فالمرضى الذين يحظون بتجربة جيدة يكونون أكثر التزاماً بخطط العلاج، وأقل عرضة لإعادة التنويم، وأسرع في التعافي (</w:t>
      </w:r>
      <w:r w:rsidRPr="00362D29">
        <w:rPr>
          <w:rFonts w:ascii="Traditional Arabic" w:eastAsia="Aptos" w:hAnsi="Traditional Arabic" w:cs="Traditional Arabic"/>
          <w:kern w:val="2"/>
          <w14:ligatures w14:val="standardContextual"/>
        </w:rPr>
        <w:t>Alhuseini et al., 2025; Wolf et al., 2014</w:t>
      </w:r>
      <w:r w:rsidRPr="00362D29">
        <w:rPr>
          <w:rFonts w:ascii="Traditional Arabic" w:eastAsia="Aptos" w:hAnsi="Traditional Arabic" w:cs="Traditional Arabic"/>
          <w:kern w:val="2"/>
          <w:rtl/>
          <w14:ligatures w14:val="standardContextual"/>
        </w:rPr>
        <w:t>).</w:t>
      </w:r>
    </w:p>
    <w:p w14:paraId="0E45D276" w14:textId="77777777" w:rsidR="00087D96" w:rsidRPr="00362D29" w:rsidRDefault="00087D96" w:rsidP="00362D29">
      <w:pPr>
        <w:bidi/>
        <w:spacing w:before="0" w:after="160" w:line="360" w:lineRule="auto"/>
        <w:jc w:val="both"/>
        <w:rPr>
          <w:rFonts w:ascii="Traditional Arabic" w:eastAsia="Aptos" w:hAnsi="Traditional Arabic" w:cs="Traditional Arabic"/>
          <w:kern w:val="2"/>
          <w:rtl/>
          <w14:ligatures w14:val="standardContextual"/>
        </w:rPr>
      </w:pPr>
      <w:r w:rsidRPr="00362D29">
        <w:rPr>
          <w:rFonts w:ascii="Traditional Arabic" w:eastAsia="Aptos" w:hAnsi="Traditional Arabic" w:cs="Traditional Arabic"/>
          <w:kern w:val="2"/>
          <w:rtl/>
          <w14:ligatures w14:val="standardContextual"/>
        </w:rPr>
        <w:t>2.سلامة المرضى (</w:t>
      </w:r>
      <w:r w:rsidRPr="00362D29">
        <w:rPr>
          <w:rFonts w:ascii="Traditional Arabic" w:eastAsia="Aptos" w:hAnsi="Traditional Arabic" w:cs="Traditional Arabic"/>
          <w:kern w:val="2"/>
          <w14:ligatures w14:val="standardContextual"/>
        </w:rPr>
        <w:t>Patient Safety</w:t>
      </w:r>
      <w:r w:rsidRPr="00362D29">
        <w:rPr>
          <w:rFonts w:ascii="Traditional Arabic" w:eastAsia="Aptos" w:hAnsi="Traditional Arabic" w:cs="Traditional Arabic"/>
          <w:kern w:val="2"/>
          <w:rtl/>
          <w14:ligatures w14:val="standardContextual"/>
        </w:rPr>
        <w:t>): التواصل الفعال كجزء من تجربة المريض يقلل من الأخطاء الطبية وسوء الفهم بين الفريق الطبي والمريض (</w:t>
      </w:r>
      <w:r w:rsidRPr="00362D29">
        <w:rPr>
          <w:rFonts w:ascii="Traditional Arabic" w:eastAsia="Aptos" w:hAnsi="Traditional Arabic" w:cs="Traditional Arabic"/>
          <w:kern w:val="2"/>
          <w14:ligatures w14:val="standardContextual"/>
        </w:rPr>
        <w:t>AHRQ, 2017</w:t>
      </w:r>
      <w:r w:rsidRPr="00362D29">
        <w:rPr>
          <w:rFonts w:ascii="Traditional Arabic" w:eastAsia="Aptos" w:hAnsi="Traditional Arabic" w:cs="Traditional Arabic"/>
          <w:kern w:val="2"/>
          <w:rtl/>
          <w14:ligatures w14:val="standardContextual"/>
        </w:rPr>
        <w:t>).</w:t>
      </w:r>
    </w:p>
    <w:p w14:paraId="27A7A59A" w14:textId="77777777" w:rsidR="00087D96" w:rsidRPr="00362D29" w:rsidRDefault="00087D96" w:rsidP="00362D29">
      <w:pPr>
        <w:bidi/>
        <w:spacing w:before="0" w:after="160" w:line="360" w:lineRule="auto"/>
        <w:jc w:val="both"/>
        <w:rPr>
          <w:rFonts w:ascii="Traditional Arabic" w:eastAsia="Aptos" w:hAnsi="Traditional Arabic" w:cs="Traditional Arabic"/>
          <w:kern w:val="2"/>
          <w:rtl/>
          <w14:ligatures w14:val="standardContextual"/>
        </w:rPr>
      </w:pPr>
      <w:r w:rsidRPr="00362D29">
        <w:rPr>
          <w:rFonts w:ascii="Traditional Arabic" w:eastAsia="Aptos" w:hAnsi="Traditional Arabic" w:cs="Traditional Arabic"/>
          <w:kern w:val="2"/>
          <w:rtl/>
          <w14:ligatures w14:val="standardContextual"/>
        </w:rPr>
        <w:t>3.الكفاءة التشغيلية والسمعة المؤسسية: التجربة الإيجابية تقلل من الشكاوى القانونية، وتعزز ولاء المريض للمنظمة، مما يقلل التكاليف الناتجة عن الهدر الإداري (</w:t>
      </w:r>
      <w:r w:rsidRPr="00362D29">
        <w:rPr>
          <w:rFonts w:ascii="Traditional Arabic" w:eastAsia="Aptos" w:hAnsi="Traditional Arabic" w:cs="Traditional Arabic"/>
          <w:kern w:val="2"/>
          <w14:ligatures w14:val="standardContextual"/>
        </w:rPr>
        <w:t>Ozcelik et al., 2021</w:t>
      </w:r>
      <w:r w:rsidRPr="00362D29">
        <w:rPr>
          <w:rFonts w:ascii="Traditional Arabic" w:eastAsia="Aptos" w:hAnsi="Traditional Arabic" w:cs="Traditional Arabic"/>
          <w:kern w:val="2"/>
          <w:rtl/>
          <w14:ligatures w14:val="standardContextual"/>
        </w:rPr>
        <w:t>).</w:t>
      </w:r>
    </w:p>
    <w:p w14:paraId="67105A33" w14:textId="6FE74923" w:rsidR="006228A3" w:rsidRPr="00362D29" w:rsidRDefault="00087D96" w:rsidP="00362D29">
      <w:pPr>
        <w:bidi/>
        <w:spacing w:before="0" w:after="160" w:line="360" w:lineRule="auto"/>
        <w:jc w:val="both"/>
        <w:rPr>
          <w:rFonts w:ascii="Traditional Arabic" w:eastAsia="Aptos" w:hAnsi="Traditional Arabic" w:cs="Traditional Arabic"/>
          <w:kern w:val="2"/>
          <w:rtl/>
          <w14:ligatures w14:val="standardContextual"/>
        </w:rPr>
      </w:pPr>
      <w:r w:rsidRPr="00362D29">
        <w:rPr>
          <w:rFonts w:ascii="Traditional Arabic" w:eastAsia="Aptos" w:hAnsi="Traditional Arabic" w:cs="Traditional Arabic"/>
          <w:kern w:val="2"/>
          <w:rtl/>
          <w14:ligatures w14:val="standardContextual"/>
        </w:rPr>
        <w:lastRenderedPageBreak/>
        <w:t xml:space="preserve">4.جودة الخدمات الصحية: تعتبر تجربة المريض </w:t>
      </w:r>
      <w:r w:rsidR="000F45E8" w:rsidRPr="00362D29">
        <w:rPr>
          <w:rFonts w:ascii="Traditional Arabic" w:eastAsia="Aptos" w:hAnsi="Traditional Arabic" w:cs="Traditional Arabic"/>
          <w:kern w:val="2"/>
          <w:rtl/>
          <w14:ligatures w14:val="standardContextual"/>
        </w:rPr>
        <w:t>مقياس</w:t>
      </w:r>
      <w:r w:rsidR="00900456" w:rsidRPr="00362D29">
        <w:rPr>
          <w:rFonts w:ascii="Traditional Arabic" w:eastAsia="Aptos" w:hAnsi="Traditional Arabic" w:cs="Traditional Arabic"/>
          <w:kern w:val="2"/>
          <w:rtl/>
          <w14:ligatures w14:val="standardContextual"/>
        </w:rPr>
        <w:t xml:space="preserve"> </w:t>
      </w:r>
      <w:r w:rsidRPr="00362D29">
        <w:rPr>
          <w:rFonts w:ascii="Traditional Arabic" w:eastAsia="Aptos" w:hAnsi="Traditional Arabic" w:cs="Traditional Arabic"/>
          <w:kern w:val="2"/>
          <w:rtl/>
          <w14:ligatures w14:val="standardContextual"/>
        </w:rPr>
        <w:t>لجودة</w:t>
      </w:r>
      <w:r w:rsidR="00900456" w:rsidRPr="00362D29">
        <w:rPr>
          <w:rFonts w:ascii="Traditional Arabic" w:eastAsia="Aptos" w:hAnsi="Traditional Arabic" w:cs="Traditional Arabic"/>
          <w:kern w:val="2"/>
          <w:rtl/>
          <w14:ligatures w14:val="standardContextual"/>
        </w:rPr>
        <w:t xml:space="preserve"> الخدمات الصحية</w:t>
      </w:r>
      <w:r w:rsidRPr="00362D29">
        <w:rPr>
          <w:rFonts w:ascii="Traditional Arabic" w:eastAsia="Aptos" w:hAnsi="Traditional Arabic" w:cs="Traditional Arabic"/>
          <w:kern w:val="2"/>
          <w:rtl/>
          <w14:ligatures w14:val="standardContextual"/>
        </w:rPr>
        <w:t xml:space="preserve"> إلى جانب </w:t>
      </w:r>
      <w:r w:rsidR="00900456" w:rsidRPr="00362D29">
        <w:rPr>
          <w:rFonts w:ascii="Traditional Arabic" w:eastAsia="Aptos" w:hAnsi="Traditional Arabic" w:cs="Traditional Arabic"/>
          <w:kern w:val="2"/>
          <w:rtl/>
          <w14:ligatures w14:val="standardContextual"/>
        </w:rPr>
        <w:t xml:space="preserve">مقاييس </w:t>
      </w:r>
      <w:r w:rsidRPr="00362D29">
        <w:rPr>
          <w:rFonts w:ascii="Traditional Arabic" w:eastAsia="Aptos" w:hAnsi="Traditional Arabic" w:cs="Traditional Arabic"/>
          <w:kern w:val="2"/>
          <w:rtl/>
          <w14:ligatures w14:val="standardContextual"/>
        </w:rPr>
        <w:t xml:space="preserve">الفعالية السريرية وسلامة المرضى. </w:t>
      </w:r>
      <w:r w:rsidR="005A5A53" w:rsidRPr="00362D29">
        <w:rPr>
          <w:rFonts w:ascii="Traditional Arabic" w:eastAsia="Aptos" w:hAnsi="Traditional Arabic" w:cs="Traditional Arabic"/>
          <w:kern w:val="2"/>
          <w:rtl/>
          <w14:ligatures w14:val="standardContextual"/>
        </w:rPr>
        <w:t>حيث تعتبر</w:t>
      </w:r>
      <w:r w:rsidRPr="00362D29">
        <w:rPr>
          <w:rFonts w:ascii="Traditional Arabic" w:eastAsia="Aptos" w:hAnsi="Traditional Arabic" w:cs="Traditional Arabic"/>
          <w:kern w:val="2"/>
          <w:rtl/>
          <w14:ligatures w14:val="standardContextual"/>
        </w:rPr>
        <w:t xml:space="preserve"> تجربة المريض </w:t>
      </w:r>
      <w:r w:rsidR="000C0274" w:rsidRPr="00362D29">
        <w:rPr>
          <w:rFonts w:ascii="Traditional Arabic" w:eastAsia="Aptos" w:hAnsi="Traditional Arabic" w:cs="Traditional Arabic"/>
          <w:kern w:val="2"/>
          <w:rtl/>
          <w14:ligatures w14:val="standardContextual"/>
        </w:rPr>
        <w:t>ان</w:t>
      </w:r>
      <w:r w:rsidR="008E3771" w:rsidRPr="00362D29">
        <w:rPr>
          <w:rFonts w:ascii="Traditional Arabic" w:eastAsia="Aptos" w:hAnsi="Traditional Arabic" w:cs="Traditional Arabic"/>
          <w:kern w:val="2"/>
          <w:rtl/>
          <w14:ligatures w14:val="standardContextual"/>
        </w:rPr>
        <w:t xml:space="preserve">عكاس لجودة الخدمة الصحية </w:t>
      </w:r>
      <w:r w:rsidRPr="00362D29">
        <w:rPr>
          <w:rFonts w:ascii="Traditional Arabic" w:eastAsia="Aptos" w:hAnsi="Traditional Arabic" w:cs="Traditional Arabic"/>
          <w:kern w:val="2"/>
          <w:rtl/>
          <w14:ligatures w14:val="standardContextual"/>
        </w:rPr>
        <w:t>من خلال وضع "المستفيد" في مركز القرار، مما يضمن تقديم خدمة تتسم بالاحترام والكرامة والشفافية (</w:t>
      </w:r>
      <w:r w:rsidRPr="00362D29">
        <w:rPr>
          <w:rFonts w:ascii="Traditional Arabic" w:eastAsia="Aptos" w:hAnsi="Traditional Arabic" w:cs="Traditional Arabic"/>
          <w:kern w:val="2"/>
          <w14:ligatures w14:val="standardContextual"/>
        </w:rPr>
        <w:t>WHO, 2018; Oben, 2020</w:t>
      </w:r>
      <w:r w:rsidRPr="00362D29">
        <w:rPr>
          <w:rFonts w:ascii="Traditional Arabic" w:eastAsia="Aptos" w:hAnsi="Traditional Arabic" w:cs="Traditional Arabic"/>
          <w:kern w:val="2"/>
          <w:rtl/>
          <w14:ligatures w14:val="standardContextual"/>
        </w:rPr>
        <w:t>).</w:t>
      </w:r>
    </w:p>
    <w:p w14:paraId="3A0B6A2B" w14:textId="3F8832C4" w:rsidR="00087D96" w:rsidRPr="00362D29" w:rsidRDefault="00087D96" w:rsidP="00362D29">
      <w:pPr>
        <w:bidi/>
        <w:spacing w:before="0" w:after="160" w:line="360" w:lineRule="auto"/>
        <w:jc w:val="both"/>
        <w:rPr>
          <w:rFonts w:ascii="Traditional Arabic" w:eastAsia="Aptos" w:hAnsi="Traditional Arabic" w:cs="Traditional Arabic"/>
          <w:b/>
          <w:bCs/>
          <w:kern w:val="2"/>
          <w:sz w:val="28"/>
          <w:szCs w:val="28"/>
          <w:rtl/>
          <w14:ligatures w14:val="standardContextual"/>
        </w:rPr>
      </w:pPr>
      <w:r w:rsidRPr="00362D29">
        <w:rPr>
          <w:rFonts w:ascii="Traditional Arabic" w:eastAsia="Aptos" w:hAnsi="Traditional Arabic" w:cs="Traditional Arabic"/>
          <w:b/>
          <w:bCs/>
          <w:kern w:val="2"/>
          <w:sz w:val="28"/>
          <w:szCs w:val="28"/>
          <w:rtl/>
          <w14:ligatures w14:val="standardContextual"/>
        </w:rPr>
        <w:t xml:space="preserve">خامساً: تجربة المريض </w:t>
      </w:r>
      <w:r w:rsidR="00DF71ED" w:rsidRPr="00362D29">
        <w:rPr>
          <w:rFonts w:ascii="Traditional Arabic" w:eastAsia="Aptos" w:hAnsi="Traditional Arabic" w:cs="Traditional Arabic"/>
          <w:b/>
          <w:bCs/>
          <w:kern w:val="2"/>
          <w:sz w:val="28"/>
          <w:szCs w:val="28"/>
          <w:rtl/>
          <w14:ligatures w14:val="standardContextual"/>
        </w:rPr>
        <w:t>مؤشر ل</w:t>
      </w:r>
      <w:r w:rsidRPr="00362D29">
        <w:rPr>
          <w:rFonts w:ascii="Traditional Arabic" w:eastAsia="Aptos" w:hAnsi="Traditional Arabic" w:cs="Traditional Arabic"/>
          <w:b/>
          <w:bCs/>
          <w:kern w:val="2"/>
          <w:sz w:val="28"/>
          <w:szCs w:val="28"/>
          <w:rtl/>
          <w14:ligatures w14:val="standardContextual"/>
        </w:rPr>
        <w:t>جودة الخدمات الصحية</w:t>
      </w:r>
    </w:p>
    <w:p w14:paraId="3025D2F3" w14:textId="13FC5CA0" w:rsidR="00073274" w:rsidRPr="00362D29" w:rsidRDefault="00073274"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تُعد تجربة المريض </w:t>
      </w:r>
      <w:r w:rsidRPr="00362D29">
        <w:rPr>
          <w:rFonts w:ascii="Traditional Arabic" w:eastAsia="Aptos" w:hAnsi="Traditional Arabic" w:cs="Traditional Arabic"/>
          <w:b/>
          <w:bCs/>
          <w:kern w:val="2"/>
          <w:sz w:val="24"/>
          <w:szCs w:val="24"/>
          <w:rtl/>
          <w14:ligatures w14:val="standardContextual"/>
        </w:rPr>
        <w:t>مقياساً اساسياً في منظومة جودة الرعاية الصحية</w:t>
      </w:r>
      <w:r w:rsidRPr="00362D29">
        <w:rPr>
          <w:rFonts w:ascii="Traditional Arabic" w:eastAsia="Aptos" w:hAnsi="Traditional Arabic" w:cs="Traditional Arabic"/>
          <w:kern w:val="2"/>
          <w:sz w:val="24"/>
          <w:szCs w:val="24"/>
          <w:rtl/>
          <w14:ligatures w14:val="standardContextual"/>
        </w:rPr>
        <w:t>، إلى جانب الفعالية السريرية وسلامة المرضى. ولا يُنظر إليها اليوم كمجرد إضافة تكميلية، بل كعنصر حاسم يقيس مدى نجاح النظام الصحي في تحقيق أهدافه الإنسانية والتشغيلية (</w:t>
      </w:r>
      <w:r w:rsidRPr="00362D29">
        <w:rPr>
          <w:rFonts w:ascii="Traditional Arabic" w:eastAsia="Aptos" w:hAnsi="Traditional Arabic" w:cs="Traditional Arabic"/>
          <w:kern w:val="2"/>
          <w:sz w:val="24"/>
          <w:szCs w:val="24"/>
          <w14:ligatures w14:val="standardContextual"/>
        </w:rPr>
        <w:t>Oben, 2020</w:t>
      </w:r>
      <w:r w:rsidRPr="00362D29">
        <w:rPr>
          <w:rFonts w:ascii="Traditional Arabic" w:eastAsia="Aptos" w:hAnsi="Traditional Arabic" w:cs="Traditional Arabic"/>
          <w:kern w:val="2"/>
          <w:sz w:val="24"/>
          <w:szCs w:val="24"/>
          <w:rtl/>
          <w14:ligatures w14:val="standardContextual"/>
        </w:rPr>
        <w:t xml:space="preserve">; </w:t>
      </w:r>
      <w:r w:rsidR="008D4603" w:rsidRPr="00362D29">
        <w:rPr>
          <w:rFonts w:ascii="Traditional Arabic" w:eastAsia="Aptos" w:hAnsi="Traditional Arabic" w:cs="Traditional Arabic"/>
          <w:kern w:val="2"/>
          <w:sz w:val="24"/>
          <w:szCs w:val="24"/>
          <w14:ligatures w14:val="standardContextual"/>
        </w:rPr>
        <w:t>(Health Academy, 2022)</w:t>
      </w:r>
      <w:r w:rsidRPr="00362D29">
        <w:rPr>
          <w:rFonts w:ascii="Traditional Arabic" w:eastAsia="Aptos" w:hAnsi="Traditional Arabic" w:cs="Traditional Arabic"/>
          <w:kern w:val="2"/>
          <w:sz w:val="24"/>
          <w:szCs w:val="24"/>
          <w:rtl/>
          <w14:ligatures w14:val="standardContextual"/>
        </w:rPr>
        <w:t xml:space="preserve">. </w:t>
      </w:r>
      <w:r w:rsidRPr="00362D29">
        <w:rPr>
          <w:rFonts w:ascii="Traditional Arabic" w:eastAsia="Aptos" w:hAnsi="Traditional Arabic" w:cs="Traditional Arabic"/>
          <w:b/>
          <w:bCs/>
          <w:kern w:val="2"/>
          <w:sz w:val="24"/>
          <w:szCs w:val="24"/>
          <w:rtl/>
          <w14:ligatures w14:val="standardContextual"/>
        </w:rPr>
        <w:t>وفيما يلي تفصيل لموقع تجربة المريض</w:t>
      </w:r>
      <w:r w:rsidR="00D601E9" w:rsidRPr="00362D29">
        <w:rPr>
          <w:rFonts w:ascii="Traditional Arabic" w:eastAsia="Aptos" w:hAnsi="Traditional Arabic" w:cs="Traditional Arabic"/>
          <w:b/>
          <w:bCs/>
          <w:kern w:val="2"/>
          <w:sz w:val="24"/>
          <w:szCs w:val="24"/>
          <w:rtl/>
          <w14:ligatures w14:val="standardContextual"/>
        </w:rPr>
        <w:t xml:space="preserve"> كمقياس</w:t>
      </w:r>
      <w:r w:rsidRPr="00362D29">
        <w:rPr>
          <w:rFonts w:ascii="Traditional Arabic" w:eastAsia="Aptos" w:hAnsi="Traditional Arabic" w:cs="Traditional Arabic"/>
          <w:b/>
          <w:bCs/>
          <w:kern w:val="2"/>
          <w:sz w:val="24"/>
          <w:szCs w:val="24"/>
          <w:rtl/>
          <w14:ligatures w14:val="standardContextual"/>
        </w:rPr>
        <w:t xml:space="preserve"> ضمن </w:t>
      </w:r>
      <w:r w:rsidR="003501BF" w:rsidRPr="00362D29">
        <w:rPr>
          <w:rFonts w:ascii="Traditional Arabic" w:eastAsia="Aptos" w:hAnsi="Traditional Arabic" w:cs="Traditional Arabic"/>
          <w:b/>
          <w:bCs/>
          <w:kern w:val="2"/>
          <w:sz w:val="24"/>
          <w:szCs w:val="24"/>
          <w:rtl/>
          <w14:ligatures w14:val="standardContextual"/>
        </w:rPr>
        <w:t>ال</w:t>
      </w:r>
      <w:r w:rsidRPr="00362D29">
        <w:rPr>
          <w:rFonts w:ascii="Traditional Arabic" w:eastAsia="Aptos" w:hAnsi="Traditional Arabic" w:cs="Traditional Arabic"/>
          <w:b/>
          <w:bCs/>
          <w:kern w:val="2"/>
          <w:sz w:val="24"/>
          <w:szCs w:val="24"/>
          <w:rtl/>
          <w14:ligatures w14:val="standardContextual"/>
        </w:rPr>
        <w:t xml:space="preserve">أطر </w:t>
      </w:r>
      <w:r w:rsidR="003501BF" w:rsidRPr="00362D29">
        <w:rPr>
          <w:rFonts w:ascii="Traditional Arabic" w:eastAsia="Aptos" w:hAnsi="Traditional Arabic" w:cs="Traditional Arabic"/>
          <w:b/>
          <w:bCs/>
          <w:kern w:val="2"/>
          <w:sz w:val="24"/>
          <w:szCs w:val="24"/>
          <w:rtl/>
          <w14:ligatures w14:val="standardContextual"/>
        </w:rPr>
        <w:t>العالمية ل</w:t>
      </w:r>
      <w:r w:rsidRPr="00362D29">
        <w:rPr>
          <w:rFonts w:ascii="Traditional Arabic" w:eastAsia="Aptos" w:hAnsi="Traditional Arabic" w:cs="Traditional Arabic"/>
          <w:b/>
          <w:bCs/>
          <w:kern w:val="2"/>
          <w:sz w:val="24"/>
          <w:szCs w:val="24"/>
          <w:rtl/>
          <w14:ligatures w14:val="standardContextual"/>
        </w:rPr>
        <w:t xml:space="preserve">جودة </w:t>
      </w:r>
      <w:r w:rsidR="00D601E9" w:rsidRPr="00362D29">
        <w:rPr>
          <w:rFonts w:ascii="Traditional Arabic" w:eastAsia="Aptos" w:hAnsi="Traditional Arabic" w:cs="Traditional Arabic"/>
          <w:b/>
          <w:bCs/>
          <w:kern w:val="2"/>
          <w:sz w:val="24"/>
          <w:szCs w:val="24"/>
          <w:rtl/>
          <w14:ligatures w14:val="standardContextual"/>
        </w:rPr>
        <w:t xml:space="preserve">الخدمات </w:t>
      </w:r>
      <w:r w:rsidR="003501BF" w:rsidRPr="00362D29">
        <w:rPr>
          <w:rFonts w:ascii="Traditional Arabic" w:eastAsia="Aptos" w:hAnsi="Traditional Arabic" w:cs="Traditional Arabic"/>
          <w:b/>
          <w:bCs/>
          <w:kern w:val="2"/>
          <w:sz w:val="24"/>
          <w:szCs w:val="24"/>
          <w:rtl/>
          <w14:ligatures w14:val="standardContextual"/>
        </w:rPr>
        <w:t>الصحية</w:t>
      </w:r>
      <w:r w:rsidRPr="00362D29">
        <w:rPr>
          <w:rFonts w:ascii="Traditional Arabic" w:eastAsia="Aptos" w:hAnsi="Traditional Arabic" w:cs="Traditional Arabic"/>
          <w:b/>
          <w:bCs/>
          <w:kern w:val="2"/>
          <w:sz w:val="24"/>
          <w:szCs w:val="24"/>
          <w:rtl/>
          <w14:ligatures w14:val="standardContextual"/>
        </w:rPr>
        <w:t>:</w:t>
      </w:r>
    </w:p>
    <w:p w14:paraId="361A8893" w14:textId="08BCDC48" w:rsidR="00073274" w:rsidRPr="00362D29" w:rsidRDefault="00073274"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1. </w:t>
      </w:r>
      <w:r w:rsidR="00606A48" w:rsidRPr="00362D29">
        <w:rPr>
          <w:rFonts w:ascii="Traditional Arabic" w:eastAsia="Aptos" w:hAnsi="Traditional Arabic" w:cs="Traditional Arabic"/>
          <w:b/>
          <w:bCs/>
          <w:kern w:val="2"/>
          <w:sz w:val="24"/>
          <w:szCs w:val="24"/>
          <w:rtl/>
          <w14:ligatures w14:val="standardContextual"/>
        </w:rPr>
        <w:t xml:space="preserve">موقع </w:t>
      </w:r>
      <w:r w:rsidRPr="00362D29">
        <w:rPr>
          <w:rFonts w:ascii="Traditional Arabic" w:eastAsia="Aptos" w:hAnsi="Traditional Arabic" w:cs="Traditional Arabic"/>
          <w:b/>
          <w:bCs/>
          <w:kern w:val="2"/>
          <w:sz w:val="24"/>
          <w:szCs w:val="24"/>
          <w:rtl/>
          <w14:ligatures w14:val="standardContextual"/>
        </w:rPr>
        <w:t>تجربة المريض في أبعاد الجودة الستة (</w:t>
      </w:r>
      <w:r w:rsidRPr="00362D29">
        <w:rPr>
          <w:rFonts w:ascii="Traditional Arabic" w:eastAsia="Aptos" w:hAnsi="Traditional Arabic" w:cs="Traditional Arabic"/>
          <w:b/>
          <w:bCs/>
          <w:kern w:val="2"/>
          <w:sz w:val="24"/>
          <w:szCs w:val="24"/>
          <w14:ligatures w14:val="standardContextual"/>
        </w:rPr>
        <w:t>STEEEP</w:t>
      </w:r>
      <w:r w:rsidRPr="00362D29">
        <w:rPr>
          <w:rFonts w:ascii="Traditional Arabic" w:eastAsia="Aptos" w:hAnsi="Traditional Arabic" w:cs="Traditional Arabic"/>
          <w:b/>
          <w:bCs/>
          <w:kern w:val="2"/>
          <w:sz w:val="24"/>
          <w:szCs w:val="24"/>
          <w:rtl/>
          <w14:ligatures w14:val="standardContextual"/>
        </w:rPr>
        <w:t>)</w:t>
      </w:r>
    </w:p>
    <w:p w14:paraId="32F63024" w14:textId="347B89E5" w:rsidR="00073274" w:rsidRPr="00362D29" w:rsidRDefault="00073274"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حدد معهد الطب الأمريكي (</w:t>
      </w:r>
      <w:r w:rsidRPr="00362D29">
        <w:rPr>
          <w:rFonts w:ascii="Traditional Arabic" w:eastAsia="Aptos" w:hAnsi="Traditional Arabic" w:cs="Traditional Arabic"/>
          <w:kern w:val="2"/>
          <w:sz w:val="24"/>
          <w:szCs w:val="24"/>
          <w14:ligatures w14:val="standardContextual"/>
        </w:rPr>
        <w:t>Institute of Medicine - IOM</w:t>
      </w:r>
      <w:r w:rsidRPr="00362D29">
        <w:rPr>
          <w:rFonts w:ascii="Traditional Arabic" w:eastAsia="Aptos" w:hAnsi="Traditional Arabic" w:cs="Traditional Arabic"/>
          <w:kern w:val="2"/>
          <w:sz w:val="24"/>
          <w:szCs w:val="24"/>
          <w:rtl/>
          <w14:ligatures w14:val="standardContextual"/>
        </w:rPr>
        <w:t>) في تقريره الشهير "</w:t>
      </w:r>
      <w:r w:rsidRPr="00362D29">
        <w:rPr>
          <w:rFonts w:ascii="Traditional Arabic" w:eastAsia="Aptos" w:hAnsi="Traditional Arabic" w:cs="Traditional Arabic"/>
          <w:kern w:val="2"/>
          <w:sz w:val="24"/>
          <w:szCs w:val="24"/>
          <w14:ligatures w14:val="standardContextual"/>
        </w:rPr>
        <w:t>Crossing the Quality Chasm</w:t>
      </w:r>
      <w:r w:rsidRPr="00362D29">
        <w:rPr>
          <w:rFonts w:ascii="Traditional Arabic" w:eastAsia="Aptos" w:hAnsi="Traditional Arabic" w:cs="Traditional Arabic"/>
          <w:kern w:val="2"/>
          <w:sz w:val="24"/>
          <w:szCs w:val="24"/>
          <w:rtl/>
          <w14:ligatures w14:val="standardContextual"/>
        </w:rPr>
        <w:t xml:space="preserve">" ستة أبعاد أساسية </w:t>
      </w:r>
      <w:r w:rsidR="00606A48" w:rsidRPr="00362D29">
        <w:rPr>
          <w:rFonts w:ascii="Traditional Arabic" w:eastAsia="Aptos" w:hAnsi="Traditional Arabic" w:cs="Traditional Arabic"/>
          <w:kern w:val="2"/>
          <w:sz w:val="24"/>
          <w:szCs w:val="24"/>
          <w:rtl/>
          <w14:ligatures w14:val="standardContextual"/>
        </w:rPr>
        <w:t xml:space="preserve">لقياس </w:t>
      </w:r>
      <w:r w:rsidRPr="00362D29">
        <w:rPr>
          <w:rFonts w:ascii="Traditional Arabic" w:eastAsia="Aptos" w:hAnsi="Traditional Arabic" w:cs="Traditional Arabic"/>
          <w:kern w:val="2"/>
          <w:sz w:val="24"/>
          <w:szCs w:val="24"/>
          <w:rtl/>
          <w14:ligatures w14:val="standardContextual"/>
        </w:rPr>
        <w:t>جودة الرعاية الصحية، يُرمز لها اختصاراً بـ (</w:t>
      </w:r>
      <w:r w:rsidRPr="00362D29">
        <w:rPr>
          <w:rFonts w:ascii="Traditional Arabic" w:eastAsia="Aptos" w:hAnsi="Traditional Arabic" w:cs="Traditional Arabic"/>
          <w:kern w:val="2"/>
          <w:sz w:val="24"/>
          <w:szCs w:val="24"/>
          <w14:ligatures w14:val="standardContextual"/>
        </w:rPr>
        <w:t>STEEEP</w:t>
      </w:r>
      <w:r w:rsidRPr="00362D29">
        <w:rPr>
          <w:rFonts w:ascii="Traditional Arabic" w:eastAsia="Aptos" w:hAnsi="Traditional Arabic" w:cs="Traditional Arabic"/>
          <w:kern w:val="2"/>
          <w:sz w:val="24"/>
          <w:szCs w:val="24"/>
          <w:rtl/>
          <w14:ligatures w14:val="standardContextual"/>
        </w:rPr>
        <w:t xml:space="preserve">). وتأتي تجربة المريض (المتمثلة في الرعاية </w:t>
      </w:r>
      <w:r w:rsidR="00457999" w:rsidRPr="00362D29">
        <w:rPr>
          <w:rFonts w:ascii="Traditional Arabic" w:eastAsia="Aptos" w:hAnsi="Traditional Arabic" w:cs="Traditional Arabic"/>
          <w:kern w:val="2"/>
          <w:sz w:val="24"/>
          <w:szCs w:val="24"/>
          <w:rtl/>
          <w14:ligatures w14:val="standardContextual"/>
        </w:rPr>
        <w:t>المرتكزة</w:t>
      </w:r>
      <w:r w:rsidRPr="00362D29">
        <w:rPr>
          <w:rFonts w:ascii="Traditional Arabic" w:eastAsia="Aptos" w:hAnsi="Traditional Arabic" w:cs="Traditional Arabic"/>
          <w:kern w:val="2"/>
          <w:sz w:val="24"/>
          <w:szCs w:val="24"/>
          <w:rtl/>
          <w14:ligatures w14:val="standardContextual"/>
        </w:rPr>
        <w:t xml:space="preserve"> </w:t>
      </w:r>
      <w:r w:rsidR="00457999" w:rsidRPr="00362D29">
        <w:rPr>
          <w:rFonts w:ascii="Traditional Arabic" w:eastAsia="Aptos" w:hAnsi="Traditional Arabic" w:cs="Traditional Arabic"/>
          <w:kern w:val="2"/>
          <w:sz w:val="24"/>
          <w:szCs w:val="24"/>
          <w:rtl/>
          <w14:ligatures w14:val="standardContextual"/>
        </w:rPr>
        <w:t>على</w:t>
      </w:r>
      <w:r w:rsidRPr="00362D29">
        <w:rPr>
          <w:rFonts w:ascii="Traditional Arabic" w:eastAsia="Aptos" w:hAnsi="Traditional Arabic" w:cs="Traditional Arabic"/>
          <w:kern w:val="2"/>
          <w:sz w:val="24"/>
          <w:szCs w:val="24"/>
          <w:rtl/>
          <w14:ligatures w14:val="standardContextual"/>
        </w:rPr>
        <w:t xml:space="preserve"> المريض) كأحد هذه الأبعاد الجوهرية </w:t>
      </w:r>
      <w:r w:rsidR="00AD1231" w:rsidRPr="00362D29">
        <w:rPr>
          <w:rFonts w:ascii="Traditional Arabic" w:eastAsia="Aptos" w:hAnsi="Traditional Arabic" w:cs="Traditional Arabic"/>
          <w:kern w:val="2"/>
          <w:sz w:val="24"/>
          <w:szCs w:val="24"/>
          <w:rtl/>
          <w14:ligatures w14:val="standardContextual"/>
        </w:rPr>
        <w:t>(</w:t>
      </w:r>
      <w:r w:rsidR="00AD1231" w:rsidRPr="00362D29">
        <w:rPr>
          <w:rFonts w:ascii="Traditional Arabic" w:eastAsia="Aptos" w:hAnsi="Traditional Arabic" w:cs="Traditional Arabic"/>
          <w:kern w:val="2"/>
          <w:sz w:val="24"/>
          <w:szCs w:val="24"/>
          <w14:ligatures w14:val="standardContextual"/>
        </w:rPr>
        <w:t>Health Academy, 2022</w:t>
      </w:r>
      <w:r w:rsidR="00AD1231" w:rsidRPr="00362D29">
        <w:rPr>
          <w:rFonts w:ascii="Traditional Arabic" w:eastAsia="Aptos" w:hAnsi="Traditional Arabic" w:cs="Traditional Arabic"/>
          <w:kern w:val="2"/>
          <w:sz w:val="24"/>
          <w:szCs w:val="24"/>
          <w:rtl/>
          <w14:ligatures w14:val="standardContextual"/>
        </w:rPr>
        <w:t>).</w:t>
      </w:r>
    </w:p>
    <w:p w14:paraId="29A1AC85" w14:textId="700927B9" w:rsidR="00073274" w:rsidRPr="00362D29" w:rsidRDefault="00073274" w:rsidP="00362D29">
      <w:pPr>
        <w:pStyle w:val="ab"/>
        <w:numPr>
          <w:ilvl w:val="0"/>
          <w:numId w:val="60"/>
        </w:num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الرعاية الآمنة</w:t>
      </w:r>
      <w:r w:rsidR="0046653F" w:rsidRPr="00362D29">
        <w:rPr>
          <w:rFonts w:ascii="Traditional Arabic" w:eastAsia="Aptos" w:hAnsi="Traditional Arabic" w:cs="Traditional Arabic"/>
          <w:b/>
          <w:bCs/>
          <w:kern w:val="2"/>
          <w:sz w:val="24"/>
          <w:szCs w:val="24"/>
          <w:rtl/>
          <w14:ligatures w14:val="standardContextual"/>
        </w:rPr>
        <w:t xml:space="preserve"> (</w:t>
      </w:r>
      <w:r w:rsidR="0046653F" w:rsidRPr="00362D29">
        <w:rPr>
          <w:rFonts w:ascii="Traditional Arabic" w:eastAsia="Aptos" w:hAnsi="Traditional Arabic" w:cs="Traditional Arabic"/>
          <w:b/>
          <w:bCs/>
          <w:kern w:val="2"/>
          <w:sz w:val="24"/>
          <w:szCs w:val="24"/>
          <w14:ligatures w14:val="standardContextual"/>
        </w:rPr>
        <w:t>S</w:t>
      </w:r>
      <w:r w:rsidR="0046653F" w:rsidRPr="00362D29">
        <w:rPr>
          <w:rFonts w:ascii="Traditional Arabic" w:eastAsia="Aptos" w:hAnsi="Traditional Arabic" w:cs="Traditional Arabic"/>
          <w:b/>
          <w:bCs/>
          <w:kern w:val="2"/>
          <w:sz w:val="24"/>
          <w:szCs w:val="24"/>
          <w:rtl/>
          <w14:ligatures w14:val="standardContextual"/>
        </w:rPr>
        <w:t>) -</w:t>
      </w:r>
      <w:r w:rsidRPr="00362D29">
        <w:rPr>
          <w:rFonts w:ascii="Traditional Arabic" w:eastAsia="Aptos" w:hAnsi="Traditional Arabic" w:cs="Traditional Arabic"/>
          <w:b/>
          <w:bCs/>
          <w:kern w:val="2"/>
          <w:sz w:val="24"/>
          <w:szCs w:val="24"/>
          <w:rtl/>
          <w14:ligatures w14:val="standardContextual"/>
        </w:rPr>
        <w:t xml:space="preserve"> (</w:t>
      </w:r>
      <w:r w:rsidRPr="00362D29">
        <w:rPr>
          <w:rFonts w:ascii="Traditional Arabic" w:eastAsia="Aptos" w:hAnsi="Traditional Arabic" w:cs="Traditional Arabic"/>
          <w:b/>
          <w:bCs/>
          <w:kern w:val="2"/>
          <w:sz w:val="24"/>
          <w:szCs w:val="24"/>
          <w14:ligatures w14:val="standardContextual"/>
        </w:rPr>
        <w:t>Safe</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تجنب إلحاق الأذى بالمرضى من الرعاية التي تهدف لمساعدتهم.</w:t>
      </w:r>
    </w:p>
    <w:p w14:paraId="42BD2902" w14:textId="2A45DE1E" w:rsidR="00F03797" w:rsidRPr="00362D29" w:rsidRDefault="00F03797" w:rsidP="00362D29">
      <w:pPr>
        <w:pStyle w:val="ab"/>
        <w:numPr>
          <w:ilvl w:val="0"/>
          <w:numId w:val="60"/>
        </w:num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الرعاية في الوقت المناسب (</w:t>
      </w:r>
      <w:r w:rsidRPr="00362D29">
        <w:rPr>
          <w:rFonts w:ascii="Traditional Arabic" w:eastAsia="Aptos" w:hAnsi="Traditional Arabic" w:cs="Traditional Arabic"/>
          <w:b/>
          <w:bCs/>
          <w:kern w:val="2"/>
          <w:sz w:val="24"/>
          <w:szCs w:val="24"/>
          <w14:ligatures w14:val="standardContextual"/>
        </w:rPr>
        <w:t>T</w:t>
      </w:r>
      <w:r w:rsidRPr="00362D29">
        <w:rPr>
          <w:rFonts w:ascii="Traditional Arabic" w:eastAsia="Aptos" w:hAnsi="Traditional Arabic" w:cs="Traditional Arabic"/>
          <w:b/>
          <w:bCs/>
          <w:kern w:val="2"/>
          <w:sz w:val="24"/>
          <w:szCs w:val="24"/>
          <w:rtl/>
          <w14:ligatures w14:val="standardContextual"/>
        </w:rPr>
        <w:t>) - (</w:t>
      </w:r>
      <w:r w:rsidRPr="00362D29">
        <w:rPr>
          <w:rFonts w:ascii="Traditional Arabic" w:eastAsia="Aptos" w:hAnsi="Traditional Arabic" w:cs="Traditional Arabic"/>
          <w:b/>
          <w:bCs/>
          <w:kern w:val="2"/>
          <w:sz w:val="24"/>
          <w:szCs w:val="24"/>
          <w14:ligatures w14:val="standardContextual"/>
        </w:rPr>
        <w:t>Timely</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تقليل فترات الانتظار والتأخير الضار أحياناً.</w:t>
      </w:r>
    </w:p>
    <w:p w14:paraId="26ABB75B" w14:textId="5566ECC1" w:rsidR="00F03797" w:rsidRPr="00362D29" w:rsidRDefault="00F03797" w:rsidP="00362D29">
      <w:pPr>
        <w:pStyle w:val="ab"/>
        <w:numPr>
          <w:ilvl w:val="0"/>
          <w:numId w:val="60"/>
        </w:num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الرعاية الفعالة (</w:t>
      </w:r>
      <w:r w:rsidRPr="00362D29">
        <w:rPr>
          <w:rFonts w:ascii="Traditional Arabic" w:eastAsia="Aptos" w:hAnsi="Traditional Arabic" w:cs="Traditional Arabic"/>
          <w:b/>
          <w:bCs/>
          <w:kern w:val="2"/>
          <w:sz w:val="24"/>
          <w:szCs w:val="24"/>
          <w14:ligatures w14:val="standardContextual"/>
        </w:rPr>
        <w:t>E</w:t>
      </w:r>
      <w:r w:rsidRPr="00362D29">
        <w:rPr>
          <w:rFonts w:ascii="Traditional Arabic" w:eastAsia="Aptos" w:hAnsi="Traditional Arabic" w:cs="Traditional Arabic"/>
          <w:b/>
          <w:bCs/>
          <w:kern w:val="2"/>
          <w:sz w:val="24"/>
          <w:szCs w:val="24"/>
          <w:rtl/>
          <w14:ligatures w14:val="standardContextual"/>
        </w:rPr>
        <w:t>) - (</w:t>
      </w:r>
      <w:r w:rsidRPr="00362D29">
        <w:rPr>
          <w:rFonts w:ascii="Traditional Arabic" w:eastAsia="Aptos" w:hAnsi="Traditional Arabic" w:cs="Traditional Arabic"/>
          <w:b/>
          <w:bCs/>
          <w:kern w:val="2"/>
          <w:sz w:val="24"/>
          <w:szCs w:val="24"/>
          <w14:ligatures w14:val="standardContextual"/>
        </w:rPr>
        <w:t>Effective</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تقديم الخدمات بناءً على المعرفة العلمية لكل من يمكنه الاستفادة منها.</w:t>
      </w:r>
    </w:p>
    <w:p w14:paraId="0D182233" w14:textId="6895895E" w:rsidR="00EC07D8" w:rsidRPr="00362D29" w:rsidRDefault="00EC07D8" w:rsidP="00362D29">
      <w:pPr>
        <w:pStyle w:val="ab"/>
        <w:numPr>
          <w:ilvl w:val="0"/>
          <w:numId w:val="60"/>
        </w:num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الرعاية الكفؤة</w:t>
      </w:r>
      <w:r w:rsidR="00F82EE8" w:rsidRPr="00362D29">
        <w:rPr>
          <w:rFonts w:ascii="Traditional Arabic" w:eastAsia="Aptos" w:hAnsi="Traditional Arabic" w:cs="Traditional Arabic"/>
          <w:b/>
          <w:bCs/>
          <w:kern w:val="2"/>
          <w:sz w:val="24"/>
          <w:szCs w:val="24"/>
          <w:rtl/>
          <w14:ligatures w14:val="standardContextual"/>
        </w:rPr>
        <w:t xml:space="preserve"> (</w:t>
      </w:r>
      <w:r w:rsidR="00F82EE8" w:rsidRPr="00362D29">
        <w:rPr>
          <w:rFonts w:ascii="Traditional Arabic" w:eastAsia="Aptos" w:hAnsi="Traditional Arabic" w:cs="Traditional Arabic"/>
          <w:b/>
          <w:bCs/>
          <w:kern w:val="2"/>
          <w:sz w:val="24"/>
          <w:szCs w:val="24"/>
          <w14:ligatures w14:val="standardContextual"/>
        </w:rPr>
        <w:t>E</w:t>
      </w:r>
      <w:r w:rsidR="00F82EE8" w:rsidRPr="00362D29">
        <w:rPr>
          <w:rFonts w:ascii="Traditional Arabic" w:eastAsia="Aptos" w:hAnsi="Traditional Arabic" w:cs="Traditional Arabic"/>
          <w:b/>
          <w:bCs/>
          <w:kern w:val="2"/>
          <w:sz w:val="24"/>
          <w:szCs w:val="24"/>
          <w:rtl/>
          <w14:ligatures w14:val="standardContextual"/>
        </w:rPr>
        <w:t>) -</w:t>
      </w:r>
      <w:r w:rsidRPr="00362D29">
        <w:rPr>
          <w:rFonts w:ascii="Traditional Arabic" w:eastAsia="Aptos" w:hAnsi="Traditional Arabic" w:cs="Traditional Arabic"/>
          <w:b/>
          <w:bCs/>
          <w:kern w:val="2"/>
          <w:sz w:val="24"/>
          <w:szCs w:val="24"/>
          <w:rtl/>
          <w14:ligatures w14:val="standardContextual"/>
        </w:rPr>
        <w:t xml:space="preserve"> (</w:t>
      </w:r>
      <w:r w:rsidRPr="00362D29">
        <w:rPr>
          <w:rFonts w:ascii="Traditional Arabic" w:eastAsia="Aptos" w:hAnsi="Traditional Arabic" w:cs="Traditional Arabic"/>
          <w:b/>
          <w:bCs/>
          <w:kern w:val="2"/>
          <w:sz w:val="24"/>
          <w:szCs w:val="24"/>
          <w14:ligatures w14:val="standardContextual"/>
        </w:rPr>
        <w:t>Efficient</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تجنب الهدر في المعدات، والإمدادات، والأفكار، والطاقة.</w:t>
      </w:r>
    </w:p>
    <w:p w14:paraId="1F6AFB59" w14:textId="4BC3D282" w:rsidR="00F017DA" w:rsidRPr="00362D29" w:rsidRDefault="00F017DA" w:rsidP="00362D29">
      <w:pPr>
        <w:pStyle w:val="ab"/>
        <w:numPr>
          <w:ilvl w:val="0"/>
          <w:numId w:val="60"/>
        </w:num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الرعاية العادلة</w:t>
      </w:r>
      <w:r w:rsidR="004466EF" w:rsidRPr="00362D29">
        <w:rPr>
          <w:rFonts w:ascii="Traditional Arabic" w:eastAsia="Aptos" w:hAnsi="Traditional Arabic" w:cs="Traditional Arabic"/>
          <w:b/>
          <w:bCs/>
          <w:kern w:val="2"/>
          <w:sz w:val="24"/>
          <w:szCs w:val="24"/>
          <w:rtl/>
          <w14:ligatures w14:val="standardContextual"/>
        </w:rPr>
        <w:t xml:space="preserve"> (</w:t>
      </w:r>
      <w:r w:rsidR="004466EF" w:rsidRPr="00362D29">
        <w:rPr>
          <w:rFonts w:ascii="Traditional Arabic" w:eastAsia="Aptos" w:hAnsi="Traditional Arabic" w:cs="Traditional Arabic"/>
          <w:b/>
          <w:bCs/>
          <w:kern w:val="2"/>
          <w:sz w:val="24"/>
          <w:szCs w:val="24"/>
          <w14:ligatures w14:val="standardContextual"/>
        </w:rPr>
        <w:t>E</w:t>
      </w:r>
      <w:r w:rsidR="004466EF" w:rsidRPr="00362D29">
        <w:rPr>
          <w:rFonts w:ascii="Traditional Arabic" w:eastAsia="Aptos" w:hAnsi="Traditional Arabic" w:cs="Traditional Arabic"/>
          <w:b/>
          <w:bCs/>
          <w:kern w:val="2"/>
          <w:sz w:val="24"/>
          <w:szCs w:val="24"/>
          <w:rtl/>
          <w14:ligatures w14:val="standardContextual"/>
        </w:rPr>
        <w:t>) -</w:t>
      </w:r>
      <w:r w:rsidRPr="00362D29">
        <w:rPr>
          <w:rFonts w:ascii="Traditional Arabic" w:eastAsia="Aptos" w:hAnsi="Traditional Arabic" w:cs="Traditional Arabic"/>
          <w:b/>
          <w:bCs/>
          <w:kern w:val="2"/>
          <w:sz w:val="24"/>
          <w:szCs w:val="24"/>
          <w:rtl/>
          <w14:ligatures w14:val="standardContextual"/>
        </w:rPr>
        <w:t xml:space="preserve"> (</w:t>
      </w:r>
      <w:r w:rsidRPr="00362D29">
        <w:rPr>
          <w:rFonts w:ascii="Traditional Arabic" w:eastAsia="Aptos" w:hAnsi="Traditional Arabic" w:cs="Traditional Arabic"/>
          <w:b/>
          <w:bCs/>
          <w:kern w:val="2"/>
          <w:sz w:val="24"/>
          <w:szCs w:val="24"/>
          <w14:ligatures w14:val="standardContextual"/>
        </w:rPr>
        <w:t>Equitable</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تقديم رعاية لا تختلف جودتها بسبب الخصائص الشخصية مثل الجنس أو العرق أو الموقع الجغرافي.</w:t>
      </w:r>
    </w:p>
    <w:p w14:paraId="337225E3" w14:textId="326FACA1" w:rsidR="00073274" w:rsidRPr="00362D29" w:rsidRDefault="00073274" w:rsidP="00362D29">
      <w:pPr>
        <w:pStyle w:val="ab"/>
        <w:numPr>
          <w:ilvl w:val="0"/>
          <w:numId w:val="60"/>
        </w:num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الرعاية </w:t>
      </w:r>
      <w:r w:rsidR="0046653F" w:rsidRPr="00362D29">
        <w:rPr>
          <w:rFonts w:ascii="Traditional Arabic" w:eastAsia="Aptos" w:hAnsi="Traditional Arabic" w:cs="Traditional Arabic"/>
          <w:b/>
          <w:bCs/>
          <w:kern w:val="2"/>
          <w:sz w:val="24"/>
          <w:szCs w:val="24"/>
          <w:rtl/>
          <w14:ligatures w14:val="standardContextual"/>
        </w:rPr>
        <w:t>المرتكزة على</w:t>
      </w:r>
      <w:r w:rsidRPr="00362D29">
        <w:rPr>
          <w:rFonts w:ascii="Traditional Arabic" w:eastAsia="Aptos" w:hAnsi="Traditional Arabic" w:cs="Traditional Arabic"/>
          <w:b/>
          <w:bCs/>
          <w:kern w:val="2"/>
          <w:sz w:val="24"/>
          <w:szCs w:val="24"/>
          <w:rtl/>
          <w14:ligatures w14:val="standardContextual"/>
        </w:rPr>
        <w:t xml:space="preserve"> المريض</w:t>
      </w:r>
      <w:r w:rsidR="0046653F" w:rsidRPr="00362D29">
        <w:rPr>
          <w:rFonts w:ascii="Traditional Arabic" w:eastAsia="Aptos" w:hAnsi="Traditional Arabic" w:cs="Traditional Arabic"/>
          <w:b/>
          <w:bCs/>
          <w:kern w:val="2"/>
          <w:sz w:val="24"/>
          <w:szCs w:val="24"/>
          <w:rtl/>
          <w14:ligatures w14:val="standardContextual"/>
        </w:rPr>
        <w:t xml:space="preserve"> (</w:t>
      </w:r>
      <w:r w:rsidR="002F7CDA" w:rsidRPr="00362D29">
        <w:rPr>
          <w:rFonts w:ascii="Traditional Arabic" w:eastAsia="Aptos" w:hAnsi="Traditional Arabic" w:cs="Traditional Arabic"/>
          <w:b/>
          <w:bCs/>
          <w:kern w:val="2"/>
          <w:sz w:val="24"/>
          <w:szCs w:val="24"/>
          <w14:ligatures w14:val="standardContextual"/>
        </w:rPr>
        <w:t>P</w:t>
      </w:r>
      <w:r w:rsidR="002F7CDA" w:rsidRPr="00362D29">
        <w:rPr>
          <w:rFonts w:ascii="Traditional Arabic" w:eastAsia="Aptos" w:hAnsi="Traditional Arabic" w:cs="Traditional Arabic"/>
          <w:b/>
          <w:bCs/>
          <w:kern w:val="2"/>
          <w:sz w:val="24"/>
          <w:szCs w:val="24"/>
          <w:rtl/>
          <w14:ligatures w14:val="standardContextual"/>
        </w:rPr>
        <w:t>) -</w:t>
      </w:r>
      <w:r w:rsidRPr="00362D29">
        <w:rPr>
          <w:rFonts w:ascii="Traditional Arabic" w:eastAsia="Aptos" w:hAnsi="Traditional Arabic" w:cs="Traditional Arabic"/>
          <w:b/>
          <w:bCs/>
          <w:kern w:val="2"/>
          <w:sz w:val="24"/>
          <w:szCs w:val="24"/>
          <w:rtl/>
          <w14:ligatures w14:val="standardContextual"/>
        </w:rPr>
        <w:t xml:space="preserve"> (</w:t>
      </w:r>
      <w:r w:rsidRPr="00362D29">
        <w:rPr>
          <w:rFonts w:ascii="Traditional Arabic" w:eastAsia="Aptos" w:hAnsi="Traditional Arabic" w:cs="Traditional Arabic"/>
          <w:b/>
          <w:bCs/>
          <w:kern w:val="2"/>
          <w:sz w:val="24"/>
          <w:szCs w:val="24"/>
          <w14:ligatures w14:val="standardContextual"/>
        </w:rPr>
        <w:t>Patient-centered/Patient Experience</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تقديم رعاية تحترم تفضيلات المريض الفردية واحتياجاته وقيمه، وتضمن أن قيم المريض هي التي توجه جميع القرارات السريرية.</w:t>
      </w:r>
    </w:p>
    <w:p w14:paraId="5C3B0840" w14:textId="4E2B275B" w:rsidR="00073274" w:rsidRPr="00362D29" w:rsidRDefault="00073274"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2. </w:t>
      </w:r>
      <w:r w:rsidR="00CD5D0A" w:rsidRPr="00362D29">
        <w:rPr>
          <w:rFonts w:ascii="Traditional Arabic" w:eastAsia="Aptos" w:hAnsi="Traditional Arabic" w:cs="Traditional Arabic"/>
          <w:b/>
          <w:bCs/>
          <w:kern w:val="2"/>
          <w:sz w:val="24"/>
          <w:szCs w:val="24"/>
          <w:rtl/>
          <w14:ligatures w14:val="standardContextual"/>
        </w:rPr>
        <w:t>مقاييس جودة ال</w:t>
      </w:r>
      <w:r w:rsidR="00BB0416" w:rsidRPr="00362D29">
        <w:rPr>
          <w:rFonts w:ascii="Traditional Arabic" w:eastAsia="Aptos" w:hAnsi="Traditional Arabic" w:cs="Traditional Arabic"/>
          <w:b/>
          <w:bCs/>
          <w:kern w:val="2"/>
          <w:sz w:val="24"/>
          <w:szCs w:val="24"/>
          <w:rtl/>
          <w14:ligatures w14:val="standardContextual"/>
        </w:rPr>
        <w:t>رعاية الصحية:</w:t>
      </w:r>
      <w:r w:rsidRPr="00362D29">
        <w:rPr>
          <w:rFonts w:ascii="Traditional Arabic" w:eastAsia="Aptos" w:hAnsi="Traditional Arabic" w:cs="Traditional Arabic"/>
          <w:b/>
          <w:bCs/>
          <w:kern w:val="2"/>
          <w:sz w:val="24"/>
          <w:szCs w:val="24"/>
          <w:rtl/>
          <w14:ligatures w14:val="standardContextual"/>
        </w:rPr>
        <w:t xml:space="preserve"> تجربة المريض والفعالية السريرية وسلامة المريض</w:t>
      </w:r>
    </w:p>
    <w:p w14:paraId="5FB86E24" w14:textId="1C336D3C" w:rsidR="00073274" w:rsidRPr="00362D29" w:rsidRDefault="00510AAC"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تؤ</w:t>
      </w:r>
      <w:r w:rsidR="0057633B" w:rsidRPr="00362D29">
        <w:rPr>
          <w:rFonts w:ascii="Traditional Arabic" w:eastAsia="Aptos" w:hAnsi="Traditional Arabic" w:cs="Traditional Arabic"/>
          <w:kern w:val="2"/>
          <w:sz w:val="24"/>
          <w:szCs w:val="24"/>
          <w:rtl/>
          <w14:ligatures w14:val="standardContextual"/>
        </w:rPr>
        <w:t>كد</w:t>
      </w:r>
      <w:r w:rsidR="00073274" w:rsidRPr="00362D29">
        <w:rPr>
          <w:rFonts w:ascii="Traditional Arabic" w:eastAsia="Aptos" w:hAnsi="Traditional Arabic" w:cs="Traditional Arabic"/>
          <w:kern w:val="2"/>
          <w:sz w:val="24"/>
          <w:szCs w:val="24"/>
          <w:rtl/>
          <w14:ligatures w14:val="standardContextual"/>
        </w:rPr>
        <w:t xml:space="preserve"> </w:t>
      </w:r>
      <w:r w:rsidR="00D9607B" w:rsidRPr="00362D29">
        <w:rPr>
          <w:rFonts w:ascii="Traditional Arabic" w:eastAsia="Aptos" w:hAnsi="Traditional Arabic" w:cs="Traditional Arabic"/>
          <w:kern w:val="2"/>
          <w:sz w:val="24"/>
          <w:szCs w:val="24"/>
          <w:rtl/>
          <w14:ligatures w14:val="standardContextual"/>
        </w:rPr>
        <w:t>المعاهد الوطنية الأمريكية للصحة (</w:t>
      </w:r>
      <w:r w:rsidR="00D9607B" w:rsidRPr="00362D29">
        <w:rPr>
          <w:rFonts w:ascii="Traditional Arabic" w:eastAsia="Aptos" w:hAnsi="Traditional Arabic" w:cs="Traditional Arabic"/>
          <w:kern w:val="2"/>
          <w:sz w:val="24"/>
          <w:szCs w:val="24"/>
          <w14:ligatures w14:val="standardContextual"/>
        </w:rPr>
        <w:t>NIH, 2024</w:t>
      </w:r>
      <w:r w:rsidR="00D9607B" w:rsidRPr="00362D29">
        <w:rPr>
          <w:rFonts w:ascii="Traditional Arabic" w:eastAsia="Aptos" w:hAnsi="Traditional Arabic" w:cs="Traditional Arabic"/>
          <w:kern w:val="2"/>
          <w:sz w:val="24"/>
          <w:szCs w:val="24"/>
          <w:rtl/>
          <w14:ligatures w14:val="standardContextual"/>
        </w:rPr>
        <w:t>) وهيئة الخدمات الصحية الوطنية البريطانية (</w:t>
      </w:r>
      <w:r w:rsidR="00D9607B" w:rsidRPr="00362D29">
        <w:rPr>
          <w:rFonts w:ascii="Traditional Arabic" w:eastAsia="Aptos" w:hAnsi="Traditional Arabic" w:cs="Traditional Arabic"/>
          <w:kern w:val="2"/>
          <w:sz w:val="24"/>
          <w:szCs w:val="24"/>
          <w14:ligatures w14:val="standardContextual"/>
        </w:rPr>
        <w:t>NHS, 2011</w:t>
      </w:r>
      <w:r w:rsidR="00D9607B" w:rsidRPr="00362D29">
        <w:rPr>
          <w:rFonts w:ascii="Traditional Arabic" w:eastAsia="Aptos" w:hAnsi="Traditional Arabic" w:cs="Traditional Arabic"/>
          <w:kern w:val="2"/>
          <w:sz w:val="24"/>
          <w:szCs w:val="24"/>
          <w:rtl/>
          <w14:ligatures w14:val="standardContextual"/>
        </w:rPr>
        <w:t>)، على أن</w:t>
      </w:r>
      <w:r w:rsidR="00073274" w:rsidRPr="00362D29">
        <w:rPr>
          <w:rFonts w:ascii="Traditional Arabic" w:eastAsia="Aptos" w:hAnsi="Traditional Arabic" w:cs="Traditional Arabic"/>
          <w:kern w:val="2"/>
          <w:sz w:val="24"/>
          <w:szCs w:val="24"/>
          <w:rtl/>
          <w14:ligatures w14:val="standardContextual"/>
        </w:rPr>
        <w:t>،</w:t>
      </w:r>
      <w:r w:rsidR="00F91F36" w:rsidRPr="00362D29">
        <w:rPr>
          <w:rFonts w:ascii="Traditional Arabic" w:eastAsia="Aptos" w:hAnsi="Traditional Arabic" w:cs="Traditional Arabic"/>
          <w:kern w:val="2"/>
          <w:sz w:val="24"/>
          <w:szCs w:val="24"/>
          <w:rtl/>
          <w14:ligatures w14:val="standardContextual"/>
        </w:rPr>
        <w:t xml:space="preserve"> مؤشرات قياس</w:t>
      </w:r>
      <w:r w:rsidR="00073274" w:rsidRPr="00362D29">
        <w:rPr>
          <w:rFonts w:ascii="Traditional Arabic" w:eastAsia="Aptos" w:hAnsi="Traditional Arabic" w:cs="Traditional Arabic"/>
          <w:kern w:val="2"/>
          <w:sz w:val="24"/>
          <w:szCs w:val="24"/>
          <w:rtl/>
          <w14:ligatures w14:val="standardContextual"/>
        </w:rPr>
        <w:t xml:space="preserve"> تجربة المريض ليست منفصلة عن </w:t>
      </w:r>
      <w:r w:rsidR="00DE0B8C" w:rsidRPr="00362D29">
        <w:rPr>
          <w:rFonts w:ascii="Traditional Arabic" w:eastAsia="Aptos" w:hAnsi="Traditional Arabic" w:cs="Traditional Arabic"/>
          <w:kern w:val="2"/>
          <w:sz w:val="24"/>
          <w:szCs w:val="24"/>
          <w:rtl/>
          <w14:ligatures w14:val="standardContextual"/>
        </w:rPr>
        <w:t xml:space="preserve">مؤشرات قياس </w:t>
      </w:r>
      <w:r w:rsidR="00073274" w:rsidRPr="00362D29">
        <w:rPr>
          <w:rFonts w:ascii="Traditional Arabic" w:eastAsia="Aptos" w:hAnsi="Traditional Arabic" w:cs="Traditional Arabic"/>
          <w:kern w:val="2"/>
          <w:sz w:val="24"/>
          <w:szCs w:val="24"/>
          <w:rtl/>
          <w14:ligatures w14:val="standardContextual"/>
        </w:rPr>
        <w:t>الجوانب الفنية للرعاية</w:t>
      </w:r>
      <w:r w:rsidR="00DE0B8C" w:rsidRPr="00362D29">
        <w:rPr>
          <w:rFonts w:ascii="Traditional Arabic" w:eastAsia="Aptos" w:hAnsi="Traditional Arabic" w:cs="Traditional Arabic"/>
          <w:kern w:val="2"/>
          <w:sz w:val="24"/>
          <w:szCs w:val="24"/>
          <w:rtl/>
          <w14:ligatures w14:val="standardContextual"/>
        </w:rPr>
        <w:t xml:space="preserve"> الصحية</w:t>
      </w:r>
      <w:r w:rsidR="00073274" w:rsidRPr="00362D29">
        <w:rPr>
          <w:rFonts w:ascii="Traditional Arabic" w:eastAsia="Aptos" w:hAnsi="Traditional Arabic" w:cs="Traditional Arabic"/>
          <w:kern w:val="2"/>
          <w:sz w:val="24"/>
          <w:szCs w:val="24"/>
          <w:rtl/>
          <w14:ligatures w14:val="standardContextual"/>
        </w:rPr>
        <w:t>، بل هي مرتبطة بها ارتباطاً وثيقاً و</w:t>
      </w:r>
      <w:r w:rsidR="004E147A" w:rsidRPr="00362D29">
        <w:rPr>
          <w:rFonts w:ascii="Traditional Arabic" w:eastAsia="Aptos" w:hAnsi="Traditional Arabic" w:cs="Traditional Arabic"/>
          <w:kern w:val="2"/>
          <w:sz w:val="24"/>
          <w:szCs w:val="24"/>
          <w:rtl/>
          <w14:ligatures w14:val="standardContextual"/>
        </w:rPr>
        <w:t xml:space="preserve">تتأثر بها </w:t>
      </w:r>
      <w:r w:rsidR="006B3CD4" w:rsidRPr="00362D29">
        <w:rPr>
          <w:rFonts w:ascii="Traditional Arabic" w:eastAsia="Aptos" w:hAnsi="Traditional Arabic" w:cs="Traditional Arabic"/>
          <w:kern w:val="2"/>
          <w:sz w:val="24"/>
          <w:szCs w:val="24"/>
          <w:rtl/>
          <w14:ligatures w14:val="standardContextual"/>
        </w:rPr>
        <w:t>وتؤثر</w:t>
      </w:r>
      <w:r w:rsidR="00073274" w:rsidRPr="00362D29">
        <w:rPr>
          <w:rFonts w:ascii="Traditional Arabic" w:eastAsia="Aptos" w:hAnsi="Traditional Arabic" w:cs="Traditional Arabic"/>
          <w:kern w:val="2"/>
          <w:sz w:val="24"/>
          <w:szCs w:val="24"/>
          <w:rtl/>
          <w14:ligatures w14:val="standardContextual"/>
        </w:rPr>
        <w:t xml:space="preserve"> فيها بشكل مباشر </w:t>
      </w:r>
      <w:r w:rsidR="00961618" w:rsidRPr="00362D29">
        <w:rPr>
          <w:rFonts w:ascii="Traditional Arabic" w:eastAsia="Aptos" w:hAnsi="Traditional Arabic" w:cs="Traditional Arabic"/>
          <w:kern w:val="2"/>
          <w:sz w:val="24"/>
          <w:szCs w:val="24"/>
          <w:rtl/>
          <w14:ligatures w14:val="standardContextual"/>
        </w:rPr>
        <w:t>(</w:t>
      </w:r>
      <w:r w:rsidR="00961618" w:rsidRPr="00362D29">
        <w:rPr>
          <w:rFonts w:ascii="Traditional Arabic" w:eastAsia="Aptos" w:hAnsi="Traditional Arabic" w:cs="Traditional Arabic"/>
          <w:kern w:val="2"/>
          <w:sz w:val="24"/>
          <w:szCs w:val="24"/>
          <w14:ligatures w14:val="standardContextual"/>
        </w:rPr>
        <w:t>Health Academy, 2022</w:t>
      </w:r>
      <w:r w:rsidR="00961618" w:rsidRPr="00362D29">
        <w:rPr>
          <w:rFonts w:ascii="Traditional Arabic" w:eastAsia="Aptos" w:hAnsi="Traditional Arabic" w:cs="Traditional Arabic"/>
          <w:kern w:val="2"/>
          <w:sz w:val="24"/>
          <w:szCs w:val="24"/>
          <w:rtl/>
          <w14:ligatures w14:val="standardContextual"/>
        </w:rPr>
        <w:t xml:space="preserve">) ، </w:t>
      </w:r>
      <w:r w:rsidR="00073274" w:rsidRPr="00362D29">
        <w:rPr>
          <w:rFonts w:ascii="Traditional Arabic" w:eastAsia="Aptos" w:hAnsi="Traditional Arabic" w:cs="Traditional Arabic"/>
          <w:kern w:val="2"/>
          <w:sz w:val="24"/>
          <w:szCs w:val="24"/>
          <w:rtl/>
          <w14:ligatures w14:val="standardContextual"/>
        </w:rPr>
        <w:t>ويمكن توضيح هذه العلاقة التكاملية من خلال النقاط التالية:</w:t>
      </w:r>
    </w:p>
    <w:p w14:paraId="416654B0" w14:textId="19D4C9E7" w:rsidR="00073274" w:rsidRPr="00362D29" w:rsidRDefault="00073274" w:rsidP="00362D29">
      <w:pPr>
        <w:pStyle w:val="ab"/>
        <w:numPr>
          <w:ilvl w:val="0"/>
          <w:numId w:val="58"/>
        </w:num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lastRenderedPageBreak/>
        <w:t>المخرجات السريرية:</w:t>
      </w:r>
      <w:r w:rsidRPr="00362D29">
        <w:rPr>
          <w:rFonts w:ascii="Traditional Arabic" w:eastAsia="Aptos" w:hAnsi="Traditional Arabic" w:cs="Traditional Arabic"/>
          <w:kern w:val="2"/>
          <w:sz w:val="24"/>
          <w:szCs w:val="24"/>
          <w:rtl/>
          <w14:ligatures w14:val="standardContextual"/>
        </w:rPr>
        <w:t xml:space="preserve"> أثبتت الأدلة البحثية أن المنظمات الأكثر تركيزاً على المريض تحقق نتائج سريرية أفضل. فعلى سبيل المثال، يظهر مرضى السكري مهارات أفضل في الإدارة الذاتية لحالتهم وجودة حياة أعلى عندما يبلغون عن تفاعلات إيجابية مع مقدمي الخدمة </w:t>
      </w:r>
      <w:r w:rsidR="00961618" w:rsidRPr="00362D29">
        <w:rPr>
          <w:rFonts w:ascii="Traditional Arabic" w:eastAsia="Aptos" w:hAnsi="Traditional Arabic" w:cs="Traditional Arabic"/>
          <w:kern w:val="2"/>
          <w:sz w:val="24"/>
          <w:szCs w:val="24"/>
          <w:rtl/>
          <w14:ligatures w14:val="standardContextual"/>
        </w:rPr>
        <w:t>(</w:t>
      </w:r>
      <w:r w:rsidR="00961618" w:rsidRPr="00362D29">
        <w:rPr>
          <w:rFonts w:ascii="Traditional Arabic" w:eastAsia="Aptos" w:hAnsi="Traditional Arabic" w:cs="Traditional Arabic"/>
          <w:kern w:val="2"/>
          <w:sz w:val="24"/>
          <w:szCs w:val="24"/>
          <w14:ligatures w14:val="standardContextual"/>
        </w:rPr>
        <w:t>Health Academy, 2022</w:t>
      </w:r>
      <w:r w:rsidR="00961618" w:rsidRPr="00362D29">
        <w:rPr>
          <w:rFonts w:ascii="Traditional Arabic" w:eastAsia="Aptos" w:hAnsi="Traditional Arabic" w:cs="Traditional Arabic"/>
          <w:kern w:val="2"/>
          <w:sz w:val="24"/>
          <w:szCs w:val="24"/>
          <w:rtl/>
          <w14:ligatures w14:val="standardContextual"/>
        </w:rPr>
        <w:t>).</w:t>
      </w:r>
    </w:p>
    <w:p w14:paraId="0DCBB636" w14:textId="6997CC47" w:rsidR="00073274" w:rsidRPr="00362D29" w:rsidRDefault="00073274" w:rsidP="00362D29">
      <w:pPr>
        <w:pStyle w:val="ab"/>
        <w:numPr>
          <w:ilvl w:val="0"/>
          <w:numId w:val="58"/>
        </w:num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سلامة المرضى:</w:t>
      </w:r>
      <w:r w:rsidRPr="00362D29">
        <w:rPr>
          <w:rFonts w:ascii="Traditional Arabic" w:eastAsia="Aptos" w:hAnsi="Traditional Arabic" w:cs="Traditional Arabic"/>
          <w:kern w:val="2"/>
          <w:sz w:val="24"/>
          <w:szCs w:val="24"/>
          <w:rtl/>
          <w14:ligatures w14:val="standardContextual"/>
        </w:rPr>
        <w:t xml:space="preserve"> يؤدي التواصل الفعال بين الطبيب والمريض إلى زيادة الالتزام بتناول الأدوية واتباع الخطط العلاجية، مما يقلل من احتمالية وقوع الأخطاء الطبية أو الانتكاسات الناتجة عن سوء الفهم (</w:t>
      </w:r>
      <w:r w:rsidRPr="00362D29">
        <w:rPr>
          <w:rFonts w:ascii="Traditional Arabic" w:eastAsia="Aptos" w:hAnsi="Traditional Arabic" w:cs="Traditional Arabic"/>
          <w:kern w:val="2"/>
          <w:sz w:val="24"/>
          <w:szCs w:val="24"/>
          <w14:ligatures w14:val="standardContextual"/>
        </w:rPr>
        <w:t>Alsubahi et al., 2025</w:t>
      </w:r>
      <w:r w:rsidRPr="00362D29">
        <w:rPr>
          <w:rFonts w:ascii="Traditional Arabic" w:eastAsia="Aptos" w:hAnsi="Traditional Arabic" w:cs="Traditional Arabic"/>
          <w:kern w:val="2"/>
          <w:sz w:val="24"/>
          <w:szCs w:val="24"/>
          <w:rtl/>
          <w14:ligatures w14:val="standardContextual"/>
        </w:rPr>
        <w:t>).</w:t>
      </w:r>
    </w:p>
    <w:p w14:paraId="56F09519" w14:textId="382225AD" w:rsidR="00961618" w:rsidRPr="00362D29" w:rsidRDefault="00073274" w:rsidP="00362D29">
      <w:pPr>
        <w:pStyle w:val="ab"/>
        <w:numPr>
          <w:ilvl w:val="0"/>
          <w:numId w:val="58"/>
        </w:numPr>
        <w:bidi/>
        <w:spacing w:before="0" w:after="160" w:line="360" w:lineRule="auto"/>
        <w:jc w:val="both"/>
        <w:rPr>
          <w:rFonts w:ascii="Traditional Arabic" w:eastAsia="Aptos" w:hAnsi="Traditional Arabic" w:cs="Traditional Arabic"/>
          <w:b/>
          <w:bCs/>
          <w:kern w:val="2"/>
          <w:sz w:val="24"/>
          <w:szCs w:val="24"/>
          <w14:ligatures w14:val="standardContextual"/>
        </w:rPr>
      </w:pPr>
      <w:r w:rsidRPr="00362D29">
        <w:rPr>
          <w:rFonts w:ascii="Traditional Arabic" w:eastAsia="Aptos" w:hAnsi="Traditional Arabic" w:cs="Traditional Arabic"/>
          <w:b/>
          <w:bCs/>
          <w:kern w:val="2"/>
          <w:sz w:val="24"/>
          <w:szCs w:val="24"/>
          <w:rtl/>
          <w14:ligatures w14:val="standardContextual"/>
        </w:rPr>
        <w:t>عملية الشفاء:</w:t>
      </w:r>
      <w:r w:rsidRPr="00362D29">
        <w:rPr>
          <w:rFonts w:ascii="Traditional Arabic" w:eastAsia="Aptos" w:hAnsi="Traditional Arabic" w:cs="Traditional Arabic"/>
          <w:kern w:val="2"/>
          <w:sz w:val="24"/>
          <w:szCs w:val="24"/>
          <w:rtl/>
          <w14:ligatures w14:val="standardContextual"/>
        </w:rPr>
        <w:t xml:space="preserve"> يسهم الدعم العاطفي وتخفيف القلق والخوف لدى المريض في تسريع عملية الاستشفاء، حيث أن الحالة النفسية الإيجابية للمريض تعد عاملاً حاسماً في استجابة الجسم للعلاج (</w:t>
      </w:r>
      <w:r w:rsidRPr="00362D29">
        <w:rPr>
          <w:rFonts w:ascii="Traditional Arabic" w:eastAsia="Aptos" w:hAnsi="Traditional Arabic" w:cs="Traditional Arabic"/>
          <w:kern w:val="2"/>
          <w:sz w:val="24"/>
          <w:szCs w:val="24"/>
          <w14:ligatures w14:val="standardContextual"/>
        </w:rPr>
        <w:t>Oben, 2020</w:t>
      </w:r>
      <w:r w:rsidRPr="00362D29">
        <w:rPr>
          <w:rFonts w:ascii="Traditional Arabic" w:eastAsia="Aptos" w:hAnsi="Traditional Arabic" w:cs="Traditional Arabic"/>
          <w:kern w:val="2"/>
          <w:sz w:val="24"/>
          <w:szCs w:val="24"/>
          <w:rtl/>
          <w14:ligatures w14:val="standardContextual"/>
        </w:rPr>
        <w:t xml:space="preserve">; </w:t>
      </w:r>
      <w:r w:rsidR="00961618" w:rsidRPr="00362D29">
        <w:rPr>
          <w:rFonts w:ascii="Traditional Arabic" w:eastAsia="Aptos" w:hAnsi="Traditional Arabic" w:cs="Traditional Arabic"/>
          <w:kern w:val="2"/>
          <w:sz w:val="24"/>
          <w:szCs w:val="24"/>
          <w14:ligatures w14:val="standardContextual"/>
        </w:rPr>
        <w:t>Health Academy, 2022</w:t>
      </w:r>
      <w:r w:rsidR="00961618" w:rsidRPr="00362D29">
        <w:rPr>
          <w:rFonts w:ascii="Traditional Arabic" w:eastAsia="Aptos" w:hAnsi="Traditional Arabic" w:cs="Traditional Arabic"/>
          <w:kern w:val="2"/>
          <w:sz w:val="24"/>
          <w:szCs w:val="24"/>
          <w:rtl/>
          <w14:ligatures w14:val="standardContextual"/>
        </w:rPr>
        <w:t>).</w:t>
      </w:r>
    </w:p>
    <w:p w14:paraId="0E99B22B" w14:textId="3BA8D498" w:rsidR="00073274" w:rsidRPr="00362D29" w:rsidRDefault="00073274"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3. تجربة المريض </w:t>
      </w:r>
      <w:r w:rsidR="009A57DF" w:rsidRPr="00362D29">
        <w:rPr>
          <w:rFonts w:ascii="Traditional Arabic" w:eastAsia="Aptos" w:hAnsi="Traditional Arabic" w:cs="Traditional Arabic"/>
          <w:b/>
          <w:bCs/>
          <w:kern w:val="2"/>
          <w:sz w:val="24"/>
          <w:szCs w:val="24"/>
          <w:rtl/>
          <w14:ligatures w14:val="standardContextual"/>
        </w:rPr>
        <w:t>كمقياس</w:t>
      </w:r>
      <w:r w:rsidRPr="00362D29">
        <w:rPr>
          <w:rFonts w:ascii="Traditional Arabic" w:eastAsia="Aptos" w:hAnsi="Traditional Arabic" w:cs="Traditional Arabic"/>
          <w:b/>
          <w:bCs/>
          <w:kern w:val="2"/>
          <w:sz w:val="24"/>
          <w:szCs w:val="24"/>
          <w:rtl/>
          <w14:ligatures w14:val="standardContextual"/>
        </w:rPr>
        <w:t xml:space="preserve"> هام في </w:t>
      </w:r>
      <w:r w:rsidR="009B4A61" w:rsidRPr="00362D29">
        <w:rPr>
          <w:rFonts w:ascii="Traditional Arabic" w:eastAsia="Aptos" w:hAnsi="Traditional Arabic" w:cs="Traditional Arabic"/>
          <w:b/>
          <w:bCs/>
          <w:kern w:val="2"/>
          <w:sz w:val="24"/>
          <w:szCs w:val="24"/>
          <w:rtl/>
          <w14:ligatures w14:val="standardContextual"/>
        </w:rPr>
        <w:t xml:space="preserve">تحقيق </w:t>
      </w:r>
      <w:r w:rsidRPr="00362D29">
        <w:rPr>
          <w:rFonts w:ascii="Traditional Arabic" w:eastAsia="Aptos" w:hAnsi="Traditional Arabic" w:cs="Traditional Arabic"/>
          <w:b/>
          <w:bCs/>
          <w:kern w:val="2"/>
          <w:sz w:val="24"/>
          <w:szCs w:val="24"/>
          <w:rtl/>
          <w14:ligatures w14:val="standardContextual"/>
        </w:rPr>
        <w:t>الهدف الثلاثي (</w:t>
      </w:r>
      <w:r w:rsidRPr="00362D29">
        <w:rPr>
          <w:rFonts w:ascii="Traditional Arabic" w:eastAsia="Aptos" w:hAnsi="Traditional Arabic" w:cs="Traditional Arabic"/>
          <w:b/>
          <w:bCs/>
          <w:kern w:val="2"/>
          <w:sz w:val="24"/>
          <w:szCs w:val="24"/>
          <w14:ligatures w14:val="standardContextual"/>
        </w:rPr>
        <w:t>Triple Aim</w:t>
      </w:r>
      <w:r w:rsidRPr="00362D29">
        <w:rPr>
          <w:rFonts w:ascii="Traditional Arabic" w:eastAsia="Aptos" w:hAnsi="Traditional Arabic" w:cs="Traditional Arabic"/>
          <w:b/>
          <w:bCs/>
          <w:kern w:val="2"/>
          <w:sz w:val="24"/>
          <w:szCs w:val="24"/>
          <w:rtl/>
          <w14:ligatures w14:val="standardContextual"/>
        </w:rPr>
        <w:t>)</w:t>
      </w:r>
    </w:p>
    <w:p w14:paraId="3954C402" w14:textId="46BB8842" w:rsidR="00073274" w:rsidRPr="00362D29" w:rsidRDefault="00073274"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يُعد إطار "الهدف الثلاثي" (</w:t>
      </w:r>
      <w:r w:rsidRPr="00362D29">
        <w:rPr>
          <w:rFonts w:ascii="Traditional Arabic" w:eastAsia="Aptos" w:hAnsi="Traditional Arabic" w:cs="Traditional Arabic"/>
          <w:kern w:val="2"/>
          <w:sz w:val="24"/>
          <w:szCs w:val="24"/>
          <w14:ligatures w14:val="standardContextual"/>
        </w:rPr>
        <w:t>Triple Aim</w:t>
      </w:r>
      <w:r w:rsidRPr="00362D29">
        <w:rPr>
          <w:rFonts w:ascii="Traditional Arabic" w:eastAsia="Aptos" w:hAnsi="Traditional Arabic" w:cs="Traditional Arabic"/>
          <w:kern w:val="2"/>
          <w:sz w:val="24"/>
          <w:szCs w:val="24"/>
          <w:rtl/>
          <w14:ligatures w14:val="standardContextual"/>
        </w:rPr>
        <w:t xml:space="preserve">)، الذي طوره معهد تحسين الرعاية الصحية </w:t>
      </w:r>
      <w:r w:rsidR="009561AA" w:rsidRPr="00362D29">
        <w:rPr>
          <w:rFonts w:ascii="Traditional Arabic" w:eastAsia="Aptos" w:hAnsi="Traditional Arabic" w:cs="Traditional Arabic"/>
          <w:kern w:val="2"/>
          <w:sz w:val="24"/>
          <w:szCs w:val="24"/>
          <w:rtl/>
          <w14:ligatures w14:val="standardContextual"/>
        </w:rPr>
        <w:t>(</w:t>
      </w:r>
      <w:r w:rsidR="009561AA" w:rsidRPr="00362D29">
        <w:rPr>
          <w:rFonts w:ascii="Traditional Arabic" w:eastAsia="Aptos" w:hAnsi="Traditional Arabic" w:cs="Traditional Arabic"/>
          <w:kern w:val="2"/>
          <w:sz w:val="24"/>
          <w:szCs w:val="24"/>
          <w14:ligatures w14:val="standardContextual"/>
        </w:rPr>
        <w:t>IHI, 2024</w:t>
      </w:r>
      <w:r w:rsidR="009561AA" w:rsidRPr="00362D29">
        <w:rPr>
          <w:rFonts w:ascii="Traditional Arabic" w:eastAsia="Aptos" w:hAnsi="Traditional Arabic" w:cs="Traditional Arabic"/>
          <w:kern w:val="2"/>
          <w:sz w:val="24"/>
          <w:szCs w:val="24"/>
          <w:rtl/>
          <w14:ligatures w14:val="standardContextual"/>
        </w:rPr>
        <w:t xml:space="preserve">)، </w:t>
      </w:r>
      <w:r w:rsidRPr="00362D29">
        <w:rPr>
          <w:rFonts w:ascii="Traditional Arabic" w:eastAsia="Aptos" w:hAnsi="Traditional Arabic" w:cs="Traditional Arabic"/>
          <w:kern w:val="2"/>
          <w:sz w:val="24"/>
          <w:szCs w:val="24"/>
          <w:rtl/>
          <w14:ligatures w14:val="standardContextual"/>
        </w:rPr>
        <w:t>نموذجاً استراتيجياً لتحسين أداء الأنظمة الصحية</w:t>
      </w:r>
      <w:r w:rsidR="00831A92" w:rsidRPr="00362D29">
        <w:rPr>
          <w:rFonts w:ascii="Traditional Arabic" w:eastAsia="Aptos" w:hAnsi="Traditional Arabic" w:cs="Traditional Arabic"/>
          <w:kern w:val="2"/>
          <w:sz w:val="24"/>
          <w:szCs w:val="24"/>
          <w:rtl/>
          <w14:ligatures w14:val="standardContextual"/>
        </w:rPr>
        <w:t xml:space="preserve"> و</w:t>
      </w:r>
      <w:r w:rsidR="008E7EE6" w:rsidRPr="00362D29">
        <w:rPr>
          <w:rFonts w:ascii="Traditional Arabic" w:eastAsia="Aptos" w:hAnsi="Traditional Arabic" w:cs="Traditional Arabic"/>
          <w:kern w:val="2"/>
          <w:sz w:val="24"/>
          <w:szCs w:val="24"/>
          <w:rtl/>
          <w14:ligatures w14:val="standardContextual"/>
        </w:rPr>
        <w:t xml:space="preserve">يتضمن (تحسين تجربة المريض ، تحسين صحة السكان ، </w:t>
      </w:r>
      <w:r w:rsidR="00DB5FB7" w:rsidRPr="00362D29">
        <w:rPr>
          <w:rFonts w:ascii="Traditional Arabic" w:eastAsia="Aptos" w:hAnsi="Traditional Arabic" w:cs="Traditional Arabic"/>
          <w:kern w:val="2"/>
          <w:sz w:val="24"/>
          <w:szCs w:val="24"/>
          <w:rtl/>
          <w14:ligatures w14:val="standardContextual"/>
        </w:rPr>
        <w:t>خفض تكلفة الرعاية)</w:t>
      </w:r>
      <w:r w:rsidRPr="00362D29">
        <w:rPr>
          <w:rFonts w:ascii="Traditional Arabic" w:eastAsia="Aptos" w:hAnsi="Traditional Arabic" w:cs="Traditional Arabic"/>
          <w:kern w:val="2"/>
          <w:sz w:val="24"/>
          <w:szCs w:val="24"/>
          <w:rtl/>
          <w14:ligatures w14:val="standardContextual"/>
        </w:rPr>
        <w:t xml:space="preserve">. وتعتبر تجربة المريض هي الركيزة الأولى والأساسية </w:t>
      </w:r>
      <w:r w:rsidR="002A1E9E" w:rsidRPr="00362D29">
        <w:rPr>
          <w:rFonts w:ascii="Traditional Arabic" w:eastAsia="Aptos" w:hAnsi="Traditional Arabic" w:cs="Traditional Arabic"/>
          <w:kern w:val="2"/>
          <w:sz w:val="24"/>
          <w:szCs w:val="24"/>
          <w:rtl/>
          <w14:ligatures w14:val="standardContextual"/>
        </w:rPr>
        <w:t>كمؤشر لقياس</w:t>
      </w:r>
      <w:r w:rsidRPr="00362D29">
        <w:rPr>
          <w:rFonts w:ascii="Traditional Arabic" w:eastAsia="Aptos" w:hAnsi="Traditional Arabic" w:cs="Traditional Arabic"/>
          <w:kern w:val="2"/>
          <w:sz w:val="24"/>
          <w:szCs w:val="24"/>
          <w:rtl/>
          <w14:ligatures w14:val="standardContextual"/>
        </w:rPr>
        <w:t xml:space="preserve"> تحقيق هذا الهدف </w:t>
      </w:r>
      <w:r w:rsidR="00A8235E" w:rsidRPr="00362D29">
        <w:rPr>
          <w:rFonts w:ascii="Traditional Arabic" w:eastAsia="Aptos" w:hAnsi="Traditional Arabic" w:cs="Traditional Arabic"/>
          <w:kern w:val="2"/>
          <w:sz w:val="24"/>
          <w:szCs w:val="24"/>
          <w:rtl/>
          <w14:ligatures w14:val="standardContextual"/>
        </w:rPr>
        <w:t>(</w:t>
      </w:r>
      <w:r w:rsidR="00A8235E" w:rsidRPr="00362D29">
        <w:rPr>
          <w:rFonts w:ascii="Traditional Arabic" w:eastAsia="Aptos" w:hAnsi="Traditional Arabic" w:cs="Traditional Arabic"/>
          <w:kern w:val="2"/>
          <w:sz w:val="24"/>
          <w:szCs w:val="24"/>
          <w14:ligatures w14:val="standardContextual"/>
        </w:rPr>
        <w:t>Health Academy, 2022</w:t>
      </w:r>
      <w:r w:rsidR="00A8235E" w:rsidRPr="00362D29">
        <w:rPr>
          <w:rFonts w:ascii="Traditional Arabic" w:eastAsia="Aptos" w:hAnsi="Traditional Arabic" w:cs="Traditional Arabic"/>
          <w:kern w:val="2"/>
          <w:sz w:val="24"/>
          <w:szCs w:val="24"/>
          <w:rtl/>
          <w14:ligatures w14:val="standardContextual"/>
        </w:rPr>
        <w:t>):</w:t>
      </w:r>
    </w:p>
    <w:p w14:paraId="03F056E6" w14:textId="26639EF1" w:rsidR="00073274" w:rsidRPr="00362D29" w:rsidRDefault="00073274" w:rsidP="00362D29">
      <w:pPr>
        <w:pStyle w:val="ab"/>
        <w:numPr>
          <w:ilvl w:val="0"/>
          <w:numId w:val="59"/>
        </w:num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تحسين تجربة المريض في الرعاية (بما في ذلك الجودة والرضا):</w:t>
      </w:r>
      <w:r w:rsidRPr="00362D29">
        <w:rPr>
          <w:rFonts w:ascii="Traditional Arabic" w:eastAsia="Aptos" w:hAnsi="Traditional Arabic" w:cs="Traditional Arabic"/>
          <w:kern w:val="2"/>
          <w:sz w:val="24"/>
          <w:szCs w:val="24"/>
          <w:rtl/>
          <w14:ligatures w14:val="standardContextual"/>
        </w:rPr>
        <w:t xml:space="preserve"> هي نقطة الانطلاق، حيث أن خلق تجربة إيجابية يؤدي إلى "تفعيل المريض" (</w:t>
      </w:r>
      <w:r w:rsidRPr="00362D29">
        <w:rPr>
          <w:rFonts w:ascii="Traditional Arabic" w:eastAsia="Aptos" w:hAnsi="Traditional Arabic" w:cs="Traditional Arabic"/>
          <w:kern w:val="2"/>
          <w:sz w:val="24"/>
          <w:szCs w:val="24"/>
          <w14:ligatures w14:val="standardContextual"/>
        </w:rPr>
        <w:t>Patient Activation</w:t>
      </w:r>
      <w:r w:rsidRPr="00362D29">
        <w:rPr>
          <w:rFonts w:ascii="Traditional Arabic" w:eastAsia="Aptos" w:hAnsi="Traditional Arabic" w:cs="Traditional Arabic"/>
          <w:kern w:val="2"/>
          <w:sz w:val="24"/>
          <w:szCs w:val="24"/>
          <w:rtl/>
          <w14:ligatures w14:val="standardContextual"/>
        </w:rPr>
        <w:t>)، مما يمكنه من تحمل مسؤولية صحته والالتزام بخطته العلاجية.</w:t>
      </w:r>
    </w:p>
    <w:p w14:paraId="364264AF" w14:textId="4D39B2E1" w:rsidR="00073274" w:rsidRPr="00362D29" w:rsidRDefault="00073274" w:rsidP="00362D29">
      <w:pPr>
        <w:pStyle w:val="ab"/>
        <w:numPr>
          <w:ilvl w:val="0"/>
          <w:numId w:val="59"/>
        </w:num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تحسين صحة السكان:</w:t>
      </w:r>
      <w:r w:rsidRPr="00362D29">
        <w:rPr>
          <w:rFonts w:ascii="Traditional Arabic" w:eastAsia="Aptos" w:hAnsi="Traditional Arabic" w:cs="Traditional Arabic"/>
          <w:kern w:val="2"/>
          <w:sz w:val="24"/>
          <w:szCs w:val="24"/>
          <w:rtl/>
          <w14:ligatures w14:val="standardContextual"/>
        </w:rPr>
        <w:t xml:space="preserve"> من خلال التزام المرضى بالرعاية الوقائية والفحوصات الدورية نتيجة لتجربتهم الإيجابية مع النظام الصحي.</w:t>
      </w:r>
    </w:p>
    <w:p w14:paraId="2C1D7115" w14:textId="53530048" w:rsidR="00073274" w:rsidRPr="00362D29" w:rsidRDefault="00073274" w:rsidP="00362D29">
      <w:pPr>
        <w:pStyle w:val="ab"/>
        <w:numPr>
          <w:ilvl w:val="0"/>
          <w:numId w:val="59"/>
        </w:num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خفض تكلفة الرعاية الصحية للفرد:</w:t>
      </w:r>
      <w:r w:rsidRPr="00362D29">
        <w:rPr>
          <w:rFonts w:ascii="Traditional Arabic" w:eastAsia="Aptos" w:hAnsi="Traditional Arabic" w:cs="Traditional Arabic"/>
          <w:kern w:val="2"/>
          <w:sz w:val="24"/>
          <w:szCs w:val="24"/>
          <w:rtl/>
          <w14:ligatures w14:val="standardContextual"/>
        </w:rPr>
        <w:t xml:space="preserve"> المرضى "المفعلون" والمنخرطون في رعايتهم غالباً ما تكون تكاليف رعايتهم أقل على المدى الطويل بسبب قلة الانتكاسات والحاجة إلى التدخلات الطارئة المكلفة </w:t>
      </w:r>
      <w:r w:rsidR="00A8235E" w:rsidRPr="00362D29">
        <w:rPr>
          <w:rFonts w:ascii="Traditional Arabic" w:eastAsia="Aptos" w:hAnsi="Traditional Arabic" w:cs="Traditional Arabic"/>
          <w:kern w:val="2"/>
          <w:sz w:val="24"/>
          <w:szCs w:val="24"/>
          <w:rtl/>
          <w14:ligatures w14:val="standardContextual"/>
        </w:rPr>
        <w:t>(</w:t>
      </w:r>
      <w:r w:rsidR="00A8235E" w:rsidRPr="00362D29">
        <w:rPr>
          <w:rFonts w:ascii="Traditional Arabic" w:eastAsia="Aptos" w:hAnsi="Traditional Arabic" w:cs="Traditional Arabic"/>
          <w:kern w:val="2"/>
          <w:sz w:val="24"/>
          <w:szCs w:val="24"/>
          <w14:ligatures w14:val="standardContextual"/>
        </w:rPr>
        <w:t>Health Academy, 2022</w:t>
      </w:r>
      <w:r w:rsidR="00A8235E" w:rsidRPr="00362D29">
        <w:rPr>
          <w:rFonts w:ascii="Traditional Arabic" w:eastAsia="Aptos" w:hAnsi="Traditional Arabic" w:cs="Traditional Arabic"/>
          <w:kern w:val="2"/>
          <w:sz w:val="24"/>
          <w:szCs w:val="24"/>
          <w:rtl/>
          <w14:ligatures w14:val="standardContextual"/>
        </w:rPr>
        <w:t>).</w:t>
      </w:r>
    </w:p>
    <w:p w14:paraId="0087EE80" w14:textId="77777777" w:rsidR="00073274" w:rsidRPr="00362D29" w:rsidRDefault="00073274"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إن دمج تجربة المريض ضمن هذه الأطر العالمية يؤكد على أنها معيار موضوعي لجودة المستشفى، وتكشف مقاييسها عن مشكلات نظامية هامة مثل الفجوات في التواصل أو التأخير في النتائج، مما يساهم في تحسين الكفاءة الكلية للمنظمة الصحية (</w:t>
      </w:r>
      <w:r w:rsidRPr="00362D29">
        <w:rPr>
          <w:rFonts w:ascii="Traditional Arabic" w:eastAsia="Aptos" w:hAnsi="Traditional Arabic" w:cs="Traditional Arabic"/>
          <w:kern w:val="2"/>
          <w:sz w:val="24"/>
          <w:szCs w:val="24"/>
          <w14:ligatures w14:val="standardContextual"/>
        </w:rPr>
        <w:t>Jamieson Gilmore et al., 2025</w:t>
      </w:r>
      <w:r w:rsidRPr="00362D29">
        <w:rPr>
          <w:rFonts w:ascii="Traditional Arabic" w:eastAsia="Aptos" w:hAnsi="Traditional Arabic" w:cs="Traditional Arabic"/>
          <w:kern w:val="2"/>
          <w:sz w:val="24"/>
          <w:szCs w:val="24"/>
          <w:rtl/>
          <w14:ligatures w14:val="standardContextual"/>
        </w:rPr>
        <w:t>).</w:t>
      </w:r>
    </w:p>
    <w:p w14:paraId="3AF4EB54" w14:textId="77777777" w:rsidR="009B108B" w:rsidRPr="00362D29" w:rsidRDefault="009B108B"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p>
    <w:p w14:paraId="7EC95AFA" w14:textId="77777777" w:rsidR="00A07479" w:rsidRPr="00362D29" w:rsidRDefault="00A07479"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p>
    <w:p w14:paraId="1655CB09" w14:textId="77777777" w:rsidR="00087D96" w:rsidRPr="00362D29" w:rsidRDefault="00087D96"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p>
    <w:p w14:paraId="7C0BAC5D" w14:textId="77777777" w:rsidR="0085770B" w:rsidRPr="00362D29" w:rsidRDefault="0085770B"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p>
    <w:p w14:paraId="654B0BB5" w14:textId="3791DDF1" w:rsidR="001F73E2" w:rsidRPr="00362D29" w:rsidRDefault="00714036" w:rsidP="00362D29">
      <w:pPr>
        <w:bidi/>
        <w:spacing w:before="0" w:after="160" w:line="360" w:lineRule="auto"/>
        <w:jc w:val="both"/>
        <w:rPr>
          <w:rFonts w:ascii="Traditional Arabic" w:eastAsia="Aptos" w:hAnsi="Traditional Arabic" w:cs="Traditional Arabic"/>
          <w:b/>
          <w:bCs/>
          <w:kern w:val="2"/>
          <w:sz w:val="28"/>
          <w:szCs w:val="28"/>
          <w:rtl/>
          <w14:ligatures w14:val="standardContextual"/>
        </w:rPr>
      </w:pPr>
      <w:r w:rsidRPr="00362D29">
        <w:rPr>
          <w:rFonts w:ascii="Traditional Arabic" w:eastAsia="Aptos" w:hAnsi="Traditional Arabic" w:cs="Traditional Arabic"/>
          <w:b/>
          <w:bCs/>
          <w:kern w:val="2"/>
          <w:sz w:val="28"/>
          <w:szCs w:val="28"/>
          <w:rtl/>
          <w14:ligatures w14:val="standardContextual"/>
        </w:rPr>
        <w:lastRenderedPageBreak/>
        <w:t>سادس</w:t>
      </w:r>
      <w:r w:rsidR="00AC783D" w:rsidRPr="00362D29">
        <w:rPr>
          <w:rFonts w:ascii="Traditional Arabic" w:eastAsia="Aptos" w:hAnsi="Traditional Arabic" w:cs="Traditional Arabic"/>
          <w:b/>
          <w:bCs/>
          <w:kern w:val="2"/>
          <w:sz w:val="28"/>
          <w:szCs w:val="28"/>
          <w:rtl/>
          <w14:ligatures w14:val="standardContextual"/>
        </w:rPr>
        <w:t>اً</w:t>
      </w:r>
      <w:r w:rsidR="001F73E2" w:rsidRPr="00362D29">
        <w:rPr>
          <w:rFonts w:ascii="Traditional Arabic" w:eastAsia="Aptos" w:hAnsi="Traditional Arabic" w:cs="Traditional Arabic"/>
          <w:b/>
          <w:bCs/>
          <w:kern w:val="2"/>
          <w:sz w:val="28"/>
          <w:szCs w:val="28"/>
          <w:rtl/>
          <w14:ligatures w14:val="standardContextual"/>
        </w:rPr>
        <w:t>: الأطر المختلفة لتجربة المريض</w:t>
      </w:r>
    </w:p>
    <w:p w14:paraId="0B0CFA0F" w14:textId="77777777" w:rsidR="001F73E2" w:rsidRPr="00362D29" w:rsidRDefault="001F73E2"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استعرضت الأدبيات عدة أطر مفاهيمية واستراتيجية لفهم وتحسين تجربة المريض، وفيما يلي شرح وافٍ لهذه الأطر:</w:t>
      </w:r>
    </w:p>
    <w:p w14:paraId="0BE1BE69" w14:textId="14C6C097" w:rsidR="001F73E2" w:rsidRPr="00362D29" w:rsidRDefault="001F73E2" w:rsidP="00362D29">
      <w:pPr>
        <w:numPr>
          <w:ilvl w:val="0"/>
          <w:numId w:val="51"/>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الإطار المفاهيمي لرحلة الإنسان (</w:t>
      </w:r>
      <w:r w:rsidRPr="00362D29">
        <w:rPr>
          <w:rFonts w:ascii="Traditional Arabic" w:eastAsia="Aptos" w:hAnsi="Traditional Arabic" w:cs="Traditional Arabic"/>
          <w:b/>
          <w:bCs/>
          <w:kern w:val="2"/>
          <w:sz w:val="24"/>
          <w:szCs w:val="24"/>
          <w14:ligatures w14:val="standardContextual"/>
        </w:rPr>
        <w:t xml:space="preserve">Human Experience </w:t>
      </w:r>
      <w:r w:rsidR="00C35683" w:rsidRPr="00362D29">
        <w:rPr>
          <w:rFonts w:ascii="Traditional Arabic" w:eastAsia="Aptos" w:hAnsi="Traditional Arabic" w:cs="Traditional Arabic"/>
          <w:b/>
          <w:bCs/>
          <w:kern w:val="2"/>
          <w:sz w:val="24"/>
          <w:szCs w:val="24"/>
          <w14:ligatures w14:val="standardContextual"/>
        </w:rPr>
        <w:t xml:space="preserve">Conceptual </w:t>
      </w:r>
      <w:r w:rsidRPr="00362D29">
        <w:rPr>
          <w:rFonts w:ascii="Traditional Arabic" w:eastAsia="Aptos" w:hAnsi="Traditional Arabic" w:cs="Traditional Arabic"/>
          <w:b/>
          <w:bCs/>
          <w:kern w:val="2"/>
          <w:sz w:val="24"/>
          <w:szCs w:val="24"/>
          <w14:ligatures w14:val="standardContextual"/>
        </w:rPr>
        <w:t>Framework</w:t>
      </w:r>
      <w:r w:rsidRPr="00362D29">
        <w:rPr>
          <w:rFonts w:ascii="Traditional Arabic" w:eastAsia="Aptos" w:hAnsi="Traditional Arabic" w:cs="Traditional Arabic"/>
          <w:b/>
          <w:bCs/>
          <w:kern w:val="2"/>
          <w:sz w:val="24"/>
          <w:szCs w:val="24"/>
          <w:rtl/>
          <w14:ligatures w14:val="standardContextual"/>
        </w:rPr>
        <w:t>)</w:t>
      </w:r>
    </w:p>
    <w:p w14:paraId="6E527505" w14:textId="77777777" w:rsidR="001F73E2" w:rsidRPr="00362D29" w:rsidRDefault="001F73E2"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يرتكز هذا الإطار على فلسفة أن الرعاية الصحية ليست مجرد صناعة خدمات، بل هي علاقة إنسانية عميقة (</w:t>
      </w:r>
      <w:r w:rsidRPr="00362D29">
        <w:rPr>
          <w:rFonts w:ascii="Traditional Arabic" w:eastAsia="Aptos" w:hAnsi="Traditional Arabic" w:cs="Traditional Arabic"/>
          <w:kern w:val="2"/>
          <w:sz w:val="24"/>
          <w:szCs w:val="24"/>
          <w14:ligatures w14:val="standardContextual"/>
        </w:rPr>
        <w:t>Oben, 2020</w:t>
      </w:r>
      <w:r w:rsidRPr="00362D29">
        <w:rPr>
          <w:rFonts w:ascii="Traditional Arabic" w:eastAsia="Aptos" w:hAnsi="Traditional Arabic" w:cs="Traditional Arabic"/>
          <w:kern w:val="2"/>
          <w:sz w:val="24"/>
          <w:szCs w:val="24"/>
          <w:rtl/>
          <w14:ligatures w14:val="standardContextual"/>
        </w:rPr>
        <w:t>). يوضح هذا الإطار أن الفرد يمر بثلاث مراحل مفاهيمية:</w:t>
      </w:r>
    </w:p>
    <w:p w14:paraId="6C602777" w14:textId="6FB1F564" w:rsidR="001F73E2" w:rsidRPr="00362D29" w:rsidRDefault="001F73E2" w:rsidP="00362D29">
      <w:pPr>
        <w:pStyle w:val="ab"/>
        <w:numPr>
          <w:ilvl w:val="0"/>
          <w:numId w:val="54"/>
        </w:num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الإنسان (</w:t>
      </w:r>
      <w:r w:rsidRPr="00362D29">
        <w:rPr>
          <w:rFonts w:ascii="Traditional Arabic" w:eastAsia="Aptos" w:hAnsi="Traditional Arabic" w:cs="Traditional Arabic"/>
          <w:b/>
          <w:bCs/>
          <w:kern w:val="2"/>
          <w:sz w:val="24"/>
          <w:szCs w:val="24"/>
          <w14:ligatures w14:val="standardContextual"/>
        </w:rPr>
        <w:t>The Person</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هو الفرد في حالته الطبيعية الفريدة قبل المرض، حيث تشكل قيمه ومعتقداته وخلفيته الثقافية الأساس الذي سيبني عليه تصوراته لاحقاً.</w:t>
      </w:r>
    </w:p>
    <w:p w14:paraId="3FD6FABD" w14:textId="191FF0F2" w:rsidR="001F73E2" w:rsidRPr="00362D29" w:rsidRDefault="001F73E2" w:rsidP="00362D29">
      <w:pPr>
        <w:pStyle w:val="ab"/>
        <w:numPr>
          <w:ilvl w:val="0"/>
          <w:numId w:val="54"/>
        </w:num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المريض (</w:t>
      </w:r>
      <w:r w:rsidRPr="00362D29">
        <w:rPr>
          <w:rFonts w:ascii="Traditional Arabic" w:eastAsia="Aptos" w:hAnsi="Traditional Arabic" w:cs="Traditional Arabic"/>
          <w:b/>
          <w:bCs/>
          <w:kern w:val="2"/>
          <w:sz w:val="24"/>
          <w:szCs w:val="24"/>
          <w14:ligatures w14:val="standardContextual"/>
        </w:rPr>
        <w:t>The Patient</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هو الإنسان الذي يعاني من أعراض المرض، وهنا تبدأ التجربة النفسية والجسدية للألم والقلق قبل حتى التفاعل مع النظام الصحي.</w:t>
      </w:r>
    </w:p>
    <w:p w14:paraId="355DFDE7" w14:textId="796B31E0" w:rsidR="001F73E2" w:rsidRPr="00362D29" w:rsidRDefault="001F73E2" w:rsidP="00362D29">
      <w:pPr>
        <w:pStyle w:val="ab"/>
        <w:numPr>
          <w:ilvl w:val="0"/>
          <w:numId w:val="54"/>
        </w:num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المستخدم (</w:t>
      </w:r>
      <w:r w:rsidRPr="00362D29">
        <w:rPr>
          <w:rFonts w:ascii="Traditional Arabic" w:eastAsia="Aptos" w:hAnsi="Traditional Arabic" w:cs="Traditional Arabic"/>
          <w:b/>
          <w:bCs/>
          <w:kern w:val="2"/>
          <w:sz w:val="24"/>
          <w:szCs w:val="24"/>
          <w14:ligatures w14:val="standardContextual"/>
        </w:rPr>
        <w:t>The User</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هو المريض عندما يبدأ أول تفاعل له مع خدمات الرعاية الصحية.</w:t>
      </w:r>
    </w:p>
    <w:p w14:paraId="71E24734" w14:textId="77777777" w:rsidR="001F73E2" w:rsidRPr="00362D29" w:rsidRDefault="001F73E2"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ويؤكد هذا الإطار أن "إنسانية" المريض ومقدم الخدمة هي المحرك الأساسي للتجربة، وأن النجاح يكمن في معاملة المريض كإنسان كامل (جسدياً، وعاطفياً، واجتماعياً، وروحياً) وليس مجرد مجموعة من الأعراض (</w:t>
      </w:r>
      <w:r w:rsidRPr="00362D29">
        <w:rPr>
          <w:rFonts w:ascii="Traditional Arabic" w:eastAsia="Aptos" w:hAnsi="Traditional Arabic" w:cs="Traditional Arabic"/>
          <w:kern w:val="2"/>
          <w:sz w:val="24"/>
          <w:szCs w:val="24"/>
          <w14:ligatures w14:val="standardContextual"/>
        </w:rPr>
        <w:t>Oben, 2020</w:t>
      </w:r>
      <w:r w:rsidRPr="00362D29">
        <w:rPr>
          <w:rFonts w:ascii="Traditional Arabic" w:eastAsia="Aptos" w:hAnsi="Traditional Arabic" w:cs="Traditional Arabic"/>
          <w:kern w:val="2"/>
          <w:sz w:val="24"/>
          <w:szCs w:val="24"/>
          <w:rtl/>
          <w14:ligatures w14:val="standardContextual"/>
        </w:rPr>
        <w:t>).</w:t>
      </w:r>
    </w:p>
    <w:p w14:paraId="10D29040" w14:textId="5C3F9B03" w:rsidR="001F73E2" w:rsidRPr="00362D29" w:rsidRDefault="001F73E2" w:rsidP="00362D29">
      <w:pPr>
        <w:numPr>
          <w:ilvl w:val="0"/>
          <w:numId w:val="51"/>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نموذج (</w:t>
      </w:r>
      <w:r w:rsidR="0085770B" w:rsidRPr="00362D29">
        <w:rPr>
          <w:rFonts w:ascii="Traditional Arabic" w:eastAsia="Aptos" w:hAnsi="Traditional Arabic" w:cs="Traditional Arabic"/>
          <w:b/>
          <w:bCs/>
          <w:kern w:val="2"/>
          <w:sz w:val="24"/>
          <w:szCs w:val="24"/>
          <w14:ligatures w14:val="standardContextual"/>
        </w:rPr>
        <w:t xml:space="preserve">5 </w:t>
      </w:r>
      <w:r w:rsidRPr="00362D29">
        <w:rPr>
          <w:rFonts w:ascii="Traditional Arabic" w:eastAsia="Aptos" w:hAnsi="Traditional Arabic" w:cs="Traditional Arabic"/>
          <w:b/>
          <w:bCs/>
          <w:kern w:val="2"/>
          <w:sz w:val="24"/>
          <w:szCs w:val="24"/>
          <w14:ligatures w14:val="standardContextual"/>
        </w:rPr>
        <w:t>Ps Model</w:t>
      </w:r>
      <w:r w:rsidRPr="00362D29">
        <w:rPr>
          <w:rFonts w:ascii="Traditional Arabic" w:eastAsia="Aptos" w:hAnsi="Traditional Arabic" w:cs="Traditional Arabic"/>
          <w:b/>
          <w:bCs/>
          <w:kern w:val="2"/>
          <w:sz w:val="24"/>
          <w:szCs w:val="24"/>
          <w:rtl/>
          <w14:ligatures w14:val="standardContextual"/>
        </w:rPr>
        <w:t>) للتحليل الشمولي</w:t>
      </w:r>
      <w:r w:rsidR="00CC106B" w:rsidRPr="00362D29">
        <w:rPr>
          <w:rFonts w:ascii="Traditional Arabic" w:eastAsia="Aptos" w:hAnsi="Traditional Arabic" w:cs="Traditional Arabic"/>
          <w:b/>
          <w:bCs/>
          <w:kern w:val="2"/>
          <w:sz w:val="24"/>
          <w:szCs w:val="24"/>
          <w:rtl/>
          <w14:ligatures w14:val="standardContextual"/>
        </w:rPr>
        <w:t xml:space="preserve"> (</w:t>
      </w:r>
      <w:r w:rsidR="00CC106B" w:rsidRPr="00362D29">
        <w:rPr>
          <w:rFonts w:ascii="Traditional Arabic" w:eastAsia="Aptos" w:hAnsi="Traditional Arabic" w:cs="Traditional Arabic"/>
          <w:b/>
          <w:bCs/>
          <w:kern w:val="2"/>
          <w:sz w:val="24"/>
          <w:szCs w:val="24"/>
          <w14:ligatures w14:val="standardContextual"/>
        </w:rPr>
        <w:t>Health Academy, 2022</w:t>
      </w:r>
      <w:r w:rsidR="00CC106B" w:rsidRPr="00362D29">
        <w:rPr>
          <w:rFonts w:ascii="Traditional Arabic" w:eastAsia="Aptos" w:hAnsi="Traditional Arabic" w:cs="Traditional Arabic"/>
          <w:b/>
          <w:bCs/>
          <w:kern w:val="2"/>
          <w:sz w:val="24"/>
          <w:szCs w:val="24"/>
          <w:rtl/>
          <w14:ligatures w14:val="standardContextual"/>
        </w:rPr>
        <w:t>):</w:t>
      </w:r>
    </w:p>
    <w:p w14:paraId="78F4B28D" w14:textId="77777777" w:rsidR="001F73E2" w:rsidRPr="00362D29" w:rsidRDefault="001F73E2"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يقدم هذا النموذج إطاراً متكاملاً يحدد خمسة فاعلين أساسيين يشكلون تجربة المريض بشكل مشترك (</w:t>
      </w:r>
      <w:r w:rsidRPr="00362D29">
        <w:rPr>
          <w:rFonts w:ascii="Traditional Arabic" w:eastAsia="Aptos" w:hAnsi="Traditional Arabic" w:cs="Traditional Arabic"/>
          <w:kern w:val="2"/>
          <w:sz w:val="24"/>
          <w:szCs w:val="24"/>
          <w14:ligatures w14:val="standardContextual"/>
        </w:rPr>
        <w:t>Ozcelik et al., 2021</w:t>
      </w:r>
      <w:r w:rsidRPr="00362D29">
        <w:rPr>
          <w:rFonts w:ascii="Traditional Arabic" w:eastAsia="Aptos" w:hAnsi="Traditional Arabic" w:cs="Traditional Arabic"/>
          <w:kern w:val="2"/>
          <w:sz w:val="24"/>
          <w:szCs w:val="24"/>
          <w:rtl/>
          <w14:ligatures w14:val="standardContextual"/>
        </w:rPr>
        <w:t>):</w:t>
      </w:r>
    </w:p>
    <w:p w14:paraId="5E72BA1D" w14:textId="4107632F" w:rsidR="001F73E2" w:rsidRPr="00362D29" w:rsidRDefault="001F73E2" w:rsidP="00362D29">
      <w:pPr>
        <w:pStyle w:val="ab"/>
        <w:numPr>
          <w:ilvl w:val="0"/>
          <w:numId w:val="62"/>
        </w:num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المزود (</w:t>
      </w:r>
      <w:r w:rsidRPr="00362D29">
        <w:rPr>
          <w:rFonts w:ascii="Traditional Arabic" w:eastAsia="Aptos" w:hAnsi="Traditional Arabic" w:cs="Traditional Arabic"/>
          <w:b/>
          <w:bCs/>
          <w:kern w:val="2"/>
          <w:sz w:val="24"/>
          <w:szCs w:val="24"/>
          <w14:ligatures w14:val="standardContextual"/>
        </w:rPr>
        <w:t>Provider</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يشمل العمليات الإدارية، أساليب القيادة، والسياسات التنظيمية التي تهيئ المسرح للتجربة.</w:t>
      </w:r>
    </w:p>
    <w:p w14:paraId="725AE424" w14:textId="5374D6AB" w:rsidR="001F73E2" w:rsidRPr="00362D29" w:rsidRDefault="001F73E2" w:rsidP="00362D29">
      <w:pPr>
        <w:pStyle w:val="ab"/>
        <w:numPr>
          <w:ilvl w:val="0"/>
          <w:numId w:val="62"/>
        </w:num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الطبيب (</w:t>
      </w:r>
      <w:r w:rsidRPr="00362D29">
        <w:rPr>
          <w:rFonts w:ascii="Traditional Arabic" w:eastAsia="Aptos" w:hAnsi="Traditional Arabic" w:cs="Traditional Arabic"/>
          <w:b/>
          <w:bCs/>
          <w:kern w:val="2"/>
          <w:sz w:val="24"/>
          <w:szCs w:val="24"/>
          <w14:ligatures w14:val="standardContextual"/>
        </w:rPr>
        <w:t>Physician</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يركز على جودة التفاعل السريري، مهارات التواصل، والقدرة على بناء الثقة مع المريض.</w:t>
      </w:r>
    </w:p>
    <w:p w14:paraId="23EF31B7" w14:textId="445C3ABC" w:rsidR="001F73E2" w:rsidRPr="00362D29" w:rsidRDefault="001F73E2" w:rsidP="00362D29">
      <w:pPr>
        <w:pStyle w:val="ab"/>
        <w:numPr>
          <w:ilvl w:val="0"/>
          <w:numId w:val="62"/>
        </w:num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المريض (</w:t>
      </w:r>
      <w:r w:rsidRPr="00362D29">
        <w:rPr>
          <w:rFonts w:ascii="Traditional Arabic" w:eastAsia="Aptos" w:hAnsi="Traditional Arabic" w:cs="Traditional Arabic"/>
          <w:b/>
          <w:bCs/>
          <w:kern w:val="2"/>
          <w:sz w:val="24"/>
          <w:szCs w:val="24"/>
          <w14:ligatures w14:val="standardContextual"/>
        </w:rPr>
        <w:t>Patient</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ينظر للمريض كعنصر فاعل (</w:t>
      </w:r>
      <w:r w:rsidRPr="00362D29">
        <w:rPr>
          <w:rFonts w:ascii="Traditional Arabic" w:eastAsia="Aptos" w:hAnsi="Traditional Arabic" w:cs="Traditional Arabic"/>
          <w:kern w:val="2"/>
          <w:sz w:val="24"/>
          <w:szCs w:val="24"/>
          <w14:ligatures w14:val="standardContextual"/>
        </w:rPr>
        <w:t>Co-creator</w:t>
      </w:r>
      <w:r w:rsidRPr="00362D29">
        <w:rPr>
          <w:rFonts w:ascii="Traditional Arabic" w:eastAsia="Aptos" w:hAnsi="Traditional Arabic" w:cs="Traditional Arabic"/>
          <w:kern w:val="2"/>
          <w:sz w:val="24"/>
          <w:szCs w:val="24"/>
          <w:rtl/>
          <w14:ligatures w14:val="standardContextual"/>
        </w:rPr>
        <w:t>) يساهم في تشكيل تجربته من خلال مشاركته والتزامه وتوقعاته.</w:t>
      </w:r>
    </w:p>
    <w:p w14:paraId="2A52FE0B" w14:textId="21460542" w:rsidR="001F73E2" w:rsidRPr="00362D29" w:rsidRDefault="001F73E2" w:rsidP="00362D29">
      <w:pPr>
        <w:pStyle w:val="ab"/>
        <w:numPr>
          <w:ilvl w:val="0"/>
          <w:numId w:val="62"/>
        </w:num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الأفراد (</w:t>
      </w:r>
      <w:r w:rsidRPr="00362D29">
        <w:rPr>
          <w:rFonts w:ascii="Traditional Arabic" w:eastAsia="Aptos" w:hAnsi="Traditional Arabic" w:cs="Traditional Arabic"/>
          <w:b/>
          <w:bCs/>
          <w:kern w:val="2"/>
          <w:sz w:val="24"/>
          <w:szCs w:val="24"/>
          <w14:ligatures w14:val="standardContextual"/>
        </w:rPr>
        <w:t>Personnel</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يبرز دور طاقم التمريض والموظفين الإداريين كأكثر الفئات احتكاكاً بالمريض وتأثيراً على انطباعاته اليومية.</w:t>
      </w:r>
    </w:p>
    <w:p w14:paraId="4CE8A730" w14:textId="4491E627" w:rsidR="001F73E2" w:rsidRPr="00362D29" w:rsidRDefault="00AB3B11" w:rsidP="00362D29">
      <w:pPr>
        <w:pStyle w:val="ab"/>
        <w:numPr>
          <w:ilvl w:val="0"/>
          <w:numId w:val="62"/>
        </w:numPr>
        <w:bidi/>
        <w:spacing w:before="0" w:after="160" w:line="360" w:lineRule="auto"/>
        <w:jc w:val="both"/>
        <w:rPr>
          <w:rFonts w:ascii="Traditional Arabic" w:eastAsia="Aptos" w:hAnsi="Traditional Arabic" w:cs="Traditional Arabic"/>
          <w:kern w:val="2"/>
          <w:sz w:val="24"/>
          <w:szCs w:val="24"/>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البيئة </w:t>
      </w:r>
      <w:r w:rsidR="001F73E2" w:rsidRPr="00362D29">
        <w:rPr>
          <w:rFonts w:ascii="Traditional Arabic" w:eastAsia="Aptos" w:hAnsi="Traditional Arabic" w:cs="Traditional Arabic"/>
          <w:b/>
          <w:bCs/>
          <w:kern w:val="2"/>
          <w:sz w:val="24"/>
          <w:szCs w:val="24"/>
          <w:rtl/>
          <w14:ligatures w14:val="standardContextual"/>
        </w:rPr>
        <w:t>المحيط</w:t>
      </w:r>
      <w:r w:rsidRPr="00362D29">
        <w:rPr>
          <w:rFonts w:ascii="Traditional Arabic" w:eastAsia="Aptos" w:hAnsi="Traditional Arabic" w:cs="Traditional Arabic"/>
          <w:b/>
          <w:bCs/>
          <w:kern w:val="2"/>
          <w:sz w:val="24"/>
          <w:szCs w:val="24"/>
          <w:rtl/>
          <w14:ligatures w14:val="standardContextual"/>
        </w:rPr>
        <w:t>ة</w:t>
      </w:r>
      <w:r w:rsidR="001F73E2" w:rsidRPr="00362D29">
        <w:rPr>
          <w:rFonts w:ascii="Traditional Arabic" w:eastAsia="Aptos" w:hAnsi="Traditional Arabic" w:cs="Traditional Arabic"/>
          <w:b/>
          <w:bCs/>
          <w:kern w:val="2"/>
          <w:sz w:val="24"/>
          <w:szCs w:val="24"/>
          <w:rtl/>
          <w14:ligatures w14:val="standardContextual"/>
        </w:rPr>
        <w:t xml:space="preserve"> (</w:t>
      </w:r>
      <w:r w:rsidR="001F73E2" w:rsidRPr="00362D29">
        <w:rPr>
          <w:rFonts w:ascii="Traditional Arabic" w:eastAsia="Aptos" w:hAnsi="Traditional Arabic" w:cs="Traditional Arabic"/>
          <w:b/>
          <w:bCs/>
          <w:kern w:val="2"/>
          <w:sz w:val="24"/>
          <w:szCs w:val="24"/>
          <w14:ligatures w14:val="standardContextual"/>
        </w:rPr>
        <w:t>Periphery</w:t>
      </w:r>
      <w:r w:rsidR="001F73E2" w:rsidRPr="00362D29">
        <w:rPr>
          <w:rFonts w:ascii="Traditional Arabic" w:eastAsia="Aptos" w:hAnsi="Traditional Arabic" w:cs="Traditional Arabic"/>
          <w:b/>
          <w:bCs/>
          <w:kern w:val="2"/>
          <w:sz w:val="24"/>
          <w:szCs w:val="24"/>
          <w:rtl/>
          <w14:ligatures w14:val="standardContextual"/>
        </w:rPr>
        <w:t>):</w:t>
      </w:r>
      <w:r w:rsidR="001F73E2" w:rsidRPr="00362D29">
        <w:rPr>
          <w:rFonts w:ascii="Traditional Arabic" w:eastAsia="Aptos" w:hAnsi="Traditional Arabic" w:cs="Traditional Arabic"/>
          <w:kern w:val="2"/>
          <w:sz w:val="24"/>
          <w:szCs w:val="24"/>
          <w:rtl/>
          <w14:ligatures w14:val="standardContextual"/>
        </w:rPr>
        <w:t xml:space="preserve"> يشمل البيئة المادية (</w:t>
      </w:r>
      <w:r w:rsidR="001F73E2" w:rsidRPr="00362D29">
        <w:rPr>
          <w:rFonts w:ascii="Traditional Arabic" w:eastAsia="Aptos" w:hAnsi="Traditional Arabic" w:cs="Traditional Arabic"/>
          <w:kern w:val="2"/>
          <w:sz w:val="24"/>
          <w:szCs w:val="24"/>
          <w14:ligatures w14:val="standardContextual"/>
        </w:rPr>
        <w:t>Servicescape</w:t>
      </w:r>
      <w:r w:rsidR="001F73E2" w:rsidRPr="00362D29">
        <w:rPr>
          <w:rFonts w:ascii="Traditional Arabic" w:eastAsia="Aptos" w:hAnsi="Traditional Arabic" w:cs="Traditional Arabic"/>
          <w:kern w:val="2"/>
          <w:sz w:val="24"/>
          <w:szCs w:val="24"/>
          <w:rtl/>
          <w14:ligatures w14:val="standardContextual"/>
        </w:rPr>
        <w:t>)، النظافة، الهدوء، والخدمات المساندة التي تضفي طابعاً من الراحة أو الانزعاج على رحلة العلاج.</w:t>
      </w:r>
    </w:p>
    <w:p w14:paraId="5E65E0FC" w14:textId="77777777" w:rsidR="00AB3B11" w:rsidRPr="00362D29" w:rsidRDefault="00AB3B11" w:rsidP="00362D29">
      <w:pPr>
        <w:pStyle w:val="ab"/>
        <w:bidi/>
        <w:spacing w:before="0" w:after="160" w:line="360" w:lineRule="auto"/>
        <w:jc w:val="both"/>
        <w:rPr>
          <w:rFonts w:ascii="Traditional Arabic" w:eastAsia="Aptos" w:hAnsi="Traditional Arabic" w:cs="Traditional Arabic"/>
          <w:kern w:val="2"/>
          <w:sz w:val="24"/>
          <w:szCs w:val="24"/>
          <w:rtl/>
          <w14:ligatures w14:val="standardContextual"/>
        </w:rPr>
      </w:pPr>
    </w:p>
    <w:p w14:paraId="1462C950" w14:textId="77777777" w:rsidR="001F73E2" w:rsidRPr="00362D29" w:rsidRDefault="001F73E2" w:rsidP="00362D29">
      <w:pPr>
        <w:numPr>
          <w:ilvl w:val="0"/>
          <w:numId w:val="51"/>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lastRenderedPageBreak/>
        <w:t>الإطار الاستراتيجي لتحسين تجربة المريض (</w:t>
      </w:r>
      <w:r w:rsidRPr="00362D29">
        <w:rPr>
          <w:rFonts w:ascii="Traditional Arabic" w:eastAsia="Aptos" w:hAnsi="Traditional Arabic" w:cs="Traditional Arabic"/>
          <w:b/>
          <w:bCs/>
          <w:kern w:val="2"/>
          <w:sz w:val="24"/>
          <w:szCs w:val="24"/>
          <w14:ligatures w14:val="standardContextual"/>
        </w:rPr>
        <w:t>Strategic Framework for PX Improvement</w:t>
      </w:r>
      <w:r w:rsidRPr="00362D29">
        <w:rPr>
          <w:rFonts w:ascii="Traditional Arabic" w:eastAsia="Aptos" w:hAnsi="Traditional Arabic" w:cs="Traditional Arabic"/>
          <w:b/>
          <w:bCs/>
          <w:kern w:val="2"/>
          <w:sz w:val="24"/>
          <w:szCs w:val="24"/>
          <w:rtl/>
          <w14:ligatures w14:val="standardContextual"/>
        </w:rPr>
        <w:t>)</w:t>
      </w:r>
    </w:p>
    <w:p w14:paraId="2CD1B29E" w14:textId="77777777" w:rsidR="001F73E2" w:rsidRPr="00362D29" w:rsidRDefault="001F73E2"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يعد هذا الإطار الأكثر أهمية للمؤسسات الصحية الساعية لتحقيق ميزة تنافسية واستدامة، حيث يركز على سد الفجوة بين توقعات المستفيدين والخدمات الفعلية المقدمة (</w:t>
      </w:r>
      <w:r w:rsidRPr="00362D29">
        <w:rPr>
          <w:rFonts w:ascii="Traditional Arabic" w:eastAsia="Aptos" w:hAnsi="Traditional Arabic" w:cs="Traditional Arabic"/>
          <w:kern w:val="2"/>
          <w:sz w:val="24"/>
          <w:szCs w:val="24"/>
          <w14:ligatures w14:val="standardContextual"/>
        </w:rPr>
        <w:t>Beryl Institute, 2024</w:t>
      </w:r>
      <w:r w:rsidRPr="00362D29">
        <w:rPr>
          <w:rFonts w:ascii="Traditional Arabic" w:eastAsia="Aptos" w:hAnsi="Traditional Arabic" w:cs="Traditional Arabic"/>
          <w:kern w:val="2"/>
          <w:sz w:val="24"/>
          <w:szCs w:val="24"/>
          <w:rtl/>
          <w14:ligatures w14:val="standardContextual"/>
        </w:rPr>
        <w:t>). يتكون هذا الإطار من عدة ركائز استراتيجية مترابطة:</w:t>
      </w:r>
    </w:p>
    <w:p w14:paraId="03BE25DA" w14:textId="7F897711" w:rsidR="001F73E2" w:rsidRPr="00362D29" w:rsidRDefault="001F73E2" w:rsidP="00362D29">
      <w:pPr>
        <w:pStyle w:val="ab"/>
        <w:numPr>
          <w:ilvl w:val="0"/>
          <w:numId w:val="63"/>
        </w:num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الثقافة التنظيمية (</w:t>
      </w:r>
      <w:r w:rsidRPr="00362D29">
        <w:rPr>
          <w:rFonts w:ascii="Traditional Arabic" w:eastAsia="Aptos" w:hAnsi="Traditional Arabic" w:cs="Traditional Arabic"/>
          <w:b/>
          <w:bCs/>
          <w:kern w:val="2"/>
          <w:sz w:val="24"/>
          <w:szCs w:val="24"/>
          <w14:ligatures w14:val="standardContextual"/>
        </w:rPr>
        <w:t>Culture</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بناء ثقافة تدعم تجربة المريض وتجعلها أولوية قصوى لدى جميع العاملين، بحيث لا تكون مجرد شعارات، بل ممارسات يومية.</w:t>
      </w:r>
    </w:p>
    <w:p w14:paraId="30BED67E" w14:textId="57A9C7C0" w:rsidR="001F73E2" w:rsidRPr="00362D29" w:rsidRDefault="001F73E2" w:rsidP="00362D29">
      <w:pPr>
        <w:pStyle w:val="ab"/>
        <w:numPr>
          <w:ilvl w:val="0"/>
          <w:numId w:val="63"/>
        </w:num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التواصل الفعال (</w:t>
      </w:r>
      <w:r w:rsidRPr="00362D29">
        <w:rPr>
          <w:rFonts w:ascii="Traditional Arabic" w:eastAsia="Aptos" w:hAnsi="Traditional Arabic" w:cs="Traditional Arabic"/>
          <w:b/>
          <w:bCs/>
          <w:kern w:val="2"/>
          <w:sz w:val="24"/>
          <w:szCs w:val="24"/>
          <w14:ligatures w14:val="standardContextual"/>
        </w:rPr>
        <w:t>Communication</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تسهيل قنوات الاتصال بين المريض ومقدم الخدمة، وضمان تدفق المعلومات بوضوح وشفافية.</w:t>
      </w:r>
    </w:p>
    <w:p w14:paraId="24375F64" w14:textId="27610544" w:rsidR="001F73E2" w:rsidRPr="00362D29" w:rsidRDefault="001F73E2" w:rsidP="00362D29">
      <w:pPr>
        <w:pStyle w:val="ab"/>
        <w:numPr>
          <w:ilvl w:val="0"/>
          <w:numId w:val="63"/>
        </w:num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إشراك المرضى (</w:t>
      </w:r>
      <w:r w:rsidRPr="00362D29">
        <w:rPr>
          <w:rFonts w:ascii="Traditional Arabic" w:eastAsia="Aptos" w:hAnsi="Traditional Arabic" w:cs="Traditional Arabic"/>
          <w:b/>
          <w:bCs/>
          <w:kern w:val="2"/>
          <w:sz w:val="24"/>
          <w:szCs w:val="24"/>
          <w14:ligatures w14:val="standardContextual"/>
        </w:rPr>
        <w:t>Patient Engagement</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تحويل المريض من متلقٍ سلبي إلى مشارك نشط في خطة علاجه، مما يعزز من شعوره بالسيطرة والرضا.</w:t>
      </w:r>
    </w:p>
    <w:p w14:paraId="7B533AF8" w14:textId="5013C67D" w:rsidR="001F73E2" w:rsidRPr="00362D29" w:rsidRDefault="001F73E2" w:rsidP="00362D29">
      <w:pPr>
        <w:pStyle w:val="ab"/>
        <w:numPr>
          <w:ilvl w:val="0"/>
          <w:numId w:val="63"/>
        </w:num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الوصول والشفافية (</w:t>
      </w:r>
      <w:r w:rsidRPr="00362D29">
        <w:rPr>
          <w:rFonts w:ascii="Traditional Arabic" w:eastAsia="Aptos" w:hAnsi="Traditional Arabic" w:cs="Traditional Arabic"/>
          <w:b/>
          <w:bCs/>
          <w:kern w:val="2"/>
          <w:sz w:val="24"/>
          <w:szCs w:val="24"/>
          <w14:ligatures w14:val="standardContextual"/>
        </w:rPr>
        <w:t>Access</w:t>
      </w:r>
      <w:r w:rsidRPr="00362D29">
        <w:rPr>
          <w:rFonts w:ascii="Traditional Arabic" w:eastAsia="Aptos" w:hAnsi="Traditional Arabic" w:cs="Traditional Arabic"/>
          <w:b/>
          <w:bCs/>
          <w:kern w:val="2"/>
          <w:sz w:val="24"/>
          <w:szCs w:val="24"/>
          <w:rtl/>
          <w14:ligatures w14:val="standardContextual"/>
        </w:rPr>
        <w:t xml:space="preserve"> &amp; </w:t>
      </w:r>
      <w:r w:rsidRPr="00362D29">
        <w:rPr>
          <w:rFonts w:ascii="Traditional Arabic" w:eastAsia="Aptos" w:hAnsi="Traditional Arabic" w:cs="Traditional Arabic"/>
          <w:b/>
          <w:bCs/>
          <w:kern w:val="2"/>
          <w:sz w:val="24"/>
          <w:szCs w:val="24"/>
          <w14:ligatures w14:val="standardContextual"/>
        </w:rPr>
        <w:t>Transparency</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جعل الخدمات سهلة الوصول (مواعيد، معلومات) وتوفير بيانات دقيقة حول جودة الأداء والنتائج السريرية للمستفيدين.</w:t>
      </w:r>
    </w:p>
    <w:p w14:paraId="430A2C69" w14:textId="21B27983" w:rsidR="001F73E2" w:rsidRPr="00362D29" w:rsidRDefault="001F73E2" w:rsidP="00362D29">
      <w:pPr>
        <w:pStyle w:val="ab"/>
        <w:numPr>
          <w:ilvl w:val="0"/>
          <w:numId w:val="63"/>
        </w:num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البيئة المتعاطفة (</w:t>
      </w:r>
      <w:r w:rsidRPr="00362D29">
        <w:rPr>
          <w:rFonts w:ascii="Traditional Arabic" w:eastAsia="Aptos" w:hAnsi="Traditional Arabic" w:cs="Traditional Arabic"/>
          <w:b/>
          <w:bCs/>
          <w:kern w:val="2"/>
          <w:sz w:val="24"/>
          <w:szCs w:val="24"/>
          <w14:ligatures w14:val="standardContextual"/>
        </w:rPr>
        <w:t>Empathetic Environment</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خلق مناخ يسوده التعاطف والاحترام، حيث يتم تقدير الحالة النفسية للمريض والتعامل معها بجدية.</w:t>
      </w:r>
    </w:p>
    <w:p w14:paraId="78569CC5" w14:textId="56EC50BC" w:rsidR="001F73E2" w:rsidRPr="00362D29" w:rsidRDefault="001F73E2" w:rsidP="00362D29">
      <w:pPr>
        <w:pStyle w:val="ab"/>
        <w:numPr>
          <w:ilvl w:val="0"/>
          <w:numId w:val="63"/>
        </w:num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التركيز على النتائج السريرية (</w:t>
      </w:r>
      <w:r w:rsidRPr="00362D29">
        <w:rPr>
          <w:rFonts w:ascii="Traditional Arabic" w:eastAsia="Aptos" w:hAnsi="Traditional Arabic" w:cs="Traditional Arabic"/>
          <w:b/>
          <w:bCs/>
          <w:kern w:val="2"/>
          <w:sz w:val="24"/>
          <w:szCs w:val="24"/>
          <w14:ligatures w14:val="standardContextual"/>
        </w:rPr>
        <w:t>Clinical Outcomes</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ربط تحسين التجربة بتحقيق نتائج صحية أفضل، مما يثبت الجدوى الاقتصادية والطبية للاستثمار في تجربة المريض (</w:t>
      </w:r>
      <w:r w:rsidRPr="00362D29">
        <w:rPr>
          <w:rFonts w:ascii="Traditional Arabic" w:eastAsia="Aptos" w:hAnsi="Traditional Arabic" w:cs="Traditional Arabic"/>
          <w:kern w:val="2"/>
          <w:sz w:val="24"/>
          <w:szCs w:val="24"/>
          <w14:ligatures w14:val="standardContextual"/>
        </w:rPr>
        <w:t>Beryl Institute, 2024; Oben, 2020</w:t>
      </w:r>
      <w:r w:rsidRPr="00362D29">
        <w:rPr>
          <w:rFonts w:ascii="Traditional Arabic" w:eastAsia="Aptos" w:hAnsi="Traditional Arabic" w:cs="Traditional Arabic"/>
          <w:kern w:val="2"/>
          <w:sz w:val="24"/>
          <w:szCs w:val="24"/>
          <w:rtl/>
          <w14:ligatures w14:val="standardContextual"/>
        </w:rPr>
        <w:t>).</w:t>
      </w:r>
    </w:p>
    <w:p w14:paraId="00BAC7C3" w14:textId="373197EF" w:rsidR="004569CD" w:rsidRPr="00362D29" w:rsidRDefault="004569CD" w:rsidP="00362D29">
      <w:pPr>
        <w:bidi/>
        <w:spacing w:before="0" w:after="160" w:line="360" w:lineRule="auto"/>
        <w:jc w:val="both"/>
        <w:rPr>
          <w:rFonts w:ascii="Traditional Arabic" w:eastAsia="Aptos" w:hAnsi="Traditional Arabic" w:cs="Traditional Arabic"/>
          <w:b/>
          <w:bCs/>
          <w:kern w:val="2"/>
          <w:sz w:val="28"/>
          <w:szCs w:val="28"/>
          <w:rtl/>
          <w14:ligatures w14:val="standardContextual"/>
        </w:rPr>
      </w:pPr>
      <w:r w:rsidRPr="00362D29">
        <w:rPr>
          <w:rFonts w:ascii="Traditional Arabic" w:eastAsia="Aptos" w:hAnsi="Traditional Arabic" w:cs="Traditional Arabic"/>
          <w:b/>
          <w:bCs/>
          <w:kern w:val="2"/>
          <w:sz w:val="28"/>
          <w:szCs w:val="28"/>
          <w:rtl/>
          <w14:ligatures w14:val="standardContextual"/>
        </w:rPr>
        <w:t>سابعاً: محركات تجربة المريض</w:t>
      </w:r>
      <w:r w:rsidRPr="00362D29">
        <w:rPr>
          <w:rFonts w:ascii="Traditional Arabic" w:eastAsia="Aptos" w:hAnsi="Traditional Arabic" w:cs="Traditional Arabic"/>
          <w:b/>
          <w:bCs/>
          <w:kern w:val="2"/>
          <w:sz w:val="28"/>
          <w:szCs w:val="28"/>
          <w14:ligatures w14:val="standardContextual"/>
        </w:rPr>
        <w:t xml:space="preserve"> (Drivers of Patient Experience)</w:t>
      </w:r>
    </w:p>
    <w:p w14:paraId="20382F45" w14:textId="57D06387" w:rsidR="004569CD" w:rsidRPr="00362D29" w:rsidRDefault="004569CD"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تُعد محركات تجربة المريض بمثابة العوامل الجوهرية التي تشكل انطباعات المرضى وتصوراتهم حول جودة الرعاية الصحية المقدمة لهم. وتتجاوز هذه المحركات مجرد تقديم العلاج السريري لتشمل الأبعاد الإنسانية، التنظيمية، والبيئية التي تتفاعل معاً لرسم الصورة الذهنية للمريض عن المنظمة الصحية</w:t>
      </w:r>
      <w:r w:rsidRPr="00362D29">
        <w:rPr>
          <w:rFonts w:ascii="Traditional Arabic" w:eastAsia="Aptos" w:hAnsi="Traditional Arabic" w:cs="Traditional Arabic"/>
          <w:kern w:val="2"/>
          <w:sz w:val="24"/>
          <w:szCs w:val="24"/>
          <w14:ligatures w14:val="standardContextual"/>
        </w:rPr>
        <w:t xml:space="preserve"> </w:t>
      </w:r>
      <w:r w:rsidR="006B777C" w:rsidRPr="00362D29">
        <w:rPr>
          <w:rFonts w:ascii="Traditional Arabic" w:eastAsia="Aptos" w:hAnsi="Traditional Arabic" w:cs="Traditional Arabic"/>
          <w:kern w:val="2"/>
          <w:sz w:val="24"/>
          <w:szCs w:val="24"/>
          <w14:ligatures w14:val="standardContextual"/>
        </w:rPr>
        <w:t>.</w:t>
      </w:r>
      <w:r w:rsidRPr="00362D29">
        <w:rPr>
          <w:rFonts w:ascii="Traditional Arabic" w:eastAsia="Aptos" w:hAnsi="Traditional Arabic" w:cs="Traditional Arabic"/>
          <w:kern w:val="2"/>
          <w:sz w:val="24"/>
          <w:szCs w:val="24"/>
          <w14:ligatures w14:val="standardContextual"/>
        </w:rPr>
        <w:t xml:space="preserve">(Adams et al., 2025) </w:t>
      </w:r>
      <w:r w:rsidRPr="00362D29">
        <w:rPr>
          <w:rFonts w:ascii="Traditional Arabic" w:eastAsia="Aptos" w:hAnsi="Traditional Arabic" w:cs="Traditional Arabic"/>
          <w:kern w:val="2"/>
          <w:sz w:val="24"/>
          <w:szCs w:val="24"/>
          <w:rtl/>
          <w14:ligatures w14:val="standardContextual"/>
        </w:rPr>
        <w:t>وقد أثبتت الدراسات الحديثة أن تحديد هذه المحركات بدقة يُعد الخطوة الأولى والأساسية نحو تصميم استراتيجيات فعالة لتحسين الجودة والتميز المؤسسي</w:t>
      </w:r>
      <w:r w:rsidRPr="00362D29">
        <w:rPr>
          <w:rFonts w:ascii="Traditional Arabic" w:eastAsia="Aptos" w:hAnsi="Traditional Arabic" w:cs="Traditional Arabic"/>
          <w:kern w:val="2"/>
          <w:sz w:val="24"/>
          <w:szCs w:val="24"/>
          <w14:ligatures w14:val="standardContextual"/>
        </w:rPr>
        <w:t xml:space="preserve"> (Zehra et al., 2025)</w:t>
      </w:r>
      <w:r w:rsidR="006B777C" w:rsidRPr="00362D29">
        <w:rPr>
          <w:rFonts w:ascii="Traditional Arabic" w:eastAsia="Aptos" w:hAnsi="Traditional Arabic" w:cs="Traditional Arabic"/>
          <w:kern w:val="2"/>
          <w:sz w:val="24"/>
          <w:szCs w:val="24"/>
          <w:rtl/>
          <w14:ligatures w14:val="standardContextual"/>
        </w:rPr>
        <w:t>.</w:t>
      </w:r>
    </w:p>
    <w:p w14:paraId="077273B1" w14:textId="38383755" w:rsidR="006B777C" w:rsidRPr="00362D29" w:rsidRDefault="006B777C" w:rsidP="00362D29">
      <w:pPr>
        <w:pStyle w:val="ab"/>
        <w:numPr>
          <w:ilvl w:val="0"/>
          <w:numId w:val="64"/>
        </w:numPr>
        <w:bidi/>
        <w:spacing w:before="0" w:after="160" w:line="360" w:lineRule="auto"/>
        <w:jc w:val="both"/>
        <w:rPr>
          <w:rFonts w:ascii="Traditional Arabic" w:eastAsia="Aptos" w:hAnsi="Traditional Arabic" w:cs="Traditional Arabic"/>
          <w:b/>
          <w:bCs/>
          <w:kern w:val="2"/>
          <w:sz w:val="28"/>
          <w:szCs w:val="28"/>
          <w:rtl/>
          <w14:ligatures w14:val="standardContextual"/>
        </w:rPr>
      </w:pPr>
      <w:r w:rsidRPr="00362D29">
        <w:rPr>
          <w:rFonts w:ascii="Traditional Arabic" w:eastAsia="Aptos" w:hAnsi="Traditional Arabic" w:cs="Traditional Arabic"/>
          <w:b/>
          <w:bCs/>
          <w:kern w:val="2"/>
          <w:sz w:val="28"/>
          <w:szCs w:val="28"/>
          <w:rtl/>
          <w14:ligatures w14:val="standardContextual"/>
        </w:rPr>
        <w:t xml:space="preserve">إطار الاعمدة الثلاثة </w:t>
      </w:r>
      <w:r w:rsidR="00E02A60">
        <w:rPr>
          <w:rFonts w:ascii="Traditional Arabic" w:eastAsia="Aptos" w:hAnsi="Traditional Arabic" w:cs="Traditional Arabic" w:hint="cs"/>
          <w:b/>
          <w:bCs/>
          <w:kern w:val="2"/>
          <w:sz w:val="28"/>
          <w:szCs w:val="28"/>
          <w:rtl/>
          <w14:ligatures w14:val="standardContextual"/>
        </w:rPr>
        <w:t xml:space="preserve">- محركات </w:t>
      </w:r>
      <w:r w:rsidR="00811683" w:rsidRPr="00362D29">
        <w:rPr>
          <w:rFonts w:ascii="Traditional Arabic" w:eastAsia="Aptos" w:hAnsi="Traditional Arabic" w:cs="Traditional Arabic"/>
          <w:b/>
          <w:bCs/>
          <w:kern w:val="2"/>
          <w:sz w:val="28"/>
          <w:szCs w:val="28"/>
          <w:rtl/>
          <w14:ligatures w14:val="standardContextual"/>
        </w:rPr>
        <w:t>تجربة المريض :</w:t>
      </w:r>
    </w:p>
    <w:p w14:paraId="36D05377" w14:textId="0E01F58A" w:rsidR="004569CD" w:rsidRPr="00362D29" w:rsidRDefault="004569CD"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وفي إطار السعي لتحديد هذه المحركات، قدمت دراسة حديثة نموذجاً يُعرف بـ "الأعمدة الثلاثة لتجربة المريض</w:t>
      </w:r>
      <w:r w:rsidRPr="00362D29">
        <w:rPr>
          <w:rFonts w:ascii="Traditional Arabic" w:eastAsia="Aptos" w:hAnsi="Traditional Arabic" w:cs="Traditional Arabic"/>
          <w:kern w:val="2"/>
          <w:sz w:val="24"/>
          <w:szCs w:val="24"/>
          <w14:ligatures w14:val="standardContextual"/>
        </w:rPr>
        <w:t>" (The Three Pillars of Patient Experience)</w:t>
      </w:r>
      <w:r w:rsidRPr="00362D29">
        <w:rPr>
          <w:rFonts w:ascii="Traditional Arabic" w:eastAsia="Aptos" w:hAnsi="Traditional Arabic" w:cs="Traditional Arabic"/>
          <w:kern w:val="2"/>
          <w:sz w:val="24"/>
          <w:szCs w:val="24"/>
          <w:rtl/>
          <w14:ligatures w14:val="standardContextual"/>
        </w:rPr>
        <w:t xml:space="preserve">، حيث حددت </w:t>
      </w:r>
      <w:r w:rsidR="00231531" w:rsidRPr="00362D29">
        <w:rPr>
          <w:rFonts w:ascii="Traditional Arabic" w:eastAsia="Aptos" w:hAnsi="Traditional Arabic" w:cs="Traditional Arabic"/>
          <w:b/>
          <w:bCs/>
          <w:kern w:val="2"/>
          <w:sz w:val="24"/>
          <w:szCs w:val="24"/>
          <w:rtl/>
          <w14:ligatures w14:val="standardContextual"/>
        </w:rPr>
        <w:t>ثلاث</w:t>
      </w:r>
      <w:r w:rsidRPr="00362D29">
        <w:rPr>
          <w:rFonts w:ascii="Traditional Arabic" w:eastAsia="Aptos" w:hAnsi="Traditional Arabic" w:cs="Traditional Arabic"/>
          <w:b/>
          <w:bCs/>
          <w:kern w:val="2"/>
          <w:sz w:val="24"/>
          <w:szCs w:val="24"/>
          <w:rtl/>
          <w14:ligatures w14:val="standardContextual"/>
        </w:rPr>
        <w:t xml:space="preserve"> محركات رئيسية</w:t>
      </w:r>
      <w:r w:rsidRPr="00362D29">
        <w:rPr>
          <w:rFonts w:ascii="Traditional Arabic" w:eastAsia="Aptos" w:hAnsi="Traditional Arabic" w:cs="Traditional Arabic"/>
          <w:kern w:val="2"/>
          <w:sz w:val="24"/>
          <w:szCs w:val="24"/>
          <w:rtl/>
          <w14:ligatures w14:val="standardContextual"/>
        </w:rPr>
        <w:t xml:space="preserve"> تتكامل فيما بينها لتحقيق تجربة مريض استثنائية</w:t>
      </w:r>
      <w:r w:rsidRPr="00362D29">
        <w:rPr>
          <w:rFonts w:ascii="Traditional Arabic" w:eastAsia="Aptos" w:hAnsi="Traditional Arabic" w:cs="Traditional Arabic"/>
          <w:kern w:val="2"/>
          <w:sz w:val="24"/>
          <w:szCs w:val="24"/>
          <w14:ligatures w14:val="standardContextual"/>
        </w:rPr>
        <w:t xml:space="preserve"> (Adams et al., 2025)</w:t>
      </w:r>
      <w:r w:rsidR="00CF0EAD" w:rsidRPr="00362D29">
        <w:rPr>
          <w:rFonts w:ascii="Traditional Arabic" w:eastAsia="Aptos" w:hAnsi="Traditional Arabic" w:cs="Traditional Arabic"/>
          <w:kern w:val="2"/>
          <w:sz w:val="24"/>
          <w:szCs w:val="24"/>
          <w:rtl/>
          <w14:ligatures w14:val="standardContextual"/>
        </w:rPr>
        <w:t>:</w:t>
      </w:r>
    </w:p>
    <w:p w14:paraId="02A40D24" w14:textId="5DF18D46" w:rsidR="004569CD" w:rsidRPr="00362D29" w:rsidRDefault="004569CD"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lastRenderedPageBreak/>
        <w:t>1</w:t>
      </w:r>
      <w:r w:rsidRPr="00362D29">
        <w:rPr>
          <w:rFonts w:ascii="Traditional Arabic" w:eastAsia="Aptos" w:hAnsi="Traditional Arabic" w:cs="Traditional Arabic"/>
          <w:b/>
          <w:bCs/>
          <w:kern w:val="2"/>
          <w:sz w:val="24"/>
          <w:szCs w:val="24"/>
          <w14:ligatures w14:val="standardContextual"/>
        </w:rPr>
        <w:t>.</w:t>
      </w:r>
      <w:r w:rsidRPr="00362D29">
        <w:rPr>
          <w:rFonts w:ascii="Traditional Arabic" w:eastAsia="Aptos" w:hAnsi="Traditional Arabic" w:cs="Traditional Arabic"/>
          <w:b/>
          <w:bCs/>
          <w:kern w:val="2"/>
          <w:sz w:val="24"/>
          <w:szCs w:val="24"/>
          <w:rtl/>
          <w14:ligatures w14:val="standardContextual"/>
        </w:rPr>
        <w:t>تقديم علاج آمن وفي الوقت المناسب وفعال</w:t>
      </w:r>
      <w:r w:rsidRPr="00362D29">
        <w:rPr>
          <w:rFonts w:ascii="Traditional Arabic" w:eastAsia="Aptos" w:hAnsi="Traditional Arabic" w:cs="Traditional Arabic"/>
          <w:kern w:val="2"/>
          <w:sz w:val="24"/>
          <w:szCs w:val="24"/>
          <w14:ligatures w14:val="standardContextual"/>
        </w:rPr>
        <w:t xml:space="preserve"> (Provision of safe, timely, and effective treatment): </w:t>
      </w:r>
      <w:r w:rsidRPr="00362D29">
        <w:rPr>
          <w:rFonts w:ascii="Traditional Arabic" w:eastAsia="Aptos" w:hAnsi="Traditional Arabic" w:cs="Traditional Arabic"/>
          <w:kern w:val="2"/>
          <w:sz w:val="24"/>
          <w:szCs w:val="24"/>
          <w:rtl/>
          <w14:ligatures w14:val="standardContextual"/>
        </w:rPr>
        <w:t>ويُعد هذا المحرك هو الركيزة الأساسية التي يبحث عنها المريض عند طلب الرعاية، حيث يرتبط مباشرة بالنتائج السريرية وسلامة الإجراءات الطبية وقصر فترات الانتظار. ويتوافق هذا مع ما أكده</w:t>
      </w:r>
      <w:r w:rsidRPr="00362D29">
        <w:rPr>
          <w:rFonts w:ascii="Traditional Arabic" w:eastAsia="Aptos" w:hAnsi="Traditional Arabic" w:cs="Traditional Arabic"/>
          <w:kern w:val="2"/>
          <w:sz w:val="24"/>
          <w:szCs w:val="24"/>
          <w14:ligatures w14:val="standardContextual"/>
        </w:rPr>
        <w:t xml:space="preserve"> (Alhuseini et al., 2025) </w:t>
      </w:r>
      <w:r w:rsidRPr="00362D29">
        <w:rPr>
          <w:rFonts w:ascii="Traditional Arabic" w:eastAsia="Aptos" w:hAnsi="Traditional Arabic" w:cs="Traditional Arabic"/>
          <w:kern w:val="2"/>
          <w:sz w:val="24"/>
          <w:szCs w:val="24"/>
          <w:rtl/>
          <w14:ligatures w14:val="standardContextual"/>
        </w:rPr>
        <w:t>من أن "الانتقال السلس خلال الزيارة" وسرعة الاستجابة تُعد من العوامل المؤثرة بقوة في تقييم المريض لتجربته</w:t>
      </w:r>
      <w:r w:rsidRPr="00362D29">
        <w:rPr>
          <w:rFonts w:ascii="Traditional Arabic" w:eastAsia="Aptos" w:hAnsi="Traditional Arabic" w:cs="Traditional Arabic"/>
          <w:kern w:val="2"/>
          <w:sz w:val="24"/>
          <w:szCs w:val="24"/>
          <w14:ligatures w14:val="standardContextual"/>
        </w:rPr>
        <w:t>.</w:t>
      </w:r>
    </w:p>
    <w:p w14:paraId="7F4CCBAA" w14:textId="0D26DC4E" w:rsidR="004569CD" w:rsidRPr="00362D29" w:rsidRDefault="004569CD"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2</w:t>
      </w:r>
      <w:r w:rsidRPr="00362D29">
        <w:rPr>
          <w:rFonts w:ascii="Traditional Arabic" w:eastAsia="Aptos" w:hAnsi="Traditional Arabic" w:cs="Traditional Arabic"/>
          <w:b/>
          <w:bCs/>
          <w:kern w:val="2"/>
          <w:sz w:val="24"/>
          <w:szCs w:val="24"/>
          <w14:ligatures w14:val="standardContextual"/>
        </w:rPr>
        <w:t>.</w:t>
      </w:r>
      <w:r w:rsidRPr="00362D29">
        <w:rPr>
          <w:rFonts w:ascii="Traditional Arabic" w:eastAsia="Aptos" w:hAnsi="Traditional Arabic" w:cs="Traditional Arabic"/>
          <w:b/>
          <w:bCs/>
          <w:kern w:val="2"/>
          <w:sz w:val="24"/>
          <w:szCs w:val="24"/>
          <w:rtl/>
          <w14:ligatures w14:val="standardContextual"/>
        </w:rPr>
        <w:t>تعزيز الروابط الإنسانية مع طاقم عمل مهتم ومتفهم</w:t>
      </w:r>
      <w:r w:rsidRPr="00362D29">
        <w:rPr>
          <w:rFonts w:ascii="Traditional Arabic" w:eastAsia="Aptos" w:hAnsi="Traditional Arabic" w:cs="Traditional Arabic"/>
          <w:kern w:val="2"/>
          <w:sz w:val="24"/>
          <w:szCs w:val="24"/>
          <w14:ligatures w14:val="standardContextual"/>
        </w:rPr>
        <w:t xml:space="preserve"> (Fostering human connections with caring and attentive staff): </w:t>
      </w:r>
      <w:r w:rsidR="005B1595" w:rsidRPr="00362D29">
        <w:rPr>
          <w:rFonts w:ascii="Traditional Arabic" w:eastAsia="Aptos" w:hAnsi="Traditional Arabic" w:cs="Traditional Arabic"/>
          <w:kern w:val="2"/>
          <w:sz w:val="24"/>
          <w:szCs w:val="24"/>
          <w:rtl/>
          <w14:ligatures w14:val="standardContextual"/>
        </w:rPr>
        <w:t xml:space="preserve"> </w:t>
      </w:r>
      <w:r w:rsidRPr="00362D29">
        <w:rPr>
          <w:rFonts w:ascii="Traditional Arabic" w:eastAsia="Aptos" w:hAnsi="Traditional Arabic" w:cs="Traditional Arabic"/>
          <w:kern w:val="2"/>
          <w:sz w:val="24"/>
          <w:szCs w:val="24"/>
          <w:rtl/>
          <w14:ligatures w14:val="standardContextual"/>
        </w:rPr>
        <w:t xml:space="preserve">يشير هذا المحرك إلى الجانب العاطفي والاجتماعي في الرعاية، حيث يلعب تعاطف الممارسين الصحيين وقدرتهم على بناء علاقة ثقة مع المريض دوراً حاسماً في تحسين تجربته. </w:t>
      </w:r>
      <w:r w:rsidR="005B1595" w:rsidRPr="00362D29">
        <w:rPr>
          <w:rFonts w:ascii="Traditional Arabic" w:eastAsia="Aptos" w:hAnsi="Traditional Arabic" w:cs="Traditional Arabic"/>
          <w:kern w:val="2"/>
          <w:sz w:val="24"/>
          <w:szCs w:val="24"/>
          <w:rtl/>
          <w14:ligatures w14:val="standardContextual"/>
        </w:rPr>
        <w:t>كما أكدت ذلك</w:t>
      </w:r>
      <w:r w:rsidRPr="00362D29">
        <w:rPr>
          <w:rFonts w:ascii="Traditional Arabic" w:eastAsia="Aptos" w:hAnsi="Traditional Arabic" w:cs="Traditional Arabic"/>
          <w:kern w:val="2"/>
          <w:sz w:val="24"/>
          <w:szCs w:val="24"/>
          <w:rtl/>
          <w14:ligatures w14:val="standardContextual"/>
        </w:rPr>
        <w:t xml:space="preserve"> دراسة (</w:t>
      </w:r>
      <w:r w:rsidR="004C5B88" w:rsidRPr="00362D29">
        <w:rPr>
          <w:rFonts w:ascii="Traditional Arabic" w:eastAsia="Aptos" w:hAnsi="Traditional Arabic" w:cs="Traditional Arabic"/>
          <w:kern w:val="2"/>
          <w:sz w:val="24"/>
          <w:szCs w:val="24"/>
          <w:rtl/>
          <w14:ligatures w14:val="standardContextual"/>
        </w:rPr>
        <w:t>السنان</w:t>
      </w:r>
      <w:r w:rsidRPr="00362D29">
        <w:rPr>
          <w:rFonts w:ascii="Traditional Arabic" w:eastAsia="Aptos" w:hAnsi="Traditional Arabic" w:cs="Traditional Arabic"/>
          <w:kern w:val="2"/>
          <w:sz w:val="24"/>
          <w:szCs w:val="24"/>
          <w:rtl/>
          <w14:ligatures w14:val="standardContextual"/>
        </w:rPr>
        <w:t>، 2026) إلى أن جودة أداء الممارسين الصحيين وشمولية تقييمهم لاحتياجات المريض الإنسانية تُعد متغيراً تنبؤياً مباشراً لفعالية تجربة المريض</w:t>
      </w:r>
      <w:r w:rsidRPr="00362D29">
        <w:rPr>
          <w:rFonts w:ascii="Traditional Arabic" w:eastAsia="Aptos" w:hAnsi="Traditional Arabic" w:cs="Traditional Arabic"/>
          <w:kern w:val="2"/>
          <w:sz w:val="24"/>
          <w:szCs w:val="24"/>
          <w14:ligatures w14:val="standardContextual"/>
        </w:rPr>
        <w:t>.</w:t>
      </w:r>
    </w:p>
    <w:p w14:paraId="60F5686E" w14:textId="0FD6F10E" w:rsidR="004569CD" w:rsidRPr="00362D29" w:rsidRDefault="004569CD"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3</w:t>
      </w:r>
      <w:r w:rsidRPr="00362D29">
        <w:rPr>
          <w:rFonts w:ascii="Traditional Arabic" w:eastAsia="Aptos" w:hAnsi="Traditional Arabic" w:cs="Traditional Arabic"/>
          <w:b/>
          <w:bCs/>
          <w:kern w:val="2"/>
          <w:sz w:val="24"/>
          <w:szCs w:val="24"/>
          <w14:ligatures w14:val="standardContextual"/>
        </w:rPr>
        <w:t>.</w:t>
      </w:r>
      <w:r w:rsidRPr="00362D29">
        <w:rPr>
          <w:rFonts w:ascii="Traditional Arabic" w:eastAsia="Aptos" w:hAnsi="Traditional Arabic" w:cs="Traditional Arabic"/>
          <w:b/>
          <w:bCs/>
          <w:kern w:val="2"/>
          <w:sz w:val="24"/>
          <w:szCs w:val="24"/>
          <w:rtl/>
          <w14:ligatures w14:val="standardContextual"/>
        </w:rPr>
        <w:t>توفير بيئة مريحة واستشفائية</w:t>
      </w:r>
      <w:r w:rsidRPr="00362D29">
        <w:rPr>
          <w:rFonts w:ascii="Traditional Arabic" w:eastAsia="Aptos" w:hAnsi="Traditional Arabic" w:cs="Traditional Arabic"/>
          <w:kern w:val="2"/>
          <w:sz w:val="24"/>
          <w:szCs w:val="24"/>
          <w14:ligatures w14:val="standardContextual"/>
        </w:rPr>
        <w:t xml:space="preserve"> (Provision of a comfortable and healing environment): </w:t>
      </w:r>
      <w:r w:rsidRPr="00362D29">
        <w:rPr>
          <w:rFonts w:ascii="Traditional Arabic" w:eastAsia="Aptos" w:hAnsi="Traditional Arabic" w:cs="Traditional Arabic"/>
          <w:kern w:val="2"/>
          <w:sz w:val="24"/>
          <w:szCs w:val="24"/>
          <w:rtl/>
          <w14:ligatures w14:val="standardContextual"/>
        </w:rPr>
        <w:t xml:space="preserve">لا تقتصر التجربة على التفاعل البشري فحسب، بل تمتد لتشمل البيئة المادية المحيطة بالمريض. وتؤكد </w:t>
      </w:r>
      <w:r w:rsidR="00866D2F" w:rsidRPr="00362D29">
        <w:rPr>
          <w:rFonts w:ascii="Traditional Arabic" w:eastAsia="Aptos" w:hAnsi="Traditional Arabic" w:cs="Traditional Arabic"/>
          <w:kern w:val="2"/>
          <w:sz w:val="24"/>
          <w:szCs w:val="24"/>
          <w:rtl/>
          <w14:ligatures w14:val="standardContextual"/>
        </w:rPr>
        <w:t xml:space="preserve">ذلك </w:t>
      </w:r>
      <w:r w:rsidRPr="00362D29">
        <w:rPr>
          <w:rFonts w:ascii="Traditional Arabic" w:eastAsia="Aptos" w:hAnsi="Traditional Arabic" w:cs="Traditional Arabic"/>
          <w:kern w:val="2"/>
          <w:sz w:val="24"/>
          <w:szCs w:val="24"/>
          <w:rtl/>
          <w14:ligatures w14:val="standardContextual"/>
        </w:rPr>
        <w:t>دراسة (محمود، 2025) أن تصميم المستشفيات الذكية وتوفير بيئة مادية مريحة وهادئة يسهم بشكل مباشر في رفع كفاءة الأداء وتحسين المخرجات الصحية وتجربة المرضى بشكل عام</w:t>
      </w:r>
      <w:r w:rsidRPr="00362D29">
        <w:rPr>
          <w:rFonts w:ascii="Traditional Arabic" w:eastAsia="Aptos" w:hAnsi="Traditional Arabic" w:cs="Traditional Arabic"/>
          <w:kern w:val="2"/>
          <w:sz w:val="24"/>
          <w:szCs w:val="24"/>
          <w14:ligatures w14:val="standardContextual"/>
        </w:rPr>
        <w:t>.</w:t>
      </w:r>
    </w:p>
    <w:p w14:paraId="13CE5366" w14:textId="7EF57457" w:rsidR="00731E06" w:rsidRPr="00362D29" w:rsidRDefault="004726BF" w:rsidP="00362D29">
      <w:pPr>
        <w:pStyle w:val="ab"/>
        <w:numPr>
          <w:ilvl w:val="0"/>
          <w:numId w:val="65"/>
        </w:numPr>
        <w:bidi/>
        <w:spacing w:before="0" w:after="160" w:line="360" w:lineRule="auto"/>
        <w:jc w:val="both"/>
        <w:rPr>
          <w:rFonts w:ascii="Traditional Arabic" w:eastAsia="Aptos" w:hAnsi="Traditional Arabic" w:cs="Traditional Arabic"/>
          <w:b/>
          <w:bCs/>
          <w:kern w:val="2"/>
          <w:sz w:val="28"/>
          <w:szCs w:val="28"/>
          <w14:ligatures w14:val="standardContextual"/>
        </w:rPr>
      </w:pPr>
      <w:r w:rsidRPr="00362D29">
        <w:rPr>
          <w:rFonts w:ascii="Traditional Arabic" w:eastAsia="Aptos" w:hAnsi="Traditional Arabic" w:cs="Traditional Arabic"/>
          <w:b/>
          <w:bCs/>
          <w:kern w:val="2"/>
          <w:sz w:val="28"/>
          <w:szCs w:val="28"/>
          <w:rtl/>
          <w14:ligatures w14:val="standardContextual"/>
        </w:rPr>
        <w:t>محركات تجربة المريض في السياق التنظيمي</w:t>
      </w:r>
    </w:p>
    <w:p w14:paraId="54FC4415" w14:textId="4078C8E9" w:rsidR="004726BF" w:rsidRPr="00362D29" w:rsidRDefault="00F64F47"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تؤكد </w:t>
      </w:r>
      <w:r w:rsidR="00FF6D98" w:rsidRPr="00362D29">
        <w:rPr>
          <w:rFonts w:ascii="Traditional Arabic" w:eastAsia="Aptos" w:hAnsi="Traditional Arabic" w:cs="Traditional Arabic"/>
          <w:kern w:val="2"/>
          <w:sz w:val="24"/>
          <w:szCs w:val="24"/>
          <w:rtl/>
          <w14:ligatures w14:val="standardContextual"/>
        </w:rPr>
        <w:t>(</w:t>
      </w:r>
      <w:r w:rsidR="00FF6D98" w:rsidRPr="00362D29">
        <w:rPr>
          <w:rFonts w:ascii="Traditional Arabic" w:eastAsia="Aptos" w:hAnsi="Traditional Arabic" w:cs="Traditional Arabic"/>
          <w:kern w:val="2"/>
          <w:sz w:val="24"/>
          <w:szCs w:val="24"/>
          <w14:ligatures w14:val="standardContextual"/>
        </w:rPr>
        <w:t>Health Academy, 2022</w:t>
      </w:r>
      <w:r w:rsidR="00FF6D98" w:rsidRPr="00362D29">
        <w:rPr>
          <w:rFonts w:ascii="Traditional Arabic" w:eastAsia="Aptos" w:hAnsi="Traditional Arabic" w:cs="Traditional Arabic"/>
          <w:kern w:val="2"/>
          <w:sz w:val="24"/>
          <w:szCs w:val="24"/>
          <w:rtl/>
          <w14:ligatures w14:val="standardContextual"/>
        </w:rPr>
        <w:t xml:space="preserve">) ، </w:t>
      </w:r>
      <w:r w:rsidRPr="00362D29">
        <w:rPr>
          <w:rFonts w:ascii="Traditional Arabic" w:eastAsia="Aptos" w:hAnsi="Traditional Arabic" w:cs="Traditional Arabic"/>
          <w:kern w:val="2"/>
          <w:sz w:val="24"/>
          <w:szCs w:val="24"/>
          <w:rtl/>
          <w14:ligatures w14:val="standardContextual"/>
        </w:rPr>
        <w:t>أن</w:t>
      </w:r>
      <w:r w:rsidR="004726BF" w:rsidRPr="00362D29">
        <w:rPr>
          <w:rFonts w:ascii="Traditional Arabic" w:eastAsia="Aptos" w:hAnsi="Traditional Arabic" w:cs="Traditional Arabic"/>
          <w:kern w:val="2"/>
          <w:sz w:val="24"/>
          <w:szCs w:val="24"/>
          <w:rtl/>
          <w14:ligatures w14:val="standardContextual"/>
        </w:rPr>
        <w:t xml:space="preserve"> محركات </w:t>
      </w:r>
      <w:r w:rsidR="00FF6D98" w:rsidRPr="00362D29">
        <w:rPr>
          <w:rFonts w:ascii="Traditional Arabic" w:eastAsia="Aptos" w:hAnsi="Traditional Arabic" w:cs="Traditional Arabic"/>
          <w:kern w:val="2"/>
          <w:sz w:val="24"/>
          <w:szCs w:val="24"/>
          <w:rtl/>
          <w14:ligatures w14:val="standardContextual"/>
        </w:rPr>
        <w:t xml:space="preserve">تجربة المريض </w:t>
      </w:r>
      <w:r w:rsidR="004726BF" w:rsidRPr="00362D29">
        <w:rPr>
          <w:rFonts w:ascii="Traditional Arabic" w:eastAsia="Aptos" w:hAnsi="Traditional Arabic" w:cs="Traditional Arabic"/>
          <w:kern w:val="2"/>
          <w:sz w:val="24"/>
          <w:szCs w:val="24"/>
          <w:rtl/>
          <w14:ligatures w14:val="standardContextual"/>
        </w:rPr>
        <w:t xml:space="preserve">تتجذر بعمق في ثقافة المنظمة وقيادتها، حيث تشكل هذه الثقافة والقيادة الموجه الأساسي لآلية اتخاذ القرارات والتفاعلات الإنسانية والنتائج المحققة. كما تشدد على ضرورة استيعاب منظور المريض الفردي، نظراً لتباين المحركات وفقاً للخلفية الثقافية، والحالة الصحية، والمستوى التعليمي للمريض </w:t>
      </w:r>
      <w:r w:rsidR="00BB5280" w:rsidRPr="00362D29">
        <w:rPr>
          <w:rFonts w:ascii="Traditional Arabic" w:eastAsia="Aptos" w:hAnsi="Traditional Arabic" w:cs="Traditional Arabic"/>
          <w:kern w:val="2"/>
          <w:sz w:val="24"/>
          <w:szCs w:val="24"/>
          <w:rtl/>
          <w14:ligatures w14:val="standardContextual"/>
        </w:rPr>
        <w:t>(</w:t>
      </w:r>
      <w:r w:rsidR="00BB5280" w:rsidRPr="00362D29">
        <w:rPr>
          <w:rFonts w:ascii="Traditional Arabic" w:eastAsia="Aptos" w:hAnsi="Traditional Arabic" w:cs="Traditional Arabic"/>
          <w:kern w:val="2"/>
          <w:sz w:val="24"/>
          <w:szCs w:val="24"/>
          <w14:ligatures w14:val="standardContextual"/>
        </w:rPr>
        <w:t>Health Academy, 2022</w:t>
      </w:r>
      <w:r w:rsidR="00BB5280" w:rsidRPr="00362D29">
        <w:rPr>
          <w:rFonts w:ascii="Traditional Arabic" w:eastAsia="Aptos" w:hAnsi="Traditional Arabic" w:cs="Traditional Arabic"/>
          <w:kern w:val="2"/>
          <w:sz w:val="24"/>
          <w:szCs w:val="24"/>
          <w:rtl/>
          <w14:ligatures w14:val="standardContextual"/>
        </w:rPr>
        <w:t>)</w:t>
      </w:r>
      <w:r w:rsidR="004726BF" w:rsidRPr="00362D29">
        <w:rPr>
          <w:rFonts w:ascii="Traditional Arabic" w:eastAsia="Aptos" w:hAnsi="Traditional Arabic" w:cs="Traditional Arabic"/>
          <w:kern w:val="2"/>
          <w:sz w:val="24"/>
          <w:szCs w:val="24"/>
          <w:rtl/>
          <w14:ligatures w14:val="standardContextual"/>
        </w:rPr>
        <w:t>. ولتفعيل ذلك، يتعين على القيادات الصحية تبني استراتيجيات منهجية لاستكشاف هذه المحركات، ومن أبرزها</w:t>
      </w:r>
      <w:r w:rsidR="004726BF" w:rsidRPr="00362D29">
        <w:rPr>
          <w:rFonts w:ascii="Traditional Arabic" w:eastAsia="Aptos" w:hAnsi="Traditional Arabic" w:cs="Traditional Arabic"/>
          <w:kern w:val="2"/>
          <w:sz w:val="24"/>
          <w:szCs w:val="24"/>
          <w14:ligatures w14:val="standardContextual"/>
        </w:rPr>
        <w:t>:"</w:t>
      </w:r>
    </w:p>
    <w:p w14:paraId="0CEE4764" w14:textId="35F3D35A" w:rsidR="004569CD" w:rsidRPr="00362D29" w:rsidRDefault="004569CD"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416EDF">
        <w:rPr>
          <w:rFonts w:ascii="Traditional Arabic" w:eastAsia="Aptos" w:hAnsi="Traditional Arabic" w:cs="Traditional Arabic"/>
          <w:b/>
          <w:bCs/>
          <w:kern w:val="2"/>
          <w:sz w:val="24"/>
          <w:szCs w:val="24"/>
          <w:rtl/>
          <w14:ligatures w14:val="standardContextual"/>
        </w:rPr>
        <w:t>1</w:t>
      </w:r>
      <w:r w:rsidRPr="00416EDF">
        <w:rPr>
          <w:rFonts w:ascii="Traditional Arabic" w:eastAsia="Aptos" w:hAnsi="Traditional Arabic" w:cs="Traditional Arabic"/>
          <w:b/>
          <w:bCs/>
          <w:kern w:val="2"/>
          <w:sz w:val="24"/>
          <w:szCs w:val="24"/>
          <w14:ligatures w14:val="standardContextual"/>
        </w:rPr>
        <w:t>.</w:t>
      </w:r>
      <w:r w:rsidRPr="00416EDF">
        <w:rPr>
          <w:rFonts w:ascii="Traditional Arabic" w:eastAsia="Aptos" w:hAnsi="Traditional Arabic" w:cs="Traditional Arabic"/>
          <w:b/>
          <w:bCs/>
          <w:kern w:val="2"/>
          <w:sz w:val="24"/>
          <w:szCs w:val="24"/>
          <w:rtl/>
          <w14:ligatures w14:val="standardContextual"/>
        </w:rPr>
        <w:t>الاستثمار في فهم أعمق</w:t>
      </w:r>
      <w:r w:rsidR="00A72D54" w:rsidRPr="00416EDF">
        <w:rPr>
          <w:rFonts w:ascii="Traditional Arabic" w:eastAsia="Aptos" w:hAnsi="Traditional Arabic" w:cs="Traditional Arabic"/>
          <w:b/>
          <w:bCs/>
          <w:kern w:val="2"/>
          <w:sz w:val="24"/>
          <w:szCs w:val="24"/>
          <w:rtl/>
          <w14:ligatures w14:val="standardContextual"/>
        </w:rPr>
        <w:t xml:space="preserve"> لتجربة المريض</w:t>
      </w:r>
      <w:r w:rsidRPr="00416EDF">
        <w:rPr>
          <w:rFonts w:ascii="Traditional Arabic" w:eastAsia="Aptos" w:hAnsi="Traditional Arabic" w:cs="Traditional Arabic"/>
          <w:b/>
          <w:bCs/>
          <w:kern w:val="2"/>
          <w:sz w:val="24"/>
          <w:szCs w:val="24"/>
          <w:rtl/>
          <w14:ligatures w14:val="standardContextual"/>
        </w:rPr>
        <w:t xml:space="preserve">: </w:t>
      </w:r>
      <w:r w:rsidRPr="00362D29">
        <w:rPr>
          <w:rFonts w:ascii="Traditional Arabic" w:eastAsia="Aptos" w:hAnsi="Traditional Arabic" w:cs="Traditional Arabic"/>
          <w:kern w:val="2"/>
          <w:sz w:val="24"/>
          <w:szCs w:val="24"/>
          <w:rtl/>
          <w14:ligatures w14:val="standardContextual"/>
        </w:rPr>
        <w:t>من خلال أنظمة إدارة معلومات كافية لمراقبة مقاييس الجودة والخبرة والسلامة الرئيسية داخل منظماتهم</w:t>
      </w:r>
      <w:r w:rsidRPr="00362D29">
        <w:rPr>
          <w:rFonts w:ascii="Traditional Arabic" w:eastAsia="Aptos" w:hAnsi="Traditional Arabic" w:cs="Traditional Arabic"/>
          <w:kern w:val="2"/>
          <w:sz w:val="24"/>
          <w:szCs w:val="24"/>
          <w14:ligatures w14:val="standardContextual"/>
        </w:rPr>
        <w:t>.</w:t>
      </w:r>
    </w:p>
    <w:p w14:paraId="131E399D" w14:textId="138FB003" w:rsidR="004569CD" w:rsidRPr="00362D29" w:rsidRDefault="004569CD"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2</w:t>
      </w:r>
      <w:r w:rsidRPr="00362D29">
        <w:rPr>
          <w:rFonts w:ascii="Traditional Arabic" w:eastAsia="Aptos" w:hAnsi="Traditional Arabic" w:cs="Traditional Arabic"/>
          <w:b/>
          <w:bCs/>
          <w:kern w:val="2"/>
          <w:sz w:val="24"/>
          <w:szCs w:val="24"/>
          <w14:ligatures w14:val="standardContextual"/>
        </w:rPr>
        <w:t>.</w:t>
      </w:r>
      <w:r w:rsidRPr="00362D29">
        <w:rPr>
          <w:rFonts w:ascii="Traditional Arabic" w:eastAsia="Aptos" w:hAnsi="Traditional Arabic" w:cs="Traditional Arabic"/>
          <w:b/>
          <w:bCs/>
          <w:kern w:val="2"/>
          <w:sz w:val="24"/>
          <w:szCs w:val="24"/>
          <w:rtl/>
          <w14:ligatures w14:val="standardContextual"/>
        </w:rPr>
        <w:t>تأسيس الشفافية في الوقت الفعلي:</w:t>
      </w:r>
      <w:r w:rsidRPr="00362D29">
        <w:rPr>
          <w:rFonts w:ascii="Traditional Arabic" w:eastAsia="Aptos" w:hAnsi="Traditional Arabic" w:cs="Traditional Arabic"/>
          <w:kern w:val="2"/>
          <w:sz w:val="24"/>
          <w:szCs w:val="24"/>
          <w:rtl/>
          <w14:ligatures w14:val="standardContextual"/>
        </w:rPr>
        <w:t xml:space="preserve"> من الضروري أن تعطي فرق الرعاية الصحية الأولوية للكشف عن نقاط الضعف في العمليات وفهمها، والتي تنتج فجوات في قدرة فريقهم على تقديم رعاية جيدة. إن وجود شفافية في الوقت الفعلي حول كيفية إدراك المرضى للرعاية التي يتلقونها أمر بالغ الأهمية</w:t>
      </w:r>
      <w:r w:rsidRPr="00362D29">
        <w:rPr>
          <w:rFonts w:ascii="Traditional Arabic" w:eastAsia="Aptos" w:hAnsi="Traditional Arabic" w:cs="Traditional Arabic"/>
          <w:kern w:val="2"/>
          <w:sz w:val="24"/>
          <w:szCs w:val="24"/>
          <w14:ligatures w14:val="standardContextual"/>
        </w:rPr>
        <w:t>.</w:t>
      </w:r>
    </w:p>
    <w:p w14:paraId="31BC7B9C" w14:textId="52D6F70C" w:rsidR="004569CD" w:rsidRPr="00362D29" w:rsidRDefault="004569CD"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3</w:t>
      </w:r>
      <w:r w:rsidRPr="00362D29">
        <w:rPr>
          <w:rFonts w:ascii="Traditional Arabic" w:eastAsia="Aptos" w:hAnsi="Traditional Arabic" w:cs="Traditional Arabic"/>
          <w:b/>
          <w:bCs/>
          <w:kern w:val="2"/>
          <w:sz w:val="24"/>
          <w:szCs w:val="24"/>
          <w14:ligatures w14:val="standardContextual"/>
        </w:rPr>
        <w:t>.</w:t>
      </w:r>
      <w:r w:rsidRPr="00362D29">
        <w:rPr>
          <w:rFonts w:ascii="Traditional Arabic" w:eastAsia="Aptos" w:hAnsi="Traditional Arabic" w:cs="Traditional Arabic"/>
          <w:b/>
          <w:bCs/>
          <w:kern w:val="2"/>
          <w:sz w:val="24"/>
          <w:szCs w:val="24"/>
          <w:rtl/>
          <w14:ligatures w14:val="standardContextual"/>
        </w:rPr>
        <w:t>التواصل قبل الخروج من المستشفى:</w:t>
      </w:r>
      <w:r w:rsidRPr="00362D29">
        <w:rPr>
          <w:rFonts w:ascii="Traditional Arabic" w:eastAsia="Aptos" w:hAnsi="Traditional Arabic" w:cs="Traditional Arabic"/>
          <w:kern w:val="2"/>
          <w:sz w:val="24"/>
          <w:szCs w:val="24"/>
          <w:rtl/>
          <w14:ligatures w14:val="standardContextual"/>
        </w:rPr>
        <w:t xml:space="preserve"> من خلال الاستثمار في منصة لإدارة ملاحظات المرضى ومعلوماتهم في الوقت الفعلي، والتي تتواصل تلقائياً مع الفرق المناوبة بشأن مخاوف المرضى، يمكن للفرق إجراء استعادة الخدمة قبل مغادرة المرضى للمستشفى</w:t>
      </w:r>
      <w:r w:rsidRPr="00362D29">
        <w:rPr>
          <w:rFonts w:ascii="Traditional Arabic" w:eastAsia="Aptos" w:hAnsi="Traditional Arabic" w:cs="Traditional Arabic"/>
          <w:kern w:val="2"/>
          <w:sz w:val="24"/>
          <w:szCs w:val="24"/>
          <w14:ligatures w14:val="standardContextual"/>
        </w:rPr>
        <w:t>.</w:t>
      </w:r>
    </w:p>
    <w:p w14:paraId="008A880C" w14:textId="01B4E16D" w:rsidR="004569CD" w:rsidRPr="00362D29" w:rsidRDefault="004569CD"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lastRenderedPageBreak/>
        <w:t>4</w:t>
      </w:r>
      <w:r w:rsidRPr="00362D29">
        <w:rPr>
          <w:rFonts w:ascii="Traditional Arabic" w:eastAsia="Aptos" w:hAnsi="Traditional Arabic" w:cs="Traditional Arabic"/>
          <w:b/>
          <w:bCs/>
          <w:kern w:val="2"/>
          <w:sz w:val="24"/>
          <w:szCs w:val="24"/>
          <w14:ligatures w14:val="standardContextual"/>
        </w:rPr>
        <w:t>.</w:t>
      </w:r>
      <w:r w:rsidRPr="00362D29">
        <w:rPr>
          <w:rFonts w:ascii="Traditional Arabic" w:eastAsia="Aptos" w:hAnsi="Traditional Arabic" w:cs="Traditional Arabic"/>
          <w:b/>
          <w:bCs/>
          <w:kern w:val="2"/>
          <w:sz w:val="24"/>
          <w:szCs w:val="24"/>
          <w:rtl/>
          <w14:ligatures w14:val="standardContextual"/>
        </w:rPr>
        <w:t xml:space="preserve">تطوير ثقافة التعلم: </w:t>
      </w:r>
      <w:r w:rsidRPr="00362D29">
        <w:rPr>
          <w:rFonts w:ascii="Traditional Arabic" w:eastAsia="Aptos" w:hAnsi="Traditional Arabic" w:cs="Traditional Arabic"/>
          <w:kern w:val="2"/>
          <w:sz w:val="24"/>
          <w:szCs w:val="24"/>
          <w:rtl/>
          <w14:ligatures w14:val="standardContextual"/>
        </w:rPr>
        <w:t>لا يكفي التعلم من المرضى على أساس ربع سنوي. تحتاج الفرق إلى التعلم في الوقت الفعلي من كل تجربة مريض بطريقة غير متحيزة، حتى يتمكنوا باستمرار من الكشف عن كيفية تقديم أفضل رعاية ممكنة</w:t>
      </w:r>
      <w:r w:rsidRPr="00362D29">
        <w:rPr>
          <w:rFonts w:ascii="Traditional Arabic" w:eastAsia="Aptos" w:hAnsi="Traditional Arabic" w:cs="Traditional Arabic"/>
          <w:kern w:val="2"/>
          <w:sz w:val="24"/>
          <w:szCs w:val="24"/>
          <w14:ligatures w14:val="standardContextual"/>
        </w:rPr>
        <w:t>.</w:t>
      </w:r>
    </w:p>
    <w:p w14:paraId="77ECAF37" w14:textId="77777777" w:rsidR="00C139AC" w:rsidRPr="00362D29" w:rsidRDefault="004569CD"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5</w:t>
      </w:r>
      <w:r w:rsidRPr="00362D29">
        <w:rPr>
          <w:rFonts w:ascii="Traditional Arabic" w:eastAsia="Aptos" w:hAnsi="Traditional Arabic" w:cs="Traditional Arabic"/>
          <w:b/>
          <w:bCs/>
          <w:kern w:val="2"/>
          <w:sz w:val="24"/>
          <w:szCs w:val="24"/>
          <w14:ligatures w14:val="standardContextual"/>
        </w:rPr>
        <w:t>.</w:t>
      </w:r>
      <w:r w:rsidRPr="00362D29">
        <w:rPr>
          <w:rFonts w:ascii="Traditional Arabic" w:eastAsia="Aptos" w:hAnsi="Traditional Arabic" w:cs="Traditional Arabic"/>
          <w:b/>
          <w:bCs/>
          <w:kern w:val="2"/>
          <w:sz w:val="24"/>
          <w:szCs w:val="24"/>
          <w:rtl/>
          <w14:ligatures w14:val="standardContextual"/>
        </w:rPr>
        <w:t>الاستماع إلى المرضى بكلماتهم الخاصة:</w:t>
      </w:r>
      <w:r w:rsidRPr="00362D29">
        <w:rPr>
          <w:rFonts w:ascii="Traditional Arabic" w:eastAsia="Aptos" w:hAnsi="Traditional Arabic" w:cs="Traditional Arabic"/>
          <w:kern w:val="2"/>
          <w:sz w:val="24"/>
          <w:szCs w:val="24"/>
          <w:rtl/>
          <w14:ligatures w14:val="standardContextual"/>
        </w:rPr>
        <w:t xml:space="preserve"> العديد من الاستبيانات الحالية المستخدمة في الرعاية الصحية تقيد المرضى بتقديم ملاحظات على مقياس رقمي أو متعدد الخيارات، دون خيار لتقديم ملاحظات إضافية (الهيئة السعودية للتخصصات الصحية، 2025)</w:t>
      </w:r>
      <w:r w:rsidRPr="00362D29">
        <w:rPr>
          <w:rFonts w:ascii="Traditional Arabic" w:eastAsia="Aptos" w:hAnsi="Traditional Arabic" w:cs="Traditional Arabic"/>
          <w:kern w:val="2"/>
          <w:sz w:val="24"/>
          <w:szCs w:val="24"/>
          <w14:ligatures w14:val="standardContextual"/>
        </w:rPr>
        <w:t>.</w:t>
      </w:r>
    </w:p>
    <w:p w14:paraId="7A590A41" w14:textId="77777777" w:rsidR="00B16EC8" w:rsidRPr="00362D29" w:rsidRDefault="004569CD" w:rsidP="00362D29">
      <w:pPr>
        <w:pStyle w:val="ab"/>
        <w:numPr>
          <w:ilvl w:val="0"/>
          <w:numId w:val="65"/>
        </w:numPr>
        <w:bidi/>
        <w:spacing w:before="0" w:after="160" w:line="360" w:lineRule="auto"/>
        <w:jc w:val="both"/>
        <w:rPr>
          <w:rFonts w:ascii="Traditional Arabic" w:eastAsia="Aptos" w:hAnsi="Traditional Arabic" w:cs="Traditional Arabic"/>
          <w:kern w:val="2"/>
          <w:sz w:val="24"/>
          <w:szCs w:val="24"/>
          <w14:ligatures w14:val="standardContextual"/>
        </w:rPr>
      </w:pPr>
      <w:r w:rsidRPr="00362D29">
        <w:rPr>
          <w:rFonts w:ascii="Traditional Arabic" w:eastAsia="Aptos" w:hAnsi="Traditional Arabic" w:cs="Traditional Arabic"/>
          <w:kern w:val="2"/>
          <w:sz w:val="24"/>
          <w:szCs w:val="24"/>
          <w:rtl/>
          <w14:ligatures w14:val="standardContextual"/>
        </w:rPr>
        <w:t xml:space="preserve">وفي سياق التميز المؤسسي، يرى (الرويلي، 2025) أن </w:t>
      </w:r>
      <w:r w:rsidRPr="00362D29">
        <w:rPr>
          <w:rFonts w:ascii="Traditional Arabic" w:eastAsia="Aptos" w:hAnsi="Traditional Arabic" w:cs="Traditional Arabic"/>
          <w:b/>
          <w:bCs/>
          <w:kern w:val="2"/>
          <w:sz w:val="24"/>
          <w:szCs w:val="24"/>
          <w:rtl/>
          <w14:ligatures w14:val="standardContextual"/>
        </w:rPr>
        <w:t>"العنصر البشري المؤهل"</w:t>
      </w:r>
      <w:r w:rsidRPr="00362D29">
        <w:rPr>
          <w:rFonts w:ascii="Traditional Arabic" w:eastAsia="Aptos" w:hAnsi="Traditional Arabic" w:cs="Traditional Arabic"/>
          <w:kern w:val="2"/>
          <w:sz w:val="24"/>
          <w:szCs w:val="24"/>
          <w:rtl/>
          <w14:ligatures w14:val="standardContextual"/>
        </w:rPr>
        <w:t xml:space="preserve"> و</w:t>
      </w:r>
      <w:r w:rsidR="00C139AC" w:rsidRPr="00362D29">
        <w:rPr>
          <w:rFonts w:ascii="Traditional Arabic" w:eastAsia="Aptos" w:hAnsi="Traditional Arabic" w:cs="Traditional Arabic"/>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الالتزام بالتحسين المستمر</w:t>
      </w:r>
      <w:r w:rsidR="00B16EC8" w:rsidRPr="00362D29">
        <w:rPr>
          <w:rFonts w:ascii="Traditional Arabic" w:eastAsia="Aptos" w:hAnsi="Traditional Arabic" w:cs="Traditional Arabic"/>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هما المحركان الخفيان اللذان يضمنان استدامة جودة تجربة المريض. وهذا ما يدعمه</w:t>
      </w:r>
      <w:r w:rsidRPr="00362D29">
        <w:rPr>
          <w:rFonts w:ascii="Traditional Arabic" w:eastAsia="Aptos" w:hAnsi="Traditional Arabic" w:cs="Traditional Arabic"/>
          <w:kern w:val="2"/>
          <w:sz w:val="24"/>
          <w:szCs w:val="24"/>
          <w14:ligatures w14:val="standardContextual"/>
        </w:rPr>
        <w:t xml:space="preserve"> (Salih &amp; Dolah, 2023) </w:t>
      </w:r>
      <w:r w:rsidRPr="00362D29">
        <w:rPr>
          <w:rFonts w:ascii="Traditional Arabic" w:eastAsia="Aptos" w:hAnsi="Traditional Arabic" w:cs="Traditional Arabic"/>
          <w:kern w:val="2"/>
          <w:sz w:val="24"/>
          <w:szCs w:val="24"/>
          <w:rtl/>
          <w14:ligatures w14:val="standardContextual"/>
        </w:rPr>
        <w:t xml:space="preserve">بالتأكيد على أن </w:t>
      </w:r>
      <w:r w:rsidRPr="00362D29">
        <w:rPr>
          <w:rFonts w:ascii="Traditional Arabic" w:eastAsia="Aptos" w:hAnsi="Traditional Arabic" w:cs="Traditional Arabic"/>
          <w:b/>
          <w:bCs/>
          <w:kern w:val="2"/>
          <w:sz w:val="24"/>
          <w:szCs w:val="24"/>
          <w:rtl/>
          <w14:ligatures w14:val="standardContextual"/>
        </w:rPr>
        <w:t>"وضوح الاستراتيجية وفعالية الاتصال"</w:t>
      </w:r>
      <w:r w:rsidRPr="00362D29">
        <w:rPr>
          <w:rFonts w:ascii="Traditional Arabic" w:eastAsia="Aptos" w:hAnsi="Traditional Arabic" w:cs="Traditional Arabic"/>
          <w:kern w:val="2"/>
          <w:sz w:val="24"/>
          <w:szCs w:val="24"/>
          <w:rtl/>
          <w14:ligatures w14:val="standardContextual"/>
        </w:rPr>
        <w:t xml:space="preserve"> هما من عوامل النجاح الحرجة التي تقود المنظمات الصحية نحو التميز في تقديم تجربة مريض متميزة</w:t>
      </w:r>
      <w:r w:rsidRPr="00362D29">
        <w:rPr>
          <w:rFonts w:ascii="Traditional Arabic" w:eastAsia="Aptos" w:hAnsi="Traditional Arabic" w:cs="Traditional Arabic"/>
          <w:kern w:val="2"/>
          <w:sz w:val="24"/>
          <w:szCs w:val="24"/>
          <w14:ligatures w14:val="standardContextual"/>
        </w:rPr>
        <w:t>.</w:t>
      </w:r>
    </w:p>
    <w:p w14:paraId="4422844C" w14:textId="22D35EE0" w:rsidR="00454581" w:rsidRPr="00362D29" w:rsidRDefault="004569CD" w:rsidP="00362D29">
      <w:pPr>
        <w:pStyle w:val="ab"/>
        <w:numPr>
          <w:ilvl w:val="0"/>
          <w:numId w:val="65"/>
        </w:numPr>
        <w:bidi/>
        <w:spacing w:before="0" w:after="160" w:line="360" w:lineRule="auto"/>
        <w:jc w:val="both"/>
        <w:rPr>
          <w:rFonts w:ascii="Traditional Arabic" w:eastAsia="Aptos" w:hAnsi="Traditional Arabic" w:cs="Traditional Arabic"/>
          <w:kern w:val="2"/>
          <w:sz w:val="24"/>
          <w:szCs w:val="24"/>
          <w14:ligatures w14:val="standardContextual"/>
        </w:rPr>
      </w:pPr>
      <w:r w:rsidRPr="00362D29">
        <w:rPr>
          <w:rFonts w:ascii="Traditional Arabic" w:eastAsia="Aptos" w:hAnsi="Traditional Arabic" w:cs="Traditional Arabic"/>
          <w:kern w:val="2"/>
          <w:sz w:val="24"/>
          <w:szCs w:val="24"/>
          <w:rtl/>
          <w14:ligatures w14:val="standardContextual"/>
        </w:rPr>
        <w:t xml:space="preserve">خلاصة القول، إن تجربة المريض لا تتحقق من خلال عامل واحد، بل هي نتاج تفاعل معقد بين </w:t>
      </w:r>
      <w:r w:rsidR="00D97E0F" w:rsidRPr="00362D29">
        <w:rPr>
          <w:rFonts w:ascii="Traditional Arabic" w:eastAsia="Aptos" w:hAnsi="Traditional Arabic" w:cs="Traditional Arabic"/>
          <w:kern w:val="2"/>
          <w:sz w:val="24"/>
          <w:szCs w:val="24"/>
          <w:rtl/>
          <w14:ligatures w14:val="standardContextual"/>
        </w:rPr>
        <w:t xml:space="preserve">مجموعة كبيرة من المحركات </w:t>
      </w:r>
      <w:r w:rsidRPr="00362D29">
        <w:rPr>
          <w:rFonts w:ascii="Traditional Arabic" w:eastAsia="Aptos" w:hAnsi="Traditional Arabic" w:cs="Traditional Arabic"/>
          <w:kern w:val="2"/>
          <w:sz w:val="24"/>
          <w:szCs w:val="24"/>
          <w:rtl/>
          <w14:ligatures w14:val="standardContextual"/>
        </w:rPr>
        <w:t>كفاءة العلاج السريري، وجودة التواصل الإنساني، وراحة البيئة المادية، مدعومة ببنية تحتية تقنية متطورة وثقافة تنظيمية وقيادة واعية تضع المريض في قلب استراتيجيات التميز المؤسسي</w:t>
      </w:r>
      <w:r w:rsidRPr="00362D29">
        <w:rPr>
          <w:rFonts w:ascii="Traditional Arabic" w:eastAsia="Aptos" w:hAnsi="Traditional Arabic" w:cs="Traditional Arabic"/>
          <w:kern w:val="2"/>
          <w:sz w:val="24"/>
          <w:szCs w:val="24"/>
          <w14:ligatures w14:val="standardContextual"/>
        </w:rPr>
        <w:t xml:space="preserve"> (Adams et al., 2025; Zehra et al., 2025;</w:t>
      </w:r>
      <w:r w:rsidR="00FD45F4" w:rsidRPr="00362D29">
        <w:rPr>
          <w:rFonts w:ascii="Traditional Arabic" w:eastAsia="Aptos" w:hAnsi="Traditional Arabic" w:cs="Traditional Arabic"/>
          <w:kern w:val="2"/>
          <w:sz w:val="24"/>
          <w:szCs w:val="24"/>
          <w14:ligatures w14:val="standardContextual"/>
        </w:rPr>
        <w:t xml:space="preserve"> </w:t>
      </w:r>
      <w:r w:rsidR="0079367C" w:rsidRPr="00362D29">
        <w:rPr>
          <w:rFonts w:ascii="Traditional Arabic" w:eastAsia="Aptos" w:hAnsi="Traditional Arabic" w:cs="Traditional Arabic"/>
          <w:kern w:val="2"/>
          <w:sz w:val="24"/>
          <w:szCs w:val="24"/>
          <w14:ligatures w14:val="standardContextual"/>
        </w:rPr>
        <w:t>Health Academy, 2024)</w:t>
      </w:r>
    </w:p>
    <w:p w14:paraId="61F5C1C4" w14:textId="77777777" w:rsidR="0079367C" w:rsidRPr="00362D29" w:rsidRDefault="0079367C" w:rsidP="00362D29">
      <w:pPr>
        <w:pStyle w:val="ab"/>
        <w:bidi/>
        <w:spacing w:before="0" w:after="160" w:line="360" w:lineRule="auto"/>
        <w:jc w:val="both"/>
        <w:rPr>
          <w:rFonts w:ascii="Traditional Arabic" w:eastAsia="Aptos" w:hAnsi="Traditional Arabic" w:cs="Traditional Arabic"/>
          <w:kern w:val="2"/>
          <w:sz w:val="24"/>
          <w:szCs w:val="24"/>
          <w14:ligatures w14:val="standardContextual"/>
        </w:rPr>
      </w:pPr>
    </w:p>
    <w:p w14:paraId="10CE4A33" w14:textId="2C9F7DB6" w:rsidR="00454581" w:rsidRPr="00362D29" w:rsidRDefault="004569CD" w:rsidP="00362D29">
      <w:pPr>
        <w:bidi/>
        <w:spacing w:before="0" w:after="160" w:line="360" w:lineRule="auto"/>
        <w:jc w:val="both"/>
        <w:rPr>
          <w:rFonts w:ascii="Traditional Arabic" w:eastAsia="Aptos" w:hAnsi="Traditional Arabic" w:cs="Traditional Arabic"/>
          <w:b/>
          <w:bCs/>
          <w:kern w:val="2"/>
          <w:sz w:val="28"/>
          <w:szCs w:val="28"/>
          <w14:ligatures w14:val="standardContextual"/>
        </w:rPr>
      </w:pPr>
      <w:r w:rsidRPr="00362D29">
        <w:rPr>
          <w:rFonts w:ascii="Traditional Arabic" w:eastAsia="Aptos" w:hAnsi="Traditional Arabic" w:cs="Traditional Arabic"/>
          <w:b/>
          <w:bCs/>
          <w:kern w:val="2"/>
          <w:sz w:val="28"/>
          <w:szCs w:val="28"/>
          <w:rtl/>
          <w14:ligatures w14:val="standardContextual"/>
        </w:rPr>
        <w:t>ثامناً</w:t>
      </w:r>
      <w:r w:rsidR="00454581" w:rsidRPr="00362D29">
        <w:rPr>
          <w:rFonts w:ascii="Traditional Arabic" w:eastAsia="Aptos" w:hAnsi="Traditional Arabic" w:cs="Traditional Arabic"/>
          <w:b/>
          <w:bCs/>
          <w:kern w:val="2"/>
          <w:sz w:val="28"/>
          <w:szCs w:val="28"/>
          <w:rtl/>
          <w14:ligatures w14:val="standardContextual"/>
        </w:rPr>
        <w:t>: أبعاد جودة تجربة المريض (</w:t>
      </w:r>
      <w:r w:rsidR="00454581" w:rsidRPr="00362D29">
        <w:rPr>
          <w:rFonts w:ascii="Traditional Arabic" w:eastAsia="Aptos" w:hAnsi="Traditional Arabic" w:cs="Traditional Arabic"/>
          <w:b/>
          <w:bCs/>
          <w:kern w:val="2"/>
          <w:sz w:val="28"/>
          <w:szCs w:val="28"/>
          <w14:ligatures w14:val="standardContextual"/>
        </w:rPr>
        <w:t>Dimensions of Patient Experience Quality</w:t>
      </w:r>
      <w:r w:rsidR="00454581" w:rsidRPr="00362D29">
        <w:rPr>
          <w:rFonts w:ascii="Traditional Arabic" w:eastAsia="Aptos" w:hAnsi="Traditional Arabic" w:cs="Traditional Arabic"/>
          <w:b/>
          <w:bCs/>
          <w:kern w:val="2"/>
          <w:sz w:val="28"/>
          <w:szCs w:val="28"/>
          <w:rtl/>
          <w14:ligatures w14:val="standardContextual"/>
        </w:rPr>
        <w:t>)</w:t>
      </w:r>
    </w:p>
    <w:p w14:paraId="5501537A" w14:textId="50685D13" w:rsidR="00454581" w:rsidRPr="00362D29" w:rsidRDefault="00454581"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تُعد أبعاد جودة تجربة المريض الركيزة الأساسية لتقييم مدى نجاح المؤسسات الصحية في تقديم رعاية </w:t>
      </w:r>
      <w:r w:rsidR="009B54B7" w:rsidRPr="00362D29">
        <w:rPr>
          <w:rFonts w:ascii="Traditional Arabic" w:eastAsia="Aptos" w:hAnsi="Traditional Arabic" w:cs="Traditional Arabic"/>
          <w:kern w:val="2"/>
          <w:sz w:val="24"/>
          <w:szCs w:val="24"/>
          <w:rtl/>
          <w14:ligatures w14:val="standardContextual"/>
        </w:rPr>
        <w:t>متميزة ذات جودة وفاعلية</w:t>
      </w:r>
      <w:r w:rsidRPr="00362D29">
        <w:rPr>
          <w:rFonts w:ascii="Traditional Arabic" w:eastAsia="Aptos" w:hAnsi="Traditional Arabic" w:cs="Traditional Arabic"/>
          <w:kern w:val="2"/>
          <w:sz w:val="24"/>
          <w:szCs w:val="24"/>
          <w:rtl/>
          <w14:ligatures w14:val="standardContextual"/>
        </w:rPr>
        <w:t xml:space="preserve">. ونظراً للطبيعة المعقدة والمتعددة </w:t>
      </w:r>
      <w:r w:rsidR="00C839E6" w:rsidRPr="00362D29">
        <w:rPr>
          <w:rFonts w:ascii="Traditional Arabic" w:eastAsia="Aptos" w:hAnsi="Traditional Arabic" w:cs="Traditional Arabic"/>
          <w:kern w:val="2"/>
          <w:sz w:val="24"/>
          <w:szCs w:val="24"/>
          <w:rtl/>
          <w14:ligatures w14:val="standardContextual"/>
        </w:rPr>
        <w:t xml:space="preserve">لأوجه </w:t>
      </w:r>
      <w:r w:rsidRPr="00362D29">
        <w:rPr>
          <w:rFonts w:ascii="Traditional Arabic" w:eastAsia="Aptos" w:hAnsi="Traditional Arabic" w:cs="Traditional Arabic"/>
          <w:kern w:val="2"/>
          <w:sz w:val="24"/>
          <w:szCs w:val="24"/>
          <w:rtl/>
          <w14:ligatures w14:val="standardContextual"/>
        </w:rPr>
        <w:t>تجربة المريض، فقد اعتمدت العديد من الهيئات والمؤسسات العالمية أطراً ومجموعات مختلفة من الأبعاد لتحديد مكونات هذه التجربة وقياسها. ورغم وجود تباين في عدد وتسميات هذه الأبعاد، إلا أنها تتفق جميعاً على أهمية وضع المريض في صميم الرعاية الصحية (</w:t>
      </w:r>
      <w:r w:rsidR="001E2F67" w:rsidRPr="00362D29">
        <w:rPr>
          <w:rFonts w:ascii="Traditional Arabic" w:eastAsia="Aptos" w:hAnsi="Traditional Arabic" w:cs="Traditional Arabic"/>
          <w:kern w:val="2"/>
          <w:sz w:val="24"/>
          <w:szCs w:val="24"/>
          <w14:ligatures w14:val="standardContextual"/>
        </w:rPr>
        <w:t>Adams et al., 2025</w:t>
      </w:r>
      <w:r w:rsidRPr="00362D29">
        <w:rPr>
          <w:rFonts w:ascii="Traditional Arabic" w:eastAsia="Aptos" w:hAnsi="Traditional Arabic" w:cs="Traditional Arabic"/>
          <w:kern w:val="2"/>
          <w:sz w:val="24"/>
          <w:szCs w:val="24"/>
          <w14:ligatures w14:val="standardContextual"/>
        </w:rPr>
        <w:t>; Oben, 2020</w:t>
      </w:r>
      <w:r w:rsidRPr="00362D29">
        <w:rPr>
          <w:rFonts w:ascii="Traditional Arabic" w:eastAsia="Aptos" w:hAnsi="Traditional Arabic" w:cs="Traditional Arabic"/>
          <w:kern w:val="2"/>
          <w:sz w:val="24"/>
          <w:szCs w:val="24"/>
          <w:rtl/>
          <w14:ligatures w14:val="standardContextual"/>
        </w:rPr>
        <w:t>).</w:t>
      </w:r>
    </w:p>
    <w:p w14:paraId="2EEC5E11" w14:textId="77777777" w:rsidR="00454581" w:rsidRPr="00362D29" w:rsidRDefault="00454581" w:rsidP="00362D29">
      <w:pPr>
        <w:pStyle w:val="ab"/>
        <w:numPr>
          <w:ilvl w:val="0"/>
          <w:numId w:val="66"/>
        </w:numPr>
        <w:bidi/>
        <w:spacing w:before="0" w:after="160" w:line="360" w:lineRule="auto"/>
        <w:jc w:val="both"/>
        <w:rPr>
          <w:rFonts w:ascii="Traditional Arabic" w:eastAsia="Aptos" w:hAnsi="Traditional Arabic" w:cs="Traditional Arabic"/>
          <w:b/>
          <w:bCs/>
          <w:kern w:val="2"/>
          <w:sz w:val="28"/>
          <w:szCs w:val="28"/>
          <w:rtl/>
          <w14:ligatures w14:val="standardContextual"/>
        </w:rPr>
      </w:pPr>
      <w:r w:rsidRPr="00362D29">
        <w:rPr>
          <w:rFonts w:ascii="Traditional Arabic" w:eastAsia="Aptos" w:hAnsi="Traditional Arabic" w:cs="Traditional Arabic"/>
          <w:b/>
          <w:bCs/>
          <w:kern w:val="2"/>
          <w:sz w:val="28"/>
          <w:szCs w:val="28"/>
          <w:rtl/>
          <w14:ligatures w14:val="standardContextual"/>
        </w:rPr>
        <w:t>تعريف أبعاد جودة تجربة المريض:</w:t>
      </w:r>
    </w:p>
    <w:p w14:paraId="3CE1777C" w14:textId="77777777" w:rsidR="00454581" w:rsidRPr="00362D29" w:rsidRDefault="00454581"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يمكن تعريف أبعاد جودة تجربة المريض بأنها "المكونات أو العناصر الأساسية التي تشكل مجمل التفاعلات والخبرات التي يمر بها المريض خلال رحلته العلاجية داخل النظام الصحي، والتي تُقيم بناءً على مدى تلبيتها لتوقعات المريض واحتياجاته وقيمه، ومدى تأثيرها على تصوراته الشاملة لجودة الرعاية المقدمة" (</w:t>
      </w:r>
      <w:r w:rsidRPr="00362D29">
        <w:rPr>
          <w:rFonts w:ascii="Traditional Arabic" w:eastAsia="Aptos" w:hAnsi="Traditional Arabic" w:cs="Traditional Arabic"/>
          <w:kern w:val="2"/>
          <w:sz w:val="24"/>
          <w:szCs w:val="24"/>
          <w14:ligatures w14:val="standardContextual"/>
        </w:rPr>
        <w:t>Alsubahi et al., 2025</w:t>
      </w:r>
      <w:r w:rsidRPr="00362D29">
        <w:rPr>
          <w:rFonts w:ascii="Traditional Arabic" w:eastAsia="Aptos" w:hAnsi="Traditional Arabic" w:cs="Traditional Arabic"/>
          <w:kern w:val="2"/>
          <w:sz w:val="24"/>
          <w:szCs w:val="24"/>
          <w:rtl/>
          <w14:ligatures w14:val="standardContextual"/>
        </w:rPr>
        <w:t>). هذه الأبعاد لا تقتصر على الجوانب السريرية فحسب، بل تمتد لتشمل الجوانب الإنسانية، التنظيمية، والبيئية التي تؤثر في شعور المريض بالرعاية والاهتمام (منظمة الصحة العالمية، 2018).</w:t>
      </w:r>
    </w:p>
    <w:p w14:paraId="30B1AA90" w14:textId="77777777" w:rsidR="00454581" w:rsidRPr="00362D29" w:rsidRDefault="00454581"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lastRenderedPageBreak/>
        <w:t>من أبرز هذه الأطر:</w:t>
      </w:r>
    </w:p>
    <w:p w14:paraId="2AE919F9" w14:textId="1DE41C37" w:rsidR="00454581" w:rsidRPr="00362D29" w:rsidRDefault="00454581"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•معهد الطب الأمريكي (</w:t>
      </w:r>
      <w:r w:rsidRPr="00362D29">
        <w:rPr>
          <w:rFonts w:ascii="Traditional Arabic" w:eastAsia="Aptos" w:hAnsi="Traditional Arabic" w:cs="Traditional Arabic"/>
          <w:b/>
          <w:bCs/>
          <w:kern w:val="2"/>
          <w:sz w:val="24"/>
          <w:szCs w:val="24"/>
          <w14:ligatures w14:val="standardContextual"/>
        </w:rPr>
        <w:t>Institute of Medicine - IOM</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في تقريره "</w:t>
      </w:r>
      <w:r w:rsidRPr="00362D29">
        <w:rPr>
          <w:rFonts w:ascii="Traditional Arabic" w:eastAsia="Aptos" w:hAnsi="Traditional Arabic" w:cs="Traditional Arabic"/>
          <w:kern w:val="2"/>
          <w:sz w:val="24"/>
          <w:szCs w:val="24"/>
          <w14:ligatures w14:val="standardContextual"/>
        </w:rPr>
        <w:t>Crossing the Quality Chasm</w:t>
      </w:r>
      <w:r w:rsidRPr="00362D29">
        <w:rPr>
          <w:rFonts w:ascii="Traditional Arabic" w:eastAsia="Aptos" w:hAnsi="Traditional Arabic" w:cs="Traditional Arabic"/>
          <w:kern w:val="2"/>
          <w:sz w:val="24"/>
          <w:szCs w:val="24"/>
          <w:rtl/>
          <w14:ligatures w14:val="standardContextual"/>
        </w:rPr>
        <w:t xml:space="preserve">"، حدد المعهد ستة أبعاد لجودة الرعاية الصحية، تُعرف اختصاراً بـ </w:t>
      </w:r>
      <w:r w:rsidRPr="00362D29">
        <w:rPr>
          <w:rFonts w:ascii="Traditional Arabic" w:eastAsia="Aptos" w:hAnsi="Traditional Arabic" w:cs="Traditional Arabic"/>
          <w:kern w:val="2"/>
          <w:sz w:val="24"/>
          <w:szCs w:val="24"/>
          <w14:ligatures w14:val="standardContextual"/>
        </w:rPr>
        <w:t>STEEEP</w:t>
      </w:r>
      <w:r w:rsidRPr="00362D29">
        <w:rPr>
          <w:rFonts w:ascii="Traditional Arabic" w:eastAsia="Aptos" w:hAnsi="Traditional Arabic" w:cs="Traditional Arabic"/>
          <w:kern w:val="2"/>
          <w:sz w:val="24"/>
          <w:szCs w:val="24"/>
          <w:rtl/>
          <w14:ligatures w14:val="standardContextual"/>
        </w:rPr>
        <w:t xml:space="preserve">، حيث تُعد الرعاية </w:t>
      </w:r>
      <w:r w:rsidR="00337CA5" w:rsidRPr="00362D29">
        <w:rPr>
          <w:rFonts w:ascii="Traditional Arabic" w:eastAsia="Aptos" w:hAnsi="Traditional Arabic" w:cs="Traditional Arabic"/>
          <w:kern w:val="2"/>
          <w:sz w:val="24"/>
          <w:szCs w:val="24"/>
          <w:rtl/>
          <w14:ligatures w14:val="standardContextual"/>
        </w:rPr>
        <w:t>المرتكزة</w:t>
      </w:r>
      <w:r w:rsidRPr="00362D29">
        <w:rPr>
          <w:rFonts w:ascii="Traditional Arabic" w:eastAsia="Aptos" w:hAnsi="Traditional Arabic" w:cs="Traditional Arabic"/>
          <w:kern w:val="2"/>
          <w:sz w:val="24"/>
          <w:szCs w:val="24"/>
          <w:rtl/>
          <w14:ligatures w14:val="standardContextual"/>
        </w:rPr>
        <w:t xml:space="preserve"> حول المريض (</w:t>
      </w:r>
      <w:r w:rsidRPr="00362D29">
        <w:rPr>
          <w:rFonts w:ascii="Traditional Arabic" w:eastAsia="Aptos" w:hAnsi="Traditional Arabic" w:cs="Traditional Arabic"/>
          <w:kern w:val="2"/>
          <w:sz w:val="24"/>
          <w:szCs w:val="24"/>
          <w14:ligatures w14:val="standardContextual"/>
        </w:rPr>
        <w:t>Patient-centered</w:t>
      </w:r>
      <w:r w:rsidRPr="00362D29">
        <w:rPr>
          <w:rFonts w:ascii="Traditional Arabic" w:eastAsia="Aptos" w:hAnsi="Traditional Arabic" w:cs="Traditional Arabic"/>
          <w:kern w:val="2"/>
          <w:sz w:val="24"/>
          <w:szCs w:val="24"/>
          <w:rtl/>
          <w14:ligatures w14:val="standardContextual"/>
        </w:rPr>
        <w:t>) أحد هذه الأبعاد الجوهرية (معهد الطب، 2001). وتشمل الأبعاد الأخرى: الرعاية الآمنة (</w:t>
      </w:r>
      <w:r w:rsidRPr="00362D29">
        <w:rPr>
          <w:rFonts w:ascii="Traditional Arabic" w:eastAsia="Aptos" w:hAnsi="Traditional Arabic" w:cs="Traditional Arabic"/>
          <w:kern w:val="2"/>
          <w:sz w:val="24"/>
          <w:szCs w:val="24"/>
          <w14:ligatures w14:val="standardContextual"/>
        </w:rPr>
        <w:t>Safe</w:t>
      </w:r>
      <w:r w:rsidRPr="00362D29">
        <w:rPr>
          <w:rFonts w:ascii="Traditional Arabic" w:eastAsia="Aptos" w:hAnsi="Traditional Arabic" w:cs="Traditional Arabic"/>
          <w:kern w:val="2"/>
          <w:sz w:val="24"/>
          <w:szCs w:val="24"/>
          <w:rtl/>
          <w14:ligatures w14:val="standardContextual"/>
        </w:rPr>
        <w:t>)، الرعاية الفعالة (</w:t>
      </w:r>
      <w:r w:rsidRPr="00362D29">
        <w:rPr>
          <w:rFonts w:ascii="Traditional Arabic" w:eastAsia="Aptos" w:hAnsi="Traditional Arabic" w:cs="Traditional Arabic"/>
          <w:kern w:val="2"/>
          <w:sz w:val="24"/>
          <w:szCs w:val="24"/>
          <w14:ligatures w14:val="standardContextual"/>
        </w:rPr>
        <w:t>Effective</w:t>
      </w:r>
      <w:r w:rsidRPr="00362D29">
        <w:rPr>
          <w:rFonts w:ascii="Traditional Arabic" w:eastAsia="Aptos" w:hAnsi="Traditional Arabic" w:cs="Traditional Arabic"/>
          <w:kern w:val="2"/>
          <w:sz w:val="24"/>
          <w:szCs w:val="24"/>
          <w:rtl/>
          <w14:ligatures w14:val="standardContextual"/>
        </w:rPr>
        <w:t>)، الرعاية في الوقت المناسب (</w:t>
      </w:r>
      <w:r w:rsidRPr="00362D29">
        <w:rPr>
          <w:rFonts w:ascii="Traditional Arabic" w:eastAsia="Aptos" w:hAnsi="Traditional Arabic" w:cs="Traditional Arabic"/>
          <w:kern w:val="2"/>
          <w:sz w:val="24"/>
          <w:szCs w:val="24"/>
          <w14:ligatures w14:val="standardContextual"/>
        </w:rPr>
        <w:t>Timely</w:t>
      </w:r>
      <w:r w:rsidRPr="00362D29">
        <w:rPr>
          <w:rFonts w:ascii="Traditional Arabic" w:eastAsia="Aptos" w:hAnsi="Traditional Arabic" w:cs="Traditional Arabic"/>
          <w:kern w:val="2"/>
          <w:sz w:val="24"/>
          <w:szCs w:val="24"/>
          <w:rtl/>
          <w14:ligatures w14:val="standardContextual"/>
        </w:rPr>
        <w:t>)، الرعاية الكفؤة (</w:t>
      </w:r>
      <w:r w:rsidRPr="00362D29">
        <w:rPr>
          <w:rFonts w:ascii="Traditional Arabic" w:eastAsia="Aptos" w:hAnsi="Traditional Arabic" w:cs="Traditional Arabic"/>
          <w:kern w:val="2"/>
          <w:sz w:val="24"/>
          <w:szCs w:val="24"/>
          <w14:ligatures w14:val="standardContextual"/>
        </w:rPr>
        <w:t>Efficient</w:t>
      </w:r>
      <w:r w:rsidRPr="00362D29">
        <w:rPr>
          <w:rFonts w:ascii="Traditional Arabic" w:eastAsia="Aptos" w:hAnsi="Traditional Arabic" w:cs="Traditional Arabic"/>
          <w:kern w:val="2"/>
          <w:sz w:val="24"/>
          <w:szCs w:val="24"/>
          <w:rtl/>
          <w14:ligatures w14:val="standardContextual"/>
        </w:rPr>
        <w:t>)، والرعاية العادلة (</w:t>
      </w:r>
      <w:r w:rsidRPr="00362D29">
        <w:rPr>
          <w:rFonts w:ascii="Traditional Arabic" w:eastAsia="Aptos" w:hAnsi="Traditional Arabic" w:cs="Traditional Arabic"/>
          <w:kern w:val="2"/>
          <w:sz w:val="24"/>
          <w:szCs w:val="24"/>
          <w14:ligatures w14:val="standardContextual"/>
        </w:rPr>
        <w:t>Equitable</w:t>
      </w:r>
      <w:r w:rsidRPr="00362D29">
        <w:rPr>
          <w:rFonts w:ascii="Traditional Arabic" w:eastAsia="Aptos" w:hAnsi="Traditional Arabic" w:cs="Traditional Arabic"/>
          <w:kern w:val="2"/>
          <w:sz w:val="24"/>
          <w:szCs w:val="24"/>
          <w:rtl/>
          <w14:ligatures w14:val="standardContextual"/>
        </w:rPr>
        <w:t>).</w:t>
      </w:r>
    </w:p>
    <w:p w14:paraId="4B96401F" w14:textId="1274DF12" w:rsidR="00454581" w:rsidRPr="00362D29" w:rsidRDefault="00454581"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•معهد بيريل (</w:t>
      </w:r>
      <w:r w:rsidRPr="00362D29">
        <w:rPr>
          <w:rFonts w:ascii="Traditional Arabic" w:eastAsia="Aptos" w:hAnsi="Traditional Arabic" w:cs="Traditional Arabic"/>
          <w:b/>
          <w:bCs/>
          <w:kern w:val="2"/>
          <w:sz w:val="24"/>
          <w:szCs w:val="24"/>
          <w14:ligatures w14:val="standardContextual"/>
        </w:rPr>
        <w:t>The Beryl Institute</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قد حدد المعهد أربعة </w:t>
      </w:r>
      <w:r w:rsidR="00337CA5" w:rsidRPr="00362D29">
        <w:rPr>
          <w:rFonts w:ascii="Traditional Arabic" w:eastAsia="Aptos" w:hAnsi="Traditional Arabic" w:cs="Traditional Arabic"/>
          <w:kern w:val="2"/>
          <w:sz w:val="24"/>
          <w:szCs w:val="24"/>
          <w:rtl/>
          <w14:ligatures w14:val="standardContextual"/>
        </w:rPr>
        <w:t>أبعاد</w:t>
      </w:r>
      <w:r w:rsidRPr="00362D29">
        <w:rPr>
          <w:rFonts w:ascii="Traditional Arabic" w:eastAsia="Aptos" w:hAnsi="Traditional Arabic" w:cs="Traditional Arabic"/>
          <w:kern w:val="2"/>
          <w:sz w:val="24"/>
          <w:szCs w:val="24"/>
          <w:rtl/>
          <w14:ligatures w14:val="standardContextual"/>
        </w:rPr>
        <w:t xml:space="preserve"> رئيسية </w:t>
      </w:r>
      <w:r w:rsidR="00337CA5" w:rsidRPr="00362D29">
        <w:rPr>
          <w:rFonts w:ascii="Traditional Arabic" w:eastAsia="Aptos" w:hAnsi="Traditional Arabic" w:cs="Traditional Arabic"/>
          <w:kern w:val="2"/>
          <w:sz w:val="24"/>
          <w:szCs w:val="24"/>
          <w:rtl/>
          <w14:ligatures w14:val="standardContextual"/>
        </w:rPr>
        <w:t>ل</w:t>
      </w:r>
      <w:r w:rsidRPr="00362D29">
        <w:rPr>
          <w:rFonts w:ascii="Traditional Arabic" w:eastAsia="Aptos" w:hAnsi="Traditional Arabic" w:cs="Traditional Arabic"/>
          <w:kern w:val="2"/>
          <w:sz w:val="24"/>
          <w:szCs w:val="24"/>
          <w:rtl/>
          <w14:ligatures w14:val="standardContextual"/>
        </w:rPr>
        <w:t>تجربة المريض: التفاعلات الشخصية، ثقافة المنظمة، تصورات المريض وعائلته، واستمرارية الرعاية</w:t>
      </w:r>
      <w:r w:rsidR="00457206" w:rsidRPr="00362D29">
        <w:rPr>
          <w:rFonts w:ascii="Traditional Arabic" w:eastAsia="Aptos" w:hAnsi="Traditional Arabic" w:cs="Traditional Arabic"/>
          <w:kern w:val="2"/>
          <w:sz w:val="24"/>
          <w:szCs w:val="24"/>
          <w:rtl/>
          <w14:ligatures w14:val="standardContextual"/>
        </w:rPr>
        <w:t xml:space="preserve"> (معهد بيريل، 2024).</w:t>
      </w:r>
    </w:p>
    <w:p w14:paraId="07BCEFB9" w14:textId="77777777" w:rsidR="001353B0" w:rsidRPr="00362D29" w:rsidRDefault="008C4363" w:rsidP="00362D29">
      <w:pPr>
        <w:pStyle w:val="ab"/>
        <w:numPr>
          <w:ilvl w:val="1"/>
          <w:numId w:val="28"/>
        </w:numPr>
        <w:bidi/>
        <w:spacing w:before="0" w:after="160" w:line="360" w:lineRule="auto"/>
        <w:jc w:val="both"/>
        <w:rPr>
          <w:rFonts w:ascii="Traditional Arabic" w:eastAsia="Aptos" w:hAnsi="Traditional Arabic" w:cs="Traditional Arabic"/>
          <w:kern w:val="2"/>
          <w:sz w:val="24"/>
          <w:szCs w:val="24"/>
          <w14:ligatures w14:val="standardContextual"/>
        </w:rPr>
      </w:pPr>
      <w:r w:rsidRPr="00362D29">
        <w:rPr>
          <w:rFonts w:ascii="Traditional Arabic" w:eastAsia="Aptos" w:hAnsi="Traditional Arabic" w:cs="Traditional Arabic"/>
          <w:b/>
          <w:bCs/>
          <w:kern w:val="2"/>
          <w:sz w:val="24"/>
          <w:szCs w:val="24"/>
          <w:rtl/>
          <w14:ligatures w14:val="standardContextual"/>
        </w:rPr>
        <w:t>التفاعلات الشخصية (</w:t>
      </w:r>
      <w:r w:rsidRPr="00362D29">
        <w:rPr>
          <w:rFonts w:ascii="Traditional Arabic" w:eastAsia="Aptos" w:hAnsi="Traditional Arabic" w:cs="Traditional Arabic"/>
          <w:b/>
          <w:bCs/>
          <w:kern w:val="2"/>
          <w:sz w:val="24"/>
          <w:szCs w:val="24"/>
          <w14:ligatures w14:val="standardContextual"/>
        </w:rPr>
        <w:t>Sum of All Interactions</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يشير هذا البعد إلى أن تجربة المريض ليست مجرد لقاء طبي واحد، بل هي تراكم لكافة اللمسات والتفاعلات التي تحدث بين المريض وعائلته من جهة، وبين كافة الكوادر الطبية والإدارية من جهة أخرى. ويشمل ذلك التواصل اللفظي وغير اللفظي، والتعاطف، والسرعة في الاستجابة، سواء كانت هذه التفاعلات سريرية أو غير سريرية.</w:t>
      </w:r>
    </w:p>
    <w:p w14:paraId="0AD69A28" w14:textId="77777777" w:rsidR="001353B0" w:rsidRPr="00362D29" w:rsidRDefault="008C4363" w:rsidP="00362D29">
      <w:pPr>
        <w:pStyle w:val="ab"/>
        <w:numPr>
          <w:ilvl w:val="1"/>
          <w:numId w:val="28"/>
        </w:numPr>
        <w:bidi/>
        <w:spacing w:before="0" w:after="160" w:line="360" w:lineRule="auto"/>
        <w:jc w:val="both"/>
        <w:rPr>
          <w:rFonts w:ascii="Traditional Arabic" w:eastAsia="Aptos" w:hAnsi="Traditional Arabic" w:cs="Traditional Arabic"/>
          <w:kern w:val="2"/>
          <w:sz w:val="24"/>
          <w:szCs w:val="24"/>
          <w14:ligatures w14:val="standardContextual"/>
        </w:rPr>
      </w:pPr>
      <w:r w:rsidRPr="00362D29">
        <w:rPr>
          <w:rFonts w:ascii="Traditional Arabic" w:eastAsia="Aptos" w:hAnsi="Traditional Arabic" w:cs="Traditional Arabic"/>
          <w:b/>
          <w:bCs/>
          <w:kern w:val="2"/>
          <w:sz w:val="24"/>
          <w:szCs w:val="24"/>
          <w:rtl/>
          <w14:ligatures w14:val="standardContextual"/>
        </w:rPr>
        <w:t>ثقافة المنظمة (</w:t>
      </w:r>
      <w:r w:rsidRPr="00362D29">
        <w:rPr>
          <w:rFonts w:ascii="Traditional Arabic" w:eastAsia="Aptos" w:hAnsi="Traditional Arabic" w:cs="Traditional Arabic"/>
          <w:b/>
          <w:bCs/>
          <w:kern w:val="2"/>
          <w:sz w:val="24"/>
          <w:szCs w:val="24"/>
          <w14:ligatures w14:val="standardContextual"/>
        </w:rPr>
        <w:t>Shaped by Organization’s Culture</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يعتبر معهد بيريل أن الثقافة التنظيمية هي المحرك الأساسي للتجربة؛ فهي مجموعة القيم والمعتقدات والسلوكيات التي تتبناها المنشأة الصحية. فالثقافة الإيجابية التي تدعم الموظفين وتعزز العمل بروح الفريق تنعكس بشكل مباشر على جودة التعامل مع المرضى، حيث تصبح الرعاية المتمحورة حول الإنسان جزءاً أصيلاً من السلوك اليومي وليس مجرد إجراءات رسمية.</w:t>
      </w:r>
    </w:p>
    <w:p w14:paraId="4BCF5208" w14:textId="77777777" w:rsidR="001353B0" w:rsidRPr="00362D29" w:rsidRDefault="008C4363" w:rsidP="00362D29">
      <w:pPr>
        <w:pStyle w:val="ab"/>
        <w:numPr>
          <w:ilvl w:val="1"/>
          <w:numId w:val="28"/>
        </w:numPr>
        <w:bidi/>
        <w:spacing w:before="0" w:after="160" w:line="360" w:lineRule="auto"/>
        <w:jc w:val="both"/>
        <w:rPr>
          <w:rFonts w:ascii="Traditional Arabic" w:eastAsia="Aptos" w:hAnsi="Traditional Arabic" w:cs="Traditional Arabic"/>
          <w:kern w:val="2"/>
          <w:sz w:val="24"/>
          <w:szCs w:val="24"/>
          <w14:ligatures w14:val="standardContextual"/>
        </w:rPr>
      </w:pPr>
      <w:r w:rsidRPr="00362D29">
        <w:rPr>
          <w:rFonts w:ascii="Traditional Arabic" w:eastAsia="Aptos" w:hAnsi="Traditional Arabic" w:cs="Traditional Arabic"/>
          <w:b/>
          <w:bCs/>
          <w:kern w:val="2"/>
          <w:sz w:val="24"/>
          <w:szCs w:val="24"/>
          <w:rtl/>
          <w14:ligatures w14:val="standardContextual"/>
        </w:rPr>
        <w:t>تصورات المريض وعائلته (</w:t>
      </w:r>
      <w:r w:rsidRPr="00362D29">
        <w:rPr>
          <w:rFonts w:ascii="Traditional Arabic" w:eastAsia="Aptos" w:hAnsi="Traditional Arabic" w:cs="Traditional Arabic"/>
          <w:b/>
          <w:bCs/>
          <w:kern w:val="2"/>
          <w:sz w:val="24"/>
          <w:szCs w:val="24"/>
          <w14:ligatures w14:val="standardContextual"/>
        </w:rPr>
        <w:t>Influence Patient Perceptions</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يركز هذا البعد على الجانب الذاتي للتجربة، حيث أن ما يهم ليس فقط ما تم تقديمه من رعاية، بل كيف "أدرك" المريض وعائلته تلك الرعاية وشعروا بها. تتأثر هذه التصورات بتوقعات المريض، وقيمه الشخصية، وخلفيته الثقافية، وهي التي تحدد في النهاية مدى رضاه وثقته في النظام الصحي.</w:t>
      </w:r>
    </w:p>
    <w:p w14:paraId="598FD2FF" w14:textId="58421C44" w:rsidR="00B00C69" w:rsidRPr="00362D29" w:rsidRDefault="008C4363" w:rsidP="00362D29">
      <w:pPr>
        <w:pStyle w:val="ab"/>
        <w:numPr>
          <w:ilvl w:val="1"/>
          <w:numId w:val="28"/>
        </w:num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استمرارية الرعاية (</w:t>
      </w:r>
      <w:r w:rsidRPr="00362D29">
        <w:rPr>
          <w:rFonts w:ascii="Traditional Arabic" w:eastAsia="Aptos" w:hAnsi="Traditional Arabic" w:cs="Traditional Arabic"/>
          <w:b/>
          <w:bCs/>
          <w:kern w:val="2"/>
          <w:sz w:val="24"/>
          <w:szCs w:val="24"/>
          <w14:ligatures w14:val="standardContextual"/>
        </w:rPr>
        <w:t>Across the Continuum of Care</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يؤكد هذا البعد على أن تجربة المريض تبدأ قبل دخول المنشأة الصحية (منذ حجز الموعد) وتستمر إلى ما بعد الخروج (المتابعة المنزلية). فالتجربة الناجحة هي التي تضمن انتقالاً سلساً ومنسقاً للمريض بين مختلف الأقسام والمستويات العلاجية، مما يقلل من شعوره بالقلق ويعزز من سلامته (</w:t>
      </w:r>
      <w:r w:rsidRPr="00362D29">
        <w:rPr>
          <w:rFonts w:ascii="Traditional Arabic" w:eastAsia="Aptos" w:hAnsi="Traditional Arabic" w:cs="Traditional Arabic"/>
          <w:kern w:val="2"/>
          <w:sz w:val="24"/>
          <w:szCs w:val="24"/>
          <w14:ligatures w14:val="standardContextual"/>
        </w:rPr>
        <w:t>The Beryl Institute, 2024</w:t>
      </w:r>
      <w:r w:rsidRPr="00362D29">
        <w:rPr>
          <w:rFonts w:ascii="Traditional Arabic" w:eastAsia="Aptos" w:hAnsi="Traditional Arabic" w:cs="Traditional Arabic"/>
          <w:kern w:val="2"/>
          <w:sz w:val="24"/>
          <w:szCs w:val="24"/>
          <w:rtl/>
          <w14:ligatures w14:val="standardContextual"/>
        </w:rPr>
        <w:t>).</w:t>
      </w:r>
    </w:p>
    <w:p w14:paraId="5E26B6DB" w14:textId="16DE87FF" w:rsidR="00454581" w:rsidRPr="00362D29" w:rsidRDefault="00454581"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lastRenderedPageBreak/>
        <w:t>•وكالة أبحاث وجودة الرعاية الصحية (</w:t>
      </w:r>
      <w:r w:rsidRPr="00362D29">
        <w:rPr>
          <w:rFonts w:ascii="Traditional Arabic" w:eastAsia="Aptos" w:hAnsi="Traditional Arabic" w:cs="Traditional Arabic"/>
          <w:b/>
          <w:bCs/>
          <w:kern w:val="2"/>
          <w:sz w:val="24"/>
          <w:szCs w:val="24"/>
          <w14:ligatures w14:val="standardContextual"/>
        </w:rPr>
        <w:t>Agency for Healthcare Research and Quality - AHRQ</w:t>
      </w:r>
      <w:r w:rsidRPr="00362D29">
        <w:rPr>
          <w:rFonts w:ascii="Traditional Arabic" w:eastAsia="Aptos" w:hAnsi="Traditional Arabic" w:cs="Traditional Arabic"/>
          <w:b/>
          <w:bCs/>
          <w:kern w:val="2"/>
          <w:sz w:val="24"/>
          <w:szCs w:val="24"/>
          <w:rtl/>
          <w14:ligatures w14:val="standardContextual"/>
        </w:rPr>
        <w:t xml:space="preserve">): </w:t>
      </w:r>
      <w:r w:rsidRPr="00362D29">
        <w:rPr>
          <w:rFonts w:ascii="Traditional Arabic" w:eastAsia="Aptos" w:hAnsi="Traditional Arabic" w:cs="Traditional Arabic"/>
          <w:kern w:val="2"/>
          <w:sz w:val="24"/>
          <w:szCs w:val="24"/>
          <w:rtl/>
          <w14:ligatures w14:val="standardContextual"/>
        </w:rPr>
        <w:t xml:space="preserve">تركز الوكالة على جوانب متعددة لتجربة المريض، والتي تشمل الحصول على مواعيد في الوقت المناسب، وسهولة الوصول إلى المعلومات، والتواصل الجيد مع الأطباء والموظفين، بالإضافة إلى مدى احترام الرعاية لتفضيلات المريض واحتياجاته وقيمه </w:t>
      </w:r>
      <w:r w:rsidR="00E25581" w:rsidRPr="00362D29">
        <w:rPr>
          <w:rFonts w:ascii="Traditional Arabic" w:eastAsia="Aptos" w:hAnsi="Traditional Arabic" w:cs="Traditional Arabic"/>
          <w:kern w:val="2"/>
          <w:sz w:val="24"/>
          <w:szCs w:val="24"/>
          <w:rtl/>
          <w14:ligatures w14:val="standardContextual"/>
        </w:rPr>
        <w:t>(</w:t>
      </w:r>
      <w:r w:rsidR="00E25581" w:rsidRPr="00362D29">
        <w:rPr>
          <w:rFonts w:ascii="Traditional Arabic" w:eastAsia="Aptos" w:hAnsi="Traditional Arabic" w:cs="Traditional Arabic"/>
          <w:kern w:val="2"/>
          <w:sz w:val="24"/>
          <w:szCs w:val="24"/>
          <w14:ligatures w14:val="standardContextual"/>
        </w:rPr>
        <w:t>AHRQ, 202</w:t>
      </w:r>
      <w:r w:rsidR="00034A35" w:rsidRPr="00362D29">
        <w:rPr>
          <w:rFonts w:ascii="Traditional Arabic" w:eastAsia="Aptos" w:hAnsi="Traditional Arabic" w:cs="Traditional Arabic"/>
          <w:kern w:val="2"/>
          <w:sz w:val="24"/>
          <w:szCs w:val="24"/>
          <w14:ligatures w14:val="standardContextual"/>
        </w:rPr>
        <w:t>5</w:t>
      </w:r>
      <w:r w:rsidR="00E25581" w:rsidRPr="00362D29">
        <w:rPr>
          <w:rFonts w:ascii="Traditional Arabic" w:eastAsia="Aptos" w:hAnsi="Traditional Arabic" w:cs="Traditional Arabic"/>
          <w:kern w:val="2"/>
          <w:sz w:val="24"/>
          <w:szCs w:val="24"/>
          <w:rtl/>
          <w14:ligatures w14:val="standardContextual"/>
        </w:rPr>
        <w:t>)</w:t>
      </w:r>
      <w:r w:rsidR="00034A35" w:rsidRPr="00362D29">
        <w:rPr>
          <w:rFonts w:ascii="Traditional Arabic" w:eastAsia="Aptos" w:hAnsi="Traditional Arabic" w:cs="Traditional Arabic"/>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كما تؤكد </w:t>
      </w:r>
      <w:r w:rsidR="00250591" w:rsidRPr="00362D29">
        <w:rPr>
          <w:rFonts w:ascii="Traditional Arabic" w:eastAsia="Aptos" w:hAnsi="Traditional Arabic" w:cs="Traditional Arabic"/>
          <w:kern w:val="2"/>
          <w:sz w:val="24"/>
          <w:szCs w:val="24"/>
          <w:rtl/>
          <w14:ligatures w14:val="standardContextual"/>
        </w:rPr>
        <w:t>(</w:t>
      </w:r>
      <w:r w:rsidR="00250591" w:rsidRPr="00362D29">
        <w:rPr>
          <w:rFonts w:ascii="Traditional Arabic" w:eastAsia="Aptos" w:hAnsi="Traditional Arabic" w:cs="Traditional Arabic"/>
          <w:kern w:val="2"/>
          <w:sz w:val="24"/>
          <w:szCs w:val="24"/>
          <w14:ligatures w14:val="standardContextual"/>
        </w:rPr>
        <w:t>AHRQ, 2025</w:t>
      </w:r>
      <w:r w:rsidR="00250591" w:rsidRPr="00362D29">
        <w:rPr>
          <w:rFonts w:ascii="Traditional Arabic" w:eastAsia="Aptos" w:hAnsi="Traditional Arabic" w:cs="Traditional Arabic"/>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على أن تقييم تجربة المريض إلى جانب الفعالية والسلامة يقدم صورة كاملة لجودة الرعاية الصحية </w:t>
      </w:r>
      <w:r w:rsidR="009F19BB" w:rsidRPr="00362D29">
        <w:rPr>
          <w:rFonts w:ascii="Traditional Arabic" w:eastAsia="Aptos" w:hAnsi="Traditional Arabic" w:cs="Traditional Arabic"/>
          <w:kern w:val="2"/>
          <w:sz w:val="24"/>
          <w:szCs w:val="24"/>
          <w:rtl/>
          <w14:ligatures w14:val="standardContextual"/>
        </w:rPr>
        <w:t>و</w:t>
      </w:r>
      <w:r w:rsidRPr="00362D29">
        <w:rPr>
          <w:rFonts w:ascii="Traditional Arabic" w:eastAsia="Aptos" w:hAnsi="Traditional Arabic" w:cs="Traditional Arabic"/>
          <w:kern w:val="2"/>
          <w:sz w:val="24"/>
          <w:szCs w:val="24"/>
          <w:rtl/>
          <w14:ligatures w14:val="standardContextual"/>
        </w:rPr>
        <w:t xml:space="preserve">من </w:t>
      </w:r>
      <w:r w:rsidR="00FC469D" w:rsidRPr="00362D29">
        <w:rPr>
          <w:rFonts w:ascii="Traditional Arabic" w:eastAsia="Aptos" w:hAnsi="Traditional Arabic" w:cs="Traditional Arabic"/>
          <w:kern w:val="2"/>
          <w:sz w:val="24"/>
          <w:szCs w:val="24"/>
          <w:rtl/>
          <w14:ligatures w14:val="standardContextual"/>
        </w:rPr>
        <w:t>الابعاد</w:t>
      </w:r>
      <w:r w:rsidR="009F19BB" w:rsidRPr="00362D29">
        <w:rPr>
          <w:rFonts w:ascii="Traditional Arabic" w:eastAsia="Aptos" w:hAnsi="Traditional Arabic" w:cs="Traditional Arabic"/>
          <w:kern w:val="2"/>
          <w:sz w:val="24"/>
          <w:szCs w:val="24"/>
          <w:rtl/>
          <w14:ligatures w14:val="standardContextual"/>
        </w:rPr>
        <w:t xml:space="preserve"> </w:t>
      </w:r>
      <w:r w:rsidRPr="00362D29">
        <w:rPr>
          <w:rFonts w:ascii="Traditional Arabic" w:eastAsia="Aptos" w:hAnsi="Traditional Arabic" w:cs="Traditional Arabic"/>
          <w:kern w:val="2"/>
          <w:sz w:val="24"/>
          <w:szCs w:val="24"/>
          <w:rtl/>
          <w14:ligatures w14:val="standardContextual"/>
        </w:rPr>
        <w:t xml:space="preserve">الأساسية </w:t>
      </w:r>
      <w:r w:rsidR="009F19BB" w:rsidRPr="00362D29">
        <w:rPr>
          <w:rFonts w:ascii="Traditional Arabic" w:eastAsia="Aptos" w:hAnsi="Traditional Arabic" w:cs="Traditional Arabic"/>
          <w:kern w:val="2"/>
          <w:sz w:val="24"/>
          <w:szCs w:val="24"/>
          <w:rtl/>
          <w14:ligatures w14:val="standardContextual"/>
        </w:rPr>
        <w:t xml:space="preserve">لتجربة المريض </w:t>
      </w:r>
      <w:r w:rsidRPr="00362D29">
        <w:rPr>
          <w:rFonts w:ascii="Traditional Arabic" w:eastAsia="Aptos" w:hAnsi="Traditional Arabic" w:cs="Traditional Arabic"/>
          <w:kern w:val="2"/>
          <w:sz w:val="24"/>
          <w:szCs w:val="24"/>
          <w:rtl/>
          <w14:ligatures w14:val="standardContextual"/>
        </w:rPr>
        <w:t xml:space="preserve">التي تحددها </w:t>
      </w:r>
      <w:r w:rsidRPr="00362D29">
        <w:rPr>
          <w:rFonts w:ascii="Traditional Arabic" w:eastAsia="Aptos" w:hAnsi="Traditional Arabic" w:cs="Traditional Arabic"/>
          <w:kern w:val="2"/>
          <w:sz w:val="24"/>
          <w:szCs w:val="24"/>
          <w14:ligatures w14:val="standardContextual"/>
        </w:rPr>
        <w:t>AHRQ</w:t>
      </w:r>
      <w:r w:rsidR="009F19BB" w:rsidRPr="00362D29">
        <w:rPr>
          <w:rFonts w:ascii="Traditional Arabic" w:eastAsia="Aptos" w:hAnsi="Traditional Arabic" w:cs="Traditional Arabic"/>
          <w:kern w:val="2"/>
          <w:sz w:val="24"/>
          <w:szCs w:val="24"/>
          <w:rtl/>
          <w14:ligatures w14:val="standardContextual"/>
        </w:rPr>
        <w:t xml:space="preserve"> التالي</w:t>
      </w:r>
      <w:r w:rsidRPr="00362D29">
        <w:rPr>
          <w:rFonts w:ascii="Traditional Arabic" w:eastAsia="Aptos" w:hAnsi="Traditional Arabic" w:cs="Traditional Arabic"/>
          <w:kern w:val="2"/>
          <w:sz w:val="24"/>
          <w:szCs w:val="24"/>
          <w:rtl/>
          <w14:ligatures w14:val="standardContextual"/>
        </w:rPr>
        <w:t>:</w:t>
      </w:r>
    </w:p>
    <w:p w14:paraId="073128F6" w14:textId="60066251" w:rsidR="00822A08" w:rsidRPr="00362D29" w:rsidRDefault="006C1220" w:rsidP="00362D29">
      <w:pPr>
        <w:bidi/>
        <w:spacing w:before="0" w:after="160" w:line="360" w:lineRule="auto"/>
        <w:jc w:val="both"/>
        <w:rPr>
          <w:rFonts w:ascii="Traditional Arabic" w:eastAsia="Aptos" w:hAnsi="Traditional Arabic" w:cs="Traditional Arabic"/>
          <w:kern w:val="2"/>
          <w:sz w:val="24"/>
          <w:szCs w:val="24"/>
          <w14:ligatures w14:val="standardContextual"/>
        </w:rPr>
      </w:pPr>
      <w:r w:rsidRPr="00362D29">
        <w:rPr>
          <w:rFonts w:ascii="Traditional Arabic" w:eastAsia="Aptos" w:hAnsi="Traditional Arabic" w:cs="Traditional Arabic"/>
          <w:b/>
          <w:bCs/>
          <w:kern w:val="2"/>
          <w:sz w:val="24"/>
          <w:szCs w:val="24"/>
          <w:rtl/>
          <w14:ligatures w14:val="standardContextual"/>
        </w:rPr>
        <w:t>•</w:t>
      </w:r>
      <w:r w:rsidR="00822A08" w:rsidRPr="00362D29">
        <w:rPr>
          <w:rFonts w:ascii="Traditional Arabic" w:eastAsia="Aptos" w:hAnsi="Traditional Arabic" w:cs="Traditional Arabic"/>
          <w:b/>
          <w:bCs/>
          <w:kern w:val="2"/>
          <w:sz w:val="24"/>
          <w:szCs w:val="24"/>
          <w:rtl/>
          <w14:ligatures w14:val="standardContextual"/>
        </w:rPr>
        <w:t>التواصل مع الأطباء (</w:t>
      </w:r>
      <w:r w:rsidR="00822A08" w:rsidRPr="00362D29">
        <w:rPr>
          <w:rFonts w:ascii="Traditional Arabic" w:eastAsia="Aptos" w:hAnsi="Traditional Arabic" w:cs="Traditional Arabic"/>
          <w:b/>
          <w:bCs/>
          <w:kern w:val="2"/>
          <w:sz w:val="24"/>
          <w:szCs w:val="24"/>
          <w14:ligatures w14:val="standardContextual"/>
        </w:rPr>
        <w:t>Communication with Clinicians</w:t>
      </w:r>
      <w:r w:rsidR="00822A08" w:rsidRPr="00362D29">
        <w:rPr>
          <w:rFonts w:ascii="Traditional Arabic" w:eastAsia="Aptos" w:hAnsi="Traditional Arabic" w:cs="Traditional Arabic"/>
          <w:b/>
          <w:bCs/>
          <w:kern w:val="2"/>
          <w:sz w:val="24"/>
          <w:szCs w:val="24"/>
          <w:rtl/>
          <w14:ligatures w14:val="standardContextual"/>
        </w:rPr>
        <w:t>):</w:t>
      </w:r>
      <w:r w:rsidR="00822A08" w:rsidRPr="00362D29">
        <w:rPr>
          <w:rFonts w:ascii="Traditional Arabic" w:eastAsia="Aptos" w:hAnsi="Traditional Arabic" w:cs="Traditional Arabic"/>
          <w:kern w:val="2"/>
          <w:sz w:val="24"/>
          <w:szCs w:val="24"/>
          <w:rtl/>
          <w14:ligatures w14:val="standardContextual"/>
        </w:rPr>
        <w:t xml:space="preserve"> يشمل وضوح التواصل، والإنصات الفعال من قبل الأطباء، وتقديم المعلومات بطريقة مفهومة ومحترمة.</w:t>
      </w:r>
    </w:p>
    <w:p w14:paraId="03FD0930" w14:textId="77777777" w:rsidR="00822A08" w:rsidRPr="00362D29" w:rsidRDefault="00822A08"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•الحصول على المعلومات (</w:t>
      </w:r>
      <w:r w:rsidRPr="00362D29">
        <w:rPr>
          <w:rFonts w:ascii="Traditional Arabic" w:eastAsia="Aptos" w:hAnsi="Traditional Arabic" w:cs="Traditional Arabic"/>
          <w:b/>
          <w:bCs/>
          <w:kern w:val="2"/>
          <w:sz w:val="24"/>
          <w:szCs w:val="24"/>
          <w14:ligatures w14:val="standardContextual"/>
        </w:rPr>
        <w:t>Getting Information</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يتعلق بمدى سهولة حصول المريض على معلومات دقيقة وشاملة حول حالته الصحية، وخيارات العلاج، وكيفية العناية الذاتية.</w:t>
      </w:r>
    </w:p>
    <w:p w14:paraId="1D56232C" w14:textId="77777777" w:rsidR="00822A08" w:rsidRPr="00362D29" w:rsidRDefault="00822A08"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•الوصول إلى الرعاية (</w:t>
      </w:r>
      <w:r w:rsidRPr="00362D29">
        <w:rPr>
          <w:rFonts w:ascii="Traditional Arabic" w:eastAsia="Aptos" w:hAnsi="Traditional Arabic" w:cs="Traditional Arabic"/>
          <w:b/>
          <w:bCs/>
          <w:kern w:val="2"/>
          <w:sz w:val="24"/>
          <w:szCs w:val="24"/>
          <w14:ligatures w14:val="standardContextual"/>
        </w:rPr>
        <w:t>Access to Care</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يركز على توفر المواعيد في الوقت المناسب، وسهولة التنقل داخل النظام الصحي، وتقليل أوقات الانتظار للحصول على الخدمات.</w:t>
      </w:r>
    </w:p>
    <w:p w14:paraId="0C901353" w14:textId="77777777" w:rsidR="00822A08" w:rsidRPr="00362D29" w:rsidRDefault="00822A08"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•الاحترام والكياسة (</w:t>
      </w:r>
      <w:r w:rsidRPr="00362D29">
        <w:rPr>
          <w:rFonts w:ascii="Traditional Arabic" w:eastAsia="Aptos" w:hAnsi="Traditional Arabic" w:cs="Traditional Arabic"/>
          <w:b/>
          <w:bCs/>
          <w:kern w:val="2"/>
          <w:sz w:val="24"/>
          <w:szCs w:val="24"/>
          <w14:ligatures w14:val="standardContextual"/>
        </w:rPr>
        <w:t>Courtesy and Respect</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يتضمن معاملة المرضى بكرامة، واحترام قيمهم وتفضيلاتهم، وإظهار التعاطف من قبل جميع الكوادر.</w:t>
      </w:r>
    </w:p>
    <w:p w14:paraId="0E41FD72" w14:textId="77777777" w:rsidR="00822A08" w:rsidRPr="00362D29" w:rsidRDefault="00822A08"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•تنسيق الرعاية (</w:t>
      </w:r>
      <w:r w:rsidRPr="00362D29">
        <w:rPr>
          <w:rFonts w:ascii="Traditional Arabic" w:eastAsia="Aptos" w:hAnsi="Traditional Arabic" w:cs="Traditional Arabic"/>
          <w:b/>
          <w:bCs/>
          <w:kern w:val="2"/>
          <w:sz w:val="24"/>
          <w:szCs w:val="24"/>
          <w14:ligatures w14:val="standardContextual"/>
        </w:rPr>
        <w:t>Care Coordination</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يشير إلى سلاسة الانتقال بين مقدمي الرعاية والأقسام المختلفة، والتأكد من تكامل الخدمات وتجنب الازدواجية.</w:t>
      </w:r>
    </w:p>
    <w:p w14:paraId="14A4AAED" w14:textId="77777777" w:rsidR="00822A08" w:rsidRPr="00362D29" w:rsidRDefault="00822A08"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•الرعاية الملائمة ثقافياً (</w:t>
      </w:r>
      <w:r w:rsidRPr="00362D29">
        <w:rPr>
          <w:rFonts w:ascii="Traditional Arabic" w:eastAsia="Aptos" w:hAnsi="Traditional Arabic" w:cs="Traditional Arabic"/>
          <w:b/>
          <w:bCs/>
          <w:kern w:val="2"/>
          <w:sz w:val="24"/>
          <w:szCs w:val="24"/>
          <w14:ligatures w14:val="standardContextual"/>
        </w:rPr>
        <w:t>Culturally Appropriate Care</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تعني تقديم رعاية تحترم الخلفية الثقافية والدينية والاجتماعية للمريض وتتكيف معها.</w:t>
      </w:r>
    </w:p>
    <w:p w14:paraId="0C3DF588" w14:textId="77777777" w:rsidR="00822A08" w:rsidRPr="00362D29" w:rsidRDefault="00822A08"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•المشاركة في اتخاذ القرار (</w:t>
      </w:r>
      <w:r w:rsidRPr="00362D29">
        <w:rPr>
          <w:rFonts w:ascii="Traditional Arabic" w:eastAsia="Aptos" w:hAnsi="Traditional Arabic" w:cs="Traditional Arabic"/>
          <w:b/>
          <w:bCs/>
          <w:kern w:val="2"/>
          <w:sz w:val="24"/>
          <w:szCs w:val="24"/>
          <w14:ligatures w14:val="standardContextual"/>
        </w:rPr>
        <w:t>Shared Decision-Making</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يبرز أهمية إشراك المريض بشكل فعال في القرارات المتعلقة بخطته العلاجية، بناءً على معلومات وافية وتفضيلاته الشخصية.</w:t>
      </w:r>
    </w:p>
    <w:p w14:paraId="4001150F" w14:textId="67218CCA" w:rsidR="00822A08" w:rsidRPr="00362D29" w:rsidRDefault="00822A08"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•دعم الإدارة الذاتية (</w:t>
      </w:r>
      <w:r w:rsidRPr="00362D29">
        <w:rPr>
          <w:rFonts w:ascii="Traditional Arabic" w:eastAsia="Aptos" w:hAnsi="Traditional Arabic" w:cs="Traditional Arabic"/>
          <w:b/>
          <w:bCs/>
          <w:kern w:val="2"/>
          <w:sz w:val="24"/>
          <w:szCs w:val="24"/>
          <w14:ligatures w14:val="standardContextual"/>
        </w:rPr>
        <w:t>Self-Management Support</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يهدف إلى تمكين المرضى من إدارة حالاتهم الصحية المزمنة أو التعافي بعد العلاج، من خلال توفير الأدوات والمعرفة اللازمة (</w:t>
      </w:r>
      <w:r w:rsidRPr="00362D29">
        <w:rPr>
          <w:rFonts w:ascii="Traditional Arabic" w:eastAsia="Aptos" w:hAnsi="Traditional Arabic" w:cs="Traditional Arabic"/>
          <w:kern w:val="2"/>
          <w:sz w:val="24"/>
          <w:szCs w:val="24"/>
          <w14:ligatures w14:val="standardContextual"/>
        </w:rPr>
        <w:t>Self-Management Support</w:t>
      </w:r>
      <w:r w:rsidRPr="00362D29">
        <w:rPr>
          <w:rFonts w:ascii="Traditional Arabic" w:eastAsia="Aptos" w:hAnsi="Traditional Arabic" w:cs="Traditional Arabic"/>
          <w:kern w:val="2"/>
          <w:sz w:val="24"/>
          <w:szCs w:val="24"/>
          <w:rtl/>
          <w14:ligatures w14:val="standardContextual"/>
        </w:rPr>
        <w:t>)</w:t>
      </w:r>
    </w:p>
    <w:p w14:paraId="13B2F7E5" w14:textId="2000EF9E" w:rsidR="00454581" w:rsidRPr="00362D29" w:rsidRDefault="00454581"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•هيئة الخدمات الصحية الوطنية بالمملكة المتحدة (</w:t>
      </w:r>
      <w:r w:rsidRPr="00362D29">
        <w:rPr>
          <w:rFonts w:ascii="Traditional Arabic" w:eastAsia="Aptos" w:hAnsi="Traditional Arabic" w:cs="Traditional Arabic"/>
          <w:b/>
          <w:bCs/>
          <w:kern w:val="2"/>
          <w:sz w:val="24"/>
          <w:szCs w:val="24"/>
          <w14:ligatures w14:val="standardContextual"/>
        </w:rPr>
        <w:t>NHS - National Health Service</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في إطارها لتجربة المريض، تؤكد </w:t>
      </w:r>
      <w:r w:rsidRPr="00362D29">
        <w:rPr>
          <w:rFonts w:ascii="Traditional Arabic" w:eastAsia="Aptos" w:hAnsi="Traditional Arabic" w:cs="Traditional Arabic"/>
          <w:kern w:val="2"/>
          <w:sz w:val="24"/>
          <w:szCs w:val="24"/>
          <w14:ligatures w14:val="standardContextual"/>
        </w:rPr>
        <w:t>NHS</w:t>
      </w:r>
      <w:r w:rsidRPr="00362D29">
        <w:rPr>
          <w:rFonts w:ascii="Traditional Arabic" w:eastAsia="Aptos" w:hAnsi="Traditional Arabic" w:cs="Traditional Arabic"/>
          <w:kern w:val="2"/>
          <w:sz w:val="24"/>
          <w:szCs w:val="24"/>
          <w:rtl/>
          <w14:ligatures w14:val="standardContextual"/>
        </w:rPr>
        <w:t xml:space="preserve"> على مجموعة من العناصر الحاسمة </w:t>
      </w:r>
      <w:r w:rsidR="001668AB" w:rsidRPr="00362D29">
        <w:rPr>
          <w:rFonts w:ascii="Traditional Arabic" w:eastAsia="Aptos" w:hAnsi="Traditional Arabic" w:cs="Traditional Arabic"/>
          <w:kern w:val="2"/>
          <w:sz w:val="24"/>
          <w:szCs w:val="24"/>
          <w:rtl/>
          <w14:ligatures w14:val="standardContextual"/>
        </w:rPr>
        <w:t>ل</w:t>
      </w:r>
      <w:r w:rsidRPr="00362D29">
        <w:rPr>
          <w:rFonts w:ascii="Traditional Arabic" w:eastAsia="Aptos" w:hAnsi="Traditional Arabic" w:cs="Traditional Arabic"/>
          <w:kern w:val="2"/>
          <w:sz w:val="24"/>
          <w:szCs w:val="24"/>
          <w:rtl/>
          <w14:ligatures w14:val="standardContextual"/>
        </w:rPr>
        <w:t>تجربة المريض، (</w:t>
      </w:r>
      <w:r w:rsidRPr="00362D29">
        <w:rPr>
          <w:rFonts w:ascii="Traditional Arabic" w:eastAsia="Aptos" w:hAnsi="Traditional Arabic" w:cs="Traditional Arabic"/>
          <w:kern w:val="2"/>
          <w:sz w:val="24"/>
          <w:szCs w:val="24"/>
          <w14:ligatures w14:val="standardContextual"/>
        </w:rPr>
        <w:t>NHS, 2011</w:t>
      </w:r>
      <w:r w:rsidRPr="00362D29">
        <w:rPr>
          <w:rFonts w:ascii="Traditional Arabic" w:eastAsia="Aptos" w:hAnsi="Traditional Arabic" w:cs="Traditional Arabic"/>
          <w:kern w:val="2"/>
          <w:sz w:val="24"/>
          <w:szCs w:val="24"/>
          <w:rtl/>
          <w14:ligatures w14:val="standardContextual"/>
        </w:rPr>
        <w:t>). وتشمل هذه العناصر:</w:t>
      </w:r>
    </w:p>
    <w:p w14:paraId="53DCCF8D" w14:textId="77777777" w:rsidR="00454581" w:rsidRPr="00362D29" w:rsidRDefault="00454581"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lastRenderedPageBreak/>
        <w:t>•احترام قيم المريض وتفضيلاته واحتياجاته المعبر عنها:</w:t>
      </w:r>
      <w:r w:rsidRPr="00362D29">
        <w:rPr>
          <w:rFonts w:ascii="Traditional Arabic" w:eastAsia="Aptos" w:hAnsi="Traditional Arabic" w:cs="Traditional Arabic"/>
          <w:kern w:val="2"/>
          <w:sz w:val="24"/>
          <w:szCs w:val="24"/>
          <w:rtl/>
          <w14:ligatures w14:val="standardContextual"/>
        </w:rPr>
        <w:t xml:space="preserve"> بما في ذلك القضايا الثقافية، وكرامة المريض وخصوصيته واستقلاليته، والوعي بقضايا جودة الحياة، والمشاركة في اتخاذ القرار.</w:t>
      </w:r>
    </w:p>
    <w:p w14:paraId="59133960" w14:textId="77777777" w:rsidR="00454581" w:rsidRPr="00362D29" w:rsidRDefault="00454581"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•تنسيق وتكامل الرعاية:</w:t>
      </w:r>
      <w:r w:rsidRPr="00362D29">
        <w:rPr>
          <w:rFonts w:ascii="Traditional Arabic" w:eastAsia="Aptos" w:hAnsi="Traditional Arabic" w:cs="Traditional Arabic"/>
          <w:kern w:val="2"/>
          <w:sz w:val="24"/>
          <w:szCs w:val="24"/>
          <w:rtl/>
          <w14:ligatures w14:val="standardContextual"/>
        </w:rPr>
        <w:t xml:space="preserve"> عبر نظام الرعاية الصحية والاجتماعية.</w:t>
      </w:r>
    </w:p>
    <w:p w14:paraId="518CF9F5" w14:textId="77777777" w:rsidR="00454581" w:rsidRPr="00362D29" w:rsidRDefault="00454581"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•المعلومات والاتصال والتعليم:</w:t>
      </w:r>
      <w:r w:rsidRPr="00362D29">
        <w:rPr>
          <w:rFonts w:ascii="Traditional Arabic" w:eastAsia="Aptos" w:hAnsi="Traditional Arabic" w:cs="Traditional Arabic"/>
          <w:kern w:val="2"/>
          <w:sz w:val="24"/>
          <w:szCs w:val="24"/>
          <w:rtl/>
          <w14:ligatures w14:val="standardContextual"/>
        </w:rPr>
        <w:t xml:space="preserve"> حول الحالة السريرية، والتقدم، والتشخيص، وعمليات الرعاية لتسهيل الاستقلالية والرعاية الذاتية وتعزيز الصحة.</w:t>
      </w:r>
    </w:p>
    <w:p w14:paraId="285DFCEE" w14:textId="77777777" w:rsidR="00454581" w:rsidRPr="00362D29" w:rsidRDefault="00454581"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•الراحة الجسدية:</w:t>
      </w:r>
      <w:r w:rsidRPr="00362D29">
        <w:rPr>
          <w:rFonts w:ascii="Traditional Arabic" w:eastAsia="Aptos" w:hAnsi="Traditional Arabic" w:cs="Traditional Arabic"/>
          <w:kern w:val="2"/>
          <w:sz w:val="24"/>
          <w:szCs w:val="24"/>
          <w:rtl/>
          <w14:ligatures w14:val="standardContextual"/>
        </w:rPr>
        <w:t xml:space="preserve"> بما في ذلك إدارة الألم، والمساعدة في أنشطة الحياة اليومية، والبيئة النظيفة والمريحة.</w:t>
      </w:r>
    </w:p>
    <w:p w14:paraId="38BCF088" w14:textId="77777777" w:rsidR="00454581" w:rsidRPr="00362D29" w:rsidRDefault="00454581"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•الدعم العاطفي:</w:t>
      </w:r>
      <w:r w:rsidRPr="00362D29">
        <w:rPr>
          <w:rFonts w:ascii="Traditional Arabic" w:eastAsia="Aptos" w:hAnsi="Traditional Arabic" w:cs="Traditional Arabic"/>
          <w:kern w:val="2"/>
          <w:sz w:val="24"/>
          <w:szCs w:val="24"/>
          <w:rtl/>
          <w14:ligatures w14:val="standardContextual"/>
        </w:rPr>
        <w:t xml:space="preserve"> وتخفيف الخوف والقلق بشأن قضايا مثل الحالة السريرية، والتشخيص، وتأثير المرض على المرضى وعائلاتهم وأموالهم.</w:t>
      </w:r>
    </w:p>
    <w:p w14:paraId="4364627B" w14:textId="77777777" w:rsidR="00454581" w:rsidRPr="00362D29" w:rsidRDefault="00454581"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•الترحيب بمشاركة العائلة والأصدقاء:</w:t>
      </w:r>
      <w:r w:rsidRPr="00362D29">
        <w:rPr>
          <w:rFonts w:ascii="Traditional Arabic" w:eastAsia="Aptos" w:hAnsi="Traditional Arabic" w:cs="Traditional Arabic"/>
          <w:kern w:val="2"/>
          <w:sz w:val="24"/>
          <w:szCs w:val="24"/>
          <w:rtl/>
          <w14:ligatures w14:val="standardContextual"/>
        </w:rPr>
        <w:t xml:space="preserve"> الذين يعتمد عليهم المرضى ومستخدمو الخدمة في اتخاذ القرار، وإظهار الوعي وتلبية احتياجاتهم كمقدمي رعاية.</w:t>
      </w:r>
    </w:p>
    <w:p w14:paraId="7D22D0B0" w14:textId="77777777" w:rsidR="00454581" w:rsidRPr="00362D29" w:rsidRDefault="00454581"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•الانتقال والاستمرارية:</w:t>
      </w:r>
      <w:r w:rsidRPr="00362D29">
        <w:rPr>
          <w:rFonts w:ascii="Traditional Arabic" w:eastAsia="Aptos" w:hAnsi="Traditional Arabic" w:cs="Traditional Arabic"/>
          <w:kern w:val="2"/>
          <w:sz w:val="24"/>
          <w:szCs w:val="24"/>
          <w:rtl/>
          <w14:ligatures w14:val="standardContextual"/>
        </w:rPr>
        <w:t xml:space="preserve"> فيما يتعلق بالمعلومات التي ستساعد المرضى على رعاية أنفسهم بعيداً عن الإعداد السريري، والتنسيق والتخطيط والدعم لتسهيل الانتقال.</w:t>
      </w:r>
    </w:p>
    <w:p w14:paraId="3BACDF22" w14:textId="77777777" w:rsidR="00454581" w:rsidRPr="00362D29" w:rsidRDefault="00454581"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•الوصول إلى الرعاية:</w:t>
      </w:r>
      <w:r w:rsidRPr="00362D29">
        <w:rPr>
          <w:rFonts w:ascii="Traditional Arabic" w:eastAsia="Aptos" w:hAnsi="Traditional Arabic" w:cs="Traditional Arabic"/>
          <w:kern w:val="2"/>
          <w:sz w:val="24"/>
          <w:szCs w:val="24"/>
          <w:rtl/>
          <w14:ligatures w14:val="standardContextual"/>
        </w:rPr>
        <w:t xml:space="preserve"> مع الاهتمام، على سبيل المثال، بالوقت المستغرق في انتظار الدخول أو الوقت بين الدخول والتسكين في غرفة في بيئة المرضى الداخليين، ووقت الانتظار للموعد أو الزيارة في بيئة المرضى الخارجيين، الرعاية الأولية أو الرعاية الاجتماعية.</w:t>
      </w:r>
    </w:p>
    <w:p w14:paraId="71F8E41B" w14:textId="31EE2725" w:rsidR="00454581" w:rsidRPr="00362D29" w:rsidRDefault="00454581" w:rsidP="00362D29">
      <w:pPr>
        <w:pStyle w:val="ab"/>
        <w:numPr>
          <w:ilvl w:val="0"/>
          <w:numId w:val="68"/>
        </w:num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تعتمد الدراسة الحالية، وبما يتوافق مع الإطار العام لجودة الرعاية </w:t>
      </w:r>
      <w:r w:rsidR="00A46C22" w:rsidRPr="00362D29">
        <w:rPr>
          <w:rFonts w:ascii="Traditional Arabic" w:eastAsia="Aptos" w:hAnsi="Traditional Arabic" w:cs="Traditional Arabic"/>
          <w:b/>
          <w:bCs/>
          <w:kern w:val="2"/>
          <w:sz w:val="24"/>
          <w:szCs w:val="24"/>
          <w:rtl/>
          <w14:ligatures w14:val="standardContextual"/>
        </w:rPr>
        <w:t>المرتكزة على</w:t>
      </w:r>
      <w:r w:rsidRPr="00362D29">
        <w:rPr>
          <w:rFonts w:ascii="Traditional Arabic" w:eastAsia="Aptos" w:hAnsi="Traditional Arabic" w:cs="Traditional Arabic"/>
          <w:b/>
          <w:bCs/>
          <w:kern w:val="2"/>
          <w:sz w:val="24"/>
          <w:szCs w:val="24"/>
          <w:rtl/>
          <w14:ligatures w14:val="standardContextual"/>
        </w:rPr>
        <w:t xml:space="preserve"> المريض، على ثمانية أبعاد جوهرية مستقاة من الأدبيات العلمية والممارسات العالمية الرائدة، والتي تُعد أساس قياس المتغير التابع </w:t>
      </w:r>
      <w:r w:rsidR="00095235" w:rsidRPr="00362D29">
        <w:rPr>
          <w:rFonts w:ascii="Traditional Arabic" w:eastAsia="Aptos" w:hAnsi="Traditional Arabic" w:cs="Traditional Arabic"/>
          <w:b/>
          <w:bCs/>
          <w:kern w:val="2"/>
          <w:sz w:val="24"/>
          <w:szCs w:val="24"/>
          <w:rtl/>
          <w14:ligatures w14:val="standardContextual"/>
        </w:rPr>
        <w:t xml:space="preserve">(جودة </w:t>
      </w:r>
      <w:r w:rsidR="00E65DDB" w:rsidRPr="00362D29">
        <w:rPr>
          <w:rFonts w:ascii="Traditional Arabic" w:eastAsia="Aptos" w:hAnsi="Traditional Arabic" w:cs="Traditional Arabic"/>
          <w:b/>
          <w:bCs/>
          <w:kern w:val="2"/>
          <w:sz w:val="24"/>
          <w:szCs w:val="24"/>
          <w:rtl/>
          <w14:ligatures w14:val="standardContextual"/>
        </w:rPr>
        <w:t xml:space="preserve">تجربة المريض) </w:t>
      </w:r>
      <w:r w:rsidRPr="00362D29">
        <w:rPr>
          <w:rFonts w:ascii="Traditional Arabic" w:eastAsia="Aptos" w:hAnsi="Traditional Arabic" w:cs="Traditional Arabic"/>
          <w:b/>
          <w:bCs/>
          <w:kern w:val="2"/>
          <w:sz w:val="24"/>
          <w:szCs w:val="24"/>
          <w:rtl/>
          <w14:ligatures w14:val="standardContextual"/>
        </w:rPr>
        <w:t xml:space="preserve">في </w:t>
      </w:r>
      <w:r w:rsidR="00D91E4B" w:rsidRPr="00362D29">
        <w:rPr>
          <w:rFonts w:ascii="Traditional Arabic" w:eastAsia="Aptos" w:hAnsi="Traditional Arabic" w:cs="Traditional Arabic"/>
          <w:b/>
          <w:bCs/>
          <w:kern w:val="2"/>
          <w:sz w:val="24"/>
          <w:szCs w:val="24"/>
          <w:rtl/>
          <w14:ligatures w14:val="standardContextual"/>
        </w:rPr>
        <w:t>هذه الدراسة</w:t>
      </w:r>
      <w:r w:rsidRPr="00362D29">
        <w:rPr>
          <w:rFonts w:ascii="Traditional Arabic" w:eastAsia="Aptos" w:hAnsi="Traditional Arabic" w:cs="Traditional Arabic"/>
          <w:b/>
          <w:bCs/>
          <w:kern w:val="2"/>
          <w:sz w:val="24"/>
          <w:szCs w:val="24"/>
          <w:rtl/>
          <w14:ligatures w14:val="standardContextual"/>
        </w:rPr>
        <w:t xml:space="preserve">. هذه الأبعاد، التي تتبناها العديد من المؤسسات الصحية العالمية والمحلية تشكل في مجموعها </w:t>
      </w:r>
      <w:r w:rsidR="00823839" w:rsidRPr="00362D29">
        <w:rPr>
          <w:rFonts w:ascii="Traditional Arabic" w:eastAsia="Aptos" w:hAnsi="Traditional Arabic" w:cs="Traditional Arabic"/>
          <w:b/>
          <w:bCs/>
          <w:kern w:val="2"/>
          <w:sz w:val="24"/>
          <w:szCs w:val="24"/>
          <w:rtl/>
          <w14:ligatures w14:val="standardContextual"/>
        </w:rPr>
        <w:t xml:space="preserve">أبعاد </w:t>
      </w:r>
      <w:r w:rsidRPr="00362D29">
        <w:rPr>
          <w:rFonts w:ascii="Traditional Arabic" w:eastAsia="Aptos" w:hAnsi="Traditional Arabic" w:cs="Traditional Arabic"/>
          <w:b/>
          <w:bCs/>
          <w:kern w:val="2"/>
          <w:sz w:val="24"/>
          <w:szCs w:val="24"/>
          <w:rtl/>
          <w14:ligatures w14:val="standardContextual"/>
        </w:rPr>
        <w:t>جودة تجربة المريض، وهي:</w:t>
      </w:r>
    </w:p>
    <w:p w14:paraId="7453C7F5" w14:textId="77777777" w:rsidR="00454581" w:rsidRPr="00362D29" w:rsidRDefault="00454581"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1. الوصول إلى الرعاية (</w:t>
      </w:r>
      <w:r w:rsidRPr="00362D29">
        <w:rPr>
          <w:rFonts w:ascii="Traditional Arabic" w:eastAsia="Aptos" w:hAnsi="Traditional Arabic" w:cs="Traditional Arabic"/>
          <w:b/>
          <w:bCs/>
          <w:kern w:val="2"/>
          <w:sz w:val="24"/>
          <w:szCs w:val="24"/>
          <w14:ligatures w14:val="standardContextual"/>
        </w:rPr>
        <w:t>Access to Care</w:t>
      </w:r>
      <w:r w:rsidRPr="00362D29">
        <w:rPr>
          <w:rFonts w:ascii="Traditional Arabic" w:eastAsia="Aptos" w:hAnsi="Traditional Arabic" w:cs="Traditional Arabic"/>
          <w:b/>
          <w:bCs/>
          <w:kern w:val="2"/>
          <w:sz w:val="24"/>
          <w:szCs w:val="24"/>
          <w:rtl/>
          <w14:ligatures w14:val="standardContextual"/>
        </w:rPr>
        <w:t>)</w:t>
      </w:r>
    </w:p>
    <w:p w14:paraId="4D2AEE6D" w14:textId="09E94650" w:rsidR="00454581" w:rsidRPr="00362D29" w:rsidRDefault="00454581"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يشير هذا البعد إلى قدرة المريض على الحصول على الخدمات الصحية في الوقت والمكان المناسبين دون عوائق غير مبررة. ويتضمن ذلك سهولة حجز المواعيد، وتوفر الخدمات المتخصصة، وقصر فترات الانتظار في العيادات أو أقسام الطوارئ </w:t>
      </w:r>
      <w:r w:rsidR="00E563A2" w:rsidRPr="00362D29">
        <w:rPr>
          <w:rFonts w:ascii="Traditional Arabic" w:eastAsia="Aptos" w:hAnsi="Traditional Arabic" w:cs="Traditional Arabic"/>
          <w:kern w:val="2"/>
          <w:sz w:val="24"/>
          <w:szCs w:val="24"/>
          <w:rtl/>
          <w14:ligatures w14:val="standardContextual"/>
        </w:rPr>
        <w:t>(</w:t>
      </w:r>
      <w:r w:rsidR="00E563A2" w:rsidRPr="00362D29">
        <w:rPr>
          <w:rFonts w:ascii="Traditional Arabic" w:eastAsia="Aptos" w:hAnsi="Traditional Arabic" w:cs="Traditional Arabic"/>
          <w:kern w:val="2"/>
          <w:sz w:val="24"/>
          <w:szCs w:val="24"/>
          <w14:ligatures w14:val="standardContextual"/>
        </w:rPr>
        <w:t>Health Academy, 2022</w:t>
      </w:r>
      <w:r w:rsidR="00E563A2" w:rsidRPr="00362D29">
        <w:rPr>
          <w:rFonts w:ascii="Traditional Arabic" w:eastAsia="Aptos" w:hAnsi="Traditional Arabic" w:cs="Traditional Arabic"/>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إن تحسين الوصول يعد مؤشراً حيوياً على كفاءة النظام الصحي وقدرته على الاستجابة لاحتياجات المجتمع (محمود، 2025). وقد أكدت كل من </w:t>
      </w:r>
      <w:r w:rsidRPr="00362D29">
        <w:rPr>
          <w:rFonts w:ascii="Traditional Arabic" w:eastAsia="Aptos" w:hAnsi="Traditional Arabic" w:cs="Traditional Arabic"/>
          <w:kern w:val="2"/>
          <w:sz w:val="24"/>
          <w:szCs w:val="24"/>
          <w14:ligatures w14:val="standardContextual"/>
        </w:rPr>
        <w:t>AHRQ</w:t>
      </w:r>
      <w:r w:rsidRPr="00362D29">
        <w:rPr>
          <w:rFonts w:ascii="Traditional Arabic" w:eastAsia="Aptos" w:hAnsi="Traditional Arabic" w:cs="Traditional Arabic"/>
          <w:kern w:val="2"/>
          <w:sz w:val="24"/>
          <w:szCs w:val="24"/>
          <w:rtl/>
          <w14:ligatures w14:val="standardContextual"/>
        </w:rPr>
        <w:t xml:space="preserve"> </w:t>
      </w:r>
      <w:r w:rsidR="000A4DC1" w:rsidRPr="00362D29">
        <w:rPr>
          <w:rFonts w:ascii="Traditional Arabic" w:eastAsia="Aptos" w:hAnsi="Traditional Arabic" w:cs="Traditional Arabic"/>
          <w:kern w:val="2"/>
          <w:sz w:val="24"/>
          <w:szCs w:val="24"/>
          <w:rtl/>
          <w14:ligatures w14:val="standardContextual"/>
        </w:rPr>
        <w:t>و</w:t>
      </w:r>
      <w:r w:rsidR="000A4DC1" w:rsidRPr="00362D29">
        <w:rPr>
          <w:rFonts w:ascii="Traditional Arabic" w:eastAsia="Aptos" w:hAnsi="Traditional Arabic" w:cs="Traditional Arabic"/>
          <w:kern w:val="2"/>
          <w:sz w:val="24"/>
          <w:szCs w:val="24"/>
          <w14:ligatures w14:val="standardContextual"/>
        </w:rPr>
        <w:t>NHS</w:t>
      </w:r>
      <w:r w:rsidRPr="00362D29">
        <w:rPr>
          <w:rFonts w:ascii="Traditional Arabic" w:eastAsia="Aptos" w:hAnsi="Traditional Arabic" w:cs="Traditional Arabic"/>
          <w:kern w:val="2"/>
          <w:sz w:val="24"/>
          <w:szCs w:val="24"/>
          <w:rtl/>
          <w14:ligatures w14:val="standardContextual"/>
        </w:rPr>
        <w:t xml:space="preserve"> على أهمية هذا البعد كعنصر أساسي في تجربة المريض، مع التركيز على سهولة الوصول للمعلومات والمواعيد (</w:t>
      </w:r>
      <w:r w:rsidRPr="00362D29">
        <w:rPr>
          <w:rFonts w:ascii="Traditional Arabic" w:eastAsia="Aptos" w:hAnsi="Traditional Arabic" w:cs="Traditional Arabic"/>
          <w:kern w:val="2"/>
          <w:sz w:val="24"/>
          <w:szCs w:val="24"/>
          <w14:ligatures w14:val="standardContextual"/>
        </w:rPr>
        <w:t xml:space="preserve">AHRQ, </w:t>
      </w:r>
      <w:r w:rsidR="00095235" w:rsidRPr="00362D29">
        <w:rPr>
          <w:rFonts w:ascii="Traditional Arabic" w:eastAsia="Aptos" w:hAnsi="Traditional Arabic" w:cs="Traditional Arabic"/>
          <w:kern w:val="2"/>
          <w:sz w:val="24"/>
          <w:szCs w:val="24"/>
          <w14:ligatures w14:val="standardContextual"/>
        </w:rPr>
        <w:t>2025</w:t>
      </w:r>
      <w:r w:rsidRPr="00362D29">
        <w:rPr>
          <w:rFonts w:ascii="Traditional Arabic" w:eastAsia="Aptos" w:hAnsi="Traditional Arabic" w:cs="Traditional Arabic"/>
          <w:kern w:val="2"/>
          <w:sz w:val="24"/>
          <w:szCs w:val="24"/>
          <w14:ligatures w14:val="standardContextual"/>
        </w:rPr>
        <w:t>; NHS, 2011</w:t>
      </w:r>
      <w:r w:rsidRPr="00362D29">
        <w:rPr>
          <w:rFonts w:ascii="Traditional Arabic" w:eastAsia="Aptos" w:hAnsi="Traditional Arabic" w:cs="Traditional Arabic"/>
          <w:kern w:val="2"/>
          <w:sz w:val="24"/>
          <w:szCs w:val="24"/>
          <w:rtl/>
          <w14:ligatures w14:val="standardContextual"/>
        </w:rPr>
        <w:t>).</w:t>
      </w:r>
    </w:p>
    <w:p w14:paraId="03099F26" w14:textId="77777777" w:rsidR="00454581" w:rsidRPr="00362D29" w:rsidRDefault="00454581"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lastRenderedPageBreak/>
        <w:t>2. تنسيق الخدمة (</w:t>
      </w:r>
      <w:r w:rsidRPr="00362D29">
        <w:rPr>
          <w:rFonts w:ascii="Traditional Arabic" w:eastAsia="Aptos" w:hAnsi="Traditional Arabic" w:cs="Traditional Arabic"/>
          <w:b/>
          <w:bCs/>
          <w:kern w:val="2"/>
          <w:sz w:val="24"/>
          <w:szCs w:val="24"/>
          <w14:ligatures w14:val="standardContextual"/>
        </w:rPr>
        <w:t>Service Coordination</w:t>
      </w:r>
      <w:r w:rsidRPr="00362D29">
        <w:rPr>
          <w:rFonts w:ascii="Traditional Arabic" w:eastAsia="Aptos" w:hAnsi="Traditional Arabic" w:cs="Traditional Arabic"/>
          <w:b/>
          <w:bCs/>
          <w:kern w:val="2"/>
          <w:sz w:val="24"/>
          <w:szCs w:val="24"/>
          <w:rtl/>
          <w14:ligatures w14:val="standardContextual"/>
        </w:rPr>
        <w:t>)</w:t>
      </w:r>
    </w:p>
    <w:p w14:paraId="232B163A" w14:textId="1A7C39AC" w:rsidR="00454581" w:rsidRPr="00362D29" w:rsidRDefault="00454581"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يركز هذا البعد على ضمان التكامل والانسجام بين مختلف مراحل الرعاية والأقسام المشاركة في رحلة المريض العلاجية. ويشمل ذلك التنسيق السريري بين الأطباء، وتنسيق الخدمات المساندة (مثل المختبر والأشعة)، وضمان انتقال المريض بسلاسة بين مستويات الرعاية المختلفة (منظمة الصحة العالمية، 2018). ويؤدي التنسيق الفعال إلى تقليل الأخطاء الطبية وضمان استمرارية الرعاية (</w:t>
      </w:r>
      <w:r w:rsidRPr="00362D29">
        <w:rPr>
          <w:rFonts w:ascii="Traditional Arabic" w:eastAsia="Aptos" w:hAnsi="Traditional Arabic" w:cs="Traditional Arabic"/>
          <w:kern w:val="2"/>
          <w:sz w:val="24"/>
          <w:szCs w:val="24"/>
          <w14:ligatures w14:val="standardContextual"/>
        </w:rPr>
        <w:t xml:space="preserve">AHRQ, </w:t>
      </w:r>
      <w:r w:rsidR="002C00B0" w:rsidRPr="00362D29">
        <w:rPr>
          <w:rFonts w:ascii="Traditional Arabic" w:eastAsia="Aptos" w:hAnsi="Traditional Arabic" w:cs="Traditional Arabic"/>
          <w:kern w:val="2"/>
          <w:sz w:val="24"/>
          <w:szCs w:val="24"/>
          <w14:ligatures w14:val="standardContextual"/>
        </w:rPr>
        <w:t>2025</w:t>
      </w:r>
      <w:r w:rsidRPr="00362D29">
        <w:rPr>
          <w:rFonts w:ascii="Traditional Arabic" w:eastAsia="Aptos" w:hAnsi="Traditional Arabic" w:cs="Traditional Arabic"/>
          <w:kern w:val="2"/>
          <w:sz w:val="24"/>
          <w:szCs w:val="24"/>
          <w:rtl/>
          <w14:ligatures w14:val="standardContextual"/>
        </w:rPr>
        <w:t xml:space="preserve">.). وقد أبرزت </w:t>
      </w:r>
      <w:r w:rsidRPr="00362D29">
        <w:rPr>
          <w:rFonts w:ascii="Traditional Arabic" w:eastAsia="Aptos" w:hAnsi="Traditional Arabic" w:cs="Traditional Arabic"/>
          <w:kern w:val="2"/>
          <w:sz w:val="24"/>
          <w:szCs w:val="24"/>
          <w14:ligatures w14:val="standardContextual"/>
        </w:rPr>
        <w:t>NHS</w:t>
      </w:r>
      <w:r w:rsidRPr="00362D29">
        <w:rPr>
          <w:rFonts w:ascii="Traditional Arabic" w:eastAsia="Aptos" w:hAnsi="Traditional Arabic" w:cs="Traditional Arabic"/>
          <w:kern w:val="2"/>
          <w:sz w:val="24"/>
          <w:szCs w:val="24"/>
          <w:rtl/>
          <w14:ligatures w14:val="standardContextual"/>
        </w:rPr>
        <w:t xml:space="preserve"> أهمية "تنسيق وتكامل الرعاية عبر نظام الرعاية الصحية والاجتماعية"، بينما أشارت </w:t>
      </w:r>
      <w:r w:rsidRPr="00362D29">
        <w:rPr>
          <w:rFonts w:ascii="Traditional Arabic" w:eastAsia="Aptos" w:hAnsi="Traditional Arabic" w:cs="Traditional Arabic"/>
          <w:kern w:val="2"/>
          <w:sz w:val="24"/>
          <w:szCs w:val="24"/>
          <w14:ligatures w14:val="standardContextual"/>
        </w:rPr>
        <w:t>AHRQ</w:t>
      </w:r>
      <w:r w:rsidRPr="00362D29">
        <w:rPr>
          <w:rFonts w:ascii="Traditional Arabic" w:eastAsia="Aptos" w:hAnsi="Traditional Arabic" w:cs="Traditional Arabic"/>
          <w:kern w:val="2"/>
          <w:sz w:val="24"/>
          <w:szCs w:val="24"/>
          <w:rtl/>
          <w14:ligatures w14:val="standardContextual"/>
        </w:rPr>
        <w:t xml:space="preserve"> إلى "تنسيق الرعاية" كأحد الجوانب الأساسية (</w:t>
      </w:r>
      <w:r w:rsidRPr="00362D29">
        <w:rPr>
          <w:rFonts w:ascii="Traditional Arabic" w:eastAsia="Aptos" w:hAnsi="Traditional Arabic" w:cs="Traditional Arabic"/>
          <w:kern w:val="2"/>
          <w:sz w:val="24"/>
          <w:szCs w:val="24"/>
          <w14:ligatures w14:val="standardContextual"/>
        </w:rPr>
        <w:t xml:space="preserve">AHRQ, </w:t>
      </w:r>
      <w:r w:rsidR="002C00B0" w:rsidRPr="00362D29">
        <w:rPr>
          <w:rFonts w:ascii="Traditional Arabic" w:eastAsia="Aptos" w:hAnsi="Traditional Arabic" w:cs="Traditional Arabic"/>
          <w:kern w:val="2"/>
          <w:sz w:val="24"/>
          <w:szCs w:val="24"/>
          <w14:ligatures w14:val="standardContextual"/>
        </w:rPr>
        <w:t>2025</w:t>
      </w:r>
      <w:r w:rsidRPr="00362D29">
        <w:rPr>
          <w:rFonts w:ascii="Traditional Arabic" w:eastAsia="Aptos" w:hAnsi="Traditional Arabic" w:cs="Traditional Arabic"/>
          <w:kern w:val="2"/>
          <w:sz w:val="24"/>
          <w:szCs w:val="24"/>
          <w14:ligatures w14:val="standardContextual"/>
        </w:rPr>
        <w:t>; NHS, 2011</w:t>
      </w:r>
      <w:r w:rsidRPr="00362D29">
        <w:rPr>
          <w:rFonts w:ascii="Traditional Arabic" w:eastAsia="Aptos" w:hAnsi="Traditional Arabic" w:cs="Traditional Arabic"/>
          <w:kern w:val="2"/>
          <w:sz w:val="24"/>
          <w:szCs w:val="24"/>
          <w:rtl/>
          <w14:ligatures w14:val="standardContextual"/>
        </w:rPr>
        <w:t>).</w:t>
      </w:r>
    </w:p>
    <w:p w14:paraId="470062FF" w14:textId="77777777" w:rsidR="00454581" w:rsidRPr="00362D29" w:rsidRDefault="00454581"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3. التواصل (</w:t>
      </w:r>
      <w:r w:rsidRPr="00362D29">
        <w:rPr>
          <w:rFonts w:ascii="Traditional Arabic" w:eastAsia="Aptos" w:hAnsi="Traditional Arabic" w:cs="Traditional Arabic"/>
          <w:b/>
          <w:bCs/>
          <w:kern w:val="2"/>
          <w:sz w:val="24"/>
          <w:szCs w:val="24"/>
          <w14:ligatures w14:val="standardContextual"/>
        </w:rPr>
        <w:t>Communication</w:t>
      </w:r>
      <w:r w:rsidRPr="00362D29">
        <w:rPr>
          <w:rFonts w:ascii="Traditional Arabic" w:eastAsia="Aptos" w:hAnsi="Traditional Arabic" w:cs="Traditional Arabic"/>
          <w:b/>
          <w:bCs/>
          <w:kern w:val="2"/>
          <w:sz w:val="24"/>
          <w:szCs w:val="24"/>
          <w:rtl/>
          <w14:ligatures w14:val="standardContextual"/>
        </w:rPr>
        <w:t>)</w:t>
      </w:r>
    </w:p>
    <w:p w14:paraId="74E2BCC1" w14:textId="4A3FB037" w:rsidR="00454581" w:rsidRPr="00362D29" w:rsidRDefault="00454581"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يُعد التواصل الفعال حجر الزاوية في تجربة المريض، حيث يشمل مهارات الاستماع الفعال من قبل الطاقم الطبي، ووضوح الشرح المتعلق بالتشخيص والعلاج، واستخدام لغة مفهومة للمريض بعيداً عن المصطلحات المعقدة (</w:t>
      </w:r>
      <w:r w:rsidRPr="00362D29">
        <w:rPr>
          <w:rFonts w:ascii="Traditional Arabic" w:eastAsia="Aptos" w:hAnsi="Traditional Arabic" w:cs="Traditional Arabic"/>
          <w:kern w:val="2"/>
          <w:sz w:val="24"/>
          <w:szCs w:val="24"/>
          <w14:ligatures w14:val="standardContextual"/>
        </w:rPr>
        <w:t>Zehra et al., 2025</w:t>
      </w:r>
      <w:r w:rsidRPr="00362D29">
        <w:rPr>
          <w:rFonts w:ascii="Traditional Arabic" w:eastAsia="Aptos" w:hAnsi="Traditional Arabic" w:cs="Traditional Arabic"/>
          <w:kern w:val="2"/>
          <w:sz w:val="24"/>
          <w:szCs w:val="24"/>
          <w:rtl/>
          <w14:ligatures w14:val="standardContextual"/>
        </w:rPr>
        <w:t xml:space="preserve">). إن التواصل الجيد يبني جسور الثقة ويقلل من القلق النفسي لدى المريض </w:t>
      </w:r>
      <w:r w:rsidR="002C00B0" w:rsidRPr="00362D29">
        <w:rPr>
          <w:rFonts w:ascii="Traditional Arabic" w:eastAsia="Aptos" w:hAnsi="Traditional Arabic" w:cs="Traditional Arabic"/>
          <w:kern w:val="2"/>
          <w:sz w:val="24"/>
          <w:szCs w:val="24"/>
          <w:rtl/>
          <w14:ligatures w14:val="standardContextual"/>
        </w:rPr>
        <w:t>(</w:t>
      </w:r>
      <w:r w:rsidR="002C00B0" w:rsidRPr="00362D29">
        <w:rPr>
          <w:rFonts w:ascii="Traditional Arabic" w:eastAsia="Aptos" w:hAnsi="Traditional Arabic" w:cs="Traditional Arabic"/>
          <w:kern w:val="2"/>
          <w:sz w:val="24"/>
          <w:szCs w:val="24"/>
          <w14:ligatures w14:val="standardContextual"/>
        </w:rPr>
        <w:t>Health Academy, 2022</w:t>
      </w:r>
      <w:r w:rsidR="002C00B0" w:rsidRPr="00362D29">
        <w:rPr>
          <w:rFonts w:ascii="Traditional Arabic" w:eastAsia="Aptos" w:hAnsi="Traditional Arabic" w:cs="Traditional Arabic"/>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وتشدد </w:t>
      </w:r>
      <w:r w:rsidRPr="00362D29">
        <w:rPr>
          <w:rFonts w:ascii="Traditional Arabic" w:eastAsia="Aptos" w:hAnsi="Traditional Arabic" w:cs="Traditional Arabic"/>
          <w:kern w:val="2"/>
          <w:sz w:val="24"/>
          <w:szCs w:val="24"/>
          <w14:ligatures w14:val="standardContextual"/>
        </w:rPr>
        <w:t>AHRQ</w:t>
      </w:r>
      <w:r w:rsidRPr="00362D29">
        <w:rPr>
          <w:rFonts w:ascii="Traditional Arabic" w:eastAsia="Aptos" w:hAnsi="Traditional Arabic" w:cs="Traditional Arabic"/>
          <w:kern w:val="2"/>
          <w:sz w:val="24"/>
          <w:szCs w:val="24"/>
          <w:rtl/>
          <w14:ligatures w14:val="standardContextual"/>
        </w:rPr>
        <w:t xml:space="preserve"> على "التواصل مع الأطباء" و"الحصول على المعلومات"، بينما تؤكد </w:t>
      </w:r>
      <w:r w:rsidRPr="00362D29">
        <w:rPr>
          <w:rFonts w:ascii="Traditional Arabic" w:eastAsia="Aptos" w:hAnsi="Traditional Arabic" w:cs="Traditional Arabic"/>
          <w:kern w:val="2"/>
          <w:sz w:val="24"/>
          <w:szCs w:val="24"/>
          <w14:ligatures w14:val="standardContextual"/>
        </w:rPr>
        <w:t>NHS</w:t>
      </w:r>
      <w:r w:rsidRPr="00362D29">
        <w:rPr>
          <w:rFonts w:ascii="Traditional Arabic" w:eastAsia="Aptos" w:hAnsi="Traditional Arabic" w:cs="Traditional Arabic"/>
          <w:kern w:val="2"/>
          <w:sz w:val="24"/>
          <w:szCs w:val="24"/>
          <w:rtl/>
          <w14:ligatures w14:val="standardContextual"/>
        </w:rPr>
        <w:t xml:space="preserve"> على "المعلومات والاتصال والتعليم" كعناصر حاسمة (</w:t>
      </w:r>
      <w:r w:rsidRPr="00362D29">
        <w:rPr>
          <w:rFonts w:ascii="Traditional Arabic" w:eastAsia="Aptos" w:hAnsi="Traditional Arabic" w:cs="Traditional Arabic"/>
          <w:kern w:val="2"/>
          <w:sz w:val="24"/>
          <w:szCs w:val="24"/>
          <w14:ligatures w14:val="standardContextual"/>
        </w:rPr>
        <w:t>AHRQ,</w:t>
      </w:r>
      <w:r w:rsidR="00AA7B5A" w:rsidRPr="00362D29">
        <w:rPr>
          <w:rFonts w:ascii="Traditional Arabic" w:eastAsia="Aptos" w:hAnsi="Traditional Arabic" w:cs="Traditional Arabic"/>
          <w:kern w:val="2"/>
          <w:sz w:val="24"/>
          <w:szCs w:val="24"/>
          <w14:ligatures w14:val="standardContextual"/>
        </w:rPr>
        <w:t xml:space="preserve"> 2025</w:t>
      </w:r>
      <w:r w:rsidRPr="00362D29">
        <w:rPr>
          <w:rFonts w:ascii="Traditional Arabic" w:eastAsia="Aptos" w:hAnsi="Traditional Arabic" w:cs="Traditional Arabic"/>
          <w:kern w:val="2"/>
          <w:sz w:val="24"/>
          <w:szCs w:val="24"/>
          <w14:ligatures w14:val="standardContextual"/>
        </w:rPr>
        <w:t>; NHS, 2011</w:t>
      </w:r>
      <w:r w:rsidRPr="00362D29">
        <w:rPr>
          <w:rFonts w:ascii="Traditional Arabic" w:eastAsia="Aptos" w:hAnsi="Traditional Arabic" w:cs="Traditional Arabic"/>
          <w:kern w:val="2"/>
          <w:sz w:val="24"/>
          <w:szCs w:val="24"/>
          <w:rtl/>
          <w14:ligatures w14:val="standardContextual"/>
        </w:rPr>
        <w:t>).</w:t>
      </w:r>
    </w:p>
    <w:p w14:paraId="39703C70" w14:textId="77777777" w:rsidR="00454581" w:rsidRPr="00362D29" w:rsidRDefault="00454581"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4. الاحترام (</w:t>
      </w:r>
      <w:r w:rsidRPr="00362D29">
        <w:rPr>
          <w:rFonts w:ascii="Traditional Arabic" w:eastAsia="Aptos" w:hAnsi="Traditional Arabic" w:cs="Traditional Arabic"/>
          <w:b/>
          <w:bCs/>
          <w:kern w:val="2"/>
          <w:sz w:val="24"/>
          <w:szCs w:val="24"/>
          <w14:ligatures w14:val="standardContextual"/>
        </w:rPr>
        <w:t>Respect for Values and Preferences</w:t>
      </w:r>
      <w:r w:rsidRPr="00362D29">
        <w:rPr>
          <w:rFonts w:ascii="Traditional Arabic" w:eastAsia="Aptos" w:hAnsi="Traditional Arabic" w:cs="Traditional Arabic"/>
          <w:b/>
          <w:bCs/>
          <w:kern w:val="2"/>
          <w:sz w:val="24"/>
          <w:szCs w:val="24"/>
          <w:rtl/>
          <w14:ligatures w14:val="standardContextual"/>
        </w:rPr>
        <w:t>)</w:t>
      </w:r>
    </w:p>
    <w:p w14:paraId="21CB6623" w14:textId="3DB17C52" w:rsidR="00454581" w:rsidRPr="00362D29" w:rsidRDefault="00454581"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يتضمن هذا البعد معاملة المريض بكرامة واحترام، ومراعاة قيمه الثقافية والدينية والاجتماعية. كما يشمل احترام خصوصية المريض، وإشراكه في اتخاذ القرارات المتعلقة بخطته العلاجية بناءً على تفضيلاته الشخصية (</w:t>
      </w:r>
      <w:r w:rsidRPr="00362D29">
        <w:rPr>
          <w:rFonts w:ascii="Traditional Arabic" w:eastAsia="Aptos" w:hAnsi="Traditional Arabic" w:cs="Traditional Arabic"/>
          <w:kern w:val="2"/>
          <w:sz w:val="24"/>
          <w:szCs w:val="24"/>
          <w14:ligatures w14:val="standardContextual"/>
        </w:rPr>
        <w:t>Ozcelik et al., 2021</w:t>
      </w:r>
      <w:r w:rsidRPr="00362D29">
        <w:rPr>
          <w:rFonts w:ascii="Traditional Arabic" w:eastAsia="Aptos" w:hAnsi="Traditional Arabic" w:cs="Traditional Arabic"/>
          <w:kern w:val="2"/>
          <w:sz w:val="24"/>
          <w:szCs w:val="24"/>
          <w:rtl/>
          <w14:ligatures w14:val="standardContextual"/>
        </w:rPr>
        <w:t>). إن الرعاية القائمة على الاحترام تعزز من شعور المريض بآدميته وتقدير المؤسسة له (</w:t>
      </w:r>
      <w:r w:rsidRPr="00362D29">
        <w:rPr>
          <w:rFonts w:ascii="Traditional Arabic" w:eastAsia="Aptos" w:hAnsi="Traditional Arabic" w:cs="Traditional Arabic"/>
          <w:kern w:val="2"/>
          <w:sz w:val="24"/>
          <w:szCs w:val="24"/>
          <w14:ligatures w14:val="standardContextual"/>
        </w:rPr>
        <w:t>Alsubahi et al., 2025</w:t>
      </w:r>
      <w:r w:rsidRPr="00362D29">
        <w:rPr>
          <w:rFonts w:ascii="Traditional Arabic" w:eastAsia="Aptos" w:hAnsi="Traditional Arabic" w:cs="Traditional Arabic"/>
          <w:kern w:val="2"/>
          <w:sz w:val="24"/>
          <w:szCs w:val="24"/>
          <w:rtl/>
          <w14:ligatures w14:val="standardContextual"/>
        </w:rPr>
        <w:t xml:space="preserve">). وقد شددت </w:t>
      </w:r>
      <w:r w:rsidRPr="00362D29">
        <w:rPr>
          <w:rFonts w:ascii="Traditional Arabic" w:eastAsia="Aptos" w:hAnsi="Traditional Arabic" w:cs="Traditional Arabic"/>
          <w:kern w:val="2"/>
          <w:sz w:val="24"/>
          <w:szCs w:val="24"/>
          <w14:ligatures w14:val="standardContextual"/>
        </w:rPr>
        <w:t>NHS</w:t>
      </w:r>
      <w:r w:rsidRPr="00362D29">
        <w:rPr>
          <w:rFonts w:ascii="Traditional Arabic" w:eastAsia="Aptos" w:hAnsi="Traditional Arabic" w:cs="Traditional Arabic"/>
          <w:kern w:val="2"/>
          <w:sz w:val="24"/>
          <w:szCs w:val="24"/>
          <w:rtl/>
          <w14:ligatures w14:val="standardContextual"/>
        </w:rPr>
        <w:t xml:space="preserve"> على "احترام قيم المريض وتفضيلاته واحتياجاته المعبر عنها"، وذكرت </w:t>
      </w:r>
      <w:r w:rsidRPr="00362D29">
        <w:rPr>
          <w:rFonts w:ascii="Traditional Arabic" w:eastAsia="Aptos" w:hAnsi="Traditional Arabic" w:cs="Traditional Arabic"/>
          <w:kern w:val="2"/>
          <w:sz w:val="24"/>
          <w:szCs w:val="24"/>
          <w14:ligatures w14:val="standardContextual"/>
        </w:rPr>
        <w:t>AHRQ</w:t>
      </w:r>
      <w:r w:rsidRPr="00362D29">
        <w:rPr>
          <w:rFonts w:ascii="Traditional Arabic" w:eastAsia="Aptos" w:hAnsi="Traditional Arabic" w:cs="Traditional Arabic"/>
          <w:kern w:val="2"/>
          <w:sz w:val="24"/>
          <w:szCs w:val="24"/>
          <w:rtl/>
          <w14:ligatures w14:val="standardContextual"/>
        </w:rPr>
        <w:t xml:space="preserve"> "الاحترام والكياسة" و"الرعاية الملائمة ثقافياً" (</w:t>
      </w:r>
      <w:r w:rsidRPr="00362D29">
        <w:rPr>
          <w:rFonts w:ascii="Traditional Arabic" w:eastAsia="Aptos" w:hAnsi="Traditional Arabic" w:cs="Traditional Arabic"/>
          <w:kern w:val="2"/>
          <w:sz w:val="24"/>
          <w:szCs w:val="24"/>
          <w14:ligatures w14:val="standardContextual"/>
        </w:rPr>
        <w:t xml:space="preserve">AHRQ, </w:t>
      </w:r>
      <w:r w:rsidR="00AA7B5A" w:rsidRPr="00362D29">
        <w:rPr>
          <w:rFonts w:ascii="Traditional Arabic" w:eastAsia="Aptos" w:hAnsi="Traditional Arabic" w:cs="Traditional Arabic"/>
          <w:kern w:val="2"/>
          <w:sz w:val="24"/>
          <w:szCs w:val="24"/>
          <w14:ligatures w14:val="standardContextual"/>
        </w:rPr>
        <w:t>2025</w:t>
      </w:r>
      <w:r w:rsidRPr="00362D29">
        <w:rPr>
          <w:rFonts w:ascii="Traditional Arabic" w:eastAsia="Aptos" w:hAnsi="Traditional Arabic" w:cs="Traditional Arabic"/>
          <w:kern w:val="2"/>
          <w:sz w:val="24"/>
          <w:szCs w:val="24"/>
          <w14:ligatures w14:val="standardContextual"/>
        </w:rPr>
        <w:t>; NHS, 2011</w:t>
      </w:r>
      <w:r w:rsidRPr="00362D29">
        <w:rPr>
          <w:rFonts w:ascii="Traditional Arabic" w:eastAsia="Aptos" w:hAnsi="Traditional Arabic" w:cs="Traditional Arabic"/>
          <w:kern w:val="2"/>
          <w:sz w:val="24"/>
          <w:szCs w:val="24"/>
          <w:rtl/>
          <w14:ligatures w14:val="standardContextual"/>
        </w:rPr>
        <w:t>).</w:t>
      </w:r>
    </w:p>
    <w:p w14:paraId="131A1134" w14:textId="77777777" w:rsidR="00454581" w:rsidRPr="00362D29" w:rsidRDefault="00454581"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5. المعلومات والتعليم (</w:t>
      </w:r>
      <w:r w:rsidRPr="00362D29">
        <w:rPr>
          <w:rFonts w:ascii="Traditional Arabic" w:eastAsia="Aptos" w:hAnsi="Traditional Arabic" w:cs="Traditional Arabic"/>
          <w:b/>
          <w:bCs/>
          <w:kern w:val="2"/>
          <w:sz w:val="24"/>
          <w:szCs w:val="24"/>
          <w14:ligatures w14:val="standardContextual"/>
        </w:rPr>
        <w:t>Information and Education</w:t>
      </w:r>
      <w:r w:rsidRPr="00362D29">
        <w:rPr>
          <w:rFonts w:ascii="Traditional Arabic" w:eastAsia="Aptos" w:hAnsi="Traditional Arabic" w:cs="Traditional Arabic"/>
          <w:b/>
          <w:bCs/>
          <w:kern w:val="2"/>
          <w:sz w:val="24"/>
          <w:szCs w:val="24"/>
          <w:rtl/>
          <w14:ligatures w14:val="standardContextual"/>
        </w:rPr>
        <w:t>)</w:t>
      </w:r>
    </w:p>
    <w:p w14:paraId="6A12AC1D" w14:textId="10EA79E3" w:rsidR="00454581" w:rsidRPr="00362D29" w:rsidRDefault="00454581"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يتمثل هذا البعد في تزويد المريض وعائلته بمعلومات دقيقة وكاملة حول حالته الصحية، والنتائج المتوقعة للعلاج، والتعليمات اللازمة للعناية الذاتية بعد الخروج من المستشفى (محمود، 2025). ويهدف ذلك إلى تمكين المريض معرفياً ليصبح شريكاً فاعلاً في العملية العلاجية </w:t>
      </w:r>
      <w:r w:rsidR="004D114B" w:rsidRPr="00362D29">
        <w:rPr>
          <w:rFonts w:ascii="Traditional Arabic" w:eastAsia="Aptos" w:hAnsi="Traditional Arabic" w:cs="Traditional Arabic"/>
          <w:kern w:val="2"/>
          <w:sz w:val="24"/>
          <w:szCs w:val="24"/>
          <w:rtl/>
          <w14:ligatures w14:val="standardContextual"/>
        </w:rPr>
        <w:t>(</w:t>
      </w:r>
      <w:r w:rsidR="004D114B" w:rsidRPr="00362D29">
        <w:rPr>
          <w:rFonts w:ascii="Traditional Arabic" w:eastAsia="Aptos" w:hAnsi="Traditional Arabic" w:cs="Traditional Arabic"/>
          <w:kern w:val="2"/>
          <w:sz w:val="24"/>
          <w:szCs w:val="24"/>
          <w14:ligatures w14:val="standardContextual"/>
        </w:rPr>
        <w:t>Health Academy, 2022</w:t>
      </w:r>
      <w:r w:rsidR="004D114B" w:rsidRPr="00362D29">
        <w:rPr>
          <w:rFonts w:ascii="Traditional Arabic" w:eastAsia="Aptos" w:hAnsi="Traditional Arabic" w:cs="Traditional Arabic"/>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ويتوافق هذا البعد مع تركيز </w:t>
      </w:r>
      <w:r w:rsidRPr="00362D29">
        <w:rPr>
          <w:rFonts w:ascii="Traditional Arabic" w:eastAsia="Aptos" w:hAnsi="Traditional Arabic" w:cs="Traditional Arabic"/>
          <w:kern w:val="2"/>
          <w:sz w:val="24"/>
          <w:szCs w:val="24"/>
          <w14:ligatures w14:val="standardContextual"/>
        </w:rPr>
        <w:t>AHRQ</w:t>
      </w:r>
      <w:r w:rsidRPr="00362D29">
        <w:rPr>
          <w:rFonts w:ascii="Traditional Arabic" w:eastAsia="Aptos" w:hAnsi="Traditional Arabic" w:cs="Traditional Arabic"/>
          <w:kern w:val="2"/>
          <w:sz w:val="24"/>
          <w:szCs w:val="24"/>
          <w:rtl/>
          <w14:ligatures w14:val="standardContextual"/>
        </w:rPr>
        <w:t xml:space="preserve"> على "الحصول على المعلومات" </w:t>
      </w:r>
      <w:r w:rsidR="004D114B" w:rsidRPr="00362D29">
        <w:rPr>
          <w:rFonts w:ascii="Traditional Arabic" w:eastAsia="Aptos" w:hAnsi="Traditional Arabic" w:cs="Traditional Arabic"/>
          <w:kern w:val="2"/>
          <w:sz w:val="24"/>
          <w:szCs w:val="24"/>
          <w:rtl/>
          <w14:ligatures w14:val="standardContextual"/>
        </w:rPr>
        <w:t>و</w:t>
      </w:r>
      <w:r w:rsidR="004D114B" w:rsidRPr="00362D29">
        <w:rPr>
          <w:rFonts w:ascii="Traditional Arabic" w:eastAsia="Aptos" w:hAnsi="Traditional Arabic" w:cs="Traditional Arabic"/>
          <w:kern w:val="2"/>
          <w:sz w:val="24"/>
          <w:szCs w:val="24"/>
          <w14:ligatures w14:val="standardContextual"/>
        </w:rPr>
        <w:t>NHS</w:t>
      </w:r>
      <w:r w:rsidRPr="00362D29">
        <w:rPr>
          <w:rFonts w:ascii="Traditional Arabic" w:eastAsia="Aptos" w:hAnsi="Traditional Arabic" w:cs="Traditional Arabic"/>
          <w:kern w:val="2"/>
          <w:sz w:val="24"/>
          <w:szCs w:val="24"/>
          <w:rtl/>
          <w14:ligatures w14:val="standardContextual"/>
        </w:rPr>
        <w:t xml:space="preserve"> على "المعلومات والاتصال والتعليم" (</w:t>
      </w:r>
      <w:r w:rsidRPr="00362D29">
        <w:rPr>
          <w:rFonts w:ascii="Traditional Arabic" w:eastAsia="Aptos" w:hAnsi="Traditional Arabic" w:cs="Traditional Arabic"/>
          <w:kern w:val="2"/>
          <w:sz w:val="24"/>
          <w:szCs w:val="24"/>
          <w14:ligatures w14:val="standardContextual"/>
        </w:rPr>
        <w:t xml:space="preserve">AHRQ, </w:t>
      </w:r>
      <w:r w:rsidR="004D114B" w:rsidRPr="00362D29">
        <w:rPr>
          <w:rFonts w:ascii="Traditional Arabic" w:eastAsia="Aptos" w:hAnsi="Traditional Arabic" w:cs="Traditional Arabic"/>
          <w:kern w:val="2"/>
          <w:sz w:val="24"/>
          <w:szCs w:val="24"/>
          <w14:ligatures w14:val="standardContextual"/>
        </w:rPr>
        <w:t>2025</w:t>
      </w:r>
      <w:r w:rsidRPr="00362D29">
        <w:rPr>
          <w:rFonts w:ascii="Traditional Arabic" w:eastAsia="Aptos" w:hAnsi="Traditional Arabic" w:cs="Traditional Arabic"/>
          <w:kern w:val="2"/>
          <w:sz w:val="24"/>
          <w:szCs w:val="24"/>
          <w14:ligatures w14:val="standardContextual"/>
        </w:rPr>
        <w:t>; NHS, 2011</w:t>
      </w:r>
      <w:r w:rsidRPr="00362D29">
        <w:rPr>
          <w:rFonts w:ascii="Traditional Arabic" w:eastAsia="Aptos" w:hAnsi="Traditional Arabic" w:cs="Traditional Arabic"/>
          <w:kern w:val="2"/>
          <w:sz w:val="24"/>
          <w:szCs w:val="24"/>
          <w:rtl/>
          <w14:ligatures w14:val="standardContextual"/>
        </w:rPr>
        <w:t>).</w:t>
      </w:r>
    </w:p>
    <w:p w14:paraId="6961C586" w14:textId="77777777" w:rsidR="00454581" w:rsidRPr="00362D29" w:rsidRDefault="00454581"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lastRenderedPageBreak/>
        <w:t>6. البيئة المادية (</w:t>
      </w:r>
      <w:r w:rsidRPr="00362D29">
        <w:rPr>
          <w:rFonts w:ascii="Traditional Arabic" w:eastAsia="Aptos" w:hAnsi="Traditional Arabic" w:cs="Traditional Arabic"/>
          <w:b/>
          <w:bCs/>
          <w:kern w:val="2"/>
          <w:sz w:val="24"/>
          <w:szCs w:val="24"/>
          <w14:ligatures w14:val="standardContextual"/>
        </w:rPr>
        <w:t>Physical Environment</w:t>
      </w:r>
      <w:r w:rsidRPr="00362D29">
        <w:rPr>
          <w:rFonts w:ascii="Traditional Arabic" w:eastAsia="Aptos" w:hAnsi="Traditional Arabic" w:cs="Traditional Arabic"/>
          <w:b/>
          <w:bCs/>
          <w:kern w:val="2"/>
          <w:sz w:val="24"/>
          <w:szCs w:val="24"/>
          <w:rtl/>
          <w14:ligatures w14:val="standardContextual"/>
        </w:rPr>
        <w:t>)</w:t>
      </w:r>
    </w:p>
    <w:p w14:paraId="66E3A295" w14:textId="77777777" w:rsidR="00454581" w:rsidRPr="00362D29" w:rsidRDefault="00454581"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تشمل البيئة المادية كافة العناصر الملموسة التي يتفاعل معها المريض، مثل نظافة المرافق، وهدوء غرف التنويم، وتوفر سبل الراحة المادية، وتصميم المرفق الصحي بشكل يسهل الحركة والتنقل (</w:t>
      </w:r>
      <w:r w:rsidRPr="00362D29">
        <w:rPr>
          <w:rFonts w:ascii="Traditional Arabic" w:eastAsia="Aptos" w:hAnsi="Traditional Arabic" w:cs="Traditional Arabic"/>
          <w:kern w:val="2"/>
          <w:sz w:val="24"/>
          <w:szCs w:val="24"/>
          <w14:ligatures w14:val="standardContextual"/>
        </w:rPr>
        <w:t>Alsubahi et al., 2025</w:t>
      </w:r>
      <w:r w:rsidRPr="00362D29">
        <w:rPr>
          <w:rFonts w:ascii="Traditional Arabic" w:eastAsia="Aptos" w:hAnsi="Traditional Arabic" w:cs="Traditional Arabic"/>
          <w:kern w:val="2"/>
          <w:sz w:val="24"/>
          <w:szCs w:val="24"/>
          <w:rtl/>
          <w14:ligatures w14:val="standardContextual"/>
        </w:rPr>
        <w:t xml:space="preserve">). تلعب البيئة المادية دوراً حاسماً في تشكيل الانطباع الأول للمريض وتعزيز شعوره بالأمان والراحة (محمود، 2025). وقد أشارت </w:t>
      </w:r>
      <w:r w:rsidRPr="00362D29">
        <w:rPr>
          <w:rFonts w:ascii="Traditional Arabic" w:eastAsia="Aptos" w:hAnsi="Traditional Arabic" w:cs="Traditional Arabic"/>
          <w:kern w:val="2"/>
          <w:sz w:val="24"/>
          <w:szCs w:val="24"/>
          <w14:ligatures w14:val="standardContextual"/>
        </w:rPr>
        <w:t>NHS</w:t>
      </w:r>
      <w:r w:rsidRPr="00362D29">
        <w:rPr>
          <w:rFonts w:ascii="Traditional Arabic" w:eastAsia="Aptos" w:hAnsi="Traditional Arabic" w:cs="Traditional Arabic"/>
          <w:kern w:val="2"/>
          <w:sz w:val="24"/>
          <w:szCs w:val="24"/>
          <w:rtl/>
          <w14:ligatures w14:val="standardContextual"/>
        </w:rPr>
        <w:t xml:space="preserve"> إلى "الراحة الجسدية" و"البيئة النظيفة والمريحة" كجزء من هذا البعد (</w:t>
      </w:r>
      <w:r w:rsidRPr="00362D29">
        <w:rPr>
          <w:rFonts w:ascii="Traditional Arabic" w:eastAsia="Aptos" w:hAnsi="Traditional Arabic" w:cs="Traditional Arabic"/>
          <w:kern w:val="2"/>
          <w:sz w:val="24"/>
          <w:szCs w:val="24"/>
          <w14:ligatures w14:val="standardContextual"/>
        </w:rPr>
        <w:t>NHS, 2011</w:t>
      </w:r>
      <w:r w:rsidRPr="00362D29">
        <w:rPr>
          <w:rFonts w:ascii="Traditional Arabic" w:eastAsia="Aptos" w:hAnsi="Traditional Arabic" w:cs="Traditional Arabic"/>
          <w:kern w:val="2"/>
          <w:sz w:val="24"/>
          <w:szCs w:val="24"/>
          <w:rtl/>
          <w14:ligatures w14:val="standardContextual"/>
        </w:rPr>
        <w:t>).</w:t>
      </w:r>
    </w:p>
    <w:p w14:paraId="45E12677" w14:textId="77777777" w:rsidR="00454581" w:rsidRPr="00362D29" w:rsidRDefault="00454581"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7. الدعم العاطفي (</w:t>
      </w:r>
      <w:r w:rsidRPr="00362D29">
        <w:rPr>
          <w:rFonts w:ascii="Traditional Arabic" w:eastAsia="Aptos" w:hAnsi="Traditional Arabic" w:cs="Traditional Arabic"/>
          <w:b/>
          <w:bCs/>
          <w:kern w:val="2"/>
          <w:sz w:val="24"/>
          <w:szCs w:val="24"/>
          <w14:ligatures w14:val="standardContextual"/>
        </w:rPr>
        <w:t>Emotional Support</w:t>
      </w:r>
      <w:r w:rsidRPr="00362D29">
        <w:rPr>
          <w:rFonts w:ascii="Traditional Arabic" w:eastAsia="Aptos" w:hAnsi="Traditional Arabic" w:cs="Traditional Arabic"/>
          <w:b/>
          <w:bCs/>
          <w:kern w:val="2"/>
          <w:sz w:val="24"/>
          <w:szCs w:val="24"/>
          <w:rtl/>
          <w14:ligatures w14:val="standardContextual"/>
        </w:rPr>
        <w:t>)</w:t>
      </w:r>
    </w:p>
    <w:p w14:paraId="698D7221" w14:textId="15125EC3" w:rsidR="00454581" w:rsidRPr="00362D29" w:rsidRDefault="00454581"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يركز هذا البعد على التعامل مع الجوانب النفسية للمرض، مثل القلق والتوتر والخوف من النتائج أو الإجراءات الطبية. ويتطلب ذلك من مقدمي الرعاية إظهار التعاطف، وتقديم الدعم النفسي اللازم، ومساعدة المريض على التأقلم مع التحديات الصحية التي يواجهها (منظمة الصحة العالمية، 2018). إن الدعم العاطفي يسهم بشكل مباشر في تسريع عملية الشفاء وتحسين المخرجات الصحية </w:t>
      </w:r>
      <w:r w:rsidR="004D114B" w:rsidRPr="00362D29">
        <w:rPr>
          <w:rFonts w:ascii="Traditional Arabic" w:eastAsia="Aptos" w:hAnsi="Traditional Arabic" w:cs="Traditional Arabic"/>
          <w:kern w:val="2"/>
          <w:sz w:val="24"/>
          <w:szCs w:val="24"/>
          <w:rtl/>
          <w14:ligatures w14:val="standardContextual"/>
        </w:rPr>
        <w:t>(</w:t>
      </w:r>
      <w:r w:rsidR="004D114B" w:rsidRPr="00362D29">
        <w:rPr>
          <w:rFonts w:ascii="Traditional Arabic" w:eastAsia="Aptos" w:hAnsi="Traditional Arabic" w:cs="Traditional Arabic"/>
          <w:kern w:val="2"/>
          <w:sz w:val="24"/>
          <w:szCs w:val="24"/>
          <w14:ligatures w14:val="standardContextual"/>
        </w:rPr>
        <w:t>Health Academy, 2022</w:t>
      </w:r>
      <w:r w:rsidR="004D114B" w:rsidRPr="00362D29">
        <w:rPr>
          <w:rFonts w:ascii="Traditional Arabic" w:eastAsia="Aptos" w:hAnsi="Traditional Arabic" w:cs="Traditional Arabic"/>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وقد أكدت </w:t>
      </w:r>
      <w:r w:rsidRPr="00362D29">
        <w:rPr>
          <w:rFonts w:ascii="Traditional Arabic" w:eastAsia="Aptos" w:hAnsi="Traditional Arabic" w:cs="Traditional Arabic"/>
          <w:kern w:val="2"/>
          <w:sz w:val="24"/>
          <w:szCs w:val="24"/>
          <w14:ligatures w14:val="standardContextual"/>
        </w:rPr>
        <w:t>NHS</w:t>
      </w:r>
      <w:r w:rsidRPr="00362D29">
        <w:rPr>
          <w:rFonts w:ascii="Traditional Arabic" w:eastAsia="Aptos" w:hAnsi="Traditional Arabic" w:cs="Traditional Arabic"/>
          <w:kern w:val="2"/>
          <w:sz w:val="24"/>
          <w:szCs w:val="24"/>
          <w:rtl/>
          <w14:ligatures w14:val="standardContextual"/>
        </w:rPr>
        <w:t xml:space="preserve"> على أهمية "الدعم العاطفي وتخفيف الخوف والقلق" (</w:t>
      </w:r>
      <w:r w:rsidRPr="00362D29">
        <w:rPr>
          <w:rFonts w:ascii="Traditional Arabic" w:eastAsia="Aptos" w:hAnsi="Traditional Arabic" w:cs="Traditional Arabic"/>
          <w:kern w:val="2"/>
          <w:sz w:val="24"/>
          <w:szCs w:val="24"/>
          <w14:ligatures w14:val="standardContextual"/>
        </w:rPr>
        <w:t>NHS, 2011</w:t>
      </w:r>
      <w:r w:rsidRPr="00362D29">
        <w:rPr>
          <w:rFonts w:ascii="Traditional Arabic" w:eastAsia="Aptos" w:hAnsi="Traditional Arabic" w:cs="Traditional Arabic"/>
          <w:kern w:val="2"/>
          <w:sz w:val="24"/>
          <w:szCs w:val="24"/>
          <w:rtl/>
          <w14:ligatures w14:val="standardContextual"/>
        </w:rPr>
        <w:t>).</w:t>
      </w:r>
    </w:p>
    <w:p w14:paraId="72604017" w14:textId="77777777" w:rsidR="00454581" w:rsidRPr="00362D29" w:rsidRDefault="00454581"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8. المشاركة (</w:t>
      </w:r>
      <w:r w:rsidRPr="00362D29">
        <w:rPr>
          <w:rFonts w:ascii="Traditional Arabic" w:eastAsia="Aptos" w:hAnsi="Traditional Arabic" w:cs="Traditional Arabic"/>
          <w:b/>
          <w:bCs/>
          <w:kern w:val="2"/>
          <w:sz w:val="24"/>
          <w:szCs w:val="24"/>
          <w14:ligatures w14:val="standardContextual"/>
        </w:rPr>
        <w:t>Participation/Involvement of Family</w:t>
      </w:r>
      <w:r w:rsidRPr="00362D29">
        <w:rPr>
          <w:rFonts w:ascii="Traditional Arabic" w:eastAsia="Aptos" w:hAnsi="Traditional Arabic" w:cs="Traditional Arabic"/>
          <w:b/>
          <w:bCs/>
          <w:kern w:val="2"/>
          <w:sz w:val="24"/>
          <w:szCs w:val="24"/>
          <w:rtl/>
          <w14:ligatures w14:val="standardContextual"/>
        </w:rPr>
        <w:t>)</w:t>
      </w:r>
    </w:p>
    <w:p w14:paraId="7187A5F8" w14:textId="701EF43B" w:rsidR="00454581" w:rsidRPr="00362D29" w:rsidRDefault="00454581"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يشير هذا البعد إلى إشراك عائلة المريض وأصدقائه المقربين في عملية الرعاية، والاعتراف بدورهم الحيوي في دعم المريض. ويتضمن ذلك توفير التسهيلات اللازمة لتواجدهم، </w:t>
      </w:r>
      <w:r w:rsidR="004D114B" w:rsidRPr="00362D29">
        <w:rPr>
          <w:rFonts w:ascii="Traditional Arabic" w:eastAsia="Aptos" w:hAnsi="Traditional Arabic" w:cs="Traditional Arabic"/>
          <w:kern w:val="2"/>
          <w:sz w:val="24"/>
          <w:szCs w:val="24"/>
          <w:rtl/>
          <w14:ligatures w14:val="standardContextual"/>
        </w:rPr>
        <w:t>واطلاعهم</w:t>
      </w:r>
      <w:r w:rsidRPr="00362D29">
        <w:rPr>
          <w:rFonts w:ascii="Traditional Arabic" w:eastAsia="Aptos" w:hAnsi="Traditional Arabic" w:cs="Traditional Arabic"/>
          <w:kern w:val="2"/>
          <w:sz w:val="24"/>
          <w:szCs w:val="24"/>
          <w:rtl/>
          <w14:ligatures w14:val="standardContextual"/>
        </w:rPr>
        <w:t xml:space="preserve"> على مستجدات الحالة الصحية (بناءً على رغبة المريض)، وإشراكهم في قرارات الرعاية (</w:t>
      </w:r>
      <w:r w:rsidRPr="00362D29">
        <w:rPr>
          <w:rFonts w:ascii="Traditional Arabic" w:eastAsia="Aptos" w:hAnsi="Traditional Arabic" w:cs="Traditional Arabic"/>
          <w:kern w:val="2"/>
          <w:sz w:val="24"/>
          <w:szCs w:val="24"/>
          <w14:ligatures w14:val="standardContextual"/>
        </w:rPr>
        <w:t>Alsubahi et al., 2025</w:t>
      </w:r>
      <w:r w:rsidRPr="00362D29">
        <w:rPr>
          <w:rFonts w:ascii="Traditional Arabic" w:eastAsia="Aptos" w:hAnsi="Traditional Arabic" w:cs="Traditional Arabic"/>
          <w:kern w:val="2"/>
          <w:sz w:val="24"/>
          <w:szCs w:val="24"/>
          <w:rtl/>
          <w14:ligatures w14:val="standardContextual"/>
        </w:rPr>
        <w:t xml:space="preserve">). إن مشاركة الأسرة تعزز من شبكة الدعم الاجتماعي للمريض وتضمن بيئة علاجية متكاملة (محمود، 2025). وقد ذكرت </w:t>
      </w:r>
      <w:r w:rsidRPr="00362D29">
        <w:rPr>
          <w:rFonts w:ascii="Traditional Arabic" w:eastAsia="Aptos" w:hAnsi="Traditional Arabic" w:cs="Traditional Arabic"/>
          <w:kern w:val="2"/>
          <w:sz w:val="24"/>
          <w:szCs w:val="24"/>
          <w14:ligatures w14:val="standardContextual"/>
        </w:rPr>
        <w:t>AHRQ</w:t>
      </w:r>
      <w:r w:rsidRPr="00362D29">
        <w:rPr>
          <w:rFonts w:ascii="Traditional Arabic" w:eastAsia="Aptos" w:hAnsi="Traditional Arabic" w:cs="Traditional Arabic"/>
          <w:kern w:val="2"/>
          <w:sz w:val="24"/>
          <w:szCs w:val="24"/>
          <w:rtl/>
          <w14:ligatures w14:val="standardContextual"/>
        </w:rPr>
        <w:t xml:space="preserve"> "المشاركة في اتخاذ القرار" و"دعم الإدارة الذاتية"، بينما أشارت </w:t>
      </w:r>
      <w:r w:rsidRPr="00362D29">
        <w:rPr>
          <w:rFonts w:ascii="Traditional Arabic" w:eastAsia="Aptos" w:hAnsi="Traditional Arabic" w:cs="Traditional Arabic"/>
          <w:kern w:val="2"/>
          <w:sz w:val="24"/>
          <w:szCs w:val="24"/>
          <w14:ligatures w14:val="standardContextual"/>
        </w:rPr>
        <w:t>NHS</w:t>
      </w:r>
      <w:r w:rsidRPr="00362D29">
        <w:rPr>
          <w:rFonts w:ascii="Traditional Arabic" w:eastAsia="Aptos" w:hAnsi="Traditional Arabic" w:cs="Traditional Arabic"/>
          <w:kern w:val="2"/>
          <w:sz w:val="24"/>
          <w:szCs w:val="24"/>
          <w:rtl/>
          <w14:ligatures w14:val="standardContextual"/>
        </w:rPr>
        <w:t xml:space="preserve"> إلى "الترحيب بمشاركة العائلة والأصدقاء" (</w:t>
      </w:r>
      <w:r w:rsidRPr="00362D29">
        <w:rPr>
          <w:rFonts w:ascii="Traditional Arabic" w:eastAsia="Aptos" w:hAnsi="Traditional Arabic" w:cs="Traditional Arabic"/>
          <w:kern w:val="2"/>
          <w:sz w:val="24"/>
          <w:szCs w:val="24"/>
          <w14:ligatures w14:val="standardContextual"/>
        </w:rPr>
        <w:t>AHRQ, n.d.; NHS, 2011</w:t>
      </w:r>
      <w:r w:rsidRPr="00362D29">
        <w:rPr>
          <w:rFonts w:ascii="Traditional Arabic" w:eastAsia="Aptos" w:hAnsi="Traditional Arabic" w:cs="Traditional Arabic"/>
          <w:kern w:val="2"/>
          <w:sz w:val="24"/>
          <w:szCs w:val="24"/>
          <w:rtl/>
          <w14:ligatures w14:val="standardContextual"/>
        </w:rPr>
        <w:t>).</w:t>
      </w:r>
    </w:p>
    <w:p w14:paraId="7BF6FF6B" w14:textId="77777777" w:rsidR="00454581" w:rsidRPr="00362D29" w:rsidRDefault="00454581"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من خلال هذه الأبعاد الثمانية، تسعى الدراسة الحالية لتحليل أثر التميز المؤسسي في تحقيق جودة شاملة لتجربة المريض في تجمع القصيم الصحي، بما يتماشى مع معايير الجودة العالمية وتوجهات رؤية المملكة 2030 في التحول الصحي.</w:t>
      </w:r>
    </w:p>
    <w:p w14:paraId="4DB1B477" w14:textId="3CB34915" w:rsidR="00454581" w:rsidRPr="00362D29" w:rsidRDefault="0038527C"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الخلاصة:</w:t>
      </w:r>
    </w:p>
    <w:p w14:paraId="0CD67931" w14:textId="7E487813" w:rsidR="00882A27" w:rsidRDefault="00454581" w:rsidP="00B036D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يتضح من استعراض أطر عمل الهيئات العالمية المختلفة أن هناك توافقاً جوهرياً حول </w:t>
      </w:r>
      <w:r w:rsidR="00BB11B5" w:rsidRPr="00362D29">
        <w:rPr>
          <w:rFonts w:ascii="Traditional Arabic" w:eastAsia="Aptos" w:hAnsi="Traditional Arabic" w:cs="Traditional Arabic"/>
          <w:kern w:val="2"/>
          <w:sz w:val="24"/>
          <w:szCs w:val="24"/>
          <w:rtl/>
          <w14:ligatures w14:val="standardContextual"/>
        </w:rPr>
        <w:t xml:space="preserve">الابعاد </w:t>
      </w:r>
      <w:r w:rsidR="00E60B16" w:rsidRPr="00362D29">
        <w:rPr>
          <w:rFonts w:ascii="Traditional Arabic" w:eastAsia="Aptos" w:hAnsi="Traditional Arabic" w:cs="Traditional Arabic"/>
          <w:kern w:val="2"/>
          <w:sz w:val="24"/>
          <w:szCs w:val="24"/>
          <w:rtl/>
          <w14:ligatures w14:val="standardContextual"/>
        </w:rPr>
        <w:t>والمكونات</w:t>
      </w:r>
      <w:r w:rsidRPr="00362D29">
        <w:rPr>
          <w:rFonts w:ascii="Traditional Arabic" w:eastAsia="Aptos" w:hAnsi="Traditional Arabic" w:cs="Traditional Arabic"/>
          <w:kern w:val="2"/>
          <w:sz w:val="24"/>
          <w:szCs w:val="24"/>
          <w:rtl/>
          <w14:ligatures w14:val="standardContextual"/>
        </w:rPr>
        <w:t xml:space="preserve"> الأساسية التي تشكل تجربة المريض الجيدة. فبينما قد تختلف التسميات أو عدد الأبعاد، إلا أن المحاور الرئيسية مثل </w:t>
      </w:r>
      <w:r w:rsidRPr="00362D29">
        <w:rPr>
          <w:rFonts w:ascii="Traditional Arabic" w:eastAsia="Aptos" w:hAnsi="Traditional Arabic" w:cs="Traditional Arabic"/>
          <w:b/>
          <w:bCs/>
          <w:kern w:val="2"/>
          <w:sz w:val="24"/>
          <w:szCs w:val="24"/>
          <w:rtl/>
          <w14:ligatures w14:val="standardContextual"/>
        </w:rPr>
        <w:t>الوصول السهل للرعاية، والتواصل الفعال، والاحترام المتبادل، وتوفير المعلومات الكافية، وتنسيق الرعاية، والدعم العاطفي، والبيئة المادية المريحة، ومشاركة المريض وعائلته،</w:t>
      </w:r>
      <w:r w:rsidRPr="00362D29">
        <w:rPr>
          <w:rFonts w:ascii="Traditional Arabic" w:eastAsia="Aptos" w:hAnsi="Traditional Arabic" w:cs="Traditional Arabic"/>
          <w:kern w:val="2"/>
          <w:sz w:val="24"/>
          <w:szCs w:val="24"/>
          <w:rtl/>
          <w14:ligatures w14:val="standardContextual"/>
        </w:rPr>
        <w:t xml:space="preserve"> تظل عناصر </w:t>
      </w:r>
      <w:r w:rsidRPr="00362D29">
        <w:rPr>
          <w:rFonts w:ascii="Traditional Arabic" w:eastAsia="Aptos" w:hAnsi="Traditional Arabic" w:cs="Traditional Arabic"/>
          <w:kern w:val="2"/>
          <w:sz w:val="24"/>
          <w:szCs w:val="24"/>
          <w:rtl/>
          <w14:ligatures w14:val="standardContextual"/>
        </w:rPr>
        <w:lastRenderedPageBreak/>
        <w:t xml:space="preserve">ثابتة </w:t>
      </w:r>
      <w:r w:rsidR="00BB11B5" w:rsidRPr="00362D29">
        <w:rPr>
          <w:rFonts w:ascii="Traditional Arabic" w:eastAsia="Aptos" w:hAnsi="Traditional Arabic" w:cs="Traditional Arabic"/>
          <w:kern w:val="2"/>
          <w:sz w:val="24"/>
          <w:szCs w:val="24"/>
          <w:rtl/>
          <w14:ligatures w14:val="standardContextual"/>
        </w:rPr>
        <w:t xml:space="preserve">ومشتركة </w:t>
      </w:r>
      <w:r w:rsidRPr="00362D29">
        <w:rPr>
          <w:rFonts w:ascii="Traditional Arabic" w:eastAsia="Aptos" w:hAnsi="Traditional Arabic" w:cs="Traditional Arabic"/>
          <w:kern w:val="2"/>
          <w:sz w:val="24"/>
          <w:szCs w:val="24"/>
          <w:rtl/>
          <w14:ligatures w14:val="standardContextual"/>
        </w:rPr>
        <w:t xml:space="preserve">وضرورية لتحقيق رعاية صحية </w:t>
      </w:r>
      <w:r w:rsidR="00AC19EB" w:rsidRPr="00362D29">
        <w:rPr>
          <w:rFonts w:ascii="Traditional Arabic" w:eastAsia="Aptos" w:hAnsi="Traditional Arabic" w:cs="Traditional Arabic"/>
          <w:kern w:val="2"/>
          <w:sz w:val="24"/>
          <w:szCs w:val="24"/>
          <w:rtl/>
          <w14:ligatures w14:val="standardContextual"/>
        </w:rPr>
        <w:t>ترتكز على</w:t>
      </w:r>
      <w:r w:rsidRPr="00362D29">
        <w:rPr>
          <w:rFonts w:ascii="Traditional Arabic" w:eastAsia="Aptos" w:hAnsi="Traditional Arabic" w:cs="Traditional Arabic"/>
          <w:kern w:val="2"/>
          <w:sz w:val="24"/>
          <w:szCs w:val="24"/>
          <w:rtl/>
          <w14:ligatures w14:val="standardContextual"/>
        </w:rPr>
        <w:t xml:space="preserve"> المريض. هذه الأبعاد مجتمعة لا تساهم فقط في تحسين </w:t>
      </w:r>
      <w:r w:rsidR="00AC19EB" w:rsidRPr="00362D29">
        <w:rPr>
          <w:rFonts w:ascii="Traditional Arabic" w:eastAsia="Aptos" w:hAnsi="Traditional Arabic" w:cs="Traditional Arabic"/>
          <w:kern w:val="2"/>
          <w:sz w:val="24"/>
          <w:szCs w:val="24"/>
          <w:rtl/>
          <w14:ligatures w14:val="standardContextual"/>
        </w:rPr>
        <w:t>تجربة المرضى</w:t>
      </w:r>
      <w:r w:rsidRPr="00362D29">
        <w:rPr>
          <w:rFonts w:ascii="Traditional Arabic" w:eastAsia="Aptos" w:hAnsi="Traditional Arabic" w:cs="Traditional Arabic"/>
          <w:kern w:val="2"/>
          <w:sz w:val="24"/>
          <w:szCs w:val="24"/>
          <w:rtl/>
          <w14:ligatures w14:val="standardContextual"/>
        </w:rPr>
        <w:t>، بل تمتد لتؤثر إيجاباً على النتائج الصحية وسلامة المرضى وكفاءة النظام الصحي ككل (</w:t>
      </w:r>
      <w:r w:rsidRPr="00362D29">
        <w:rPr>
          <w:rFonts w:ascii="Traditional Arabic" w:eastAsia="Aptos" w:hAnsi="Traditional Arabic" w:cs="Traditional Arabic"/>
          <w:kern w:val="2"/>
          <w:sz w:val="24"/>
          <w:szCs w:val="24"/>
          <w14:ligatures w14:val="standardContextual"/>
        </w:rPr>
        <w:t>Oben, 2020</w:t>
      </w:r>
      <w:r w:rsidRPr="00362D29">
        <w:rPr>
          <w:rFonts w:ascii="Traditional Arabic" w:eastAsia="Aptos" w:hAnsi="Traditional Arabic" w:cs="Traditional Arabic"/>
          <w:kern w:val="2"/>
          <w:sz w:val="24"/>
          <w:szCs w:val="24"/>
          <w:rtl/>
          <w14:ligatures w14:val="standardContextual"/>
        </w:rPr>
        <w:t>; معهد الطب، 2001).</w:t>
      </w:r>
    </w:p>
    <w:p w14:paraId="78BDB39B" w14:textId="77777777" w:rsidR="00B036D9" w:rsidRPr="00362D29" w:rsidRDefault="00B036D9" w:rsidP="00B036D9">
      <w:pPr>
        <w:bidi/>
        <w:spacing w:before="0" w:after="160" w:line="360" w:lineRule="auto"/>
        <w:jc w:val="both"/>
        <w:rPr>
          <w:rFonts w:ascii="Traditional Arabic" w:eastAsia="Aptos" w:hAnsi="Traditional Arabic" w:cs="Traditional Arabic"/>
          <w:kern w:val="2"/>
          <w:sz w:val="24"/>
          <w:szCs w:val="24"/>
          <w:rtl/>
          <w14:ligatures w14:val="standardContextual"/>
        </w:rPr>
      </w:pPr>
    </w:p>
    <w:p w14:paraId="5487083E" w14:textId="213C1005" w:rsidR="001F5AC5" w:rsidRPr="00362D29" w:rsidRDefault="00E60B16" w:rsidP="00362D29">
      <w:pPr>
        <w:bidi/>
        <w:spacing w:before="0" w:after="160" w:line="360" w:lineRule="auto"/>
        <w:jc w:val="both"/>
        <w:rPr>
          <w:rFonts w:ascii="Traditional Arabic" w:eastAsia="Aptos" w:hAnsi="Traditional Arabic" w:cs="Traditional Arabic"/>
          <w:b/>
          <w:bCs/>
          <w:kern w:val="2"/>
          <w:sz w:val="28"/>
          <w:szCs w:val="28"/>
          <w14:ligatures w14:val="standardContextual"/>
        </w:rPr>
      </w:pPr>
      <w:r w:rsidRPr="00362D29">
        <w:rPr>
          <w:rFonts w:ascii="Traditional Arabic" w:eastAsia="Aptos" w:hAnsi="Traditional Arabic" w:cs="Traditional Arabic"/>
          <w:b/>
          <w:bCs/>
          <w:kern w:val="2"/>
          <w:sz w:val="28"/>
          <w:szCs w:val="28"/>
          <w:rtl/>
          <w14:ligatures w14:val="standardContextual"/>
        </w:rPr>
        <w:t xml:space="preserve">تاسعاً: </w:t>
      </w:r>
      <w:r w:rsidR="001F5AC5" w:rsidRPr="00362D29">
        <w:rPr>
          <w:rFonts w:ascii="Traditional Arabic" w:eastAsia="Aptos" w:hAnsi="Traditional Arabic" w:cs="Traditional Arabic"/>
          <w:b/>
          <w:bCs/>
          <w:kern w:val="2"/>
          <w:sz w:val="28"/>
          <w:szCs w:val="28"/>
          <w:rtl/>
          <w14:ligatures w14:val="standardContextual"/>
        </w:rPr>
        <w:t>أدوات ومقاييس تجربة المريض (</w:t>
      </w:r>
      <w:r w:rsidR="001F5AC5" w:rsidRPr="00362D29">
        <w:rPr>
          <w:rFonts w:ascii="Traditional Arabic" w:eastAsia="Aptos" w:hAnsi="Traditional Arabic" w:cs="Traditional Arabic"/>
          <w:b/>
          <w:bCs/>
          <w:kern w:val="2"/>
          <w:sz w:val="28"/>
          <w:szCs w:val="28"/>
          <w14:ligatures w14:val="standardContextual"/>
        </w:rPr>
        <w:t>Patient Experience Measurement Tools</w:t>
      </w:r>
      <w:r w:rsidR="001F5AC5" w:rsidRPr="00362D29">
        <w:rPr>
          <w:rFonts w:ascii="Traditional Arabic" w:eastAsia="Aptos" w:hAnsi="Traditional Arabic" w:cs="Traditional Arabic"/>
          <w:b/>
          <w:bCs/>
          <w:kern w:val="2"/>
          <w:sz w:val="28"/>
          <w:szCs w:val="28"/>
          <w:rtl/>
          <w14:ligatures w14:val="standardContextual"/>
        </w:rPr>
        <w:t>)</w:t>
      </w:r>
    </w:p>
    <w:p w14:paraId="5B54283C" w14:textId="77777777" w:rsidR="001F5AC5" w:rsidRPr="00362D29" w:rsidRDefault="001F5AC5" w:rsidP="00362D29">
      <w:pPr>
        <w:bidi/>
        <w:spacing w:before="0" w:after="160" w:line="360" w:lineRule="auto"/>
        <w:jc w:val="both"/>
        <w:rPr>
          <w:rFonts w:ascii="Traditional Arabic" w:eastAsia="Aptos" w:hAnsi="Traditional Arabic" w:cs="Traditional Arabic"/>
          <w:b/>
          <w:bCs/>
          <w:kern w:val="2"/>
          <w:sz w:val="28"/>
          <w:szCs w:val="28"/>
          <w:rtl/>
          <w14:ligatures w14:val="standardContextual"/>
        </w:rPr>
      </w:pPr>
      <w:r w:rsidRPr="00362D29">
        <w:rPr>
          <w:rFonts w:ascii="Traditional Arabic" w:eastAsia="Aptos" w:hAnsi="Traditional Arabic" w:cs="Traditional Arabic"/>
          <w:b/>
          <w:bCs/>
          <w:kern w:val="2"/>
          <w:sz w:val="28"/>
          <w:szCs w:val="28"/>
          <w:rtl/>
          <w14:ligatures w14:val="standardContextual"/>
        </w:rPr>
        <w:t>مقدمة</w:t>
      </w:r>
    </w:p>
    <w:p w14:paraId="46986D59" w14:textId="56BADC44" w:rsidR="001F5AC5" w:rsidRPr="00362D29" w:rsidRDefault="001F5AC5"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تُعد تجربة المريض عنصراً محورياً في تقييم جودة الرعاية الصحية، حيث تعكس مدى استجابة النظام الصحي لاحتياجات وتوقعات المرضى وقيمهم الفردية (</w:t>
      </w:r>
      <w:r w:rsidRPr="00362D29">
        <w:rPr>
          <w:rFonts w:ascii="Traditional Arabic" w:eastAsia="Aptos" w:hAnsi="Traditional Arabic" w:cs="Traditional Arabic"/>
          <w:kern w:val="2"/>
          <w:sz w:val="24"/>
          <w:szCs w:val="24"/>
          <w14:ligatures w14:val="standardContextual"/>
        </w:rPr>
        <w:t>AHRQ, 20</w:t>
      </w:r>
      <w:r w:rsidR="003E4C7F" w:rsidRPr="00362D29">
        <w:rPr>
          <w:rFonts w:ascii="Traditional Arabic" w:eastAsia="Aptos" w:hAnsi="Traditional Arabic" w:cs="Traditional Arabic"/>
          <w:kern w:val="2"/>
          <w:sz w:val="24"/>
          <w:szCs w:val="24"/>
          <w14:ligatures w14:val="standardContextual"/>
        </w:rPr>
        <w:t>25</w:t>
      </w:r>
      <w:r w:rsidRPr="00362D29">
        <w:rPr>
          <w:rFonts w:ascii="Traditional Arabic" w:eastAsia="Aptos" w:hAnsi="Traditional Arabic" w:cs="Traditional Arabic"/>
          <w:kern w:val="2"/>
          <w:sz w:val="24"/>
          <w:szCs w:val="24"/>
          <w:rtl/>
          <w14:ligatures w14:val="standardContextual"/>
        </w:rPr>
        <w:t xml:space="preserve">). ومع تزايد الوعي بأهمية </w:t>
      </w:r>
      <w:r w:rsidR="003E4C7F" w:rsidRPr="00362D29">
        <w:rPr>
          <w:rFonts w:ascii="Traditional Arabic" w:eastAsia="Aptos" w:hAnsi="Traditional Arabic" w:cs="Traditional Arabic"/>
          <w:kern w:val="2"/>
          <w:sz w:val="24"/>
          <w:szCs w:val="24"/>
          <w:rtl/>
          <w14:ligatures w14:val="standardContextual"/>
        </w:rPr>
        <w:t>تجربة المريض</w:t>
      </w:r>
      <w:r w:rsidRPr="00362D29">
        <w:rPr>
          <w:rFonts w:ascii="Traditional Arabic" w:eastAsia="Aptos" w:hAnsi="Traditional Arabic" w:cs="Traditional Arabic"/>
          <w:kern w:val="2"/>
          <w:sz w:val="24"/>
          <w:szCs w:val="24"/>
          <w:rtl/>
          <w14:ligatures w14:val="standardContextual"/>
        </w:rPr>
        <w:t xml:space="preserve">، أصبح قياسها وتحليلها ضرورة استراتيجية للمؤسسات الصحية التي تسعى إلى التميز وتحسين مخرجات الرعاية </w:t>
      </w:r>
      <w:r w:rsidR="00411F72" w:rsidRPr="00362D29">
        <w:rPr>
          <w:rFonts w:ascii="Traditional Arabic" w:eastAsia="Aptos" w:hAnsi="Traditional Arabic" w:cs="Traditional Arabic"/>
          <w:kern w:val="2"/>
          <w:sz w:val="24"/>
          <w:szCs w:val="24"/>
          <w:rtl/>
          <w14:ligatures w14:val="standardContextual"/>
        </w:rPr>
        <w:t>(</w:t>
      </w:r>
      <w:r w:rsidR="00411F72" w:rsidRPr="00362D29">
        <w:rPr>
          <w:rFonts w:ascii="Traditional Arabic" w:eastAsia="Aptos" w:hAnsi="Traditional Arabic" w:cs="Traditional Arabic"/>
          <w:kern w:val="2"/>
          <w:sz w:val="24"/>
          <w:szCs w:val="24"/>
          <w14:ligatures w14:val="standardContextual"/>
        </w:rPr>
        <w:t>Health Academy, 2022</w:t>
      </w:r>
      <w:r w:rsidR="00411F72" w:rsidRPr="00362D29">
        <w:rPr>
          <w:rFonts w:ascii="Traditional Arabic" w:eastAsia="Aptos" w:hAnsi="Traditional Arabic" w:cs="Traditional Arabic"/>
          <w:kern w:val="2"/>
          <w:sz w:val="24"/>
          <w:szCs w:val="24"/>
          <w:rtl/>
          <w14:ligatures w14:val="standardContextual"/>
        </w:rPr>
        <w:t>).</w:t>
      </w:r>
    </w:p>
    <w:p w14:paraId="60A7CA38" w14:textId="4102639F" w:rsidR="001F5AC5" w:rsidRPr="00362D29" w:rsidRDefault="001F5AC5" w:rsidP="00362D29">
      <w:pPr>
        <w:bidi/>
        <w:spacing w:before="0" w:after="160" w:line="360" w:lineRule="auto"/>
        <w:jc w:val="both"/>
        <w:rPr>
          <w:rFonts w:ascii="Traditional Arabic" w:eastAsia="Aptos" w:hAnsi="Traditional Arabic" w:cs="Traditional Arabic"/>
          <w:b/>
          <w:bCs/>
          <w:kern w:val="2"/>
          <w:sz w:val="28"/>
          <w:szCs w:val="28"/>
          <w:rtl/>
          <w14:ligatures w14:val="standardContextual"/>
        </w:rPr>
      </w:pPr>
      <w:r w:rsidRPr="00362D29">
        <w:rPr>
          <w:rFonts w:ascii="Traditional Arabic" w:eastAsia="Aptos" w:hAnsi="Traditional Arabic" w:cs="Traditional Arabic"/>
          <w:b/>
          <w:bCs/>
          <w:kern w:val="2"/>
          <w:sz w:val="28"/>
          <w:szCs w:val="28"/>
          <w:rtl/>
          <w14:ligatures w14:val="standardContextual"/>
        </w:rPr>
        <w:t>أهمية قياس</w:t>
      </w:r>
      <w:r w:rsidR="00411F72" w:rsidRPr="00362D29">
        <w:rPr>
          <w:rFonts w:ascii="Traditional Arabic" w:eastAsia="Aptos" w:hAnsi="Traditional Arabic" w:cs="Traditional Arabic"/>
          <w:b/>
          <w:bCs/>
          <w:kern w:val="2"/>
          <w:sz w:val="28"/>
          <w:szCs w:val="28"/>
          <w:rtl/>
          <w14:ligatures w14:val="standardContextual"/>
        </w:rPr>
        <w:t xml:space="preserve"> تجربة المريض:</w:t>
      </w:r>
    </w:p>
    <w:p w14:paraId="2005ACD9" w14:textId="77777777" w:rsidR="001F5AC5" w:rsidRPr="00362D29" w:rsidRDefault="001F5AC5"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لا يقتصر قياس تجربة المريض على مجرد جمع البيانات، بل يمثل أداة حيوية لعدة أسباب جوهرية (</w:t>
      </w:r>
      <w:r w:rsidRPr="00362D29">
        <w:rPr>
          <w:rFonts w:ascii="Traditional Arabic" w:eastAsia="Aptos" w:hAnsi="Traditional Arabic" w:cs="Traditional Arabic"/>
          <w:kern w:val="2"/>
          <w:sz w:val="24"/>
          <w:szCs w:val="24"/>
          <w14:ligatures w14:val="standardContextual"/>
        </w:rPr>
        <w:t>The Beryl Institute, 2023</w:t>
      </w:r>
      <w:r w:rsidRPr="00362D29">
        <w:rPr>
          <w:rFonts w:ascii="Traditional Arabic" w:eastAsia="Aptos" w:hAnsi="Traditional Arabic" w:cs="Traditional Arabic"/>
          <w:kern w:val="2"/>
          <w:sz w:val="24"/>
          <w:szCs w:val="24"/>
          <w:rtl/>
          <w14:ligatures w14:val="standardContextual"/>
        </w:rPr>
        <w:t>):</w:t>
      </w:r>
    </w:p>
    <w:p w14:paraId="14C4C6E5" w14:textId="77777777" w:rsidR="001F5AC5" w:rsidRPr="00362D29" w:rsidRDefault="001F5AC5"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1</w:t>
      </w:r>
      <w:r w:rsidRPr="00362D29">
        <w:rPr>
          <w:rFonts w:ascii="Traditional Arabic" w:eastAsia="Aptos" w:hAnsi="Traditional Arabic" w:cs="Traditional Arabic"/>
          <w:b/>
          <w:bCs/>
          <w:kern w:val="2"/>
          <w:sz w:val="24"/>
          <w:szCs w:val="24"/>
          <w:rtl/>
          <w14:ligatures w14:val="standardContextual"/>
        </w:rPr>
        <w:t>.تحسين الجودة:</w:t>
      </w:r>
      <w:r w:rsidRPr="00362D29">
        <w:rPr>
          <w:rFonts w:ascii="Traditional Arabic" w:eastAsia="Aptos" w:hAnsi="Traditional Arabic" w:cs="Traditional Arabic"/>
          <w:kern w:val="2"/>
          <w:sz w:val="24"/>
          <w:szCs w:val="24"/>
          <w:rtl/>
          <w14:ligatures w14:val="standardContextual"/>
        </w:rPr>
        <w:t xml:space="preserve"> يوفر القياس المنتظم لتجربة المريض رؤى قيمة حول نقاط القوة والضعف في تقديم الرعاية، مما يمكن المؤسسات من تحديد مجالات التحسين المستمر وتطوير استراتيجيات فعالة لرفع مستوى الجودة (</w:t>
      </w:r>
      <w:r w:rsidRPr="00362D29">
        <w:rPr>
          <w:rFonts w:ascii="Traditional Arabic" w:eastAsia="Aptos" w:hAnsi="Traditional Arabic" w:cs="Traditional Arabic"/>
          <w:kern w:val="2"/>
          <w:sz w:val="24"/>
          <w:szCs w:val="24"/>
          <w14:ligatures w14:val="standardContextual"/>
        </w:rPr>
        <w:t>Zehra et al., 2025</w:t>
      </w:r>
      <w:r w:rsidRPr="00362D29">
        <w:rPr>
          <w:rFonts w:ascii="Traditional Arabic" w:eastAsia="Aptos" w:hAnsi="Traditional Arabic" w:cs="Traditional Arabic"/>
          <w:kern w:val="2"/>
          <w:sz w:val="24"/>
          <w:szCs w:val="24"/>
          <w:rtl/>
          <w14:ligatures w14:val="standardContextual"/>
        </w:rPr>
        <w:t>).</w:t>
      </w:r>
    </w:p>
    <w:p w14:paraId="5C0EEC4C" w14:textId="77777777" w:rsidR="001F5AC5" w:rsidRPr="00362D29" w:rsidRDefault="001F5AC5"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2.تعزيز رضا المرضى وولائهم:</w:t>
      </w:r>
      <w:r w:rsidRPr="00362D29">
        <w:rPr>
          <w:rFonts w:ascii="Traditional Arabic" w:eastAsia="Aptos" w:hAnsi="Traditional Arabic" w:cs="Traditional Arabic"/>
          <w:kern w:val="2"/>
          <w:sz w:val="24"/>
          <w:szCs w:val="24"/>
          <w:rtl/>
          <w14:ligatures w14:val="standardContextual"/>
        </w:rPr>
        <w:t xml:space="preserve"> من خلال فهم ما يقدره المرضى وما يؤثر في تجربتهم، يمكن للمؤسسات الصحية تصميم خدمات تلبي توقعاتهم، مما يؤدي إلى زيادة رضاهم وولائهم، وبالتالي تعزيز سمعة المؤسسة (</w:t>
      </w:r>
      <w:r w:rsidRPr="00362D29">
        <w:rPr>
          <w:rFonts w:ascii="Traditional Arabic" w:eastAsia="Aptos" w:hAnsi="Traditional Arabic" w:cs="Traditional Arabic"/>
          <w:kern w:val="2"/>
          <w:sz w:val="24"/>
          <w:szCs w:val="24"/>
          <w14:ligatures w14:val="standardContextual"/>
        </w:rPr>
        <w:t>Kamal, 2023</w:t>
      </w:r>
      <w:r w:rsidRPr="00362D29">
        <w:rPr>
          <w:rFonts w:ascii="Traditional Arabic" w:eastAsia="Aptos" w:hAnsi="Traditional Arabic" w:cs="Traditional Arabic"/>
          <w:kern w:val="2"/>
          <w:sz w:val="24"/>
          <w:szCs w:val="24"/>
          <w:rtl/>
          <w14:ligatures w14:val="standardContextual"/>
        </w:rPr>
        <w:t>).</w:t>
      </w:r>
    </w:p>
    <w:p w14:paraId="30FD0329" w14:textId="1ABF3FFD" w:rsidR="00F879B0" w:rsidRPr="00362D29" w:rsidRDefault="001F5AC5"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3.دعم اتخاذ القرار:</w:t>
      </w:r>
      <w:r w:rsidRPr="00362D29">
        <w:rPr>
          <w:rFonts w:ascii="Traditional Arabic" w:eastAsia="Aptos" w:hAnsi="Traditional Arabic" w:cs="Traditional Arabic"/>
          <w:kern w:val="2"/>
          <w:sz w:val="24"/>
          <w:szCs w:val="24"/>
          <w:rtl/>
          <w14:ligatures w14:val="standardContextual"/>
        </w:rPr>
        <w:t xml:space="preserve"> توفر بيانات تجربة المريض أدلة قوية للقيادات الصحية لاتخاذ قرارات مستنيرة بشأن تخصيص الموارد، وتطوير البرامج، وتدريب الكوادر البشرية، بما يتماشى مع أولويات المرضى </w:t>
      </w:r>
      <w:r w:rsidR="00F879B0" w:rsidRPr="00362D29">
        <w:rPr>
          <w:rFonts w:ascii="Traditional Arabic" w:eastAsia="Aptos" w:hAnsi="Traditional Arabic" w:cs="Traditional Arabic"/>
          <w:kern w:val="2"/>
          <w:sz w:val="24"/>
          <w:szCs w:val="24"/>
          <w:rtl/>
          <w14:ligatures w14:val="standardContextual"/>
        </w:rPr>
        <w:t>(</w:t>
      </w:r>
      <w:r w:rsidR="00F879B0" w:rsidRPr="00362D29">
        <w:rPr>
          <w:rFonts w:ascii="Traditional Arabic" w:eastAsia="Aptos" w:hAnsi="Traditional Arabic" w:cs="Traditional Arabic"/>
          <w:kern w:val="2"/>
          <w:sz w:val="24"/>
          <w:szCs w:val="24"/>
          <w14:ligatures w14:val="standardContextual"/>
        </w:rPr>
        <w:t>Health Academy, 2022</w:t>
      </w:r>
      <w:r w:rsidR="00F879B0" w:rsidRPr="00362D29">
        <w:rPr>
          <w:rFonts w:ascii="Traditional Arabic" w:eastAsia="Aptos" w:hAnsi="Traditional Arabic" w:cs="Traditional Arabic"/>
          <w:kern w:val="2"/>
          <w:sz w:val="24"/>
          <w:szCs w:val="24"/>
          <w:rtl/>
          <w14:ligatures w14:val="standardContextual"/>
        </w:rPr>
        <w:t>).</w:t>
      </w:r>
    </w:p>
    <w:p w14:paraId="6DED2B6D" w14:textId="0457A261" w:rsidR="001F5AC5" w:rsidRPr="00362D29" w:rsidRDefault="001F5AC5"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4.تحقيق الأهداف الاستراتيجية: </w:t>
      </w:r>
      <w:r w:rsidRPr="00362D29">
        <w:rPr>
          <w:rFonts w:ascii="Traditional Arabic" w:eastAsia="Aptos" w:hAnsi="Traditional Arabic" w:cs="Traditional Arabic"/>
          <w:kern w:val="2"/>
          <w:sz w:val="24"/>
          <w:szCs w:val="24"/>
          <w:rtl/>
          <w14:ligatures w14:val="standardContextual"/>
        </w:rPr>
        <w:t>يساهم قياس تجربة المريض بشكل مباشر في تحقيق أهداف أوسع مثل "الهدف الثلاثي" (</w:t>
      </w:r>
      <w:r w:rsidRPr="00362D29">
        <w:rPr>
          <w:rFonts w:ascii="Traditional Arabic" w:eastAsia="Aptos" w:hAnsi="Traditional Arabic" w:cs="Traditional Arabic"/>
          <w:kern w:val="2"/>
          <w:sz w:val="24"/>
          <w:szCs w:val="24"/>
          <w14:ligatures w14:val="standardContextual"/>
        </w:rPr>
        <w:t>Triple Aim</w:t>
      </w:r>
      <w:r w:rsidRPr="00362D29">
        <w:rPr>
          <w:rFonts w:ascii="Traditional Arabic" w:eastAsia="Aptos" w:hAnsi="Traditional Arabic" w:cs="Traditional Arabic"/>
          <w:kern w:val="2"/>
          <w:sz w:val="24"/>
          <w:szCs w:val="24"/>
          <w:rtl/>
          <w14:ligatures w14:val="standardContextual"/>
        </w:rPr>
        <w:t>) الذي يركز على تحسين صحة السكان، وخفض التكاليف، وتحسين تجربة الرعاية (</w:t>
      </w:r>
      <w:r w:rsidRPr="00362D29">
        <w:rPr>
          <w:rFonts w:ascii="Traditional Arabic" w:eastAsia="Aptos" w:hAnsi="Traditional Arabic" w:cs="Traditional Arabic"/>
          <w:kern w:val="2"/>
          <w:sz w:val="24"/>
          <w:szCs w:val="24"/>
          <w14:ligatures w14:val="standardContextual"/>
        </w:rPr>
        <w:t>IHI, 2024</w:t>
      </w:r>
      <w:r w:rsidRPr="00362D29">
        <w:rPr>
          <w:rFonts w:ascii="Traditional Arabic" w:eastAsia="Aptos" w:hAnsi="Traditional Arabic" w:cs="Traditional Arabic"/>
          <w:kern w:val="2"/>
          <w:sz w:val="24"/>
          <w:szCs w:val="24"/>
          <w:rtl/>
          <w14:ligatures w14:val="standardContextual"/>
        </w:rPr>
        <w:t>).</w:t>
      </w:r>
    </w:p>
    <w:p w14:paraId="3EA7EFB5" w14:textId="35915976" w:rsidR="001F5AC5" w:rsidRPr="00362D29" w:rsidRDefault="001F5AC5"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5.المساءلة والشفافية: </w:t>
      </w:r>
      <w:r w:rsidRPr="00362D29">
        <w:rPr>
          <w:rFonts w:ascii="Traditional Arabic" w:eastAsia="Aptos" w:hAnsi="Traditional Arabic" w:cs="Traditional Arabic"/>
          <w:kern w:val="2"/>
          <w:sz w:val="24"/>
          <w:szCs w:val="24"/>
          <w:rtl/>
          <w14:ligatures w14:val="standardContextual"/>
        </w:rPr>
        <w:t>تتيح المقاييس الموحدة لتجربة المريض إمكانية مقارنة الأداء بين المؤسسات المختلفة، مما يعزز الشفافية والمساءلة، ويدفع نحو التنافس الإيجابي لتحقيق أفضل النتائج (</w:t>
      </w:r>
      <w:r w:rsidRPr="00362D29">
        <w:rPr>
          <w:rFonts w:ascii="Traditional Arabic" w:eastAsia="Aptos" w:hAnsi="Traditional Arabic" w:cs="Traditional Arabic"/>
          <w:kern w:val="2"/>
          <w:sz w:val="24"/>
          <w:szCs w:val="24"/>
          <w14:ligatures w14:val="standardContextual"/>
        </w:rPr>
        <w:t>AHRQ, 20</w:t>
      </w:r>
      <w:r w:rsidR="000E682F" w:rsidRPr="00362D29">
        <w:rPr>
          <w:rFonts w:ascii="Traditional Arabic" w:eastAsia="Aptos" w:hAnsi="Traditional Arabic" w:cs="Traditional Arabic"/>
          <w:kern w:val="2"/>
          <w:sz w:val="24"/>
          <w:szCs w:val="24"/>
          <w14:ligatures w14:val="standardContextual"/>
        </w:rPr>
        <w:t>25</w:t>
      </w:r>
      <w:r w:rsidRPr="00362D29">
        <w:rPr>
          <w:rFonts w:ascii="Traditional Arabic" w:eastAsia="Aptos" w:hAnsi="Traditional Arabic" w:cs="Traditional Arabic"/>
          <w:kern w:val="2"/>
          <w:sz w:val="24"/>
          <w:szCs w:val="24"/>
          <w:rtl/>
          <w14:ligatures w14:val="standardContextual"/>
        </w:rPr>
        <w:t>).</w:t>
      </w:r>
    </w:p>
    <w:p w14:paraId="2807A6D8" w14:textId="77777777" w:rsidR="008613ED" w:rsidRPr="00362D29" w:rsidRDefault="008613ED"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p>
    <w:p w14:paraId="4BA3B703" w14:textId="54B28A64" w:rsidR="001F5AC5" w:rsidRPr="00362D29" w:rsidRDefault="00861C35" w:rsidP="00362D29">
      <w:pPr>
        <w:pStyle w:val="ab"/>
        <w:numPr>
          <w:ilvl w:val="0"/>
          <w:numId w:val="66"/>
        </w:numPr>
        <w:bidi/>
        <w:spacing w:before="0" w:after="160" w:line="360" w:lineRule="auto"/>
        <w:jc w:val="both"/>
        <w:rPr>
          <w:rFonts w:ascii="Traditional Arabic" w:eastAsia="Aptos" w:hAnsi="Traditional Arabic" w:cs="Traditional Arabic"/>
          <w:b/>
          <w:bCs/>
          <w:kern w:val="2"/>
          <w:sz w:val="28"/>
          <w:szCs w:val="28"/>
          <w:rtl/>
          <w14:ligatures w14:val="standardContextual"/>
        </w:rPr>
      </w:pPr>
      <w:r w:rsidRPr="00362D29">
        <w:rPr>
          <w:rFonts w:ascii="Traditional Arabic" w:eastAsia="Aptos" w:hAnsi="Traditional Arabic" w:cs="Traditional Arabic"/>
          <w:b/>
          <w:bCs/>
          <w:kern w:val="2"/>
          <w:sz w:val="28"/>
          <w:szCs w:val="28"/>
          <w:rtl/>
          <w14:ligatures w14:val="standardContextual"/>
        </w:rPr>
        <w:lastRenderedPageBreak/>
        <w:t>مقاييس تجربة المريض</w:t>
      </w:r>
    </w:p>
    <w:p w14:paraId="62B0DA22" w14:textId="0B713A26" w:rsidR="001F5AC5" w:rsidRPr="00362D29" w:rsidRDefault="001F5AC5"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عند قياس تجربة المريض، لا ينصب التركيز على الرضا العام فحسب، بل يتجاوزه إلى تقييم الأبعاد النوعية التي تشكل هذه التجربة. وتتضمن هذه الأبعاد مجموعة واسعة من التفاعلات والعوامل التي تؤثر في تصور المريض للرعاية، مثل جودة التواصل مع الأطباء والممرضين، وسهولة الوصول إلى الخدمات، واحترام الموظفين، وتوفير المعلومات الكافية، والبيئة المادية للمنشأة، والدعم العاطفي، ومشاركة المريض في اتخاذ القرارات المتعلقة برعايته </w:t>
      </w:r>
      <w:r w:rsidR="00EC2B31" w:rsidRPr="00362D29">
        <w:rPr>
          <w:rFonts w:ascii="Traditional Arabic" w:eastAsia="Aptos" w:hAnsi="Traditional Arabic" w:cs="Traditional Arabic"/>
          <w:kern w:val="2"/>
          <w:sz w:val="24"/>
          <w:szCs w:val="24"/>
          <w:rtl/>
          <w14:ligatures w14:val="standardContextual"/>
        </w:rPr>
        <w:t>(</w:t>
      </w:r>
      <w:r w:rsidR="00EC2B31" w:rsidRPr="00362D29">
        <w:rPr>
          <w:rFonts w:ascii="Traditional Arabic" w:eastAsia="Aptos" w:hAnsi="Traditional Arabic" w:cs="Traditional Arabic"/>
          <w:kern w:val="2"/>
          <w:sz w:val="24"/>
          <w:szCs w:val="24"/>
          <w14:ligatures w14:val="standardContextual"/>
        </w:rPr>
        <w:t>Health Academy, 2022</w:t>
      </w:r>
      <w:r w:rsidRPr="00362D29">
        <w:rPr>
          <w:rFonts w:ascii="Traditional Arabic" w:eastAsia="Aptos" w:hAnsi="Traditional Arabic" w:cs="Traditional Arabic"/>
          <w:kern w:val="2"/>
          <w:sz w:val="24"/>
          <w:szCs w:val="24"/>
          <w:rtl/>
          <w14:ligatures w14:val="standardContextual"/>
        </w:rPr>
        <w:t xml:space="preserve">؛ </w:t>
      </w:r>
      <w:r w:rsidRPr="00362D29">
        <w:rPr>
          <w:rFonts w:ascii="Traditional Arabic" w:eastAsia="Aptos" w:hAnsi="Traditional Arabic" w:cs="Traditional Arabic"/>
          <w:kern w:val="2"/>
          <w:sz w:val="24"/>
          <w:szCs w:val="24"/>
          <w14:ligatures w14:val="standardContextual"/>
        </w:rPr>
        <w:t>Adams et al., 2025</w:t>
      </w:r>
      <w:r w:rsidRPr="00362D29">
        <w:rPr>
          <w:rFonts w:ascii="Traditional Arabic" w:eastAsia="Aptos" w:hAnsi="Traditional Arabic" w:cs="Traditional Arabic"/>
          <w:kern w:val="2"/>
          <w:sz w:val="24"/>
          <w:szCs w:val="24"/>
          <w:rtl/>
          <w14:ligatures w14:val="standardContextual"/>
        </w:rPr>
        <w:t>).</w:t>
      </w:r>
    </w:p>
    <w:p w14:paraId="5C8F2E0D" w14:textId="29A12342" w:rsidR="009723ED" w:rsidRPr="00362D29" w:rsidRDefault="009723ED" w:rsidP="00362D29">
      <w:pPr>
        <w:bidi/>
        <w:spacing w:before="0" w:after="160" w:line="360" w:lineRule="auto"/>
        <w:jc w:val="both"/>
        <w:rPr>
          <w:rFonts w:ascii="Traditional Arabic" w:eastAsia="Aptos" w:hAnsi="Traditional Arabic" w:cs="Traditional Arabic"/>
          <w:kern w:val="2"/>
          <w:sz w:val="24"/>
          <w:szCs w:val="24"/>
          <w14:ligatures w14:val="standardContextual"/>
        </w:rPr>
      </w:pPr>
      <w:r w:rsidRPr="00362D29">
        <w:rPr>
          <w:rFonts w:ascii="Traditional Arabic" w:eastAsia="Aptos" w:hAnsi="Traditional Arabic" w:cs="Traditional Arabic"/>
          <w:kern w:val="2"/>
          <w:sz w:val="24"/>
          <w:szCs w:val="24"/>
          <w:rtl/>
          <w14:ligatures w14:val="standardContextual"/>
        </w:rPr>
        <w:t xml:space="preserve">ولتحقيق قياس دقيق وفعال لهذه الابعاد ، تعتمد المؤسسات الصحية الرائدة على </w:t>
      </w:r>
      <w:r w:rsidRPr="00362D29">
        <w:rPr>
          <w:rFonts w:ascii="Traditional Arabic" w:eastAsia="Aptos" w:hAnsi="Traditional Arabic" w:cs="Traditional Arabic"/>
          <w:b/>
          <w:bCs/>
          <w:kern w:val="2"/>
          <w:sz w:val="24"/>
          <w:szCs w:val="24"/>
          <w:rtl/>
          <w14:ligatures w14:val="standardContextual"/>
        </w:rPr>
        <w:t xml:space="preserve">خمسة </w:t>
      </w:r>
      <w:r w:rsidR="00255A57" w:rsidRPr="00362D29">
        <w:rPr>
          <w:rFonts w:ascii="Traditional Arabic" w:eastAsia="Aptos" w:hAnsi="Traditional Arabic" w:cs="Traditional Arabic"/>
          <w:b/>
          <w:bCs/>
          <w:kern w:val="2"/>
          <w:sz w:val="24"/>
          <w:szCs w:val="24"/>
          <w:rtl/>
          <w14:ligatures w14:val="standardContextual"/>
        </w:rPr>
        <w:t>مقاييس</w:t>
      </w:r>
      <w:r w:rsidRPr="00362D29">
        <w:rPr>
          <w:rFonts w:ascii="Traditional Arabic" w:eastAsia="Aptos" w:hAnsi="Traditional Arabic" w:cs="Traditional Arabic"/>
          <w:b/>
          <w:bCs/>
          <w:kern w:val="2"/>
          <w:sz w:val="24"/>
          <w:szCs w:val="24"/>
          <w:rtl/>
          <w14:ligatures w14:val="standardContextual"/>
        </w:rPr>
        <w:t xml:space="preserve"> رئيسية</w:t>
      </w:r>
      <w:r w:rsidRPr="00362D29">
        <w:rPr>
          <w:rFonts w:ascii="Traditional Arabic" w:eastAsia="Aptos" w:hAnsi="Traditional Arabic" w:cs="Traditional Arabic"/>
          <w:kern w:val="2"/>
          <w:sz w:val="24"/>
          <w:szCs w:val="24"/>
          <w:rtl/>
          <w14:ligatures w14:val="standardContextual"/>
        </w:rPr>
        <w:t xml:space="preserve"> (</w:t>
      </w:r>
      <w:r w:rsidRPr="00362D29">
        <w:rPr>
          <w:rFonts w:ascii="Traditional Arabic" w:eastAsia="Aptos" w:hAnsi="Traditional Arabic" w:cs="Traditional Arabic"/>
          <w:kern w:val="2"/>
          <w:sz w:val="24"/>
          <w:szCs w:val="24"/>
          <w14:ligatures w14:val="standardContextual"/>
        </w:rPr>
        <w:t>Key Metrics</w:t>
      </w:r>
      <w:r w:rsidRPr="00362D29">
        <w:rPr>
          <w:rFonts w:ascii="Traditional Arabic" w:eastAsia="Aptos" w:hAnsi="Traditional Arabic" w:cs="Traditional Arabic"/>
          <w:kern w:val="2"/>
          <w:sz w:val="24"/>
          <w:szCs w:val="24"/>
          <w:rtl/>
          <w14:ligatures w14:val="standardContextual"/>
        </w:rPr>
        <w:t>) تساهم في تقديم صورة متكاملة عن جودة التجربة (</w:t>
      </w:r>
      <w:r w:rsidRPr="00362D29">
        <w:rPr>
          <w:rFonts w:ascii="Traditional Arabic" w:eastAsia="Aptos" w:hAnsi="Traditional Arabic" w:cs="Traditional Arabic"/>
          <w:kern w:val="2"/>
          <w:sz w:val="24"/>
          <w:szCs w:val="24"/>
          <w14:ligatures w14:val="standardContextual"/>
        </w:rPr>
        <w:t>Relias, 2025</w:t>
      </w:r>
      <w:r w:rsidRPr="00362D29">
        <w:rPr>
          <w:rFonts w:ascii="Traditional Arabic" w:eastAsia="Aptos" w:hAnsi="Traditional Arabic" w:cs="Traditional Arabic"/>
          <w:kern w:val="2"/>
          <w:sz w:val="24"/>
          <w:szCs w:val="24"/>
          <w:rtl/>
          <w14:ligatures w14:val="standardContextual"/>
        </w:rPr>
        <w:t>):</w:t>
      </w:r>
    </w:p>
    <w:p w14:paraId="7BE6913F" w14:textId="77777777" w:rsidR="009723ED" w:rsidRPr="00362D29" w:rsidRDefault="009723ED"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1.صافي نقاط الترويج (</w:t>
      </w:r>
      <w:r w:rsidRPr="00362D29">
        <w:rPr>
          <w:rFonts w:ascii="Traditional Arabic" w:eastAsia="Aptos" w:hAnsi="Traditional Arabic" w:cs="Traditional Arabic"/>
          <w:b/>
          <w:bCs/>
          <w:kern w:val="2"/>
          <w:sz w:val="24"/>
          <w:szCs w:val="24"/>
          <w14:ligatures w14:val="standardContextual"/>
        </w:rPr>
        <w:t>Net Promoter Score - NPS</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يقيس مدى احتمالية توصية المريض بالمنشأة الصحية للآخرين على مقياس من (0-10). يُعد هذا المؤشر مقياساً جوهرياً للولاء المؤسسي، حيث تشير الدرجات المرتفعة إلى ثقة المريض وتجربته الإيجابية العميقة (</w:t>
      </w:r>
      <w:r w:rsidRPr="00362D29">
        <w:rPr>
          <w:rFonts w:ascii="Traditional Arabic" w:eastAsia="Aptos" w:hAnsi="Traditional Arabic" w:cs="Traditional Arabic"/>
          <w:kern w:val="2"/>
          <w:sz w:val="24"/>
          <w:szCs w:val="24"/>
          <w14:ligatures w14:val="standardContextual"/>
        </w:rPr>
        <w:t>Relias, 2025</w:t>
      </w:r>
      <w:r w:rsidRPr="00362D29">
        <w:rPr>
          <w:rFonts w:ascii="Traditional Arabic" w:eastAsia="Aptos" w:hAnsi="Traditional Arabic" w:cs="Traditional Arabic"/>
          <w:kern w:val="2"/>
          <w:sz w:val="24"/>
          <w:szCs w:val="24"/>
          <w:rtl/>
          <w14:ligatures w14:val="standardContextual"/>
        </w:rPr>
        <w:t xml:space="preserve">؛ </w:t>
      </w:r>
      <w:r w:rsidRPr="00362D29">
        <w:rPr>
          <w:rFonts w:ascii="Traditional Arabic" w:eastAsia="Aptos" w:hAnsi="Traditional Arabic" w:cs="Traditional Arabic"/>
          <w:kern w:val="2"/>
          <w:sz w:val="24"/>
          <w:szCs w:val="24"/>
          <w14:ligatures w14:val="standardContextual"/>
        </w:rPr>
        <w:t>Zehra et al., 2025</w:t>
      </w:r>
      <w:r w:rsidRPr="00362D29">
        <w:rPr>
          <w:rFonts w:ascii="Traditional Arabic" w:eastAsia="Aptos" w:hAnsi="Traditional Arabic" w:cs="Traditional Arabic"/>
          <w:kern w:val="2"/>
          <w:sz w:val="24"/>
          <w:szCs w:val="24"/>
          <w:rtl/>
          <w14:ligatures w14:val="standardContextual"/>
        </w:rPr>
        <w:t>).</w:t>
      </w:r>
    </w:p>
    <w:p w14:paraId="575F06A3" w14:textId="53B0D13B" w:rsidR="009723ED" w:rsidRPr="00362D29" w:rsidRDefault="009723ED"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2.معدل الاستجابة (</w:t>
      </w:r>
      <w:r w:rsidRPr="00362D29">
        <w:rPr>
          <w:rFonts w:ascii="Traditional Arabic" w:eastAsia="Aptos" w:hAnsi="Traditional Arabic" w:cs="Traditional Arabic"/>
          <w:b/>
          <w:bCs/>
          <w:kern w:val="2"/>
          <w:sz w:val="24"/>
          <w:szCs w:val="24"/>
          <w14:ligatures w14:val="standardContextual"/>
        </w:rPr>
        <w:t>Response Rate</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يتتبع النسبة المئوية للمرضى الذين أكملوا الاستبيانات من إجمالي المدعوين. يعكس هذا المؤشر مدى فاعلية استراتيجيات إشراك المريض، حيث يضمن المعدل المرتفع تمثيلاً حقيقياً لكافة فئات المرضى ويقلل من انحياز البيانات (</w:t>
      </w:r>
      <w:r w:rsidRPr="00362D29">
        <w:rPr>
          <w:rFonts w:ascii="Traditional Arabic" w:eastAsia="Aptos" w:hAnsi="Traditional Arabic" w:cs="Traditional Arabic"/>
          <w:kern w:val="2"/>
          <w:sz w:val="24"/>
          <w:szCs w:val="24"/>
          <w14:ligatures w14:val="standardContextual"/>
        </w:rPr>
        <w:t>Relias, 2025</w:t>
      </w:r>
      <w:r w:rsidRPr="00362D29">
        <w:rPr>
          <w:rFonts w:ascii="Traditional Arabic" w:eastAsia="Aptos" w:hAnsi="Traditional Arabic" w:cs="Traditional Arabic"/>
          <w:kern w:val="2"/>
          <w:sz w:val="24"/>
          <w:szCs w:val="24"/>
          <w:rtl/>
          <w14:ligatures w14:val="standardContextual"/>
        </w:rPr>
        <w:t xml:space="preserve">؛ </w:t>
      </w:r>
      <w:r w:rsidR="009578F1" w:rsidRPr="00362D29">
        <w:rPr>
          <w:rFonts w:ascii="Traditional Arabic" w:eastAsia="Aptos" w:hAnsi="Traditional Arabic" w:cs="Traditional Arabic"/>
          <w:kern w:val="2"/>
          <w:sz w:val="24"/>
          <w:szCs w:val="24"/>
          <w14:ligatures w14:val="standardContextual"/>
        </w:rPr>
        <w:t>Health Academy, 2022</w:t>
      </w:r>
      <w:r w:rsidRPr="00362D29">
        <w:rPr>
          <w:rFonts w:ascii="Traditional Arabic" w:eastAsia="Aptos" w:hAnsi="Traditional Arabic" w:cs="Traditional Arabic"/>
          <w:kern w:val="2"/>
          <w:sz w:val="24"/>
          <w:szCs w:val="24"/>
          <w:rtl/>
          <w14:ligatures w14:val="standardContextual"/>
        </w:rPr>
        <w:t>).</w:t>
      </w:r>
    </w:p>
    <w:p w14:paraId="738E72A7" w14:textId="77777777" w:rsidR="009723ED" w:rsidRPr="00362D29" w:rsidRDefault="009723ED"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3.درجة الرضا العام (</w:t>
      </w:r>
      <w:r w:rsidRPr="00362D29">
        <w:rPr>
          <w:rFonts w:ascii="Traditional Arabic" w:eastAsia="Aptos" w:hAnsi="Traditional Arabic" w:cs="Traditional Arabic"/>
          <w:b/>
          <w:bCs/>
          <w:kern w:val="2"/>
          <w:sz w:val="24"/>
          <w:szCs w:val="24"/>
          <w14:ligatures w14:val="standardContextual"/>
        </w:rPr>
        <w:t>Overall Satisfaction Score</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تقييم مباشر وشامل لتصور المريض العام عن جودة الرعاية التي تلقاها. يعمل هذا المؤشر كبارومتر سريع لتحديد الأقسام أو المواقع التي تحتاج إلى تدخلات تحسينية فورية (</w:t>
      </w:r>
      <w:r w:rsidRPr="00362D29">
        <w:rPr>
          <w:rFonts w:ascii="Traditional Arabic" w:eastAsia="Aptos" w:hAnsi="Traditional Arabic" w:cs="Traditional Arabic"/>
          <w:kern w:val="2"/>
          <w:sz w:val="24"/>
          <w:szCs w:val="24"/>
          <w14:ligatures w14:val="standardContextual"/>
        </w:rPr>
        <w:t>Relias, 2025</w:t>
      </w:r>
      <w:r w:rsidRPr="00362D29">
        <w:rPr>
          <w:rFonts w:ascii="Traditional Arabic" w:eastAsia="Aptos" w:hAnsi="Traditional Arabic" w:cs="Traditional Arabic"/>
          <w:kern w:val="2"/>
          <w:sz w:val="24"/>
          <w:szCs w:val="24"/>
          <w:rtl/>
          <w14:ligatures w14:val="standardContextual"/>
        </w:rPr>
        <w:t xml:space="preserve">؛ </w:t>
      </w:r>
      <w:r w:rsidRPr="00362D29">
        <w:rPr>
          <w:rFonts w:ascii="Traditional Arabic" w:eastAsia="Aptos" w:hAnsi="Traditional Arabic" w:cs="Traditional Arabic"/>
          <w:kern w:val="2"/>
          <w:sz w:val="24"/>
          <w:szCs w:val="24"/>
          <w14:ligatures w14:val="standardContextual"/>
        </w:rPr>
        <w:t>Kamal, 2023</w:t>
      </w:r>
      <w:r w:rsidRPr="00362D29">
        <w:rPr>
          <w:rFonts w:ascii="Traditional Arabic" w:eastAsia="Aptos" w:hAnsi="Traditional Arabic" w:cs="Traditional Arabic"/>
          <w:kern w:val="2"/>
          <w:sz w:val="24"/>
          <w:szCs w:val="24"/>
          <w:rtl/>
          <w14:ligatures w14:val="standardContextual"/>
        </w:rPr>
        <w:t>).</w:t>
      </w:r>
    </w:p>
    <w:p w14:paraId="3AD16FE6" w14:textId="77777777" w:rsidR="009723ED" w:rsidRPr="00362D29" w:rsidRDefault="009723ED"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4.تجربة التفاعل مع مقدم الخدمة (</w:t>
      </w:r>
      <w:r w:rsidRPr="00362D29">
        <w:rPr>
          <w:rFonts w:ascii="Traditional Arabic" w:eastAsia="Aptos" w:hAnsi="Traditional Arabic" w:cs="Traditional Arabic"/>
          <w:b/>
          <w:bCs/>
          <w:kern w:val="2"/>
          <w:sz w:val="24"/>
          <w:szCs w:val="24"/>
          <w14:ligatures w14:val="standardContextual"/>
        </w:rPr>
        <w:t>Experience with Provider</w:t>
      </w:r>
      <w:r w:rsidRPr="00362D29">
        <w:rPr>
          <w:rFonts w:ascii="Traditional Arabic" w:eastAsia="Aptos" w:hAnsi="Traditional Arabic" w:cs="Traditional Arabic"/>
          <w:b/>
          <w:bCs/>
          <w:kern w:val="2"/>
          <w:sz w:val="24"/>
          <w:szCs w:val="24"/>
          <w:rtl/>
          <w14:ligatures w14:val="standardContextual"/>
        </w:rPr>
        <w:t xml:space="preserve">): </w:t>
      </w:r>
      <w:r w:rsidRPr="00362D29">
        <w:rPr>
          <w:rFonts w:ascii="Traditional Arabic" w:eastAsia="Aptos" w:hAnsi="Traditional Arabic" w:cs="Traditional Arabic"/>
          <w:kern w:val="2"/>
          <w:sz w:val="24"/>
          <w:szCs w:val="24"/>
          <w:rtl/>
          <w14:ligatures w14:val="standardContextual"/>
        </w:rPr>
        <w:t>يركز بشكل خاص على جودة التواصل، والتعاطف، والمهنية التي أظهرها الفريق الطبي. يُعد هذا المؤشر حاسماً لبناء الثقة وتعزيز التزام المريض بالخطة العلاجية (</w:t>
      </w:r>
      <w:r w:rsidRPr="00362D29">
        <w:rPr>
          <w:rFonts w:ascii="Traditional Arabic" w:eastAsia="Aptos" w:hAnsi="Traditional Arabic" w:cs="Traditional Arabic"/>
          <w:kern w:val="2"/>
          <w:sz w:val="24"/>
          <w:szCs w:val="24"/>
          <w14:ligatures w14:val="standardContextual"/>
        </w:rPr>
        <w:t>Relias, 2025</w:t>
      </w:r>
      <w:r w:rsidRPr="00362D29">
        <w:rPr>
          <w:rFonts w:ascii="Traditional Arabic" w:eastAsia="Aptos" w:hAnsi="Traditional Arabic" w:cs="Traditional Arabic"/>
          <w:kern w:val="2"/>
          <w:sz w:val="24"/>
          <w:szCs w:val="24"/>
          <w:rtl/>
          <w14:ligatures w14:val="standardContextual"/>
        </w:rPr>
        <w:t xml:space="preserve">؛ </w:t>
      </w:r>
      <w:r w:rsidRPr="00362D29">
        <w:rPr>
          <w:rFonts w:ascii="Traditional Arabic" w:eastAsia="Aptos" w:hAnsi="Traditional Arabic" w:cs="Traditional Arabic"/>
          <w:kern w:val="2"/>
          <w:sz w:val="24"/>
          <w:szCs w:val="24"/>
          <w14:ligatures w14:val="standardContextual"/>
        </w:rPr>
        <w:t>Adams et al., 2025</w:t>
      </w:r>
      <w:r w:rsidRPr="00362D29">
        <w:rPr>
          <w:rFonts w:ascii="Traditional Arabic" w:eastAsia="Aptos" w:hAnsi="Traditional Arabic" w:cs="Traditional Arabic"/>
          <w:kern w:val="2"/>
          <w:sz w:val="24"/>
          <w:szCs w:val="24"/>
          <w:rtl/>
          <w14:ligatures w14:val="standardContextual"/>
        </w:rPr>
        <w:t>).</w:t>
      </w:r>
    </w:p>
    <w:p w14:paraId="0FBE8E85" w14:textId="77777777" w:rsidR="009723ED" w:rsidRPr="00362D29" w:rsidRDefault="009723ED"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5.المؤشرات التشغيلية المتغيرة (</w:t>
      </w:r>
      <w:r w:rsidRPr="00362D29">
        <w:rPr>
          <w:rFonts w:ascii="Traditional Arabic" w:eastAsia="Aptos" w:hAnsi="Traditional Arabic" w:cs="Traditional Arabic"/>
          <w:b/>
          <w:bCs/>
          <w:kern w:val="2"/>
          <w:sz w:val="24"/>
          <w:szCs w:val="24"/>
          <w14:ligatures w14:val="standardContextual"/>
        </w:rPr>
        <w:t>Rotating Initiative Questions</w:t>
      </w:r>
      <w:r w:rsidRPr="00362D29">
        <w:rPr>
          <w:rFonts w:ascii="Traditional Arabic" w:eastAsia="Aptos" w:hAnsi="Traditional Arabic" w:cs="Traditional Arabic"/>
          <w:b/>
          <w:bCs/>
          <w:kern w:val="2"/>
          <w:sz w:val="24"/>
          <w:szCs w:val="24"/>
          <w:rtl/>
          <w14:ligatures w14:val="standardContextual"/>
        </w:rPr>
        <w:t xml:space="preserve">): </w:t>
      </w:r>
      <w:r w:rsidRPr="00362D29">
        <w:rPr>
          <w:rFonts w:ascii="Traditional Arabic" w:eastAsia="Aptos" w:hAnsi="Traditional Arabic" w:cs="Traditional Arabic"/>
          <w:kern w:val="2"/>
          <w:sz w:val="24"/>
          <w:szCs w:val="24"/>
          <w:rtl/>
          <w14:ligatures w14:val="standardContextual"/>
        </w:rPr>
        <w:t>وهي أسئلة مخصصة تهدف إلى قياس مبادرات محددة مثل "تقليل وقت الانتظار" أو "نظافة المرافق". تتيح هذه الأسئلة للمؤسسة المرونة في تتبع مدى نجاح استراتيجيات التحسين المؤقتة أو المستهدفة (</w:t>
      </w:r>
      <w:r w:rsidRPr="00362D29">
        <w:rPr>
          <w:rFonts w:ascii="Traditional Arabic" w:eastAsia="Aptos" w:hAnsi="Traditional Arabic" w:cs="Traditional Arabic"/>
          <w:kern w:val="2"/>
          <w:sz w:val="24"/>
          <w:szCs w:val="24"/>
          <w14:ligatures w14:val="standardContextual"/>
        </w:rPr>
        <w:t>Relias, 2025</w:t>
      </w:r>
      <w:r w:rsidRPr="00362D29">
        <w:rPr>
          <w:rFonts w:ascii="Traditional Arabic" w:eastAsia="Aptos" w:hAnsi="Traditional Arabic" w:cs="Traditional Arabic"/>
          <w:kern w:val="2"/>
          <w:sz w:val="24"/>
          <w:szCs w:val="24"/>
          <w:rtl/>
          <w14:ligatures w14:val="standardContextual"/>
        </w:rPr>
        <w:t>).</w:t>
      </w:r>
    </w:p>
    <w:p w14:paraId="52614FFD" w14:textId="77777777" w:rsidR="0025291F" w:rsidRPr="00362D29" w:rsidRDefault="0025291F"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p>
    <w:p w14:paraId="35AD47B5" w14:textId="7413256A" w:rsidR="001F5AC5" w:rsidRPr="00362D29" w:rsidRDefault="001F5AC5" w:rsidP="00362D29">
      <w:pPr>
        <w:pStyle w:val="ab"/>
        <w:numPr>
          <w:ilvl w:val="0"/>
          <w:numId w:val="69"/>
        </w:numPr>
        <w:bidi/>
        <w:spacing w:before="0" w:after="160" w:line="360" w:lineRule="auto"/>
        <w:jc w:val="both"/>
        <w:rPr>
          <w:rFonts w:ascii="Traditional Arabic" w:eastAsia="Aptos" w:hAnsi="Traditional Arabic" w:cs="Traditional Arabic"/>
          <w:b/>
          <w:bCs/>
          <w:kern w:val="2"/>
          <w:sz w:val="28"/>
          <w:szCs w:val="28"/>
          <w:rtl/>
          <w14:ligatures w14:val="standardContextual"/>
        </w:rPr>
      </w:pPr>
      <w:r w:rsidRPr="00362D29">
        <w:rPr>
          <w:rFonts w:ascii="Traditional Arabic" w:eastAsia="Aptos" w:hAnsi="Traditional Arabic" w:cs="Traditional Arabic"/>
          <w:b/>
          <w:bCs/>
          <w:kern w:val="2"/>
          <w:sz w:val="28"/>
          <w:szCs w:val="28"/>
          <w:rtl/>
          <w14:ligatures w14:val="standardContextual"/>
        </w:rPr>
        <w:lastRenderedPageBreak/>
        <w:t>أدوات ومقاييس تجربة المريض</w:t>
      </w:r>
    </w:p>
    <w:p w14:paraId="53A4C02C" w14:textId="77777777" w:rsidR="001F5AC5" w:rsidRPr="00362D29" w:rsidRDefault="001F5AC5"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يتطلب القياس الفعال لتجربة المريض استخدام أدوات ومقاييس موثوقة وصالحة، قادرة على التقاط تعقيدات هذه التجربة من منظور المريض. وقد تطورت العديد من هذه الأدوات على المستويين العالمي والمحلي، لتوفير بيانات قابلة للتحليل والتحويل إلى إجراءات تحسين ملموسة. ومن أبرز هذه الأدوات:</w:t>
      </w:r>
    </w:p>
    <w:p w14:paraId="726D3485" w14:textId="77777777" w:rsidR="001F5AC5" w:rsidRPr="00362D29" w:rsidRDefault="001F5AC5"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1. استبيانات </w:t>
      </w:r>
      <w:r w:rsidRPr="00362D29">
        <w:rPr>
          <w:rFonts w:ascii="Traditional Arabic" w:eastAsia="Aptos" w:hAnsi="Traditional Arabic" w:cs="Traditional Arabic"/>
          <w:b/>
          <w:bCs/>
          <w:kern w:val="2"/>
          <w:sz w:val="24"/>
          <w:szCs w:val="24"/>
          <w14:ligatures w14:val="standardContextual"/>
        </w:rPr>
        <w:t>CAHPS (Consumer Assessment of Healthcare Providers and Systems)</w:t>
      </w:r>
    </w:p>
    <w:p w14:paraId="6284B8AB" w14:textId="0FA92BDB" w:rsidR="001F5AC5" w:rsidRPr="00362D29" w:rsidRDefault="001F5AC5"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تُعد استبيانات </w:t>
      </w:r>
      <w:r w:rsidRPr="00362D29">
        <w:rPr>
          <w:rFonts w:ascii="Traditional Arabic" w:eastAsia="Aptos" w:hAnsi="Traditional Arabic" w:cs="Traditional Arabic"/>
          <w:b/>
          <w:bCs/>
          <w:kern w:val="2"/>
          <w:sz w:val="24"/>
          <w:szCs w:val="24"/>
          <w14:ligatures w14:val="standardContextual"/>
        </w:rPr>
        <w:t>CAHPS</w:t>
      </w:r>
      <w:r w:rsidRPr="00362D29">
        <w:rPr>
          <w:rFonts w:ascii="Traditional Arabic" w:eastAsia="Aptos" w:hAnsi="Traditional Arabic" w:cs="Traditional Arabic"/>
          <w:b/>
          <w:bCs/>
          <w:kern w:val="2"/>
          <w:sz w:val="24"/>
          <w:szCs w:val="24"/>
          <w:rtl/>
          <w14:ligatures w14:val="standardContextual"/>
        </w:rPr>
        <w:t xml:space="preserve"> </w:t>
      </w:r>
      <w:r w:rsidR="00D9795E" w:rsidRPr="00362D29">
        <w:rPr>
          <w:rFonts w:ascii="Traditional Arabic" w:eastAsia="Aptos" w:hAnsi="Traditional Arabic" w:cs="Traditional Arabic"/>
          <w:b/>
          <w:bCs/>
          <w:kern w:val="2"/>
          <w:sz w:val="24"/>
          <w:szCs w:val="24"/>
          <w:rtl/>
          <w14:ligatures w14:val="standardContextual"/>
        </w:rPr>
        <w:t xml:space="preserve">(تقييم المستفيد لمقدمي الرعاية الصحية والأنظمة) </w:t>
      </w:r>
      <w:r w:rsidRPr="00362D29">
        <w:rPr>
          <w:rFonts w:ascii="Traditional Arabic" w:eastAsia="Aptos" w:hAnsi="Traditional Arabic" w:cs="Traditional Arabic"/>
          <w:kern w:val="2"/>
          <w:sz w:val="24"/>
          <w:szCs w:val="24"/>
          <w:rtl/>
          <w14:ligatures w14:val="standardContextual"/>
        </w:rPr>
        <w:t xml:space="preserve">المعيار الذهبي العالمي لقياس تجربة المريض، حيث صُممت لتقديم تقييم موضوعي لجودة الرعاية من منظور المستفيد. وفيما يلي تفصيل لأبرز أنواعها ومواصفاتها الفنية المحدثة </w:t>
      </w:r>
      <w:r w:rsidR="000870C7" w:rsidRPr="00362D29">
        <w:rPr>
          <w:rFonts w:ascii="Traditional Arabic" w:eastAsia="Aptos" w:hAnsi="Traditional Arabic" w:cs="Traditional Arabic"/>
          <w:kern w:val="2"/>
          <w:sz w:val="24"/>
          <w:szCs w:val="24"/>
          <w:rtl/>
          <w14:ligatures w14:val="standardContextual"/>
        </w:rPr>
        <w:t>(</w:t>
      </w:r>
      <w:r w:rsidR="000870C7" w:rsidRPr="00362D29">
        <w:rPr>
          <w:rFonts w:ascii="Traditional Arabic" w:eastAsia="Aptos" w:hAnsi="Traditional Arabic" w:cs="Traditional Arabic"/>
          <w:kern w:val="2"/>
          <w:sz w:val="24"/>
          <w:szCs w:val="24"/>
          <w14:ligatures w14:val="standardContextual"/>
        </w:rPr>
        <w:t>AHRQ, 2025</w:t>
      </w:r>
      <w:r w:rsidR="000870C7" w:rsidRPr="00362D29">
        <w:rPr>
          <w:rFonts w:ascii="Traditional Arabic" w:eastAsia="Aptos" w:hAnsi="Traditional Arabic" w:cs="Traditional Arabic"/>
          <w:kern w:val="2"/>
          <w:sz w:val="24"/>
          <w:szCs w:val="24"/>
          <w:rtl/>
          <w14:ligatures w14:val="standardContextual"/>
        </w:rPr>
        <w:t>):</w:t>
      </w:r>
    </w:p>
    <w:p w14:paraId="18AD56C2" w14:textId="77777777" w:rsidR="001F5AC5" w:rsidRPr="00362D29" w:rsidRDefault="001F5AC5"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أ. استبيان </w:t>
      </w:r>
      <w:r w:rsidRPr="00362D29">
        <w:rPr>
          <w:rFonts w:ascii="Traditional Arabic" w:eastAsia="Aptos" w:hAnsi="Traditional Arabic" w:cs="Traditional Arabic"/>
          <w:b/>
          <w:bCs/>
          <w:kern w:val="2"/>
          <w:sz w:val="24"/>
          <w:szCs w:val="24"/>
          <w14:ligatures w14:val="standardContextual"/>
        </w:rPr>
        <w:t>HCAHPS</w:t>
      </w:r>
      <w:r w:rsidRPr="00362D29">
        <w:rPr>
          <w:rFonts w:ascii="Traditional Arabic" w:eastAsia="Aptos" w:hAnsi="Traditional Arabic" w:cs="Traditional Arabic"/>
          <w:b/>
          <w:bCs/>
          <w:kern w:val="2"/>
          <w:sz w:val="24"/>
          <w:szCs w:val="24"/>
          <w:rtl/>
          <w14:ligatures w14:val="standardContextual"/>
        </w:rPr>
        <w:t xml:space="preserve"> (خاص بالمرضى المنومين في المستشفيات):</w:t>
      </w:r>
    </w:p>
    <w:p w14:paraId="6C910BC2" w14:textId="65FEE6CC" w:rsidR="00005FAF" w:rsidRPr="00362D29" w:rsidRDefault="00005FAF"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•التعريف والمنشأ</w:t>
      </w:r>
      <w:r w:rsidR="00DE40C8" w:rsidRPr="00362D29">
        <w:rPr>
          <w:rFonts w:ascii="Traditional Arabic" w:eastAsia="Aptos" w:hAnsi="Traditional Arabic" w:cs="Traditional Arabic"/>
          <w:b/>
          <w:bCs/>
          <w:kern w:val="2"/>
          <w:sz w:val="24"/>
          <w:szCs w:val="24"/>
          <w:rtl/>
          <w14:ligatures w14:val="standardContextual"/>
        </w:rPr>
        <w:t xml:space="preserve"> والهدف</w:t>
      </w:r>
      <w:r w:rsidRPr="00362D29">
        <w:rPr>
          <w:rFonts w:ascii="Traditional Arabic" w:eastAsia="Aptos" w:hAnsi="Traditional Arabic" w:cs="Traditional Arabic"/>
          <w:b/>
          <w:bCs/>
          <w:kern w:val="2"/>
          <w:sz w:val="24"/>
          <w:szCs w:val="24"/>
          <w:rtl/>
          <w14:ligatures w14:val="standardContextual"/>
        </w:rPr>
        <w:t>:</w:t>
      </w:r>
      <w:r w:rsidR="00465B46" w:rsidRPr="00362D29">
        <w:rPr>
          <w:rFonts w:ascii="Traditional Arabic" w:hAnsi="Traditional Arabic" w:cs="Traditional Arabic"/>
          <w:rtl/>
        </w:rPr>
        <w:t xml:space="preserve"> </w:t>
      </w:r>
      <w:r w:rsidR="00465B46" w:rsidRPr="00362D29">
        <w:rPr>
          <w:rFonts w:ascii="Traditional Arabic" w:eastAsia="Aptos" w:hAnsi="Traditional Arabic" w:cs="Traditional Arabic"/>
          <w:kern w:val="2"/>
          <w:sz w:val="24"/>
          <w:szCs w:val="24"/>
          <w:rtl/>
          <w14:ligatures w14:val="standardContextual"/>
        </w:rPr>
        <w:t xml:space="preserve">طُوِّر استبيان </w:t>
      </w:r>
      <w:r w:rsidR="00465B46" w:rsidRPr="00362D29">
        <w:rPr>
          <w:rFonts w:ascii="Traditional Arabic" w:eastAsia="Aptos" w:hAnsi="Traditional Arabic" w:cs="Traditional Arabic"/>
          <w:kern w:val="2"/>
          <w:sz w:val="24"/>
          <w:szCs w:val="24"/>
          <w14:ligatures w14:val="standardContextual"/>
        </w:rPr>
        <w:t>HCAHPS</w:t>
      </w:r>
      <w:r w:rsidR="00465B46" w:rsidRPr="00362D29">
        <w:rPr>
          <w:rFonts w:ascii="Traditional Arabic" w:eastAsia="Aptos" w:hAnsi="Traditional Arabic" w:cs="Traditional Arabic"/>
          <w:kern w:val="2"/>
          <w:sz w:val="24"/>
          <w:szCs w:val="24"/>
          <w:rtl/>
          <w14:ligatures w14:val="standardContextual"/>
        </w:rPr>
        <w:t xml:space="preserve"> (تقييم المستهلكين لمقدمي الرعاية الصحية وأنظمتها في المستشفيات) من قِبَل مراكز خدمات الرعاية الطبية والرعاية الصحية </w:t>
      </w:r>
      <w:r w:rsidR="00363A4F" w:rsidRPr="00362D29">
        <w:rPr>
          <w:rFonts w:ascii="Traditional Arabic" w:eastAsia="Aptos" w:hAnsi="Traditional Arabic" w:cs="Traditional Arabic"/>
          <w:kern w:val="2"/>
          <w:sz w:val="24"/>
          <w:szCs w:val="24"/>
          <w14:ligatures w14:val="standardContextual"/>
        </w:rPr>
        <w:t>The Centers for Medicare &amp; Medicaid Services (CMS)</w:t>
      </w:r>
      <w:r w:rsidR="00363A4F" w:rsidRPr="00362D29">
        <w:rPr>
          <w:rFonts w:ascii="Traditional Arabic" w:eastAsia="Aptos" w:hAnsi="Traditional Arabic" w:cs="Traditional Arabic"/>
          <w:kern w:val="2"/>
          <w:sz w:val="24"/>
          <w:szCs w:val="24"/>
          <w:rtl/>
          <w14:ligatures w14:val="standardContextual"/>
        </w:rPr>
        <w:t xml:space="preserve"> </w:t>
      </w:r>
      <w:r w:rsidR="00465B46" w:rsidRPr="00362D29">
        <w:rPr>
          <w:rFonts w:ascii="Traditional Arabic" w:eastAsia="Aptos" w:hAnsi="Traditional Arabic" w:cs="Traditional Arabic"/>
          <w:kern w:val="2"/>
          <w:sz w:val="24"/>
          <w:szCs w:val="24"/>
          <w:rtl/>
          <w14:ligatures w14:val="standardContextual"/>
        </w:rPr>
        <w:t xml:space="preserve">ووكالة أبحاث وجودة الرعاية الصحية </w:t>
      </w:r>
      <w:r w:rsidR="0098456E" w:rsidRPr="00362D29">
        <w:rPr>
          <w:rFonts w:ascii="Traditional Arabic" w:eastAsia="Aptos" w:hAnsi="Traditional Arabic" w:cs="Traditional Arabic"/>
          <w:kern w:val="2"/>
          <w:sz w:val="24"/>
          <w:szCs w:val="24"/>
          <w14:ligatures w14:val="standardContextual"/>
        </w:rPr>
        <w:t>The Agency for Healthcare Research and Quality (AHRQ)</w:t>
      </w:r>
      <w:r w:rsidR="00465B46" w:rsidRPr="00362D29">
        <w:rPr>
          <w:rFonts w:ascii="Traditional Arabic" w:eastAsia="Aptos" w:hAnsi="Traditional Arabic" w:cs="Traditional Arabic"/>
          <w:kern w:val="2"/>
          <w:sz w:val="24"/>
          <w:szCs w:val="24"/>
          <w:rtl/>
          <w14:ligatures w14:val="standardContextual"/>
        </w:rPr>
        <w:t xml:space="preserve"> في عام 2002 لتوحيد قياس وجهات نظر المرضى حول الرعاية المقدمة في المستشفيات. وقد اعتُمد رسميًا في مايو 2005، وطُبِّق على الصعيد الوطني من قِبَل مراكز خدمات الرعاية الطبية والرعاية الصحية (</w:t>
      </w:r>
      <w:r w:rsidR="00465B46" w:rsidRPr="00362D29">
        <w:rPr>
          <w:rFonts w:ascii="Traditional Arabic" w:eastAsia="Aptos" w:hAnsi="Traditional Arabic" w:cs="Traditional Arabic"/>
          <w:kern w:val="2"/>
          <w:sz w:val="24"/>
          <w:szCs w:val="24"/>
          <w14:ligatures w14:val="standardContextual"/>
        </w:rPr>
        <w:t>CMS</w:t>
      </w:r>
      <w:r w:rsidR="00465B46" w:rsidRPr="00362D29">
        <w:rPr>
          <w:rFonts w:ascii="Traditional Arabic" w:eastAsia="Aptos" w:hAnsi="Traditional Arabic" w:cs="Traditional Arabic"/>
          <w:kern w:val="2"/>
          <w:sz w:val="24"/>
          <w:szCs w:val="24"/>
          <w:rtl/>
          <w14:ligatures w14:val="standardContextual"/>
        </w:rPr>
        <w:t>) في أكتوبر 2006، مع أول نشر علني للبيانات في مارس 2008</w:t>
      </w:r>
      <w:r w:rsidR="00D167C5" w:rsidRPr="00362D29">
        <w:rPr>
          <w:rFonts w:ascii="Traditional Arabic" w:eastAsia="Aptos" w:hAnsi="Traditional Arabic" w:cs="Traditional Arabic"/>
          <w:kern w:val="2"/>
          <w:sz w:val="24"/>
          <w:szCs w:val="24"/>
          <w:rtl/>
          <w14:ligatures w14:val="standardContextual"/>
        </w:rPr>
        <w:t>(</w:t>
      </w:r>
      <w:r w:rsidR="00D167C5" w:rsidRPr="00362D29">
        <w:rPr>
          <w:rFonts w:ascii="Traditional Arabic" w:eastAsia="Aptos" w:hAnsi="Traditional Arabic" w:cs="Traditional Arabic"/>
          <w:kern w:val="2"/>
          <w:sz w:val="24"/>
          <w:szCs w:val="24"/>
          <w14:ligatures w14:val="standardContextual"/>
        </w:rPr>
        <w:t>CMS, 2025</w:t>
      </w:r>
      <w:r w:rsidR="00D167C5" w:rsidRPr="00362D29">
        <w:rPr>
          <w:rFonts w:ascii="Traditional Arabic" w:eastAsia="Aptos" w:hAnsi="Traditional Arabic" w:cs="Traditional Arabic"/>
          <w:kern w:val="2"/>
          <w:sz w:val="24"/>
          <w:szCs w:val="24"/>
          <w:rtl/>
          <w14:ligatures w14:val="standardContextual"/>
        </w:rPr>
        <w:t>).</w:t>
      </w:r>
    </w:p>
    <w:p w14:paraId="4CE613C3" w14:textId="77777777" w:rsidR="001F5AC5" w:rsidRPr="00362D29" w:rsidRDefault="001F5AC5"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•المكونات والمحاور: </w:t>
      </w:r>
      <w:r w:rsidRPr="00362D29">
        <w:rPr>
          <w:rFonts w:ascii="Traditional Arabic" w:eastAsia="Aptos" w:hAnsi="Traditional Arabic" w:cs="Traditional Arabic"/>
          <w:kern w:val="2"/>
          <w:sz w:val="24"/>
          <w:szCs w:val="24"/>
          <w:rtl/>
          <w14:ligatures w14:val="standardContextual"/>
        </w:rPr>
        <w:t>يركز الاستبيان على 10 محاور رئيسية تشمل: التواصل مع الممرضين، التواصل مع الأطباء، استجابة طاقم المستشفى، نظافة البيئة، هدوء البيئة، التواصل حول الأدوية، معلومات الخروج، التنسيق عند الانتقال من الرعاية، التقييم العام للمستشفى، ومدى الرغبة في التوصية بالمستشفى (</w:t>
      </w:r>
      <w:r w:rsidRPr="00362D29">
        <w:rPr>
          <w:rFonts w:ascii="Traditional Arabic" w:eastAsia="Aptos" w:hAnsi="Traditional Arabic" w:cs="Traditional Arabic"/>
          <w:kern w:val="2"/>
          <w:sz w:val="24"/>
          <w:szCs w:val="24"/>
          <w14:ligatures w14:val="standardContextual"/>
        </w:rPr>
        <w:t>CMS, 2025</w:t>
      </w:r>
      <w:r w:rsidRPr="00362D29">
        <w:rPr>
          <w:rFonts w:ascii="Traditional Arabic" w:eastAsia="Aptos" w:hAnsi="Traditional Arabic" w:cs="Traditional Arabic"/>
          <w:kern w:val="2"/>
          <w:sz w:val="24"/>
          <w:szCs w:val="24"/>
          <w:rtl/>
          <w14:ligatures w14:val="standardContextual"/>
        </w:rPr>
        <w:t>).</w:t>
      </w:r>
    </w:p>
    <w:p w14:paraId="3190FE07" w14:textId="77777777" w:rsidR="001F5AC5" w:rsidRPr="00362D29" w:rsidRDefault="001F5AC5"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•عدد الأسئلة: </w:t>
      </w:r>
      <w:r w:rsidRPr="00362D29">
        <w:rPr>
          <w:rFonts w:ascii="Traditional Arabic" w:eastAsia="Aptos" w:hAnsi="Traditional Arabic" w:cs="Traditional Arabic"/>
          <w:kern w:val="2"/>
          <w:sz w:val="24"/>
          <w:szCs w:val="24"/>
          <w:rtl/>
          <w14:ligatures w14:val="standardContextual"/>
        </w:rPr>
        <w:t>يتكون الاستبيان المحدث لعام 2025 من 32 سؤالاً (</w:t>
      </w:r>
      <w:r w:rsidRPr="00362D29">
        <w:rPr>
          <w:rFonts w:ascii="Traditional Arabic" w:eastAsia="Aptos" w:hAnsi="Traditional Arabic" w:cs="Traditional Arabic"/>
          <w:kern w:val="2"/>
          <w:sz w:val="24"/>
          <w:szCs w:val="24"/>
          <w14:ligatures w14:val="standardContextual"/>
        </w:rPr>
        <w:t>CMS, 2025</w:t>
      </w:r>
      <w:r w:rsidRPr="00362D29">
        <w:rPr>
          <w:rFonts w:ascii="Traditional Arabic" w:eastAsia="Aptos" w:hAnsi="Traditional Arabic" w:cs="Traditional Arabic"/>
          <w:kern w:val="2"/>
          <w:sz w:val="24"/>
          <w:szCs w:val="24"/>
          <w:rtl/>
          <w14:ligatures w14:val="standardContextual"/>
        </w:rPr>
        <w:t>).</w:t>
      </w:r>
    </w:p>
    <w:p w14:paraId="226E1262" w14:textId="77777777" w:rsidR="001F5AC5" w:rsidRPr="00362D29" w:rsidRDefault="001F5AC5"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•طريقة التوزيع: </w:t>
      </w:r>
      <w:r w:rsidRPr="00362D29">
        <w:rPr>
          <w:rFonts w:ascii="Traditional Arabic" w:eastAsia="Aptos" w:hAnsi="Traditional Arabic" w:cs="Traditional Arabic"/>
          <w:kern w:val="2"/>
          <w:sz w:val="24"/>
          <w:szCs w:val="24"/>
          <w:rtl/>
          <w14:ligatures w14:val="standardContextual"/>
        </w:rPr>
        <w:t>يتم تنفيذه عبر ستة أنماط معتمدة: البريد الورقي، الهاتف، البريد مع متابعة هاتفية، والأنماط الرقمية (الويب مع متابعة بريدية أو هاتفية) (</w:t>
      </w:r>
      <w:r w:rsidRPr="00362D29">
        <w:rPr>
          <w:rFonts w:ascii="Traditional Arabic" w:eastAsia="Aptos" w:hAnsi="Traditional Arabic" w:cs="Traditional Arabic"/>
          <w:kern w:val="2"/>
          <w:sz w:val="24"/>
          <w:szCs w:val="24"/>
          <w14:ligatures w14:val="standardContextual"/>
        </w:rPr>
        <w:t>CMS, 2025</w:t>
      </w:r>
      <w:r w:rsidRPr="00362D29">
        <w:rPr>
          <w:rFonts w:ascii="Traditional Arabic" w:eastAsia="Aptos" w:hAnsi="Traditional Arabic" w:cs="Traditional Arabic"/>
          <w:kern w:val="2"/>
          <w:sz w:val="24"/>
          <w:szCs w:val="24"/>
          <w:rtl/>
          <w14:ligatures w14:val="standardContextual"/>
        </w:rPr>
        <w:t>).</w:t>
      </w:r>
    </w:p>
    <w:p w14:paraId="73C40A26" w14:textId="77777777" w:rsidR="001F5AC5" w:rsidRPr="00362D29" w:rsidRDefault="001F5AC5"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•توقيت التعبئة: </w:t>
      </w:r>
      <w:r w:rsidRPr="00362D29">
        <w:rPr>
          <w:rFonts w:ascii="Traditional Arabic" w:eastAsia="Aptos" w:hAnsi="Traditional Arabic" w:cs="Traditional Arabic"/>
          <w:kern w:val="2"/>
          <w:sz w:val="24"/>
          <w:szCs w:val="24"/>
          <w:rtl/>
          <w14:ligatures w14:val="standardContextual"/>
        </w:rPr>
        <w:t>يتم إرسال الاستبيان لعينة عشوائية من المرضى البالغين في فترة تتراوح بين 48 ساعة إلى 6 أسابيع بعد الخروج من المستشفى (</w:t>
      </w:r>
      <w:r w:rsidRPr="00362D29">
        <w:rPr>
          <w:rFonts w:ascii="Traditional Arabic" w:eastAsia="Aptos" w:hAnsi="Traditional Arabic" w:cs="Traditional Arabic"/>
          <w:kern w:val="2"/>
          <w:sz w:val="24"/>
          <w:szCs w:val="24"/>
          <w14:ligatures w14:val="standardContextual"/>
        </w:rPr>
        <w:t>CMS, 2025</w:t>
      </w:r>
      <w:r w:rsidRPr="00362D29">
        <w:rPr>
          <w:rFonts w:ascii="Traditional Arabic" w:eastAsia="Aptos" w:hAnsi="Traditional Arabic" w:cs="Traditional Arabic"/>
          <w:kern w:val="2"/>
          <w:sz w:val="24"/>
          <w:szCs w:val="24"/>
          <w:rtl/>
          <w14:ligatures w14:val="standardContextual"/>
        </w:rPr>
        <w:t>).</w:t>
      </w:r>
    </w:p>
    <w:p w14:paraId="42C637C2" w14:textId="77777777" w:rsidR="001F5AC5" w:rsidRPr="00362D29" w:rsidRDefault="001F5AC5"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lastRenderedPageBreak/>
        <w:t xml:space="preserve">•المدة المسموحة: </w:t>
      </w:r>
      <w:r w:rsidRPr="00362D29">
        <w:rPr>
          <w:rFonts w:ascii="Traditional Arabic" w:eastAsia="Aptos" w:hAnsi="Traditional Arabic" w:cs="Traditional Arabic"/>
          <w:kern w:val="2"/>
          <w:sz w:val="24"/>
          <w:szCs w:val="24"/>
          <w:rtl/>
          <w14:ligatures w14:val="standardContextual"/>
        </w:rPr>
        <w:t>تم تمديد فترة جمع البيانات في التحديثات الأخيرة لتصل إلى 49 يوماً لضمان أعلى معدل استجابة ممكن (</w:t>
      </w:r>
      <w:r w:rsidRPr="00362D29">
        <w:rPr>
          <w:rFonts w:ascii="Traditional Arabic" w:eastAsia="Aptos" w:hAnsi="Traditional Arabic" w:cs="Traditional Arabic"/>
          <w:kern w:val="2"/>
          <w:sz w:val="24"/>
          <w:szCs w:val="24"/>
          <w14:ligatures w14:val="standardContextual"/>
        </w:rPr>
        <w:t>CMS, 2025</w:t>
      </w:r>
      <w:r w:rsidRPr="00362D29">
        <w:rPr>
          <w:rFonts w:ascii="Traditional Arabic" w:eastAsia="Aptos" w:hAnsi="Traditional Arabic" w:cs="Traditional Arabic"/>
          <w:kern w:val="2"/>
          <w:sz w:val="24"/>
          <w:szCs w:val="24"/>
          <w:rtl/>
          <w14:ligatures w14:val="standardContextual"/>
        </w:rPr>
        <w:t>).</w:t>
      </w:r>
    </w:p>
    <w:p w14:paraId="432769C1" w14:textId="6A230EC0" w:rsidR="009B19D1" w:rsidRPr="00362D29" w:rsidRDefault="009B19D1" w:rsidP="00362D29">
      <w:pPr>
        <w:bidi/>
        <w:spacing w:before="0" w:after="160" w:line="360" w:lineRule="auto"/>
        <w:jc w:val="both"/>
        <w:rPr>
          <w:rFonts w:ascii="Traditional Arabic" w:eastAsia="Aptos" w:hAnsi="Traditional Arabic" w:cs="Traditional Arabic"/>
          <w:b/>
          <w:bCs/>
          <w:kern w:val="2"/>
          <w:sz w:val="24"/>
          <w:szCs w:val="24"/>
          <w14:ligatures w14:val="standardContextual"/>
        </w:rPr>
      </w:pPr>
      <w:r w:rsidRPr="00362D29">
        <w:rPr>
          <w:rFonts w:ascii="Traditional Arabic" w:eastAsia="Aptos" w:hAnsi="Traditional Arabic" w:cs="Traditional Arabic"/>
          <w:b/>
          <w:bCs/>
          <w:kern w:val="2"/>
          <w:sz w:val="24"/>
          <w:szCs w:val="24"/>
          <w:rtl/>
          <w14:ligatures w14:val="standardContextual"/>
        </w:rPr>
        <w:t>•نظام التقييم وإعداد التقارير</w:t>
      </w:r>
      <w:r w:rsidRPr="00362D29">
        <w:rPr>
          <w:rFonts w:ascii="Traditional Arabic" w:eastAsia="Aptos" w:hAnsi="Traditional Arabic" w:cs="Traditional Arabic"/>
          <w:b/>
          <w:bCs/>
          <w:kern w:val="2"/>
          <w:sz w:val="24"/>
          <w:szCs w:val="24"/>
          <w14:ligatures w14:val="standardContextual"/>
        </w:rPr>
        <w:t xml:space="preserve"> (Scoring &amp; Reporting):</w:t>
      </w:r>
    </w:p>
    <w:p w14:paraId="07ECD607" w14:textId="77777777" w:rsidR="00D02A42" w:rsidRPr="00362D29" w:rsidRDefault="00D02A42"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تعتمد </w:t>
      </w:r>
      <w:r w:rsidRPr="00362D29">
        <w:rPr>
          <w:rFonts w:ascii="Traditional Arabic" w:eastAsia="Aptos" w:hAnsi="Traditional Arabic" w:cs="Traditional Arabic"/>
          <w:kern w:val="2"/>
          <w:sz w:val="24"/>
          <w:szCs w:val="24"/>
          <w14:ligatures w14:val="standardContextual"/>
        </w:rPr>
        <w:t>HCAHPS</w:t>
      </w:r>
      <w:r w:rsidRPr="00362D29">
        <w:rPr>
          <w:rFonts w:ascii="Traditional Arabic" w:eastAsia="Aptos" w:hAnsi="Traditional Arabic" w:cs="Traditional Arabic"/>
          <w:kern w:val="2"/>
          <w:sz w:val="24"/>
          <w:szCs w:val="24"/>
          <w:rtl/>
          <w14:ligatures w14:val="standardContextual"/>
        </w:rPr>
        <w:t xml:space="preserve"> منهجية "أعلى صندوق" (</w:t>
      </w:r>
      <w:r w:rsidRPr="00362D29">
        <w:rPr>
          <w:rFonts w:ascii="Traditional Arabic" w:eastAsia="Aptos" w:hAnsi="Traditional Arabic" w:cs="Traditional Arabic"/>
          <w:kern w:val="2"/>
          <w:sz w:val="24"/>
          <w:szCs w:val="24"/>
          <w14:ligatures w14:val="standardContextual"/>
        </w:rPr>
        <w:t>Top-Box Scoring</w:t>
      </w:r>
      <w:r w:rsidRPr="00362D29">
        <w:rPr>
          <w:rFonts w:ascii="Traditional Arabic" w:eastAsia="Aptos" w:hAnsi="Traditional Arabic" w:cs="Traditional Arabic"/>
          <w:kern w:val="2"/>
          <w:sz w:val="24"/>
          <w:szCs w:val="24"/>
          <w:rtl/>
          <w14:ligatures w14:val="standardContextual"/>
        </w:rPr>
        <w:t>)، وهي النسبة المئوية للمرضى الذين اختاروا الإجابة الأكثر إيجابية (مثل "دائماً"). يتم تعديل النتائج إحصائياً لمراعاة تباين خصائص المرضى وطريقة التوزيع (</w:t>
      </w:r>
      <w:r w:rsidRPr="00362D29">
        <w:rPr>
          <w:rFonts w:ascii="Traditional Arabic" w:eastAsia="Aptos" w:hAnsi="Traditional Arabic" w:cs="Traditional Arabic"/>
          <w:kern w:val="2"/>
          <w:sz w:val="24"/>
          <w:szCs w:val="24"/>
          <w14:ligatures w14:val="standardContextual"/>
        </w:rPr>
        <w:t>Patient-Mix &amp; Mode Adjustment</w:t>
      </w:r>
      <w:r w:rsidRPr="00362D29">
        <w:rPr>
          <w:rFonts w:ascii="Traditional Arabic" w:eastAsia="Aptos" w:hAnsi="Traditional Arabic" w:cs="Traditional Arabic"/>
          <w:kern w:val="2"/>
          <w:sz w:val="24"/>
          <w:szCs w:val="24"/>
          <w:rtl/>
          <w14:ligatures w14:val="standardContextual"/>
        </w:rPr>
        <w:t>) لضمان عدالة المقارنة. تُنشر النتائج علناً عبر منصة (</w:t>
      </w:r>
      <w:r w:rsidRPr="00362D29">
        <w:rPr>
          <w:rFonts w:ascii="Traditional Arabic" w:eastAsia="Aptos" w:hAnsi="Traditional Arabic" w:cs="Traditional Arabic"/>
          <w:kern w:val="2"/>
          <w:sz w:val="24"/>
          <w:szCs w:val="24"/>
          <w14:ligatures w14:val="standardContextual"/>
        </w:rPr>
        <w:t>Care Compare</w:t>
      </w:r>
      <w:r w:rsidRPr="00362D29">
        <w:rPr>
          <w:rFonts w:ascii="Traditional Arabic" w:eastAsia="Aptos" w:hAnsi="Traditional Arabic" w:cs="Traditional Arabic"/>
          <w:kern w:val="2"/>
          <w:sz w:val="24"/>
          <w:szCs w:val="24"/>
          <w:rtl/>
          <w14:ligatures w14:val="standardContextual"/>
        </w:rPr>
        <w:t xml:space="preserve">) التابعة لـ </w:t>
      </w:r>
      <w:r w:rsidRPr="00362D29">
        <w:rPr>
          <w:rFonts w:ascii="Traditional Arabic" w:eastAsia="Aptos" w:hAnsi="Traditional Arabic" w:cs="Traditional Arabic"/>
          <w:kern w:val="2"/>
          <w:sz w:val="24"/>
          <w:szCs w:val="24"/>
          <w14:ligatures w14:val="standardContextual"/>
        </w:rPr>
        <w:t>CMS</w:t>
      </w:r>
      <w:r w:rsidRPr="00362D29">
        <w:rPr>
          <w:rFonts w:ascii="Traditional Arabic" w:eastAsia="Aptos" w:hAnsi="Traditional Arabic" w:cs="Traditional Arabic"/>
          <w:kern w:val="2"/>
          <w:sz w:val="24"/>
          <w:szCs w:val="24"/>
          <w:rtl/>
          <w14:ligatures w14:val="standardContextual"/>
        </w:rPr>
        <w:t>، حيث يتم تحويل الدرجات إلى "تقييم بالنجوم" (</w:t>
      </w:r>
      <w:r w:rsidRPr="00362D29">
        <w:rPr>
          <w:rFonts w:ascii="Traditional Arabic" w:eastAsia="Aptos" w:hAnsi="Traditional Arabic" w:cs="Traditional Arabic"/>
          <w:kern w:val="2"/>
          <w:sz w:val="24"/>
          <w:szCs w:val="24"/>
          <w14:ligatures w14:val="standardContextual"/>
        </w:rPr>
        <w:t>Star Ratings</w:t>
      </w:r>
      <w:r w:rsidRPr="00362D29">
        <w:rPr>
          <w:rFonts w:ascii="Traditional Arabic" w:eastAsia="Aptos" w:hAnsi="Traditional Arabic" w:cs="Traditional Arabic"/>
          <w:kern w:val="2"/>
          <w:sz w:val="24"/>
          <w:szCs w:val="24"/>
          <w:rtl/>
          <w14:ligatures w14:val="standardContextual"/>
        </w:rPr>
        <w:t>) من 1 إلى 5، مما يسهل على المستهلكين المقارنة بين المستشفيات (</w:t>
      </w:r>
      <w:r w:rsidRPr="00362D29">
        <w:rPr>
          <w:rFonts w:ascii="Traditional Arabic" w:eastAsia="Aptos" w:hAnsi="Traditional Arabic" w:cs="Traditional Arabic"/>
          <w:kern w:val="2"/>
          <w:sz w:val="24"/>
          <w:szCs w:val="24"/>
          <w14:ligatures w14:val="standardContextual"/>
        </w:rPr>
        <w:t>CMS, 2025</w:t>
      </w:r>
      <w:r w:rsidRPr="00362D29">
        <w:rPr>
          <w:rFonts w:ascii="Traditional Arabic" w:eastAsia="Aptos" w:hAnsi="Traditional Arabic" w:cs="Traditional Arabic"/>
          <w:kern w:val="2"/>
          <w:sz w:val="24"/>
          <w:szCs w:val="24"/>
          <w:rtl/>
          <w14:ligatures w14:val="standardContextual"/>
        </w:rPr>
        <w:t xml:space="preserve">؛ </w:t>
      </w:r>
      <w:r w:rsidRPr="00362D29">
        <w:rPr>
          <w:rFonts w:ascii="Traditional Arabic" w:eastAsia="Aptos" w:hAnsi="Traditional Arabic" w:cs="Traditional Arabic"/>
          <w:kern w:val="2"/>
          <w:sz w:val="24"/>
          <w:szCs w:val="24"/>
          <w14:ligatures w14:val="standardContextual"/>
        </w:rPr>
        <w:t>HCAHPS Online, 2026</w:t>
      </w:r>
      <w:r w:rsidRPr="00362D29">
        <w:rPr>
          <w:rFonts w:ascii="Traditional Arabic" w:eastAsia="Aptos" w:hAnsi="Traditional Arabic" w:cs="Traditional Arabic"/>
          <w:kern w:val="2"/>
          <w:sz w:val="24"/>
          <w:szCs w:val="24"/>
          <w:rtl/>
          <w14:ligatures w14:val="standardContextual"/>
        </w:rPr>
        <w:t>).</w:t>
      </w:r>
    </w:p>
    <w:p w14:paraId="4955F34E" w14:textId="12E8CC28" w:rsidR="001F5AC5" w:rsidRPr="00362D29" w:rsidRDefault="001F5AC5"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ب. استبيان </w:t>
      </w:r>
      <w:r w:rsidR="00307EE7" w:rsidRPr="00362D29">
        <w:rPr>
          <w:rFonts w:ascii="Traditional Arabic" w:eastAsia="Aptos" w:hAnsi="Traditional Arabic" w:cs="Traditional Arabic"/>
          <w:b/>
          <w:bCs/>
          <w:kern w:val="2"/>
          <w:sz w:val="24"/>
          <w:szCs w:val="24"/>
          <w14:ligatures w14:val="standardContextual"/>
        </w:rPr>
        <w:t>The Consumer Assessment of Healthcare Providers and Systems Clinician &amp; Group (CG-CAHPS)</w:t>
      </w:r>
      <w:r w:rsidR="00307EE7" w:rsidRPr="00362D29">
        <w:rPr>
          <w:rFonts w:ascii="Traditional Arabic" w:eastAsia="Aptos" w:hAnsi="Traditional Arabic" w:cs="Traditional Arabic"/>
          <w:b/>
          <w:bCs/>
          <w:kern w:val="2"/>
          <w:sz w:val="24"/>
          <w:szCs w:val="24"/>
          <w:rtl/>
          <w14:ligatures w14:val="standardContextual"/>
        </w:rPr>
        <w:t xml:space="preserve"> </w:t>
      </w:r>
      <w:r w:rsidRPr="00362D29">
        <w:rPr>
          <w:rFonts w:ascii="Traditional Arabic" w:eastAsia="Aptos" w:hAnsi="Traditional Arabic" w:cs="Traditional Arabic"/>
          <w:b/>
          <w:bCs/>
          <w:kern w:val="2"/>
          <w:sz w:val="24"/>
          <w:szCs w:val="24"/>
          <w:rtl/>
          <w14:ligatures w14:val="standardContextual"/>
        </w:rPr>
        <w:t xml:space="preserve"> (خاص بالعيادات الخارجية والأطباء):</w:t>
      </w:r>
    </w:p>
    <w:p w14:paraId="049942DB" w14:textId="58737904" w:rsidR="00F91F12" w:rsidRPr="00362D29" w:rsidRDefault="00F91F12"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•التعريف والمنشأ والهدف:</w:t>
      </w:r>
      <w:r w:rsidR="00736956" w:rsidRPr="00362D29">
        <w:rPr>
          <w:rFonts w:ascii="Traditional Arabic" w:hAnsi="Traditional Arabic" w:cs="Traditional Arabic"/>
          <w:rtl/>
        </w:rPr>
        <w:t xml:space="preserve"> </w:t>
      </w:r>
      <w:r w:rsidR="00736956" w:rsidRPr="00362D29">
        <w:rPr>
          <w:rFonts w:ascii="Traditional Arabic" w:eastAsia="Aptos" w:hAnsi="Traditional Arabic" w:cs="Traditional Arabic"/>
          <w:kern w:val="2"/>
          <w:sz w:val="24"/>
          <w:szCs w:val="24"/>
          <w:rtl/>
          <w14:ligatures w14:val="standardContextual"/>
        </w:rPr>
        <w:t>تم تطوير استبيان تقييم المستهلك لمقدمي الرعاية الصحية والأنظمة السريرية والمجموعات (</w:t>
      </w:r>
      <w:r w:rsidR="00736956" w:rsidRPr="00362D29">
        <w:rPr>
          <w:rFonts w:ascii="Traditional Arabic" w:eastAsia="Aptos" w:hAnsi="Traditional Arabic" w:cs="Traditional Arabic"/>
          <w:kern w:val="2"/>
          <w:sz w:val="24"/>
          <w:szCs w:val="24"/>
          <w14:ligatures w14:val="standardContextual"/>
        </w:rPr>
        <w:t>CG-CAHPS</w:t>
      </w:r>
      <w:r w:rsidR="00736956" w:rsidRPr="00362D29">
        <w:rPr>
          <w:rFonts w:ascii="Traditional Arabic" w:eastAsia="Aptos" w:hAnsi="Traditional Arabic" w:cs="Traditional Arabic"/>
          <w:kern w:val="2"/>
          <w:sz w:val="24"/>
          <w:szCs w:val="24"/>
          <w:rtl/>
          <w14:ligatures w14:val="standardContextual"/>
        </w:rPr>
        <w:t>) من قبل وكالة أبحاث وجودة الرعاية الصحية (</w:t>
      </w:r>
      <w:r w:rsidR="00736956" w:rsidRPr="00362D29">
        <w:rPr>
          <w:rFonts w:ascii="Traditional Arabic" w:eastAsia="Aptos" w:hAnsi="Traditional Arabic" w:cs="Traditional Arabic"/>
          <w:kern w:val="2"/>
          <w:sz w:val="24"/>
          <w:szCs w:val="24"/>
          <w14:ligatures w14:val="standardContextual"/>
        </w:rPr>
        <w:t>AHRQ</w:t>
      </w:r>
      <w:r w:rsidR="00736956" w:rsidRPr="00362D29">
        <w:rPr>
          <w:rFonts w:ascii="Traditional Arabic" w:eastAsia="Aptos" w:hAnsi="Traditional Arabic" w:cs="Traditional Arabic"/>
          <w:kern w:val="2"/>
          <w:sz w:val="24"/>
          <w:szCs w:val="24"/>
          <w:rtl/>
          <w14:ligatures w14:val="standardContextual"/>
        </w:rPr>
        <w:t>) في عام 2006، مع إصداره الأولي في عام 2007. وقد صُمم لقياس تجارب المرضى في الرعاية المتنقلة، وتمت صياغته في عام 2008 واختباره ميدانيًا في عام 2009، مع تطبيق واسع النطاق بعد ذلك بوقت قصير</w:t>
      </w:r>
      <w:r w:rsidR="001F7AB1" w:rsidRPr="00362D29">
        <w:rPr>
          <w:rFonts w:ascii="Traditional Arabic" w:eastAsia="Aptos" w:hAnsi="Traditional Arabic" w:cs="Traditional Arabic"/>
          <w:kern w:val="2"/>
          <w:sz w:val="24"/>
          <w:szCs w:val="24"/>
          <w:rtl/>
          <w14:ligatures w14:val="standardContextual"/>
        </w:rPr>
        <w:t xml:space="preserve"> (</w:t>
      </w:r>
      <w:r w:rsidR="001F7AB1" w:rsidRPr="00362D29">
        <w:rPr>
          <w:rFonts w:ascii="Traditional Arabic" w:eastAsia="Aptos" w:hAnsi="Traditional Arabic" w:cs="Traditional Arabic"/>
          <w:kern w:val="2"/>
          <w:sz w:val="24"/>
          <w:szCs w:val="24"/>
          <w14:ligatures w14:val="standardContextual"/>
        </w:rPr>
        <w:t>AHRQ, 202</w:t>
      </w:r>
      <w:r w:rsidR="008D28AB" w:rsidRPr="00362D29">
        <w:rPr>
          <w:rFonts w:ascii="Traditional Arabic" w:eastAsia="Aptos" w:hAnsi="Traditional Arabic" w:cs="Traditional Arabic"/>
          <w:kern w:val="2"/>
          <w:sz w:val="24"/>
          <w:szCs w:val="24"/>
          <w14:ligatures w14:val="standardContextual"/>
        </w:rPr>
        <w:t>5</w:t>
      </w:r>
      <w:r w:rsidR="001F7AB1" w:rsidRPr="00362D29">
        <w:rPr>
          <w:rFonts w:ascii="Traditional Arabic" w:eastAsia="Aptos" w:hAnsi="Traditional Arabic" w:cs="Traditional Arabic"/>
          <w:kern w:val="2"/>
          <w:sz w:val="24"/>
          <w:szCs w:val="24"/>
          <w:rtl/>
          <w14:ligatures w14:val="standardContextual"/>
        </w:rPr>
        <w:t>)</w:t>
      </w:r>
      <w:r w:rsidR="001F7AB1" w:rsidRPr="00362D29">
        <w:rPr>
          <w:rFonts w:ascii="Traditional Arabic" w:eastAsia="Aptos" w:hAnsi="Traditional Arabic" w:cs="Traditional Arabic"/>
          <w:b/>
          <w:bCs/>
          <w:kern w:val="2"/>
          <w:sz w:val="24"/>
          <w:szCs w:val="24"/>
          <w:rtl/>
          <w14:ligatures w14:val="standardContextual"/>
        </w:rPr>
        <w:t>.</w:t>
      </w:r>
    </w:p>
    <w:p w14:paraId="0163CB69" w14:textId="681196A8" w:rsidR="001F5AC5" w:rsidRPr="00362D29" w:rsidRDefault="001F5AC5"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•المكونات والمحاور: </w:t>
      </w:r>
      <w:r w:rsidRPr="00362D29">
        <w:rPr>
          <w:rFonts w:ascii="Traditional Arabic" w:eastAsia="Aptos" w:hAnsi="Traditional Arabic" w:cs="Traditional Arabic"/>
          <w:kern w:val="2"/>
          <w:sz w:val="24"/>
          <w:szCs w:val="24"/>
          <w:rtl/>
          <w14:ligatures w14:val="standardContextual"/>
        </w:rPr>
        <w:t xml:space="preserve">يركز الإصدار الأحدث (4.0 </w:t>
      </w:r>
      <w:r w:rsidRPr="00362D29">
        <w:rPr>
          <w:rFonts w:ascii="Traditional Arabic" w:eastAsia="Aptos" w:hAnsi="Traditional Arabic" w:cs="Traditional Arabic"/>
          <w:kern w:val="2"/>
          <w:sz w:val="24"/>
          <w:szCs w:val="24"/>
          <w14:ligatures w14:val="standardContextual"/>
        </w:rPr>
        <w:t>Beta</w:t>
      </w:r>
      <w:r w:rsidRPr="00362D29">
        <w:rPr>
          <w:rFonts w:ascii="Traditional Arabic" w:eastAsia="Aptos" w:hAnsi="Traditional Arabic" w:cs="Traditional Arabic"/>
          <w:kern w:val="2"/>
          <w:sz w:val="24"/>
          <w:szCs w:val="24"/>
          <w:rtl/>
          <w14:ligatures w14:val="standardContextual"/>
        </w:rPr>
        <w:t>) على تجربة المريض في آخر زيارة للعيادة، ويشمل محاور: سهولة الوصول إلى الرعاية، التواصل الفعال مع الطبيب، تنسيق الرعاية، تعامل موظفي الاستقبال، والتقييم العام للطبيب (</w:t>
      </w:r>
      <w:r w:rsidRPr="00362D29">
        <w:rPr>
          <w:rFonts w:ascii="Traditional Arabic" w:eastAsia="Aptos" w:hAnsi="Traditional Arabic" w:cs="Traditional Arabic"/>
          <w:kern w:val="2"/>
          <w:sz w:val="24"/>
          <w:szCs w:val="24"/>
          <w14:ligatures w14:val="standardContextual"/>
        </w:rPr>
        <w:t>AHRQ, 202</w:t>
      </w:r>
      <w:r w:rsidR="008D28AB" w:rsidRPr="00362D29">
        <w:rPr>
          <w:rFonts w:ascii="Traditional Arabic" w:eastAsia="Aptos" w:hAnsi="Traditional Arabic" w:cs="Traditional Arabic"/>
          <w:kern w:val="2"/>
          <w:sz w:val="24"/>
          <w:szCs w:val="24"/>
          <w14:ligatures w14:val="standardContextual"/>
        </w:rPr>
        <w:t>5</w:t>
      </w:r>
      <w:r w:rsidRPr="00362D29">
        <w:rPr>
          <w:rFonts w:ascii="Traditional Arabic" w:eastAsia="Aptos" w:hAnsi="Traditional Arabic" w:cs="Traditional Arabic"/>
          <w:kern w:val="2"/>
          <w:sz w:val="24"/>
          <w:szCs w:val="24"/>
          <w:rtl/>
          <w14:ligatures w14:val="standardContextual"/>
        </w:rPr>
        <w:t>).</w:t>
      </w:r>
    </w:p>
    <w:p w14:paraId="6C7F26FA" w14:textId="3CE17D79" w:rsidR="001F5AC5" w:rsidRPr="00362D29" w:rsidRDefault="001F5AC5"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•عدد الأسئلة: </w:t>
      </w:r>
      <w:r w:rsidRPr="00362D29">
        <w:rPr>
          <w:rFonts w:ascii="Traditional Arabic" w:eastAsia="Aptos" w:hAnsi="Traditional Arabic" w:cs="Traditional Arabic"/>
          <w:kern w:val="2"/>
          <w:sz w:val="24"/>
          <w:szCs w:val="24"/>
          <w:rtl/>
          <w14:ligatures w14:val="standardContextual"/>
        </w:rPr>
        <w:t>يضم الاستبيان الأساسي (</w:t>
      </w:r>
      <w:r w:rsidRPr="00362D29">
        <w:rPr>
          <w:rFonts w:ascii="Traditional Arabic" w:eastAsia="Aptos" w:hAnsi="Traditional Arabic" w:cs="Traditional Arabic"/>
          <w:kern w:val="2"/>
          <w:sz w:val="24"/>
          <w:szCs w:val="24"/>
          <w14:ligatures w14:val="standardContextual"/>
        </w:rPr>
        <w:t>Core Survey</w:t>
      </w:r>
      <w:r w:rsidRPr="00362D29">
        <w:rPr>
          <w:rFonts w:ascii="Traditional Arabic" w:eastAsia="Aptos" w:hAnsi="Traditional Arabic" w:cs="Traditional Arabic"/>
          <w:kern w:val="2"/>
          <w:sz w:val="24"/>
          <w:szCs w:val="24"/>
          <w:rtl/>
          <w14:ligatures w14:val="standardContextual"/>
        </w:rPr>
        <w:t>) حوالي 31 سؤالاً في نسخته المخصصة للزيارات، وقد يزيد العدد عند إضافة أسئلة تكميلية (</w:t>
      </w:r>
      <w:r w:rsidRPr="00362D29">
        <w:rPr>
          <w:rFonts w:ascii="Traditional Arabic" w:eastAsia="Aptos" w:hAnsi="Traditional Arabic" w:cs="Traditional Arabic"/>
          <w:kern w:val="2"/>
          <w:sz w:val="24"/>
          <w:szCs w:val="24"/>
          <w14:ligatures w14:val="standardContextual"/>
        </w:rPr>
        <w:t>Supplemental Items</w:t>
      </w:r>
      <w:r w:rsidRPr="00362D29">
        <w:rPr>
          <w:rFonts w:ascii="Traditional Arabic" w:eastAsia="Aptos" w:hAnsi="Traditional Arabic" w:cs="Traditional Arabic"/>
          <w:kern w:val="2"/>
          <w:sz w:val="24"/>
          <w:szCs w:val="24"/>
          <w:rtl/>
          <w14:ligatures w14:val="standardContextual"/>
        </w:rPr>
        <w:t>) حسب حاجة المنشأة (</w:t>
      </w:r>
      <w:r w:rsidRPr="00362D29">
        <w:rPr>
          <w:rFonts w:ascii="Traditional Arabic" w:eastAsia="Aptos" w:hAnsi="Traditional Arabic" w:cs="Traditional Arabic"/>
          <w:kern w:val="2"/>
          <w:sz w:val="24"/>
          <w:szCs w:val="24"/>
          <w14:ligatures w14:val="standardContextual"/>
        </w:rPr>
        <w:t>AHRQ, 202</w:t>
      </w:r>
      <w:r w:rsidR="008D28AB" w:rsidRPr="00362D29">
        <w:rPr>
          <w:rFonts w:ascii="Traditional Arabic" w:eastAsia="Aptos" w:hAnsi="Traditional Arabic" w:cs="Traditional Arabic"/>
          <w:kern w:val="2"/>
          <w:sz w:val="24"/>
          <w:szCs w:val="24"/>
          <w14:ligatures w14:val="standardContextual"/>
        </w:rPr>
        <w:t>5</w:t>
      </w:r>
      <w:r w:rsidRPr="00362D29">
        <w:rPr>
          <w:rFonts w:ascii="Traditional Arabic" w:eastAsia="Aptos" w:hAnsi="Traditional Arabic" w:cs="Traditional Arabic"/>
          <w:kern w:val="2"/>
          <w:sz w:val="24"/>
          <w:szCs w:val="24"/>
          <w:rtl/>
          <w14:ligatures w14:val="standardContextual"/>
        </w:rPr>
        <w:t>).</w:t>
      </w:r>
    </w:p>
    <w:p w14:paraId="650728A0" w14:textId="14D81C41" w:rsidR="001F5AC5" w:rsidRPr="00362D29" w:rsidRDefault="001F5AC5"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•طريقة التوزيع</w:t>
      </w:r>
      <w:r w:rsidRPr="00362D29">
        <w:rPr>
          <w:rFonts w:ascii="Traditional Arabic" w:eastAsia="Aptos" w:hAnsi="Traditional Arabic" w:cs="Traditional Arabic"/>
          <w:kern w:val="2"/>
          <w:sz w:val="24"/>
          <w:szCs w:val="24"/>
          <w:rtl/>
          <w14:ligatures w14:val="standardContextual"/>
        </w:rPr>
        <w:t>: يُوزع عبر البريد الورقي، أو الهاتف، أو عبر الروابط الرقمية (</w:t>
      </w:r>
      <w:r w:rsidRPr="00362D29">
        <w:rPr>
          <w:rFonts w:ascii="Traditional Arabic" w:eastAsia="Aptos" w:hAnsi="Traditional Arabic" w:cs="Traditional Arabic"/>
          <w:kern w:val="2"/>
          <w:sz w:val="24"/>
          <w:szCs w:val="24"/>
          <w14:ligatures w14:val="standardContextual"/>
        </w:rPr>
        <w:t>Email/SMS</w:t>
      </w:r>
      <w:r w:rsidRPr="00362D29">
        <w:rPr>
          <w:rFonts w:ascii="Traditional Arabic" w:eastAsia="Aptos" w:hAnsi="Traditional Arabic" w:cs="Traditional Arabic"/>
          <w:kern w:val="2"/>
          <w:sz w:val="24"/>
          <w:szCs w:val="24"/>
          <w:rtl/>
          <w14:ligatures w14:val="standardContextual"/>
        </w:rPr>
        <w:t>) التي توجه المريض لاستبيان عبر الويب (</w:t>
      </w:r>
      <w:r w:rsidRPr="00362D29">
        <w:rPr>
          <w:rFonts w:ascii="Traditional Arabic" w:eastAsia="Aptos" w:hAnsi="Traditional Arabic" w:cs="Traditional Arabic"/>
          <w:kern w:val="2"/>
          <w:sz w:val="24"/>
          <w:szCs w:val="24"/>
          <w14:ligatures w14:val="standardContextual"/>
        </w:rPr>
        <w:t>AHRQ, 202</w:t>
      </w:r>
      <w:r w:rsidR="008D28AB" w:rsidRPr="00362D29">
        <w:rPr>
          <w:rFonts w:ascii="Traditional Arabic" w:eastAsia="Aptos" w:hAnsi="Traditional Arabic" w:cs="Traditional Arabic"/>
          <w:kern w:val="2"/>
          <w:sz w:val="24"/>
          <w:szCs w:val="24"/>
          <w14:ligatures w14:val="standardContextual"/>
        </w:rPr>
        <w:t>5</w:t>
      </w:r>
      <w:r w:rsidRPr="00362D29">
        <w:rPr>
          <w:rFonts w:ascii="Traditional Arabic" w:eastAsia="Aptos" w:hAnsi="Traditional Arabic" w:cs="Traditional Arabic"/>
          <w:kern w:val="2"/>
          <w:sz w:val="24"/>
          <w:szCs w:val="24"/>
          <w:rtl/>
          <w14:ligatures w14:val="standardContextual"/>
        </w:rPr>
        <w:t>).</w:t>
      </w:r>
    </w:p>
    <w:p w14:paraId="5EAE6567" w14:textId="16F53A68" w:rsidR="001F5AC5" w:rsidRPr="00362D29" w:rsidRDefault="001F5AC5"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•توقيت التعبئة: </w:t>
      </w:r>
      <w:r w:rsidRPr="00362D29">
        <w:rPr>
          <w:rFonts w:ascii="Traditional Arabic" w:eastAsia="Aptos" w:hAnsi="Traditional Arabic" w:cs="Traditional Arabic"/>
          <w:kern w:val="2"/>
          <w:sz w:val="24"/>
          <w:szCs w:val="24"/>
          <w:rtl/>
          <w14:ligatures w14:val="standardContextual"/>
        </w:rPr>
        <w:t>يُفضل إرساله في أقرب وقت ممكن بعد الزيارة، وعادة ما يتم ذلك خلال 24 إلى 72 ساعة لضمان دقة استرجاع المريض لتفاصيل الزيارة، مع مهلة استجابة تصل إلى 4 أسابيع (</w:t>
      </w:r>
      <w:r w:rsidRPr="00362D29">
        <w:rPr>
          <w:rFonts w:ascii="Traditional Arabic" w:eastAsia="Aptos" w:hAnsi="Traditional Arabic" w:cs="Traditional Arabic"/>
          <w:kern w:val="2"/>
          <w:sz w:val="24"/>
          <w:szCs w:val="24"/>
          <w14:ligatures w14:val="standardContextual"/>
        </w:rPr>
        <w:t>AHRQ, 202</w:t>
      </w:r>
      <w:r w:rsidR="008D28AB" w:rsidRPr="00362D29">
        <w:rPr>
          <w:rFonts w:ascii="Traditional Arabic" w:eastAsia="Aptos" w:hAnsi="Traditional Arabic" w:cs="Traditional Arabic"/>
          <w:kern w:val="2"/>
          <w:sz w:val="24"/>
          <w:szCs w:val="24"/>
          <w14:ligatures w14:val="standardContextual"/>
        </w:rPr>
        <w:t>5</w:t>
      </w:r>
      <w:r w:rsidRPr="00362D29">
        <w:rPr>
          <w:rFonts w:ascii="Traditional Arabic" w:eastAsia="Aptos" w:hAnsi="Traditional Arabic" w:cs="Traditional Arabic"/>
          <w:kern w:val="2"/>
          <w:sz w:val="24"/>
          <w:szCs w:val="24"/>
          <w:rtl/>
          <w14:ligatures w14:val="standardContextual"/>
        </w:rPr>
        <w:t>).</w:t>
      </w:r>
    </w:p>
    <w:p w14:paraId="6375141B" w14:textId="77777777" w:rsidR="001F5AC5" w:rsidRPr="00362D29" w:rsidRDefault="001F5AC5"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•طريقة اختيار العينة: </w:t>
      </w:r>
      <w:r w:rsidRPr="00362D29">
        <w:rPr>
          <w:rFonts w:ascii="Traditional Arabic" w:eastAsia="Aptos" w:hAnsi="Traditional Arabic" w:cs="Traditional Arabic"/>
          <w:kern w:val="2"/>
          <w:sz w:val="24"/>
          <w:szCs w:val="24"/>
          <w:rtl/>
          <w14:ligatures w14:val="standardContextual"/>
        </w:rPr>
        <w:t>يتم اختيار المرضى عشوائياً من سجلات المواعيد المنفذة لضمان تمثيل كافة فئات المستفيدين (</w:t>
      </w:r>
      <w:r w:rsidRPr="00362D29">
        <w:rPr>
          <w:rFonts w:ascii="Traditional Arabic" w:eastAsia="Aptos" w:hAnsi="Traditional Arabic" w:cs="Traditional Arabic"/>
          <w:kern w:val="2"/>
          <w:sz w:val="24"/>
          <w:szCs w:val="24"/>
          <w14:ligatures w14:val="standardContextual"/>
        </w:rPr>
        <w:t>AHRQ, 2024</w:t>
      </w:r>
      <w:r w:rsidRPr="00362D29">
        <w:rPr>
          <w:rFonts w:ascii="Traditional Arabic" w:eastAsia="Aptos" w:hAnsi="Traditional Arabic" w:cs="Traditional Arabic"/>
          <w:kern w:val="2"/>
          <w:sz w:val="24"/>
          <w:szCs w:val="24"/>
          <w:rtl/>
          <w14:ligatures w14:val="standardContextual"/>
        </w:rPr>
        <w:t>).</w:t>
      </w:r>
    </w:p>
    <w:p w14:paraId="3CD2D5DE" w14:textId="0C930DC0" w:rsidR="007275D3" w:rsidRPr="00362D29" w:rsidRDefault="007275D3"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lastRenderedPageBreak/>
        <w:t>•نظام التقييم وإعداد التقارير</w:t>
      </w:r>
      <w:r w:rsidRPr="00362D29">
        <w:rPr>
          <w:rFonts w:ascii="Traditional Arabic" w:eastAsia="Aptos" w:hAnsi="Traditional Arabic" w:cs="Traditional Arabic"/>
          <w:b/>
          <w:bCs/>
          <w:kern w:val="2"/>
          <w:sz w:val="24"/>
          <w:szCs w:val="24"/>
          <w14:ligatures w14:val="standardContextual"/>
        </w:rPr>
        <w:t xml:space="preserve"> (Scoring &amp; Reporting):</w:t>
      </w:r>
    </w:p>
    <w:p w14:paraId="203596DD" w14:textId="72C1E7F4" w:rsidR="007275D3" w:rsidRPr="00362D29" w:rsidRDefault="007275D3"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يستخدم </w:t>
      </w:r>
      <w:r w:rsidRPr="00362D29">
        <w:rPr>
          <w:rFonts w:ascii="Traditional Arabic" w:eastAsia="Aptos" w:hAnsi="Traditional Arabic" w:cs="Traditional Arabic"/>
          <w:kern w:val="2"/>
          <w:sz w:val="24"/>
          <w:szCs w:val="24"/>
          <w14:ligatures w14:val="standardContextual"/>
        </w:rPr>
        <w:t>CG-CAHPS</w:t>
      </w:r>
      <w:r w:rsidRPr="00362D29">
        <w:rPr>
          <w:rFonts w:ascii="Traditional Arabic" w:eastAsia="Aptos" w:hAnsi="Traditional Arabic" w:cs="Traditional Arabic"/>
          <w:kern w:val="2"/>
          <w:sz w:val="24"/>
          <w:szCs w:val="24"/>
          <w:rtl/>
          <w14:ligatures w14:val="standardContextual"/>
        </w:rPr>
        <w:t xml:space="preserve"> نظام "أعلى صندوق" (</w:t>
      </w:r>
      <w:r w:rsidRPr="00362D29">
        <w:rPr>
          <w:rFonts w:ascii="Traditional Arabic" w:eastAsia="Aptos" w:hAnsi="Traditional Arabic" w:cs="Traditional Arabic"/>
          <w:kern w:val="2"/>
          <w:sz w:val="24"/>
          <w:szCs w:val="24"/>
          <w14:ligatures w14:val="standardContextual"/>
        </w:rPr>
        <w:t>Top-Box</w:t>
      </w:r>
      <w:r w:rsidRPr="00362D29">
        <w:rPr>
          <w:rFonts w:ascii="Traditional Arabic" w:eastAsia="Aptos" w:hAnsi="Traditional Arabic" w:cs="Traditional Arabic"/>
          <w:kern w:val="2"/>
          <w:sz w:val="24"/>
          <w:szCs w:val="24"/>
          <w:rtl/>
          <w14:ligatures w14:val="standardContextual"/>
        </w:rPr>
        <w:t>) لاحتساب الدرجات، مع إمكانية استخدام "المتوسط الحسابي الخطي" (</w:t>
      </w:r>
      <w:r w:rsidRPr="00362D29">
        <w:rPr>
          <w:rFonts w:ascii="Traditional Arabic" w:eastAsia="Aptos" w:hAnsi="Traditional Arabic" w:cs="Traditional Arabic"/>
          <w:kern w:val="2"/>
          <w:sz w:val="24"/>
          <w:szCs w:val="24"/>
          <w14:ligatures w14:val="standardContextual"/>
        </w:rPr>
        <w:t>Linear Mean Scores</w:t>
      </w:r>
      <w:r w:rsidRPr="00362D29">
        <w:rPr>
          <w:rFonts w:ascii="Traditional Arabic" w:eastAsia="Aptos" w:hAnsi="Traditional Arabic" w:cs="Traditional Arabic"/>
          <w:kern w:val="2"/>
          <w:sz w:val="24"/>
          <w:szCs w:val="24"/>
          <w:rtl/>
          <w14:ligatures w14:val="standardContextual"/>
        </w:rPr>
        <w:t>) للتحليلات الداخلية العميقة. يتم إعداد تقارير أداء دورية للأطباء والمجموعات الطبية تتضمن مقارنات معيارية (</w:t>
      </w:r>
      <w:r w:rsidRPr="00362D29">
        <w:rPr>
          <w:rFonts w:ascii="Traditional Arabic" w:eastAsia="Aptos" w:hAnsi="Traditional Arabic" w:cs="Traditional Arabic"/>
          <w:kern w:val="2"/>
          <w:sz w:val="24"/>
          <w:szCs w:val="24"/>
          <w14:ligatures w14:val="standardContextual"/>
        </w:rPr>
        <w:t>Benchmarking</w:t>
      </w:r>
      <w:r w:rsidRPr="00362D29">
        <w:rPr>
          <w:rFonts w:ascii="Traditional Arabic" w:eastAsia="Aptos" w:hAnsi="Traditional Arabic" w:cs="Traditional Arabic"/>
          <w:kern w:val="2"/>
          <w:sz w:val="24"/>
          <w:szCs w:val="24"/>
          <w:rtl/>
          <w14:ligatures w14:val="standardContextual"/>
        </w:rPr>
        <w:t>) مع مقدمي خدمة آخرين على المستوى الوطني. تُستخدم هذه النتائج غالباً في برامج الحوافز القائمة على القيمة (</w:t>
      </w:r>
      <w:r w:rsidRPr="00362D29">
        <w:rPr>
          <w:rFonts w:ascii="Traditional Arabic" w:eastAsia="Aptos" w:hAnsi="Traditional Arabic" w:cs="Traditional Arabic"/>
          <w:kern w:val="2"/>
          <w:sz w:val="24"/>
          <w:szCs w:val="24"/>
          <w14:ligatures w14:val="standardContextual"/>
        </w:rPr>
        <w:t>Value-Based Incentives</w:t>
      </w:r>
      <w:r w:rsidRPr="00362D29">
        <w:rPr>
          <w:rFonts w:ascii="Traditional Arabic" w:eastAsia="Aptos" w:hAnsi="Traditional Arabic" w:cs="Traditional Arabic"/>
          <w:kern w:val="2"/>
          <w:sz w:val="24"/>
          <w:szCs w:val="24"/>
          <w:rtl/>
          <w14:ligatures w14:val="standardContextual"/>
        </w:rPr>
        <w:t>) وفي تحسين العمليات التشغيلية داخل العيادات (</w:t>
      </w:r>
      <w:r w:rsidRPr="00362D29">
        <w:rPr>
          <w:rFonts w:ascii="Traditional Arabic" w:eastAsia="Aptos" w:hAnsi="Traditional Arabic" w:cs="Traditional Arabic"/>
          <w:kern w:val="2"/>
          <w:sz w:val="24"/>
          <w:szCs w:val="24"/>
          <w14:ligatures w14:val="standardContextual"/>
        </w:rPr>
        <w:t>AHRQ, 2025</w:t>
      </w:r>
      <w:r w:rsidRPr="00362D29">
        <w:rPr>
          <w:rFonts w:ascii="Traditional Arabic" w:eastAsia="Aptos" w:hAnsi="Traditional Arabic" w:cs="Traditional Arabic"/>
          <w:kern w:val="2"/>
          <w:sz w:val="24"/>
          <w:szCs w:val="24"/>
          <w:rtl/>
          <w14:ligatures w14:val="standardContextual"/>
        </w:rPr>
        <w:t xml:space="preserve">؛ </w:t>
      </w:r>
      <w:r w:rsidRPr="00362D29">
        <w:rPr>
          <w:rFonts w:ascii="Traditional Arabic" w:eastAsia="Aptos" w:hAnsi="Traditional Arabic" w:cs="Traditional Arabic"/>
          <w:kern w:val="2"/>
          <w:sz w:val="24"/>
          <w:szCs w:val="24"/>
          <w14:ligatures w14:val="standardContextual"/>
        </w:rPr>
        <w:t>Quigley et al., 2024</w:t>
      </w:r>
      <w:r w:rsidRPr="00362D29">
        <w:rPr>
          <w:rFonts w:ascii="Traditional Arabic" w:eastAsia="Aptos" w:hAnsi="Traditional Arabic" w:cs="Traditional Arabic"/>
          <w:kern w:val="2"/>
          <w:sz w:val="24"/>
          <w:szCs w:val="24"/>
          <w:rtl/>
          <w14:ligatures w14:val="standardContextual"/>
        </w:rPr>
        <w:t>).</w:t>
      </w:r>
    </w:p>
    <w:p w14:paraId="1D913B09" w14:textId="77777777" w:rsidR="001F5AC5" w:rsidRPr="00362D29" w:rsidRDefault="001F5AC5"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2. استبيان تجربة المريض الأوروبي (</w:t>
      </w:r>
      <w:r w:rsidRPr="00362D29">
        <w:rPr>
          <w:rFonts w:ascii="Traditional Arabic" w:eastAsia="Aptos" w:hAnsi="Traditional Arabic" w:cs="Traditional Arabic"/>
          <w:b/>
          <w:bCs/>
          <w:kern w:val="2"/>
          <w:sz w:val="24"/>
          <w:szCs w:val="24"/>
          <w14:ligatures w14:val="standardContextual"/>
        </w:rPr>
        <w:t>FFT - Friends and Family Test</w:t>
      </w:r>
      <w:r w:rsidRPr="00362D29">
        <w:rPr>
          <w:rFonts w:ascii="Traditional Arabic" w:eastAsia="Aptos" w:hAnsi="Traditional Arabic" w:cs="Traditional Arabic"/>
          <w:b/>
          <w:bCs/>
          <w:kern w:val="2"/>
          <w:sz w:val="24"/>
          <w:szCs w:val="24"/>
          <w:rtl/>
          <w14:ligatures w14:val="standardContextual"/>
        </w:rPr>
        <w:t>)</w:t>
      </w:r>
    </w:p>
    <w:p w14:paraId="16504FAF" w14:textId="365A8DD2" w:rsidR="00F32581" w:rsidRPr="00362D29" w:rsidRDefault="00FB59A0" w:rsidP="00362D29">
      <w:pPr>
        <w:bidi/>
        <w:spacing w:before="0" w:after="160" w:line="360" w:lineRule="auto"/>
        <w:jc w:val="both"/>
        <w:rPr>
          <w:rFonts w:ascii="Traditional Arabic" w:eastAsia="Aptos" w:hAnsi="Traditional Arabic" w:cs="Traditional Arabic"/>
          <w:kern w:val="2"/>
          <w:sz w:val="24"/>
          <w:szCs w:val="24"/>
          <w14:ligatures w14:val="standardContextual"/>
        </w:rPr>
      </w:pPr>
      <w:r w:rsidRPr="00362D29">
        <w:rPr>
          <w:rFonts w:ascii="Traditional Arabic" w:eastAsia="Aptos" w:hAnsi="Traditional Arabic" w:cs="Traditional Arabic"/>
          <w:b/>
          <w:bCs/>
          <w:kern w:val="2"/>
          <w:sz w:val="24"/>
          <w:szCs w:val="24"/>
          <w:rtl/>
          <w14:ligatures w14:val="standardContextual"/>
        </w:rPr>
        <w:t>•التعريف والمنشأ والهدف:</w:t>
      </w:r>
      <w:r w:rsidRPr="00362D29">
        <w:rPr>
          <w:rFonts w:ascii="Traditional Arabic" w:eastAsia="Aptos" w:hAnsi="Traditional Arabic" w:cs="Traditional Arabic"/>
          <w:kern w:val="2"/>
          <w:sz w:val="24"/>
          <w:szCs w:val="24"/>
          <w:rtl/>
          <w14:ligatures w14:val="standardContextual"/>
        </w:rPr>
        <w:t xml:space="preserve"> </w:t>
      </w:r>
      <w:r w:rsidR="00654206" w:rsidRPr="00362D29">
        <w:rPr>
          <w:rFonts w:ascii="Traditional Arabic" w:eastAsia="Aptos" w:hAnsi="Traditional Arabic" w:cs="Traditional Arabic"/>
          <w:kern w:val="2"/>
          <w:sz w:val="24"/>
          <w:szCs w:val="24"/>
          <w:rtl/>
          <w14:ligatures w14:val="standardContextual"/>
        </w:rPr>
        <w:t>يُ</w:t>
      </w:r>
      <w:r w:rsidR="00F32581" w:rsidRPr="00362D29">
        <w:rPr>
          <w:rFonts w:ascii="Traditional Arabic" w:eastAsia="Aptos" w:hAnsi="Traditional Arabic" w:cs="Traditional Arabic"/>
          <w:kern w:val="2"/>
          <w:sz w:val="24"/>
          <w:szCs w:val="24"/>
          <w:rtl/>
          <w14:ligatures w14:val="standardContextual"/>
        </w:rPr>
        <w:t>عد اختبار الأصدقاء والعائلة (</w:t>
      </w:r>
      <w:r w:rsidR="00F32581" w:rsidRPr="00362D29">
        <w:rPr>
          <w:rFonts w:ascii="Traditional Arabic" w:eastAsia="Aptos" w:hAnsi="Traditional Arabic" w:cs="Traditional Arabic"/>
          <w:kern w:val="2"/>
          <w:sz w:val="24"/>
          <w:szCs w:val="24"/>
          <w14:ligatures w14:val="standardContextual"/>
        </w:rPr>
        <w:t>FFT</w:t>
      </w:r>
      <w:r w:rsidR="00F32581" w:rsidRPr="00362D29">
        <w:rPr>
          <w:rFonts w:ascii="Traditional Arabic" w:eastAsia="Aptos" w:hAnsi="Traditional Arabic" w:cs="Traditional Arabic"/>
          <w:kern w:val="2"/>
          <w:sz w:val="24"/>
          <w:szCs w:val="24"/>
          <w:rtl/>
          <w14:ligatures w14:val="standardContextual"/>
        </w:rPr>
        <w:t>) أداة تقييم وطنية أطلقتها هيئة الخدمات الصحية الوطنية البريطانية (</w:t>
      </w:r>
      <w:r w:rsidR="00F32581" w:rsidRPr="00362D29">
        <w:rPr>
          <w:rFonts w:ascii="Traditional Arabic" w:eastAsia="Aptos" w:hAnsi="Traditional Arabic" w:cs="Traditional Arabic"/>
          <w:kern w:val="2"/>
          <w:sz w:val="24"/>
          <w:szCs w:val="24"/>
          <w14:ligatures w14:val="standardContextual"/>
        </w:rPr>
        <w:t>NHS</w:t>
      </w:r>
      <w:r w:rsidR="00F32581" w:rsidRPr="00362D29">
        <w:rPr>
          <w:rFonts w:ascii="Traditional Arabic" w:eastAsia="Aptos" w:hAnsi="Traditional Arabic" w:cs="Traditional Arabic"/>
          <w:kern w:val="2"/>
          <w:sz w:val="24"/>
          <w:szCs w:val="24"/>
          <w:rtl/>
          <w14:ligatures w14:val="standardContextual"/>
        </w:rPr>
        <w:t>) في عام 2013 كآلية لتقديم تغذية راجعة فورية ومستمرة حول جودة الرعاية (</w:t>
      </w:r>
      <w:r w:rsidR="00F32581" w:rsidRPr="00362D29">
        <w:rPr>
          <w:rFonts w:ascii="Traditional Arabic" w:eastAsia="Aptos" w:hAnsi="Traditional Arabic" w:cs="Traditional Arabic"/>
          <w:kern w:val="2"/>
          <w:sz w:val="24"/>
          <w:szCs w:val="24"/>
          <w14:ligatures w14:val="standardContextual"/>
        </w:rPr>
        <w:t>NHS, 2025</w:t>
      </w:r>
      <w:r w:rsidR="00F32581" w:rsidRPr="00362D29">
        <w:rPr>
          <w:rFonts w:ascii="Traditional Arabic" w:eastAsia="Aptos" w:hAnsi="Traditional Arabic" w:cs="Traditional Arabic"/>
          <w:kern w:val="2"/>
          <w:sz w:val="24"/>
          <w:szCs w:val="24"/>
          <w:rtl/>
          <w14:ligatures w14:val="standardContextual"/>
        </w:rPr>
        <w:t>). يهدف هذا الاستبيان إلى تمكين المرضى من التعبير عن آرائهم بطريقة بسيطة وسريعة</w:t>
      </w:r>
      <w:r w:rsidR="00654206" w:rsidRPr="00362D29">
        <w:rPr>
          <w:rFonts w:ascii="Traditional Arabic" w:eastAsia="Aptos" w:hAnsi="Traditional Arabic" w:cs="Traditional Arabic"/>
          <w:kern w:val="2"/>
          <w:sz w:val="24"/>
          <w:szCs w:val="24"/>
          <w:rtl/>
          <w14:ligatures w14:val="standardContextual"/>
        </w:rPr>
        <w:t xml:space="preserve"> وتقييم مدى احتمالية توصيتهم بالخدمة الصحية لأصدقائهم وعائلاتهم، مع إتاحة الفرصة لتقديم تعليقات نصية حرة. على الرغم من بساطته، يوفر </w:t>
      </w:r>
      <w:r w:rsidR="00654206" w:rsidRPr="00362D29">
        <w:rPr>
          <w:rFonts w:ascii="Traditional Arabic" w:eastAsia="Aptos" w:hAnsi="Traditional Arabic" w:cs="Traditional Arabic"/>
          <w:kern w:val="2"/>
          <w:sz w:val="24"/>
          <w:szCs w:val="24"/>
          <w14:ligatures w14:val="standardContextual"/>
        </w:rPr>
        <w:t>FFT</w:t>
      </w:r>
      <w:r w:rsidR="00654206" w:rsidRPr="00362D29">
        <w:rPr>
          <w:rFonts w:ascii="Traditional Arabic" w:eastAsia="Aptos" w:hAnsi="Traditional Arabic" w:cs="Traditional Arabic"/>
          <w:kern w:val="2"/>
          <w:sz w:val="24"/>
          <w:szCs w:val="24"/>
          <w:rtl/>
          <w14:ligatures w14:val="standardContextual"/>
        </w:rPr>
        <w:t xml:space="preserve"> مؤشراً سريعاً وفعالاً لمستوى رضا المرضى وتجربتهم، ويستخدم كأداة للمساءلة وتحسين الجودة على مستوى الخدمات الفردية والمؤسسات </w:t>
      </w:r>
      <w:r w:rsidR="00F32581" w:rsidRPr="00362D29">
        <w:rPr>
          <w:rFonts w:ascii="Traditional Arabic" w:eastAsia="Aptos" w:hAnsi="Traditional Arabic" w:cs="Traditional Arabic"/>
          <w:kern w:val="2"/>
          <w:sz w:val="24"/>
          <w:szCs w:val="24"/>
          <w:rtl/>
          <w14:ligatures w14:val="standardContextual"/>
        </w:rPr>
        <w:t>، مما يساعد المنشآت الصحية على تحديد مجالات التحسين الفوري وتعزيز الشفافية والمساءلة (</w:t>
      </w:r>
      <w:r w:rsidR="00F32581" w:rsidRPr="00362D29">
        <w:rPr>
          <w:rFonts w:ascii="Traditional Arabic" w:eastAsia="Aptos" w:hAnsi="Traditional Arabic" w:cs="Traditional Arabic"/>
          <w:kern w:val="2"/>
          <w:sz w:val="24"/>
          <w:szCs w:val="24"/>
          <w14:ligatures w14:val="standardContextual"/>
        </w:rPr>
        <w:t>NHS, 2026</w:t>
      </w:r>
      <w:r w:rsidR="00F32581" w:rsidRPr="00362D29">
        <w:rPr>
          <w:rFonts w:ascii="Traditional Arabic" w:eastAsia="Aptos" w:hAnsi="Traditional Arabic" w:cs="Traditional Arabic"/>
          <w:kern w:val="2"/>
          <w:sz w:val="24"/>
          <w:szCs w:val="24"/>
          <w:rtl/>
          <w14:ligatures w14:val="standardContextual"/>
        </w:rPr>
        <w:t>). وفيما يلي تفصيل لمواصفات هذا الاستبيان:</w:t>
      </w:r>
    </w:p>
    <w:p w14:paraId="220DB03D" w14:textId="77777777" w:rsidR="00F32581" w:rsidRPr="00362D29" w:rsidRDefault="00F32581"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•المكونات وآلية السؤال: </w:t>
      </w:r>
      <w:r w:rsidRPr="00362D29">
        <w:rPr>
          <w:rFonts w:ascii="Traditional Arabic" w:eastAsia="Aptos" w:hAnsi="Traditional Arabic" w:cs="Traditional Arabic"/>
          <w:kern w:val="2"/>
          <w:sz w:val="24"/>
          <w:szCs w:val="24"/>
          <w:rtl/>
          <w14:ligatures w14:val="standardContextual"/>
        </w:rPr>
        <w:t>يرتكز الاستبيان على سؤال جوهري واحد: "بناءً على تجربتك الإجمالية، ما مدى جودة الخدمة التي تلقيتها؟" (</w:t>
      </w:r>
      <w:r w:rsidRPr="00362D29">
        <w:rPr>
          <w:rFonts w:ascii="Traditional Arabic" w:eastAsia="Aptos" w:hAnsi="Traditional Arabic" w:cs="Traditional Arabic"/>
          <w:kern w:val="2"/>
          <w:sz w:val="24"/>
          <w:szCs w:val="24"/>
          <w14:ligatures w14:val="standardContextual"/>
        </w:rPr>
        <w:t>Overall, how was your experience of our service</w:t>
      </w:r>
      <w:r w:rsidRPr="00362D29">
        <w:rPr>
          <w:rFonts w:ascii="Traditional Arabic" w:eastAsia="Aptos" w:hAnsi="Traditional Arabic" w:cs="Traditional Arabic"/>
          <w:kern w:val="2"/>
          <w:sz w:val="24"/>
          <w:szCs w:val="24"/>
          <w:rtl/>
          <w14:ligatures w14:val="standardContextual"/>
        </w:rPr>
        <w:t>?). تتراوح الإجابات من "جيدة جداً" إلى "سيئة جداً". ويتبع هذا السؤال فقرة مفتوحة تتيح للمريض تقديم تعليقات نصية حرة (</w:t>
      </w:r>
      <w:r w:rsidRPr="00362D29">
        <w:rPr>
          <w:rFonts w:ascii="Traditional Arabic" w:eastAsia="Aptos" w:hAnsi="Traditional Arabic" w:cs="Traditional Arabic"/>
          <w:kern w:val="2"/>
          <w:sz w:val="24"/>
          <w:szCs w:val="24"/>
          <w14:ligatures w14:val="standardContextual"/>
        </w:rPr>
        <w:t>Free-text feedback</w:t>
      </w:r>
      <w:r w:rsidRPr="00362D29">
        <w:rPr>
          <w:rFonts w:ascii="Traditional Arabic" w:eastAsia="Aptos" w:hAnsi="Traditional Arabic" w:cs="Traditional Arabic"/>
          <w:kern w:val="2"/>
          <w:sz w:val="24"/>
          <w:szCs w:val="24"/>
          <w:rtl/>
          <w14:ligatures w14:val="standardContextual"/>
        </w:rPr>
        <w:t>) لشرح أسباب تقييمه، مما يوفر بيانات نوعية (</w:t>
      </w:r>
      <w:r w:rsidRPr="00362D29">
        <w:rPr>
          <w:rFonts w:ascii="Traditional Arabic" w:eastAsia="Aptos" w:hAnsi="Traditional Arabic" w:cs="Traditional Arabic"/>
          <w:kern w:val="2"/>
          <w:sz w:val="24"/>
          <w:szCs w:val="24"/>
          <w14:ligatures w14:val="standardContextual"/>
        </w:rPr>
        <w:t>Qualitative data</w:t>
      </w:r>
      <w:r w:rsidRPr="00362D29">
        <w:rPr>
          <w:rFonts w:ascii="Traditional Arabic" w:eastAsia="Aptos" w:hAnsi="Traditional Arabic" w:cs="Traditional Arabic"/>
          <w:kern w:val="2"/>
          <w:sz w:val="24"/>
          <w:szCs w:val="24"/>
          <w:rtl/>
          <w14:ligatures w14:val="standardContextual"/>
        </w:rPr>
        <w:t>) غنية تتجاوز مجرد الأرقام (</w:t>
      </w:r>
      <w:r w:rsidRPr="00362D29">
        <w:rPr>
          <w:rFonts w:ascii="Traditional Arabic" w:eastAsia="Aptos" w:hAnsi="Traditional Arabic" w:cs="Traditional Arabic"/>
          <w:kern w:val="2"/>
          <w:sz w:val="24"/>
          <w:szCs w:val="24"/>
          <w14:ligatures w14:val="standardContextual"/>
        </w:rPr>
        <w:t>NHS, 2025</w:t>
      </w:r>
      <w:r w:rsidRPr="00362D29">
        <w:rPr>
          <w:rFonts w:ascii="Traditional Arabic" w:eastAsia="Aptos" w:hAnsi="Traditional Arabic" w:cs="Traditional Arabic"/>
          <w:kern w:val="2"/>
          <w:sz w:val="24"/>
          <w:szCs w:val="24"/>
          <w:rtl/>
          <w14:ligatures w14:val="standardContextual"/>
        </w:rPr>
        <w:t xml:space="preserve">؛ </w:t>
      </w:r>
      <w:r w:rsidRPr="00362D29">
        <w:rPr>
          <w:rFonts w:ascii="Traditional Arabic" w:eastAsia="Aptos" w:hAnsi="Traditional Arabic" w:cs="Traditional Arabic"/>
          <w:kern w:val="2"/>
          <w:sz w:val="24"/>
          <w:szCs w:val="24"/>
          <w14:ligatures w14:val="standardContextual"/>
        </w:rPr>
        <w:t>Picker, 2025</w:t>
      </w:r>
      <w:r w:rsidRPr="00362D29">
        <w:rPr>
          <w:rFonts w:ascii="Traditional Arabic" w:eastAsia="Aptos" w:hAnsi="Traditional Arabic" w:cs="Traditional Arabic"/>
          <w:kern w:val="2"/>
          <w:sz w:val="24"/>
          <w:szCs w:val="24"/>
          <w:rtl/>
          <w14:ligatures w14:val="standardContextual"/>
        </w:rPr>
        <w:t>).</w:t>
      </w:r>
    </w:p>
    <w:p w14:paraId="022EC877" w14:textId="77777777" w:rsidR="00F32581" w:rsidRPr="00362D29" w:rsidRDefault="00F32581"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•طريقة التوزيع: </w:t>
      </w:r>
      <w:r w:rsidRPr="00362D29">
        <w:rPr>
          <w:rFonts w:ascii="Traditional Arabic" w:eastAsia="Aptos" w:hAnsi="Traditional Arabic" w:cs="Traditional Arabic"/>
          <w:kern w:val="2"/>
          <w:sz w:val="24"/>
          <w:szCs w:val="24"/>
          <w:rtl/>
          <w14:ligatures w14:val="standardContextual"/>
        </w:rPr>
        <w:t xml:space="preserve">يتميز </w:t>
      </w:r>
      <w:r w:rsidRPr="00362D29">
        <w:rPr>
          <w:rFonts w:ascii="Traditional Arabic" w:eastAsia="Aptos" w:hAnsi="Traditional Arabic" w:cs="Traditional Arabic"/>
          <w:kern w:val="2"/>
          <w:sz w:val="24"/>
          <w:szCs w:val="24"/>
          <w14:ligatures w14:val="standardContextual"/>
        </w:rPr>
        <w:t>FFT</w:t>
      </w:r>
      <w:r w:rsidRPr="00362D29">
        <w:rPr>
          <w:rFonts w:ascii="Traditional Arabic" w:eastAsia="Aptos" w:hAnsi="Traditional Arabic" w:cs="Traditional Arabic"/>
          <w:kern w:val="2"/>
          <w:sz w:val="24"/>
          <w:szCs w:val="24"/>
          <w:rtl/>
          <w14:ligatures w14:val="standardContextual"/>
        </w:rPr>
        <w:t xml:space="preserve"> بمرونة عالية في التوزيع لتناسب كافة فئات المرضى، حيث يمكن تقديمه عبر: البطاقات الورقية، الرسائل النصية القصيرة (</w:t>
      </w:r>
      <w:r w:rsidRPr="00362D29">
        <w:rPr>
          <w:rFonts w:ascii="Traditional Arabic" w:eastAsia="Aptos" w:hAnsi="Traditional Arabic" w:cs="Traditional Arabic"/>
          <w:kern w:val="2"/>
          <w:sz w:val="24"/>
          <w:szCs w:val="24"/>
          <w14:ligatures w14:val="standardContextual"/>
        </w:rPr>
        <w:t>SMS</w:t>
      </w:r>
      <w:r w:rsidRPr="00362D29">
        <w:rPr>
          <w:rFonts w:ascii="Traditional Arabic" w:eastAsia="Aptos" w:hAnsi="Traditional Arabic" w:cs="Traditional Arabic"/>
          <w:kern w:val="2"/>
          <w:sz w:val="24"/>
          <w:szCs w:val="24"/>
          <w:rtl/>
          <w14:ligatures w14:val="standardContextual"/>
        </w:rPr>
        <w:t>)، البريد الإلكتروني، أو الأجهزة اللوحية (</w:t>
      </w:r>
      <w:r w:rsidRPr="00362D29">
        <w:rPr>
          <w:rFonts w:ascii="Traditional Arabic" w:eastAsia="Aptos" w:hAnsi="Traditional Arabic" w:cs="Traditional Arabic"/>
          <w:kern w:val="2"/>
          <w:sz w:val="24"/>
          <w:szCs w:val="24"/>
          <w14:ligatures w14:val="standardContextual"/>
        </w:rPr>
        <w:t>Kiosks</w:t>
      </w:r>
      <w:r w:rsidRPr="00362D29">
        <w:rPr>
          <w:rFonts w:ascii="Traditional Arabic" w:eastAsia="Aptos" w:hAnsi="Traditional Arabic" w:cs="Traditional Arabic"/>
          <w:kern w:val="2"/>
          <w:sz w:val="24"/>
          <w:szCs w:val="24"/>
          <w:rtl/>
          <w14:ligatures w14:val="standardContextual"/>
        </w:rPr>
        <w:t>) الموجودة في مخارج الأقسام (</w:t>
      </w:r>
      <w:r w:rsidRPr="00362D29">
        <w:rPr>
          <w:rFonts w:ascii="Traditional Arabic" w:eastAsia="Aptos" w:hAnsi="Traditional Arabic" w:cs="Traditional Arabic"/>
          <w:kern w:val="2"/>
          <w:sz w:val="24"/>
          <w:szCs w:val="24"/>
          <w14:ligatures w14:val="standardContextual"/>
        </w:rPr>
        <w:t>NHS, 2025</w:t>
      </w:r>
      <w:r w:rsidRPr="00362D29">
        <w:rPr>
          <w:rFonts w:ascii="Traditional Arabic" w:eastAsia="Aptos" w:hAnsi="Traditional Arabic" w:cs="Traditional Arabic"/>
          <w:kern w:val="2"/>
          <w:sz w:val="24"/>
          <w:szCs w:val="24"/>
          <w:rtl/>
          <w14:ligatures w14:val="standardContextual"/>
        </w:rPr>
        <w:t>).</w:t>
      </w:r>
    </w:p>
    <w:p w14:paraId="57CD2877" w14:textId="77777777" w:rsidR="00F32581" w:rsidRPr="00362D29" w:rsidRDefault="00F32581"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•توقيت التعبئة: </w:t>
      </w:r>
      <w:r w:rsidRPr="00362D29">
        <w:rPr>
          <w:rFonts w:ascii="Traditional Arabic" w:eastAsia="Aptos" w:hAnsi="Traditional Arabic" w:cs="Traditional Arabic"/>
          <w:kern w:val="2"/>
          <w:sz w:val="24"/>
          <w:szCs w:val="24"/>
          <w:rtl/>
          <w14:ligatures w14:val="standardContextual"/>
        </w:rPr>
        <w:t>يُطلب من المريض تعبئة الاستبيان في نهاية رحلته العلاجية أو عند الخروج من المستشفى مباشرة، أو خلال 48 ساعة من تلقي الخدمة لضمان دقة الانطباعات اللحظية (</w:t>
      </w:r>
      <w:r w:rsidRPr="00362D29">
        <w:rPr>
          <w:rFonts w:ascii="Traditional Arabic" w:eastAsia="Aptos" w:hAnsi="Traditional Arabic" w:cs="Traditional Arabic"/>
          <w:kern w:val="2"/>
          <w:sz w:val="24"/>
          <w:szCs w:val="24"/>
          <w14:ligatures w14:val="standardContextual"/>
        </w:rPr>
        <w:t>NHS, 2026</w:t>
      </w:r>
      <w:r w:rsidRPr="00362D29">
        <w:rPr>
          <w:rFonts w:ascii="Traditional Arabic" w:eastAsia="Aptos" w:hAnsi="Traditional Arabic" w:cs="Traditional Arabic"/>
          <w:kern w:val="2"/>
          <w:sz w:val="24"/>
          <w:szCs w:val="24"/>
          <w:rtl/>
          <w14:ligatures w14:val="standardContextual"/>
        </w:rPr>
        <w:t>).</w:t>
      </w:r>
    </w:p>
    <w:p w14:paraId="6B2C4AA9" w14:textId="04C3B15A" w:rsidR="00F32581" w:rsidRPr="00362D29" w:rsidRDefault="00F32581"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•نظام التقييم وإعداد التقارير (</w:t>
      </w:r>
      <w:r w:rsidRPr="00362D29">
        <w:rPr>
          <w:rFonts w:ascii="Traditional Arabic" w:eastAsia="Aptos" w:hAnsi="Traditional Arabic" w:cs="Traditional Arabic"/>
          <w:b/>
          <w:bCs/>
          <w:kern w:val="2"/>
          <w:sz w:val="24"/>
          <w:szCs w:val="24"/>
          <w14:ligatures w14:val="standardContextual"/>
        </w:rPr>
        <w:t>Scoring</w:t>
      </w:r>
      <w:r w:rsidRPr="00362D29">
        <w:rPr>
          <w:rFonts w:ascii="Traditional Arabic" w:eastAsia="Aptos" w:hAnsi="Traditional Arabic" w:cs="Traditional Arabic"/>
          <w:b/>
          <w:bCs/>
          <w:kern w:val="2"/>
          <w:sz w:val="24"/>
          <w:szCs w:val="24"/>
          <w:rtl/>
          <w14:ligatures w14:val="standardContextual"/>
        </w:rPr>
        <w:t xml:space="preserve"> &amp; </w:t>
      </w:r>
      <w:r w:rsidRPr="00362D29">
        <w:rPr>
          <w:rFonts w:ascii="Traditional Arabic" w:eastAsia="Aptos" w:hAnsi="Traditional Arabic" w:cs="Traditional Arabic"/>
          <w:b/>
          <w:bCs/>
          <w:kern w:val="2"/>
          <w:sz w:val="24"/>
          <w:szCs w:val="24"/>
          <w14:ligatures w14:val="standardContextual"/>
        </w:rPr>
        <w:t>Reporting</w:t>
      </w:r>
      <w:r w:rsidRPr="00362D29">
        <w:rPr>
          <w:rFonts w:ascii="Traditional Arabic" w:eastAsia="Aptos" w:hAnsi="Traditional Arabic" w:cs="Traditional Arabic"/>
          <w:b/>
          <w:bCs/>
          <w:kern w:val="2"/>
          <w:sz w:val="24"/>
          <w:szCs w:val="24"/>
          <w:rtl/>
          <w14:ligatures w14:val="standardContextual"/>
        </w:rPr>
        <w:t xml:space="preserve">): </w:t>
      </w:r>
      <w:r w:rsidRPr="00362D29">
        <w:rPr>
          <w:rFonts w:ascii="Traditional Arabic" w:eastAsia="Aptos" w:hAnsi="Traditional Arabic" w:cs="Traditional Arabic"/>
          <w:kern w:val="2"/>
          <w:sz w:val="24"/>
          <w:szCs w:val="24"/>
          <w:rtl/>
          <w14:ligatures w14:val="standardContextual"/>
        </w:rPr>
        <w:t>يتم احتساب النتائج بناءً على نسبة الاستجابات الإيجابية (جيدة جداً وجيدة) من إجمالي عدد الردود. تُنشر هذه النتائج شهرياً على مستوى وطني عبر موقع (</w:t>
      </w:r>
      <w:r w:rsidRPr="00362D29">
        <w:rPr>
          <w:rFonts w:ascii="Traditional Arabic" w:eastAsia="Aptos" w:hAnsi="Traditional Arabic" w:cs="Traditional Arabic"/>
          <w:kern w:val="2"/>
          <w:sz w:val="24"/>
          <w:szCs w:val="24"/>
          <w14:ligatures w14:val="standardContextual"/>
        </w:rPr>
        <w:t>NHS England</w:t>
      </w:r>
      <w:r w:rsidRPr="00362D29">
        <w:rPr>
          <w:rFonts w:ascii="Traditional Arabic" w:eastAsia="Aptos" w:hAnsi="Traditional Arabic" w:cs="Traditional Arabic"/>
          <w:kern w:val="2"/>
          <w:sz w:val="24"/>
          <w:szCs w:val="24"/>
          <w:rtl/>
          <w14:ligatures w14:val="standardContextual"/>
        </w:rPr>
        <w:t xml:space="preserve">)، كما تلتزم كل منشأة </w:t>
      </w:r>
      <w:r w:rsidRPr="00362D29">
        <w:rPr>
          <w:rFonts w:ascii="Traditional Arabic" w:eastAsia="Aptos" w:hAnsi="Traditional Arabic" w:cs="Traditional Arabic"/>
          <w:kern w:val="2"/>
          <w:sz w:val="24"/>
          <w:szCs w:val="24"/>
          <w:rtl/>
          <w14:ligatures w14:val="standardContextual"/>
        </w:rPr>
        <w:lastRenderedPageBreak/>
        <w:t>صحية بعرض نتائجها في أماكن بارزة داخل الأقسام وعلى مواقعها الإلكترونية لضمان اطلاع المرضى والجمهور على مستوى الأداء (</w:t>
      </w:r>
      <w:r w:rsidRPr="00362D29">
        <w:rPr>
          <w:rFonts w:ascii="Traditional Arabic" w:eastAsia="Aptos" w:hAnsi="Traditional Arabic" w:cs="Traditional Arabic"/>
          <w:kern w:val="2"/>
          <w:sz w:val="24"/>
          <w:szCs w:val="24"/>
          <w14:ligatures w14:val="standardContextual"/>
        </w:rPr>
        <w:t>NHS, 2026</w:t>
      </w:r>
      <w:r w:rsidRPr="00362D29">
        <w:rPr>
          <w:rFonts w:ascii="Traditional Arabic" w:eastAsia="Aptos" w:hAnsi="Traditional Arabic" w:cs="Traditional Arabic"/>
          <w:kern w:val="2"/>
          <w:sz w:val="24"/>
          <w:szCs w:val="24"/>
          <w:rtl/>
          <w14:ligatures w14:val="standardContextual"/>
        </w:rPr>
        <w:t xml:space="preserve">؛ </w:t>
      </w:r>
      <w:r w:rsidRPr="00362D29">
        <w:rPr>
          <w:rFonts w:ascii="Traditional Arabic" w:eastAsia="Aptos" w:hAnsi="Traditional Arabic" w:cs="Traditional Arabic"/>
          <w:kern w:val="2"/>
          <w:sz w:val="24"/>
          <w:szCs w:val="24"/>
          <w14:ligatures w14:val="standardContextual"/>
        </w:rPr>
        <w:t>NHS England, 2025</w:t>
      </w:r>
      <w:r w:rsidRPr="00362D29">
        <w:rPr>
          <w:rFonts w:ascii="Traditional Arabic" w:eastAsia="Aptos" w:hAnsi="Traditional Arabic" w:cs="Traditional Arabic"/>
          <w:kern w:val="2"/>
          <w:sz w:val="24"/>
          <w:szCs w:val="24"/>
          <w:rtl/>
          <w14:ligatures w14:val="standardContextual"/>
        </w:rPr>
        <w:t>).</w:t>
      </w:r>
    </w:p>
    <w:p w14:paraId="7937C4D7" w14:textId="0ADA99A8" w:rsidR="001F5AC5" w:rsidRPr="00362D29" w:rsidRDefault="001F5AC5"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3. </w:t>
      </w:r>
      <w:r w:rsidR="00AD0248" w:rsidRPr="00362D29">
        <w:rPr>
          <w:rFonts w:ascii="Traditional Arabic" w:eastAsia="Aptos" w:hAnsi="Traditional Arabic" w:cs="Traditional Arabic"/>
          <w:b/>
          <w:bCs/>
          <w:kern w:val="2"/>
          <w:sz w:val="24"/>
          <w:szCs w:val="24"/>
          <w:rtl/>
          <w14:ligatures w14:val="standardContextual"/>
        </w:rPr>
        <w:t>منظومة بريس جاني (</w:t>
      </w:r>
      <w:r w:rsidR="00AD0248" w:rsidRPr="00362D29">
        <w:rPr>
          <w:rFonts w:ascii="Traditional Arabic" w:eastAsia="Aptos" w:hAnsi="Traditional Arabic" w:cs="Traditional Arabic"/>
          <w:b/>
          <w:bCs/>
          <w:kern w:val="2"/>
          <w:sz w:val="24"/>
          <w:szCs w:val="24"/>
          <w14:ligatures w14:val="standardContextual"/>
        </w:rPr>
        <w:t>Press Ganey</w:t>
      </w:r>
      <w:r w:rsidR="00AD0248" w:rsidRPr="00362D29">
        <w:rPr>
          <w:rFonts w:ascii="Traditional Arabic" w:eastAsia="Aptos" w:hAnsi="Traditional Arabic" w:cs="Traditional Arabic"/>
          <w:b/>
          <w:bCs/>
          <w:kern w:val="2"/>
          <w:sz w:val="24"/>
          <w:szCs w:val="24"/>
          <w:rtl/>
          <w14:ligatures w14:val="standardContextual"/>
        </w:rPr>
        <w:t>):</w:t>
      </w:r>
    </w:p>
    <w:p w14:paraId="6B876AE2" w14:textId="685CD57F" w:rsidR="001F5AC5" w:rsidRPr="00362D29" w:rsidRDefault="001F5AC5"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يُعد بريس جاني (</w:t>
      </w:r>
      <w:r w:rsidRPr="00362D29">
        <w:rPr>
          <w:rFonts w:ascii="Traditional Arabic" w:eastAsia="Aptos" w:hAnsi="Traditional Arabic" w:cs="Traditional Arabic"/>
          <w:b/>
          <w:bCs/>
          <w:kern w:val="2"/>
          <w:sz w:val="24"/>
          <w:szCs w:val="24"/>
          <w14:ligatures w14:val="standardContextual"/>
        </w:rPr>
        <w:t>Press Ganey</w:t>
      </w:r>
      <w:r w:rsidRPr="00362D29">
        <w:rPr>
          <w:rFonts w:ascii="Traditional Arabic" w:eastAsia="Aptos" w:hAnsi="Traditional Arabic" w:cs="Traditional Arabic"/>
          <w:b/>
          <w:bCs/>
          <w:kern w:val="2"/>
          <w:sz w:val="24"/>
          <w:szCs w:val="24"/>
          <w:rtl/>
          <w14:ligatures w14:val="standardContextual"/>
        </w:rPr>
        <w:t xml:space="preserve">) أحد أبرز مزودي حلول قياس وتحسين تجربة المريض في الولايات المتحدة الأمريكية والعالم. </w:t>
      </w:r>
      <w:r w:rsidRPr="00362D29">
        <w:rPr>
          <w:rFonts w:ascii="Traditional Arabic" w:eastAsia="Aptos" w:hAnsi="Traditional Arabic" w:cs="Traditional Arabic"/>
          <w:kern w:val="2"/>
          <w:sz w:val="24"/>
          <w:szCs w:val="24"/>
          <w:rtl/>
          <w14:ligatures w14:val="standardContextual"/>
        </w:rPr>
        <w:t xml:space="preserve">يقدم بريس جاني مجموعة شاملة من الاستبيانات والمنصات التحليلية التي تتجاوز مجرد جمع البيانات لتقديم رؤى قابلة للتنفيذ. يركز النموذج على تحليل البيانات من منظور المريض لتحديد المحركات الرئيسية للتجربة، ومقارنة الأداء مع المعايير المرجعية، وتقديم توصيات لتحسين الأداء السريري والتشغيلي. وتُستخدم حلول بريس جاني على نطاق واسع في المستشفيات والأنظمة الصحية لتحسين جودة الرعاية، وتعزيز مشاركة الموظفين، وتحقيق التميز في تجربة المريض </w:t>
      </w:r>
      <w:r w:rsidR="00CF1801" w:rsidRPr="00362D29">
        <w:rPr>
          <w:rFonts w:ascii="Traditional Arabic" w:eastAsia="Aptos" w:hAnsi="Traditional Arabic" w:cs="Traditional Arabic"/>
          <w:kern w:val="2"/>
          <w:sz w:val="24"/>
          <w:szCs w:val="24"/>
          <w:rtl/>
          <w14:ligatures w14:val="standardContextual"/>
        </w:rPr>
        <w:t xml:space="preserve">حيث تعمل مع أكثر من ٣٥.٠٠٠ منشأة صحية على مستوى العالم (تتضمن أكثر من ٥٠% من مستشفيات الولايات المتحدة الأمريكية)؛ بهدف تحسين مستوى الرعاية الصحية </w:t>
      </w:r>
      <w:r w:rsidRPr="00362D29">
        <w:rPr>
          <w:rFonts w:ascii="Traditional Arabic" w:eastAsia="Aptos" w:hAnsi="Traditional Arabic" w:cs="Traditional Arabic"/>
          <w:kern w:val="2"/>
          <w:sz w:val="24"/>
          <w:szCs w:val="24"/>
          <w:rtl/>
          <w14:ligatures w14:val="standardContextual"/>
        </w:rPr>
        <w:t>(</w:t>
      </w:r>
      <w:r w:rsidRPr="00362D29">
        <w:rPr>
          <w:rFonts w:ascii="Traditional Arabic" w:eastAsia="Aptos" w:hAnsi="Traditional Arabic" w:cs="Traditional Arabic"/>
          <w:kern w:val="2"/>
          <w:sz w:val="24"/>
          <w:szCs w:val="24"/>
          <w14:ligatures w14:val="standardContextual"/>
        </w:rPr>
        <w:t>Press Ganey, 202</w:t>
      </w:r>
      <w:r w:rsidR="00B407BE" w:rsidRPr="00362D29">
        <w:rPr>
          <w:rFonts w:ascii="Traditional Arabic" w:eastAsia="Aptos" w:hAnsi="Traditional Arabic" w:cs="Traditional Arabic"/>
          <w:kern w:val="2"/>
          <w:sz w:val="24"/>
          <w:szCs w:val="24"/>
          <w14:ligatures w14:val="standardContextual"/>
        </w:rPr>
        <w:t>5</w:t>
      </w:r>
      <w:r w:rsidRPr="00362D29">
        <w:rPr>
          <w:rFonts w:ascii="Traditional Arabic" w:eastAsia="Aptos" w:hAnsi="Traditional Arabic" w:cs="Traditional Arabic"/>
          <w:kern w:val="2"/>
          <w:sz w:val="24"/>
          <w:szCs w:val="24"/>
          <w:rtl/>
          <w14:ligatures w14:val="standardContextual"/>
        </w:rPr>
        <w:t>).</w:t>
      </w:r>
    </w:p>
    <w:p w14:paraId="6214C753" w14:textId="76879CE5" w:rsidR="00FC1CDB" w:rsidRPr="00362D29" w:rsidRDefault="00526E76"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تُعتبر</w:t>
      </w:r>
      <w:r w:rsidR="00FC1CDB" w:rsidRPr="00362D29">
        <w:rPr>
          <w:rFonts w:ascii="Traditional Arabic" w:eastAsia="Aptos" w:hAnsi="Traditional Arabic" w:cs="Traditional Arabic"/>
          <w:kern w:val="2"/>
          <w:sz w:val="24"/>
          <w:szCs w:val="24"/>
          <w:rtl/>
          <w14:ligatures w14:val="standardContextual"/>
        </w:rPr>
        <w:t xml:space="preserve"> بريس جاني (</w:t>
      </w:r>
      <w:r w:rsidR="00FC1CDB" w:rsidRPr="00362D29">
        <w:rPr>
          <w:rFonts w:ascii="Traditional Arabic" w:eastAsia="Aptos" w:hAnsi="Traditional Arabic" w:cs="Traditional Arabic"/>
          <w:kern w:val="2"/>
          <w:sz w:val="24"/>
          <w:szCs w:val="24"/>
          <w14:ligatures w14:val="standardContextual"/>
        </w:rPr>
        <w:t>Press Ganey</w:t>
      </w:r>
      <w:r w:rsidR="00FC1CDB" w:rsidRPr="00362D29">
        <w:rPr>
          <w:rFonts w:ascii="Traditional Arabic" w:eastAsia="Aptos" w:hAnsi="Traditional Arabic" w:cs="Traditional Arabic"/>
          <w:kern w:val="2"/>
          <w:sz w:val="24"/>
          <w:szCs w:val="24"/>
          <w:rtl/>
          <w14:ligatures w14:val="standardContextual"/>
        </w:rPr>
        <w:t xml:space="preserve">) المنظومة العالمية </w:t>
      </w:r>
      <w:r w:rsidR="0044631E" w:rsidRPr="00362D29">
        <w:rPr>
          <w:rFonts w:ascii="Traditional Arabic" w:eastAsia="Aptos" w:hAnsi="Traditional Arabic" w:cs="Traditional Arabic"/>
          <w:kern w:val="2"/>
          <w:sz w:val="24"/>
          <w:szCs w:val="24"/>
          <w:rtl/>
          <w14:ligatures w14:val="standardContextual"/>
        </w:rPr>
        <w:t xml:space="preserve">الرائدة </w:t>
      </w:r>
      <w:r w:rsidR="00FC1CDB" w:rsidRPr="00362D29">
        <w:rPr>
          <w:rFonts w:ascii="Traditional Arabic" w:eastAsia="Aptos" w:hAnsi="Traditional Arabic" w:cs="Traditional Arabic"/>
          <w:kern w:val="2"/>
          <w:sz w:val="24"/>
          <w:szCs w:val="24"/>
          <w:rtl/>
          <w14:ligatures w14:val="standardContextual"/>
        </w:rPr>
        <w:t xml:space="preserve">الأكثر تأثيراً في مجال قياس وتحسين "التجربة الإنسانية" في الرعاية الصحية. </w:t>
      </w:r>
      <w:r w:rsidR="00886A8A" w:rsidRPr="00362D29">
        <w:rPr>
          <w:rFonts w:ascii="Traditional Arabic" w:eastAsia="Aptos" w:hAnsi="Traditional Arabic" w:cs="Traditional Arabic"/>
          <w:kern w:val="2"/>
          <w:sz w:val="24"/>
          <w:szCs w:val="24"/>
          <w:rtl/>
          <w14:ligatures w14:val="standardContextual"/>
        </w:rPr>
        <w:t xml:space="preserve">تمتلك </w:t>
      </w:r>
      <w:r w:rsidR="006E6BA6" w:rsidRPr="00362D29">
        <w:rPr>
          <w:rFonts w:ascii="Traditional Arabic" w:eastAsia="Aptos" w:hAnsi="Traditional Arabic" w:cs="Traditional Arabic"/>
          <w:kern w:val="2"/>
          <w:sz w:val="24"/>
          <w:szCs w:val="24"/>
          <w:rtl/>
          <w14:ligatures w14:val="standardContextual"/>
        </w:rPr>
        <w:t>أكثر</w:t>
      </w:r>
      <w:r w:rsidR="00886A8A" w:rsidRPr="00362D29">
        <w:rPr>
          <w:rFonts w:ascii="Traditional Arabic" w:eastAsia="Aptos" w:hAnsi="Traditional Arabic" w:cs="Traditional Arabic"/>
          <w:kern w:val="2"/>
          <w:sz w:val="24"/>
          <w:szCs w:val="24"/>
          <w:rtl/>
          <w14:ligatures w14:val="standardContextual"/>
        </w:rPr>
        <w:t xml:space="preserve"> من ثلاثة عقود من البحوث والخبرات </w:t>
      </w:r>
      <w:r w:rsidR="004B0AB7" w:rsidRPr="00362D29">
        <w:rPr>
          <w:rFonts w:ascii="Traditional Arabic" w:eastAsia="Aptos" w:hAnsi="Traditional Arabic" w:cs="Traditional Arabic"/>
          <w:kern w:val="2"/>
          <w:sz w:val="24"/>
          <w:szCs w:val="24"/>
          <w:rtl/>
          <w14:ligatures w14:val="standardContextual"/>
        </w:rPr>
        <w:t>في هذا المجال ،</w:t>
      </w:r>
      <w:r w:rsidR="00FC1CDB" w:rsidRPr="00362D29">
        <w:rPr>
          <w:rFonts w:ascii="Traditional Arabic" w:eastAsia="Aptos" w:hAnsi="Traditional Arabic" w:cs="Traditional Arabic"/>
          <w:kern w:val="2"/>
          <w:sz w:val="24"/>
          <w:szCs w:val="24"/>
          <w:rtl/>
          <w14:ligatures w14:val="standardContextual"/>
        </w:rPr>
        <w:t>ولا تقتصر طبيعتها على كونها مجرد أداة، بل هي كيان متكامل يجمع بين ثلاثة أدوار جوهرية: فهي هيئة استشارية وبحثية رائدة تضع المعايير العالمية، ومنصة تقنية متطورة لجمع وتحليل البيانات الضخمة، ونموذج علمي مثبت لتحويل ملاحظات المرضى إلى خطط عمل استراتيجية (</w:t>
      </w:r>
      <w:r w:rsidR="00FC1CDB" w:rsidRPr="00362D29">
        <w:rPr>
          <w:rFonts w:ascii="Traditional Arabic" w:eastAsia="Aptos" w:hAnsi="Traditional Arabic" w:cs="Traditional Arabic"/>
          <w:kern w:val="2"/>
          <w:sz w:val="24"/>
          <w:szCs w:val="24"/>
          <w14:ligatures w14:val="standardContextual"/>
        </w:rPr>
        <w:t>Press Ganey, 2025</w:t>
      </w:r>
      <w:r w:rsidR="00FC1CDB" w:rsidRPr="00362D29">
        <w:rPr>
          <w:rFonts w:ascii="Traditional Arabic" w:eastAsia="Aptos" w:hAnsi="Traditional Arabic" w:cs="Traditional Arabic"/>
          <w:kern w:val="2"/>
          <w:sz w:val="24"/>
          <w:szCs w:val="24"/>
          <w:rtl/>
          <w14:ligatures w14:val="standardContextual"/>
        </w:rPr>
        <w:t>).</w:t>
      </w:r>
    </w:p>
    <w:p w14:paraId="0CAC0ED8" w14:textId="77777777" w:rsidR="00026252" w:rsidRPr="00362D29" w:rsidRDefault="00026252" w:rsidP="00362D29">
      <w:pPr>
        <w:bidi/>
        <w:spacing w:before="0" w:after="160" w:line="360" w:lineRule="auto"/>
        <w:jc w:val="both"/>
        <w:rPr>
          <w:rFonts w:ascii="Traditional Arabic" w:eastAsia="Aptos" w:hAnsi="Traditional Arabic" w:cs="Traditional Arabic"/>
          <w:kern w:val="2"/>
          <w:sz w:val="24"/>
          <w:szCs w:val="24"/>
          <w14:ligatures w14:val="standardContextual"/>
        </w:rPr>
      </w:pPr>
      <w:r w:rsidRPr="00362D29">
        <w:rPr>
          <w:rFonts w:ascii="Traditional Arabic" w:eastAsia="Aptos" w:hAnsi="Traditional Arabic" w:cs="Traditional Arabic"/>
          <w:kern w:val="2"/>
          <w:sz w:val="24"/>
          <w:szCs w:val="24"/>
          <w:rtl/>
          <w14:ligatures w14:val="standardContextual"/>
        </w:rPr>
        <w:t>منهجية القياس والنموذج العلمي: يعتمد نموذج بريس جاني على "تحليل المحركات الرئيسية" (</w:t>
      </w:r>
      <w:r w:rsidRPr="00362D29">
        <w:rPr>
          <w:rFonts w:ascii="Traditional Arabic" w:eastAsia="Aptos" w:hAnsi="Traditional Arabic" w:cs="Traditional Arabic"/>
          <w:kern w:val="2"/>
          <w:sz w:val="24"/>
          <w:szCs w:val="24"/>
          <w14:ligatures w14:val="standardContextual"/>
        </w:rPr>
        <w:t>Key Driver Analysis</w:t>
      </w:r>
      <w:r w:rsidRPr="00362D29">
        <w:rPr>
          <w:rFonts w:ascii="Traditional Arabic" w:eastAsia="Aptos" w:hAnsi="Traditional Arabic" w:cs="Traditional Arabic"/>
          <w:kern w:val="2"/>
          <w:sz w:val="24"/>
          <w:szCs w:val="24"/>
          <w:rtl/>
          <w14:ligatures w14:val="standardContextual"/>
        </w:rPr>
        <w:t xml:space="preserve">)، حيث لا يكتفي بقياس الرضا، بل يحدد العوامل الدقيقة التي تؤثر بشكل مباشر على ولاء المريض وتوصيته بالمنشأة. يتكامل هذا النموذج مع معايير </w:t>
      </w:r>
      <w:r w:rsidRPr="00362D29">
        <w:rPr>
          <w:rFonts w:ascii="Traditional Arabic" w:eastAsia="Aptos" w:hAnsi="Traditional Arabic" w:cs="Traditional Arabic"/>
          <w:kern w:val="2"/>
          <w:sz w:val="24"/>
          <w:szCs w:val="24"/>
          <w14:ligatures w14:val="standardContextual"/>
        </w:rPr>
        <w:t>CAHPS</w:t>
      </w:r>
      <w:r w:rsidRPr="00362D29">
        <w:rPr>
          <w:rFonts w:ascii="Traditional Arabic" w:eastAsia="Aptos" w:hAnsi="Traditional Arabic" w:cs="Traditional Arabic"/>
          <w:kern w:val="2"/>
          <w:sz w:val="24"/>
          <w:szCs w:val="24"/>
          <w:rtl/>
          <w14:ligatures w14:val="standardContextual"/>
        </w:rPr>
        <w:t xml:space="preserve"> العالمية، حيث يقوم بريس جاني بإدارة هذه الاستبيانات الرسمية مع إضافة أسئلة تخصصية معمقة توفر رؤى تفصيلية حول سلوكيات مقدمي الخدمة والعمليات التشغيلية (</w:t>
      </w:r>
      <w:r w:rsidRPr="00362D29">
        <w:rPr>
          <w:rFonts w:ascii="Traditional Arabic" w:eastAsia="Aptos" w:hAnsi="Traditional Arabic" w:cs="Traditional Arabic"/>
          <w:kern w:val="2"/>
          <w:sz w:val="24"/>
          <w:szCs w:val="24"/>
          <w14:ligatures w14:val="standardContextual"/>
        </w:rPr>
        <w:t>Press Ganey, 2025</w:t>
      </w:r>
      <w:r w:rsidRPr="00362D29">
        <w:rPr>
          <w:rFonts w:ascii="Traditional Arabic" w:eastAsia="Aptos" w:hAnsi="Traditional Arabic" w:cs="Traditional Arabic"/>
          <w:kern w:val="2"/>
          <w:sz w:val="24"/>
          <w:szCs w:val="24"/>
          <w:rtl/>
          <w14:ligatures w14:val="standardContextual"/>
        </w:rPr>
        <w:t xml:space="preserve">؛ </w:t>
      </w:r>
      <w:r w:rsidRPr="00362D29">
        <w:rPr>
          <w:rFonts w:ascii="Traditional Arabic" w:eastAsia="Aptos" w:hAnsi="Traditional Arabic" w:cs="Traditional Arabic"/>
          <w:kern w:val="2"/>
          <w:sz w:val="24"/>
          <w:szCs w:val="24"/>
          <w14:ligatures w14:val="standardContextual"/>
        </w:rPr>
        <w:t>Alhuseini et al., 2025</w:t>
      </w:r>
      <w:r w:rsidRPr="00362D29">
        <w:rPr>
          <w:rFonts w:ascii="Traditional Arabic" w:eastAsia="Aptos" w:hAnsi="Traditional Arabic" w:cs="Traditional Arabic"/>
          <w:kern w:val="2"/>
          <w:sz w:val="24"/>
          <w:szCs w:val="24"/>
          <w:rtl/>
          <w14:ligatures w14:val="standardContextual"/>
        </w:rPr>
        <w:t>).</w:t>
      </w:r>
    </w:p>
    <w:p w14:paraId="3FC21FB4" w14:textId="50F0A318" w:rsidR="00026252" w:rsidRPr="00362D29" w:rsidRDefault="00026252"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A52C05">
        <w:rPr>
          <w:rFonts w:ascii="Traditional Arabic" w:eastAsia="Aptos" w:hAnsi="Traditional Arabic" w:cs="Traditional Arabic"/>
          <w:b/>
          <w:bCs/>
          <w:kern w:val="2"/>
          <w:sz w:val="24"/>
          <w:szCs w:val="24"/>
          <w:rtl/>
          <w14:ligatures w14:val="standardContextual"/>
        </w:rPr>
        <w:t>•المنصة التحليلية والمقارنات المعيارية (</w:t>
      </w:r>
      <w:r w:rsidRPr="00A52C05">
        <w:rPr>
          <w:rFonts w:ascii="Traditional Arabic" w:eastAsia="Aptos" w:hAnsi="Traditional Arabic" w:cs="Traditional Arabic"/>
          <w:b/>
          <w:bCs/>
          <w:kern w:val="2"/>
          <w:sz w:val="24"/>
          <w:szCs w:val="24"/>
          <w14:ligatures w14:val="standardContextual"/>
        </w:rPr>
        <w:t>Benchmarking</w:t>
      </w:r>
      <w:r w:rsidRPr="00A52C05">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توفر منصة بريس جاني إمكانية مقارنة أداء المنشأة الصحية مع آلاف المنشآت المماثلة حول العالم، مما يمنح قادة الرعاية الصحية في المملكة أداة قوية لتحديد الفجوات في الأداء ووضع مستهدفات طموحة تتماشى مع رؤية المملكة 2030 في رفع جودة الخدمات الصحية (</w:t>
      </w:r>
      <w:r w:rsidRPr="00362D29">
        <w:rPr>
          <w:rFonts w:ascii="Traditional Arabic" w:eastAsia="Aptos" w:hAnsi="Traditional Arabic" w:cs="Traditional Arabic"/>
          <w:kern w:val="2"/>
          <w:sz w:val="24"/>
          <w:szCs w:val="24"/>
          <w14:ligatures w14:val="standardContextual"/>
        </w:rPr>
        <w:t>Aljo Hani et al., 2025</w:t>
      </w:r>
      <w:r w:rsidRPr="00362D29">
        <w:rPr>
          <w:rFonts w:ascii="Traditional Arabic" w:eastAsia="Aptos" w:hAnsi="Traditional Arabic" w:cs="Traditional Arabic"/>
          <w:kern w:val="2"/>
          <w:sz w:val="24"/>
          <w:szCs w:val="24"/>
          <w:rtl/>
          <w14:ligatures w14:val="standardContextual"/>
        </w:rPr>
        <w:t xml:space="preserve">؛ </w:t>
      </w:r>
      <w:r w:rsidRPr="00362D29">
        <w:rPr>
          <w:rFonts w:ascii="Traditional Arabic" w:eastAsia="Aptos" w:hAnsi="Traditional Arabic" w:cs="Traditional Arabic"/>
          <w:kern w:val="2"/>
          <w:sz w:val="24"/>
          <w:szCs w:val="24"/>
          <w14:ligatures w14:val="standardContextual"/>
        </w:rPr>
        <w:t>Press Ganey, 2024</w:t>
      </w:r>
      <w:r w:rsidRPr="00362D29">
        <w:rPr>
          <w:rFonts w:ascii="Traditional Arabic" w:eastAsia="Aptos" w:hAnsi="Traditional Arabic" w:cs="Traditional Arabic"/>
          <w:kern w:val="2"/>
          <w:sz w:val="24"/>
          <w:szCs w:val="24"/>
          <w:rtl/>
          <w14:ligatures w14:val="standardContextual"/>
        </w:rPr>
        <w:t>).</w:t>
      </w:r>
    </w:p>
    <w:p w14:paraId="15470ED1" w14:textId="77777777" w:rsidR="00026252" w:rsidRPr="00362D29" w:rsidRDefault="00026252"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A52C05">
        <w:rPr>
          <w:rFonts w:ascii="Traditional Arabic" w:eastAsia="Aptos" w:hAnsi="Traditional Arabic" w:cs="Traditional Arabic"/>
          <w:b/>
          <w:bCs/>
          <w:kern w:val="2"/>
          <w:sz w:val="24"/>
          <w:szCs w:val="24"/>
          <w:rtl/>
          <w14:ligatures w14:val="standardContextual"/>
        </w:rPr>
        <w:t>•التحول نحو التجربة الإنسانية الشاملة:</w:t>
      </w:r>
      <w:r w:rsidRPr="00362D29">
        <w:rPr>
          <w:rFonts w:ascii="Traditional Arabic" w:eastAsia="Aptos" w:hAnsi="Traditional Arabic" w:cs="Traditional Arabic"/>
          <w:kern w:val="2"/>
          <w:sz w:val="24"/>
          <w:szCs w:val="24"/>
          <w:rtl/>
          <w14:ligatures w14:val="standardContextual"/>
        </w:rPr>
        <w:t xml:space="preserve"> في عام 2025، وسع بريس جاني نموذجه ليشمل "التجربة الإنسانية الشاملة"، التي تربط بين تجربة المريض، وسلامة المرضى، ومشاركة الموظفين، والفعالية السريرية، مؤكداً أن تحسين تجربة المريض لا ينفصل عن جودة بيئة العمل وسلامة الرعاية المقدمة (</w:t>
      </w:r>
      <w:r w:rsidRPr="00362D29">
        <w:rPr>
          <w:rFonts w:ascii="Traditional Arabic" w:eastAsia="Aptos" w:hAnsi="Traditional Arabic" w:cs="Traditional Arabic"/>
          <w:kern w:val="2"/>
          <w:sz w:val="24"/>
          <w:szCs w:val="24"/>
          <w14:ligatures w14:val="standardContextual"/>
        </w:rPr>
        <w:t>Press Ganey, 2025</w:t>
      </w:r>
      <w:r w:rsidRPr="00362D29">
        <w:rPr>
          <w:rFonts w:ascii="Traditional Arabic" w:eastAsia="Aptos" w:hAnsi="Traditional Arabic" w:cs="Traditional Arabic"/>
          <w:kern w:val="2"/>
          <w:sz w:val="24"/>
          <w:szCs w:val="24"/>
          <w:rtl/>
          <w14:ligatures w14:val="standardContextual"/>
        </w:rPr>
        <w:t>).</w:t>
      </w:r>
    </w:p>
    <w:p w14:paraId="005193EE" w14:textId="77777777" w:rsidR="00454581" w:rsidRPr="00362D29" w:rsidRDefault="00454581" w:rsidP="00362D29">
      <w:pPr>
        <w:bidi/>
        <w:spacing w:before="0" w:after="160" w:line="360" w:lineRule="auto"/>
        <w:jc w:val="both"/>
        <w:rPr>
          <w:rFonts w:ascii="Traditional Arabic" w:eastAsia="Aptos" w:hAnsi="Traditional Arabic" w:cs="Traditional Arabic"/>
          <w:kern w:val="2"/>
          <w:sz w:val="24"/>
          <w:szCs w:val="24"/>
          <w14:ligatures w14:val="standardContextual"/>
        </w:rPr>
      </w:pPr>
    </w:p>
    <w:p w14:paraId="1B94AAAA" w14:textId="51F628EF" w:rsidR="00F16B8E" w:rsidRPr="00362D29" w:rsidRDefault="00F16B8E" w:rsidP="00362D29">
      <w:pPr>
        <w:bidi/>
        <w:spacing w:before="0" w:after="160" w:line="360" w:lineRule="auto"/>
        <w:jc w:val="both"/>
        <w:rPr>
          <w:rFonts w:ascii="Traditional Arabic" w:eastAsia="Aptos" w:hAnsi="Traditional Arabic" w:cs="Traditional Arabic"/>
          <w:b/>
          <w:bCs/>
          <w:kern w:val="2"/>
          <w:sz w:val="32"/>
          <w:szCs w:val="32"/>
          <w14:ligatures w14:val="standardContextual"/>
        </w:rPr>
      </w:pPr>
      <w:r w:rsidRPr="00362D29">
        <w:rPr>
          <w:rFonts w:ascii="Traditional Arabic" w:eastAsia="Aptos" w:hAnsi="Traditional Arabic" w:cs="Traditional Arabic"/>
          <w:b/>
          <w:bCs/>
          <w:kern w:val="2"/>
          <w:sz w:val="32"/>
          <w:szCs w:val="32"/>
          <w:rtl/>
          <w14:ligatures w14:val="standardContextual"/>
        </w:rPr>
        <w:lastRenderedPageBreak/>
        <w:t>عاشرا:</w:t>
      </w:r>
      <w:r w:rsidRPr="00362D29">
        <w:rPr>
          <w:rFonts w:ascii="Traditional Arabic" w:eastAsia="Times New Roman" w:hAnsi="Traditional Arabic" w:cs="Traditional Arabic"/>
          <w:b/>
          <w:bCs/>
          <w:kern w:val="36"/>
          <w:sz w:val="32"/>
          <w:szCs w:val="32"/>
          <w:rtl/>
        </w:rPr>
        <w:t xml:space="preserve"> </w:t>
      </w:r>
      <w:r w:rsidRPr="00362D29">
        <w:rPr>
          <w:rFonts w:ascii="Traditional Arabic" w:eastAsia="Aptos" w:hAnsi="Traditional Arabic" w:cs="Traditional Arabic"/>
          <w:b/>
          <w:bCs/>
          <w:kern w:val="2"/>
          <w:sz w:val="32"/>
          <w:szCs w:val="32"/>
          <w:rtl/>
          <w14:ligatures w14:val="standardContextual"/>
        </w:rPr>
        <w:t>تحسين تجربة المريض (</w:t>
      </w:r>
      <w:r w:rsidRPr="00362D29">
        <w:rPr>
          <w:rFonts w:ascii="Traditional Arabic" w:eastAsia="Aptos" w:hAnsi="Traditional Arabic" w:cs="Traditional Arabic"/>
          <w:b/>
          <w:bCs/>
          <w:kern w:val="2"/>
          <w:sz w:val="32"/>
          <w:szCs w:val="32"/>
          <w14:ligatures w14:val="standardContextual"/>
        </w:rPr>
        <w:t>Patient Experience Improvement</w:t>
      </w:r>
      <w:r w:rsidRPr="00362D29">
        <w:rPr>
          <w:rFonts w:ascii="Traditional Arabic" w:eastAsia="Aptos" w:hAnsi="Traditional Arabic" w:cs="Traditional Arabic"/>
          <w:b/>
          <w:bCs/>
          <w:kern w:val="2"/>
          <w:sz w:val="32"/>
          <w:szCs w:val="32"/>
          <w:rtl/>
          <w14:ligatures w14:val="standardContextual"/>
        </w:rPr>
        <w:t>)</w:t>
      </w:r>
    </w:p>
    <w:p w14:paraId="13567B5F" w14:textId="66B0CF65" w:rsidR="007D6210" w:rsidRPr="00362D29" w:rsidRDefault="007D6210" w:rsidP="00362D29">
      <w:pPr>
        <w:pStyle w:val="ab"/>
        <w:numPr>
          <w:ilvl w:val="0"/>
          <w:numId w:val="69"/>
        </w:numPr>
        <w:bidi/>
        <w:spacing w:before="0" w:after="160" w:line="360" w:lineRule="auto"/>
        <w:jc w:val="both"/>
        <w:rPr>
          <w:rFonts w:ascii="Traditional Arabic" w:eastAsia="Aptos" w:hAnsi="Traditional Arabic" w:cs="Traditional Arabic"/>
          <w:b/>
          <w:bCs/>
          <w:kern w:val="2"/>
          <w:sz w:val="28"/>
          <w:szCs w:val="28"/>
          <w:rtl/>
          <w14:ligatures w14:val="standardContextual"/>
        </w:rPr>
      </w:pPr>
      <w:r w:rsidRPr="00362D29">
        <w:rPr>
          <w:rFonts w:ascii="Traditional Arabic" w:eastAsia="Aptos" w:hAnsi="Traditional Arabic" w:cs="Traditional Arabic"/>
          <w:b/>
          <w:bCs/>
          <w:kern w:val="2"/>
          <w:sz w:val="28"/>
          <w:szCs w:val="28"/>
          <w:rtl/>
          <w14:ligatures w14:val="standardContextual"/>
        </w:rPr>
        <w:t>تعريف تحسين تجربة المريض</w:t>
      </w:r>
    </w:p>
    <w:p w14:paraId="3163F6CD" w14:textId="134F41D2"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يُعد تحسين تجربة المريض عملية استراتيجية مستمرة تتجاوز مجرد قياس الرضا، لتشمل إعادة تصميم العمليات الصحية بناءً على احتياجات وتوقعات المرضى وعائلاتهم. تهدف هذه العملية إلى ضمان تقديم رعاية صحية تتسم بالكرامة، والتعاطف، والفعالية، بما يتماشى مع أهداف الجودة الشاملة </w:t>
      </w:r>
      <w:r w:rsidR="002659D6" w:rsidRPr="00362D29">
        <w:rPr>
          <w:rFonts w:ascii="Traditional Arabic" w:eastAsia="Aptos" w:hAnsi="Traditional Arabic" w:cs="Traditional Arabic"/>
          <w:kern w:val="2"/>
          <w:sz w:val="24"/>
          <w:szCs w:val="24"/>
          <w:rtl/>
          <w14:ligatures w14:val="standardContextual"/>
        </w:rPr>
        <w:t>(</w:t>
      </w:r>
      <w:r w:rsidR="002659D6" w:rsidRPr="00362D29">
        <w:rPr>
          <w:rFonts w:ascii="Traditional Arabic" w:eastAsia="Aptos" w:hAnsi="Traditional Arabic" w:cs="Traditional Arabic"/>
          <w:kern w:val="2"/>
          <w:sz w:val="24"/>
          <w:szCs w:val="24"/>
          <w14:ligatures w14:val="standardContextual"/>
        </w:rPr>
        <w:t>Health Academy, 2022</w:t>
      </w:r>
      <w:r w:rsidR="002659D6" w:rsidRPr="00362D29">
        <w:rPr>
          <w:rFonts w:ascii="Traditional Arabic" w:eastAsia="Aptos" w:hAnsi="Traditional Arabic" w:cs="Traditional Arabic"/>
          <w:kern w:val="2"/>
          <w:sz w:val="24"/>
          <w:szCs w:val="24"/>
          <w:rtl/>
          <w14:ligatures w14:val="standardContextual"/>
        </w:rPr>
        <w:t>).</w:t>
      </w:r>
    </w:p>
    <w:p w14:paraId="62FFF568" w14:textId="764D402F" w:rsidR="00F16B8E" w:rsidRPr="00362D29" w:rsidRDefault="00F16B8E" w:rsidP="00362D29">
      <w:pPr>
        <w:pStyle w:val="ab"/>
        <w:numPr>
          <w:ilvl w:val="0"/>
          <w:numId w:val="69"/>
        </w:numPr>
        <w:bidi/>
        <w:spacing w:before="0" w:after="160" w:line="360" w:lineRule="auto"/>
        <w:jc w:val="both"/>
        <w:rPr>
          <w:rFonts w:ascii="Traditional Arabic" w:eastAsia="Aptos" w:hAnsi="Traditional Arabic" w:cs="Traditional Arabic"/>
          <w:b/>
          <w:bCs/>
          <w:kern w:val="2"/>
          <w:sz w:val="28"/>
          <w:szCs w:val="28"/>
          <w:rtl/>
          <w14:ligatures w14:val="standardContextual"/>
        </w:rPr>
      </w:pPr>
      <w:r w:rsidRPr="00362D29">
        <w:rPr>
          <w:rFonts w:ascii="Traditional Arabic" w:eastAsia="Aptos" w:hAnsi="Traditional Arabic" w:cs="Traditional Arabic"/>
          <w:b/>
          <w:bCs/>
          <w:kern w:val="2"/>
          <w:sz w:val="28"/>
          <w:szCs w:val="28"/>
          <w:rtl/>
          <w14:ligatures w14:val="standardContextual"/>
        </w:rPr>
        <w:t>أهمية تحسين تجربة المريض</w:t>
      </w:r>
    </w:p>
    <w:p w14:paraId="107675F2" w14:textId="77777777"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لا تقتصر أهمية تحسين تجربة المريض على الجوانب الإنسانية فحسب، بل تمتد لتشمل المخرجات السريرية والأداء المؤسسي، حيث تشير الدراسات إلى أن تحسين التجربة يؤدي إلى:</w:t>
      </w:r>
    </w:p>
    <w:p w14:paraId="2B976C41" w14:textId="77777777"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•تحسين النتائج الصحية:</w:t>
      </w:r>
      <w:r w:rsidRPr="00362D29">
        <w:rPr>
          <w:rFonts w:ascii="Traditional Arabic" w:eastAsia="Aptos" w:hAnsi="Traditional Arabic" w:cs="Traditional Arabic"/>
          <w:kern w:val="2"/>
          <w:sz w:val="24"/>
          <w:szCs w:val="24"/>
          <w:rtl/>
          <w14:ligatures w14:val="standardContextual"/>
        </w:rPr>
        <w:t xml:space="preserve"> يرتبط الالتزام بالخطة العلاجية والنتائج السريرية الإيجابية بجودة التجربة التي يعيشها المريض (</w:t>
      </w:r>
      <w:r w:rsidRPr="00362D29">
        <w:rPr>
          <w:rFonts w:ascii="Traditional Arabic" w:eastAsia="Aptos" w:hAnsi="Traditional Arabic" w:cs="Traditional Arabic"/>
          <w:kern w:val="2"/>
          <w:sz w:val="24"/>
          <w:szCs w:val="24"/>
          <w14:ligatures w14:val="standardContextual"/>
        </w:rPr>
        <w:t>AHRQ, 2025</w:t>
      </w:r>
      <w:r w:rsidRPr="00362D29">
        <w:rPr>
          <w:rFonts w:ascii="Traditional Arabic" w:eastAsia="Aptos" w:hAnsi="Traditional Arabic" w:cs="Traditional Arabic"/>
          <w:kern w:val="2"/>
          <w:sz w:val="24"/>
          <w:szCs w:val="24"/>
          <w:rtl/>
          <w14:ligatures w14:val="standardContextual"/>
        </w:rPr>
        <w:t>).</w:t>
      </w:r>
    </w:p>
    <w:p w14:paraId="6B20BAF3" w14:textId="77777777"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•سلامة المرضى:</w:t>
      </w:r>
      <w:r w:rsidRPr="00362D29">
        <w:rPr>
          <w:rFonts w:ascii="Traditional Arabic" w:eastAsia="Aptos" w:hAnsi="Traditional Arabic" w:cs="Traditional Arabic"/>
          <w:kern w:val="2"/>
          <w:sz w:val="24"/>
          <w:szCs w:val="24"/>
          <w:rtl/>
          <w14:ligatures w14:val="standardContextual"/>
        </w:rPr>
        <w:t xml:space="preserve"> تساهم التجربة الإيجابية القائمة على التواصل الفعال في تقليل الأخطاء الطبية وزيادة وعي المريض بمخاطر العلاج (</w:t>
      </w:r>
      <w:r w:rsidRPr="00362D29">
        <w:rPr>
          <w:rFonts w:ascii="Traditional Arabic" w:eastAsia="Aptos" w:hAnsi="Traditional Arabic" w:cs="Traditional Arabic"/>
          <w:kern w:val="2"/>
          <w:sz w:val="24"/>
          <w:szCs w:val="24"/>
          <w14:ligatures w14:val="standardContextual"/>
        </w:rPr>
        <w:t>Institute of Medicine, 2001</w:t>
      </w:r>
      <w:r w:rsidRPr="00362D29">
        <w:rPr>
          <w:rFonts w:ascii="Traditional Arabic" w:eastAsia="Aptos" w:hAnsi="Traditional Arabic" w:cs="Traditional Arabic"/>
          <w:kern w:val="2"/>
          <w:sz w:val="24"/>
          <w:szCs w:val="24"/>
          <w:rtl/>
          <w14:ligatures w14:val="standardContextual"/>
        </w:rPr>
        <w:t>).</w:t>
      </w:r>
    </w:p>
    <w:p w14:paraId="61B0E51A" w14:textId="77777777"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•الكفاءة التشغيلية:</w:t>
      </w:r>
      <w:r w:rsidRPr="00362D29">
        <w:rPr>
          <w:rFonts w:ascii="Traditional Arabic" w:eastAsia="Aptos" w:hAnsi="Traditional Arabic" w:cs="Traditional Arabic"/>
          <w:kern w:val="2"/>
          <w:sz w:val="24"/>
          <w:szCs w:val="24"/>
          <w:rtl/>
          <w14:ligatures w14:val="standardContextual"/>
        </w:rPr>
        <w:t xml:space="preserve"> يقلل تحسين العمليات من فترات الانتظار وهدر الموارد، مما ينعكس إيجاباً على التكاليف الإجمالية (</w:t>
      </w:r>
      <w:r w:rsidRPr="00362D29">
        <w:rPr>
          <w:rFonts w:ascii="Traditional Arabic" w:eastAsia="Aptos" w:hAnsi="Traditional Arabic" w:cs="Traditional Arabic"/>
          <w:kern w:val="2"/>
          <w:sz w:val="24"/>
          <w:szCs w:val="24"/>
          <w14:ligatures w14:val="standardContextual"/>
        </w:rPr>
        <w:t>Press Ganey, 2025</w:t>
      </w:r>
      <w:r w:rsidRPr="00362D29">
        <w:rPr>
          <w:rFonts w:ascii="Traditional Arabic" w:eastAsia="Aptos" w:hAnsi="Traditional Arabic" w:cs="Traditional Arabic"/>
          <w:kern w:val="2"/>
          <w:sz w:val="24"/>
          <w:szCs w:val="24"/>
          <w:rtl/>
          <w14:ligatures w14:val="standardContextual"/>
        </w:rPr>
        <w:t>).</w:t>
      </w:r>
    </w:p>
    <w:p w14:paraId="5A51F4C7" w14:textId="77777777"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•الولاء والسمعة المؤسسية:</w:t>
      </w:r>
      <w:r w:rsidRPr="00362D29">
        <w:rPr>
          <w:rFonts w:ascii="Traditional Arabic" w:eastAsia="Aptos" w:hAnsi="Traditional Arabic" w:cs="Traditional Arabic"/>
          <w:kern w:val="2"/>
          <w:sz w:val="24"/>
          <w:szCs w:val="24"/>
          <w:rtl/>
          <w14:ligatures w14:val="standardContextual"/>
        </w:rPr>
        <w:t xml:space="preserve"> تعزز التجربة الإيجابية من ثقة المجتمع في المنشأة الصحية وتزيد من احتمالية التوصية بها (</w:t>
      </w:r>
      <w:r w:rsidRPr="00362D29">
        <w:rPr>
          <w:rFonts w:ascii="Traditional Arabic" w:eastAsia="Aptos" w:hAnsi="Traditional Arabic" w:cs="Traditional Arabic"/>
          <w:kern w:val="2"/>
          <w:sz w:val="24"/>
          <w:szCs w:val="24"/>
          <w14:ligatures w14:val="standardContextual"/>
        </w:rPr>
        <w:t>Relias, 2025</w:t>
      </w:r>
      <w:r w:rsidRPr="00362D29">
        <w:rPr>
          <w:rFonts w:ascii="Traditional Arabic" w:eastAsia="Aptos" w:hAnsi="Traditional Arabic" w:cs="Traditional Arabic"/>
          <w:kern w:val="2"/>
          <w:sz w:val="24"/>
          <w:szCs w:val="24"/>
          <w:rtl/>
          <w14:ligatures w14:val="standardContextual"/>
        </w:rPr>
        <w:t>).</w:t>
      </w:r>
    </w:p>
    <w:p w14:paraId="48E5088F" w14:textId="6617EA6F" w:rsidR="00865ACD" w:rsidRPr="00362D29" w:rsidRDefault="009E4F10"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•تحسين جودة الخدمات </w:t>
      </w:r>
      <w:r w:rsidR="00606B87" w:rsidRPr="00362D29">
        <w:rPr>
          <w:rFonts w:ascii="Traditional Arabic" w:eastAsia="Aptos" w:hAnsi="Traditional Arabic" w:cs="Traditional Arabic"/>
          <w:b/>
          <w:bCs/>
          <w:kern w:val="2"/>
          <w:sz w:val="24"/>
          <w:szCs w:val="24"/>
          <w:rtl/>
          <w14:ligatures w14:val="standardContextual"/>
        </w:rPr>
        <w:t>الصحية:</w:t>
      </w:r>
      <w:r w:rsidR="00606B87" w:rsidRPr="00362D29">
        <w:rPr>
          <w:rFonts w:ascii="Traditional Arabic" w:eastAsia="Aptos" w:hAnsi="Traditional Arabic" w:cs="Traditional Arabic"/>
          <w:kern w:val="2"/>
          <w:sz w:val="24"/>
          <w:szCs w:val="24"/>
          <w:rtl/>
          <w14:ligatures w14:val="standardContextual"/>
        </w:rPr>
        <w:t xml:space="preserve"> يمثل</w:t>
      </w:r>
      <w:r w:rsidRPr="00362D29">
        <w:rPr>
          <w:rFonts w:ascii="Traditional Arabic" w:eastAsia="Aptos" w:hAnsi="Traditional Arabic" w:cs="Traditional Arabic"/>
          <w:kern w:val="2"/>
          <w:sz w:val="24"/>
          <w:szCs w:val="24"/>
          <w:rtl/>
          <w14:ligatures w14:val="standardContextual"/>
        </w:rPr>
        <w:t xml:space="preserve"> تحسين تجربة المريض الركيزة الثالثة في نموذج الهدف الثلاثي (</w:t>
      </w:r>
      <w:r w:rsidRPr="00362D29">
        <w:rPr>
          <w:rFonts w:ascii="Traditional Arabic" w:eastAsia="Aptos" w:hAnsi="Traditional Arabic" w:cs="Traditional Arabic"/>
          <w:kern w:val="2"/>
          <w:sz w:val="24"/>
          <w:szCs w:val="24"/>
          <w14:ligatures w14:val="standardContextual"/>
        </w:rPr>
        <w:t>Triple Aim</w:t>
      </w:r>
      <w:r w:rsidRPr="00362D29">
        <w:rPr>
          <w:rFonts w:ascii="Traditional Arabic" w:eastAsia="Aptos" w:hAnsi="Traditional Arabic" w:cs="Traditional Arabic"/>
          <w:kern w:val="2"/>
          <w:sz w:val="24"/>
          <w:szCs w:val="24"/>
          <w:rtl/>
          <w14:ligatures w14:val="standardContextual"/>
        </w:rPr>
        <w:t xml:space="preserve">)، حيث لا يمكن تحقيق جودة شاملة دون تكامل التجربة مع الفعالية السريرية وسلامة المرضى. إن التحسين المستمر في </w:t>
      </w:r>
      <w:r w:rsidR="003A071C" w:rsidRPr="00362D29">
        <w:rPr>
          <w:rFonts w:ascii="Traditional Arabic" w:eastAsia="Aptos" w:hAnsi="Traditional Arabic" w:cs="Traditional Arabic"/>
          <w:kern w:val="2"/>
          <w:sz w:val="24"/>
          <w:szCs w:val="24"/>
          <w:rtl/>
          <w14:ligatures w14:val="standardContextual"/>
        </w:rPr>
        <w:t>تجربة المريض</w:t>
      </w:r>
      <w:r w:rsidRPr="00362D29">
        <w:rPr>
          <w:rFonts w:ascii="Traditional Arabic" w:eastAsia="Aptos" w:hAnsi="Traditional Arabic" w:cs="Traditional Arabic"/>
          <w:kern w:val="2"/>
          <w:sz w:val="24"/>
          <w:szCs w:val="24"/>
          <w:rtl/>
          <w14:ligatures w14:val="standardContextual"/>
        </w:rPr>
        <w:t xml:space="preserve"> يعمل كمحرك للتغيير الثقافي داخل المنظمات، حيث ينتقل التركيز من "النظام" إلى "الإنسان" </w:t>
      </w:r>
      <w:r w:rsidR="000B6AFD" w:rsidRPr="00362D29">
        <w:rPr>
          <w:rFonts w:ascii="Traditional Arabic" w:eastAsia="Aptos" w:hAnsi="Traditional Arabic" w:cs="Traditional Arabic"/>
          <w:kern w:val="2"/>
          <w:sz w:val="24"/>
          <w:szCs w:val="24"/>
          <w:rtl/>
          <w14:ligatures w14:val="standardContextual"/>
        </w:rPr>
        <w:t>(</w:t>
      </w:r>
      <w:r w:rsidR="000B6AFD" w:rsidRPr="00362D29">
        <w:rPr>
          <w:rFonts w:ascii="Traditional Arabic" w:eastAsia="Aptos" w:hAnsi="Traditional Arabic" w:cs="Traditional Arabic"/>
          <w:kern w:val="2"/>
          <w:sz w:val="24"/>
          <w:szCs w:val="24"/>
          <w14:ligatures w14:val="standardContextual"/>
        </w:rPr>
        <w:t>Health Academy, 2022</w:t>
      </w:r>
      <w:r w:rsidR="000B6AFD" w:rsidRPr="00362D29">
        <w:rPr>
          <w:rFonts w:ascii="Traditional Arabic" w:eastAsia="Aptos" w:hAnsi="Traditional Arabic" w:cs="Traditional Arabic"/>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w:t>
      </w:r>
    </w:p>
    <w:p w14:paraId="15286A6F" w14:textId="3E89A068" w:rsidR="00F16B8E" w:rsidRPr="00362D29" w:rsidRDefault="00F16B8E" w:rsidP="00362D29">
      <w:pPr>
        <w:pStyle w:val="ab"/>
        <w:numPr>
          <w:ilvl w:val="0"/>
          <w:numId w:val="69"/>
        </w:numPr>
        <w:bidi/>
        <w:spacing w:before="0" w:after="160" w:line="360" w:lineRule="auto"/>
        <w:jc w:val="both"/>
        <w:rPr>
          <w:rFonts w:ascii="Traditional Arabic" w:eastAsia="Aptos" w:hAnsi="Traditional Arabic" w:cs="Traditional Arabic"/>
          <w:b/>
          <w:bCs/>
          <w:kern w:val="2"/>
          <w:sz w:val="28"/>
          <w:szCs w:val="28"/>
          <w:rtl/>
          <w14:ligatures w14:val="standardContextual"/>
        </w:rPr>
      </w:pPr>
      <w:r w:rsidRPr="00362D29">
        <w:rPr>
          <w:rFonts w:ascii="Traditional Arabic" w:eastAsia="Aptos" w:hAnsi="Traditional Arabic" w:cs="Traditional Arabic"/>
          <w:b/>
          <w:bCs/>
          <w:kern w:val="2"/>
          <w:sz w:val="28"/>
          <w:szCs w:val="28"/>
          <w:rtl/>
          <w14:ligatures w14:val="standardContextual"/>
        </w:rPr>
        <w:t>استراتيجيات تحسين تجربة المريض (</w:t>
      </w:r>
      <w:r w:rsidRPr="00362D29">
        <w:rPr>
          <w:rFonts w:ascii="Traditional Arabic" w:eastAsia="Aptos" w:hAnsi="Traditional Arabic" w:cs="Traditional Arabic"/>
          <w:b/>
          <w:bCs/>
          <w:kern w:val="2"/>
          <w:sz w:val="28"/>
          <w:szCs w:val="28"/>
          <w14:ligatures w14:val="standardContextual"/>
        </w:rPr>
        <w:t>Strategies</w:t>
      </w:r>
      <w:r w:rsidRPr="00362D29">
        <w:rPr>
          <w:rFonts w:ascii="Traditional Arabic" w:eastAsia="Aptos" w:hAnsi="Traditional Arabic" w:cs="Traditional Arabic"/>
          <w:b/>
          <w:bCs/>
          <w:kern w:val="2"/>
          <w:sz w:val="28"/>
          <w:szCs w:val="28"/>
          <w:rtl/>
          <w14:ligatures w14:val="standardContextual"/>
        </w:rPr>
        <w:t>)</w:t>
      </w:r>
    </w:p>
    <w:p w14:paraId="4A87ECA1" w14:textId="297E35D8"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تعتمد المؤسسات الصحية الرائدة مجموعة من الاستراتيجيات </w:t>
      </w:r>
      <w:r w:rsidR="004E7F06" w:rsidRPr="00362D29">
        <w:rPr>
          <w:rFonts w:ascii="Traditional Arabic" w:eastAsia="Aptos" w:hAnsi="Traditional Arabic" w:cs="Traditional Arabic"/>
          <w:kern w:val="2"/>
          <w:sz w:val="24"/>
          <w:szCs w:val="24"/>
          <w:rtl/>
          <w14:ligatures w14:val="standardContextual"/>
        </w:rPr>
        <w:t>المتكاملة</w:t>
      </w:r>
      <w:r w:rsidRPr="00362D29">
        <w:rPr>
          <w:rFonts w:ascii="Traditional Arabic" w:eastAsia="Aptos" w:hAnsi="Traditional Arabic" w:cs="Traditional Arabic"/>
          <w:kern w:val="2"/>
          <w:sz w:val="24"/>
          <w:szCs w:val="24"/>
          <w:rtl/>
          <w14:ligatures w14:val="standardContextual"/>
        </w:rPr>
        <w:t xml:space="preserve"> لتحويل ثقافة المنظمة نحو التمحور حول المريض</w:t>
      </w:r>
      <w:r w:rsidR="004E7F06" w:rsidRPr="00362D29">
        <w:rPr>
          <w:rFonts w:ascii="Traditional Arabic" w:eastAsia="Aptos" w:hAnsi="Traditional Arabic" w:cs="Traditional Arabic"/>
          <w:kern w:val="2"/>
          <w:sz w:val="24"/>
          <w:szCs w:val="24"/>
          <w:rtl/>
          <w14:ligatures w14:val="standardContextual"/>
        </w:rPr>
        <w:t xml:space="preserve"> </w:t>
      </w:r>
      <w:r w:rsidR="00B93F5A" w:rsidRPr="00362D29">
        <w:rPr>
          <w:rFonts w:ascii="Traditional Arabic" w:eastAsia="Aptos" w:hAnsi="Traditional Arabic" w:cs="Traditional Arabic"/>
          <w:kern w:val="2"/>
          <w:sz w:val="24"/>
          <w:szCs w:val="24"/>
          <w:rtl/>
          <w14:ligatures w14:val="standardContextual"/>
        </w:rPr>
        <w:t xml:space="preserve">والتي تم الإشارة لها في الادبيات ومن </w:t>
      </w:r>
      <w:r w:rsidR="00556C2C" w:rsidRPr="00362D29">
        <w:rPr>
          <w:rFonts w:ascii="Traditional Arabic" w:eastAsia="Aptos" w:hAnsi="Traditional Arabic" w:cs="Traditional Arabic"/>
          <w:kern w:val="2"/>
          <w:sz w:val="24"/>
          <w:szCs w:val="24"/>
          <w:rtl/>
          <w14:ligatures w14:val="standardContextual"/>
        </w:rPr>
        <w:t>أبرزها</w:t>
      </w:r>
      <w:r w:rsidR="00B93F5A" w:rsidRPr="00362D29">
        <w:rPr>
          <w:rFonts w:ascii="Traditional Arabic" w:eastAsia="Aptos" w:hAnsi="Traditional Arabic" w:cs="Traditional Arabic"/>
          <w:kern w:val="2"/>
          <w:sz w:val="24"/>
          <w:szCs w:val="24"/>
          <w:rtl/>
          <w14:ligatures w14:val="standardContextual"/>
        </w:rPr>
        <w:t xml:space="preserve"> </w:t>
      </w:r>
      <w:r w:rsidR="00556C2C" w:rsidRPr="00362D29">
        <w:rPr>
          <w:rFonts w:ascii="Traditional Arabic" w:eastAsia="Aptos" w:hAnsi="Traditional Arabic" w:cs="Traditional Arabic"/>
          <w:kern w:val="2"/>
          <w:sz w:val="24"/>
          <w:szCs w:val="24"/>
          <w:rtl/>
          <w14:ligatures w14:val="standardContextual"/>
        </w:rPr>
        <w:t>(</w:t>
      </w:r>
      <w:r w:rsidR="00556C2C" w:rsidRPr="00362D29">
        <w:rPr>
          <w:rFonts w:ascii="Traditional Arabic" w:eastAsia="Aptos" w:hAnsi="Traditional Arabic" w:cs="Traditional Arabic"/>
          <w:kern w:val="2"/>
          <w:sz w:val="24"/>
          <w:szCs w:val="24"/>
          <w14:ligatures w14:val="standardContextual"/>
        </w:rPr>
        <w:t>Health Academy, 2022</w:t>
      </w:r>
      <w:r w:rsidR="00556C2C" w:rsidRPr="00362D29">
        <w:rPr>
          <w:rFonts w:ascii="Traditional Arabic" w:eastAsia="Aptos" w:hAnsi="Traditional Arabic" w:cs="Traditional Arabic"/>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w:t>
      </w:r>
    </w:p>
    <w:p w14:paraId="5B8DC131" w14:textId="7B52AE1C" w:rsidR="00F16B8E" w:rsidRPr="00362D29" w:rsidRDefault="00F16B8E"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1</w:t>
      </w:r>
      <w:r w:rsidRPr="00362D29">
        <w:rPr>
          <w:rFonts w:ascii="Traditional Arabic" w:eastAsia="Aptos" w:hAnsi="Traditional Arabic" w:cs="Traditional Arabic"/>
          <w:b/>
          <w:bCs/>
          <w:kern w:val="2"/>
          <w:sz w:val="24"/>
          <w:szCs w:val="24"/>
          <w:rtl/>
          <w14:ligatures w14:val="standardContextual"/>
        </w:rPr>
        <w:t xml:space="preserve">.الشراكة </w:t>
      </w:r>
      <w:r w:rsidR="00CA149D" w:rsidRPr="00362D29">
        <w:rPr>
          <w:rFonts w:ascii="Traditional Arabic" w:eastAsia="Aptos" w:hAnsi="Traditional Arabic" w:cs="Traditional Arabic"/>
          <w:b/>
          <w:bCs/>
          <w:kern w:val="2"/>
          <w:sz w:val="24"/>
          <w:szCs w:val="24"/>
          <w:rtl/>
          <w14:ligatures w14:val="standardContextual"/>
        </w:rPr>
        <w:t>بين مقدمي الخدمات والمريض</w:t>
      </w:r>
      <w:r w:rsidRPr="00362D29">
        <w:rPr>
          <w:rFonts w:ascii="Traditional Arabic" w:eastAsia="Aptos" w:hAnsi="Traditional Arabic" w:cs="Traditional Arabic"/>
          <w:b/>
          <w:bCs/>
          <w:kern w:val="2"/>
          <w:sz w:val="24"/>
          <w:szCs w:val="24"/>
          <w:rtl/>
          <w14:ligatures w14:val="standardContextual"/>
        </w:rPr>
        <w:t xml:space="preserve"> والأسرة (</w:t>
      </w:r>
      <w:r w:rsidRPr="00362D29">
        <w:rPr>
          <w:rFonts w:ascii="Traditional Arabic" w:eastAsia="Aptos" w:hAnsi="Traditional Arabic" w:cs="Traditional Arabic"/>
          <w:b/>
          <w:bCs/>
          <w:kern w:val="2"/>
          <w:sz w:val="24"/>
          <w:szCs w:val="24"/>
          <w14:ligatures w14:val="standardContextual"/>
        </w:rPr>
        <w:t>Patient/Family</w:t>
      </w:r>
      <w:r w:rsidRPr="00362D29">
        <w:rPr>
          <w:rFonts w:ascii="Traditional Arabic" w:eastAsia="Aptos" w:hAnsi="Traditional Arabic" w:cs="Traditional Arabic"/>
          <w:b/>
          <w:bCs/>
          <w:kern w:val="2"/>
          <w:sz w:val="24"/>
          <w:szCs w:val="24"/>
          <w:rtl/>
          <w14:ligatures w14:val="standardContextual"/>
        </w:rPr>
        <w:t xml:space="preserve"> &amp; </w:t>
      </w:r>
      <w:r w:rsidRPr="00362D29">
        <w:rPr>
          <w:rFonts w:ascii="Traditional Arabic" w:eastAsia="Aptos" w:hAnsi="Traditional Arabic" w:cs="Traditional Arabic"/>
          <w:b/>
          <w:bCs/>
          <w:kern w:val="2"/>
          <w:sz w:val="24"/>
          <w:szCs w:val="24"/>
          <w14:ligatures w14:val="standardContextual"/>
        </w:rPr>
        <w:t>Staff Partnership</w:t>
      </w:r>
      <w:r w:rsidRPr="00362D29">
        <w:rPr>
          <w:rFonts w:ascii="Traditional Arabic" w:eastAsia="Aptos" w:hAnsi="Traditional Arabic" w:cs="Traditional Arabic"/>
          <w:b/>
          <w:bCs/>
          <w:kern w:val="2"/>
          <w:sz w:val="24"/>
          <w:szCs w:val="24"/>
          <w:rtl/>
          <w14:ligatures w14:val="standardContextual"/>
        </w:rPr>
        <w:t>):</w:t>
      </w:r>
    </w:p>
    <w:p w14:paraId="6839536F" w14:textId="7AA8F4B5"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lastRenderedPageBreak/>
        <w:t xml:space="preserve">تعتبر هذه الاستراتيجية الركيزة الأساسية للتحسين، حيث يتم إشراك المرضى وعائلاتهم كشركاء فاعلين في تصميم وتنفيذ الخدمات الصحية </w:t>
      </w:r>
      <w:r w:rsidR="006478F2" w:rsidRPr="00362D29">
        <w:rPr>
          <w:rFonts w:ascii="Traditional Arabic" w:eastAsia="Aptos" w:hAnsi="Traditional Arabic" w:cs="Traditional Arabic"/>
          <w:kern w:val="2"/>
          <w:sz w:val="24"/>
          <w:szCs w:val="24"/>
          <w:rtl/>
          <w14:ligatures w14:val="standardContextual"/>
        </w:rPr>
        <w:t>(</w:t>
      </w:r>
      <w:r w:rsidR="006478F2" w:rsidRPr="00362D29">
        <w:rPr>
          <w:rFonts w:ascii="Traditional Arabic" w:eastAsia="Aptos" w:hAnsi="Traditional Arabic" w:cs="Traditional Arabic"/>
          <w:kern w:val="2"/>
          <w:sz w:val="24"/>
          <w:szCs w:val="24"/>
          <w14:ligatures w14:val="standardContextual"/>
        </w:rPr>
        <w:t>Health Academy, 2022</w:t>
      </w:r>
      <w:r w:rsidR="006478F2" w:rsidRPr="00362D29">
        <w:rPr>
          <w:rFonts w:ascii="Traditional Arabic" w:eastAsia="Aptos" w:hAnsi="Traditional Arabic" w:cs="Traditional Arabic"/>
          <w:kern w:val="2"/>
          <w:sz w:val="24"/>
          <w:szCs w:val="24"/>
          <w:rtl/>
          <w14:ligatures w14:val="standardContextual"/>
        </w:rPr>
        <w:t xml:space="preserve">). </w:t>
      </w:r>
      <w:r w:rsidRPr="00362D29">
        <w:rPr>
          <w:rFonts w:ascii="Traditional Arabic" w:eastAsia="Aptos" w:hAnsi="Traditional Arabic" w:cs="Traditional Arabic"/>
          <w:kern w:val="2"/>
          <w:sz w:val="24"/>
          <w:szCs w:val="24"/>
          <w:rtl/>
          <w14:ligatures w14:val="standardContextual"/>
        </w:rPr>
        <w:t>يتضمن ذلك تشكيل مجالس استشارية للمرضى وأسرهم (</w:t>
      </w:r>
      <w:r w:rsidRPr="00362D29">
        <w:rPr>
          <w:rFonts w:ascii="Traditional Arabic" w:eastAsia="Aptos" w:hAnsi="Traditional Arabic" w:cs="Traditional Arabic"/>
          <w:kern w:val="2"/>
          <w:sz w:val="24"/>
          <w:szCs w:val="24"/>
          <w14:ligatures w14:val="standardContextual"/>
        </w:rPr>
        <w:t>PFAC</w:t>
      </w:r>
      <w:r w:rsidRPr="00362D29">
        <w:rPr>
          <w:rFonts w:ascii="Traditional Arabic" w:eastAsia="Aptos" w:hAnsi="Traditional Arabic" w:cs="Traditional Arabic"/>
          <w:kern w:val="2"/>
          <w:sz w:val="24"/>
          <w:szCs w:val="24"/>
          <w:rtl/>
          <w14:ligatures w14:val="standardContextual"/>
        </w:rPr>
        <w:t>)</w:t>
      </w:r>
      <w:r w:rsidR="00A92FE6" w:rsidRPr="00362D29">
        <w:rPr>
          <w:rFonts w:ascii="Traditional Arabic" w:eastAsia="Aptos" w:hAnsi="Traditional Arabic" w:cs="Traditional Arabic"/>
          <w:kern w:val="2"/>
          <w:sz w:val="24"/>
          <w:szCs w:val="24"/>
          <w14:ligatures w14:val="standardContextual"/>
        </w:rPr>
        <w:t xml:space="preserve">Patient &amp; Family </w:t>
      </w:r>
      <w:r w:rsidR="00F60637" w:rsidRPr="00362D29">
        <w:rPr>
          <w:rFonts w:ascii="Traditional Arabic" w:eastAsia="Aptos" w:hAnsi="Traditional Arabic" w:cs="Traditional Arabic"/>
          <w:kern w:val="2"/>
          <w:sz w:val="24"/>
          <w:szCs w:val="24"/>
          <w14:ligatures w14:val="standardContextual"/>
        </w:rPr>
        <w:t>Advisory Council</w:t>
      </w:r>
      <w:r w:rsidRPr="00362D29">
        <w:rPr>
          <w:rFonts w:ascii="Traditional Arabic" w:eastAsia="Aptos" w:hAnsi="Traditional Arabic" w:cs="Traditional Arabic"/>
          <w:kern w:val="2"/>
          <w:sz w:val="24"/>
          <w:szCs w:val="24"/>
          <w:rtl/>
          <w14:ligatures w14:val="standardContextual"/>
        </w:rPr>
        <w:t xml:space="preserve"> ودمجهم في فرق المشاريع التحسينية لضمان سماع صوت المريض في كافة المستويات التنظيمية (</w:t>
      </w:r>
      <w:r w:rsidRPr="00362D29">
        <w:rPr>
          <w:rFonts w:ascii="Traditional Arabic" w:eastAsia="Aptos" w:hAnsi="Traditional Arabic" w:cs="Traditional Arabic"/>
          <w:kern w:val="2"/>
          <w:sz w:val="24"/>
          <w:szCs w:val="24"/>
          <w14:ligatures w14:val="standardContextual"/>
        </w:rPr>
        <w:t>AHRQ, 2025</w:t>
      </w:r>
      <w:r w:rsidRPr="00362D29">
        <w:rPr>
          <w:rFonts w:ascii="Traditional Arabic" w:eastAsia="Aptos" w:hAnsi="Traditional Arabic" w:cs="Traditional Arabic"/>
          <w:kern w:val="2"/>
          <w:sz w:val="24"/>
          <w:szCs w:val="24"/>
          <w:rtl/>
          <w14:ligatures w14:val="standardContextual"/>
        </w:rPr>
        <w:t xml:space="preserve">). </w:t>
      </w:r>
    </w:p>
    <w:p w14:paraId="7A42B2F8" w14:textId="77777777" w:rsidR="00F16B8E" w:rsidRPr="00362D29" w:rsidRDefault="00F16B8E"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2.بناء ثقافة التحسين المؤسسي (</w:t>
      </w:r>
      <w:r w:rsidRPr="00362D29">
        <w:rPr>
          <w:rFonts w:ascii="Traditional Arabic" w:eastAsia="Aptos" w:hAnsi="Traditional Arabic" w:cs="Traditional Arabic"/>
          <w:b/>
          <w:bCs/>
          <w:kern w:val="2"/>
          <w:sz w:val="24"/>
          <w:szCs w:val="24"/>
          <w14:ligatures w14:val="standardContextual"/>
        </w:rPr>
        <w:t>Building Improvement Culture</w:t>
      </w:r>
      <w:r w:rsidRPr="00362D29">
        <w:rPr>
          <w:rFonts w:ascii="Traditional Arabic" w:eastAsia="Aptos" w:hAnsi="Traditional Arabic" w:cs="Traditional Arabic"/>
          <w:b/>
          <w:bCs/>
          <w:kern w:val="2"/>
          <w:sz w:val="24"/>
          <w:szCs w:val="24"/>
          <w:rtl/>
          <w14:ligatures w14:val="standardContextual"/>
        </w:rPr>
        <w:t>):</w:t>
      </w:r>
    </w:p>
    <w:p w14:paraId="6BD8D8A4" w14:textId="5F60ED08"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تتطلب هذه الاستراتيجية قيادة مرئية وملتزمة، وتوفير الموارد والبنية التحتية اللازمة، وتطوير مهارات القوى العاملة في منهجيات التحسين. تهدف إلى خلق بيئة تعليمية يشعر فيها الموظفون بالأمان النفسي لاقتراح الأفكار واختبارها. وفقاً لتحليل </w:t>
      </w:r>
      <w:r w:rsidRPr="00362D29">
        <w:rPr>
          <w:rFonts w:ascii="Traditional Arabic" w:eastAsia="Aptos" w:hAnsi="Traditional Arabic" w:cs="Traditional Arabic"/>
          <w:kern w:val="2"/>
          <w:sz w:val="24"/>
          <w:szCs w:val="24"/>
          <w14:ligatures w14:val="standardContextual"/>
        </w:rPr>
        <w:t>Health Foundation</w:t>
      </w:r>
      <w:r w:rsidRPr="00362D29">
        <w:rPr>
          <w:rFonts w:ascii="Traditional Arabic" w:eastAsia="Aptos" w:hAnsi="Traditional Arabic" w:cs="Traditional Arabic"/>
          <w:kern w:val="2"/>
          <w:sz w:val="24"/>
          <w:szCs w:val="24"/>
          <w:rtl/>
          <w14:ligatures w14:val="standardContextual"/>
        </w:rPr>
        <w:t xml:space="preserve">، تشمل المكونات الأربعة الرئيسية لبناء ثقافة التحسين المؤسسي ما يلي </w:t>
      </w:r>
      <w:r w:rsidR="00556C2C" w:rsidRPr="00362D29">
        <w:rPr>
          <w:rFonts w:ascii="Traditional Arabic" w:eastAsia="Aptos" w:hAnsi="Traditional Arabic" w:cs="Traditional Arabic"/>
          <w:kern w:val="2"/>
          <w:sz w:val="24"/>
          <w:szCs w:val="24"/>
          <w:rtl/>
          <w14:ligatures w14:val="standardContextual"/>
        </w:rPr>
        <w:t>(</w:t>
      </w:r>
      <w:r w:rsidR="00556C2C" w:rsidRPr="00362D29">
        <w:rPr>
          <w:rFonts w:ascii="Traditional Arabic" w:eastAsia="Aptos" w:hAnsi="Traditional Arabic" w:cs="Traditional Arabic"/>
          <w:kern w:val="2"/>
          <w:sz w:val="24"/>
          <w:szCs w:val="24"/>
          <w14:ligatures w14:val="standardContextual"/>
        </w:rPr>
        <w:t>Health Academy, 2022</w:t>
      </w:r>
      <w:r w:rsidR="00556C2C" w:rsidRPr="00362D29">
        <w:rPr>
          <w:rFonts w:ascii="Traditional Arabic" w:eastAsia="Aptos" w:hAnsi="Traditional Arabic" w:cs="Traditional Arabic"/>
          <w:kern w:val="2"/>
          <w:sz w:val="24"/>
          <w:szCs w:val="24"/>
          <w:rtl/>
          <w14:ligatures w14:val="standardContextual"/>
        </w:rPr>
        <w:t>)</w:t>
      </w:r>
      <w:r w:rsidR="00E07A74" w:rsidRPr="00362D29">
        <w:rPr>
          <w:rFonts w:ascii="Traditional Arabic" w:eastAsia="Aptos" w:hAnsi="Traditional Arabic" w:cs="Traditional Arabic"/>
          <w:kern w:val="2"/>
          <w:sz w:val="24"/>
          <w:szCs w:val="24"/>
          <w:rtl/>
          <w14:ligatures w14:val="standardContextual"/>
        </w:rPr>
        <w:t>.</w:t>
      </w:r>
    </w:p>
    <w:p w14:paraId="78FBF1DA" w14:textId="77777777"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•الحوكمة والقيادة (</w:t>
      </w:r>
      <w:r w:rsidRPr="00362D29">
        <w:rPr>
          <w:rFonts w:ascii="Traditional Arabic" w:eastAsia="Aptos" w:hAnsi="Traditional Arabic" w:cs="Traditional Arabic"/>
          <w:kern w:val="2"/>
          <w:sz w:val="24"/>
          <w:szCs w:val="24"/>
          <w14:ligatures w14:val="standardContextual"/>
        </w:rPr>
        <w:t>Governance and Leadership</w:t>
      </w:r>
      <w:r w:rsidRPr="00362D29">
        <w:rPr>
          <w:rFonts w:ascii="Traditional Arabic" w:eastAsia="Aptos" w:hAnsi="Traditional Arabic" w:cs="Traditional Arabic"/>
          <w:kern w:val="2"/>
          <w:sz w:val="24"/>
          <w:szCs w:val="24"/>
          <w:rtl/>
          <w14:ligatures w14:val="standardContextual"/>
        </w:rPr>
        <w:t>): قيادة واضحة ومركزة على مستوى الإدارة العليا، مع أنظمة حوكمة فعالة تضمن توافق جميع أنشطة التحسين مع أهداف المنظمة.</w:t>
      </w:r>
    </w:p>
    <w:p w14:paraId="747A3626" w14:textId="77777777"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•الموارد والبنية التحتية (</w:t>
      </w:r>
      <w:r w:rsidRPr="00362D29">
        <w:rPr>
          <w:rFonts w:ascii="Traditional Arabic" w:eastAsia="Aptos" w:hAnsi="Traditional Arabic" w:cs="Traditional Arabic"/>
          <w:kern w:val="2"/>
          <w:sz w:val="24"/>
          <w:szCs w:val="24"/>
          <w14:ligatures w14:val="standardContextual"/>
        </w:rPr>
        <w:t>Resources and Infrastructure</w:t>
      </w:r>
      <w:r w:rsidRPr="00362D29">
        <w:rPr>
          <w:rFonts w:ascii="Traditional Arabic" w:eastAsia="Aptos" w:hAnsi="Traditional Arabic" w:cs="Traditional Arabic"/>
          <w:kern w:val="2"/>
          <w:sz w:val="24"/>
          <w:szCs w:val="24"/>
          <w:rtl/>
          <w14:ligatures w14:val="standardContextual"/>
        </w:rPr>
        <w:t>): توفير البيانات والمعدات والموارد والصلاحيات اللازمة للفرق لتخطيط وتنفيذ التحسينات المستدامة.</w:t>
      </w:r>
    </w:p>
    <w:p w14:paraId="0F7C36AF" w14:textId="77777777"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•القوى العاملة والمهارات (</w:t>
      </w:r>
      <w:r w:rsidRPr="00362D29">
        <w:rPr>
          <w:rFonts w:ascii="Traditional Arabic" w:eastAsia="Aptos" w:hAnsi="Traditional Arabic" w:cs="Traditional Arabic"/>
          <w:kern w:val="2"/>
          <w:sz w:val="24"/>
          <w:szCs w:val="24"/>
          <w14:ligatures w14:val="standardContextual"/>
        </w:rPr>
        <w:t>Workforce and Skills</w:t>
      </w:r>
      <w:r w:rsidRPr="00362D29">
        <w:rPr>
          <w:rFonts w:ascii="Traditional Arabic" w:eastAsia="Aptos" w:hAnsi="Traditional Arabic" w:cs="Traditional Arabic"/>
          <w:kern w:val="2"/>
          <w:sz w:val="24"/>
          <w:szCs w:val="24"/>
          <w:rtl/>
          <w14:ligatures w14:val="standardContextual"/>
        </w:rPr>
        <w:t>): برامج لتطوير مهارات وقدرات الموظفين في منهجيات وأدوات تحسين الجودة.</w:t>
      </w:r>
    </w:p>
    <w:p w14:paraId="2B4A9A30" w14:textId="77777777"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•الثقافة والبيئة (</w:t>
      </w:r>
      <w:r w:rsidRPr="00362D29">
        <w:rPr>
          <w:rFonts w:ascii="Traditional Arabic" w:eastAsia="Aptos" w:hAnsi="Traditional Arabic" w:cs="Traditional Arabic"/>
          <w:kern w:val="2"/>
          <w:sz w:val="24"/>
          <w:szCs w:val="24"/>
          <w14:ligatures w14:val="standardContextual"/>
        </w:rPr>
        <w:t>Culture and Environment</w:t>
      </w:r>
      <w:r w:rsidRPr="00362D29">
        <w:rPr>
          <w:rFonts w:ascii="Traditional Arabic" w:eastAsia="Aptos" w:hAnsi="Traditional Arabic" w:cs="Traditional Arabic"/>
          <w:kern w:val="2"/>
          <w:sz w:val="24"/>
          <w:szCs w:val="24"/>
          <w:rtl/>
          <w14:ligatures w14:val="standardContextual"/>
        </w:rPr>
        <w:t>): بيئة عمل داعمة وتعاونية وشاملة، وبيئة تعليمية تتيح للموظفين الوقت والمساحة للتفكير النقدي والشعور بالأمان النفسي للتعبير عن المشكلات واختبار الأفكار الجديدة.</w:t>
      </w:r>
    </w:p>
    <w:p w14:paraId="6809E945" w14:textId="2D8B311D" w:rsidR="00F16B8E" w:rsidRPr="00362D29" w:rsidRDefault="00F16B8E"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3.</w:t>
      </w:r>
      <w:r w:rsidR="002651E1" w:rsidRPr="00362D29">
        <w:rPr>
          <w:rFonts w:ascii="Traditional Arabic" w:eastAsia="Aptos" w:hAnsi="Traditional Arabic" w:cs="Traditional Arabic"/>
          <w:b/>
          <w:bCs/>
          <w:kern w:val="2"/>
          <w:sz w:val="24"/>
          <w:szCs w:val="24"/>
          <w:rtl/>
          <w14:ligatures w14:val="standardContextual"/>
        </w:rPr>
        <w:t xml:space="preserve"> </w:t>
      </w:r>
      <w:r w:rsidRPr="00362D29">
        <w:rPr>
          <w:rFonts w:ascii="Traditional Arabic" w:eastAsia="Aptos" w:hAnsi="Traditional Arabic" w:cs="Traditional Arabic"/>
          <w:b/>
          <w:bCs/>
          <w:kern w:val="2"/>
          <w:sz w:val="24"/>
          <w:szCs w:val="24"/>
          <w:rtl/>
          <w14:ligatures w14:val="standardContextual"/>
        </w:rPr>
        <w:t>تصميم</w:t>
      </w:r>
      <w:r w:rsidR="002651E1" w:rsidRPr="00362D29">
        <w:rPr>
          <w:rFonts w:ascii="Traditional Arabic" w:eastAsia="Aptos" w:hAnsi="Traditional Arabic" w:cs="Traditional Arabic"/>
          <w:b/>
          <w:bCs/>
          <w:kern w:val="2"/>
          <w:sz w:val="24"/>
          <w:szCs w:val="24"/>
          <w:rtl/>
          <w14:ligatures w14:val="standardContextual"/>
        </w:rPr>
        <w:t xml:space="preserve"> الخدمات الصحية</w:t>
      </w:r>
      <w:r w:rsidRPr="00362D29">
        <w:rPr>
          <w:rFonts w:ascii="Traditional Arabic" w:eastAsia="Aptos" w:hAnsi="Traditional Arabic" w:cs="Traditional Arabic"/>
          <w:b/>
          <w:bCs/>
          <w:kern w:val="2"/>
          <w:sz w:val="24"/>
          <w:szCs w:val="24"/>
          <w:rtl/>
          <w14:ligatures w14:val="standardContextual"/>
        </w:rPr>
        <w:t xml:space="preserve"> المتمحور حول الإنسان (</w:t>
      </w:r>
      <w:r w:rsidRPr="00362D29">
        <w:rPr>
          <w:rFonts w:ascii="Traditional Arabic" w:eastAsia="Aptos" w:hAnsi="Traditional Arabic" w:cs="Traditional Arabic"/>
          <w:b/>
          <w:bCs/>
          <w:kern w:val="2"/>
          <w:sz w:val="24"/>
          <w:szCs w:val="24"/>
          <w14:ligatures w14:val="standardContextual"/>
        </w:rPr>
        <w:t>Human-Centered Design</w:t>
      </w:r>
      <w:r w:rsidRPr="00362D29">
        <w:rPr>
          <w:rFonts w:ascii="Traditional Arabic" w:eastAsia="Aptos" w:hAnsi="Traditional Arabic" w:cs="Traditional Arabic"/>
          <w:b/>
          <w:bCs/>
          <w:kern w:val="2"/>
          <w:sz w:val="24"/>
          <w:szCs w:val="24"/>
          <w:rtl/>
          <w14:ligatures w14:val="standardContextual"/>
        </w:rPr>
        <w:t>):</w:t>
      </w:r>
    </w:p>
    <w:p w14:paraId="5F46E0FE" w14:textId="28ABB116"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منهجية تهدف إلى إعادة ابتكار الخدمات الصحية من خلال فهم عميق لتجارب ومشاعر واحتياجات </w:t>
      </w:r>
      <w:r w:rsidR="002651E1" w:rsidRPr="00362D29">
        <w:rPr>
          <w:rFonts w:ascii="Traditional Arabic" w:eastAsia="Aptos" w:hAnsi="Traditional Arabic" w:cs="Traditional Arabic"/>
          <w:kern w:val="2"/>
          <w:sz w:val="24"/>
          <w:szCs w:val="24"/>
          <w:rtl/>
          <w14:ligatures w14:val="standardContextual"/>
        </w:rPr>
        <w:t>المستفيدين</w:t>
      </w:r>
      <w:r w:rsidRPr="00362D29">
        <w:rPr>
          <w:rFonts w:ascii="Traditional Arabic" w:eastAsia="Aptos" w:hAnsi="Traditional Arabic" w:cs="Traditional Arabic"/>
          <w:kern w:val="2"/>
          <w:sz w:val="24"/>
          <w:szCs w:val="24"/>
          <w:rtl/>
          <w14:ligatures w14:val="standardContextual"/>
        </w:rPr>
        <w:t xml:space="preserve"> (المرضى والموظفين)، لضمان أن تكون الحلول التحسينية ملائمة </w:t>
      </w:r>
      <w:r w:rsidR="00750514" w:rsidRPr="00362D29">
        <w:rPr>
          <w:rFonts w:ascii="Traditional Arabic" w:eastAsia="Aptos" w:hAnsi="Traditional Arabic" w:cs="Traditional Arabic"/>
          <w:kern w:val="2"/>
          <w:sz w:val="24"/>
          <w:szCs w:val="24"/>
          <w:rtl/>
          <w14:ligatures w14:val="standardContextual"/>
        </w:rPr>
        <w:t xml:space="preserve">وواقعية </w:t>
      </w:r>
      <w:r w:rsidRPr="00362D29">
        <w:rPr>
          <w:rFonts w:ascii="Traditional Arabic" w:eastAsia="Aptos" w:hAnsi="Traditional Arabic" w:cs="Traditional Arabic"/>
          <w:kern w:val="2"/>
          <w:sz w:val="24"/>
          <w:szCs w:val="24"/>
          <w:rtl/>
          <w14:ligatures w14:val="standardContextual"/>
        </w:rPr>
        <w:t>(</w:t>
      </w:r>
      <w:r w:rsidRPr="00362D29">
        <w:rPr>
          <w:rFonts w:ascii="Traditional Arabic" w:eastAsia="Aptos" w:hAnsi="Traditional Arabic" w:cs="Traditional Arabic"/>
          <w:kern w:val="2"/>
          <w:sz w:val="24"/>
          <w:szCs w:val="24"/>
          <w14:ligatures w14:val="standardContextual"/>
        </w:rPr>
        <w:t>The Beryl Institute, 2025</w:t>
      </w:r>
      <w:r w:rsidRPr="00362D29">
        <w:rPr>
          <w:rFonts w:ascii="Traditional Arabic" w:eastAsia="Aptos" w:hAnsi="Traditional Arabic" w:cs="Traditional Arabic"/>
          <w:kern w:val="2"/>
          <w:sz w:val="24"/>
          <w:szCs w:val="24"/>
          <w:rtl/>
          <w14:ligatures w14:val="standardContextual"/>
        </w:rPr>
        <w:t>).</w:t>
      </w:r>
    </w:p>
    <w:p w14:paraId="3D3263D0" w14:textId="69440967" w:rsidR="00F16B8E" w:rsidRPr="00362D29" w:rsidRDefault="00F16B8E" w:rsidP="00362D29">
      <w:pPr>
        <w:pStyle w:val="ab"/>
        <w:numPr>
          <w:ilvl w:val="0"/>
          <w:numId w:val="69"/>
        </w:numPr>
        <w:bidi/>
        <w:spacing w:before="0" w:after="160" w:line="360" w:lineRule="auto"/>
        <w:jc w:val="both"/>
        <w:rPr>
          <w:rFonts w:ascii="Traditional Arabic" w:eastAsia="Aptos" w:hAnsi="Traditional Arabic" w:cs="Traditional Arabic"/>
          <w:b/>
          <w:bCs/>
          <w:kern w:val="2"/>
          <w:sz w:val="28"/>
          <w:szCs w:val="28"/>
          <w:rtl/>
          <w14:ligatures w14:val="standardContextual"/>
        </w:rPr>
      </w:pPr>
      <w:r w:rsidRPr="00362D29">
        <w:rPr>
          <w:rFonts w:ascii="Traditional Arabic" w:eastAsia="Aptos" w:hAnsi="Traditional Arabic" w:cs="Traditional Arabic"/>
          <w:b/>
          <w:bCs/>
          <w:kern w:val="2"/>
          <w:sz w:val="28"/>
          <w:szCs w:val="28"/>
          <w:rtl/>
          <w14:ligatures w14:val="standardContextual"/>
        </w:rPr>
        <w:t>أدوات تحسين تجربة المريض (</w:t>
      </w:r>
      <w:r w:rsidRPr="00362D29">
        <w:rPr>
          <w:rFonts w:ascii="Traditional Arabic" w:eastAsia="Aptos" w:hAnsi="Traditional Arabic" w:cs="Traditional Arabic"/>
          <w:b/>
          <w:bCs/>
          <w:kern w:val="2"/>
          <w:sz w:val="28"/>
          <w:szCs w:val="28"/>
          <w14:ligatures w14:val="standardContextual"/>
        </w:rPr>
        <w:t>Tools</w:t>
      </w:r>
      <w:r w:rsidRPr="00362D29">
        <w:rPr>
          <w:rFonts w:ascii="Traditional Arabic" w:eastAsia="Aptos" w:hAnsi="Traditional Arabic" w:cs="Traditional Arabic"/>
          <w:b/>
          <w:bCs/>
          <w:kern w:val="2"/>
          <w:sz w:val="28"/>
          <w:szCs w:val="28"/>
          <w:rtl/>
          <w14:ligatures w14:val="standardContextual"/>
        </w:rPr>
        <w:t>)</w:t>
      </w:r>
    </w:p>
    <w:p w14:paraId="512BFFD9" w14:textId="6C84DA5A"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تستخدم المنظمات أدوات محددة لجمع البيانات النوعية والكمية وتحديد فرص التحسين، وقد أكدت الدراسات السابقة على أهمية تكامل هذه الأدوات لضمان شمولية التحسين</w:t>
      </w:r>
      <w:r w:rsidR="00385E6F" w:rsidRPr="00362D29">
        <w:rPr>
          <w:rFonts w:ascii="Traditional Arabic" w:eastAsia="Aptos" w:hAnsi="Traditional Arabic" w:cs="Traditional Arabic"/>
          <w:kern w:val="2"/>
          <w:sz w:val="24"/>
          <w:szCs w:val="24"/>
          <w:rtl/>
          <w14:ligatures w14:val="standardContextual"/>
        </w:rPr>
        <w:t xml:space="preserve"> ومن </w:t>
      </w:r>
      <w:r w:rsidR="00F17BA2" w:rsidRPr="00362D29">
        <w:rPr>
          <w:rFonts w:ascii="Traditional Arabic" w:eastAsia="Aptos" w:hAnsi="Traditional Arabic" w:cs="Traditional Arabic"/>
          <w:kern w:val="2"/>
          <w:sz w:val="24"/>
          <w:szCs w:val="24"/>
          <w:rtl/>
          <w14:ligatures w14:val="standardContextual"/>
        </w:rPr>
        <w:t>أبرزها</w:t>
      </w:r>
      <w:r w:rsidRPr="00362D29">
        <w:rPr>
          <w:rFonts w:ascii="Traditional Arabic" w:eastAsia="Aptos" w:hAnsi="Traditional Arabic" w:cs="Traditional Arabic"/>
          <w:kern w:val="2"/>
          <w:sz w:val="24"/>
          <w:szCs w:val="24"/>
          <w:rtl/>
          <w14:ligatures w14:val="standardContextual"/>
        </w:rPr>
        <w:t xml:space="preserve"> (</w:t>
      </w:r>
      <w:r w:rsidRPr="00362D29">
        <w:rPr>
          <w:rFonts w:ascii="Traditional Arabic" w:eastAsia="Aptos" w:hAnsi="Traditional Arabic" w:cs="Traditional Arabic"/>
          <w:kern w:val="2"/>
          <w:sz w:val="24"/>
          <w:szCs w:val="24"/>
          <w14:ligatures w14:val="standardContextual"/>
        </w:rPr>
        <w:t>Song et al., 2020</w:t>
      </w:r>
      <w:r w:rsidRPr="00362D29">
        <w:rPr>
          <w:rFonts w:ascii="Traditional Arabic" w:eastAsia="Aptos" w:hAnsi="Traditional Arabic" w:cs="Traditional Arabic"/>
          <w:kern w:val="2"/>
          <w:sz w:val="24"/>
          <w:szCs w:val="24"/>
          <w:rtl/>
          <w14:ligatures w14:val="standardContextual"/>
        </w:rPr>
        <w:t>):</w:t>
      </w:r>
    </w:p>
    <w:p w14:paraId="20030725" w14:textId="77777777" w:rsidR="00F16B8E" w:rsidRPr="00362D29" w:rsidRDefault="00F16B8E"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1.رسم خرائط رحلة المريض (</w:t>
      </w:r>
      <w:r w:rsidRPr="00362D29">
        <w:rPr>
          <w:rFonts w:ascii="Traditional Arabic" w:eastAsia="Aptos" w:hAnsi="Traditional Arabic" w:cs="Traditional Arabic"/>
          <w:b/>
          <w:bCs/>
          <w:kern w:val="2"/>
          <w:sz w:val="24"/>
          <w:szCs w:val="24"/>
          <w14:ligatures w14:val="standardContextual"/>
        </w:rPr>
        <w:t>Patient Journey Mapping</w:t>
      </w:r>
      <w:r w:rsidRPr="00362D29">
        <w:rPr>
          <w:rFonts w:ascii="Traditional Arabic" w:eastAsia="Aptos" w:hAnsi="Traditional Arabic" w:cs="Traditional Arabic"/>
          <w:b/>
          <w:bCs/>
          <w:kern w:val="2"/>
          <w:sz w:val="24"/>
          <w:szCs w:val="24"/>
          <w:rtl/>
          <w14:ligatures w14:val="standardContextual"/>
        </w:rPr>
        <w:t>):</w:t>
      </w:r>
    </w:p>
    <w:p w14:paraId="2F35CBB7" w14:textId="7BA67488"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lastRenderedPageBreak/>
        <w:t>أداة بصرية لتتبع كافة نقاط التماس (</w:t>
      </w:r>
      <w:r w:rsidRPr="00362D29">
        <w:rPr>
          <w:rFonts w:ascii="Traditional Arabic" w:eastAsia="Aptos" w:hAnsi="Traditional Arabic" w:cs="Traditional Arabic"/>
          <w:kern w:val="2"/>
          <w:sz w:val="24"/>
          <w:szCs w:val="24"/>
          <w14:ligatures w14:val="standardContextual"/>
        </w:rPr>
        <w:t>Touchpoints</w:t>
      </w:r>
      <w:r w:rsidRPr="00362D29">
        <w:rPr>
          <w:rFonts w:ascii="Traditional Arabic" w:eastAsia="Aptos" w:hAnsi="Traditional Arabic" w:cs="Traditional Arabic"/>
          <w:kern w:val="2"/>
          <w:sz w:val="24"/>
          <w:szCs w:val="24"/>
          <w:rtl/>
          <w14:ligatures w14:val="standardContextual"/>
        </w:rPr>
        <w:t>) التي يمر بها المريض، مما يساعد في تحديد الفجوات في الخدمة ولحظات الحقيقة (</w:t>
      </w:r>
      <w:r w:rsidRPr="00362D29">
        <w:rPr>
          <w:rFonts w:ascii="Traditional Arabic" w:eastAsia="Aptos" w:hAnsi="Traditional Arabic" w:cs="Traditional Arabic"/>
          <w:kern w:val="2"/>
          <w:sz w:val="24"/>
          <w:szCs w:val="24"/>
          <w14:ligatures w14:val="standardContextual"/>
        </w:rPr>
        <w:t>Moments of Truth</w:t>
      </w:r>
      <w:r w:rsidRPr="00362D29">
        <w:rPr>
          <w:rFonts w:ascii="Traditional Arabic" w:eastAsia="Aptos" w:hAnsi="Traditional Arabic" w:cs="Traditional Arabic"/>
          <w:kern w:val="2"/>
          <w:sz w:val="24"/>
          <w:szCs w:val="24"/>
          <w:rtl/>
          <w14:ligatures w14:val="standardContextual"/>
        </w:rPr>
        <w:t>) التي تؤثر على انطباع المريض (</w:t>
      </w:r>
      <w:r w:rsidRPr="00362D29">
        <w:rPr>
          <w:rFonts w:ascii="Traditional Arabic" w:eastAsia="Aptos" w:hAnsi="Traditional Arabic" w:cs="Traditional Arabic"/>
          <w:kern w:val="2"/>
          <w:sz w:val="24"/>
          <w:szCs w:val="24"/>
          <w14:ligatures w14:val="standardContextual"/>
        </w:rPr>
        <w:t>AHA, 2024</w:t>
      </w:r>
      <w:r w:rsidRPr="00362D29">
        <w:rPr>
          <w:rFonts w:ascii="Traditional Arabic" w:eastAsia="Aptos" w:hAnsi="Traditional Arabic" w:cs="Traditional Arabic"/>
          <w:kern w:val="2"/>
          <w:sz w:val="24"/>
          <w:szCs w:val="24"/>
          <w:rtl/>
          <w14:ligatures w14:val="standardContextual"/>
        </w:rPr>
        <w:t>). وتعد هذه الأداة من أكثر الوسائل فاعلية في فهم العوامل المؤثرة على تجربة المريض في الأقسام</w:t>
      </w:r>
      <w:r w:rsidR="00A152F2" w:rsidRPr="00362D29">
        <w:rPr>
          <w:rFonts w:ascii="Traditional Arabic" w:eastAsia="Aptos" w:hAnsi="Traditional Arabic" w:cs="Traditional Arabic"/>
          <w:kern w:val="2"/>
          <w:sz w:val="24"/>
          <w:szCs w:val="24"/>
          <w:rtl/>
          <w14:ligatures w14:val="standardContextual"/>
        </w:rPr>
        <w:t xml:space="preserve"> التنويم</w:t>
      </w:r>
      <w:r w:rsidRPr="00362D29">
        <w:rPr>
          <w:rFonts w:ascii="Traditional Arabic" w:eastAsia="Aptos" w:hAnsi="Traditional Arabic" w:cs="Traditional Arabic"/>
          <w:kern w:val="2"/>
          <w:sz w:val="24"/>
          <w:szCs w:val="24"/>
          <w:rtl/>
          <w14:ligatures w14:val="standardContextual"/>
        </w:rPr>
        <w:t xml:space="preserve"> والعيادات الخارجية (</w:t>
      </w:r>
      <w:r w:rsidR="00D41C03" w:rsidRPr="00362D29">
        <w:rPr>
          <w:rFonts w:ascii="Traditional Arabic" w:eastAsia="Aptos" w:hAnsi="Traditional Arabic" w:cs="Traditional Arabic"/>
          <w:kern w:val="2"/>
          <w:sz w:val="24"/>
          <w:szCs w:val="24"/>
          <w14:ligatures w14:val="standardContextual"/>
        </w:rPr>
        <w:t>Chen</w:t>
      </w:r>
      <w:r w:rsidRPr="00362D29">
        <w:rPr>
          <w:rFonts w:ascii="Traditional Arabic" w:eastAsia="Aptos" w:hAnsi="Traditional Arabic" w:cs="Traditional Arabic"/>
          <w:kern w:val="2"/>
          <w:sz w:val="24"/>
          <w:szCs w:val="24"/>
          <w14:ligatures w14:val="standardContextual"/>
        </w:rPr>
        <w:t xml:space="preserve"> et al., 2024</w:t>
      </w:r>
      <w:r w:rsidRPr="00362D29">
        <w:rPr>
          <w:rFonts w:ascii="Traditional Arabic" w:eastAsia="Aptos" w:hAnsi="Traditional Arabic" w:cs="Traditional Arabic"/>
          <w:kern w:val="2"/>
          <w:sz w:val="24"/>
          <w:szCs w:val="24"/>
          <w:rtl/>
          <w14:ligatures w14:val="standardContextual"/>
        </w:rPr>
        <w:t>).</w:t>
      </w:r>
    </w:p>
    <w:p w14:paraId="3DD50AF1" w14:textId="77777777" w:rsidR="00F16B8E" w:rsidRPr="00362D29" w:rsidRDefault="00F16B8E"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2.المراقبة الظلية (</w:t>
      </w:r>
      <w:r w:rsidRPr="00362D29">
        <w:rPr>
          <w:rFonts w:ascii="Traditional Arabic" w:eastAsia="Aptos" w:hAnsi="Traditional Arabic" w:cs="Traditional Arabic"/>
          <w:b/>
          <w:bCs/>
          <w:kern w:val="2"/>
          <w:sz w:val="24"/>
          <w:szCs w:val="24"/>
          <w14:ligatures w14:val="standardContextual"/>
        </w:rPr>
        <w:t>Shadowing</w:t>
      </w:r>
      <w:r w:rsidRPr="00362D29">
        <w:rPr>
          <w:rFonts w:ascii="Traditional Arabic" w:eastAsia="Aptos" w:hAnsi="Traditional Arabic" w:cs="Traditional Arabic"/>
          <w:b/>
          <w:bCs/>
          <w:kern w:val="2"/>
          <w:sz w:val="24"/>
          <w:szCs w:val="24"/>
          <w:rtl/>
          <w14:ligatures w14:val="standardContextual"/>
        </w:rPr>
        <w:t>):</w:t>
      </w:r>
    </w:p>
    <w:p w14:paraId="311182C3" w14:textId="7EBC3779"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أداة نوعية قوية تعتمد على </w:t>
      </w:r>
      <w:r w:rsidR="00D41C03" w:rsidRPr="00362D29">
        <w:rPr>
          <w:rFonts w:ascii="Traditional Arabic" w:eastAsia="Aptos" w:hAnsi="Traditional Arabic" w:cs="Traditional Arabic"/>
          <w:kern w:val="2"/>
          <w:sz w:val="24"/>
          <w:szCs w:val="24"/>
          <w:rtl/>
          <w14:ligatures w14:val="standardContextual"/>
        </w:rPr>
        <w:t xml:space="preserve">وجود </w:t>
      </w:r>
      <w:r w:rsidRPr="00362D29">
        <w:rPr>
          <w:rFonts w:ascii="Traditional Arabic" w:eastAsia="Aptos" w:hAnsi="Traditional Arabic" w:cs="Traditional Arabic"/>
          <w:kern w:val="2"/>
          <w:sz w:val="24"/>
          <w:szCs w:val="24"/>
          <w:rtl/>
          <w14:ligatures w14:val="standardContextual"/>
        </w:rPr>
        <w:t xml:space="preserve">مرافق </w:t>
      </w:r>
      <w:r w:rsidR="00D41C03" w:rsidRPr="00362D29">
        <w:rPr>
          <w:rFonts w:ascii="Traditional Arabic" w:eastAsia="Aptos" w:hAnsi="Traditional Arabic" w:cs="Traditional Arabic"/>
          <w:kern w:val="2"/>
          <w:sz w:val="24"/>
          <w:szCs w:val="24"/>
          <w:rtl/>
          <w14:ligatures w14:val="standardContextual"/>
        </w:rPr>
        <w:t>لل</w:t>
      </w:r>
      <w:r w:rsidRPr="00362D29">
        <w:rPr>
          <w:rFonts w:ascii="Traditional Arabic" w:eastAsia="Aptos" w:hAnsi="Traditional Arabic" w:cs="Traditional Arabic"/>
          <w:kern w:val="2"/>
          <w:sz w:val="24"/>
          <w:szCs w:val="24"/>
          <w:rtl/>
          <w14:ligatures w14:val="standardContextual"/>
        </w:rPr>
        <w:t>مريض طوال رحلته في المستشفى لملاحظة التجربة كما يعيشها المريض فعلياً، مما يكشف عن تفاصيل دقيقة قد لا تظهر في الاستبيانات التقليدية (</w:t>
      </w:r>
      <w:r w:rsidRPr="00362D29">
        <w:rPr>
          <w:rFonts w:ascii="Traditional Arabic" w:eastAsia="Aptos" w:hAnsi="Traditional Arabic" w:cs="Traditional Arabic"/>
          <w:kern w:val="2"/>
          <w:sz w:val="24"/>
          <w:szCs w:val="24"/>
          <w14:ligatures w14:val="standardContextual"/>
        </w:rPr>
        <w:t>Jones et al., 2021</w:t>
      </w:r>
      <w:r w:rsidRPr="00362D29">
        <w:rPr>
          <w:rFonts w:ascii="Traditional Arabic" w:eastAsia="Aptos" w:hAnsi="Traditional Arabic" w:cs="Traditional Arabic"/>
          <w:kern w:val="2"/>
          <w:sz w:val="24"/>
          <w:szCs w:val="24"/>
          <w:rtl/>
          <w14:ligatures w14:val="standardContextual"/>
        </w:rPr>
        <w:t>). وتبرز أهمية هذه الأداة في تحديد المعوقات التشغيلية التي قد تغيب عن القيادات الإدارية (</w:t>
      </w:r>
      <w:r w:rsidRPr="00362D29">
        <w:rPr>
          <w:rFonts w:ascii="Traditional Arabic" w:eastAsia="Aptos" w:hAnsi="Traditional Arabic" w:cs="Traditional Arabic"/>
          <w:kern w:val="2"/>
          <w:sz w:val="24"/>
          <w:szCs w:val="24"/>
          <w14:ligatures w14:val="standardContextual"/>
        </w:rPr>
        <w:t>Zehra et al., 2025</w:t>
      </w:r>
      <w:r w:rsidRPr="00362D29">
        <w:rPr>
          <w:rFonts w:ascii="Traditional Arabic" w:eastAsia="Aptos" w:hAnsi="Traditional Arabic" w:cs="Traditional Arabic"/>
          <w:kern w:val="2"/>
          <w:sz w:val="24"/>
          <w:szCs w:val="24"/>
          <w:rtl/>
          <w14:ligatures w14:val="standardContextual"/>
        </w:rPr>
        <w:t>).</w:t>
      </w:r>
    </w:p>
    <w:p w14:paraId="07D24A0F" w14:textId="77777777" w:rsidR="00F16B8E" w:rsidRPr="00362D29" w:rsidRDefault="00F16B8E"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3.المتسوق الخفي (</w:t>
      </w:r>
      <w:r w:rsidRPr="00362D29">
        <w:rPr>
          <w:rFonts w:ascii="Traditional Arabic" w:eastAsia="Aptos" w:hAnsi="Traditional Arabic" w:cs="Traditional Arabic"/>
          <w:b/>
          <w:bCs/>
          <w:kern w:val="2"/>
          <w:sz w:val="24"/>
          <w:szCs w:val="24"/>
          <w14:ligatures w14:val="standardContextual"/>
        </w:rPr>
        <w:t>Mystery Shopper</w:t>
      </w:r>
      <w:r w:rsidRPr="00362D29">
        <w:rPr>
          <w:rFonts w:ascii="Traditional Arabic" w:eastAsia="Aptos" w:hAnsi="Traditional Arabic" w:cs="Traditional Arabic"/>
          <w:b/>
          <w:bCs/>
          <w:kern w:val="2"/>
          <w:sz w:val="24"/>
          <w:szCs w:val="24"/>
          <w:rtl/>
          <w14:ligatures w14:val="standardContextual"/>
        </w:rPr>
        <w:t>):</w:t>
      </w:r>
    </w:p>
    <w:p w14:paraId="296FE569" w14:textId="15A90D21"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تعتمد هذه الأداة على مقيمين م</w:t>
      </w:r>
      <w:r w:rsidR="00D41C03" w:rsidRPr="00362D29">
        <w:rPr>
          <w:rFonts w:ascii="Traditional Arabic" w:eastAsia="Aptos" w:hAnsi="Traditional Arabic" w:cs="Traditional Arabic"/>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دربين يزورون المنشأة كمرضى مجهولين لتقييم مدى الالتزام بمعايير الخدمة وجودة التعامل، مما يوفر صورة واقعية ومحايدة للأداء اليومي (</w:t>
      </w:r>
      <w:r w:rsidRPr="00362D29">
        <w:rPr>
          <w:rFonts w:ascii="Traditional Arabic" w:eastAsia="Aptos" w:hAnsi="Traditional Arabic" w:cs="Traditional Arabic"/>
          <w:kern w:val="2"/>
          <w:sz w:val="24"/>
          <w:szCs w:val="24"/>
          <w14:ligatures w14:val="standardContextual"/>
        </w:rPr>
        <w:t>MOH, 2026</w:t>
      </w:r>
      <w:r w:rsidRPr="00362D29">
        <w:rPr>
          <w:rFonts w:ascii="Traditional Arabic" w:eastAsia="Aptos" w:hAnsi="Traditional Arabic" w:cs="Traditional Arabic"/>
          <w:kern w:val="2"/>
          <w:sz w:val="24"/>
          <w:szCs w:val="24"/>
          <w:rtl/>
          <w14:ligatures w14:val="standardContextual"/>
        </w:rPr>
        <w:t>). وقد أشارت الدراسات إلى دور هذه الأداة في تقييم أثر برامج التميز في الخدمة على المخرجات الفعلية (</w:t>
      </w:r>
      <w:r w:rsidRPr="00362D29">
        <w:rPr>
          <w:rFonts w:ascii="Traditional Arabic" w:eastAsia="Aptos" w:hAnsi="Traditional Arabic" w:cs="Traditional Arabic"/>
          <w:kern w:val="2"/>
          <w:sz w:val="24"/>
          <w:szCs w:val="24"/>
          <w14:ligatures w14:val="standardContextual"/>
        </w:rPr>
        <w:t>Alkahtani et al., 2023</w:t>
      </w:r>
      <w:r w:rsidRPr="00362D29">
        <w:rPr>
          <w:rFonts w:ascii="Traditional Arabic" w:eastAsia="Aptos" w:hAnsi="Traditional Arabic" w:cs="Traditional Arabic"/>
          <w:kern w:val="2"/>
          <w:sz w:val="24"/>
          <w:szCs w:val="24"/>
          <w:rtl/>
          <w14:ligatures w14:val="standardContextual"/>
        </w:rPr>
        <w:t>).</w:t>
      </w:r>
    </w:p>
    <w:p w14:paraId="44C0BD51" w14:textId="77777777" w:rsidR="00F16B8E" w:rsidRPr="00362D29" w:rsidRDefault="00F16B8E"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4.أدوات الالتقاط السريع (</w:t>
      </w:r>
      <w:r w:rsidRPr="00362D29">
        <w:rPr>
          <w:rFonts w:ascii="Traditional Arabic" w:eastAsia="Aptos" w:hAnsi="Traditional Arabic" w:cs="Traditional Arabic"/>
          <w:b/>
          <w:bCs/>
          <w:kern w:val="2"/>
          <w:sz w:val="24"/>
          <w:szCs w:val="24"/>
          <w14:ligatures w14:val="standardContextual"/>
        </w:rPr>
        <w:t>Capturing Tools</w:t>
      </w:r>
      <w:r w:rsidRPr="00362D29">
        <w:rPr>
          <w:rFonts w:ascii="Traditional Arabic" w:eastAsia="Aptos" w:hAnsi="Traditional Arabic" w:cs="Traditional Arabic"/>
          <w:b/>
          <w:bCs/>
          <w:kern w:val="2"/>
          <w:sz w:val="24"/>
          <w:szCs w:val="24"/>
          <w:rtl/>
          <w14:ligatures w14:val="standardContextual"/>
        </w:rPr>
        <w:t>):</w:t>
      </w:r>
    </w:p>
    <w:p w14:paraId="312BB3E7" w14:textId="5E375249"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تشمل استبيانات تجربة المريض (مثل </w:t>
      </w:r>
      <w:r w:rsidRPr="00362D29">
        <w:rPr>
          <w:rFonts w:ascii="Traditional Arabic" w:eastAsia="Aptos" w:hAnsi="Traditional Arabic" w:cs="Traditional Arabic"/>
          <w:kern w:val="2"/>
          <w:sz w:val="24"/>
          <w:szCs w:val="24"/>
          <w14:ligatures w14:val="standardContextual"/>
        </w:rPr>
        <w:t>HCAHPS</w:t>
      </w:r>
      <w:r w:rsidRPr="00362D29">
        <w:rPr>
          <w:rFonts w:ascii="Traditional Arabic" w:eastAsia="Aptos" w:hAnsi="Traditional Arabic" w:cs="Traditional Arabic"/>
          <w:kern w:val="2"/>
          <w:sz w:val="24"/>
          <w:szCs w:val="24"/>
          <w:rtl/>
          <w14:ligatures w14:val="standardContextual"/>
        </w:rPr>
        <w:t xml:space="preserve"> </w:t>
      </w:r>
      <w:r w:rsidR="000C24EC" w:rsidRPr="00362D29">
        <w:rPr>
          <w:rFonts w:ascii="Traditional Arabic" w:eastAsia="Aptos" w:hAnsi="Traditional Arabic" w:cs="Traditional Arabic"/>
          <w:kern w:val="2"/>
          <w:sz w:val="24"/>
          <w:szCs w:val="24"/>
          <w:rtl/>
          <w14:ligatures w14:val="standardContextual"/>
        </w:rPr>
        <w:t>و</w:t>
      </w:r>
      <w:r w:rsidR="000C24EC" w:rsidRPr="00362D29">
        <w:rPr>
          <w:rFonts w:ascii="Traditional Arabic" w:eastAsia="Aptos" w:hAnsi="Traditional Arabic" w:cs="Traditional Arabic"/>
          <w:kern w:val="2"/>
          <w:sz w:val="24"/>
          <w:szCs w:val="24"/>
          <w14:ligatures w14:val="standardContextual"/>
        </w:rPr>
        <w:t>Press</w:t>
      </w:r>
      <w:r w:rsidRPr="00362D29">
        <w:rPr>
          <w:rFonts w:ascii="Traditional Arabic" w:eastAsia="Aptos" w:hAnsi="Traditional Arabic" w:cs="Traditional Arabic"/>
          <w:kern w:val="2"/>
          <w:sz w:val="24"/>
          <w:szCs w:val="24"/>
          <w14:ligatures w14:val="standardContextual"/>
        </w:rPr>
        <w:t xml:space="preserve"> Ganey</w:t>
      </w:r>
      <w:r w:rsidRPr="00362D29">
        <w:rPr>
          <w:rFonts w:ascii="Traditional Arabic" w:eastAsia="Aptos" w:hAnsi="Traditional Arabic" w:cs="Traditional Arabic"/>
          <w:kern w:val="2"/>
          <w:sz w:val="24"/>
          <w:szCs w:val="24"/>
          <w:rtl/>
          <w14:ligatures w14:val="standardContextual"/>
        </w:rPr>
        <w:t>)، و</w:t>
      </w:r>
      <w:r w:rsidR="00756D19" w:rsidRPr="00362D29">
        <w:rPr>
          <w:rFonts w:ascii="Traditional Arabic" w:eastAsia="Aptos" w:hAnsi="Traditional Arabic" w:cs="Traditional Arabic"/>
          <w:kern w:val="2"/>
          <w:sz w:val="24"/>
          <w:szCs w:val="24"/>
          <w:rtl/>
          <w14:ligatures w14:val="standardContextual"/>
        </w:rPr>
        <w:t xml:space="preserve">مراكز </w:t>
      </w:r>
      <w:r w:rsidRPr="00362D29">
        <w:rPr>
          <w:rFonts w:ascii="Traditional Arabic" w:eastAsia="Aptos" w:hAnsi="Traditional Arabic" w:cs="Traditional Arabic"/>
          <w:kern w:val="2"/>
          <w:sz w:val="24"/>
          <w:szCs w:val="24"/>
          <w:rtl/>
          <w14:ligatures w14:val="standardContextual"/>
        </w:rPr>
        <w:t>تحليل الشكاوى والبلاغات ، ومؤشرات الأداء الرئيسية (</w:t>
      </w:r>
      <w:r w:rsidRPr="00362D29">
        <w:rPr>
          <w:rFonts w:ascii="Traditional Arabic" w:eastAsia="Aptos" w:hAnsi="Traditional Arabic" w:cs="Traditional Arabic"/>
          <w:kern w:val="2"/>
          <w:sz w:val="24"/>
          <w:szCs w:val="24"/>
          <w14:ligatures w14:val="standardContextual"/>
        </w:rPr>
        <w:t>KPIs</w:t>
      </w:r>
      <w:r w:rsidRPr="00362D29">
        <w:rPr>
          <w:rFonts w:ascii="Traditional Arabic" w:eastAsia="Aptos" w:hAnsi="Traditional Arabic" w:cs="Traditional Arabic"/>
          <w:kern w:val="2"/>
          <w:sz w:val="24"/>
          <w:szCs w:val="24"/>
          <w:rtl/>
          <w14:ligatures w14:val="standardContextual"/>
        </w:rPr>
        <w:t xml:space="preserve">) المرتبطة بسلامة المرضى </w:t>
      </w:r>
      <w:r w:rsidR="00756D19" w:rsidRPr="00362D29">
        <w:rPr>
          <w:rFonts w:ascii="Traditional Arabic" w:eastAsia="Aptos" w:hAnsi="Traditional Arabic" w:cs="Traditional Arabic"/>
          <w:kern w:val="2"/>
          <w:sz w:val="24"/>
          <w:szCs w:val="24"/>
          <w:rtl/>
          <w14:ligatures w14:val="standardContextual"/>
        </w:rPr>
        <w:t>(</w:t>
      </w:r>
      <w:r w:rsidR="00756D19" w:rsidRPr="00362D29">
        <w:rPr>
          <w:rFonts w:ascii="Traditional Arabic" w:eastAsia="Aptos" w:hAnsi="Traditional Arabic" w:cs="Traditional Arabic"/>
          <w:kern w:val="2"/>
          <w:sz w:val="24"/>
          <w:szCs w:val="24"/>
          <w14:ligatures w14:val="standardContextual"/>
        </w:rPr>
        <w:t>Health Academy, 2022</w:t>
      </w:r>
      <w:r w:rsidR="00756D19" w:rsidRPr="00362D29">
        <w:rPr>
          <w:rFonts w:ascii="Traditional Arabic" w:eastAsia="Aptos" w:hAnsi="Traditional Arabic" w:cs="Traditional Arabic"/>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وتعتبر هذه الأدوات ضرورية لربط مقاييس التجربة بالمخرجات السريرية المبلغة من المريض (</w:t>
      </w:r>
      <w:r w:rsidRPr="00362D29">
        <w:rPr>
          <w:rFonts w:ascii="Traditional Arabic" w:eastAsia="Aptos" w:hAnsi="Traditional Arabic" w:cs="Traditional Arabic"/>
          <w:kern w:val="2"/>
          <w:sz w:val="24"/>
          <w:szCs w:val="24"/>
          <w14:ligatures w14:val="standardContextual"/>
        </w:rPr>
        <w:t>Alsubahi et al., 2025</w:t>
      </w:r>
      <w:r w:rsidRPr="00362D29">
        <w:rPr>
          <w:rFonts w:ascii="Traditional Arabic" w:eastAsia="Aptos" w:hAnsi="Traditional Arabic" w:cs="Traditional Arabic"/>
          <w:kern w:val="2"/>
          <w:sz w:val="24"/>
          <w:szCs w:val="24"/>
          <w:rtl/>
          <w14:ligatures w14:val="standardContextual"/>
        </w:rPr>
        <w:t>).</w:t>
      </w:r>
    </w:p>
    <w:p w14:paraId="74A178D6" w14:textId="7E4E3EB5" w:rsidR="00F16B8E" w:rsidRPr="00362D29" w:rsidRDefault="00F16B8E" w:rsidP="00362D29">
      <w:pPr>
        <w:pStyle w:val="ab"/>
        <w:numPr>
          <w:ilvl w:val="0"/>
          <w:numId w:val="69"/>
        </w:numPr>
        <w:bidi/>
        <w:spacing w:before="0" w:after="160" w:line="360" w:lineRule="auto"/>
        <w:jc w:val="both"/>
        <w:rPr>
          <w:rFonts w:ascii="Traditional Arabic" w:eastAsia="Aptos" w:hAnsi="Traditional Arabic" w:cs="Traditional Arabic"/>
          <w:b/>
          <w:bCs/>
          <w:kern w:val="2"/>
          <w:sz w:val="28"/>
          <w:szCs w:val="28"/>
          <w:rtl/>
          <w14:ligatures w14:val="standardContextual"/>
        </w:rPr>
      </w:pPr>
      <w:r w:rsidRPr="00362D29">
        <w:rPr>
          <w:rFonts w:ascii="Traditional Arabic" w:eastAsia="Aptos" w:hAnsi="Traditional Arabic" w:cs="Traditional Arabic"/>
          <w:b/>
          <w:bCs/>
          <w:kern w:val="2"/>
          <w:sz w:val="28"/>
          <w:szCs w:val="28"/>
          <w:rtl/>
          <w14:ligatures w14:val="standardContextual"/>
        </w:rPr>
        <w:t>نماذج تحسين تجربة المريض (</w:t>
      </w:r>
      <w:r w:rsidRPr="00362D29">
        <w:rPr>
          <w:rFonts w:ascii="Traditional Arabic" w:eastAsia="Aptos" w:hAnsi="Traditional Arabic" w:cs="Traditional Arabic"/>
          <w:b/>
          <w:bCs/>
          <w:kern w:val="2"/>
          <w:sz w:val="28"/>
          <w:szCs w:val="28"/>
          <w14:ligatures w14:val="standardContextual"/>
        </w:rPr>
        <w:t>Improvement Models</w:t>
      </w:r>
      <w:r w:rsidRPr="00362D29">
        <w:rPr>
          <w:rFonts w:ascii="Traditional Arabic" w:eastAsia="Aptos" w:hAnsi="Traditional Arabic" w:cs="Traditional Arabic"/>
          <w:b/>
          <w:bCs/>
          <w:kern w:val="2"/>
          <w:sz w:val="28"/>
          <w:szCs w:val="28"/>
          <w:rtl/>
          <w14:ligatures w14:val="standardContextual"/>
        </w:rPr>
        <w:t>)</w:t>
      </w:r>
    </w:p>
    <w:p w14:paraId="71A5945D" w14:textId="5AA79E97"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تتعدد نماذج وأطر العمل المستخدمة لتحقيق التحسين المستمر في بيئات الرعاية الصحية بوجه عام، إلا أن الأدبيات والدراسات المتخصصة </w:t>
      </w:r>
      <w:r w:rsidR="00952A2F" w:rsidRPr="00362D29">
        <w:rPr>
          <w:rFonts w:ascii="Traditional Arabic" w:eastAsia="Aptos" w:hAnsi="Traditional Arabic" w:cs="Traditional Arabic"/>
          <w:kern w:val="2"/>
          <w:sz w:val="24"/>
          <w:szCs w:val="24"/>
          <w:rtl/>
          <w14:ligatures w14:val="standardContextual"/>
        </w:rPr>
        <w:t xml:space="preserve">لتحسين تجربة المريض </w:t>
      </w:r>
      <w:r w:rsidRPr="00362D29">
        <w:rPr>
          <w:rFonts w:ascii="Traditional Arabic" w:eastAsia="Aptos" w:hAnsi="Traditional Arabic" w:cs="Traditional Arabic"/>
          <w:kern w:val="2"/>
          <w:sz w:val="24"/>
          <w:szCs w:val="24"/>
          <w:rtl/>
          <w14:ligatures w14:val="standardContextual"/>
        </w:rPr>
        <w:t>ركزت على مجموعة من النماذج المحورية التي تضع تجربة المريض في صلب منهجيتها، ومن أهم هذه النماذج ما يلي</w:t>
      </w:r>
      <w:r w:rsidR="00D1032C" w:rsidRPr="00362D29">
        <w:rPr>
          <w:rFonts w:ascii="Traditional Arabic" w:eastAsia="Aptos" w:hAnsi="Traditional Arabic" w:cs="Traditional Arabic"/>
          <w:kern w:val="2"/>
          <w:sz w:val="24"/>
          <w:szCs w:val="24"/>
          <w:rtl/>
          <w14:ligatures w14:val="standardContextual"/>
        </w:rPr>
        <w:t xml:space="preserve"> </w:t>
      </w:r>
      <w:r w:rsidR="00AD041E" w:rsidRPr="00362D29">
        <w:rPr>
          <w:rFonts w:ascii="Traditional Arabic" w:eastAsia="Aptos" w:hAnsi="Traditional Arabic" w:cs="Traditional Arabic"/>
          <w:kern w:val="2"/>
          <w:sz w:val="24"/>
          <w:szCs w:val="24"/>
          <w:rtl/>
          <w14:ligatures w14:val="standardContextual"/>
        </w:rPr>
        <w:t>(</w:t>
      </w:r>
      <w:r w:rsidR="00AD041E" w:rsidRPr="00362D29">
        <w:rPr>
          <w:rFonts w:ascii="Traditional Arabic" w:eastAsia="Aptos" w:hAnsi="Traditional Arabic" w:cs="Traditional Arabic"/>
          <w:kern w:val="2"/>
          <w:sz w:val="24"/>
          <w:szCs w:val="24"/>
          <w14:ligatures w14:val="standardContextual"/>
        </w:rPr>
        <w:t>Health Academy, 2022</w:t>
      </w:r>
      <w:r w:rsidR="00AD041E" w:rsidRPr="00362D29">
        <w:rPr>
          <w:rFonts w:ascii="Traditional Arabic" w:eastAsia="Aptos" w:hAnsi="Traditional Arabic" w:cs="Traditional Arabic"/>
          <w:kern w:val="2"/>
          <w:sz w:val="24"/>
          <w:szCs w:val="24"/>
          <w:rtl/>
          <w14:ligatures w14:val="standardContextual"/>
        </w:rPr>
        <w:t>)</w:t>
      </w:r>
      <w:r w:rsidR="00D1032C" w:rsidRPr="00362D29">
        <w:rPr>
          <w:rFonts w:ascii="Traditional Arabic" w:eastAsia="Aptos" w:hAnsi="Traditional Arabic" w:cs="Traditional Arabic"/>
          <w:kern w:val="2"/>
          <w:sz w:val="24"/>
          <w:szCs w:val="24"/>
          <w:rtl/>
          <w14:ligatures w14:val="standardContextual"/>
        </w:rPr>
        <w:t>:</w:t>
      </w:r>
    </w:p>
    <w:p w14:paraId="78399FE7" w14:textId="77777777" w:rsidR="00F16B8E" w:rsidRPr="00362D29" w:rsidRDefault="00F16B8E"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1. نموذج بريس جاني للتحسين (</w:t>
      </w:r>
      <w:r w:rsidRPr="00362D29">
        <w:rPr>
          <w:rFonts w:ascii="Traditional Arabic" w:eastAsia="Aptos" w:hAnsi="Traditional Arabic" w:cs="Traditional Arabic"/>
          <w:b/>
          <w:bCs/>
          <w:kern w:val="2"/>
          <w:sz w:val="24"/>
          <w:szCs w:val="24"/>
          <w14:ligatures w14:val="standardContextual"/>
        </w:rPr>
        <w:t>Press Ganey Improvement Model</w:t>
      </w:r>
      <w:r w:rsidRPr="00362D29">
        <w:rPr>
          <w:rFonts w:ascii="Traditional Arabic" w:eastAsia="Aptos" w:hAnsi="Traditional Arabic" w:cs="Traditional Arabic"/>
          <w:b/>
          <w:bCs/>
          <w:kern w:val="2"/>
          <w:sz w:val="24"/>
          <w:szCs w:val="24"/>
          <w:rtl/>
          <w14:ligatures w14:val="standardContextual"/>
        </w:rPr>
        <w:t>)</w:t>
      </w:r>
    </w:p>
    <w:p w14:paraId="55B86551" w14:textId="77777777"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يتبع هذا النموذج منهجية منظمة من ست خطوات تهدف إلى تحويل نتائج الاستبيانات إلى تحسينات مستدامة (</w:t>
      </w:r>
      <w:r w:rsidRPr="00362D29">
        <w:rPr>
          <w:rFonts w:ascii="Traditional Arabic" w:eastAsia="Aptos" w:hAnsi="Traditional Arabic" w:cs="Traditional Arabic"/>
          <w:kern w:val="2"/>
          <w:sz w:val="24"/>
          <w:szCs w:val="24"/>
          <w14:ligatures w14:val="standardContextual"/>
        </w:rPr>
        <w:t>Press Ganey, 2025</w:t>
      </w:r>
      <w:r w:rsidRPr="00362D29">
        <w:rPr>
          <w:rFonts w:ascii="Traditional Arabic" w:eastAsia="Aptos" w:hAnsi="Traditional Arabic" w:cs="Traditional Arabic"/>
          <w:kern w:val="2"/>
          <w:sz w:val="24"/>
          <w:szCs w:val="24"/>
          <w:rtl/>
          <w14:ligatures w14:val="standardContextual"/>
        </w:rPr>
        <w:t>):</w:t>
      </w:r>
    </w:p>
    <w:p w14:paraId="1E13ACC5" w14:textId="77777777"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lastRenderedPageBreak/>
        <w:t>•الخطوة 1:</w:t>
      </w:r>
      <w:r w:rsidRPr="00362D29">
        <w:rPr>
          <w:rFonts w:ascii="Traditional Arabic" w:eastAsia="Aptos" w:hAnsi="Traditional Arabic" w:cs="Traditional Arabic"/>
          <w:kern w:val="2"/>
          <w:sz w:val="24"/>
          <w:szCs w:val="24"/>
          <w:rtl/>
          <w14:ligatures w14:val="standardContextual"/>
        </w:rPr>
        <w:t xml:space="preserve"> تحديد الهدف (</w:t>
      </w:r>
      <w:r w:rsidRPr="00362D29">
        <w:rPr>
          <w:rFonts w:ascii="Traditional Arabic" w:eastAsia="Aptos" w:hAnsi="Traditional Arabic" w:cs="Traditional Arabic"/>
          <w:kern w:val="2"/>
          <w:sz w:val="24"/>
          <w:szCs w:val="24"/>
          <w14:ligatures w14:val="standardContextual"/>
        </w:rPr>
        <w:t>Identify Goal</w:t>
      </w:r>
      <w:r w:rsidRPr="00362D29">
        <w:rPr>
          <w:rFonts w:ascii="Traditional Arabic" w:eastAsia="Aptos" w:hAnsi="Traditional Arabic" w:cs="Traditional Arabic"/>
          <w:kern w:val="2"/>
          <w:sz w:val="24"/>
          <w:szCs w:val="24"/>
          <w:rtl/>
          <w14:ligatures w14:val="standardContextual"/>
        </w:rPr>
        <w:t>): اختيار الفرصة التحسينية وتحديد حجم التحسين المستهدف.</w:t>
      </w:r>
    </w:p>
    <w:p w14:paraId="73D7BAF5" w14:textId="77777777"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•الخطوة 2:</w:t>
      </w:r>
      <w:r w:rsidRPr="00362D29">
        <w:rPr>
          <w:rFonts w:ascii="Traditional Arabic" w:eastAsia="Aptos" w:hAnsi="Traditional Arabic" w:cs="Traditional Arabic"/>
          <w:kern w:val="2"/>
          <w:sz w:val="24"/>
          <w:szCs w:val="24"/>
          <w:rtl/>
          <w14:ligatures w14:val="standardContextual"/>
        </w:rPr>
        <w:t xml:space="preserve"> تحديد السبب (</w:t>
      </w:r>
      <w:r w:rsidRPr="00362D29">
        <w:rPr>
          <w:rFonts w:ascii="Traditional Arabic" w:eastAsia="Aptos" w:hAnsi="Traditional Arabic" w:cs="Traditional Arabic"/>
          <w:kern w:val="2"/>
          <w:sz w:val="24"/>
          <w:szCs w:val="24"/>
          <w14:ligatures w14:val="standardContextual"/>
        </w:rPr>
        <w:t>Identify Cause</w:t>
      </w:r>
      <w:r w:rsidRPr="00362D29">
        <w:rPr>
          <w:rFonts w:ascii="Traditional Arabic" w:eastAsia="Aptos" w:hAnsi="Traditional Arabic" w:cs="Traditional Arabic"/>
          <w:kern w:val="2"/>
          <w:sz w:val="24"/>
          <w:szCs w:val="24"/>
          <w:rtl/>
          <w14:ligatures w14:val="standardContextual"/>
        </w:rPr>
        <w:t xml:space="preserve">): استخدام أدوات مثل "لماذا الخمسة" (5 </w:t>
      </w:r>
      <w:r w:rsidRPr="00362D29">
        <w:rPr>
          <w:rFonts w:ascii="Traditional Arabic" w:eastAsia="Aptos" w:hAnsi="Traditional Arabic" w:cs="Traditional Arabic"/>
          <w:kern w:val="2"/>
          <w:sz w:val="24"/>
          <w:szCs w:val="24"/>
          <w14:ligatures w14:val="standardContextual"/>
        </w:rPr>
        <w:t>Whys</w:t>
      </w:r>
      <w:r w:rsidRPr="00362D29">
        <w:rPr>
          <w:rFonts w:ascii="Traditional Arabic" w:eastAsia="Aptos" w:hAnsi="Traditional Arabic" w:cs="Traditional Arabic"/>
          <w:kern w:val="2"/>
          <w:sz w:val="24"/>
          <w:szCs w:val="24"/>
          <w:rtl/>
          <w14:ligatures w14:val="standardContextual"/>
        </w:rPr>
        <w:t>) أو "عظمة السمكة" (</w:t>
      </w:r>
      <w:r w:rsidRPr="00362D29">
        <w:rPr>
          <w:rFonts w:ascii="Traditional Arabic" w:eastAsia="Aptos" w:hAnsi="Traditional Arabic" w:cs="Traditional Arabic"/>
          <w:kern w:val="2"/>
          <w:sz w:val="24"/>
          <w:szCs w:val="24"/>
          <w14:ligatures w14:val="standardContextual"/>
        </w:rPr>
        <w:t>Fishbone</w:t>
      </w:r>
      <w:r w:rsidRPr="00362D29">
        <w:rPr>
          <w:rFonts w:ascii="Traditional Arabic" w:eastAsia="Aptos" w:hAnsi="Traditional Arabic" w:cs="Traditional Arabic"/>
          <w:kern w:val="2"/>
          <w:sz w:val="24"/>
          <w:szCs w:val="24"/>
          <w:rtl/>
          <w14:ligatures w14:val="standardContextual"/>
        </w:rPr>
        <w:t>) لفهم الجذور العميقة للمشكلة من وجهة نظر المريض.</w:t>
      </w:r>
    </w:p>
    <w:p w14:paraId="362C4E74" w14:textId="77777777"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•الخطوة 3:</w:t>
      </w:r>
      <w:r w:rsidRPr="00362D29">
        <w:rPr>
          <w:rFonts w:ascii="Traditional Arabic" w:eastAsia="Aptos" w:hAnsi="Traditional Arabic" w:cs="Traditional Arabic"/>
          <w:kern w:val="2"/>
          <w:sz w:val="24"/>
          <w:szCs w:val="24"/>
          <w:rtl/>
          <w14:ligatures w14:val="standardContextual"/>
        </w:rPr>
        <w:t xml:space="preserve"> توصية بالحل (</w:t>
      </w:r>
      <w:r w:rsidRPr="00362D29">
        <w:rPr>
          <w:rFonts w:ascii="Traditional Arabic" w:eastAsia="Aptos" w:hAnsi="Traditional Arabic" w:cs="Traditional Arabic"/>
          <w:kern w:val="2"/>
          <w:sz w:val="24"/>
          <w:szCs w:val="24"/>
          <w14:ligatures w14:val="standardContextual"/>
        </w:rPr>
        <w:t>Recommend Solution</w:t>
      </w:r>
      <w:r w:rsidRPr="00362D29">
        <w:rPr>
          <w:rFonts w:ascii="Traditional Arabic" w:eastAsia="Aptos" w:hAnsi="Traditional Arabic" w:cs="Traditional Arabic"/>
          <w:kern w:val="2"/>
          <w:sz w:val="24"/>
          <w:szCs w:val="24"/>
          <w:rtl/>
          <w14:ligatures w14:val="standardContextual"/>
        </w:rPr>
        <w:t>): اختيار حلول تعالج السبب الجذري وتؤثر إيجاباً على مشاعر المريض.</w:t>
      </w:r>
    </w:p>
    <w:p w14:paraId="5CCA7EF2" w14:textId="77777777"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•الخطوة 4:</w:t>
      </w:r>
      <w:r w:rsidRPr="00362D29">
        <w:rPr>
          <w:rFonts w:ascii="Traditional Arabic" w:eastAsia="Aptos" w:hAnsi="Traditional Arabic" w:cs="Traditional Arabic"/>
          <w:kern w:val="2"/>
          <w:sz w:val="24"/>
          <w:szCs w:val="24"/>
          <w:rtl/>
          <w14:ligatures w14:val="standardContextual"/>
        </w:rPr>
        <w:t xml:space="preserve"> تنفيذ الحل (</w:t>
      </w:r>
      <w:r w:rsidRPr="00362D29">
        <w:rPr>
          <w:rFonts w:ascii="Traditional Arabic" w:eastAsia="Aptos" w:hAnsi="Traditional Arabic" w:cs="Traditional Arabic"/>
          <w:kern w:val="2"/>
          <w:sz w:val="24"/>
          <w:szCs w:val="24"/>
          <w14:ligatures w14:val="standardContextual"/>
        </w:rPr>
        <w:t>Implement Solution</w:t>
      </w:r>
      <w:r w:rsidRPr="00362D29">
        <w:rPr>
          <w:rFonts w:ascii="Traditional Arabic" w:eastAsia="Aptos" w:hAnsi="Traditional Arabic" w:cs="Traditional Arabic"/>
          <w:kern w:val="2"/>
          <w:sz w:val="24"/>
          <w:szCs w:val="24"/>
          <w:rtl/>
          <w14:ligatures w14:val="standardContextual"/>
        </w:rPr>
        <w:t>): البدء بتجارب ريادية (</w:t>
      </w:r>
      <w:r w:rsidRPr="00362D29">
        <w:rPr>
          <w:rFonts w:ascii="Traditional Arabic" w:eastAsia="Aptos" w:hAnsi="Traditional Arabic" w:cs="Traditional Arabic"/>
          <w:kern w:val="2"/>
          <w:sz w:val="24"/>
          <w:szCs w:val="24"/>
          <w14:ligatures w14:val="standardContextual"/>
        </w:rPr>
        <w:t>Pilots</w:t>
      </w:r>
      <w:r w:rsidRPr="00362D29">
        <w:rPr>
          <w:rFonts w:ascii="Traditional Arabic" w:eastAsia="Aptos" w:hAnsi="Traditional Arabic" w:cs="Traditional Arabic"/>
          <w:kern w:val="2"/>
          <w:sz w:val="24"/>
          <w:szCs w:val="24"/>
          <w:rtl/>
          <w14:ligatures w14:val="standardContextual"/>
        </w:rPr>
        <w:t>) وضمان دعم القيادة والموظفين.</w:t>
      </w:r>
    </w:p>
    <w:p w14:paraId="5F74FCB4" w14:textId="77777777"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•الخطوة 5:</w:t>
      </w:r>
      <w:r w:rsidRPr="00362D29">
        <w:rPr>
          <w:rFonts w:ascii="Traditional Arabic" w:eastAsia="Aptos" w:hAnsi="Traditional Arabic" w:cs="Traditional Arabic"/>
          <w:kern w:val="2"/>
          <w:sz w:val="24"/>
          <w:szCs w:val="24"/>
          <w:rtl/>
          <w14:ligatures w14:val="standardContextual"/>
        </w:rPr>
        <w:t xml:space="preserve"> المراقبة (</w:t>
      </w:r>
      <w:r w:rsidRPr="00362D29">
        <w:rPr>
          <w:rFonts w:ascii="Traditional Arabic" w:eastAsia="Aptos" w:hAnsi="Traditional Arabic" w:cs="Traditional Arabic"/>
          <w:kern w:val="2"/>
          <w:sz w:val="24"/>
          <w:szCs w:val="24"/>
          <w14:ligatures w14:val="standardContextual"/>
        </w:rPr>
        <w:t>Monitor</w:t>
      </w:r>
      <w:r w:rsidRPr="00362D29">
        <w:rPr>
          <w:rFonts w:ascii="Traditional Arabic" w:eastAsia="Aptos" w:hAnsi="Traditional Arabic" w:cs="Traditional Arabic"/>
          <w:kern w:val="2"/>
          <w:sz w:val="24"/>
          <w:szCs w:val="24"/>
          <w:rtl/>
          <w14:ligatures w14:val="standardContextual"/>
        </w:rPr>
        <w:t>): تتبع النتائج باستمرار للتأكد من فاعلية الحل.</w:t>
      </w:r>
    </w:p>
    <w:p w14:paraId="260F69B9" w14:textId="77777777"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•الخطوة 6:</w:t>
      </w:r>
      <w:r w:rsidRPr="00362D29">
        <w:rPr>
          <w:rFonts w:ascii="Traditional Arabic" w:eastAsia="Aptos" w:hAnsi="Traditional Arabic" w:cs="Traditional Arabic"/>
          <w:kern w:val="2"/>
          <w:sz w:val="24"/>
          <w:szCs w:val="24"/>
          <w:rtl/>
          <w14:ligatures w14:val="standardContextual"/>
        </w:rPr>
        <w:t xml:space="preserve"> المراجعة (</w:t>
      </w:r>
      <w:r w:rsidRPr="00362D29">
        <w:rPr>
          <w:rFonts w:ascii="Traditional Arabic" w:eastAsia="Aptos" w:hAnsi="Traditional Arabic" w:cs="Traditional Arabic"/>
          <w:kern w:val="2"/>
          <w:sz w:val="24"/>
          <w:szCs w:val="24"/>
          <w14:ligatures w14:val="standardContextual"/>
        </w:rPr>
        <w:t>Review</w:t>
      </w:r>
      <w:r w:rsidRPr="00362D29">
        <w:rPr>
          <w:rFonts w:ascii="Traditional Arabic" w:eastAsia="Aptos" w:hAnsi="Traditional Arabic" w:cs="Traditional Arabic"/>
          <w:kern w:val="2"/>
          <w:sz w:val="24"/>
          <w:szCs w:val="24"/>
          <w:rtl/>
          <w14:ligatures w14:val="standardContextual"/>
        </w:rPr>
        <w:t>): تقييم النجاح، الاحتفال بالإنجاز، وتعميم الممارسة أو إعادة البحث في الأسباب إذا لم يتحقق الهدف.</w:t>
      </w:r>
    </w:p>
    <w:p w14:paraId="38579A00" w14:textId="77777777" w:rsidR="00F16B8E" w:rsidRPr="00362D29" w:rsidRDefault="00F16B8E"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2. نموذج </w:t>
      </w:r>
      <w:r w:rsidRPr="00362D29">
        <w:rPr>
          <w:rFonts w:ascii="Traditional Arabic" w:eastAsia="Aptos" w:hAnsi="Traditional Arabic" w:cs="Traditional Arabic"/>
          <w:b/>
          <w:bCs/>
          <w:kern w:val="2"/>
          <w:sz w:val="24"/>
          <w:szCs w:val="24"/>
          <w14:ligatures w14:val="standardContextual"/>
        </w:rPr>
        <w:t>IHI</w:t>
      </w:r>
      <w:r w:rsidRPr="00362D29">
        <w:rPr>
          <w:rFonts w:ascii="Traditional Arabic" w:eastAsia="Aptos" w:hAnsi="Traditional Arabic" w:cs="Traditional Arabic"/>
          <w:b/>
          <w:bCs/>
          <w:kern w:val="2"/>
          <w:sz w:val="24"/>
          <w:szCs w:val="24"/>
          <w:rtl/>
          <w14:ligatures w14:val="standardContextual"/>
        </w:rPr>
        <w:t>: أحداث "دائماً" (</w:t>
      </w:r>
      <w:r w:rsidRPr="00362D29">
        <w:rPr>
          <w:rFonts w:ascii="Traditional Arabic" w:eastAsia="Aptos" w:hAnsi="Traditional Arabic" w:cs="Traditional Arabic"/>
          <w:b/>
          <w:bCs/>
          <w:kern w:val="2"/>
          <w:sz w:val="24"/>
          <w:szCs w:val="24"/>
          <w14:ligatures w14:val="standardContextual"/>
        </w:rPr>
        <w:t>Always Events</w:t>
      </w:r>
      <w:r w:rsidRPr="00362D29">
        <w:rPr>
          <w:rFonts w:ascii="Traditional Arabic" w:eastAsia="Aptos" w:hAnsi="Traditional Arabic" w:cs="Traditional Arabic"/>
          <w:b/>
          <w:bCs/>
          <w:kern w:val="2"/>
          <w:sz w:val="24"/>
          <w:szCs w:val="24"/>
          <w:rtl/>
          <w14:ligatures w14:val="standardContextual"/>
        </w:rPr>
        <w:t>)</w:t>
      </w:r>
    </w:p>
    <w:p w14:paraId="13BBC9E5" w14:textId="30C24184"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يُعد نموذج أحداث "دائماً" (</w:t>
      </w:r>
      <w:r w:rsidRPr="00362D29">
        <w:rPr>
          <w:rFonts w:ascii="Traditional Arabic" w:eastAsia="Aptos" w:hAnsi="Traditional Arabic" w:cs="Traditional Arabic"/>
          <w:kern w:val="2"/>
          <w:sz w:val="24"/>
          <w:szCs w:val="24"/>
          <w14:ligatures w14:val="standardContextual"/>
        </w:rPr>
        <w:t>Always Events</w:t>
      </w:r>
      <w:r w:rsidRPr="00362D29">
        <w:rPr>
          <w:rFonts w:ascii="Traditional Arabic" w:eastAsia="Aptos" w:hAnsi="Traditional Arabic" w:cs="Traditional Arabic"/>
          <w:kern w:val="2"/>
          <w:sz w:val="24"/>
          <w:szCs w:val="24"/>
          <w:rtl/>
          <w14:ligatures w14:val="standardContextual"/>
        </w:rPr>
        <w:t>)، الذي طوره معهد تحسين الرعاية الصحية (</w:t>
      </w:r>
      <w:r w:rsidRPr="00362D29">
        <w:rPr>
          <w:rFonts w:ascii="Traditional Arabic" w:eastAsia="Aptos" w:hAnsi="Traditional Arabic" w:cs="Traditional Arabic"/>
          <w:kern w:val="2"/>
          <w:sz w:val="24"/>
          <w:szCs w:val="24"/>
          <w14:ligatures w14:val="standardContextual"/>
        </w:rPr>
        <w:t>IHI</w:t>
      </w:r>
      <w:r w:rsidRPr="00362D29">
        <w:rPr>
          <w:rFonts w:ascii="Traditional Arabic" w:eastAsia="Aptos" w:hAnsi="Traditional Arabic" w:cs="Traditional Arabic"/>
          <w:kern w:val="2"/>
          <w:sz w:val="24"/>
          <w:szCs w:val="24"/>
          <w:rtl/>
          <w14:ligatures w14:val="standardContextual"/>
        </w:rPr>
        <w:t xml:space="preserve">) بالتعاون مع مؤسسة </w:t>
      </w:r>
      <w:r w:rsidRPr="00362D29">
        <w:rPr>
          <w:rFonts w:ascii="Traditional Arabic" w:eastAsia="Aptos" w:hAnsi="Traditional Arabic" w:cs="Traditional Arabic"/>
          <w:kern w:val="2"/>
          <w:sz w:val="24"/>
          <w:szCs w:val="24"/>
          <w14:ligatures w14:val="standardContextual"/>
        </w:rPr>
        <w:t>Picker</w:t>
      </w:r>
      <w:r w:rsidRPr="00362D29">
        <w:rPr>
          <w:rFonts w:ascii="Traditional Arabic" w:eastAsia="Aptos" w:hAnsi="Traditional Arabic" w:cs="Traditional Arabic"/>
          <w:kern w:val="2"/>
          <w:sz w:val="24"/>
          <w:szCs w:val="24"/>
          <w:rtl/>
          <w14:ligatures w14:val="standardContextual"/>
        </w:rPr>
        <w:t xml:space="preserve"> </w:t>
      </w:r>
      <w:r w:rsidR="00CD7082" w:rsidRPr="00362D29">
        <w:rPr>
          <w:rFonts w:ascii="Traditional Arabic" w:eastAsia="Aptos" w:hAnsi="Traditional Arabic" w:cs="Traditional Arabic"/>
          <w:kern w:val="2"/>
          <w:sz w:val="24"/>
          <w:szCs w:val="24"/>
          <w:rtl/>
          <w14:ligatures w14:val="standardContextual"/>
        </w:rPr>
        <w:t>و</w:t>
      </w:r>
      <w:r w:rsidR="00CD7082" w:rsidRPr="00362D29">
        <w:rPr>
          <w:rFonts w:ascii="Traditional Arabic" w:eastAsia="Aptos" w:hAnsi="Traditional Arabic" w:cs="Traditional Arabic"/>
          <w:kern w:val="2"/>
          <w:sz w:val="24"/>
          <w:szCs w:val="24"/>
          <w14:ligatures w14:val="standardContextual"/>
        </w:rPr>
        <w:t>NHS</w:t>
      </w:r>
      <w:r w:rsidRPr="00362D29">
        <w:rPr>
          <w:rFonts w:ascii="Traditional Arabic" w:eastAsia="Aptos" w:hAnsi="Traditional Arabic" w:cs="Traditional Arabic"/>
          <w:kern w:val="2"/>
          <w:sz w:val="24"/>
          <w:szCs w:val="24"/>
          <w14:ligatures w14:val="standardContextual"/>
        </w:rPr>
        <w:t xml:space="preserve"> England</w:t>
      </w:r>
      <w:r w:rsidRPr="00362D29">
        <w:rPr>
          <w:rFonts w:ascii="Traditional Arabic" w:eastAsia="Aptos" w:hAnsi="Traditional Arabic" w:cs="Traditional Arabic"/>
          <w:kern w:val="2"/>
          <w:sz w:val="24"/>
          <w:szCs w:val="24"/>
          <w:rtl/>
          <w14:ligatures w14:val="standardContextual"/>
        </w:rPr>
        <w:t xml:space="preserve">، أحد أقوى المنهجيات العالمية لتحسين </w:t>
      </w:r>
      <w:r w:rsidR="00CD7082" w:rsidRPr="00362D29">
        <w:rPr>
          <w:rFonts w:ascii="Traditional Arabic" w:eastAsia="Aptos" w:hAnsi="Traditional Arabic" w:cs="Traditional Arabic"/>
          <w:kern w:val="2"/>
          <w:sz w:val="24"/>
          <w:szCs w:val="24"/>
          <w:rtl/>
          <w14:ligatures w14:val="standardContextual"/>
        </w:rPr>
        <w:t>تجربة المريض</w:t>
      </w:r>
      <w:r w:rsidRPr="00362D29">
        <w:rPr>
          <w:rFonts w:ascii="Traditional Arabic" w:eastAsia="Aptos" w:hAnsi="Traditional Arabic" w:cs="Traditional Arabic"/>
          <w:kern w:val="2"/>
          <w:sz w:val="24"/>
          <w:szCs w:val="24"/>
          <w:rtl/>
          <w14:ligatures w14:val="standardContextual"/>
        </w:rPr>
        <w:t>. يركز هذا النموذج على ضمان حدوث جوانب معينة من الرعاية في كل مرة ولدى كل مريض (</w:t>
      </w:r>
      <w:r w:rsidRPr="00362D29">
        <w:rPr>
          <w:rFonts w:ascii="Traditional Arabic" w:eastAsia="Aptos" w:hAnsi="Traditional Arabic" w:cs="Traditional Arabic"/>
          <w:kern w:val="2"/>
          <w:sz w:val="24"/>
          <w:szCs w:val="24"/>
          <w14:ligatures w14:val="standardContextual"/>
        </w:rPr>
        <w:t>IHI, 2025</w:t>
      </w:r>
      <w:r w:rsidRPr="00362D29">
        <w:rPr>
          <w:rFonts w:ascii="Traditional Arabic" w:eastAsia="Aptos" w:hAnsi="Traditional Arabic" w:cs="Traditional Arabic"/>
          <w:kern w:val="2"/>
          <w:sz w:val="24"/>
          <w:szCs w:val="24"/>
          <w:rtl/>
          <w14:ligatures w14:val="standardContextual"/>
        </w:rPr>
        <w:t>).</w:t>
      </w:r>
    </w:p>
    <w:p w14:paraId="263D0C24" w14:textId="77777777" w:rsidR="00F16B8E" w:rsidRPr="00362D29" w:rsidRDefault="00F16B8E"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أ- تعريف أحداث "دائماً":</w:t>
      </w:r>
    </w:p>
    <w:p w14:paraId="0F079287" w14:textId="38C2DBE7"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تُعرف بأنها "تلك الجوانب من تجربة المريض وعائلته التي يجب أن تحدث دائماً في كل تفاعل مع مقدمي الرعاية الصحية والنظام الصحي" </w:t>
      </w:r>
      <w:r w:rsidR="00CA5274" w:rsidRPr="00362D29">
        <w:rPr>
          <w:rFonts w:ascii="Traditional Arabic" w:eastAsia="Aptos" w:hAnsi="Traditional Arabic" w:cs="Traditional Arabic"/>
          <w:kern w:val="2"/>
          <w:sz w:val="24"/>
          <w:szCs w:val="24"/>
          <w:rtl/>
          <w14:ligatures w14:val="standardContextual"/>
        </w:rPr>
        <w:t>و</w:t>
      </w:r>
      <w:r w:rsidRPr="00362D29">
        <w:rPr>
          <w:rFonts w:ascii="Traditional Arabic" w:eastAsia="Aptos" w:hAnsi="Traditional Arabic" w:cs="Traditional Arabic"/>
          <w:kern w:val="2"/>
          <w:sz w:val="24"/>
          <w:szCs w:val="24"/>
          <w:rtl/>
          <w14:ligatures w14:val="standardContextual"/>
        </w:rPr>
        <w:t>هي التزامات لا تقبل المساومة وتعكس ما يهم المريض حقاً</w:t>
      </w:r>
      <w:r w:rsidR="00CA5274" w:rsidRPr="00362D29">
        <w:rPr>
          <w:rFonts w:ascii="Traditional Arabic" w:eastAsia="Aptos" w:hAnsi="Traditional Arabic" w:cs="Traditional Arabic"/>
          <w:kern w:val="2"/>
          <w:sz w:val="24"/>
          <w:szCs w:val="24"/>
          <w:rtl/>
          <w14:ligatures w14:val="standardContextual"/>
        </w:rPr>
        <w:t xml:space="preserve"> (</w:t>
      </w:r>
      <w:r w:rsidR="00CA5274" w:rsidRPr="00362D29">
        <w:rPr>
          <w:rFonts w:ascii="Traditional Arabic" w:eastAsia="Aptos" w:hAnsi="Traditional Arabic" w:cs="Traditional Arabic"/>
          <w:kern w:val="2"/>
          <w:sz w:val="24"/>
          <w:szCs w:val="24"/>
          <w14:ligatures w14:val="standardContextual"/>
        </w:rPr>
        <w:t>NHS, 2026</w:t>
      </w:r>
      <w:r w:rsidR="00CA5274" w:rsidRPr="00362D29">
        <w:rPr>
          <w:rFonts w:ascii="Traditional Arabic" w:eastAsia="Aptos" w:hAnsi="Traditional Arabic" w:cs="Traditional Arabic"/>
          <w:kern w:val="2"/>
          <w:sz w:val="24"/>
          <w:szCs w:val="24"/>
          <w:rtl/>
          <w14:ligatures w14:val="standardContextual"/>
        </w:rPr>
        <w:t>).</w:t>
      </w:r>
    </w:p>
    <w:p w14:paraId="308D0987" w14:textId="77777777" w:rsidR="00F16B8E" w:rsidRPr="00362D29" w:rsidRDefault="00F16B8E"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ب- مراحل تطبيق النموذج:</w:t>
      </w:r>
    </w:p>
    <w:p w14:paraId="2DB35AA2" w14:textId="77777777"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يعتمد النموذج على منهجية علم التحسين (</w:t>
      </w:r>
      <w:r w:rsidRPr="00362D29">
        <w:rPr>
          <w:rFonts w:ascii="Traditional Arabic" w:eastAsia="Aptos" w:hAnsi="Traditional Arabic" w:cs="Traditional Arabic"/>
          <w:kern w:val="2"/>
          <w:sz w:val="24"/>
          <w:szCs w:val="24"/>
          <w14:ligatures w14:val="standardContextual"/>
        </w:rPr>
        <w:t>Improvement Science</w:t>
      </w:r>
      <w:r w:rsidRPr="00362D29">
        <w:rPr>
          <w:rFonts w:ascii="Traditional Arabic" w:eastAsia="Aptos" w:hAnsi="Traditional Arabic" w:cs="Traditional Arabic"/>
          <w:kern w:val="2"/>
          <w:sz w:val="24"/>
          <w:szCs w:val="24"/>
          <w:rtl/>
          <w14:ligatures w14:val="standardContextual"/>
        </w:rPr>
        <w:t>) من خلال الخطوات التالية:</w:t>
      </w:r>
    </w:p>
    <w:p w14:paraId="54A8C37B" w14:textId="77777777"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•فهم ما يهم المريض:</w:t>
      </w:r>
      <w:r w:rsidRPr="00362D29">
        <w:rPr>
          <w:rFonts w:ascii="Traditional Arabic" w:eastAsia="Aptos" w:hAnsi="Traditional Arabic" w:cs="Traditional Arabic"/>
          <w:kern w:val="2"/>
          <w:sz w:val="24"/>
          <w:szCs w:val="24"/>
          <w:rtl/>
          <w14:ligatures w14:val="standardContextual"/>
        </w:rPr>
        <w:t xml:space="preserve"> البدء بسؤال المريض "ما الذي يهمك؟" (</w:t>
      </w:r>
      <w:r w:rsidRPr="00362D29">
        <w:rPr>
          <w:rFonts w:ascii="Traditional Arabic" w:eastAsia="Aptos" w:hAnsi="Traditional Arabic" w:cs="Traditional Arabic"/>
          <w:kern w:val="2"/>
          <w:sz w:val="24"/>
          <w:szCs w:val="24"/>
          <w14:ligatures w14:val="standardContextual"/>
        </w:rPr>
        <w:t>What matters to you</w:t>
      </w:r>
      <w:r w:rsidRPr="00362D29">
        <w:rPr>
          <w:rFonts w:ascii="Traditional Arabic" w:eastAsia="Aptos" w:hAnsi="Traditional Arabic" w:cs="Traditional Arabic"/>
          <w:kern w:val="2"/>
          <w:sz w:val="24"/>
          <w:szCs w:val="24"/>
          <w:rtl/>
          <w14:ligatures w14:val="standardContextual"/>
        </w:rPr>
        <w:t>؟) بدلاً من "ما هي مشكلتك؟".</w:t>
      </w:r>
    </w:p>
    <w:p w14:paraId="69601C39" w14:textId="77777777"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•الإنتاج المشترك للرؤية (</w:t>
      </w:r>
      <w:r w:rsidRPr="00362D29">
        <w:rPr>
          <w:rFonts w:ascii="Traditional Arabic" w:eastAsia="Aptos" w:hAnsi="Traditional Arabic" w:cs="Traditional Arabic"/>
          <w:b/>
          <w:bCs/>
          <w:kern w:val="2"/>
          <w:sz w:val="24"/>
          <w:szCs w:val="24"/>
          <w14:ligatures w14:val="standardContextual"/>
        </w:rPr>
        <w:t>Co-design</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صياغة هدف واضح بالتعاون مع المرضى وعائلاتهم لتحديد الأحداث التي يجب أن تقع دائماً.</w:t>
      </w:r>
    </w:p>
    <w:p w14:paraId="2727AF0B" w14:textId="77777777"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•اختبار الأفكار (</w:t>
      </w:r>
      <w:r w:rsidRPr="00362D29">
        <w:rPr>
          <w:rFonts w:ascii="Traditional Arabic" w:eastAsia="Aptos" w:hAnsi="Traditional Arabic" w:cs="Traditional Arabic"/>
          <w:b/>
          <w:bCs/>
          <w:kern w:val="2"/>
          <w:sz w:val="24"/>
          <w:szCs w:val="24"/>
          <w14:ligatures w14:val="standardContextual"/>
        </w:rPr>
        <w:t>PDSA</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استخدام دورات "خطط، نفذ، ادرس، ثم قرر" (</w:t>
      </w:r>
      <w:r w:rsidRPr="00362D29">
        <w:rPr>
          <w:rFonts w:ascii="Traditional Arabic" w:eastAsia="Aptos" w:hAnsi="Traditional Arabic" w:cs="Traditional Arabic"/>
          <w:kern w:val="2"/>
          <w:sz w:val="24"/>
          <w:szCs w:val="24"/>
          <w14:ligatures w14:val="standardContextual"/>
        </w:rPr>
        <w:t>Plan-Do-Study-Act</w:t>
      </w:r>
      <w:r w:rsidRPr="00362D29">
        <w:rPr>
          <w:rFonts w:ascii="Traditional Arabic" w:eastAsia="Aptos" w:hAnsi="Traditional Arabic" w:cs="Traditional Arabic"/>
          <w:kern w:val="2"/>
          <w:sz w:val="24"/>
          <w:szCs w:val="24"/>
          <w:rtl/>
          <w14:ligatures w14:val="standardContextual"/>
        </w:rPr>
        <w:t>) لاختبار التغييرات الصغيرة قبل تعميمها.</w:t>
      </w:r>
    </w:p>
    <w:p w14:paraId="387307E5" w14:textId="77777777"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lastRenderedPageBreak/>
        <w:t>•الموثوقية والاستدامة:</w:t>
      </w:r>
      <w:r w:rsidRPr="00362D29">
        <w:rPr>
          <w:rFonts w:ascii="Traditional Arabic" w:eastAsia="Aptos" w:hAnsi="Traditional Arabic" w:cs="Traditional Arabic"/>
          <w:kern w:val="2"/>
          <w:sz w:val="24"/>
          <w:szCs w:val="24"/>
          <w:rtl/>
          <w14:ligatures w14:val="standardContextual"/>
        </w:rPr>
        <w:t xml:space="preserve"> دمج هذه الممارسات في العمل اليومي لتصبح جزءاً من ثقافة المنظمة لضمان استمرارية التجربة الإيجابية (</w:t>
      </w:r>
      <w:r w:rsidRPr="00362D29">
        <w:rPr>
          <w:rFonts w:ascii="Traditional Arabic" w:eastAsia="Aptos" w:hAnsi="Traditional Arabic" w:cs="Traditional Arabic"/>
          <w:kern w:val="2"/>
          <w:sz w:val="24"/>
          <w:szCs w:val="24"/>
          <w14:ligatures w14:val="standardContextual"/>
        </w:rPr>
        <w:t>IHI, 2025</w:t>
      </w:r>
      <w:r w:rsidRPr="00362D29">
        <w:rPr>
          <w:rFonts w:ascii="Traditional Arabic" w:eastAsia="Aptos" w:hAnsi="Traditional Arabic" w:cs="Traditional Arabic"/>
          <w:kern w:val="2"/>
          <w:sz w:val="24"/>
          <w:szCs w:val="24"/>
          <w:rtl/>
          <w14:ligatures w14:val="standardContextual"/>
        </w:rPr>
        <w:t>).</w:t>
      </w:r>
    </w:p>
    <w:p w14:paraId="3002C04C" w14:textId="7C81DAA8" w:rsidR="00F16B8E" w:rsidRPr="00362D29" w:rsidRDefault="00F16B8E"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خامساً: أثر تجربة المريض الإيجابية </w:t>
      </w:r>
      <w:r w:rsidR="009246B2" w:rsidRPr="00362D29">
        <w:rPr>
          <w:rFonts w:ascii="Traditional Arabic" w:eastAsia="Aptos" w:hAnsi="Traditional Arabic" w:cs="Traditional Arabic"/>
          <w:b/>
          <w:bCs/>
          <w:kern w:val="2"/>
          <w:sz w:val="24"/>
          <w:szCs w:val="24"/>
          <w:rtl/>
          <w14:ligatures w14:val="standardContextual"/>
        </w:rPr>
        <w:t xml:space="preserve">على </w:t>
      </w:r>
      <w:r w:rsidR="00087A62" w:rsidRPr="00362D29">
        <w:rPr>
          <w:rFonts w:ascii="Traditional Arabic" w:eastAsia="Aptos" w:hAnsi="Traditional Arabic" w:cs="Traditional Arabic"/>
          <w:b/>
          <w:bCs/>
          <w:kern w:val="2"/>
          <w:sz w:val="24"/>
          <w:szCs w:val="24"/>
          <w:rtl/>
          <w14:ligatures w14:val="standardContextual"/>
        </w:rPr>
        <w:t xml:space="preserve">الخدمات الصحية </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b/>
          <w:bCs/>
          <w:kern w:val="2"/>
          <w:sz w:val="24"/>
          <w:szCs w:val="24"/>
          <w14:ligatures w14:val="standardContextual"/>
        </w:rPr>
        <w:t>Impact of Positive Patient Experience</w:t>
      </w:r>
      <w:r w:rsidRPr="00362D29">
        <w:rPr>
          <w:rFonts w:ascii="Traditional Arabic" w:eastAsia="Aptos" w:hAnsi="Traditional Arabic" w:cs="Traditional Arabic"/>
          <w:b/>
          <w:bCs/>
          <w:kern w:val="2"/>
          <w:sz w:val="24"/>
          <w:szCs w:val="24"/>
          <w:rtl/>
          <w14:ligatures w14:val="standardContextual"/>
        </w:rPr>
        <w:t>)</w:t>
      </w:r>
    </w:p>
    <w:p w14:paraId="7497F0DC" w14:textId="6EADBA25"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تؤكد الأدلة العلمية أن المنظمات التي تنجح في تقديم تجربة إيجابية مستدامة تحقق عوائد استراتيجية</w:t>
      </w:r>
      <w:r w:rsidR="00732B1F" w:rsidRPr="00362D29">
        <w:rPr>
          <w:rFonts w:ascii="Traditional Arabic" w:eastAsia="Aptos" w:hAnsi="Traditional Arabic" w:cs="Traditional Arabic"/>
          <w:kern w:val="2"/>
          <w:sz w:val="24"/>
          <w:szCs w:val="24"/>
          <w:rtl/>
          <w14:ligatures w14:val="standardContextual"/>
        </w:rPr>
        <w:t>(</w:t>
      </w:r>
      <w:r w:rsidR="00732B1F" w:rsidRPr="00362D29">
        <w:rPr>
          <w:rFonts w:ascii="Traditional Arabic" w:eastAsia="Aptos" w:hAnsi="Traditional Arabic" w:cs="Traditional Arabic"/>
          <w:kern w:val="2"/>
          <w:sz w:val="24"/>
          <w:szCs w:val="24"/>
          <w14:ligatures w14:val="standardContextual"/>
        </w:rPr>
        <w:t>Health Academy, 2022</w:t>
      </w:r>
      <w:r w:rsidR="00D87D54" w:rsidRPr="00362D29">
        <w:rPr>
          <w:rFonts w:ascii="Traditional Arabic" w:eastAsia="Aptos" w:hAnsi="Traditional Arabic" w:cs="Traditional Arabic"/>
          <w:kern w:val="2"/>
          <w:sz w:val="24"/>
          <w:szCs w:val="24"/>
          <w:rtl/>
          <w14:ligatures w14:val="standardContextual"/>
        </w:rPr>
        <w:t>) تشمل</w:t>
      </w:r>
      <w:r w:rsidR="007E56A8" w:rsidRPr="00362D29">
        <w:rPr>
          <w:rFonts w:ascii="Traditional Arabic" w:eastAsia="Aptos" w:hAnsi="Traditional Arabic" w:cs="Traditional Arabic"/>
          <w:kern w:val="2"/>
          <w:sz w:val="24"/>
          <w:szCs w:val="24"/>
          <w:rtl/>
          <w14:ligatures w14:val="standardContextual"/>
        </w:rPr>
        <w:t xml:space="preserve"> </w:t>
      </w:r>
      <w:r w:rsidRPr="00362D29">
        <w:rPr>
          <w:rFonts w:ascii="Traditional Arabic" w:eastAsia="Aptos" w:hAnsi="Traditional Arabic" w:cs="Traditional Arabic"/>
          <w:kern w:val="2"/>
          <w:sz w:val="24"/>
          <w:szCs w:val="24"/>
          <w:rtl/>
          <w14:ligatures w14:val="standardContextual"/>
        </w:rPr>
        <w:t>:</w:t>
      </w:r>
    </w:p>
    <w:p w14:paraId="04000C2E" w14:textId="77777777"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•انخفاض معدلات إعادة التنويم:</w:t>
      </w:r>
      <w:r w:rsidRPr="00362D29">
        <w:rPr>
          <w:rFonts w:ascii="Traditional Arabic" w:eastAsia="Aptos" w:hAnsi="Traditional Arabic" w:cs="Traditional Arabic"/>
          <w:kern w:val="2"/>
          <w:sz w:val="24"/>
          <w:szCs w:val="24"/>
          <w:rtl/>
          <w14:ligatures w14:val="standardContextual"/>
        </w:rPr>
        <w:t xml:space="preserve"> بفضل وضوح تعليمات الخروج والدعم الذاتي للمريض (</w:t>
      </w:r>
      <w:r w:rsidRPr="00362D29">
        <w:rPr>
          <w:rFonts w:ascii="Traditional Arabic" w:eastAsia="Aptos" w:hAnsi="Traditional Arabic" w:cs="Traditional Arabic"/>
          <w:kern w:val="2"/>
          <w:sz w:val="24"/>
          <w:szCs w:val="24"/>
          <w14:ligatures w14:val="standardContextual"/>
        </w:rPr>
        <w:t>PMC, 2025</w:t>
      </w:r>
      <w:r w:rsidRPr="00362D29">
        <w:rPr>
          <w:rFonts w:ascii="Traditional Arabic" w:eastAsia="Aptos" w:hAnsi="Traditional Arabic" w:cs="Traditional Arabic"/>
          <w:kern w:val="2"/>
          <w:sz w:val="24"/>
          <w:szCs w:val="24"/>
          <w:rtl/>
          <w14:ligatures w14:val="standardContextual"/>
        </w:rPr>
        <w:t>).</w:t>
      </w:r>
    </w:p>
    <w:p w14:paraId="10DFF5B0" w14:textId="77777777"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•تعزيز بيئة العمل:</w:t>
      </w:r>
      <w:r w:rsidRPr="00362D29">
        <w:rPr>
          <w:rFonts w:ascii="Traditional Arabic" w:eastAsia="Aptos" w:hAnsi="Traditional Arabic" w:cs="Traditional Arabic"/>
          <w:kern w:val="2"/>
          <w:sz w:val="24"/>
          <w:szCs w:val="24"/>
          <w:rtl/>
          <w14:ligatures w14:val="standardContextual"/>
        </w:rPr>
        <w:t xml:space="preserve"> ترتبط تجربة المريض الإيجابية بارتفاع رضا الموظفين وتقليل معدلات الاحتراق الوظيفي (الهيئة السعودية للتخصصات الصحية، 2025).</w:t>
      </w:r>
    </w:p>
    <w:p w14:paraId="7AE12485" w14:textId="77777777"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•التميز التنافسي والمالي:</w:t>
      </w:r>
      <w:r w:rsidRPr="00362D29">
        <w:rPr>
          <w:rFonts w:ascii="Traditional Arabic" w:eastAsia="Aptos" w:hAnsi="Traditional Arabic" w:cs="Traditional Arabic"/>
          <w:kern w:val="2"/>
          <w:sz w:val="24"/>
          <w:szCs w:val="24"/>
          <w:rtl/>
          <w14:ligatures w14:val="standardContextual"/>
        </w:rPr>
        <w:t xml:space="preserve"> تصبح المنشأة وجهة مفضلة للمرضى، مما يعزز الاستدامة المالية والسمعة المؤسسية (</w:t>
      </w:r>
      <w:r w:rsidRPr="00362D29">
        <w:rPr>
          <w:rFonts w:ascii="Traditional Arabic" w:eastAsia="Aptos" w:hAnsi="Traditional Arabic" w:cs="Traditional Arabic"/>
          <w:kern w:val="2"/>
          <w:sz w:val="24"/>
          <w:szCs w:val="24"/>
          <w14:ligatures w14:val="standardContextual"/>
        </w:rPr>
        <w:t>Relias, 2025</w:t>
      </w:r>
      <w:r w:rsidRPr="00362D29">
        <w:rPr>
          <w:rFonts w:ascii="Traditional Arabic" w:eastAsia="Aptos" w:hAnsi="Traditional Arabic" w:cs="Traditional Arabic"/>
          <w:kern w:val="2"/>
          <w:sz w:val="24"/>
          <w:szCs w:val="24"/>
          <w:rtl/>
          <w14:ligatures w14:val="standardContextual"/>
        </w:rPr>
        <w:t>).</w:t>
      </w:r>
    </w:p>
    <w:p w14:paraId="446A7CBF" w14:textId="77777777" w:rsidR="00D6527D" w:rsidRPr="00362D29" w:rsidRDefault="00D6527D" w:rsidP="00362D29">
      <w:pPr>
        <w:bidi/>
        <w:spacing w:after="200" w:line="360" w:lineRule="auto"/>
        <w:jc w:val="both"/>
        <w:rPr>
          <w:rFonts w:ascii="Traditional Arabic" w:hAnsi="Traditional Arabic" w:cs="Traditional Arabic"/>
          <w:b/>
          <w:bCs/>
          <w:color w:val="00B0F0"/>
          <w:sz w:val="24"/>
          <w:szCs w:val="24"/>
          <w:u w:val="single"/>
          <w:rtl/>
        </w:rPr>
      </w:pPr>
    </w:p>
    <w:p w14:paraId="08E3C31C" w14:textId="77777777" w:rsidR="006D3DE7" w:rsidRPr="00A52C05" w:rsidRDefault="006D3DE7" w:rsidP="00362D29">
      <w:pPr>
        <w:pStyle w:val="ab"/>
        <w:numPr>
          <w:ilvl w:val="0"/>
          <w:numId w:val="69"/>
        </w:numPr>
        <w:bidi/>
        <w:spacing w:before="100" w:beforeAutospacing="1" w:after="100" w:afterAutospacing="1" w:line="360" w:lineRule="auto"/>
        <w:jc w:val="both"/>
        <w:rPr>
          <w:rFonts w:ascii="Traditional Arabic" w:hAnsi="Traditional Arabic" w:cs="Traditional Arabic"/>
          <w:b/>
          <w:bCs/>
          <w:color w:val="000000" w:themeColor="text1"/>
          <w:sz w:val="32"/>
          <w:szCs w:val="32"/>
        </w:rPr>
      </w:pPr>
      <w:r w:rsidRPr="00A52C05">
        <w:rPr>
          <w:rFonts w:ascii="Traditional Arabic" w:hAnsi="Traditional Arabic" w:cs="Traditional Arabic"/>
          <w:b/>
          <w:bCs/>
          <w:color w:val="000000" w:themeColor="text1"/>
          <w:sz w:val="32"/>
          <w:szCs w:val="32"/>
          <w:rtl/>
        </w:rPr>
        <w:t>برنامج قياس تجربة المريض بوزارة الصحة السعودية (</w:t>
      </w:r>
      <w:r w:rsidRPr="00A52C05">
        <w:rPr>
          <w:rFonts w:ascii="Traditional Arabic" w:hAnsi="Traditional Arabic" w:cs="Traditional Arabic"/>
          <w:b/>
          <w:bCs/>
          <w:color w:val="000000" w:themeColor="text1"/>
          <w:sz w:val="32"/>
          <w:szCs w:val="32"/>
        </w:rPr>
        <w:t>PXMP</w:t>
      </w:r>
      <w:r w:rsidRPr="00A52C05">
        <w:rPr>
          <w:rFonts w:ascii="Traditional Arabic" w:hAnsi="Traditional Arabic" w:cs="Traditional Arabic"/>
          <w:b/>
          <w:bCs/>
          <w:color w:val="000000" w:themeColor="text1"/>
          <w:sz w:val="32"/>
          <w:szCs w:val="32"/>
          <w:rtl/>
        </w:rPr>
        <w:t>)</w:t>
      </w:r>
    </w:p>
    <w:p w14:paraId="24C0BC20" w14:textId="5A9D73C1" w:rsidR="006D3DE7" w:rsidRPr="00362D29" w:rsidRDefault="006D3DE7" w:rsidP="00362D29">
      <w:pPr>
        <w:bidi/>
        <w:spacing w:before="100" w:beforeAutospacing="1" w:after="100" w:afterAutospacing="1" w:line="360" w:lineRule="auto"/>
        <w:jc w:val="both"/>
        <w:rPr>
          <w:rFonts w:ascii="Traditional Arabic" w:hAnsi="Traditional Arabic" w:cs="Traditional Arabic"/>
          <w:sz w:val="24"/>
          <w:szCs w:val="24"/>
          <w:rtl/>
        </w:rPr>
      </w:pPr>
      <w:r w:rsidRPr="00362D29">
        <w:rPr>
          <w:rFonts w:ascii="Traditional Arabic" w:hAnsi="Traditional Arabic" w:cs="Traditional Arabic"/>
          <w:sz w:val="24"/>
          <w:szCs w:val="24"/>
          <w:rtl/>
        </w:rPr>
        <w:t>يُمثل برنامج قياس تجربة المريض (</w:t>
      </w:r>
      <w:r w:rsidRPr="00362D29">
        <w:rPr>
          <w:rFonts w:ascii="Traditional Arabic" w:hAnsi="Traditional Arabic" w:cs="Traditional Arabic"/>
          <w:sz w:val="24"/>
          <w:szCs w:val="24"/>
        </w:rPr>
        <w:t>Patient Experience Measurement Program - PXMP</w:t>
      </w:r>
      <w:r w:rsidRPr="00362D29">
        <w:rPr>
          <w:rFonts w:ascii="Traditional Arabic" w:hAnsi="Traditional Arabic" w:cs="Traditional Arabic"/>
          <w:sz w:val="24"/>
          <w:szCs w:val="24"/>
          <w:rtl/>
        </w:rPr>
        <w:t>) حجر الزاوية في استراتيجية التحول الصحي التي تنتهجها وزارة الصحة السعودية، حيث يُعد أحد المبادرات الوطنية الرائدة التي تهدف إلى تمكين صوت المستفيد وتحويله إلى قوة دافعة لتحسين جودة الرعاية الصحية</w:t>
      </w:r>
      <w:r w:rsidR="00320E15" w:rsidRPr="00362D29">
        <w:rPr>
          <w:rFonts w:ascii="Traditional Arabic" w:hAnsi="Traditional Arabic" w:cs="Traditional Arabic"/>
          <w:sz w:val="24"/>
          <w:szCs w:val="24"/>
          <w:rtl/>
        </w:rPr>
        <w:t xml:space="preserve"> (وزارة الصحة، 2025).</w:t>
      </w:r>
    </w:p>
    <w:p w14:paraId="10FDDEE3" w14:textId="77777777" w:rsidR="006D3DE7" w:rsidRPr="00362D29" w:rsidRDefault="006D3DE7" w:rsidP="00362D29">
      <w:pPr>
        <w:bidi/>
        <w:spacing w:before="100" w:beforeAutospacing="1" w:after="100" w:afterAutospacing="1" w:line="360" w:lineRule="auto"/>
        <w:jc w:val="both"/>
        <w:rPr>
          <w:rFonts w:ascii="Traditional Arabic" w:hAnsi="Traditional Arabic" w:cs="Traditional Arabic"/>
          <w:b/>
          <w:bCs/>
          <w:sz w:val="24"/>
          <w:szCs w:val="24"/>
          <w:rtl/>
        </w:rPr>
      </w:pPr>
      <w:r w:rsidRPr="00362D29">
        <w:rPr>
          <w:rFonts w:ascii="Traditional Arabic" w:hAnsi="Traditional Arabic" w:cs="Traditional Arabic"/>
          <w:b/>
          <w:bCs/>
          <w:sz w:val="24"/>
          <w:szCs w:val="24"/>
          <w:rtl/>
        </w:rPr>
        <w:t>1. السياق الاستراتيجي: رؤية 2030 والتحول الصحي</w:t>
      </w:r>
    </w:p>
    <w:p w14:paraId="71877485" w14:textId="7C551D7A" w:rsidR="009C7218" w:rsidRDefault="006D3DE7" w:rsidP="008B5568">
      <w:pPr>
        <w:bidi/>
        <w:spacing w:before="100" w:beforeAutospacing="1" w:after="100" w:afterAutospacing="1" w:line="360" w:lineRule="auto"/>
        <w:jc w:val="both"/>
        <w:rPr>
          <w:rFonts w:ascii="Traditional Arabic" w:hAnsi="Traditional Arabic" w:cs="Traditional Arabic"/>
          <w:sz w:val="24"/>
          <w:szCs w:val="24"/>
          <w:rtl/>
        </w:rPr>
      </w:pPr>
      <w:r w:rsidRPr="00362D29">
        <w:rPr>
          <w:rFonts w:ascii="Traditional Arabic" w:hAnsi="Traditional Arabic" w:cs="Traditional Arabic"/>
          <w:sz w:val="24"/>
          <w:szCs w:val="24"/>
          <w:rtl/>
        </w:rPr>
        <w:t>يأتي البرنامج كمتطلب أساسي ضمن برنامج تحول القطاع الصحي، أحد برامج رؤية المملكة 2030، والذي يهدف إلى إعادة هيكلة القطاع الصحي ليكون نظاماً صحياً شاملاً وفعالاً ومتكاملاً. وفي ظل توجه شركة الصحة القابضة (</w:t>
      </w:r>
      <w:r w:rsidRPr="00362D29">
        <w:rPr>
          <w:rFonts w:ascii="Traditional Arabic" w:hAnsi="Traditional Arabic" w:cs="Traditional Arabic"/>
          <w:sz w:val="24"/>
          <w:szCs w:val="24"/>
        </w:rPr>
        <w:t>Health Holding</w:t>
      </w:r>
      <w:r w:rsidRPr="00362D29">
        <w:rPr>
          <w:rFonts w:ascii="Traditional Arabic" w:hAnsi="Traditional Arabic" w:cs="Traditional Arabic"/>
          <w:sz w:val="24"/>
          <w:szCs w:val="24"/>
          <w:rtl/>
        </w:rPr>
        <w:t>) نحو تفعيل التجمعات الصحية (مثل تجمع القصيم الصحي) كمشغلين مستقلين، أصبح قياس تجربة المريض أداة حيوية لضمان الشفافية، والمساءلة، والتنافسية الإيجابية بين التجمعات لتقديم أفضل رعاية متمحورة حول الإنسان (وزارة الصحة، 2025).</w:t>
      </w:r>
    </w:p>
    <w:p w14:paraId="2EC77D54" w14:textId="77777777" w:rsidR="008B5568" w:rsidRPr="00362D29" w:rsidRDefault="008B5568" w:rsidP="008B5568">
      <w:pPr>
        <w:bidi/>
        <w:spacing w:before="100" w:beforeAutospacing="1" w:after="100" w:afterAutospacing="1" w:line="360" w:lineRule="auto"/>
        <w:jc w:val="both"/>
        <w:rPr>
          <w:rFonts w:ascii="Traditional Arabic" w:hAnsi="Traditional Arabic" w:cs="Traditional Arabic"/>
          <w:sz w:val="24"/>
          <w:szCs w:val="24"/>
          <w:rtl/>
        </w:rPr>
      </w:pPr>
    </w:p>
    <w:p w14:paraId="4F0E696C" w14:textId="77777777" w:rsidR="006D3DE7" w:rsidRPr="00362D29" w:rsidRDefault="006D3DE7" w:rsidP="00362D29">
      <w:pPr>
        <w:bidi/>
        <w:spacing w:before="100" w:beforeAutospacing="1" w:after="100" w:afterAutospacing="1" w:line="360" w:lineRule="auto"/>
        <w:jc w:val="both"/>
        <w:rPr>
          <w:rFonts w:ascii="Traditional Arabic" w:hAnsi="Traditional Arabic" w:cs="Traditional Arabic"/>
          <w:b/>
          <w:bCs/>
          <w:sz w:val="24"/>
          <w:szCs w:val="24"/>
          <w:rtl/>
        </w:rPr>
      </w:pPr>
      <w:r w:rsidRPr="00362D29">
        <w:rPr>
          <w:rFonts w:ascii="Traditional Arabic" w:hAnsi="Traditional Arabic" w:cs="Traditional Arabic"/>
          <w:b/>
          <w:bCs/>
          <w:sz w:val="24"/>
          <w:szCs w:val="24"/>
          <w:rtl/>
        </w:rPr>
        <w:lastRenderedPageBreak/>
        <w:t>2. التعريف والأهداف</w:t>
      </w:r>
    </w:p>
    <w:p w14:paraId="76EF38B6" w14:textId="77777777" w:rsidR="006D3DE7" w:rsidRPr="00362D29" w:rsidRDefault="006D3DE7" w:rsidP="00362D29">
      <w:pPr>
        <w:bidi/>
        <w:spacing w:before="100" w:beforeAutospacing="1" w:after="100" w:afterAutospacing="1" w:line="360" w:lineRule="auto"/>
        <w:jc w:val="both"/>
        <w:rPr>
          <w:rFonts w:ascii="Traditional Arabic" w:hAnsi="Traditional Arabic" w:cs="Traditional Arabic"/>
          <w:sz w:val="24"/>
          <w:szCs w:val="24"/>
          <w:rtl/>
        </w:rPr>
      </w:pPr>
      <w:r w:rsidRPr="00362D29">
        <w:rPr>
          <w:rFonts w:ascii="Traditional Arabic" w:hAnsi="Traditional Arabic" w:cs="Traditional Arabic"/>
          <w:sz w:val="24"/>
          <w:szCs w:val="24"/>
          <w:rtl/>
        </w:rPr>
        <w:t>يُعرف برنامج قياس تجربة المريض بأنه نظام وطني موحد لقياس مستويات رضا المستفيدين (المرضى وذويهم) عن الخدمات الصحية المقدمة في كافة منشآت وزارة الصحة .</w:t>
      </w:r>
    </w:p>
    <w:p w14:paraId="525F8E36" w14:textId="77777777" w:rsidR="006D3DE7" w:rsidRPr="00362D29" w:rsidRDefault="006D3DE7" w:rsidP="00362D29">
      <w:pPr>
        <w:bidi/>
        <w:spacing w:before="100" w:beforeAutospacing="1" w:after="100" w:afterAutospacing="1" w:line="360" w:lineRule="auto"/>
        <w:jc w:val="both"/>
        <w:rPr>
          <w:rFonts w:ascii="Traditional Arabic" w:hAnsi="Traditional Arabic" w:cs="Traditional Arabic"/>
          <w:b/>
          <w:bCs/>
          <w:sz w:val="24"/>
          <w:szCs w:val="24"/>
          <w:rtl/>
        </w:rPr>
      </w:pPr>
      <w:r w:rsidRPr="00362D29">
        <w:rPr>
          <w:rFonts w:ascii="Traditional Arabic" w:hAnsi="Traditional Arabic" w:cs="Traditional Arabic"/>
          <w:b/>
          <w:bCs/>
          <w:sz w:val="24"/>
          <w:szCs w:val="24"/>
          <w:rtl/>
        </w:rPr>
        <w:t>تتمثل الأهداف الرئيسية للبرنامج في:</w:t>
      </w:r>
    </w:p>
    <w:p w14:paraId="36DF7D44" w14:textId="77777777" w:rsidR="006D3DE7" w:rsidRPr="00362D29" w:rsidRDefault="006D3DE7" w:rsidP="00362D29">
      <w:pPr>
        <w:bidi/>
        <w:spacing w:before="100" w:beforeAutospacing="1" w:after="100" w:afterAutospacing="1" w:line="360" w:lineRule="auto"/>
        <w:jc w:val="both"/>
        <w:rPr>
          <w:rFonts w:ascii="Traditional Arabic" w:hAnsi="Traditional Arabic" w:cs="Traditional Arabic"/>
          <w:sz w:val="24"/>
          <w:szCs w:val="24"/>
          <w:rtl/>
        </w:rPr>
      </w:pPr>
      <w:r w:rsidRPr="00362D29">
        <w:rPr>
          <w:rFonts w:ascii="Traditional Arabic" w:hAnsi="Traditional Arabic" w:cs="Traditional Arabic"/>
          <w:b/>
          <w:bCs/>
          <w:sz w:val="24"/>
          <w:szCs w:val="24"/>
          <w:rtl/>
        </w:rPr>
        <w:t>•تمكين المستفيدين:</w:t>
      </w:r>
      <w:r w:rsidRPr="00362D29">
        <w:rPr>
          <w:rFonts w:ascii="Traditional Arabic" w:hAnsi="Traditional Arabic" w:cs="Traditional Arabic"/>
          <w:sz w:val="24"/>
          <w:szCs w:val="24"/>
          <w:rtl/>
        </w:rPr>
        <w:t xml:space="preserve"> إتاحة الفرصة للمرضى للمشاركة في تحسين جودة الخدمات من خلال تقييم تجاربهم الفعلية.</w:t>
      </w:r>
    </w:p>
    <w:p w14:paraId="36D576C4" w14:textId="77777777" w:rsidR="006D3DE7" w:rsidRPr="00362D29" w:rsidRDefault="006D3DE7" w:rsidP="00362D29">
      <w:pPr>
        <w:bidi/>
        <w:spacing w:before="100" w:beforeAutospacing="1" w:after="100" w:afterAutospacing="1" w:line="360" w:lineRule="auto"/>
        <w:jc w:val="both"/>
        <w:rPr>
          <w:rFonts w:ascii="Traditional Arabic" w:hAnsi="Traditional Arabic" w:cs="Traditional Arabic"/>
          <w:sz w:val="24"/>
          <w:szCs w:val="24"/>
          <w:rtl/>
        </w:rPr>
      </w:pPr>
      <w:r w:rsidRPr="00362D29">
        <w:rPr>
          <w:rFonts w:ascii="Traditional Arabic" w:hAnsi="Traditional Arabic" w:cs="Traditional Arabic"/>
          <w:b/>
          <w:bCs/>
          <w:sz w:val="24"/>
          <w:szCs w:val="24"/>
          <w:rtl/>
        </w:rPr>
        <w:t>•دعم اتخاذ القرار:</w:t>
      </w:r>
      <w:r w:rsidRPr="00362D29">
        <w:rPr>
          <w:rFonts w:ascii="Traditional Arabic" w:hAnsi="Traditional Arabic" w:cs="Traditional Arabic"/>
          <w:sz w:val="24"/>
          <w:szCs w:val="24"/>
          <w:rtl/>
        </w:rPr>
        <w:t xml:space="preserve"> تزويد القيادات الصحية ببيانات دقيقة وموثوقة لاتخاذ قرارات مبنية على احتياجات المريض.</w:t>
      </w:r>
    </w:p>
    <w:p w14:paraId="363A079C" w14:textId="77777777" w:rsidR="006D3DE7" w:rsidRPr="00362D29" w:rsidRDefault="006D3DE7" w:rsidP="00362D29">
      <w:pPr>
        <w:bidi/>
        <w:spacing w:before="100" w:beforeAutospacing="1" w:after="100" w:afterAutospacing="1" w:line="360" w:lineRule="auto"/>
        <w:jc w:val="both"/>
        <w:rPr>
          <w:rFonts w:ascii="Traditional Arabic" w:hAnsi="Traditional Arabic" w:cs="Traditional Arabic"/>
          <w:sz w:val="24"/>
          <w:szCs w:val="24"/>
          <w:rtl/>
        </w:rPr>
      </w:pPr>
      <w:r w:rsidRPr="00362D29">
        <w:rPr>
          <w:rFonts w:ascii="Traditional Arabic" w:hAnsi="Traditional Arabic" w:cs="Traditional Arabic"/>
          <w:b/>
          <w:bCs/>
          <w:sz w:val="24"/>
          <w:szCs w:val="24"/>
          <w:rtl/>
        </w:rPr>
        <w:t>•المقارنة المعيارية (</w:t>
      </w:r>
      <w:r w:rsidRPr="00362D29">
        <w:rPr>
          <w:rFonts w:ascii="Traditional Arabic" w:hAnsi="Traditional Arabic" w:cs="Traditional Arabic"/>
          <w:b/>
          <w:bCs/>
          <w:sz w:val="24"/>
          <w:szCs w:val="24"/>
        </w:rPr>
        <w:t>Benchmarking</w:t>
      </w:r>
      <w:r w:rsidRPr="00362D29">
        <w:rPr>
          <w:rFonts w:ascii="Traditional Arabic" w:hAnsi="Traditional Arabic" w:cs="Traditional Arabic"/>
          <w:b/>
          <w:bCs/>
          <w:sz w:val="24"/>
          <w:szCs w:val="24"/>
          <w:rtl/>
        </w:rPr>
        <w:t>):</w:t>
      </w:r>
      <w:r w:rsidRPr="00362D29">
        <w:rPr>
          <w:rFonts w:ascii="Traditional Arabic" w:hAnsi="Traditional Arabic" w:cs="Traditional Arabic"/>
          <w:sz w:val="24"/>
          <w:szCs w:val="24"/>
          <w:rtl/>
        </w:rPr>
        <w:t xml:space="preserve"> وضع معايير وطنية ومقارنة أداء المنشآت الصحية محلياً وإقليمياً وعالمياً.</w:t>
      </w:r>
    </w:p>
    <w:p w14:paraId="7481E7CE" w14:textId="689474C9" w:rsidR="009C7218" w:rsidRPr="00362D29" w:rsidRDefault="006D3DE7" w:rsidP="00362D29">
      <w:pPr>
        <w:bidi/>
        <w:spacing w:before="100" w:beforeAutospacing="1" w:after="100" w:afterAutospacing="1" w:line="360" w:lineRule="auto"/>
        <w:jc w:val="both"/>
        <w:rPr>
          <w:rFonts w:ascii="Traditional Arabic" w:hAnsi="Traditional Arabic" w:cs="Traditional Arabic"/>
          <w:sz w:val="24"/>
          <w:szCs w:val="24"/>
          <w:rtl/>
        </w:rPr>
      </w:pPr>
      <w:r w:rsidRPr="00362D29">
        <w:rPr>
          <w:rFonts w:ascii="Traditional Arabic" w:hAnsi="Traditional Arabic" w:cs="Traditional Arabic"/>
          <w:b/>
          <w:bCs/>
          <w:sz w:val="24"/>
          <w:szCs w:val="24"/>
          <w:rtl/>
        </w:rPr>
        <w:t>•تحديد أولويات التحسين:</w:t>
      </w:r>
      <w:r w:rsidRPr="00362D29">
        <w:rPr>
          <w:rFonts w:ascii="Traditional Arabic" w:hAnsi="Traditional Arabic" w:cs="Traditional Arabic"/>
          <w:sz w:val="24"/>
          <w:szCs w:val="24"/>
          <w:rtl/>
        </w:rPr>
        <w:t xml:space="preserve"> فهم العوامل الأكثر تأثيراً على تجربة المريض وتوجيه الموارد نحو معالجتها </w:t>
      </w:r>
      <w:r w:rsidR="009C7218" w:rsidRPr="00362D29">
        <w:rPr>
          <w:rFonts w:ascii="Traditional Arabic" w:hAnsi="Traditional Arabic" w:cs="Traditional Arabic"/>
          <w:sz w:val="24"/>
          <w:szCs w:val="24"/>
          <w:rtl/>
        </w:rPr>
        <w:t>(وزارة الصحة، 2025).</w:t>
      </w:r>
      <w:r w:rsidRPr="00362D29">
        <w:rPr>
          <w:rFonts w:ascii="Traditional Arabic" w:hAnsi="Traditional Arabic" w:cs="Traditional Arabic"/>
          <w:sz w:val="24"/>
          <w:szCs w:val="24"/>
          <w:rtl/>
        </w:rPr>
        <w:t>.</w:t>
      </w:r>
    </w:p>
    <w:p w14:paraId="77FF8E08" w14:textId="77777777" w:rsidR="006D3DE7" w:rsidRPr="00362D29" w:rsidRDefault="006D3DE7" w:rsidP="00362D29">
      <w:pPr>
        <w:bidi/>
        <w:spacing w:before="100" w:beforeAutospacing="1" w:after="100" w:afterAutospacing="1" w:line="360" w:lineRule="auto"/>
        <w:jc w:val="both"/>
        <w:rPr>
          <w:rFonts w:ascii="Traditional Arabic" w:hAnsi="Traditional Arabic" w:cs="Traditional Arabic"/>
          <w:b/>
          <w:bCs/>
          <w:sz w:val="24"/>
          <w:szCs w:val="24"/>
          <w:rtl/>
        </w:rPr>
      </w:pPr>
      <w:r w:rsidRPr="00362D29">
        <w:rPr>
          <w:rFonts w:ascii="Traditional Arabic" w:hAnsi="Traditional Arabic" w:cs="Traditional Arabic"/>
          <w:b/>
          <w:bCs/>
          <w:sz w:val="24"/>
          <w:szCs w:val="24"/>
          <w:rtl/>
        </w:rPr>
        <w:t>3. آلية التطبيق والاستبيانات</w:t>
      </w:r>
    </w:p>
    <w:p w14:paraId="21F8BD1F" w14:textId="77777777" w:rsidR="006D3DE7" w:rsidRPr="00362D29" w:rsidRDefault="006D3DE7" w:rsidP="00362D29">
      <w:pPr>
        <w:bidi/>
        <w:spacing w:before="100" w:beforeAutospacing="1" w:after="100" w:afterAutospacing="1" w:line="360" w:lineRule="auto"/>
        <w:jc w:val="both"/>
        <w:rPr>
          <w:rFonts w:ascii="Traditional Arabic" w:hAnsi="Traditional Arabic" w:cs="Traditional Arabic"/>
          <w:sz w:val="24"/>
          <w:szCs w:val="24"/>
          <w:rtl/>
        </w:rPr>
      </w:pPr>
      <w:r w:rsidRPr="00362D29">
        <w:rPr>
          <w:rFonts w:ascii="Traditional Arabic" w:hAnsi="Traditional Arabic" w:cs="Traditional Arabic"/>
          <w:sz w:val="24"/>
          <w:szCs w:val="24"/>
          <w:rtl/>
        </w:rPr>
        <w:t>يعتمد البرنامج على منهجية علمية دقيقة لجمع البيانات، حيث يتم إرسال استبيانات إلكترونية عبر الرسائل النصية (</w:t>
      </w:r>
      <w:r w:rsidRPr="00362D29">
        <w:rPr>
          <w:rFonts w:ascii="Traditional Arabic" w:hAnsi="Traditional Arabic" w:cs="Traditional Arabic"/>
          <w:sz w:val="24"/>
          <w:szCs w:val="24"/>
        </w:rPr>
        <w:t>SMS</w:t>
      </w:r>
      <w:r w:rsidRPr="00362D29">
        <w:rPr>
          <w:rFonts w:ascii="Traditional Arabic" w:hAnsi="Traditional Arabic" w:cs="Traditional Arabic"/>
          <w:sz w:val="24"/>
          <w:szCs w:val="24"/>
          <w:rtl/>
        </w:rPr>
        <w:t>) للمرضى بعد حصولهم على الخدمة مباشرة وتلقي الاستجابة في أربعة عشر يوم من تلقي الخدمة.</w:t>
      </w:r>
    </w:p>
    <w:p w14:paraId="5E7C1D9C" w14:textId="77777777" w:rsidR="006D3DE7" w:rsidRPr="00362D29" w:rsidRDefault="006D3DE7" w:rsidP="00362D29">
      <w:pPr>
        <w:bidi/>
        <w:spacing w:before="100" w:beforeAutospacing="1" w:after="100" w:afterAutospacing="1" w:line="360" w:lineRule="auto"/>
        <w:jc w:val="both"/>
        <w:rPr>
          <w:rFonts w:ascii="Traditional Arabic" w:hAnsi="Traditional Arabic" w:cs="Traditional Arabic"/>
          <w:b/>
          <w:bCs/>
          <w:sz w:val="24"/>
          <w:szCs w:val="24"/>
          <w:rtl/>
        </w:rPr>
      </w:pPr>
      <w:r w:rsidRPr="00362D29">
        <w:rPr>
          <w:rFonts w:ascii="Traditional Arabic" w:hAnsi="Traditional Arabic" w:cs="Traditional Arabic"/>
          <w:b/>
          <w:bCs/>
          <w:sz w:val="24"/>
          <w:szCs w:val="24"/>
          <w:rtl/>
        </w:rPr>
        <w:t>أ- أنواع الاستبيانات:</w:t>
      </w:r>
    </w:p>
    <w:p w14:paraId="5A88D139" w14:textId="77777777" w:rsidR="006D3DE7" w:rsidRPr="00362D29" w:rsidRDefault="006D3DE7" w:rsidP="00362D29">
      <w:pPr>
        <w:bidi/>
        <w:spacing w:before="100" w:beforeAutospacing="1" w:after="100" w:afterAutospacing="1" w:line="360" w:lineRule="auto"/>
        <w:jc w:val="both"/>
        <w:rPr>
          <w:rFonts w:ascii="Traditional Arabic" w:hAnsi="Traditional Arabic" w:cs="Traditional Arabic"/>
          <w:sz w:val="24"/>
          <w:szCs w:val="24"/>
          <w:rtl/>
        </w:rPr>
      </w:pPr>
      <w:r w:rsidRPr="00362D29">
        <w:rPr>
          <w:rFonts w:ascii="Traditional Arabic" w:hAnsi="Traditional Arabic" w:cs="Traditional Arabic"/>
          <w:sz w:val="24"/>
          <w:szCs w:val="24"/>
          <w:rtl/>
        </w:rPr>
        <w:t>تستخدم الوزارة استبيانات مقننة عالمياً ومعربة لتناسب السياق المحلي، ومن أهمها:</w:t>
      </w:r>
    </w:p>
    <w:p w14:paraId="4DCF5298" w14:textId="77777777" w:rsidR="006D3DE7" w:rsidRPr="00362D29" w:rsidRDefault="006D3DE7" w:rsidP="00362D29">
      <w:pPr>
        <w:bidi/>
        <w:spacing w:before="100" w:beforeAutospacing="1" w:after="100" w:afterAutospacing="1" w:line="360" w:lineRule="auto"/>
        <w:jc w:val="both"/>
        <w:rPr>
          <w:rFonts w:ascii="Traditional Arabic" w:hAnsi="Traditional Arabic" w:cs="Traditional Arabic"/>
          <w:sz w:val="24"/>
          <w:szCs w:val="24"/>
          <w:rtl/>
        </w:rPr>
      </w:pPr>
      <w:r w:rsidRPr="00362D29">
        <w:rPr>
          <w:rFonts w:ascii="Traditional Arabic" w:hAnsi="Traditional Arabic" w:cs="Traditional Arabic"/>
          <w:sz w:val="24"/>
          <w:szCs w:val="24"/>
          <w:rtl/>
        </w:rPr>
        <w:t>•استبيان التنويم (</w:t>
      </w:r>
      <w:r w:rsidRPr="00362D29">
        <w:rPr>
          <w:rFonts w:ascii="Traditional Arabic" w:hAnsi="Traditional Arabic" w:cs="Traditional Arabic"/>
          <w:sz w:val="24"/>
          <w:szCs w:val="24"/>
        </w:rPr>
        <w:t>HCAHPS</w:t>
      </w:r>
      <w:r w:rsidRPr="00362D29">
        <w:rPr>
          <w:rFonts w:ascii="Traditional Arabic" w:hAnsi="Traditional Arabic" w:cs="Traditional Arabic"/>
          <w:sz w:val="24"/>
          <w:szCs w:val="24"/>
          <w:rtl/>
        </w:rPr>
        <w:t>): لتقييم تجربة المرضى المنومين في المستشفيات.</w:t>
      </w:r>
    </w:p>
    <w:p w14:paraId="25A077B9" w14:textId="77777777" w:rsidR="006D3DE7" w:rsidRPr="00362D29" w:rsidRDefault="006D3DE7" w:rsidP="00362D29">
      <w:pPr>
        <w:bidi/>
        <w:spacing w:before="100" w:beforeAutospacing="1" w:after="100" w:afterAutospacing="1" w:line="360" w:lineRule="auto"/>
        <w:jc w:val="both"/>
        <w:rPr>
          <w:rFonts w:ascii="Traditional Arabic" w:hAnsi="Traditional Arabic" w:cs="Traditional Arabic"/>
          <w:sz w:val="24"/>
          <w:szCs w:val="24"/>
          <w:rtl/>
        </w:rPr>
      </w:pPr>
      <w:r w:rsidRPr="00362D29">
        <w:rPr>
          <w:rFonts w:ascii="Traditional Arabic" w:hAnsi="Traditional Arabic" w:cs="Traditional Arabic"/>
          <w:sz w:val="24"/>
          <w:szCs w:val="24"/>
          <w:rtl/>
        </w:rPr>
        <w:t>•استبيان العيادات الخارجية (</w:t>
      </w:r>
      <w:r w:rsidRPr="00362D29">
        <w:rPr>
          <w:rFonts w:ascii="Traditional Arabic" w:hAnsi="Traditional Arabic" w:cs="Traditional Arabic"/>
          <w:sz w:val="24"/>
          <w:szCs w:val="24"/>
        </w:rPr>
        <w:t>CG-CAHPS</w:t>
      </w:r>
      <w:r w:rsidRPr="00362D29">
        <w:rPr>
          <w:rFonts w:ascii="Traditional Arabic" w:hAnsi="Traditional Arabic" w:cs="Traditional Arabic"/>
          <w:sz w:val="24"/>
          <w:szCs w:val="24"/>
          <w:rtl/>
        </w:rPr>
        <w:t>): لتقييم تجربة المرضى في مراكز الرعاية الأولية والعيادات التخصصية.</w:t>
      </w:r>
    </w:p>
    <w:p w14:paraId="181DBA45" w14:textId="77777777" w:rsidR="006D3DE7" w:rsidRPr="00362D29" w:rsidRDefault="006D3DE7" w:rsidP="00362D29">
      <w:pPr>
        <w:bidi/>
        <w:spacing w:before="100" w:beforeAutospacing="1" w:after="100" w:afterAutospacing="1" w:line="360" w:lineRule="auto"/>
        <w:jc w:val="both"/>
        <w:rPr>
          <w:rFonts w:ascii="Traditional Arabic" w:hAnsi="Traditional Arabic" w:cs="Traditional Arabic"/>
          <w:sz w:val="24"/>
          <w:szCs w:val="24"/>
          <w:rtl/>
        </w:rPr>
      </w:pPr>
      <w:r w:rsidRPr="00362D29">
        <w:rPr>
          <w:rFonts w:ascii="Traditional Arabic" w:hAnsi="Traditional Arabic" w:cs="Traditional Arabic"/>
          <w:sz w:val="24"/>
          <w:szCs w:val="24"/>
          <w:rtl/>
        </w:rPr>
        <w:t>•استبيانات تخصصية: تشمل مراكز الطوارئ، بنوك الدم، مراكز الإقلاع عن التدخين، ومركز اتصال الصحة (937).</w:t>
      </w:r>
    </w:p>
    <w:p w14:paraId="75FFEA5D" w14:textId="77777777" w:rsidR="009C7218" w:rsidRDefault="009C7218" w:rsidP="00362D29">
      <w:pPr>
        <w:bidi/>
        <w:spacing w:before="100" w:beforeAutospacing="1" w:after="100" w:afterAutospacing="1" w:line="360" w:lineRule="auto"/>
        <w:jc w:val="both"/>
        <w:rPr>
          <w:rFonts w:ascii="Traditional Arabic" w:hAnsi="Traditional Arabic" w:cs="Traditional Arabic"/>
          <w:sz w:val="24"/>
          <w:szCs w:val="24"/>
          <w:rtl/>
        </w:rPr>
      </w:pPr>
    </w:p>
    <w:p w14:paraId="7EBCEB68" w14:textId="77777777" w:rsidR="008B5568" w:rsidRPr="00362D29" w:rsidRDefault="008B5568" w:rsidP="008B5568">
      <w:pPr>
        <w:bidi/>
        <w:spacing w:before="100" w:beforeAutospacing="1" w:after="100" w:afterAutospacing="1" w:line="360" w:lineRule="auto"/>
        <w:jc w:val="both"/>
        <w:rPr>
          <w:rFonts w:ascii="Traditional Arabic" w:hAnsi="Traditional Arabic" w:cs="Traditional Arabic"/>
          <w:sz w:val="24"/>
          <w:szCs w:val="24"/>
          <w:rtl/>
        </w:rPr>
      </w:pPr>
    </w:p>
    <w:p w14:paraId="477F962C" w14:textId="77777777" w:rsidR="006D3DE7" w:rsidRPr="00362D29" w:rsidRDefault="006D3DE7" w:rsidP="00362D29">
      <w:pPr>
        <w:bidi/>
        <w:spacing w:before="100" w:beforeAutospacing="1" w:after="100" w:afterAutospacing="1" w:line="360" w:lineRule="auto"/>
        <w:jc w:val="both"/>
        <w:rPr>
          <w:rFonts w:ascii="Traditional Arabic" w:hAnsi="Traditional Arabic" w:cs="Traditional Arabic"/>
          <w:b/>
          <w:bCs/>
          <w:sz w:val="24"/>
          <w:szCs w:val="24"/>
          <w:rtl/>
        </w:rPr>
      </w:pPr>
      <w:r w:rsidRPr="00362D29">
        <w:rPr>
          <w:rFonts w:ascii="Traditional Arabic" w:hAnsi="Traditional Arabic" w:cs="Traditional Arabic"/>
          <w:b/>
          <w:bCs/>
          <w:sz w:val="24"/>
          <w:szCs w:val="24"/>
          <w:rtl/>
        </w:rPr>
        <w:lastRenderedPageBreak/>
        <w:t>ب- رحلة المريض في البرنامج:</w:t>
      </w:r>
    </w:p>
    <w:p w14:paraId="04B0FD2A" w14:textId="77777777" w:rsidR="006D3DE7" w:rsidRPr="00362D29" w:rsidRDefault="006D3DE7" w:rsidP="00362D29">
      <w:pPr>
        <w:bidi/>
        <w:spacing w:before="100" w:beforeAutospacing="1" w:after="100" w:afterAutospacing="1" w:line="360" w:lineRule="auto"/>
        <w:jc w:val="both"/>
        <w:rPr>
          <w:rFonts w:ascii="Traditional Arabic" w:hAnsi="Traditional Arabic" w:cs="Traditional Arabic"/>
          <w:sz w:val="24"/>
          <w:szCs w:val="24"/>
          <w:rtl/>
        </w:rPr>
      </w:pPr>
      <w:r w:rsidRPr="00362D29">
        <w:rPr>
          <w:rFonts w:ascii="Traditional Arabic" w:hAnsi="Traditional Arabic" w:cs="Traditional Arabic"/>
          <w:sz w:val="24"/>
          <w:szCs w:val="24"/>
          <w:rtl/>
        </w:rPr>
        <w:t>تبدأ الرحلة بمجرد إغلاق ملف الزيارة في النظام الصحي للمنشأة، حيث تُرسل البيانات آلياً إلى المنصة، ومن ثم يتلقى المريض رابط الاستبيان لتقييم جوانب متعددة مثل: (التواصل مع الأطباء والتمريض، البيئة المادية، تنسيق الرعاية، والتعامل الإنساني).</w:t>
      </w:r>
    </w:p>
    <w:p w14:paraId="14ECEC4F" w14:textId="77777777" w:rsidR="006D3DE7" w:rsidRPr="00362D29" w:rsidRDefault="006D3DE7" w:rsidP="00362D29">
      <w:pPr>
        <w:bidi/>
        <w:spacing w:before="100" w:beforeAutospacing="1" w:after="100" w:afterAutospacing="1" w:line="360" w:lineRule="auto"/>
        <w:jc w:val="both"/>
        <w:rPr>
          <w:rFonts w:ascii="Traditional Arabic" w:hAnsi="Traditional Arabic" w:cs="Traditional Arabic"/>
          <w:b/>
          <w:bCs/>
          <w:sz w:val="24"/>
          <w:szCs w:val="24"/>
          <w:rtl/>
        </w:rPr>
      </w:pPr>
      <w:r w:rsidRPr="00362D29">
        <w:rPr>
          <w:rFonts w:ascii="Traditional Arabic" w:hAnsi="Traditional Arabic" w:cs="Traditional Arabic"/>
          <w:b/>
          <w:bCs/>
          <w:sz w:val="24"/>
          <w:szCs w:val="24"/>
          <w:rtl/>
        </w:rPr>
        <w:t>4. المنصة الإلكترونية والشراكة مع بريس جاني (</w:t>
      </w:r>
      <w:r w:rsidRPr="00362D29">
        <w:rPr>
          <w:rFonts w:ascii="Traditional Arabic" w:hAnsi="Traditional Arabic" w:cs="Traditional Arabic"/>
          <w:b/>
          <w:bCs/>
          <w:sz w:val="24"/>
          <w:szCs w:val="24"/>
        </w:rPr>
        <w:t>Press Ganey</w:t>
      </w:r>
      <w:r w:rsidRPr="00362D29">
        <w:rPr>
          <w:rFonts w:ascii="Traditional Arabic" w:hAnsi="Traditional Arabic" w:cs="Traditional Arabic"/>
          <w:b/>
          <w:bCs/>
          <w:sz w:val="24"/>
          <w:szCs w:val="24"/>
          <w:rtl/>
        </w:rPr>
        <w:t>)</w:t>
      </w:r>
    </w:p>
    <w:p w14:paraId="60324114" w14:textId="77777777" w:rsidR="006D3DE7" w:rsidRPr="00362D29" w:rsidRDefault="006D3DE7" w:rsidP="00362D29">
      <w:pPr>
        <w:bidi/>
        <w:spacing w:before="100" w:beforeAutospacing="1" w:after="100" w:afterAutospacing="1" w:line="360" w:lineRule="auto"/>
        <w:jc w:val="both"/>
        <w:rPr>
          <w:rFonts w:ascii="Traditional Arabic" w:hAnsi="Traditional Arabic" w:cs="Traditional Arabic"/>
          <w:sz w:val="24"/>
          <w:szCs w:val="24"/>
          <w:rtl/>
        </w:rPr>
      </w:pPr>
      <w:r w:rsidRPr="00362D29">
        <w:rPr>
          <w:rFonts w:ascii="Traditional Arabic" w:hAnsi="Traditional Arabic" w:cs="Traditional Arabic"/>
          <w:sz w:val="24"/>
          <w:szCs w:val="24"/>
          <w:rtl/>
        </w:rPr>
        <w:t>لضمان الحيادية والالتزام بأعلى المعايير العالمية، تعمل وزارة الصحة مع طرف ثالث مستقل متمثل في شركة روابط للحلول الصحية (</w:t>
      </w:r>
      <w:r w:rsidRPr="00362D29">
        <w:rPr>
          <w:rFonts w:ascii="Traditional Arabic" w:hAnsi="Traditional Arabic" w:cs="Traditional Arabic"/>
          <w:sz w:val="24"/>
          <w:szCs w:val="24"/>
        </w:rPr>
        <w:t>Health. Links</w:t>
      </w:r>
      <w:r w:rsidRPr="00362D29">
        <w:rPr>
          <w:rFonts w:ascii="Traditional Arabic" w:hAnsi="Traditional Arabic" w:cs="Traditional Arabic"/>
          <w:sz w:val="24"/>
          <w:szCs w:val="24"/>
          <w:rtl/>
        </w:rPr>
        <w:t>) ، الشريك الإقليمي لشركة بريس جاني (</w:t>
      </w:r>
      <w:r w:rsidRPr="00362D29">
        <w:rPr>
          <w:rFonts w:ascii="Traditional Arabic" w:hAnsi="Traditional Arabic" w:cs="Traditional Arabic"/>
          <w:sz w:val="24"/>
          <w:szCs w:val="24"/>
        </w:rPr>
        <w:t>Press Ganey</w:t>
      </w:r>
      <w:r w:rsidRPr="00362D29">
        <w:rPr>
          <w:rFonts w:ascii="Traditional Arabic" w:hAnsi="Traditional Arabic" w:cs="Traditional Arabic"/>
          <w:sz w:val="24"/>
          <w:szCs w:val="24"/>
          <w:rtl/>
        </w:rPr>
        <w:t>) العالمية.</w:t>
      </w:r>
    </w:p>
    <w:p w14:paraId="02F786D1" w14:textId="77777777" w:rsidR="006D3DE7" w:rsidRPr="00362D29" w:rsidRDefault="006D3DE7" w:rsidP="00362D29">
      <w:pPr>
        <w:bidi/>
        <w:spacing w:before="100" w:beforeAutospacing="1" w:after="100" w:afterAutospacing="1" w:line="360" w:lineRule="auto"/>
        <w:jc w:val="both"/>
        <w:rPr>
          <w:rFonts w:ascii="Traditional Arabic" w:hAnsi="Traditional Arabic" w:cs="Traditional Arabic"/>
          <w:b/>
          <w:bCs/>
          <w:sz w:val="24"/>
          <w:szCs w:val="24"/>
          <w:rtl/>
        </w:rPr>
      </w:pPr>
      <w:r w:rsidRPr="00362D29">
        <w:rPr>
          <w:rFonts w:ascii="Traditional Arabic" w:hAnsi="Traditional Arabic" w:cs="Traditional Arabic"/>
          <w:b/>
          <w:bCs/>
          <w:sz w:val="24"/>
          <w:szCs w:val="24"/>
          <w:rtl/>
        </w:rPr>
        <w:t>مميزات المنصة الإلكترونية:</w:t>
      </w:r>
    </w:p>
    <w:p w14:paraId="6CFBBEA3" w14:textId="77777777" w:rsidR="006D3DE7" w:rsidRPr="00362D29" w:rsidRDefault="006D3DE7" w:rsidP="00362D29">
      <w:pPr>
        <w:bidi/>
        <w:spacing w:before="100" w:beforeAutospacing="1" w:after="100" w:afterAutospacing="1" w:line="360" w:lineRule="auto"/>
        <w:jc w:val="both"/>
        <w:rPr>
          <w:rFonts w:ascii="Traditional Arabic" w:hAnsi="Traditional Arabic" w:cs="Traditional Arabic"/>
          <w:sz w:val="24"/>
          <w:szCs w:val="24"/>
          <w:rtl/>
        </w:rPr>
      </w:pPr>
      <w:r w:rsidRPr="00362D29">
        <w:rPr>
          <w:rFonts w:ascii="Traditional Arabic" w:hAnsi="Traditional Arabic" w:cs="Traditional Arabic"/>
          <w:sz w:val="24"/>
          <w:szCs w:val="24"/>
          <w:rtl/>
        </w:rPr>
        <w:t>•الحيادية التامة: تُدار الاستبيانات وتُحلل النتائج من قبل طرف مستقل لضمان عدم وجود تحيز.</w:t>
      </w:r>
    </w:p>
    <w:p w14:paraId="10CD74B2" w14:textId="77777777" w:rsidR="006D3DE7" w:rsidRPr="00362D29" w:rsidRDefault="006D3DE7" w:rsidP="00362D29">
      <w:pPr>
        <w:bidi/>
        <w:spacing w:before="100" w:beforeAutospacing="1" w:after="100" w:afterAutospacing="1" w:line="360" w:lineRule="auto"/>
        <w:jc w:val="both"/>
        <w:rPr>
          <w:rFonts w:ascii="Traditional Arabic" w:hAnsi="Traditional Arabic" w:cs="Traditional Arabic"/>
          <w:sz w:val="24"/>
          <w:szCs w:val="24"/>
          <w:rtl/>
        </w:rPr>
      </w:pPr>
      <w:r w:rsidRPr="00362D29">
        <w:rPr>
          <w:rFonts w:ascii="Traditional Arabic" w:hAnsi="Traditional Arabic" w:cs="Traditional Arabic"/>
          <w:sz w:val="24"/>
          <w:szCs w:val="24"/>
          <w:rtl/>
        </w:rPr>
        <w:t>•الوصول الفوري للبيانات: تتيح المنصة للقيادات في التجمعات الصحية الدخول المباشر لمتابعة النتائج والتعليقات الحية للمرضى.</w:t>
      </w:r>
    </w:p>
    <w:p w14:paraId="3502966C" w14:textId="77777777" w:rsidR="006D3DE7" w:rsidRPr="00362D29" w:rsidRDefault="006D3DE7" w:rsidP="00362D29">
      <w:pPr>
        <w:bidi/>
        <w:spacing w:before="100" w:beforeAutospacing="1" w:after="100" w:afterAutospacing="1" w:line="360" w:lineRule="auto"/>
        <w:jc w:val="both"/>
        <w:rPr>
          <w:rFonts w:ascii="Traditional Arabic" w:hAnsi="Traditional Arabic" w:cs="Traditional Arabic"/>
          <w:sz w:val="24"/>
          <w:szCs w:val="24"/>
          <w:rtl/>
        </w:rPr>
      </w:pPr>
      <w:r w:rsidRPr="00362D29">
        <w:rPr>
          <w:rFonts w:ascii="Traditional Arabic" w:hAnsi="Traditional Arabic" w:cs="Traditional Arabic"/>
          <w:sz w:val="24"/>
          <w:szCs w:val="24"/>
          <w:rtl/>
        </w:rPr>
        <w:t>•قاعدة بيانات ضخمة: تعتمد المنصة على مقارنات معيارية مع أكثر من 35,000 منشأة صحية عالمياً (وزارة الصحة، 2025).</w:t>
      </w:r>
    </w:p>
    <w:p w14:paraId="3F518B32" w14:textId="77777777" w:rsidR="006D3DE7" w:rsidRPr="00362D29" w:rsidRDefault="006D3DE7" w:rsidP="00362D29">
      <w:pPr>
        <w:bidi/>
        <w:spacing w:before="100" w:beforeAutospacing="1" w:after="100" w:afterAutospacing="1" w:line="360" w:lineRule="auto"/>
        <w:jc w:val="both"/>
        <w:rPr>
          <w:rFonts w:ascii="Traditional Arabic" w:hAnsi="Traditional Arabic" w:cs="Traditional Arabic"/>
          <w:b/>
          <w:bCs/>
          <w:sz w:val="24"/>
          <w:szCs w:val="24"/>
          <w:rtl/>
        </w:rPr>
      </w:pPr>
      <w:r w:rsidRPr="00362D29">
        <w:rPr>
          <w:rFonts w:ascii="Traditional Arabic" w:hAnsi="Traditional Arabic" w:cs="Traditional Arabic"/>
          <w:b/>
          <w:bCs/>
          <w:sz w:val="24"/>
          <w:szCs w:val="24"/>
          <w:rtl/>
        </w:rPr>
        <w:t>5. المنهجية، التحليل، والتقارير</w:t>
      </w:r>
    </w:p>
    <w:p w14:paraId="3655CE76" w14:textId="77777777" w:rsidR="006D3DE7" w:rsidRPr="00362D29" w:rsidRDefault="006D3DE7" w:rsidP="00362D29">
      <w:pPr>
        <w:bidi/>
        <w:spacing w:before="100" w:beforeAutospacing="1" w:after="100" w:afterAutospacing="1" w:line="360" w:lineRule="auto"/>
        <w:jc w:val="both"/>
        <w:rPr>
          <w:rFonts w:ascii="Traditional Arabic" w:hAnsi="Traditional Arabic" w:cs="Traditional Arabic"/>
          <w:sz w:val="24"/>
          <w:szCs w:val="24"/>
          <w:rtl/>
        </w:rPr>
      </w:pPr>
      <w:r w:rsidRPr="00362D29">
        <w:rPr>
          <w:rFonts w:ascii="Traditional Arabic" w:hAnsi="Traditional Arabic" w:cs="Traditional Arabic"/>
          <w:sz w:val="24"/>
          <w:szCs w:val="24"/>
          <w:rtl/>
        </w:rPr>
        <w:t>يعتمد البرنامج نظاماً دقيقاً في تحليل البيانات وتحويلها إلى مؤشرات أداء قابلة للقياس:</w:t>
      </w:r>
    </w:p>
    <w:p w14:paraId="14DE61C8" w14:textId="748C8F8E" w:rsidR="006D3DE7" w:rsidRPr="00362D29" w:rsidRDefault="006D3DE7" w:rsidP="00362D29">
      <w:pPr>
        <w:bidi/>
        <w:spacing w:before="100" w:beforeAutospacing="1" w:after="100" w:afterAutospacing="1" w:line="360" w:lineRule="auto"/>
        <w:jc w:val="both"/>
        <w:rPr>
          <w:rFonts w:ascii="Traditional Arabic" w:hAnsi="Traditional Arabic" w:cs="Traditional Arabic"/>
          <w:sz w:val="24"/>
          <w:szCs w:val="24"/>
          <w:rtl/>
        </w:rPr>
      </w:pPr>
      <w:r w:rsidRPr="00362D29">
        <w:rPr>
          <w:rFonts w:ascii="Traditional Arabic" w:hAnsi="Traditional Arabic" w:cs="Traditional Arabic"/>
          <w:sz w:val="24"/>
          <w:szCs w:val="24"/>
          <w:rtl/>
        </w:rPr>
        <w:t xml:space="preserve">أ- </w:t>
      </w:r>
      <w:r w:rsidR="00871377">
        <w:rPr>
          <w:rFonts w:ascii="Traditional Arabic" w:hAnsi="Traditional Arabic" w:cs="Traditional Arabic" w:hint="cs"/>
          <w:sz w:val="24"/>
          <w:szCs w:val="24"/>
          <w:rtl/>
        </w:rPr>
        <w:t>التقييم</w:t>
      </w:r>
      <w:r w:rsidRPr="00362D29">
        <w:rPr>
          <w:rFonts w:ascii="Traditional Arabic" w:hAnsi="Traditional Arabic" w:cs="Traditional Arabic"/>
          <w:sz w:val="24"/>
          <w:szCs w:val="24"/>
          <w:rtl/>
        </w:rPr>
        <w:t xml:space="preserve"> (</w:t>
      </w:r>
      <w:r w:rsidRPr="00362D29">
        <w:rPr>
          <w:rFonts w:ascii="Traditional Arabic" w:hAnsi="Traditional Arabic" w:cs="Traditional Arabic"/>
          <w:sz w:val="24"/>
          <w:szCs w:val="24"/>
        </w:rPr>
        <w:t>Scoring Methodology</w:t>
      </w:r>
      <w:r w:rsidRPr="00362D29">
        <w:rPr>
          <w:rFonts w:ascii="Traditional Arabic" w:hAnsi="Traditional Arabic" w:cs="Traditional Arabic"/>
          <w:sz w:val="24"/>
          <w:szCs w:val="24"/>
          <w:rtl/>
        </w:rPr>
        <w:t>):</w:t>
      </w:r>
    </w:p>
    <w:p w14:paraId="3259F220" w14:textId="77777777" w:rsidR="006D3DE7" w:rsidRPr="00362D29" w:rsidRDefault="006D3DE7" w:rsidP="00362D29">
      <w:pPr>
        <w:bidi/>
        <w:spacing w:before="100" w:beforeAutospacing="1" w:after="100" w:afterAutospacing="1" w:line="360" w:lineRule="auto"/>
        <w:jc w:val="both"/>
        <w:rPr>
          <w:rFonts w:ascii="Traditional Arabic" w:hAnsi="Traditional Arabic" w:cs="Traditional Arabic"/>
          <w:sz w:val="24"/>
          <w:szCs w:val="24"/>
          <w:rtl/>
        </w:rPr>
      </w:pPr>
      <w:r w:rsidRPr="00362D29">
        <w:rPr>
          <w:rFonts w:ascii="Traditional Arabic" w:hAnsi="Traditional Arabic" w:cs="Traditional Arabic"/>
          <w:sz w:val="24"/>
          <w:szCs w:val="24"/>
          <w:rtl/>
        </w:rPr>
        <w:t>يتم احتساب النتائج بناءً على نظام "</w:t>
      </w:r>
      <w:r w:rsidRPr="00362D29">
        <w:rPr>
          <w:rFonts w:ascii="Traditional Arabic" w:hAnsi="Traditional Arabic" w:cs="Traditional Arabic"/>
          <w:sz w:val="24"/>
          <w:szCs w:val="24"/>
        </w:rPr>
        <w:t>Top Box Score</w:t>
      </w:r>
      <w:r w:rsidRPr="00362D29">
        <w:rPr>
          <w:rFonts w:ascii="Traditional Arabic" w:hAnsi="Traditional Arabic" w:cs="Traditional Arabic"/>
          <w:sz w:val="24"/>
          <w:szCs w:val="24"/>
          <w:rtl/>
        </w:rPr>
        <w:t>"، وهو النسبة المئوية للمرضى الذين اختاروا أعلى تقييم ممكن (مثلاً: "دائماً" أو "ممتاز"). هذا النظام يرفع سقف التوقعات ويحفز المنشآت على السعي نحو التميز وليس فقط الرضا العادي.</w:t>
      </w:r>
    </w:p>
    <w:p w14:paraId="3FAA7F81" w14:textId="77777777" w:rsidR="006D3DE7" w:rsidRPr="00362D29" w:rsidRDefault="006D3DE7" w:rsidP="00362D29">
      <w:pPr>
        <w:bidi/>
        <w:spacing w:before="100" w:beforeAutospacing="1" w:after="100" w:afterAutospacing="1" w:line="360" w:lineRule="auto"/>
        <w:jc w:val="both"/>
        <w:rPr>
          <w:rFonts w:ascii="Traditional Arabic" w:hAnsi="Traditional Arabic" w:cs="Traditional Arabic"/>
          <w:sz w:val="24"/>
          <w:szCs w:val="24"/>
          <w:rtl/>
        </w:rPr>
      </w:pPr>
      <w:r w:rsidRPr="00362D29">
        <w:rPr>
          <w:rFonts w:ascii="Traditional Arabic" w:hAnsi="Traditional Arabic" w:cs="Traditional Arabic"/>
          <w:sz w:val="24"/>
          <w:szCs w:val="24"/>
          <w:rtl/>
        </w:rPr>
        <w:t>ب- التقارير (</w:t>
      </w:r>
      <w:r w:rsidRPr="00362D29">
        <w:rPr>
          <w:rFonts w:ascii="Traditional Arabic" w:hAnsi="Traditional Arabic" w:cs="Traditional Arabic"/>
          <w:sz w:val="24"/>
          <w:szCs w:val="24"/>
        </w:rPr>
        <w:t>Reporting</w:t>
      </w:r>
      <w:r w:rsidRPr="00362D29">
        <w:rPr>
          <w:rFonts w:ascii="Traditional Arabic" w:hAnsi="Traditional Arabic" w:cs="Traditional Arabic"/>
          <w:sz w:val="24"/>
          <w:szCs w:val="24"/>
          <w:rtl/>
        </w:rPr>
        <w:t>):</w:t>
      </w:r>
    </w:p>
    <w:p w14:paraId="0AEA5574" w14:textId="77777777" w:rsidR="006D3DE7" w:rsidRPr="00362D29" w:rsidRDefault="006D3DE7" w:rsidP="00362D29">
      <w:pPr>
        <w:bidi/>
        <w:spacing w:before="100" w:beforeAutospacing="1" w:after="100" w:afterAutospacing="1" w:line="360" w:lineRule="auto"/>
        <w:jc w:val="both"/>
        <w:rPr>
          <w:rFonts w:ascii="Traditional Arabic" w:hAnsi="Traditional Arabic" w:cs="Traditional Arabic"/>
          <w:sz w:val="24"/>
          <w:szCs w:val="24"/>
          <w:rtl/>
        </w:rPr>
      </w:pPr>
      <w:r w:rsidRPr="00362D29">
        <w:rPr>
          <w:rFonts w:ascii="Traditional Arabic" w:hAnsi="Traditional Arabic" w:cs="Traditional Arabic"/>
          <w:sz w:val="24"/>
          <w:szCs w:val="24"/>
          <w:rtl/>
        </w:rPr>
        <w:t>تصدر المنصة تقارير دورية (ربع سنوية ونصف سنوية) تشمل:</w:t>
      </w:r>
    </w:p>
    <w:p w14:paraId="5ADCF198" w14:textId="77777777" w:rsidR="006D3DE7" w:rsidRPr="00362D29" w:rsidRDefault="006D3DE7" w:rsidP="00362D29">
      <w:pPr>
        <w:bidi/>
        <w:spacing w:before="100" w:beforeAutospacing="1" w:after="100" w:afterAutospacing="1" w:line="360" w:lineRule="auto"/>
        <w:jc w:val="both"/>
        <w:rPr>
          <w:rFonts w:ascii="Traditional Arabic" w:hAnsi="Traditional Arabic" w:cs="Traditional Arabic"/>
          <w:sz w:val="24"/>
          <w:szCs w:val="24"/>
          <w:rtl/>
        </w:rPr>
      </w:pPr>
      <w:r w:rsidRPr="00362D29">
        <w:rPr>
          <w:rFonts w:ascii="Traditional Arabic" w:hAnsi="Traditional Arabic" w:cs="Traditional Arabic"/>
          <w:sz w:val="24"/>
          <w:szCs w:val="24"/>
          <w:rtl/>
        </w:rPr>
        <w:t>•النتائج الإجمالية: مستوى الرضا العام عن المنشأة أو التجمع الصحي.</w:t>
      </w:r>
    </w:p>
    <w:p w14:paraId="692D45BC" w14:textId="77777777" w:rsidR="006D3DE7" w:rsidRPr="00362D29" w:rsidRDefault="006D3DE7" w:rsidP="00362D29">
      <w:pPr>
        <w:bidi/>
        <w:spacing w:before="100" w:beforeAutospacing="1" w:after="100" w:afterAutospacing="1" w:line="360" w:lineRule="auto"/>
        <w:jc w:val="both"/>
        <w:rPr>
          <w:rFonts w:ascii="Traditional Arabic" w:hAnsi="Traditional Arabic" w:cs="Traditional Arabic"/>
          <w:sz w:val="24"/>
          <w:szCs w:val="24"/>
          <w:rtl/>
        </w:rPr>
      </w:pPr>
      <w:r w:rsidRPr="00362D29">
        <w:rPr>
          <w:rFonts w:ascii="Traditional Arabic" w:hAnsi="Traditional Arabic" w:cs="Traditional Arabic"/>
          <w:sz w:val="24"/>
          <w:szCs w:val="24"/>
          <w:rtl/>
        </w:rPr>
        <w:lastRenderedPageBreak/>
        <w:t>•تحليل الأبعاد: تقييم تفصيلي لكل بعد من أبعاد التجربة (مثل التواصل، النظافة، الهدوء).</w:t>
      </w:r>
    </w:p>
    <w:p w14:paraId="08D91E42" w14:textId="77777777" w:rsidR="006D3DE7" w:rsidRPr="00362D29" w:rsidRDefault="006D3DE7" w:rsidP="00362D29">
      <w:pPr>
        <w:bidi/>
        <w:spacing w:before="100" w:beforeAutospacing="1" w:after="100" w:afterAutospacing="1" w:line="360" w:lineRule="auto"/>
        <w:jc w:val="both"/>
        <w:rPr>
          <w:rFonts w:ascii="Traditional Arabic" w:hAnsi="Traditional Arabic" w:cs="Traditional Arabic"/>
          <w:sz w:val="24"/>
          <w:szCs w:val="24"/>
          <w:rtl/>
        </w:rPr>
      </w:pPr>
      <w:r w:rsidRPr="00362D29">
        <w:rPr>
          <w:rFonts w:ascii="Traditional Arabic" w:hAnsi="Traditional Arabic" w:cs="Traditional Arabic"/>
          <w:sz w:val="24"/>
          <w:szCs w:val="24"/>
          <w:rtl/>
        </w:rPr>
        <w:t>•تحليل التعليقات النوعية: استخدام تقنيات تحليل النصوص لفهم آراء المرضى المكتوبة وتحديد المشكلات المتكررة.</w:t>
      </w:r>
    </w:p>
    <w:p w14:paraId="0C6A7F1B" w14:textId="77777777" w:rsidR="006D3DE7" w:rsidRPr="00362D29" w:rsidRDefault="006D3DE7" w:rsidP="00362D29">
      <w:pPr>
        <w:bidi/>
        <w:spacing w:before="100" w:beforeAutospacing="1" w:after="100" w:afterAutospacing="1" w:line="360" w:lineRule="auto"/>
        <w:jc w:val="both"/>
        <w:rPr>
          <w:rFonts w:ascii="Traditional Arabic" w:hAnsi="Traditional Arabic" w:cs="Traditional Arabic"/>
          <w:b/>
          <w:bCs/>
          <w:sz w:val="24"/>
          <w:szCs w:val="24"/>
          <w:rtl/>
        </w:rPr>
      </w:pPr>
      <w:r w:rsidRPr="00362D29">
        <w:rPr>
          <w:rFonts w:ascii="Traditional Arabic" w:hAnsi="Traditional Arabic" w:cs="Traditional Arabic"/>
          <w:b/>
          <w:bCs/>
          <w:sz w:val="24"/>
          <w:szCs w:val="24"/>
          <w:rtl/>
        </w:rPr>
        <w:t>6. علاقة البرنامج بتحسين جودة الخدمات الصحية</w:t>
      </w:r>
    </w:p>
    <w:p w14:paraId="6C9AD9F7" w14:textId="77777777" w:rsidR="006D3DE7" w:rsidRPr="00362D29" w:rsidRDefault="006D3DE7" w:rsidP="00362D29">
      <w:pPr>
        <w:bidi/>
        <w:spacing w:before="100" w:beforeAutospacing="1" w:after="100" w:afterAutospacing="1" w:line="360" w:lineRule="auto"/>
        <w:jc w:val="both"/>
        <w:rPr>
          <w:rFonts w:ascii="Traditional Arabic" w:hAnsi="Traditional Arabic" w:cs="Traditional Arabic"/>
          <w:sz w:val="24"/>
          <w:szCs w:val="24"/>
          <w:rtl/>
        </w:rPr>
      </w:pPr>
      <w:r w:rsidRPr="00362D29">
        <w:rPr>
          <w:rFonts w:ascii="Traditional Arabic" w:hAnsi="Traditional Arabic" w:cs="Traditional Arabic"/>
          <w:sz w:val="24"/>
          <w:szCs w:val="24"/>
          <w:rtl/>
        </w:rPr>
        <w:t>لا يُعد البرنامج مجرد أداة للقياس، بل هو محرك أساسي للتحسين المستمر. تلتزم المنشآت الصحية بناءً على نتائج التقارير بـ:</w:t>
      </w:r>
    </w:p>
    <w:p w14:paraId="0BA8CA8D" w14:textId="77777777" w:rsidR="006D3DE7" w:rsidRPr="00362D29" w:rsidRDefault="006D3DE7" w:rsidP="00362D29">
      <w:pPr>
        <w:bidi/>
        <w:spacing w:before="100" w:beforeAutospacing="1" w:after="100" w:afterAutospacing="1" w:line="360" w:lineRule="auto"/>
        <w:jc w:val="both"/>
        <w:rPr>
          <w:rFonts w:ascii="Traditional Arabic" w:hAnsi="Traditional Arabic" w:cs="Traditional Arabic"/>
          <w:sz w:val="24"/>
          <w:szCs w:val="24"/>
          <w:rtl/>
        </w:rPr>
      </w:pPr>
      <w:r w:rsidRPr="00362D29">
        <w:rPr>
          <w:rFonts w:ascii="Traditional Arabic" w:hAnsi="Traditional Arabic" w:cs="Traditional Arabic"/>
          <w:sz w:val="24"/>
          <w:szCs w:val="24"/>
          <w:rtl/>
        </w:rPr>
        <w:t>•صياغة مشاريع تحسينية: ربط نتائج الاستبيانات بمبادرات عملية (مثل برنامج "تأكد" أو تحسين إجراءات الخروج).</w:t>
      </w:r>
    </w:p>
    <w:p w14:paraId="656F3366" w14:textId="77777777" w:rsidR="006D3DE7" w:rsidRPr="00362D29" w:rsidRDefault="006D3DE7" w:rsidP="00362D29">
      <w:pPr>
        <w:bidi/>
        <w:spacing w:before="100" w:beforeAutospacing="1" w:after="100" w:afterAutospacing="1" w:line="360" w:lineRule="auto"/>
        <w:jc w:val="both"/>
        <w:rPr>
          <w:rFonts w:ascii="Traditional Arabic" w:hAnsi="Traditional Arabic" w:cs="Traditional Arabic"/>
          <w:sz w:val="24"/>
          <w:szCs w:val="24"/>
          <w:rtl/>
        </w:rPr>
      </w:pPr>
      <w:r w:rsidRPr="00362D29">
        <w:rPr>
          <w:rFonts w:ascii="Traditional Arabic" w:hAnsi="Traditional Arabic" w:cs="Traditional Arabic"/>
          <w:sz w:val="24"/>
          <w:szCs w:val="24"/>
          <w:rtl/>
        </w:rPr>
        <w:t>•المساءلة والتحفيز: تُستخدم نتائج تجربة المريض كمؤشر أداء رئيسي (</w:t>
      </w:r>
      <w:r w:rsidRPr="00362D29">
        <w:rPr>
          <w:rFonts w:ascii="Traditional Arabic" w:hAnsi="Traditional Arabic" w:cs="Traditional Arabic"/>
          <w:sz w:val="24"/>
          <w:szCs w:val="24"/>
        </w:rPr>
        <w:t>KPI</w:t>
      </w:r>
      <w:r w:rsidRPr="00362D29">
        <w:rPr>
          <w:rFonts w:ascii="Traditional Arabic" w:hAnsi="Traditional Arabic" w:cs="Traditional Arabic"/>
          <w:sz w:val="24"/>
          <w:szCs w:val="24"/>
          <w:rtl/>
        </w:rPr>
        <w:t>) لتقييم أداء القيادات في التجمعات الصحية.</w:t>
      </w:r>
    </w:p>
    <w:p w14:paraId="7613C863" w14:textId="77777777" w:rsidR="006D3DE7" w:rsidRPr="00362D29" w:rsidRDefault="006D3DE7" w:rsidP="00362D29">
      <w:pPr>
        <w:bidi/>
        <w:spacing w:before="100" w:beforeAutospacing="1" w:after="100" w:afterAutospacing="1" w:line="360" w:lineRule="auto"/>
        <w:jc w:val="both"/>
        <w:rPr>
          <w:rFonts w:ascii="Traditional Arabic" w:hAnsi="Traditional Arabic" w:cs="Traditional Arabic"/>
          <w:sz w:val="24"/>
          <w:szCs w:val="24"/>
          <w:rtl/>
        </w:rPr>
      </w:pPr>
      <w:r w:rsidRPr="00362D29">
        <w:rPr>
          <w:rFonts w:ascii="Traditional Arabic" w:hAnsi="Traditional Arabic" w:cs="Traditional Arabic"/>
          <w:sz w:val="24"/>
          <w:szCs w:val="24"/>
          <w:rtl/>
        </w:rPr>
        <w:t>•التعلم المؤسسي: مشاركة أفضل الممارسات بين المنشآت التي تحقق نتائج مرتفعة لتعميم الفائدة (</w:t>
      </w:r>
      <w:r w:rsidRPr="00362D29">
        <w:rPr>
          <w:rFonts w:ascii="Traditional Arabic" w:hAnsi="Traditional Arabic" w:cs="Traditional Arabic"/>
          <w:sz w:val="24"/>
          <w:szCs w:val="24"/>
        </w:rPr>
        <w:t>Alhuseini et al., 2025</w:t>
      </w:r>
      <w:r w:rsidRPr="00362D29">
        <w:rPr>
          <w:rFonts w:ascii="Traditional Arabic" w:hAnsi="Traditional Arabic" w:cs="Traditional Arabic"/>
          <w:sz w:val="24"/>
          <w:szCs w:val="24"/>
          <w:rtl/>
        </w:rPr>
        <w:t>).</w:t>
      </w:r>
    </w:p>
    <w:p w14:paraId="66DC1AE8" w14:textId="5F2A3B9C" w:rsidR="009C7218" w:rsidRPr="00362D29" w:rsidRDefault="009C7218" w:rsidP="00362D29">
      <w:pPr>
        <w:pStyle w:val="ab"/>
        <w:numPr>
          <w:ilvl w:val="0"/>
          <w:numId w:val="69"/>
        </w:num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الدور الاستراتيجي لمنظومة بريس جاني (</w:t>
      </w:r>
      <w:r w:rsidRPr="00362D29">
        <w:rPr>
          <w:rFonts w:ascii="Traditional Arabic" w:eastAsia="Aptos" w:hAnsi="Traditional Arabic" w:cs="Traditional Arabic"/>
          <w:b/>
          <w:bCs/>
          <w:kern w:val="2"/>
          <w:sz w:val="24"/>
          <w:szCs w:val="24"/>
          <w14:ligatures w14:val="standardContextual"/>
        </w:rPr>
        <w:t>Press Ganey</w:t>
      </w:r>
      <w:r w:rsidRPr="00362D29">
        <w:rPr>
          <w:rFonts w:ascii="Traditional Arabic" w:eastAsia="Aptos" w:hAnsi="Traditional Arabic" w:cs="Traditional Arabic"/>
          <w:b/>
          <w:bCs/>
          <w:kern w:val="2"/>
          <w:sz w:val="24"/>
          <w:szCs w:val="24"/>
          <w:rtl/>
          <w14:ligatures w14:val="standardContextual"/>
        </w:rPr>
        <w:t xml:space="preserve">) في برنامج قياس تجربة المريض </w:t>
      </w:r>
      <w:r w:rsidR="00F270CE" w:rsidRPr="00362D29">
        <w:rPr>
          <w:rFonts w:ascii="Traditional Arabic" w:eastAsia="Aptos" w:hAnsi="Traditional Arabic" w:cs="Traditional Arabic"/>
          <w:b/>
          <w:bCs/>
          <w:kern w:val="2"/>
          <w:sz w:val="24"/>
          <w:szCs w:val="24"/>
          <w:rtl/>
          <w14:ligatures w14:val="standardContextual"/>
        </w:rPr>
        <w:t>ب</w:t>
      </w:r>
      <w:r w:rsidRPr="00362D29">
        <w:rPr>
          <w:rFonts w:ascii="Traditional Arabic" w:eastAsia="Aptos" w:hAnsi="Traditional Arabic" w:cs="Traditional Arabic"/>
          <w:b/>
          <w:bCs/>
          <w:kern w:val="2"/>
          <w:sz w:val="24"/>
          <w:szCs w:val="24"/>
          <w:rtl/>
          <w14:ligatures w14:val="standardContextual"/>
        </w:rPr>
        <w:t>المملكة العربية السعودية:</w:t>
      </w:r>
      <w:r w:rsidRPr="00362D29">
        <w:rPr>
          <w:rFonts w:ascii="Traditional Arabic" w:eastAsia="Aptos" w:hAnsi="Traditional Arabic" w:cs="Traditional Arabic"/>
          <w:kern w:val="2"/>
          <w:sz w:val="24"/>
          <w:szCs w:val="24"/>
          <w:rtl/>
          <w14:ligatures w14:val="standardContextual"/>
        </w:rPr>
        <w:t xml:space="preserve"> يكتسب بريس جاني أهمية خاصة في السياق السعودي، حيث يُعد الشريك الاستراتيجي لوزارة الصحة السعودية في تنفيذ برنامج قياس تجربة المريض (صوت المستفيد). ومن خلال الشراكة مع (</w:t>
      </w:r>
      <w:r w:rsidRPr="00362D29">
        <w:rPr>
          <w:rFonts w:ascii="Traditional Arabic" w:eastAsia="Aptos" w:hAnsi="Traditional Arabic" w:cs="Traditional Arabic"/>
          <w:kern w:val="2"/>
          <w:sz w:val="24"/>
          <w:szCs w:val="24"/>
          <w14:ligatures w14:val="standardContextual"/>
        </w:rPr>
        <w:t>HealthLinks</w:t>
      </w:r>
      <w:r w:rsidRPr="00362D29">
        <w:rPr>
          <w:rFonts w:ascii="Traditional Arabic" w:eastAsia="Aptos" w:hAnsi="Traditional Arabic" w:cs="Traditional Arabic"/>
          <w:kern w:val="2"/>
          <w:sz w:val="24"/>
          <w:szCs w:val="24"/>
          <w:rtl/>
          <w14:ligatures w14:val="standardContextual"/>
        </w:rPr>
        <w:t>)، يقوم بريس جاني بإدارة أكثر من 2.5 مليون استبيان سنوياً في المملكة، مما يوفر أكبر قاعدة بيانات معيارية للأداء الصحي في المنطقة (وزارة الصحة السعودية، 2025). وقد تُوجت هذه الجهود بحصول وزارة الصحة السعودية على جائزة "التأثير العالمي والتحول في الرعاية الصحية" من بريس جاني في عام 2026، تقديراً لنجاحها في مواءمة هذا النموذج العالمي مع السياق الثقافي والمحلي للمملكة (</w:t>
      </w:r>
      <w:r w:rsidRPr="00362D29">
        <w:rPr>
          <w:rFonts w:ascii="Traditional Arabic" w:eastAsia="Aptos" w:hAnsi="Traditional Arabic" w:cs="Traditional Arabic"/>
          <w:kern w:val="2"/>
          <w:sz w:val="24"/>
          <w:szCs w:val="24"/>
          <w14:ligatures w14:val="standardContextual"/>
        </w:rPr>
        <w:t>Saudi Press Agency, 2026</w:t>
      </w:r>
      <w:r w:rsidRPr="00362D29">
        <w:rPr>
          <w:rFonts w:ascii="Traditional Arabic" w:eastAsia="Aptos" w:hAnsi="Traditional Arabic" w:cs="Traditional Arabic"/>
          <w:kern w:val="2"/>
          <w:sz w:val="24"/>
          <w:szCs w:val="24"/>
          <w:rtl/>
          <w14:ligatures w14:val="standardContextual"/>
        </w:rPr>
        <w:t>؛ وزارة الصحة السعودية، 2026).</w:t>
      </w:r>
    </w:p>
    <w:p w14:paraId="6FFB733A" w14:textId="77777777" w:rsidR="006D3DE7" w:rsidRPr="00362D29" w:rsidRDefault="006D3DE7" w:rsidP="00362D29">
      <w:pPr>
        <w:bidi/>
        <w:spacing w:before="100" w:beforeAutospacing="1" w:after="100" w:afterAutospacing="1" w:line="360" w:lineRule="auto"/>
        <w:jc w:val="both"/>
        <w:rPr>
          <w:rFonts w:ascii="Traditional Arabic" w:hAnsi="Traditional Arabic" w:cs="Traditional Arabic"/>
          <w:sz w:val="24"/>
          <w:szCs w:val="24"/>
          <w:rtl/>
        </w:rPr>
      </w:pPr>
    </w:p>
    <w:p w14:paraId="1C805C40" w14:textId="77777777" w:rsidR="006D3DE7" w:rsidRPr="00362D29" w:rsidRDefault="006D3DE7" w:rsidP="00362D29">
      <w:pPr>
        <w:spacing w:before="100" w:beforeAutospacing="1" w:after="100" w:afterAutospacing="1" w:line="360" w:lineRule="auto"/>
        <w:jc w:val="both"/>
        <w:rPr>
          <w:rFonts w:ascii="Traditional Arabic" w:hAnsi="Traditional Arabic" w:cs="Traditional Arabic"/>
          <w:sz w:val="24"/>
          <w:szCs w:val="24"/>
        </w:rPr>
      </w:pPr>
    </w:p>
    <w:p w14:paraId="79104194" w14:textId="77777777" w:rsidR="00D6527D" w:rsidRPr="00362D29" w:rsidRDefault="00D6527D" w:rsidP="00362D29">
      <w:pPr>
        <w:bidi/>
        <w:spacing w:after="200" w:line="360" w:lineRule="auto"/>
        <w:jc w:val="both"/>
        <w:rPr>
          <w:rFonts w:ascii="Traditional Arabic" w:hAnsi="Traditional Arabic" w:cs="Traditional Arabic"/>
          <w:b/>
          <w:bCs/>
          <w:color w:val="00B0F0"/>
          <w:sz w:val="24"/>
          <w:szCs w:val="24"/>
          <w:u w:val="single"/>
          <w:rtl/>
        </w:rPr>
      </w:pPr>
    </w:p>
    <w:p w14:paraId="396DA030" w14:textId="77777777" w:rsidR="00D6527D" w:rsidRPr="00362D29" w:rsidRDefault="00D6527D" w:rsidP="00362D29">
      <w:pPr>
        <w:bidi/>
        <w:spacing w:after="200" w:line="360" w:lineRule="auto"/>
        <w:jc w:val="both"/>
        <w:rPr>
          <w:rFonts w:ascii="Traditional Arabic" w:hAnsi="Traditional Arabic" w:cs="Traditional Arabic"/>
          <w:b/>
          <w:bCs/>
          <w:color w:val="00B0F0"/>
          <w:sz w:val="24"/>
          <w:szCs w:val="24"/>
          <w:u w:val="single"/>
          <w:rtl/>
        </w:rPr>
      </w:pPr>
    </w:p>
    <w:p w14:paraId="418B1497" w14:textId="77777777" w:rsidR="00C66B3C" w:rsidRPr="00362D29" w:rsidRDefault="00C66B3C" w:rsidP="00362D29">
      <w:pPr>
        <w:bidi/>
        <w:spacing w:after="200" w:line="360" w:lineRule="auto"/>
        <w:jc w:val="both"/>
        <w:rPr>
          <w:rFonts w:ascii="Traditional Arabic" w:hAnsi="Traditional Arabic" w:cs="Traditional Arabic"/>
          <w:b/>
          <w:bCs/>
          <w:color w:val="00B0F0"/>
          <w:sz w:val="32"/>
          <w:szCs w:val="32"/>
          <w:u w:val="single"/>
          <w:rtl/>
        </w:rPr>
      </w:pPr>
    </w:p>
    <w:p w14:paraId="7E4504B1" w14:textId="0FA1B315" w:rsidR="00947153" w:rsidRPr="00362D29" w:rsidRDefault="00947153" w:rsidP="00362D29">
      <w:pPr>
        <w:bidi/>
        <w:spacing w:after="200" w:line="360" w:lineRule="auto"/>
        <w:rPr>
          <w:rFonts w:ascii="Traditional Arabic" w:hAnsi="Traditional Arabic" w:cs="Traditional Arabic"/>
          <w:b/>
          <w:bCs/>
          <w:color w:val="00B0F0"/>
          <w:sz w:val="32"/>
          <w:szCs w:val="32"/>
          <w:u w:val="single"/>
          <w:rtl/>
        </w:rPr>
      </w:pPr>
      <w:r w:rsidRPr="00362D29">
        <w:rPr>
          <w:rFonts w:ascii="Traditional Arabic" w:hAnsi="Traditional Arabic" w:cs="Traditional Arabic"/>
          <w:b/>
          <w:bCs/>
          <w:color w:val="00B0F0"/>
          <w:sz w:val="32"/>
          <w:szCs w:val="32"/>
          <w:u w:val="single"/>
          <w:rtl/>
        </w:rPr>
        <w:lastRenderedPageBreak/>
        <w:t xml:space="preserve">الدراسات </w:t>
      </w:r>
      <w:r w:rsidR="00C2263C" w:rsidRPr="00362D29">
        <w:rPr>
          <w:rFonts w:ascii="Traditional Arabic" w:hAnsi="Traditional Arabic" w:cs="Traditional Arabic"/>
          <w:b/>
          <w:bCs/>
          <w:color w:val="00B0F0"/>
          <w:sz w:val="32"/>
          <w:szCs w:val="32"/>
          <w:u w:val="single"/>
          <w:rtl/>
        </w:rPr>
        <w:t>السابقة</w:t>
      </w:r>
      <w:r w:rsidRPr="00362D29">
        <w:rPr>
          <w:rFonts w:ascii="Traditional Arabic" w:hAnsi="Traditional Arabic" w:cs="Traditional Arabic"/>
          <w:b/>
          <w:bCs/>
          <w:color w:val="00B0F0"/>
          <w:sz w:val="32"/>
          <w:szCs w:val="32"/>
          <w:u w:val="single"/>
          <w:rtl/>
        </w:rPr>
        <w:t>:</w:t>
      </w:r>
    </w:p>
    <w:p w14:paraId="38D206CB" w14:textId="7F77EEC3" w:rsidR="00947153" w:rsidRPr="00362D29" w:rsidRDefault="00947153" w:rsidP="00362D29">
      <w:pPr>
        <w:tabs>
          <w:tab w:val="left" w:pos="1074"/>
        </w:tabs>
        <w:bidi/>
        <w:spacing w:line="360" w:lineRule="auto"/>
        <w:rPr>
          <w:rFonts w:ascii="Traditional Arabic" w:hAnsi="Traditional Arabic" w:cs="Traditional Arabic"/>
          <w:b/>
          <w:bCs/>
          <w:color w:val="000000" w:themeColor="text1"/>
          <w:sz w:val="28"/>
          <w:szCs w:val="28"/>
          <w:u w:val="single"/>
          <w:rtl/>
        </w:rPr>
      </w:pPr>
      <w:r w:rsidRPr="00362D29">
        <w:rPr>
          <w:rFonts w:ascii="Traditional Arabic" w:hAnsi="Traditional Arabic" w:cs="Traditional Arabic"/>
          <w:b/>
          <w:bCs/>
          <w:color w:val="000000" w:themeColor="text1"/>
          <w:sz w:val="28"/>
          <w:szCs w:val="28"/>
          <w:u w:val="single"/>
          <w:rtl/>
        </w:rPr>
        <w:t>أولا : الدراسات المتعلقة بمحور التميز المؤسسي</w:t>
      </w:r>
      <w:r w:rsidR="00575AE2">
        <w:rPr>
          <w:rFonts w:ascii="Traditional Arabic" w:hAnsi="Traditional Arabic" w:cs="Traditional Arabic" w:hint="cs"/>
          <w:b/>
          <w:bCs/>
          <w:color w:val="000000" w:themeColor="text1"/>
          <w:sz w:val="28"/>
          <w:szCs w:val="28"/>
          <w:u w:val="single"/>
          <w:rtl/>
        </w:rPr>
        <w:t xml:space="preserve"> (</w:t>
      </w:r>
      <w:r w:rsidR="00303769">
        <w:rPr>
          <w:rFonts w:ascii="Traditional Arabic" w:hAnsi="Traditional Arabic" w:cs="Traditional Arabic" w:hint="cs"/>
          <w:b/>
          <w:bCs/>
          <w:color w:val="000000" w:themeColor="text1"/>
          <w:sz w:val="28"/>
          <w:szCs w:val="28"/>
          <w:u w:val="single"/>
          <w:rtl/>
        </w:rPr>
        <w:t>المتغير المستقل)</w:t>
      </w:r>
    </w:p>
    <w:p w14:paraId="77A5B527" w14:textId="77777777" w:rsidR="00A746DA" w:rsidRPr="00362D29" w:rsidRDefault="00947153" w:rsidP="00362D29">
      <w:pPr>
        <w:pStyle w:val="ab"/>
        <w:numPr>
          <w:ilvl w:val="0"/>
          <w:numId w:val="11"/>
        </w:num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b/>
          <w:bCs/>
          <w:color w:val="000000" w:themeColor="text1"/>
          <w:sz w:val="24"/>
          <w:szCs w:val="24"/>
          <w:rtl/>
        </w:rPr>
        <w:t xml:space="preserve">دراسة </w:t>
      </w:r>
      <w:r w:rsidR="008060A7" w:rsidRPr="00362D29">
        <w:rPr>
          <w:rFonts w:ascii="Traditional Arabic" w:hAnsi="Traditional Arabic" w:cs="Traditional Arabic"/>
          <w:b/>
          <w:bCs/>
          <w:color w:val="000000" w:themeColor="text1"/>
          <w:sz w:val="24"/>
          <w:szCs w:val="24"/>
          <w:rtl/>
        </w:rPr>
        <w:t>(</w:t>
      </w:r>
      <w:r w:rsidRPr="00362D29">
        <w:rPr>
          <w:rFonts w:ascii="Traditional Arabic" w:hAnsi="Traditional Arabic" w:cs="Traditional Arabic"/>
          <w:b/>
          <w:bCs/>
          <w:color w:val="000000" w:themeColor="text1"/>
          <w:sz w:val="24"/>
          <w:szCs w:val="24"/>
          <w:rtl/>
        </w:rPr>
        <w:t>الرويلي</w:t>
      </w:r>
      <w:r w:rsidR="002A37E6" w:rsidRPr="00362D29">
        <w:rPr>
          <w:rFonts w:ascii="Traditional Arabic" w:hAnsi="Traditional Arabic" w:cs="Traditional Arabic"/>
          <w:b/>
          <w:bCs/>
          <w:color w:val="000000" w:themeColor="text1"/>
          <w:sz w:val="24"/>
          <w:szCs w:val="24"/>
          <w:rtl/>
        </w:rPr>
        <w:t xml:space="preserve">، </w:t>
      </w:r>
      <w:r w:rsidRPr="00362D29">
        <w:rPr>
          <w:rFonts w:ascii="Traditional Arabic" w:hAnsi="Traditional Arabic" w:cs="Traditional Arabic"/>
          <w:b/>
          <w:bCs/>
          <w:color w:val="000000" w:themeColor="text1"/>
          <w:sz w:val="24"/>
          <w:szCs w:val="24"/>
          <w:rtl/>
        </w:rPr>
        <w:t>2025) بعنوان "تحليل عوامل التميز المؤسسي في إدارة المستشفيات وتأثيرها في تحسين جودة الرعاية الصحية بمستشفى القريات العام"</w:t>
      </w:r>
    </w:p>
    <w:p w14:paraId="6C5B6366" w14:textId="7E15BC2F" w:rsidR="00947153" w:rsidRPr="00362D29" w:rsidRDefault="00281C20" w:rsidP="00362D29">
      <w:pPr>
        <w:pStyle w:val="ab"/>
        <w:numPr>
          <w:ilvl w:val="0"/>
          <w:numId w:val="15"/>
        </w:num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هدفت الدراسة إلى تحليل عوامل التميز المؤسسي في إدارة المستشفيات وتحديد أبعادها المؤثرة، كما هدفت أيضا الى قياس أثر هذه العوامل في تحسين جودة الرعاية الصحية بالتطبيق على مستشفى القريات العام. اعتمدت الدراسة المنهج الوصفي التحليلي المقارن، من خلال مراجعة وتحليل النماذج العالمية المعتمدة في الجودة، والمقارنة بينها من حيث المنهجيات والآليات وأدوات قياس الأداء. تمثّل مجتمع الدراسة في مستشفى القريات العام بوصفه مجال التطبيق، دون تحديد حجم عينة ميدانية عددية، لكون الدراسة ذات طبيعة تحليلية مرجعية قائمة على مراجعة النماذج والمعايير المعتمدة. توصلت الدراسة إلى نتيجتين رئيسيتين الاولى أن عنصر الموارد البشرية المؤهلة بالكفاءة يمثل عاملاً حاسماً في تجويد عناصر النظام الصحي كافة، والنتيجة الثانية وجود اتفاق بين النماذج العالمية للتميز على أن التطوير والتحسين المستمر يعدان شرطاً أساسياً لتحقيق الأداء المؤسسي المتميز.</w:t>
      </w:r>
    </w:p>
    <w:p w14:paraId="3A80CBDD" w14:textId="77777777" w:rsidR="00CB3D9A" w:rsidRPr="00362D29" w:rsidRDefault="002F5085" w:rsidP="00362D29">
      <w:pPr>
        <w:pStyle w:val="ab"/>
        <w:numPr>
          <w:ilvl w:val="0"/>
          <w:numId w:val="11"/>
        </w:num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b/>
          <w:bCs/>
          <w:color w:val="000000" w:themeColor="text1"/>
          <w:sz w:val="24"/>
          <w:szCs w:val="24"/>
          <w:rtl/>
        </w:rPr>
        <w:t xml:space="preserve">دراسة (سالمان وآخرون، 2025) بعنوان </w:t>
      </w:r>
      <w:r w:rsidR="009C4F50" w:rsidRPr="00362D29">
        <w:rPr>
          <w:rFonts w:ascii="Traditional Arabic" w:hAnsi="Traditional Arabic" w:cs="Traditional Arabic"/>
          <w:b/>
          <w:bCs/>
          <w:color w:val="000000" w:themeColor="text1"/>
          <w:sz w:val="24"/>
          <w:szCs w:val="24"/>
          <w:rtl/>
        </w:rPr>
        <w:t>"دور تمكين العاملين في تعزيز التميز المؤسسي: دراسة ميدانية على مستشفيات تجمع صحي الرياض الثالث".</w:t>
      </w:r>
      <w:r w:rsidR="009C4F50" w:rsidRPr="00362D29">
        <w:rPr>
          <w:rFonts w:ascii="Traditional Arabic" w:hAnsi="Traditional Arabic" w:cs="Traditional Arabic"/>
          <w:color w:val="000000" w:themeColor="text1"/>
          <w:sz w:val="24"/>
          <w:szCs w:val="24"/>
          <w:rtl/>
        </w:rPr>
        <w:t xml:space="preserve"> </w:t>
      </w:r>
    </w:p>
    <w:p w14:paraId="5A5C43A2" w14:textId="541EBE8B" w:rsidR="002F5085" w:rsidRDefault="009C4F50" w:rsidP="00362D29">
      <w:pPr>
        <w:pStyle w:val="ab"/>
        <w:numPr>
          <w:ilvl w:val="0"/>
          <w:numId w:val="15"/>
        </w:num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هدفت الدراسة إلى التعرف على مستوى تمكين العاملين بأبعاده (تفويض الصلاحيات، المشاركة في اتخاذ القرار، التحفيز، التدريب، وتدفق المعلومات) في مستشفيات تجمع صحي الرياض الثالث، كما سعت إلى قياس أثر تمكين العاملين في تعزيز التميز المؤسسي بأبعاده المختلفة (التميز في القيادة – التميز في الخدمة – التميز في المعرفة) داخل القطاع الصحي الحكومي السعودي. اعتمدت الدراسة على المنهج الوصفي التحليلي، واستخدمت الاستبانة كأداة رئيسة لجمع البيانات وتحليلها. وتمثل مجتمع الدراسة في جميع العاملين بمستشفيات تجمع صحي الرياض الثالث، والبالغ عددهم (3500) موظفًا، بينما بلغت العينة (346) موظفًا من العاملين بالمستشفيات محل الدراسة. أظهرت النتائج وجود علاقة ارتباط ذات دلالة إحصائية بين تمكين العاملين والتميز المؤسسي عند مستوى معنوية (0.05)،كما توصلت الى وجود علاقة ذات دلالة إحصائية وذات معنوية يمكن قياسها بين تمكين العاملين والتميز المؤسسي بأبعاده (التميز في القيادة، والتميز في الخدمة، والتميز في المعرفة)</w:t>
      </w:r>
    </w:p>
    <w:p w14:paraId="6DFA9EEA" w14:textId="77777777" w:rsidR="00303769" w:rsidRDefault="00303769" w:rsidP="00303769">
      <w:pPr>
        <w:bidi/>
        <w:spacing w:line="360" w:lineRule="auto"/>
        <w:jc w:val="both"/>
        <w:rPr>
          <w:rFonts w:ascii="Traditional Arabic" w:hAnsi="Traditional Arabic" w:cs="Traditional Arabic"/>
          <w:color w:val="000000" w:themeColor="text1"/>
          <w:sz w:val="24"/>
          <w:szCs w:val="24"/>
          <w:rtl/>
        </w:rPr>
      </w:pPr>
    </w:p>
    <w:p w14:paraId="3265979A" w14:textId="77777777" w:rsidR="00303769" w:rsidRPr="00303769" w:rsidRDefault="00303769" w:rsidP="00303769">
      <w:pPr>
        <w:bidi/>
        <w:spacing w:line="360" w:lineRule="auto"/>
        <w:jc w:val="both"/>
        <w:rPr>
          <w:rFonts w:ascii="Traditional Arabic" w:hAnsi="Traditional Arabic" w:cs="Traditional Arabic"/>
          <w:color w:val="000000" w:themeColor="text1"/>
          <w:sz w:val="24"/>
          <w:szCs w:val="24"/>
        </w:rPr>
      </w:pPr>
    </w:p>
    <w:p w14:paraId="6DB4B5B9" w14:textId="77777777" w:rsidR="00FB4CEF" w:rsidRPr="00362D29" w:rsidRDefault="00460893" w:rsidP="00362D29">
      <w:pPr>
        <w:pStyle w:val="ab"/>
        <w:numPr>
          <w:ilvl w:val="0"/>
          <w:numId w:val="11"/>
        </w:numPr>
        <w:bidi/>
        <w:spacing w:line="360" w:lineRule="auto"/>
        <w:jc w:val="both"/>
        <w:rPr>
          <w:rFonts w:ascii="Traditional Arabic" w:hAnsi="Traditional Arabic" w:cs="Traditional Arabic"/>
          <w:b/>
          <w:bCs/>
          <w:color w:val="000000" w:themeColor="text1"/>
          <w:sz w:val="24"/>
          <w:szCs w:val="24"/>
        </w:rPr>
      </w:pPr>
      <w:r w:rsidRPr="00362D29">
        <w:rPr>
          <w:rFonts w:ascii="Traditional Arabic" w:hAnsi="Traditional Arabic" w:cs="Traditional Arabic"/>
          <w:b/>
          <w:bCs/>
          <w:color w:val="000000" w:themeColor="text1"/>
          <w:sz w:val="24"/>
          <w:szCs w:val="24"/>
          <w:rtl/>
        </w:rPr>
        <w:lastRenderedPageBreak/>
        <w:t>دراسة (محمود، 2025)العنوان" نحو مستشفيات صحية ذكية في عصر التحول الرقمي والذكاء الاصطناعي: مدخل استراتيجي باستخدام نماذج التغيير والتميز المؤسسي</w:t>
      </w:r>
      <w:r w:rsidRPr="00362D29">
        <w:rPr>
          <w:rFonts w:ascii="Traditional Arabic" w:hAnsi="Traditional Arabic" w:cs="Traditional Arabic"/>
          <w:b/>
          <w:bCs/>
          <w:color w:val="000000" w:themeColor="text1"/>
          <w:sz w:val="24"/>
          <w:szCs w:val="24"/>
        </w:rPr>
        <w:t>"</w:t>
      </w:r>
    </w:p>
    <w:p w14:paraId="0E6ED8F8" w14:textId="1D66E855" w:rsidR="00460893" w:rsidRPr="00362D29" w:rsidRDefault="00460893" w:rsidP="00362D29">
      <w:pPr>
        <w:pStyle w:val="ab"/>
        <w:numPr>
          <w:ilvl w:val="0"/>
          <w:numId w:val="15"/>
        </w:num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 xml:space="preserve">هدفت الدراسة إلى تقديم نموذج استراتيجي لبناء مستشفيات صحية ذكية في ظل التحول الرقمي والذكاء الاصطناعي، وتحليل أثر تطبيقات التحول الرقمي في تحسين جودة وكفاءة الخدمات الصحية في القطاع الصحي الحكومي بالمملكة العربية السعودية تماشيًا مع رؤية 2030. كما سعت إلى تحديد مدى فاعلية توظيف نماذج التغيير والتميز المؤسسي كمدخل داعم للتحول نحو المستشفيات </w:t>
      </w:r>
      <w:r w:rsidR="00A3370A" w:rsidRPr="00362D29">
        <w:rPr>
          <w:rFonts w:ascii="Traditional Arabic" w:hAnsi="Traditional Arabic" w:cs="Traditional Arabic"/>
          <w:color w:val="000000" w:themeColor="text1"/>
          <w:sz w:val="24"/>
          <w:szCs w:val="24"/>
          <w:rtl/>
        </w:rPr>
        <w:t>الذكية. اعتمدت</w:t>
      </w:r>
      <w:r w:rsidRPr="00362D29">
        <w:rPr>
          <w:rFonts w:ascii="Traditional Arabic" w:hAnsi="Traditional Arabic" w:cs="Traditional Arabic"/>
          <w:color w:val="000000" w:themeColor="text1"/>
          <w:sz w:val="24"/>
          <w:szCs w:val="24"/>
          <w:rtl/>
        </w:rPr>
        <w:t xml:space="preserve"> الدراسة على المنهج الوصفي التحليلي ذي الطابع المفاهيمي التحليلي، من خلال تحليل الأدبيات والنماذج العالمية ذات الصلة بالتحول الرقمي والتميز المؤسسي. وتمثل مجتمع الدراسة في المستشفيات والمراكز الصحية الحكومية بالمملكة العربية السعودية خلال الفترة (2020–2025)، ولم تعتمد الدراسة على عينة ميدانية محددة، وإنما ارتكزت على التحليل الاستراتيجي للتطبيقات الرقمية المستخدمة مثل السجلات الصحية الإلكترونية، الطب الاتصالي، الاستشارات عن بُعد، وأنظمة المواعيد الذكية وتحليلات البيانات </w:t>
      </w:r>
      <w:r w:rsidR="00A3370A" w:rsidRPr="00362D29">
        <w:rPr>
          <w:rFonts w:ascii="Traditional Arabic" w:hAnsi="Traditional Arabic" w:cs="Traditional Arabic"/>
          <w:color w:val="000000" w:themeColor="text1"/>
          <w:sz w:val="24"/>
          <w:szCs w:val="24"/>
          <w:rtl/>
        </w:rPr>
        <w:t>الضخمة. توصلت</w:t>
      </w:r>
      <w:r w:rsidRPr="00362D29">
        <w:rPr>
          <w:rFonts w:ascii="Traditional Arabic" w:hAnsi="Traditional Arabic" w:cs="Traditional Arabic"/>
          <w:color w:val="000000" w:themeColor="text1"/>
          <w:sz w:val="24"/>
          <w:szCs w:val="24"/>
          <w:rtl/>
        </w:rPr>
        <w:t xml:space="preserve"> الدراسة إلى أن تطبيق التحول الرقمي الشامل يسهم في رفع كفاءة الأداء الإداري والطبي وتحسين جودة الخدمات الصحية وتجربة المرضى، وأن الأقسام التي اعتمدت الحلول الرقمية بشكل كامل حققت نتائج أفضل مقارنة بالتطبيق الجزئي. كما أظهرت النتائج أن نجاح بناء المستشفيات الذكية يتطلب استثمارًا في البنية التحتية الرقمية، وتطوير قدرات العاملين، ومعالجة تحديات مقاومة التغيير والتكلفة وأمن المعلومات.</w:t>
      </w:r>
    </w:p>
    <w:p w14:paraId="6E340F5D" w14:textId="38ECAE2E" w:rsidR="00FA7BE4" w:rsidRPr="00362D29" w:rsidRDefault="00FA7BE4" w:rsidP="00362D29">
      <w:pPr>
        <w:pStyle w:val="ab"/>
        <w:numPr>
          <w:ilvl w:val="0"/>
          <w:numId w:val="11"/>
        </w:numPr>
        <w:bidi/>
        <w:spacing w:line="360" w:lineRule="auto"/>
        <w:jc w:val="both"/>
        <w:rPr>
          <w:rFonts w:ascii="Traditional Arabic" w:hAnsi="Traditional Arabic" w:cs="Traditional Arabic"/>
          <w:b/>
          <w:bCs/>
          <w:color w:val="000000" w:themeColor="text1"/>
          <w:sz w:val="24"/>
          <w:szCs w:val="24"/>
        </w:rPr>
      </w:pPr>
      <w:r w:rsidRPr="00362D29">
        <w:rPr>
          <w:rFonts w:ascii="Traditional Arabic" w:hAnsi="Traditional Arabic" w:cs="Traditional Arabic"/>
          <w:b/>
          <w:bCs/>
          <w:color w:val="000000" w:themeColor="text1"/>
          <w:sz w:val="24"/>
          <w:szCs w:val="24"/>
          <w:rtl/>
        </w:rPr>
        <w:t>دراسة (</w:t>
      </w:r>
      <w:r w:rsidRPr="00362D29">
        <w:rPr>
          <w:rFonts w:ascii="Traditional Arabic" w:hAnsi="Traditional Arabic" w:cs="Traditional Arabic"/>
          <w:b/>
          <w:bCs/>
          <w:color w:val="000000" w:themeColor="text1"/>
          <w:sz w:val="24"/>
          <w:szCs w:val="24"/>
        </w:rPr>
        <w:t>Alsaleem, 2025</w:t>
      </w:r>
      <w:r w:rsidRPr="00362D29">
        <w:rPr>
          <w:rFonts w:ascii="Traditional Arabic" w:hAnsi="Traditional Arabic" w:cs="Traditional Arabic"/>
          <w:b/>
          <w:bCs/>
          <w:color w:val="000000" w:themeColor="text1"/>
          <w:sz w:val="24"/>
          <w:szCs w:val="24"/>
          <w:rtl/>
        </w:rPr>
        <w:t>) بعنوان:</w:t>
      </w:r>
      <w:r w:rsidR="00481FAE" w:rsidRPr="00362D29">
        <w:rPr>
          <w:rFonts w:ascii="Traditional Arabic" w:hAnsi="Traditional Arabic" w:cs="Traditional Arabic"/>
          <w:b/>
          <w:bCs/>
          <w:color w:val="000000" w:themeColor="text1"/>
          <w:sz w:val="24"/>
          <w:szCs w:val="24"/>
        </w:rPr>
        <w:t xml:space="preserve"> "</w:t>
      </w:r>
      <w:r w:rsidRPr="00362D29">
        <w:rPr>
          <w:rFonts w:ascii="Traditional Arabic" w:hAnsi="Traditional Arabic" w:cs="Traditional Arabic"/>
          <w:b/>
          <w:bCs/>
          <w:color w:val="000000" w:themeColor="text1"/>
          <w:sz w:val="24"/>
          <w:szCs w:val="24"/>
        </w:rPr>
        <w:t>The relationship between accreditation standards and organizational excellence and their role in the excellence of administrative leadership</w:t>
      </w:r>
      <w:r w:rsidR="00481FAE" w:rsidRPr="00362D29">
        <w:rPr>
          <w:rFonts w:ascii="Traditional Arabic" w:hAnsi="Traditional Arabic" w:cs="Traditional Arabic"/>
          <w:b/>
          <w:bCs/>
          <w:color w:val="000000" w:themeColor="text1"/>
          <w:sz w:val="24"/>
          <w:szCs w:val="24"/>
        </w:rPr>
        <w:t>"</w:t>
      </w:r>
    </w:p>
    <w:p w14:paraId="614C795C" w14:textId="5EF788E8" w:rsidR="00E5704C" w:rsidRPr="00362D29" w:rsidRDefault="00FA7BE4" w:rsidP="00362D29">
      <w:pPr>
        <w:pStyle w:val="ab"/>
        <w:numPr>
          <w:ilvl w:val="0"/>
          <w:numId w:val="15"/>
        </w:num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 xml:space="preserve">هدفت </w:t>
      </w:r>
      <w:r w:rsidR="00627F5F" w:rsidRPr="00362D29">
        <w:rPr>
          <w:rFonts w:ascii="Traditional Arabic" w:hAnsi="Traditional Arabic" w:cs="Traditional Arabic"/>
          <w:color w:val="000000" w:themeColor="text1"/>
          <w:sz w:val="24"/>
          <w:szCs w:val="24"/>
          <w:rtl/>
        </w:rPr>
        <w:t xml:space="preserve">الدراسة </w:t>
      </w:r>
      <w:r w:rsidRPr="00362D29">
        <w:rPr>
          <w:rFonts w:ascii="Traditional Arabic" w:hAnsi="Traditional Arabic" w:cs="Traditional Arabic"/>
          <w:color w:val="000000" w:themeColor="text1"/>
          <w:sz w:val="24"/>
          <w:szCs w:val="24"/>
          <w:rtl/>
        </w:rPr>
        <w:t>إلى تحليل العلاقة بين معايير الاعتماد الوطني (</w:t>
      </w:r>
      <w:r w:rsidRPr="00362D29">
        <w:rPr>
          <w:rFonts w:ascii="Traditional Arabic" w:hAnsi="Traditional Arabic" w:cs="Traditional Arabic"/>
          <w:color w:val="000000" w:themeColor="text1"/>
          <w:sz w:val="24"/>
          <w:szCs w:val="24"/>
        </w:rPr>
        <w:t>CBAHI</w:t>
      </w:r>
      <w:r w:rsidRPr="00362D29">
        <w:rPr>
          <w:rFonts w:ascii="Traditional Arabic" w:hAnsi="Traditional Arabic" w:cs="Traditional Arabic"/>
          <w:color w:val="000000" w:themeColor="text1"/>
          <w:sz w:val="24"/>
          <w:szCs w:val="24"/>
          <w:rtl/>
        </w:rPr>
        <w:t>) ونموذج جائزة الملك عبد العزيز للجودة (</w:t>
      </w:r>
      <w:r w:rsidRPr="00362D29">
        <w:rPr>
          <w:rFonts w:ascii="Traditional Arabic" w:hAnsi="Traditional Arabic" w:cs="Traditional Arabic"/>
          <w:color w:val="000000" w:themeColor="text1"/>
          <w:sz w:val="24"/>
          <w:szCs w:val="24"/>
        </w:rPr>
        <w:t>KAQA</w:t>
      </w:r>
      <w:r w:rsidRPr="00362D29">
        <w:rPr>
          <w:rFonts w:ascii="Traditional Arabic" w:hAnsi="Traditional Arabic" w:cs="Traditional Arabic"/>
          <w:color w:val="000000" w:themeColor="text1"/>
          <w:sz w:val="24"/>
          <w:szCs w:val="24"/>
          <w:rtl/>
        </w:rPr>
        <w:t xml:space="preserve">)، وقياس مدى إسهام هذا التكامل في تعزيز التميز المؤسسي وتميز القيادات الإدارية في المستشفيات الحكومية السعودية، كما سعت إلى تحديد درجة التوافق بين متطلبات معايير القيادة في برنامج الاعتماد الوطني وأبعاد نموذج التميز المؤسسي. اعتمدت الدراسة على المنهج الوصفي التحليلي، واستخدمت الاستبانة وتحليل معايير برنامج الاعتماد الوطني كأدوات لجمع البيانات. تمثل مجتمع الدراسة في القيادات والعاملين بالمستشفيات الحكومية السعودية، بينما شملت العينة مجموعة من القيادات الإدارية والعاملين في القطاع الصحي الحكومي (وفق ما ورد في الدراسة).أظهرت النتائج وجود علاقة إيجابية بين معايير الاعتماد والتميز المؤسسي، حيث أوضحت نسب التوافق بين معايير نموذج جائزة الملك عبدالعزيز للجودة ومعيار القيادة في برنامج </w:t>
      </w:r>
      <w:r w:rsidRPr="00362D29">
        <w:rPr>
          <w:rFonts w:ascii="Traditional Arabic" w:hAnsi="Traditional Arabic" w:cs="Traditional Arabic"/>
          <w:color w:val="000000" w:themeColor="text1"/>
          <w:sz w:val="24"/>
          <w:szCs w:val="24"/>
        </w:rPr>
        <w:t>CBAHI</w:t>
      </w:r>
      <w:r w:rsidRPr="00362D29">
        <w:rPr>
          <w:rFonts w:ascii="Traditional Arabic" w:hAnsi="Traditional Arabic" w:cs="Traditional Arabic"/>
          <w:color w:val="000000" w:themeColor="text1"/>
          <w:sz w:val="24"/>
          <w:szCs w:val="24"/>
          <w:rtl/>
        </w:rPr>
        <w:t xml:space="preserve">، إذ بلغت نسبة التوافق 32% لبعد القيادة، و23% لإدارة العمليات والمنتجات والخدمات، و20% للموارد البشرية، و12% للخطة الاستراتيجية، و11% للشراكات والموارد، و15% لنتائج العملاء والموارد البشرية ونتائج الأداء الرئيسية، مما يدل على وجود دعم </w:t>
      </w:r>
      <w:r w:rsidRPr="00362D29">
        <w:rPr>
          <w:rFonts w:ascii="Traditional Arabic" w:hAnsi="Traditional Arabic" w:cs="Traditional Arabic"/>
          <w:color w:val="000000" w:themeColor="text1"/>
          <w:sz w:val="24"/>
          <w:szCs w:val="24"/>
          <w:rtl/>
        </w:rPr>
        <w:lastRenderedPageBreak/>
        <w:t>وتكامل بين برامج الاعتماد والتميز المؤسسي. كما أكدت النتائج أن تطبيق برنامج الاعتماد الوطني يسهم في تمكين القيادات الإدارية من تطبيق نموذج التميز المؤسسي بما يعزز التميز في أداء الخدمات الصحية بالمستشفيات الحكومية السعودية</w:t>
      </w:r>
    </w:p>
    <w:p w14:paraId="641BDDAB" w14:textId="77777777" w:rsidR="00974935" w:rsidRPr="00362D29" w:rsidRDefault="00974935" w:rsidP="00362D29">
      <w:pPr>
        <w:pStyle w:val="ab"/>
        <w:numPr>
          <w:ilvl w:val="0"/>
          <w:numId w:val="11"/>
        </w:num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b/>
          <w:bCs/>
          <w:color w:val="000000" w:themeColor="text1"/>
          <w:sz w:val="24"/>
          <w:szCs w:val="24"/>
          <w:rtl/>
        </w:rPr>
        <w:t>دراسة (البلوي وإسماعيل، 2025) بعنوان "دور التزام الإدارة العليا في تحقيق التميز المؤسسي المستدام: دراسة ميدانية على المستشفيات الحكومية بمنطقة تبوك "</w:t>
      </w:r>
    </w:p>
    <w:p w14:paraId="79033DF7" w14:textId="7CA168CE" w:rsidR="00974935" w:rsidRPr="00362D29" w:rsidRDefault="00974935" w:rsidP="00362D29">
      <w:pPr>
        <w:pStyle w:val="ab"/>
        <w:numPr>
          <w:ilvl w:val="0"/>
          <w:numId w:val="15"/>
        </w:num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 xml:space="preserve">هدفت الدراسة إلى تحليل دور التزام الإدارة العليا في تحقيق التميز المؤسسي المستدام في المستشفيات الحكومية بمنطقة تبوك، كما </w:t>
      </w:r>
      <w:r w:rsidR="009F44E1" w:rsidRPr="00362D29">
        <w:rPr>
          <w:rFonts w:ascii="Traditional Arabic" w:hAnsi="Traditional Arabic" w:cs="Traditional Arabic"/>
          <w:color w:val="000000" w:themeColor="text1"/>
          <w:sz w:val="24"/>
          <w:szCs w:val="24"/>
          <w:rtl/>
        </w:rPr>
        <w:t>تهدف ايضا</w:t>
      </w:r>
      <w:r w:rsidRPr="00362D29">
        <w:rPr>
          <w:rFonts w:ascii="Traditional Arabic" w:hAnsi="Traditional Arabic" w:cs="Traditional Arabic"/>
          <w:color w:val="000000" w:themeColor="text1"/>
          <w:sz w:val="24"/>
          <w:szCs w:val="24"/>
          <w:rtl/>
        </w:rPr>
        <w:t xml:space="preserve"> إلى قياس أثر هذا الالتزام على الأبعاد الأربعة للتميز المؤسسي المتمثلة في تميز الاستراتيجية، تميز الخدمات، تميز العاملين، وتميز القيادة. اعتمدت الدراسة المنهج الوصفي التحليلي، واستخدمت الاستبانة كأداة رئيسة لجمع البيانات، وتم تحليلها باستخدام برنامج (</w:t>
      </w:r>
      <w:r w:rsidRPr="00362D29">
        <w:rPr>
          <w:rFonts w:ascii="Traditional Arabic" w:hAnsi="Traditional Arabic" w:cs="Traditional Arabic"/>
          <w:color w:val="000000" w:themeColor="text1"/>
          <w:sz w:val="24"/>
          <w:szCs w:val="24"/>
        </w:rPr>
        <w:t>SPSS</w:t>
      </w:r>
      <w:r w:rsidRPr="00362D29">
        <w:rPr>
          <w:rFonts w:ascii="Traditional Arabic" w:hAnsi="Traditional Arabic" w:cs="Traditional Arabic"/>
          <w:color w:val="000000" w:themeColor="text1"/>
          <w:sz w:val="24"/>
          <w:szCs w:val="24"/>
          <w:rtl/>
        </w:rPr>
        <w:t>) عبر تطبيق التحليل الوصفي، واختبارات الفروق، ومعامل ألفا كرونباخ لقياس الثبات، واختبارات الارتباط لقياس الاتساق الداخلي. تكوّن مجتمع الدراسة من جميع العاملين في المستشفيات الحكومية بمدينة تبوك والبالغ عددهم (4247) موظفًا. ووفقًا للمعادلة الإحصائية لتحديد حجم العينة، بلغ الحد الأدنى المطلوب (359) مفردة، بينما بلغ عدد الاستجابات الكلي (417) استجابة، استُبعد منها (19) استجابة غير مكتملة، ليصبح حجم العينة النهائية الصالحة للتحليل (398) مفردة. أظهرت النتائج أن التزام الإدارة العليا يؤثر تأثيرًا إيجابيًا دالًا إحصائيًا على تحقيق التميز المؤسسي المستدام، حيث فسّر الالتزام نسبة (64.8%) من التغير في الأداء المؤسسي. كما بيّنت النتائج أن بعد تميز الاستراتيجية جاء في المرتبة الأولى بمتوسط حسابي (4.26) ووزن نسبي (85.2%)، يليه تميز الخدمات وتميز العاملين بمتوسط (4.15)، ثم تميز القيادة بمتوسط (4.10)، مما يعكس ارتفاع مستوى التميز المؤسسي في المستشفيات محل الدراسة.</w:t>
      </w:r>
    </w:p>
    <w:p w14:paraId="5E131077" w14:textId="1DC2F23F" w:rsidR="00481FAE" w:rsidRPr="00362D29" w:rsidRDefault="00481FAE" w:rsidP="00362D29">
      <w:pPr>
        <w:pStyle w:val="ab"/>
        <w:numPr>
          <w:ilvl w:val="0"/>
          <w:numId w:val="11"/>
        </w:num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b/>
          <w:bCs/>
          <w:color w:val="000000" w:themeColor="text1"/>
          <w:sz w:val="24"/>
          <w:szCs w:val="24"/>
          <w:rtl/>
        </w:rPr>
        <w:t>دراسة (الرويلي وظفرة، 2025) بعنوان</w:t>
      </w:r>
      <w:r w:rsidR="00704A9A" w:rsidRPr="00362D29">
        <w:rPr>
          <w:rFonts w:ascii="Traditional Arabic" w:hAnsi="Traditional Arabic" w:cs="Traditional Arabic"/>
          <w:b/>
          <w:bCs/>
          <w:color w:val="000000" w:themeColor="text1"/>
          <w:sz w:val="24"/>
          <w:szCs w:val="24"/>
        </w:rPr>
        <w:t xml:space="preserve">" </w:t>
      </w:r>
      <w:r w:rsidRPr="00362D29">
        <w:rPr>
          <w:rFonts w:ascii="Traditional Arabic" w:hAnsi="Traditional Arabic" w:cs="Traditional Arabic"/>
          <w:b/>
          <w:bCs/>
          <w:color w:val="000000" w:themeColor="text1"/>
          <w:sz w:val="24"/>
          <w:szCs w:val="24"/>
          <w:rtl/>
        </w:rPr>
        <w:t>العلاقة بين القيادة التحويلية وتحقيق التميز المؤسسي في المؤسسات غير الهادفة للربح في المملكة العربية السعودية</w:t>
      </w:r>
      <w:r w:rsidR="00704A9A" w:rsidRPr="00362D29">
        <w:rPr>
          <w:rFonts w:ascii="Traditional Arabic" w:hAnsi="Traditional Arabic" w:cs="Traditional Arabic"/>
          <w:b/>
          <w:bCs/>
          <w:color w:val="000000" w:themeColor="text1"/>
          <w:sz w:val="24"/>
          <w:szCs w:val="24"/>
          <w:rtl/>
        </w:rPr>
        <w:t>"</w:t>
      </w:r>
      <w:r w:rsidRPr="00362D29">
        <w:rPr>
          <w:rFonts w:ascii="Traditional Arabic" w:hAnsi="Traditional Arabic" w:cs="Traditional Arabic"/>
          <w:b/>
          <w:bCs/>
          <w:color w:val="000000" w:themeColor="text1"/>
          <w:sz w:val="24"/>
          <w:szCs w:val="24"/>
          <w:rtl/>
        </w:rPr>
        <w:t>.</w:t>
      </w:r>
      <w:r w:rsidRPr="00362D29">
        <w:rPr>
          <w:rFonts w:ascii="Traditional Arabic" w:hAnsi="Traditional Arabic" w:cs="Traditional Arabic"/>
          <w:color w:val="000000" w:themeColor="text1"/>
          <w:sz w:val="24"/>
          <w:szCs w:val="24"/>
          <w:rtl/>
        </w:rPr>
        <w:t xml:space="preserve"> </w:t>
      </w:r>
    </w:p>
    <w:p w14:paraId="44D13BF6" w14:textId="74CD9669" w:rsidR="00481FAE" w:rsidRDefault="00481FAE" w:rsidP="00362D29">
      <w:pPr>
        <w:pStyle w:val="ab"/>
        <w:numPr>
          <w:ilvl w:val="0"/>
          <w:numId w:val="15"/>
        </w:num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 xml:space="preserve">هدفت الدراسة إلى تحليل طبيعة العلاقة بين أبعاد القيادة التحويلية ومستوى تحقيق التميز المؤسسي، كما سعت إلى قياس حجم التأثير المباشر للقيادة التحويلية بأبعادها المختلفة على أبعاد التميز المؤسسي داخل المؤسسات غير الهادفة للربح. اعتمدت الدراسة المنهج الوصفي التحليلي، واستخدمت الاستبانة أداةً لجمع البيانات، مع توظيف برنامجي </w:t>
      </w:r>
      <w:r w:rsidRPr="00362D29">
        <w:rPr>
          <w:rFonts w:ascii="Traditional Arabic" w:hAnsi="Traditional Arabic" w:cs="Traditional Arabic"/>
          <w:color w:val="000000" w:themeColor="text1"/>
          <w:sz w:val="24"/>
          <w:szCs w:val="24"/>
        </w:rPr>
        <w:t>SPSS</w:t>
      </w:r>
      <w:r w:rsidRPr="00362D29">
        <w:rPr>
          <w:rFonts w:ascii="Traditional Arabic" w:hAnsi="Traditional Arabic" w:cs="Traditional Arabic"/>
          <w:color w:val="000000" w:themeColor="text1"/>
          <w:sz w:val="24"/>
          <w:szCs w:val="24"/>
          <w:rtl/>
        </w:rPr>
        <w:t xml:space="preserve"> و</w:t>
      </w:r>
      <w:r w:rsidRPr="00362D29">
        <w:rPr>
          <w:rFonts w:ascii="Traditional Arabic" w:hAnsi="Traditional Arabic" w:cs="Traditional Arabic"/>
          <w:color w:val="000000" w:themeColor="text1"/>
          <w:sz w:val="24"/>
          <w:szCs w:val="24"/>
        </w:rPr>
        <w:t>AMOS</w:t>
      </w:r>
      <w:r w:rsidRPr="00362D29">
        <w:rPr>
          <w:rFonts w:ascii="Traditional Arabic" w:hAnsi="Traditional Arabic" w:cs="Traditional Arabic"/>
          <w:color w:val="000000" w:themeColor="text1"/>
          <w:sz w:val="24"/>
          <w:szCs w:val="24"/>
          <w:rtl/>
        </w:rPr>
        <w:t xml:space="preserve"> لتحليل البيانات واختبار الفرضيات. تكوّن مجتمع الدراسة من العاملين في المؤسسات غير الهادفة للربح بالمملكة العربية السعودية، والبالغ عددهم التقديري (72,151) فردًا وفق البيانات الرسمية. وتم توزيع (810) استبانة باستخدام العينة العشوائية الملائمة، واستُرد منها (430) استبانة صالحة للتحليل الإحصائي. أظهرت النتائج أن مستوى ممارسة القيادة التحويلية والتميز المؤسسي جاء مرتفعًا، كما بينت وجود علاقة تأثير مباشرة وقوية بين القيادة التحويلية والتميز المؤسسي بمعامل تأثير بلغ (</w:t>
      </w:r>
      <w:r w:rsidRPr="00362D29">
        <w:rPr>
          <w:rFonts w:ascii="Cambria" w:hAnsi="Cambria" w:cs="Cambria"/>
          <w:color w:val="000000" w:themeColor="text1"/>
          <w:sz w:val="24"/>
          <w:szCs w:val="24"/>
        </w:rPr>
        <w:t>β</w:t>
      </w:r>
      <w:r w:rsidRPr="00362D29">
        <w:rPr>
          <w:rFonts w:ascii="Traditional Arabic" w:hAnsi="Traditional Arabic" w:cs="Traditional Arabic"/>
          <w:color w:val="000000" w:themeColor="text1"/>
          <w:sz w:val="24"/>
          <w:szCs w:val="24"/>
        </w:rPr>
        <w:t xml:space="preserve"> = 0.814</w:t>
      </w:r>
      <w:r w:rsidRPr="00362D29">
        <w:rPr>
          <w:rFonts w:ascii="Traditional Arabic" w:hAnsi="Traditional Arabic" w:cs="Traditional Arabic"/>
          <w:color w:val="000000" w:themeColor="text1"/>
          <w:sz w:val="24"/>
          <w:szCs w:val="24"/>
          <w:rtl/>
        </w:rPr>
        <w:t>)، مما يؤكد الدور الحاسم للقيادة التحويلية في تعزيز أبعاد التميز المؤسسي.</w:t>
      </w:r>
    </w:p>
    <w:p w14:paraId="042F4087" w14:textId="77777777" w:rsidR="00303769" w:rsidRPr="00362D29" w:rsidRDefault="00303769" w:rsidP="00303769">
      <w:pPr>
        <w:pStyle w:val="ab"/>
        <w:bidi/>
        <w:spacing w:line="360" w:lineRule="auto"/>
        <w:jc w:val="both"/>
        <w:rPr>
          <w:rFonts w:ascii="Traditional Arabic" w:hAnsi="Traditional Arabic" w:cs="Traditional Arabic"/>
          <w:color w:val="000000" w:themeColor="text1"/>
          <w:sz w:val="24"/>
          <w:szCs w:val="24"/>
        </w:rPr>
      </w:pPr>
    </w:p>
    <w:p w14:paraId="395F78E4" w14:textId="6F26F6A6" w:rsidR="00D149BB" w:rsidRPr="00362D29" w:rsidRDefault="00D149BB" w:rsidP="00362D29">
      <w:pPr>
        <w:pStyle w:val="ab"/>
        <w:numPr>
          <w:ilvl w:val="0"/>
          <w:numId w:val="11"/>
        </w:num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b/>
          <w:bCs/>
          <w:color w:val="000000" w:themeColor="text1"/>
          <w:sz w:val="24"/>
          <w:szCs w:val="24"/>
          <w:rtl/>
        </w:rPr>
        <w:lastRenderedPageBreak/>
        <w:t>دراسة (أحمد، 2025) بعنوان "الضبط الإداري وتحقيق التميز المؤسسي بمؤسسات الرعاية الصحية"</w:t>
      </w:r>
      <w:r w:rsidRPr="00362D29">
        <w:rPr>
          <w:rFonts w:ascii="Traditional Arabic" w:hAnsi="Traditional Arabic" w:cs="Traditional Arabic"/>
          <w:color w:val="000000" w:themeColor="text1"/>
          <w:sz w:val="24"/>
          <w:szCs w:val="24"/>
          <w:rtl/>
        </w:rPr>
        <w:t xml:space="preserve"> </w:t>
      </w:r>
    </w:p>
    <w:p w14:paraId="6C219A68" w14:textId="1EF508CE" w:rsidR="00D149BB" w:rsidRPr="00362D29" w:rsidRDefault="00D149BB" w:rsidP="00362D29">
      <w:pPr>
        <w:pStyle w:val="ab"/>
        <w:numPr>
          <w:ilvl w:val="0"/>
          <w:numId w:val="15"/>
        </w:num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هدفت الدراسة إلى تحديد طبيعة العلاقة بين الضبط الإداري وتحقيق التميز المؤسسي في مؤسسات الرعاية الصحية، كما سعت إلى تحليل أثر أبعاد الضبط الإداري المتمثلة في التوجه الاستراتيجي، ونشر ثقافة الجودة، والتقييم الذاتي، ومشروعات التحسين على أبعاد التميز المؤسسي داخل مديرية الشؤون الصحية بمحافظة أسيوط. اعتمدت الدراسة المنهج الوصفي التحليلي، واستخدمت منهج المسح الاجتماعي الشامل، مع توظيف الاستبانة كأداة رئيسة لجمع البيانات، وتحليلها باستخدام المتوسطات الحسابية، والانحرافات المعيارية، ومعامل ألفا كرونباخ، ومعاملات الارتباط. تكوّن مجتمع الدراسة من جميع موظفي مديرية الشؤون الصحية بمحافظة أسيوط والبالغ عددهم (78) موظفًا، وتم تطبيق المسح الشامل على المجتمع بالكامل. أظهرت النتائج وجود علاقة ارتباط موجبة قوية ودالة إحصائيًا بين الضبط الإداري وجميع أبعاد التميز المؤسسي، حيث تراوحت معاملات الارتباط بين (0.659 – 0.688). كما بيّنت النتائج أن أقوى علاقة كانت بين الضبط الإداري ومشروعات التحسين، تليها العلاقة مع التوجه الاستراتيجي ثم التقييم الذاتي، مما يؤكد أن تعزيز الانضباط الإداري يسهم مباشرة في دعم ممارسات التميز المؤسسي داخل مؤسسات الرعاية الصحية.</w:t>
      </w:r>
    </w:p>
    <w:p w14:paraId="3BE78A7C" w14:textId="5AD42CC8" w:rsidR="000B64C1" w:rsidRPr="00362D29" w:rsidRDefault="00947153" w:rsidP="00362D29">
      <w:pPr>
        <w:pStyle w:val="ab"/>
        <w:numPr>
          <w:ilvl w:val="0"/>
          <w:numId w:val="11"/>
        </w:num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b/>
          <w:bCs/>
          <w:color w:val="000000" w:themeColor="text1"/>
          <w:sz w:val="24"/>
          <w:szCs w:val="24"/>
          <w:rtl/>
        </w:rPr>
        <w:t xml:space="preserve">دراسة </w:t>
      </w:r>
      <w:r w:rsidR="00E9779D" w:rsidRPr="00362D29">
        <w:rPr>
          <w:rFonts w:ascii="Traditional Arabic" w:hAnsi="Traditional Arabic" w:cs="Traditional Arabic"/>
          <w:b/>
          <w:bCs/>
          <w:color w:val="000000" w:themeColor="text1"/>
          <w:sz w:val="24"/>
          <w:szCs w:val="24"/>
          <w:rtl/>
        </w:rPr>
        <w:t>(</w:t>
      </w:r>
      <w:r w:rsidRPr="00362D29">
        <w:rPr>
          <w:rFonts w:ascii="Traditional Arabic" w:hAnsi="Traditional Arabic" w:cs="Traditional Arabic"/>
          <w:b/>
          <w:bCs/>
          <w:color w:val="000000" w:themeColor="text1"/>
          <w:sz w:val="24"/>
          <w:szCs w:val="24"/>
          <w:rtl/>
        </w:rPr>
        <w:t>السيابي</w:t>
      </w:r>
      <w:r w:rsidR="00E9779D" w:rsidRPr="00362D29">
        <w:rPr>
          <w:rFonts w:ascii="Traditional Arabic" w:hAnsi="Traditional Arabic" w:cs="Traditional Arabic"/>
          <w:b/>
          <w:bCs/>
          <w:color w:val="000000" w:themeColor="text1"/>
          <w:sz w:val="24"/>
          <w:szCs w:val="24"/>
          <w:rtl/>
        </w:rPr>
        <w:t xml:space="preserve">، </w:t>
      </w:r>
      <w:r w:rsidRPr="00362D29">
        <w:rPr>
          <w:rFonts w:ascii="Traditional Arabic" w:hAnsi="Traditional Arabic" w:cs="Traditional Arabic"/>
          <w:b/>
          <w:bCs/>
          <w:color w:val="000000" w:themeColor="text1"/>
          <w:sz w:val="24"/>
          <w:szCs w:val="24"/>
          <w:rtl/>
        </w:rPr>
        <w:t xml:space="preserve">2024) بعنوان </w:t>
      </w:r>
      <w:r w:rsidR="00704A9A" w:rsidRPr="00362D29">
        <w:rPr>
          <w:rFonts w:ascii="Traditional Arabic" w:hAnsi="Traditional Arabic" w:cs="Traditional Arabic"/>
          <w:b/>
          <w:bCs/>
          <w:color w:val="000000" w:themeColor="text1"/>
          <w:sz w:val="24"/>
          <w:szCs w:val="24"/>
          <w:rtl/>
        </w:rPr>
        <w:t>"</w:t>
      </w:r>
      <w:r w:rsidRPr="00362D29">
        <w:rPr>
          <w:rFonts w:ascii="Traditional Arabic" w:hAnsi="Traditional Arabic" w:cs="Traditional Arabic"/>
          <w:b/>
          <w:bCs/>
          <w:color w:val="000000" w:themeColor="text1"/>
          <w:sz w:val="24"/>
          <w:szCs w:val="24"/>
          <w:rtl/>
        </w:rPr>
        <w:t xml:space="preserve">التميز المؤسسي الأوروبي </w:t>
      </w:r>
      <w:r w:rsidRPr="00362D29">
        <w:rPr>
          <w:rFonts w:ascii="Traditional Arabic" w:hAnsi="Traditional Arabic" w:cs="Traditional Arabic"/>
          <w:b/>
          <w:bCs/>
          <w:color w:val="000000" w:themeColor="text1"/>
          <w:sz w:val="24"/>
          <w:szCs w:val="24"/>
        </w:rPr>
        <w:t>EFQM</w:t>
      </w:r>
      <w:r w:rsidRPr="00362D29">
        <w:rPr>
          <w:rFonts w:ascii="Traditional Arabic" w:hAnsi="Traditional Arabic" w:cs="Traditional Arabic"/>
          <w:b/>
          <w:bCs/>
          <w:color w:val="000000" w:themeColor="text1"/>
          <w:sz w:val="24"/>
          <w:szCs w:val="24"/>
          <w:rtl/>
        </w:rPr>
        <w:t xml:space="preserve"> وعلاقته ببطاقة الأداء المتوازن في تطوير الأداء المؤسسي</w:t>
      </w:r>
      <w:r w:rsidR="009C7A72" w:rsidRPr="00362D29">
        <w:rPr>
          <w:rFonts w:ascii="Traditional Arabic" w:hAnsi="Traditional Arabic" w:cs="Traditional Arabic"/>
          <w:b/>
          <w:bCs/>
          <w:color w:val="000000" w:themeColor="text1"/>
          <w:sz w:val="24"/>
          <w:szCs w:val="24"/>
          <w:rtl/>
        </w:rPr>
        <w:t>"</w:t>
      </w:r>
    </w:p>
    <w:p w14:paraId="60D5E1E2" w14:textId="600DBF90" w:rsidR="000B64C1" w:rsidRPr="00362D29" w:rsidRDefault="000B64C1" w:rsidP="00362D29">
      <w:pPr>
        <w:pStyle w:val="ab"/>
        <w:numPr>
          <w:ilvl w:val="0"/>
          <w:numId w:val="15"/>
        </w:num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 xml:space="preserve">هدفت </w:t>
      </w:r>
      <w:r w:rsidR="00627F5F" w:rsidRPr="00362D29">
        <w:rPr>
          <w:rFonts w:ascii="Traditional Arabic" w:hAnsi="Traditional Arabic" w:cs="Traditional Arabic"/>
          <w:color w:val="000000" w:themeColor="text1"/>
          <w:sz w:val="24"/>
          <w:szCs w:val="24"/>
          <w:rtl/>
        </w:rPr>
        <w:t xml:space="preserve">الدراسة </w:t>
      </w:r>
      <w:r w:rsidRPr="00362D29">
        <w:rPr>
          <w:rFonts w:ascii="Traditional Arabic" w:hAnsi="Traditional Arabic" w:cs="Traditional Arabic"/>
          <w:color w:val="000000" w:themeColor="text1"/>
          <w:sz w:val="24"/>
          <w:szCs w:val="24"/>
          <w:rtl/>
        </w:rPr>
        <w:t>إلى تحليل العلاقة بين نموذج التميز الأوروبي وبطاقة الأداء المتوازن، وبيان مدى إسهام التكامل بينهما في تحسين الأداء المؤسسي وتحقيق الأهداف الاستراتيجية، إضافة إلى توضيح دور القيادة والتعلم المستمر في تعزيز فعالية هذا التكامل. اعتمدت الدراسة المنهج الوصفي التحليلي المقارن باعتبارها دراسة مراجعات مقارنة بين إطارين استراتيجيين (</w:t>
      </w:r>
      <w:r w:rsidRPr="00362D29">
        <w:rPr>
          <w:rFonts w:ascii="Traditional Arabic" w:hAnsi="Traditional Arabic" w:cs="Traditional Arabic"/>
          <w:color w:val="000000" w:themeColor="text1"/>
          <w:sz w:val="24"/>
          <w:szCs w:val="24"/>
        </w:rPr>
        <w:t>EFQM</w:t>
      </w:r>
      <w:r w:rsidRPr="00362D29">
        <w:rPr>
          <w:rFonts w:ascii="Traditional Arabic" w:hAnsi="Traditional Arabic" w:cs="Traditional Arabic"/>
          <w:color w:val="000000" w:themeColor="text1"/>
          <w:sz w:val="24"/>
          <w:szCs w:val="24"/>
          <w:rtl/>
        </w:rPr>
        <w:t xml:space="preserve"> و</w:t>
      </w:r>
      <w:r w:rsidRPr="00362D29">
        <w:rPr>
          <w:rFonts w:ascii="Traditional Arabic" w:hAnsi="Traditional Arabic" w:cs="Traditional Arabic"/>
          <w:color w:val="000000" w:themeColor="text1"/>
          <w:sz w:val="24"/>
          <w:szCs w:val="24"/>
        </w:rPr>
        <w:t>BSC</w:t>
      </w:r>
      <w:r w:rsidRPr="00362D29">
        <w:rPr>
          <w:rFonts w:ascii="Traditional Arabic" w:hAnsi="Traditional Arabic" w:cs="Traditional Arabic"/>
          <w:color w:val="000000" w:themeColor="text1"/>
          <w:sz w:val="24"/>
          <w:szCs w:val="24"/>
          <w:rtl/>
        </w:rPr>
        <w:t xml:space="preserve">)، وركزت على تحليل الأدبيات والنماذج التطبيقية ذات الصلة دون تطبيق ميداني مباشر على مجتمع محدد أو عينة كمية. وأظهرت النتائج وجود تفاعل إيجابي وتكامل واضح بين النموذجين في دعم تحقيق الأهداف الاستراتيجية، حيث يوفر نموذج </w:t>
      </w:r>
      <w:r w:rsidRPr="00362D29">
        <w:rPr>
          <w:rFonts w:ascii="Traditional Arabic" w:hAnsi="Traditional Arabic" w:cs="Traditional Arabic"/>
          <w:color w:val="000000" w:themeColor="text1"/>
          <w:sz w:val="24"/>
          <w:szCs w:val="24"/>
        </w:rPr>
        <w:t>EFQM</w:t>
      </w:r>
      <w:r w:rsidRPr="00362D29">
        <w:rPr>
          <w:rFonts w:ascii="Traditional Arabic" w:hAnsi="Traditional Arabic" w:cs="Traditional Arabic"/>
          <w:color w:val="000000" w:themeColor="text1"/>
          <w:sz w:val="24"/>
          <w:szCs w:val="24"/>
          <w:rtl/>
        </w:rPr>
        <w:t xml:space="preserve"> إطارًا شاملًا للتميز المؤسسي بينما تُمكّن بطاقة الأداء المتوازن من ترجمة الاستراتيجية إلى مؤشرات أداء قابلة للقياس. كما بينت الدراسة أن القيادة والتعلم والتحسين المستمر يمثلان عناصر محورية لنجاح التكامل بين النموذجين، وأوصت بتبني إطار تكاملي يجمع بينهما لتحقيق رؤية مؤسسية متوازنة ومستدامة للأداء.</w:t>
      </w:r>
    </w:p>
    <w:p w14:paraId="53D3F18C" w14:textId="35783D56" w:rsidR="00D974FD" w:rsidRPr="00362D29" w:rsidRDefault="00947153" w:rsidP="00362D29">
      <w:pPr>
        <w:pStyle w:val="ab"/>
        <w:numPr>
          <w:ilvl w:val="0"/>
          <w:numId w:val="11"/>
        </w:num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b/>
          <w:bCs/>
          <w:color w:val="000000" w:themeColor="text1"/>
          <w:sz w:val="24"/>
          <w:szCs w:val="24"/>
          <w:rtl/>
        </w:rPr>
        <w:t>دراسة</w:t>
      </w:r>
      <w:r w:rsidRPr="00362D29">
        <w:rPr>
          <w:rFonts w:ascii="Traditional Arabic" w:hAnsi="Traditional Arabic" w:cs="Traditional Arabic"/>
          <w:b/>
          <w:bCs/>
          <w:color w:val="000000" w:themeColor="text1"/>
          <w:sz w:val="24"/>
          <w:szCs w:val="24"/>
        </w:rPr>
        <w:t xml:space="preserve"> </w:t>
      </w:r>
      <w:r w:rsidR="00D974FD" w:rsidRPr="00362D29">
        <w:rPr>
          <w:rFonts w:ascii="Traditional Arabic" w:hAnsi="Traditional Arabic" w:cs="Traditional Arabic"/>
          <w:b/>
          <w:bCs/>
          <w:color w:val="000000" w:themeColor="text1"/>
          <w:sz w:val="24"/>
          <w:szCs w:val="24"/>
        </w:rPr>
        <w:t>(</w:t>
      </w:r>
      <w:r w:rsidRPr="00362D29">
        <w:rPr>
          <w:rFonts w:ascii="Traditional Arabic" w:hAnsi="Traditional Arabic" w:cs="Traditional Arabic"/>
          <w:b/>
          <w:bCs/>
          <w:color w:val="000000" w:themeColor="text1"/>
          <w:sz w:val="24"/>
          <w:szCs w:val="24"/>
        </w:rPr>
        <w:t>Al-Samawi and Al-Sayaghi</w:t>
      </w:r>
      <w:r w:rsidR="00D974FD" w:rsidRPr="00362D29">
        <w:rPr>
          <w:rFonts w:ascii="Traditional Arabic" w:hAnsi="Traditional Arabic" w:cs="Traditional Arabic"/>
          <w:b/>
          <w:bCs/>
          <w:color w:val="000000" w:themeColor="text1"/>
          <w:sz w:val="24"/>
          <w:szCs w:val="24"/>
        </w:rPr>
        <w:t>,</w:t>
      </w:r>
      <w:r w:rsidRPr="00362D29">
        <w:rPr>
          <w:rFonts w:ascii="Traditional Arabic" w:hAnsi="Traditional Arabic" w:cs="Traditional Arabic"/>
          <w:b/>
          <w:bCs/>
          <w:color w:val="000000" w:themeColor="text1"/>
          <w:sz w:val="24"/>
          <w:szCs w:val="24"/>
        </w:rPr>
        <w:t xml:space="preserve"> 2024) </w:t>
      </w:r>
      <w:r w:rsidRPr="00362D29">
        <w:rPr>
          <w:rFonts w:ascii="Traditional Arabic" w:hAnsi="Traditional Arabic" w:cs="Traditional Arabic"/>
          <w:b/>
          <w:bCs/>
          <w:color w:val="000000" w:themeColor="text1"/>
          <w:sz w:val="24"/>
          <w:szCs w:val="24"/>
          <w:rtl/>
        </w:rPr>
        <w:t>بعنوان</w:t>
      </w:r>
      <w:r w:rsidR="00F55242" w:rsidRPr="00362D29">
        <w:rPr>
          <w:rFonts w:ascii="Traditional Arabic" w:hAnsi="Traditional Arabic" w:cs="Traditional Arabic"/>
          <w:b/>
          <w:bCs/>
          <w:color w:val="000000" w:themeColor="text1"/>
          <w:sz w:val="24"/>
          <w:szCs w:val="24"/>
        </w:rPr>
        <w:t>"</w:t>
      </w:r>
      <w:r w:rsidRPr="00362D29">
        <w:rPr>
          <w:rFonts w:ascii="Traditional Arabic" w:hAnsi="Traditional Arabic" w:cs="Traditional Arabic"/>
          <w:b/>
          <w:bCs/>
          <w:color w:val="000000" w:themeColor="text1"/>
          <w:sz w:val="24"/>
          <w:szCs w:val="24"/>
        </w:rPr>
        <w:t xml:space="preserve"> The impact of organizational excellence on the quality of health services in Yemeni private hospitals</w:t>
      </w:r>
      <w:r w:rsidR="00F55242" w:rsidRPr="00362D29">
        <w:rPr>
          <w:rFonts w:ascii="Traditional Arabic" w:hAnsi="Traditional Arabic" w:cs="Traditional Arabic"/>
          <w:b/>
          <w:bCs/>
          <w:color w:val="000000" w:themeColor="text1"/>
          <w:sz w:val="24"/>
          <w:szCs w:val="24"/>
        </w:rPr>
        <w:t>"</w:t>
      </w:r>
      <w:r w:rsidRPr="00362D29">
        <w:rPr>
          <w:rFonts w:ascii="Traditional Arabic" w:hAnsi="Traditional Arabic" w:cs="Traditional Arabic"/>
          <w:b/>
          <w:bCs/>
          <w:color w:val="000000" w:themeColor="text1"/>
          <w:sz w:val="24"/>
          <w:szCs w:val="24"/>
          <w:rtl/>
        </w:rPr>
        <w:t xml:space="preserve">، </w:t>
      </w:r>
    </w:p>
    <w:p w14:paraId="37559677" w14:textId="53AC1CD9" w:rsidR="00627F5F" w:rsidRPr="00362D29" w:rsidRDefault="00627F5F" w:rsidP="00362D29">
      <w:pPr>
        <w:pStyle w:val="ab"/>
        <w:numPr>
          <w:ilvl w:val="0"/>
          <w:numId w:val="15"/>
        </w:num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 xml:space="preserve">هدفت الدراسة إلى قياس أثر التميز المؤسسي بأبعاده (القيادة، الثقافة التنظيمية، الهيكل التنظيمي، التركيز على العميل) على جودة الخدمات الصحية بأبعادها (الاستجابة، الاعتمادية، الجوانب الملموسة، الأمان، التعاطف) في المستشفيات الخاصة اليمنية، </w:t>
      </w:r>
      <w:r w:rsidRPr="00362D29">
        <w:rPr>
          <w:rFonts w:ascii="Traditional Arabic" w:hAnsi="Traditional Arabic" w:cs="Traditional Arabic"/>
          <w:color w:val="000000" w:themeColor="text1"/>
          <w:sz w:val="24"/>
          <w:szCs w:val="24"/>
          <w:rtl/>
        </w:rPr>
        <w:lastRenderedPageBreak/>
        <w:t>كما سعت إلى تحديد مستوى كلٍ من التميز المؤسسي وجودة الخدمات الصحية في تلك المستشفيات</w:t>
      </w:r>
      <w:r w:rsidRPr="00362D29">
        <w:rPr>
          <w:rFonts w:ascii="Traditional Arabic" w:hAnsi="Traditional Arabic" w:cs="Traditional Arabic"/>
          <w:color w:val="000000" w:themeColor="text1"/>
          <w:sz w:val="24"/>
          <w:szCs w:val="24"/>
        </w:rPr>
        <w:t>.</w:t>
      </w:r>
      <w:r w:rsidRPr="00362D29">
        <w:rPr>
          <w:rFonts w:ascii="Traditional Arabic" w:hAnsi="Traditional Arabic" w:cs="Traditional Arabic"/>
          <w:color w:val="000000" w:themeColor="text1"/>
          <w:sz w:val="24"/>
          <w:szCs w:val="24"/>
          <w:rtl/>
        </w:rPr>
        <w:t xml:space="preserve"> اعتمدت الدراسة المنهج الكمي الوصفي التحليلي، واستخدمت الاستبانة أداةً لجمع البيانات، مع توظيف نمذجة المعادلات الهيكلية</w:t>
      </w:r>
      <w:r w:rsidRPr="00362D29">
        <w:rPr>
          <w:rFonts w:ascii="Traditional Arabic" w:hAnsi="Traditional Arabic" w:cs="Traditional Arabic"/>
          <w:color w:val="000000" w:themeColor="text1"/>
          <w:sz w:val="24"/>
          <w:szCs w:val="24"/>
        </w:rPr>
        <w:t xml:space="preserve"> (SEM) </w:t>
      </w:r>
      <w:r w:rsidRPr="00362D29">
        <w:rPr>
          <w:rFonts w:ascii="Traditional Arabic" w:hAnsi="Traditional Arabic" w:cs="Traditional Arabic"/>
          <w:color w:val="000000" w:themeColor="text1"/>
          <w:sz w:val="24"/>
          <w:szCs w:val="24"/>
          <w:rtl/>
        </w:rPr>
        <w:t>باستخدام برنامج</w:t>
      </w:r>
      <w:r w:rsidRPr="00362D29">
        <w:rPr>
          <w:rFonts w:ascii="Traditional Arabic" w:hAnsi="Traditional Arabic" w:cs="Traditional Arabic"/>
          <w:color w:val="000000" w:themeColor="text1"/>
          <w:sz w:val="24"/>
          <w:szCs w:val="24"/>
        </w:rPr>
        <w:t xml:space="preserve"> Amos v26 </w:t>
      </w:r>
      <w:r w:rsidRPr="00362D29">
        <w:rPr>
          <w:rFonts w:ascii="Traditional Arabic" w:hAnsi="Traditional Arabic" w:cs="Traditional Arabic"/>
          <w:color w:val="000000" w:themeColor="text1"/>
          <w:sz w:val="24"/>
          <w:szCs w:val="24"/>
          <w:rtl/>
        </w:rPr>
        <w:t>لاختبار الفرضيات وتحليل علاقات التأثير</w:t>
      </w:r>
      <w:r w:rsidRPr="00362D29">
        <w:rPr>
          <w:rFonts w:ascii="Traditional Arabic" w:hAnsi="Traditional Arabic" w:cs="Traditional Arabic"/>
          <w:color w:val="000000" w:themeColor="text1"/>
          <w:sz w:val="24"/>
          <w:szCs w:val="24"/>
        </w:rPr>
        <w:t>.</w:t>
      </w:r>
      <w:r w:rsidRPr="00362D29">
        <w:rPr>
          <w:rFonts w:ascii="Traditional Arabic" w:hAnsi="Traditional Arabic" w:cs="Traditional Arabic"/>
          <w:color w:val="000000" w:themeColor="text1"/>
          <w:sz w:val="24"/>
          <w:szCs w:val="24"/>
          <w:rtl/>
        </w:rPr>
        <w:t>تكوّن مجتمع الدراسة من (3539) موظفًا يعملون في (7) مستشفيات خاصة في صنعاء، تم اختيار عينة عشوائية طبقية بحجم (330) مفردة. أظهرت النتائج وجود أثر إيجابي دال إحصائيًا للتميز المؤسسي على جودة الخدمات الصحية، كما بيّنت النتائج أن مستوى التميز المؤسسي جاء مرتفعًا ، أظهرت النتائج وجود علاقة طردية ذات دلالة إحصائية بين مستوى تطبيق ممارسات التميز المؤسسي (مثل القيادة، إدارة العمليات، والابتكار) وبين تحسّن جودة الخدمات المقدمة، خاصة في أبعاد مثل رضا المرضى، وسرعة الاستجابة، وكفاءة تقديم الخدمة.</w:t>
      </w:r>
    </w:p>
    <w:p w14:paraId="524653DE" w14:textId="6E26C0FF" w:rsidR="00260AE4" w:rsidRPr="00362D29" w:rsidRDefault="00260AE4" w:rsidP="00362D29">
      <w:pPr>
        <w:pStyle w:val="ab"/>
        <w:numPr>
          <w:ilvl w:val="0"/>
          <w:numId w:val="11"/>
        </w:numPr>
        <w:bidi/>
        <w:spacing w:line="360" w:lineRule="auto"/>
        <w:jc w:val="both"/>
        <w:rPr>
          <w:rFonts w:ascii="Traditional Arabic" w:hAnsi="Traditional Arabic" w:cs="Traditional Arabic"/>
          <w:b/>
          <w:bCs/>
          <w:color w:val="000000" w:themeColor="text1"/>
          <w:sz w:val="24"/>
          <w:szCs w:val="24"/>
          <w:rtl/>
        </w:rPr>
      </w:pPr>
      <w:r w:rsidRPr="00362D29">
        <w:rPr>
          <w:rFonts w:ascii="Traditional Arabic" w:hAnsi="Traditional Arabic" w:cs="Traditional Arabic"/>
          <w:b/>
          <w:bCs/>
          <w:color w:val="000000" w:themeColor="text1"/>
          <w:sz w:val="24"/>
          <w:szCs w:val="24"/>
          <w:rtl/>
        </w:rPr>
        <w:t>دراسة (الغامدي، 2024) بعنوان "العلاقة بين الإدارة الاستراتيجية الإبداعية والتميز المؤسسي في المستشفيات بالمملكة العربية السعودية</w:t>
      </w:r>
      <w:r w:rsidRPr="00362D29">
        <w:rPr>
          <w:rFonts w:ascii="Traditional Arabic" w:hAnsi="Traditional Arabic" w:cs="Traditional Arabic"/>
          <w:b/>
          <w:bCs/>
          <w:color w:val="000000" w:themeColor="text1"/>
          <w:sz w:val="24"/>
          <w:szCs w:val="24"/>
        </w:rPr>
        <w:t>".</w:t>
      </w:r>
    </w:p>
    <w:p w14:paraId="06C241EB" w14:textId="6F0C3B85" w:rsidR="008249B1" w:rsidRPr="00362D29" w:rsidRDefault="00260AE4" w:rsidP="00362D29">
      <w:pPr>
        <w:pStyle w:val="ab"/>
        <w:numPr>
          <w:ilvl w:val="0"/>
          <w:numId w:val="15"/>
        </w:num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هدفت الدراسة إلى قياس طبيعة العلاقة بين أبعاد الإدارة الاستراتيجية الإبداعية (التحليل الاستراتيجي، صياغة الاستراتيجية، تنفيذ الاستراتيجية، تقييم الاستراتيجية) وأبعاد التميز المؤسسي في المستشفيات العامة والخاصة بمحافظة جدة، كما سعت إلى تحديد مدى إسهام الممارسات الاستراتيجية الإبداعية في تعزيز مستويات التميز القيادي والعملياتي والاستراتيجي والموارد البشرية داخل المؤسسات الصحية. اعتمدت الدراسة على المنهج الوصفي التحليلي، واستخدمت الاستبانة كأداة رئيسة لجمع البيانات وتحليلها إحصائياً ، وتمثل مجتمع الدراسة في جميع العاملين (الإداريين والصحيين) في المستشفيات العامة والخاصة بمحافظة جدة، والبالغ عددهم (75,225) موظفاً، في حين بلغت العينة (356) مفردة تم اختيارهم بطريقة ملائمة لطبيعة الدراسة. توصلت الدراسة إلى وجود علاقة ارتباط طردية ذات دلالة إحصائية عند مستوى معنوية (0.05) بين أبعاد الإدارة الاستراتيجية الإبداعية والتميز المؤسسي بأبعاده المختلفة، كما أظهرت النتائج قوة العلاقة بين بعض الأبعاد، حيث تراوحت معاملات ارتباط بيرسون بين (0.73 – 0.87)، مما يدل على أن تعزيز الممارسات الاستراتيجية الإبداعية يسهم بصورة مباشرة في دعم التميز المؤسسي في المستشفيات السعودية.</w:t>
      </w:r>
    </w:p>
    <w:p w14:paraId="263BEF5C" w14:textId="77777777" w:rsidR="0012486F" w:rsidRPr="00362D29" w:rsidRDefault="00E35658" w:rsidP="00362D29">
      <w:pPr>
        <w:pStyle w:val="ab"/>
        <w:numPr>
          <w:ilvl w:val="0"/>
          <w:numId w:val="11"/>
        </w:numPr>
        <w:bidi/>
        <w:spacing w:line="360" w:lineRule="auto"/>
        <w:jc w:val="both"/>
        <w:rPr>
          <w:rFonts w:ascii="Traditional Arabic" w:hAnsi="Traditional Arabic" w:cs="Traditional Arabic"/>
          <w:b/>
          <w:bCs/>
          <w:color w:val="000000" w:themeColor="text1"/>
          <w:sz w:val="24"/>
          <w:szCs w:val="24"/>
        </w:rPr>
      </w:pPr>
      <w:r w:rsidRPr="00362D29">
        <w:rPr>
          <w:rFonts w:ascii="Traditional Arabic" w:hAnsi="Traditional Arabic" w:cs="Traditional Arabic"/>
          <w:b/>
          <w:bCs/>
          <w:color w:val="000000" w:themeColor="text1"/>
          <w:sz w:val="24"/>
          <w:szCs w:val="24"/>
          <w:rtl/>
        </w:rPr>
        <w:t xml:space="preserve">دراسة (سليمان وشاهين، 2024) بعنوان </w:t>
      </w:r>
      <w:r w:rsidRPr="00362D29">
        <w:rPr>
          <w:rFonts w:ascii="Traditional Arabic" w:hAnsi="Traditional Arabic" w:cs="Traditional Arabic"/>
          <w:b/>
          <w:bCs/>
          <w:color w:val="000000" w:themeColor="text1"/>
          <w:sz w:val="24"/>
          <w:szCs w:val="24"/>
        </w:rPr>
        <w:t>"</w:t>
      </w:r>
      <w:r w:rsidRPr="00362D29">
        <w:rPr>
          <w:rFonts w:ascii="Traditional Arabic" w:hAnsi="Traditional Arabic" w:cs="Traditional Arabic"/>
          <w:b/>
          <w:bCs/>
          <w:color w:val="000000" w:themeColor="text1"/>
          <w:sz w:val="24"/>
          <w:szCs w:val="24"/>
          <w:rtl/>
        </w:rPr>
        <w:t>نماذج التميز المؤسسي بالتطبيق على النموذج الأوروبي</w:t>
      </w:r>
    </w:p>
    <w:p w14:paraId="025C27E8" w14:textId="16F73F16" w:rsidR="00001C83" w:rsidRPr="00362D29" w:rsidRDefault="00E35658" w:rsidP="00362D29">
      <w:pPr>
        <w:pStyle w:val="ab"/>
        <w:numPr>
          <w:ilvl w:val="0"/>
          <w:numId w:val="15"/>
        </w:numPr>
        <w:bidi/>
        <w:spacing w:line="360" w:lineRule="auto"/>
        <w:jc w:val="both"/>
        <w:rPr>
          <w:rFonts w:ascii="Traditional Arabic" w:hAnsi="Traditional Arabic" w:cs="Traditional Arabic"/>
          <w:b/>
          <w:bCs/>
          <w:color w:val="000000" w:themeColor="text1"/>
          <w:sz w:val="24"/>
          <w:szCs w:val="24"/>
        </w:rPr>
      </w:pPr>
      <w:r w:rsidRPr="00362D29">
        <w:rPr>
          <w:rFonts w:ascii="Traditional Arabic" w:hAnsi="Traditional Arabic" w:cs="Traditional Arabic"/>
          <w:b/>
          <w:bCs/>
          <w:color w:val="000000" w:themeColor="text1"/>
          <w:sz w:val="24"/>
          <w:szCs w:val="24"/>
        </w:rPr>
        <w:t xml:space="preserve">" </w:t>
      </w:r>
      <w:r w:rsidRPr="00362D29">
        <w:rPr>
          <w:rFonts w:ascii="Traditional Arabic" w:hAnsi="Traditional Arabic" w:cs="Traditional Arabic"/>
          <w:color w:val="000000" w:themeColor="text1"/>
          <w:sz w:val="24"/>
          <w:szCs w:val="24"/>
          <w:rtl/>
        </w:rPr>
        <w:t>هدفت إلى تحليل الإطار المفاهيمي لنماذج التميز المؤسسي مع التركيز على النموذج الأوروبي</w:t>
      </w:r>
      <w:r w:rsidRPr="00362D29">
        <w:rPr>
          <w:rFonts w:ascii="Traditional Arabic" w:hAnsi="Traditional Arabic" w:cs="Traditional Arabic"/>
          <w:color w:val="000000" w:themeColor="text1"/>
          <w:sz w:val="24"/>
          <w:szCs w:val="24"/>
        </w:rPr>
        <w:t xml:space="preserve"> (EFQM)</w:t>
      </w:r>
      <w:r w:rsidRPr="00362D29">
        <w:rPr>
          <w:rFonts w:ascii="Traditional Arabic" w:hAnsi="Traditional Arabic" w:cs="Traditional Arabic"/>
          <w:color w:val="000000" w:themeColor="text1"/>
          <w:sz w:val="24"/>
          <w:szCs w:val="24"/>
          <w:rtl/>
        </w:rPr>
        <w:t>، و</w:t>
      </w:r>
      <w:r w:rsidR="00A40565" w:rsidRPr="00362D29">
        <w:rPr>
          <w:rFonts w:ascii="Traditional Arabic" w:hAnsi="Traditional Arabic" w:cs="Traditional Arabic"/>
          <w:color w:val="000000" w:themeColor="text1"/>
          <w:sz w:val="24"/>
          <w:szCs w:val="24"/>
          <w:rtl/>
        </w:rPr>
        <w:t xml:space="preserve">هدفت أيضا الى </w:t>
      </w:r>
      <w:r w:rsidRPr="00362D29">
        <w:rPr>
          <w:rFonts w:ascii="Traditional Arabic" w:hAnsi="Traditional Arabic" w:cs="Traditional Arabic"/>
          <w:color w:val="000000" w:themeColor="text1"/>
          <w:sz w:val="24"/>
          <w:szCs w:val="24"/>
          <w:rtl/>
        </w:rPr>
        <w:t>بيان مدى ملاءمته للتطبيق في المؤسسات، إضافة إلى استكشاف آليات الاستفادة منه في تحسين الأداء المؤسسي وتحقيق الاستدامة. اعتمدت الدراسة المنهج الوصفي التحليلي من خلال تحليل الأدبيات والنماذج التطبيقية ذات الصلة. وتوصلت النتائج إلى أن نموذج</w:t>
      </w:r>
      <w:r w:rsidRPr="00362D29">
        <w:rPr>
          <w:rFonts w:ascii="Traditional Arabic" w:hAnsi="Traditional Arabic" w:cs="Traditional Arabic"/>
          <w:color w:val="000000" w:themeColor="text1"/>
          <w:sz w:val="24"/>
          <w:szCs w:val="24"/>
        </w:rPr>
        <w:t xml:space="preserve"> EFQM </w:t>
      </w:r>
      <w:r w:rsidRPr="00362D29">
        <w:rPr>
          <w:rFonts w:ascii="Traditional Arabic" w:hAnsi="Traditional Arabic" w:cs="Traditional Arabic"/>
          <w:color w:val="000000" w:themeColor="text1"/>
          <w:sz w:val="24"/>
          <w:szCs w:val="24"/>
          <w:rtl/>
        </w:rPr>
        <w:t xml:space="preserve">يُعد من النماذج الشاملة لقياس الأداء المؤسسي، </w:t>
      </w:r>
      <w:r w:rsidR="00021455" w:rsidRPr="00362D29">
        <w:rPr>
          <w:rFonts w:ascii="Traditional Arabic" w:hAnsi="Traditional Arabic" w:cs="Traditional Arabic"/>
          <w:color w:val="000000" w:themeColor="text1"/>
          <w:sz w:val="24"/>
          <w:szCs w:val="24"/>
          <w:rtl/>
        </w:rPr>
        <w:t xml:space="preserve">كما بينت النتائج ان </w:t>
      </w:r>
      <w:r w:rsidRPr="00362D29">
        <w:rPr>
          <w:rFonts w:ascii="Traditional Arabic" w:hAnsi="Traditional Arabic" w:cs="Traditional Arabic"/>
          <w:color w:val="000000" w:themeColor="text1"/>
          <w:sz w:val="24"/>
          <w:szCs w:val="24"/>
          <w:rtl/>
        </w:rPr>
        <w:t>تطبيقه يسهم في تحسين العمليات وتعزيز ثقافة التحسين المستمر، مع ضرورة مواءمته للبيئة التنظيمية لضمان فاعليته</w:t>
      </w:r>
      <w:r w:rsidRPr="00362D29">
        <w:rPr>
          <w:rFonts w:ascii="Traditional Arabic" w:hAnsi="Traditional Arabic" w:cs="Traditional Arabic"/>
          <w:color w:val="000000" w:themeColor="text1"/>
          <w:sz w:val="24"/>
          <w:szCs w:val="24"/>
        </w:rPr>
        <w:t>.</w:t>
      </w:r>
    </w:p>
    <w:p w14:paraId="7C16EFB7" w14:textId="77777777" w:rsidR="0012486F" w:rsidRPr="00362D29" w:rsidRDefault="00001C83" w:rsidP="00362D29">
      <w:pPr>
        <w:pStyle w:val="ab"/>
        <w:numPr>
          <w:ilvl w:val="0"/>
          <w:numId w:val="11"/>
        </w:numPr>
        <w:bidi/>
        <w:spacing w:line="360" w:lineRule="auto"/>
        <w:jc w:val="both"/>
        <w:rPr>
          <w:rFonts w:ascii="Traditional Arabic" w:hAnsi="Traditional Arabic" w:cs="Traditional Arabic"/>
          <w:b/>
          <w:bCs/>
          <w:color w:val="000000" w:themeColor="text1"/>
          <w:sz w:val="24"/>
          <w:szCs w:val="24"/>
        </w:rPr>
      </w:pPr>
      <w:r w:rsidRPr="00362D29">
        <w:rPr>
          <w:rFonts w:ascii="Traditional Arabic" w:hAnsi="Traditional Arabic" w:cs="Traditional Arabic"/>
          <w:b/>
          <w:bCs/>
          <w:sz w:val="24"/>
          <w:szCs w:val="24"/>
          <w:rtl/>
        </w:rPr>
        <w:lastRenderedPageBreak/>
        <w:t xml:space="preserve">دراسة </w:t>
      </w:r>
      <w:r w:rsidRPr="00362D29">
        <w:rPr>
          <w:rFonts w:ascii="Traditional Arabic" w:hAnsi="Traditional Arabic" w:cs="Traditional Arabic"/>
          <w:b/>
          <w:bCs/>
          <w:sz w:val="24"/>
          <w:szCs w:val="24"/>
        </w:rPr>
        <w:t xml:space="preserve"> (Detwal et al., 2023)</w:t>
      </w:r>
      <w:r w:rsidRPr="00362D29">
        <w:rPr>
          <w:rFonts w:ascii="Traditional Arabic" w:hAnsi="Traditional Arabic" w:cs="Traditional Arabic"/>
          <w:b/>
          <w:bCs/>
          <w:sz w:val="24"/>
          <w:szCs w:val="24"/>
          <w:rtl/>
        </w:rPr>
        <w:t>بعنوان</w:t>
      </w:r>
      <w:r w:rsidRPr="00362D29">
        <w:rPr>
          <w:rFonts w:ascii="Traditional Arabic" w:hAnsi="Traditional Arabic" w:cs="Traditional Arabic"/>
          <w:b/>
          <w:bCs/>
          <w:sz w:val="24"/>
          <w:szCs w:val="24"/>
        </w:rPr>
        <w:t>:</w:t>
      </w:r>
      <w:r w:rsidRPr="00362D29">
        <w:rPr>
          <w:rFonts w:ascii="Traditional Arabic" w:hAnsi="Traditional Arabic" w:cs="Traditional Arabic"/>
          <w:sz w:val="24"/>
          <w:szCs w:val="24"/>
        </w:rPr>
        <w:t xml:space="preserve"> Revolutionizing Healthcare Organizations with" Operational Excellence and Healthcare 4.0: A Systematic Review of the State-of-the-Art Literature"</w:t>
      </w:r>
    </w:p>
    <w:p w14:paraId="134A652A" w14:textId="20D73B9E" w:rsidR="00001C83" w:rsidRPr="00362D29" w:rsidRDefault="00001C83" w:rsidP="00362D29">
      <w:pPr>
        <w:pStyle w:val="ab"/>
        <w:numPr>
          <w:ilvl w:val="0"/>
          <w:numId w:val="15"/>
        </w:numPr>
        <w:bidi/>
        <w:spacing w:line="360" w:lineRule="auto"/>
        <w:jc w:val="both"/>
        <w:rPr>
          <w:rFonts w:ascii="Traditional Arabic" w:hAnsi="Traditional Arabic" w:cs="Traditional Arabic"/>
          <w:b/>
          <w:bCs/>
          <w:color w:val="000000" w:themeColor="text1"/>
          <w:sz w:val="24"/>
          <w:szCs w:val="24"/>
        </w:rPr>
      </w:pPr>
      <w:r w:rsidRPr="00362D29">
        <w:rPr>
          <w:rFonts w:ascii="Traditional Arabic" w:hAnsi="Traditional Arabic" w:cs="Traditional Arabic"/>
          <w:sz w:val="24"/>
          <w:szCs w:val="24"/>
          <w:rtl/>
        </w:rPr>
        <w:t>هدفت الدراسة إلى تحليل الحالة الراهنة للبحوث المتعلقة بالتكامل بين التميز التشغيلي</w:t>
      </w:r>
      <w:r w:rsidRPr="00362D29">
        <w:rPr>
          <w:rFonts w:ascii="Traditional Arabic" w:hAnsi="Traditional Arabic" w:cs="Traditional Arabic"/>
          <w:sz w:val="24"/>
          <w:szCs w:val="24"/>
        </w:rPr>
        <w:t xml:space="preserve"> (Operational Excellence) </w:t>
      </w:r>
      <w:r w:rsidRPr="00362D29">
        <w:rPr>
          <w:rFonts w:ascii="Traditional Arabic" w:hAnsi="Traditional Arabic" w:cs="Traditional Arabic"/>
          <w:sz w:val="24"/>
          <w:szCs w:val="24"/>
          <w:rtl/>
        </w:rPr>
        <w:t>وتقنيات الرعاية الصحية 4.0</w:t>
      </w:r>
      <w:r w:rsidRPr="00362D29">
        <w:rPr>
          <w:rFonts w:ascii="Traditional Arabic" w:hAnsi="Traditional Arabic" w:cs="Traditional Arabic"/>
          <w:sz w:val="24"/>
          <w:szCs w:val="24"/>
        </w:rPr>
        <w:t xml:space="preserve"> (Healthcare 4.0) </w:t>
      </w:r>
      <w:r w:rsidRPr="00362D29">
        <w:rPr>
          <w:rFonts w:ascii="Traditional Arabic" w:hAnsi="Traditional Arabic" w:cs="Traditional Arabic"/>
          <w:sz w:val="24"/>
          <w:szCs w:val="24"/>
          <w:rtl/>
        </w:rPr>
        <w:t xml:space="preserve">داخل المنظمات الصحية، كما استهدفت ايضا تحديد الاتجاهات البحثية والفجوات المعرفية واقتراح إطار نظري يفسّر أثر هذا التكامل على أداء المنظمات الصحية. اعتمدت الدراسة </w:t>
      </w:r>
      <w:r w:rsidRPr="00362D29">
        <w:rPr>
          <w:rFonts w:ascii="Traditional Arabic" w:hAnsi="Traditional Arabic" w:cs="Traditional Arabic"/>
          <w:b/>
          <w:bCs/>
          <w:sz w:val="24"/>
          <w:szCs w:val="24"/>
          <w:rtl/>
        </w:rPr>
        <w:t>منهج المراجعة المنهجية للأدبيات</w:t>
      </w:r>
      <w:r w:rsidRPr="00362D29">
        <w:rPr>
          <w:rFonts w:ascii="Traditional Arabic" w:hAnsi="Traditional Arabic" w:cs="Traditional Arabic"/>
          <w:b/>
          <w:bCs/>
          <w:sz w:val="24"/>
          <w:szCs w:val="24"/>
        </w:rPr>
        <w:t xml:space="preserve"> (Systematic Literature Review)</w:t>
      </w:r>
      <w:r w:rsidRPr="00362D29">
        <w:rPr>
          <w:rFonts w:ascii="Traditional Arabic" w:hAnsi="Traditional Arabic" w:cs="Traditional Arabic"/>
          <w:sz w:val="24"/>
          <w:szCs w:val="24"/>
        </w:rPr>
        <w:t xml:space="preserve"> </w:t>
      </w:r>
      <w:r w:rsidRPr="00362D29">
        <w:rPr>
          <w:rFonts w:ascii="Traditional Arabic" w:hAnsi="Traditional Arabic" w:cs="Traditional Arabic"/>
          <w:sz w:val="24"/>
          <w:szCs w:val="24"/>
          <w:rtl/>
        </w:rPr>
        <w:t xml:space="preserve"> مدعومة بتحليل ببليومتري وصفي وتحليل محتوى عنقودي</w:t>
      </w:r>
      <w:r w:rsidRPr="00362D29">
        <w:rPr>
          <w:rFonts w:ascii="Traditional Arabic" w:hAnsi="Traditional Arabic" w:cs="Traditional Arabic"/>
          <w:sz w:val="24"/>
          <w:szCs w:val="24"/>
        </w:rPr>
        <w:t xml:space="preserve"> (Cluster-based Content Analysis). </w:t>
      </w:r>
      <w:r w:rsidRPr="00362D29">
        <w:rPr>
          <w:rFonts w:ascii="Traditional Arabic" w:hAnsi="Traditional Arabic" w:cs="Traditional Arabic"/>
          <w:sz w:val="24"/>
          <w:szCs w:val="24"/>
          <w:rtl/>
        </w:rPr>
        <w:t xml:space="preserve"> تمثل </w:t>
      </w:r>
      <w:r w:rsidRPr="00362D29">
        <w:rPr>
          <w:rFonts w:ascii="Traditional Arabic" w:hAnsi="Traditional Arabic" w:cs="Traditional Arabic"/>
          <w:b/>
          <w:bCs/>
          <w:sz w:val="24"/>
          <w:szCs w:val="24"/>
          <w:rtl/>
        </w:rPr>
        <w:t>مجتمع الدراسة</w:t>
      </w:r>
      <w:r w:rsidRPr="00362D29">
        <w:rPr>
          <w:rFonts w:ascii="Traditional Arabic" w:hAnsi="Traditional Arabic" w:cs="Traditional Arabic"/>
          <w:sz w:val="24"/>
          <w:szCs w:val="24"/>
          <w:rtl/>
        </w:rPr>
        <w:t xml:space="preserve"> في جميع الدراسات المنشورة في قاعدة بيانات</w:t>
      </w:r>
      <w:r w:rsidRPr="00362D29">
        <w:rPr>
          <w:rFonts w:ascii="Traditional Arabic" w:hAnsi="Traditional Arabic" w:cs="Traditional Arabic"/>
          <w:sz w:val="24"/>
          <w:szCs w:val="24"/>
        </w:rPr>
        <w:t xml:space="preserve"> Scopus </w:t>
      </w:r>
      <w:r w:rsidRPr="00362D29">
        <w:rPr>
          <w:rFonts w:ascii="Traditional Arabic" w:hAnsi="Traditional Arabic" w:cs="Traditional Arabic"/>
          <w:sz w:val="24"/>
          <w:szCs w:val="24"/>
          <w:rtl/>
        </w:rPr>
        <w:t xml:space="preserve">خلال الفترة (2011–2022)، حيث أسفر البحث الأولي عن (621) وثيقة. وبعد تطبيق معايير الاستبعاد المتعلقة بنوع الوثيقة والفترة الزمنية ومراجعة الملخصات، تم الوصول إلى </w:t>
      </w:r>
      <w:r w:rsidRPr="00362D29">
        <w:rPr>
          <w:rFonts w:ascii="Traditional Arabic" w:hAnsi="Traditional Arabic" w:cs="Traditional Arabic"/>
          <w:b/>
          <w:bCs/>
          <w:sz w:val="24"/>
          <w:szCs w:val="24"/>
          <w:rtl/>
        </w:rPr>
        <w:t>عينة نهائية بلغت (102) دراسة</w:t>
      </w:r>
      <w:r w:rsidRPr="00362D29">
        <w:rPr>
          <w:rFonts w:ascii="Traditional Arabic" w:hAnsi="Traditional Arabic" w:cs="Traditional Arabic"/>
          <w:sz w:val="24"/>
          <w:szCs w:val="24"/>
          <w:rtl/>
        </w:rPr>
        <w:t xml:space="preserve"> خضعت للتحليل المنهجي. وأظهرت النتائج نقطتين أساسيتين</w:t>
      </w:r>
      <w:r w:rsidRPr="00362D29">
        <w:rPr>
          <w:rFonts w:ascii="Traditional Arabic" w:hAnsi="Traditional Arabic" w:cs="Traditional Arabic"/>
          <w:sz w:val="24"/>
          <w:szCs w:val="24"/>
        </w:rPr>
        <w:t xml:space="preserve">: </w:t>
      </w:r>
      <w:r w:rsidRPr="00362D29">
        <w:rPr>
          <w:rFonts w:ascii="Traditional Arabic" w:hAnsi="Traditional Arabic" w:cs="Traditional Arabic"/>
          <w:b/>
          <w:bCs/>
          <w:sz w:val="24"/>
          <w:szCs w:val="24"/>
          <w:rtl/>
        </w:rPr>
        <w:t>أولًا</w:t>
      </w:r>
      <w:r w:rsidRPr="00362D29">
        <w:rPr>
          <w:rFonts w:ascii="Traditional Arabic" w:hAnsi="Traditional Arabic" w:cs="Traditional Arabic"/>
          <w:sz w:val="24"/>
          <w:szCs w:val="24"/>
          <w:rtl/>
        </w:rPr>
        <w:t xml:space="preserve"> وجود نمو ملحوظ في الاهتمام البحثي بدمج أدوات التميز التشغيلي</w:t>
      </w:r>
      <w:r w:rsidRPr="00362D29">
        <w:rPr>
          <w:rFonts w:ascii="Traditional Arabic" w:hAnsi="Traditional Arabic" w:cs="Traditional Arabic"/>
          <w:sz w:val="24"/>
          <w:szCs w:val="24"/>
        </w:rPr>
        <w:t xml:space="preserve"> (</w:t>
      </w:r>
      <w:r w:rsidRPr="00362D29">
        <w:rPr>
          <w:rFonts w:ascii="Traditional Arabic" w:hAnsi="Traditional Arabic" w:cs="Traditional Arabic"/>
          <w:sz w:val="24"/>
          <w:szCs w:val="24"/>
          <w:rtl/>
        </w:rPr>
        <w:t>مثل</w:t>
      </w:r>
      <w:r w:rsidRPr="00362D29">
        <w:rPr>
          <w:rFonts w:ascii="Traditional Arabic" w:hAnsi="Traditional Arabic" w:cs="Traditional Arabic"/>
          <w:sz w:val="24"/>
          <w:szCs w:val="24"/>
        </w:rPr>
        <w:t xml:space="preserve"> Lean Six Sigma) </w:t>
      </w:r>
      <w:r w:rsidRPr="00362D29">
        <w:rPr>
          <w:rFonts w:ascii="Traditional Arabic" w:hAnsi="Traditional Arabic" w:cs="Traditional Arabic"/>
          <w:sz w:val="24"/>
          <w:szCs w:val="24"/>
          <w:rtl/>
        </w:rPr>
        <w:t>مع تقنيات</w:t>
      </w:r>
      <w:r w:rsidRPr="00362D29">
        <w:rPr>
          <w:rFonts w:ascii="Traditional Arabic" w:hAnsi="Traditional Arabic" w:cs="Traditional Arabic"/>
          <w:sz w:val="24"/>
          <w:szCs w:val="24"/>
        </w:rPr>
        <w:t xml:space="preserve"> Healthcare 4.0 </w:t>
      </w:r>
      <w:r w:rsidRPr="00362D29">
        <w:rPr>
          <w:rFonts w:ascii="Traditional Arabic" w:hAnsi="Traditional Arabic" w:cs="Traditional Arabic"/>
          <w:sz w:val="24"/>
          <w:szCs w:val="24"/>
          <w:rtl/>
        </w:rPr>
        <w:t>(كالذكاء الاصطناعي وتحليلات البيانات الضخمة) لتحسين كفاءة الأداء وتقليل الأخطاء وتحسين نتائج المرضى</w:t>
      </w:r>
      <w:r w:rsidRPr="00362D29">
        <w:rPr>
          <w:rFonts w:ascii="Traditional Arabic" w:hAnsi="Traditional Arabic" w:cs="Traditional Arabic"/>
          <w:sz w:val="24"/>
          <w:szCs w:val="24"/>
        </w:rPr>
        <w:t xml:space="preserve">. </w:t>
      </w:r>
      <w:r w:rsidRPr="00362D29">
        <w:rPr>
          <w:rFonts w:ascii="Traditional Arabic" w:hAnsi="Traditional Arabic" w:cs="Traditional Arabic"/>
          <w:b/>
          <w:bCs/>
          <w:sz w:val="24"/>
          <w:szCs w:val="24"/>
          <w:rtl/>
        </w:rPr>
        <w:t>ثانيًا</w:t>
      </w:r>
      <w:r w:rsidRPr="00362D29">
        <w:rPr>
          <w:rFonts w:ascii="Traditional Arabic" w:hAnsi="Traditional Arabic" w:cs="Traditional Arabic"/>
          <w:sz w:val="24"/>
          <w:szCs w:val="24"/>
          <w:rtl/>
        </w:rPr>
        <w:t xml:space="preserve"> توصلت الدراسة إلى تطوير إطار مفاهيمي قائم على أربعة محاور رئيسية</w:t>
      </w:r>
      <w:r w:rsidRPr="00362D29">
        <w:rPr>
          <w:rFonts w:ascii="Traditional Arabic" w:hAnsi="Traditional Arabic" w:cs="Traditional Arabic"/>
          <w:sz w:val="24"/>
          <w:szCs w:val="24"/>
        </w:rPr>
        <w:t xml:space="preserve"> (</w:t>
      </w:r>
      <w:r w:rsidRPr="00362D29">
        <w:rPr>
          <w:rFonts w:ascii="Traditional Arabic" w:hAnsi="Traditional Arabic" w:cs="Traditional Arabic"/>
          <w:sz w:val="24"/>
          <w:szCs w:val="24"/>
          <w:rtl/>
        </w:rPr>
        <w:t>تحديات القطاع الصحي، أدوات التميز التشغيلي، تقنيات</w:t>
      </w:r>
      <w:r w:rsidRPr="00362D29">
        <w:rPr>
          <w:rFonts w:ascii="Traditional Arabic" w:hAnsi="Traditional Arabic" w:cs="Traditional Arabic"/>
          <w:sz w:val="24"/>
          <w:szCs w:val="24"/>
        </w:rPr>
        <w:t xml:space="preserve"> Healthcare 4.0</w:t>
      </w:r>
      <w:r w:rsidRPr="00362D29">
        <w:rPr>
          <w:rFonts w:ascii="Traditional Arabic" w:hAnsi="Traditional Arabic" w:cs="Traditional Arabic"/>
          <w:sz w:val="24"/>
          <w:szCs w:val="24"/>
          <w:rtl/>
        </w:rPr>
        <w:t>، ومخرجات التنفيذ</w:t>
      </w:r>
      <w:r w:rsidRPr="00362D29">
        <w:rPr>
          <w:rFonts w:ascii="Traditional Arabic" w:hAnsi="Traditional Arabic" w:cs="Traditional Arabic"/>
          <w:sz w:val="24"/>
          <w:szCs w:val="24"/>
        </w:rPr>
        <w:t xml:space="preserve">) </w:t>
      </w:r>
      <w:r w:rsidRPr="00362D29">
        <w:rPr>
          <w:rFonts w:ascii="Traditional Arabic" w:hAnsi="Traditional Arabic" w:cs="Traditional Arabic"/>
          <w:sz w:val="24"/>
          <w:szCs w:val="24"/>
          <w:rtl/>
        </w:rPr>
        <w:t>مع تحديد فجوات بحثية مستقبلية، خاصة فيما يتعلق بتطبيق النماذج التنبؤية المعتمدة على الذكاء الاصطناعي وتحسين تجربة المريض من خلال التصميم المرتكز على الإنسان</w:t>
      </w:r>
      <w:r w:rsidRPr="00362D29">
        <w:rPr>
          <w:rFonts w:ascii="Traditional Arabic" w:hAnsi="Traditional Arabic" w:cs="Traditional Arabic"/>
          <w:sz w:val="24"/>
          <w:szCs w:val="24"/>
        </w:rPr>
        <w:t>.</w:t>
      </w:r>
    </w:p>
    <w:p w14:paraId="65284731" w14:textId="0BE2B51A" w:rsidR="0008541F" w:rsidRPr="00362D29" w:rsidRDefault="0008541F" w:rsidP="00362D29">
      <w:pPr>
        <w:pStyle w:val="ab"/>
        <w:numPr>
          <w:ilvl w:val="0"/>
          <w:numId w:val="11"/>
        </w:numPr>
        <w:bidi/>
        <w:spacing w:line="360" w:lineRule="auto"/>
        <w:jc w:val="both"/>
        <w:rPr>
          <w:rFonts w:ascii="Traditional Arabic" w:hAnsi="Traditional Arabic" w:cs="Traditional Arabic"/>
          <w:b/>
          <w:bCs/>
          <w:color w:val="000000" w:themeColor="text1"/>
          <w:sz w:val="24"/>
          <w:szCs w:val="24"/>
        </w:rPr>
      </w:pPr>
      <w:r w:rsidRPr="00362D29">
        <w:rPr>
          <w:rFonts w:ascii="Traditional Arabic" w:hAnsi="Traditional Arabic" w:cs="Traditional Arabic"/>
          <w:b/>
          <w:bCs/>
          <w:color w:val="000000" w:themeColor="text1"/>
          <w:sz w:val="24"/>
          <w:szCs w:val="24"/>
          <w:rtl/>
        </w:rPr>
        <w:t>دراسة (</w:t>
      </w:r>
      <w:r w:rsidRPr="00362D29">
        <w:rPr>
          <w:rFonts w:ascii="Traditional Arabic" w:hAnsi="Traditional Arabic" w:cs="Traditional Arabic"/>
          <w:b/>
          <w:bCs/>
          <w:color w:val="000000" w:themeColor="text1"/>
          <w:sz w:val="24"/>
          <w:szCs w:val="24"/>
        </w:rPr>
        <w:t>Salih &amp; Dolah, 2023</w:t>
      </w:r>
      <w:r w:rsidRPr="00362D29">
        <w:rPr>
          <w:rFonts w:ascii="Traditional Arabic" w:hAnsi="Traditional Arabic" w:cs="Traditional Arabic"/>
          <w:b/>
          <w:bCs/>
          <w:color w:val="000000" w:themeColor="text1"/>
          <w:sz w:val="24"/>
          <w:szCs w:val="24"/>
          <w:rtl/>
        </w:rPr>
        <w:t>) بعنوان</w:t>
      </w:r>
      <w:r w:rsidR="00704A9A" w:rsidRPr="00362D29">
        <w:rPr>
          <w:rFonts w:ascii="Traditional Arabic" w:hAnsi="Traditional Arabic" w:cs="Traditional Arabic"/>
          <w:b/>
          <w:bCs/>
          <w:color w:val="000000" w:themeColor="text1"/>
          <w:sz w:val="24"/>
          <w:szCs w:val="24"/>
          <w:rtl/>
        </w:rPr>
        <w:t>"</w:t>
      </w:r>
      <w:r w:rsidRPr="00362D29">
        <w:rPr>
          <w:rFonts w:ascii="Traditional Arabic" w:hAnsi="Traditional Arabic" w:cs="Traditional Arabic"/>
          <w:b/>
          <w:bCs/>
          <w:color w:val="000000" w:themeColor="text1"/>
          <w:sz w:val="24"/>
          <w:szCs w:val="24"/>
        </w:rPr>
        <w:t>Implementing business excellence models in Saudi nonprofit organizations and the impact of human resources availability</w:t>
      </w:r>
      <w:r w:rsidRPr="00362D29">
        <w:rPr>
          <w:rFonts w:ascii="Traditional Arabic" w:hAnsi="Traditional Arabic" w:cs="Traditional Arabic"/>
          <w:b/>
          <w:bCs/>
          <w:color w:val="000000" w:themeColor="text1"/>
          <w:sz w:val="24"/>
          <w:szCs w:val="24"/>
          <w:rtl/>
        </w:rPr>
        <w:t>"</w:t>
      </w:r>
    </w:p>
    <w:p w14:paraId="6520FF06" w14:textId="392CA7C9" w:rsidR="0008541F" w:rsidRPr="00362D29" w:rsidRDefault="0008541F" w:rsidP="00362D29">
      <w:pPr>
        <w:pStyle w:val="ab"/>
        <w:numPr>
          <w:ilvl w:val="0"/>
          <w:numId w:val="15"/>
        </w:numPr>
        <w:bidi/>
        <w:spacing w:line="360" w:lineRule="auto"/>
        <w:jc w:val="both"/>
        <w:rPr>
          <w:rFonts w:ascii="Traditional Arabic" w:hAnsi="Traditional Arabic" w:cs="Traditional Arabic"/>
          <w:b/>
          <w:bCs/>
          <w:color w:val="000000" w:themeColor="text1"/>
          <w:sz w:val="24"/>
          <w:szCs w:val="24"/>
        </w:rPr>
      </w:pPr>
      <w:r w:rsidRPr="00362D29">
        <w:rPr>
          <w:rFonts w:ascii="Traditional Arabic" w:hAnsi="Traditional Arabic" w:cs="Traditional Arabic"/>
          <w:color w:val="000000" w:themeColor="text1"/>
          <w:sz w:val="24"/>
          <w:szCs w:val="24"/>
          <w:rtl/>
        </w:rPr>
        <w:t>هدفت الدراسة إلى تحديد وترتيب عوامل النجاح الحرجة والمعوقات الرئيسة لتطبيق نماذج التميز المؤسسي (</w:t>
      </w:r>
      <w:r w:rsidRPr="00362D29">
        <w:rPr>
          <w:rFonts w:ascii="Traditional Arabic" w:hAnsi="Traditional Arabic" w:cs="Traditional Arabic"/>
          <w:color w:val="000000" w:themeColor="text1"/>
          <w:sz w:val="24"/>
          <w:szCs w:val="24"/>
        </w:rPr>
        <w:t>Business Excellence Models - BEMs</w:t>
      </w:r>
      <w:r w:rsidRPr="00362D29">
        <w:rPr>
          <w:rFonts w:ascii="Traditional Arabic" w:hAnsi="Traditional Arabic" w:cs="Traditional Arabic"/>
          <w:color w:val="000000" w:themeColor="text1"/>
          <w:sz w:val="24"/>
          <w:szCs w:val="24"/>
          <w:rtl/>
        </w:rPr>
        <w:t xml:space="preserve">) في المنظمات غير الربحية بالمملكة العربية السعودية، كما سعت إلى تحليل أثر توافر الموارد البشرية – مقاسة بعدد الموظفين بدوام كامل – على نجاح أو فشل تطبيق تلك </w:t>
      </w:r>
      <w:r w:rsidR="00021455" w:rsidRPr="00362D29">
        <w:rPr>
          <w:rFonts w:ascii="Traditional Arabic" w:hAnsi="Traditional Arabic" w:cs="Traditional Arabic"/>
          <w:color w:val="000000" w:themeColor="text1"/>
          <w:sz w:val="24"/>
          <w:szCs w:val="24"/>
          <w:rtl/>
        </w:rPr>
        <w:t>النماذج. اعتمدت</w:t>
      </w:r>
      <w:r w:rsidRPr="00362D29">
        <w:rPr>
          <w:rFonts w:ascii="Traditional Arabic" w:hAnsi="Traditional Arabic" w:cs="Traditional Arabic"/>
          <w:color w:val="000000" w:themeColor="text1"/>
          <w:sz w:val="24"/>
          <w:szCs w:val="24"/>
          <w:rtl/>
        </w:rPr>
        <w:t xml:space="preserve"> الدراسة المنهج الوصفي التحليلي باستخدام أداة الاستبانة، حيث تم تطوير استبانة استنادًا إلى الأدبيات السابقة، وتضمنت (36) عامل نجاح و(15) معوقًا للتطبيق. تم تحليل البيانات باستخدام التحليل العاملي واختبار كروسكال–والِس (</w:t>
      </w:r>
      <w:r w:rsidRPr="00362D29">
        <w:rPr>
          <w:rFonts w:ascii="Traditional Arabic" w:hAnsi="Traditional Arabic" w:cs="Traditional Arabic"/>
          <w:color w:val="000000" w:themeColor="text1"/>
          <w:sz w:val="24"/>
          <w:szCs w:val="24"/>
        </w:rPr>
        <w:t>Kruskal–Wallis</w:t>
      </w:r>
      <w:r w:rsidRPr="00362D29">
        <w:rPr>
          <w:rFonts w:ascii="Traditional Arabic" w:hAnsi="Traditional Arabic" w:cs="Traditional Arabic"/>
          <w:color w:val="000000" w:themeColor="text1"/>
          <w:sz w:val="24"/>
          <w:szCs w:val="24"/>
          <w:rtl/>
        </w:rPr>
        <w:t xml:space="preserve">) لقياس الفروق بين </w:t>
      </w:r>
      <w:r w:rsidR="00021455" w:rsidRPr="00362D29">
        <w:rPr>
          <w:rFonts w:ascii="Traditional Arabic" w:hAnsi="Traditional Arabic" w:cs="Traditional Arabic"/>
          <w:color w:val="000000" w:themeColor="text1"/>
          <w:sz w:val="24"/>
          <w:szCs w:val="24"/>
          <w:rtl/>
        </w:rPr>
        <w:t>المجموعات. تكوّن</w:t>
      </w:r>
      <w:r w:rsidRPr="00362D29">
        <w:rPr>
          <w:rFonts w:ascii="Traditional Arabic" w:hAnsi="Traditional Arabic" w:cs="Traditional Arabic"/>
          <w:color w:val="000000" w:themeColor="text1"/>
          <w:sz w:val="24"/>
          <w:szCs w:val="24"/>
          <w:rtl/>
        </w:rPr>
        <w:t xml:space="preserve"> مجتمع الدراسة من (696) منظمة غير ربحية أمكن الوصول إليها إلكترونيًا من أصل أكثر من (1,600) </w:t>
      </w:r>
      <w:r w:rsidRPr="00362D29">
        <w:rPr>
          <w:rFonts w:ascii="Traditional Arabic" w:hAnsi="Traditional Arabic" w:cs="Traditional Arabic"/>
          <w:color w:val="000000" w:themeColor="text1"/>
          <w:sz w:val="24"/>
          <w:szCs w:val="24"/>
          <w:rtl/>
        </w:rPr>
        <w:lastRenderedPageBreak/>
        <w:t xml:space="preserve">منظمة في المملكة، وبلغت العينة النهائية بعد تنقية الاستجابات (138) منظمة، بنسبة استجابة بلغت (19.8%). وأظهرت النتائج أن (93) منظمة (67%) تُصنّف كمنظمات صغيرة جدًا (1–9 موظفين بدوام كامل)، بينما أفادت (47) منظمة فقط (34.1%) بأنها طبّقت مبادرات تميز خلال الاثني عشر شهرًا السابقة للدراسة. أظهرت النتائج أن أكثر عوامل النجاح تأثيرًا تمثلت في: قدرات تحليل البيانات وإعداد التقارير، وفعالية الاتصال التنظيمي، ووضوح استراتيجية ومنهجية التنفيذ، واستخدام المقارنة المرجعية، وتبنّي إطار حوكمة واضح. في المقابل، تمثلت أبرز المعوقات في غياب ثقافة التحسين المستمر، وضعف الاستراتيجية التنظيمية، ونقص الموظفين المؤهلين، وضعف التوجه نحو العميل، وعدم، وضوح الأدوار ،والمسؤوليات. كما كشفت الدراسة أن عدد الموظفين بدوام كامل لا يُعد عاملًا حاسمًا في نجاح تطبيق النموذج، باستثناء تأثير محدود فيما يتعلق بضعف الموارد المالية في المنظمات الصغيرة جدًا. </w:t>
      </w:r>
    </w:p>
    <w:p w14:paraId="34EDBB36" w14:textId="51B7EC43" w:rsidR="00422FE6" w:rsidRPr="00362D29" w:rsidRDefault="00422FE6" w:rsidP="00362D29">
      <w:pPr>
        <w:pStyle w:val="ab"/>
        <w:numPr>
          <w:ilvl w:val="0"/>
          <w:numId w:val="11"/>
        </w:num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b/>
          <w:bCs/>
          <w:color w:val="000000" w:themeColor="text1"/>
          <w:sz w:val="24"/>
          <w:szCs w:val="24"/>
          <w:rtl/>
        </w:rPr>
        <w:t>دراسة</w:t>
      </w:r>
      <w:r w:rsidR="000A3F3B" w:rsidRPr="00362D29">
        <w:rPr>
          <w:rFonts w:ascii="Traditional Arabic" w:hAnsi="Traditional Arabic" w:cs="Traditional Arabic"/>
          <w:b/>
          <w:bCs/>
          <w:color w:val="000000" w:themeColor="text1"/>
          <w:sz w:val="24"/>
          <w:szCs w:val="24"/>
        </w:rPr>
        <w:t>(Adish, Alikhan Gorgani &amp; KiaKojouri, 2023</w:t>
      </w:r>
      <w:r w:rsidR="00FB549B" w:rsidRPr="00362D29">
        <w:rPr>
          <w:rFonts w:ascii="Traditional Arabic" w:hAnsi="Traditional Arabic" w:cs="Traditional Arabic"/>
          <w:b/>
          <w:bCs/>
          <w:color w:val="000000" w:themeColor="text1"/>
          <w:sz w:val="24"/>
          <w:szCs w:val="24"/>
        </w:rPr>
        <w:t xml:space="preserve">) </w:t>
      </w:r>
      <w:r w:rsidR="00FB549B" w:rsidRPr="00362D29">
        <w:rPr>
          <w:rFonts w:ascii="Traditional Arabic" w:hAnsi="Traditional Arabic" w:cs="Traditional Arabic"/>
          <w:b/>
          <w:bCs/>
          <w:color w:val="000000" w:themeColor="text1"/>
          <w:sz w:val="24"/>
          <w:szCs w:val="24"/>
          <w:rtl/>
        </w:rPr>
        <w:t>بعنوان</w:t>
      </w:r>
      <w:r w:rsidR="000A3F3B" w:rsidRPr="00362D29">
        <w:rPr>
          <w:rFonts w:ascii="Traditional Arabic" w:hAnsi="Traditional Arabic" w:cs="Traditional Arabic"/>
          <w:b/>
          <w:bCs/>
          <w:color w:val="000000" w:themeColor="text1"/>
          <w:sz w:val="24"/>
          <w:szCs w:val="24"/>
          <w:rtl/>
        </w:rPr>
        <w:t xml:space="preserve"> </w:t>
      </w:r>
      <w:r w:rsidR="000A3F3B" w:rsidRPr="00362D29">
        <w:rPr>
          <w:rFonts w:ascii="Traditional Arabic" w:hAnsi="Traditional Arabic" w:cs="Traditional Arabic"/>
          <w:b/>
          <w:bCs/>
          <w:i/>
          <w:iCs/>
          <w:color w:val="000000" w:themeColor="text1"/>
          <w:sz w:val="24"/>
          <w:szCs w:val="24"/>
        </w:rPr>
        <w:t>"</w:t>
      </w:r>
      <w:r w:rsidR="000A3F3B" w:rsidRPr="00362D29">
        <w:rPr>
          <w:rFonts w:ascii="Traditional Arabic" w:hAnsi="Traditional Arabic" w:cs="Traditional Arabic"/>
          <w:b/>
          <w:bCs/>
          <w:color w:val="000000" w:themeColor="text1"/>
          <w:sz w:val="24"/>
          <w:szCs w:val="24"/>
        </w:rPr>
        <w:t xml:space="preserve">Organizational Excellence Status of Iranian Hospitals with Emphasis on EFQM Model: A Meta-Analysis Study" </w:t>
      </w:r>
    </w:p>
    <w:p w14:paraId="67712EFD" w14:textId="60A7A330" w:rsidR="000A3F3B" w:rsidRPr="00362D29" w:rsidRDefault="000A3F3B" w:rsidP="00362D29">
      <w:pPr>
        <w:pStyle w:val="ab"/>
        <w:numPr>
          <w:ilvl w:val="0"/>
          <w:numId w:val="15"/>
        </w:num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 xml:space="preserve">هدفت هذه الدراسة إلى استعراض وتحليل حالة التميز المؤسسي في المستشفيات الإيرانية من خلال تطبيق نموذج </w:t>
      </w:r>
      <w:r w:rsidRPr="00362D29">
        <w:rPr>
          <w:rFonts w:ascii="Traditional Arabic" w:hAnsi="Traditional Arabic" w:cs="Traditional Arabic"/>
          <w:color w:val="000000" w:themeColor="text1"/>
          <w:sz w:val="24"/>
          <w:szCs w:val="24"/>
        </w:rPr>
        <w:t xml:space="preserve">EFQM </w:t>
      </w:r>
      <w:r w:rsidRPr="00362D29">
        <w:rPr>
          <w:rFonts w:ascii="Traditional Arabic" w:hAnsi="Traditional Arabic" w:cs="Traditional Arabic"/>
          <w:color w:val="000000" w:themeColor="text1"/>
          <w:sz w:val="24"/>
          <w:szCs w:val="24"/>
          <w:rtl/>
        </w:rPr>
        <w:t>كنموذج لتميز المنظمات، وتحديد مستويات التميز في أبعاد الممكنات والنتائج داخل بيئة الرعاية الصحية. وقد استخدمت الدراسة منهج التحليل الميتا التحليلي</w:t>
      </w:r>
      <w:r w:rsidRPr="00362D29">
        <w:rPr>
          <w:rFonts w:ascii="Traditional Arabic" w:hAnsi="Traditional Arabic" w:cs="Traditional Arabic"/>
          <w:color w:val="000000" w:themeColor="text1"/>
          <w:sz w:val="24"/>
          <w:szCs w:val="24"/>
        </w:rPr>
        <w:t xml:space="preserve"> (Meta-Analysis) </w:t>
      </w:r>
      <w:r w:rsidRPr="00362D29">
        <w:rPr>
          <w:rFonts w:ascii="Traditional Arabic" w:hAnsi="Traditional Arabic" w:cs="Traditional Arabic"/>
          <w:color w:val="000000" w:themeColor="text1"/>
          <w:sz w:val="24"/>
          <w:szCs w:val="24"/>
          <w:rtl/>
        </w:rPr>
        <w:t xml:space="preserve">لتحليل نتائج الدراسات المنشورة المتعلقة بتطبيق نموذج التميز في مؤسسات الرعاية الصحية، حيث تم جمع وتحليل المقالات المنشورة خلال السنوات الماضية في قواعد بيانات متعددة، مع تقييم النتائج الإحصائية لقياسات التميز المؤسسي. وقد مثل مجتمع الدراسة الأدبيات المنشورة حول التميز المؤسسي في المستشفيات الإيرانية، وتكوّنت العينة النهائية من </w:t>
      </w:r>
      <w:r w:rsidR="00515862" w:rsidRPr="00362D29">
        <w:rPr>
          <w:rFonts w:ascii="Traditional Arabic" w:hAnsi="Traditional Arabic" w:cs="Traditional Arabic"/>
          <w:color w:val="000000" w:themeColor="text1"/>
          <w:sz w:val="24"/>
          <w:szCs w:val="24"/>
          <w:rtl/>
        </w:rPr>
        <w:t>14</w:t>
      </w:r>
      <w:r w:rsidRPr="00362D29">
        <w:rPr>
          <w:rFonts w:ascii="Traditional Arabic" w:hAnsi="Traditional Arabic" w:cs="Traditional Arabic"/>
          <w:color w:val="000000" w:themeColor="text1"/>
          <w:sz w:val="24"/>
          <w:szCs w:val="24"/>
        </w:rPr>
        <w:t xml:space="preserve"> </w:t>
      </w:r>
      <w:r w:rsidRPr="00362D29">
        <w:rPr>
          <w:rFonts w:ascii="Traditional Arabic" w:hAnsi="Traditional Arabic" w:cs="Traditional Arabic"/>
          <w:color w:val="000000" w:themeColor="text1"/>
          <w:sz w:val="24"/>
          <w:szCs w:val="24"/>
          <w:rtl/>
        </w:rPr>
        <w:t>دراسة شملت تقييمات كمية ونوعية لأبعاد التميز المؤسسي، وتم تحليلها باستخدام برامج إحصائية متخصصة ضمن منهجية</w:t>
      </w:r>
      <w:r w:rsidRPr="00362D29">
        <w:rPr>
          <w:rFonts w:ascii="Traditional Arabic" w:hAnsi="Traditional Arabic" w:cs="Traditional Arabic"/>
          <w:color w:val="000000" w:themeColor="text1"/>
          <w:sz w:val="24"/>
          <w:szCs w:val="24"/>
        </w:rPr>
        <w:t xml:space="preserve"> Metafor </w:t>
      </w:r>
      <w:r w:rsidRPr="00362D29">
        <w:rPr>
          <w:rFonts w:ascii="Traditional Arabic" w:hAnsi="Traditional Arabic" w:cs="Traditional Arabic"/>
          <w:color w:val="000000" w:themeColor="text1"/>
          <w:sz w:val="24"/>
          <w:szCs w:val="24"/>
          <w:rtl/>
        </w:rPr>
        <w:t>و</w:t>
      </w:r>
      <w:r w:rsidRPr="00362D29">
        <w:rPr>
          <w:rFonts w:ascii="Traditional Arabic" w:hAnsi="Traditional Arabic" w:cs="Traditional Arabic"/>
          <w:color w:val="000000" w:themeColor="text1"/>
          <w:sz w:val="24"/>
          <w:szCs w:val="24"/>
        </w:rPr>
        <w:t xml:space="preserve">Meta </w:t>
      </w:r>
      <w:r w:rsidRPr="00362D29">
        <w:rPr>
          <w:rFonts w:ascii="Traditional Arabic" w:hAnsi="Traditional Arabic" w:cs="Traditional Arabic"/>
          <w:color w:val="000000" w:themeColor="text1"/>
          <w:sz w:val="24"/>
          <w:szCs w:val="24"/>
          <w:rtl/>
        </w:rPr>
        <w:t xml:space="preserve">لتحليل التأثيرات. وأظهرت النتائج أن الإنجاز الكلي للتميز المؤسسي بلغ تقديرًا مركزيًا 533 ضمن فترة الثقة 95% (464–602)، في حين تراوح مؤشر الممكنات بين 276 ومؤشر النتائج بين 246، كما لوحظت </w:t>
      </w:r>
      <w:r w:rsidRPr="00362D29">
        <w:rPr>
          <w:rFonts w:ascii="Traditional Arabic" w:hAnsi="Traditional Arabic" w:cs="Traditional Arabic"/>
          <w:color w:val="000000" w:themeColor="text1"/>
          <w:sz w:val="24"/>
          <w:szCs w:val="24"/>
        </w:rPr>
        <w:t xml:space="preserve">heterogeneity (I²) </w:t>
      </w:r>
      <w:r w:rsidRPr="00362D29">
        <w:rPr>
          <w:rFonts w:ascii="Traditional Arabic" w:hAnsi="Traditional Arabic" w:cs="Traditional Arabic"/>
          <w:color w:val="000000" w:themeColor="text1"/>
          <w:sz w:val="24"/>
          <w:szCs w:val="24"/>
          <w:rtl/>
        </w:rPr>
        <w:t>نسبتها 62.6</w:t>
      </w:r>
      <w:r w:rsidRPr="00362D29">
        <w:rPr>
          <w:rFonts w:ascii="Traditional Arabic" w:hAnsi="Traditional Arabic" w:cs="Traditional Arabic"/>
          <w:color w:val="000000" w:themeColor="text1"/>
          <w:sz w:val="24"/>
          <w:szCs w:val="24"/>
        </w:rPr>
        <w:t xml:space="preserve">% </w:t>
      </w:r>
      <w:r w:rsidRPr="00362D29">
        <w:rPr>
          <w:rFonts w:ascii="Traditional Arabic" w:hAnsi="Traditional Arabic" w:cs="Traditional Arabic"/>
          <w:color w:val="000000" w:themeColor="text1"/>
          <w:sz w:val="24"/>
          <w:szCs w:val="24"/>
          <w:rtl/>
        </w:rPr>
        <w:t>للدلالات الكلية، مما يشير إلى تباين ملحوظ بين نتائج الدراسات. كما دل التّحليل على وجود تفاوت كبير في أبعاد التميز المؤسسي، الأمر الذي يشير إلى الحاجة لمراجعة متطلبات الحوكمة السريرية وأنظمة الاعتماد لتعزيز جودة الخدمات الصحية</w:t>
      </w:r>
      <w:r w:rsidRPr="00362D29">
        <w:rPr>
          <w:rFonts w:ascii="Traditional Arabic" w:hAnsi="Traditional Arabic" w:cs="Traditional Arabic"/>
          <w:color w:val="000000" w:themeColor="text1"/>
          <w:sz w:val="24"/>
          <w:szCs w:val="24"/>
        </w:rPr>
        <w:t xml:space="preserve">. </w:t>
      </w:r>
      <w:r w:rsidRPr="00362D29">
        <w:rPr>
          <w:rFonts w:ascii="Traditional Arabic" w:hAnsi="Traditional Arabic" w:cs="Traditional Arabic"/>
          <w:color w:val="000000" w:themeColor="text1"/>
          <w:sz w:val="24"/>
          <w:szCs w:val="24"/>
          <w:rtl/>
        </w:rPr>
        <w:t>وتوفر هذه الدراسة أدلة مهمة حول مستويات التميز المؤسسي في المستشفيات، إلا أنها اقتصرت بشكل رئيسي على تقييم</w:t>
      </w:r>
      <w:r w:rsidRPr="00362D29">
        <w:rPr>
          <w:rFonts w:ascii="Traditional Arabic" w:hAnsi="Traditional Arabic" w:cs="Traditional Arabic"/>
          <w:color w:val="000000" w:themeColor="text1"/>
          <w:sz w:val="24"/>
          <w:szCs w:val="24"/>
        </w:rPr>
        <w:t xml:space="preserve"> EFQM </w:t>
      </w:r>
      <w:r w:rsidRPr="00362D29">
        <w:rPr>
          <w:rFonts w:ascii="Traditional Arabic" w:hAnsi="Traditional Arabic" w:cs="Traditional Arabic"/>
          <w:color w:val="000000" w:themeColor="text1"/>
          <w:sz w:val="24"/>
          <w:szCs w:val="24"/>
          <w:rtl/>
        </w:rPr>
        <w:t xml:space="preserve">في السياق الإيراني، دون </w:t>
      </w:r>
      <w:r w:rsidR="00914F3A" w:rsidRPr="00362D29">
        <w:rPr>
          <w:rFonts w:ascii="Traditional Arabic" w:hAnsi="Traditional Arabic" w:cs="Traditional Arabic"/>
          <w:color w:val="000000" w:themeColor="text1"/>
          <w:sz w:val="24"/>
          <w:szCs w:val="24"/>
          <w:rtl/>
        </w:rPr>
        <w:t>التركيز على</w:t>
      </w:r>
      <w:r w:rsidRPr="00362D29">
        <w:rPr>
          <w:rFonts w:ascii="Traditional Arabic" w:hAnsi="Traditional Arabic" w:cs="Traditional Arabic"/>
          <w:color w:val="000000" w:themeColor="text1"/>
          <w:sz w:val="24"/>
          <w:szCs w:val="24"/>
          <w:rtl/>
        </w:rPr>
        <w:t xml:space="preserve"> المستفيد </w:t>
      </w:r>
      <w:r w:rsidR="00914F3A" w:rsidRPr="00362D29">
        <w:rPr>
          <w:rFonts w:ascii="Traditional Arabic" w:hAnsi="Traditional Arabic" w:cs="Traditional Arabic"/>
          <w:color w:val="000000" w:themeColor="text1"/>
          <w:sz w:val="24"/>
          <w:szCs w:val="24"/>
          <w:rtl/>
        </w:rPr>
        <w:t>.</w:t>
      </w:r>
    </w:p>
    <w:p w14:paraId="56356C4F" w14:textId="2D6D830F" w:rsidR="00D64C1C" w:rsidRPr="00362D29" w:rsidRDefault="00D64C1C" w:rsidP="00362D29">
      <w:pPr>
        <w:pStyle w:val="ab"/>
        <w:numPr>
          <w:ilvl w:val="0"/>
          <w:numId w:val="11"/>
        </w:numPr>
        <w:bidi/>
        <w:spacing w:line="360" w:lineRule="auto"/>
        <w:jc w:val="both"/>
        <w:rPr>
          <w:rFonts w:ascii="Traditional Arabic" w:hAnsi="Traditional Arabic" w:cs="Traditional Arabic"/>
          <w:b/>
          <w:bCs/>
          <w:color w:val="000000" w:themeColor="text1"/>
          <w:sz w:val="24"/>
          <w:szCs w:val="24"/>
        </w:rPr>
      </w:pPr>
      <w:r w:rsidRPr="00362D29">
        <w:rPr>
          <w:rFonts w:ascii="Traditional Arabic" w:hAnsi="Traditional Arabic" w:cs="Traditional Arabic"/>
          <w:b/>
          <w:bCs/>
          <w:color w:val="000000" w:themeColor="text1"/>
          <w:sz w:val="24"/>
          <w:szCs w:val="24"/>
          <w:rtl/>
        </w:rPr>
        <w:t>دراسة</w:t>
      </w:r>
      <w:r w:rsidRPr="00362D29">
        <w:rPr>
          <w:rFonts w:ascii="Traditional Arabic" w:hAnsi="Traditional Arabic" w:cs="Traditional Arabic"/>
          <w:b/>
          <w:bCs/>
          <w:color w:val="000000" w:themeColor="text1"/>
          <w:sz w:val="24"/>
          <w:szCs w:val="24"/>
        </w:rPr>
        <w:t xml:space="preserve"> (Zhao et al., 2023) </w:t>
      </w:r>
      <w:r w:rsidRPr="00362D29">
        <w:rPr>
          <w:rFonts w:ascii="Traditional Arabic" w:hAnsi="Traditional Arabic" w:cs="Traditional Arabic"/>
          <w:b/>
          <w:bCs/>
          <w:color w:val="000000" w:themeColor="text1"/>
          <w:sz w:val="24"/>
          <w:szCs w:val="24"/>
          <w:rtl/>
        </w:rPr>
        <w:t xml:space="preserve">بعنوان </w:t>
      </w:r>
      <w:r w:rsidRPr="00362D29">
        <w:rPr>
          <w:rFonts w:ascii="Traditional Arabic" w:hAnsi="Traditional Arabic" w:cs="Traditional Arabic"/>
          <w:b/>
          <w:bCs/>
          <w:color w:val="000000" w:themeColor="text1"/>
          <w:sz w:val="24"/>
          <w:szCs w:val="24"/>
        </w:rPr>
        <w:t xml:space="preserve">"What Makes a Hospital Excellent? A Qualitative Study on the Organization and Management of Five Leading Public Hospitals in China" </w:t>
      </w:r>
    </w:p>
    <w:p w14:paraId="12FC7132" w14:textId="79D982C2" w:rsidR="00D64C1C" w:rsidRPr="00362D29" w:rsidRDefault="00D64C1C" w:rsidP="00362D29">
      <w:pPr>
        <w:pStyle w:val="ab"/>
        <w:numPr>
          <w:ilvl w:val="0"/>
          <w:numId w:val="15"/>
        </w:num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lastRenderedPageBreak/>
        <w:t xml:space="preserve">هدفت الدراسة إلى تلخيص الخبرات التنظيمية والإدارية للمستشفيات العامة الرائدة في الصين، </w:t>
      </w:r>
      <w:r w:rsidR="00491822" w:rsidRPr="00362D29">
        <w:rPr>
          <w:rFonts w:ascii="Traditional Arabic" w:hAnsi="Traditional Arabic" w:cs="Traditional Arabic"/>
          <w:color w:val="000000" w:themeColor="text1"/>
          <w:sz w:val="24"/>
          <w:szCs w:val="24"/>
          <w:rtl/>
        </w:rPr>
        <w:t>كما هدفت أيضا الى</w:t>
      </w:r>
      <w:r w:rsidRPr="00362D29">
        <w:rPr>
          <w:rFonts w:ascii="Traditional Arabic" w:hAnsi="Traditional Arabic" w:cs="Traditional Arabic"/>
          <w:color w:val="000000" w:themeColor="text1"/>
          <w:sz w:val="24"/>
          <w:szCs w:val="24"/>
          <w:rtl/>
        </w:rPr>
        <w:t xml:space="preserve"> بناء نموذج نظري يفسر خصائص التميز المؤسسي من منظور القيادات الإدارية. اعتمدت الدراسة المنهج النوعي باستخدام المقابلات شبه المنظمة، مستندة إلى التحليل الموضوعي</w:t>
      </w:r>
      <w:r w:rsidRPr="00362D29">
        <w:rPr>
          <w:rFonts w:ascii="Traditional Arabic" w:hAnsi="Traditional Arabic" w:cs="Traditional Arabic"/>
          <w:color w:val="000000" w:themeColor="text1"/>
          <w:sz w:val="24"/>
          <w:szCs w:val="24"/>
        </w:rPr>
        <w:t xml:space="preserve"> (Thematic Analysis) </w:t>
      </w:r>
      <w:r w:rsidRPr="00362D29">
        <w:rPr>
          <w:rFonts w:ascii="Traditional Arabic" w:hAnsi="Traditional Arabic" w:cs="Traditional Arabic"/>
          <w:color w:val="000000" w:themeColor="text1"/>
          <w:sz w:val="24"/>
          <w:szCs w:val="24"/>
          <w:rtl/>
        </w:rPr>
        <w:t>ونظرية التأصيل</w:t>
      </w:r>
      <w:r w:rsidRPr="00362D29">
        <w:rPr>
          <w:rFonts w:ascii="Traditional Arabic" w:hAnsi="Traditional Arabic" w:cs="Traditional Arabic"/>
          <w:color w:val="000000" w:themeColor="text1"/>
          <w:sz w:val="24"/>
          <w:szCs w:val="24"/>
        </w:rPr>
        <w:t xml:space="preserve"> (Grounded Theory). </w:t>
      </w:r>
      <w:r w:rsidRPr="00362D29">
        <w:rPr>
          <w:rFonts w:ascii="Traditional Arabic" w:hAnsi="Traditional Arabic" w:cs="Traditional Arabic"/>
          <w:color w:val="000000" w:themeColor="text1"/>
          <w:sz w:val="24"/>
          <w:szCs w:val="24"/>
          <w:rtl/>
        </w:rPr>
        <w:t>تمثل مجتمع الدراسة في المستشفيات العامة المصنفة ضمن أعلى الفئات</w:t>
      </w:r>
      <w:r w:rsidRPr="00362D29">
        <w:rPr>
          <w:rFonts w:ascii="Traditional Arabic" w:hAnsi="Traditional Arabic" w:cs="Traditional Arabic"/>
          <w:color w:val="000000" w:themeColor="text1"/>
          <w:sz w:val="24"/>
          <w:szCs w:val="24"/>
        </w:rPr>
        <w:t xml:space="preserve"> A++ </w:t>
      </w:r>
      <w:r w:rsidRPr="00362D29">
        <w:rPr>
          <w:rFonts w:ascii="Traditional Arabic" w:hAnsi="Traditional Arabic" w:cs="Traditional Arabic"/>
          <w:color w:val="000000" w:themeColor="text1"/>
          <w:sz w:val="24"/>
          <w:szCs w:val="24"/>
          <w:rtl/>
        </w:rPr>
        <w:t>و</w:t>
      </w:r>
      <w:r w:rsidRPr="00362D29">
        <w:rPr>
          <w:rFonts w:ascii="Traditional Arabic" w:hAnsi="Traditional Arabic" w:cs="Traditional Arabic"/>
          <w:color w:val="000000" w:themeColor="text1"/>
          <w:sz w:val="24"/>
          <w:szCs w:val="24"/>
        </w:rPr>
        <w:t xml:space="preserve">A+ </w:t>
      </w:r>
      <w:r w:rsidRPr="00362D29">
        <w:rPr>
          <w:rFonts w:ascii="Traditional Arabic" w:hAnsi="Traditional Arabic" w:cs="Traditional Arabic"/>
          <w:color w:val="000000" w:themeColor="text1"/>
          <w:sz w:val="24"/>
          <w:szCs w:val="24"/>
          <w:rtl/>
        </w:rPr>
        <w:t xml:space="preserve">تحت إشراف اللجنة الوطنية والإقليمية للصحة في الصين، بينما شملت العينة خمس مستشفيات رائدة، وبلغ عدد المشاركين (47) من القيادات العليا والمديرين </w:t>
      </w:r>
      <w:r w:rsidR="00784EA7" w:rsidRPr="00362D29">
        <w:rPr>
          <w:rFonts w:ascii="Traditional Arabic" w:hAnsi="Traditional Arabic" w:cs="Traditional Arabic"/>
          <w:color w:val="000000" w:themeColor="text1"/>
          <w:sz w:val="24"/>
          <w:szCs w:val="24"/>
        </w:rPr>
        <w:t>)</w:t>
      </w:r>
      <w:r w:rsidRPr="00362D29">
        <w:rPr>
          <w:rFonts w:ascii="Traditional Arabic" w:hAnsi="Traditional Arabic" w:cs="Traditional Arabic"/>
          <w:color w:val="000000" w:themeColor="text1"/>
          <w:sz w:val="24"/>
          <w:szCs w:val="24"/>
          <w:rtl/>
        </w:rPr>
        <w:t xml:space="preserve">8 قيادات و39 مديرًا وظيفيًا). أظهرت النتائج تطوير نموذج تنظيمي للتميز أُطلق عليه نموذج </w:t>
      </w:r>
      <w:r w:rsidRPr="00362D29">
        <w:rPr>
          <w:rFonts w:ascii="Traditional Arabic" w:hAnsi="Traditional Arabic" w:cs="Traditional Arabic"/>
          <w:b/>
          <w:bCs/>
          <w:color w:val="000000" w:themeColor="text1"/>
          <w:sz w:val="24"/>
          <w:szCs w:val="24"/>
        </w:rPr>
        <w:t>SCOPE</w:t>
      </w:r>
      <w:r w:rsidRPr="00362D29">
        <w:rPr>
          <w:rFonts w:ascii="Traditional Arabic" w:hAnsi="Traditional Arabic" w:cs="Traditional Arabic"/>
          <w:color w:val="000000" w:themeColor="text1"/>
          <w:sz w:val="24"/>
          <w:szCs w:val="24"/>
        </w:rPr>
        <w:t xml:space="preserve"> (System–Culture–Operation–Performance–Employee)</w:t>
      </w:r>
      <w:r w:rsidRPr="00362D29">
        <w:rPr>
          <w:rFonts w:ascii="Traditional Arabic" w:hAnsi="Traditional Arabic" w:cs="Traditional Arabic"/>
          <w:color w:val="000000" w:themeColor="text1"/>
          <w:sz w:val="24"/>
          <w:szCs w:val="24"/>
          <w:rtl/>
        </w:rPr>
        <w:t xml:space="preserve">، </w:t>
      </w:r>
      <w:r w:rsidR="00F155F7" w:rsidRPr="00362D29">
        <w:rPr>
          <w:rFonts w:ascii="Traditional Arabic" w:hAnsi="Traditional Arabic" w:cs="Traditional Arabic"/>
          <w:color w:val="000000" w:themeColor="text1"/>
          <w:sz w:val="24"/>
          <w:szCs w:val="24"/>
          <w:rtl/>
        </w:rPr>
        <w:t xml:space="preserve">كما </w:t>
      </w:r>
      <w:r w:rsidRPr="00362D29">
        <w:rPr>
          <w:rFonts w:ascii="Traditional Arabic" w:hAnsi="Traditional Arabic" w:cs="Traditional Arabic"/>
          <w:color w:val="000000" w:themeColor="text1"/>
          <w:sz w:val="24"/>
          <w:szCs w:val="24"/>
          <w:rtl/>
        </w:rPr>
        <w:t>أكدت أن التميز المؤسسي يتحقق من خلال تكامل أربعة أبعاد رئيسية هي: النظام التنظيمي، الثقافة التنظيمية، إدارة العمليات والأداء، وإدارة وتنمية العاملين. كما بيّنت النتائج أن وجود نظام قيادة جماعية فعّال، وثقافة تنظيمية تتمحور حول المريض، وإدارة أداء قائمة على البيانات، يسهم في تحسين النتائج الصحية للمرضى وتعزيز كفاءة الأداء المؤسسي واستدامته</w:t>
      </w:r>
      <w:r w:rsidRPr="00362D29">
        <w:rPr>
          <w:rFonts w:ascii="Traditional Arabic" w:hAnsi="Traditional Arabic" w:cs="Traditional Arabic"/>
          <w:color w:val="000000" w:themeColor="text1"/>
          <w:sz w:val="24"/>
          <w:szCs w:val="24"/>
        </w:rPr>
        <w:t>.</w:t>
      </w:r>
    </w:p>
    <w:p w14:paraId="4880464B" w14:textId="77777777" w:rsidR="001240E0" w:rsidRPr="00362D29" w:rsidRDefault="001240E0" w:rsidP="00362D29">
      <w:pPr>
        <w:pStyle w:val="ab"/>
        <w:numPr>
          <w:ilvl w:val="0"/>
          <w:numId w:val="11"/>
        </w:numPr>
        <w:bidi/>
        <w:spacing w:line="360" w:lineRule="auto"/>
        <w:jc w:val="both"/>
        <w:rPr>
          <w:rFonts w:ascii="Traditional Arabic" w:hAnsi="Traditional Arabic" w:cs="Traditional Arabic"/>
          <w:b/>
          <w:bCs/>
          <w:color w:val="000000" w:themeColor="text1"/>
          <w:sz w:val="24"/>
          <w:szCs w:val="24"/>
        </w:rPr>
      </w:pPr>
      <w:r w:rsidRPr="00362D29">
        <w:rPr>
          <w:rFonts w:ascii="Traditional Arabic" w:hAnsi="Traditional Arabic" w:cs="Traditional Arabic"/>
          <w:b/>
          <w:bCs/>
          <w:color w:val="000000" w:themeColor="text1"/>
          <w:sz w:val="24"/>
          <w:szCs w:val="24"/>
          <w:rtl/>
        </w:rPr>
        <w:t>دراسة (</w:t>
      </w:r>
      <w:r w:rsidRPr="00362D29">
        <w:rPr>
          <w:rFonts w:ascii="Traditional Arabic" w:hAnsi="Traditional Arabic" w:cs="Traditional Arabic"/>
          <w:b/>
          <w:bCs/>
          <w:color w:val="000000" w:themeColor="text1"/>
          <w:sz w:val="24"/>
          <w:szCs w:val="24"/>
        </w:rPr>
        <w:t>Ahmed &amp; Sur, 2023</w:t>
      </w:r>
      <w:r w:rsidRPr="00362D29">
        <w:rPr>
          <w:rFonts w:ascii="Traditional Arabic" w:hAnsi="Traditional Arabic" w:cs="Traditional Arabic"/>
          <w:b/>
          <w:bCs/>
          <w:color w:val="000000" w:themeColor="text1"/>
          <w:sz w:val="24"/>
          <w:szCs w:val="24"/>
          <w:rtl/>
        </w:rPr>
        <w:t>) بعنوان:“</w:t>
      </w:r>
      <w:r w:rsidRPr="00362D29">
        <w:rPr>
          <w:rFonts w:ascii="Traditional Arabic" w:hAnsi="Traditional Arabic" w:cs="Traditional Arabic"/>
          <w:b/>
          <w:bCs/>
          <w:color w:val="000000" w:themeColor="text1"/>
          <w:sz w:val="24"/>
          <w:szCs w:val="24"/>
        </w:rPr>
        <w:t>Revolutionizing healthcare organizations with organizational excellence and healthcare transformation</w:t>
      </w:r>
      <w:r w:rsidRPr="00362D29">
        <w:rPr>
          <w:rFonts w:ascii="Traditional Arabic" w:hAnsi="Traditional Arabic" w:cs="Traditional Arabic"/>
          <w:b/>
          <w:bCs/>
          <w:color w:val="000000" w:themeColor="text1"/>
          <w:sz w:val="24"/>
          <w:szCs w:val="24"/>
          <w:rtl/>
        </w:rPr>
        <w:t xml:space="preserve">” </w:t>
      </w:r>
    </w:p>
    <w:p w14:paraId="2490CD8A" w14:textId="2DE1BF9A" w:rsidR="001240E0" w:rsidRPr="00362D29" w:rsidRDefault="001240E0" w:rsidP="00362D29">
      <w:pPr>
        <w:pStyle w:val="ab"/>
        <w:numPr>
          <w:ilvl w:val="0"/>
          <w:numId w:val="15"/>
        </w:num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هدفت الدراسة إلى تحليل الدور التحويلي لممارسات التميز المؤسسي في تطوير المنظمات الصحية الحديثة، كما سعت إلى استكشاف كيفية تكامل نماذج التميز مع مفاهيم إدارة الجودة الشاملة والتحول الصحي لتعزيز الأداء المؤسسي والاستدامة. اعتمدت الدراسة منهجية مراجعة أدبيات منهجية (</w:t>
      </w:r>
      <w:r w:rsidRPr="00362D29">
        <w:rPr>
          <w:rFonts w:ascii="Traditional Arabic" w:hAnsi="Traditional Arabic" w:cs="Traditional Arabic"/>
          <w:color w:val="000000" w:themeColor="text1"/>
          <w:sz w:val="24"/>
          <w:szCs w:val="24"/>
        </w:rPr>
        <w:t>Systematic Literature Review</w:t>
      </w:r>
      <w:r w:rsidRPr="00362D29">
        <w:rPr>
          <w:rFonts w:ascii="Traditional Arabic" w:hAnsi="Traditional Arabic" w:cs="Traditional Arabic"/>
          <w:color w:val="000000" w:themeColor="text1"/>
          <w:sz w:val="24"/>
          <w:szCs w:val="24"/>
          <w:rtl/>
        </w:rPr>
        <w:t>)، من خلال تحليل ونقد الدراسات المنشورة في قواعد بيانات علمية محكمة خلال الفترة الحديثة، حيث تم فحص عدد من الدراسات ذات الصلة بمجال التميز المؤسسي والتحول في القطاع الصحي. أظهرت نتائج المراجعة أن تطبيق أطر التميز المؤسسي يسهم بشكل مباشر في تحسين الحوكمة المؤسسية، ورفع كفاءة العمليات، وتعزيز ثقافة التحسين المستمر داخل المنظمات الصحية. كما بينت النتائج أن التكامل بين نماذج التميز والتحول الرقمي الصحي يمثل عاملًا حاسمًا في تحقيق الاستدامة التنظيمية والارتقاء بجودة الخدمات الصحية على المدى الطويل.</w:t>
      </w:r>
    </w:p>
    <w:p w14:paraId="0716AAFF" w14:textId="45906CAE" w:rsidR="004449A3" w:rsidRPr="00FD7C2B" w:rsidRDefault="004449A3" w:rsidP="00FD7C2B">
      <w:pPr>
        <w:pStyle w:val="ab"/>
        <w:numPr>
          <w:ilvl w:val="0"/>
          <w:numId w:val="11"/>
        </w:numPr>
        <w:bidi/>
        <w:spacing w:after="200" w:line="360" w:lineRule="auto"/>
        <w:jc w:val="both"/>
        <w:rPr>
          <w:rFonts w:ascii="Traditional Arabic" w:hAnsi="Traditional Arabic" w:cs="Traditional Arabic"/>
          <w:color w:val="000000" w:themeColor="text1"/>
          <w:sz w:val="24"/>
          <w:szCs w:val="24"/>
        </w:rPr>
      </w:pPr>
      <w:r w:rsidRPr="00FD7C2B">
        <w:rPr>
          <w:rFonts w:ascii="Traditional Arabic" w:hAnsi="Traditional Arabic" w:cs="Traditional Arabic"/>
          <w:b/>
          <w:bCs/>
          <w:color w:val="000000" w:themeColor="text1"/>
          <w:sz w:val="24"/>
          <w:szCs w:val="24"/>
          <w:rtl/>
        </w:rPr>
        <w:t>دراسة</w:t>
      </w:r>
      <w:r w:rsidRPr="00FD7C2B">
        <w:rPr>
          <w:rFonts w:ascii="Traditional Arabic" w:hAnsi="Traditional Arabic" w:cs="Traditional Arabic"/>
          <w:b/>
          <w:bCs/>
          <w:color w:val="000000" w:themeColor="text1"/>
          <w:sz w:val="24"/>
          <w:szCs w:val="24"/>
        </w:rPr>
        <w:t xml:space="preserve">(Kamal, 2023) </w:t>
      </w:r>
      <w:r w:rsidRPr="00FD7C2B">
        <w:rPr>
          <w:rFonts w:ascii="Traditional Arabic" w:hAnsi="Traditional Arabic" w:cs="Traditional Arabic"/>
          <w:b/>
          <w:bCs/>
          <w:color w:val="000000" w:themeColor="text1"/>
          <w:sz w:val="24"/>
          <w:szCs w:val="24"/>
          <w:rtl/>
        </w:rPr>
        <w:t xml:space="preserve">بعنوان </w:t>
      </w:r>
      <w:r w:rsidRPr="00FD7C2B">
        <w:rPr>
          <w:rFonts w:ascii="Traditional Arabic" w:hAnsi="Traditional Arabic" w:cs="Traditional Arabic"/>
          <w:b/>
          <w:bCs/>
          <w:color w:val="000000" w:themeColor="text1"/>
          <w:sz w:val="24"/>
          <w:szCs w:val="24"/>
        </w:rPr>
        <w:t xml:space="preserve">"Implementation of Business Excellence Models in Healthcare for Quality Assessment: A Systematic Review" </w:t>
      </w:r>
    </w:p>
    <w:p w14:paraId="25ED5B87" w14:textId="3B13E085" w:rsidR="004449A3" w:rsidRPr="00362D29" w:rsidRDefault="004449A3" w:rsidP="00362D29">
      <w:pPr>
        <w:pStyle w:val="ab"/>
        <w:numPr>
          <w:ilvl w:val="0"/>
          <w:numId w:val="15"/>
        </w:numPr>
        <w:bidi/>
        <w:spacing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هدفت الدراسة إلى تحليل أثر استخدام نماذج التميز المؤسسي المعتمدة على</w:t>
      </w:r>
      <w:r w:rsidRPr="00362D29">
        <w:rPr>
          <w:rFonts w:ascii="Traditional Arabic" w:hAnsi="Traditional Arabic" w:cs="Traditional Arabic"/>
          <w:color w:val="000000" w:themeColor="text1"/>
          <w:sz w:val="24"/>
          <w:szCs w:val="24"/>
        </w:rPr>
        <w:t xml:space="preserve"> EFQM </w:t>
      </w:r>
      <w:r w:rsidRPr="00362D29">
        <w:rPr>
          <w:rFonts w:ascii="Traditional Arabic" w:hAnsi="Traditional Arabic" w:cs="Traditional Arabic"/>
          <w:color w:val="000000" w:themeColor="text1"/>
          <w:sz w:val="24"/>
          <w:szCs w:val="24"/>
          <w:rtl/>
        </w:rPr>
        <w:t>و</w:t>
      </w:r>
      <w:r w:rsidRPr="00362D29">
        <w:rPr>
          <w:rFonts w:ascii="Traditional Arabic" w:hAnsi="Traditional Arabic" w:cs="Traditional Arabic"/>
          <w:color w:val="000000" w:themeColor="text1"/>
          <w:sz w:val="24"/>
          <w:szCs w:val="24"/>
        </w:rPr>
        <w:t xml:space="preserve">Baldrige </w:t>
      </w:r>
      <w:r w:rsidRPr="00362D29">
        <w:rPr>
          <w:rFonts w:ascii="Traditional Arabic" w:hAnsi="Traditional Arabic" w:cs="Traditional Arabic"/>
          <w:color w:val="000000" w:themeColor="text1"/>
          <w:sz w:val="24"/>
          <w:szCs w:val="24"/>
          <w:rtl/>
        </w:rPr>
        <w:t>في تقييم جودة الأداء بالمؤسسات الصحية، وكذلك تحديد مدى انعكاس عملية التقييم باستخدام هذه النماذج على تحسين مؤشرات الأداء الرئيسية في القطاع الصحي. واعتمدت الدراسة المنهج المنهجي</w:t>
      </w:r>
      <w:r w:rsidRPr="00362D29">
        <w:rPr>
          <w:rFonts w:ascii="Traditional Arabic" w:hAnsi="Traditional Arabic" w:cs="Traditional Arabic"/>
          <w:color w:val="000000" w:themeColor="text1"/>
          <w:sz w:val="24"/>
          <w:szCs w:val="24"/>
        </w:rPr>
        <w:t xml:space="preserve"> (Systematic Review) </w:t>
      </w:r>
      <w:r w:rsidRPr="00362D29">
        <w:rPr>
          <w:rFonts w:ascii="Traditional Arabic" w:hAnsi="Traditional Arabic" w:cs="Traditional Arabic"/>
          <w:color w:val="000000" w:themeColor="text1"/>
          <w:sz w:val="24"/>
          <w:szCs w:val="24"/>
          <w:rtl/>
        </w:rPr>
        <w:t>وفق إرشادات</w:t>
      </w:r>
      <w:r w:rsidRPr="00362D29">
        <w:rPr>
          <w:rFonts w:ascii="Traditional Arabic" w:hAnsi="Traditional Arabic" w:cs="Traditional Arabic"/>
          <w:color w:val="000000" w:themeColor="text1"/>
          <w:sz w:val="24"/>
          <w:szCs w:val="24"/>
        </w:rPr>
        <w:t xml:space="preserve"> PRISMA</w:t>
      </w:r>
      <w:r w:rsidRPr="00362D29">
        <w:rPr>
          <w:rFonts w:ascii="Traditional Arabic" w:hAnsi="Traditional Arabic" w:cs="Traditional Arabic"/>
          <w:color w:val="000000" w:themeColor="text1"/>
          <w:sz w:val="24"/>
          <w:szCs w:val="24"/>
          <w:rtl/>
        </w:rPr>
        <w:t>، مع استخدام أداة</w:t>
      </w:r>
      <w:r w:rsidRPr="00362D29">
        <w:rPr>
          <w:rFonts w:ascii="Traditional Arabic" w:hAnsi="Traditional Arabic" w:cs="Traditional Arabic"/>
          <w:color w:val="000000" w:themeColor="text1"/>
          <w:sz w:val="24"/>
          <w:szCs w:val="24"/>
        </w:rPr>
        <w:t xml:space="preserve"> CASP </w:t>
      </w:r>
      <w:r w:rsidRPr="00362D29">
        <w:rPr>
          <w:rFonts w:ascii="Traditional Arabic" w:hAnsi="Traditional Arabic" w:cs="Traditional Arabic"/>
          <w:color w:val="000000" w:themeColor="text1"/>
          <w:sz w:val="24"/>
          <w:szCs w:val="24"/>
          <w:rtl/>
        </w:rPr>
        <w:t>لتقييم جودة الدراسات، وتحليل موضوعي</w:t>
      </w:r>
      <w:r w:rsidRPr="00362D29">
        <w:rPr>
          <w:rFonts w:ascii="Traditional Arabic" w:hAnsi="Traditional Arabic" w:cs="Traditional Arabic"/>
          <w:color w:val="000000" w:themeColor="text1"/>
          <w:sz w:val="24"/>
          <w:szCs w:val="24"/>
        </w:rPr>
        <w:t xml:space="preserve"> (Thematic Analysis) </w:t>
      </w:r>
      <w:r w:rsidRPr="00362D29">
        <w:rPr>
          <w:rFonts w:ascii="Traditional Arabic" w:hAnsi="Traditional Arabic" w:cs="Traditional Arabic"/>
          <w:color w:val="000000" w:themeColor="text1"/>
          <w:sz w:val="24"/>
          <w:szCs w:val="24"/>
          <w:rtl/>
        </w:rPr>
        <w:t>وفق منهج</w:t>
      </w:r>
      <w:r w:rsidRPr="00362D29">
        <w:rPr>
          <w:rFonts w:ascii="Traditional Arabic" w:hAnsi="Traditional Arabic" w:cs="Traditional Arabic"/>
          <w:color w:val="000000" w:themeColor="text1"/>
          <w:sz w:val="24"/>
          <w:szCs w:val="24"/>
        </w:rPr>
        <w:t xml:space="preserve"> Thomas &amp; </w:t>
      </w:r>
      <w:r w:rsidRPr="00362D29">
        <w:rPr>
          <w:rFonts w:ascii="Traditional Arabic" w:hAnsi="Traditional Arabic" w:cs="Traditional Arabic"/>
          <w:color w:val="000000" w:themeColor="text1"/>
          <w:sz w:val="24"/>
          <w:szCs w:val="24"/>
        </w:rPr>
        <w:lastRenderedPageBreak/>
        <w:t>Harden</w:t>
      </w:r>
      <w:r w:rsidRPr="00362D29">
        <w:rPr>
          <w:rFonts w:ascii="Traditional Arabic" w:hAnsi="Traditional Arabic" w:cs="Traditional Arabic"/>
          <w:color w:val="000000" w:themeColor="text1"/>
          <w:sz w:val="24"/>
          <w:szCs w:val="24"/>
          <w:rtl/>
        </w:rPr>
        <w:t>، وتطبيق منهجية</w:t>
      </w:r>
      <w:r w:rsidRPr="00362D29">
        <w:rPr>
          <w:rFonts w:ascii="Traditional Arabic" w:hAnsi="Traditional Arabic" w:cs="Traditional Arabic"/>
          <w:color w:val="000000" w:themeColor="text1"/>
          <w:sz w:val="24"/>
          <w:szCs w:val="24"/>
        </w:rPr>
        <w:t xml:space="preserve"> GRADE-CERQual </w:t>
      </w:r>
      <w:r w:rsidRPr="00362D29">
        <w:rPr>
          <w:rFonts w:ascii="Traditional Arabic" w:hAnsi="Traditional Arabic" w:cs="Traditional Arabic"/>
          <w:color w:val="000000" w:themeColor="text1"/>
          <w:sz w:val="24"/>
          <w:szCs w:val="24"/>
          <w:rtl/>
        </w:rPr>
        <w:t>لتحديد مستوى الثقة في النتائج. وتمثل مجتمع الدراسة في الأدبيات المنشورة حول تطبيق نماذج التميز المؤسسي في مؤسسات الرعاية الصحية، حيث تكونت العينة النهائية من (9) دراسات تم اختيارها بعد فحص (173) دراسة أولية واستبعاد غير المطابق لمعايير الاشتمال. وأظهرت النتائج أن تقييم الجودة باستخدام نماذج التميز أبرز تحسنًا ملحوظًا في نتائج العملاء، خاصة في مؤشرات رضا المرضى وتقليل الشكاوى، في حين كانت نتائج المجتمع الأقل تحسنًا مقارنة ببقية الأبعاد، كما أن (6) من أصل (9) دراسات بنسبة (66.6%) لم تُظهر تحسنًا مستدامًا عند إجراء تقييم لمرة واحدة فقط، مما يشير إلى أن الاستمرارية في تطبيق التقييم الدوري تمثل العامل الحاسم في تحقيق التحسن الفعلي في الأداء. وخلصت الدراسة إلى أن نماذج التميز المؤسسي تسهم في كشف فجوات الأداء وتحديد مجالات التحسين، إلا أن تحقيق التحسن المستدام يتطلب تطبيقًا دوريًا مستمرًا وربط نتائج التقييم بمؤشرات أداء قابلة للقياس عبر الزمن</w:t>
      </w:r>
      <w:r w:rsidRPr="00362D29">
        <w:rPr>
          <w:rFonts w:ascii="Traditional Arabic" w:hAnsi="Traditional Arabic" w:cs="Traditional Arabic"/>
          <w:color w:val="000000" w:themeColor="text1"/>
          <w:sz w:val="24"/>
          <w:szCs w:val="24"/>
        </w:rPr>
        <w:t>.</w:t>
      </w:r>
    </w:p>
    <w:p w14:paraId="16EC1C01" w14:textId="33DFA5EE" w:rsidR="00525736" w:rsidRPr="00362D29" w:rsidRDefault="00947153" w:rsidP="00362D29">
      <w:pPr>
        <w:pStyle w:val="ab"/>
        <w:numPr>
          <w:ilvl w:val="0"/>
          <w:numId w:val="11"/>
        </w:numPr>
        <w:bidi/>
        <w:spacing w:line="360" w:lineRule="auto"/>
        <w:jc w:val="both"/>
        <w:rPr>
          <w:rFonts w:ascii="Traditional Arabic" w:hAnsi="Traditional Arabic" w:cs="Traditional Arabic"/>
          <w:b/>
          <w:bCs/>
          <w:color w:val="000000" w:themeColor="text1"/>
          <w:sz w:val="24"/>
          <w:szCs w:val="24"/>
        </w:rPr>
      </w:pPr>
      <w:r w:rsidRPr="00362D29">
        <w:rPr>
          <w:rFonts w:ascii="Traditional Arabic" w:hAnsi="Traditional Arabic" w:cs="Traditional Arabic"/>
          <w:b/>
          <w:bCs/>
          <w:color w:val="000000" w:themeColor="text1"/>
          <w:sz w:val="24"/>
          <w:szCs w:val="24"/>
          <w:rtl/>
        </w:rPr>
        <w:t xml:space="preserve">دراسة </w:t>
      </w:r>
      <w:r w:rsidR="00525736" w:rsidRPr="00362D29">
        <w:rPr>
          <w:rFonts w:ascii="Traditional Arabic" w:hAnsi="Traditional Arabic" w:cs="Traditional Arabic"/>
          <w:b/>
          <w:bCs/>
          <w:color w:val="000000" w:themeColor="text1"/>
          <w:sz w:val="24"/>
          <w:szCs w:val="24"/>
          <w:rtl/>
        </w:rPr>
        <w:t>(</w:t>
      </w:r>
      <w:r w:rsidRPr="00362D29">
        <w:rPr>
          <w:rFonts w:ascii="Traditional Arabic" w:hAnsi="Traditional Arabic" w:cs="Traditional Arabic"/>
          <w:b/>
          <w:bCs/>
          <w:color w:val="000000" w:themeColor="text1"/>
          <w:sz w:val="24"/>
          <w:szCs w:val="24"/>
          <w:rtl/>
        </w:rPr>
        <w:t>زهران</w:t>
      </w:r>
      <w:r w:rsidR="00525736" w:rsidRPr="00362D29">
        <w:rPr>
          <w:rFonts w:ascii="Traditional Arabic" w:hAnsi="Traditional Arabic" w:cs="Traditional Arabic"/>
          <w:b/>
          <w:bCs/>
          <w:color w:val="000000" w:themeColor="text1"/>
          <w:sz w:val="24"/>
          <w:szCs w:val="24"/>
          <w:rtl/>
        </w:rPr>
        <w:t xml:space="preserve">، </w:t>
      </w:r>
      <w:r w:rsidRPr="00362D29">
        <w:rPr>
          <w:rFonts w:ascii="Traditional Arabic" w:hAnsi="Traditional Arabic" w:cs="Traditional Arabic"/>
          <w:b/>
          <w:bCs/>
          <w:color w:val="000000" w:themeColor="text1"/>
          <w:sz w:val="24"/>
          <w:szCs w:val="24"/>
          <w:rtl/>
        </w:rPr>
        <w:t xml:space="preserve">2022) بعنوان </w:t>
      </w:r>
      <w:r w:rsidR="00525736" w:rsidRPr="00362D29">
        <w:rPr>
          <w:rFonts w:ascii="Traditional Arabic" w:hAnsi="Traditional Arabic" w:cs="Traditional Arabic"/>
          <w:b/>
          <w:bCs/>
          <w:color w:val="000000" w:themeColor="text1"/>
          <w:sz w:val="24"/>
          <w:szCs w:val="24"/>
          <w:rtl/>
        </w:rPr>
        <w:t>"</w:t>
      </w:r>
      <w:r w:rsidRPr="00362D29">
        <w:rPr>
          <w:rFonts w:ascii="Traditional Arabic" w:hAnsi="Traditional Arabic" w:cs="Traditional Arabic"/>
          <w:b/>
          <w:bCs/>
          <w:color w:val="000000" w:themeColor="text1"/>
          <w:sz w:val="24"/>
          <w:szCs w:val="24"/>
          <w:rtl/>
        </w:rPr>
        <w:t>متطلبات تطبيق معايير النموذج الأوروبي للتميز المؤسسي</w:t>
      </w:r>
      <w:r w:rsidRPr="00362D29">
        <w:rPr>
          <w:rFonts w:ascii="Traditional Arabic" w:hAnsi="Traditional Arabic" w:cs="Traditional Arabic"/>
          <w:b/>
          <w:bCs/>
          <w:color w:val="000000" w:themeColor="text1"/>
          <w:sz w:val="24"/>
          <w:szCs w:val="24"/>
        </w:rPr>
        <w:t xml:space="preserve"> (EFQM) </w:t>
      </w:r>
      <w:r w:rsidRPr="00362D29">
        <w:rPr>
          <w:rFonts w:ascii="Traditional Arabic" w:hAnsi="Traditional Arabic" w:cs="Traditional Arabic"/>
          <w:b/>
          <w:bCs/>
          <w:color w:val="000000" w:themeColor="text1"/>
          <w:sz w:val="24"/>
          <w:szCs w:val="24"/>
          <w:rtl/>
        </w:rPr>
        <w:t>في الجامعات المصرية على ضوء مستحدثات العصر الرقمي</w:t>
      </w:r>
      <w:r w:rsidR="00525736" w:rsidRPr="00362D29">
        <w:rPr>
          <w:rFonts w:ascii="Traditional Arabic" w:hAnsi="Traditional Arabic" w:cs="Traditional Arabic"/>
          <w:b/>
          <w:bCs/>
          <w:color w:val="000000" w:themeColor="text1"/>
          <w:sz w:val="24"/>
          <w:szCs w:val="24"/>
        </w:rPr>
        <w:t>"</w:t>
      </w:r>
      <w:r w:rsidRPr="00362D29">
        <w:rPr>
          <w:rFonts w:ascii="Traditional Arabic" w:hAnsi="Traditional Arabic" w:cs="Traditional Arabic"/>
          <w:b/>
          <w:bCs/>
          <w:color w:val="000000" w:themeColor="text1"/>
          <w:sz w:val="24"/>
          <w:szCs w:val="24"/>
          <w:rtl/>
        </w:rPr>
        <w:t xml:space="preserve"> </w:t>
      </w:r>
    </w:p>
    <w:p w14:paraId="2CB78427" w14:textId="77777777" w:rsidR="00525736" w:rsidRPr="00362D29" w:rsidRDefault="00525736" w:rsidP="00362D29">
      <w:pPr>
        <w:pStyle w:val="ab"/>
        <w:numPr>
          <w:ilvl w:val="0"/>
          <w:numId w:val="15"/>
        </w:num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هدفت الدراسة إلى التعرف على واقع تطبيق معايير النموذج الأوروبي للتميز المؤسسي (</w:t>
      </w:r>
      <w:r w:rsidRPr="00362D29">
        <w:rPr>
          <w:rFonts w:ascii="Traditional Arabic" w:hAnsi="Traditional Arabic" w:cs="Traditional Arabic"/>
          <w:color w:val="000000" w:themeColor="text1"/>
          <w:sz w:val="24"/>
          <w:szCs w:val="24"/>
        </w:rPr>
        <w:t>EFQM</w:t>
      </w:r>
      <w:r w:rsidRPr="00362D29">
        <w:rPr>
          <w:rFonts w:ascii="Traditional Arabic" w:hAnsi="Traditional Arabic" w:cs="Traditional Arabic"/>
          <w:color w:val="000000" w:themeColor="text1"/>
          <w:sz w:val="24"/>
          <w:szCs w:val="24"/>
          <w:rtl/>
        </w:rPr>
        <w:t xml:space="preserve">) في الجامعات المصرية في ضوء التحول الرقمي، كما سعت إلى تحديد المتطلبات والمعوقات التي تحد من إمكانية تطبيق هذه المعايير من وجهة نظر القيادات الأكاديمية والإدارية. اعتمدت الدراسة المنهج الوصفي التحليلي، واستخدمت الاستبانة كأداة رئيسية لجمع البيانات. تمثل مجتمع الدراسة في جميع القيادات الأكاديمية والإدارية بجامعات الفيوم، والمنيا، والإسكندرية، والبالغ عددهم (1784) قائدًا. أما عينة الدراسة فقد بلغت (360) شملت القيادات الأكاديمية (عمداء، وكلاء، رؤساء أقسام) والقيادات الإدارية (مديري عموم ومديري إدارات)، وتم اختيارهم بطريقة عشوائية ممثلة للمجتمع. أظهرت النتائج ضعف مستوى تطبيق عدد من أبعاد التميز المؤسسي، خاصة في مجالات دعم التغيير التنظيمي والموارد البشرية، كما كشفت عن وجود معوقات تنظيمية وثقافية أبرزها المركزية الإدارية وضعف ثقافة التميز، مما يستلزم تهيئة بيئة تنظيمية داعمة لتطبيق معايير </w:t>
      </w:r>
      <w:r w:rsidRPr="00362D29">
        <w:rPr>
          <w:rFonts w:ascii="Traditional Arabic" w:hAnsi="Traditional Arabic" w:cs="Traditional Arabic"/>
          <w:color w:val="000000" w:themeColor="text1"/>
          <w:sz w:val="24"/>
          <w:szCs w:val="24"/>
        </w:rPr>
        <w:t>EFQM</w:t>
      </w:r>
      <w:r w:rsidRPr="00362D29">
        <w:rPr>
          <w:rFonts w:ascii="Traditional Arabic" w:hAnsi="Traditional Arabic" w:cs="Traditional Arabic"/>
          <w:color w:val="000000" w:themeColor="text1"/>
          <w:sz w:val="24"/>
          <w:szCs w:val="24"/>
          <w:rtl/>
        </w:rPr>
        <w:t xml:space="preserve"> في الجامعات المصرية</w:t>
      </w:r>
      <w:r w:rsidRPr="00362D29">
        <w:rPr>
          <w:rFonts w:ascii="Traditional Arabic" w:hAnsi="Traditional Arabic" w:cs="Traditional Arabic"/>
          <w:b/>
          <w:bCs/>
          <w:color w:val="000000" w:themeColor="text1"/>
          <w:sz w:val="24"/>
          <w:szCs w:val="24"/>
          <w:rtl/>
        </w:rPr>
        <w:t>.</w:t>
      </w:r>
    </w:p>
    <w:p w14:paraId="1371F0A5" w14:textId="65D03273" w:rsidR="00615BFE" w:rsidRPr="003F2B2E" w:rsidRDefault="00615BFE" w:rsidP="003F2B2E">
      <w:pPr>
        <w:pStyle w:val="ab"/>
        <w:numPr>
          <w:ilvl w:val="0"/>
          <w:numId w:val="11"/>
        </w:numPr>
        <w:bidi/>
        <w:spacing w:line="360" w:lineRule="auto"/>
        <w:jc w:val="both"/>
        <w:rPr>
          <w:rFonts w:ascii="Traditional Arabic" w:hAnsi="Traditional Arabic" w:cs="Traditional Arabic"/>
          <w:color w:val="000000" w:themeColor="text1"/>
          <w:sz w:val="24"/>
          <w:szCs w:val="24"/>
        </w:rPr>
      </w:pPr>
      <w:r w:rsidRPr="003F2B2E">
        <w:rPr>
          <w:rFonts w:ascii="Traditional Arabic" w:hAnsi="Traditional Arabic" w:cs="Traditional Arabic"/>
          <w:b/>
          <w:bCs/>
          <w:color w:val="000000" w:themeColor="text1"/>
          <w:sz w:val="24"/>
          <w:szCs w:val="24"/>
          <w:rtl/>
        </w:rPr>
        <w:t>دراسة (</w:t>
      </w:r>
      <w:r w:rsidRPr="003F2B2E">
        <w:rPr>
          <w:rFonts w:ascii="Traditional Arabic" w:hAnsi="Traditional Arabic" w:cs="Traditional Arabic"/>
          <w:b/>
          <w:bCs/>
          <w:color w:val="000000" w:themeColor="text1"/>
          <w:sz w:val="24"/>
          <w:szCs w:val="24"/>
        </w:rPr>
        <w:t>Barnawi, 2022</w:t>
      </w:r>
      <w:r w:rsidRPr="003F2B2E">
        <w:rPr>
          <w:rFonts w:ascii="Traditional Arabic" w:hAnsi="Traditional Arabic" w:cs="Traditional Arabic"/>
          <w:b/>
          <w:bCs/>
          <w:color w:val="000000" w:themeColor="text1"/>
          <w:sz w:val="24"/>
          <w:szCs w:val="24"/>
          <w:rtl/>
        </w:rPr>
        <w:t xml:space="preserve">) بعنوان </w:t>
      </w:r>
      <w:r w:rsidR="00704A9A" w:rsidRPr="003F2B2E">
        <w:rPr>
          <w:rFonts w:ascii="Traditional Arabic" w:hAnsi="Traditional Arabic" w:cs="Traditional Arabic"/>
          <w:b/>
          <w:bCs/>
          <w:color w:val="000000" w:themeColor="text1"/>
          <w:sz w:val="24"/>
          <w:szCs w:val="24"/>
          <w:rtl/>
        </w:rPr>
        <w:t>"</w:t>
      </w:r>
      <w:r w:rsidRPr="003F2B2E">
        <w:rPr>
          <w:rFonts w:ascii="Traditional Arabic" w:hAnsi="Traditional Arabic" w:cs="Traditional Arabic"/>
          <w:b/>
          <w:bCs/>
          <w:color w:val="000000" w:themeColor="text1"/>
          <w:sz w:val="24"/>
          <w:szCs w:val="24"/>
        </w:rPr>
        <w:t>Organizational Excellence Models Failure and Success Factors of Organizational Excellence and Challenges Mitigation</w:t>
      </w:r>
      <w:r w:rsidRPr="003F2B2E">
        <w:rPr>
          <w:rFonts w:ascii="Traditional Arabic" w:hAnsi="Traditional Arabic" w:cs="Traditional Arabic"/>
          <w:b/>
          <w:bCs/>
          <w:color w:val="000000" w:themeColor="text1"/>
          <w:sz w:val="24"/>
          <w:szCs w:val="24"/>
          <w:rtl/>
        </w:rPr>
        <w:t>”</w:t>
      </w:r>
    </w:p>
    <w:p w14:paraId="2581478E" w14:textId="2EE23759" w:rsidR="00615BFE" w:rsidRPr="00362D29" w:rsidRDefault="00615BFE" w:rsidP="00362D29">
      <w:pPr>
        <w:pStyle w:val="ab"/>
        <w:numPr>
          <w:ilvl w:val="0"/>
          <w:numId w:val="15"/>
        </w:num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هدفت إلى توضيح مفهوم التميز المؤسسي وتطوره التاريخي وأبرز نماذجه العالمية، مع تسليط الضوء على النموذج الوطني السعودي للتميز المؤسسي (جائزة الملك عبد العزيز للجودة)، كما سعت إلى تحليل عوامل النجاح والإخفاق والتحديات التي تواجه تطبيق نماذج التميز، خاصة في السياق السعودي والقطاع غير الربحي. اعتمدت الدراسة على المنهج الوصفي التحليلي من خلال مراجعة منهجية للأدبيات (</w:t>
      </w:r>
      <w:r w:rsidRPr="00362D29">
        <w:rPr>
          <w:rFonts w:ascii="Traditional Arabic" w:hAnsi="Traditional Arabic" w:cs="Traditional Arabic"/>
          <w:color w:val="000000" w:themeColor="text1"/>
          <w:sz w:val="24"/>
          <w:szCs w:val="24"/>
        </w:rPr>
        <w:t>Systematic Review</w:t>
      </w:r>
      <w:r w:rsidRPr="00362D29">
        <w:rPr>
          <w:rFonts w:ascii="Traditional Arabic" w:hAnsi="Traditional Arabic" w:cs="Traditional Arabic"/>
          <w:color w:val="000000" w:themeColor="text1"/>
          <w:sz w:val="24"/>
          <w:szCs w:val="24"/>
          <w:rtl/>
        </w:rPr>
        <w:t xml:space="preserve">) شملت الدراسات المنشورة حتى أغسطس 2022، باستخدام قواعد بيانات علمية متعددة مثل </w:t>
      </w:r>
      <w:r w:rsidRPr="00362D29">
        <w:rPr>
          <w:rFonts w:ascii="Traditional Arabic" w:hAnsi="Traditional Arabic" w:cs="Traditional Arabic"/>
          <w:color w:val="000000" w:themeColor="text1"/>
          <w:sz w:val="24"/>
          <w:szCs w:val="24"/>
        </w:rPr>
        <w:t>Google Scholar</w:t>
      </w:r>
      <w:r w:rsidRPr="00362D29">
        <w:rPr>
          <w:rFonts w:ascii="Traditional Arabic" w:hAnsi="Traditional Arabic" w:cs="Traditional Arabic"/>
          <w:color w:val="000000" w:themeColor="text1"/>
          <w:sz w:val="24"/>
          <w:szCs w:val="24"/>
          <w:rtl/>
        </w:rPr>
        <w:t xml:space="preserve"> و</w:t>
      </w:r>
      <w:r w:rsidRPr="00362D29">
        <w:rPr>
          <w:rFonts w:ascii="Traditional Arabic" w:hAnsi="Traditional Arabic" w:cs="Traditional Arabic"/>
          <w:color w:val="000000" w:themeColor="text1"/>
          <w:sz w:val="24"/>
          <w:szCs w:val="24"/>
        </w:rPr>
        <w:t>Scopus</w:t>
      </w:r>
      <w:r w:rsidRPr="00362D29">
        <w:rPr>
          <w:rFonts w:ascii="Traditional Arabic" w:hAnsi="Traditional Arabic" w:cs="Traditional Arabic"/>
          <w:color w:val="000000" w:themeColor="text1"/>
          <w:sz w:val="24"/>
          <w:szCs w:val="24"/>
          <w:rtl/>
        </w:rPr>
        <w:t xml:space="preserve"> و</w:t>
      </w:r>
      <w:r w:rsidRPr="00362D29">
        <w:rPr>
          <w:rFonts w:ascii="Traditional Arabic" w:hAnsi="Traditional Arabic" w:cs="Traditional Arabic"/>
          <w:color w:val="000000" w:themeColor="text1"/>
          <w:sz w:val="24"/>
          <w:szCs w:val="24"/>
        </w:rPr>
        <w:t>Web of Science</w:t>
      </w:r>
      <w:r w:rsidRPr="00362D29">
        <w:rPr>
          <w:rFonts w:ascii="Traditional Arabic" w:hAnsi="Traditional Arabic" w:cs="Traditional Arabic"/>
          <w:color w:val="000000" w:themeColor="text1"/>
          <w:sz w:val="24"/>
          <w:szCs w:val="24"/>
          <w:rtl/>
        </w:rPr>
        <w:t xml:space="preserve">. وأظهرت نتائج الدراسة أن نجاح تطبيق نماذج التميز المؤسسي يرتبط بشكل أساسي بالتزام القيادة العليا، ووضوح الرؤية الاستراتيجية، وتوافر ثقافة التحسين المستمر، </w:t>
      </w:r>
      <w:r w:rsidRPr="00362D29">
        <w:rPr>
          <w:rFonts w:ascii="Traditional Arabic" w:hAnsi="Traditional Arabic" w:cs="Traditional Arabic"/>
          <w:color w:val="000000" w:themeColor="text1"/>
          <w:sz w:val="24"/>
          <w:szCs w:val="24"/>
          <w:rtl/>
        </w:rPr>
        <w:lastRenderedPageBreak/>
        <w:t>وتمكين العاملين، بينما يعود فشل التطبيق غالبًا إلى ضعف التخطيط، وقصور إدارة التغيير، ونقص الموارد والتدريب. كما أكدت الدراسة أن النموذج الوطني السعودي للتميز المؤسسي يمثل إطارًا متكاملًا يدعم التنافسية المؤسسية ويتماشى مع مستهدفات رؤية المملكة 2030، إلا أن تطبيقه يتطلب جاهزية تنظيمية وثقافة مؤسسية داعمة لضمان الاستدامة وتحقيق النتائج.</w:t>
      </w:r>
    </w:p>
    <w:p w14:paraId="2C94CFFC" w14:textId="2D01BD60" w:rsidR="005C12FA" w:rsidRPr="00362D29" w:rsidRDefault="00947153" w:rsidP="003F2B2E">
      <w:pPr>
        <w:pStyle w:val="ab"/>
        <w:numPr>
          <w:ilvl w:val="0"/>
          <w:numId w:val="11"/>
        </w:numPr>
        <w:bidi/>
        <w:spacing w:line="360" w:lineRule="auto"/>
        <w:jc w:val="both"/>
        <w:rPr>
          <w:rFonts w:ascii="Traditional Arabic" w:hAnsi="Traditional Arabic" w:cs="Traditional Arabic"/>
          <w:color w:val="000000" w:themeColor="text1"/>
        </w:rPr>
      </w:pPr>
      <w:r w:rsidRPr="00362D29">
        <w:rPr>
          <w:rFonts w:ascii="Traditional Arabic" w:hAnsi="Traditional Arabic" w:cs="Traditional Arabic"/>
          <w:b/>
          <w:bCs/>
          <w:color w:val="000000" w:themeColor="text1"/>
          <w:sz w:val="24"/>
          <w:szCs w:val="24"/>
          <w:rtl/>
        </w:rPr>
        <w:t xml:space="preserve">دراسة </w:t>
      </w:r>
      <w:r w:rsidR="005C12FA" w:rsidRPr="00362D29">
        <w:rPr>
          <w:rFonts w:ascii="Traditional Arabic" w:hAnsi="Traditional Arabic" w:cs="Traditional Arabic"/>
          <w:b/>
          <w:bCs/>
          <w:color w:val="000000" w:themeColor="text1"/>
          <w:sz w:val="24"/>
          <w:szCs w:val="24"/>
          <w:rtl/>
        </w:rPr>
        <w:t>(</w:t>
      </w:r>
      <w:r w:rsidRPr="00362D29">
        <w:rPr>
          <w:rFonts w:ascii="Traditional Arabic" w:hAnsi="Traditional Arabic" w:cs="Traditional Arabic"/>
          <w:b/>
          <w:bCs/>
          <w:color w:val="000000" w:themeColor="text1"/>
          <w:sz w:val="24"/>
          <w:szCs w:val="24"/>
          <w:rtl/>
        </w:rPr>
        <w:t>منصور</w:t>
      </w:r>
      <w:r w:rsidR="005C12FA" w:rsidRPr="00362D29">
        <w:rPr>
          <w:rFonts w:ascii="Traditional Arabic" w:hAnsi="Traditional Arabic" w:cs="Traditional Arabic"/>
          <w:b/>
          <w:bCs/>
          <w:color w:val="000000" w:themeColor="text1"/>
          <w:sz w:val="24"/>
          <w:szCs w:val="24"/>
          <w:rtl/>
        </w:rPr>
        <w:t xml:space="preserve">، </w:t>
      </w:r>
      <w:r w:rsidRPr="00362D29">
        <w:rPr>
          <w:rFonts w:ascii="Traditional Arabic" w:hAnsi="Traditional Arabic" w:cs="Traditional Arabic"/>
          <w:b/>
          <w:bCs/>
          <w:color w:val="000000" w:themeColor="text1"/>
          <w:sz w:val="24"/>
          <w:szCs w:val="24"/>
          <w:rtl/>
        </w:rPr>
        <w:t xml:space="preserve">2021) بعنوان </w:t>
      </w:r>
      <w:r w:rsidR="005C12FA" w:rsidRPr="00362D29">
        <w:rPr>
          <w:rFonts w:ascii="Traditional Arabic" w:hAnsi="Traditional Arabic" w:cs="Traditional Arabic"/>
          <w:b/>
          <w:bCs/>
          <w:color w:val="000000" w:themeColor="text1"/>
          <w:sz w:val="24"/>
          <w:szCs w:val="24"/>
          <w:rtl/>
        </w:rPr>
        <w:t>"</w:t>
      </w:r>
      <w:r w:rsidRPr="00362D29">
        <w:rPr>
          <w:rFonts w:ascii="Traditional Arabic" w:hAnsi="Traditional Arabic" w:cs="Traditional Arabic"/>
          <w:b/>
          <w:bCs/>
          <w:color w:val="000000" w:themeColor="text1"/>
          <w:sz w:val="24"/>
          <w:szCs w:val="24"/>
          <w:rtl/>
        </w:rPr>
        <w:t>أثر التميز التنظيمي في جودة الخدمات الصحية بالمستشفيات السودانية: مستشفى علياء التخصصي أنموذجًا</w:t>
      </w:r>
      <w:r w:rsidR="005C12FA" w:rsidRPr="00362D29">
        <w:rPr>
          <w:rFonts w:ascii="Traditional Arabic" w:hAnsi="Traditional Arabic" w:cs="Traditional Arabic"/>
          <w:b/>
          <w:bCs/>
          <w:color w:val="000000" w:themeColor="text1"/>
          <w:sz w:val="24"/>
          <w:szCs w:val="24"/>
          <w:rtl/>
        </w:rPr>
        <w:t>"</w:t>
      </w:r>
      <w:r w:rsidRPr="00362D29">
        <w:rPr>
          <w:rFonts w:ascii="Traditional Arabic" w:hAnsi="Traditional Arabic" w:cs="Traditional Arabic"/>
          <w:color w:val="000000" w:themeColor="text1"/>
          <w:sz w:val="24"/>
          <w:szCs w:val="24"/>
          <w:rtl/>
        </w:rPr>
        <w:t xml:space="preserve"> </w:t>
      </w:r>
    </w:p>
    <w:p w14:paraId="1081B8B8" w14:textId="4307AC52" w:rsidR="00ED5DAB" w:rsidRPr="00362D29" w:rsidRDefault="005C12FA" w:rsidP="00362D29">
      <w:pPr>
        <w:pStyle w:val="ab"/>
        <w:numPr>
          <w:ilvl w:val="0"/>
          <w:numId w:val="15"/>
        </w:numPr>
        <w:bidi/>
        <w:spacing w:line="360" w:lineRule="auto"/>
        <w:jc w:val="both"/>
        <w:rPr>
          <w:rFonts w:ascii="Traditional Arabic" w:hAnsi="Traditional Arabic" w:cs="Traditional Arabic"/>
          <w:color w:val="000000" w:themeColor="text1"/>
        </w:rPr>
      </w:pPr>
      <w:r w:rsidRPr="00362D29">
        <w:rPr>
          <w:rFonts w:ascii="Traditional Arabic" w:hAnsi="Traditional Arabic" w:cs="Traditional Arabic"/>
          <w:color w:val="000000" w:themeColor="text1"/>
          <w:rtl/>
        </w:rPr>
        <w:t>هدفت إلى تقييم أثر ممارسات التميز التنظيمي المتمثلة في (القيادة، التخطيط، إدارة الموارد، والتركيز على العميل) على جودة الخدمات الصحية، كما سعت إلى تحديد مستوى توافر أبعاد التميز التنظيمي في المستشفى محل الدراسة. اعتمدت الدراسة المنهج الوصفي المسحي، واستخدمت استبانة مكوّنة من (</w:t>
      </w:r>
      <w:r w:rsidR="00ED5DAB" w:rsidRPr="00362D29">
        <w:rPr>
          <w:rFonts w:ascii="Traditional Arabic" w:hAnsi="Traditional Arabic" w:cs="Traditional Arabic"/>
          <w:color w:val="000000" w:themeColor="text1"/>
          <w:rtl/>
        </w:rPr>
        <w:t>25</w:t>
      </w:r>
      <w:r w:rsidRPr="00362D29">
        <w:rPr>
          <w:rFonts w:ascii="Traditional Arabic" w:hAnsi="Traditional Arabic" w:cs="Traditional Arabic"/>
          <w:color w:val="000000" w:themeColor="text1"/>
          <w:rtl/>
        </w:rPr>
        <w:t>) عبارة كأداة لجمع البيانات. تمثل مجتمع الدراسة في جميع الأطباء والإداريين والموظفين بمستشفى علياء التخصصي بالخرطوم والبالغ عددهم (</w:t>
      </w:r>
      <w:r w:rsidR="00ED5DAB" w:rsidRPr="00362D29">
        <w:rPr>
          <w:rFonts w:ascii="Traditional Arabic" w:hAnsi="Traditional Arabic" w:cs="Traditional Arabic"/>
          <w:color w:val="000000" w:themeColor="text1"/>
          <w:rtl/>
        </w:rPr>
        <w:t>1700</w:t>
      </w:r>
      <w:r w:rsidRPr="00362D29">
        <w:rPr>
          <w:rFonts w:ascii="Traditional Arabic" w:hAnsi="Traditional Arabic" w:cs="Traditional Arabic"/>
          <w:color w:val="000000" w:themeColor="text1"/>
          <w:rtl/>
        </w:rPr>
        <w:t xml:space="preserve">) موظفًا، </w:t>
      </w:r>
      <w:r w:rsidR="00ED5DAB" w:rsidRPr="00362D29">
        <w:rPr>
          <w:rFonts w:ascii="Traditional Arabic" w:hAnsi="Traditional Arabic" w:cs="Traditional Arabic"/>
          <w:color w:val="000000" w:themeColor="text1"/>
          <w:rtl/>
        </w:rPr>
        <w:t>وبلغت عينة الدراسة (167) تم اختيارهم كعينة عشوائية من الأطباء والاداريين والموظفين</w:t>
      </w:r>
      <w:r w:rsidRPr="00362D29">
        <w:rPr>
          <w:rFonts w:ascii="Traditional Arabic" w:hAnsi="Traditional Arabic" w:cs="Traditional Arabic"/>
          <w:color w:val="000000" w:themeColor="text1"/>
        </w:rPr>
        <w:t>.</w:t>
      </w:r>
      <w:r w:rsidRPr="00362D29">
        <w:rPr>
          <w:rFonts w:ascii="Traditional Arabic" w:hAnsi="Traditional Arabic" w:cs="Traditional Arabic"/>
          <w:color w:val="000000" w:themeColor="text1"/>
          <w:rtl/>
        </w:rPr>
        <w:t xml:space="preserve"> </w:t>
      </w:r>
      <w:r w:rsidRPr="00362D29">
        <w:rPr>
          <w:rFonts w:ascii="Traditional Arabic" w:hAnsi="Traditional Arabic" w:cs="Traditional Arabic"/>
          <w:color w:val="000000" w:themeColor="text1"/>
          <w:sz w:val="24"/>
          <w:szCs w:val="24"/>
          <w:rtl/>
        </w:rPr>
        <w:t>وأظهرت النتائج أن متوسط أبعاد التميز التنظيمي ككل بلغ (3.73 من 5) بتقدير ضعيف، كما تبين وجود علاقة إيجابية ذات دلالة إحصائية عند مستوى</w:t>
      </w:r>
      <w:r w:rsidRPr="00362D29">
        <w:rPr>
          <w:rFonts w:ascii="Traditional Arabic" w:hAnsi="Traditional Arabic" w:cs="Traditional Arabic"/>
          <w:color w:val="000000" w:themeColor="text1"/>
          <w:sz w:val="24"/>
          <w:szCs w:val="24"/>
        </w:rPr>
        <w:t xml:space="preserve"> (</w:t>
      </w:r>
      <w:r w:rsidRPr="00362D29">
        <w:rPr>
          <w:rFonts w:ascii="Cambria" w:hAnsi="Cambria" w:cs="Cambria"/>
          <w:color w:val="000000" w:themeColor="text1"/>
          <w:sz w:val="24"/>
          <w:szCs w:val="24"/>
        </w:rPr>
        <w:t>α</w:t>
      </w:r>
      <w:r w:rsidRPr="00362D29">
        <w:rPr>
          <w:rFonts w:ascii="Traditional Arabic" w:hAnsi="Traditional Arabic" w:cs="Traditional Arabic"/>
          <w:color w:val="000000" w:themeColor="text1"/>
          <w:sz w:val="24"/>
          <w:szCs w:val="24"/>
        </w:rPr>
        <w:t xml:space="preserve"> </w:t>
      </w:r>
      <w:r w:rsidRPr="00362D29">
        <w:rPr>
          <w:rFonts w:ascii="Cambria Math" w:hAnsi="Cambria Math" w:cs="Cambria Math"/>
          <w:color w:val="000000" w:themeColor="text1"/>
          <w:sz w:val="24"/>
          <w:szCs w:val="24"/>
        </w:rPr>
        <w:t>≤</w:t>
      </w:r>
      <w:r w:rsidRPr="00362D29">
        <w:rPr>
          <w:rFonts w:ascii="Traditional Arabic" w:hAnsi="Traditional Arabic" w:cs="Traditional Arabic"/>
          <w:color w:val="000000" w:themeColor="text1"/>
          <w:sz w:val="24"/>
          <w:szCs w:val="24"/>
        </w:rPr>
        <w:t xml:space="preserve"> 0.05) </w:t>
      </w:r>
      <w:r w:rsidRPr="00362D29">
        <w:rPr>
          <w:rFonts w:ascii="Traditional Arabic" w:hAnsi="Traditional Arabic" w:cs="Traditional Arabic"/>
          <w:color w:val="000000" w:themeColor="text1"/>
          <w:sz w:val="24"/>
          <w:szCs w:val="24"/>
          <w:rtl/>
        </w:rPr>
        <w:t>بين ممارسات التميز التنظيمي وجودة الخدمات الصحية، وأن بعد التخطيط حصل على أعلى متوسط (3.52)، يليه التركيز على العميل بمتوسط (3.82)، مما يعكس تأثير أبعاد التميز التنظيمي في تحسين جودة الخدمة الصحية</w:t>
      </w:r>
      <w:r w:rsidRPr="00362D29">
        <w:rPr>
          <w:rFonts w:ascii="Traditional Arabic" w:hAnsi="Traditional Arabic" w:cs="Traditional Arabic"/>
          <w:color w:val="000000" w:themeColor="text1"/>
          <w:sz w:val="24"/>
          <w:szCs w:val="24"/>
        </w:rPr>
        <w:t>.</w:t>
      </w:r>
      <w:r w:rsidR="00ED5DAB" w:rsidRPr="00362D29">
        <w:rPr>
          <w:rFonts w:ascii="Traditional Arabic" w:hAnsi="Traditional Arabic" w:cs="Traditional Arabic"/>
          <w:color w:val="000000" w:themeColor="text1"/>
          <w:rtl/>
        </w:rPr>
        <w:t xml:space="preserve"> كما تبين أن مستوى جودة الخدمات الصحية ككل كان ضعيفًا بمتوسط (3.22). وأكدت النتائج وجود علاقة ارتباط موجبة قوية بين أبعاد التميز التنظيمي وجودة الخدمة الصحية بلغت</w:t>
      </w:r>
      <w:r w:rsidR="00ED5DAB" w:rsidRPr="00362D29">
        <w:rPr>
          <w:rFonts w:ascii="Traditional Arabic" w:hAnsi="Traditional Arabic" w:cs="Traditional Arabic"/>
          <w:color w:val="000000" w:themeColor="text1"/>
        </w:rPr>
        <w:t xml:space="preserve"> (r = 0.795)</w:t>
      </w:r>
      <w:r w:rsidR="00ED5DAB" w:rsidRPr="00362D29">
        <w:rPr>
          <w:rFonts w:ascii="Traditional Arabic" w:hAnsi="Traditional Arabic" w:cs="Traditional Arabic"/>
          <w:color w:val="000000" w:themeColor="text1"/>
          <w:rtl/>
        </w:rPr>
        <w:t>، مما يشير إلى تأثير جوهري لممارسات التميز في تحسين جودة الخدمات الصحية</w:t>
      </w:r>
      <w:r w:rsidR="00ED5DAB" w:rsidRPr="00362D29">
        <w:rPr>
          <w:rFonts w:ascii="Traditional Arabic" w:hAnsi="Traditional Arabic" w:cs="Traditional Arabic"/>
          <w:color w:val="000000" w:themeColor="text1"/>
        </w:rPr>
        <w:t>.</w:t>
      </w:r>
    </w:p>
    <w:p w14:paraId="6C612984" w14:textId="77777777" w:rsidR="003B3512" w:rsidRPr="00362D29" w:rsidRDefault="00A00D63" w:rsidP="003F2B2E">
      <w:pPr>
        <w:pStyle w:val="ab"/>
        <w:numPr>
          <w:ilvl w:val="0"/>
          <w:numId w:val="11"/>
        </w:num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b/>
          <w:bCs/>
          <w:color w:val="000000" w:themeColor="text1"/>
          <w:sz w:val="24"/>
          <w:szCs w:val="24"/>
          <w:rtl/>
        </w:rPr>
        <w:t>دراسة (عبد البصير، 2021) بعنوان "العلاقة بين معايير نموذج التميز المؤسسي والأداء بالمؤسسات الحكومية وأثر ذلك على معدلات التنمية المستدامة (دراسة تطبيقية)"</w:t>
      </w:r>
      <w:r w:rsidRPr="00362D29">
        <w:rPr>
          <w:rFonts w:ascii="Traditional Arabic" w:hAnsi="Traditional Arabic" w:cs="Traditional Arabic"/>
          <w:color w:val="000000" w:themeColor="text1"/>
          <w:sz w:val="24"/>
          <w:szCs w:val="24"/>
          <w:rtl/>
        </w:rPr>
        <w:t xml:space="preserve"> </w:t>
      </w:r>
    </w:p>
    <w:p w14:paraId="4DFB7E2F" w14:textId="475EACD2" w:rsidR="005C12FA" w:rsidRPr="00362D29" w:rsidRDefault="00A00D63" w:rsidP="00362D29">
      <w:pPr>
        <w:pStyle w:val="ab"/>
        <w:numPr>
          <w:ilvl w:val="0"/>
          <w:numId w:val="15"/>
        </w:num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 xml:space="preserve">هدفت </w:t>
      </w:r>
      <w:r w:rsidR="00914F3A" w:rsidRPr="00362D29">
        <w:rPr>
          <w:rFonts w:ascii="Traditional Arabic" w:hAnsi="Traditional Arabic" w:cs="Traditional Arabic"/>
          <w:color w:val="000000" w:themeColor="text1"/>
          <w:sz w:val="24"/>
          <w:szCs w:val="24"/>
          <w:rtl/>
        </w:rPr>
        <w:t>الدراسة</w:t>
      </w:r>
      <w:r w:rsidR="003B3512" w:rsidRPr="00362D29">
        <w:rPr>
          <w:rFonts w:ascii="Traditional Arabic" w:hAnsi="Traditional Arabic" w:cs="Traditional Arabic"/>
          <w:color w:val="000000" w:themeColor="text1"/>
          <w:sz w:val="24"/>
          <w:szCs w:val="24"/>
          <w:rtl/>
        </w:rPr>
        <w:t xml:space="preserve"> إلى توضيح دور تطبيق معايير نموذج التميز المؤسسي ومستوى الأداء بالمؤسسات الحكومية، وكذلك بيان اثر هذا الأداء على معدلات التنمية المستدامة</w:t>
      </w:r>
      <w:r w:rsidRPr="00362D29">
        <w:rPr>
          <w:rFonts w:ascii="Traditional Arabic" w:hAnsi="Traditional Arabic" w:cs="Traditional Arabic"/>
          <w:color w:val="000000" w:themeColor="text1"/>
          <w:sz w:val="24"/>
          <w:szCs w:val="24"/>
          <w:rtl/>
        </w:rPr>
        <w:t xml:space="preserve">. اعتمدت الدراسة على المنهج الوصفي التحليلي، واستخدمت الاستبانة أداةً رئيسة لجمع البيانات. تمثل مجتمع الدراسة </w:t>
      </w:r>
      <w:r w:rsidR="00157E0B" w:rsidRPr="00362D29">
        <w:rPr>
          <w:rFonts w:ascii="Traditional Arabic" w:hAnsi="Traditional Arabic" w:cs="Traditional Arabic"/>
          <w:color w:val="000000" w:themeColor="text1"/>
          <w:sz w:val="24"/>
          <w:szCs w:val="24"/>
          <w:rtl/>
        </w:rPr>
        <w:t xml:space="preserve">جميع العاملين بوزارة الأوقاف المصرية (محل الدراسة) </w:t>
      </w:r>
      <w:r w:rsidR="0079641E" w:rsidRPr="00362D29">
        <w:rPr>
          <w:rFonts w:ascii="Traditional Arabic" w:hAnsi="Traditional Arabic" w:cs="Traditional Arabic"/>
          <w:color w:val="000000" w:themeColor="text1"/>
          <w:sz w:val="24"/>
          <w:szCs w:val="24"/>
          <w:rtl/>
        </w:rPr>
        <w:t xml:space="preserve">ويبلغ عددهم (850) عامل </w:t>
      </w:r>
      <w:r w:rsidRPr="00362D29">
        <w:rPr>
          <w:rFonts w:ascii="Traditional Arabic" w:hAnsi="Traditional Arabic" w:cs="Traditional Arabic"/>
          <w:color w:val="000000" w:themeColor="text1"/>
          <w:sz w:val="24"/>
          <w:szCs w:val="24"/>
          <w:rtl/>
        </w:rPr>
        <w:t xml:space="preserve">، </w:t>
      </w:r>
      <w:r w:rsidR="00A211BE" w:rsidRPr="00362D29">
        <w:rPr>
          <w:rFonts w:ascii="Traditional Arabic" w:hAnsi="Traditional Arabic" w:cs="Traditional Arabic"/>
          <w:color w:val="000000" w:themeColor="text1"/>
          <w:sz w:val="24"/>
          <w:szCs w:val="24"/>
          <w:rtl/>
        </w:rPr>
        <w:t>وتم اختيار عينة عشوائية</w:t>
      </w:r>
      <w:r w:rsidRPr="00362D29">
        <w:rPr>
          <w:rFonts w:ascii="Traditional Arabic" w:hAnsi="Traditional Arabic" w:cs="Traditional Arabic"/>
          <w:color w:val="000000" w:themeColor="text1"/>
          <w:sz w:val="24"/>
          <w:szCs w:val="24"/>
          <w:rtl/>
        </w:rPr>
        <w:t xml:space="preserve"> </w:t>
      </w:r>
      <w:r w:rsidR="00286E6E" w:rsidRPr="00362D29">
        <w:rPr>
          <w:rFonts w:ascii="Traditional Arabic" w:hAnsi="Traditional Arabic" w:cs="Traditional Arabic"/>
          <w:color w:val="000000" w:themeColor="text1"/>
          <w:sz w:val="24"/>
          <w:szCs w:val="24"/>
          <w:rtl/>
        </w:rPr>
        <w:t>بعدد (</w:t>
      </w:r>
      <w:r w:rsidR="002D752D" w:rsidRPr="00362D29">
        <w:rPr>
          <w:rFonts w:ascii="Traditional Arabic" w:hAnsi="Traditional Arabic" w:cs="Traditional Arabic"/>
          <w:color w:val="000000" w:themeColor="text1"/>
          <w:sz w:val="24"/>
          <w:szCs w:val="24"/>
          <w:rtl/>
        </w:rPr>
        <w:t xml:space="preserve">285) </w:t>
      </w:r>
      <w:r w:rsidRPr="00362D29">
        <w:rPr>
          <w:rFonts w:ascii="Traditional Arabic" w:hAnsi="Traditional Arabic" w:cs="Traditional Arabic"/>
          <w:color w:val="000000" w:themeColor="text1"/>
          <w:sz w:val="24"/>
          <w:szCs w:val="24"/>
          <w:rtl/>
        </w:rPr>
        <w:t xml:space="preserve">من العاملين بهذه المؤسسات ممن يشغلون وظائف إدارية وإشرافية، حيث طُبقت عليهم أداة الدراسة بعد التحقق من صدقها وثباتها باستخدام معامل ألفا كرونباخ، والذي بلغ (0.976) لمقياس التميز المؤسسي، مما يدل على ارتفاع درجة الاتساق الداخلي للأداة. وأظهرت النتائج وجود علاقة ذات دلالة إحصائية بين تطبيق معايير نموذج التميز المؤسسي ومستوى الأداء المؤسسي، كما تبين وجود تأثير إيجابي للأداء المؤسسي على معدلات التنمية المستدامة. </w:t>
      </w:r>
    </w:p>
    <w:p w14:paraId="556E41E0" w14:textId="2F019A6B" w:rsidR="00C2039E" w:rsidRPr="00362D29" w:rsidRDefault="00947153" w:rsidP="003F2B2E">
      <w:pPr>
        <w:pStyle w:val="ab"/>
        <w:numPr>
          <w:ilvl w:val="0"/>
          <w:numId w:val="11"/>
        </w:num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b/>
          <w:bCs/>
          <w:color w:val="000000" w:themeColor="text1"/>
          <w:sz w:val="24"/>
          <w:szCs w:val="24"/>
          <w:rtl/>
        </w:rPr>
        <w:lastRenderedPageBreak/>
        <w:t>دراسة</w:t>
      </w:r>
      <w:r w:rsidRPr="00362D29">
        <w:rPr>
          <w:rFonts w:ascii="Traditional Arabic" w:hAnsi="Traditional Arabic" w:cs="Traditional Arabic"/>
          <w:b/>
          <w:bCs/>
          <w:color w:val="000000" w:themeColor="text1"/>
          <w:sz w:val="24"/>
          <w:szCs w:val="24"/>
        </w:rPr>
        <w:t xml:space="preserve"> </w:t>
      </w:r>
      <w:r w:rsidR="00996097" w:rsidRPr="00362D29">
        <w:rPr>
          <w:rFonts w:ascii="Traditional Arabic" w:hAnsi="Traditional Arabic" w:cs="Traditional Arabic"/>
          <w:b/>
          <w:bCs/>
          <w:color w:val="000000" w:themeColor="text1"/>
          <w:sz w:val="24"/>
          <w:szCs w:val="24"/>
        </w:rPr>
        <w:t>(</w:t>
      </w:r>
      <w:r w:rsidRPr="00362D29">
        <w:rPr>
          <w:rFonts w:ascii="Traditional Arabic" w:hAnsi="Traditional Arabic" w:cs="Traditional Arabic"/>
          <w:b/>
          <w:bCs/>
          <w:color w:val="000000" w:themeColor="text1"/>
          <w:sz w:val="24"/>
          <w:szCs w:val="24"/>
        </w:rPr>
        <w:t>Mohamed et al.</w:t>
      </w:r>
      <w:r w:rsidR="00996097" w:rsidRPr="00362D29">
        <w:rPr>
          <w:rFonts w:ascii="Traditional Arabic" w:hAnsi="Traditional Arabic" w:cs="Traditional Arabic"/>
          <w:b/>
          <w:bCs/>
          <w:color w:val="000000" w:themeColor="text1"/>
          <w:sz w:val="24"/>
          <w:szCs w:val="24"/>
        </w:rPr>
        <w:t>,</w:t>
      </w:r>
      <w:r w:rsidRPr="00362D29">
        <w:rPr>
          <w:rFonts w:ascii="Traditional Arabic" w:hAnsi="Traditional Arabic" w:cs="Traditional Arabic"/>
          <w:b/>
          <w:bCs/>
          <w:color w:val="000000" w:themeColor="text1"/>
          <w:sz w:val="24"/>
          <w:szCs w:val="24"/>
        </w:rPr>
        <w:t xml:space="preserve"> 2018) </w:t>
      </w:r>
      <w:r w:rsidRPr="00362D29">
        <w:rPr>
          <w:rFonts w:ascii="Traditional Arabic" w:hAnsi="Traditional Arabic" w:cs="Traditional Arabic"/>
          <w:b/>
          <w:bCs/>
          <w:color w:val="000000" w:themeColor="text1"/>
          <w:sz w:val="24"/>
          <w:szCs w:val="24"/>
          <w:rtl/>
        </w:rPr>
        <w:t>بعنوان</w:t>
      </w:r>
      <w:r w:rsidR="00996097" w:rsidRPr="00362D29">
        <w:rPr>
          <w:rFonts w:ascii="Traditional Arabic" w:hAnsi="Traditional Arabic" w:cs="Traditional Arabic"/>
          <w:b/>
          <w:bCs/>
          <w:color w:val="000000" w:themeColor="text1"/>
          <w:sz w:val="24"/>
          <w:szCs w:val="24"/>
        </w:rPr>
        <w:t>"</w:t>
      </w:r>
      <w:r w:rsidRPr="00362D29">
        <w:rPr>
          <w:rFonts w:ascii="Traditional Arabic" w:hAnsi="Traditional Arabic" w:cs="Traditional Arabic"/>
          <w:b/>
          <w:bCs/>
          <w:color w:val="000000" w:themeColor="text1"/>
          <w:sz w:val="24"/>
          <w:szCs w:val="24"/>
        </w:rPr>
        <w:t>Effect of organizational excellence and employee performance on organizational productivity within healthcare sector in the UAE</w:t>
      </w:r>
      <w:r w:rsidR="00996097" w:rsidRPr="00362D29">
        <w:rPr>
          <w:rFonts w:ascii="Traditional Arabic" w:hAnsi="Traditional Arabic" w:cs="Traditional Arabic"/>
          <w:b/>
          <w:bCs/>
          <w:color w:val="000000" w:themeColor="text1"/>
          <w:sz w:val="24"/>
          <w:szCs w:val="24"/>
        </w:rPr>
        <w:t>"</w:t>
      </w:r>
      <w:r w:rsidRPr="00362D29">
        <w:rPr>
          <w:rFonts w:ascii="Traditional Arabic" w:hAnsi="Traditional Arabic" w:cs="Traditional Arabic"/>
          <w:color w:val="000000" w:themeColor="text1"/>
          <w:sz w:val="24"/>
          <w:szCs w:val="24"/>
          <w:rtl/>
        </w:rPr>
        <w:t>،</w:t>
      </w:r>
      <w:r w:rsidRPr="00362D29">
        <w:rPr>
          <w:rFonts w:ascii="Traditional Arabic" w:hAnsi="Traditional Arabic" w:cs="Traditional Arabic"/>
          <w:sz w:val="24"/>
          <w:szCs w:val="24"/>
          <w:rtl/>
        </w:rPr>
        <w:t xml:space="preserve"> </w:t>
      </w:r>
    </w:p>
    <w:p w14:paraId="0EACBBEF" w14:textId="77777777" w:rsidR="00CA3CC3" w:rsidRPr="00362D29" w:rsidRDefault="00CA3CC3" w:rsidP="00362D29">
      <w:pPr>
        <w:pStyle w:val="ab"/>
        <w:numPr>
          <w:ilvl w:val="0"/>
          <w:numId w:val="15"/>
        </w:num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هدفت الدراسة إلى قياس أثر التميز المؤسسي بأبعاده (مبادئ التميز وممارسات التميز) على الإنتاجية التنظيمية. كما هدفت أيضا الى تحليل تأثير أداء العاملين على الإنتاجية التنظيمية في قطاع الرعاية الصحية بدولة الإمارات العربية المتحدة. استخدمت الدراسة المنهج الكمي التحليلي، واعتمدت نموذج المعادلات الهيكلية بطريقة المربعات الصغرى الجزئية (</w:t>
      </w:r>
      <w:r w:rsidRPr="00362D29">
        <w:rPr>
          <w:rFonts w:ascii="Traditional Arabic" w:hAnsi="Traditional Arabic" w:cs="Traditional Arabic"/>
          <w:color w:val="000000" w:themeColor="text1"/>
          <w:sz w:val="24"/>
          <w:szCs w:val="24"/>
        </w:rPr>
        <w:t>PLS-SEM</w:t>
      </w:r>
      <w:r w:rsidRPr="00362D29">
        <w:rPr>
          <w:rFonts w:ascii="Traditional Arabic" w:hAnsi="Traditional Arabic" w:cs="Traditional Arabic"/>
          <w:color w:val="000000" w:themeColor="text1"/>
          <w:sz w:val="24"/>
          <w:szCs w:val="24"/>
          <w:rtl/>
        </w:rPr>
        <w:t xml:space="preserve">) عبر برنامج </w:t>
      </w:r>
      <w:r w:rsidRPr="00362D29">
        <w:rPr>
          <w:rFonts w:ascii="Traditional Arabic" w:hAnsi="Traditional Arabic" w:cs="Traditional Arabic"/>
          <w:color w:val="000000" w:themeColor="text1"/>
          <w:sz w:val="24"/>
          <w:szCs w:val="24"/>
        </w:rPr>
        <w:t>SmartPLS 3.0</w:t>
      </w:r>
      <w:r w:rsidRPr="00362D29">
        <w:rPr>
          <w:rFonts w:ascii="Traditional Arabic" w:hAnsi="Traditional Arabic" w:cs="Traditional Arabic"/>
          <w:color w:val="000000" w:themeColor="text1"/>
          <w:sz w:val="24"/>
          <w:szCs w:val="24"/>
          <w:rtl/>
        </w:rPr>
        <w:t xml:space="preserve"> لاختبار الفرضيات. تكون مجتمع الدراسة من العاملين في هيئة الصحة بأبوظبي (</w:t>
      </w:r>
      <w:r w:rsidRPr="00362D29">
        <w:rPr>
          <w:rFonts w:ascii="Traditional Arabic" w:hAnsi="Traditional Arabic" w:cs="Traditional Arabic"/>
          <w:color w:val="000000" w:themeColor="text1"/>
          <w:sz w:val="24"/>
          <w:szCs w:val="24"/>
        </w:rPr>
        <w:t>HAAD</w:t>
      </w:r>
      <w:r w:rsidRPr="00362D29">
        <w:rPr>
          <w:rFonts w:ascii="Traditional Arabic" w:hAnsi="Traditional Arabic" w:cs="Traditional Arabic"/>
          <w:color w:val="000000" w:themeColor="text1"/>
          <w:sz w:val="24"/>
          <w:szCs w:val="24"/>
          <w:rtl/>
        </w:rPr>
        <w:t>)، وتم توزيع 400 استبانة، استُرجع منها 290، وبلغت العينة النهائية 256 مفردة أظهرت النتائج وجود تأثير إيجابي دال إحصائياً لكل من مبادئ وممارسات التميز على الإنتاجية التنظيمية. كما وضحت النتائج أن أداء العاملين يُعد المتغير الأكثر تأثيراً على الإنتاجية التنظيمية ، وفسّر النموذج ما نسبته 64%–65% من التباين في الإنتاجية التنظيمية، مما يدل على قوة القدرة التفسيرية للنموذج.</w:t>
      </w:r>
    </w:p>
    <w:p w14:paraId="7B178D8C" w14:textId="5E55BC28" w:rsidR="00CA3CC3" w:rsidRPr="00362D29" w:rsidRDefault="00D261D5" w:rsidP="003F2B2E">
      <w:pPr>
        <w:pStyle w:val="ab"/>
        <w:numPr>
          <w:ilvl w:val="0"/>
          <w:numId w:val="11"/>
        </w:num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b/>
          <w:bCs/>
          <w:color w:val="000000" w:themeColor="text1"/>
          <w:sz w:val="24"/>
          <w:szCs w:val="24"/>
          <w:rtl/>
        </w:rPr>
        <w:t>دراسة</w:t>
      </w:r>
      <w:r w:rsidRPr="00362D29">
        <w:rPr>
          <w:rFonts w:ascii="Traditional Arabic" w:hAnsi="Traditional Arabic" w:cs="Traditional Arabic"/>
          <w:b/>
          <w:bCs/>
          <w:color w:val="000000" w:themeColor="text1"/>
          <w:sz w:val="24"/>
          <w:szCs w:val="24"/>
        </w:rPr>
        <w:t xml:space="preserve"> (Alanazi, 2017)</w:t>
      </w:r>
      <w:r w:rsidR="00BC0CF7" w:rsidRPr="00362D29">
        <w:rPr>
          <w:rFonts w:ascii="Traditional Arabic" w:hAnsi="Traditional Arabic" w:cs="Traditional Arabic"/>
          <w:b/>
          <w:bCs/>
          <w:color w:val="000000" w:themeColor="text1"/>
          <w:sz w:val="24"/>
          <w:szCs w:val="24"/>
        </w:rPr>
        <w:t xml:space="preserve"> </w:t>
      </w:r>
      <w:r w:rsidRPr="00362D29">
        <w:rPr>
          <w:rFonts w:ascii="Traditional Arabic" w:hAnsi="Traditional Arabic" w:cs="Traditional Arabic"/>
          <w:b/>
          <w:bCs/>
          <w:color w:val="000000" w:themeColor="text1"/>
          <w:sz w:val="24"/>
          <w:szCs w:val="24"/>
          <w:rtl/>
        </w:rPr>
        <w:t>بعنوان</w:t>
      </w:r>
      <w:r w:rsidRPr="00362D29">
        <w:rPr>
          <w:rFonts w:ascii="Traditional Arabic" w:hAnsi="Traditional Arabic" w:cs="Traditional Arabic"/>
          <w:b/>
          <w:bCs/>
          <w:color w:val="000000" w:themeColor="text1"/>
          <w:sz w:val="24"/>
          <w:szCs w:val="24"/>
        </w:rPr>
        <w:t xml:space="preserve"> "A Comparative Empirical Investigation of Business Excellence Models in the Kingdom of Saudi Arabia"</w:t>
      </w:r>
      <w:r w:rsidRPr="00362D29">
        <w:rPr>
          <w:rFonts w:ascii="Traditional Arabic" w:hAnsi="Traditional Arabic" w:cs="Traditional Arabic"/>
          <w:b/>
          <w:bCs/>
          <w:color w:val="000000" w:themeColor="text1"/>
          <w:sz w:val="24"/>
          <w:szCs w:val="24"/>
          <w:rtl/>
        </w:rPr>
        <w:t>، وهي رسالة دكتوراه أُنجزت عام 2017 وأُتيحت إلكترونيًا في مستودع جامعة</w:t>
      </w:r>
      <w:r w:rsidRPr="00362D29">
        <w:rPr>
          <w:rFonts w:ascii="Traditional Arabic" w:hAnsi="Traditional Arabic" w:cs="Traditional Arabic"/>
          <w:b/>
          <w:bCs/>
          <w:color w:val="000000" w:themeColor="text1"/>
          <w:sz w:val="24"/>
          <w:szCs w:val="24"/>
        </w:rPr>
        <w:t xml:space="preserve"> Hull </w:t>
      </w:r>
      <w:r w:rsidRPr="00362D29">
        <w:rPr>
          <w:rFonts w:ascii="Traditional Arabic" w:hAnsi="Traditional Arabic" w:cs="Traditional Arabic"/>
          <w:b/>
          <w:bCs/>
          <w:color w:val="000000" w:themeColor="text1"/>
          <w:sz w:val="24"/>
          <w:szCs w:val="24"/>
          <w:rtl/>
        </w:rPr>
        <w:t>عام 2023</w:t>
      </w:r>
      <w:r w:rsidRPr="00362D29">
        <w:rPr>
          <w:rFonts w:ascii="Traditional Arabic" w:hAnsi="Traditional Arabic" w:cs="Traditional Arabic"/>
          <w:b/>
          <w:bCs/>
          <w:color w:val="000000" w:themeColor="text1"/>
          <w:sz w:val="24"/>
          <w:szCs w:val="24"/>
        </w:rPr>
        <w:t xml:space="preserve">. </w:t>
      </w:r>
    </w:p>
    <w:p w14:paraId="736803F4" w14:textId="7FA2F872" w:rsidR="0012486F" w:rsidRPr="00362D29" w:rsidRDefault="00D261D5" w:rsidP="00362D29">
      <w:pPr>
        <w:pStyle w:val="ab"/>
        <w:numPr>
          <w:ilvl w:val="0"/>
          <w:numId w:val="15"/>
        </w:numPr>
        <w:bidi/>
        <w:spacing w:line="360" w:lineRule="auto"/>
        <w:jc w:val="both"/>
        <w:rPr>
          <w:rFonts w:ascii="Traditional Arabic" w:hAnsi="Traditional Arabic" w:cs="Traditional Arabic"/>
          <w:color w:val="000000" w:themeColor="text1"/>
          <w:sz w:val="24"/>
          <w:szCs w:val="24"/>
          <w:rtl/>
        </w:rPr>
      </w:pPr>
      <w:r w:rsidRPr="00362D29">
        <w:rPr>
          <w:rFonts w:ascii="Traditional Arabic" w:hAnsi="Traditional Arabic" w:cs="Traditional Arabic"/>
          <w:color w:val="000000" w:themeColor="text1"/>
          <w:sz w:val="24"/>
          <w:szCs w:val="24"/>
          <w:rtl/>
        </w:rPr>
        <w:t>هدفت الدراسة إلى إجراء مقارنة تجريبية بين نماذج التميز المؤسسي الثلاثة: النموذج الأمريكي (</w:t>
      </w:r>
      <w:r w:rsidRPr="00362D29">
        <w:rPr>
          <w:rFonts w:ascii="Traditional Arabic" w:hAnsi="Traditional Arabic" w:cs="Traditional Arabic"/>
          <w:color w:val="000000" w:themeColor="text1"/>
          <w:sz w:val="24"/>
          <w:szCs w:val="24"/>
        </w:rPr>
        <w:t>Malcolm Baldrige</w:t>
      </w:r>
      <w:r w:rsidRPr="00362D29">
        <w:rPr>
          <w:rFonts w:ascii="Traditional Arabic" w:hAnsi="Traditional Arabic" w:cs="Traditional Arabic"/>
          <w:color w:val="000000" w:themeColor="text1"/>
          <w:sz w:val="24"/>
          <w:szCs w:val="24"/>
          <w:rtl/>
        </w:rPr>
        <w:t>)، والنموذج الأوروبي (</w:t>
      </w:r>
      <w:r w:rsidRPr="00362D29">
        <w:rPr>
          <w:rFonts w:ascii="Traditional Arabic" w:hAnsi="Traditional Arabic" w:cs="Traditional Arabic"/>
          <w:color w:val="000000" w:themeColor="text1"/>
          <w:sz w:val="24"/>
          <w:szCs w:val="24"/>
        </w:rPr>
        <w:t>EFQM</w:t>
      </w:r>
      <w:r w:rsidRPr="00362D29">
        <w:rPr>
          <w:rFonts w:ascii="Traditional Arabic" w:hAnsi="Traditional Arabic" w:cs="Traditional Arabic"/>
          <w:color w:val="000000" w:themeColor="text1"/>
          <w:sz w:val="24"/>
          <w:szCs w:val="24"/>
          <w:rtl/>
        </w:rPr>
        <w:t>)، والنموذج الوطني السعودي (</w:t>
      </w:r>
      <w:r w:rsidRPr="00362D29">
        <w:rPr>
          <w:rFonts w:ascii="Traditional Arabic" w:hAnsi="Traditional Arabic" w:cs="Traditional Arabic"/>
          <w:color w:val="000000" w:themeColor="text1"/>
          <w:sz w:val="24"/>
          <w:szCs w:val="24"/>
        </w:rPr>
        <w:t>KAQA BEM</w:t>
      </w:r>
      <w:r w:rsidRPr="00362D29">
        <w:rPr>
          <w:rFonts w:ascii="Traditional Arabic" w:hAnsi="Traditional Arabic" w:cs="Traditional Arabic"/>
          <w:color w:val="000000" w:themeColor="text1"/>
          <w:sz w:val="24"/>
          <w:szCs w:val="24"/>
          <w:rtl/>
        </w:rPr>
        <w:t xml:space="preserve">)، بهدف تحديد مدى ملاءمة كل نموذج للسياق التنظيمي في المملكة العربية السعودية، وتحليل العلاقات الهيكلية بين معايير كل نموذج ومدى تأثيرها على نتائج الأداء </w:t>
      </w:r>
      <w:r w:rsidR="000037A2" w:rsidRPr="00362D29">
        <w:rPr>
          <w:rFonts w:ascii="Traditional Arabic" w:hAnsi="Traditional Arabic" w:cs="Traditional Arabic"/>
          <w:color w:val="000000" w:themeColor="text1"/>
          <w:sz w:val="24"/>
          <w:szCs w:val="24"/>
          <w:rtl/>
        </w:rPr>
        <w:t>المؤسسي. اعتمدت</w:t>
      </w:r>
      <w:r w:rsidRPr="00362D29">
        <w:rPr>
          <w:rFonts w:ascii="Traditional Arabic" w:hAnsi="Traditional Arabic" w:cs="Traditional Arabic"/>
          <w:color w:val="000000" w:themeColor="text1"/>
          <w:sz w:val="24"/>
          <w:szCs w:val="24"/>
          <w:rtl/>
        </w:rPr>
        <w:t xml:space="preserve"> الدراسة على المنهج الكمي التحليلي، واستخدمت نمذجة المعادلات الهيكلية (</w:t>
      </w:r>
      <w:r w:rsidRPr="00362D29">
        <w:rPr>
          <w:rFonts w:ascii="Traditional Arabic" w:hAnsi="Traditional Arabic" w:cs="Traditional Arabic"/>
          <w:color w:val="000000" w:themeColor="text1"/>
          <w:sz w:val="24"/>
          <w:szCs w:val="24"/>
        </w:rPr>
        <w:t>SEM</w:t>
      </w:r>
      <w:r w:rsidRPr="00362D29">
        <w:rPr>
          <w:rFonts w:ascii="Traditional Arabic" w:hAnsi="Traditional Arabic" w:cs="Traditional Arabic"/>
          <w:color w:val="000000" w:themeColor="text1"/>
          <w:sz w:val="24"/>
          <w:szCs w:val="24"/>
          <w:rtl/>
        </w:rPr>
        <w:t xml:space="preserve">) لاختبار العلاقات بين المعايير المختلفة للنماذج الثلاثة. وتمثل مجتمع الدراسة في المنظمات السعودية التي تطبق نماذج التميز المؤسسي، وبلغت العينة (233) منظمة من قطاعات مختلفة داخل المملكة العربية </w:t>
      </w:r>
      <w:r w:rsidR="000037A2" w:rsidRPr="00362D29">
        <w:rPr>
          <w:rFonts w:ascii="Traditional Arabic" w:hAnsi="Traditional Arabic" w:cs="Traditional Arabic"/>
          <w:color w:val="000000" w:themeColor="text1"/>
          <w:sz w:val="24"/>
          <w:szCs w:val="24"/>
          <w:rtl/>
        </w:rPr>
        <w:t>السعودية. وأظهرت</w:t>
      </w:r>
      <w:r w:rsidRPr="00362D29">
        <w:rPr>
          <w:rFonts w:ascii="Traditional Arabic" w:hAnsi="Traditional Arabic" w:cs="Traditional Arabic"/>
          <w:color w:val="000000" w:themeColor="text1"/>
          <w:sz w:val="24"/>
          <w:szCs w:val="24"/>
          <w:rtl/>
        </w:rPr>
        <w:t xml:space="preserve"> النتائج أن النموذج الوطني السعودي للتميز المؤسسي (</w:t>
      </w:r>
      <w:r w:rsidRPr="00362D29">
        <w:rPr>
          <w:rFonts w:ascii="Traditional Arabic" w:hAnsi="Traditional Arabic" w:cs="Traditional Arabic"/>
          <w:color w:val="000000" w:themeColor="text1"/>
          <w:sz w:val="24"/>
          <w:szCs w:val="24"/>
        </w:rPr>
        <w:t>KAQA BEM</w:t>
      </w:r>
      <w:r w:rsidRPr="00362D29">
        <w:rPr>
          <w:rFonts w:ascii="Traditional Arabic" w:hAnsi="Traditional Arabic" w:cs="Traditional Arabic"/>
          <w:color w:val="000000" w:themeColor="text1"/>
          <w:sz w:val="24"/>
          <w:szCs w:val="24"/>
          <w:rtl/>
        </w:rPr>
        <w:t>) يُعد أكثر ملاءمة للبيئة السعودية مقارنة بالنموذجين الأوروبي والأمريكي، نظرًا لتكييفه مع الخصوصية الثقافية والتنظيمية الوطنية. كما كشفت النتائج عن وجود علاقات ارتباط قوية بين معايير القيادة والتخطيط الاستراتيجي وإدارة العمليات داخل النموذج السعودي، مما يعزز من فعاليته في دعم الأداء المؤسسي المستدام.</w:t>
      </w:r>
    </w:p>
    <w:p w14:paraId="4DAADAC1" w14:textId="77777777" w:rsidR="003F2B2E" w:rsidRDefault="003F2B2E" w:rsidP="00362D29">
      <w:pPr>
        <w:tabs>
          <w:tab w:val="left" w:pos="1074"/>
        </w:tabs>
        <w:bidi/>
        <w:spacing w:before="240" w:after="0" w:line="360" w:lineRule="auto"/>
        <w:rPr>
          <w:rFonts w:ascii="Traditional Arabic" w:hAnsi="Traditional Arabic" w:cs="Traditional Arabic"/>
          <w:b/>
          <w:bCs/>
          <w:color w:val="000000" w:themeColor="text1"/>
          <w:sz w:val="24"/>
          <w:szCs w:val="24"/>
          <w:u w:val="single"/>
          <w:rtl/>
        </w:rPr>
      </w:pPr>
    </w:p>
    <w:p w14:paraId="7006A512" w14:textId="77777777" w:rsidR="003F2B2E" w:rsidRDefault="003F2B2E" w:rsidP="003F2B2E">
      <w:pPr>
        <w:tabs>
          <w:tab w:val="left" w:pos="1074"/>
        </w:tabs>
        <w:bidi/>
        <w:spacing w:before="240" w:after="0" w:line="360" w:lineRule="auto"/>
        <w:rPr>
          <w:rFonts w:ascii="Traditional Arabic" w:hAnsi="Traditional Arabic" w:cs="Traditional Arabic"/>
          <w:b/>
          <w:bCs/>
          <w:color w:val="000000" w:themeColor="text1"/>
          <w:sz w:val="24"/>
          <w:szCs w:val="24"/>
          <w:u w:val="single"/>
          <w:rtl/>
        </w:rPr>
      </w:pPr>
    </w:p>
    <w:p w14:paraId="5431961E" w14:textId="3C713231" w:rsidR="00947153" w:rsidRPr="003F2B2E" w:rsidRDefault="00947153" w:rsidP="003F2B2E">
      <w:pPr>
        <w:tabs>
          <w:tab w:val="left" w:pos="1074"/>
        </w:tabs>
        <w:bidi/>
        <w:spacing w:before="240" w:after="0" w:line="360" w:lineRule="auto"/>
        <w:rPr>
          <w:rFonts w:ascii="Traditional Arabic" w:hAnsi="Traditional Arabic" w:cs="Traditional Arabic"/>
          <w:b/>
          <w:bCs/>
          <w:color w:val="000000" w:themeColor="text1"/>
          <w:sz w:val="32"/>
          <w:szCs w:val="32"/>
          <w:u w:val="single"/>
          <w:rtl/>
        </w:rPr>
      </w:pPr>
      <w:r w:rsidRPr="003F2B2E">
        <w:rPr>
          <w:rFonts w:ascii="Traditional Arabic" w:hAnsi="Traditional Arabic" w:cs="Traditional Arabic"/>
          <w:b/>
          <w:bCs/>
          <w:color w:val="000000" w:themeColor="text1"/>
          <w:sz w:val="32"/>
          <w:szCs w:val="32"/>
          <w:u w:val="single"/>
          <w:rtl/>
        </w:rPr>
        <w:lastRenderedPageBreak/>
        <w:t>ثانياً : الدراسات المتعلقة بمحور تجربة المريض</w:t>
      </w:r>
      <w:r w:rsidR="003F2B2E">
        <w:rPr>
          <w:rFonts w:ascii="Traditional Arabic" w:hAnsi="Traditional Arabic" w:cs="Traditional Arabic" w:hint="cs"/>
          <w:b/>
          <w:bCs/>
          <w:color w:val="000000" w:themeColor="text1"/>
          <w:sz w:val="32"/>
          <w:szCs w:val="32"/>
          <w:u w:val="single"/>
          <w:rtl/>
        </w:rPr>
        <w:t xml:space="preserve"> (المتغير التابع)</w:t>
      </w:r>
    </w:p>
    <w:p w14:paraId="4D15F78C" w14:textId="77777777" w:rsidR="001C0E2F" w:rsidRPr="00362D29" w:rsidRDefault="002C5E94" w:rsidP="00362D29">
      <w:pPr>
        <w:pStyle w:val="ab"/>
        <w:numPr>
          <w:ilvl w:val="0"/>
          <w:numId w:val="23"/>
        </w:numPr>
        <w:bidi/>
        <w:spacing w:before="240" w:after="200" w:line="360" w:lineRule="auto"/>
        <w:jc w:val="both"/>
        <w:rPr>
          <w:rFonts w:ascii="Traditional Arabic" w:hAnsi="Traditional Arabic" w:cs="Traditional Arabic"/>
          <w:color w:val="000000" w:themeColor="text1"/>
        </w:rPr>
      </w:pPr>
      <w:r w:rsidRPr="00362D29">
        <w:rPr>
          <w:rFonts w:ascii="Traditional Arabic" w:hAnsi="Traditional Arabic" w:cs="Traditional Arabic"/>
          <w:b/>
          <w:bCs/>
          <w:color w:val="000000" w:themeColor="text1"/>
          <w:rtl/>
        </w:rPr>
        <w:t>دراسة (</w:t>
      </w:r>
      <w:r w:rsidRPr="00362D29">
        <w:rPr>
          <w:rFonts w:ascii="Traditional Arabic" w:hAnsi="Traditional Arabic" w:cs="Traditional Arabic"/>
          <w:b/>
          <w:bCs/>
          <w:color w:val="000000" w:themeColor="text1"/>
        </w:rPr>
        <w:t>El Dalatony et al., 2026</w:t>
      </w:r>
      <w:r w:rsidRPr="00362D29">
        <w:rPr>
          <w:rFonts w:ascii="Traditional Arabic" w:hAnsi="Traditional Arabic" w:cs="Traditional Arabic"/>
          <w:b/>
          <w:bCs/>
          <w:color w:val="000000" w:themeColor="text1"/>
          <w:rtl/>
        </w:rPr>
        <w:t>) بعنوان"</w:t>
      </w:r>
      <w:r w:rsidRPr="00362D29">
        <w:rPr>
          <w:rFonts w:ascii="Traditional Arabic" w:hAnsi="Traditional Arabic" w:cs="Traditional Arabic"/>
          <w:b/>
          <w:bCs/>
          <w:color w:val="000000" w:themeColor="text1"/>
        </w:rPr>
        <w:t>Assessment of Patient Satisfaction Levels and Determinants in Outpatient Clinics of Ministry of Health Tertiary Hospitals in Saudi Arabia: A Survey Analysis</w:t>
      </w:r>
      <w:r w:rsidRPr="00362D29">
        <w:rPr>
          <w:rFonts w:ascii="Traditional Arabic" w:hAnsi="Traditional Arabic" w:cs="Traditional Arabic"/>
          <w:b/>
          <w:bCs/>
          <w:color w:val="000000" w:themeColor="text1"/>
          <w:rtl/>
        </w:rPr>
        <w:t>"</w:t>
      </w:r>
      <w:r w:rsidRPr="00362D29">
        <w:rPr>
          <w:rFonts w:ascii="Traditional Arabic" w:hAnsi="Traditional Arabic" w:cs="Traditional Arabic"/>
          <w:color w:val="000000" w:themeColor="text1"/>
          <w:rtl/>
        </w:rPr>
        <w:t xml:space="preserve"> </w:t>
      </w:r>
    </w:p>
    <w:p w14:paraId="0EED8602" w14:textId="26D82526" w:rsidR="002C5E94" w:rsidRPr="00362D29" w:rsidRDefault="002C5E94" w:rsidP="00362D29">
      <w:pPr>
        <w:pStyle w:val="ab"/>
        <w:numPr>
          <w:ilvl w:val="0"/>
          <w:numId w:val="15"/>
        </w:numPr>
        <w:bidi/>
        <w:spacing w:before="240" w:after="200" w:line="360" w:lineRule="auto"/>
        <w:jc w:val="both"/>
        <w:rPr>
          <w:rFonts w:ascii="Traditional Arabic" w:hAnsi="Traditional Arabic" w:cs="Traditional Arabic"/>
          <w:color w:val="000000" w:themeColor="text1"/>
        </w:rPr>
      </w:pPr>
      <w:r w:rsidRPr="00362D29">
        <w:rPr>
          <w:rFonts w:ascii="Traditional Arabic" w:hAnsi="Traditional Arabic" w:cs="Traditional Arabic"/>
          <w:color w:val="000000" w:themeColor="text1"/>
          <w:rtl/>
        </w:rPr>
        <w:t xml:space="preserve">هدفت الدراسة إلى تقييم مستويات رضا المرضى عن تجربتهم في تلقي خدمات العيادات الخارجية في مستشفيات وزارة الصحة التخصصية بالمملكة العربية السعودية، كما سعت إلى تحليل محددات الرضا المرتبطة بالعوامل الديموغرافية والإقليمية في ضوء مستهدفات رؤية السعودية 2030 لتحسين جودة الرعاية الصحية. اعتمدت الدراسة المنهج الوصفي التحليلي بتصميم مقطعي وطني، من خلال تحليل ثانوي لبيانات استبيان </w:t>
      </w:r>
      <w:r w:rsidRPr="00362D29">
        <w:rPr>
          <w:rFonts w:ascii="Traditional Arabic" w:hAnsi="Traditional Arabic" w:cs="Traditional Arabic"/>
          <w:color w:val="000000" w:themeColor="text1"/>
        </w:rPr>
        <w:t>Press Ganey</w:t>
      </w:r>
      <w:r w:rsidRPr="00362D29">
        <w:rPr>
          <w:rFonts w:ascii="Traditional Arabic" w:hAnsi="Traditional Arabic" w:cs="Traditional Arabic"/>
          <w:color w:val="000000" w:themeColor="text1"/>
          <w:rtl/>
        </w:rPr>
        <w:t xml:space="preserve"> المعياري المُدار ذاتيًا إلكترونيًا من قبل برنامج قياس تجربة المريض بوزارة الصحة، والذي يوُزِّع عبر الهواتف المحمولة على المرضى بعد زيارتهم للعيادات الخارجية لتقييم تجربة المريض خلال الفترة من يناير إلى ديسمبر 2023 في خمس مناطق جغرافية (الوسطى، الشرقية، الشمالية، الغربية، الجنوبية). شمل الاستبيان 32 سؤالًا موزعة على 10 مجالات، واستخدم مقياس ليكرت خماسي حُوِّل إلى مقياس مئوي (0–100). استُخدم برنامج </w:t>
      </w:r>
      <w:r w:rsidRPr="00362D29">
        <w:rPr>
          <w:rFonts w:ascii="Traditional Arabic" w:hAnsi="Traditional Arabic" w:cs="Traditional Arabic"/>
          <w:color w:val="000000" w:themeColor="text1"/>
        </w:rPr>
        <w:t>SPSS</w:t>
      </w:r>
      <w:r w:rsidRPr="00362D29">
        <w:rPr>
          <w:rFonts w:ascii="Traditional Arabic" w:hAnsi="Traditional Arabic" w:cs="Traditional Arabic"/>
          <w:color w:val="000000" w:themeColor="text1"/>
          <w:rtl/>
        </w:rPr>
        <w:t xml:space="preserve"> للتحليل الإحصائي، مع مجموعة مناسبة من الاختبارات الاحصائية. تكوّن مجتمع الدراسة من جميع المرضى الذين استجابوا للاستبيان الإلكتروني بعد زيارتهم للعيادات الخارجية بمستشفيات وزارة الصحة التخصصية، وبلغ عدد الاستجابات الكلي 124,874 استبيانًا، استُبعد منها غير المكتمل (&lt;50%)، ليبلغ حجم العينة النهائية 110,312 مشاركًا. أظهرت النتائج أن متوسط الرضا العام عن تجربة المرضى بخدمات العيادات الخارجية بلغ 78.4%، مع تسجيل أعلى درجات الرضا في التجربة بخدمات المختبر (85.2%) والصيدلية (84.5%) والأشعة (83.7%)، بينما سجلت مجالات أوقات الانتظار وسهولة الحركة داخل النظام أدنى الدرجات (71.3%). كما بينت النتائج وجود فروق ذات دلالة إحصائية حسب العمر والجنس والمنطقة، حيث سجل كبار السن (</w:t>
      </w:r>
      <w:r w:rsidRPr="00362D29">
        <w:rPr>
          <w:rFonts w:ascii="Cambria Math" w:hAnsi="Cambria Math" w:cs="Cambria Math" w:hint="cs"/>
          <w:color w:val="000000" w:themeColor="text1"/>
          <w:rtl/>
        </w:rPr>
        <w:t>≥</w:t>
      </w:r>
      <w:r w:rsidRPr="00362D29">
        <w:rPr>
          <w:rFonts w:ascii="Traditional Arabic" w:hAnsi="Traditional Arabic" w:cs="Traditional Arabic"/>
          <w:color w:val="000000" w:themeColor="text1"/>
          <w:rtl/>
        </w:rPr>
        <w:t>65 سنة) أعلى مستوى رضا عن تجربتهم (81.1%)، بينما أظهر الشباب (19–29 سنة) أدنى مستويات الرضا، وسجلت المنطقة الجنوبية أعلى رضا عام (82.6%) مقارنة بالمنطقة الغربية التي سجلت الأدنى (74.4%).</w:t>
      </w:r>
    </w:p>
    <w:p w14:paraId="512D3FC3" w14:textId="77777777" w:rsidR="001C0E2F" w:rsidRPr="00362D29" w:rsidRDefault="007B5184" w:rsidP="00362D29">
      <w:pPr>
        <w:pStyle w:val="ab"/>
        <w:numPr>
          <w:ilvl w:val="0"/>
          <w:numId w:val="23"/>
        </w:numPr>
        <w:bidi/>
        <w:spacing w:before="240" w:after="200" w:line="360" w:lineRule="auto"/>
        <w:jc w:val="both"/>
        <w:rPr>
          <w:rFonts w:ascii="Traditional Arabic" w:hAnsi="Traditional Arabic" w:cs="Traditional Arabic"/>
          <w:color w:val="000000" w:themeColor="text1"/>
        </w:rPr>
      </w:pPr>
      <w:r w:rsidRPr="00362D29">
        <w:rPr>
          <w:rFonts w:ascii="Traditional Arabic" w:hAnsi="Traditional Arabic" w:cs="Traditional Arabic"/>
          <w:b/>
          <w:bCs/>
          <w:color w:val="000000" w:themeColor="text1"/>
          <w:sz w:val="24"/>
          <w:szCs w:val="24"/>
          <w:rtl/>
        </w:rPr>
        <w:t xml:space="preserve">دراسة (السنان، 2026) بعنوان </w:t>
      </w:r>
      <w:r w:rsidR="00D3554B" w:rsidRPr="00362D29">
        <w:rPr>
          <w:rFonts w:ascii="Traditional Arabic" w:hAnsi="Traditional Arabic" w:cs="Traditional Arabic"/>
          <w:b/>
          <w:bCs/>
          <w:color w:val="000000" w:themeColor="text1"/>
          <w:sz w:val="24"/>
          <w:szCs w:val="24"/>
          <w:rtl/>
        </w:rPr>
        <w:t>"</w:t>
      </w:r>
      <w:r w:rsidR="00910F1D" w:rsidRPr="00362D29">
        <w:rPr>
          <w:rFonts w:ascii="Traditional Arabic" w:hAnsi="Traditional Arabic" w:cs="Traditional Arabic"/>
          <w:b/>
          <w:bCs/>
          <w:color w:val="000000" w:themeColor="text1"/>
          <w:sz w:val="24"/>
          <w:szCs w:val="24"/>
          <w:rtl/>
        </w:rPr>
        <w:t xml:space="preserve">فعالية تقييم وادارة تجربة المريض وقياس تأثيرها على جودة أداء تمريض </w:t>
      </w:r>
      <w:r w:rsidR="0095463E" w:rsidRPr="00362D29">
        <w:rPr>
          <w:rFonts w:ascii="Traditional Arabic" w:hAnsi="Traditional Arabic" w:cs="Traditional Arabic"/>
          <w:b/>
          <w:bCs/>
          <w:color w:val="000000" w:themeColor="text1"/>
          <w:sz w:val="24"/>
          <w:szCs w:val="24"/>
          <w:rtl/>
        </w:rPr>
        <w:t>الرعاية المنزلية</w:t>
      </w:r>
      <w:r w:rsidR="00910F1D" w:rsidRPr="00362D29">
        <w:rPr>
          <w:rFonts w:ascii="Traditional Arabic" w:hAnsi="Traditional Arabic" w:cs="Traditional Arabic"/>
          <w:b/>
          <w:bCs/>
          <w:color w:val="000000" w:themeColor="text1"/>
          <w:sz w:val="24"/>
          <w:szCs w:val="24"/>
          <w:rtl/>
        </w:rPr>
        <w:t xml:space="preserve"> بالسعودية </w:t>
      </w:r>
      <w:r w:rsidRPr="00362D29">
        <w:rPr>
          <w:rFonts w:ascii="Traditional Arabic" w:hAnsi="Traditional Arabic" w:cs="Traditional Arabic"/>
          <w:b/>
          <w:bCs/>
          <w:color w:val="000000" w:themeColor="text1"/>
          <w:sz w:val="24"/>
          <w:szCs w:val="24"/>
          <w:rtl/>
        </w:rPr>
        <w:t>"</w:t>
      </w:r>
    </w:p>
    <w:p w14:paraId="2717EB8D" w14:textId="5361274B" w:rsidR="00C0331A" w:rsidRPr="00362D29" w:rsidRDefault="00D3554B" w:rsidP="00362D29">
      <w:pPr>
        <w:pStyle w:val="ab"/>
        <w:numPr>
          <w:ilvl w:val="0"/>
          <w:numId w:val="15"/>
        </w:numPr>
        <w:bidi/>
        <w:spacing w:before="240" w:after="200" w:line="360" w:lineRule="auto"/>
        <w:jc w:val="both"/>
        <w:rPr>
          <w:rFonts w:ascii="Traditional Arabic" w:hAnsi="Traditional Arabic" w:cs="Traditional Arabic"/>
          <w:color w:val="000000" w:themeColor="text1"/>
        </w:rPr>
      </w:pPr>
      <w:r w:rsidRPr="00362D29">
        <w:rPr>
          <w:rFonts w:ascii="Traditional Arabic" w:hAnsi="Traditional Arabic" w:cs="Traditional Arabic"/>
          <w:color w:val="000000" w:themeColor="text1"/>
          <w:rtl/>
        </w:rPr>
        <w:t>هدفت الدراسة إلى تحليل العلاقة بين فعالية قياس تجربة المريض بأبعادها المختلفة</w:t>
      </w:r>
      <w:r w:rsidR="006F557F" w:rsidRPr="00362D29">
        <w:rPr>
          <w:rFonts w:ascii="Traditional Arabic" w:hAnsi="Traditional Arabic" w:cs="Traditional Arabic"/>
          <w:color w:val="000000" w:themeColor="text1"/>
          <w:rtl/>
        </w:rPr>
        <w:t xml:space="preserve"> (وضوح الأهداف، الموثوقية، الشمولية، التأثير على تحسين الجودة، استخدام النتائج في اتخاذ القرارات</w:t>
      </w:r>
      <w:r w:rsidR="005C229F" w:rsidRPr="00362D29">
        <w:rPr>
          <w:rFonts w:ascii="Traditional Arabic" w:hAnsi="Traditional Arabic" w:cs="Traditional Arabic"/>
          <w:color w:val="000000" w:themeColor="text1"/>
          <w:rtl/>
        </w:rPr>
        <w:t>)</w:t>
      </w:r>
      <w:r w:rsidR="006F557F" w:rsidRPr="00362D29">
        <w:rPr>
          <w:rFonts w:ascii="Traditional Arabic" w:hAnsi="Traditional Arabic" w:cs="Traditional Arabic"/>
          <w:color w:val="000000" w:themeColor="text1"/>
          <w:rtl/>
        </w:rPr>
        <w:t xml:space="preserve"> </w:t>
      </w:r>
      <w:r w:rsidRPr="00362D29">
        <w:rPr>
          <w:rFonts w:ascii="Traditional Arabic" w:hAnsi="Traditional Arabic" w:cs="Traditional Arabic"/>
          <w:color w:val="000000" w:themeColor="text1"/>
          <w:rtl/>
        </w:rPr>
        <w:t>وجودة أداء تمريض الرعاية الصحية المنزلية في المملكة العربية السعودية، كما سعت إلى توضيح كيفية توظيف نتائج قياس تجربة المريض في تطوير الأداء المهني وتحسين برامج التدريب التمريضي. اعتمدت الدراسة على الفلسفة الوضعية باستخدام النهج الاستنباطي والمنهج الكمي من خلال استراتيجية المسح الميداني، وتم جمع البيانات عبر استبانة محكمة خضعت لاختبارات الصدق والثبات باستخدام معامل كرونباخ ألفا. تكوّن مجتمع الدراسة من جميع الممرضين والممرضات العاملين في الرعاية الصحية المنزلية والبالغ عددهم (1,058) فردًا، وتم اختيار عينة عشوائية بسيطة بلغ حجمها (283) مفردة</w:t>
      </w:r>
      <w:r w:rsidRPr="00362D29">
        <w:rPr>
          <w:rFonts w:ascii="Traditional Arabic" w:hAnsi="Traditional Arabic" w:cs="Traditional Arabic"/>
          <w:color w:val="000000" w:themeColor="text1"/>
        </w:rPr>
        <w:t>.</w:t>
      </w:r>
      <w:r w:rsidR="005C229F" w:rsidRPr="00362D29">
        <w:rPr>
          <w:rFonts w:ascii="Traditional Arabic" w:hAnsi="Traditional Arabic" w:cs="Traditional Arabic"/>
          <w:color w:val="000000" w:themeColor="text1"/>
          <w:rtl/>
        </w:rPr>
        <w:t xml:space="preserve"> </w:t>
      </w:r>
      <w:r w:rsidRPr="00362D29">
        <w:rPr>
          <w:rFonts w:ascii="Traditional Arabic" w:hAnsi="Traditional Arabic" w:cs="Traditional Arabic"/>
          <w:color w:val="000000" w:themeColor="text1"/>
          <w:sz w:val="24"/>
          <w:szCs w:val="24"/>
          <w:rtl/>
        </w:rPr>
        <w:t xml:space="preserve">أظهرت النتائج وجود علاقة إيجابية ذات </w:t>
      </w:r>
      <w:r w:rsidRPr="00362D29">
        <w:rPr>
          <w:rFonts w:ascii="Traditional Arabic" w:hAnsi="Traditional Arabic" w:cs="Traditional Arabic"/>
          <w:color w:val="000000" w:themeColor="text1"/>
          <w:sz w:val="24"/>
          <w:szCs w:val="24"/>
          <w:rtl/>
        </w:rPr>
        <w:lastRenderedPageBreak/>
        <w:t>دلالة إحصائية عند مستوى (0.05) بين فعالية قياس تجربة المريض وجودة أداء التمريض، كما تبين أن بُعد شمولية التقييم يُعد متغيرًا تنبؤيًا مؤثرًا بشكل مباشر في جودة الأداء ، مما يؤكد أهمية تطوير آليات قياس تجربة المريض لتعزيز كفاءة الأداء التمريضي</w:t>
      </w:r>
      <w:r w:rsidRPr="00362D29">
        <w:rPr>
          <w:rFonts w:ascii="Traditional Arabic" w:hAnsi="Traditional Arabic" w:cs="Traditional Arabic"/>
          <w:color w:val="000000" w:themeColor="text1"/>
          <w:sz w:val="24"/>
          <w:szCs w:val="24"/>
        </w:rPr>
        <w:t>.</w:t>
      </w:r>
    </w:p>
    <w:p w14:paraId="7C9192FC" w14:textId="77777777" w:rsidR="001C0E2F" w:rsidRPr="00362D29" w:rsidRDefault="00A55302" w:rsidP="00362D29">
      <w:pPr>
        <w:pStyle w:val="ab"/>
        <w:numPr>
          <w:ilvl w:val="0"/>
          <w:numId w:val="23"/>
        </w:numPr>
        <w:bidi/>
        <w:spacing w:before="240"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b/>
          <w:bCs/>
          <w:color w:val="000000" w:themeColor="text1"/>
          <w:sz w:val="24"/>
          <w:szCs w:val="24"/>
          <w:rtl/>
        </w:rPr>
        <w:t>دراسة (عشوري، 2025) بعنوان "تأثير تجربة المريض على الرضا عن الخدمات الصحية - دراسة ميدانية عينة من مرضى قسم الجراحة في المؤسسة الاستشفائية الحكيم عقبي"</w:t>
      </w:r>
      <w:r w:rsidRPr="00362D29">
        <w:rPr>
          <w:rFonts w:ascii="Traditional Arabic" w:hAnsi="Traditional Arabic" w:cs="Traditional Arabic"/>
          <w:color w:val="000000" w:themeColor="text1"/>
          <w:sz w:val="24"/>
          <w:szCs w:val="24"/>
          <w:rtl/>
        </w:rPr>
        <w:t xml:space="preserve"> </w:t>
      </w:r>
    </w:p>
    <w:p w14:paraId="0D6B53E5" w14:textId="6EEC5BFB" w:rsidR="005C229F" w:rsidRPr="00362D29" w:rsidRDefault="00A55302" w:rsidP="00362D29">
      <w:pPr>
        <w:pStyle w:val="ab"/>
        <w:numPr>
          <w:ilvl w:val="0"/>
          <w:numId w:val="15"/>
        </w:numPr>
        <w:bidi/>
        <w:spacing w:before="240"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 xml:space="preserve">هدفت إلى تحليل أثر أبعاد تجربة المريض (البعد السريري، العاطفي، الإجرائي، المادي) في تفسير مستوى رضا المرضى عن الخدمات الصحية، كما هدفت أيضا إلى اختبار وجود فروق ذات دلالة إحصائية في مستوى الرضا تعزى للمتغيرات الديموغرافية. اعتمدت الدراسة المنهج الوصفي التحليلي، واستخدمت الاستبانة أداةً لجمع البيانات مع تحليلها إحصائيًا باستخدام برنامج </w:t>
      </w:r>
      <w:r w:rsidRPr="00362D29">
        <w:rPr>
          <w:rFonts w:ascii="Traditional Arabic" w:hAnsi="Traditional Arabic" w:cs="Traditional Arabic"/>
          <w:color w:val="000000" w:themeColor="text1"/>
          <w:sz w:val="24"/>
          <w:szCs w:val="24"/>
        </w:rPr>
        <w:t>SPSS</w:t>
      </w:r>
      <w:r w:rsidRPr="00362D29">
        <w:rPr>
          <w:rFonts w:ascii="Traditional Arabic" w:hAnsi="Traditional Arabic" w:cs="Traditional Arabic"/>
          <w:color w:val="000000" w:themeColor="text1"/>
          <w:sz w:val="24"/>
          <w:szCs w:val="24"/>
          <w:rtl/>
        </w:rPr>
        <w:t>. تكوّن مجتمع الدراسة من مرضى قسم الجراحة بالمؤسسة الاستشفائية الحكيم عقبي خلال الفترة ، وتم اعتماد عينة قصدية تضمنت (200) استمارة موزعة، تم استرجاع (186) استمارة بنسبة (93%)، وهو ما تم اعتماده كحجم نهائي للعينة. وأظهرت النتائج وجود أثر ذي دلالة إحصائية لأبعاد تجربة المريض في مستوى الرضا عن الخدمات الصحية،</w:t>
      </w:r>
      <w:r w:rsidR="007B60B4" w:rsidRPr="00362D29">
        <w:rPr>
          <w:rFonts w:ascii="Traditional Arabic" w:hAnsi="Traditional Arabic" w:cs="Traditional Arabic"/>
          <w:color w:val="000000" w:themeColor="text1"/>
          <w:sz w:val="24"/>
          <w:szCs w:val="24"/>
          <w:rtl/>
        </w:rPr>
        <w:t xml:space="preserve"> </w:t>
      </w:r>
      <w:r w:rsidRPr="00362D29">
        <w:rPr>
          <w:rFonts w:ascii="Traditional Arabic" w:hAnsi="Traditional Arabic" w:cs="Traditional Arabic"/>
          <w:color w:val="000000" w:themeColor="text1"/>
          <w:sz w:val="24"/>
          <w:szCs w:val="24"/>
          <w:rtl/>
        </w:rPr>
        <w:t>مع تباين قوة التأثير بين الأبعاد، كما بيّنت وجود فروق ذات دلالة إحصائية في مستوى الرضا تعزى لبعض الخصائص الديموغرافية.</w:t>
      </w:r>
    </w:p>
    <w:p w14:paraId="6D57F89C" w14:textId="62E96F95" w:rsidR="001C0E2F" w:rsidRPr="00362D29" w:rsidRDefault="00E75AFC" w:rsidP="00362D29">
      <w:pPr>
        <w:pStyle w:val="ab"/>
        <w:numPr>
          <w:ilvl w:val="0"/>
          <w:numId w:val="23"/>
        </w:numPr>
        <w:bidi/>
        <w:spacing w:before="240"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b/>
          <w:bCs/>
          <w:color w:val="000000" w:themeColor="text1"/>
          <w:sz w:val="24"/>
          <w:szCs w:val="24"/>
          <w:rtl/>
        </w:rPr>
        <w:t>دراسة (</w:t>
      </w:r>
      <w:r w:rsidRPr="00362D29">
        <w:rPr>
          <w:rFonts w:ascii="Traditional Arabic" w:hAnsi="Traditional Arabic" w:cs="Traditional Arabic"/>
          <w:b/>
          <w:bCs/>
          <w:color w:val="000000" w:themeColor="text1"/>
          <w:sz w:val="24"/>
          <w:szCs w:val="24"/>
        </w:rPr>
        <w:t>Alhuseini et al., 2025</w:t>
      </w:r>
      <w:r w:rsidRPr="00362D29">
        <w:rPr>
          <w:rFonts w:ascii="Traditional Arabic" w:hAnsi="Traditional Arabic" w:cs="Traditional Arabic"/>
          <w:b/>
          <w:bCs/>
          <w:color w:val="000000" w:themeColor="text1"/>
          <w:sz w:val="24"/>
          <w:szCs w:val="24"/>
          <w:rtl/>
        </w:rPr>
        <w:t>)</w:t>
      </w:r>
      <w:r w:rsidR="001C0E2F" w:rsidRPr="00362D29">
        <w:rPr>
          <w:rFonts w:ascii="Traditional Arabic" w:hAnsi="Traditional Arabic" w:cs="Traditional Arabic"/>
          <w:b/>
          <w:bCs/>
          <w:color w:val="000000" w:themeColor="text1"/>
          <w:sz w:val="24"/>
          <w:szCs w:val="24"/>
          <w:rtl/>
        </w:rPr>
        <w:t xml:space="preserve"> </w:t>
      </w:r>
      <w:r w:rsidRPr="00362D29">
        <w:rPr>
          <w:rFonts w:ascii="Traditional Arabic" w:hAnsi="Traditional Arabic" w:cs="Traditional Arabic"/>
          <w:b/>
          <w:bCs/>
          <w:color w:val="000000" w:themeColor="text1"/>
          <w:sz w:val="24"/>
          <w:szCs w:val="24"/>
          <w:rtl/>
        </w:rPr>
        <w:t>بعنوان"</w:t>
      </w:r>
      <w:r w:rsidRPr="00362D29">
        <w:rPr>
          <w:rFonts w:ascii="Traditional Arabic" w:hAnsi="Traditional Arabic" w:cs="Traditional Arabic"/>
          <w:b/>
          <w:bCs/>
          <w:color w:val="000000" w:themeColor="text1"/>
          <w:sz w:val="24"/>
          <w:szCs w:val="24"/>
        </w:rPr>
        <w:t>Navigating the patient experience in primary healthcare clinics in the eastern province of Saudi Arabia: a secondary analysis study</w:t>
      </w:r>
      <w:r w:rsidRPr="00362D29">
        <w:rPr>
          <w:rFonts w:ascii="Traditional Arabic" w:hAnsi="Traditional Arabic" w:cs="Traditional Arabic"/>
          <w:b/>
          <w:bCs/>
          <w:color w:val="000000" w:themeColor="text1"/>
          <w:sz w:val="24"/>
          <w:szCs w:val="24"/>
          <w:rtl/>
        </w:rPr>
        <w:t>"</w:t>
      </w:r>
      <w:r w:rsidRPr="00362D29">
        <w:rPr>
          <w:rFonts w:ascii="Traditional Arabic" w:hAnsi="Traditional Arabic" w:cs="Traditional Arabic"/>
          <w:color w:val="000000" w:themeColor="text1"/>
          <w:sz w:val="24"/>
          <w:szCs w:val="24"/>
          <w:rtl/>
        </w:rPr>
        <w:t xml:space="preserve"> </w:t>
      </w:r>
    </w:p>
    <w:p w14:paraId="6D2A3CE4" w14:textId="3C18CEF0" w:rsidR="00E75AFC" w:rsidRPr="00362D29" w:rsidRDefault="00E75AFC" w:rsidP="00362D29">
      <w:pPr>
        <w:pStyle w:val="ab"/>
        <w:numPr>
          <w:ilvl w:val="0"/>
          <w:numId w:val="15"/>
        </w:numPr>
        <w:bidi/>
        <w:spacing w:before="240"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 xml:space="preserve">هدفت الدراسة إلى تحليل اتجاهات تجربة المريض في مراكز الرعاية الصحية الأولية التابعة للتجمع الصحي الشرقي في المملكة العربية السعودية خلال عامي 2022–2023، وتحديد العوامل الديموغرافية والتنظيمية المؤثرة في مستويات الرضا. كما هدفت إلى مقارنة مستويات تجربة المريض عبر الشبكات الصحية المختلفة واختبار الفروق الإحصائية، </w:t>
      </w:r>
      <w:r w:rsidR="001C0E2F" w:rsidRPr="00362D29">
        <w:rPr>
          <w:rFonts w:ascii="Traditional Arabic" w:hAnsi="Traditional Arabic" w:cs="Traditional Arabic"/>
          <w:color w:val="000000" w:themeColor="text1"/>
          <w:sz w:val="24"/>
          <w:szCs w:val="24"/>
          <w:rtl/>
        </w:rPr>
        <w:t>وفق العمر ،</w:t>
      </w:r>
      <w:r w:rsidR="00B114CF" w:rsidRPr="00362D29">
        <w:rPr>
          <w:rFonts w:ascii="Traditional Arabic" w:hAnsi="Traditional Arabic" w:cs="Traditional Arabic"/>
          <w:color w:val="000000" w:themeColor="text1"/>
          <w:sz w:val="24"/>
          <w:szCs w:val="24"/>
          <w:rtl/>
        </w:rPr>
        <w:t>والجنس،</w:t>
      </w:r>
      <w:r w:rsidRPr="00362D29">
        <w:rPr>
          <w:rFonts w:ascii="Traditional Arabic" w:hAnsi="Traditional Arabic" w:cs="Traditional Arabic"/>
          <w:color w:val="000000" w:themeColor="text1"/>
          <w:sz w:val="24"/>
          <w:szCs w:val="24"/>
          <w:rtl/>
        </w:rPr>
        <w:t xml:space="preserve"> والسنة. اعتمدت الدراسة المنهج الوصفي التحليلي القائم على التحليل الثانوي لبيانات برنامج قياس تجربة المريض بوزارة الصحة باستخدام أداة </w:t>
      </w:r>
      <w:r w:rsidRPr="00362D29">
        <w:rPr>
          <w:rFonts w:ascii="Traditional Arabic" w:hAnsi="Traditional Arabic" w:cs="Traditional Arabic"/>
          <w:color w:val="000000" w:themeColor="text1"/>
          <w:sz w:val="24"/>
          <w:szCs w:val="24"/>
        </w:rPr>
        <w:t>Press Ganey</w:t>
      </w:r>
      <w:r w:rsidRPr="00362D29">
        <w:rPr>
          <w:rFonts w:ascii="Traditional Arabic" w:hAnsi="Traditional Arabic" w:cs="Traditional Arabic"/>
          <w:color w:val="000000" w:themeColor="text1"/>
          <w:sz w:val="24"/>
          <w:szCs w:val="24"/>
          <w:rtl/>
        </w:rPr>
        <w:t>، مع تطبيق اختبارات إحصائية شملت (</w:t>
      </w:r>
      <w:r w:rsidRPr="00362D29">
        <w:rPr>
          <w:rFonts w:ascii="Traditional Arabic" w:hAnsi="Traditional Arabic" w:cs="Traditional Arabic"/>
          <w:color w:val="000000" w:themeColor="text1"/>
          <w:sz w:val="24"/>
          <w:szCs w:val="24"/>
        </w:rPr>
        <w:t>t-test</w:t>
      </w:r>
      <w:r w:rsidRPr="00362D29">
        <w:rPr>
          <w:rFonts w:ascii="Traditional Arabic" w:hAnsi="Traditional Arabic" w:cs="Traditional Arabic"/>
          <w:color w:val="000000" w:themeColor="text1"/>
          <w:sz w:val="24"/>
          <w:szCs w:val="24"/>
          <w:rtl/>
        </w:rPr>
        <w:t>) و(</w:t>
      </w:r>
      <w:r w:rsidRPr="00362D29">
        <w:rPr>
          <w:rFonts w:ascii="Traditional Arabic" w:hAnsi="Traditional Arabic" w:cs="Traditional Arabic"/>
          <w:color w:val="000000" w:themeColor="text1"/>
          <w:sz w:val="24"/>
          <w:szCs w:val="24"/>
        </w:rPr>
        <w:t>one-way ANOVA</w:t>
      </w:r>
      <w:r w:rsidRPr="00362D29">
        <w:rPr>
          <w:rFonts w:ascii="Traditional Arabic" w:hAnsi="Traditional Arabic" w:cs="Traditional Arabic"/>
          <w:color w:val="000000" w:themeColor="text1"/>
          <w:sz w:val="24"/>
          <w:szCs w:val="24"/>
          <w:rtl/>
        </w:rPr>
        <w:t xml:space="preserve">) لتحليل الفروق بين </w:t>
      </w:r>
      <w:r w:rsidR="001C0E2F" w:rsidRPr="00362D29">
        <w:rPr>
          <w:rFonts w:ascii="Traditional Arabic" w:hAnsi="Traditional Arabic" w:cs="Traditional Arabic"/>
          <w:color w:val="000000" w:themeColor="text1"/>
          <w:sz w:val="24"/>
          <w:szCs w:val="24"/>
          <w:rtl/>
        </w:rPr>
        <w:t>المجموعات. تكون</w:t>
      </w:r>
      <w:r w:rsidRPr="00362D29">
        <w:rPr>
          <w:rFonts w:ascii="Traditional Arabic" w:hAnsi="Traditional Arabic" w:cs="Traditional Arabic"/>
          <w:color w:val="000000" w:themeColor="text1"/>
          <w:sz w:val="24"/>
          <w:szCs w:val="24"/>
          <w:rtl/>
        </w:rPr>
        <w:t xml:space="preserve"> مجتمع الدراسة من جميع المرضى الذين زاروا 60 مركز رعاية صحية أولية حضرية ضمن التجمع الصحي الشرقي خلال الفترة من 1 يناير 2022 حتى 31 ديسمبر 2023، حيث تم إرسال الاستبيان إلى 106,168 مراجعًا، واستُخدم في التحليل 81,211 استبانة مكتملة بنسبة استجابة بلغت 76.5%. أظهرت النتائج أن متوسط تجربة المريض الكلي بلغ 85.4%، مع أعلى رضا في مجال التسجيل (88.6%) وأدنى رضا في مجال “الانتقال خلال الزيارة” (79%). كما تبين من النتائج وجود فروق ذات دلالة إحصائية حسب العمر، حيث سجل المرضى بعمر </w:t>
      </w:r>
      <w:r w:rsidRPr="00362D29">
        <w:rPr>
          <w:rFonts w:ascii="Cambria Math" w:hAnsi="Cambria Math" w:cs="Cambria Math" w:hint="cs"/>
          <w:color w:val="000000" w:themeColor="text1"/>
          <w:sz w:val="24"/>
          <w:szCs w:val="24"/>
          <w:rtl/>
        </w:rPr>
        <w:t>≥</w:t>
      </w:r>
      <w:r w:rsidRPr="00362D29">
        <w:rPr>
          <w:rFonts w:ascii="Traditional Arabic" w:hAnsi="Traditional Arabic" w:cs="Traditional Arabic"/>
          <w:color w:val="000000" w:themeColor="text1"/>
          <w:sz w:val="24"/>
          <w:szCs w:val="24"/>
          <w:rtl/>
        </w:rPr>
        <w:t>65 سنة أعلى متوسط رضا (4.48)، مقارنة بالفئة 18–34 سنة (4.07)، وكذلك تحسن مستوى الرضا من 84% في عام 2022 إلى 86.4% في عام 2023 (</w:t>
      </w:r>
      <w:r w:rsidRPr="00362D29">
        <w:rPr>
          <w:rFonts w:ascii="Traditional Arabic" w:hAnsi="Traditional Arabic" w:cs="Traditional Arabic"/>
          <w:color w:val="000000" w:themeColor="text1"/>
          <w:sz w:val="24"/>
          <w:szCs w:val="24"/>
        </w:rPr>
        <w:t>p &lt; 0.05</w:t>
      </w:r>
      <w:r w:rsidRPr="00362D29">
        <w:rPr>
          <w:rFonts w:ascii="Traditional Arabic" w:hAnsi="Traditional Arabic" w:cs="Traditional Arabic"/>
          <w:color w:val="000000" w:themeColor="text1"/>
          <w:sz w:val="24"/>
          <w:szCs w:val="24"/>
          <w:rtl/>
        </w:rPr>
        <w:t>).</w:t>
      </w:r>
    </w:p>
    <w:p w14:paraId="516253DD" w14:textId="77777777" w:rsidR="007F72EB" w:rsidRPr="00937192" w:rsidRDefault="007F72EB" w:rsidP="00362D29">
      <w:pPr>
        <w:pStyle w:val="ab"/>
        <w:numPr>
          <w:ilvl w:val="0"/>
          <w:numId w:val="23"/>
        </w:numPr>
        <w:bidi/>
        <w:spacing w:before="240" w:after="200" w:line="360" w:lineRule="auto"/>
        <w:jc w:val="both"/>
        <w:rPr>
          <w:rFonts w:ascii="Traditional Arabic" w:hAnsi="Traditional Arabic" w:cs="Traditional Arabic"/>
          <w:b/>
          <w:bCs/>
          <w:color w:val="000000" w:themeColor="text1"/>
          <w:sz w:val="24"/>
          <w:szCs w:val="24"/>
        </w:rPr>
      </w:pPr>
      <w:r w:rsidRPr="00937192">
        <w:rPr>
          <w:rFonts w:ascii="Traditional Arabic" w:hAnsi="Traditional Arabic" w:cs="Traditional Arabic"/>
          <w:b/>
          <w:bCs/>
          <w:color w:val="000000" w:themeColor="text1"/>
          <w:sz w:val="24"/>
          <w:szCs w:val="24"/>
          <w:rtl/>
        </w:rPr>
        <w:lastRenderedPageBreak/>
        <w:t>دراسة</w:t>
      </w:r>
      <w:r w:rsidRPr="00937192">
        <w:rPr>
          <w:rFonts w:ascii="Traditional Arabic" w:hAnsi="Traditional Arabic" w:cs="Traditional Arabic"/>
          <w:b/>
          <w:bCs/>
          <w:color w:val="000000" w:themeColor="text1"/>
          <w:sz w:val="24"/>
          <w:szCs w:val="24"/>
        </w:rPr>
        <w:t xml:space="preserve">  (Adams et al., 2025)</w:t>
      </w:r>
      <w:r w:rsidRPr="00937192">
        <w:rPr>
          <w:rFonts w:ascii="Traditional Arabic" w:hAnsi="Traditional Arabic" w:cs="Traditional Arabic"/>
          <w:b/>
          <w:bCs/>
          <w:color w:val="000000" w:themeColor="text1"/>
          <w:sz w:val="24"/>
          <w:szCs w:val="24"/>
          <w:rtl/>
        </w:rPr>
        <w:t>بعنوان</w:t>
      </w:r>
      <w:r w:rsidRPr="00937192">
        <w:rPr>
          <w:rFonts w:ascii="Traditional Arabic" w:hAnsi="Traditional Arabic" w:cs="Traditional Arabic"/>
          <w:b/>
          <w:bCs/>
          <w:color w:val="000000" w:themeColor="text1"/>
          <w:sz w:val="24"/>
          <w:szCs w:val="24"/>
        </w:rPr>
        <w:t>: The three pillars of patient experience" identifying key drivers of patient experience to improve quality in healthcare"</w:t>
      </w:r>
    </w:p>
    <w:p w14:paraId="29999C49" w14:textId="1E7D8BA1" w:rsidR="00896E75" w:rsidRPr="00362D29" w:rsidRDefault="007F72EB" w:rsidP="00362D29">
      <w:pPr>
        <w:pStyle w:val="ab"/>
        <w:numPr>
          <w:ilvl w:val="0"/>
          <w:numId w:val="15"/>
        </w:numPr>
        <w:bidi/>
        <w:spacing w:before="240"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هدفت الدراسة إلى تحقيق هدفين رئيسيين: الأول تحديد العوامل الرئيسية المحركة لتجربة المريض داخل المستشفيات، والثاني تقييم مدى فاعلية التعليقات النصية الحرة للمرضى في توجيه جهود تحسين الجودة. اعتمدت الدراسة على منهجية تحليل ثانوي لبيانات مسحية مقطعية (</w:t>
      </w:r>
      <w:r w:rsidRPr="00362D29">
        <w:rPr>
          <w:rFonts w:ascii="Traditional Arabic" w:hAnsi="Traditional Arabic" w:cs="Traditional Arabic"/>
          <w:color w:val="000000" w:themeColor="text1"/>
          <w:sz w:val="24"/>
          <w:szCs w:val="24"/>
        </w:rPr>
        <w:t>Cross-sectional survey data</w:t>
      </w:r>
      <w:r w:rsidRPr="00362D29">
        <w:rPr>
          <w:rFonts w:ascii="Traditional Arabic" w:hAnsi="Traditional Arabic" w:cs="Traditional Arabic"/>
          <w:color w:val="000000" w:themeColor="text1"/>
          <w:sz w:val="24"/>
          <w:szCs w:val="24"/>
          <w:rtl/>
        </w:rPr>
        <w:t xml:space="preserve">) باستخدام أداة </w:t>
      </w:r>
      <w:r w:rsidRPr="00362D29">
        <w:rPr>
          <w:rFonts w:ascii="Traditional Arabic" w:hAnsi="Traditional Arabic" w:cs="Traditional Arabic"/>
          <w:color w:val="000000" w:themeColor="text1"/>
          <w:sz w:val="24"/>
          <w:szCs w:val="24"/>
        </w:rPr>
        <w:t>Net Promoter Score (NPS)</w:t>
      </w:r>
      <w:r w:rsidRPr="00362D29">
        <w:rPr>
          <w:rFonts w:ascii="Traditional Arabic" w:hAnsi="Traditional Arabic" w:cs="Traditional Arabic"/>
          <w:color w:val="000000" w:themeColor="text1"/>
          <w:sz w:val="24"/>
          <w:szCs w:val="24"/>
          <w:rtl/>
        </w:rPr>
        <w:t>، مع تطبيق التحليل الموضوعي الانعكاسي (</w:t>
      </w:r>
      <w:r w:rsidRPr="00362D29">
        <w:rPr>
          <w:rFonts w:ascii="Traditional Arabic" w:hAnsi="Traditional Arabic" w:cs="Traditional Arabic"/>
          <w:color w:val="000000" w:themeColor="text1"/>
          <w:sz w:val="24"/>
          <w:szCs w:val="24"/>
        </w:rPr>
        <w:t>Reflexive Thematic Analysis</w:t>
      </w:r>
      <w:r w:rsidRPr="00362D29">
        <w:rPr>
          <w:rFonts w:ascii="Traditional Arabic" w:hAnsi="Traditional Arabic" w:cs="Traditional Arabic"/>
          <w:color w:val="000000" w:themeColor="text1"/>
          <w:sz w:val="24"/>
          <w:szCs w:val="24"/>
          <w:rtl/>
        </w:rPr>
        <w:t xml:space="preserve">) لاستخلاص الأنماط الدلالية من تعليقات المرضى. تمثل مجتمع الدراسة في جميع المرضى الذين تم إدخالهم إلى مستشفى عام تخصصي في سيدني – أستراليا، حيث بلغ عدد الاستجابات الكلي (1506) استجابة خلال فترة ستة أشهر. أما العينة التحليلية فقد بلغت (450) تعليقًا تم اختيارها عشوائيًا بواقع (150) تعليقًا من كل فئة من فئات </w:t>
      </w:r>
      <w:r w:rsidRPr="00362D29">
        <w:rPr>
          <w:rFonts w:ascii="Traditional Arabic" w:hAnsi="Traditional Arabic" w:cs="Traditional Arabic"/>
          <w:color w:val="000000" w:themeColor="text1"/>
          <w:sz w:val="24"/>
          <w:szCs w:val="24"/>
        </w:rPr>
        <w:t>NPS</w:t>
      </w:r>
      <w:r w:rsidRPr="00362D29">
        <w:rPr>
          <w:rFonts w:ascii="Traditional Arabic" w:hAnsi="Traditional Arabic" w:cs="Traditional Arabic"/>
          <w:color w:val="000000" w:themeColor="text1"/>
          <w:sz w:val="24"/>
          <w:szCs w:val="24"/>
          <w:rtl/>
        </w:rPr>
        <w:t xml:space="preserve"> الثلاث (إيجابي، محايد، سلبي). وأظهرت النتائج تحديد ثلاث محركات رئيسية لتجربة المريض تمثلت في: (1) تقديم علاج آمن وفي الوقت المناسب وفعّال، (2) بناء علاقات إنسانية مع طاقم يتسم بالرعاية والانتباه، (3) توفير بيئة مريحة ومعززة للشفاء. كما كشفت النتائج أن التعليقات السلبية كانت أكثر تحديدًا وتفصيلًا مقارنة بالتعليقات الإيجابية، مما يجعلها أكثر فائدة في توجيه أنشطة تحسين الجودة.</w:t>
      </w:r>
    </w:p>
    <w:p w14:paraId="771B8709" w14:textId="4FA9366C" w:rsidR="001C0E2F" w:rsidRPr="00362D29" w:rsidRDefault="0026004E" w:rsidP="00362D29">
      <w:pPr>
        <w:pStyle w:val="ab"/>
        <w:numPr>
          <w:ilvl w:val="0"/>
          <w:numId w:val="23"/>
        </w:numPr>
        <w:bidi/>
        <w:spacing w:before="240"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b/>
          <w:bCs/>
          <w:color w:val="000000" w:themeColor="text1"/>
          <w:sz w:val="24"/>
          <w:szCs w:val="24"/>
          <w:rtl/>
        </w:rPr>
        <w:t>دراسة (</w:t>
      </w:r>
      <w:r w:rsidRPr="00362D29">
        <w:rPr>
          <w:rFonts w:ascii="Traditional Arabic" w:hAnsi="Traditional Arabic" w:cs="Traditional Arabic"/>
          <w:b/>
          <w:bCs/>
          <w:color w:val="000000" w:themeColor="text1"/>
          <w:sz w:val="24"/>
          <w:szCs w:val="24"/>
        </w:rPr>
        <w:t>Alsubahi et al., 2025</w:t>
      </w:r>
      <w:r w:rsidRPr="00362D29">
        <w:rPr>
          <w:rFonts w:ascii="Traditional Arabic" w:hAnsi="Traditional Arabic" w:cs="Traditional Arabic"/>
          <w:b/>
          <w:bCs/>
          <w:color w:val="000000" w:themeColor="text1"/>
          <w:sz w:val="24"/>
          <w:szCs w:val="24"/>
          <w:rtl/>
        </w:rPr>
        <w:t>)</w:t>
      </w:r>
      <w:r w:rsidR="00FA7CB7" w:rsidRPr="00362D29">
        <w:rPr>
          <w:rFonts w:ascii="Traditional Arabic" w:hAnsi="Traditional Arabic" w:cs="Traditional Arabic"/>
          <w:b/>
          <w:bCs/>
          <w:color w:val="000000" w:themeColor="text1"/>
          <w:sz w:val="24"/>
          <w:szCs w:val="24"/>
          <w:rtl/>
        </w:rPr>
        <w:t xml:space="preserve"> </w:t>
      </w:r>
      <w:r w:rsidRPr="00362D29">
        <w:rPr>
          <w:rFonts w:ascii="Traditional Arabic" w:hAnsi="Traditional Arabic" w:cs="Traditional Arabic"/>
          <w:b/>
          <w:bCs/>
          <w:color w:val="000000" w:themeColor="text1"/>
          <w:sz w:val="24"/>
          <w:szCs w:val="24"/>
          <w:rtl/>
        </w:rPr>
        <w:t>بعنوان</w:t>
      </w:r>
      <w:r w:rsidRPr="00362D29">
        <w:rPr>
          <w:rFonts w:ascii="Traditional Arabic" w:hAnsi="Traditional Arabic" w:cs="Traditional Arabic"/>
          <w:b/>
          <w:bCs/>
          <w:color w:val="000000" w:themeColor="text1"/>
          <w:sz w:val="24"/>
          <w:szCs w:val="24"/>
        </w:rPr>
        <w:t>"The Association Between Patient-Reported Experience Measures and Patient-Reported Outcome Measures Among Patients With Diabetes in the Kingdom of Saudi Arabia</w:t>
      </w:r>
      <w:r w:rsidR="00FA7CB7" w:rsidRPr="00362D29">
        <w:rPr>
          <w:rFonts w:ascii="Traditional Arabic" w:hAnsi="Traditional Arabic" w:cs="Traditional Arabic"/>
          <w:b/>
          <w:bCs/>
          <w:color w:val="000000" w:themeColor="text1"/>
          <w:sz w:val="24"/>
          <w:szCs w:val="24"/>
        </w:rPr>
        <w:t>"</w:t>
      </w:r>
      <w:r w:rsidRPr="00362D29">
        <w:rPr>
          <w:rFonts w:ascii="Traditional Arabic" w:hAnsi="Traditional Arabic" w:cs="Traditional Arabic"/>
          <w:color w:val="000000" w:themeColor="text1"/>
          <w:sz w:val="24"/>
          <w:szCs w:val="24"/>
          <w:rtl/>
        </w:rPr>
        <w:t xml:space="preserve"> </w:t>
      </w:r>
    </w:p>
    <w:p w14:paraId="1B473121" w14:textId="24694F7F" w:rsidR="0026004E" w:rsidRPr="00362D29" w:rsidRDefault="0026004E" w:rsidP="00362D29">
      <w:pPr>
        <w:pStyle w:val="ab"/>
        <w:numPr>
          <w:ilvl w:val="0"/>
          <w:numId w:val="15"/>
        </w:numPr>
        <w:bidi/>
        <w:spacing w:before="240"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هدفت الدراسة إلى تقييم العلاقة بين مقاييس تجربة المريض (</w:t>
      </w:r>
      <w:r w:rsidRPr="00362D29">
        <w:rPr>
          <w:rFonts w:ascii="Traditional Arabic" w:hAnsi="Traditional Arabic" w:cs="Traditional Arabic"/>
          <w:color w:val="000000" w:themeColor="text1"/>
          <w:sz w:val="24"/>
          <w:szCs w:val="24"/>
        </w:rPr>
        <w:t>PREMs</w:t>
      </w:r>
      <w:r w:rsidRPr="00362D29">
        <w:rPr>
          <w:rFonts w:ascii="Traditional Arabic" w:hAnsi="Traditional Arabic" w:cs="Traditional Arabic"/>
          <w:color w:val="000000" w:themeColor="text1"/>
          <w:sz w:val="24"/>
          <w:szCs w:val="24"/>
          <w:rtl/>
        </w:rPr>
        <w:t>) ومقاييس النتائج المبلغ عنها من قبل المرضى (</w:t>
      </w:r>
      <w:r w:rsidRPr="00362D29">
        <w:rPr>
          <w:rFonts w:ascii="Traditional Arabic" w:hAnsi="Traditional Arabic" w:cs="Traditional Arabic"/>
          <w:color w:val="000000" w:themeColor="text1"/>
          <w:sz w:val="24"/>
          <w:szCs w:val="24"/>
        </w:rPr>
        <w:t>PROMs</w:t>
      </w:r>
      <w:r w:rsidRPr="00362D29">
        <w:rPr>
          <w:rFonts w:ascii="Traditional Arabic" w:hAnsi="Traditional Arabic" w:cs="Traditional Arabic"/>
          <w:color w:val="000000" w:themeColor="text1"/>
          <w:sz w:val="24"/>
          <w:szCs w:val="24"/>
          <w:rtl/>
        </w:rPr>
        <w:t xml:space="preserve">) لدى مرضى السكري في المملكة العربية السعودية، كما سعت إلى تحليل هذه العلاقة على المستوى الكلي والبعدي لمجالات </w:t>
      </w:r>
      <w:r w:rsidRPr="00362D29">
        <w:rPr>
          <w:rFonts w:ascii="Traditional Arabic" w:hAnsi="Traditional Arabic" w:cs="Traditional Arabic"/>
          <w:color w:val="000000" w:themeColor="text1"/>
          <w:sz w:val="24"/>
          <w:szCs w:val="24"/>
        </w:rPr>
        <w:t>PROMs</w:t>
      </w:r>
      <w:r w:rsidRPr="00362D29">
        <w:rPr>
          <w:rFonts w:ascii="Traditional Arabic" w:hAnsi="Traditional Arabic" w:cs="Traditional Arabic"/>
          <w:color w:val="000000" w:themeColor="text1"/>
          <w:sz w:val="24"/>
          <w:szCs w:val="24"/>
          <w:rtl/>
        </w:rPr>
        <w:t xml:space="preserve"> في سياق الرعاية القائمة على القيمة. اعتمدت الدراسة المنهج الكمي المقطعي (</w:t>
      </w:r>
      <w:r w:rsidRPr="00362D29">
        <w:rPr>
          <w:rFonts w:ascii="Traditional Arabic" w:hAnsi="Traditional Arabic" w:cs="Traditional Arabic"/>
          <w:color w:val="000000" w:themeColor="text1"/>
          <w:sz w:val="24"/>
          <w:szCs w:val="24"/>
        </w:rPr>
        <w:t>Cross-sectional quantitative design</w:t>
      </w:r>
      <w:r w:rsidRPr="00362D29">
        <w:rPr>
          <w:rFonts w:ascii="Traditional Arabic" w:hAnsi="Traditional Arabic" w:cs="Traditional Arabic"/>
          <w:color w:val="000000" w:themeColor="text1"/>
          <w:sz w:val="24"/>
          <w:szCs w:val="24"/>
          <w:rtl/>
        </w:rPr>
        <w:t xml:space="preserve">)  باستخدام استبيانات مقننة أُجريت من خلال مقابلات وجهاً لوجه، مع تحليل البيانات باستخدام </w:t>
      </w:r>
      <w:r w:rsidRPr="00362D29">
        <w:rPr>
          <w:rFonts w:ascii="Traditional Arabic" w:hAnsi="Traditional Arabic" w:cs="Traditional Arabic"/>
          <w:color w:val="000000" w:themeColor="text1"/>
          <w:sz w:val="24"/>
          <w:szCs w:val="24"/>
        </w:rPr>
        <w:t>SPSS</w:t>
      </w:r>
      <w:r w:rsidRPr="00362D29">
        <w:rPr>
          <w:rFonts w:ascii="Traditional Arabic" w:hAnsi="Traditional Arabic" w:cs="Traditional Arabic"/>
          <w:color w:val="000000" w:themeColor="text1"/>
          <w:sz w:val="24"/>
          <w:szCs w:val="24"/>
          <w:rtl/>
        </w:rPr>
        <w:t xml:space="preserve"> . تم تطبيق الدراسة على 594 مريض سكري من مراجعي 47 مركز رعاية صحية أولية تابعة لوزارة الصحة بمحافظة جدة خلال الفترة من يوليو إلى أغسطس 2023، باستخدام أسلوب العينة العشوائية، مع تحديد حجم العينة استناداً إلى معادلة </w:t>
      </w:r>
      <w:r w:rsidRPr="00362D29">
        <w:rPr>
          <w:rFonts w:ascii="Traditional Arabic" w:hAnsi="Traditional Arabic" w:cs="Traditional Arabic"/>
          <w:color w:val="000000" w:themeColor="text1"/>
          <w:sz w:val="24"/>
          <w:szCs w:val="24"/>
        </w:rPr>
        <w:t>Slovin</w:t>
      </w:r>
      <w:r w:rsidRPr="00362D29">
        <w:rPr>
          <w:rFonts w:ascii="Traditional Arabic" w:hAnsi="Traditional Arabic" w:cs="Traditional Arabic"/>
          <w:color w:val="000000" w:themeColor="text1"/>
          <w:sz w:val="24"/>
          <w:szCs w:val="24"/>
          <w:rtl/>
        </w:rPr>
        <w:t xml:space="preserve"> بحد أدنى المحسوب 384 مريضاً . أظهرت النتائج وجود ارتباط موجب دال إحصائياً بين مؤشرات قياس تجربة المريض المبلغ عنها (</w:t>
      </w:r>
      <w:r w:rsidRPr="00362D29">
        <w:rPr>
          <w:rFonts w:ascii="Traditional Arabic" w:hAnsi="Traditional Arabic" w:cs="Traditional Arabic"/>
          <w:color w:val="000000" w:themeColor="text1"/>
          <w:sz w:val="24"/>
          <w:szCs w:val="24"/>
        </w:rPr>
        <w:t>PREMs</w:t>
      </w:r>
      <w:r w:rsidRPr="00362D29">
        <w:rPr>
          <w:rFonts w:ascii="Traditional Arabic" w:hAnsi="Traditional Arabic" w:cs="Traditional Arabic"/>
          <w:color w:val="000000" w:themeColor="text1"/>
          <w:sz w:val="24"/>
          <w:szCs w:val="24"/>
          <w:rtl/>
        </w:rPr>
        <w:t>) و مؤشرات قياس النتائج المُبلغ عنها (</w:t>
      </w:r>
      <w:r w:rsidRPr="00362D29">
        <w:rPr>
          <w:rFonts w:ascii="Traditional Arabic" w:hAnsi="Traditional Arabic" w:cs="Traditional Arabic"/>
          <w:color w:val="000000" w:themeColor="text1"/>
          <w:sz w:val="24"/>
          <w:szCs w:val="24"/>
        </w:rPr>
        <w:t>PROMs</w:t>
      </w:r>
      <w:r w:rsidRPr="00362D29">
        <w:rPr>
          <w:rFonts w:ascii="Traditional Arabic" w:hAnsi="Traditional Arabic" w:cs="Traditional Arabic"/>
          <w:color w:val="000000" w:themeColor="text1"/>
          <w:sz w:val="24"/>
          <w:szCs w:val="24"/>
          <w:rtl/>
        </w:rPr>
        <w:t>)  على المستوى الكلي (</w:t>
      </w:r>
      <w:r w:rsidRPr="00362D29">
        <w:rPr>
          <w:rFonts w:ascii="Traditional Arabic" w:hAnsi="Traditional Arabic" w:cs="Traditional Arabic"/>
          <w:color w:val="000000" w:themeColor="text1"/>
          <w:sz w:val="24"/>
          <w:szCs w:val="24"/>
        </w:rPr>
        <w:t>r = 0.198, p &lt; .01</w:t>
      </w:r>
      <w:r w:rsidRPr="00362D29">
        <w:rPr>
          <w:rFonts w:ascii="Traditional Arabic" w:hAnsi="Traditional Arabic" w:cs="Traditional Arabic"/>
          <w:color w:val="000000" w:themeColor="text1"/>
          <w:sz w:val="24"/>
          <w:szCs w:val="24"/>
          <w:rtl/>
        </w:rPr>
        <w:t xml:space="preserve">)، كما تبين وجود ارتباطات موجبة ذات دلالة احصائية بين </w:t>
      </w:r>
      <w:r w:rsidRPr="00362D29">
        <w:rPr>
          <w:rFonts w:ascii="Traditional Arabic" w:hAnsi="Traditional Arabic" w:cs="Traditional Arabic"/>
          <w:color w:val="000000" w:themeColor="text1"/>
          <w:sz w:val="24"/>
          <w:szCs w:val="24"/>
        </w:rPr>
        <w:t>PREMs</w:t>
      </w:r>
      <w:r w:rsidRPr="00362D29">
        <w:rPr>
          <w:rFonts w:ascii="Traditional Arabic" w:hAnsi="Traditional Arabic" w:cs="Traditional Arabic"/>
          <w:color w:val="000000" w:themeColor="text1"/>
          <w:sz w:val="24"/>
          <w:szCs w:val="24"/>
          <w:rtl/>
        </w:rPr>
        <w:t xml:space="preserve">  وكل من بعد “الدعم من </w:t>
      </w:r>
      <w:r w:rsidRPr="00362D29">
        <w:rPr>
          <w:rFonts w:ascii="Traditional Arabic" w:hAnsi="Traditional Arabic" w:cs="Traditional Arabic"/>
          <w:color w:val="000000" w:themeColor="text1"/>
          <w:sz w:val="24"/>
          <w:szCs w:val="24"/>
          <w:rtl/>
        </w:rPr>
        <w:lastRenderedPageBreak/>
        <w:t>الآخرين” (</w:t>
      </w:r>
      <w:r w:rsidRPr="00362D29">
        <w:rPr>
          <w:rFonts w:ascii="Traditional Arabic" w:hAnsi="Traditional Arabic" w:cs="Traditional Arabic"/>
          <w:color w:val="000000" w:themeColor="text1"/>
          <w:sz w:val="24"/>
          <w:szCs w:val="24"/>
        </w:rPr>
        <w:t>r = 0.451, p &lt; .01</w:t>
      </w:r>
      <w:r w:rsidRPr="00362D29">
        <w:rPr>
          <w:rFonts w:ascii="Traditional Arabic" w:hAnsi="Traditional Arabic" w:cs="Traditional Arabic"/>
          <w:color w:val="000000" w:themeColor="text1"/>
          <w:sz w:val="24"/>
          <w:szCs w:val="24"/>
          <w:rtl/>
        </w:rPr>
        <w:t>) و“القدرة على إدارة السكري” (</w:t>
      </w:r>
      <w:r w:rsidRPr="00362D29">
        <w:rPr>
          <w:rFonts w:ascii="Traditional Arabic" w:hAnsi="Traditional Arabic" w:cs="Traditional Arabic"/>
          <w:color w:val="000000" w:themeColor="text1"/>
          <w:sz w:val="24"/>
          <w:szCs w:val="24"/>
        </w:rPr>
        <w:t>r = 0.315, p &lt; .01</w:t>
      </w:r>
      <w:r w:rsidRPr="00362D29">
        <w:rPr>
          <w:rFonts w:ascii="Traditional Arabic" w:hAnsi="Traditional Arabic" w:cs="Traditional Arabic"/>
          <w:color w:val="000000" w:themeColor="text1"/>
          <w:sz w:val="24"/>
          <w:szCs w:val="24"/>
          <w:rtl/>
        </w:rPr>
        <w:t>) و“كيف تشعر” (</w:t>
      </w:r>
      <w:r w:rsidRPr="00362D29">
        <w:rPr>
          <w:rFonts w:ascii="Traditional Arabic" w:hAnsi="Traditional Arabic" w:cs="Traditional Arabic"/>
          <w:color w:val="000000" w:themeColor="text1"/>
          <w:sz w:val="24"/>
          <w:szCs w:val="24"/>
        </w:rPr>
        <w:t>r = 0.219, p &lt; .01</w:t>
      </w:r>
      <w:r w:rsidRPr="00362D29">
        <w:rPr>
          <w:rFonts w:ascii="Traditional Arabic" w:hAnsi="Traditional Arabic" w:cs="Traditional Arabic"/>
          <w:color w:val="000000" w:themeColor="text1"/>
          <w:sz w:val="24"/>
          <w:szCs w:val="24"/>
          <w:rtl/>
        </w:rPr>
        <w:t>)، في حين لم تظهر علاقة دالة مع بعدي “القلق من السكري” و“معوقات العيش كما هو مرغوب”، مما يؤكد أهمية دمج مقاييس التجربة والنتائج في تحسين رعاية مرضى السكري ضمن إطار الرعاية الصحية.</w:t>
      </w:r>
    </w:p>
    <w:p w14:paraId="487B3F74" w14:textId="0B0E4045" w:rsidR="001C0E2F" w:rsidRPr="00362D29" w:rsidRDefault="003669EF" w:rsidP="00362D29">
      <w:pPr>
        <w:pStyle w:val="ab"/>
        <w:numPr>
          <w:ilvl w:val="0"/>
          <w:numId w:val="23"/>
        </w:numPr>
        <w:bidi/>
        <w:spacing w:before="240"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b/>
          <w:bCs/>
          <w:color w:val="000000" w:themeColor="text1"/>
          <w:sz w:val="24"/>
          <w:szCs w:val="24"/>
          <w:rtl/>
        </w:rPr>
        <w:t>دراسة (</w:t>
      </w:r>
      <w:r w:rsidRPr="00362D29">
        <w:rPr>
          <w:rFonts w:ascii="Traditional Arabic" w:hAnsi="Traditional Arabic" w:cs="Traditional Arabic"/>
          <w:b/>
          <w:bCs/>
          <w:color w:val="000000" w:themeColor="text1"/>
          <w:sz w:val="24"/>
          <w:szCs w:val="24"/>
        </w:rPr>
        <w:t>Monshi</w:t>
      </w:r>
      <w:r w:rsidR="001C0E2F" w:rsidRPr="00362D29">
        <w:rPr>
          <w:rFonts w:ascii="Traditional Arabic" w:hAnsi="Traditional Arabic" w:cs="Traditional Arabic"/>
          <w:b/>
          <w:bCs/>
          <w:color w:val="000000" w:themeColor="text1"/>
          <w:sz w:val="24"/>
          <w:szCs w:val="24"/>
        </w:rPr>
        <w:t xml:space="preserve"> </w:t>
      </w:r>
      <w:r w:rsidRPr="00362D29">
        <w:rPr>
          <w:rFonts w:ascii="Traditional Arabic" w:hAnsi="Traditional Arabic" w:cs="Traditional Arabic"/>
          <w:b/>
          <w:bCs/>
          <w:color w:val="000000" w:themeColor="text1"/>
          <w:sz w:val="24"/>
          <w:szCs w:val="24"/>
        </w:rPr>
        <w:t>et al., 2025</w:t>
      </w:r>
      <w:r w:rsidRPr="00362D29">
        <w:rPr>
          <w:rFonts w:ascii="Traditional Arabic" w:hAnsi="Traditional Arabic" w:cs="Traditional Arabic"/>
          <w:b/>
          <w:bCs/>
          <w:color w:val="000000" w:themeColor="text1"/>
          <w:sz w:val="24"/>
          <w:szCs w:val="24"/>
          <w:rtl/>
        </w:rPr>
        <w:t>) بعنوان “"</w:t>
      </w:r>
      <w:r w:rsidRPr="00362D29">
        <w:rPr>
          <w:rFonts w:ascii="Traditional Arabic" w:hAnsi="Traditional Arabic" w:cs="Traditional Arabic"/>
          <w:b/>
          <w:bCs/>
          <w:color w:val="000000" w:themeColor="text1"/>
          <w:sz w:val="24"/>
          <w:szCs w:val="24"/>
        </w:rPr>
        <w:t>Patient Experience with Health Technology in Saudi Arabia: A Systematic Review</w:t>
      </w:r>
      <w:r w:rsidRPr="00362D29">
        <w:rPr>
          <w:rFonts w:ascii="Traditional Arabic" w:hAnsi="Traditional Arabic" w:cs="Traditional Arabic"/>
          <w:color w:val="000000" w:themeColor="text1"/>
          <w:sz w:val="24"/>
          <w:szCs w:val="24"/>
          <w:rtl/>
        </w:rPr>
        <w:t xml:space="preserve">" </w:t>
      </w:r>
    </w:p>
    <w:p w14:paraId="6A9064E7" w14:textId="2B03B674" w:rsidR="003669EF" w:rsidRPr="00362D29" w:rsidRDefault="003669EF" w:rsidP="00362D29">
      <w:pPr>
        <w:pStyle w:val="ab"/>
        <w:numPr>
          <w:ilvl w:val="0"/>
          <w:numId w:val="15"/>
        </w:numPr>
        <w:bidi/>
        <w:spacing w:before="240"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 xml:space="preserve">هدفت إلى استقصاء أثر التقنيات الصحية (الصحة الرقمية، الطب الاتصالي، السجلات الصحية الإلكترونية) على تجربة المريض في المملكة العربية السعودية، وتحليل مستوى الرضا كمؤشر أساسي لتقييم تجربة المريض عبر مختلف البيئات الصحية. اعتمدت الدراسة المراجعة المنهجية </w:t>
      </w:r>
      <w:r w:rsidRPr="00362D29">
        <w:rPr>
          <w:rFonts w:ascii="Traditional Arabic" w:hAnsi="Traditional Arabic" w:cs="Traditional Arabic"/>
          <w:color w:val="000000" w:themeColor="text1"/>
          <w:sz w:val="24"/>
          <w:szCs w:val="24"/>
        </w:rPr>
        <w:t>Systematic Review</w:t>
      </w:r>
      <w:r w:rsidRPr="00362D29">
        <w:rPr>
          <w:rFonts w:ascii="Traditional Arabic" w:hAnsi="Traditional Arabic" w:cs="Traditional Arabic"/>
          <w:color w:val="000000" w:themeColor="text1"/>
          <w:sz w:val="24"/>
          <w:szCs w:val="24"/>
          <w:rtl/>
        </w:rPr>
        <w:t xml:space="preserve"> وفق إرشادات </w:t>
      </w:r>
      <w:r w:rsidRPr="00362D29">
        <w:rPr>
          <w:rFonts w:ascii="Traditional Arabic" w:hAnsi="Traditional Arabic" w:cs="Traditional Arabic"/>
          <w:color w:val="000000" w:themeColor="text1"/>
          <w:sz w:val="24"/>
          <w:szCs w:val="24"/>
        </w:rPr>
        <w:t>PRISMA 2020</w:t>
      </w:r>
      <w:r w:rsidRPr="00362D29">
        <w:rPr>
          <w:rFonts w:ascii="Traditional Arabic" w:hAnsi="Traditional Arabic" w:cs="Traditional Arabic"/>
          <w:color w:val="000000" w:themeColor="text1"/>
          <w:sz w:val="24"/>
          <w:szCs w:val="24"/>
          <w:rtl/>
        </w:rPr>
        <w:t xml:space="preserve">، بالبحث في قاعدة </w:t>
      </w:r>
      <w:r w:rsidRPr="00362D29">
        <w:rPr>
          <w:rFonts w:ascii="Traditional Arabic" w:hAnsi="Traditional Arabic" w:cs="Traditional Arabic"/>
          <w:color w:val="000000" w:themeColor="text1"/>
          <w:sz w:val="24"/>
          <w:szCs w:val="24"/>
        </w:rPr>
        <w:t>PubMed</w:t>
      </w:r>
      <w:r w:rsidRPr="00362D29">
        <w:rPr>
          <w:rFonts w:ascii="Traditional Arabic" w:hAnsi="Traditional Arabic" w:cs="Traditional Arabic"/>
          <w:color w:val="000000" w:themeColor="text1"/>
          <w:sz w:val="24"/>
          <w:szCs w:val="24"/>
          <w:rtl/>
        </w:rPr>
        <w:t xml:space="preserve"> خلال الفترة من يناير 2000 إلى ديسمبر 2022، مع تقييم جودة الدراسات باستخدام أداة </w:t>
      </w:r>
      <w:r w:rsidRPr="00362D29">
        <w:rPr>
          <w:rFonts w:ascii="Traditional Arabic" w:hAnsi="Traditional Arabic" w:cs="Traditional Arabic"/>
          <w:color w:val="000000" w:themeColor="text1"/>
          <w:sz w:val="24"/>
          <w:szCs w:val="24"/>
        </w:rPr>
        <w:t>Joanna Briggs Institute (JBI)</w:t>
      </w:r>
      <w:r w:rsidRPr="00362D29">
        <w:rPr>
          <w:rFonts w:ascii="Traditional Arabic" w:hAnsi="Traditional Arabic" w:cs="Traditional Arabic"/>
          <w:color w:val="000000" w:themeColor="text1"/>
          <w:sz w:val="24"/>
          <w:szCs w:val="24"/>
          <w:rtl/>
        </w:rPr>
        <w:t>. بلغ إجمالي الدراسات المشمولة 30 دراسة من أصل 13,068 سجلًا أوليًا، منها 25 دراسة مقطعية، بينما توزعت البقية بين دراسات مختلطة وتصميم أترابي وتجربة عشوائية محكمة. لم تعتمد الدراسة عينة ميدانية مباشرة، بل شملت مجتمع الدراسات المنشورة التي استوفت معايير الاشتمال. أظهرت النتائج أن 93.3% من الدراسات أفادت بارتفاع مستوى رضا المرضى عن استخدام التقنيات الصحية، كما بينت أن الرضا كان أعلى بين الفئات العمرية من 18–50 عامًا والإناث، مع هيمنة استخدام مؤشرات لأبعاد محددة لرضا المريض عن تجربته بالخدمة الصحية كمقياس أساسي بدلاً من تبني إطار شامل للقياس، مما يؤكد الحاجة لتوسيع أدوات القياس مستقبلاً.</w:t>
      </w:r>
    </w:p>
    <w:p w14:paraId="483F385B" w14:textId="77777777" w:rsidR="001C0E2F" w:rsidRPr="00362D29" w:rsidRDefault="00394AE1" w:rsidP="00362D29">
      <w:pPr>
        <w:pStyle w:val="ab"/>
        <w:numPr>
          <w:ilvl w:val="0"/>
          <w:numId w:val="23"/>
        </w:numPr>
        <w:bidi/>
        <w:spacing w:before="240"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b/>
          <w:bCs/>
          <w:color w:val="000000" w:themeColor="text1"/>
          <w:sz w:val="24"/>
          <w:szCs w:val="24"/>
          <w:rtl/>
        </w:rPr>
        <w:t>دراسة  (</w:t>
      </w:r>
      <w:r w:rsidRPr="00362D29">
        <w:rPr>
          <w:rFonts w:ascii="Traditional Arabic" w:hAnsi="Traditional Arabic" w:cs="Traditional Arabic"/>
          <w:b/>
          <w:bCs/>
          <w:color w:val="000000" w:themeColor="text1"/>
          <w:sz w:val="24"/>
          <w:szCs w:val="24"/>
        </w:rPr>
        <w:t>Jamieson Gilmore et al., 2025</w:t>
      </w:r>
      <w:r w:rsidRPr="00362D29">
        <w:rPr>
          <w:rFonts w:ascii="Traditional Arabic" w:hAnsi="Traditional Arabic" w:cs="Traditional Arabic"/>
          <w:b/>
          <w:bCs/>
          <w:color w:val="000000" w:themeColor="text1"/>
          <w:sz w:val="24"/>
          <w:szCs w:val="24"/>
          <w:rtl/>
        </w:rPr>
        <w:t>) بعنوان"</w:t>
      </w:r>
      <w:r w:rsidRPr="00362D29">
        <w:rPr>
          <w:rFonts w:ascii="Traditional Arabic" w:hAnsi="Traditional Arabic" w:cs="Traditional Arabic"/>
          <w:b/>
          <w:bCs/>
          <w:color w:val="000000" w:themeColor="text1"/>
          <w:sz w:val="24"/>
          <w:szCs w:val="24"/>
        </w:rPr>
        <w:t>The uses of Patient Reported Experience Measures in health systems: A systematic narrative review"</w:t>
      </w:r>
      <w:r w:rsidRPr="00362D29">
        <w:rPr>
          <w:rFonts w:ascii="Traditional Arabic" w:hAnsi="Traditional Arabic" w:cs="Traditional Arabic"/>
          <w:color w:val="000000" w:themeColor="text1"/>
          <w:sz w:val="24"/>
          <w:szCs w:val="24"/>
          <w:rtl/>
        </w:rPr>
        <w:t xml:space="preserve"> </w:t>
      </w:r>
    </w:p>
    <w:p w14:paraId="11DB687A" w14:textId="77BDD271" w:rsidR="00394AE1" w:rsidRPr="00362D29" w:rsidRDefault="00394AE1" w:rsidP="00362D29">
      <w:pPr>
        <w:pStyle w:val="ab"/>
        <w:numPr>
          <w:ilvl w:val="0"/>
          <w:numId w:val="15"/>
        </w:numPr>
        <w:bidi/>
        <w:spacing w:before="240"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 xml:space="preserve">هدفت إلى حصر وتوصيف جميع أوجه استخدام بيانات مقاييس تجربة المرضى داخل الأنظمة الصحية، واستكشاف مدى وجود تأثير لاستخدام بيانات هذه المقاييس على المستوى الوطني في تحفيز الاستخدام أو إحداث تغيير على مستويات أخرى (مثل مستوى مقدمي الخدمة). اعتمدت الدراسة المنهج الوصفي التحليلي من خلال مراجعة سردية قائمة على بحث منهجي للأدبيات وفق منهجية </w:t>
      </w:r>
      <w:r w:rsidRPr="00362D29">
        <w:rPr>
          <w:rFonts w:ascii="Traditional Arabic" w:hAnsi="Traditional Arabic" w:cs="Traditional Arabic"/>
          <w:color w:val="000000" w:themeColor="text1"/>
          <w:sz w:val="24"/>
          <w:szCs w:val="24"/>
        </w:rPr>
        <w:t>Joanna Briggs Institute</w:t>
      </w:r>
      <w:r w:rsidRPr="00362D29">
        <w:rPr>
          <w:rFonts w:ascii="Traditional Arabic" w:hAnsi="Traditional Arabic" w:cs="Traditional Arabic"/>
          <w:color w:val="000000" w:themeColor="text1"/>
          <w:sz w:val="24"/>
          <w:szCs w:val="24"/>
          <w:rtl/>
        </w:rPr>
        <w:t xml:space="preserve"> للمراجعات الاستكشافية، مع تطبيق خطوات بحث منهجي في ثلاث قواعد بيانات (</w:t>
      </w:r>
      <w:r w:rsidRPr="00362D29">
        <w:rPr>
          <w:rFonts w:ascii="Traditional Arabic" w:hAnsi="Traditional Arabic" w:cs="Traditional Arabic"/>
          <w:color w:val="000000" w:themeColor="text1"/>
          <w:sz w:val="24"/>
          <w:szCs w:val="24"/>
        </w:rPr>
        <w:t>Scopus, Web of Science, PubMed</w:t>
      </w:r>
      <w:r w:rsidRPr="00362D29">
        <w:rPr>
          <w:rFonts w:ascii="Traditional Arabic" w:hAnsi="Traditional Arabic" w:cs="Traditional Arabic"/>
          <w:color w:val="000000" w:themeColor="text1"/>
          <w:sz w:val="24"/>
          <w:szCs w:val="24"/>
          <w:rtl/>
        </w:rPr>
        <w:t xml:space="preserve">)، بالإضافة إلى أسلوب التتبع ، ثم تصنيف الدراسات وفق إطار استخدام معلومات الأداء الصحي بمستوياته الثلاثة مع تطبيق أسلوب </w:t>
      </w:r>
      <w:r w:rsidRPr="00362D29">
        <w:rPr>
          <w:rFonts w:ascii="Traditional Arabic" w:hAnsi="Traditional Arabic" w:cs="Traditional Arabic"/>
          <w:color w:val="000000" w:themeColor="text1"/>
          <w:sz w:val="24"/>
          <w:szCs w:val="24"/>
        </w:rPr>
        <w:t>Weight of Evidence</w:t>
      </w:r>
      <w:r w:rsidRPr="00362D29">
        <w:rPr>
          <w:rFonts w:ascii="Traditional Arabic" w:hAnsi="Traditional Arabic" w:cs="Traditional Arabic"/>
          <w:color w:val="000000" w:themeColor="text1"/>
          <w:sz w:val="24"/>
          <w:szCs w:val="24"/>
          <w:rtl/>
        </w:rPr>
        <w:t xml:space="preserve"> (وزن الأدلة) لاختيار الدراسات النهائية. تكوّن مجتمع الدراسة من الأدبيات العلمية المنشورة باللغة الإنجليزية دون تحديد إطار زمني، حيث تم تحديد 1,711 مدخلاً فريداً بعد حذف التكرارات، وخضع 142 مقالاً للمراجعة الكاملة للنص، وانتهى الأمر بإدراج 28 دراسة في التحليل النهائي. أظهرت النتائج أن بيانات مقاييس تجربة المريض المُبلغ عنها</w:t>
      </w:r>
      <w:r w:rsidRPr="00362D29">
        <w:rPr>
          <w:rFonts w:ascii="Traditional Arabic" w:hAnsi="Traditional Arabic" w:cs="Traditional Arabic"/>
          <w:color w:val="000000" w:themeColor="text1"/>
          <w:sz w:val="24"/>
          <w:szCs w:val="24"/>
        </w:rPr>
        <w:t>PREMs</w:t>
      </w:r>
      <w:r w:rsidRPr="00362D29">
        <w:rPr>
          <w:rFonts w:ascii="Traditional Arabic" w:hAnsi="Traditional Arabic" w:cs="Traditional Arabic"/>
          <w:color w:val="000000" w:themeColor="text1"/>
          <w:sz w:val="24"/>
          <w:szCs w:val="24"/>
          <w:rtl/>
        </w:rPr>
        <w:t xml:space="preserve">    تُستخدم على المستويات الثلاثة </w:t>
      </w:r>
      <w:r w:rsidRPr="00362D29">
        <w:rPr>
          <w:rFonts w:ascii="Traditional Arabic" w:hAnsi="Traditional Arabic" w:cs="Traditional Arabic"/>
          <w:color w:val="000000" w:themeColor="text1"/>
          <w:sz w:val="24"/>
          <w:szCs w:val="24"/>
          <w:rtl/>
        </w:rPr>
        <w:lastRenderedPageBreak/>
        <w:t>للنظام الصحي، لتحسين جودة الرعاية المباشرة. كما كشفت الدراسة عن محدودية الأدلة التي تثبت أن الاستخدام على المستوى المتوسط أو الكلي يؤدي إلى تحسينات قابلة للقياس على المستوى الجزئي أو إلى تحسن مستدام في تجربة المرضى والنتائج السريرية.</w:t>
      </w:r>
    </w:p>
    <w:p w14:paraId="4DEAD6AD" w14:textId="77777777" w:rsidR="001C0E2F" w:rsidRPr="00362D29" w:rsidRDefault="00CB7153" w:rsidP="00362D29">
      <w:pPr>
        <w:pStyle w:val="ab"/>
        <w:numPr>
          <w:ilvl w:val="0"/>
          <w:numId w:val="23"/>
        </w:numPr>
        <w:bidi/>
        <w:spacing w:before="240"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b/>
          <w:bCs/>
          <w:color w:val="000000" w:themeColor="text1"/>
          <w:sz w:val="24"/>
          <w:szCs w:val="24"/>
          <w:rtl/>
        </w:rPr>
        <w:t>دراسة (</w:t>
      </w:r>
      <w:r w:rsidRPr="00362D29">
        <w:rPr>
          <w:rFonts w:ascii="Traditional Arabic" w:hAnsi="Traditional Arabic" w:cs="Traditional Arabic"/>
          <w:b/>
          <w:bCs/>
          <w:color w:val="000000" w:themeColor="text1"/>
          <w:sz w:val="24"/>
          <w:szCs w:val="24"/>
        </w:rPr>
        <w:t>Zehra et al., 2025</w:t>
      </w:r>
      <w:r w:rsidRPr="00362D29">
        <w:rPr>
          <w:rFonts w:ascii="Traditional Arabic" w:hAnsi="Traditional Arabic" w:cs="Traditional Arabic"/>
          <w:b/>
          <w:bCs/>
          <w:color w:val="000000" w:themeColor="text1"/>
          <w:sz w:val="24"/>
          <w:szCs w:val="24"/>
          <w:rtl/>
        </w:rPr>
        <w:t>) بعنوان “</w:t>
      </w:r>
      <w:r w:rsidRPr="00362D29">
        <w:rPr>
          <w:rFonts w:ascii="Traditional Arabic" w:hAnsi="Traditional Arabic" w:cs="Traditional Arabic"/>
          <w:b/>
          <w:bCs/>
          <w:color w:val="000000" w:themeColor="text1"/>
          <w:sz w:val="24"/>
          <w:szCs w:val="24"/>
        </w:rPr>
        <w:t>Service quality in healthcare: understanding the relationship between patient experience and healthcare outcomes</w:t>
      </w:r>
      <w:r w:rsidRPr="00362D29">
        <w:rPr>
          <w:rFonts w:ascii="Traditional Arabic" w:hAnsi="Traditional Arabic" w:cs="Traditional Arabic"/>
          <w:b/>
          <w:bCs/>
          <w:color w:val="000000" w:themeColor="text1"/>
          <w:sz w:val="24"/>
          <w:szCs w:val="24"/>
          <w:rtl/>
        </w:rPr>
        <w:t>"</w:t>
      </w:r>
      <w:r w:rsidRPr="00362D29">
        <w:rPr>
          <w:rFonts w:ascii="Traditional Arabic" w:hAnsi="Traditional Arabic" w:cs="Traditional Arabic"/>
          <w:color w:val="000000" w:themeColor="text1"/>
          <w:sz w:val="24"/>
          <w:szCs w:val="24"/>
          <w:rtl/>
        </w:rPr>
        <w:t xml:space="preserve"> </w:t>
      </w:r>
    </w:p>
    <w:p w14:paraId="2F8218AA" w14:textId="2AFD2E6D" w:rsidR="00CB7153" w:rsidRPr="00362D29" w:rsidRDefault="00CB7153" w:rsidP="00362D29">
      <w:pPr>
        <w:pStyle w:val="ab"/>
        <w:numPr>
          <w:ilvl w:val="0"/>
          <w:numId w:val="15"/>
        </w:numPr>
        <w:bidi/>
        <w:spacing w:before="240"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هدفت إلى فحص الدور المحوري لأبعاد جودة الخدمة بالمستشفى في تشكيل تجربة المريض وتحليل أثر تجربة المريض في كلٍ من الرضا والثقة ونية إعادة الزيارة، كما هدفت إلى اختبار نموذج مفاهيمي يربط بين جودة البيئة وجودة العمليات وجودة التفاعل وجودة المعلومات وتجربة المريض ومخرجات الرعاية الصحية. اعتمدت الدراسة المنهج الكمي بتصميم وصفي تحليلي، واستخدمت أسلوب النمذجة بالمعادلات الهيكلية (</w:t>
      </w:r>
      <w:r w:rsidRPr="00362D29">
        <w:rPr>
          <w:rFonts w:ascii="Traditional Arabic" w:hAnsi="Traditional Arabic" w:cs="Traditional Arabic"/>
          <w:color w:val="000000" w:themeColor="text1"/>
          <w:sz w:val="24"/>
          <w:szCs w:val="24"/>
        </w:rPr>
        <w:t>SEM</w:t>
      </w:r>
      <w:r w:rsidRPr="00362D29">
        <w:rPr>
          <w:rFonts w:ascii="Traditional Arabic" w:hAnsi="Traditional Arabic" w:cs="Traditional Arabic"/>
          <w:color w:val="000000" w:themeColor="text1"/>
          <w:sz w:val="24"/>
          <w:szCs w:val="24"/>
          <w:rtl/>
        </w:rPr>
        <w:t>) لاختبار الفرضيات، مع إجراء تحليل عامل تأكيدي (</w:t>
      </w:r>
      <w:r w:rsidRPr="00362D29">
        <w:rPr>
          <w:rFonts w:ascii="Traditional Arabic" w:hAnsi="Traditional Arabic" w:cs="Traditional Arabic"/>
          <w:color w:val="000000" w:themeColor="text1"/>
          <w:sz w:val="24"/>
          <w:szCs w:val="24"/>
        </w:rPr>
        <w:t>CFA</w:t>
      </w:r>
      <w:r w:rsidRPr="00362D29">
        <w:rPr>
          <w:rFonts w:ascii="Traditional Arabic" w:hAnsi="Traditional Arabic" w:cs="Traditional Arabic"/>
          <w:color w:val="000000" w:themeColor="text1"/>
          <w:sz w:val="24"/>
          <w:szCs w:val="24"/>
          <w:rtl/>
        </w:rPr>
        <w:t>) للتحقق من الصدق والثبات. تكوّن مجتمع الدراسة من مرضى العيادات الخارجية (</w:t>
      </w:r>
      <w:r w:rsidRPr="00362D29">
        <w:rPr>
          <w:rFonts w:ascii="Traditional Arabic" w:hAnsi="Traditional Arabic" w:cs="Traditional Arabic"/>
          <w:color w:val="000000" w:themeColor="text1"/>
          <w:sz w:val="24"/>
          <w:szCs w:val="24"/>
        </w:rPr>
        <w:t>OPDs</w:t>
      </w:r>
      <w:r w:rsidRPr="00362D29">
        <w:rPr>
          <w:rFonts w:ascii="Traditional Arabic" w:hAnsi="Traditional Arabic" w:cs="Traditional Arabic"/>
          <w:color w:val="000000" w:themeColor="text1"/>
          <w:sz w:val="24"/>
          <w:szCs w:val="24"/>
          <w:rtl/>
        </w:rPr>
        <w:t xml:space="preserve">) بمستشفى خاص متعدد التخصصات في منطقة دلهي </w:t>
      </w:r>
      <w:r w:rsidRPr="00362D29">
        <w:rPr>
          <w:rFonts w:ascii="Traditional Arabic" w:hAnsi="Traditional Arabic" w:cs="Traditional Arabic"/>
          <w:color w:val="000000" w:themeColor="text1"/>
          <w:sz w:val="24"/>
          <w:szCs w:val="24"/>
        </w:rPr>
        <w:t>NCR</w:t>
      </w:r>
      <w:r w:rsidRPr="00362D29">
        <w:rPr>
          <w:rFonts w:ascii="Traditional Arabic" w:hAnsi="Traditional Arabic" w:cs="Traditional Arabic"/>
          <w:color w:val="000000" w:themeColor="text1"/>
          <w:sz w:val="24"/>
          <w:szCs w:val="24"/>
          <w:rtl/>
        </w:rPr>
        <w:t xml:space="preserve"> بالهند ممن تبلغ أعمارهم 18 عامًا فأكثر، وبلغت العينة 351 استبانة صالحة جُمعت باستخدام أسلوب العينة القصدية غير الاحتمالية. أظهرت النتائج وجود علاقة إيجابية دالة إحصائيًا بين جميع أبعاد جودة الخدمة وتجربة المريض، كما تبين أن تجربة المريض تؤثر تأثيرًا إيجابيًا مباشرًا في كلٍ من رضا المرضى وثقتهم، واللذين يؤثران بدورهما في نية إعادة الزيارة.</w:t>
      </w:r>
    </w:p>
    <w:p w14:paraId="5F0DD6A2" w14:textId="77777777" w:rsidR="001C0E2F" w:rsidRPr="00362D29" w:rsidRDefault="00F43AEE" w:rsidP="00362D29">
      <w:pPr>
        <w:pStyle w:val="ab"/>
        <w:numPr>
          <w:ilvl w:val="0"/>
          <w:numId w:val="23"/>
        </w:numPr>
        <w:bidi/>
        <w:spacing w:before="240" w:after="200" w:line="360" w:lineRule="auto"/>
        <w:jc w:val="both"/>
        <w:rPr>
          <w:rFonts w:ascii="Traditional Arabic" w:hAnsi="Traditional Arabic" w:cs="Traditional Arabic"/>
          <w:b/>
          <w:bCs/>
          <w:color w:val="000000" w:themeColor="text1"/>
          <w:sz w:val="24"/>
          <w:szCs w:val="24"/>
        </w:rPr>
      </w:pPr>
      <w:r w:rsidRPr="00362D29">
        <w:rPr>
          <w:rFonts w:ascii="Traditional Arabic" w:hAnsi="Traditional Arabic" w:cs="Traditional Arabic"/>
          <w:b/>
          <w:bCs/>
          <w:color w:val="000000" w:themeColor="text1"/>
          <w:sz w:val="24"/>
          <w:szCs w:val="24"/>
          <w:rtl/>
        </w:rPr>
        <w:t xml:space="preserve">دراسة (البلوي والزريلعي، 2024) بعنوان "تأثير التعاطف مع المرضى في تحسين تجربة المريض بالقطاع الصحي في المملكة العربية السعودية" </w:t>
      </w:r>
    </w:p>
    <w:p w14:paraId="2E238D30" w14:textId="51EF293C" w:rsidR="00F43AEE" w:rsidRPr="00362D29" w:rsidRDefault="00F43AEE" w:rsidP="00362D29">
      <w:pPr>
        <w:pStyle w:val="ab"/>
        <w:numPr>
          <w:ilvl w:val="0"/>
          <w:numId w:val="15"/>
        </w:numPr>
        <w:bidi/>
        <w:spacing w:before="240"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هدفت إلى استكشاف مستوى إدراك الممارسين الصحيين لمفهوم التعاطف ودوره في الممارسة الطبية، وقياس أثر التعاطف على تحسين تجربة المريض من خلال مؤشرات الرضا والثقة والالتزام بالعلاج. اعتمدت الدراسة المنهج الوصفي التحليلي،</w:t>
      </w:r>
      <w:r w:rsidR="00806C9D" w:rsidRPr="00362D29">
        <w:rPr>
          <w:rFonts w:ascii="Traditional Arabic" w:hAnsi="Traditional Arabic" w:cs="Traditional Arabic"/>
          <w:rtl/>
        </w:rPr>
        <w:t xml:space="preserve"> </w:t>
      </w:r>
      <w:r w:rsidR="00806C9D" w:rsidRPr="00362D29">
        <w:rPr>
          <w:rFonts w:ascii="Traditional Arabic" w:hAnsi="Traditional Arabic" w:cs="Traditional Arabic"/>
          <w:color w:val="000000" w:themeColor="text1"/>
          <w:sz w:val="24"/>
          <w:szCs w:val="24"/>
          <w:rtl/>
        </w:rPr>
        <w:t>تم استخدام مقياس "</w:t>
      </w:r>
      <w:r w:rsidR="00806C9D" w:rsidRPr="00362D29">
        <w:rPr>
          <w:rFonts w:ascii="Traditional Arabic" w:hAnsi="Traditional Arabic" w:cs="Traditional Arabic"/>
          <w:color w:val="000000" w:themeColor="text1"/>
          <w:sz w:val="24"/>
          <w:szCs w:val="24"/>
        </w:rPr>
        <w:t>IRI</w:t>
      </w:r>
      <w:r w:rsidR="00806C9D" w:rsidRPr="00362D29">
        <w:rPr>
          <w:rFonts w:ascii="Traditional Arabic" w:hAnsi="Traditional Arabic" w:cs="Traditional Arabic"/>
          <w:color w:val="000000" w:themeColor="text1"/>
          <w:sz w:val="24"/>
          <w:szCs w:val="24"/>
          <w:rtl/>
        </w:rPr>
        <w:t>" متعدد الأبعاد الذي يقيس الجوانب المعرفية والعاطفية للتعاطف، وتم تعديله ليتناسب مع بيئة الدراسة.</w:t>
      </w:r>
      <w:r w:rsidRPr="00362D29">
        <w:rPr>
          <w:rFonts w:ascii="Traditional Arabic" w:hAnsi="Traditional Arabic" w:cs="Traditional Arabic"/>
          <w:color w:val="000000" w:themeColor="text1"/>
          <w:sz w:val="24"/>
          <w:szCs w:val="24"/>
          <w:rtl/>
        </w:rPr>
        <w:t xml:space="preserve"> وتمثّل مجتمع الدراسة في جميع المرضى في مدينة تبوك بالمملكة العربية السعودية (طبقا لما في ذكر في الدراسة)، حيث تم توزيع (117) استبانة على عينة من المرضى تتراوح أعمارهم بين (25–50) سنة مع تمثيل متوازن للجنسين وخلفيات اجتماعية متنوعة. وأظهرت النتائج وجود علاقة إيجابية وذات دلالة إحصائية بين مستوى تعاطف مقدمي الرعاية وتحسن تجربة المريض، خاصة في أبعاد مثل الشعور بالأمان، والاحترام، والرضا العام عن الخدمة ووجود أثر إيجابي مباشر للتعاطف في تحسين تجربة المريض، كما بينت أن ارتفاع مستوى التعاطف لدى مقدمي الرعاية ارتبط بزيادة رضا المرضى وتعزيز التزامهم بالخطة العلاجية، مما يؤكد أهمية دمج مهارات التعاطف ضمن برامج تدريب الكوادر الصحية.</w:t>
      </w:r>
    </w:p>
    <w:p w14:paraId="369BD145" w14:textId="77777777" w:rsidR="001C0E2F" w:rsidRPr="00362D29" w:rsidRDefault="002A5EE9" w:rsidP="00362D29">
      <w:pPr>
        <w:pStyle w:val="ab"/>
        <w:numPr>
          <w:ilvl w:val="0"/>
          <w:numId w:val="23"/>
        </w:numPr>
        <w:bidi/>
        <w:spacing w:before="240"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b/>
          <w:bCs/>
          <w:color w:val="000000" w:themeColor="text1"/>
          <w:sz w:val="24"/>
          <w:szCs w:val="24"/>
          <w:rtl/>
        </w:rPr>
        <w:t>دراسة</w:t>
      </w:r>
      <w:r w:rsidRPr="00362D29">
        <w:rPr>
          <w:rFonts w:ascii="Traditional Arabic" w:hAnsi="Traditional Arabic" w:cs="Traditional Arabic"/>
          <w:b/>
          <w:bCs/>
          <w:color w:val="000000" w:themeColor="text1"/>
          <w:sz w:val="24"/>
          <w:szCs w:val="24"/>
        </w:rPr>
        <w:t xml:space="preserve"> (Daleske, 2024) </w:t>
      </w:r>
      <w:r w:rsidRPr="00362D29">
        <w:rPr>
          <w:rFonts w:ascii="Traditional Arabic" w:hAnsi="Traditional Arabic" w:cs="Traditional Arabic"/>
          <w:b/>
          <w:bCs/>
          <w:color w:val="000000" w:themeColor="text1"/>
          <w:sz w:val="24"/>
          <w:szCs w:val="24"/>
          <w:rtl/>
        </w:rPr>
        <w:t>بعنوان</w:t>
      </w:r>
      <w:r w:rsidRPr="00362D29">
        <w:rPr>
          <w:rFonts w:ascii="Traditional Arabic" w:hAnsi="Traditional Arabic" w:cs="Traditional Arabic"/>
          <w:b/>
          <w:bCs/>
          <w:color w:val="000000" w:themeColor="text1"/>
          <w:sz w:val="24"/>
          <w:szCs w:val="24"/>
        </w:rPr>
        <w:t>“The Five-Dimension Patient Experience Model and Its Applications in Healthcare Using the Example of Spinal Cord Injury and COPD”</w:t>
      </w:r>
      <w:r w:rsidR="00851B5B" w:rsidRPr="00362D29">
        <w:rPr>
          <w:rFonts w:ascii="Traditional Arabic" w:hAnsi="Traditional Arabic" w:cs="Traditional Arabic"/>
          <w:b/>
          <w:bCs/>
          <w:color w:val="000000" w:themeColor="text1"/>
          <w:sz w:val="24"/>
          <w:szCs w:val="24"/>
          <w:rtl/>
        </w:rPr>
        <w:t xml:space="preserve"> </w:t>
      </w:r>
    </w:p>
    <w:p w14:paraId="09919BCE" w14:textId="553D9577" w:rsidR="006B24FB" w:rsidRPr="00362D29" w:rsidRDefault="002A5EE9" w:rsidP="00362D29">
      <w:pPr>
        <w:pStyle w:val="ab"/>
        <w:numPr>
          <w:ilvl w:val="0"/>
          <w:numId w:val="15"/>
        </w:numPr>
        <w:bidi/>
        <w:spacing w:before="240" w:after="200" w:line="360" w:lineRule="auto"/>
        <w:jc w:val="both"/>
        <w:rPr>
          <w:rFonts w:ascii="Traditional Arabic" w:hAnsi="Traditional Arabic" w:cs="Traditional Arabic"/>
          <w:color w:val="000000" w:themeColor="text1"/>
          <w:sz w:val="24"/>
          <w:szCs w:val="24"/>
          <w:rtl/>
        </w:rPr>
      </w:pPr>
      <w:r w:rsidRPr="00362D29">
        <w:rPr>
          <w:rFonts w:ascii="Traditional Arabic" w:hAnsi="Traditional Arabic" w:cs="Traditional Arabic"/>
          <w:color w:val="000000" w:themeColor="text1"/>
          <w:sz w:val="24"/>
          <w:szCs w:val="24"/>
          <w:rtl/>
        </w:rPr>
        <w:lastRenderedPageBreak/>
        <w:t>هدفت الدراسة إلى تطوير نموذج مفاهيمي شامل لتجربة المريض قائم على خمسة أبعاد (البدني، العاطفي، الاجتماعي، الثقافي، والرعاية الصحية)، كما سعت إلى اختبار قابلية تطبيق النموذج في سياق الأمراض المزمنة من خلال تحليل تجربة مرضى الانسداد الرئوي المزمن (</w:t>
      </w:r>
      <w:r w:rsidRPr="00362D29">
        <w:rPr>
          <w:rFonts w:ascii="Traditional Arabic" w:hAnsi="Traditional Arabic" w:cs="Traditional Arabic"/>
          <w:color w:val="000000" w:themeColor="text1"/>
          <w:sz w:val="24"/>
          <w:szCs w:val="24"/>
        </w:rPr>
        <w:t>COPD</w:t>
      </w:r>
      <w:r w:rsidRPr="00362D29">
        <w:rPr>
          <w:rFonts w:ascii="Traditional Arabic" w:hAnsi="Traditional Arabic" w:cs="Traditional Arabic"/>
          <w:color w:val="000000" w:themeColor="text1"/>
          <w:sz w:val="24"/>
          <w:szCs w:val="24"/>
          <w:rtl/>
        </w:rPr>
        <w:t>) وإصابة الحبل الشوكي (</w:t>
      </w:r>
      <w:r w:rsidRPr="00362D29">
        <w:rPr>
          <w:rFonts w:ascii="Traditional Arabic" w:hAnsi="Traditional Arabic" w:cs="Traditional Arabic"/>
          <w:color w:val="000000" w:themeColor="text1"/>
          <w:sz w:val="24"/>
          <w:szCs w:val="24"/>
        </w:rPr>
        <w:t>SCI</w:t>
      </w:r>
      <w:r w:rsidRPr="00362D29">
        <w:rPr>
          <w:rFonts w:ascii="Traditional Arabic" w:hAnsi="Traditional Arabic" w:cs="Traditional Arabic"/>
          <w:color w:val="000000" w:themeColor="text1"/>
          <w:sz w:val="24"/>
          <w:szCs w:val="24"/>
          <w:rtl/>
        </w:rPr>
        <w:t>) داخل المستشفى وخارجه. اعتمدت الدراسة منهجية تحليل نوعي تطبيقي ضمن إطار مشروع أوروبي ممول (</w:t>
      </w:r>
      <w:r w:rsidRPr="00362D29">
        <w:rPr>
          <w:rFonts w:ascii="Traditional Arabic" w:hAnsi="Traditional Arabic" w:cs="Traditional Arabic"/>
          <w:color w:val="000000" w:themeColor="text1"/>
          <w:sz w:val="24"/>
          <w:szCs w:val="24"/>
        </w:rPr>
        <w:t>ROSIA</w:t>
      </w:r>
      <w:r w:rsidRPr="00362D29">
        <w:rPr>
          <w:rFonts w:ascii="Traditional Arabic" w:hAnsi="Traditional Arabic" w:cs="Traditional Arabic"/>
          <w:color w:val="000000" w:themeColor="text1"/>
          <w:sz w:val="24"/>
          <w:szCs w:val="24"/>
          <w:rtl/>
        </w:rPr>
        <w:t xml:space="preserve">) لإعادة تصميم خدمات التأهيل الرقمي، حيث تم استخدام المقابلات شبه المنظمة وورش العمل التفاعلية مع المرضى والمهنيين الصحيين. تكون مجتمع الدراسة من مرضى سبع حالات مزمنة ضمن مشروع </w:t>
      </w:r>
      <w:r w:rsidRPr="00362D29">
        <w:rPr>
          <w:rFonts w:ascii="Traditional Arabic" w:hAnsi="Traditional Arabic" w:cs="Traditional Arabic"/>
          <w:color w:val="000000" w:themeColor="text1"/>
          <w:sz w:val="24"/>
          <w:szCs w:val="24"/>
        </w:rPr>
        <w:t>ROSIA</w:t>
      </w:r>
      <w:r w:rsidRPr="00362D29">
        <w:rPr>
          <w:rFonts w:ascii="Traditional Arabic" w:hAnsi="Traditional Arabic" w:cs="Traditional Arabic"/>
          <w:color w:val="000000" w:themeColor="text1"/>
          <w:sz w:val="24"/>
          <w:szCs w:val="24"/>
          <w:rtl/>
        </w:rPr>
        <w:t xml:space="preserve"> الأوروبي، وتم اختيار حالتي </w:t>
      </w:r>
      <w:r w:rsidRPr="00362D29">
        <w:rPr>
          <w:rFonts w:ascii="Traditional Arabic" w:hAnsi="Traditional Arabic" w:cs="Traditional Arabic"/>
          <w:color w:val="000000" w:themeColor="text1"/>
          <w:sz w:val="24"/>
          <w:szCs w:val="24"/>
        </w:rPr>
        <w:t>COPD</w:t>
      </w:r>
      <w:r w:rsidRPr="00362D29">
        <w:rPr>
          <w:rFonts w:ascii="Traditional Arabic" w:hAnsi="Traditional Arabic" w:cs="Traditional Arabic"/>
          <w:color w:val="000000" w:themeColor="text1"/>
          <w:sz w:val="24"/>
          <w:szCs w:val="24"/>
          <w:rtl/>
        </w:rPr>
        <w:t xml:space="preserve"> و</w:t>
      </w:r>
      <w:r w:rsidRPr="00362D29">
        <w:rPr>
          <w:rFonts w:ascii="Traditional Arabic" w:hAnsi="Traditional Arabic" w:cs="Traditional Arabic"/>
          <w:color w:val="000000" w:themeColor="text1"/>
          <w:sz w:val="24"/>
          <w:szCs w:val="24"/>
        </w:rPr>
        <w:t>SCI</w:t>
      </w:r>
      <w:r w:rsidRPr="00362D29">
        <w:rPr>
          <w:rFonts w:ascii="Traditional Arabic" w:hAnsi="Traditional Arabic" w:cs="Traditional Arabic"/>
          <w:color w:val="000000" w:themeColor="text1"/>
          <w:sz w:val="24"/>
          <w:szCs w:val="24"/>
          <w:rtl/>
        </w:rPr>
        <w:t xml:space="preserve"> للتحليل، وشملت العينة مشاركين من المرضى، وأفراد من أسرهم، ومقدمي رعاية صحية شاركوا في المقابلات وورش العمل النوعية، كما نتج عن تطبيق النموذج تحديد 19 احتياجًا رئيسيًا للمرضى و27 متطلبًا تصميميًا للتقنيات الرقمية. أظهرت النتائج أن تجربة المريض تتشكل من تفاعل ديناميكي بين الأبعاد الخمسة، وأن الاقتصار على البعد العلاجي/المؤسسي لا يعكس التجربة الكلية، خاصة في الأمراض المزمنة التي يحدث معظم مسارها خارج المستشفى. كما بينت النتائج أن إدماج الأبعاد العاطفية والاجتماعية والثقافية في تصميم خدمات التأهيل الرقمي أدى إلى تحسين الالتزام العلاجي، وتقليل عبء التنقل، وزيادة رضا المرضى في المناطق الريفية</w:t>
      </w:r>
    </w:p>
    <w:p w14:paraId="0E8C5817" w14:textId="04D41B86" w:rsidR="001C0E2F" w:rsidRPr="00362D29" w:rsidRDefault="00B02C8D" w:rsidP="00362D29">
      <w:pPr>
        <w:pStyle w:val="ab"/>
        <w:numPr>
          <w:ilvl w:val="0"/>
          <w:numId w:val="23"/>
        </w:numPr>
        <w:bidi/>
        <w:spacing w:before="240"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b/>
          <w:bCs/>
          <w:color w:val="000000" w:themeColor="text1"/>
          <w:sz w:val="24"/>
          <w:szCs w:val="24"/>
          <w:rtl/>
        </w:rPr>
        <w:t>دراسة (</w:t>
      </w:r>
      <w:r w:rsidRPr="00362D29">
        <w:rPr>
          <w:rFonts w:ascii="Traditional Arabic" w:hAnsi="Traditional Arabic" w:cs="Traditional Arabic"/>
          <w:b/>
          <w:bCs/>
          <w:color w:val="000000" w:themeColor="text1"/>
          <w:sz w:val="24"/>
          <w:szCs w:val="24"/>
        </w:rPr>
        <w:t>Chen et al., 2024</w:t>
      </w:r>
      <w:r w:rsidRPr="00362D29">
        <w:rPr>
          <w:rFonts w:ascii="Traditional Arabic" w:hAnsi="Traditional Arabic" w:cs="Traditional Arabic"/>
          <w:b/>
          <w:bCs/>
          <w:color w:val="000000" w:themeColor="text1"/>
          <w:sz w:val="24"/>
          <w:szCs w:val="24"/>
          <w:rtl/>
        </w:rPr>
        <w:t>)بعنوان"</w:t>
      </w:r>
      <w:r w:rsidRPr="00362D29">
        <w:rPr>
          <w:rFonts w:ascii="Traditional Arabic" w:hAnsi="Traditional Arabic" w:cs="Traditional Arabic"/>
          <w:b/>
          <w:bCs/>
          <w:color w:val="000000" w:themeColor="text1"/>
          <w:sz w:val="24"/>
          <w:szCs w:val="24"/>
        </w:rPr>
        <w:t xml:space="preserve">Which aspects of patient experience are the ‘moment of truth’ in the healthcare context: a </w:t>
      </w:r>
      <w:r w:rsidR="001C0E2F" w:rsidRPr="00362D29">
        <w:rPr>
          <w:rFonts w:ascii="Traditional Arabic" w:hAnsi="Traditional Arabic" w:cs="Traditional Arabic"/>
          <w:b/>
          <w:bCs/>
          <w:color w:val="000000" w:themeColor="text1"/>
          <w:sz w:val="24"/>
          <w:szCs w:val="24"/>
        </w:rPr>
        <w:t>multicenter</w:t>
      </w:r>
      <w:r w:rsidRPr="00362D29">
        <w:rPr>
          <w:rFonts w:ascii="Traditional Arabic" w:hAnsi="Traditional Arabic" w:cs="Traditional Arabic"/>
          <w:b/>
          <w:bCs/>
          <w:color w:val="000000" w:themeColor="text1"/>
          <w:sz w:val="24"/>
          <w:szCs w:val="24"/>
        </w:rPr>
        <w:t xml:space="preserve"> cross-sectional study in China</w:t>
      </w:r>
      <w:r w:rsidRPr="00362D29">
        <w:rPr>
          <w:rFonts w:ascii="Traditional Arabic" w:hAnsi="Traditional Arabic" w:cs="Traditional Arabic"/>
          <w:color w:val="000000" w:themeColor="text1"/>
          <w:sz w:val="24"/>
          <w:szCs w:val="24"/>
          <w:rtl/>
        </w:rPr>
        <w:t xml:space="preserve">" </w:t>
      </w:r>
    </w:p>
    <w:p w14:paraId="2DAEDE62" w14:textId="544F7F33" w:rsidR="001C0E2F" w:rsidRDefault="00B02C8D" w:rsidP="00362D29">
      <w:pPr>
        <w:pStyle w:val="ab"/>
        <w:numPr>
          <w:ilvl w:val="0"/>
          <w:numId w:val="15"/>
        </w:numPr>
        <w:bidi/>
        <w:spacing w:before="240"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 xml:space="preserve">هدفت الدراسة إلى فحص اختلاف قوة الارتباط بين أبعاد تجربة المريض المحددة ومستوى الرضا الكلي عن الرعاية، وتحديد الأبعاد الأكثر تأثيرًا في تفسير رضا المرضى باستخدام نموذج إحصائي انتقائي قادر على معالجة تعدد الترابط بين </w:t>
      </w:r>
      <w:r w:rsidR="001C0E2F" w:rsidRPr="00362D29">
        <w:rPr>
          <w:rFonts w:ascii="Traditional Arabic" w:hAnsi="Traditional Arabic" w:cs="Traditional Arabic"/>
          <w:color w:val="000000" w:themeColor="text1"/>
          <w:sz w:val="24"/>
          <w:szCs w:val="24"/>
          <w:rtl/>
        </w:rPr>
        <w:t>المتغيرات. اعتمدت</w:t>
      </w:r>
      <w:r w:rsidRPr="00362D29">
        <w:rPr>
          <w:rFonts w:ascii="Traditional Arabic" w:hAnsi="Traditional Arabic" w:cs="Traditional Arabic"/>
          <w:color w:val="000000" w:themeColor="text1"/>
          <w:sz w:val="24"/>
          <w:szCs w:val="24"/>
          <w:rtl/>
        </w:rPr>
        <w:t xml:space="preserve"> الدراسة المنهج الوصفي التحليلي ، واستخدمت تحليل الانحدار بطريقة </w:t>
      </w:r>
      <w:r w:rsidRPr="00362D29">
        <w:rPr>
          <w:rFonts w:ascii="Traditional Arabic" w:hAnsi="Traditional Arabic" w:cs="Traditional Arabic"/>
          <w:color w:val="000000" w:themeColor="text1"/>
          <w:sz w:val="24"/>
          <w:szCs w:val="24"/>
        </w:rPr>
        <w:t>LASSO Group</w:t>
      </w:r>
      <w:r w:rsidRPr="00362D29">
        <w:rPr>
          <w:rFonts w:ascii="Traditional Arabic" w:hAnsi="Traditional Arabic" w:cs="Traditional Arabic"/>
          <w:color w:val="000000" w:themeColor="text1"/>
          <w:sz w:val="24"/>
          <w:szCs w:val="24"/>
          <w:rtl/>
        </w:rPr>
        <w:t xml:space="preserve"> مع التحقق المتقاطع خماسي الطيات. تم قياس تجربة المريض باستخدام مقياس </w:t>
      </w:r>
      <w:r w:rsidRPr="00362D29">
        <w:rPr>
          <w:rFonts w:ascii="Traditional Arabic" w:hAnsi="Traditional Arabic" w:cs="Traditional Arabic"/>
          <w:color w:val="000000" w:themeColor="text1"/>
          <w:sz w:val="24"/>
          <w:szCs w:val="24"/>
        </w:rPr>
        <w:t>Inpatient Experience with Nursing Care Scale</w:t>
      </w:r>
      <w:r w:rsidRPr="00362D29">
        <w:rPr>
          <w:rFonts w:ascii="Traditional Arabic" w:hAnsi="Traditional Arabic" w:cs="Traditional Arabic"/>
          <w:color w:val="000000" w:themeColor="text1"/>
          <w:sz w:val="24"/>
          <w:szCs w:val="24"/>
          <w:rtl/>
        </w:rPr>
        <w:t xml:space="preserve"> المكون من 30 بندًا موزعة على 7 أبعاد، وقياس الرضا الكلي بمقياس عددي من 10 درجات. تكوّن مجتمع الدراسة من 1532 مريضًا من المرضى المنومين في ثلاثة مستشفيات بمدينة شنغهاي تمثل الأنواع الرئيسة للنظام الصحي الصيني ، واستُبعد 63 لعدم الاستجابة، واعتمدت العينة النهائية على 1469 مريضًا استوفوا معايير الإدراج. أظهرت النتائج أن أربعة أبعاد من تجربة المريض كانت الأكثر تأثيرًا في تفسير الرضا الكلي، وهي مرتبة تنازلياً الدعم العاطفي، وإدارة الدخول والخروج ، ومتابعة الحالة المرضية والتعامل مع تطورها ، والمعلومات والتثقيف الصحي. كما بينت النتائج أن التركيز على هذه الأبعاد ذات الأولوية يفسر نسبة أعلى من التباين في الرضا مقارنة ببقية الأبعاد، مما يؤكد أن تجربة المريض لا تؤثر بصورة متساوية في الرضا الكلي.</w:t>
      </w:r>
    </w:p>
    <w:p w14:paraId="45060573" w14:textId="77777777" w:rsidR="00937192" w:rsidRPr="00362D29" w:rsidRDefault="00937192" w:rsidP="00937192">
      <w:pPr>
        <w:pStyle w:val="ab"/>
        <w:bidi/>
        <w:spacing w:before="240" w:after="200" w:line="360" w:lineRule="auto"/>
        <w:jc w:val="both"/>
        <w:rPr>
          <w:rFonts w:ascii="Traditional Arabic" w:hAnsi="Traditional Arabic" w:cs="Traditional Arabic"/>
          <w:color w:val="000000" w:themeColor="text1"/>
          <w:sz w:val="24"/>
          <w:szCs w:val="24"/>
        </w:rPr>
      </w:pPr>
    </w:p>
    <w:p w14:paraId="31158ED3" w14:textId="3298DEFA" w:rsidR="001C0E2F" w:rsidRPr="00362D29" w:rsidRDefault="003A536A" w:rsidP="00362D29">
      <w:pPr>
        <w:pStyle w:val="ab"/>
        <w:numPr>
          <w:ilvl w:val="0"/>
          <w:numId w:val="23"/>
        </w:numPr>
        <w:bidi/>
        <w:spacing w:before="240"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b/>
          <w:bCs/>
          <w:color w:val="000000" w:themeColor="text1"/>
          <w:sz w:val="24"/>
          <w:szCs w:val="24"/>
          <w:rtl/>
        </w:rPr>
        <w:lastRenderedPageBreak/>
        <w:t>دراسة</w:t>
      </w:r>
      <w:r w:rsidRPr="00362D29">
        <w:rPr>
          <w:rFonts w:ascii="Traditional Arabic" w:hAnsi="Traditional Arabic" w:cs="Traditional Arabic"/>
          <w:b/>
          <w:bCs/>
          <w:color w:val="000000" w:themeColor="text1"/>
          <w:sz w:val="24"/>
          <w:szCs w:val="24"/>
        </w:rPr>
        <w:t>(Guan et al., 2024</w:t>
      </w:r>
      <w:r w:rsidR="00851B5B" w:rsidRPr="00362D29">
        <w:rPr>
          <w:rFonts w:ascii="Traditional Arabic" w:hAnsi="Traditional Arabic" w:cs="Traditional Arabic"/>
          <w:b/>
          <w:bCs/>
          <w:color w:val="000000" w:themeColor="text1"/>
          <w:sz w:val="24"/>
          <w:szCs w:val="24"/>
        </w:rPr>
        <w:t xml:space="preserve">) </w:t>
      </w:r>
      <w:r w:rsidR="00851B5B" w:rsidRPr="00362D29">
        <w:rPr>
          <w:rFonts w:ascii="Traditional Arabic" w:hAnsi="Traditional Arabic" w:cs="Traditional Arabic"/>
          <w:b/>
          <w:bCs/>
          <w:color w:val="000000" w:themeColor="text1"/>
          <w:sz w:val="24"/>
          <w:szCs w:val="24"/>
          <w:rtl/>
        </w:rPr>
        <w:t>بعنوان</w:t>
      </w:r>
      <w:r w:rsidRPr="00362D29">
        <w:rPr>
          <w:rFonts w:ascii="Traditional Arabic" w:hAnsi="Traditional Arabic" w:cs="Traditional Arabic"/>
          <w:b/>
          <w:bCs/>
          <w:color w:val="000000" w:themeColor="text1"/>
          <w:sz w:val="24"/>
          <w:szCs w:val="24"/>
          <w:rtl/>
        </w:rPr>
        <w:t xml:space="preserve"> </w:t>
      </w:r>
      <w:r w:rsidR="001C0E2F" w:rsidRPr="00362D29">
        <w:rPr>
          <w:rFonts w:ascii="Traditional Arabic" w:hAnsi="Traditional Arabic" w:cs="Traditional Arabic"/>
          <w:b/>
          <w:bCs/>
          <w:color w:val="000000" w:themeColor="text1"/>
          <w:sz w:val="24"/>
          <w:szCs w:val="24"/>
        </w:rPr>
        <w:t>"</w:t>
      </w:r>
      <w:r w:rsidRPr="00362D29">
        <w:rPr>
          <w:rFonts w:ascii="Traditional Arabic" w:hAnsi="Traditional Arabic" w:cs="Traditional Arabic"/>
          <w:b/>
          <w:bCs/>
          <w:color w:val="000000" w:themeColor="text1"/>
          <w:sz w:val="24"/>
          <w:szCs w:val="24"/>
        </w:rPr>
        <w:t>Factors influencing patient experience in hospital wards: a systematic review</w:t>
      </w:r>
      <w:r w:rsidR="001C0E2F" w:rsidRPr="00362D29">
        <w:rPr>
          <w:rFonts w:ascii="Traditional Arabic" w:hAnsi="Traditional Arabic" w:cs="Traditional Arabic"/>
          <w:b/>
          <w:bCs/>
          <w:color w:val="000000" w:themeColor="text1"/>
          <w:sz w:val="24"/>
          <w:szCs w:val="24"/>
        </w:rPr>
        <w:t>"</w:t>
      </w:r>
      <w:r w:rsidRPr="00362D29">
        <w:rPr>
          <w:rFonts w:ascii="Traditional Arabic" w:hAnsi="Traditional Arabic" w:cs="Traditional Arabic"/>
          <w:b/>
          <w:bCs/>
          <w:color w:val="000000" w:themeColor="text1"/>
          <w:sz w:val="24"/>
          <w:szCs w:val="24"/>
          <w:rtl/>
        </w:rPr>
        <w:t xml:space="preserve"> </w:t>
      </w:r>
    </w:p>
    <w:p w14:paraId="25B9ED25" w14:textId="6A6F4E94" w:rsidR="003A536A" w:rsidRPr="00362D29" w:rsidRDefault="003A536A" w:rsidP="00362D29">
      <w:pPr>
        <w:pStyle w:val="ab"/>
        <w:numPr>
          <w:ilvl w:val="0"/>
          <w:numId w:val="15"/>
        </w:numPr>
        <w:bidi/>
        <w:spacing w:before="240"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هدفت الدراسة إلى تحديد العوامل المؤثرة في تجربة المريض داخل أجنحة التنويم بالمستشفيات بصورة شمولية متعددة المستويات، كما سعت إلى تصنيف هذه العوامل ضمن إطار النموذج البيئي (مكليروي) لفهم التأثيرات الفردية والتنظيمية والمجتمعية والسياسية على تجربة المرضى</w:t>
      </w:r>
      <w:r w:rsidRPr="00362D29">
        <w:rPr>
          <w:rFonts w:ascii="Traditional Arabic" w:hAnsi="Traditional Arabic" w:cs="Traditional Arabic"/>
          <w:color w:val="000000" w:themeColor="text1"/>
          <w:sz w:val="24"/>
          <w:szCs w:val="24"/>
        </w:rPr>
        <w:t>.</w:t>
      </w:r>
      <w:r w:rsidRPr="00362D29">
        <w:rPr>
          <w:rFonts w:ascii="Traditional Arabic" w:hAnsi="Traditional Arabic" w:cs="Traditional Arabic"/>
          <w:color w:val="000000" w:themeColor="text1"/>
          <w:sz w:val="24"/>
          <w:szCs w:val="24"/>
          <w:rtl/>
        </w:rPr>
        <w:t xml:space="preserve"> اعتمدت الدراسة المنهجية الوصفية التحليلية بأسلوب المراجعة المنهجية وفق إرشادات</w:t>
      </w:r>
      <w:r w:rsidR="00851B5B" w:rsidRPr="00362D29">
        <w:rPr>
          <w:rFonts w:ascii="Traditional Arabic" w:hAnsi="Traditional Arabic" w:cs="Traditional Arabic"/>
          <w:color w:val="000000" w:themeColor="text1"/>
          <w:sz w:val="24"/>
          <w:szCs w:val="24"/>
          <w:rtl/>
        </w:rPr>
        <w:t xml:space="preserve"> </w:t>
      </w:r>
      <w:r w:rsidRPr="00362D29">
        <w:rPr>
          <w:rFonts w:ascii="Traditional Arabic" w:hAnsi="Traditional Arabic" w:cs="Traditional Arabic"/>
          <w:color w:val="000000" w:themeColor="text1"/>
          <w:sz w:val="24"/>
          <w:szCs w:val="24"/>
        </w:rPr>
        <w:t>PRISMA 2020</w:t>
      </w:r>
      <w:r w:rsidRPr="00362D29">
        <w:rPr>
          <w:rFonts w:ascii="Traditional Arabic" w:hAnsi="Traditional Arabic" w:cs="Traditional Arabic"/>
          <w:color w:val="000000" w:themeColor="text1"/>
          <w:sz w:val="24"/>
          <w:szCs w:val="24"/>
          <w:rtl/>
        </w:rPr>
        <w:t>، وتم تسجيل البروتوكول في</w:t>
      </w:r>
      <w:r w:rsidRPr="00362D29">
        <w:rPr>
          <w:rFonts w:ascii="Traditional Arabic" w:hAnsi="Traditional Arabic" w:cs="Traditional Arabic"/>
          <w:color w:val="000000" w:themeColor="text1"/>
          <w:sz w:val="24"/>
          <w:szCs w:val="24"/>
        </w:rPr>
        <w:t xml:space="preserve"> PROSPERO </w:t>
      </w:r>
      <w:r w:rsidRPr="00362D29">
        <w:rPr>
          <w:rFonts w:ascii="Traditional Arabic" w:hAnsi="Traditional Arabic" w:cs="Traditional Arabic"/>
          <w:color w:val="000000" w:themeColor="text1"/>
          <w:sz w:val="24"/>
          <w:szCs w:val="24"/>
          <w:rtl/>
        </w:rPr>
        <w:t>برقم</w:t>
      </w:r>
      <w:r w:rsidRPr="00362D29">
        <w:rPr>
          <w:rFonts w:ascii="Traditional Arabic" w:hAnsi="Traditional Arabic" w:cs="Traditional Arabic"/>
          <w:color w:val="000000" w:themeColor="text1"/>
          <w:sz w:val="24"/>
          <w:szCs w:val="24"/>
        </w:rPr>
        <w:t xml:space="preserve"> CRD42023401066. </w:t>
      </w:r>
      <w:r w:rsidR="00851B5B" w:rsidRPr="00362D29">
        <w:rPr>
          <w:rFonts w:ascii="Traditional Arabic" w:hAnsi="Traditional Arabic" w:cs="Traditional Arabic"/>
          <w:color w:val="000000" w:themeColor="text1"/>
          <w:sz w:val="24"/>
          <w:szCs w:val="24"/>
          <w:rtl/>
        </w:rPr>
        <w:t xml:space="preserve"> </w:t>
      </w:r>
      <w:r w:rsidRPr="00362D29">
        <w:rPr>
          <w:rFonts w:ascii="Traditional Arabic" w:hAnsi="Traditional Arabic" w:cs="Traditional Arabic"/>
          <w:color w:val="000000" w:themeColor="text1"/>
          <w:sz w:val="24"/>
          <w:szCs w:val="24"/>
          <w:rtl/>
        </w:rPr>
        <w:t>شملت عملية البحث ست قواعد بيانات هي</w:t>
      </w:r>
      <w:r w:rsidRPr="00362D29">
        <w:rPr>
          <w:rFonts w:ascii="Traditional Arabic" w:hAnsi="Traditional Arabic" w:cs="Traditional Arabic"/>
          <w:color w:val="000000" w:themeColor="text1"/>
          <w:sz w:val="24"/>
          <w:szCs w:val="24"/>
        </w:rPr>
        <w:t xml:space="preserve"> PubMed </w:t>
      </w:r>
      <w:r w:rsidRPr="00362D29">
        <w:rPr>
          <w:rFonts w:ascii="Traditional Arabic" w:hAnsi="Traditional Arabic" w:cs="Traditional Arabic"/>
          <w:color w:val="000000" w:themeColor="text1"/>
          <w:sz w:val="24"/>
          <w:szCs w:val="24"/>
          <w:rtl/>
        </w:rPr>
        <w:t>و</w:t>
      </w:r>
      <w:r w:rsidRPr="00362D29">
        <w:rPr>
          <w:rFonts w:ascii="Traditional Arabic" w:hAnsi="Traditional Arabic" w:cs="Traditional Arabic"/>
          <w:color w:val="000000" w:themeColor="text1"/>
          <w:sz w:val="24"/>
          <w:szCs w:val="24"/>
        </w:rPr>
        <w:t xml:space="preserve">CINAHL </w:t>
      </w:r>
      <w:r w:rsidRPr="00362D29">
        <w:rPr>
          <w:rFonts w:ascii="Traditional Arabic" w:hAnsi="Traditional Arabic" w:cs="Traditional Arabic"/>
          <w:color w:val="000000" w:themeColor="text1"/>
          <w:sz w:val="24"/>
          <w:szCs w:val="24"/>
          <w:rtl/>
        </w:rPr>
        <w:t>و</w:t>
      </w:r>
      <w:r w:rsidRPr="00362D29">
        <w:rPr>
          <w:rFonts w:ascii="Traditional Arabic" w:hAnsi="Traditional Arabic" w:cs="Traditional Arabic"/>
          <w:color w:val="000000" w:themeColor="text1"/>
          <w:sz w:val="24"/>
          <w:szCs w:val="24"/>
        </w:rPr>
        <w:t xml:space="preserve">Embase </w:t>
      </w:r>
      <w:r w:rsidRPr="00362D29">
        <w:rPr>
          <w:rFonts w:ascii="Traditional Arabic" w:hAnsi="Traditional Arabic" w:cs="Traditional Arabic"/>
          <w:color w:val="000000" w:themeColor="text1"/>
          <w:sz w:val="24"/>
          <w:szCs w:val="24"/>
          <w:rtl/>
        </w:rPr>
        <w:t>و</w:t>
      </w:r>
      <w:r w:rsidRPr="00362D29">
        <w:rPr>
          <w:rFonts w:ascii="Traditional Arabic" w:hAnsi="Traditional Arabic" w:cs="Traditional Arabic"/>
          <w:color w:val="000000" w:themeColor="text1"/>
          <w:sz w:val="24"/>
          <w:szCs w:val="24"/>
        </w:rPr>
        <w:t xml:space="preserve">PsycInfo </w:t>
      </w:r>
      <w:r w:rsidRPr="00362D29">
        <w:rPr>
          <w:rFonts w:ascii="Traditional Arabic" w:hAnsi="Traditional Arabic" w:cs="Traditional Arabic"/>
          <w:color w:val="000000" w:themeColor="text1"/>
          <w:sz w:val="24"/>
          <w:szCs w:val="24"/>
          <w:rtl/>
        </w:rPr>
        <w:t>و</w:t>
      </w:r>
      <w:r w:rsidRPr="00362D29">
        <w:rPr>
          <w:rFonts w:ascii="Traditional Arabic" w:hAnsi="Traditional Arabic" w:cs="Traditional Arabic"/>
          <w:color w:val="000000" w:themeColor="text1"/>
          <w:sz w:val="24"/>
          <w:szCs w:val="24"/>
        </w:rPr>
        <w:t xml:space="preserve">ProQuest </w:t>
      </w:r>
      <w:r w:rsidRPr="00362D29">
        <w:rPr>
          <w:rFonts w:ascii="Traditional Arabic" w:hAnsi="Traditional Arabic" w:cs="Traditional Arabic"/>
          <w:color w:val="000000" w:themeColor="text1"/>
          <w:sz w:val="24"/>
          <w:szCs w:val="24"/>
          <w:rtl/>
        </w:rPr>
        <w:t>و</w:t>
      </w:r>
      <w:r w:rsidR="001C0E2F" w:rsidRPr="00362D29">
        <w:rPr>
          <w:rFonts w:ascii="Traditional Arabic" w:hAnsi="Traditional Arabic" w:cs="Traditional Arabic"/>
          <w:color w:val="000000" w:themeColor="text1"/>
          <w:sz w:val="24"/>
          <w:szCs w:val="24"/>
        </w:rPr>
        <w:t xml:space="preserve">Cochrane </w:t>
      </w:r>
      <w:r w:rsidR="001C0E2F" w:rsidRPr="00362D29">
        <w:rPr>
          <w:rFonts w:ascii="Traditional Arabic" w:hAnsi="Traditional Arabic" w:cs="Traditional Arabic"/>
          <w:color w:val="000000" w:themeColor="text1"/>
          <w:sz w:val="24"/>
          <w:szCs w:val="24"/>
          <w:rtl/>
        </w:rPr>
        <w:t>حتى</w:t>
      </w:r>
      <w:r w:rsidRPr="00362D29">
        <w:rPr>
          <w:rFonts w:ascii="Traditional Arabic" w:hAnsi="Traditional Arabic" w:cs="Traditional Arabic"/>
          <w:color w:val="000000" w:themeColor="text1"/>
          <w:sz w:val="24"/>
          <w:szCs w:val="24"/>
          <w:rtl/>
        </w:rPr>
        <w:t xml:space="preserve"> 23 أغسطس 2022. استخدمت أداة</w:t>
      </w:r>
      <w:r w:rsidRPr="00362D29">
        <w:rPr>
          <w:rFonts w:ascii="Traditional Arabic" w:hAnsi="Traditional Arabic" w:cs="Traditional Arabic"/>
          <w:color w:val="000000" w:themeColor="text1"/>
          <w:sz w:val="24"/>
          <w:szCs w:val="24"/>
        </w:rPr>
        <w:t xml:space="preserve"> Joanna Briggs Institute </w:t>
      </w:r>
      <w:r w:rsidRPr="00362D29">
        <w:rPr>
          <w:rFonts w:ascii="Traditional Arabic" w:hAnsi="Traditional Arabic" w:cs="Traditional Arabic"/>
          <w:color w:val="000000" w:themeColor="text1"/>
          <w:sz w:val="24"/>
          <w:szCs w:val="24"/>
          <w:rtl/>
        </w:rPr>
        <w:t>لتقييم الجودة المنهجية، وتم دمج النتائج وتحليلها وفق خمسة مستويات للنموذج البيئي مع إضافة نطاق سادس متعلق بعوامل المسح</w:t>
      </w:r>
      <w:r w:rsidRPr="00362D29">
        <w:rPr>
          <w:rFonts w:ascii="Traditional Arabic" w:hAnsi="Traditional Arabic" w:cs="Traditional Arabic"/>
          <w:color w:val="000000" w:themeColor="text1"/>
          <w:sz w:val="24"/>
          <w:szCs w:val="24"/>
        </w:rPr>
        <w:t>.</w:t>
      </w:r>
      <w:r w:rsidRPr="00362D29">
        <w:rPr>
          <w:rFonts w:ascii="Traditional Arabic" w:hAnsi="Traditional Arabic" w:cs="Traditional Arabic"/>
          <w:color w:val="000000" w:themeColor="text1"/>
          <w:sz w:val="24"/>
          <w:szCs w:val="24"/>
          <w:rtl/>
        </w:rPr>
        <w:t>تكوّن مجتمع الدراسة من جميع الدراسات المنشورة باللغة الإنجليزية التي تناولت العوامل المرتبطة بتجربة المرضى المنومين البالغين، وبلغت العينة النهائية 138 دراسة (133 مقطعية، 3 طولية، 2 أترابية)،</w:t>
      </w:r>
      <w:r w:rsidRPr="00362D29">
        <w:rPr>
          <w:rFonts w:ascii="Traditional Arabic" w:hAnsi="Traditional Arabic" w:cs="Traditional Arabic"/>
          <w:color w:val="000000" w:themeColor="text1"/>
          <w:sz w:val="24"/>
          <w:szCs w:val="24"/>
        </w:rPr>
        <w:t>.</w:t>
      </w:r>
      <w:r w:rsidRPr="00362D29">
        <w:rPr>
          <w:rFonts w:ascii="Traditional Arabic" w:hAnsi="Traditional Arabic" w:cs="Traditional Arabic"/>
          <w:color w:val="000000" w:themeColor="text1"/>
          <w:sz w:val="24"/>
          <w:szCs w:val="24"/>
          <w:rtl/>
        </w:rPr>
        <w:t>أظهرت النتائج تحديد 164 عاملًا مؤثرًا في تجربة المريض موزعة على ستة مجالات رئيسية (المستوى الفردي</w:t>
      </w:r>
      <w:r w:rsidR="0053362E" w:rsidRPr="00362D29">
        <w:rPr>
          <w:rFonts w:ascii="Traditional Arabic" w:hAnsi="Traditional Arabic" w:cs="Traditional Arabic"/>
          <w:color w:val="000000" w:themeColor="text1"/>
          <w:sz w:val="24"/>
          <w:szCs w:val="24"/>
          <w:rtl/>
        </w:rPr>
        <w:t xml:space="preserve"> </w:t>
      </w:r>
      <w:r w:rsidR="007A2089" w:rsidRPr="00362D29">
        <w:rPr>
          <w:rFonts w:ascii="Traditional Arabic" w:hAnsi="Traditional Arabic" w:cs="Traditional Arabic"/>
          <w:color w:val="000000" w:themeColor="text1"/>
          <w:sz w:val="24"/>
          <w:szCs w:val="24"/>
          <w:rtl/>
        </w:rPr>
        <w:t xml:space="preserve">، </w:t>
      </w:r>
      <w:r w:rsidRPr="00362D29">
        <w:rPr>
          <w:rFonts w:ascii="Traditional Arabic" w:hAnsi="Traditional Arabic" w:cs="Traditional Arabic"/>
          <w:color w:val="000000" w:themeColor="text1"/>
          <w:sz w:val="24"/>
          <w:szCs w:val="24"/>
          <w:rtl/>
        </w:rPr>
        <w:t>المستوى التفاعلي بين المريض ومقدمي الرعاية</w:t>
      </w:r>
      <w:r w:rsidRPr="00362D29">
        <w:rPr>
          <w:rFonts w:ascii="Traditional Arabic" w:hAnsi="Traditional Arabic" w:cs="Traditional Arabic"/>
          <w:color w:val="000000" w:themeColor="text1"/>
          <w:sz w:val="24"/>
          <w:szCs w:val="24"/>
        </w:rPr>
        <w:t xml:space="preserve"> </w:t>
      </w:r>
      <w:r w:rsidRPr="00362D29">
        <w:rPr>
          <w:rFonts w:ascii="Traditional Arabic" w:hAnsi="Traditional Arabic" w:cs="Traditional Arabic"/>
          <w:color w:val="000000" w:themeColor="text1"/>
          <w:sz w:val="24"/>
          <w:szCs w:val="24"/>
          <w:rtl/>
        </w:rPr>
        <w:t>، المستوى المؤسسي</w:t>
      </w:r>
      <w:r w:rsidRPr="00362D29">
        <w:rPr>
          <w:rFonts w:ascii="Traditional Arabic" w:hAnsi="Traditional Arabic" w:cs="Traditional Arabic"/>
          <w:color w:val="000000" w:themeColor="text1"/>
          <w:sz w:val="24"/>
          <w:szCs w:val="24"/>
        </w:rPr>
        <w:t xml:space="preserve"> </w:t>
      </w:r>
      <w:r w:rsidRPr="00362D29">
        <w:rPr>
          <w:rFonts w:ascii="Traditional Arabic" w:hAnsi="Traditional Arabic" w:cs="Traditional Arabic"/>
          <w:color w:val="000000" w:themeColor="text1"/>
          <w:sz w:val="24"/>
          <w:szCs w:val="24"/>
          <w:rtl/>
        </w:rPr>
        <w:t>، المستوى المجتمعي</w:t>
      </w:r>
      <w:r w:rsidRPr="00362D29">
        <w:rPr>
          <w:rFonts w:ascii="Traditional Arabic" w:hAnsi="Traditional Arabic" w:cs="Traditional Arabic"/>
          <w:color w:val="000000" w:themeColor="text1"/>
          <w:sz w:val="24"/>
          <w:szCs w:val="24"/>
        </w:rPr>
        <w:t xml:space="preserve"> </w:t>
      </w:r>
      <w:r w:rsidRPr="00362D29">
        <w:rPr>
          <w:rFonts w:ascii="Traditional Arabic" w:hAnsi="Traditional Arabic" w:cs="Traditional Arabic"/>
          <w:color w:val="000000" w:themeColor="text1"/>
          <w:sz w:val="24"/>
          <w:szCs w:val="24"/>
          <w:rtl/>
        </w:rPr>
        <w:t>، مستوى السياسات العامة، وعوامل متعلقة بآلية وأدوات المسح</w:t>
      </w:r>
      <w:r w:rsidRPr="00362D29">
        <w:rPr>
          <w:rFonts w:ascii="Traditional Arabic" w:hAnsi="Traditional Arabic" w:cs="Traditional Arabic"/>
          <w:color w:val="000000" w:themeColor="text1"/>
          <w:sz w:val="24"/>
          <w:szCs w:val="24"/>
        </w:rPr>
        <w:t xml:space="preserve"> </w:t>
      </w:r>
      <w:r w:rsidR="009252C1" w:rsidRPr="00362D29">
        <w:rPr>
          <w:rFonts w:ascii="Traditional Arabic" w:hAnsi="Traditional Arabic" w:cs="Traditional Arabic"/>
          <w:color w:val="000000" w:themeColor="text1"/>
          <w:sz w:val="24"/>
          <w:szCs w:val="24"/>
          <w:rtl/>
        </w:rPr>
        <w:t>.</w:t>
      </w:r>
      <w:r w:rsidRPr="00362D29">
        <w:rPr>
          <w:rFonts w:ascii="Traditional Arabic" w:hAnsi="Traditional Arabic" w:cs="Traditional Arabic"/>
          <w:color w:val="000000" w:themeColor="text1"/>
          <w:sz w:val="24"/>
          <w:szCs w:val="24"/>
          <w:rtl/>
        </w:rPr>
        <w:t>، كما بينت أن العوامل الفردية مثل العمر والجنس والمستوى التعليمي والحالة الصحية، إضافة إلى خصائص المستشفى التعليمي، كانت الأكثر تكرارًا إلا أن تأثيرها كان متباينًا وغير حاسم</w:t>
      </w:r>
      <w:r w:rsidRPr="00362D29">
        <w:rPr>
          <w:rFonts w:ascii="Traditional Arabic" w:hAnsi="Traditional Arabic" w:cs="Traditional Arabic"/>
          <w:color w:val="000000" w:themeColor="text1"/>
          <w:sz w:val="24"/>
          <w:szCs w:val="24"/>
        </w:rPr>
        <w:t>.</w:t>
      </w:r>
    </w:p>
    <w:p w14:paraId="42925D4A" w14:textId="77777777" w:rsidR="001C0E2F" w:rsidRPr="00362D29" w:rsidRDefault="00FC0740" w:rsidP="00362D29">
      <w:pPr>
        <w:pStyle w:val="ab"/>
        <w:numPr>
          <w:ilvl w:val="0"/>
          <w:numId w:val="23"/>
        </w:numPr>
        <w:bidi/>
        <w:spacing w:before="240"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b/>
          <w:bCs/>
          <w:color w:val="000000" w:themeColor="text1"/>
          <w:sz w:val="24"/>
          <w:szCs w:val="24"/>
          <w:rtl/>
        </w:rPr>
        <w:t>دراسة (</w:t>
      </w:r>
      <w:r w:rsidRPr="00362D29">
        <w:rPr>
          <w:rFonts w:ascii="Traditional Arabic" w:hAnsi="Traditional Arabic" w:cs="Traditional Arabic"/>
          <w:b/>
          <w:bCs/>
          <w:color w:val="000000" w:themeColor="text1"/>
          <w:sz w:val="24"/>
          <w:szCs w:val="24"/>
        </w:rPr>
        <w:t>Avlijas et al., 2023</w:t>
      </w:r>
      <w:r w:rsidRPr="00362D29">
        <w:rPr>
          <w:rFonts w:ascii="Traditional Arabic" w:hAnsi="Traditional Arabic" w:cs="Traditional Arabic"/>
          <w:b/>
          <w:bCs/>
          <w:color w:val="000000" w:themeColor="text1"/>
          <w:sz w:val="24"/>
          <w:szCs w:val="24"/>
          <w:rtl/>
        </w:rPr>
        <w:t>) بعنوان "</w:t>
      </w:r>
      <w:r w:rsidRPr="00362D29">
        <w:rPr>
          <w:rFonts w:ascii="Traditional Arabic" w:hAnsi="Traditional Arabic" w:cs="Traditional Arabic"/>
          <w:b/>
          <w:bCs/>
          <w:color w:val="000000" w:themeColor="text1"/>
          <w:sz w:val="24"/>
          <w:szCs w:val="24"/>
        </w:rPr>
        <w:t>A concept analysis of the patient experience</w:t>
      </w:r>
      <w:r w:rsidRPr="00362D29">
        <w:rPr>
          <w:rFonts w:ascii="Traditional Arabic" w:hAnsi="Traditional Arabic" w:cs="Traditional Arabic"/>
          <w:b/>
          <w:bCs/>
          <w:color w:val="000000" w:themeColor="text1"/>
          <w:sz w:val="24"/>
          <w:szCs w:val="24"/>
          <w:rtl/>
        </w:rPr>
        <w:t xml:space="preserve">" </w:t>
      </w:r>
    </w:p>
    <w:p w14:paraId="05B4EFE2" w14:textId="76DE2084" w:rsidR="001C0E2F" w:rsidRPr="00362D29" w:rsidRDefault="00FC0740" w:rsidP="00362D29">
      <w:pPr>
        <w:pStyle w:val="ab"/>
        <w:numPr>
          <w:ilvl w:val="0"/>
          <w:numId w:val="15"/>
        </w:numPr>
        <w:bidi/>
        <w:spacing w:before="240"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 xml:space="preserve">هدفت الدراسة إلى توضيح مفهوم تجربة المريض من خلال حصر التعريفات القائمة وطرق القياس والسمات الجوهرية المرتبطة به، والتمييز بينه وبين المفاهيم المتقاربة مثل رضا المريض. كما سعت إلى اقتراح تعريف نظري وإجرائي متكامل يسهم في تطوير أدوات قياس أكثر صدقًا وثباتًا مستقبلًا. اتبعت الدراسة منهج تحليل المفهوم وفق نموذج </w:t>
      </w:r>
      <w:r w:rsidRPr="00362D29">
        <w:rPr>
          <w:rFonts w:ascii="Traditional Arabic" w:hAnsi="Traditional Arabic" w:cs="Traditional Arabic"/>
          <w:color w:val="000000" w:themeColor="text1"/>
          <w:sz w:val="24"/>
          <w:szCs w:val="24"/>
        </w:rPr>
        <w:t>Walker and Avant</w:t>
      </w:r>
      <w:r w:rsidRPr="00362D29">
        <w:rPr>
          <w:rFonts w:ascii="Traditional Arabic" w:hAnsi="Traditional Arabic" w:cs="Traditional Arabic"/>
          <w:color w:val="000000" w:themeColor="text1"/>
          <w:sz w:val="24"/>
          <w:szCs w:val="24"/>
          <w:rtl/>
        </w:rPr>
        <w:t xml:space="preserve"> المكوَّن من ثماني خطوات، مع مراجعة منهجية موسعة للأدبيات شملت سبع قواعد بيانات ومحرك بحث واحد حتى سبتمبر 2021، إضافة إلى الأدبيات الرمادية. تم تحديد 19,447 مرجعًا، وبعد إزالة التكرار والفحص المرحلي للعناوين والملخصات والنصوص الكاملة، أُدرجت 436 دراسة وموقعًا تنظيميًا في التحليل النهائي. تمثّل المجتمع البحثي في الأدبيات المنشورة عالميًا حول تجربة المريض، بينما بلغت العينة النهائية 436 مصدرًا من 34 دولة، غالبيتها في بيئة المستشفيات (326 دراسة بنسبة 74.77%) .أسفرت النتائج عن تحديد عشرين سمة مميزة لمفهوم تجربة المريض، أبرزها التواصل، احترام المرضى، الرعاية المتمحورة حول المريض، البيئة الاستشفائية ، الكفاءة السريرية، السلامة، واستمرارية الرعاية. كما انتهت الدراسة إلى اقتراح تعريف شامل مفاده أن تجربة المريض هي مزيج من العمليات الداخلية والخارجية بالمستشفى، والسمات المتمحورة حول المريض، والتفاعلات بين المريض والعاملين وبين العاملين أنفسهم خلال جميع مراحل الرعاية.</w:t>
      </w:r>
    </w:p>
    <w:p w14:paraId="44DB5CE3" w14:textId="2054F8EB" w:rsidR="001C0E2F" w:rsidRPr="00362D29" w:rsidRDefault="00CA1533" w:rsidP="00362D29">
      <w:pPr>
        <w:pStyle w:val="ab"/>
        <w:numPr>
          <w:ilvl w:val="0"/>
          <w:numId w:val="23"/>
        </w:numPr>
        <w:bidi/>
        <w:spacing w:before="240"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b/>
          <w:bCs/>
          <w:color w:val="000000" w:themeColor="text1"/>
          <w:sz w:val="24"/>
          <w:szCs w:val="24"/>
          <w:rtl/>
        </w:rPr>
        <w:lastRenderedPageBreak/>
        <w:t xml:space="preserve">دراسة </w:t>
      </w:r>
      <w:r w:rsidRPr="00362D29">
        <w:rPr>
          <w:rFonts w:ascii="Traditional Arabic" w:hAnsi="Traditional Arabic" w:cs="Traditional Arabic"/>
          <w:b/>
          <w:bCs/>
          <w:color w:val="000000" w:themeColor="text1"/>
          <w:sz w:val="24"/>
          <w:szCs w:val="24"/>
        </w:rPr>
        <w:t xml:space="preserve"> (Alharbi, 2023)</w:t>
      </w:r>
      <w:r w:rsidR="00947153" w:rsidRPr="00362D29">
        <w:rPr>
          <w:rFonts w:ascii="Traditional Arabic" w:hAnsi="Traditional Arabic" w:cs="Traditional Arabic"/>
          <w:b/>
          <w:bCs/>
          <w:color w:val="000000" w:themeColor="text1"/>
          <w:sz w:val="24"/>
          <w:szCs w:val="24"/>
        </w:rPr>
        <w:t xml:space="preserve"> </w:t>
      </w:r>
      <w:r w:rsidR="00947153" w:rsidRPr="00362D29">
        <w:rPr>
          <w:rFonts w:ascii="Traditional Arabic" w:hAnsi="Traditional Arabic" w:cs="Traditional Arabic"/>
          <w:b/>
          <w:bCs/>
          <w:color w:val="000000" w:themeColor="text1"/>
          <w:sz w:val="24"/>
          <w:szCs w:val="24"/>
          <w:rtl/>
        </w:rPr>
        <w:t>بعنوان</w:t>
      </w:r>
      <w:r w:rsidR="00947153" w:rsidRPr="00362D29">
        <w:rPr>
          <w:rFonts w:ascii="Traditional Arabic" w:hAnsi="Traditional Arabic" w:cs="Traditional Arabic"/>
          <w:b/>
          <w:bCs/>
          <w:color w:val="000000" w:themeColor="text1"/>
          <w:sz w:val="24"/>
          <w:szCs w:val="24"/>
        </w:rPr>
        <w:t xml:space="preserve"> </w:t>
      </w:r>
      <w:r w:rsidR="001C0E2F" w:rsidRPr="00362D29">
        <w:rPr>
          <w:rFonts w:ascii="Traditional Arabic" w:hAnsi="Traditional Arabic" w:cs="Traditional Arabic"/>
          <w:b/>
          <w:bCs/>
          <w:color w:val="000000" w:themeColor="text1"/>
          <w:sz w:val="24"/>
          <w:szCs w:val="24"/>
        </w:rPr>
        <w:t>"</w:t>
      </w:r>
      <w:r w:rsidR="00947153" w:rsidRPr="00362D29">
        <w:rPr>
          <w:rFonts w:ascii="Traditional Arabic" w:hAnsi="Traditional Arabic" w:cs="Traditional Arabic"/>
          <w:b/>
          <w:bCs/>
          <w:color w:val="000000" w:themeColor="text1"/>
          <w:sz w:val="24"/>
          <w:szCs w:val="24"/>
        </w:rPr>
        <w:t>Patients’ experience of service quality in government and private hospitals in the Qassim Region, Kingdom of Saudi Arabia</w:t>
      </w:r>
      <w:r w:rsidR="001C0E2F" w:rsidRPr="00362D29">
        <w:rPr>
          <w:rFonts w:ascii="Traditional Arabic" w:hAnsi="Traditional Arabic" w:cs="Traditional Arabic"/>
          <w:b/>
          <w:bCs/>
          <w:color w:val="000000" w:themeColor="text1"/>
          <w:sz w:val="24"/>
          <w:szCs w:val="24"/>
        </w:rPr>
        <w:t>"</w:t>
      </w:r>
      <w:r w:rsidR="00947153" w:rsidRPr="00362D29">
        <w:rPr>
          <w:rFonts w:ascii="Traditional Arabic" w:hAnsi="Traditional Arabic" w:cs="Traditional Arabic"/>
          <w:b/>
          <w:bCs/>
          <w:color w:val="000000" w:themeColor="text1"/>
          <w:sz w:val="24"/>
          <w:szCs w:val="24"/>
          <w:rtl/>
        </w:rPr>
        <w:t xml:space="preserve">، </w:t>
      </w:r>
    </w:p>
    <w:p w14:paraId="2F1BE421" w14:textId="56F9B681" w:rsidR="00F5495F" w:rsidRPr="00362D29" w:rsidRDefault="00947153" w:rsidP="00362D29">
      <w:pPr>
        <w:pStyle w:val="ab"/>
        <w:numPr>
          <w:ilvl w:val="0"/>
          <w:numId w:val="15"/>
        </w:numPr>
        <w:bidi/>
        <w:spacing w:before="240"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 xml:space="preserve">هدفت إلى </w:t>
      </w:r>
      <w:r w:rsidR="00F5495F" w:rsidRPr="00362D29">
        <w:rPr>
          <w:rFonts w:ascii="Traditional Arabic" w:hAnsi="Traditional Arabic" w:cs="Traditional Arabic"/>
          <w:color w:val="000000" w:themeColor="text1"/>
          <w:sz w:val="24"/>
          <w:szCs w:val="24"/>
          <w:rtl/>
        </w:rPr>
        <w:t xml:space="preserve">مقارنة تجربة المرضى في المستشفيات الحكومية والخاصة وكذلك تقييم مستوى تجربة المرضى تجاه جودة الخدمة الصحية في المستشفيات الحكومية والخاصة بمنطقة القصيم، والمقارنة بين القطاعين باستخدام مقياس </w:t>
      </w:r>
      <w:r w:rsidR="00F5495F" w:rsidRPr="00362D29">
        <w:rPr>
          <w:rFonts w:ascii="Traditional Arabic" w:hAnsi="Traditional Arabic" w:cs="Traditional Arabic"/>
          <w:color w:val="000000" w:themeColor="text1"/>
          <w:sz w:val="24"/>
          <w:szCs w:val="24"/>
        </w:rPr>
        <w:t>SERVQUAL</w:t>
      </w:r>
      <w:r w:rsidR="00F5495F" w:rsidRPr="00362D29">
        <w:rPr>
          <w:rFonts w:ascii="Traditional Arabic" w:hAnsi="Traditional Arabic" w:cs="Traditional Arabic"/>
          <w:color w:val="000000" w:themeColor="text1"/>
          <w:sz w:val="24"/>
          <w:szCs w:val="24"/>
          <w:rtl/>
        </w:rPr>
        <w:t xml:space="preserve"> لتحديد الفروق في مستوى الرضا العام. اعتمدت الدراسة المنهج الوصفي التحليلي بتصميم مقطعي (</w:t>
      </w:r>
      <w:r w:rsidR="00F5495F" w:rsidRPr="00362D29">
        <w:rPr>
          <w:rFonts w:ascii="Traditional Arabic" w:hAnsi="Traditional Arabic" w:cs="Traditional Arabic"/>
          <w:color w:val="000000" w:themeColor="text1"/>
          <w:sz w:val="24"/>
          <w:szCs w:val="24"/>
        </w:rPr>
        <w:t>Cross-sectional</w:t>
      </w:r>
      <w:r w:rsidR="00F5495F" w:rsidRPr="00362D29">
        <w:rPr>
          <w:rFonts w:ascii="Traditional Arabic" w:hAnsi="Traditional Arabic" w:cs="Traditional Arabic"/>
          <w:color w:val="000000" w:themeColor="text1"/>
          <w:sz w:val="24"/>
          <w:szCs w:val="24"/>
          <w:rtl/>
        </w:rPr>
        <w:t xml:space="preserve">)، واستخدمت استبانة </w:t>
      </w:r>
      <w:r w:rsidR="00F5495F" w:rsidRPr="00362D29">
        <w:rPr>
          <w:rFonts w:ascii="Traditional Arabic" w:hAnsi="Traditional Arabic" w:cs="Traditional Arabic"/>
          <w:color w:val="000000" w:themeColor="text1"/>
          <w:sz w:val="24"/>
          <w:szCs w:val="24"/>
        </w:rPr>
        <w:t>SERVQUAL</w:t>
      </w:r>
      <w:r w:rsidR="00F5495F" w:rsidRPr="00362D29">
        <w:rPr>
          <w:rFonts w:ascii="Traditional Arabic" w:hAnsi="Traditional Arabic" w:cs="Traditional Arabic"/>
          <w:color w:val="000000" w:themeColor="text1"/>
          <w:sz w:val="24"/>
          <w:szCs w:val="24"/>
          <w:rtl/>
        </w:rPr>
        <w:t xml:space="preserve"> مترجمة إلى العربية، واشتمل مجتمع الدراسة على جميع المرضى المنومين في (21) مستشفى حكومي و(4) مستشفيات خاصة بمنطقة القصيم خلال الفترة من 1 أبريل 2022 إلى 31 مارس 2023، حيث بلغ عدد الاستجابات الصالحة للتحليل (381) استبانة من أصل (450)، منهم (217) في مستشفيات حكومية و(164) في مستشفيات خاصة. وأظهرت النتائج وجود فروق ذات دلالة إحصائية بين القطاعين في جميع أبعاد الجودة الخمسة (الملموسية، الاعتمادية، الاستجابة، الأمان، التعاطف) عند مستوى (0.01) باستثناء بُعد الاستجابة عند مستوى (0.05)، كما سجلت المستشفيات الخاصة متوسطات أعلى في جميع الأبعاد وفي الرضا العام (3.87 مقابل 3.61)، مما يشير إلى تفوق إدراكي لجودة الخدمة في القطاع الخاص مقارنة بالحكومي . بشكل عام أظهرت النتائج تفوق القطاع الخاص في جوانب مثل السرعة والتفاعل، بينما سجّل القطاع الحكومي أداءً أعلى في الجوانب السريرية. كما أكدت الدراسة على دور العوامل التنظيمية في تشكيل تجربة المريض.</w:t>
      </w:r>
    </w:p>
    <w:p w14:paraId="16604221" w14:textId="77777777" w:rsidR="000B63F3" w:rsidRPr="00362D29" w:rsidRDefault="00297411" w:rsidP="00362D29">
      <w:pPr>
        <w:pStyle w:val="ab"/>
        <w:numPr>
          <w:ilvl w:val="0"/>
          <w:numId w:val="23"/>
        </w:numPr>
        <w:bidi/>
        <w:spacing w:before="240"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b/>
          <w:bCs/>
          <w:color w:val="000000" w:themeColor="text1"/>
          <w:sz w:val="24"/>
          <w:szCs w:val="24"/>
          <w:rtl/>
        </w:rPr>
        <w:t>دراسة (الغامدي وطيبة، 2023) "أثر القيادة الإدارية على أداء إدارة تجربة المريض: دراسة ميدانية على الموظفين الإداريين بمديرية الشؤون الصحية بمحافظة جدة</w:t>
      </w:r>
      <w:r w:rsidRPr="00362D29">
        <w:rPr>
          <w:rFonts w:ascii="Traditional Arabic" w:hAnsi="Traditional Arabic" w:cs="Traditional Arabic"/>
          <w:color w:val="000000" w:themeColor="text1"/>
          <w:sz w:val="24"/>
          <w:szCs w:val="24"/>
          <w:rtl/>
        </w:rPr>
        <w:t xml:space="preserve">" </w:t>
      </w:r>
    </w:p>
    <w:p w14:paraId="39D57732" w14:textId="1E2BEE43" w:rsidR="00297411" w:rsidRPr="00362D29" w:rsidRDefault="00297411" w:rsidP="00362D29">
      <w:pPr>
        <w:pStyle w:val="ab"/>
        <w:numPr>
          <w:ilvl w:val="0"/>
          <w:numId w:val="15"/>
        </w:numPr>
        <w:bidi/>
        <w:spacing w:before="240"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هدفت الدراسة إلى توضيح أثر أسلوب القيادة الإدارية في تحسين أداء إدارة تجربة المريض، وهدفت أيضا الكشف عن طبيعة العلاقة بين أبعاد القيادة الإدارية (البيئة المستقلة، وضوح المهام، وتوفير الإمكانيات المادية والمعينات) ومستوى أداء إدارة تجربة المريض. اعتمدت الدراسة المنهج الوصفي التحليلي، واستخدمت الاستبانة أداةً لجمع البيانات وفق مقياس ليكرت الخماسي، مع التحقق من الصدق والثبات باستخدام معامل ارتباط بيرسون وألفا كرونباخ. تمثل مجتمع الدراسة في جميع الموظفين الإداريين بمديرية الشؤون الصحية بمحافظة جدة والبالغ عددهم (110) موظفًا، وتم اعتماد أسلوب الحصر الشامل نظرًا لصغر حجم المجتمع، حيث وزعت الاستبانات إلكترونيًا عبر</w:t>
      </w:r>
      <w:r w:rsidRPr="00362D29">
        <w:rPr>
          <w:rFonts w:ascii="Traditional Arabic" w:hAnsi="Traditional Arabic" w:cs="Traditional Arabic"/>
          <w:color w:val="000000" w:themeColor="text1"/>
          <w:sz w:val="24"/>
          <w:szCs w:val="24"/>
        </w:rPr>
        <w:t xml:space="preserve"> Google Drive </w:t>
      </w:r>
      <w:r w:rsidRPr="00362D29">
        <w:rPr>
          <w:rFonts w:ascii="Traditional Arabic" w:hAnsi="Traditional Arabic" w:cs="Traditional Arabic"/>
          <w:color w:val="000000" w:themeColor="text1"/>
          <w:sz w:val="24"/>
          <w:szCs w:val="24"/>
          <w:rtl/>
        </w:rPr>
        <w:t>واستعيدت كاملة للتحليل. أظهرت النتائج وجود علاقة ارتباط موجبة ذات دلالة إحصائية بين توفير البيئة المستقلة وأداء إدارة تجربة المريض بمعامل ارتباط بلغ (0.687) عند مستوى دلالة (0.000)، كما تبين وجود علاقة موجبة ذات دلالة إحصائية بين توفير الإمكانيات المادية والمعينات وأداء إدارة تجربة المريض بمعامل ارتباط بلغ (0.779) عند مستوى دلالة (0.000)، مما يؤكد التأثير الإيجابي للقيادة الإدارية في تعزيز أداء إدارة تجربة المريض</w:t>
      </w:r>
    </w:p>
    <w:p w14:paraId="3ECCBB6D" w14:textId="77777777" w:rsidR="000B63F3" w:rsidRPr="00362D29" w:rsidRDefault="00124160" w:rsidP="00362D29">
      <w:pPr>
        <w:pStyle w:val="ab"/>
        <w:numPr>
          <w:ilvl w:val="0"/>
          <w:numId w:val="23"/>
        </w:numPr>
        <w:bidi/>
        <w:spacing w:before="240"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b/>
          <w:bCs/>
          <w:color w:val="000000" w:themeColor="text1"/>
          <w:sz w:val="24"/>
          <w:szCs w:val="24"/>
          <w:rtl/>
        </w:rPr>
        <w:lastRenderedPageBreak/>
        <w:t>دراسة  (</w:t>
      </w:r>
      <w:r w:rsidRPr="00362D29">
        <w:rPr>
          <w:rFonts w:ascii="Traditional Arabic" w:hAnsi="Traditional Arabic" w:cs="Traditional Arabic"/>
          <w:b/>
          <w:bCs/>
          <w:color w:val="000000" w:themeColor="text1"/>
          <w:sz w:val="24"/>
          <w:szCs w:val="24"/>
        </w:rPr>
        <w:t>Friedel et al., 2023</w:t>
      </w:r>
      <w:r w:rsidRPr="00362D29">
        <w:rPr>
          <w:rFonts w:ascii="Traditional Arabic" w:hAnsi="Traditional Arabic" w:cs="Traditional Arabic"/>
          <w:b/>
          <w:bCs/>
          <w:color w:val="000000" w:themeColor="text1"/>
          <w:sz w:val="24"/>
          <w:szCs w:val="24"/>
          <w:rtl/>
        </w:rPr>
        <w:t>) بعنوان:“</w:t>
      </w:r>
      <w:r w:rsidRPr="00362D29">
        <w:rPr>
          <w:rFonts w:ascii="Traditional Arabic" w:hAnsi="Traditional Arabic" w:cs="Traditional Arabic"/>
          <w:b/>
          <w:bCs/>
          <w:color w:val="000000" w:themeColor="text1"/>
          <w:sz w:val="24"/>
          <w:szCs w:val="24"/>
        </w:rPr>
        <w:t>Measuring Patient Experience and Patient Satisfaction—How Are We Doing It and Why Does It Matter? A Comparison of European and U.S. American Approaches</w:t>
      </w:r>
      <w:r w:rsidRPr="00362D29">
        <w:rPr>
          <w:rFonts w:ascii="Traditional Arabic" w:hAnsi="Traditional Arabic" w:cs="Traditional Arabic"/>
          <w:b/>
          <w:bCs/>
          <w:color w:val="000000" w:themeColor="text1"/>
          <w:sz w:val="24"/>
          <w:szCs w:val="24"/>
          <w:rtl/>
        </w:rPr>
        <w:t>”</w:t>
      </w:r>
      <w:r w:rsidRPr="00362D29">
        <w:rPr>
          <w:rFonts w:ascii="Traditional Arabic" w:hAnsi="Traditional Arabic" w:cs="Traditional Arabic"/>
          <w:color w:val="000000" w:themeColor="text1"/>
          <w:sz w:val="24"/>
          <w:szCs w:val="24"/>
          <w:rtl/>
        </w:rPr>
        <w:t xml:space="preserve"> </w:t>
      </w:r>
    </w:p>
    <w:p w14:paraId="06DA60CD" w14:textId="3916E7F0" w:rsidR="00124160" w:rsidRPr="00362D29" w:rsidRDefault="00124160" w:rsidP="00362D29">
      <w:pPr>
        <w:pStyle w:val="ab"/>
        <w:numPr>
          <w:ilvl w:val="0"/>
          <w:numId w:val="15"/>
        </w:numPr>
        <w:bidi/>
        <w:spacing w:before="240"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 xml:space="preserve">هدفت إلى تحليل آليات قياس تجربة المريض ورضا المريض في الأنظمة الصحية المتقدمة بأوروبا والولايات المتحدة، ومقارنة منهجيات جمع البيانات ونشرها والاستفادة منها لتحديد فرص تحسين قابلية المقارنة وتعظيم أثر نتائجها على تحسين الجودة. كما سعت إلى استكشاف الفروق المفاهيمية والمنهجية بين مفهوم تجربة المريض ومفهوم الرضا، وتأثير ذلك على استخدام النتائج في السياسات الصحية. اعتمدت الدراسة منهجية مراجعة سردية </w:t>
      </w:r>
      <w:r w:rsidRPr="00362D29">
        <w:rPr>
          <w:rFonts w:ascii="Traditional Arabic" w:hAnsi="Traditional Arabic" w:cs="Traditional Arabic"/>
          <w:color w:val="000000" w:themeColor="text1"/>
          <w:sz w:val="24"/>
          <w:szCs w:val="24"/>
        </w:rPr>
        <w:t>Narrative Review</w:t>
      </w:r>
      <w:r w:rsidRPr="00362D29">
        <w:rPr>
          <w:rFonts w:ascii="Traditional Arabic" w:hAnsi="Traditional Arabic" w:cs="Traditional Arabic"/>
          <w:color w:val="000000" w:themeColor="text1"/>
          <w:sz w:val="24"/>
          <w:szCs w:val="24"/>
          <w:rtl/>
        </w:rPr>
        <w:t xml:space="preserve"> شملت الأدبيات المنشورة بين عامي 2000–2021 باللغتين الإنجليزية والألمانية، مع تحليل أدوات القياس الرئيسة مثل </w:t>
      </w:r>
      <w:r w:rsidRPr="00362D29">
        <w:rPr>
          <w:rFonts w:ascii="Traditional Arabic" w:hAnsi="Traditional Arabic" w:cs="Traditional Arabic"/>
          <w:color w:val="000000" w:themeColor="text1"/>
          <w:sz w:val="24"/>
          <w:szCs w:val="24"/>
        </w:rPr>
        <w:t>HCAHPS</w:t>
      </w:r>
      <w:r w:rsidRPr="00362D29">
        <w:rPr>
          <w:rFonts w:ascii="Traditional Arabic" w:hAnsi="Traditional Arabic" w:cs="Traditional Arabic"/>
          <w:color w:val="000000" w:themeColor="text1"/>
          <w:sz w:val="24"/>
          <w:szCs w:val="24"/>
          <w:rtl/>
        </w:rPr>
        <w:t xml:space="preserve"> و</w:t>
      </w:r>
      <w:r w:rsidRPr="00362D29">
        <w:rPr>
          <w:rFonts w:ascii="Traditional Arabic" w:hAnsi="Traditional Arabic" w:cs="Traditional Arabic"/>
          <w:color w:val="000000" w:themeColor="text1"/>
          <w:sz w:val="24"/>
          <w:szCs w:val="24"/>
        </w:rPr>
        <w:t>NHSIP</w:t>
      </w:r>
      <w:r w:rsidRPr="00362D29">
        <w:rPr>
          <w:rFonts w:ascii="Traditional Arabic" w:hAnsi="Traditional Arabic" w:cs="Traditional Arabic"/>
          <w:color w:val="000000" w:themeColor="text1"/>
          <w:sz w:val="24"/>
          <w:szCs w:val="24"/>
          <w:rtl/>
        </w:rPr>
        <w:t xml:space="preserve"> و</w:t>
      </w:r>
      <w:r w:rsidRPr="00362D29">
        <w:rPr>
          <w:rFonts w:ascii="Traditional Arabic" w:hAnsi="Traditional Arabic" w:cs="Traditional Arabic"/>
          <w:color w:val="000000" w:themeColor="text1"/>
          <w:sz w:val="24"/>
          <w:szCs w:val="24"/>
        </w:rPr>
        <w:t>PPE-15</w:t>
      </w:r>
      <w:r w:rsidRPr="00362D29">
        <w:rPr>
          <w:rFonts w:ascii="Traditional Arabic" w:hAnsi="Traditional Arabic" w:cs="Traditional Arabic"/>
          <w:color w:val="000000" w:themeColor="text1"/>
          <w:sz w:val="24"/>
          <w:szCs w:val="24"/>
          <w:rtl/>
        </w:rPr>
        <w:t xml:space="preserve"> و</w:t>
      </w:r>
      <w:r w:rsidRPr="00362D29">
        <w:rPr>
          <w:rFonts w:ascii="Traditional Arabic" w:hAnsi="Traditional Arabic" w:cs="Traditional Arabic"/>
          <w:color w:val="000000" w:themeColor="text1"/>
          <w:sz w:val="24"/>
          <w:szCs w:val="24"/>
        </w:rPr>
        <w:t>PEQ</w:t>
      </w:r>
      <w:r w:rsidRPr="00362D29">
        <w:rPr>
          <w:rFonts w:ascii="Traditional Arabic" w:hAnsi="Traditional Arabic" w:cs="Traditional Arabic"/>
          <w:color w:val="000000" w:themeColor="text1"/>
          <w:sz w:val="24"/>
          <w:szCs w:val="24"/>
          <w:rtl/>
        </w:rPr>
        <w:t>، إضافة إلى مراجعة بيانات المنصات الرقمية ووسائل التواصل الاجتماعي. لم تعتمد الدراسة مجتمعًا ميدانيًا أو عينة رقمية، بل شملت الدراسات والتقارير الوطنية ذات الصلة بأنظمة الرعاية الصحية في الولايات المتحدة، المملكة المتحدة، ألمانيا، والنرويج، والسويد، وفنلندا. أظهرت النتائج أن جميع الدول محل الدراسة تطبق أنظمة منتظمة لقياس تجربة ورضا المرضى ونشر نتائجها، إلا أن اختلاف أدوات القياس وتباين بنيتها المفاهيمية يحدّ من إمكانية المقارنة الدولية الدقيقة. كما بينت النتائج أن غياب التوحيد المنهجي والتحديث الدوري للأدوات يقلل من الاستفادة العملية للبيانات في تطوير السياسات الصحية، رغم الاعتراف المتزايد بأهمية دمج مؤشرات تجربة المريض في تحسين جودة الرعاية.</w:t>
      </w:r>
    </w:p>
    <w:p w14:paraId="25DFE4CF" w14:textId="77777777" w:rsidR="000B63F3" w:rsidRPr="00362D29" w:rsidRDefault="00947153" w:rsidP="00362D29">
      <w:pPr>
        <w:pStyle w:val="ab"/>
        <w:numPr>
          <w:ilvl w:val="0"/>
          <w:numId w:val="23"/>
        </w:numPr>
        <w:bidi/>
        <w:spacing w:before="240"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b/>
          <w:bCs/>
          <w:color w:val="000000" w:themeColor="text1"/>
          <w:sz w:val="24"/>
          <w:szCs w:val="24"/>
          <w:rtl/>
        </w:rPr>
        <w:t>دراسة</w:t>
      </w:r>
      <w:r w:rsidRPr="00362D29">
        <w:rPr>
          <w:rFonts w:ascii="Traditional Arabic" w:hAnsi="Traditional Arabic" w:cs="Traditional Arabic"/>
          <w:b/>
          <w:bCs/>
          <w:color w:val="000000" w:themeColor="text1"/>
          <w:sz w:val="24"/>
          <w:szCs w:val="24"/>
        </w:rPr>
        <w:t xml:space="preserve"> </w:t>
      </w:r>
      <w:r w:rsidR="001066D8" w:rsidRPr="00362D29">
        <w:rPr>
          <w:rFonts w:ascii="Traditional Arabic" w:hAnsi="Traditional Arabic" w:cs="Traditional Arabic"/>
          <w:b/>
          <w:bCs/>
          <w:color w:val="000000" w:themeColor="text1"/>
          <w:sz w:val="24"/>
          <w:szCs w:val="24"/>
        </w:rPr>
        <w:t>(</w:t>
      </w:r>
      <w:r w:rsidRPr="00362D29">
        <w:rPr>
          <w:rFonts w:ascii="Traditional Arabic" w:hAnsi="Traditional Arabic" w:cs="Traditional Arabic"/>
          <w:b/>
          <w:bCs/>
          <w:color w:val="000000" w:themeColor="text1"/>
          <w:sz w:val="24"/>
          <w:szCs w:val="24"/>
        </w:rPr>
        <w:t xml:space="preserve">Benson </w:t>
      </w:r>
      <w:r w:rsidR="004A15CC" w:rsidRPr="00362D29">
        <w:rPr>
          <w:rFonts w:ascii="Traditional Arabic" w:hAnsi="Traditional Arabic" w:cs="Traditional Arabic"/>
          <w:b/>
          <w:bCs/>
          <w:color w:val="000000" w:themeColor="text1"/>
          <w:sz w:val="24"/>
          <w:szCs w:val="24"/>
        </w:rPr>
        <w:t>&amp;</w:t>
      </w:r>
      <w:r w:rsidRPr="00362D29">
        <w:rPr>
          <w:rFonts w:ascii="Traditional Arabic" w:hAnsi="Traditional Arabic" w:cs="Traditional Arabic"/>
          <w:b/>
          <w:bCs/>
          <w:color w:val="000000" w:themeColor="text1"/>
          <w:sz w:val="24"/>
          <w:szCs w:val="24"/>
        </w:rPr>
        <w:t xml:space="preserve"> Benson</w:t>
      </w:r>
      <w:r w:rsidR="00650D58" w:rsidRPr="00362D29">
        <w:rPr>
          <w:rFonts w:ascii="Traditional Arabic" w:hAnsi="Traditional Arabic" w:cs="Traditional Arabic"/>
          <w:b/>
          <w:bCs/>
          <w:color w:val="000000" w:themeColor="text1"/>
          <w:sz w:val="24"/>
          <w:szCs w:val="24"/>
        </w:rPr>
        <w:t>,</w:t>
      </w:r>
      <w:r w:rsidRPr="00362D29">
        <w:rPr>
          <w:rFonts w:ascii="Traditional Arabic" w:hAnsi="Traditional Arabic" w:cs="Traditional Arabic"/>
          <w:b/>
          <w:bCs/>
          <w:color w:val="000000" w:themeColor="text1"/>
          <w:sz w:val="24"/>
          <w:szCs w:val="24"/>
        </w:rPr>
        <w:t xml:space="preserve"> 2023) </w:t>
      </w:r>
      <w:r w:rsidRPr="00362D29">
        <w:rPr>
          <w:rFonts w:ascii="Traditional Arabic" w:hAnsi="Traditional Arabic" w:cs="Traditional Arabic"/>
          <w:b/>
          <w:bCs/>
          <w:color w:val="000000" w:themeColor="text1"/>
          <w:sz w:val="24"/>
          <w:szCs w:val="24"/>
          <w:rtl/>
        </w:rPr>
        <w:t>بعنوان</w:t>
      </w:r>
      <w:r w:rsidRPr="00362D29">
        <w:rPr>
          <w:rFonts w:ascii="Traditional Arabic" w:hAnsi="Traditional Arabic" w:cs="Traditional Arabic"/>
          <w:b/>
          <w:bCs/>
          <w:color w:val="000000" w:themeColor="text1"/>
          <w:sz w:val="24"/>
          <w:szCs w:val="24"/>
        </w:rPr>
        <w:t xml:space="preserve"> </w:t>
      </w:r>
      <w:r w:rsidR="004A15CC" w:rsidRPr="00362D29">
        <w:rPr>
          <w:rFonts w:ascii="Traditional Arabic" w:hAnsi="Traditional Arabic" w:cs="Traditional Arabic"/>
          <w:b/>
          <w:bCs/>
          <w:color w:val="000000" w:themeColor="text1"/>
          <w:sz w:val="24"/>
          <w:szCs w:val="24"/>
        </w:rPr>
        <w:t>"</w:t>
      </w:r>
      <w:r w:rsidRPr="00362D29">
        <w:rPr>
          <w:rFonts w:ascii="Traditional Arabic" w:hAnsi="Traditional Arabic" w:cs="Traditional Arabic"/>
          <w:b/>
          <w:bCs/>
          <w:color w:val="000000" w:themeColor="text1"/>
          <w:sz w:val="24"/>
          <w:szCs w:val="24"/>
        </w:rPr>
        <w:t>Routine Measurement of Patient Experience</w:t>
      </w:r>
      <w:r w:rsidR="004A15CC" w:rsidRPr="00362D29">
        <w:rPr>
          <w:rFonts w:ascii="Traditional Arabic" w:hAnsi="Traditional Arabic" w:cs="Traditional Arabic"/>
          <w:b/>
          <w:bCs/>
          <w:color w:val="000000" w:themeColor="text1"/>
          <w:sz w:val="24"/>
          <w:szCs w:val="24"/>
        </w:rPr>
        <w:t>"</w:t>
      </w:r>
      <w:r w:rsidRPr="00362D29">
        <w:rPr>
          <w:rFonts w:ascii="Traditional Arabic" w:hAnsi="Traditional Arabic" w:cs="Traditional Arabic"/>
          <w:b/>
          <w:bCs/>
          <w:color w:val="000000" w:themeColor="text1"/>
          <w:sz w:val="24"/>
          <w:szCs w:val="24"/>
          <w:rtl/>
        </w:rPr>
        <w:t>،</w:t>
      </w:r>
      <w:r w:rsidRPr="00362D29">
        <w:rPr>
          <w:rFonts w:ascii="Traditional Arabic" w:hAnsi="Traditional Arabic" w:cs="Traditional Arabic"/>
          <w:color w:val="000000" w:themeColor="text1"/>
          <w:sz w:val="24"/>
          <w:szCs w:val="24"/>
          <w:rtl/>
        </w:rPr>
        <w:t xml:space="preserve"> </w:t>
      </w:r>
    </w:p>
    <w:p w14:paraId="60F84F64" w14:textId="786A6CE1" w:rsidR="00476A01" w:rsidRPr="00362D29" w:rsidRDefault="00217596" w:rsidP="00362D29">
      <w:pPr>
        <w:pStyle w:val="ab"/>
        <w:numPr>
          <w:ilvl w:val="0"/>
          <w:numId w:val="15"/>
        </w:numPr>
        <w:bidi/>
        <w:spacing w:before="240"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 xml:space="preserve">هدفت إلى توضيح الإطار المفاهيمي المتكامل لتجربة المريض من خلال أبعادها العلائقية (علاقة المريض ومقدم الخدمة) والوظيفية (قياس الرضا) والتكاملية (خلال جميع نقاط الخدمة)، كما هدفت إلى تطوير وطرح مقاييس قصيرة وعامة لقياس تجربة المريض بشكل روتيني ومقارنتها بالأدوات الوطنية الشائعة مثل </w:t>
      </w:r>
      <w:r w:rsidRPr="00362D29">
        <w:rPr>
          <w:rFonts w:ascii="Traditional Arabic" w:hAnsi="Traditional Arabic" w:cs="Traditional Arabic"/>
          <w:color w:val="000000" w:themeColor="text1"/>
          <w:sz w:val="24"/>
          <w:szCs w:val="24"/>
        </w:rPr>
        <w:t>HCAHPS</w:t>
      </w:r>
      <w:r w:rsidRPr="00362D29">
        <w:rPr>
          <w:rFonts w:ascii="Traditional Arabic" w:hAnsi="Traditional Arabic" w:cs="Traditional Arabic"/>
          <w:color w:val="000000" w:themeColor="text1"/>
          <w:sz w:val="24"/>
          <w:szCs w:val="24"/>
          <w:rtl/>
        </w:rPr>
        <w:t xml:space="preserve"> و</w:t>
      </w:r>
      <w:r w:rsidRPr="00362D29">
        <w:rPr>
          <w:rFonts w:ascii="Traditional Arabic" w:hAnsi="Traditional Arabic" w:cs="Traditional Arabic"/>
          <w:color w:val="000000" w:themeColor="text1"/>
          <w:sz w:val="24"/>
          <w:szCs w:val="24"/>
        </w:rPr>
        <w:t>GPPS</w:t>
      </w:r>
      <w:r w:rsidRPr="00362D29">
        <w:rPr>
          <w:rFonts w:ascii="Traditional Arabic" w:hAnsi="Traditional Arabic" w:cs="Traditional Arabic"/>
          <w:color w:val="000000" w:themeColor="text1"/>
          <w:sz w:val="24"/>
          <w:szCs w:val="24"/>
          <w:rtl/>
        </w:rPr>
        <w:t xml:space="preserve"> و</w:t>
      </w:r>
      <w:r w:rsidRPr="00362D29">
        <w:rPr>
          <w:rFonts w:ascii="Traditional Arabic" w:hAnsi="Traditional Arabic" w:cs="Traditional Arabic"/>
          <w:color w:val="000000" w:themeColor="text1"/>
          <w:sz w:val="24"/>
          <w:szCs w:val="24"/>
        </w:rPr>
        <w:t>FFT</w:t>
      </w:r>
      <w:r w:rsidRPr="00362D29">
        <w:rPr>
          <w:rFonts w:ascii="Traditional Arabic" w:hAnsi="Traditional Arabic" w:cs="Traditional Arabic"/>
          <w:color w:val="000000" w:themeColor="text1"/>
          <w:sz w:val="24"/>
          <w:szCs w:val="24"/>
          <w:rtl/>
        </w:rPr>
        <w:t>. اعتمدت الدراسة منهجية تطوير أدوات قياس قائمة على مراجعة الأدبيات، ومجموعات نقاش غير رسمية مع ممارسين ومرضى، وتكرارات تطوير متعددة حتى الوصول إلى الصيغة النهائية، مع تحليل قابلية القراءة (</w:t>
      </w:r>
      <w:r w:rsidRPr="00362D29">
        <w:rPr>
          <w:rFonts w:ascii="Traditional Arabic" w:hAnsi="Traditional Arabic" w:cs="Traditional Arabic"/>
          <w:color w:val="000000" w:themeColor="text1"/>
          <w:sz w:val="24"/>
          <w:szCs w:val="24"/>
        </w:rPr>
        <w:t>Flesch-Kincaid</w:t>
      </w:r>
      <w:r w:rsidRPr="00362D29">
        <w:rPr>
          <w:rFonts w:ascii="Traditional Arabic" w:hAnsi="Traditional Arabic" w:cs="Traditional Arabic"/>
          <w:color w:val="000000" w:themeColor="text1"/>
          <w:sz w:val="24"/>
          <w:szCs w:val="24"/>
          <w:rtl/>
        </w:rPr>
        <w:t>) وعدد الكلمات والمقارنة المنهجية بين الأدوات. لم تعتمد الدراسة على مجتمع ميداني أو عينة عددية، لكونها دراسة منهجية تطوير وقياس (</w:t>
      </w:r>
      <w:r w:rsidRPr="00362D29">
        <w:rPr>
          <w:rFonts w:ascii="Traditional Arabic" w:hAnsi="Traditional Arabic" w:cs="Traditional Arabic"/>
          <w:color w:val="000000" w:themeColor="text1"/>
          <w:sz w:val="24"/>
          <w:szCs w:val="24"/>
        </w:rPr>
        <w:t>Research &amp; Reporting Methodology</w:t>
      </w:r>
      <w:r w:rsidRPr="00362D29">
        <w:rPr>
          <w:rFonts w:ascii="Traditional Arabic" w:hAnsi="Traditional Arabic" w:cs="Traditional Arabic"/>
          <w:color w:val="000000" w:themeColor="text1"/>
          <w:sz w:val="24"/>
          <w:szCs w:val="24"/>
          <w:rtl/>
        </w:rPr>
        <w:t>). توصلت الدراسة إلى أن المقاييس الثلاثة المقترحة (</w:t>
      </w:r>
      <w:r w:rsidRPr="00362D29">
        <w:rPr>
          <w:rFonts w:ascii="Traditional Arabic" w:hAnsi="Traditional Arabic" w:cs="Traditional Arabic"/>
          <w:color w:val="000000" w:themeColor="text1"/>
          <w:sz w:val="24"/>
          <w:szCs w:val="24"/>
        </w:rPr>
        <w:t>Patient Experience</w:t>
      </w:r>
      <w:r w:rsidRPr="00362D29">
        <w:rPr>
          <w:rFonts w:ascii="Traditional Arabic" w:hAnsi="Traditional Arabic" w:cs="Traditional Arabic"/>
          <w:color w:val="000000" w:themeColor="text1"/>
          <w:sz w:val="24"/>
          <w:szCs w:val="24"/>
          <w:rtl/>
        </w:rPr>
        <w:t xml:space="preserve">، </w:t>
      </w:r>
      <w:r w:rsidRPr="00362D29">
        <w:rPr>
          <w:rFonts w:ascii="Traditional Arabic" w:hAnsi="Traditional Arabic" w:cs="Traditional Arabic"/>
          <w:color w:val="000000" w:themeColor="text1"/>
          <w:sz w:val="24"/>
          <w:szCs w:val="24"/>
        </w:rPr>
        <w:t>Result Satisfaction</w:t>
      </w:r>
      <w:r w:rsidRPr="00362D29">
        <w:rPr>
          <w:rFonts w:ascii="Traditional Arabic" w:hAnsi="Traditional Arabic" w:cs="Traditional Arabic"/>
          <w:color w:val="000000" w:themeColor="text1"/>
          <w:sz w:val="24"/>
          <w:szCs w:val="24"/>
          <w:rtl/>
        </w:rPr>
        <w:t xml:space="preserve">، </w:t>
      </w:r>
      <w:r w:rsidRPr="00362D29">
        <w:rPr>
          <w:rFonts w:ascii="Traditional Arabic" w:hAnsi="Traditional Arabic" w:cs="Traditional Arabic"/>
          <w:color w:val="000000" w:themeColor="text1"/>
          <w:sz w:val="24"/>
          <w:szCs w:val="24"/>
        </w:rPr>
        <w:t>Service Integration</w:t>
      </w:r>
      <w:r w:rsidRPr="00362D29">
        <w:rPr>
          <w:rFonts w:ascii="Traditional Arabic" w:hAnsi="Traditional Arabic" w:cs="Traditional Arabic"/>
          <w:color w:val="000000" w:themeColor="text1"/>
          <w:sz w:val="24"/>
          <w:szCs w:val="24"/>
          <w:rtl/>
        </w:rPr>
        <w:t>) تغطي اثني عشر بُعدًا فرعيًا بواقع أربعة عناصر لكل مقياس، وتمتاز بقصر فقراتها وسرعة قراءتها مقارنة بالأدوات الوطنية؛ كما أكدت أن دمج الأبعاد الثلاثة يتيح قياسًا أكثر شمولًا لتجربة المريض مقارنة بالأدوات التي تركز على بعد واحد فقط</w:t>
      </w:r>
      <w:r w:rsidR="004A15CC" w:rsidRPr="00362D29">
        <w:rPr>
          <w:rFonts w:ascii="Traditional Arabic" w:hAnsi="Traditional Arabic" w:cs="Traditional Arabic"/>
          <w:color w:val="000000" w:themeColor="text1"/>
          <w:sz w:val="24"/>
          <w:szCs w:val="24"/>
          <w:rtl/>
        </w:rPr>
        <w:t>.</w:t>
      </w:r>
    </w:p>
    <w:p w14:paraId="230647C0" w14:textId="77777777" w:rsidR="000B63F3" w:rsidRPr="00362D29" w:rsidRDefault="00DD2C08" w:rsidP="00362D29">
      <w:pPr>
        <w:pStyle w:val="ab"/>
        <w:numPr>
          <w:ilvl w:val="0"/>
          <w:numId w:val="23"/>
        </w:numPr>
        <w:bidi/>
        <w:spacing w:before="240"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b/>
          <w:bCs/>
          <w:color w:val="000000" w:themeColor="text1"/>
          <w:sz w:val="24"/>
          <w:szCs w:val="24"/>
          <w:rtl/>
        </w:rPr>
        <w:lastRenderedPageBreak/>
        <w:t>دراسة</w:t>
      </w:r>
      <w:r w:rsidR="00457F93" w:rsidRPr="00362D29">
        <w:rPr>
          <w:rFonts w:ascii="Traditional Arabic" w:hAnsi="Traditional Arabic" w:cs="Traditional Arabic"/>
          <w:b/>
          <w:bCs/>
          <w:color w:val="000000" w:themeColor="text1"/>
          <w:sz w:val="24"/>
          <w:szCs w:val="24"/>
          <w:rtl/>
        </w:rPr>
        <w:t xml:space="preserve"> </w:t>
      </w:r>
      <w:r w:rsidRPr="00362D29">
        <w:rPr>
          <w:rFonts w:ascii="Traditional Arabic" w:hAnsi="Traditional Arabic" w:cs="Traditional Arabic"/>
          <w:b/>
          <w:bCs/>
          <w:color w:val="000000" w:themeColor="text1"/>
          <w:sz w:val="24"/>
          <w:szCs w:val="24"/>
        </w:rPr>
        <w:t xml:space="preserve"> (Pashankar et al., 2022)</w:t>
      </w:r>
      <w:r w:rsidRPr="00362D29">
        <w:rPr>
          <w:rFonts w:ascii="Traditional Arabic" w:hAnsi="Traditional Arabic" w:cs="Traditional Arabic"/>
          <w:b/>
          <w:bCs/>
          <w:color w:val="000000" w:themeColor="text1"/>
          <w:sz w:val="24"/>
          <w:szCs w:val="24"/>
          <w:rtl/>
        </w:rPr>
        <w:t>بعنوان</w:t>
      </w:r>
      <w:r w:rsidRPr="00362D29">
        <w:rPr>
          <w:rFonts w:ascii="Traditional Arabic" w:hAnsi="Traditional Arabic" w:cs="Traditional Arabic"/>
          <w:b/>
          <w:bCs/>
          <w:color w:val="000000" w:themeColor="text1"/>
          <w:sz w:val="24"/>
          <w:szCs w:val="24"/>
        </w:rPr>
        <w:t>“Sustained Improvement in Patient Experience by Optimizing Patient Flow in Ambulatory Settings”</w:t>
      </w:r>
      <w:r w:rsidRPr="00362D29">
        <w:rPr>
          <w:rFonts w:ascii="Traditional Arabic" w:hAnsi="Traditional Arabic" w:cs="Traditional Arabic"/>
          <w:b/>
          <w:bCs/>
          <w:color w:val="000000" w:themeColor="text1"/>
          <w:sz w:val="24"/>
          <w:szCs w:val="24"/>
          <w:rtl/>
        </w:rPr>
        <w:t xml:space="preserve"> </w:t>
      </w:r>
    </w:p>
    <w:p w14:paraId="15F698DB" w14:textId="667EA17E" w:rsidR="00DD2C08" w:rsidRPr="00362D29" w:rsidRDefault="00DD2C08" w:rsidP="00362D29">
      <w:pPr>
        <w:pStyle w:val="ab"/>
        <w:numPr>
          <w:ilvl w:val="0"/>
          <w:numId w:val="15"/>
        </w:numPr>
        <w:bidi/>
        <w:spacing w:before="240"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هدفت الدراسة إلى تقييم أثر تحسين تدفق المرضى داخل العيادات متعددة التخصصات على نتائج تجربة المريض المقاسة بأداة</w:t>
      </w:r>
      <w:r w:rsidRPr="00362D29">
        <w:rPr>
          <w:rFonts w:ascii="Traditional Arabic" w:hAnsi="Traditional Arabic" w:cs="Traditional Arabic"/>
          <w:color w:val="000000" w:themeColor="text1"/>
          <w:sz w:val="24"/>
          <w:szCs w:val="24"/>
        </w:rPr>
        <w:t xml:space="preserve"> Press Ganey</w:t>
      </w:r>
      <w:r w:rsidRPr="00362D29">
        <w:rPr>
          <w:rFonts w:ascii="Traditional Arabic" w:hAnsi="Traditional Arabic" w:cs="Traditional Arabic"/>
          <w:color w:val="000000" w:themeColor="text1"/>
          <w:sz w:val="24"/>
          <w:szCs w:val="24"/>
          <w:rtl/>
        </w:rPr>
        <w:t>، كما هدفت إلى اختبار مدى استدامة التحسن في درجات تجربة المريض على المدى الطويل بعد تطبيق تدخلات تنظيمية وتقنية لتحسين العمليات التشغيلية. اعتمدت الدراسة منهجية تحسين جودة ذات تصميم قبل–بعد</w:t>
      </w:r>
      <w:r w:rsidRPr="00362D29">
        <w:rPr>
          <w:rFonts w:ascii="Traditional Arabic" w:hAnsi="Traditional Arabic" w:cs="Traditional Arabic"/>
          <w:color w:val="000000" w:themeColor="text1"/>
          <w:sz w:val="24"/>
          <w:szCs w:val="24"/>
        </w:rPr>
        <w:t xml:space="preserve"> (Pre–Post Quality Improvement Study) </w:t>
      </w:r>
      <w:r w:rsidRPr="00362D29">
        <w:rPr>
          <w:rFonts w:ascii="Traditional Arabic" w:hAnsi="Traditional Arabic" w:cs="Traditional Arabic"/>
          <w:color w:val="000000" w:themeColor="text1"/>
          <w:sz w:val="24"/>
          <w:szCs w:val="24"/>
          <w:rtl/>
        </w:rPr>
        <w:t>مع متابعة طولية امتدت 65 شهرًا، تضمنت مرحلة خط أساس مدتها 4 أشهر، ومرحلة تدخل 11 شهرًا، تلتها متابعة شهرية لمدة 50 شهرًا، مع تحليل إحصائي باستخدام اختبار</w:t>
      </w:r>
      <w:r w:rsidRPr="00362D29">
        <w:rPr>
          <w:rFonts w:ascii="Traditional Arabic" w:hAnsi="Traditional Arabic" w:cs="Traditional Arabic"/>
          <w:color w:val="000000" w:themeColor="text1"/>
          <w:sz w:val="24"/>
          <w:szCs w:val="24"/>
        </w:rPr>
        <w:t xml:space="preserve"> (t-test) </w:t>
      </w:r>
      <w:r w:rsidRPr="00362D29">
        <w:rPr>
          <w:rFonts w:ascii="Traditional Arabic" w:hAnsi="Traditional Arabic" w:cs="Traditional Arabic"/>
          <w:color w:val="000000" w:themeColor="text1"/>
          <w:sz w:val="24"/>
          <w:szCs w:val="24"/>
          <w:rtl/>
        </w:rPr>
        <w:t>،</w:t>
      </w:r>
      <w:r w:rsidRPr="00362D29">
        <w:rPr>
          <w:rFonts w:ascii="Traditional Arabic" w:hAnsi="Traditional Arabic" w:cs="Traditional Arabic"/>
          <w:color w:val="000000" w:themeColor="text1"/>
          <w:sz w:val="24"/>
          <w:szCs w:val="24"/>
        </w:rPr>
        <w:t xml:space="preserve">. </w:t>
      </w:r>
      <w:r w:rsidRPr="00362D29">
        <w:rPr>
          <w:rFonts w:ascii="Traditional Arabic" w:hAnsi="Traditional Arabic" w:cs="Traditional Arabic"/>
          <w:color w:val="000000" w:themeColor="text1"/>
          <w:sz w:val="24"/>
          <w:szCs w:val="24"/>
          <w:rtl/>
        </w:rPr>
        <w:t>تمثل مجتمع الدراسة في جميع المرضى المراجعين لعيادة زراعة أعضاء متعددة التخصصات تابعة لمركز أكاديمي بالولايات المتحدة خلال فترة الدراسة، وبلغ عدد المرضى مجتمع الدراسة 8,633 مريضًا حضروا 99,164 زيارة، وتم الحصول على 2,902 استبانة مكتملة بمعدل استجابة بلغ 12.6%، بمتوسط 45 استبانة شهريًا، وكان متوسط عدد المراجعين اليومي نحو 80 مريضًا في بداية المشروع وارتفع إلى 90 مريضًا يوميًا بنهايته</w:t>
      </w:r>
      <w:r w:rsidR="00457F93" w:rsidRPr="00362D29">
        <w:rPr>
          <w:rFonts w:ascii="Traditional Arabic" w:hAnsi="Traditional Arabic" w:cs="Traditional Arabic"/>
          <w:color w:val="000000" w:themeColor="text1"/>
          <w:sz w:val="24"/>
          <w:szCs w:val="24"/>
          <w:rtl/>
        </w:rPr>
        <w:t xml:space="preserve"> </w:t>
      </w:r>
      <w:r w:rsidRPr="00362D29">
        <w:rPr>
          <w:rFonts w:ascii="Traditional Arabic" w:hAnsi="Traditional Arabic" w:cs="Traditional Arabic"/>
          <w:color w:val="000000" w:themeColor="text1"/>
          <w:sz w:val="24"/>
          <w:szCs w:val="24"/>
          <w:rtl/>
        </w:rPr>
        <w:t>أظهرت النتائج تحسنًا إحصائيًا ذا دلالة في درجة مجال " التنقل اثناء الزيارة "من متوسط خط أساس بلغ 82.1 (</w:t>
      </w:r>
      <w:r w:rsidRPr="00362D29">
        <w:rPr>
          <w:rFonts w:ascii="Traditional Arabic" w:hAnsi="Traditional Arabic" w:cs="Traditional Arabic"/>
          <w:color w:val="000000" w:themeColor="text1"/>
          <w:sz w:val="24"/>
          <w:szCs w:val="24"/>
        </w:rPr>
        <w:t>n=163</w:t>
      </w:r>
      <w:r w:rsidRPr="00362D29">
        <w:rPr>
          <w:rFonts w:ascii="Traditional Arabic" w:hAnsi="Traditional Arabic" w:cs="Traditional Arabic"/>
          <w:color w:val="000000" w:themeColor="text1"/>
          <w:sz w:val="24"/>
          <w:szCs w:val="24"/>
          <w:rtl/>
        </w:rPr>
        <w:t>) إلى 84.6 وبعد سنة (</w:t>
      </w:r>
      <w:r w:rsidRPr="00362D29">
        <w:rPr>
          <w:rFonts w:ascii="Traditional Arabic" w:hAnsi="Traditional Arabic" w:cs="Traditional Arabic"/>
          <w:color w:val="000000" w:themeColor="text1"/>
          <w:sz w:val="24"/>
          <w:szCs w:val="24"/>
        </w:rPr>
        <w:t>n=525</w:t>
      </w:r>
      <w:r w:rsidRPr="00362D29">
        <w:rPr>
          <w:rFonts w:ascii="Traditional Arabic" w:hAnsi="Traditional Arabic" w:cs="Traditional Arabic"/>
          <w:color w:val="000000" w:themeColor="text1"/>
          <w:sz w:val="24"/>
          <w:szCs w:val="24"/>
          <w:rtl/>
        </w:rPr>
        <w:t>) ، و86.1 وبعد سنتين (</w:t>
      </w:r>
      <w:r w:rsidRPr="00362D29">
        <w:rPr>
          <w:rFonts w:ascii="Traditional Arabic" w:hAnsi="Traditional Arabic" w:cs="Traditional Arabic"/>
          <w:color w:val="000000" w:themeColor="text1"/>
          <w:sz w:val="24"/>
          <w:szCs w:val="24"/>
        </w:rPr>
        <w:t>n=603</w:t>
      </w:r>
      <w:r w:rsidRPr="00362D29">
        <w:rPr>
          <w:rFonts w:ascii="Traditional Arabic" w:hAnsi="Traditional Arabic" w:cs="Traditional Arabic"/>
          <w:color w:val="000000" w:themeColor="text1"/>
          <w:sz w:val="24"/>
          <w:szCs w:val="24"/>
          <w:rtl/>
        </w:rPr>
        <w:t>)، و88.7 بعد ثلاث سنوات (</w:t>
      </w:r>
      <w:r w:rsidRPr="00362D29">
        <w:rPr>
          <w:rFonts w:ascii="Traditional Arabic" w:hAnsi="Traditional Arabic" w:cs="Traditional Arabic"/>
          <w:color w:val="000000" w:themeColor="text1"/>
          <w:sz w:val="24"/>
          <w:szCs w:val="24"/>
        </w:rPr>
        <w:t>n=566</w:t>
      </w:r>
      <w:r w:rsidRPr="00362D29">
        <w:rPr>
          <w:rFonts w:ascii="Traditional Arabic" w:hAnsi="Traditional Arabic" w:cs="Traditional Arabic"/>
          <w:color w:val="000000" w:themeColor="text1"/>
          <w:sz w:val="24"/>
          <w:szCs w:val="24"/>
          <w:rtl/>
        </w:rPr>
        <w:t>)، و88.9 بعد أربع سنوات (</w:t>
      </w:r>
      <w:r w:rsidRPr="00362D29">
        <w:rPr>
          <w:rFonts w:ascii="Traditional Arabic" w:hAnsi="Traditional Arabic" w:cs="Traditional Arabic"/>
          <w:color w:val="000000" w:themeColor="text1"/>
          <w:sz w:val="24"/>
          <w:szCs w:val="24"/>
        </w:rPr>
        <w:t>n=445</w:t>
      </w:r>
      <w:r w:rsidRPr="00362D29">
        <w:rPr>
          <w:rFonts w:ascii="Traditional Arabic" w:hAnsi="Traditional Arabic" w:cs="Traditional Arabic"/>
          <w:color w:val="000000" w:themeColor="text1"/>
          <w:sz w:val="24"/>
          <w:szCs w:val="24"/>
          <w:rtl/>
        </w:rPr>
        <w:t>) بقيمة (</w:t>
      </w:r>
      <w:r w:rsidRPr="00362D29">
        <w:rPr>
          <w:rFonts w:ascii="Traditional Arabic" w:hAnsi="Traditional Arabic" w:cs="Traditional Arabic"/>
          <w:color w:val="000000" w:themeColor="text1"/>
          <w:sz w:val="24"/>
          <w:szCs w:val="24"/>
        </w:rPr>
        <w:t>P &lt; .001</w:t>
      </w:r>
      <w:r w:rsidRPr="00362D29">
        <w:rPr>
          <w:rFonts w:ascii="Traditional Arabic" w:hAnsi="Traditional Arabic" w:cs="Traditional Arabic"/>
          <w:color w:val="000000" w:themeColor="text1"/>
          <w:sz w:val="24"/>
          <w:szCs w:val="24"/>
          <w:rtl/>
        </w:rPr>
        <w:t>)، كما بينت النتائج تحسنًا ملحوظًا في بعدي “وقت الانتظار” و“الإبلاغ عن التأخير”، حيث بدأ التحسن في وقت الانتظار من السنة الأولى، بينما ظهر تحسن الإبلاغ عن التأخير ابتداءً من السنة الثانية واستمر حتى نهاية فترة المتابعة، مما يدل على استدامة أثر التدخلات التشغيلية في تحسين تجربة المريض على مدى أربع سنوات.</w:t>
      </w:r>
    </w:p>
    <w:p w14:paraId="18930D93" w14:textId="77777777" w:rsidR="000B63F3" w:rsidRPr="00362D29" w:rsidRDefault="00A871C5" w:rsidP="00362D29">
      <w:pPr>
        <w:pStyle w:val="ab"/>
        <w:numPr>
          <w:ilvl w:val="0"/>
          <w:numId w:val="23"/>
        </w:numPr>
        <w:bidi/>
        <w:spacing w:before="240"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b/>
          <w:bCs/>
          <w:color w:val="000000" w:themeColor="text1"/>
          <w:sz w:val="24"/>
          <w:szCs w:val="24"/>
          <w:rtl/>
        </w:rPr>
        <w:t>دراسة (</w:t>
      </w:r>
      <w:r w:rsidRPr="00362D29">
        <w:rPr>
          <w:rFonts w:ascii="Traditional Arabic" w:hAnsi="Traditional Arabic" w:cs="Traditional Arabic"/>
          <w:b/>
          <w:bCs/>
          <w:color w:val="000000" w:themeColor="text1"/>
          <w:sz w:val="24"/>
          <w:szCs w:val="24"/>
        </w:rPr>
        <w:t>Song et al., 2020</w:t>
      </w:r>
      <w:r w:rsidRPr="00362D29">
        <w:rPr>
          <w:rFonts w:ascii="Traditional Arabic" w:hAnsi="Traditional Arabic" w:cs="Traditional Arabic"/>
          <w:b/>
          <w:bCs/>
          <w:color w:val="000000" w:themeColor="text1"/>
          <w:sz w:val="24"/>
          <w:szCs w:val="24"/>
          <w:rtl/>
        </w:rPr>
        <w:t>) بعنوان "</w:t>
      </w:r>
      <w:r w:rsidRPr="00362D29">
        <w:rPr>
          <w:rFonts w:ascii="Traditional Arabic" w:hAnsi="Traditional Arabic" w:cs="Traditional Arabic"/>
          <w:b/>
          <w:bCs/>
          <w:color w:val="000000" w:themeColor="text1"/>
          <w:sz w:val="24"/>
          <w:szCs w:val="24"/>
        </w:rPr>
        <w:t>How to implement patient experience surveys and use their findings for service improvement: a qualitative expert consultation study in Australian general practice</w:t>
      </w:r>
      <w:r w:rsidRPr="00362D29">
        <w:rPr>
          <w:rFonts w:ascii="Traditional Arabic" w:hAnsi="Traditional Arabic" w:cs="Traditional Arabic"/>
          <w:color w:val="000000" w:themeColor="text1"/>
          <w:sz w:val="24"/>
          <w:szCs w:val="24"/>
          <w:rtl/>
        </w:rPr>
        <w:t xml:space="preserve">" </w:t>
      </w:r>
    </w:p>
    <w:p w14:paraId="27890CA4" w14:textId="1130CF72" w:rsidR="000B63F3" w:rsidRPr="00362D29" w:rsidRDefault="00A871C5" w:rsidP="00362D29">
      <w:pPr>
        <w:pStyle w:val="ab"/>
        <w:numPr>
          <w:ilvl w:val="0"/>
          <w:numId w:val="15"/>
        </w:numPr>
        <w:bidi/>
        <w:spacing w:before="240"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هدفت الدراسة إلى تحديد العوائق متعددة المستويات (المريض، مقدم الخدمة، الممارسة، والنظام الصحي) التي تؤثر في تطبيق استبيانات تجربة المريض في الرعاية الأولية الأسترالية، كما هدفت ايضا إلى استكشاف آليات الاستخدام المنهجي لبيانات مقاييس تجربة المريض (</w:t>
      </w:r>
      <w:r w:rsidRPr="00362D29">
        <w:rPr>
          <w:rFonts w:ascii="Traditional Arabic" w:hAnsi="Traditional Arabic" w:cs="Traditional Arabic"/>
          <w:color w:val="000000" w:themeColor="text1"/>
          <w:sz w:val="24"/>
          <w:szCs w:val="24"/>
        </w:rPr>
        <w:t>PREMs</w:t>
      </w:r>
      <w:r w:rsidRPr="00362D29">
        <w:rPr>
          <w:rFonts w:ascii="Traditional Arabic" w:hAnsi="Traditional Arabic" w:cs="Traditional Arabic"/>
          <w:color w:val="000000" w:themeColor="text1"/>
          <w:sz w:val="24"/>
          <w:szCs w:val="24"/>
          <w:rtl/>
        </w:rPr>
        <w:t xml:space="preserve">) في تحسين الخدمات على مستوى الممارسة والنظام الصحي. اتبعت الدراسة منهجًا نوعيًا قائمًا على استشارة خبراء، مع تحليل محتوى نوعي لبيانات مقطعية مفتوحة الأسئلة. تم جمع البيانات خلال الفترة من يونيو 2018 إلى يناير 2019 عبر استبيان إلكتروني مفتوح، واستُخدمت عينة قصدية والكرة الثلجية لاستقطاب الخبراء، ثم خضعت البيانات لتحليل ترميزي موضوعي وفق منهج </w:t>
      </w:r>
      <w:r w:rsidRPr="00362D29">
        <w:rPr>
          <w:rFonts w:ascii="Traditional Arabic" w:hAnsi="Traditional Arabic" w:cs="Traditional Arabic"/>
          <w:color w:val="000000" w:themeColor="text1"/>
          <w:sz w:val="24"/>
          <w:szCs w:val="24"/>
        </w:rPr>
        <w:t>Graneheim</w:t>
      </w:r>
      <w:r w:rsidRPr="00362D29">
        <w:rPr>
          <w:rFonts w:ascii="Traditional Arabic" w:hAnsi="Traditional Arabic" w:cs="Traditional Arabic"/>
          <w:color w:val="000000" w:themeColor="text1"/>
          <w:sz w:val="24"/>
          <w:szCs w:val="24"/>
          <w:rtl/>
        </w:rPr>
        <w:t xml:space="preserve"> و</w:t>
      </w:r>
      <w:r w:rsidRPr="00362D29">
        <w:rPr>
          <w:rFonts w:ascii="Traditional Arabic" w:hAnsi="Traditional Arabic" w:cs="Traditional Arabic"/>
          <w:color w:val="000000" w:themeColor="text1"/>
          <w:sz w:val="24"/>
          <w:szCs w:val="24"/>
        </w:rPr>
        <w:t>Lundman</w:t>
      </w:r>
      <w:r w:rsidRPr="00362D29">
        <w:rPr>
          <w:rFonts w:ascii="Traditional Arabic" w:hAnsi="Traditional Arabic" w:cs="Traditional Arabic"/>
          <w:color w:val="000000" w:themeColor="text1"/>
          <w:sz w:val="24"/>
          <w:szCs w:val="24"/>
          <w:rtl/>
        </w:rPr>
        <w:t xml:space="preserve">. تمثل مجتمع الدراسة في خبراء دوليين وأستراليين في مجالات قياس تجربة المريض وتحسين الجودة في الرعاية الأولية وبلغ عددهم 37 خبيرًا من ست دول (أستراليا، نيوزيلندا، الولايات المتحدة، </w:t>
      </w:r>
      <w:r w:rsidRPr="00362D29">
        <w:rPr>
          <w:rFonts w:ascii="Traditional Arabic" w:hAnsi="Traditional Arabic" w:cs="Traditional Arabic"/>
          <w:color w:val="000000" w:themeColor="text1"/>
          <w:sz w:val="24"/>
          <w:szCs w:val="24"/>
          <w:rtl/>
        </w:rPr>
        <w:lastRenderedPageBreak/>
        <w:t>كندا، المملكة المتحدة، وسويسرا). وبلغ حجم العينة 20 خبير من اجمالي الخبراء بنسبة استجابة 54%.. توصلت الدراسة إلى أن استبيانات تجربة المريض تُعد أداة فعّالة لتحسين الجودة على مستوى الممارسة عند توظيفها ضمن تعلم تأملي جماعي منظم، إلا أن ضعف الموارد والبنية التحتية التقنية والتمويل المستدام يمثل عائقًا جوهريًا أمام تطبيقها المنتظم. كما أظهرت النتائج وجود تباين واضح في آراء الخبراء حول جدوى استخدام بيانات تجربة المريض على المستوى النظامي لأغراض التقارير الخارجية أو المقارنات المؤسسية، مع التأكيد على ضرورة الاستفادة من بيانات تجربة المريض على المستوى النظامي وتفسيرها في ضوء السياق المؤسسي والديموغرافي والسريري لكل منشأة، تجنبًا للاستدلالات غير الدقيقة أو المقارنات غير العادلة وضرورة تحليلها بالتكامل مع مؤشرات جودة أخرى قبل تجميعها أو نشرها.</w:t>
      </w:r>
    </w:p>
    <w:p w14:paraId="4E319E24" w14:textId="0B8279D8" w:rsidR="004A15CC" w:rsidRPr="00362D29" w:rsidRDefault="00947153" w:rsidP="00362D29">
      <w:pPr>
        <w:pStyle w:val="ab"/>
        <w:numPr>
          <w:ilvl w:val="0"/>
          <w:numId w:val="23"/>
        </w:numPr>
        <w:bidi/>
        <w:spacing w:before="240"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b/>
          <w:bCs/>
          <w:color w:val="000000" w:themeColor="text1"/>
          <w:sz w:val="24"/>
          <w:szCs w:val="24"/>
          <w:rtl/>
        </w:rPr>
        <w:t xml:space="preserve">دراسة </w:t>
      </w:r>
      <w:r w:rsidR="00F55C35" w:rsidRPr="00362D29">
        <w:rPr>
          <w:rFonts w:ascii="Traditional Arabic" w:hAnsi="Traditional Arabic" w:cs="Traditional Arabic"/>
          <w:b/>
          <w:bCs/>
          <w:color w:val="000000" w:themeColor="text1"/>
          <w:sz w:val="24"/>
          <w:szCs w:val="24"/>
        </w:rPr>
        <w:t>(</w:t>
      </w:r>
      <w:r w:rsidRPr="00362D29">
        <w:rPr>
          <w:rFonts w:ascii="Traditional Arabic" w:hAnsi="Traditional Arabic" w:cs="Traditional Arabic"/>
          <w:b/>
          <w:bCs/>
          <w:color w:val="000000" w:themeColor="text1"/>
          <w:sz w:val="24"/>
          <w:szCs w:val="24"/>
        </w:rPr>
        <w:t>Ozcelik et al.</w:t>
      </w:r>
      <w:r w:rsidR="00F55C35" w:rsidRPr="00362D29">
        <w:rPr>
          <w:rFonts w:ascii="Traditional Arabic" w:hAnsi="Traditional Arabic" w:cs="Traditional Arabic"/>
          <w:b/>
          <w:bCs/>
          <w:color w:val="000000" w:themeColor="text1"/>
          <w:sz w:val="24"/>
          <w:szCs w:val="24"/>
        </w:rPr>
        <w:t>,</w:t>
      </w:r>
      <w:r w:rsidRPr="00362D29">
        <w:rPr>
          <w:rFonts w:ascii="Traditional Arabic" w:hAnsi="Traditional Arabic" w:cs="Traditional Arabic"/>
          <w:b/>
          <w:bCs/>
          <w:color w:val="000000" w:themeColor="text1"/>
          <w:sz w:val="24"/>
          <w:szCs w:val="24"/>
        </w:rPr>
        <w:t xml:space="preserve"> 2021)</w:t>
      </w:r>
      <w:r w:rsidRPr="00362D29">
        <w:rPr>
          <w:rFonts w:ascii="Traditional Arabic" w:hAnsi="Traditional Arabic" w:cs="Traditional Arabic"/>
          <w:b/>
          <w:bCs/>
          <w:color w:val="000000" w:themeColor="text1"/>
          <w:sz w:val="24"/>
          <w:szCs w:val="24"/>
          <w:rtl/>
        </w:rPr>
        <w:t xml:space="preserve"> بعنوان </w:t>
      </w:r>
      <w:r w:rsidR="004A15CC" w:rsidRPr="00362D29">
        <w:rPr>
          <w:rFonts w:ascii="Traditional Arabic" w:hAnsi="Traditional Arabic" w:cs="Traditional Arabic"/>
          <w:b/>
          <w:bCs/>
          <w:color w:val="000000" w:themeColor="text1"/>
          <w:sz w:val="24"/>
          <w:szCs w:val="24"/>
        </w:rPr>
        <w:t>"</w:t>
      </w:r>
      <w:r w:rsidRPr="00362D29">
        <w:rPr>
          <w:rFonts w:ascii="Traditional Arabic" w:hAnsi="Traditional Arabic" w:cs="Traditional Arabic"/>
          <w:b/>
          <w:bCs/>
          <w:color w:val="000000" w:themeColor="text1"/>
          <w:sz w:val="24"/>
          <w:szCs w:val="24"/>
        </w:rPr>
        <w:t>A holistic framework for patient experience: 5P model</w:t>
      </w:r>
      <w:r w:rsidR="004A15CC" w:rsidRPr="00362D29">
        <w:rPr>
          <w:rFonts w:ascii="Traditional Arabic" w:hAnsi="Traditional Arabic" w:cs="Traditional Arabic"/>
          <w:b/>
          <w:bCs/>
          <w:color w:val="000000" w:themeColor="text1"/>
          <w:sz w:val="24"/>
          <w:szCs w:val="24"/>
        </w:rPr>
        <w:t>"</w:t>
      </w:r>
      <w:r w:rsidRPr="00362D29">
        <w:rPr>
          <w:rFonts w:ascii="Traditional Arabic" w:hAnsi="Traditional Arabic" w:cs="Traditional Arabic"/>
          <w:b/>
          <w:bCs/>
          <w:color w:val="000000" w:themeColor="text1"/>
          <w:sz w:val="24"/>
          <w:szCs w:val="24"/>
          <w:rtl/>
        </w:rPr>
        <w:t xml:space="preserve">، </w:t>
      </w:r>
    </w:p>
    <w:p w14:paraId="03AB970B" w14:textId="5F39F9D1" w:rsidR="00076AC1" w:rsidRPr="00362D29" w:rsidRDefault="00E167DB" w:rsidP="00362D29">
      <w:pPr>
        <w:pStyle w:val="ab"/>
        <w:numPr>
          <w:ilvl w:val="0"/>
          <w:numId w:val="15"/>
        </w:numPr>
        <w:bidi/>
        <w:spacing w:before="240"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هدفت الدراسة إلى تطوير إطار شمولي متكامل لتجربة المريض داخل المستشفيات بحيث يتجاوز الطروحات الجزئية المرتبطة بتخصصات أو فروع محددة، كما هدفت ايضاً إلى دمج وجهات نظر المرضى وخبراء الرعاية الصحية والأكاديميين في نموذج تفسيري موحد يحدد الأبعاد الحاكمة لتجربة المريض عبر مختلف نقاط التماس داخل المستشفى. اعتمدت الدراسة منهجية نوعية قائمة على المنهج الظاهري (</w:t>
      </w:r>
      <w:r w:rsidRPr="00362D29">
        <w:rPr>
          <w:rFonts w:ascii="Traditional Arabic" w:hAnsi="Traditional Arabic" w:cs="Traditional Arabic"/>
          <w:color w:val="000000" w:themeColor="text1"/>
          <w:sz w:val="24"/>
          <w:szCs w:val="24"/>
        </w:rPr>
        <w:t>Phenomenological Approach</w:t>
      </w:r>
      <w:r w:rsidRPr="00362D29">
        <w:rPr>
          <w:rFonts w:ascii="Traditional Arabic" w:hAnsi="Traditional Arabic" w:cs="Traditional Arabic"/>
          <w:color w:val="000000" w:themeColor="text1"/>
          <w:sz w:val="24"/>
          <w:szCs w:val="24"/>
          <w:rtl/>
        </w:rPr>
        <w:t xml:space="preserve">)، وتم جمع البيانات من خلال مقابلات شبه منظمة على مرحلتين شملت مقابلات مع 15 خبيرًا في قطاع الرعاية الصحية (أكاديميون، باحثون، أطباء، ومديرو مستشفيات)، إضافة إلى 16 مريضًا بواقع 10 أمهات حديثات الولادة و6 مرضى أورام، وتم تحليل البيانات باستخدام برنامج </w:t>
      </w:r>
      <w:r w:rsidRPr="00362D29">
        <w:rPr>
          <w:rFonts w:ascii="Traditional Arabic" w:hAnsi="Traditional Arabic" w:cs="Traditional Arabic"/>
          <w:color w:val="000000" w:themeColor="text1"/>
          <w:sz w:val="24"/>
          <w:szCs w:val="24"/>
        </w:rPr>
        <w:t>QDA Miner</w:t>
      </w:r>
      <w:r w:rsidRPr="00362D29">
        <w:rPr>
          <w:rFonts w:ascii="Traditional Arabic" w:hAnsi="Traditional Arabic" w:cs="Traditional Arabic"/>
          <w:color w:val="000000" w:themeColor="text1"/>
          <w:sz w:val="24"/>
          <w:szCs w:val="24"/>
          <w:rtl/>
        </w:rPr>
        <w:t xml:space="preserve"> عبر ترميز متعدد المراحل وصولًا إلى بناء النموذج النظري. تمثل مجتمع الدراسة في خبراء القطاع الصحي والمرضى داخل مستشفيات خاصة في تركيا، وبلغت العينة الكلية 31 مشاركًا (15 خبيرًا و16 مريضًا). توصلت الدراسة إلى بناء نموذج 5</w:t>
      </w:r>
      <w:r w:rsidRPr="00362D29">
        <w:rPr>
          <w:rFonts w:ascii="Traditional Arabic" w:hAnsi="Traditional Arabic" w:cs="Traditional Arabic"/>
          <w:color w:val="000000" w:themeColor="text1"/>
          <w:sz w:val="24"/>
          <w:szCs w:val="24"/>
        </w:rPr>
        <w:t>P</w:t>
      </w:r>
      <w:r w:rsidRPr="00362D29">
        <w:rPr>
          <w:rFonts w:ascii="Traditional Arabic" w:hAnsi="Traditional Arabic" w:cs="Traditional Arabic"/>
          <w:color w:val="000000" w:themeColor="text1"/>
          <w:sz w:val="24"/>
          <w:szCs w:val="24"/>
          <w:rtl/>
        </w:rPr>
        <w:t xml:space="preserve"> الذي يحدد خمسة أبعاد رئيسية لتجربة المريض هي: </w:t>
      </w:r>
      <w:r w:rsidRPr="00362D29">
        <w:rPr>
          <w:rFonts w:ascii="Traditional Arabic" w:hAnsi="Traditional Arabic" w:cs="Traditional Arabic"/>
          <w:color w:val="000000" w:themeColor="text1"/>
          <w:sz w:val="24"/>
          <w:szCs w:val="24"/>
        </w:rPr>
        <w:t>Provider</w:t>
      </w:r>
      <w:r w:rsidRPr="00362D29">
        <w:rPr>
          <w:rFonts w:ascii="Traditional Arabic" w:hAnsi="Traditional Arabic" w:cs="Traditional Arabic"/>
          <w:color w:val="000000" w:themeColor="text1"/>
          <w:sz w:val="24"/>
          <w:szCs w:val="24"/>
          <w:rtl/>
        </w:rPr>
        <w:t xml:space="preserve">، </w:t>
      </w:r>
      <w:r w:rsidRPr="00362D29">
        <w:rPr>
          <w:rFonts w:ascii="Traditional Arabic" w:hAnsi="Traditional Arabic" w:cs="Traditional Arabic"/>
          <w:color w:val="000000" w:themeColor="text1"/>
          <w:sz w:val="24"/>
          <w:szCs w:val="24"/>
        </w:rPr>
        <w:t>Patient</w:t>
      </w:r>
      <w:r w:rsidRPr="00362D29">
        <w:rPr>
          <w:rFonts w:ascii="Traditional Arabic" w:hAnsi="Traditional Arabic" w:cs="Traditional Arabic"/>
          <w:color w:val="000000" w:themeColor="text1"/>
          <w:sz w:val="24"/>
          <w:szCs w:val="24"/>
          <w:rtl/>
        </w:rPr>
        <w:t xml:space="preserve">، </w:t>
      </w:r>
      <w:r w:rsidRPr="00362D29">
        <w:rPr>
          <w:rFonts w:ascii="Traditional Arabic" w:hAnsi="Traditional Arabic" w:cs="Traditional Arabic"/>
          <w:color w:val="000000" w:themeColor="text1"/>
          <w:sz w:val="24"/>
          <w:szCs w:val="24"/>
        </w:rPr>
        <w:t>Physician</w:t>
      </w:r>
      <w:r w:rsidRPr="00362D29">
        <w:rPr>
          <w:rFonts w:ascii="Traditional Arabic" w:hAnsi="Traditional Arabic" w:cs="Traditional Arabic"/>
          <w:color w:val="000000" w:themeColor="text1"/>
          <w:sz w:val="24"/>
          <w:szCs w:val="24"/>
          <w:rtl/>
        </w:rPr>
        <w:t xml:space="preserve">، </w:t>
      </w:r>
      <w:r w:rsidRPr="00362D29">
        <w:rPr>
          <w:rFonts w:ascii="Traditional Arabic" w:hAnsi="Traditional Arabic" w:cs="Traditional Arabic"/>
          <w:color w:val="000000" w:themeColor="text1"/>
          <w:sz w:val="24"/>
          <w:szCs w:val="24"/>
        </w:rPr>
        <w:t>Personnel</w:t>
      </w:r>
      <w:r w:rsidRPr="00362D29">
        <w:rPr>
          <w:rFonts w:ascii="Traditional Arabic" w:hAnsi="Traditional Arabic" w:cs="Traditional Arabic"/>
          <w:color w:val="000000" w:themeColor="text1"/>
          <w:sz w:val="24"/>
          <w:szCs w:val="24"/>
          <w:rtl/>
        </w:rPr>
        <w:t xml:space="preserve">، </w:t>
      </w:r>
      <w:r w:rsidRPr="00362D29">
        <w:rPr>
          <w:rFonts w:ascii="Traditional Arabic" w:hAnsi="Traditional Arabic" w:cs="Traditional Arabic"/>
          <w:color w:val="000000" w:themeColor="text1"/>
          <w:sz w:val="24"/>
          <w:szCs w:val="24"/>
        </w:rPr>
        <w:t>Periphery</w:t>
      </w:r>
      <w:r w:rsidRPr="00362D29">
        <w:rPr>
          <w:rFonts w:ascii="Traditional Arabic" w:hAnsi="Traditional Arabic" w:cs="Traditional Arabic"/>
          <w:color w:val="000000" w:themeColor="text1"/>
          <w:sz w:val="24"/>
          <w:szCs w:val="24"/>
          <w:rtl/>
        </w:rPr>
        <w:t>، (المستشفى، الطبيب، العاملون، المريض، وبيئة تقديم الخدمة ) وبذلك قدمت الدراسة إطارًا شاملًا يُمكن الاستفادة منه في تحسين تجربة المريض كما أثبتت النتائج أن تجربة المريض نتاج تفاعل تكاملي بين هذه الأبعاد وليس انعكاسًا لبعد منفرد. كما بينت النتائج أن مهارات التواصل والتعاطف لدى الطبيب والعاملين، إضافة إلى الصورة الذهنية للمستشفى وتنظيم الخدمات وسرعة الإجراءات، تعد من أقوى المحددات المؤثرة في تشكيل الذاكرة الكلية لتجربة المريض.</w:t>
      </w:r>
    </w:p>
    <w:p w14:paraId="72005342" w14:textId="77777777" w:rsidR="000B63F3" w:rsidRPr="00362D29" w:rsidRDefault="00947153" w:rsidP="00362D29">
      <w:pPr>
        <w:pStyle w:val="ab"/>
        <w:numPr>
          <w:ilvl w:val="0"/>
          <w:numId w:val="23"/>
        </w:numPr>
        <w:bidi/>
        <w:spacing w:before="240"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b/>
          <w:bCs/>
          <w:color w:val="000000" w:themeColor="text1"/>
          <w:sz w:val="24"/>
          <w:szCs w:val="24"/>
          <w:rtl/>
        </w:rPr>
        <w:t>دراسة</w:t>
      </w:r>
      <w:r w:rsidRPr="00362D29">
        <w:rPr>
          <w:rFonts w:ascii="Traditional Arabic" w:hAnsi="Traditional Arabic" w:cs="Traditional Arabic"/>
          <w:b/>
          <w:bCs/>
          <w:color w:val="000000" w:themeColor="text1"/>
          <w:sz w:val="24"/>
          <w:szCs w:val="24"/>
        </w:rPr>
        <w:t xml:space="preserve"> </w:t>
      </w:r>
      <w:r w:rsidR="00691591" w:rsidRPr="00362D29">
        <w:rPr>
          <w:rFonts w:ascii="Traditional Arabic" w:hAnsi="Traditional Arabic" w:cs="Traditional Arabic"/>
          <w:b/>
          <w:bCs/>
          <w:color w:val="000000" w:themeColor="text1"/>
          <w:sz w:val="24"/>
          <w:szCs w:val="24"/>
        </w:rPr>
        <w:t>(Oben, 2020)</w:t>
      </w:r>
      <w:r w:rsidRPr="00362D29">
        <w:rPr>
          <w:rFonts w:ascii="Traditional Arabic" w:hAnsi="Traditional Arabic" w:cs="Traditional Arabic"/>
          <w:b/>
          <w:bCs/>
          <w:color w:val="000000" w:themeColor="text1"/>
          <w:sz w:val="24"/>
          <w:szCs w:val="24"/>
        </w:rPr>
        <w:t xml:space="preserve"> </w:t>
      </w:r>
      <w:r w:rsidRPr="00362D29">
        <w:rPr>
          <w:rFonts w:ascii="Traditional Arabic" w:hAnsi="Traditional Arabic" w:cs="Traditional Arabic"/>
          <w:b/>
          <w:bCs/>
          <w:color w:val="000000" w:themeColor="text1"/>
          <w:sz w:val="24"/>
          <w:szCs w:val="24"/>
          <w:rtl/>
        </w:rPr>
        <w:t xml:space="preserve">بعنوان </w:t>
      </w:r>
      <w:r w:rsidR="00595EE6" w:rsidRPr="00362D29">
        <w:rPr>
          <w:rFonts w:ascii="Traditional Arabic" w:hAnsi="Traditional Arabic" w:cs="Traditional Arabic"/>
          <w:b/>
          <w:bCs/>
          <w:color w:val="000000" w:themeColor="text1"/>
          <w:sz w:val="24"/>
          <w:szCs w:val="24"/>
        </w:rPr>
        <w:t>"</w:t>
      </w:r>
      <w:r w:rsidRPr="00362D29">
        <w:rPr>
          <w:rFonts w:ascii="Traditional Arabic" w:hAnsi="Traditional Arabic" w:cs="Traditional Arabic"/>
          <w:b/>
          <w:bCs/>
          <w:color w:val="000000" w:themeColor="text1"/>
          <w:sz w:val="24"/>
          <w:szCs w:val="24"/>
        </w:rPr>
        <w:t>Understanding the Patient Experience: A Conceptual Framework</w:t>
      </w:r>
      <w:r w:rsidR="00595EE6" w:rsidRPr="00362D29">
        <w:rPr>
          <w:rFonts w:ascii="Traditional Arabic" w:hAnsi="Traditional Arabic" w:cs="Traditional Arabic"/>
          <w:b/>
          <w:bCs/>
          <w:color w:val="000000" w:themeColor="text1"/>
          <w:sz w:val="24"/>
          <w:szCs w:val="24"/>
        </w:rPr>
        <w:t>"</w:t>
      </w:r>
      <w:r w:rsidRPr="00362D29">
        <w:rPr>
          <w:rFonts w:ascii="Traditional Arabic" w:hAnsi="Traditional Arabic" w:cs="Traditional Arabic"/>
          <w:b/>
          <w:bCs/>
          <w:color w:val="000000" w:themeColor="text1"/>
          <w:sz w:val="24"/>
          <w:szCs w:val="24"/>
          <w:rtl/>
        </w:rPr>
        <w:t>،</w:t>
      </w:r>
      <w:r w:rsidRPr="00362D29">
        <w:rPr>
          <w:rFonts w:ascii="Traditional Arabic" w:hAnsi="Traditional Arabic" w:cs="Traditional Arabic"/>
          <w:color w:val="000000" w:themeColor="text1"/>
          <w:sz w:val="24"/>
          <w:szCs w:val="24"/>
          <w:rtl/>
        </w:rPr>
        <w:t xml:space="preserve"> </w:t>
      </w:r>
    </w:p>
    <w:p w14:paraId="6A3F7A87" w14:textId="285C5CCE" w:rsidR="001C0E2F" w:rsidRPr="00362D29" w:rsidRDefault="00595EE6" w:rsidP="00362D29">
      <w:pPr>
        <w:pStyle w:val="ab"/>
        <w:numPr>
          <w:ilvl w:val="0"/>
          <w:numId w:val="15"/>
        </w:numPr>
        <w:bidi/>
        <w:spacing w:before="240" w:after="200" w:line="360" w:lineRule="auto"/>
        <w:jc w:val="both"/>
        <w:rPr>
          <w:rFonts w:ascii="Traditional Arabic" w:hAnsi="Traditional Arabic" w:cs="Traditional Arabic"/>
          <w:color w:val="000000" w:themeColor="text1"/>
          <w:sz w:val="24"/>
          <w:szCs w:val="24"/>
          <w:rtl/>
        </w:rPr>
      </w:pPr>
      <w:r w:rsidRPr="00362D29">
        <w:rPr>
          <w:rFonts w:ascii="Traditional Arabic" w:hAnsi="Traditional Arabic" w:cs="Traditional Arabic"/>
          <w:color w:val="000000" w:themeColor="text1"/>
          <w:sz w:val="24"/>
          <w:szCs w:val="24"/>
          <w:rtl/>
        </w:rPr>
        <w:t xml:space="preserve">هدفت الدراسة إلى تطوير نموذج مفاهيمي متكامل يوضح مكونات تجربة المريض في مؤسسات الرعاية الصحية بوصفها بُعدًا مستقلًا من أبعاد جودة الرعاية الصحية، وإعادة بناء المفهوم انطلاقًا من التجربة الإنسانية الشاملة للمريض عبر مراحل المرض </w:t>
      </w:r>
      <w:r w:rsidRPr="00362D29">
        <w:rPr>
          <w:rFonts w:ascii="Traditional Arabic" w:hAnsi="Traditional Arabic" w:cs="Traditional Arabic"/>
          <w:color w:val="000000" w:themeColor="text1"/>
          <w:sz w:val="24"/>
          <w:szCs w:val="24"/>
          <w:rtl/>
        </w:rPr>
        <w:lastRenderedPageBreak/>
        <w:t xml:space="preserve">والتفاعل مع النظام الصحي. كما سعت إلى التمييز بين تجربة المريض ورضا المريض من خلال تحليل أبعاد التجربة عبر </w:t>
      </w:r>
      <w:r w:rsidRPr="00362D29">
        <w:rPr>
          <w:rFonts w:ascii="Traditional Arabic" w:hAnsi="Traditional Arabic" w:cs="Traditional Arabic"/>
          <w:color w:val="000000" w:themeColor="text1"/>
          <w:sz w:val="24"/>
          <w:szCs w:val="24"/>
        </w:rPr>
        <w:t>continuum of care</w:t>
      </w:r>
      <w:r w:rsidRPr="00362D29">
        <w:rPr>
          <w:rFonts w:ascii="Traditional Arabic" w:hAnsi="Traditional Arabic" w:cs="Traditional Arabic"/>
          <w:color w:val="000000" w:themeColor="text1"/>
          <w:sz w:val="24"/>
          <w:szCs w:val="24"/>
          <w:rtl/>
        </w:rPr>
        <w:t xml:space="preserve"> وربطها بمحددات الجودة. اعتمدت الدراسة منهجية تحليل مفاهيمي وإطار نظري (</w:t>
      </w:r>
      <w:r w:rsidRPr="00362D29">
        <w:rPr>
          <w:rFonts w:ascii="Traditional Arabic" w:hAnsi="Traditional Arabic" w:cs="Traditional Arabic"/>
          <w:color w:val="000000" w:themeColor="text1"/>
          <w:sz w:val="24"/>
          <w:szCs w:val="24"/>
        </w:rPr>
        <w:t>Conceptual Framework Analysis</w:t>
      </w:r>
      <w:r w:rsidRPr="00362D29">
        <w:rPr>
          <w:rFonts w:ascii="Traditional Arabic" w:hAnsi="Traditional Arabic" w:cs="Traditional Arabic"/>
          <w:color w:val="000000" w:themeColor="text1"/>
          <w:sz w:val="24"/>
          <w:szCs w:val="24"/>
          <w:rtl/>
        </w:rPr>
        <w:t xml:space="preserve">) قائم على مراجعة أدبيات علمية وتحليل نقدي للنماذج القائمة دون تطبيق ميداني. مجتمع الدراسة تمثل في الأدبيات العلمية المنشورة في مجال تجربة المريض وجودة الرعاية الصحية، ولم تعتمد الدراسة عينة عددية نظرًا لطبيعتها النظرية التحليلية. توصلت الدراسة إلى أن تجربة المريض تُفهم بوصفها تجربة إنسانية متعددة الأبعاد تشمل البعد الجسدي والنفسي والاجتماعي والروحي، وليست مجرد تقييم للخدمة المقدمة كما توصلت الى ان تجربة المريض تتأثر بمجموعة من الأبعاد المتشابكة تشمل التفاعل مع مقدمي الخدمة، والبيئة، والعوامل النفسية والثقافية، مؤكدًا أن تجربة المريض تتجاوز مفاهيم الرضا التقليدية. كما خلصت إلى أن أدوات القياس مثل </w:t>
      </w:r>
      <w:r w:rsidRPr="00362D29">
        <w:rPr>
          <w:rFonts w:ascii="Traditional Arabic" w:hAnsi="Traditional Arabic" w:cs="Traditional Arabic"/>
          <w:color w:val="000000" w:themeColor="text1"/>
          <w:sz w:val="24"/>
          <w:szCs w:val="24"/>
        </w:rPr>
        <w:t>HCAHPS</w:t>
      </w:r>
      <w:r w:rsidRPr="00362D29">
        <w:rPr>
          <w:rFonts w:ascii="Traditional Arabic" w:hAnsi="Traditional Arabic" w:cs="Traditional Arabic"/>
          <w:color w:val="000000" w:themeColor="text1"/>
          <w:sz w:val="24"/>
          <w:szCs w:val="24"/>
          <w:rtl/>
        </w:rPr>
        <w:t xml:space="preserve"> تقيس جزءًا من تجربة الرعاية الصحية لكنها لا تعكس كامل التجربة الإنسانية المرتبطة بمرحلة المرض قبل وأثناء وبعد التفاعل مع النظام الصحي، مما يستدعي تطوير أطر تفسيرية أعمق لقياس تجربة المريض بصورة شمولية.</w:t>
      </w:r>
    </w:p>
    <w:p w14:paraId="4A25C25B" w14:textId="2D066AE4" w:rsidR="00947153" w:rsidRPr="00937192" w:rsidRDefault="00947153" w:rsidP="00362D29">
      <w:pPr>
        <w:tabs>
          <w:tab w:val="left" w:pos="1074"/>
        </w:tabs>
        <w:bidi/>
        <w:spacing w:after="0" w:line="360" w:lineRule="auto"/>
        <w:rPr>
          <w:rFonts w:ascii="Traditional Arabic" w:hAnsi="Traditional Arabic" w:cs="Traditional Arabic"/>
          <w:b/>
          <w:bCs/>
          <w:color w:val="000000" w:themeColor="text1"/>
          <w:sz w:val="32"/>
          <w:szCs w:val="32"/>
          <w:u w:val="single"/>
          <w:rtl/>
        </w:rPr>
      </w:pPr>
      <w:r w:rsidRPr="00937192">
        <w:rPr>
          <w:rFonts w:ascii="Traditional Arabic" w:hAnsi="Traditional Arabic" w:cs="Traditional Arabic"/>
          <w:b/>
          <w:bCs/>
          <w:color w:val="000000" w:themeColor="text1"/>
          <w:sz w:val="32"/>
          <w:szCs w:val="32"/>
          <w:u w:val="single"/>
          <w:rtl/>
        </w:rPr>
        <w:t>ثالثًا: دراسات تجمع بين التميز المؤسسي وتجربة المريض</w:t>
      </w:r>
    </w:p>
    <w:p w14:paraId="7A64CD28" w14:textId="3BFBEF12" w:rsidR="001C4D49" w:rsidRPr="00362D29" w:rsidRDefault="001C4D49" w:rsidP="00362D29">
      <w:pPr>
        <w:pStyle w:val="ab"/>
        <w:numPr>
          <w:ilvl w:val="0"/>
          <w:numId w:val="26"/>
        </w:numPr>
        <w:bidi/>
        <w:spacing w:after="200" w:line="360" w:lineRule="auto"/>
        <w:jc w:val="both"/>
        <w:rPr>
          <w:rFonts w:ascii="Traditional Arabic" w:hAnsi="Traditional Arabic" w:cs="Traditional Arabic"/>
          <w:b/>
          <w:bCs/>
          <w:color w:val="000000" w:themeColor="text1"/>
          <w:sz w:val="24"/>
          <w:szCs w:val="24"/>
        </w:rPr>
      </w:pPr>
      <w:r w:rsidRPr="00362D29">
        <w:rPr>
          <w:rFonts w:ascii="Traditional Arabic" w:hAnsi="Traditional Arabic" w:cs="Traditional Arabic"/>
          <w:b/>
          <w:bCs/>
          <w:color w:val="000000" w:themeColor="text1"/>
          <w:sz w:val="24"/>
          <w:szCs w:val="24"/>
          <w:rtl/>
        </w:rPr>
        <w:t>دراسة (</w:t>
      </w:r>
      <w:r w:rsidRPr="00362D29">
        <w:rPr>
          <w:rFonts w:ascii="Traditional Arabic" w:hAnsi="Traditional Arabic" w:cs="Traditional Arabic"/>
          <w:b/>
          <w:bCs/>
          <w:color w:val="000000" w:themeColor="text1"/>
          <w:sz w:val="24"/>
          <w:szCs w:val="24"/>
        </w:rPr>
        <w:t>Sumarta et al., 2025</w:t>
      </w:r>
      <w:r w:rsidRPr="00362D29">
        <w:rPr>
          <w:rFonts w:ascii="Traditional Arabic" w:hAnsi="Traditional Arabic" w:cs="Traditional Arabic"/>
          <w:b/>
          <w:bCs/>
          <w:color w:val="000000" w:themeColor="text1"/>
          <w:sz w:val="24"/>
          <w:szCs w:val="24"/>
          <w:rtl/>
        </w:rPr>
        <w:t>) بعنوان"</w:t>
      </w:r>
      <w:r w:rsidRPr="00362D29">
        <w:rPr>
          <w:rFonts w:ascii="Traditional Arabic" w:hAnsi="Traditional Arabic" w:cs="Traditional Arabic"/>
          <w:b/>
          <w:bCs/>
          <w:color w:val="000000" w:themeColor="text1"/>
          <w:sz w:val="24"/>
          <w:szCs w:val="24"/>
        </w:rPr>
        <w:t>Enhancing Hospital Service Quality Through Strategic and Operational Excellence Focused on Patient Satisfaction: The Case of Indonesia</w:t>
      </w:r>
      <w:r w:rsidRPr="00362D29">
        <w:rPr>
          <w:rFonts w:ascii="Traditional Arabic" w:hAnsi="Traditional Arabic" w:cs="Traditional Arabic"/>
          <w:b/>
          <w:bCs/>
          <w:color w:val="000000" w:themeColor="text1"/>
          <w:sz w:val="24"/>
          <w:szCs w:val="24"/>
          <w:rtl/>
        </w:rPr>
        <w:t xml:space="preserve">" </w:t>
      </w:r>
    </w:p>
    <w:p w14:paraId="50B007FF" w14:textId="77777777" w:rsidR="00937192" w:rsidRDefault="001C4D49" w:rsidP="00937192">
      <w:pPr>
        <w:pStyle w:val="ab"/>
        <w:numPr>
          <w:ilvl w:val="0"/>
          <w:numId w:val="15"/>
        </w:numPr>
        <w:bidi/>
        <w:spacing w:after="200" w:line="360" w:lineRule="auto"/>
        <w:jc w:val="both"/>
        <w:rPr>
          <w:rFonts w:ascii="Traditional Arabic" w:hAnsi="Traditional Arabic" w:cs="Traditional Arabic"/>
          <w:b/>
          <w:bCs/>
          <w:color w:val="000000" w:themeColor="text1"/>
          <w:sz w:val="24"/>
          <w:szCs w:val="24"/>
        </w:rPr>
      </w:pPr>
      <w:r w:rsidRPr="00362D29">
        <w:rPr>
          <w:rFonts w:ascii="Traditional Arabic" w:hAnsi="Traditional Arabic" w:cs="Traditional Arabic"/>
          <w:color w:val="000000" w:themeColor="text1"/>
          <w:sz w:val="24"/>
          <w:szCs w:val="24"/>
          <w:rtl/>
        </w:rPr>
        <w:t>هدفت الدراسة إلى تحليل العلاقة بين التميز التشغيلي والاستراتيجي وثقافة الجودة وجودة الخدمة وأثرها في رضا المرضى بالمستشفيات الإندونيسية، كما هدفت أيضاً إلى اختبار التأثيرات المباشرة وغير المباشرة لهذه المتغيرات على تصورات المرضى ومستويات جودة الخدمة باستخدام نموذج معادلات هيكلية يوضح المسارات السببية بينها. اعتمدت الدراسة المنهج الكمي باستخدام أسلوب المسح، وتم تحليل البيانات عبر نموذج المعادلات الهيكلية (</w:t>
      </w:r>
      <w:r w:rsidRPr="00362D29">
        <w:rPr>
          <w:rFonts w:ascii="Traditional Arabic" w:hAnsi="Traditional Arabic" w:cs="Traditional Arabic"/>
          <w:color w:val="000000" w:themeColor="text1"/>
          <w:sz w:val="24"/>
          <w:szCs w:val="24"/>
        </w:rPr>
        <w:t>SEM</w:t>
      </w:r>
      <w:r w:rsidRPr="00362D29">
        <w:rPr>
          <w:rFonts w:ascii="Traditional Arabic" w:hAnsi="Traditional Arabic" w:cs="Traditional Arabic"/>
          <w:color w:val="000000" w:themeColor="text1"/>
          <w:sz w:val="24"/>
          <w:szCs w:val="24"/>
          <w:rtl/>
        </w:rPr>
        <w:t xml:space="preserve">). تكوّن مجتمع الدراسة من (1,035) موظفًا في أربعة مستشفيات ، وتم تحديد حجم العينة باستخدام معادلة </w:t>
      </w:r>
      <w:r w:rsidRPr="00362D29">
        <w:rPr>
          <w:rFonts w:ascii="Traditional Arabic" w:hAnsi="Traditional Arabic" w:cs="Traditional Arabic"/>
          <w:color w:val="000000" w:themeColor="text1"/>
          <w:sz w:val="24"/>
          <w:szCs w:val="24"/>
        </w:rPr>
        <w:t>Slovin</w:t>
      </w:r>
      <w:r w:rsidRPr="00362D29">
        <w:rPr>
          <w:rFonts w:ascii="Traditional Arabic" w:hAnsi="Traditional Arabic" w:cs="Traditional Arabic"/>
          <w:color w:val="000000" w:themeColor="text1"/>
          <w:sz w:val="24"/>
          <w:szCs w:val="24"/>
          <w:rtl/>
        </w:rPr>
        <w:t xml:space="preserve"> بنسبة خطأ 5% ليبلغ (289) مفردة، ثم رُفع العدد إلى (300) مفردة تم اختيارهم بأسلوب العينة العشوائية ، وشملوا كوادر طبية وغير طبية. أظهرت النتائج وجود تأثير مباشر موجب للتميز الاستراتيجي والتشغيلي على جودة الخدمة (</w:t>
      </w:r>
      <w:r w:rsidRPr="00362D29">
        <w:rPr>
          <w:rFonts w:ascii="Cambria" w:hAnsi="Cambria" w:cs="Cambria"/>
          <w:color w:val="000000" w:themeColor="text1"/>
          <w:sz w:val="24"/>
          <w:szCs w:val="24"/>
        </w:rPr>
        <w:t>β</w:t>
      </w:r>
      <w:r w:rsidRPr="00362D29">
        <w:rPr>
          <w:rFonts w:ascii="Traditional Arabic" w:hAnsi="Traditional Arabic" w:cs="Traditional Arabic"/>
          <w:color w:val="000000" w:themeColor="text1"/>
          <w:sz w:val="24"/>
          <w:szCs w:val="24"/>
        </w:rPr>
        <w:t>=0.4464</w:t>
      </w:r>
      <w:r w:rsidRPr="00362D29">
        <w:rPr>
          <w:rFonts w:ascii="Traditional Arabic" w:hAnsi="Traditional Arabic" w:cs="Traditional Arabic"/>
          <w:color w:val="000000" w:themeColor="text1"/>
          <w:sz w:val="24"/>
          <w:szCs w:val="24"/>
          <w:rtl/>
        </w:rPr>
        <w:t>) وللكفاءة التشغيلية على جودة الخدمة (</w:t>
      </w:r>
      <w:r w:rsidRPr="00362D29">
        <w:rPr>
          <w:rFonts w:ascii="Cambria" w:hAnsi="Cambria" w:cs="Cambria"/>
          <w:color w:val="000000" w:themeColor="text1"/>
          <w:sz w:val="24"/>
          <w:szCs w:val="24"/>
        </w:rPr>
        <w:t>β</w:t>
      </w:r>
      <w:r w:rsidRPr="00362D29">
        <w:rPr>
          <w:rFonts w:ascii="Traditional Arabic" w:hAnsi="Traditional Arabic" w:cs="Traditional Arabic"/>
          <w:color w:val="000000" w:themeColor="text1"/>
          <w:sz w:val="24"/>
          <w:szCs w:val="24"/>
        </w:rPr>
        <w:t>=0.4778</w:t>
      </w:r>
      <w:r w:rsidRPr="00362D29">
        <w:rPr>
          <w:rFonts w:ascii="Traditional Arabic" w:hAnsi="Traditional Arabic" w:cs="Traditional Arabic"/>
          <w:color w:val="000000" w:themeColor="text1"/>
          <w:sz w:val="24"/>
          <w:szCs w:val="24"/>
          <w:rtl/>
        </w:rPr>
        <w:t>)، كما تبين أن جودة الخدمة كان لها تأثير مباشر قوي على رضا المرضى (</w:t>
      </w:r>
      <w:r w:rsidRPr="00362D29">
        <w:rPr>
          <w:rFonts w:ascii="Cambria" w:hAnsi="Cambria" w:cs="Cambria"/>
          <w:color w:val="000000" w:themeColor="text1"/>
          <w:sz w:val="24"/>
          <w:szCs w:val="24"/>
        </w:rPr>
        <w:t>β</w:t>
      </w:r>
      <w:r w:rsidRPr="00362D29">
        <w:rPr>
          <w:rFonts w:ascii="Traditional Arabic" w:hAnsi="Traditional Arabic" w:cs="Traditional Arabic"/>
          <w:color w:val="000000" w:themeColor="text1"/>
          <w:sz w:val="24"/>
          <w:szCs w:val="24"/>
        </w:rPr>
        <w:t>=0.4983</w:t>
      </w:r>
      <w:r w:rsidRPr="00362D29">
        <w:rPr>
          <w:rFonts w:ascii="Traditional Arabic" w:hAnsi="Traditional Arabic" w:cs="Traditional Arabic"/>
          <w:color w:val="000000" w:themeColor="text1"/>
          <w:sz w:val="24"/>
          <w:szCs w:val="24"/>
          <w:rtl/>
        </w:rPr>
        <w:t>) مقارنة بثقافة الجودة (</w:t>
      </w:r>
      <w:r w:rsidRPr="00362D29">
        <w:rPr>
          <w:rFonts w:ascii="Cambria" w:hAnsi="Cambria" w:cs="Cambria"/>
          <w:color w:val="000000" w:themeColor="text1"/>
          <w:sz w:val="24"/>
          <w:szCs w:val="24"/>
        </w:rPr>
        <w:t>β</w:t>
      </w:r>
      <w:r w:rsidRPr="00362D29">
        <w:rPr>
          <w:rFonts w:ascii="Traditional Arabic" w:hAnsi="Traditional Arabic" w:cs="Traditional Arabic"/>
          <w:color w:val="000000" w:themeColor="text1"/>
          <w:sz w:val="24"/>
          <w:szCs w:val="24"/>
        </w:rPr>
        <w:t>=0.4717</w:t>
      </w:r>
      <w:r w:rsidRPr="00362D29">
        <w:rPr>
          <w:rFonts w:ascii="Traditional Arabic" w:hAnsi="Traditional Arabic" w:cs="Traditional Arabic"/>
          <w:color w:val="000000" w:themeColor="text1"/>
          <w:sz w:val="24"/>
          <w:szCs w:val="24"/>
          <w:rtl/>
        </w:rPr>
        <w:t>)، مع تأثير كلي لجودة الخدمة على رضا المرضى بلغ (42.05%)، مما يؤكد أن التميز التشغيلي وجودة الخدمة يمثلان المحدد الحاسم لتعزيز رضا المرضى</w:t>
      </w:r>
      <w:r w:rsidRPr="00362D29">
        <w:rPr>
          <w:rFonts w:ascii="Traditional Arabic" w:hAnsi="Traditional Arabic" w:cs="Traditional Arabic"/>
          <w:b/>
          <w:bCs/>
          <w:color w:val="000000" w:themeColor="text1"/>
          <w:sz w:val="24"/>
          <w:szCs w:val="24"/>
          <w:rtl/>
        </w:rPr>
        <w:t>.</w:t>
      </w:r>
    </w:p>
    <w:p w14:paraId="70206025" w14:textId="5D377E30" w:rsidR="00C65C05" w:rsidRPr="00937192" w:rsidRDefault="00C65C05" w:rsidP="00937192">
      <w:pPr>
        <w:pStyle w:val="ab"/>
        <w:numPr>
          <w:ilvl w:val="0"/>
          <w:numId w:val="26"/>
        </w:numPr>
        <w:bidi/>
        <w:spacing w:after="200" w:line="360" w:lineRule="auto"/>
        <w:jc w:val="both"/>
        <w:rPr>
          <w:rFonts w:ascii="Traditional Arabic" w:hAnsi="Traditional Arabic" w:cs="Traditional Arabic"/>
          <w:b/>
          <w:bCs/>
          <w:color w:val="000000" w:themeColor="text1"/>
          <w:sz w:val="24"/>
          <w:szCs w:val="24"/>
        </w:rPr>
      </w:pPr>
      <w:r w:rsidRPr="00937192">
        <w:rPr>
          <w:rFonts w:ascii="Traditional Arabic" w:hAnsi="Traditional Arabic" w:cs="Traditional Arabic"/>
          <w:b/>
          <w:bCs/>
          <w:color w:val="000000" w:themeColor="text1"/>
          <w:sz w:val="24"/>
          <w:szCs w:val="24"/>
          <w:rtl/>
        </w:rPr>
        <w:lastRenderedPageBreak/>
        <w:t>دراسة (</w:t>
      </w:r>
      <w:r w:rsidRPr="00937192">
        <w:rPr>
          <w:rFonts w:ascii="Traditional Arabic" w:hAnsi="Traditional Arabic" w:cs="Traditional Arabic"/>
          <w:b/>
          <w:bCs/>
          <w:color w:val="000000" w:themeColor="text1"/>
          <w:sz w:val="24"/>
          <w:szCs w:val="24"/>
        </w:rPr>
        <w:t>Alkahtani et al., 2023</w:t>
      </w:r>
      <w:r w:rsidRPr="00937192">
        <w:rPr>
          <w:rFonts w:ascii="Traditional Arabic" w:hAnsi="Traditional Arabic" w:cs="Traditional Arabic"/>
          <w:b/>
          <w:bCs/>
          <w:color w:val="000000" w:themeColor="text1"/>
          <w:sz w:val="24"/>
          <w:szCs w:val="24"/>
          <w:rtl/>
        </w:rPr>
        <w:t xml:space="preserve">) بعنوان </w:t>
      </w:r>
      <w:r w:rsidRPr="00937192">
        <w:rPr>
          <w:rFonts w:ascii="Traditional Arabic" w:hAnsi="Traditional Arabic" w:cs="Traditional Arabic"/>
          <w:b/>
          <w:bCs/>
          <w:color w:val="000000" w:themeColor="text1"/>
          <w:sz w:val="24"/>
          <w:szCs w:val="24"/>
        </w:rPr>
        <w:t>"Assessing the Impact of a Service Excellence Program on Improving Patient Experience at Primary Health Care Centers"</w:t>
      </w:r>
      <w:r w:rsidRPr="00937192">
        <w:rPr>
          <w:rFonts w:ascii="Traditional Arabic" w:hAnsi="Traditional Arabic" w:cs="Traditional Arabic"/>
          <w:b/>
          <w:bCs/>
          <w:color w:val="000000" w:themeColor="text1"/>
          <w:sz w:val="24"/>
          <w:szCs w:val="24"/>
          <w:rtl/>
        </w:rPr>
        <w:t xml:space="preserve"> </w:t>
      </w:r>
    </w:p>
    <w:p w14:paraId="7E8D57C6" w14:textId="12A22EF5" w:rsidR="00C65C05" w:rsidRPr="00362D29" w:rsidRDefault="00C65C05" w:rsidP="00937192">
      <w:pPr>
        <w:pStyle w:val="ab"/>
        <w:numPr>
          <w:ilvl w:val="0"/>
          <w:numId w:val="15"/>
        </w:numPr>
        <w:bidi/>
        <w:spacing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هدفت إلى تقييم أثر برنامج تدريبي في التميز الخدمي (</w:t>
      </w:r>
      <w:r w:rsidRPr="00362D29">
        <w:rPr>
          <w:rFonts w:ascii="Traditional Arabic" w:hAnsi="Traditional Arabic" w:cs="Traditional Arabic"/>
          <w:color w:val="000000" w:themeColor="text1"/>
          <w:sz w:val="24"/>
          <w:szCs w:val="24"/>
        </w:rPr>
        <w:t>Service Excellence Program</w:t>
      </w:r>
      <w:r w:rsidRPr="00362D29">
        <w:rPr>
          <w:rFonts w:ascii="Traditional Arabic" w:hAnsi="Traditional Arabic" w:cs="Traditional Arabic"/>
          <w:color w:val="000000" w:themeColor="text1"/>
          <w:sz w:val="24"/>
          <w:szCs w:val="24"/>
          <w:rtl/>
        </w:rPr>
        <w:t>) على معرفة وإدراك واتجاهات العاملين في الصفوف الأمامية تجاه تجربة المريض، كما هدفت أيضاً إلى قياس انعكاس هذا التدخل على مؤشرات تجربة المريض الفعلية في مراكز الرعاية الصحية الأولية</w:t>
      </w:r>
      <w:r w:rsidR="007B552B" w:rsidRPr="00362D29">
        <w:rPr>
          <w:rFonts w:ascii="Traditional Arabic" w:hAnsi="Traditional Arabic" w:cs="Traditional Arabic"/>
          <w:color w:val="000000" w:themeColor="text1"/>
          <w:sz w:val="24"/>
          <w:szCs w:val="24"/>
          <w:rtl/>
        </w:rPr>
        <w:t xml:space="preserve"> التابعة لمدينة الأمير سلطان الطبية العسكرية بالرياض</w:t>
      </w:r>
      <w:r w:rsidRPr="00362D29">
        <w:rPr>
          <w:rFonts w:ascii="Traditional Arabic" w:hAnsi="Traditional Arabic" w:cs="Traditional Arabic"/>
          <w:color w:val="000000" w:themeColor="text1"/>
          <w:sz w:val="24"/>
          <w:szCs w:val="24"/>
          <w:rtl/>
        </w:rPr>
        <w:t>. اعتمدت الدراسة منهجية شبه تجريبية بتصميم قبلي–بعدي (</w:t>
      </w:r>
      <w:r w:rsidRPr="00362D29">
        <w:rPr>
          <w:rFonts w:ascii="Traditional Arabic" w:hAnsi="Traditional Arabic" w:cs="Traditional Arabic"/>
          <w:color w:val="000000" w:themeColor="text1"/>
          <w:sz w:val="24"/>
          <w:szCs w:val="24"/>
        </w:rPr>
        <w:t>Pre-Post Intervention Design</w:t>
      </w:r>
      <w:r w:rsidRPr="00362D29">
        <w:rPr>
          <w:rFonts w:ascii="Traditional Arabic" w:hAnsi="Traditional Arabic" w:cs="Traditional Arabic"/>
          <w:color w:val="000000" w:themeColor="text1"/>
          <w:sz w:val="24"/>
          <w:szCs w:val="24"/>
          <w:rtl/>
        </w:rPr>
        <w:t>)، ونُفذت في مركزين للرعاية الصحية الأولية تابعين لمدينة الأمير سلطان الطبية العسكرية بالرياض. بلغ مجتمع الدراسة 317 من العاملين الذين خضعوا للتدريب، وتم تحليل بيانات 256 من مقدمي الرعاية المباشرين (بعد استبعاد 61 لعدم مباشرتهم رعاية المرضى). استُخدم استبيان لقياس المعرفة والإدراك (13 سؤالًا) والاتجاهات (8 أسئلة) لتقييم التدخل التدريبي ، إضافة إلى تحليل بيانات نظام قياس تجربة المريض (</w:t>
      </w:r>
      <w:r w:rsidRPr="00362D29">
        <w:rPr>
          <w:rFonts w:ascii="Traditional Arabic" w:hAnsi="Traditional Arabic" w:cs="Traditional Arabic"/>
          <w:color w:val="000000" w:themeColor="text1"/>
          <w:sz w:val="24"/>
          <w:szCs w:val="24"/>
        </w:rPr>
        <w:t>Press Ganey</w:t>
      </w:r>
      <w:r w:rsidRPr="00362D29">
        <w:rPr>
          <w:rFonts w:ascii="Traditional Arabic" w:hAnsi="Traditional Arabic" w:cs="Traditional Arabic"/>
          <w:color w:val="000000" w:themeColor="text1"/>
          <w:sz w:val="24"/>
          <w:szCs w:val="24"/>
          <w:rtl/>
        </w:rPr>
        <w:t>) بوزارة الصحة، حيث يستخدم هذا النظام نسخة معدلة من استبيان تقييم المرضى لمقدمي الرعاية الصحية وأنظمة المستشفيات (</w:t>
      </w:r>
      <w:r w:rsidRPr="00362D29">
        <w:rPr>
          <w:rFonts w:ascii="Traditional Arabic" w:hAnsi="Traditional Arabic" w:cs="Traditional Arabic"/>
          <w:color w:val="000000" w:themeColor="text1"/>
          <w:sz w:val="24"/>
          <w:szCs w:val="24"/>
        </w:rPr>
        <w:t>HCAHPS</w:t>
      </w:r>
      <w:r w:rsidRPr="00362D29">
        <w:rPr>
          <w:rFonts w:ascii="Traditional Arabic" w:hAnsi="Traditional Arabic" w:cs="Traditional Arabic"/>
          <w:color w:val="000000" w:themeColor="text1"/>
          <w:sz w:val="24"/>
          <w:szCs w:val="24"/>
          <w:rtl/>
        </w:rPr>
        <w:t>) لتقييم تجارب المرضى في مجال الرعاية الصحية وجمع ملاحظاتهم وتحليلها عبر منصة الكترونية، ومن خلاله تم مقارنة ثلاثة أرباع زمنية (</w:t>
      </w:r>
      <w:r w:rsidRPr="00362D29">
        <w:rPr>
          <w:rFonts w:ascii="Traditional Arabic" w:hAnsi="Traditional Arabic" w:cs="Traditional Arabic"/>
          <w:color w:val="000000" w:themeColor="text1"/>
          <w:sz w:val="24"/>
          <w:szCs w:val="24"/>
        </w:rPr>
        <w:t>Q2 2022</w:t>
      </w:r>
      <w:r w:rsidRPr="00362D29">
        <w:rPr>
          <w:rFonts w:ascii="Traditional Arabic" w:hAnsi="Traditional Arabic" w:cs="Traditional Arabic"/>
          <w:color w:val="000000" w:themeColor="text1"/>
          <w:sz w:val="24"/>
          <w:szCs w:val="24"/>
          <w:rtl/>
        </w:rPr>
        <w:t xml:space="preserve"> خط أساس، </w:t>
      </w:r>
      <w:r w:rsidRPr="00362D29">
        <w:rPr>
          <w:rFonts w:ascii="Traditional Arabic" w:hAnsi="Traditional Arabic" w:cs="Traditional Arabic"/>
          <w:color w:val="000000" w:themeColor="text1"/>
          <w:sz w:val="24"/>
          <w:szCs w:val="24"/>
        </w:rPr>
        <w:t>Q1 2023</w:t>
      </w:r>
      <w:r w:rsidRPr="00362D29">
        <w:rPr>
          <w:rFonts w:ascii="Traditional Arabic" w:hAnsi="Traditional Arabic" w:cs="Traditional Arabic"/>
          <w:color w:val="000000" w:themeColor="text1"/>
          <w:sz w:val="24"/>
          <w:szCs w:val="24"/>
          <w:rtl/>
        </w:rPr>
        <w:t xml:space="preserve"> وقت التدخل، </w:t>
      </w:r>
      <w:r w:rsidRPr="00362D29">
        <w:rPr>
          <w:rFonts w:ascii="Traditional Arabic" w:hAnsi="Traditional Arabic" w:cs="Traditional Arabic"/>
          <w:color w:val="000000" w:themeColor="text1"/>
          <w:sz w:val="24"/>
          <w:szCs w:val="24"/>
        </w:rPr>
        <w:t>Q2 2023</w:t>
      </w:r>
      <w:r w:rsidRPr="00362D29">
        <w:rPr>
          <w:rFonts w:ascii="Traditional Arabic" w:hAnsi="Traditional Arabic" w:cs="Traditional Arabic"/>
          <w:color w:val="000000" w:themeColor="text1"/>
          <w:sz w:val="24"/>
          <w:szCs w:val="24"/>
          <w:rtl/>
        </w:rPr>
        <w:t xml:space="preserve"> بعد التدخل). أظهرت نتائج تحليل التدخل التدريبي في التميز الخدمي تحسنًا ذا دلالة إحصائية في درجات المعرفة والإدراك حيث ارتفع الوسيط من 77.2% إلى 96.5% (</w:t>
      </w:r>
      <w:r w:rsidRPr="00362D29">
        <w:rPr>
          <w:rFonts w:ascii="Traditional Arabic" w:hAnsi="Traditional Arabic" w:cs="Traditional Arabic"/>
          <w:color w:val="000000" w:themeColor="text1"/>
          <w:sz w:val="24"/>
          <w:szCs w:val="24"/>
        </w:rPr>
        <w:t>Z=12.599, p&lt;0.001</w:t>
      </w:r>
      <w:r w:rsidRPr="00362D29">
        <w:rPr>
          <w:rFonts w:ascii="Traditional Arabic" w:hAnsi="Traditional Arabic" w:cs="Traditional Arabic"/>
          <w:color w:val="000000" w:themeColor="text1"/>
          <w:sz w:val="24"/>
          <w:szCs w:val="24"/>
          <w:rtl/>
        </w:rPr>
        <w:t>)، وتحسنًا في درجات الاتجاهات من 73.8% إلى 92.5% (</w:t>
      </w:r>
      <w:r w:rsidRPr="00362D29">
        <w:rPr>
          <w:rFonts w:ascii="Traditional Arabic" w:hAnsi="Traditional Arabic" w:cs="Traditional Arabic"/>
          <w:color w:val="000000" w:themeColor="text1"/>
          <w:sz w:val="24"/>
          <w:szCs w:val="24"/>
        </w:rPr>
        <w:t>Z=11.495, p&lt;0.001</w:t>
      </w:r>
      <w:r w:rsidRPr="00362D29">
        <w:rPr>
          <w:rFonts w:ascii="Traditional Arabic" w:hAnsi="Traditional Arabic" w:cs="Traditional Arabic"/>
          <w:color w:val="000000" w:themeColor="text1"/>
          <w:sz w:val="24"/>
          <w:szCs w:val="24"/>
          <w:rtl/>
        </w:rPr>
        <w:t>) لمقدمي الخدمات . كما ارتفع مؤشر الأداء الكلي لتجربة المريض من 62% إلى 72.42%، مع زيادة التعليقات الإيجابية من 12.6% إلى 18.1% وانخفاض التعليقات السلبية من 74.4% إلى 55.2%.</w:t>
      </w:r>
    </w:p>
    <w:p w14:paraId="49B94DFB" w14:textId="520231E3" w:rsidR="0082604E" w:rsidRPr="00937192" w:rsidRDefault="0082604E" w:rsidP="00937192">
      <w:pPr>
        <w:pStyle w:val="ab"/>
        <w:numPr>
          <w:ilvl w:val="0"/>
          <w:numId w:val="26"/>
        </w:numPr>
        <w:bidi/>
        <w:spacing w:after="200" w:line="360" w:lineRule="auto"/>
        <w:jc w:val="both"/>
        <w:rPr>
          <w:rFonts w:ascii="Traditional Arabic" w:hAnsi="Traditional Arabic" w:cs="Traditional Arabic"/>
          <w:b/>
          <w:bCs/>
          <w:color w:val="000000" w:themeColor="text1"/>
          <w:sz w:val="24"/>
          <w:szCs w:val="24"/>
        </w:rPr>
      </w:pPr>
      <w:r w:rsidRPr="00937192">
        <w:rPr>
          <w:rFonts w:ascii="Traditional Arabic" w:hAnsi="Traditional Arabic" w:cs="Traditional Arabic"/>
          <w:b/>
          <w:bCs/>
          <w:color w:val="000000" w:themeColor="text1"/>
          <w:sz w:val="24"/>
          <w:szCs w:val="24"/>
          <w:rtl/>
        </w:rPr>
        <w:t>دراسة (</w:t>
      </w:r>
      <w:r w:rsidRPr="00937192">
        <w:rPr>
          <w:rFonts w:ascii="Traditional Arabic" w:hAnsi="Traditional Arabic" w:cs="Traditional Arabic"/>
          <w:b/>
          <w:bCs/>
          <w:color w:val="000000" w:themeColor="text1"/>
          <w:sz w:val="24"/>
          <w:szCs w:val="24"/>
        </w:rPr>
        <w:t>Omaghomi et al., 2024</w:t>
      </w:r>
      <w:r w:rsidRPr="00937192">
        <w:rPr>
          <w:rFonts w:ascii="Traditional Arabic" w:hAnsi="Traditional Arabic" w:cs="Traditional Arabic"/>
          <w:b/>
          <w:bCs/>
          <w:color w:val="000000" w:themeColor="text1"/>
          <w:sz w:val="24"/>
          <w:szCs w:val="24"/>
          <w:rtl/>
        </w:rPr>
        <w:t>) بعنوان "</w:t>
      </w:r>
      <w:r w:rsidRPr="00937192">
        <w:rPr>
          <w:rFonts w:ascii="Traditional Arabic" w:hAnsi="Traditional Arabic" w:cs="Traditional Arabic"/>
          <w:b/>
          <w:bCs/>
          <w:color w:val="000000" w:themeColor="text1"/>
          <w:sz w:val="24"/>
          <w:szCs w:val="24"/>
        </w:rPr>
        <w:t>PATIENT EXPERIENCE AND SATISFACTION IN HEALTHCARE: A FOCUS ON MANAGERIAL APPROACHES - A REVIEW</w:t>
      </w:r>
      <w:r w:rsidRPr="00937192">
        <w:rPr>
          <w:rFonts w:ascii="Traditional Arabic" w:hAnsi="Traditional Arabic" w:cs="Traditional Arabic"/>
          <w:b/>
          <w:bCs/>
          <w:color w:val="000000" w:themeColor="text1"/>
          <w:sz w:val="24"/>
          <w:szCs w:val="24"/>
          <w:rtl/>
        </w:rPr>
        <w:t xml:space="preserve">" </w:t>
      </w:r>
    </w:p>
    <w:p w14:paraId="0F24B4D6" w14:textId="4272D099" w:rsidR="0082604E" w:rsidRPr="00362D29" w:rsidRDefault="0082604E" w:rsidP="00937192">
      <w:pPr>
        <w:pStyle w:val="ab"/>
        <w:numPr>
          <w:ilvl w:val="0"/>
          <w:numId w:val="15"/>
        </w:numPr>
        <w:bidi/>
        <w:spacing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هدفت الدراسة إلى تحليل العلاقة بين تجربة المريض ورضاه من جهة، والمقاربات الإدارية المتبعة في مؤسسات الرعاية الصحية من جهة أخرى، كما هدفت أيضا إلى استعراض دور القيادة، واستراتيجيات الاتصال، ومبادرات تحسين الجودة، والتكامل التكنولوجي في تعزيز الرعاية المتمركزة حول المريض. اعتمدت الدراسة منهج المراجعة السردية للأدبيات (</w:t>
      </w:r>
      <w:r w:rsidRPr="00362D29">
        <w:rPr>
          <w:rFonts w:ascii="Traditional Arabic" w:hAnsi="Traditional Arabic" w:cs="Traditional Arabic"/>
          <w:color w:val="000000" w:themeColor="text1"/>
          <w:sz w:val="24"/>
          <w:szCs w:val="24"/>
        </w:rPr>
        <w:t>Narrative Literature Review</w:t>
      </w:r>
      <w:r w:rsidRPr="00362D29">
        <w:rPr>
          <w:rFonts w:ascii="Traditional Arabic" w:hAnsi="Traditional Arabic" w:cs="Traditional Arabic"/>
          <w:color w:val="000000" w:themeColor="text1"/>
          <w:sz w:val="24"/>
          <w:szCs w:val="24"/>
          <w:rtl/>
        </w:rPr>
        <w:t xml:space="preserve">) من خلال تحليل الدراسات والنماذج النظرية المنشورة في مجال تجربة المريض والقيادة الصحية ، وبالتالي لم يتضمن البحث مجتمعًا أو عينة إحصائية لكونه دراسة مراجعة تحليلية. أظهرت النتائج أن تبني ثقافة تنظيمية متمركزة حول المريض مدعومة بقيادة فعالة واتصال واضح يرتبط بتحسن ملحوظ في رضا المرضى وولائهم، كما أكدت أن دمج التكنولوجيا الصحية مثل </w:t>
      </w:r>
      <w:r w:rsidRPr="00362D29">
        <w:rPr>
          <w:rFonts w:ascii="Traditional Arabic" w:hAnsi="Traditional Arabic" w:cs="Traditional Arabic"/>
          <w:color w:val="000000" w:themeColor="text1"/>
          <w:sz w:val="24"/>
          <w:szCs w:val="24"/>
          <w:rtl/>
        </w:rPr>
        <w:lastRenderedPageBreak/>
        <w:t xml:space="preserve">السجلات الإلكترونية والتطبيب عن بُعد والذكاء الاصطناعي يعزز المشاركة </w:t>
      </w:r>
      <w:proofErr w:type="spellStart"/>
      <w:r w:rsidRPr="00362D29">
        <w:rPr>
          <w:rFonts w:ascii="Traditional Arabic" w:hAnsi="Traditional Arabic" w:cs="Traditional Arabic"/>
          <w:color w:val="000000" w:themeColor="text1"/>
          <w:sz w:val="24"/>
          <w:szCs w:val="24"/>
          <w:rtl/>
        </w:rPr>
        <w:t>المريضية</w:t>
      </w:r>
      <w:proofErr w:type="spellEnd"/>
      <w:r w:rsidRPr="00362D29">
        <w:rPr>
          <w:rFonts w:ascii="Traditional Arabic" w:hAnsi="Traditional Arabic" w:cs="Traditional Arabic"/>
          <w:color w:val="000000" w:themeColor="text1"/>
          <w:sz w:val="24"/>
          <w:szCs w:val="24"/>
          <w:rtl/>
        </w:rPr>
        <w:t xml:space="preserve"> ويحسن جودة التجربة الصحية عند توظيفها ضمن إطار إداري استراتيجي متكامل.</w:t>
      </w:r>
    </w:p>
    <w:p w14:paraId="072480C8" w14:textId="184FC756" w:rsidR="00B84A04" w:rsidRPr="00937192" w:rsidRDefault="00947153" w:rsidP="00937192">
      <w:pPr>
        <w:pStyle w:val="ab"/>
        <w:numPr>
          <w:ilvl w:val="0"/>
          <w:numId w:val="26"/>
        </w:numPr>
        <w:bidi/>
        <w:spacing w:after="200" w:line="360" w:lineRule="auto"/>
        <w:jc w:val="both"/>
        <w:rPr>
          <w:rFonts w:ascii="Traditional Arabic" w:hAnsi="Traditional Arabic" w:cs="Traditional Arabic"/>
          <w:b/>
          <w:bCs/>
          <w:color w:val="000000" w:themeColor="text1"/>
          <w:sz w:val="24"/>
          <w:szCs w:val="24"/>
        </w:rPr>
      </w:pPr>
      <w:r w:rsidRPr="00937192">
        <w:rPr>
          <w:rFonts w:ascii="Traditional Arabic" w:hAnsi="Traditional Arabic" w:cs="Traditional Arabic"/>
          <w:b/>
          <w:bCs/>
          <w:color w:val="000000" w:themeColor="text1"/>
          <w:sz w:val="24"/>
          <w:szCs w:val="24"/>
          <w:rtl/>
        </w:rPr>
        <w:t>دراسة</w:t>
      </w:r>
      <w:r w:rsidR="00FE6029" w:rsidRPr="00937192">
        <w:rPr>
          <w:rFonts w:ascii="Traditional Arabic" w:hAnsi="Traditional Arabic" w:cs="Traditional Arabic"/>
          <w:b/>
          <w:bCs/>
          <w:color w:val="000000" w:themeColor="text1"/>
          <w:sz w:val="24"/>
          <w:szCs w:val="24"/>
        </w:rPr>
        <w:t>(Almohaisen et al., 2023</w:t>
      </w:r>
      <w:r w:rsidR="00B84A04" w:rsidRPr="00937192">
        <w:rPr>
          <w:rFonts w:ascii="Traditional Arabic" w:hAnsi="Traditional Arabic" w:cs="Traditional Arabic"/>
          <w:b/>
          <w:bCs/>
          <w:color w:val="000000" w:themeColor="text1"/>
          <w:sz w:val="24"/>
          <w:szCs w:val="24"/>
        </w:rPr>
        <w:t xml:space="preserve">) </w:t>
      </w:r>
      <w:r w:rsidR="00B84A04" w:rsidRPr="00937192">
        <w:rPr>
          <w:rFonts w:ascii="Traditional Arabic" w:hAnsi="Traditional Arabic" w:cs="Traditional Arabic"/>
          <w:b/>
          <w:bCs/>
          <w:color w:val="000000" w:themeColor="text1"/>
          <w:sz w:val="24"/>
          <w:szCs w:val="24"/>
          <w:rtl/>
        </w:rPr>
        <w:t>بعنوان</w:t>
      </w:r>
      <w:r w:rsidR="008637AF" w:rsidRPr="00937192">
        <w:rPr>
          <w:rFonts w:ascii="Traditional Arabic" w:hAnsi="Traditional Arabic" w:cs="Traditional Arabic"/>
          <w:b/>
          <w:bCs/>
          <w:color w:val="000000" w:themeColor="text1"/>
          <w:sz w:val="24"/>
          <w:szCs w:val="24"/>
        </w:rPr>
        <w:t>"</w:t>
      </w:r>
      <w:r w:rsidRPr="00937192">
        <w:rPr>
          <w:rFonts w:ascii="Traditional Arabic" w:hAnsi="Traditional Arabic" w:cs="Traditional Arabic"/>
          <w:b/>
          <w:bCs/>
          <w:color w:val="000000" w:themeColor="text1"/>
          <w:sz w:val="24"/>
          <w:szCs w:val="24"/>
        </w:rPr>
        <w:t>Improving patient experience by implementing an organizational culture model</w:t>
      </w:r>
      <w:r w:rsidR="008637AF" w:rsidRPr="00937192">
        <w:rPr>
          <w:rFonts w:ascii="Traditional Arabic" w:hAnsi="Traditional Arabic" w:cs="Traditional Arabic"/>
          <w:b/>
          <w:bCs/>
          <w:color w:val="000000" w:themeColor="text1"/>
          <w:sz w:val="24"/>
          <w:szCs w:val="24"/>
        </w:rPr>
        <w:t>"</w:t>
      </w:r>
      <w:r w:rsidRPr="00937192">
        <w:rPr>
          <w:rFonts w:ascii="Traditional Arabic" w:hAnsi="Traditional Arabic" w:cs="Traditional Arabic"/>
          <w:b/>
          <w:bCs/>
          <w:color w:val="000000" w:themeColor="text1"/>
          <w:sz w:val="24"/>
          <w:szCs w:val="24"/>
          <w:rtl/>
        </w:rPr>
        <w:t xml:space="preserve">، </w:t>
      </w:r>
    </w:p>
    <w:p w14:paraId="6588DC5F" w14:textId="3CC0851C" w:rsidR="008637AF" w:rsidRPr="00362D29" w:rsidRDefault="008637AF" w:rsidP="00937192">
      <w:pPr>
        <w:pStyle w:val="ab"/>
        <w:numPr>
          <w:ilvl w:val="0"/>
          <w:numId w:val="15"/>
        </w:numPr>
        <w:bidi/>
        <w:spacing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هدفت إلى تحسين تجربة المرضى في (مستشفى الملك عبد العزيز التخصصي للقوات المسلحة بالظهران بالمملكة العربية السعودية) من خلال تطبيق نموذج ثقافي مؤسسي قائم على الأدلة لتعزيز ثقافة الرعاية الصحية من خلال تنفيذ تدخلات نوعية مثل إنشاء مجلس استشاري للمرضى والعائلات، وتدريب على التعاطف، وتكريم تجربة المريض، ومقابلات بين القيادة والمرضى، وتعيين أبطال لتجربة المريض، بالإضافة إلى تحسين الجودة.، وتحديد أولويات التحسين وقد تم قياس هذه التدخلات باستخدام استبيان تقييم مستهلكي المستشفيات لمقدمي الرعاية الصحية والأنظمة (</w:t>
      </w:r>
      <w:r w:rsidR="004C560F" w:rsidRPr="00362D29">
        <w:rPr>
          <w:rFonts w:ascii="Traditional Arabic" w:hAnsi="Traditional Arabic" w:cs="Traditional Arabic"/>
          <w:color w:val="000000" w:themeColor="text1"/>
          <w:sz w:val="24"/>
          <w:szCs w:val="24"/>
        </w:rPr>
        <w:t>(</w:t>
      </w:r>
      <w:r w:rsidRPr="00362D29">
        <w:rPr>
          <w:rFonts w:ascii="Traditional Arabic" w:hAnsi="Traditional Arabic" w:cs="Traditional Arabic"/>
          <w:color w:val="000000" w:themeColor="text1"/>
          <w:sz w:val="24"/>
          <w:szCs w:val="24"/>
        </w:rPr>
        <w:t>HCAHPS</w:t>
      </w:r>
      <w:r w:rsidRPr="00362D29">
        <w:rPr>
          <w:rFonts w:ascii="Traditional Arabic" w:hAnsi="Traditional Arabic" w:cs="Traditional Arabic"/>
          <w:color w:val="000000" w:themeColor="text1"/>
          <w:sz w:val="24"/>
          <w:szCs w:val="24"/>
          <w:rtl/>
        </w:rPr>
        <w:t xml:space="preserve"> في أقسام المرضى الداخليين والخارجيين والطوارئ . اعتمدت الدراسة منهج البحث المقطعي ضمن إطار مشروع تحسين جودة، خلال الفترة من يوليو 2019 حتى سبتمبر 2021، باستخدام استبانة </w:t>
      </w:r>
      <w:r w:rsidRPr="00362D29">
        <w:rPr>
          <w:rFonts w:ascii="Traditional Arabic" w:hAnsi="Traditional Arabic" w:cs="Traditional Arabic"/>
          <w:color w:val="000000" w:themeColor="text1"/>
          <w:sz w:val="24"/>
          <w:szCs w:val="24"/>
        </w:rPr>
        <w:t>HCAHPS</w:t>
      </w:r>
      <w:r w:rsidRPr="00362D29">
        <w:rPr>
          <w:rFonts w:ascii="Traditional Arabic" w:hAnsi="Traditional Arabic" w:cs="Traditional Arabic"/>
          <w:color w:val="000000" w:themeColor="text1"/>
          <w:sz w:val="24"/>
          <w:szCs w:val="24"/>
          <w:rtl/>
        </w:rPr>
        <w:t xml:space="preserve"> المكونة من 29 بندًا بعد تعريبها والتحقق من صدقها وثباتها. تمثّل المجتمع في جميع المرضى المستفيدين من خدمات التنويم والعيادات الخارجية والطوارئ خلال فترات القياس، حيث بلغ عدد المشاركين في خط الأساس لعام 2019 (1893) في العيادات الخارجية، و(1366) في الطوارئ، و(827) في التنويم، وفي القياس اللاحق (1348) في العيادات الخارجية، و(1063) في الطوارئ، و(767) في التنويم. أظهرت النتائج تحسنًا ملحوظًا في متوسط درجات تجربة المريض تجاوز الهدف المحدد بـ(4%) في جميع الأقسام، حيث ارتفعت درجات التنويم من 83.96% إلى 89.65%، والعيادات الخارجية من 66.53% إلى 74.18%، والطوارئ من 59.75% إلى 65.64%، كما ثبتت الدلالة الإحصائية للتحسن في العيادات الخارجية والطوارئ، مما يعكس فعالية نموذج ثقافة تجربة المريض في إحداث تحسينات مستدامة في الأداء.</w:t>
      </w:r>
    </w:p>
    <w:p w14:paraId="6EB712FF" w14:textId="41D6BE0C" w:rsidR="009C5D95" w:rsidRPr="00CB4510" w:rsidRDefault="009C5D95" w:rsidP="00CB4510">
      <w:pPr>
        <w:pStyle w:val="ab"/>
        <w:numPr>
          <w:ilvl w:val="0"/>
          <w:numId w:val="26"/>
        </w:numPr>
        <w:bidi/>
        <w:spacing w:after="200" w:line="360" w:lineRule="auto"/>
        <w:jc w:val="both"/>
        <w:rPr>
          <w:rFonts w:ascii="Traditional Arabic" w:hAnsi="Traditional Arabic" w:cs="Traditional Arabic"/>
          <w:b/>
          <w:bCs/>
          <w:color w:val="000000" w:themeColor="text1"/>
          <w:sz w:val="24"/>
          <w:szCs w:val="24"/>
        </w:rPr>
      </w:pPr>
      <w:r w:rsidRPr="00CB4510">
        <w:rPr>
          <w:rFonts w:ascii="Traditional Arabic" w:hAnsi="Traditional Arabic" w:cs="Traditional Arabic"/>
          <w:b/>
          <w:bCs/>
          <w:color w:val="000000" w:themeColor="text1"/>
          <w:sz w:val="24"/>
          <w:szCs w:val="24"/>
          <w:rtl/>
        </w:rPr>
        <w:t>دراسة (</w:t>
      </w:r>
      <w:r w:rsidRPr="00CB4510">
        <w:rPr>
          <w:rFonts w:ascii="Traditional Arabic" w:hAnsi="Traditional Arabic" w:cs="Traditional Arabic"/>
          <w:b/>
          <w:bCs/>
          <w:color w:val="000000" w:themeColor="text1"/>
          <w:sz w:val="24"/>
          <w:szCs w:val="24"/>
        </w:rPr>
        <w:t>Cavanaugh et al., 2021</w:t>
      </w:r>
      <w:r w:rsidRPr="00CB4510">
        <w:rPr>
          <w:rFonts w:ascii="Traditional Arabic" w:hAnsi="Traditional Arabic" w:cs="Traditional Arabic"/>
          <w:b/>
          <w:bCs/>
          <w:color w:val="000000" w:themeColor="text1"/>
          <w:sz w:val="24"/>
          <w:szCs w:val="24"/>
          <w:rtl/>
        </w:rPr>
        <w:t>) بعنوان"</w:t>
      </w:r>
      <w:r w:rsidRPr="00CB4510">
        <w:rPr>
          <w:rFonts w:ascii="Traditional Arabic" w:hAnsi="Traditional Arabic" w:cs="Traditional Arabic"/>
          <w:b/>
          <w:bCs/>
          <w:color w:val="000000" w:themeColor="text1"/>
          <w:sz w:val="24"/>
          <w:szCs w:val="24"/>
        </w:rPr>
        <w:t>The effect of service excellence training Examining providers' patient experience scores</w:t>
      </w:r>
      <w:r w:rsidRPr="00CB4510">
        <w:rPr>
          <w:rFonts w:ascii="Traditional Arabic" w:hAnsi="Traditional Arabic" w:cs="Traditional Arabic"/>
          <w:b/>
          <w:bCs/>
          <w:color w:val="000000" w:themeColor="text1"/>
          <w:sz w:val="24"/>
          <w:szCs w:val="24"/>
          <w:rtl/>
        </w:rPr>
        <w:t xml:space="preserve">" </w:t>
      </w:r>
    </w:p>
    <w:p w14:paraId="60B4AD60" w14:textId="13218957" w:rsidR="009C5D95" w:rsidRPr="00362D29" w:rsidRDefault="009C5D95" w:rsidP="00CB4510">
      <w:pPr>
        <w:pStyle w:val="ab"/>
        <w:numPr>
          <w:ilvl w:val="0"/>
          <w:numId w:val="15"/>
        </w:numPr>
        <w:bidi/>
        <w:spacing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هدفت الدراسة إلى فحص أثر برنامج تدريبي في التميز الخدمي (</w:t>
      </w:r>
      <w:r w:rsidRPr="00362D29">
        <w:rPr>
          <w:rFonts w:ascii="Traditional Arabic" w:hAnsi="Traditional Arabic" w:cs="Traditional Arabic"/>
          <w:color w:val="000000" w:themeColor="text1"/>
          <w:sz w:val="24"/>
          <w:szCs w:val="24"/>
        </w:rPr>
        <w:t>Service Excellence</w:t>
      </w:r>
      <w:r w:rsidRPr="00362D29">
        <w:rPr>
          <w:rFonts w:ascii="Traditional Arabic" w:hAnsi="Traditional Arabic" w:cs="Traditional Arabic"/>
          <w:color w:val="000000" w:themeColor="text1"/>
          <w:sz w:val="24"/>
          <w:szCs w:val="24"/>
          <w:rtl/>
        </w:rPr>
        <w:t xml:space="preserve">)  في تحسين درجات تجربة المريض لمقدمي الرعاية الصحية المُقاسة بأداة </w:t>
      </w:r>
      <w:r w:rsidRPr="00362D29">
        <w:rPr>
          <w:rFonts w:ascii="Traditional Arabic" w:hAnsi="Traditional Arabic" w:cs="Traditional Arabic"/>
          <w:color w:val="000000" w:themeColor="text1"/>
          <w:sz w:val="24"/>
          <w:szCs w:val="24"/>
        </w:rPr>
        <w:t>Press Ganey</w:t>
      </w:r>
      <w:r w:rsidRPr="00362D29">
        <w:rPr>
          <w:rFonts w:ascii="Traditional Arabic" w:hAnsi="Traditional Arabic" w:cs="Traditional Arabic"/>
          <w:color w:val="000000" w:themeColor="text1"/>
          <w:sz w:val="24"/>
          <w:szCs w:val="24"/>
          <w:rtl/>
        </w:rPr>
        <w:t xml:space="preserve"> ، وكذلك تحليل ما إذا كان مستوى اندماج الموظفين  (</w:t>
      </w:r>
      <w:r w:rsidRPr="00362D29">
        <w:rPr>
          <w:rFonts w:ascii="Traditional Arabic" w:hAnsi="Traditional Arabic" w:cs="Traditional Arabic"/>
          <w:color w:val="000000" w:themeColor="text1"/>
          <w:sz w:val="24"/>
          <w:szCs w:val="24"/>
        </w:rPr>
        <w:t>Employee Engagement</w:t>
      </w:r>
      <w:r w:rsidRPr="00362D29">
        <w:rPr>
          <w:rFonts w:ascii="Traditional Arabic" w:hAnsi="Traditional Arabic" w:cs="Traditional Arabic"/>
          <w:color w:val="000000" w:themeColor="text1"/>
          <w:sz w:val="24"/>
          <w:szCs w:val="24"/>
          <w:rtl/>
        </w:rPr>
        <w:t>)  يعدل من تأثير التدريب على نتائج تجربة المريض. اعتمدت الدراسة المنهج شبه التجريبي باستخدام تحليل التباين للقياسات المتكررة (</w:t>
      </w:r>
      <w:r w:rsidRPr="00362D29">
        <w:rPr>
          <w:rFonts w:ascii="Traditional Arabic" w:hAnsi="Traditional Arabic" w:cs="Traditional Arabic"/>
          <w:color w:val="000000" w:themeColor="text1"/>
          <w:sz w:val="24"/>
          <w:szCs w:val="24"/>
        </w:rPr>
        <w:t>Repeated Measures ANOVA</w:t>
      </w:r>
      <w:r w:rsidRPr="00362D29">
        <w:rPr>
          <w:rFonts w:ascii="Traditional Arabic" w:hAnsi="Traditional Arabic" w:cs="Traditional Arabic"/>
          <w:color w:val="000000" w:themeColor="text1"/>
          <w:sz w:val="24"/>
          <w:szCs w:val="24"/>
          <w:rtl/>
        </w:rPr>
        <w:t>) وتحليل التباين الثنائي (</w:t>
      </w:r>
      <w:r w:rsidRPr="00362D29">
        <w:rPr>
          <w:rFonts w:ascii="Traditional Arabic" w:hAnsi="Traditional Arabic" w:cs="Traditional Arabic"/>
          <w:color w:val="000000" w:themeColor="text1"/>
          <w:sz w:val="24"/>
          <w:szCs w:val="24"/>
        </w:rPr>
        <w:t>Two-way ANOVA</w:t>
      </w:r>
      <w:r w:rsidRPr="00362D29">
        <w:rPr>
          <w:rFonts w:ascii="Traditional Arabic" w:hAnsi="Traditional Arabic" w:cs="Traditional Arabic"/>
          <w:color w:val="000000" w:themeColor="text1"/>
          <w:sz w:val="24"/>
          <w:szCs w:val="24"/>
          <w:rtl/>
        </w:rPr>
        <w:t xml:space="preserve">).  تكوّن مجتمع الدراسة من 360 مقدم رعاية صحية في مؤسسة أكاديمية متخصصة في علاج السرطان بالولايات المتحدة، منهم 109 أكملوا برنامج التدريب خلال الفترة مارس 2017 – فبراير 2019، و251 لم يكملوه. تم تحليل درجات تجربة المريض قبل التدريب (ديسمبر 2016 – فبراير 2017) بعدد 15,002 استجابة مريض، وبعد التدريب (مارس – مايو </w:t>
      </w:r>
      <w:r w:rsidRPr="00362D29">
        <w:rPr>
          <w:rFonts w:ascii="Traditional Arabic" w:hAnsi="Traditional Arabic" w:cs="Traditional Arabic"/>
          <w:color w:val="000000" w:themeColor="text1"/>
          <w:sz w:val="24"/>
          <w:szCs w:val="24"/>
          <w:rtl/>
        </w:rPr>
        <w:lastRenderedPageBreak/>
        <w:t>2019) بعدد 13,717 استجابة، بمتوسط يقارب 33–34 استجابة لكل مقدم رعاية. أظهرت النتائج وجود تحسن دال إحصائيًا في درجات تجربة المريض لدى مقدمي الرعاية الذين أكملوا التدريب مقارنة بغيرهم (</w:t>
      </w:r>
      <w:r w:rsidRPr="00362D29">
        <w:rPr>
          <w:rFonts w:ascii="Traditional Arabic" w:hAnsi="Traditional Arabic" w:cs="Traditional Arabic"/>
          <w:color w:val="000000" w:themeColor="text1"/>
          <w:sz w:val="24"/>
          <w:szCs w:val="24"/>
        </w:rPr>
        <w:t>F=4.57, p=0.033</w:t>
      </w:r>
      <w:r w:rsidRPr="00362D29">
        <w:rPr>
          <w:rFonts w:ascii="Traditional Arabic" w:hAnsi="Traditional Arabic" w:cs="Traditional Arabic"/>
          <w:color w:val="000000" w:themeColor="text1"/>
          <w:sz w:val="24"/>
          <w:szCs w:val="24"/>
          <w:rtl/>
        </w:rPr>
        <w:t>)، كما تبين أن أثر التدريب كان أقوى لدى مقدمي الرعاية ذوي مستويات الاندماج الوظيفي المنخفض مقارنة بذوي الاندماج المرتفع (</w:t>
      </w:r>
      <w:r w:rsidRPr="00362D29">
        <w:rPr>
          <w:rFonts w:ascii="Traditional Arabic" w:hAnsi="Traditional Arabic" w:cs="Traditional Arabic"/>
          <w:color w:val="000000" w:themeColor="text1"/>
          <w:sz w:val="24"/>
          <w:szCs w:val="24"/>
        </w:rPr>
        <w:t>F=4.01, p=0.046</w:t>
      </w:r>
      <w:r w:rsidRPr="00362D29">
        <w:rPr>
          <w:rFonts w:ascii="Traditional Arabic" w:hAnsi="Traditional Arabic" w:cs="Traditional Arabic"/>
          <w:color w:val="000000" w:themeColor="text1"/>
          <w:sz w:val="24"/>
          <w:szCs w:val="24"/>
          <w:rtl/>
        </w:rPr>
        <w:t>)، مما يشير إلى أن التدريب الاتصالي يمثل أداة فعالة لتعزيز تجربة المريض خاصة لدى الفئات الأقل اندماجًا.</w:t>
      </w:r>
    </w:p>
    <w:p w14:paraId="51B8DBE6" w14:textId="5C425997" w:rsidR="00693CF2" w:rsidRPr="00362D29" w:rsidRDefault="00947153" w:rsidP="00CB4510">
      <w:pPr>
        <w:pStyle w:val="ab"/>
        <w:numPr>
          <w:ilvl w:val="0"/>
          <w:numId w:val="26"/>
        </w:numPr>
        <w:bidi/>
        <w:spacing w:after="200" w:line="360" w:lineRule="auto"/>
        <w:jc w:val="both"/>
        <w:rPr>
          <w:rFonts w:ascii="Traditional Arabic" w:hAnsi="Traditional Arabic" w:cs="Traditional Arabic"/>
          <w:b/>
          <w:bCs/>
          <w:color w:val="000000" w:themeColor="text1"/>
          <w:sz w:val="24"/>
          <w:szCs w:val="24"/>
        </w:rPr>
      </w:pPr>
      <w:r w:rsidRPr="00362D29">
        <w:rPr>
          <w:rFonts w:ascii="Traditional Arabic" w:hAnsi="Traditional Arabic" w:cs="Traditional Arabic"/>
          <w:b/>
          <w:bCs/>
          <w:color w:val="000000" w:themeColor="text1"/>
          <w:sz w:val="24"/>
          <w:szCs w:val="24"/>
          <w:rtl/>
        </w:rPr>
        <w:t>دراسة</w:t>
      </w:r>
      <w:r w:rsidRPr="00362D29">
        <w:rPr>
          <w:rFonts w:ascii="Traditional Arabic" w:hAnsi="Traditional Arabic" w:cs="Traditional Arabic"/>
          <w:b/>
          <w:bCs/>
          <w:color w:val="000000" w:themeColor="text1"/>
          <w:sz w:val="24"/>
          <w:szCs w:val="24"/>
        </w:rPr>
        <w:t xml:space="preserve"> </w:t>
      </w:r>
      <w:r w:rsidR="00013679" w:rsidRPr="00362D29">
        <w:rPr>
          <w:rFonts w:ascii="Traditional Arabic" w:hAnsi="Traditional Arabic" w:cs="Traditional Arabic"/>
          <w:b/>
          <w:bCs/>
          <w:color w:val="000000" w:themeColor="text1"/>
          <w:sz w:val="24"/>
          <w:szCs w:val="24"/>
        </w:rPr>
        <w:t>(Sharma &amp; Chhillar, 2019)</w:t>
      </w:r>
      <w:r w:rsidRPr="00362D29">
        <w:rPr>
          <w:rFonts w:ascii="Traditional Arabic" w:hAnsi="Traditional Arabic" w:cs="Traditional Arabic"/>
          <w:b/>
          <w:bCs/>
          <w:color w:val="000000" w:themeColor="text1"/>
          <w:sz w:val="24"/>
          <w:szCs w:val="24"/>
        </w:rPr>
        <w:t xml:space="preserve"> </w:t>
      </w:r>
      <w:r w:rsidRPr="00362D29">
        <w:rPr>
          <w:rFonts w:ascii="Traditional Arabic" w:hAnsi="Traditional Arabic" w:cs="Traditional Arabic"/>
          <w:b/>
          <w:bCs/>
          <w:color w:val="000000" w:themeColor="text1"/>
          <w:sz w:val="24"/>
          <w:szCs w:val="24"/>
          <w:rtl/>
        </w:rPr>
        <w:t>بعنوان</w:t>
      </w:r>
      <w:r w:rsidRPr="00362D29">
        <w:rPr>
          <w:rFonts w:ascii="Traditional Arabic" w:hAnsi="Traditional Arabic" w:cs="Traditional Arabic"/>
          <w:b/>
          <w:bCs/>
          <w:color w:val="000000" w:themeColor="text1"/>
          <w:sz w:val="24"/>
          <w:szCs w:val="24"/>
        </w:rPr>
        <w:t xml:space="preserve"> Patient satisfaction: A way to achieve business excellence in health care industry</w:t>
      </w:r>
      <w:r w:rsidRPr="00362D29">
        <w:rPr>
          <w:rFonts w:ascii="Traditional Arabic" w:hAnsi="Traditional Arabic" w:cs="Traditional Arabic"/>
          <w:b/>
          <w:bCs/>
          <w:color w:val="000000" w:themeColor="text1"/>
          <w:sz w:val="24"/>
          <w:szCs w:val="24"/>
          <w:rtl/>
        </w:rPr>
        <w:t xml:space="preserve">، </w:t>
      </w:r>
    </w:p>
    <w:p w14:paraId="5EDE2911" w14:textId="0BDA5343" w:rsidR="00693CF2" w:rsidRPr="00362D29" w:rsidRDefault="00693CF2" w:rsidP="00CB4510">
      <w:pPr>
        <w:pStyle w:val="ab"/>
        <w:numPr>
          <w:ilvl w:val="0"/>
          <w:numId w:val="15"/>
        </w:numPr>
        <w:bidi/>
        <w:spacing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هدفت الدراسة إلى تحليل دور رضا المرضى كمدخل لتحقيق التميز المؤسسي في قطاع الرعاية الصحية، وتحديد العوامل الثقافية والاجتماعية والتنظيمية المؤثرة في مستوى رضا المرضى داخل المستشفيات. اعتمدت الدراسة المنهج الوصفي التحليلي القائم على المراجعة النظرية وتحليل الأدبيات دون تطبيق ميداني كمي أو تحديد عينة رقمية، حيث ركزت على تحليل المفاهيم والعوامل المؤثرة في رضا المرضى من خلال استعراض دراسات سابقة وأطر نظرية ذات صلة. لم تحدد الدراسة مجتمعًا أو عينة رقمية نظرًا لطبيعتها النظرية. أظهرت النتائج أن رضا المرضى يرتكز على ثلاثة أبعاد رئيسة هي الراحة (</w:t>
      </w:r>
      <w:r w:rsidRPr="00362D29">
        <w:rPr>
          <w:rFonts w:ascii="Traditional Arabic" w:hAnsi="Traditional Arabic" w:cs="Traditional Arabic"/>
          <w:color w:val="000000" w:themeColor="text1"/>
          <w:sz w:val="24"/>
          <w:szCs w:val="24"/>
        </w:rPr>
        <w:t>Comfort</w:t>
      </w:r>
      <w:r w:rsidRPr="00362D29">
        <w:rPr>
          <w:rFonts w:ascii="Traditional Arabic" w:hAnsi="Traditional Arabic" w:cs="Traditional Arabic"/>
          <w:color w:val="000000" w:themeColor="text1"/>
          <w:sz w:val="24"/>
          <w:szCs w:val="24"/>
          <w:rtl/>
        </w:rPr>
        <w:t>) والرعاية (</w:t>
      </w:r>
      <w:r w:rsidRPr="00362D29">
        <w:rPr>
          <w:rFonts w:ascii="Traditional Arabic" w:hAnsi="Traditional Arabic" w:cs="Traditional Arabic"/>
          <w:color w:val="000000" w:themeColor="text1"/>
          <w:sz w:val="24"/>
          <w:szCs w:val="24"/>
        </w:rPr>
        <w:t>Care</w:t>
      </w:r>
      <w:r w:rsidRPr="00362D29">
        <w:rPr>
          <w:rFonts w:ascii="Traditional Arabic" w:hAnsi="Traditional Arabic" w:cs="Traditional Arabic"/>
          <w:color w:val="000000" w:themeColor="text1"/>
          <w:sz w:val="24"/>
          <w:szCs w:val="24"/>
          <w:rtl/>
        </w:rPr>
        <w:t>) والشفاء (</w:t>
      </w:r>
      <w:r w:rsidRPr="00362D29">
        <w:rPr>
          <w:rFonts w:ascii="Traditional Arabic" w:hAnsi="Traditional Arabic" w:cs="Traditional Arabic"/>
          <w:color w:val="000000" w:themeColor="text1"/>
          <w:sz w:val="24"/>
          <w:szCs w:val="24"/>
        </w:rPr>
        <w:t>Cure</w:t>
      </w:r>
      <w:r w:rsidRPr="00362D29">
        <w:rPr>
          <w:rFonts w:ascii="Traditional Arabic" w:hAnsi="Traditional Arabic" w:cs="Traditional Arabic"/>
          <w:color w:val="000000" w:themeColor="text1"/>
          <w:sz w:val="24"/>
          <w:szCs w:val="24"/>
          <w:rtl/>
        </w:rPr>
        <w:t>) باعتبارها معايير أساسية لتقييم جودة الخدمة الصحية، كما بينت أن العوامل الاجتماعية والثقافية ومستوى التعليم والدخل وسلوك الطاقم الطبي والإداري تمثل محددات جوهرية في تشكيل إدراك المرضى لجودة الخدمة، مما يؤكد ارتباط رضا المرضى بتحقيق التميز المؤسسي وتحسين القدرة التنافسية للمستشفيات.</w:t>
      </w:r>
    </w:p>
    <w:p w14:paraId="3286E167" w14:textId="67A6A916" w:rsidR="00840486" w:rsidRPr="00362D29" w:rsidRDefault="00947153" w:rsidP="00CB4510">
      <w:pPr>
        <w:pStyle w:val="ab"/>
        <w:numPr>
          <w:ilvl w:val="0"/>
          <w:numId w:val="26"/>
        </w:numPr>
        <w:bidi/>
        <w:spacing w:after="200" w:line="360" w:lineRule="auto"/>
        <w:jc w:val="both"/>
        <w:rPr>
          <w:rFonts w:ascii="Traditional Arabic" w:hAnsi="Traditional Arabic" w:cs="Traditional Arabic"/>
          <w:b/>
          <w:bCs/>
          <w:color w:val="000000" w:themeColor="text1"/>
          <w:sz w:val="28"/>
          <w:szCs w:val="28"/>
          <w:u w:val="single"/>
        </w:rPr>
      </w:pPr>
      <w:r w:rsidRPr="00362D29">
        <w:rPr>
          <w:rFonts w:ascii="Traditional Arabic" w:hAnsi="Traditional Arabic" w:cs="Traditional Arabic"/>
          <w:b/>
          <w:bCs/>
          <w:color w:val="000000" w:themeColor="text1"/>
          <w:sz w:val="24"/>
          <w:szCs w:val="24"/>
          <w:rtl/>
        </w:rPr>
        <w:t>دراسة</w:t>
      </w:r>
      <w:r w:rsidRPr="00362D29">
        <w:rPr>
          <w:rFonts w:ascii="Traditional Arabic" w:hAnsi="Traditional Arabic" w:cs="Traditional Arabic"/>
          <w:b/>
          <w:bCs/>
          <w:color w:val="000000" w:themeColor="text1"/>
          <w:sz w:val="24"/>
          <w:szCs w:val="24"/>
        </w:rPr>
        <w:t xml:space="preserve"> </w:t>
      </w:r>
      <w:r w:rsidR="00840486" w:rsidRPr="00362D29">
        <w:rPr>
          <w:rFonts w:ascii="Traditional Arabic" w:hAnsi="Traditional Arabic" w:cs="Traditional Arabic"/>
          <w:b/>
          <w:bCs/>
          <w:color w:val="000000" w:themeColor="text1"/>
          <w:sz w:val="24"/>
          <w:szCs w:val="24"/>
        </w:rPr>
        <w:t xml:space="preserve">(Guastello &amp; Jay, 2019) </w:t>
      </w:r>
      <w:r w:rsidR="00840486" w:rsidRPr="00362D29">
        <w:rPr>
          <w:rFonts w:ascii="Traditional Arabic" w:hAnsi="Traditional Arabic" w:cs="Traditional Arabic"/>
          <w:b/>
          <w:bCs/>
          <w:color w:val="000000" w:themeColor="text1"/>
          <w:sz w:val="24"/>
          <w:szCs w:val="24"/>
          <w:rtl/>
        </w:rPr>
        <w:t>بعنوان</w:t>
      </w:r>
      <w:r w:rsidRPr="00362D29">
        <w:rPr>
          <w:rFonts w:ascii="Traditional Arabic" w:hAnsi="Traditional Arabic" w:cs="Traditional Arabic"/>
          <w:b/>
          <w:bCs/>
          <w:color w:val="000000" w:themeColor="text1"/>
          <w:sz w:val="24"/>
          <w:szCs w:val="24"/>
        </w:rPr>
        <w:t xml:space="preserve"> </w:t>
      </w:r>
      <w:r w:rsidR="00B37C4A" w:rsidRPr="00362D29">
        <w:rPr>
          <w:rFonts w:ascii="Traditional Arabic" w:hAnsi="Traditional Arabic" w:cs="Traditional Arabic"/>
          <w:b/>
          <w:bCs/>
          <w:color w:val="000000" w:themeColor="text1"/>
          <w:sz w:val="24"/>
          <w:szCs w:val="24"/>
        </w:rPr>
        <w:t>"</w:t>
      </w:r>
      <w:r w:rsidRPr="00362D29">
        <w:rPr>
          <w:rFonts w:ascii="Traditional Arabic" w:hAnsi="Traditional Arabic" w:cs="Traditional Arabic"/>
          <w:b/>
          <w:bCs/>
          <w:color w:val="000000" w:themeColor="text1"/>
          <w:sz w:val="24"/>
          <w:szCs w:val="24"/>
        </w:rPr>
        <w:t>Improving the patient experience through a comprehensive performance framework to evaluate excellence in person-centered care</w:t>
      </w:r>
      <w:r w:rsidR="00B37C4A" w:rsidRPr="00362D29">
        <w:rPr>
          <w:rFonts w:ascii="Traditional Arabic" w:hAnsi="Traditional Arabic" w:cs="Traditional Arabic"/>
          <w:b/>
          <w:bCs/>
          <w:color w:val="000000" w:themeColor="text1"/>
          <w:sz w:val="24"/>
          <w:szCs w:val="24"/>
        </w:rPr>
        <w:t>"</w:t>
      </w:r>
      <w:r w:rsidRPr="00362D29">
        <w:rPr>
          <w:rFonts w:ascii="Traditional Arabic" w:hAnsi="Traditional Arabic" w:cs="Traditional Arabic"/>
          <w:b/>
          <w:bCs/>
          <w:color w:val="000000" w:themeColor="text1"/>
          <w:sz w:val="24"/>
          <w:szCs w:val="24"/>
          <w:rtl/>
        </w:rPr>
        <w:t xml:space="preserve">، </w:t>
      </w:r>
    </w:p>
    <w:p w14:paraId="0F6D31A5" w14:textId="5B0D063E" w:rsidR="00996097" w:rsidRPr="00362D29" w:rsidRDefault="00FD564A" w:rsidP="00CB4510">
      <w:pPr>
        <w:pStyle w:val="ab"/>
        <w:numPr>
          <w:ilvl w:val="0"/>
          <w:numId w:val="15"/>
        </w:numPr>
        <w:bidi/>
        <w:spacing w:after="200" w:line="360" w:lineRule="auto"/>
        <w:jc w:val="both"/>
        <w:rPr>
          <w:rFonts w:ascii="Traditional Arabic" w:hAnsi="Traditional Arabic" w:cs="Traditional Arabic"/>
          <w:b/>
          <w:bCs/>
          <w:color w:val="000000" w:themeColor="text1"/>
          <w:sz w:val="28"/>
          <w:szCs w:val="28"/>
          <w:u w:val="single"/>
          <w:rtl/>
        </w:rPr>
      </w:pPr>
      <w:r w:rsidRPr="00362D29">
        <w:rPr>
          <w:rFonts w:ascii="Traditional Arabic" w:hAnsi="Traditional Arabic" w:cs="Traditional Arabic"/>
          <w:color w:val="000000" w:themeColor="text1"/>
          <w:sz w:val="24"/>
          <w:szCs w:val="24"/>
          <w:rtl/>
        </w:rPr>
        <w:t>هدفت الدراسة إلى تطوير إطار أداء شامل قابل للتطبيق لتقييم وتحسين تجربة المريض ضمن نموذج الرعاية المرتكزة على الشخص. وربطه بولائه ومشاركة العاملين، كما هدفت ايضا إلى معالجة فجوة غياب أداة معيارية شاملة تقيس الثقافة المؤسسية الداعمة لتجربة المريض. اعتمدت الدراسة منهج تحسين الجودة قائم على تطوير وإعادة تصميم برنامج اعتماد للرعاية المرتكزة على الشخص (</w:t>
      </w:r>
      <w:r w:rsidRPr="00362D29">
        <w:rPr>
          <w:rFonts w:ascii="Traditional Arabic" w:hAnsi="Traditional Arabic" w:cs="Traditional Arabic"/>
          <w:color w:val="000000" w:themeColor="text1"/>
          <w:sz w:val="24"/>
          <w:szCs w:val="24"/>
        </w:rPr>
        <w:t>Person-Centered Care Certification Programme</w:t>
      </w:r>
      <w:r w:rsidRPr="00362D29">
        <w:rPr>
          <w:rFonts w:ascii="Traditional Arabic" w:hAnsi="Traditional Arabic" w:cs="Traditional Arabic"/>
          <w:color w:val="000000" w:themeColor="text1"/>
          <w:sz w:val="24"/>
          <w:szCs w:val="24"/>
          <w:rtl/>
        </w:rPr>
        <w:t xml:space="preserve">) بالاستناد إلى الأدلة العلمية وإطار الأكاديمية الوطنية للطب، مع تطبيق منهج تقييم متعدد الأساليب يشمل مراجعة الوثائق، وعناصر القياس المعيارية، واستخدام أدوات قياس متعددة لضمان التميز في الرعاية من خلال إطارًا دوليًا لتحسين تجربة المريض بالاعتماد على مؤشرات مثل التواصل، الرعاية العاطفية، ورضا المرضى ، وزيارات ميدانية تتضمن مقابلات ومجموعات تركيز. تم تطبيق الإطار على منظمات صحية متنوعة عبر </w:t>
      </w:r>
      <w:r w:rsidRPr="00362D29">
        <w:rPr>
          <w:rFonts w:ascii="Traditional Arabic" w:hAnsi="Traditional Arabic" w:cs="Traditional Arabic"/>
          <w:color w:val="000000" w:themeColor="text1"/>
          <w:sz w:val="24"/>
          <w:szCs w:val="24"/>
          <w:rtl/>
        </w:rPr>
        <w:lastRenderedPageBreak/>
        <w:t xml:space="preserve">بلدان متعددة، حيث شمل نطاق التطبيق 139 منظمة في 12 دولة من مستويات رعاية مختلفة (مستشفيات، مراكز خارجية، رعاية طويلة الأمد وغيرها) باستخدام أداة </w:t>
      </w:r>
      <w:r w:rsidRPr="00362D29">
        <w:rPr>
          <w:rFonts w:ascii="Traditional Arabic" w:hAnsi="Traditional Arabic" w:cs="Traditional Arabic"/>
          <w:color w:val="000000" w:themeColor="text1"/>
          <w:sz w:val="24"/>
          <w:szCs w:val="24"/>
        </w:rPr>
        <w:t>HCAHPS</w:t>
      </w:r>
      <w:r w:rsidRPr="00362D29">
        <w:rPr>
          <w:rFonts w:ascii="Traditional Arabic" w:hAnsi="Traditional Arabic" w:cs="Traditional Arabic"/>
          <w:color w:val="000000" w:themeColor="text1"/>
          <w:sz w:val="24"/>
          <w:szCs w:val="24"/>
          <w:rtl/>
        </w:rPr>
        <w:t>. أظهرت النتائج ارتباط الحصول على الاعتماد ضمن النموذج الدولي للرعاية المرتكزة على الانسان بتحسن واضح في مؤشرات تجربة المريض ، إضافة إلى تحسن مستويات مشاركة العاملين وولاء المرضى، مع إثبات فاعلية الإطار في تحويل مفهوم الرعاية المرتكزة على الشخص إلى هدف قابل للقياس والتقييم والتحقيق.</w:t>
      </w:r>
    </w:p>
    <w:p w14:paraId="4F250889" w14:textId="76970D93" w:rsidR="00996097" w:rsidRPr="00362D29" w:rsidRDefault="00563820" w:rsidP="00362D29">
      <w:pPr>
        <w:bidi/>
        <w:spacing w:after="200" w:line="360" w:lineRule="auto"/>
        <w:jc w:val="both"/>
        <w:rPr>
          <w:rFonts w:ascii="Traditional Arabic" w:hAnsi="Traditional Arabic" w:cs="Traditional Arabic"/>
          <w:b/>
          <w:bCs/>
          <w:color w:val="000000" w:themeColor="text1"/>
          <w:sz w:val="32"/>
          <w:szCs w:val="32"/>
          <w:rtl/>
        </w:rPr>
      </w:pPr>
      <w:r w:rsidRPr="00362D29">
        <w:rPr>
          <w:rFonts w:ascii="Traditional Arabic" w:hAnsi="Traditional Arabic" w:cs="Traditional Arabic"/>
          <w:b/>
          <w:bCs/>
          <w:color w:val="000000" w:themeColor="text1"/>
          <w:sz w:val="32"/>
          <w:szCs w:val="32"/>
          <w:rtl/>
        </w:rPr>
        <w:t>التعقيب على الدراسات السابقة</w:t>
      </w:r>
    </w:p>
    <w:p w14:paraId="22F1193F" w14:textId="77777777" w:rsidR="00DA428D" w:rsidRPr="00362D29" w:rsidRDefault="00DA428D"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بناءً على مراجعة الأدبيات السابقة التي تم استعراضها، وفي ضوء خصائص الدراسة الحالية "أثر التميز المؤسسي على جودة تجربة المريض: دراسة وصفية تحليلية بتجمع القصيم الصحي بالمملكة العربية السعودية"، يمكن صياغة التعليق الأكاديمي والمقارنة المنهجية والموضوعية على النحو الآتي:</w:t>
      </w:r>
    </w:p>
    <w:p w14:paraId="166259E2" w14:textId="77777777" w:rsidR="00DA428D" w:rsidRPr="00362D29" w:rsidRDefault="00DA428D" w:rsidP="00362D29">
      <w:pPr>
        <w:bidi/>
        <w:spacing w:before="0" w:after="160" w:line="360" w:lineRule="auto"/>
        <w:jc w:val="both"/>
        <w:rPr>
          <w:rFonts w:ascii="Traditional Arabic" w:eastAsia="Aptos" w:hAnsi="Traditional Arabic" w:cs="Traditional Arabic"/>
          <w:b/>
          <w:bCs/>
          <w:kern w:val="2"/>
          <w:sz w:val="28"/>
          <w:szCs w:val="28"/>
          <w:rtl/>
          <w14:ligatures w14:val="standardContextual"/>
        </w:rPr>
      </w:pPr>
      <w:r w:rsidRPr="00362D29">
        <w:rPr>
          <w:rFonts w:ascii="Traditional Arabic" w:eastAsia="Aptos" w:hAnsi="Traditional Arabic" w:cs="Traditional Arabic"/>
          <w:b/>
          <w:bCs/>
          <w:kern w:val="2"/>
          <w:sz w:val="28"/>
          <w:szCs w:val="28"/>
          <w:rtl/>
          <w14:ligatures w14:val="standardContextual"/>
        </w:rPr>
        <w:t>أولاً: أوجه التشابه والاختلاف</w:t>
      </w:r>
    </w:p>
    <w:p w14:paraId="561EFE54" w14:textId="77777777" w:rsidR="00DA428D" w:rsidRPr="00362D29" w:rsidRDefault="00DA428D"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1. من حيث الأهداف:</w:t>
      </w:r>
    </w:p>
    <w:p w14:paraId="7E0FC470" w14:textId="77777777" w:rsidR="00DA428D" w:rsidRPr="00362D29" w:rsidRDefault="00DA428D" w:rsidP="00362D29">
      <w:pPr>
        <w:numPr>
          <w:ilvl w:val="0"/>
          <w:numId w:val="70"/>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تتشابه الدراسة الحالية في سعيها لقياس أثر التميز المؤسسي على مخرجات الرعاية الصحية مع دراسات كل من: (الرويلي، 2025)، (سلمان وآخرون، 2025)، (</w:t>
      </w:r>
      <w:r w:rsidRPr="00362D29">
        <w:rPr>
          <w:rFonts w:ascii="Traditional Arabic" w:eastAsia="Aptos" w:hAnsi="Traditional Arabic" w:cs="Traditional Arabic"/>
          <w:kern w:val="2"/>
          <w:sz w:val="24"/>
          <w:szCs w:val="24"/>
          <w14:ligatures w14:val="standardContextual"/>
        </w:rPr>
        <w:t>Al-Samawi</w:t>
      </w:r>
      <w:r w:rsidRPr="00362D29">
        <w:rPr>
          <w:rFonts w:ascii="Traditional Arabic" w:eastAsia="Aptos" w:hAnsi="Traditional Arabic" w:cs="Traditional Arabic"/>
          <w:kern w:val="2"/>
          <w:sz w:val="24"/>
          <w:szCs w:val="24"/>
          <w:rtl/>
          <w14:ligatures w14:val="standardContextual"/>
        </w:rPr>
        <w:t xml:space="preserve"> &amp; </w:t>
      </w:r>
      <w:r w:rsidRPr="00362D29">
        <w:rPr>
          <w:rFonts w:ascii="Traditional Arabic" w:eastAsia="Aptos" w:hAnsi="Traditional Arabic" w:cs="Traditional Arabic"/>
          <w:kern w:val="2"/>
          <w:sz w:val="24"/>
          <w:szCs w:val="24"/>
          <w14:ligatures w14:val="standardContextual"/>
        </w:rPr>
        <w:t>Al-Sayaghi, 2024</w:t>
      </w:r>
      <w:r w:rsidRPr="00362D29">
        <w:rPr>
          <w:rFonts w:ascii="Traditional Arabic" w:eastAsia="Aptos" w:hAnsi="Traditional Arabic" w:cs="Traditional Arabic"/>
          <w:kern w:val="2"/>
          <w:sz w:val="24"/>
          <w:szCs w:val="24"/>
          <w:rtl/>
          <w14:ligatures w14:val="standardContextual"/>
        </w:rPr>
        <w:t>)، و (</w:t>
      </w:r>
      <w:r w:rsidRPr="00362D29">
        <w:rPr>
          <w:rFonts w:ascii="Traditional Arabic" w:eastAsia="Aptos" w:hAnsi="Traditional Arabic" w:cs="Traditional Arabic"/>
          <w:kern w:val="2"/>
          <w:sz w:val="24"/>
          <w:szCs w:val="24"/>
          <w14:ligatures w14:val="standardContextual"/>
        </w:rPr>
        <w:t>Sumarta et al., 2025</w:t>
      </w:r>
      <w:r w:rsidRPr="00362D29">
        <w:rPr>
          <w:rFonts w:ascii="Traditional Arabic" w:eastAsia="Aptos" w:hAnsi="Traditional Arabic" w:cs="Traditional Arabic"/>
          <w:kern w:val="2"/>
          <w:sz w:val="24"/>
          <w:szCs w:val="24"/>
          <w:rtl/>
          <w14:ligatures w14:val="standardContextual"/>
        </w:rPr>
        <w:t>)، حيث ركزت هذه الدراسات على الربط السببي بين نماذج التميز وجودة الخدمة أو رضا المستفيدين. كما تتشابه مع دراسة (</w:t>
      </w:r>
      <w:r w:rsidRPr="00362D29">
        <w:rPr>
          <w:rFonts w:ascii="Traditional Arabic" w:eastAsia="Aptos" w:hAnsi="Traditional Arabic" w:cs="Traditional Arabic"/>
          <w:kern w:val="2"/>
          <w:sz w:val="24"/>
          <w:szCs w:val="24"/>
          <w14:ligatures w14:val="standardContextual"/>
        </w:rPr>
        <w:t>Alkahtani et al., 2023</w:t>
      </w:r>
      <w:r w:rsidRPr="00362D29">
        <w:rPr>
          <w:rFonts w:ascii="Traditional Arabic" w:eastAsia="Aptos" w:hAnsi="Traditional Arabic" w:cs="Traditional Arabic"/>
          <w:kern w:val="2"/>
          <w:sz w:val="24"/>
          <w:szCs w:val="24"/>
          <w:rtl/>
          <w14:ligatures w14:val="standardContextual"/>
        </w:rPr>
        <w:t>) في التركيز على تحسين تجربة المريض كهدف نهائي لبرامج التميز.</w:t>
      </w:r>
    </w:p>
    <w:p w14:paraId="3DEFFA6B" w14:textId="77777777" w:rsidR="00DA428D" w:rsidRPr="00362D29" w:rsidRDefault="00DA428D" w:rsidP="00362D29">
      <w:pPr>
        <w:numPr>
          <w:ilvl w:val="0"/>
          <w:numId w:val="70"/>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تختلف الدراسة الحالية عن دراسات مثل: (محمود، 2025) و (</w:t>
      </w:r>
      <w:proofErr w:type="spellStart"/>
      <w:r w:rsidRPr="00362D29">
        <w:rPr>
          <w:rFonts w:ascii="Traditional Arabic" w:eastAsia="Aptos" w:hAnsi="Traditional Arabic" w:cs="Traditional Arabic"/>
          <w:kern w:val="2"/>
          <w:sz w:val="24"/>
          <w:szCs w:val="24"/>
          <w:rtl/>
          <w14:ligatures w14:val="standardContextual"/>
        </w:rPr>
        <w:t>نارهز</w:t>
      </w:r>
      <w:proofErr w:type="spellEnd"/>
      <w:r w:rsidRPr="00362D29">
        <w:rPr>
          <w:rFonts w:ascii="Traditional Arabic" w:eastAsia="Aptos" w:hAnsi="Traditional Arabic" w:cs="Traditional Arabic"/>
          <w:kern w:val="2"/>
          <w:sz w:val="24"/>
          <w:szCs w:val="24"/>
          <w:rtl/>
          <w14:ligatures w14:val="standardContextual"/>
        </w:rPr>
        <w:t>، 2022) التي ركزت على متطلبات التحول الرقمي كمدخل للتميز، وعن دراسة (</w:t>
      </w:r>
      <w:r w:rsidRPr="00362D29">
        <w:rPr>
          <w:rFonts w:ascii="Traditional Arabic" w:eastAsia="Aptos" w:hAnsi="Traditional Arabic" w:cs="Traditional Arabic"/>
          <w:kern w:val="2"/>
          <w:sz w:val="24"/>
          <w:szCs w:val="24"/>
          <w14:ligatures w14:val="standardContextual"/>
        </w:rPr>
        <w:t>Barnawi, 2022</w:t>
      </w:r>
      <w:r w:rsidRPr="00362D29">
        <w:rPr>
          <w:rFonts w:ascii="Traditional Arabic" w:eastAsia="Aptos" w:hAnsi="Traditional Arabic" w:cs="Traditional Arabic"/>
          <w:kern w:val="2"/>
          <w:sz w:val="24"/>
          <w:szCs w:val="24"/>
          <w:rtl/>
          <w14:ligatures w14:val="standardContextual"/>
        </w:rPr>
        <w:t>) التي ركزت على عوامل النجاح والفشل العامة لنماذج التميز دون ربطها مباشرة بتجربة المريض.</w:t>
      </w:r>
    </w:p>
    <w:p w14:paraId="3A66ACEB" w14:textId="77777777" w:rsidR="00DA428D" w:rsidRPr="00362D29" w:rsidRDefault="00DA428D"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2. من حيث المنهجية:</w:t>
      </w:r>
    </w:p>
    <w:p w14:paraId="1004893E" w14:textId="77777777" w:rsidR="00DA428D" w:rsidRPr="00362D29" w:rsidRDefault="00DA428D" w:rsidP="00362D29">
      <w:pPr>
        <w:numPr>
          <w:ilvl w:val="0"/>
          <w:numId w:val="71"/>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تتشابه الدراسة الحالية في اعتمادها على المنهج الوصفي التحليلي واستخدام الاستبانة كأداة لجمع البيانات مع غالبية الدراسات السابقة مثل: (البلوي وإسماعيل، 2025)، (الغامدي، 2024)، و (</w:t>
      </w:r>
      <w:r w:rsidRPr="00362D29">
        <w:rPr>
          <w:rFonts w:ascii="Traditional Arabic" w:eastAsia="Aptos" w:hAnsi="Traditional Arabic" w:cs="Traditional Arabic"/>
          <w:kern w:val="2"/>
          <w:sz w:val="24"/>
          <w:szCs w:val="24"/>
          <w14:ligatures w14:val="standardContextual"/>
        </w:rPr>
        <w:t>Zehra et al., 2025</w:t>
      </w:r>
      <w:r w:rsidRPr="00362D29">
        <w:rPr>
          <w:rFonts w:ascii="Traditional Arabic" w:eastAsia="Aptos" w:hAnsi="Traditional Arabic" w:cs="Traditional Arabic"/>
          <w:kern w:val="2"/>
          <w:sz w:val="24"/>
          <w:szCs w:val="24"/>
          <w:rtl/>
          <w14:ligatures w14:val="standardContextual"/>
        </w:rPr>
        <w:t>). كما تتشابه في استخدام نماذج متقدمة للتحليل الإحصائي مع دراسة (</w:t>
      </w:r>
      <w:r w:rsidRPr="00362D29">
        <w:rPr>
          <w:rFonts w:ascii="Traditional Arabic" w:eastAsia="Aptos" w:hAnsi="Traditional Arabic" w:cs="Traditional Arabic"/>
          <w:kern w:val="2"/>
          <w:sz w:val="24"/>
          <w:szCs w:val="24"/>
          <w14:ligatures w14:val="standardContextual"/>
        </w:rPr>
        <w:t>Mohamed et al., 2018</w:t>
      </w:r>
      <w:r w:rsidRPr="00362D29">
        <w:rPr>
          <w:rFonts w:ascii="Traditional Arabic" w:eastAsia="Aptos" w:hAnsi="Traditional Arabic" w:cs="Traditional Arabic"/>
          <w:kern w:val="2"/>
          <w:sz w:val="24"/>
          <w:szCs w:val="24"/>
          <w:rtl/>
          <w14:ligatures w14:val="standardContextual"/>
        </w:rPr>
        <w:t>) و (</w:t>
      </w:r>
      <w:r w:rsidRPr="00362D29">
        <w:rPr>
          <w:rFonts w:ascii="Traditional Arabic" w:eastAsia="Aptos" w:hAnsi="Traditional Arabic" w:cs="Traditional Arabic"/>
          <w:kern w:val="2"/>
          <w:sz w:val="24"/>
          <w:szCs w:val="24"/>
          <w14:ligatures w14:val="standardContextual"/>
        </w:rPr>
        <w:t>Alanazi, 2017</w:t>
      </w:r>
      <w:r w:rsidRPr="00362D29">
        <w:rPr>
          <w:rFonts w:ascii="Traditional Arabic" w:eastAsia="Aptos" w:hAnsi="Traditional Arabic" w:cs="Traditional Arabic"/>
          <w:kern w:val="2"/>
          <w:sz w:val="24"/>
          <w:szCs w:val="24"/>
          <w:rtl/>
          <w14:ligatures w14:val="standardContextual"/>
        </w:rPr>
        <w:t>).</w:t>
      </w:r>
    </w:p>
    <w:p w14:paraId="2E9D3DCB" w14:textId="4FAD11A8" w:rsidR="00DA428D" w:rsidRPr="00CB4510" w:rsidRDefault="00DA428D" w:rsidP="00CB4510">
      <w:pPr>
        <w:numPr>
          <w:ilvl w:val="0"/>
          <w:numId w:val="71"/>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lastRenderedPageBreak/>
        <w:t>تختلف عن الدراسات التي اعتمدت على المنهج النوعي مثل دراسة (</w:t>
      </w:r>
      <w:r w:rsidRPr="00362D29">
        <w:rPr>
          <w:rFonts w:ascii="Traditional Arabic" w:eastAsia="Aptos" w:hAnsi="Traditional Arabic" w:cs="Traditional Arabic"/>
          <w:kern w:val="2"/>
          <w:sz w:val="24"/>
          <w:szCs w:val="24"/>
          <w14:ligatures w14:val="standardContextual"/>
        </w:rPr>
        <w:t>Zhao et al., 2023</w:t>
      </w:r>
      <w:r w:rsidRPr="00362D29">
        <w:rPr>
          <w:rFonts w:ascii="Traditional Arabic" w:eastAsia="Aptos" w:hAnsi="Traditional Arabic" w:cs="Traditional Arabic"/>
          <w:kern w:val="2"/>
          <w:sz w:val="24"/>
          <w:szCs w:val="24"/>
          <w:rtl/>
          <w14:ligatures w14:val="standardContextual"/>
        </w:rPr>
        <w:t>) و (</w:t>
      </w:r>
      <w:r w:rsidRPr="00362D29">
        <w:rPr>
          <w:rFonts w:ascii="Traditional Arabic" w:eastAsia="Aptos" w:hAnsi="Traditional Arabic" w:cs="Traditional Arabic"/>
          <w:kern w:val="2"/>
          <w:sz w:val="24"/>
          <w:szCs w:val="24"/>
          <w14:ligatures w14:val="standardContextual"/>
        </w:rPr>
        <w:t>Daleske, 2024</w:t>
      </w:r>
      <w:r w:rsidRPr="00362D29">
        <w:rPr>
          <w:rFonts w:ascii="Traditional Arabic" w:eastAsia="Aptos" w:hAnsi="Traditional Arabic" w:cs="Traditional Arabic"/>
          <w:kern w:val="2"/>
          <w:sz w:val="24"/>
          <w:szCs w:val="24"/>
          <w:rtl/>
          <w14:ligatures w14:val="standardContextual"/>
        </w:rPr>
        <w:t>)، أو الدراسات التي اعتمدت على المراجعات المنهجية (</w:t>
      </w:r>
      <w:r w:rsidRPr="00362D29">
        <w:rPr>
          <w:rFonts w:ascii="Traditional Arabic" w:eastAsia="Aptos" w:hAnsi="Traditional Arabic" w:cs="Traditional Arabic"/>
          <w:kern w:val="2"/>
          <w:sz w:val="24"/>
          <w:szCs w:val="24"/>
          <w14:ligatures w14:val="standardContextual"/>
        </w:rPr>
        <w:t>Systematic Reviews</w:t>
      </w:r>
      <w:r w:rsidRPr="00362D29">
        <w:rPr>
          <w:rFonts w:ascii="Traditional Arabic" w:eastAsia="Aptos" w:hAnsi="Traditional Arabic" w:cs="Traditional Arabic"/>
          <w:kern w:val="2"/>
          <w:sz w:val="24"/>
          <w:szCs w:val="24"/>
          <w:rtl/>
          <w14:ligatures w14:val="standardContextual"/>
        </w:rPr>
        <w:t>) مثل دراسة (</w:t>
      </w:r>
      <w:r w:rsidRPr="00362D29">
        <w:rPr>
          <w:rFonts w:ascii="Traditional Arabic" w:eastAsia="Aptos" w:hAnsi="Traditional Arabic" w:cs="Traditional Arabic"/>
          <w:kern w:val="2"/>
          <w:sz w:val="24"/>
          <w:szCs w:val="24"/>
          <w14:ligatures w14:val="standardContextual"/>
        </w:rPr>
        <w:t>Kamal, 2023</w:t>
      </w:r>
      <w:r w:rsidRPr="00362D29">
        <w:rPr>
          <w:rFonts w:ascii="Traditional Arabic" w:eastAsia="Aptos" w:hAnsi="Traditional Arabic" w:cs="Traditional Arabic"/>
          <w:kern w:val="2"/>
          <w:sz w:val="24"/>
          <w:szCs w:val="24"/>
          <w:rtl/>
          <w14:ligatures w14:val="standardContextual"/>
        </w:rPr>
        <w:t>) و (</w:t>
      </w:r>
      <w:r w:rsidRPr="00362D29">
        <w:rPr>
          <w:rFonts w:ascii="Traditional Arabic" w:eastAsia="Aptos" w:hAnsi="Traditional Arabic" w:cs="Traditional Arabic"/>
          <w:kern w:val="2"/>
          <w:sz w:val="24"/>
          <w:szCs w:val="24"/>
          <w14:ligatures w14:val="standardContextual"/>
        </w:rPr>
        <w:t>Guan et al., 2024</w:t>
      </w:r>
      <w:r w:rsidRPr="00362D29">
        <w:rPr>
          <w:rFonts w:ascii="Traditional Arabic" w:eastAsia="Aptos" w:hAnsi="Traditional Arabic" w:cs="Traditional Arabic"/>
          <w:kern w:val="2"/>
          <w:sz w:val="24"/>
          <w:szCs w:val="24"/>
          <w:rtl/>
          <w14:ligatures w14:val="standardContextual"/>
        </w:rPr>
        <w:t>)، أو الدراسات شبه التجريبية مثل دراسة (</w:t>
      </w:r>
      <w:r w:rsidRPr="00362D29">
        <w:rPr>
          <w:rFonts w:ascii="Traditional Arabic" w:eastAsia="Aptos" w:hAnsi="Traditional Arabic" w:cs="Traditional Arabic"/>
          <w:kern w:val="2"/>
          <w:sz w:val="24"/>
          <w:szCs w:val="24"/>
          <w14:ligatures w14:val="standardContextual"/>
        </w:rPr>
        <w:t>Cavanaugh et al., 2021</w:t>
      </w:r>
      <w:r w:rsidRPr="00362D29">
        <w:rPr>
          <w:rFonts w:ascii="Traditional Arabic" w:eastAsia="Aptos" w:hAnsi="Traditional Arabic" w:cs="Traditional Arabic"/>
          <w:kern w:val="2"/>
          <w:sz w:val="24"/>
          <w:szCs w:val="24"/>
          <w:rtl/>
          <w14:ligatures w14:val="standardContextual"/>
        </w:rPr>
        <w:t>).</w:t>
      </w:r>
    </w:p>
    <w:p w14:paraId="7B4FBB39" w14:textId="77777777" w:rsidR="00DA428D" w:rsidRPr="00362D29" w:rsidRDefault="00DA428D"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3. من حيث مجتمع وعينة الدراسة:</w:t>
      </w:r>
    </w:p>
    <w:p w14:paraId="3CCE7E1B" w14:textId="77777777" w:rsidR="00DA428D" w:rsidRPr="00362D29" w:rsidRDefault="00DA428D" w:rsidP="00362D29">
      <w:pPr>
        <w:numPr>
          <w:ilvl w:val="0"/>
          <w:numId w:val="72"/>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تتشابه الدراسة الحالية في اختيارها للمستشفيات السعودية كمجتمع للدراسة مع دراسات: (البلوي وإسماعيل، 2025)، (الغامدي، 2024)، و (</w:t>
      </w:r>
      <w:r w:rsidRPr="00362D29">
        <w:rPr>
          <w:rFonts w:ascii="Traditional Arabic" w:eastAsia="Aptos" w:hAnsi="Traditional Arabic" w:cs="Traditional Arabic"/>
          <w:kern w:val="2"/>
          <w:sz w:val="24"/>
          <w:szCs w:val="24"/>
          <w14:ligatures w14:val="standardContextual"/>
        </w:rPr>
        <w:t>Alharbi, 2023</w:t>
      </w:r>
      <w:r w:rsidRPr="00362D29">
        <w:rPr>
          <w:rFonts w:ascii="Traditional Arabic" w:eastAsia="Aptos" w:hAnsi="Traditional Arabic" w:cs="Traditional Arabic"/>
          <w:kern w:val="2"/>
          <w:sz w:val="24"/>
          <w:szCs w:val="24"/>
          <w:rtl/>
          <w14:ligatures w14:val="standardContextual"/>
        </w:rPr>
        <w:t>). كما تتشابه في استهداف القيادات والإداريين مع دراسة (</w:t>
      </w:r>
      <w:r w:rsidRPr="00362D29">
        <w:rPr>
          <w:rFonts w:ascii="Traditional Arabic" w:eastAsia="Aptos" w:hAnsi="Traditional Arabic" w:cs="Traditional Arabic"/>
          <w:kern w:val="2"/>
          <w:sz w:val="24"/>
          <w:szCs w:val="24"/>
          <w14:ligatures w14:val="standardContextual"/>
        </w:rPr>
        <w:t>Alsaleem, 2025</w:t>
      </w:r>
      <w:r w:rsidRPr="00362D29">
        <w:rPr>
          <w:rFonts w:ascii="Traditional Arabic" w:eastAsia="Aptos" w:hAnsi="Traditional Arabic" w:cs="Traditional Arabic"/>
          <w:kern w:val="2"/>
          <w:sz w:val="24"/>
          <w:szCs w:val="24"/>
          <w:rtl/>
          <w14:ligatures w14:val="standardContextual"/>
        </w:rPr>
        <w:t>) و (الغامدي وطيبة، 2023).</w:t>
      </w:r>
    </w:p>
    <w:p w14:paraId="58C8AA26" w14:textId="77777777" w:rsidR="00DA428D" w:rsidRPr="00362D29" w:rsidRDefault="00DA428D" w:rsidP="00362D29">
      <w:pPr>
        <w:numPr>
          <w:ilvl w:val="0"/>
          <w:numId w:val="72"/>
        </w:numPr>
        <w:bidi/>
        <w:spacing w:before="0" w:after="160" w:line="360" w:lineRule="auto"/>
        <w:contextualSpacing/>
        <w:jc w:val="both"/>
        <w:rPr>
          <w:rFonts w:ascii="Traditional Arabic" w:eastAsia="Aptos" w:hAnsi="Traditional Arabic" w:cs="Traditional Arabic"/>
          <w:kern w:val="2"/>
          <w:sz w:val="24"/>
          <w:szCs w:val="24"/>
          <w14:ligatures w14:val="standardContextual"/>
        </w:rPr>
      </w:pPr>
      <w:r w:rsidRPr="00362D29">
        <w:rPr>
          <w:rFonts w:ascii="Traditional Arabic" w:eastAsia="Aptos" w:hAnsi="Traditional Arabic" w:cs="Traditional Arabic"/>
          <w:kern w:val="2"/>
          <w:sz w:val="24"/>
          <w:szCs w:val="24"/>
          <w:rtl/>
          <w14:ligatures w14:val="standardContextual"/>
        </w:rPr>
        <w:t>تختلف عن الدراسات التي استهدفت المرضى مباشرة لجمع البيانات حول تجربتهم مثل: (</w:t>
      </w:r>
      <w:r w:rsidRPr="00362D29">
        <w:rPr>
          <w:rFonts w:ascii="Traditional Arabic" w:eastAsia="Aptos" w:hAnsi="Traditional Arabic" w:cs="Traditional Arabic"/>
          <w:kern w:val="2"/>
          <w:sz w:val="24"/>
          <w:szCs w:val="24"/>
          <w14:ligatures w14:val="standardContextual"/>
        </w:rPr>
        <w:t>El Dalatony et al., 2026</w:t>
      </w:r>
      <w:r w:rsidRPr="00362D29">
        <w:rPr>
          <w:rFonts w:ascii="Traditional Arabic" w:eastAsia="Aptos" w:hAnsi="Traditional Arabic" w:cs="Traditional Arabic"/>
          <w:kern w:val="2"/>
          <w:sz w:val="24"/>
          <w:szCs w:val="24"/>
          <w:rtl/>
          <w14:ligatures w14:val="standardContextual"/>
        </w:rPr>
        <w:t>) و (</w:t>
      </w:r>
      <w:r w:rsidRPr="00362D29">
        <w:rPr>
          <w:rFonts w:ascii="Traditional Arabic" w:eastAsia="Aptos" w:hAnsi="Traditional Arabic" w:cs="Traditional Arabic"/>
          <w:kern w:val="2"/>
          <w:sz w:val="24"/>
          <w:szCs w:val="24"/>
          <w14:ligatures w14:val="standardContextual"/>
        </w:rPr>
        <w:t>Alhuseini et al., 2025</w:t>
      </w:r>
      <w:r w:rsidRPr="00362D29">
        <w:rPr>
          <w:rFonts w:ascii="Traditional Arabic" w:eastAsia="Aptos" w:hAnsi="Traditional Arabic" w:cs="Traditional Arabic"/>
          <w:kern w:val="2"/>
          <w:sz w:val="24"/>
          <w:szCs w:val="24"/>
          <w:rtl/>
          <w14:ligatures w14:val="standardContextual"/>
        </w:rPr>
        <w:t xml:space="preserve">)، حيث تميزت الدراسة الحالية بجمع آراء "صناع التميز" (القيادات) حول أثره على تجربة المريض. </w:t>
      </w:r>
    </w:p>
    <w:p w14:paraId="25345391" w14:textId="77777777" w:rsidR="00DA428D" w:rsidRPr="00362D29" w:rsidRDefault="00DA428D" w:rsidP="00362D29">
      <w:pPr>
        <w:numPr>
          <w:ilvl w:val="0"/>
          <w:numId w:val="72"/>
        </w:numPr>
        <w:bidi/>
        <w:spacing w:before="0" w:after="160" w:line="360" w:lineRule="auto"/>
        <w:contextualSpacing/>
        <w:jc w:val="both"/>
        <w:rPr>
          <w:rFonts w:ascii="Traditional Arabic" w:eastAsia="Aptos" w:hAnsi="Traditional Arabic" w:cs="Traditional Arabic"/>
          <w:kern w:val="2"/>
          <w:sz w:val="24"/>
          <w:szCs w:val="24"/>
          <w14:ligatures w14:val="standardContextual"/>
        </w:rPr>
      </w:pPr>
      <w:r w:rsidRPr="00362D29">
        <w:rPr>
          <w:rFonts w:ascii="Traditional Arabic" w:eastAsia="Aptos" w:hAnsi="Traditional Arabic" w:cs="Traditional Arabic"/>
          <w:kern w:val="2"/>
          <w:sz w:val="24"/>
          <w:szCs w:val="24"/>
          <w:rtl/>
          <w14:ligatures w14:val="standardContextual"/>
        </w:rPr>
        <w:t xml:space="preserve">كما تختلف في النطاق الجغرافي عن الدراسات الدولية (إيران، الصين، الهند، أمريكا) حيث تستهدف مستشفيات محددة بتجمع القصيم الصحي. </w:t>
      </w:r>
    </w:p>
    <w:p w14:paraId="580E01C9" w14:textId="77777777" w:rsidR="00DA428D" w:rsidRPr="00362D29" w:rsidRDefault="00DA428D" w:rsidP="00362D29">
      <w:pPr>
        <w:bidi/>
        <w:spacing w:before="0" w:after="160" w:line="360" w:lineRule="auto"/>
        <w:jc w:val="both"/>
        <w:rPr>
          <w:rFonts w:ascii="Traditional Arabic" w:eastAsia="Aptos" w:hAnsi="Traditional Arabic" w:cs="Traditional Arabic"/>
          <w:b/>
          <w:bCs/>
          <w:kern w:val="2"/>
          <w:sz w:val="28"/>
          <w:szCs w:val="28"/>
          <w:rtl/>
          <w14:ligatures w14:val="standardContextual"/>
        </w:rPr>
      </w:pPr>
      <w:r w:rsidRPr="00362D29">
        <w:rPr>
          <w:rFonts w:ascii="Traditional Arabic" w:eastAsia="Aptos" w:hAnsi="Traditional Arabic" w:cs="Traditional Arabic"/>
          <w:b/>
          <w:bCs/>
          <w:kern w:val="2"/>
          <w:sz w:val="28"/>
          <w:szCs w:val="28"/>
          <w:rtl/>
          <w14:ligatures w14:val="standardContextual"/>
        </w:rPr>
        <w:t>تتشابه الدراسة الحالية في:</w:t>
      </w:r>
    </w:p>
    <w:p w14:paraId="2C6767D8" w14:textId="77777777" w:rsidR="00DA428D" w:rsidRPr="00362D29" w:rsidRDefault="00DA428D" w:rsidP="00362D29">
      <w:pPr>
        <w:numPr>
          <w:ilvl w:val="0"/>
          <w:numId w:val="73"/>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اعتماد التميز المؤسسي كإطار تحليلي شامل (الاستناد الى نماذج التميز العالمية مثل </w:t>
      </w:r>
      <w:r w:rsidRPr="00362D29">
        <w:rPr>
          <w:rFonts w:ascii="Traditional Arabic" w:eastAsia="Aptos" w:hAnsi="Traditional Arabic" w:cs="Traditional Arabic"/>
          <w:kern w:val="2"/>
          <w:sz w:val="24"/>
          <w:szCs w:val="24"/>
          <w14:ligatures w14:val="standardContextual"/>
        </w:rPr>
        <w:t>EFQM</w:t>
      </w:r>
      <w:r w:rsidRPr="00362D29">
        <w:rPr>
          <w:rFonts w:ascii="Traditional Arabic" w:eastAsia="Aptos" w:hAnsi="Traditional Arabic" w:cs="Traditional Arabic"/>
          <w:kern w:val="2"/>
          <w:sz w:val="24"/>
          <w:szCs w:val="24"/>
          <w:rtl/>
          <w14:ligatures w14:val="standardContextual"/>
        </w:rPr>
        <w:t xml:space="preserve"> والوطنية مثل </w:t>
      </w:r>
      <w:r w:rsidRPr="00362D29">
        <w:rPr>
          <w:rFonts w:ascii="Traditional Arabic" w:eastAsia="Aptos" w:hAnsi="Traditional Arabic" w:cs="Traditional Arabic"/>
          <w:kern w:val="2"/>
          <w:sz w:val="24"/>
          <w:szCs w:val="24"/>
          <w14:ligatures w14:val="standardContextual"/>
        </w:rPr>
        <w:t>KAQA</w:t>
      </w:r>
      <w:r w:rsidRPr="00362D29">
        <w:rPr>
          <w:rFonts w:ascii="Traditional Arabic" w:eastAsia="Aptos" w:hAnsi="Traditional Arabic" w:cs="Traditional Arabic"/>
          <w:kern w:val="2"/>
          <w:sz w:val="24"/>
          <w:szCs w:val="24"/>
          <w:rtl/>
          <w14:ligatures w14:val="standardContextual"/>
        </w:rPr>
        <w:t xml:space="preserve"> كأطر مرجعية لتطوير الأداء المؤسسي).</w:t>
      </w:r>
    </w:p>
    <w:p w14:paraId="16078B8F" w14:textId="77777777" w:rsidR="00DA428D" w:rsidRPr="00362D29" w:rsidRDefault="00DA428D" w:rsidP="00362D29">
      <w:pPr>
        <w:numPr>
          <w:ilvl w:val="0"/>
          <w:numId w:val="73"/>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التركيز على أبعاد التميز المؤسسي (القيادة، الموارد البشرية، العمليات، التحسين المستمر، التركيز على المستفيد)</w:t>
      </w:r>
    </w:p>
    <w:p w14:paraId="3A81A85E" w14:textId="77777777" w:rsidR="00DA428D" w:rsidRPr="00362D29" w:rsidRDefault="00DA428D" w:rsidP="00362D29">
      <w:pPr>
        <w:numPr>
          <w:ilvl w:val="0"/>
          <w:numId w:val="73"/>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استخدام المنهج الوصفي التحليلي لاختبار العلاقات بين المتغيرات</w:t>
      </w:r>
    </w:p>
    <w:p w14:paraId="1B24F990" w14:textId="77777777" w:rsidR="00DA428D" w:rsidRPr="00362D29" w:rsidRDefault="00DA428D" w:rsidP="00362D29">
      <w:pPr>
        <w:numPr>
          <w:ilvl w:val="0"/>
          <w:numId w:val="73"/>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اعتبار تجربة المريض مؤشرًا نوعيًا لجودة الرعاية.</w:t>
      </w:r>
    </w:p>
    <w:p w14:paraId="7486D3DD" w14:textId="77777777" w:rsidR="00DA428D" w:rsidRPr="00362D29" w:rsidRDefault="00DA428D" w:rsidP="00362D29">
      <w:pPr>
        <w:numPr>
          <w:ilvl w:val="0"/>
          <w:numId w:val="73"/>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اعتماد أبعاد واضحة لقياس تجربة المريض (الوصول، التواصل، الاحترام، التنسيق، البيئة)</w:t>
      </w:r>
    </w:p>
    <w:p w14:paraId="737ABB38" w14:textId="77777777" w:rsidR="00DA428D" w:rsidRPr="00362D29" w:rsidRDefault="00DA428D" w:rsidP="00362D29">
      <w:pPr>
        <w:numPr>
          <w:ilvl w:val="0"/>
          <w:numId w:val="73"/>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استخدام مقاييس عالمية معتمدة لتقييم تجربة المريض </w:t>
      </w:r>
      <w:r w:rsidRPr="00362D29">
        <w:rPr>
          <w:rFonts w:ascii="Traditional Arabic" w:eastAsia="Aptos" w:hAnsi="Traditional Arabic" w:cs="Traditional Arabic"/>
          <w:kern w:val="2"/>
          <w:sz w:val="24"/>
          <w:szCs w:val="24"/>
          <w14:ligatures w14:val="standardContextual"/>
        </w:rPr>
        <w:t>Press Ganey)</w:t>
      </w:r>
      <w:r w:rsidRPr="00362D29">
        <w:rPr>
          <w:rFonts w:ascii="Traditional Arabic" w:eastAsia="Aptos" w:hAnsi="Traditional Arabic" w:cs="Traditional Arabic"/>
          <w:kern w:val="2"/>
          <w:sz w:val="24"/>
          <w:szCs w:val="24"/>
          <w:rtl/>
          <w14:ligatures w14:val="standardContextual"/>
        </w:rPr>
        <w:t>).</w:t>
      </w:r>
    </w:p>
    <w:p w14:paraId="466D4FF3" w14:textId="77777777" w:rsidR="00DA428D" w:rsidRPr="00362D29" w:rsidRDefault="00DA428D" w:rsidP="00362D29">
      <w:pPr>
        <w:bidi/>
        <w:spacing w:before="0" w:after="160" w:line="360" w:lineRule="auto"/>
        <w:jc w:val="both"/>
        <w:rPr>
          <w:rFonts w:ascii="Traditional Arabic" w:eastAsia="Aptos" w:hAnsi="Traditional Arabic" w:cs="Traditional Arabic"/>
          <w:b/>
          <w:bCs/>
          <w:kern w:val="2"/>
          <w:sz w:val="28"/>
          <w:szCs w:val="28"/>
          <w:rtl/>
          <w14:ligatures w14:val="standardContextual"/>
        </w:rPr>
      </w:pPr>
      <w:r w:rsidRPr="00362D29">
        <w:rPr>
          <w:rFonts w:ascii="Traditional Arabic" w:eastAsia="Aptos" w:hAnsi="Traditional Arabic" w:cs="Traditional Arabic"/>
          <w:b/>
          <w:bCs/>
          <w:kern w:val="2"/>
          <w:sz w:val="28"/>
          <w:szCs w:val="28"/>
          <w:rtl/>
          <w14:ligatures w14:val="standardContextual"/>
        </w:rPr>
        <w:t>تختلف الدراسة الحالية في:</w:t>
      </w:r>
    </w:p>
    <w:p w14:paraId="6AA0F9D0" w14:textId="77777777" w:rsidR="00DA428D" w:rsidRPr="00362D29" w:rsidRDefault="00DA428D" w:rsidP="00362D29">
      <w:pPr>
        <w:numPr>
          <w:ilvl w:val="0"/>
          <w:numId w:val="74"/>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التركيز حصرياً على النموذج الوطني للتميز المؤسسي (جائزة الملك عبد العزيز للجودة، 2022)، بينما ركزت أغلبية الدراسات السابقة على النموذج الأوروبي (</w:t>
      </w:r>
      <w:r w:rsidRPr="00362D29">
        <w:rPr>
          <w:rFonts w:ascii="Traditional Arabic" w:eastAsia="Aptos" w:hAnsi="Traditional Arabic" w:cs="Traditional Arabic"/>
          <w:kern w:val="2"/>
          <w:sz w:val="24"/>
          <w:szCs w:val="24"/>
          <w14:ligatures w14:val="standardContextual"/>
        </w:rPr>
        <w:t>EFQM</w:t>
      </w:r>
      <w:r w:rsidRPr="00362D29">
        <w:rPr>
          <w:rFonts w:ascii="Traditional Arabic" w:eastAsia="Aptos" w:hAnsi="Traditional Arabic" w:cs="Traditional Arabic"/>
          <w:kern w:val="2"/>
          <w:sz w:val="24"/>
          <w:szCs w:val="24"/>
          <w:rtl/>
          <w14:ligatures w14:val="standardContextual"/>
        </w:rPr>
        <w:t>).</w:t>
      </w:r>
    </w:p>
    <w:p w14:paraId="3C9C86EA" w14:textId="77777777" w:rsidR="00DA428D" w:rsidRPr="00362D29" w:rsidRDefault="00DA428D" w:rsidP="00362D29">
      <w:pPr>
        <w:numPr>
          <w:ilvl w:val="0"/>
          <w:numId w:val="74"/>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تربط التميز المؤسسي مباشرة بجودة تجربة المريض، وليس فقط بالأداء العام أو جودة الخدمة الصحية بصورة تقليدية.</w:t>
      </w:r>
    </w:p>
    <w:p w14:paraId="5BF09D7E" w14:textId="77777777" w:rsidR="00DA428D" w:rsidRPr="00362D29" w:rsidRDefault="00DA428D" w:rsidP="00362D29">
      <w:pPr>
        <w:numPr>
          <w:ilvl w:val="0"/>
          <w:numId w:val="74"/>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lastRenderedPageBreak/>
        <w:t>التطبيق على "تجمع صحي" (تجمع القصيم الصحي) ككيان إداري حديث ضمن نموذج التحول الصحي الجديد في المملكة، وهو ما يختلف عن الدراسات التي طبقت على مستشفيات منفردة أو مديريات شؤون صحية تقليدية.</w:t>
      </w:r>
    </w:p>
    <w:p w14:paraId="14F99015" w14:textId="7AEE4508" w:rsidR="0023280E" w:rsidRPr="00362D29" w:rsidRDefault="00DA428D" w:rsidP="00362D29">
      <w:pPr>
        <w:numPr>
          <w:ilvl w:val="0"/>
          <w:numId w:val="74"/>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الربط بين ثمانية مبادئ للتميز المؤسسي وثمانية أبعاد لتجربة المريض في نموذج تحليلي واحد متكامل.</w:t>
      </w:r>
    </w:p>
    <w:p w14:paraId="0A6ECB21" w14:textId="7144265F" w:rsidR="00CE145B" w:rsidRPr="00CB4510" w:rsidRDefault="007A74F1" w:rsidP="00362D29">
      <w:pPr>
        <w:bidi/>
        <w:spacing w:before="0" w:after="160" w:line="360" w:lineRule="auto"/>
        <w:jc w:val="both"/>
        <w:rPr>
          <w:rFonts w:ascii="Traditional Arabic" w:eastAsia="Aptos" w:hAnsi="Traditional Arabic" w:cs="Traditional Arabic"/>
          <w:b/>
          <w:bCs/>
          <w:kern w:val="2"/>
          <w:sz w:val="28"/>
          <w:szCs w:val="28"/>
          <w14:ligatures w14:val="standardContextual"/>
        </w:rPr>
      </w:pPr>
      <w:r w:rsidRPr="00CB4510">
        <w:rPr>
          <w:rFonts w:ascii="Traditional Arabic" w:eastAsia="Aptos" w:hAnsi="Traditional Arabic" w:cs="Traditional Arabic"/>
          <w:b/>
          <w:bCs/>
          <w:kern w:val="2"/>
          <w:sz w:val="28"/>
          <w:szCs w:val="28"/>
          <w:rtl/>
          <w14:ligatures w14:val="standardContextual"/>
        </w:rPr>
        <w:t>ثانياً</w:t>
      </w:r>
      <w:r w:rsidR="00CE145B" w:rsidRPr="00CB4510">
        <w:rPr>
          <w:rFonts w:ascii="Traditional Arabic" w:eastAsia="Aptos" w:hAnsi="Traditional Arabic" w:cs="Traditional Arabic"/>
          <w:b/>
          <w:bCs/>
          <w:kern w:val="2"/>
          <w:sz w:val="28"/>
          <w:szCs w:val="28"/>
          <w:rtl/>
          <w14:ligatures w14:val="standardContextual"/>
        </w:rPr>
        <w:t>: أوجه الاستفادة من الدراسات السابقة</w:t>
      </w:r>
    </w:p>
    <w:p w14:paraId="57735FF8" w14:textId="77777777" w:rsidR="00CE145B" w:rsidRPr="00362D29" w:rsidRDefault="00CE145B"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تُعد الدراسات السابقة ركيزة أساسية في بناء أي بحث علمي رصين، حيث توفر قاعدة معرفية متينة، وتوجه الباحث نحو صياغة مشكلته البحثية، وتحديد أهدافه، واختيار منهجيته المناسبة. وفي سياق الدراسة الحالية التي تتناول "أثر التميز المؤسسي على جودة تجربة المريض في تجمع القصيم الصحي"، يمكن تلخيص أوجه الاستفادة من الدراسات السابقة التي تم استعراضها في النقاط الآتية:</w:t>
      </w:r>
    </w:p>
    <w:p w14:paraId="003582AB" w14:textId="77777777" w:rsidR="00CE145B" w:rsidRPr="00362D29" w:rsidRDefault="00CE145B"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1. الاستفادة على المستوى النظري والمفاهيمي:</w:t>
      </w:r>
    </w:p>
    <w:p w14:paraId="1FE277DF" w14:textId="77777777" w:rsidR="00CE145B" w:rsidRPr="00362D29" w:rsidRDefault="00CE145B" w:rsidP="00362D29">
      <w:pPr>
        <w:numPr>
          <w:ilvl w:val="0"/>
          <w:numId w:val="76"/>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الفهم العميق وتحديد المفاهيم:</w:t>
      </w:r>
      <w:r w:rsidRPr="00362D29">
        <w:rPr>
          <w:rFonts w:ascii="Traditional Arabic" w:eastAsia="Aptos" w:hAnsi="Traditional Arabic" w:cs="Traditional Arabic"/>
          <w:kern w:val="2"/>
          <w:sz w:val="24"/>
          <w:szCs w:val="24"/>
          <w:rtl/>
          <w14:ligatures w14:val="standardContextual"/>
        </w:rPr>
        <w:t xml:space="preserve"> ساهمت الدراسات السابقة في تحديد وتعريف المفاهيم الأساسية للدراسة، مثل التميز المؤسسي بأبعاده المختلفة (القيادة، الموارد البشرية، المستفيدون، العمليات، الشراكات، التحسين المستمر، الإبداع والابتكار، التنمية المستدامة) ، وجودة تجربة المريض بأبعادها المتعددة (الوصول، تنسيق الخدمة، التواصل، الاحترام، المعلومات، البيئة المادية، الدعم العاطفي، المشاركة) . هذا التحديد الدقيق للمفاهيم أسهم في بناء إطار نظري متكامل للدراسة الحالية.</w:t>
      </w:r>
    </w:p>
    <w:p w14:paraId="4E1D5DC2" w14:textId="77777777" w:rsidR="00CE145B" w:rsidRPr="00362D29" w:rsidRDefault="00CE145B" w:rsidP="00362D29">
      <w:pPr>
        <w:numPr>
          <w:ilvl w:val="0"/>
          <w:numId w:val="76"/>
        </w:numPr>
        <w:bidi/>
        <w:spacing w:before="0" w:after="160" w:line="360" w:lineRule="auto"/>
        <w:contextualSpacing/>
        <w:jc w:val="both"/>
        <w:rPr>
          <w:rFonts w:ascii="Traditional Arabic" w:eastAsia="Aptos" w:hAnsi="Traditional Arabic" w:cs="Traditional Arabic"/>
          <w:kern w:val="2"/>
          <w:sz w:val="24"/>
          <w:szCs w:val="24"/>
          <w14:ligatures w14:val="standardContextual"/>
        </w:rPr>
      </w:pPr>
      <w:r w:rsidRPr="00362D29">
        <w:rPr>
          <w:rFonts w:ascii="Traditional Arabic" w:eastAsia="Aptos" w:hAnsi="Traditional Arabic" w:cs="Traditional Arabic"/>
          <w:b/>
          <w:bCs/>
          <w:kern w:val="2"/>
          <w:sz w:val="24"/>
          <w:szCs w:val="24"/>
          <w:rtl/>
          <w14:ligatures w14:val="standardContextual"/>
        </w:rPr>
        <w:t>بناء الإطار النظري:</w:t>
      </w:r>
      <w:r w:rsidRPr="00362D29">
        <w:rPr>
          <w:rFonts w:ascii="Traditional Arabic" w:eastAsia="Aptos" w:hAnsi="Traditional Arabic" w:cs="Traditional Arabic"/>
          <w:kern w:val="2"/>
          <w:sz w:val="24"/>
          <w:szCs w:val="24"/>
          <w:rtl/>
          <w14:ligatures w14:val="standardContextual"/>
        </w:rPr>
        <w:t xml:space="preserve"> قدمت الدراسات السابقة نماذج نظرية مختلفة حول العلاقة بين التميز المؤسسي وجودة الخدمات ورضا المستفيدين . وقد استندت الدراسة الحالية إلى هذه النماذج لتطوير إطارها النظري الذي يفترض وجود علاقة تأثير بين مبادئ التميز المؤسسي وجودة تجربة المريض.</w:t>
      </w:r>
    </w:p>
    <w:p w14:paraId="0AE93116" w14:textId="5712B081" w:rsidR="00CE145B" w:rsidRPr="00362D29" w:rsidRDefault="00CE145B" w:rsidP="00362D29">
      <w:pPr>
        <w:numPr>
          <w:ilvl w:val="0"/>
          <w:numId w:val="76"/>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تحديد أبعاد المتغيرات: مكنت مراجعة الأدبيات من تحديد الأبعاد والمؤشرات الفرعية لكل من المتغير المستقل (التميز المؤسسي) والمتغير التابع (جودة تجربة المريض)، مما ساعد في بناء محاور أداة الدراسة وتغطية كافة الجوانب ذات الصلة .</w:t>
      </w:r>
    </w:p>
    <w:p w14:paraId="1B0993F5" w14:textId="77777777" w:rsidR="00CE145B" w:rsidRPr="00362D29" w:rsidRDefault="00CE145B"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2. الاستفادة على المستوى المنهجي والإجرائي:</w:t>
      </w:r>
    </w:p>
    <w:p w14:paraId="597DE99B" w14:textId="77777777" w:rsidR="00CE145B" w:rsidRPr="00362D29" w:rsidRDefault="00CE145B" w:rsidP="00362D29">
      <w:pPr>
        <w:numPr>
          <w:ilvl w:val="0"/>
          <w:numId w:val="77"/>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اختيار المنهج البحثي</w:t>
      </w:r>
      <w:r w:rsidRPr="00362D29">
        <w:rPr>
          <w:rFonts w:ascii="Traditional Arabic" w:eastAsia="Aptos" w:hAnsi="Traditional Arabic" w:cs="Traditional Arabic"/>
          <w:kern w:val="2"/>
          <w:sz w:val="24"/>
          <w:szCs w:val="24"/>
          <w:rtl/>
          <w14:ligatures w14:val="standardContextual"/>
        </w:rPr>
        <w:t>: أظهرت الدراسات السابقة أن المنهج الوصفي التحليلي هو الأكثر شيوعاً وملاءمة لدراسة العلاقات بين المتغيرات في سياقات مشابهة . وقد عزز ذلك قرار الدراسة الحالية باعتماد هذا المنهج لتحقيق أهدافها.</w:t>
      </w:r>
    </w:p>
    <w:p w14:paraId="4E77C3B6" w14:textId="77777777" w:rsidR="00CE145B" w:rsidRPr="00362D29" w:rsidRDefault="00CE145B" w:rsidP="00362D29">
      <w:pPr>
        <w:numPr>
          <w:ilvl w:val="0"/>
          <w:numId w:val="77"/>
        </w:numPr>
        <w:bidi/>
        <w:spacing w:before="0" w:after="160" w:line="360" w:lineRule="auto"/>
        <w:contextualSpacing/>
        <w:jc w:val="both"/>
        <w:rPr>
          <w:rFonts w:ascii="Traditional Arabic" w:eastAsia="Aptos" w:hAnsi="Traditional Arabic" w:cs="Traditional Arabic"/>
          <w:kern w:val="2"/>
          <w:sz w:val="24"/>
          <w:szCs w:val="24"/>
          <w14:ligatures w14:val="standardContextual"/>
        </w:rPr>
      </w:pPr>
      <w:r w:rsidRPr="00362D29">
        <w:rPr>
          <w:rFonts w:ascii="Traditional Arabic" w:eastAsia="Aptos" w:hAnsi="Traditional Arabic" w:cs="Traditional Arabic"/>
          <w:b/>
          <w:bCs/>
          <w:kern w:val="2"/>
          <w:sz w:val="24"/>
          <w:szCs w:val="24"/>
          <w:rtl/>
          <w14:ligatures w14:val="standardContextual"/>
        </w:rPr>
        <w:t>تصميم أداة الدراسة:</w:t>
      </w:r>
      <w:r w:rsidRPr="00362D29">
        <w:rPr>
          <w:rFonts w:ascii="Traditional Arabic" w:eastAsia="Aptos" w:hAnsi="Traditional Arabic" w:cs="Traditional Arabic"/>
          <w:kern w:val="2"/>
          <w:sz w:val="24"/>
          <w:szCs w:val="24"/>
          <w:rtl/>
          <w14:ligatures w14:val="standardContextual"/>
        </w:rPr>
        <w:t xml:space="preserve"> استنبطت الدراسة الحالية من أدوات جمع البيانات المستخدمة في الدراسات السابقة، خاصة تلك التي اعتمدت على استبيانات مقننة لقياس التميز المؤسسي (مثل نماذج جائزة الملك عبد العزيز للجودة) وتجربة المريض (مثل برنامج </w:t>
      </w:r>
      <w:r w:rsidRPr="00362D29">
        <w:rPr>
          <w:rFonts w:ascii="Traditional Arabic" w:eastAsia="Aptos" w:hAnsi="Traditional Arabic" w:cs="Traditional Arabic"/>
          <w:kern w:val="2"/>
          <w:sz w:val="24"/>
          <w:szCs w:val="24"/>
          <w14:ligatures w14:val="standardContextual"/>
        </w:rPr>
        <w:t>Press Ganey</w:t>
      </w:r>
      <w:r w:rsidRPr="00362D29">
        <w:rPr>
          <w:rFonts w:ascii="Traditional Arabic" w:eastAsia="Aptos" w:hAnsi="Traditional Arabic" w:cs="Traditional Arabic"/>
          <w:kern w:val="2"/>
          <w:sz w:val="24"/>
          <w:szCs w:val="24"/>
          <w:rtl/>
          <w14:ligatures w14:val="standardContextual"/>
        </w:rPr>
        <w:t>) في تصميم استبانة شاملة وموثوقة.</w:t>
      </w:r>
    </w:p>
    <w:p w14:paraId="639C063D" w14:textId="77777777" w:rsidR="00CE145B" w:rsidRPr="00362D29" w:rsidRDefault="00CE145B" w:rsidP="00362D29">
      <w:pPr>
        <w:numPr>
          <w:ilvl w:val="0"/>
          <w:numId w:val="77"/>
        </w:numPr>
        <w:bidi/>
        <w:spacing w:before="0" w:after="160" w:line="360" w:lineRule="auto"/>
        <w:contextualSpacing/>
        <w:jc w:val="both"/>
        <w:rPr>
          <w:rFonts w:ascii="Traditional Arabic" w:eastAsia="Aptos" w:hAnsi="Traditional Arabic" w:cs="Traditional Arabic"/>
          <w:kern w:val="2"/>
          <w:sz w:val="24"/>
          <w:szCs w:val="24"/>
          <w14:ligatures w14:val="standardContextual"/>
        </w:rPr>
      </w:pPr>
      <w:r w:rsidRPr="00362D29">
        <w:rPr>
          <w:rFonts w:ascii="Traditional Arabic" w:eastAsia="Aptos" w:hAnsi="Traditional Arabic" w:cs="Traditional Arabic"/>
          <w:b/>
          <w:bCs/>
          <w:kern w:val="2"/>
          <w:sz w:val="24"/>
          <w:szCs w:val="24"/>
          <w:rtl/>
          <w14:ligatures w14:val="standardContextual"/>
        </w:rPr>
        <w:lastRenderedPageBreak/>
        <w:t>تحديد مجتمع وعينة الدراسة:</w:t>
      </w:r>
      <w:r w:rsidRPr="00362D29">
        <w:rPr>
          <w:rFonts w:ascii="Traditional Arabic" w:eastAsia="Aptos" w:hAnsi="Traditional Arabic" w:cs="Traditional Arabic"/>
          <w:kern w:val="2"/>
          <w:sz w:val="24"/>
          <w:szCs w:val="24"/>
          <w:rtl/>
          <w14:ligatures w14:val="standardContextual"/>
        </w:rPr>
        <w:t xml:space="preserve"> قدمت الدراسات السابقة إرشادات حول كيفية تحديد مجتمعات وعينات الدراسة في القطاع الصحي، وكيفية استخدام المعادلات الإحصائية لتحديد حجم العينة المناسب . وقد استرشدت الدراسة الحالية بمعادلة كوهران لتحديد حجم العينة القصدية من القيادات الإدارية والفنية.</w:t>
      </w:r>
    </w:p>
    <w:p w14:paraId="73A84C4A" w14:textId="77777777" w:rsidR="00CE145B" w:rsidRPr="00362D29" w:rsidRDefault="00CE145B" w:rsidP="00362D29">
      <w:pPr>
        <w:numPr>
          <w:ilvl w:val="0"/>
          <w:numId w:val="77"/>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اختيار الأساليب الإحصائية:</w:t>
      </w:r>
      <w:r w:rsidRPr="00362D29">
        <w:rPr>
          <w:rFonts w:ascii="Traditional Arabic" w:eastAsia="Aptos" w:hAnsi="Traditional Arabic" w:cs="Traditional Arabic"/>
          <w:kern w:val="2"/>
          <w:sz w:val="24"/>
          <w:szCs w:val="24"/>
          <w:rtl/>
          <w14:ligatures w14:val="standardContextual"/>
        </w:rPr>
        <w:t xml:space="preserve"> تعرفت الدراسة الحالية على الأساليب الإحصائية المتقدمة المستخدمة في تحليل العلاقات السببية والتأثيرية بين المتغيرات، مثل تحليل الانحدار والاحصائيات الوصفية وبرامج التحليل ، مما يُسهم في اختيار الأساليب المناسبة لتحليل بياناته.</w:t>
      </w:r>
    </w:p>
    <w:p w14:paraId="1A83B5EF" w14:textId="77777777" w:rsidR="00CE145B" w:rsidRPr="00362D29" w:rsidRDefault="00CE145B"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3. الاستفادة على المستوى التطبيقي والتوصيات:</w:t>
      </w:r>
    </w:p>
    <w:p w14:paraId="49E75FD3" w14:textId="77777777" w:rsidR="00CE145B" w:rsidRPr="00362D29" w:rsidRDefault="00CE145B" w:rsidP="00362D29">
      <w:pPr>
        <w:numPr>
          <w:ilvl w:val="0"/>
          <w:numId w:val="80"/>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تحديد التوصيات العملية: من خلال استعراض نتائج الدراسات السابقة وتوصياتها، تمكنت الدراسة الحالية من تحديد مجالات تقديم التوصيات العملية للقيادات الصحية في تجمع القصيم الصحي، بهدف تعزيز تطبيق مبادئ التميز وتحسين تجربة المريض .</w:t>
      </w:r>
    </w:p>
    <w:p w14:paraId="4C53FEDD" w14:textId="77777777" w:rsidR="00CE145B" w:rsidRPr="00362D29" w:rsidRDefault="00CE145B" w:rsidP="00362D29">
      <w:pPr>
        <w:numPr>
          <w:ilvl w:val="0"/>
          <w:numId w:val="80"/>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المساهمة في تطوير المعايير: أظهرت بعض الدراسات الحاجة إلى تطوير معايير التميز المؤسسي لتتناسب مع خصوصية القطاع الصحي واحتياجات المستفيدين . وقد دعم هذا الهدف الخامس للدراسة الحالية في تقديم توصيات لقادة جائزة الملك عبد العزيز للتميز المؤسسي.</w:t>
      </w:r>
    </w:p>
    <w:p w14:paraId="358FAE30" w14:textId="76BBE00C" w:rsidR="00CE145B" w:rsidRPr="00362D29" w:rsidRDefault="00CE145B" w:rsidP="00362D29">
      <w:pPr>
        <w:numPr>
          <w:ilvl w:val="0"/>
          <w:numId w:val="80"/>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فهم التحديات والمعوقات: كشفت الدراسات السابقة عن تحديات ومعوقات مختلفة تواجه تطبيق نماذج التميز المؤسسي وتحسين تجربة المريض ؛ هذا الفهم المسبق يمكن الدراسة الحالية من تقديم حلول، وتوصيات أكثر ،واقعية، وفعالية.</w:t>
      </w:r>
    </w:p>
    <w:p w14:paraId="641A2E2B" w14:textId="77777777" w:rsidR="00CE145B" w:rsidRPr="00362D29" w:rsidRDefault="00CE145B"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4. تأكيد الفجوة البحثية:</w:t>
      </w:r>
    </w:p>
    <w:p w14:paraId="5B6A1371" w14:textId="77777777" w:rsidR="00CE145B" w:rsidRPr="00362D29" w:rsidRDefault="00CE145B"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أن الدراسات السابقة قد أسهمت بشكل مباشر في تأكيد وجود الفجوة البحثية التي تسعى الدراسة الحالية لسدها. فبالرغم من وجود دراسات تناولت التميز المؤسسي أو تجربة المريض بشكل منفصل، أو ربطت بينهما في سياقات مختلفة، إلا أن هناك ندرة في الدراسات التي ربطت بشكل مباشر بين النموذج الوطني للتميز المؤسسي (جائزة الملك عبد العزيز للجودة ، 2022) وأبعاد جودة تجربة المريض الثمانية، وتطبيق ذلك في سياق التجمعات الصحية بالمملكة العربية السعودية، وتحديداً تجمع القصيم الصحي. هذا التأكيد للفجوة البحثية يعزز من أصالة الدراسة الحالية وأهميتها العلمية والتطبيقية.</w:t>
      </w:r>
    </w:p>
    <w:p w14:paraId="3B7988CD" w14:textId="77777777" w:rsidR="00CB4510" w:rsidRDefault="00CB4510" w:rsidP="00362D29">
      <w:pPr>
        <w:bidi/>
        <w:spacing w:before="0" w:after="160" w:line="360" w:lineRule="auto"/>
        <w:jc w:val="both"/>
        <w:rPr>
          <w:rFonts w:ascii="Traditional Arabic" w:eastAsia="Aptos" w:hAnsi="Traditional Arabic" w:cs="Traditional Arabic"/>
          <w:b/>
          <w:bCs/>
          <w:kern w:val="2"/>
          <w:sz w:val="28"/>
          <w:szCs w:val="28"/>
          <w:rtl/>
          <w14:ligatures w14:val="standardContextual"/>
        </w:rPr>
      </w:pPr>
    </w:p>
    <w:p w14:paraId="55332352" w14:textId="77777777" w:rsidR="00CB4510" w:rsidRDefault="00CB4510" w:rsidP="00CB4510">
      <w:pPr>
        <w:bidi/>
        <w:spacing w:before="0" w:after="160" w:line="360" w:lineRule="auto"/>
        <w:jc w:val="both"/>
        <w:rPr>
          <w:rFonts w:ascii="Traditional Arabic" w:eastAsia="Aptos" w:hAnsi="Traditional Arabic" w:cs="Traditional Arabic"/>
          <w:b/>
          <w:bCs/>
          <w:kern w:val="2"/>
          <w:sz w:val="28"/>
          <w:szCs w:val="28"/>
          <w:rtl/>
          <w14:ligatures w14:val="standardContextual"/>
        </w:rPr>
      </w:pPr>
    </w:p>
    <w:p w14:paraId="723F5B1B" w14:textId="77777777" w:rsidR="00CB4510" w:rsidRDefault="00CB4510" w:rsidP="00CB4510">
      <w:pPr>
        <w:bidi/>
        <w:spacing w:before="0" w:after="160" w:line="360" w:lineRule="auto"/>
        <w:jc w:val="both"/>
        <w:rPr>
          <w:rFonts w:ascii="Traditional Arabic" w:eastAsia="Aptos" w:hAnsi="Traditional Arabic" w:cs="Traditional Arabic"/>
          <w:b/>
          <w:bCs/>
          <w:kern w:val="2"/>
          <w:sz w:val="28"/>
          <w:szCs w:val="28"/>
          <w:rtl/>
          <w14:ligatures w14:val="standardContextual"/>
        </w:rPr>
      </w:pPr>
    </w:p>
    <w:p w14:paraId="0F78BE81" w14:textId="25DEDFE0" w:rsidR="00CE145B" w:rsidRPr="00362D29" w:rsidRDefault="007A74F1" w:rsidP="00CB4510">
      <w:pPr>
        <w:bidi/>
        <w:spacing w:before="0" w:after="160" w:line="360" w:lineRule="auto"/>
        <w:jc w:val="both"/>
        <w:rPr>
          <w:rFonts w:ascii="Traditional Arabic" w:eastAsia="Aptos" w:hAnsi="Traditional Arabic" w:cs="Traditional Arabic"/>
          <w:b/>
          <w:bCs/>
          <w:kern w:val="2"/>
          <w:sz w:val="28"/>
          <w:szCs w:val="28"/>
          <w:rtl/>
          <w14:ligatures w14:val="standardContextual"/>
        </w:rPr>
      </w:pPr>
      <w:r w:rsidRPr="00362D29">
        <w:rPr>
          <w:rFonts w:ascii="Traditional Arabic" w:eastAsia="Aptos" w:hAnsi="Traditional Arabic" w:cs="Traditional Arabic"/>
          <w:b/>
          <w:bCs/>
          <w:kern w:val="2"/>
          <w:sz w:val="28"/>
          <w:szCs w:val="28"/>
          <w:rtl/>
          <w14:ligatures w14:val="standardContextual"/>
        </w:rPr>
        <w:lastRenderedPageBreak/>
        <w:t>ثالثاً</w:t>
      </w:r>
      <w:r w:rsidR="00CE145B" w:rsidRPr="00362D29">
        <w:rPr>
          <w:rFonts w:ascii="Traditional Arabic" w:eastAsia="Aptos" w:hAnsi="Traditional Arabic" w:cs="Traditional Arabic"/>
          <w:b/>
          <w:bCs/>
          <w:kern w:val="2"/>
          <w:sz w:val="28"/>
          <w:szCs w:val="28"/>
          <w:rtl/>
          <w14:ligatures w14:val="standardContextual"/>
        </w:rPr>
        <w:t xml:space="preserve">: الفجوة البحثية </w:t>
      </w:r>
    </w:p>
    <w:p w14:paraId="26311649" w14:textId="77777777" w:rsidR="00CE145B" w:rsidRPr="00362D29" w:rsidRDefault="00CE145B"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من خلال المراجعة الشاملة للدراسات السابقة، تبين وجود فجوة بحثية موضوعية ومنهجية تتمثل في الآتي:</w:t>
      </w:r>
    </w:p>
    <w:p w14:paraId="4430A392" w14:textId="77777777" w:rsidR="00CE145B" w:rsidRPr="00362D29" w:rsidRDefault="00CE145B" w:rsidP="00362D29">
      <w:pPr>
        <w:numPr>
          <w:ilvl w:val="0"/>
          <w:numId w:val="78"/>
        </w:numPr>
        <w:bidi/>
        <w:spacing w:before="0" w:after="160" w:line="360" w:lineRule="auto"/>
        <w:contextualSpacing/>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ندرة الربط المباشر بين النموذج الوطني (</w:t>
      </w:r>
      <w:r w:rsidRPr="00362D29">
        <w:rPr>
          <w:rFonts w:ascii="Traditional Arabic" w:eastAsia="Aptos" w:hAnsi="Traditional Arabic" w:cs="Traditional Arabic"/>
          <w:b/>
          <w:bCs/>
          <w:kern w:val="2"/>
          <w:sz w:val="24"/>
          <w:szCs w:val="24"/>
          <w14:ligatures w14:val="standardContextual"/>
        </w:rPr>
        <w:t>KAQA</w:t>
      </w:r>
      <w:r w:rsidRPr="00362D29">
        <w:rPr>
          <w:rFonts w:ascii="Traditional Arabic" w:eastAsia="Aptos" w:hAnsi="Traditional Arabic" w:cs="Traditional Arabic"/>
          <w:b/>
          <w:bCs/>
          <w:kern w:val="2"/>
          <w:sz w:val="24"/>
          <w:szCs w:val="24"/>
          <w:rtl/>
          <w14:ligatures w14:val="standardContextual"/>
        </w:rPr>
        <w:t xml:space="preserve">) وتجربة المريض: </w:t>
      </w:r>
    </w:p>
    <w:p w14:paraId="18FFE298" w14:textId="77777777" w:rsidR="00CE145B" w:rsidRPr="00362D29" w:rsidRDefault="00CE145B" w:rsidP="00362D29">
      <w:pPr>
        <w:numPr>
          <w:ilvl w:val="0"/>
          <w:numId w:val="79"/>
        </w:numPr>
        <w:bidi/>
        <w:spacing w:before="0" w:after="160" w:line="360" w:lineRule="auto"/>
        <w:contextualSpacing/>
        <w:jc w:val="both"/>
        <w:rPr>
          <w:rFonts w:ascii="Traditional Arabic" w:eastAsia="Aptos" w:hAnsi="Traditional Arabic" w:cs="Traditional Arabic"/>
          <w:kern w:val="2"/>
          <w:sz w:val="24"/>
          <w:szCs w:val="24"/>
          <w14:ligatures w14:val="standardContextual"/>
        </w:rPr>
      </w:pPr>
      <w:r w:rsidRPr="00362D29">
        <w:rPr>
          <w:rFonts w:ascii="Traditional Arabic" w:eastAsia="Aptos" w:hAnsi="Traditional Arabic" w:cs="Traditional Arabic"/>
          <w:kern w:val="2"/>
          <w:sz w:val="24"/>
          <w:szCs w:val="24"/>
          <w:rtl/>
          <w14:ligatures w14:val="standardContextual"/>
        </w:rPr>
        <w:t xml:space="preserve">على الرغم من غزارة الأدبيات التي تناولت موضوعي التميز المؤسسي وجودة الرعاية الصحية، إلا أن التحليل المقارن للدراسات السابقة يكشف عن قصور منهجي ومعرفي واضح يتمثل في تناول التميز المؤسسي غالبًا بمعزل عن تجربة المريض كمتغير نوعي مستقل، أو الاكتفاء بقياس رضا المرضى دون التمييز المفاهيمي والعلمي بين الرضا وتجربة المريض بوصفها مفهومًا أوسع متعدد الأبعاد. </w:t>
      </w:r>
    </w:p>
    <w:p w14:paraId="2BA4B0CB" w14:textId="77777777" w:rsidR="00CE145B" w:rsidRPr="00362D29" w:rsidRDefault="00CE145B" w:rsidP="00362D29">
      <w:pPr>
        <w:numPr>
          <w:ilvl w:val="0"/>
          <w:numId w:val="79"/>
        </w:numPr>
        <w:bidi/>
        <w:spacing w:before="0" w:after="160" w:line="360" w:lineRule="auto"/>
        <w:contextualSpacing/>
        <w:jc w:val="both"/>
        <w:rPr>
          <w:rFonts w:ascii="Traditional Arabic" w:eastAsia="Aptos" w:hAnsi="Traditional Arabic" w:cs="Traditional Arabic"/>
          <w:kern w:val="2"/>
          <w:sz w:val="24"/>
          <w:szCs w:val="24"/>
          <w14:ligatures w14:val="standardContextual"/>
        </w:rPr>
      </w:pPr>
      <w:r w:rsidRPr="00362D29">
        <w:rPr>
          <w:rFonts w:ascii="Traditional Arabic" w:eastAsia="Aptos" w:hAnsi="Traditional Arabic" w:cs="Traditional Arabic"/>
          <w:kern w:val="2"/>
          <w:sz w:val="24"/>
          <w:szCs w:val="24"/>
          <w:rtl/>
          <w14:ligatures w14:val="standardContextual"/>
        </w:rPr>
        <w:t>كما يتضح محدودية الدراسات المحلية في السياق السعودي التي تناولت النموذج الوطني للتميز المؤسسي لجائزة الملك عبد العزيز للجودة بالبحث والدراسة ، وبشكل أكثر تحديدًا ندرة الدراسات التي اختبرت أثر تطبيقه الفعلي على جودة تجربة المريض.</w:t>
      </w:r>
    </w:p>
    <w:p w14:paraId="681F31D6" w14:textId="77777777" w:rsidR="00CE145B" w:rsidRPr="00362D29" w:rsidRDefault="00CE145B" w:rsidP="00362D29">
      <w:pPr>
        <w:numPr>
          <w:ilvl w:val="0"/>
          <w:numId w:val="78"/>
        </w:numPr>
        <w:bidi/>
        <w:spacing w:before="0" w:after="160" w:line="360" w:lineRule="auto"/>
        <w:contextualSpacing/>
        <w:jc w:val="both"/>
        <w:rPr>
          <w:rFonts w:ascii="Traditional Arabic" w:eastAsia="Aptos" w:hAnsi="Traditional Arabic" w:cs="Traditional Arabic"/>
          <w:kern w:val="2"/>
          <w:sz w:val="24"/>
          <w:szCs w:val="24"/>
          <w14:ligatures w14:val="standardContextual"/>
        </w:rPr>
      </w:pPr>
      <w:r w:rsidRPr="00362D29">
        <w:rPr>
          <w:rFonts w:ascii="Traditional Arabic" w:eastAsia="Aptos" w:hAnsi="Traditional Arabic" w:cs="Traditional Arabic"/>
          <w:b/>
          <w:bCs/>
          <w:kern w:val="2"/>
          <w:sz w:val="24"/>
          <w:szCs w:val="24"/>
          <w:rtl/>
          <w14:ligatures w14:val="standardContextual"/>
        </w:rPr>
        <w:t>الفجوة في سياق التجمعات الصحية</w:t>
      </w:r>
      <w:r w:rsidRPr="00362D29">
        <w:rPr>
          <w:rFonts w:ascii="Traditional Arabic" w:eastAsia="Aptos" w:hAnsi="Traditional Arabic" w:cs="Traditional Arabic"/>
          <w:kern w:val="2"/>
          <w:sz w:val="24"/>
          <w:szCs w:val="24"/>
          <w:rtl/>
          <w14:ligatures w14:val="standardContextual"/>
        </w:rPr>
        <w:t>:</w:t>
      </w:r>
    </w:p>
    <w:p w14:paraId="0FC7D3A2" w14:textId="77777777" w:rsidR="00CE145B" w:rsidRPr="00362D29" w:rsidRDefault="00CE145B" w:rsidP="00362D29">
      <w:pPr>
        <w:bidi/>
        <w:spacing w:before="0" w:after="160" w:line="360" w:lineRule="auto"/>
        <w:ind w:left="1080"/>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على الرغم من أن التجمعات الصحية هي الركيزة الأساسية للتحول الصحي في المملكة، إلا أن الأدبيات التي تناولت أثر التميز المؤسسي داخل هذه التجمعات لا تزال في بداياتها، خاصة فيما يتعلق بتجمع القصيم الصحي كنموذج رائد.</w:t>
      </w:r>
    </w:p>
    <w:p w14:paraId="000EAF1E" w14:textId="77777777" w:rsidR="00CE145B" w:rsidRPr="00362D29" w:rsidRDefault="00CE145B" w:rsidP="00362D29">
      <w:pPr>
        <w:numPr>
          <w:ilvl w:val="0"/>
          <w:numId w:val="78"/>
        </w:numPr>
        <w:bidi/>
        <w:spacing w:before="0" w:after="160" w:line="360" w:lineRule="auto"/>
        <w:contextualSpacing/>
        <w:jc w:val="both"/>
        <w:rPr>
          <w:rFonts w:ascii="Traditional Arabic" w:eastAsia="Aptos" w:hAnsi="Traditional Arabic" w:cs="Traditional Arabic"/>
          <w:kern w:val="2"/>
          <w:sz w:val="24"/>
          <w:szCs w:val="24"/>
          <w14:ligatures w14:val="standardContextual"/>
        </w:rPr>
      </w:pPr>
      <w:r w:rsidRPr="00362D29">
        <w:rPr>
          <w:rFonts w:ascii="Traditional Arabic" w:eastAsia="Aptos" w:hAnsi="Traditional Arabic" w:cs="Traditional Arabic"/>
          <w:b/>
          <w:bCs/>
          <w:kern w:val="2"/>
          <w:sz w:val="24"/>
          <w:szCs w:val="24"/>
          <w:rtl/>
          <w14:ligatures w14:val="standardContextual"/>
        </w:rPr>
        <w:t>الفجوة في شمولية القياس:</w:t>
      </w:r>
      <w:r w:rsidRPr="00362D29">
        <w:rPr>
          <w:rFonts w:ascii="Traditional Arabic" w:eastAsia="Aptos" w:hAnsi="Traditional Arabic" w:cs="Traditional Arabic"/>
          <w:kern w:val="2"/>
          <w:sz w:val="24"/>
          <w:szCs w:val="24"/>
          <w:rtl/>
          <w14:ligatures w14:val="standardContextual"/>
        </w:rPr>
        <w:t xml:space="preserve"> </w:t>
      </w:r>
    </w:p>
    <w:p w14:paraId="4E60CD64" w14:textId="77777777" w:rsidR="00CE145B" w:rsidRPr="00362D29" w:rsidRDefault="00CE145B" w:rsidP="00362D29">
      <w:pPr>
        <w:bidi/>
        <w:spacing w:before="0" w:after="160" w:line="360" w:lineRule="auto"/>
        <w:ind w:left="720"/>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أغلب الدراسات السابقة لم تتناول التكامل التحليلي بين أبعاد النموذج الوطني السعودي وأبعاد برنامج قياس تجربة المريض التابع لوزارة الصحة في إطار تطبيقي واحد يقيس العلاقة بينهما بصورة مباشرة.</w:t>
      </w:r>
    </w:p>
    <w:p w14:paraId="72B457B5" w14:textId="77777777" w:rsidR="00CE145B" w:rsidRPr="00362D29" w:rsidRDefault="00CE145B" w:rsidP="00362D29">
      <w:pPr>
        <w:numPr>
          <w:ilvl w:val="0"/>
          <w:numId w:val="78"/>
        </w:numPr>
        <w:bidi/>
        <w:spacing w:before="0" w:after="160" w:line="360" w:lineRule="auto"/>
        <w:contextualSpacing/>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ومن ثم، تتجلى الفجوة البحثية في غياب دراسات تطبيقية منهجية تقيس بصورة مباشرة أثر مبادئ النموذج الوطني للتميز المؤسسي على جودة تجربة المريض داخل التجمعات الصحية السعودية في ظل التحول الصحي ورؤية المملكة 2030. </w:t>
      </w:r>
    </w:p>
    <w:p w14:paraId="612D54E3" w14:textId="02770FBC" w:rsidR="00CE145B" w:rsidRPr="00362D29" w:rsidRDefault="00CE145B" w:rsidP="00362D29">
      <w:pPr>
        <w:numPr>
          <w:ilvl w:val="0"/>
          <w:numId w:val="78"/>
        </w:numPr>
        <w:bidi/>
        <w:spacing w:before="0" w:after="160" w:line="360" w:lineRule="auto"/>
        <w:contextualSpacing/>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وعليه تنبع أهمية الدراسة الحالية من سعيها إلى سد هذه الفجوة عبر نموذج علمي منهجي لاختبار العلاقة بين المتغيرين من خلال شمول ثمانية مبادئ للتميز وثمانية أبعاد لتجربة المريض ، في بيئة تطبيقية محددة هي تجمع القصيم الصحي في بيئة التحول الصحي السعودي، مما يقدم فهماً أعمق وأكثر شمولية للعلاقة بين المتغيرات ويحقق إسهامًا علميًا يتمثل في الربط بين إطار وطني للتميز المؤسسي ومؤشر نوعي لجودة الرعاية، وإسهامًا تطبيقيًا يدعم متخذي القرار في تطوير الأداء المؤسسي وتعزيز تجربة المستفيد وفق توجهات التحول الصحي الوطني.</w:t>
      </w:r>
    </w:p>
    <w:p w14:paraId="23D4740E" w14:textId="77777777" w:rsidR="007A74F1" w:rsidRPr="00362D29" w:rsidRDefault="007A74F1" w:rsidP="00362D29">
      <w:pPr>
        <w:bidi/>
        <w:spacing w:after="200" w:line="360" w:lineRule="auto"/>
        <w:jc w:val="both"/>
        <w:rPr>
          <w:rFonts w:ascii="Traditional Arabic" w:hAnsi="Traditional Arabic" w:cs="Traditional Arabic"/>
          <w:b/>
          <w:bCs/>
          <w:color w:val="000000" w:themeColor="text1"/>
          <w:sz w:val="28"/>
          <w:szCs w:val="28"/>
          <w:u w:val="single"/>
          <w:rtl/>
        </w:rPr>
      </w:pPr>
    </w:p>
    <w:p w14:paraId="00EA939A" w14:textId="590805D4" w:rsidR="00947153" w:rsidRPr="00362D29" w:rsidRDefault="00947153" w:rsidP="00362D29">
      <w:pPr>
        <w:bidi/>
        <w:spacing w:after="200" w:line="360" w:lineRule="auto"/>
        <w:jc w:val="both"/>
        <w:rPr>
          <w:rFonts w:ascii="Traditional Arabic" w:hAnsi="Traditional Arabic" w:cs="Traditional Arabic"/>
          <w:b/>
          <w:bCs/>
          <w:color w:val="000000" w:themeColor="text1"/>
          <w:sz w:val="28"/>
          <w:szCs w:val="28"/>
          <w:u w:val="single"/>
          <w:rtl/>
        </w:rPr>
      </w:pPr>
      <w:r w:rsidRPr="00362D29">
        <w:rPr>
          <w:rFonts w:ascii="Traditional Arabic" w:hAnsi="Traditional Arabic" w:cs="Traditional Arabic"/>
          <w:b/>
          <w:bCs/>
          <w:color w:val="000000" w:themeColor="text1"/>
          <w:sz w:val="28"/>
          <w:szCs w:val="28"/>
          <w:u w:val="single"/>
          <w:rtl/>
        </w:rPr>
        <w:lastRenderedPageBreak/>
        <w:t>ما يميز الدراسة الحالية :</w:t>
      </w:r>
    </w:p>
    <w:p w14:paraId="53186501" w14:textId="2CA48065" w:rsidR="00820991" w:rsidRPr="00362D29" w:rsidRDefault="00482D12" w:rsidP="00362D29">
      <w:pPr>
        <w:bidi/>
        <w:spacing w:after="200" w:line="360" w:lineRule="auto"/>
        <w:jc w:val="both"/>
        <w:rPr>
          <w:rFonts w:ascii="Traditional Arabic" w:hAnsi="Traditional Arabic" w:cs="Traditional Arabic"/>
          <w:b/>
          <w:bCs/>
          <w:color w:val="000000" w:themeColor="text1"/>
          <w:sz w:val="28"/>
          <w:szCs w:val="28"/>
          <w:rtl/>
        </w:rPr>
      </w:pPr>
      <w:r w:rsidRPr="00362D29">
        <w:rPr>
          <w:rFonts w:ascii="Traditional Arabic" w:hAnsi="Traditional Arabic" w:cs="Traditional Arabic"/>
          <w:b/>
          <w:bCs/>
          <w:color w:val="000000" w:themeColor="text1"/>
          <w:sz w:val="28"/>
          <w:szCs w:val="28"/>
          <w:rtl/>
        </w:rPr>
        <w:t xml:space="preserve">بناءً على محتوى </w:t>
      </w:r>
      <w:r w:rsidR="00960ED5" w:rsidRPr="00362D29">
        <w:rPr>
          <w:rFonts w:ascii="Traditional Arabic" w:hAnsi="Traditional Arabic" w:cs="Traditional Arabic"/>
          <w:b/>
          <w:bCs/>
          <w:color w:val="000000" w:themeColor="text1"/>
          <w:sz w:val="28"/>
          <w:szCs w:val="28"/>
          <w:rtl/>
        </w:rPr>
        <w:t>الإطار</w:t>
      </w:r>
      <w:r w:rsidRPr="00362D29">
        <w:rPr>
          <w:rFonts w:ascii="Traditional Arabic" w:hAnsi="Traditional Arabic" w:cs="Traditional Arabic"/>
          <w:b/>
          <w:bCs/>
          <w:color w:val="000000" w:themeColor="text1"/>
          <w:sz w:val="28"/>
          <w:szCs w:val="28"/>
          <w:rtl/>
        </w:rPr>
        <w:t xml:space="preserve"> النظري </w:t>
      </w:r>
      <w:r w:rsidR="004F1BEF" w:rsidRPr="00362D29">
        <w:rPr>
          <w:rFonts w:ascii="Traditional Arabic" w:hAnsi="Traditional Arabic" w:cs="Traditional Arabic"/>
          <w:b/>
          <w:bCs/>
          <w:color w:val="000000" w:themeColor="text1"/>
          <w:sz w:val="28"/>
          <w:szCs w:val="28"/>
          <w:rtl/>
        </w:rPr>
        <w:t xml:space="preserve">والادبيات المرجعية ؛ </w:t>
      </w:r>
      <w:r w:rsidR="00820991" w:rsidRPr="00362D29">
        <w:rPr>
          <w:rFonts w:ascii="Traditional Arabic" w:hAnsi="Traditional Arabic" w:cs="Traditional Arabic"/>
          <w:b/>
          <w:bCs/>
          <w:color w:val="000000" w:themeColor="text1"/>
          <w:sz w:val="28"/>
          <w:szCs w:val="28"/>
          <w:rtl/>
        </w:rPr>
        <w:t xml:space="preserve">تنفرد الدراسة الحالية عن الأدبيات السابقة بعدة نقاط </w:t>
      </w:r>
      <w:r w:rsidR="00B32F91" w:rsidRPr="00362D29">
        <w:rPr>
          <w:rFonts w:ascii="Traditional Arabic" w:hAnsi="Traditional Arabic" w:cs="Traditional Arabic"/>
          <w:b/>
          <w:bCs/>
          <w:color w:val="000000" w:themeColor="text1"/>
          <w:sz w:val="28"/>
          <w:szCs w:val="28"/>
          <w:rtl/>
        </w:rPr>
        <w:t>:</w:t>
      </w:r>
    </w:p>
    <w:p w14:paraId="422D1B3D" w14:textId="77777777" w:rsidR="00947153" w:rsidRPr="00362D29" w:rsidRDefault="00947153" w:rsidP="00362D29">
      <w:pPr>
        <w:pStyle w:val="ab"/>
        <w:numPr>
          <w:ilvl w:val="0"/>
          <w:numId w:val="10"/>
        </w:numPr>
        <w:bidi/>
        <w:spacing w:after="200" w:line="360" w:lineRule="auto"/>
        <w:jc w:val="both"/>
        <w:rPr>
          <w:rFonts w:ascii="Traditional Arabic" w:hAnsi="Traditional Arabic" w:cs="Traditional Arabic"/>
          <w:b/>
          <w:bCs/>
          <w:color w:val="000000" w:themeColor="text1"/>
          <w:sz w:val="24"/>
          <w:szCs w:val="24"/>
          <w:rtl/>
        </w:rPr>
      </w:pPr>
      <w:r w:rsidRPr="00362D29">
        <w:rPr>
          <w:rFonts w:ascii="Traditional Arabic" w:hAnsi="Traditional Arabic" w:cs="Traditional Arabic"/>
          <w:b/>
          <w:bCs/>
          <w:color w:val="000000" w:themeColor="text1"/>
          <w:sz w:val="24"/>
          <w:szCs w:val="24"/>
          <w:rtl/>
        </w:rPr>
        <w:t>اعتماد نموذج وطني</w:t>
      </w:r>
      <w:r w:rsidRPr="00362D29">
        <w:rPr>
          <w:rFonts w:ascii="Traditional Arabic" w:hAnsi="Traditional Arabic" w:cs="Traditional Arabic"/>
          <w:b/>
          <w:bCs/>
          <w:color w:val="000000" w:themeColor="text1"/>
          <w:sz w:val="24"/>
          <w:szCs w:val="24"/>
        </w:rPr>
        <w:t>:</w:t>
      </w:r>
    </w:p>
    <w:p w14:paraId="577AD804" w14:textId="1DF2B9A8" w:rsidR="00947153" w:rsidRPr="00362D29" w:rsidRDefault="00947153" w:rsidP="00362D29">
      <w:pPr>
        <w:pStyle w:val="ab"/>
        <w:bidi/>
        <w:spacing w:after="200" w:line="360" w:lineRule="auto"/>
        <w:jc w:val="both"/>
        <w:rPr>
          <w:rFonts w:ascii="Traditional Arabic" w:hAnsi="Traditional Arabic" w:cs="Traditional Arabic"/>
          <w:color w:val="000000" w:themeColor="text1"/>
          <w:sz w:val="24"/>
          <w:szCs w:val="24"/>
          <w:rtl/>
        </w:rPr>
      </w:pPr>
      <w:r w:rsidRPr="00362D29">
        <w:rPr>
          <w:rFonts w:ascii="Traditional Arabic" w:hAnsi="Traditional Arabic" w:cs="Traditional Arabic"/>
          <w:color w:val="000000" w:themeColor="text1"/>
          <w:sz w:val="24"/>
          <w:szCs w:val="24"/>
          <w:rtl/>
        </w:rPr>
        <w:t xml:space="preserve">تستند الدراسة إلى "النموذج الوطني للتميز المؤسسي" المعتمد من جائزة الملك عبد العزيز للجودة، </w:t>
      </w:r>
      <w:r w:rsidR="004978D7" w:rsidRPr="00362D29">
        <w:rPr>
          <w:rFonts w:ascii="Traditional Arabic" w:hAnsi="Traditional Arabic" w:cs="Traditional Arabic"/>
          <w:color w:val="000000" w:themeColor="text1"/>
          <w:sz w:val="24"/>
          <w:szCs w:val="24"/>
          <w:rtl/>
        </w:rPr>
        <w:t>وهو النموذج الذي أثبتت دراسة (</w:t>
      </w:r>
      <w:r w:rsidR="004978D7" w:rsidRPr="00362D29">
        <w:rPr>
          <w:rFonts w:ascii="Traditional Arabic" w:hAnsi="Traditional Arabic" w:cs="Traditional Arabic"/>
          <w:color w:val="000000" w:themeColor="text1"/>
          <w:sz w:val="24"/>
          <w:szCs w:val="24"/>
        </w:rPr>
        <w:t>Alanazi, 2017</w:t>
      </w:r>
      <w:r w:rsidR="004978D7" w:rsidRPr="00362D29">
        <w:rPr>
          <w:rFonts w:ascii="Traditional Arabic" w:hAnsi="Traditional Arabic" w:cs="Traditional Arabic"/>
          <w:color w:val="000000" w:themeColor="text1"/>
          <w:sz w:val="24"/>
          <w:szCs w:val="24"/>
          <w:rtl/>
        </w:rPr>
        <w:t xml:space="preserve">) أنه الأكثر ملاءمة للبيئة السعودية، ومع ذلك تندر الدراسات الخاصة </w:t>
      </w:r>
      <w:r w:rsidR="004A2BEE" w:rsidRPr="00362D29">
        <w:rPr>
          <w:rFonts w:ascii="Traditional Arabic" w:hAnsi="Traditional Arabic" w:cs="Traditional Arabic"/>
          <w:color w:val="000000" w:themeColor="text1"/>
          <w:sz w:val="24"/>
          <w:szCs w:val="24"/>
          <w:rtl/>
        </w:rPr>
        <w:t xml:space="preserve">به . </w:t>
      </w:r>
      <w:r w:rsidRPr="00362D29">
        <w:rPr>
          <w:rFonts w:ascii="Traditional Arabic" w:hAnsi="Traditional Arabic" w:cs="Traditional Arabic"/>
          <w:color w:val="000000" w:themeColor="text1"/>
          <w:sz w:val="24"/>
          <w:szCs w:val="24"/>
          <w:rtl/>
        </w:rPr>
        <w:t>عكس العديد من الدراسات التي اعتمدت على نماذج دولية مثل</w:t>
      </w:r>
      <w:r w:rsidRPr="00362D29">
        <w:rPr>
          <w:rFonts w:ascii="Traditional Arabic" w:hAnsi="Traditional Arabic" w:cs="Traditional Arabic"/>
          <w:color w:val="000000" w:themeColor="text1"/>
          <w:sz w:val="24"/>
          <w:szCs w:val="24"/>
        </w:rPr>
        <w:t xml:space="preserve"> EFQM </w:t>
      </w:r>
      <w:r w:rsidRPr="00362D29">
        <w:rPr>
          <w:rFonts w:ascii="Traditional Arabic" w:hAnsi="Traditional Arabic" w:cs="Traditional Arabic"/>
          <w:color w:val="000000" w:themeColor="text1"/>
          <w:sz w:val="24"/>
          <w:szCs w:val="24"/>
          <w:rtl/>
        </w:rPr>
        <w:t>أو</w:t>
      </w:r>
      <w:r w:rsidRPr="00362D29">
        <w:rPr>
          <w:rFonts w:ascii="Traditional Arabic" w:hAnsi="Traditional Arabic" w:cs="Traditional Arabic"/>
          <w:color w:val="000000" w:themeColor="text1"/>
          <w:sz w:val="24"/>
          <w:szCs w:val="24"/>
        </w:rPr>
        <w:t xml:space="preserve"> Baldrige </w:t>
      </w:r>
      <w:r w:rsidRPr="00362D29">
        <w:rPr>
          <w:rFonts w:ascii="Traditional Arabic" w:hAnsi="Traditional Arabic" w:cs="Traditional Arabic"/>
          <w:color w:val="000000" w:themeColor="text1"/>
          <w:sz w:val="24"/>
          <w:szCs w:val="24"/>
          <w:rtl/>
        </w:rPr>
        <w:t>دون تكييف محلي</w:t>
      </w:r>
      <w:r w:rsidRPr="00362D29">
        <w:rPr>
          <w:rFonts w:ascii="Traditional Arabic" w:hAnsi="Traditional Arabic" w:cs="Traditional Arabic"/>
          <w:color w:val="000000" w:themeColor="text1"/>
          <w:sz w:val="24"/>
          <w:szCs w:val="24"/>
        </w:rPr>
        <w:t>.</w:t>
      </w:r>
    </w:p>
    <w:p w14:paraId="1EBDE321" w14:textId="77777777" w:rsidR="00947153" w:rsidRPr="00362D29" w:rsidRDefault="00947153" w:rsidP="00362D29">
      <w:pPr>
        <w:pStyle w:val="ab"/>
        <w:numPr>
          <w:ilvl w:val="0"/>
          <w:numId w:val="10"/>
        </w:numPr>
        <w:bidi/>
        <w:spacing w:after="200" w:line="360" w:lineRule="auto"/>
        <w:jc w:val="both"/>
        <w:rPr>
          <w:rFonts w:ascii="Traditional Arabic" w:hAnsi="Traditional Arabic" w:cs="Traditional Arabic"/>
          <w:b/>
          <w:bCs/>
          <w:color w:val="000000" w:themeColor="text1"/>
          <w:sz w:val="24"/>
          <w:szCs w:val="24"/>
          <w:rtl/>
        </w:rPr>
      </w:pPr>
      <w:r w:rsidRPr="00362D29">
        <w:rPr>
          <w:rFonts w:ascii="Traditional Arabic" w:hAnsi="Traditional Arabic" w:cs="Traditional Arabic"/>
          <w:b/>
          <w:bCs/>
          <w:color w:val="000000" w:themeColor="text1"/>
          <w:sz w:val="24"/>
          <w:szCs w:val="24"/>
          <w:rtl/>
        </w:rPr>
        <w:t>الربط المباشر بين التميز المؤسسي وتجربة المريض</w:t>
      </w:r>
      <w:r w:rsidRPr="00362D29">
        <w:rPr>
          <w:rFonts w:ascii="Traditional Arabic" w:hAnsi="Traditional Arabic" w:cs="Traditional Arabic"/>
          <w:b/>
          <w:bCs/>
          <w:color w:val="000000" w:themeColor="text1"/>
          <w:sz w:val="24"/>
          <w:szCs w:val="24"/>
        </w:rPr>
        <w:t>:</w:t>
      </w:r>
    </w:p>
    <w:p w14:paraId="75BF1C03" w14:textId="77777777" w:rsidR="00947153" w:rsidRPr="00362D29" w:rsidRDefault="00947153" w:rsidP="00362D29">
      <w:pPr>
        <w:pStyle w:val="ab"/>
        <w:bidi/>
        <w:spacing w:after="200" w:line="360" w:lineRule="auto"/>
        <w:jc w:val="both"/>
        <w:rPr>
          <w:rFonts w:ascii="Traditional Arabic" w:hAnsi="Traditional Arabic" w:cs="Traditional Arabic"/>
          <w:color w:val="000000" w:themeColor="text1"/>
          <w:sz w:val="24"/>
          <w:szCs w:val="24"/>
          <w:rtl/>
        </w:rPr>
      </w:pPr>
      <w:r w:rsidRPr="00362D29">
        <w:rPr>
          <w:rFonts w:ascii="Traditional Arabic" w:hAnsi="Traditional Arabic" w:cs="Traditional Arabic"/>
          <w:color w:val="000000" w:themeColor="text1"/>
          <w:sz w:val="24"/>
          <w:szCs w:val="24"/>
          <w:rtl/>
        </w:rPr>
        <w:t xml:space="preserve">تُعد من الدراسات القليلة التي تقيس الأثر الفعلي لتطبيق مبادئ </w:t>
      </w:r>
      <w:bookmarkStart w:id="0" w:name="_Hlk204241218"/>
      <w:r w:rsidRPr="00362D29">
        <w:rPr>
          <w:rFonts w:ascii="Traditional Arabic" w:hAnsi="Traditional Arabic" w:cs="Traditional Arabic"/>
          <w:color w:val="000000" w:themeColor="text1"/>
          <w:sz w:val="24"/>
          <w:szCs w:val="24"/>
          <w:rtl/>
        </w:rPr>
        <w:t xml:space="preserve">النموذج الوطني للتميز المؤسسي لجائزة الملك عبد العزيز للجودة </w:t>
      </w:r>
      <w:bookmarkEnd w:id="0"/>
      <w:r w:rsidRPr="00362D29">
        <w:rPr>
          <w:rFonts w:ascii="Traditional Arabic" w:hAnsi="Traditional Arabic" w:cs="Traditional Arabic"/>
          <w:color w:val="000000" w:themeColor="text1"/>
          <w:sz w:val="24"/>
          <w:szCs w:val="24"/>
          <w:rtl/>
        </w:rPr>
        <w:t>على جودة تجربة المريض، وليس دراسة كل محور بشكل منفصل</w:t>
      </w:r>
      <w:r w:rsidRPr="00362D29">
        <w:rPr>
          <w:rFonts w:ascii="Traditional Arabic" w:hAnsi="Traditional Arabic" w:cs="Traditional Arabic"/>
          <w:color w:val="000000" w:themeColor="text1"/>
          <w:sz w:val="24"/>
          <w:szCs w:val="24"/>
        </w:rPr>
        <w:t>.</w:t>
      </w:r>
    </w:p>
    <w:p w14:paraId="3FA293AE" w14:textId="77777777" w:rsidR="00947153" w:rsidRPr="00362D29" w:rsidRDefault="00947153" w:rsidP="00362D29">
      <w:pPr>
        <w:pStyle w:val="ab"/>
        <w:numPr>
          <w:ilvl w:val="0"/>
          <w:numId w:val="10"/>
        </w:numPr>
        <w:bidi/>
        <w:spacing w:after="200" w:line="360" w:lineRule="auto"/>
        <w:jc w:val="both"/>
        <w:rPr>
          <w:rFonts w:ascii="Traditional Arabic" w:hAnsi="Traditional Arabic" w:cs="Traditional Arabic"/>
          <w:color w:val="000000" w:themeColor="text1"/>
          <w:sz w:val="24"/>
          <w:szCs w:val="24"/>
          <w:rtl/>
        </w:rPr>
      </w:pPr>
      <w:r w:rsidRPr="00362D29">
        <w:rPr>
          <w:rFonts w:ascii="Times New Roman" w:hAnsi="Times New Roman" w:cs="Times New Roman"/>
          <w:color w:val="000000" w:themeColor="text1"/>
          <w:sz w:val="24"/>
          <w:szCs w:val="24"/>
        </w:rPr>
        <w:t> </w:t>
      </w:r>
      <w:r w:rsidRPr="00362D29">
        <w:rPr>
          <w:rFonts w:ascii="Traditional Arabic" w:hAnsi="Traditional Arabic" w:cs="Traditional Arabic"/>
          <w:b/>
          <w:bCs/>
          <w:color w:val="000000" w:themeColor="text1"/>
          <w:sz w:val="24"/>
          <w:szCs w:val="24"/>
          <w:rtl/>
        </w:rPr>
        <w:t>منهجية كمية تحليلية دقيقة</w:t>
      </w:r>
      <w:r w:rsidRPr="00362D29">
        <w:rPr>
          <w:rFonts w:ascii="Traditional Arabic" w:hAnsi="Traditional Arabic" w:cs="Traditional Arabic"/>
          <w:b/>
          <w:bCs/>
          <w:color w:val="000000" w:themeColor="text1"/>
          <w:sz w:val="24"/>
          <w:szCs w:val="24"/>
        </w:rPr>
        <w:t>:</w:t>
      </w:r>
    </w:p>
    <w:p w14:paraId="5B0845F6" w14:textId="77777777" w:rsidR="00947153" w:rsidRPr="00362D29" w:rsidRDefault="00947153" w:rsidP="00362D29">
      <w:pPr>
        <w:pStyle w:val="ab"/>
        <w:bidi/>
        <w:spacing w:after="200" w:line="360" w:lineRule="auto"/>
        <w:jc w:val="both"/>
        <w:rPr>
          <w:rFonts w:ascii="Traditional Arabic" w:hAnsi="Traditional Arabic" w:cs="Traditional Arabic"/>
          <w:color w:val="000000" w:themeColor="text1"/>
          <w:sz w:val="24"/>
          <w:szCs w:val="24"/>
          <w:rtl/>
        </w:rPr>
      </w:pPr>
      <w:r w:rsidRPr="00362D29">
        <w:rPr>
          <w:rFonts w:ascii="Traditional Arabic" w:hAnsi="Traditional Arabic" w:cs="Traditional Arabic"/>
          <w:color w:val="000000" w:themeColor="text1"/>
          <w:sz w:val="24"/>
          <w:szCs w:val="24"/>
          <w:rtl/>
        </w:rPr>
        <w:t>اعتمدت على المنهج الوصفي التحليلي باستخدام أدوات إحصائية لقياس العلاقة بين متغيرات النموذج الوطني للتميز المؤسسي لجائزة الملك عبد العزيز للجودة (بأبعاده الثمانية) وتجربة المريض، مما يوفر نتائج قابلة للتعميم</w:t>
      </w:r>
      <w:r w:rsidRPr="00362D29">
        <w:rPr>
          <w:rFonts w:ascii="Traditional Arabic" w:hAnsi="Traditional Arabic" w:cs="Traditional Arabic"/>
          <w:color w:val="000000" w:themeColor="text1"/>
          <w:sz w:val="24"/>
          <w:szCs w:val="24"/>
        </w:rPr>
        <w:t>.</w:t>
      </w:r>
    </w:p>
    <w:p w14:paraId="6770E0B5" w14:textId="77777777" w:rsidR="00947153" w:rsidRPr="00362D29" w:rsidRDefault="00947153" w:rsidP="00362D29">
      <w:pPr>
        <w:pStyle w:val="ab"/>
        <w:numPr>
          <w:ilvl w:val="0"/>
          <w:numId w:val="10"/>
        </w:numPr>
        <w:bidi/>
        <w:spacing w:after="200" w:line="360" w:lineRule="auto"/>
        <w:jc w:val="both"/>
        <w:rPr>
          <w:rFonts w:ascii="Traditional Arabic" w:hAnsi="Traditional Arabic" w:cs="Traditional Arabic"/>
          <w:b/>
          <w:bCs/>
          <w:color w:val="000000" w:themeColor="text1"/>
          <w:sz w:val="24"/>
          <w:szCs w:val="24"/>
          <w:rtl/>
        </w:rPr>
      </w:pPr>
      <w:r w:rsidRPr="00362D29">
        <w:rPr>
          <w:rFonts w:ascii="Traditional Arabic" w:hAnsi="Traditional Arabic" w:cs="Traditional Arabic"/>
          <w:b/>
          <w:bCs/>
          <w:color w:val="000000" w:themeColor="text1"/>
          <w:sz w:val="24"/>
          <w:szCs w:val="24"/>
          <w:rtl/>
        </w:rPr>
        <w:t>استخدام أداة قياس رسمية معتمدة</w:t>
      </w:r>
      <w:r w:rsidRPr="00362D29">
        <w:rPr>
          <w:rFonts w:ascii="Traditional Arabic" w:hAnsi="Traditional Arabic" w:cs="Traditional Arabic"/>
          <w:b/>
          <w:bCs/>
          <w:color w:val="000000" w:themeColor="text1"/>
          <w:sz w:val="24"/>
          <w:szCs w:val="24"/>
        </w:rPr>
        <w:t>:</w:t>
      </w:r>
    </w:p>
    <w:p w14:paraId="706960A2" w14:textId="0CEF9DB5" w:rsidR="00947153" w:rsidRPr="00362D29" w:rsidRDefault="00947153" w:rsidP="00362D29">
      <w:pPr>
        <w:pStyle w:val="ab"/>
        <w:bidi/>
        <w:spacing w:after="200" w:line="360" w:lineRule="auto"/>
        <w:jc w:val="both"/>
        <w:rPr>
          <w:rFonts w:ascii="Traditional Arabic" w:hAnsi="Traditional Arabic" w:cs="Traditional Arabic"/>
          <w:color w:val="000000" w:themeColor="text1"/>
          <w:sz w:val="24"/>
          <w:szCs w:val="24"/>
          <w:rtl/>
        </w:rPr>
      </w:pPr>
      <w:r w:rsidRPr="00362D29">
        <w:rPr>
          <w:rFonts w:ascii="Traditional Arabic" w:hAnsi="Traditional Arabic" w:cs="Traditional Arabic"/>
          <w:color w:val="000000" w:themeColor="text1"/>
          <w:sz w:val="24"/>
          <w:szCs w:val="24"/>
          <w:rtl/>
        </w:rPr>
        <w:t xml:space="preserve">تم استخدام </w:t>
      </w:r>
      <w:r w:rsidR="00E71690" w:rsidRPr="00362D29">
        <w:rPr>
          <w:rFonts w:ascii="Traditional Arabic" w:hAnsi="Traditional Arabic" w:cs="Traditional Arabic"/>
          <w:color w:val="000000" w:themeColor="text1"/>
          <w:sz w:val="24"/>
          <w:szCs w:val="24"/>
          <w:rtl/>
        </w:rPr>
        <w:t xml:space="preserve">المقاييس </w:t>
      </w:r>
      <w:r w:rsidRPr="00362D29">
        <w:rPr>
          <w:rFonts w:ascii="Traditional Arabic" w:hAnsi="Traditional Arabic" w:cs="Traditional Arabic"/>
          <w:color w:val="000000" w:themeColor="text1"/>
          <w:sz w:val="24"/>
          <w:szCs w:val="24"/>
          <w:rtl/>
        </w:rPr>
        <w:t>المعتمد</w:t>
      </w:r>
      <w:r w:rsidR="00E71690" w:rsidRPr="00362D29">
        <w:rPr>
          <w:rFonts w:ascii="Traditional Arabic" w:hAnsi="Traditional Arabic" w:cs="Traditional Arabic"/>
          <w:color w:val="000000" w:themeColor="text1"/>
          <w:sz w:val="24"/>
          <w:szCs w:val="24"/>
          <w:rtl/>
        </w:rPr>
        <w:t>ة</w:t>
      </w:r>
      <w:r w:rsidRPr="00362D29">
        <w:rPr>
          <w:rFonts w:ascii="Traditional Arabic" w:hAnsi="Traditional Arabic" w:cs="Traditional Arabic"/>
          <w:color w:val="000000" w:themeColor="text1"/>
          <w:sz w:val="24"/>
          <w:szCs w:val="24"/>
          <w:rtl/>
        </w:rPr>
        <w:t xml:space="preserve"> من وزارة الصحة السعودية</w:t>
      </w:r>
      <w:r w:rsidRPr="00362D29">
        <w:rPr>
          <w:rFonts w:ascii="Traditional Arabic" w:hAnsi="Traditional Arabic" w:cs="Traditional Arabic"/>
          <w:color w:val="000000" w:themeColor="text1"/>
          <w:sz w:val="24"/>
          <w:szCs w:val="24"/>
        </w:rPr>
        <w:t xml:space="preserve"> </w:t>
      </w:r>
      <w:r w:rsidRPr="00362D29">
        <w:rPr>
          <w:rFonts w:ascii="Traditional Arabic" w:hAnsi="Traditional Arabic" w:cs="Traditional Arabic"/>
          <w:color w:val="000000" w:themeColor="text1"/>
          <w:sz w:val="24"/>
          <w:szCs w:val="24"/>
          <w:rtl/>
        </w:rPr>
        <w:t>عبر المنصة الالكترونية (برزجيني)</w:t>
      </w:r>
      <w:r w:rsidR="0048103C" w:rsidRPr="00362D29">
        <w:rPr>
          <w:rFonts w:ascii="Traditional Arabic" w:hAnsi="Traditional Arabic" w:cs="Traditional Arabic"/>
          <w:color w:val="000000" w:themeColor="text1"/>
          <w:sz w:val="24"/>
          <w:szCs w:val="24"/>
        </w:rPr>
        <w:t xml:space="preserve"> </w:t>
      </w:r>
      <w:r w:rsidRPr="00362D29">
        <w:rPr>
          <w:rFonts w:ascii="Traditional Arabic" w:hAnsi="Traditional Arabic" w:cs="Traditional Arabic"/>
          <w:color w:val="000000" w:themeColor="text1"/>
          <w:sz w:val="24"/>
          <w:szCs w:val="24"/>
        </w:rPr>
        <w:t xml:space="preserve">(Press Ganey) </w:t>
      </w:r>
      <w:r w:rsidRPr="00362D29">
        <w:rPr>
          <w:rFonts w:ascii="Traditional Arabic" w:hAnsi="Traditional Arabic" w:cs="Traditional Arabic"/>
          <w:color w:val="000000" w:themeColor="text1"/>
          <w:sz w:val="24"/>
          <w:szCs w:val="24"/>
          <w:rtl/>
        </w:rPr>
        <w:t>لبرنامج قياس تجربة المريض، مما يمنح الدراسة موثوقية عالية مقارنة بدراسات استخدمت أدوات غير موحدة أو نماذج نظرية فقط</w:t>
      </w:r>
      <w:r w:rsidRPr="00362D29">
        <w:rPr>
          <w:rFonts w:ascii="Traditional Arabic" w:hAnsi="Traditional Arabic" w:cs="Traditional Arabic"/>
          <w:color w:val="000000" w:themeColor="text1"/>
          <w:sz w:val="24"/>
          <w:szCs w:val="24"/>
        </w:rPr>
        <w:t>.</w:t>
      </w:r>
    </w:p>
    <w:p w14:paraId="15AD21BD" w14:textId="76524ED0" w:rsidR="00947153" w:rsidRPr="00362D29" w:rsidRDefault="00CE145B" w:rsidP="00362D29">
      <w:pPr>
        <w:pStyle w:val="ab"/>
        <w:numPr>
          <w:ilvl w:val="0"/>
          <w:numId w:val="10"/>
        </w:numPr>
        <w:bidi/>
        <w:spacing w:after="200" w:line="360" w:lineRule="auto"/>
        <w:jc w:val="both"/>
        <w:rPr>
          <w:rFonts w:ascii="Traditional Arabic" w:hAnsi="Traditional Arabic" w:cs="Traditional Arabic"/>
          <w:b/>
          <w:bCs/>
          <w:color w:val="000000" w:themeColor="text1"/>
          <w:sz w:val="24"/>
          <w:szCs w:val="24"/>
          <w:rtl/>
        </w:rPr>
      </w:pPr>
      <w:r w:rsidRPr="00362D29">
        <w:rPr>
          <w:rFonts w:ascii="Traditional Arabic" w:hAnsi="Traditional Arabic" w:cs="Traditional Arabic"/>
          <w:b/>
          <w:bCs/>
          <w:color w:val="000000" w:themeColor="text1"/>
          <w:sz w:val="24"/>
          <w:szCs w:val="24"/>
          <w:rtl/>
        </w:rPr>
        <w:t>الحداثة الزمانية والمكانية</w:t>
      </w:r>
      <w:r w:rsidR="00947153" w:rsidRPr="00362D29">
        <w:rPr>
          <w:rFonts w:ascii="Traditional Arabic" w:hAnsi="Traditional Arabic" w:cs="Traditional Arabic"/>
          <w:b/>
          <w:bCs/>
          <w:color w:val="000000" w:themeColor="text1"/>
          <w:sz w:val="24"/>
          <w:szCs w:val="24"/>
        </w:rPr>
        <w:t>:</w:t>
      </w:r>
    </w:p>
    <w:p w14:paraId="2DF3FEF1" w14:textId="51A9C4DD" w:rsidR="00947153" w:rsidRPr="00362D29" w:rsidRDefault="00947153" w:rsidP="00362D29">
      <w:pPr>
        <w:pStyle w:val="ab"/>
        <w:bidi/>
        <w:spacing w:after="200" w:line="360" w:lineRule="auto"/>
        <w:jc w:val="both"/>
        <w:rPr>
          <w:rFonts w:ascii="Traditional Arabic" w:hAnsi="Traditional Arabic" w:cs="Traditional Arabic"/>
          <w:color w:val="000000" w:themeColor="text1"/>
          <w:sz w:val="24"/>
          <w:szCs w:val="24"/>
          <w:rtl/>
        </w:rPr>
      </w:pPr>
      <w:r w:rsidRPr="00362D29">
        <w:rPr>
          <w:rFonts w:ascii="Traditional Arabic" w:hAnsi="Traditional Arabic" w:cs="Traditional Arabic"/>
          <w:color w:val="000000" w:themeColor="text1"/>
          <w:sz w:val="24"/>
          <w:szCs w:val="24"/>
          <w:rtl/>
        </w:rPr>
        <w:t xml:space="preserve">تُطبَّق الدراسة ضمن أحد التجمعات الصحية في المملكة (تجمع القصيم الصحي)، </w:t>
      </w:r>
      <w:r w:rsidR="00C67FED" w:rsidRPr="00362D29">
        <w:rPr>
          <w:rFonts w:ascii="Traditional Arabic" w:hAnsi="Traditional Arabic" w:cs="Traditional Arabic"/>
          <w:color w:val="000000" w:themeColor="text1"/>
          <w:sz w:val="24"/>
          <w:szCs w:val="24"/>
          <w:rtl/>
        </w:rPr>
        <w:t>مما يوفر رؤية واقعية لأثر التحول المؤسسي على تجربة المريض في البيئة الإدارية المستحدثة</w:t>
      </w:r>
      <w:r w:rsidR="00975EB6" w:rsidRPr="00362D29">
        <w:rPr>
          <w:rFonts w:ascii="Traditional Arabic" w:hAnsi="Traditional Arabic" w:cs="Traditional Arabic"/>
          <w:color w:val="000000" w:themeColor="text1"/>
          <w:sz w:val="24"/>
          <w:szCs w:val="24"/>
          <w:rtl/>
        </w:rPr>
        <w:t xml:space="preserve"> وم</w:t>
      </w:r>
      <w:r w:rsidRPr="00362D29">
        <w:rPr>
          <w:rFonts w:ascii="Traditional Arabic" w:hAnsi="Traditional Arabic" w:cs="Traditional Arabic"/>
          <w:color w:val="000000" w:themeColor="text1"/>
          <w:sz w:val="24"/>
          <w:szCs w:val="24"/>
          <w:rtl/>
        </w:rPr>
        <w:t>ما يضعها في قلب بيئة التحول الصحي الوطني، بخلاف دراسات ركزت على مستشفيات خاصة أو خارج المملكة</w:t>
      </w:r>
      <w:r w:rsidRPr="00362D29">
        <w:rPr>
          <w:rFonts w:ascii="Traditional Arabic" w:hAnsi="Traditional Arabic" w:cs="Traditional Arabic"/>
          <w:color w:val="000000" w:themeColor="text1"/>
          <w:sz w:val="24"/>
          <w:szCs w:val="24"/>
        </w:rPr>
        <w:t>.</w:t>
      </w:r>
    </w:p>
    <w:p w14:paraId="17F63951" w14:textId="77777777" w:rsidR="00960ED5" w:rsidRPr="00362D29" w:rsidRDefault="00947153" w:rsidP="00362D29">
      <w:pPr>
        <w:pStyle w:val="ab"/>
        <w:numPr>
          <w:ilvl w:val="0"/>
          <w:numId w:val="10"/>
        </w:numPr>
        <w:bidi/>
        <w:spacing w:after="200" w:line="360" w:lineRule="auto"/>
        <w:jc w:val="both"/>
        <w:rPr>
          <w:rFonts w:ascii="Traditional Arabic" w:hAnsi="Traditional Arabic" w:cs="Traditional Arabic"/>
          <w:b/>
          <w:bCs/>
          <w:color w:val="000000" w:themeColor="text1"/>
          <w:sz w:val="24"/>
          <w:szCs w:val="24"/>
        </w:rPr>
      </w:pPr>
      <w:r w:rsidRPr="00362D29">
        <w:rPr>
          <w:rFonts w:ascii="Times New Roman" w:hAnsi="Times New Roman" w:cs="Times New Roman"/>
          <w:b/>
          <w:bCs/>
          <w:color w:val="000000" w:themeColor="text1"/>
          <w:sz w:val="24"/>
          <w:szCs w:val="24"/>
        </w:rPr>
        <w:t> </w:t>
      </w:r>
      <w:r w:rsidRPr="00362D29">
        <w:rPr>
          <w:rFonts w:ascii="Traditional Arabic" w:hAnsi="Traditional Arabic" w:cs="Traditional Arabic"/>
          <w:b/>
          <w:bCs/>
          <w:color w:val="000000" w:themeColor="text1"/>
          <w:sz w:val="24"/>
          <w:szCs w:val="24"/>
          <w:rtl/>
        </w:rPr>
        <w:t>شمولية الأبعاد المدروسة</w:t>
      </w:r>
      <w:r w:rsidRPr="00362D29">
        <w:rPr>
          <w:rFonts w:ascii="Traditional Arabic" w:hAnsi="Traditional Arabic" w:cs="Traditional Arabic"/>
          <w:b/>
          <w:bCs/>
          <w:color w:val="000000" w:themeColor="text1"/>
          <w:sz w:val="24"/>
          <w:szCs w:val="24"/>
        </w:rPr>
        <w:t>:</w:t>
      </w:r>
    </w:p>
    <w:p w14:paraId="1C8D9811" w14:textId="081B3CC0" w:rsidR="00840215" w:rsidRDefault="00947153" w:rsidP="00362D29">
      <w:pPr>
        <w:pStyle w:val="ab"/>
        <w:bidi/>
        <w:spacing w:after="200" w:line="360" w:lineRule="auto"/>
        <w:jc w:val="both"/>
        <w:rPr>
          <w:rFonts w:ascii="Traditional Arabic" w:hAnsi="Traditional Arabic" w:cs="Traditional Arabic"/>
          <w:b/>
          <w:bCs/>
          <w:color w:val="000000" w:themeColor="text1"/>
          <w:sz w:val="24"/>
          <w:szCs w:val="24"/>
          <w:rtl/>
        </w:rPr>
      </w:pPr>
      <w:r w:rsidRPr="00362D29">
        <w:rPr>
          <w:rFonts w:ascii="Traditional Arabic" w:hAnsi="Traditional Arabic" w:cs="Traditional Arabic"/>
          <w:color w:val="000000" w:themeColor="text1"/>
          <w:sz w:val="24"/>
          <w:szCs w:val="24"/>
          <w:rtl/>
        </w:rPr>
        <w:t>دمجت الدراسة بين مبادئ النموذج الوطني للتميز المؤسسي لجائزة الملك عبد العزيز للجودة (القيادة، العمليات، الابتكار، إلخ) وأبعاد تجربة المريض (الوصول، التواصل، الاحترام، إلخ) في إطار متكامل يعكس العلاقة بين الأداء المؤسسي والمخرجات الخدمية</w:t>
      </w:r>
      <w:r w:rsidRPr="00362D29">
        <w:rPr>
          <w:rFonts w:ascii="Traditional Arabic" w:hAnsi="Traditional Arabic" w:cs="Traditional Arabic"/>
          <w:color w:val="000000" w:themeColor="text1"/>
          <w:sz w:val="24"/>
          <w:szCs w:val="24"/>
        </w:rPr>
        <w:t>.</w:t>
      </w:r>
    </w:p>
    <w:p w14:paraId="69255D1F" w14:textId="77777777" w:rsidR="00CB4510" w:rsidRDefault="00CB4510" w:rsidP="00CB4510">
      <w:pPr>
        <w:pStyle w:val="ab"/>
        <w:bidi/>
        <w:spacing w:after="200" w:line="360" w:lineRule="auto"/>
        <w:jc w:val="both"/>
        <w:rPr>
          <w:rFonts w:ascii="Traditional Arabic" w:hAnsi="Traditional Arabic" w:cs="Traditional Arabic"/>
          <w:b/>
          <w:bCs/>
          <w:color w:val="000000" w:themeColor="text1"/>
          <w:sz w:val="24"/>
          <w:szCs w:val="24"/>
          <w:rtl/>
        </w:rPr>
      </w:pPr>
    </w:p>
    <w:p w14:paraId="1369BAE9" w14:textId="77777777" w:rsidR="00CB4510" w:rsidRPr="00362D29" w:rsidRDefault="00CB4510" w:rsidP="00CB4510">
      <w:pPr>
        <w:pStyle w:val="ab"/>
        <w:bidi/>
        <w:spacing w:after="200" w:line="360" w:lineRule="auto"/>
        <w:jc w:val="both"/>
        <w:rPr>
          <w:rFonts w:ascii="Traditional Arabic" w:hAnsi="Traditional Arabic" w:cs="Traditional Arabic"/>
          <w:b/>
          <w:bCs/>
          <w:color w:val="000000" w:themeColor="text1"/>
          <w:sz w:val="24"/>
          <w:szCs w:val="24"/>
        </w:rPr>
      </w:pPr>
    </w:p>
    <w:p w14:paraId="11DDE15C" w14:textId="77777777" w:rsidR="00960ED5" w:rsidRPr="00362D29" w:rsidRDefault="000E3A0D" w:rsidP="00362D29">
      <w:pPr>
        <w:pStyle w:val="ab"/>
        <w:numPr>
          <w:ilvl w:val="0"/>
          <w:numId w:val="10"/>
        </w:numPr>
        <w:bidi/>
        <w:spacing w:after="200" w:line="360" w:lineRule="auto"/>
        <w:jc w:val="both"/>
        <w:rPr>
          <w:rFonts w:ascii="Traditional Arabic" w:hAnsi="Traditional Arabic" w:cs="Traditional Arabic"/>
          <w:b/>
          <w:bCs/>
          <w:color w:val="000000" w:themeColor="text1"/>
          <w:sz w:val="24"/>
          <w:szCs w:val="24"/>
        </w:rPr>
      </w:pPr>
      <w:r w:rsidRPr="00362D29">
        <w:rPr>
          <w:rFonts w:ascii="Traditional Arabic" w:hAnsi="Traditional Arabic" w:cs="Traditional Arabic"/>
          <w:b/>
          <w:bCs/>
          <w:color w:val="000000" w:themeColor="text1"/>
          <w:sz w:val="24"/>
          <w:szCs w:val="24"/>
          <w:rtl/>
        </w:rPr>
        <w:lastRenderedPageBreak/>
        <w:t xml:space="preserve">القدرة التنبؤية: </w:t>
      </w:r>
    </w:p>
    <w:p w14:paraId="15EEC71B" w14:textId="41A27E8E" w:rsidR="00840215" w:rsidRPr="00362D29" w:rsidRDefault="000E3A0D" w:rsidP="00362D29">
      <w:pPr>
        <w:pStyle w:val="ab"/>
        <w:bidi/>
        <w:spacing w:after="200" w:line="360" w:lineRule="auto"/>
        <w:jc w:val="both"/>
        <w:rPr>
          <w:rFonts w:ascii="Traditional Arabic" w:hAnsi="Traditional Arabic" w:cs="Traditional Arabic"/>
          <w:b/>
          <w:bCs/>
          <w:color w:val="000000" w:themeColor="text1"/>
          <w:sz w:val="24"/>
          <w:szCs w:val="24"/>
        </w:rPr>
      </w:pPr>
      <w:r w:rsidRPr="00362D29">
        <w:rPr>
          <w:rFonts w:ascii="Traditional Arabic" w:hAnsi="Traditional Arabic" w:cs="Traditional Arabic"/>
          <w:color w:val="000000" w:themeColor="text1"/>
          <w:sz w:val="24"/>
          <w:szCs w:val="24"/>
          <w:rtl/>
        </w:rPr>
        <w:t>لا تكتفي الدراسة بوصف الواقع، بل تسعى لتحديد "الأبعاد الأكثر تأثيراً"، مما يوفر خارطة طريق لصناع القرار لترتيب أولويات الاستثمار في مبادئ التميز.</w:t>
      </w:r>
    </w:p>
    <w:p w14:paraId="5F8C17ED" w14:textId="6A2B3074" w:rsidR="00947153" w:rsidRPr="00362D29" w:rsidRDefault="00947153" w:rsidP="00362D29">
      <w:pPr>
        <w:pStyle w:val="ab"/>
        <w:numPr>
          <w:ilvl w:val="0"/>
          <w:numId w:val="10"/>
        </w:numPr>
        <w:bidi/>
        <w:spacing w:after="200" w:line="360" w:lineRule="auto"/>
        <w:jc w:val="both"/>
        <w:rPr>
          <w:rFonts w:ascii="Traditional Arabic" w:hAnsi="Traditional Arabic" w:cs="Traditional Arabic"/>
          <w:b/>
          <w:bCs/>
          <w:color w:val="000000" w:themeColor="text1"/>
          <w:sz w:val="24"/>
          <w:szCs w:val="24"/>
          <w:rtl/>
        </w:rPr>
      </w:pPr>
      <w:r w:rsidRPr="00362D29">
        <w:rPr>
          <w:rFonts w:ascii="Traditional Arabic" w:hAnsi="Traditional Arabic" w:cs="Traditional Arabic"/>
          <w:b/>
          <w:bCs/>
          <w:color w:val="000000" w:themeColor="text1"/>
          <w:sz w:val="24"/>
          <w:szCs w:val="24"/>
          <w:rtl/>
        </w:rPr>
        <w:t>دعم لصناع القرار</w:t>
      </w:r>
      <w:r w:rsidRPr="00362D29">
        <w:rPr>
          <w:rFonts w:ascii="Traditional Arabic" w:hAnsi="Traditional Arabic" w:cs="Traditional Arabic"/>
          <w:b/>
          <w:bCs/>
          <w:color w:val="000000" w:themeColor="text1"/>
          <w:sz w:val="24"/>
          <w:szCs w:val="24"/>
        </w:rPr>
        <w:t>:</w:t>
      </w:r>
    </w:p>
    <w:p w14:paraId="27884D7A" w14:textId="77777777" w:rsidR="00820991" w:rsidRPr="00362D29" w:rsidRDefault="00947153" w:rsidP="00362D29">
      <w:pPr>
        <w:pStyle w:val="ab"/>
        <w:bidi/>
        <w:spacing w:after="200" w:line="360" w:lineRule="auto"/>
        <w:jc w:val="both"/>
        <w:rPr>
          <w:rFonts w:ascii="Traditional Arabic" w:hAnsi="Traditional Arabic" w:cs="Traditional Arabic"/>
          <w:color w:val="000000" w:themeColor="text1"/>
          <w:sz w:val="24"/>
          <w:szCs w:val="24"/>
          <w:rtl/>
        </w:rPr>
      </w:pPr>
      <w:r w:rsidRPr="00362D29">
        <w:rPr>
          <w:rFonts w:ascii="Traditional Arabic" w:hAnsi="Traditional Arabic" w:cs="Traditional Arabic"/>
          <w:color w:val="000000" w:themeColor="text1"/>
          <w:sz w:val="24"/>
          <w:szCs w:val="24"/>
          <w:rtl/>
        </w:rPr>
        <w:t>توفر الدراسة أدلة علمية تطبيقية يمكن أن تدعم متخذي القرار في تطوير السياسات الصحية وتعزيز تجربة المريض من خلال أدوات التميز المؤسسي.</w:t>
      </w:r>
    </w:p>
    <w:p w14:paraId="059584D7" w14:textId="77777777" w:rsidR="00B05007" w:rsidRPr="00362D29" w:rsidRDefault="00B05007" w:rsidP="00362D29">
      <w:pPr>
        <w:pStyle w:val="ab"/>
        <w:bidi/>
        <w:spacing w:after="200" w:line="360" w:lineRule="auto"/>
        <w:jc w:val="both"/>
        <w:rPr>
          <w:rFonts w:ascii="Traditional Arabic" w:hAnsi="Traditional Arabic" w:cs="Traditional Arabic"/>
          <w:color w:val="000000" w:themeColor="text1"/>
          <w:sz w:val="24"/>
          <w:szCs w:val="24"/>
          <w:rtl/>
        </w:rPr>
      </w:pPr>
    </w:p>
    <w:p w14:paraId="687C6E49" w14:textId="77777777" w:rsidR="00B05007" w:rsidRPr="00362D29" w:rsidRDefault="00B05007" w:rsidP="00362D29">
      <w:pPr>
        <w:pStyle w:val="ab"/>
        <w:bidi/>
        <w:spacing w:after="200" w:line="360" w:lineRule="auto"/>
        <w:jc w:val="both"/>
        <w:rPr>
          <w:rFonts w:ascii="Traditional Arabic" w:hAnsi="Traditional Arabic" w:cs="Traditional Arabic"/>
          <w:color w:val="000000" w:themeColor="text1"/>
          <w:sz w:val="24"/>
          <w:szCs w:val="24"/>
          <w:rtl/>
        </w:rPr>
      </w:pPr>
    </w:p>
    <w:p w14:paraId="194A40EE" w14:textId="77777777" w:rsidR="00B05007" w:rsidRPr="00362D29" w:rsidRDefault="00B05007" w:rsidP="00362D29">
      <w:pPr>
        <w:bidi/>
        <w:spacing w:after="200" w:line="360" w:lineRule="auto"/>
        <w:jc w:val="both"/>
        <w:rPr>
          <w:rFonts w:ascii="Traditional Arabic" w:hAnsi="Traditional Arabic" w:cs="Traditional Arabic"/>
          <w:color w:val="000000" w:themeColor="text1"/>
          <w:sz w:val="24"/>
          <w:szCs w:val="24"/>
          <w:rtl/>
        </w:rPr>
      </w:pPr>
    </w:p>
    <w:sectPr w:rsidR="00B05007" w:rsidRPr="00362D29">
      <w:headerReference w:type="even" r:id="rId11"/>
      <w:headerReference w:type="default" r:id="rId12"/>
      <w:footerReference w:type="default" r:id="rId13"/>
      <w:headerReference w:type="first" r:id="rId14"/>
      <w:footerReference w:type="first" r:id="rId15"/>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B2CE93" w14:textId="77777777" w:rsidR="002D2B4E" w:rsidRDefault="002D2B4E">
      <w:r>
        <w:separator/>
      </w:r>
    </w:p>
  </w:endnote>
  <w:endnote w:type="continuationSeparator" w:id="0">
    <w:p w14:paraId="2395EC34" w14:textId="77777777" w:rsidR="002D2B4E" w:rsidRDefault="002D2B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default"/>
    <w:sig w:usb0="00000000" w:usb1="0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AutoText"/>
      </w:docPartObj>
    </w:sdtPr>
    <w:sdtContent>
      <w:p w14:paraId="649854A3" w14:textId="284C955A" w:rsidR="004F600B" w:rsidRDefault="00195FBA">
        <w:pPr>
          <w:pStyle w:val="a5"/>
          <w:jc w:val="center"/>
        </w:pPr>
        <w:r>
          <w:fldChar w:fldCharType="begin"/>
        </w:r>
        <w:r>
          <w:instrText xml:space="preserve"> PAGE   \* MERGEFORMAT </w:instrText>
        </w:r>
        <w:r>
          <w:fldChar w:fldCharType="separate"/>
        </w:r>
        <w:r w:rsidR="009A6288">
          <w:rPr>
            <w:noProof/>
          </w:rPr>
          <w:t>6</w:t>
        </w:r>
        <w:r>
          <w:fldChar w:fldCharType="end"/>
        </w:r>
      </w:p>
    </w:sdtContent>
  </w:sdt>
  <w:p w14:paraId="42F3EAE6" w14:textId="77777777" w:rsidR="004F600B" w:rsidRDefault="004F600B">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542F4" w14:textId="77777777" w:rsidR="004F600B" w:rsidRDefault="00195FBA">
    <w:pPr>
      <w:pStyle w:val="a5"/>
      <w:bidi/>
      <w:rPr>
        <w:sz w:val="24"/>
        <w:szCs w:val="24"/>
      </w:rPr>
    </w:pPr>
    <w:r>
      <w:rPr>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B519B1" w14:textId="77777777" w:rsidR="002D2B4E" w:rsidRDefault="002D2B4E">
      <w:pPr>
        <w:spacing w:after="0"/>
      </w:pPr>
      <w:r>
        <w:separator/>
      </w:r>
    </w:p>
  </w:footnote>
  <w:footnote w:type="continuationSeparator" w:id="0">
    <w:p w14:paraId="3420B074" w14:textId="77777777" w:rsidR="002D2B4E" w:rsidRDefault="002D2B4E">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FCE5C9" w14:textId="77777777" w:rsidR="004F600B" w:rsidRDefault="00000000">
    <w:pPr>
      <w:pStyle w:val="a6"/>
    </w:pPr>
    <w:r>
      <w:pict w14:anchorId="55A9A56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27" type="#_x0000_t75" alt="" style="position:absolute;margin-left:0;margin-top:0;width:415.2pt;height:182.4pt;z-index:-251653120;mso-wrap-edited:f;mso-width-percent:0;mso-height-percent:0;mso-position-horizontal:center;mso-position-horizontal-relative:margin;mso-position-vertical:center;mso-position-vertical-relative:margin;mso-width-percent:0;mso-height-percent:0;mso-width-relative:page;mso-height-relative:page"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E1BE1C" w14:textId="77777777" w:rsidR="004F600B" w:rsidRDefault="00000000">
    <w:pPr>
      <w:pStyle w:val="a6"/>
    </w:pPr>
    <w:r>
      <w:pict w14:anchorId="1F2FA6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26" type="#_x0000_t75" alt="" style="position:absolute;margin-left:0;margin-top:0;width:415.2pt;height:182.4pt;z-index:-251652096;mso-wrap-edited:f;mso-width-percent:0;mso-height-percent:0;mso-position-horizontal:center;mso-position-horizontal-relative:margin;mso-position-vertical:center;mso-position-vertical-relative:margin;mso-width-percent:0;mso-height-percent:0;mso-width-relative:page;mso-height-relative:page"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AutoText"/>
      </w:docPartObj>
    </w:sdtPr>
    <w:sdtContent>
      <w:p w14:paraId="3C801C66" w14:textId="77777777" w:rsidR="004F600B" w:rsidRDefault="00000000">
        <w:pPr>
          <w:pStyle w:val="a6"/>
        </w:pPr>
        <w:r>
          <w:pict w14:anchorId="7F93E6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5" type="#_x0000_t75" alt="" style="position:absolute;margin-left:0;margin-top:0;width:415.2pt;height:182.4pt;z-index:-251654144;mso-wrap-edited:f;mso-width-percent:0;mso-height-percent:0;mso-position-horizontal:center;mso-position-horizontal-relative:margin;mso-position-vertical:center;mso-position-vertical-relative:margin;mso-width-percent:0;mso-height-percent:0;mso-width-relative:page;mso-height-relative:page"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7680A"/>
    <w:multiLevelType w:val="hybridMultilevel"/>
    <w:tmpl w:val="506E0B3C"/>
    <w:lvl w:ilvl="0" w:tplc="EE12D4F0">
      <w:start w:val="1"/>
      <w:numFmt w:val="decimal"/>
      <w:lvlText w:val="%1-"/>
      <w:lvlJc w:val="left"/>
      <w:pPr>
        <w:ind w:left="720" w:hanging="360"/>
      </w:pPr>
      <w:rPr>
        <w:rFonts w:ascii="Traditional Arabic" w:eastAsiaTheme="minorHAnsi" w:hAnsi="Traditional Arabic" w:cs="Traditional Arabic"/>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D14632"/>
    <w:multiLevelType w:val="hybridMultilevel"/>
    <w:tmpl w:val="700E69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D9703B"/>
    <w:multiLevelType w:val="multilevel"/>
    <w:tmpl w:val="02D9703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3C963CB"/>
    <w:multiLevelType w:val="hybridMultilevel"/>
    <w:tmpl w:val="C6867F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172402"/>
    <w:multiLevelType w:val="hybridMultilevel"/>
    <w:tmpl w:val="131442E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4DD3468"/>
    <w:multiLevelType w:val="multilevel"/>
    <w:tmpl w:val="04DD3468"/>
    <w:lvl w:ilvl="0">
      <w:numFmt w:val="bullet"/>
      <w:lvlText w:val="-"/>
      <w:lvlJc w:val="left"/>
      <w:pPr>
        <w:ind w:left="720" w:hanging="360"/>
      </w:pPr>
      <w:rPr>
        <w:rFonts w:ascii="Traditional Arabic" w:eastAsiaTheme="minorHAnsi" w:hAnsi="Traditional Arabic" w:cs="Traditional Arabic"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04F72644"/>
    <w:multiLevelType w:val="hybridMultilevel"/>
    <w:tmpl w:val="560C6FFA"/>
    <w:lvl w:ilvl="0" w:tplc="0032F6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6B9077D"/>
    <w:multiLevelType w:val="hybridMultilevel"/>
    <w:tmpl w:val="DF44F9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85B42D2"/>
    <w:multiLevelType w:val="hybridMultilevel"/>
    <w:tmpl w:val="8640D9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D7D23D9"/>
    <w:multiLevelType w:val="hybridMultilevel"/>
    <w:tmpl w:val="98FC8DD6"/>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0DBA4365"/>
    <w:multiLevelType w:val="hybridMultilevel"/>
    <w:tmpl w:val="133676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F03281D"/>
    <w:multiLevelType w:val="hybridMultilevel"/>
    <w:tmpl w:val="456EF0DC"/>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F350919"/>
    <w:multiLevelType w:val="hybridMultilevel"/>
    <w:tmpl w:val="4D1807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F9B6132"/>
    <w:multiLevelType w:val="hybridMultilevel"/>
    <w:tmpl w:val="96B2B2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4361EED"/>
    <w:multiLevelType w:val="hybridMultilevel"/>
    <w:tmpl w:val="F952749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14547D84"/>
    <w:multiLevelType w:val="hybridMultilevel"/>
    <w:tmpl w:val="1BAE32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5325516"/>
    <w:multiLevelType w:val="hybridMultilevel"/>
    <w:tmpl w:val="DC680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7106A08"/>
    <w:multiLevelType w:val="hybridMultilevel"/>
    <w:tmpl w:val="05969400"/>
    <w:lvl w:ilvl="0" w:tplc="4040396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7A7294B"/>
    <w:multiLevelType w:val="hybridMultilevel"/>
    <w:tmpl w:val="D01A13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7F84293"/>
    <w:multiLevelType w:val="multilevel"/>
    <w:tmpl w:val="17F84293"/>
    <w:lvl w:ilvl="0">
      <w:start w:val="1"/>
      <w:numFmt w:val="bullet"/>
      <w:lvlText w:val=""/>
      <w:lvlJc w:val="left"/>
      <w:pPr>
        <w:ind w:left="720" w:hanging="360"/>
      </w:pPr>
      <w:rPr>
        <w:rFonts w:ascii="Symbol" w:hAnsi="Symbol" w:hint="default"/>
        <w:color w:val="000000" w:themeColor="text1"/>
        <w:sz w:val="28"/>
        <w:szCs w:val="28"/>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187B6337"/>
    <w:multiLevelType w:val="hybridMultilevel"/>
    <w:tmpl w:val="05F60EA6"/>
    <w:lvl w:ilvl="0" w:tplc="6CE89B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9ED5978"/>
    <w:multiLevelType w:val="hybridMultilevel"/>
    <w:tmpl w:val="7A825AD4"/>
    <w:lvl w:ilvl="0" w:tplc="04090009">
      <w:start w:val="1"/>
      <w:numFmt w:val="bullet"/>
      <w:lvlText w:val=""/>
      <w:lvlJc w:val="left"/>
      <w:pPr>
        <w:ind w:left="1476" w:hanging="360"/>
      </w:pPr>
      <w:rPr>
        <w:rFonts w:ascii="Wingdings" w:hAnsi="Wingdings" w:hint="default"/>
      </w:rPr>
    </w:lvl>
    <w:lvl w:ilvl="1" w:tplc="04090003" w:tentative="1">
      <w:start w:val="1"/>
      <w:numFmt w:val="bullet"/>
      <w:lvlText w:val="o"/>
      <w:lvlJc w:val="left"/>
      <w:pPr>
        <w:ind w:left="2196" w:hanging="360"/>
      </w:pPr>
      <w:rPr>
        <w:rFonts w:ascii="Courier New" w:hAnsi="Courier New" w:cs="Courier New" w:hint="default"/>
      </w:rPr>
    </w:lvl>
    <w:lvl w:ilvl="2" w:tplc="04090005" w:tentative="1">
      <w:start w:val="1"/>
      <w:numFmt w:val="bullet"/>
      <w:lvlText w:val=""/>
      <w:lvlJc w:val="left"/>
      <w:pPr>
        <w:ind w:left="2916" w:hanging="360"/>
      </w:pPr>
      <w:rPr>
        <w:rFonts w:ascii="Wingdings" w:hAnsi="Wingdings" w:hint="default"/>
      </w:rPr>
    </w:lvl>
    <w:lvl w:ilvl="3" w:tplc="04090001" w:tentative="1">
      <w:start w:val="1"/>
      <w:numFmt w:val="bullet"/>
      <w:lvlText w:val=""/>
      <w:lvlJc w:val="left"/>
      <w:pPr>
        <w:ind w:left="3636" w:hanging="360"/>
      </w:pPr>
      <w:rPr>
        <w:rFonts w:ascii="Symbol" w:hAnsi="Symbol" w:hint="default"/>
      </w:rPr>
    </w:lvl>
    <w:lvl w:ilvl="4" w:tplc="04090003" w:tentative="1">
      <w:start w:val="1"/>
      <w:numFmt w:val="bullet"/>
      <w:lvlText w:val="o"/>
      <w:lvlJc w:val="left"/>
      <w:pPr>
        <w:ind w:left="4356" w:hanging="360"/>
      </w:pPr>
      <w:rPr>
        <w:rFonts w:ascii="Courier New" w:hAnsi="Courier New" w:cs="Courier New" w:hint="default"/>
      </w:rPr>
    </w:lvl>
    <w:lvl w:ilvl="5" w:tplc="04090005" w:tentative="1">
      <w:start w:val="1"/>
      <w:numFmt w:val="bullet"/>
      <w:lvlText w:val=""/>
      <w:lvlJc w:val="left"/>
      <w:pPr>
        <w:ind w:left="5076" w:hanging="360"/>
      </w:pPr>
      <w:rPr>
        <w:rFonts w:ascii="Wingdings" w:hAnsi="Wingdings" w:hint="default"/>
      </w:rPr>
    </w:lvl>
    <w:lvl w:ilvl="6" w:tplc="04090001" w:tentative="1">
      <w:start w:val="1"/>
      <w:numFmt w:val="bullet"/>
      <w:lvlText w:val=""/>
      <w:lvlJc w:val="left"/>
      <w:pPr>
        <w:ind w:left="5796" w:hanging="360"/>
      </w:pPr>
      <w:rPr>
        <w:rFonts w:ascii="Symbol" w:hAnsi="Symbol" w:hint="default"/>
      </w:rPr>
    </w:lvl>
    <w:lvl w:ilvl="7" w:tplc="04090003" w:tentative="1">
      <w:start w:val="1"/>
      <w:numFmt w:val="bullet"/>
      <w:lvlText w:val="o"/>
      <w:lvlJc w:val="left"/>
      <w:pPr>
        <w:ind w:left="6516" w:hanging="360"/>
      </w:pPr>
      <w:rPr>
        <w:rFonts w:ascii="Courier New" w:hAnsi="Courier New" w:cs="Courier New" w:hint="default"/>
      </w:rPr>
    </w:lvl>
    <w:lvl w:ilvl="8" w:tplc="04090005" w:tentative="1">
      <w:start w:val="1"/>
      <w:numFmt w:val="bullet"/>
      <w:lvlText w:val=""/>
      <w:lvlJc w:val="left"/>
      <w:pPr>
        <w:ind w:left="7236" w:hanging="360"/>
      </w:pPr>
      <w:rPr>
        <w:rFonts w:ascii="Wingdings" w:hAnsi="Wingdings" w:hint="default"/>
      </w:rPr>
    </w:lvl>
  </w:abstractNum>
  <w:abstractNum w:abstractNumId="22" w15:restartNumberingAfterBreak="0">
    <w:nsid w:val="1AA43A0C"/>
    <w:multiLevelType w:val="hybridMultilevel"/>
    <w:tmpl w:val="5534197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C7312BE"/>
    <w:multiLevelType w:val="hybridMultilevel"/>
    <w:tmpl w:val="70C21CF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1F9D0418"/>
    <w:multiLevelType w:val="hybridMultilevel"/>
    <w:tmpl w:val="8FBCC6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2C40268"/>
    <w:multiLevelType w:val="hybridMultilevel"/>
    <w:tmpl w:val="0B24D5A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2D906B0"/>
    <w:multiLevelType w:val="hybridMultilevel"/>
    <w:tmpl w:val="6DACF9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4465213"/>
    <w:multiLevelType w:val="hybridMultilevel"/>
    <w:tmpl w:val="1ADA9AE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5D04659"/>
    <w:multiLevelType w:val="multilevel"/>
    <w:tmpl w:val="25D04659"/>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9" w15:restartNumberingAfterBreak="0">
    <w:nsid w:val="2B1B77DB"/>
    <w:multiLevelType w:val="hybridMultilevel"/>
    <w:tmpl w:val="9ED03F3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BD41FAE"/>
    <w:multiLevelType w:val="hybridMultilevel"/>
    <w:tmpl w:val="FCCCAF4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EF414BE"/>
    <w:multiLevelType w:val="hybridMultilevel"/>
    <w:tmpl w:val="043249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F947461"/>
    <w:multiLevelType w:val="hybridMultilevel"/>
    <w:tmpl w:val="E62A8C5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F976784"/>
    <w:multiLevelType w:val="hybridMultilevel"/>
    <w:tmpl w:val="242628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1CC1080"/>
    <w:multiLevelType w:val="multilevel"/>
    <w:tmpl w:val="31CC1080"/>
    <w:lvl w:ilvl="0">
      <w:start w:val="1"/>
      <w:numFmt w:val="decimal"/>
      <w:lvlText w:val="%1."/>
      <w:lvlJc w:val="left"/>
      <w:pPr>
        <w:tabs>
          <w:tab w:val="left" w:pos="720"/>
        </w:tabs>
        <w:ind w:left="720" w:hanging="360"/>
      </w:pPr>
    </w:lvl>
    <w:lvl w:ilvl="1">
      <w:start w:val="1"/>
      <w:numFmt w:val="decimal"/>
      <w:lvlText w:val="%2-"/>
      <w:lvlJc w:val="left"/>
      <w:pPr>
        <w:ind w:left="1440" w:hanging="360"/>
      </w:pPr>
      <w:rPr>
        <w:rFonts w:hint="default"/>
      </w:r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5" w15:restartNumberingAfterBreak="0">
    <w:nsid w:val="32C45304"/>
    <w:multiLevelType w:val="hybridMultilevel"/>
    <w:tmpl w:val="2F02E45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33F6353B"/>
    <w:multiLevelType w:val="multilevel"/>
    <w:tmpl w:val="BE94A69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4BD662F"/>
    <w:multiLevelType w:val="hybridMultilevel"/>
    <w:tmpl w:val="C0FC1F72"/>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389737C5"/>
    <w:multiLevelType w:val="hybridMultilevel"/>
    <w:tmpl w:val="86BEBA0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9D14BE5"/>
    <w:multiLevelType w:val="hybridMultilevel"/>
    <w:tmpl w:val="976220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3A4E74C2"/>
    <w:multiLevelType w:val="multilevel"/>
    <w:tmpl w:val="31CC1080"/>
    <w:lvl w:ilvl="0">
      <w:start w:val="1"/>
      <w:numFmt w:val="decimal"/>
      <w:lvlText w:val="%1."/>
      <w:lvlJc w:val="left"/>
      <w:pPr>
        <w:tabs>
          <w:tab w:val="left" w:pos="720"/>
        </w:tabs>
        <w:ind w:left="720" w:hanging="360"/>
      </w:pPr>
    </w:lvl>
    <w:lvl w:ilvl="1">
      <w:start w:val="1"/>
      <w:numFmt w:val="decimal"/>
      <w:lvlText w:val="%2-"/>
      <w:lvlJc w:val="left"/>
      <w:pPr>
        <w:ind w:left="1440" w:hanging="360"/>
      </w:pPr>
      <w:rPr>
        <w:rFonts w:hint="default"/>
      </w:r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41" w15:restartNumberingAfterBreak="0">
    <w:nsid w:val="3E561887"/>
    <w:multiLevelType w:val="hybridMultilevel"/>
    <w:tmpl w:val="DFD821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E7A0B06"/>
    <w:multiLevelType w:val="hybridMultilevel"/>
    <w:tmpl w:val="0764D1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42324757"/>
    <w:multiLevelType w:val="hybridMultilevel"/>
    <w:tmpl w:val="96D84C38"/>
    <w:lvl w:ilvl="0" w:tplc="9D58AC2C">
      <w:start w:val="1"/>
      <w:numFmt w:val="decimal"/>
      <w:lvlText w:val="%1-"/>
      <w:lvlJc w:val="left"/>
      <w:pPr>
        <w:ind w:left="720" w:hanging="360"/>
      </w:pPr>
      <w:rPr>
        <w:rFonts w:hint="default"/>
      </w:rPr>
    </w:lvl>
    <w:lvl w:ilvl="1" w:tplc="8AE4D6D4">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4FF25A0"/>
    <w:multiLevelType w:val="hybridMultilevel"/>
    <w:tmpl w:val="4C2CB2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7A53BF4"/>
    <w:multiLevelType w:val="hybridMultilevel"/>
    <w:tmpl w:val="90C411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49D47CF3"/>
    <w:multiLevelType w:val="hybridMultilevel"/>
    <w:tmpl w:val="4816FFD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4A0A1E92"/>
    <w:multiLevelType w:val="hybridMultilevel"/>
    <w:tmpl w:val="EE280D2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15:restartNumberingAfterBreak="0">
    <w:nsid w:val="4A555F36"/>
    <w:multiLevelType w:val="multilevel"/>
    <w:tmpl w:val="4A555F3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9" w15:restartNumberingAfterBreak="0">
    <w:nsid w:val="4BD85425"/>
    <w:multiLevelType w:val="hybridMultilevel"/>
    <w:tmpl w:val="B48E29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518A5728"/>
    <w:multiLevelType w:val="hybridMultilevel"/>
    <w:tmpl w:val="DFAA04F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548F437D"/>
    <w:multiLevelType w:val="hybridMultilevel"/>
    <w:tmpl w:val="900EFFC2"/>
    <w:lvl w:ilvl="0" w:tplc="04090001">
      <w:start w:val="1"/>
      <w:numFmt w:val="bullet"/>
      <w:lvlText w:val=""/>
      <w:lvlJc w:val="left"/>
      <w:pPr>
        <w:ind w:left="777" w:hanging="360"/>
      </w:pPr>
      <w:rPr>
        <w:rFonts w:ascii="Symbol" w:hAnsi="Symbol" w:hint="default"/>
      </w:rPr>
    </w:lvl>
    <w:lvl w:ilvl="1" w:tplc="04090003" w:tentative="1">
      <w:start w:val="1"/>
      <w:numFmt w:val="bullet"/>
      <w:lvlText w:val="o"/>
      <w:lvlJc w:val="left"/>
      <w:pPr>
        <w:ind w:left="1497" w:hanging="360"/>
      </w:pPr>
      <w:rPr>
        <w:rFonts w:ascii="Courier New" w:hAnsi="Courier New" w:cs="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cs="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cs="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52" w15:restartNumberingAfterBreak="0">
    <w:nsid w:val="562E70E2"/>
    <w:multiLevelType w:val="hybridMultilevel"/>
    <w:tmpl w:val="B1EAFC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6A8265A"/>
    <w:multiLevelType w:val="hybridMultilevel"/>
    <w:tmpl w:val="62E6A410"/>
    <w:lvl w:ilvl="0" w:tplc="EBF6E4BA">
      <w:start w:val="16"/>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82A0E8B"/>
    <w:multiLevelType w:val="hybridMultilevel"/>
    <w:tmpl w:val="4002F0B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59A6067F"/>
    <w:multiLevelType w:val="hybridMultilevel"/>
    <w:tmpl w:val="B9A0DB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5BB450B1"/>
    <w:multiLevelType w:val="hybridMultilevel"/>
    <w:tmpl w:val="991C76C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5F213848"/>
    <w:multiLevelType w:val="hybridMultilevel"/>
    <w:tmpl w:val="BD9221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5F783C18"/>
    <w:multiLevelType w:val="hybridMultilevel"/>
    <w:tmpl w:val="39BAE78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61DF05C4"/>
    <w:multiLevelType w:val="hybridMultilevel"/>
    <w:tmpl w:val="B10C9F9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63132004"/>
    <w:multiLevelType w:val="hybridMultilevel"/>
    <w:tmpl w:val="E0BAD0E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64364343"/>
    <w:multiLevelType w:val="hybridMultilevel"/>
    <w:tmpl w:val="DFD8213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15:restartNumberingAfterBreak="0">
    <w:nsid w:val="64543E5E"/>
    <w:multiLevelType w:val="hybridMultilevel"/>
    <w:tmpl w:val="9AFAF2BA"/>
    <w:lvl w:ilvl="0" w:tplc="AC0E12E8">
      <w:start w:val="17"/>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66440FB6"/>
    <w:multiLevelType w:val="hybridMultilevel"/>
    <w:tmpl w:val="72C0A5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6781039E"/>
    <w:multiLevelType w:val="hybridMultilevel"/>
    <w:tmpl w:val="E53E3830"/>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5" w15:restartNumberingAfterBreak="0">
    <w:nsid w:val="67AB57DF"/>
    <w:multiLevelType w:val="multilevel"/>
    <w:tmpl w:val="67AB57DF"/>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66" w15:restartNumberingAfterBreak="0">
    <w:nsid w:val="67FA31D5"/>
    <w:multiLevelType w:val="multilevel"/>
    <w:tmpl w:val="4FF03CDA"/>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BDA5973"/>
    <w:multiLevelType w:val="hybridMultilevel"/>
    <w:tmpl w:val="5EBE16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6CA40B6A"/>
    <w:multiLevelType w:val="hybridMultilevel"/>
    <w:tmpl w:val="0C00A7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6DB04E74"/>
    <w:multiLevelType w:val="hybridMultilevel"/>
    <w:tmpl w:val="F93897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E7F57DB"/>
    <w:multiLevelType w:val="hybridMultilevel"/>
    <w:tmpl w:val="6CAA1B4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EE9327D"/>
    <w:multiLevelType w:val="hybridMultilevel"/>
    <w:tmpl w:val="DBFC0496"/>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2" w15:restartNumberingAfterBreak="0">
    <w:nsid w:val="79714616"/>
    <w:multiLevelType w:val="multilevel"/>
    <w:tmpl w:val="79714616"/>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73" w15:restartNumberingAfterBreak="0">
    <w:nsid w:val="79B61F6C"/>
    <w:multiLevelType w:val="hybridMultilevel"/>
    <w:tmpl w:val="77CC6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7B885216"/>
    <w:multiLevelType w:val="hybridMultilevel"/>
    <w:tmpl w:val="D6783C9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7C483444"/>
    <w:multiLevelType w:val="hybridMultilevel"/>
    <w:tmpl w:val="AE604F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7CEE0A4F"/>
    <w:multiLevelType w:val="hybridMultilevel"/>
    <w:tmpl w:val="383EECE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7" w15:restartNumberingAfterBreak="0">
    <w:nsid w:val="7D207CBA"/>
    <w:multiLevelType w:val="hybridMultilevel"/>
    <w:tmpl w:val="F1C822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7E6A76CD"/>
    <w:multiLevelType w:val="hybridMultilevel"/>
    <w:tmpl w:val="E7C4D8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7F1F0C16"/>
    <w:multiLevelType w:val="hybridMultilevel"/>
    <w:tmpl w:val="A7F608A6"/>
    <w:lvl w:ilvl="0" w:tplc="60121A0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43814783">
    <w:abstractNumId w:val="5"/>
  </w:num>
  <w:num w:numId="2" w16cid:durableId="1898348080">
    <w:abstractNumId w:val="65"/>
  </w:num>
  <w:num w:numId="3" w16cid:durableId="716205771">
    <w:abstractNumId w:val="34"/>
  </w:num>
  <w:num w:numId="4" w16cid:durableId="1392147662">
    <w:abstractNumId w:val="28"/>
  </w:num>
  <w:num w:numId="5" w16cid:durableId="1479415010">
    <w:abstractNumId w:val="2"/>
  </w:num>
  <w:num w:numId="6" w16cid:durableId="518085084">
    <w:abstractNumId w:val="48"/>
  </w:num>
  <w:num w:numId="7" w16cid:durableId="1387071883">
    <w:abstractNumId w:val="19"/>
  </w:num>
  <w:num w:numId="8" w16cid:durableId="327250117">
    <w:abstractNumId w:val="72"/>
  </w:num>
  <w:num w:numId="9" w16cid:durableId="189877289">
    <w:abstractNumId w:val="40"/>
  </w:num>
  <w:num w:numId="10" w16cid:durableId="267785433">
    <w:abstractNumId w:val="11"/>
  </w:num>
  <w:num w:numId="11" w16cid:durableId="269359070">
    <w:abstractNumId w:val="14"/>
  </w:num>
  <w:num w:numId="12" w16cid:durableId="1520656129">
    <w:abstractNumId w:val="41"/>
  </w:num>
  <w:num w:numId="13" w16cid:durableId="573324373">
    <w:abstractNumId w:val="8"/>
  </w:num>
  <w:num w:numId="14" w16cid:durableId="2139712986">
    <w:abstractNumId w:val="21"/>
  </w:num>
  <w:num w:numId="15" w16cid:durableId="238255968">
    <w:abstractNumId w:val="46"/>
  </w:num>
  <w:num w:numId="16" w16cid:durableId="1443181705">
    <w:abstractNumId w:val="23"/>
  </w:num>
  <w:num w:numId="17" w16cid:durableId="791747231">
    <w:abstractNumId w:val="76"/>
  </w:num>
  <w:num w:numId="18" w16cid:durableId="593321902">
    <w:abstractNumId w:val="51"/>
  </w:num>
  <w:num w:numId="19" w16cid:durableId="104347972">
    <w:abstractNumId w:val="79"/>
  </w:num>
  <w:num w:numId="20" w16cid:durableId="37780404">
    <w:abstractNumId w:val="53"/>
  </w:num>
  <w:num w:numId="21" w16cid:durableId="676270449">
    <w:abstractNumId w:val="62"/>
  </w:num>
  <w:num w:numId="22" w16cid:durableId="705181707">
    <w:abstractNumId w:val="61"/>
  </w:num>
  <w:num w:numId="23" w16cid:durableId="1113397945">
    <w:abstractNumId w:val="0"/>
  </w:num>
  <w:num w:numId="24" w16cid:durableId="231352490">
    <w:abstractNumId w:val="35"/>
  </w:num>
  <w:num w:numId="25" w16cid:durableId="1594970806">
    <w:abstractNumId w:val="47"/>
  </w:num>
  <w:num w:numId="26" w16cid:durableId="1339192231">
    <w:abstractNumId w:val="17"/>
  </w:num>
  <w:num w:numId="27" w16cid:durableId="828330748">
    <w:abstractNumId w:val="43"/>
  </w:num>
  <w:num w:numId="28" w16cid:durableId="1376084685">
    <w:abstractNumId w:val="36"/>
  </w:num>
  <w:num w:numId="29" w16cid:durableId="2061517338">
    <w:abstractNumId w:val="15"/>
  </w:num>
  <w:num w:numId="30" w16cid:durableId="1668047584">
    <w:abstractNumId w:val="7"/>
  </w:num>
  <w:num w:numId="31" w16cid:durableId="819082229">
    <w:abstractNumId w:val="66"/>
  </w:num>
  <w:num w:numId="32" w16cid:durableId="695497651">
    <w:abstractNumId w:val="75"/>
  </w:num>
  <w:num w:numId="33" w16cid:durableId="896741955">
    <w:abstractNumId w:val="6"/>
  </w:num>
  <w:num w:numId="34" w16cid:durableId="259873877">
    <w:abstractNumId w:val="73"/>
  </w:num>
  <w:num w:numId="35" w16cid:durableId="1736932554">
    <w:abstractNumId w:val="30"/>
  </w:num>
  <w:num w:numId="36" w16cid:durableId="1783456215">
    <w:abstractNumId w:val="50"/>
  </w:num>
  <w:num w:numId="37" w16cid:durableId="59643373">
    <w:abstractNumId w:val="60"/>
  </w:num>
  <w:num w:numId="38" w16cid:durableId="1479573006">
    <w:abstractNumId w:val="38"/>
  </w:num>
  <w:num w:numId="39" w16cid:durableId="1851328934">
    <w:abstractNumId w:val="45"/>
  </w:num>
  <w:num w:numId="40" w16cid:durableId="1481921033">
    <w:abstractNumId w:val="70"/>
  </w:num>
  <w:num w:numId="41" w16cid:durableId="1687125828">
    <w:abstractNumId w:val="32"/>
  </w:num>
  <w:num w:numId="42" w16cid:durableId="1221986440">
    <w:abstractNumId w:val="1"/>
  </w:num>
  <w:num w:numId="43" w16cid:durableId="1917321657">
    <w:abstractNumId w:val="49"/>
  </w:num>
  <w:num w:numId="44" w16cid:durableId="1892187064">
    <w:abstractNumId w:val="27"/>
  </w:num>
  <w:num w:numId="45" w16cid:durableId="1181240575">
    <w:abstractNumId w:val="18"/>
  </w:num>
  <w:num w:numId="46" w16cid:durableId="1692534472">
    <w:abstractNumId w:val="52"/>
  </w:num>
  <w:num w:numId="47" w16cid:durableId="1240015803">
    <w:abstractNumId w:val="3"/>
  </w:num>
  <w:num w:numId="48" w16cid:durableId="173425592">
    <w:abstractNumId w:val="37"/>
  </w:num>
  <w:num w:numId="49" w16cid:durableId="625934353">
    <w:abstractNumId w:val="33"/>
  </w:num>
  <w:num w:numId="50" w16cid:durableId="428043154">
    <w:abstractNumId w:val="77"/>
  </w:num>
  <w:num w:numId="51" w16cid:durableId="1079864531">
    <w:abstractNumId w:val="20"/>
  </w:num>
  <w:num w:numId="52" w16cid:durableId="1553299201">
    <w:abstractNumId w:val="44"/>
  </w:num>
  <w:num w:numId="53" w16cid:durableId="740711943">
    <w:abstractNumId w:val="69"/>
  </w:num>
  <w:num w:numId="54" w16cid:durableId="863251078">
    <w:abstractNumId w:val="10"/>
  </w:num>
  <w:num w:numId="55" w16cid:durableId="182981695">
    <w:abstractNumId w:val="74"/>
  </w:num>
  <w:num w:numId="56" w16cid:durableId="42601347">
    <w:abstractNumId w:val="54"/>
  </w:num>
  <w:num w:numId="57" w16cid:durableId="479270214">
    <w:abstractNumId w:val="58"/>
  </w:num>
  <w:num w:numId="58" w16cid:durableId="897787424">
    <w:abstractNumId w:val="59"/>
  </w:num>
  <w:num w:numId="59" w16cid:durableId="667293598">
    <w:abstractNumId w:val="29"/>
  </w:num>
  <w:num w:numId="60" w16cid:durableId="1483623781">
    <w:abstractNumId w:val="56"/>
  </w:num>
  <w:num w:numId="61" w16cid:durableId="1220824683">
    <w:abstractNumId w:val="22"/>
  </w:num>
  <w:num w:numId="62" w16cid:durableId="1358964199">
    <w:abstractNumId w:val="55"/>
  </w:num>
  <w:num w:numId="63" w16cid:durableId="1475021404">
    <w:abstractNumId w:val="24"/>
  </w:num>
  <w:num w:numId="64" w16cid:durableId="1029065337">
    <w:abstractNumId w:val="39"/>
  </w:num>
  <w:num w:numId="65" w16cid:durableId="1716344690">
    <w:abstractNumId w:val="9"/>
  </w:num>
  <w:num w:numId="66" w16cid:durableId="1800995031">
    <w:abstractNumId w:val="63"/>
  </w:num>
  <w:num w:numId="67" w16cid:durableId="1168247044">
    <w:abstractNumId w:val="4"/>
  </w:num>
  <w:num w:numId="68" w16cid:durableId="1513761344">
    <w:abstractNumId w:val="25"/>
  </w:num>
  <w:num w:numId="69" w16cid:durableId="2034374966">
    <w:abstractNumId w:val="67"/>
  </w:num>
  <w:num w:numId="70" w16cid:durableId="127670319">
    <w:abstractNumId w:val="78"/>
  </w:num>
  <w:num w:numId="71" w16cid:durableId="819616260">
    <w:abstractNumId w:val="26"/>
  </w:num>
  <w:num w:numId="72" w16cid:durableId="626084755">
    <w:abstractNumId w:val="16"/>
  </w:num>
  <w:num w:numId="73" w16cid:durableId="2102988930">
    <w:abstractNumId w:val="12"/>
  </w:num>
  <w:num w:numId="74" w16cid:durableId="716048929">
    <w:abstractNumId w:val="42"/>
  </w:num>
  <w:num w:numId="75" w16cid:durableId="1037239785">
    <w:abstractNumId w:val="68"/>
  </w:num>
  <w:num w:numId="76" w16cid:durableId="1587691611">
    <w:abstractNumId w:val="31"/>
  </w:num>
  <w:num w:numId="77" w16cid:durableId="1299070088">
    <w:abstractNumId w:val="57"/>
  </w:num>
  <w:num w:numId="78" w16cid:durableId="1531649289">
    <w:abstractNumId w:val="13"/>
  </w:num>
  <w:num w:numId="79" w16cid:durableId="457264332">
    <w:abstractNumId w:val="64"/>
  </w:num>
  <w:num w:numId="80" w16cid:durableId="648098841">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defaultTabStop w:val="720"/>
  <w:characterSpacingControl w:val="doNotCompress"/>
  <w:hdrShapeDefaults>
    <o:shapedefaults v:ext="edit" spidmax="2050" fillcolor="white">
      <v:fill color="white"/>
    </o:shapedefaults>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F04"/>
    <w:rsid w:val="000013C8"/>
    <w:rsid w:val="000013F6"/>
    <w:rsid w:val="00001522"/>
    <w:rsid w:val="00001C83"/>
    <w:rsid w:val="00002454"/>
    <w:rsid w:val="000037A2"/>
    <w:rsid w:val="000042EF"/>
    <w:rsid w:val="00004383"/>
    <w:rsid w:val="0000445A"/>
    <w:rsid w:val="0000461F"/>
    <w:rsid w:val="0000497C"/>
    <w:rsid w:val="00004B02"/>
    <w:rsid w:val="00005FAF"/>
    <w:rsid w:val="00006F00"/>
    <w:rsid w:val="00007834"/>
    <w:rsid w:val="00007A87"/>
    <w:rsid w:val="000123FD"/>
    <w:rsid w:val="0001269E"/>
    <w:rsid w:val="000131B5"/>
    <w:rsid w:val="00013679"/>
    <w:rsid w:val="0001456A"/>
    <w:rsid w:val="00015F0D"/>
    <w:rsid w:val="000160F9"/>
    <w:rsid w:val="00016144"/>
    <w:rsid w:val="000173F7"/>
    <w:rsid w:val="00017F9E"/>
    <w:rsid w:val="00020A00"/>
    <w:rsid w:val="00021455"/>
    <w:rsid w:val="00021B93"/>
    <w:rsid w:val="000222B1"/>
    <w:rsid w:val="0002375D"/>
    <w:rsid w:val="00023D3F"/>
    <w:rsid w:val="00024AC8"/>
    <w:rsid w:val="000253DD"/>
    <w:rsid w:val="00026252"/>
    <w:rsid w:val="00026491"/>
    <w:rsid w:val="00026FB8"/>
    <w:rsid w:val="00027449"/>
    <w:rsid w:val="00027A34"/>
    <w:rsid w:val="00027AC2"/>
    <w:rsid w:val="0003075D"/>
    <w:rsid w:val="000318A7"/>
    <w:rsid w:val="00031FF3"/>
    <w:rsid w:val="0003209C"/>
    <w:rsid w:val="000322E7"/>
    <w:rsid w:val="000337EF"/>
    <w:rsid w:val="0003405B"/>
    <w:rsid w:val="00034A35"/>
    <w:rsid w:val="00034BB5"/>
    <w:rsid w:val="0003682E"/>
    <w:rsid w:val="00036BD2"/>
    <w:rsid w:val="000375C3"/>
    <w:rsid w:val="00037DEC"/>
    <w:rsid w:val="00040A34"/>
    <w:rsid w:val="000414DF"/>
    <w:rsid w:val="00041CF7"/>
    <w:rsid w:val="00042408"/>
    <w:rsid w:val="00043A87"/>
    <w:rsid w:val="00043E8B"/>
    <w:rsid w:val="00044093"/>
    <w:rsid w:val="00044CFD"/>
    <w:rsid w:val="00045207"/>
    <w:rsid w:val="00045391"/>
    <w:rsid w:val="00046540"/>
    <w:rsid w:val="00046E43"/>
    <w:rsid w:val="0004727B"/>
    <w:rsid w:val="00047916"/>
    <w:rsid w:val="000504AC"/>
    <w:rsid w:val="000506DF"/>
    <w:rsid w:val="000510CC"/>
    <w:rsid w:val="000517EE"/>
    <w:rsid w:val="00051E95"/>
    <w:rsid w:val="00052050"/>
    <w:rsid w:val="00052491"/>
    <w:rsid w:val="000526C9"/>
    <w:rsid w:val="00052C5D"/>
    <w:rsid w:val="00053002"/>
    <w:rsid w:val="000535EB"/>
    <w:rsid w:val="000537CC"/>
    <w:rsid w:val="000542D9"/>
    <w:rsid w:val="0005466E"/>
    <w:rsid w:val="00055A9A"/>
    <w:rsid w:val="00055E99"/>
    <w:rsid w:val="00055EB0"/>
    <w:rsid w:val="0005751E"/>
    <w:rsid w:val="00060A07"/>
    <w:rsid w:val="00060B1D"/>
    <w:rsid w:val="00061A09"/>
    <w:rsid w:val="000623ED"/>
    <w:rsid w:val="0006257C"/>
    <w:rsid w:val="00063DB0"/>
    <w:rsid w:val="00064CF1"/>
    <w:rsid w:val="000657D6"/>
    <w:rsid w:val="000663FC"/>
    <w:rsid w:val="00066DEE"/>
    <w:rsid w:val="0007032A"/>
    <w:rsid w:val="00070BB4"/>
    <w:rsid w:val="00071DCC"/>
    <w:rsid w:val="00071F58"/>
    <w:rsid w:val="000725EB"/>
    <w:rsid w:val="00073274"/>
    <w:rsid w:val="000742AE"/>
    <w:rsid w:val="00074957"/>
    <w:rsid w:val="0007634B"/>
    <w:rsid w:val="00076AC1"/>
    <w:rsid w:val="00076FD0"/>
    <w:rsid w:val="00077059"/>
    <w:rsid w:val="00077CBE"/>
    <w:rsid w:val="00077E07"/>
    <w:rsid w:val="00080392"/>
    <w:rsid w:val="00080A58"/>
    <w:rsid w:val="00080B38"/>
    <w:rsid w:val="0008162D"/>
    <w:rsid w:val="000819EC"/>
    <w:rsid w:val="000831BC"/>
    <w:rsid w:val="00083BFB"/>
    <w:rsid w:val="00084205"/>
    <w:rsid w:val="0008431E"/>
    <w:rsid w:val="00084481"/>
    <w:rsid w:val="000849F7"/>
    <w:rsid w:val="0008541F"/>
    <w:rsid w:val="00085DC2"/>
    <w:rsid w:val="00086549"/>
    <w:rsid w:val="000870C7"/>
    <w:rsid w:val="00087A62"/>
    <w:rsid w:val="00087D96"/>
    <w:rsid w:val="00087E4F"/>
    <w:rsid w:val="00090A9C"/>
    <w:rsid w:val="00090DD9"/>
    <w:rsid w:val="00090EBE"/>
    <w:rsid w:val="000910EE"/>
    <w:rsid w:val="00091E58"/>
    <w:rsid w:val="00092C24"/>
    <w:rsid w:val="00093140"/>
    <w:rsid w:val="0009318E"/>
    <w:rsid w:val="000940A0"/>
    <w:rsid w:val="00094390"/>
    <w:rsid w:val="0009469E"/>
    <w:rsid w:val="00094A39"/>
    <w:rsid w:val="00094A91"/>
    <w:rsid w:val="00095235"/>
    <w:rsid w:val="00095287"/>
    <w:rsid w:val="0009551D"/>
    <w:rsid w:val="00095C6A"/>
    <w:rsid w:val="00096052"/>
    <w:rsid w:val="000960E2"/>
    <w:rsid w:val="00096228"/>
    <w:rsid w:val="00096BE9"/>
    <w:rsid w:val="0009726F"/>
    <w:rsid w:val="000A0001"/>
    <w:rsid w:val="000A0546"/>
    <w:rsid w:val="000A066F"/>
    <w:rsid w:val="000A100D"/>
    <w:rsid w:val="000A19E7"/>
    <w:rsid w:val="000A1D3E"/>
    <w:rsid w:val="000A1E46"/>
    <w:rsid w:val="000A2C8A"/>
    <w:rsid w:val="000A310D"/>
    <w:rsid w:val="000A3F3B"/>
    <w:rsid w:val="000A49ED"/>
    <w:rsid w:val="000A4DC1"/>
    <w:rsid w:val="000A5D8C"/>
    <w:rsid w:val="000A63D1"/>
    <w:rsid w:val="000A6BD9"/>
    <w:rsid w:val="000A6F44"/>
    <w:rsid w:val="000A749C"/>
    <w:rsid w:val="000B0B32"/>
    <w:rsid w:val="000B1F5A"/>
    <w:rsid w:val="000B202E"/>
    <w:rsid w:val="000B2B79"/>
    <w:rsid w:val="000B335B"/>
    <w:rsid w:val="000B3F7A"/>
    <w:rsid w:val="000B4D76"/>
    <w:rsid w:val="000B63F3"/>
    <w:rsid w:val="000B64C1"/>
    <w:rsid w:val="000B6AFD"/>
    <w:rsid w:val="000B706D"/>
    <w:rsid w:val="000B773D"/>
    <w:rsid w:val="000B7911"/>
    <w:rsid w:val="000C0274"/>
    <w:rsid w:val="000C0C55"/>
    <w:rsid w:val="000C2231"/>
    <w:rsid w:val="000C24EC"/>
    <w:rsid w:val="000C2E40"/>
    <w:rsid w:val="000C2F76"/>
    <w:rsid w:val="000C3FE2"/>
    <w:rsid w:val="000C4513"/>
    <w:rsid w:val="000C4995"/>
    <w:rsid w:val="000C62E3"/>
    <w:rsid w:val="000C7128"/>
    <w:rsid w:val="000C793A"/>
    <w:rsid w:val="000D062C"/>
    <w:rsid w:val="000D0869"/>
    <w:rsid w:val="000D0E25"/>
    <w:rsid w:val="000D3EAE"/>
    <w:rsid w:val="000D4382"/>
    <w:rsid w:val="000D50A4"/>
    <w:rsid w:val="000D5131"/>
    <w:rsid w:val="000D606C"/>
    <w:rsid w:val="000D62EC"/>
    <w:rsid w:val="000E0AFC"/>
    <w:rsid w:val="000E0D2B"/>
    <w:rsid w:val="000E0FBE"/>
    <w:rsid w:val="000E1FE7"/>
    <w:rsid w:val="000E23AB"/>
    <w:rsid w:val="000E2ED2"/>
    <w:rsid w:val="000E355F"/>
    <w:rsid w:val="000E3A0D"/>
    <w:rsid w:val="000E3C46"/>
    <w:rsid w:val="000E41A3"/>
    <w:rsid w:val="000E5E45"/>
    <w:rsid w:val="000E682F"/>
    <w:rsid w:val="000E6887"/>
    <w:rsid w:val="000E6A36"/>
    <w:rsid w:val="000E760E"/>
    <w:rsid w:val="000E7996"/>
    <w:rsid w:val="000F058B"/>
    <w:rsid w:val="000F0A0D"/>
    <w:rsid w:val="000F10CE"/>
    <w:rsid w:val="000F13E8"/>
    <w:rsid w:val="000F389E"/>
    <w:rsid w:val="000F405A"/>
    <w:rsid w:val="000F4230"/>
    <w:rsid w:val="000F45E8"/>
    <w:rsid w:val="000F49B7"/>
    <w:rsid w:val="000F4A49"/>
    <w:rsid w:val="000F58CD"/>
    <w:rsid w:val="000F715C"/>
    <w:rsid w:val="000F750F"/>
    <w:rsid w:val="000F7F04"/>
    <w:rsid w:val="00100D5A"/>
    <w:rsid w:val="00101D80"/>
    <w:rsid w:val="00102ED7"/>
    <w:rsid w:val="001032E8"/>
    <w:rsid w:val="001033C4"/>
    <w:rsid w:val="001052BA"/>
    <w:rsid w:val="001056E1"/>
    <w:rsid w:val="00105F34"/>
    <w:rsid w:val="001060A8"/>
    <w:rsid w:val="001066D8"/>
    <w:rsid w:val="00106BB6"/>
    <w:rsid w:val="00110665"/>
    <w:rsid w:val="00110B73"/>
    <w:rsid w:val="0011126E"/>
    <w:rsid w:val="00111779"/>
    <w:rsid w:val="0011186B"/>
    <w:rsid w:val="001120AB"/>
    <w:rsid w:val="00114233"/>
    <w:rsid w:val="001144F1"/>
    <w:rsid w:val="00114520"/>
    <w:rsid w:val="00114961"/>
    <w:rsid w:val="00114D69"/>
    <w:rsid w:val="00115740"/>
    <w:rsid w:val="00115BC3"/>
    <w:rsid w:val="0011647F"/>
    <w:rsid w:val="001169BC"/>
    <w:rsid w:val="00116AE4"/>
    <w:rsid w:val="0011750A"/>
    <w:rsid w:val="00117CA1"/>
    <w:rsid w:val="00120A31"/>
    <w:rsid w:val="0012289E"/>
    <w:rsid w:val="00122C7C"/>
    <w:rsid w:val="001240E0"/>
    <w:rsid w:val="00124160"/>
    <w:rsid w:val="0012428D"/>
    <w:rsid w:val="0012486F"/>
    <w:rsid w:val="00126384"/>
    <w:rsid w:val="00127929"/>
    <w:rsid w:val="00127D9A"/>
    <w:rsid w:val="00127FFD"/>
    <w:rsid w:val="001302F4"/>
    <w:rsid w:val="00131120"/>
    <w:rsid w:val="00131646"/>
    <w:rsid w:val="00131BB8"/>
    <w:rsid w:val="00132353"/>
    <w:rsid w:val="00132522"/>
    <w:rsid w:val="001325AA"/>
    <w:rsid w:val="001330FB"/>
    <w:rsid w:val="00133437"/>
    <w:rsid w:val="00133760"/>
    <w:rsid w:val="001353B0"/>
    <w:rsid w:val="00135745"/>
    <w:rsid w:val="001369AB"/>
    <w:rsid w:val="001378E0"/>
    <w:rsid w:val="0014144D"/>
    <w:rsid w:val="001416DA"/>
    <w:rsid w:val="001437DC"/>
    <w:rsid w:val="00143913"/>
    <w:rsid w:val="00143959"/>
    <w:rsid w:val="00143E75"/>
    <w:rsid w:val="00145155"/>
    <w:rsid w:val="00145312"/>
    <w:rsid w:val="00145F02"/>
    <w:rsid w:val="00146194"/>
    <w:rsid w:val="001463DF"/>
    <w:rsid w:val="00146F84"/>
    <w:rsid w:val="001471CD"/>
    <w:rsid w:val="00147793"/>
    <w:rsid w:val="001477E1"/>
    <w:rsid w:val="00150F37"/>
    <w:rsid w:val="00151FFD"/>
    <w:rsid w:val="00152104"/>
    <w:rsid w:val="00152BCE"/>
    <w:rsid w:val="0015367F"/>
    <w:rsid w:val="001549E8"/>
    <w:rsid w:val="00154B34"/>
    <w:rsid w:val="001556DA"/>
    <w:rsid w:val="001575B0"/>
    <w:rsid w:val="00157E0B"/>
    <w:rsid w:val="001603EF"/>
    <w:rsid w:val="00160615"/>
    <w:rsid w:val="001618B9"/>
    <w:rsid w:val="001618EF"/>
    <w:rsid w:val="00161E84"/>
    <w:rsid w:val="001624C4"/>
    <w:rsid w:val="001649F7"/>
    <w:rsid w:val="001653D6"/>
    <w:rsid w:val="001654CD"/>
    <w:rsid w:val="001668AB"/>
    <w:rsid w:val="00167477"/>
    <w:rsid w:val="00170ACA"/>
    <w:rsid w:val="001712B5"/>
    <w:rsid w:val="001712E7"/>
    <w:rsid w:val="001718C6"/>
    <w:rsid w:val="001735AF"/>
    <w:rsid w:val="00173D9C"/>
    <w:rsid w:val="00174244"/>
    <w:rsid w:val="00174322"/>
    <w:rsid w:val="0017497A"/>
    <w:rsid w:val="00175403"/>
    <w:rsid w:val="001758E5"/>
    <w:rsid w:val="001762F4"/>
    <w:rsid w:val="00176E0D"/>
    <w:rsid w:val="00177C9C"/>
    <w:rsid w:val="00180799"/>
    <w:rsid w:val="00180A9B"/>
    <w:rsid w:val="0018107F"/>
    <w:rsid w:val="00181C26"/>
    <w:rsid w:val="00183614"/>
    <w:rsid w:val="00183832"/>
    <w:rsid w:val="00183E05"/>
    <w:rsid w:val="001842EF"/>
    <w:rsid w:val="00185D1D"/>
    <w:rsid w:val="00185F71"/>
    <w:rsid w:val="00186988"/>
    <w:rsid w:val="00186AD4"/>
    <w:rsid w:val="0018706B"/>
    <w:rsid w:val="00187A8A"/>
    <w:rsid w:val="00187C94"/>
    <w:rsid w:val="0019018C"/>
    <w:rsid w:val="00191D9D"/>
    <w:rsid w:val="00191FCB"/>
    <w:rsid w:val="00193130"/>
    <w:rsid w:val="00194292"/>
    <w:rsid w:val="00195226"/>
    <w:rsid w:val="00195FBA"/>
    <w:rsid w:val="001961F0"/>
    <w:rsid w:val="001977B3"/>
    <w:rsid w:val="001A1A79"/>
    <w:rsid w:val="001A2DB0"/>
    <w:rsid w:val="001A406D"/>
    <w:rsid w:val="001A4562"/>
    <w:rsid w:val="001A500A"/>
    <w:rsid w:val="001A500E"/>
    <w:rsid w:val="001A50EC"/>
    <w:rsid w:val="001A5804"/>
    <w:rsid w:val="001A5C52"/>
    <w:rsid w:val="001A67E5"/>
    <w:rsid w:val="001A680C"/>
    <w:rsid w:val="001A765C"/>
    <w:rsid w:val="001A791C"/>
    <w:rsid w:val="001A7EAD"/>
    <w:rsid w:val="001B0386"/>
    <w:rsid w:val="001B0E7B"/>
    <w:rsid w:val="001B1282"/>
    <w:rsid w:val="001B1C17"/>
    <w:rsid w:val="001B21D4"/>
    <w:rsid w:val="001B2666"/>
    <w:rsid w:val="001B492A"/>
    <w:rsid w:val="001B5634"/>
    <w:rsid w:val="001B59D5"/>
    <w:rsid w:val="001B6F3E"/>
    <w:rsid w:val="001B78C9"/>
    <w:rsid w:val="001C01BE"/>
    <w:rsid w:val="001C0E2F"/>
    <w:rsid w:val="001C20FD"/>
    <w:rsid w:val="001C2334"/>
    <w:rsid w:val="001C259F"/>
    <w:rsid w:val="001C25B1"/>
    <w:rsid w:val="001C30D4"/>
    <w:rsid w:val="001C322A"/>
    <w:rsid w:val="001C3B34"/>
    <w:rsid w:val="001C3DA0"/>
    <w:rsid w:val="001C426A"/>
    <w:rsid w:val="001C4AEF"/>
    <w:rsid w:val="001C4D49"/>
    <w:rsid w:val="001C4E79"/>
    <w:rsid w:val="001C7562"/>
    <w:rsid w:val="001C7C8A"/>
    <w:rsid w:val="001C7DB2"/>
    <w:rsid w:val="001D0709"/>
    <w:rsid w:val="001D0C98"/>
    <w:rsid w:val="001D1DE5"/>
    <w:rsid w:val="001D2318"/>
    <w:rsid w:val="001D343A"/>
    <w:rsid w:val="001D35B5"/>
    <w:rsid w:val="001D3A5B"/>
    <w:rsid w:val="001D3E3A"/>
    <w:rsid w:val="001D47AD"/>
    <w:rsid w:val="001D4F10"/>
    <w:rsid w:val="001D53E7"/>
    <w:rsid w:val="001E065C"/>
    <w:rsid w:val="001E1EB2"/>
    <w:rsid w:val="001E252D"/>
    <w:rsid w:val="001E2C4C"/>
    <w:rsid w:val="001E2F67"/>
    <w:rsid w:val="001E32DF"/>
    <w:rsid w:val="001E3406"/>
    <w:rsid w:val="001E3553"/>
    <w:rsid w:val="001E36F5"/>
    <w:rsid w:val="001E3DC9"/>
    <w:rsid w:val="001E4974"/>
    <w:rsid w:val="001E5685"/>
    <w:rsid w:val="001E6193"/>
    <w:rsid w:val="001E6907"/>
    <w:rsid w:val="001E7A4C"/>
    <w:rsid w:val="001F1000"/>
    <w:rsid w:val="001F14E7"/>
    <w:rsid w:val="001F1986"/>
    <w:rsid w:val="001F1B02"/>
    <w:rsid w:val="001F2424"/>
    <w:rsid w:val="001F2F87"/>
    <w:rsid w:val="001F34D8"/>
    <w:rsid w:val="001F3779"/>
    <w:rsid w:val="001F3A11"/>
    <w:rsid w:val="001F3FC3"/>
    <w:rsid w:val="001F44D1"/>
    <w:rsid w:val="001F5AC5"/>
    <w:rsid w:val="001F651C"/>
    <w:rsid w:val="001F7050"/>
    <w:rsid w:val="001F73E2"/>
    <w:rsid w:val="001F7AB1"/>
    <w:rsid w:val="00200F07"/>
    <w:rsid w:val="00201B0B"/>
    <w:rsid w:val="0020239B"/>
    <w:rsid w:val="002030E8"/>
    <w:rsid w:val="00203C85"/>
    <w:rsid w:val="002043C9"/>
    <w:rsid w:val="00204D61"/>
    <w:rsid w:val="0020509A"/>
    <w:rsid w:val="002065D1"/>
    <w:rsid w:val="00207336"/>
    <w:rsid w:val="002109F1"/>
    <w:rsid w:val="00210C8A"/>
    <w:rsid w:val="00211D0B"/>
    <w:rsid w:val="00212D73"/>
    <w:rsid w:val="00213067"/>
    <w:rsid w:val="00213AA2"/>
    <w:rsid w:val="00213AA7"/>
    <w:rsid w:val="00214A4D"/>
    <w:rsid w:val="00214A96"/>
    <w:rsid w:val="00214AFF"/>
    <w:rsid w:val="00215761"/>
    <w:rsid w:val="00216ACC"/>
    <w:rsid w:val="00216C7C"/>
    <w:rsid w:val="00217596"/>
    <w:rsid w:val="00217A0D"/>
    <w:rsid w:val="0022051E"/>
    <w:rsid w:val="002209C3"/>
    <w:rsid w:val="00220D21"/>
    <w:rsid w:val="00220FFD"/>
    <w:rsid w:val="0022172D"/>
    <w:rsid w:val="00222468"/>
    <w:rsid w:val="00223136"/>
    <w:rsid w:val="0022314D"/>
    <w:rsid w:val="002237FA"/>
    <w:rsid w:val="002239BF"/>
    <w:rsid w:val="00223C87"/>
    <w:rsid w:val="00224CC5"/>
    <w:rsid w:val="002266BF"/>
    <w:rsid w:val="002267E3"/>
    <w:rsid w:val="002278FF"/>
    <w:rsid w:val="00231531"/>
    <w:rsid w:val="002315E0"/>
    <w:rsid w:val="00231763"/>
    <w:rsid w:val="00231AB1"/>
    <w:rsid w:val="0023280E"/>
    <w:rsid w:val="00232A16"/>
    <w:rsid w:val="00233641"/>
    <w:rsid w:val="00233B57"/>
    <w:rsid w:val="00233BD4"/>
    <w:rsid w:val="0023413A"/>
    <w:rsid w:val="0023554A"/>
    <w:rsid w:val="00235C2B"/>
    <w:rsid w:val="00235D37"/>
    <w:rsid w:val="00240031"/>
    <w:rsid w:val="002401EC"/>
    <w:rsid w:val="0024045F"/>
    <w:rsid w:val="0024159E"/>
    <w:rsid w:val="002428B7"/>
    <w:rsid w:val="002444A5"/>
    <w:rsid w:val="00244DFA"/>
    <w:rsid w:val="0024525F"/>
    <w:rsid w:val="00245285"/>
    <w:rsid w:val="00246D0F"/>
    <w:rsid w:val="0024739F"/>
    <w:rsid w:val="0024758C"/>
    <w:rsid w:val="002478B6"/>
    <w:rsid w:val="00250363"/>
    <w:rsid w:val="00250591"/>
    <w:rsid w:val="00250CC6"/>
    <w:rsid w:val="00251019"/>
    <w:rsid w:val="00251580"/>
    <w:rsid w:val="0025291F"/>
    <w:rsid w:val="00254366"/>
    <w:rsid w:val="00254E4B"/>
    <w:rsid w:val="002559D6"/>
    <w:rsid w:val="00255A57"/>
    <w:rsid w:val="00255DAD"/>
    <w:rsid w:val="002565C3"/>
    <w:rsid w:val="00256E16"/>
    <w:rsid w:val="00257212"/>
    <w:rsid w:val="002573D0"/>
    <w:rsid w:val="00257F01"/>
    <w:rsid w:val="0026004E"/>
    <w:rsid w:val="00260448"/>
    <w:rsid w:val="00260AE4"/>
    <w:rsid w:val="002616CF"/>
    <w:rsid w:val="00261BDD"/>
    <w:rsid w:val="002625ED"/>
    <w:rsid w:val="00263733"/>
    <w:rsid w:val="00264060"/>
    <w:rsid w:val="002640A2"/>
    <w:rsid w:val="00264509"/>
    <w:rsid w:val="00264677"/>
    <w:rsid w:val="002651E1"/>
    <w:rsid w:val="002656BE"/>
    <w:rsid w:val="002659D6"/>
    <w:rsid w:val="00265C31"/>
    <w:rsid w:val="002667EF"/>
    <w:rsid w:val="00266EEB"/>
    <w:rsid w:val="0026714A"/>
    <w:rsid w:val="00267481"/>
    <w:rsid w:val="00267E54"/>
    <w:rsid w:val="002704B1"/>
    <w:rsid w:val="00270DDC"/>
    <w:rsid w:val="00272672"/>
    <w:rsid w:val="00272841"/>
    <w:rsid w:val="00272874"/>
    <w:rsid w:val="00274C5B"/>
    <w:rsid w:val="00274D2D"/>
    <w:rsid w:val="00275233"/>
    <w:rsid w:val="00275350"/>
    <w:rsid w:val="0027612F"/>
    <w:rsid w:val="00276313"/>
    <w:rsid w:val="002764CE"/>
    <w:rsid w:val="002767AB"/>
    <w:rsid w:val="00280927"/>
    <w:rsid w:val="002814AD"/>
    <w:rsid w:val="00281832"/>
    <w:rsid w:val="00281C20"/>
    <w:rsid w:val="00282AEE"/>
    <w:rsid w:val="002843A9"/>
    <w:rsid w:val="0028493C"/>
    <w:rsid w:val="00284E51"/>
    <w:rsid w:val="002855F4"/>
    <w:rsid w:val="00286396"/>
    <w:rsid w:val="00286DF8"/>
    <w:rsid w:val="00286E6E"/>
    <w:rsid w:val="00287734"/>
    <w:rsid w:val="00287CE4"/>
    <w:rsid w:val="00290D8D"/>
    <w:rsid w:val="00291719"/>
    <w:rsid w:val="002924F0"/>
    <w:rsid w:val="0029320F"/>
    <w:rsid w:val="00293906"/>
    <w:rsid w:val="00293DE4"/>
    <w:rsid w:val="0029508D"/>
    <w:rsid w:val="00297411"/>
    <w:rsid w:val="002A113E"/>
    <w:rsid w:val="002A1D30"/>
    <w:rsid w:val="002A1E9E"/>
    <w:rsid w:val="002A37E6"/>
    <w:rsid w:val="002A3997"/>
    <w:rsid w:val="002A5623"/>
    <w:rsid w:val="002A5EA4"/>
    <w:rsid w:val="002A5EE9"/>
    <w:rsid w:val="002A7314"/>
    <w:rsid w:val="002A7B67"/>
    <w:rsid w:val="002A7EE4"/>
    <w:rsid w:val="002B02B3"/>
    <w:rsid w:val="002B0A2C"/>
    <w:rsid w:val="002B0A5B"/>
    <w:rsid w:val="002B13FA"/>
    <w:rsid w:val="002B15B5"/>
    <w:rsid w:val="002B24E5"/>
    <w:rsid w:val="002B28E0"/>
    <w:rsid w:val="002B3707"/>
    <w:rsid w:val="002B6766"/>
    <w:rsid w:val="002B77EE"/>
    <w:rsid w:val="002C00B0"/>
    <w:rsid w:val="002C05DA"/>
    <w:rsid w:val="002C0756"/>
    <w:rsid w:val="002C0A9E"/>
    <w:rsid w:val="002C12AA"/>
    <w:rsid w:val="002C2285"/>
    <w:rsid w:val="002C2C0E"/>
    <w:rsid w:val="002C2CF6"/>
    <w:rsid w:val="002C3D5C"/>
    <w:rsid w:val="002C47EC"/>
    <w:rsid w:val="002C554D"/>
    <w:rsid w:val="002C5E94"/>
    <w:rsid w:val="002C7482"/>
    <w:rsid w:val="002C7B6D"/>
    <w:rsid w:val="002C7D8C"/>
    <w:rsid w:val="002D019D"/>
    <w:rsid w:val="002D1425"/>
    <w:rsid w:val="002D1778"/>
    <w:rsid w:val="002D1994"/>
    <w:rsid w:val="002D19CF"/>
    <w:rsid w:val="002D2B4E"/>
    <w:rsid w:val="002D3349"/>
    <w:rsid w:val="002D381C"/>
    <w:rsid w:val="002D5C9A"/>
    <w:rsid w:val="002D638C"/>
    <w:rsid w:val="002D68BB"/>
    <w:rsid w:val="002D6BB9"/>
    <w:rsid w:val="002D706F"/>
    <w:rsid w:val="002D752D"/>
    <w:rsid w:val="002D7645"/>
    <w:rsid w:val="002E00B6"/>
    <w:rsid w:val="002E03CF"/>
    <w:rsid w:val="002E394E"/>
    <w:rsid w:val="002E5F95"/>
    <w:rsid w:val="002E696C"/>
    <w:rsid w:val="002F0EEA"/>
    <w:rsid w:val="002F1C40"/>
    <w:rsid w:val="002F20A7"/>
    <w:rsid w:val="002F20B5"/>
    <w:rsid w:val="002F20C0"/>
    <w:rsid w:val="002F243E"/>
    <w:rsid w:val="002F2592"/>
    <w:rsid w:val="002F2EA1"/>
    <w:rsid w:val="002F30CD"/>
    <w:rsid w:val="002F3CEF"/>
    <w:rsid w:val="002F419A"/>
    <w:rsid w:val="002F421F"/>
    <w:rsid w:val="002F45B0"/>
    <w:rsid w:val="002F483E"/>
    <w:rsid w:val="002F4ABA"/>
    <w:rsid w:val="002F5085"/>
    <w:rsid w:val="002F5B88"/>
    <w:rsid w:val="002F5CB6"/>
    <w:rsid w:val="002F6422"/>
    <w:rsid w:val="002F6D80"/>
    <w:rsid w:val="002F7CDA"/>
    <w:rsid w:val="002F7D4D"/>
    <w:rsid w:val="00300384"/>
    <w:rsid w:val="00300939"/>
    <w:rsid w:val="003026C9"/>
    <w:rsid w:val="00302AEA"/>
    <w:rsid w:val="00302D34"/>
    <w:rsid w:val="0030362E"/>
    <w:rsid w:val="003036D2"/>
    <w:rsid w:val="00303769"/>
    <w:rsid w:val="00303D79"/>
    <w:rsid w:val="00304A8B"/>
    <w:rsid w:val="00304B9D"/>
    <w:rsid w:val="00304D1C"/>
    <w:rsid w:val="00305704"/>
    <w:rsid w:val="00307EE7"/>
    <w:rsid w:val="0031057A"/>
    <w:rsid w:val="00310DFB"/>
    <w:rsid w:val="00312C2B"/>
    <w:rsid w:val="00312EAD"/>
    <w:rsid w:val="00312FC6"/>
    <w:rsid w:val="00314395"/>
    <w:rsid w:val="00314F22"/>
    <w:rsid w:val="0031565F"/>
    <w:rsid w:val="0031623B"/>
    <w:rsid w:val="00316776"/>
    <w:rsid w:val="00317C32"/>
    <w:rsid w:val="00320207"/>
    <w:rsid w:val="00320E15"/>
    <w:rsid w:val="003223F2"/>
    <w:rsid w:val="00322A0D"/>
    <w:rsid w:val="00322CDE"/>
    <w:rsid w:val="003235C8"/>
    <w:rsid w:val="00323811"/>
    <w:rsid w:val="00324406"/>
    <w:rsid w:val="0032466C"/>
    <w:rsid w:val="0032502A"/>
    <w:rsid w:val="003251D2"/>
    <w:rsid w:val="003253AF"/>
    <w:rsid w:val="00325CAD"/>
    <w:rsid w:val="0032623D"/>
    <w:rsid w:val="003263C0"/>
    <w:rsid w:val="00326920"/>
    <w:rsid w:val="003270C7"/>
    <w:rsid w:val="00327873"/>
    <w:rsid w:val="00330828"/>
    <w:rsid w:val="00332F06"/>
    <w:rsid w:val="003332C5"/>
    <w:rsid w:val="00333477"/>
    <w:rsid w:val="00333EE0"/>
    <w:rsid w:val="00333FF1"/>
    <w:rsid w:val="00334002"/>
    <w:rsid w:val="00334A16"/>
    <w:rsid w:val="00336439"/>
    <w:rsid w:val="003365D5"/>
    <w:rsid w:val="00336E1D"/>
    <w:rsid w:val="00336FB9"/>
    <w:rsid w:val="0033719E"/>
    <w:rsid w:val="00337BF3"/>
    <w:rsid w:val="00337CA5"/>
    <w:rsid w:val="0034001A"/>
    <w:rsid w:val="003406BE"/>
    <w:rsid w:val="00343773"/>
    <w:rsid w:val="00343959"/>
    <w:rsid w:val="00343BE3"/>
    <w:rsid w:val="00343CDB"/>
    <w:rsid w:val="0034460A"/>
    <w:rsid w:val="003452DB"/>
    <w:rsid w:val="00347E25"/>
    <w:rsid w:val="003501BF"/>
    <w:rsid w:val="0035189C"/>
    <w:rsid w:val="003518A2"/>
    <w:rsid w:val="00352410"/>
    <w:rsid w:val="00352A9A"/>
    <w:rsid w:val="00352CFB"/>
    <w:rsid w:val="00354256"/>
    <w:rsid w:val="00354B0A"/>
    <w:rsid w:val="00354CCC"/>
    <w:rsid w:val="00356156"/>
    <w:rsid w:val="00356DDF"/>
    <w:rsid w:val="00357F30"/>
    <w:rsid w:val="0036001A"/>
    <w:rsid w:val="0036068E"/>
    <w:rsid w:val="00360A3F"/>
    <w:rsid w:val="00360D51"/>
    <w:rsid w:val="00360FDA"/>
    <w:rsid w:val="00361E27"/>
    <w:rsid w:val="00362666"/>
    <w:rsid w:val="00362D29"/>
    <w:rsid w:val="00363A4F"/>
    <w:rsid w:val="00364501"/>
    <w:rsid w:val="00364C07"/>
    <w:rsid w:val="00364E92"/>
    <w:rsid w:val="0036584D"/>
    <w:rsid w:val="003667D6"/>
    <w:rsid w:val="003669EF"/>
    <w:rsid w:val="00367AB9"/>
    <w:rsid w:val="00367C26"/>
    <w:rsid w:val="00370317"/>
    <w:rsid w:val="00371D55"/>
    <w:rsid w:val="00371DDB"/>
    <w:rsid w:val="0037229D"/>
    <w:rsid w:val="003734C0"/>
    <w:rsid w:val="00373E25"/>
    <w:rsid w:val="00374759"/>
    <w:rsid w:val="00374B87"/>
    <w:rsid w:val="00375BEF"/>
    <w:rsid w:val="003762D2"/>
    <w:rsid w:val="00377024"/>
    <w:rsid w:val="0037782D"/>
    <w:rsid w:val="00377CB0"/>
    <w:rsid w:val="00381E67"/>
    <w:rsid w:val="0038217F"/>
    <w:rsid w:val="003846BB"/>
    <w:rsid w:val="0038527C"/>
    <w:rsid w:val="003855AC"/>
    <w:rsid w:val="00385E6F"/>
    <w:rsid w:val="00386A8C"/>
    <w:rsid w:val="00390562"/>
    <w:rsid w:val="003907F5"/>
    <w:rsid w:val="00390988"/>
    <w:rsid w:val="00391BED"/>
    <w:rsid w:val="00392ABF"/>
    <w:rsid w:val="00392CC8"/>
    <w:rsid w:val="00393547"/>
    <w:rsid w:val="00393817"/>
    <w:rsid w:val="00394AE1"/>
    <w:rsid w:val="003951B4"/>
    <w:rsid w:val="00395E1F"/>
    <w:rsid w:val="00397058"/>
    <w:rsid w:val="003A05CE"/>
    <w:rsid w:val="003A071C"/>
    <w:rsid w:val="003A0AE1"/>
    <w:rsid w:val="003A1190"/>
    <w:rsid w:val="003A216B"/>
    <w:rsid w:val="003A2689"/>
    <w:rsid w:val="003A316C"/>
    <w:rsid w:val="003A3235"/>
    <w:rsid w:val="003A37C3"/>
    <w:rsid w:val="003A414C"/>
    <w:rsid w:val="003A4334"/>
    <w:rsid w:val="003A4626"/>
    <w:rsid w:val="003A536A"/>
    <w:rsid w:val="003A546B"/>
    <w:rsid w:val="003A6476"/>
    <w:rsid w:val="003A6BC3"/>
    <w:rsid w:val="003A79D3"/>
    <w:rsid w:val="003B027D"/>
    <w:rsid w:val="003B0F00"/>
    <w:rsid w:val="003B1418"/>
    <w:rsid w:val="003B2578"/>
    <w:rsid w:val="003B296E"/>
    <w:rsid w:val="003B3512"/>
    <w:rsid w:val="003B3E96"/>
    <w:rsid w:val="003B5038"/>
    <w:rsid w:val="003B5484"/>
    <w:rsid w:val="003B5C14"/>
    <w:rsid w:val="003B6969"/>
    <w:rsid w:val="003B7019"/>
    <w:rsid w:val="003B7826"/>
    <w:rsid w:val="003B78DD"/>
    <w:rsid w:val="003C024F"/>
    <w:rsid w:val="003C0454"/>
    <w:rsid w:val="003C05E1"/>
    <w:rsid w:val="003C0AEC"/>
    <w:rsid w:val="003C15FE"/>
    <w:rsid w:val="003C18F9"/>
    <w:rsid w:val="003C34F6"/>
    <w:rsid w:val="003C35AD"/>
    <w:rsid w:val="003C360A"/>
    <w:rsid w:val="003C39B5"/>
    <w:rsid w:val="003C5685"/>
    <w:rsid w:val="003C5745"/>
    <w:rsid w:val="003C5B87"/>
    <w:rsid w:val="003C73CF"/>
    <w:rsid w:val="003C7AE9"/>
    <w:rsid w:val="003D1505"/>
    <w:rsid w:val="003D15EA"/>
    <w:rsid w:val="003D1B1C"/>
    <w:rsid w:val="003D2061"/>
    <w:rsid w:val="003D2086"/>
    <w:rsid w:val="003D2B8F"/>
    <w:rsid w:val="003D3563"/>
    <w:rsid w:val="003D57DA"/>
    <w:rsid w:val="003D5F89"/>
    <w:rsid w:val="003D66E8"/>
    <w:rsid w:val="003D72C9"/>
    <w:rsid w:val="003D7E7F"/>
    <w:rsid w:val="003E0024"/>
    <w:rsid w:val="003E1B6F"/>
    <w:rsid w:val="003E1E60"/>
    <w:rsid w:val="003E23AE"/>
    <w:rsid w:val="003E2A88"/>
    <w:rsid w:val="003E3FB8"/>
    <w:rsid w:val="003E434E"/>
    <w:rsid w:val="003E4C7F"/>
    <w:rsid w:val="003E53DB"/>
    <w:rsid w:val="003E56CE"/>
    <w:rsid w:val="003E5CEC"/>
    <w:rsid w:val="003F0C41"/>
    <w:rsid w:val="003F2383"/>
    <w:rsid w:val="003F2A1F"/>
    <w:rsid w:val="003F2B2E"/>
    <w:rsid w:val="003F37EB"/>
    <w:rsid w:val="003F3B2A"/>
    <w:rsid w:val="003F56A1"/>
    <w:rsid w:val="003F58FC"/>
    <w:rsid w:val="003F5A1D"/>
    <w:rsid w:val="003F5AA0"/>
    <w:rsid w:val="003F6189"/>
    <w:rsid w:val="003F61B3"/>
    <w:rsid w:val="003F6655"/>
    <w:rsid w:val="003F69BC"/>
    <w:rsid w:val="00400D2B"/>
    <w:rsid w:val="0040147A"/>
    <w:rsid w:val="00401800"/>
    <w:rsid w:val="004018B9"/>
    <w:rsid w:val="00401EEA"/>
    <w:rsid w:val="00403451"/>
    <w:rsid w:val="0040510D"/>
    <w:rsid w:val="00406A21"/>
    <w:rsid w:val="00410D99"/>
    <w:rsid w:val="00411899"/>
    <w:rsid w:val="00411F72"/>
    <w:rsid w:val="0041218B"/>
    <w:rsid w:val="00413343"/>
    <w:rsid w:val="00413354"/>
    <w:rsid w:val="00413C82"/>
    <w:rsid w:val="00413CF5"/>
    <w:rsid w:val="00414214"/>
    <w:rsid w:val="0041687F"/>
    <w:rsid w:val="00416EDF"/>
    <w:rsid w:val="00416F7D"/>
    <w:rsid w:val="004171BF"/>
    <w:rsid w:val="004174D1"/>
    <w:rsid w:val="004176F2"/>
    <w:rsid w:val="00417B54"/>
    <w:rsid w:val="004229E8"/>
    <w:rsid w:val="00422E36"/>
    <w:rsid w:val="00422FE6"/>
    <w:rsid w:val="00423647"/>
    <w:rsid w:val="004242B2"/>
    <w:rsid w:val="004254E1"/>
    <w:rsid w:val="004259D8"/>
    <w:rsid w:val="004264F3"/>
    <w:rsid w:val="00426C9F"/>
    <w:rsid w:val="004270FF"/>
    <w:rsid w:val="00427A8C"/>
    <w:rsid w:val="00427B53"/>
    <w:rsid w:val="00430A34"/>
    <w:rsid w:val="00430B3C"/>
    <w:rsid w:val="004314D5"/>
    <w:rsid w:val="00433AEA"/>
    <w:rsid w:val="00433DD6"/>
    <w:rsid w:val="004342AE"/>
    <w:rsid w:val="004343B7"/>
    <w:rsid w:val="0043449E"/>
    <w:rsid w:val="0043495A"/>
    <w:rsid w:val="00435344"/>
    <w:rsid w:val="00435ABF"/>
    <w:rsid w:val="00436B59"/>
    <w:rsid w:val="00437082"/>
    <w:rsid w:val="00437CFA"/>
    <w:rsid w:val="004404E8"/>
    <w:rsid w:val="004405D2"/>
    <w:rsid w:val="00440F7F"/>
    <w:rsid w:val="004413CD"/>
    <w:rsid w:val="0044150C"/>
    <w:rsid w:val="004421AC"/>
    <w:rsid w:val="0044258D"/>
    <w:rsid w:val="00442ACE"/>
    <w:rsid w:val="004431C1"/>
    <w:rsid w:val="00443A60"/>
    <w:rsid w:val="004449A3"/>
    <w:rsid w:val="00444B1D"/>
    <w:rsid w:val="00444B3C"/>
    <w:rsid w:val="00445F1E"/>
    <w:rsid w:val="0044631E"/>
    <w:rsid w:val="004464E5"/>
    <w:rsid w:val="004464F9"/>
    <w:rsid w:val="004466EF"/>
    <w:rsid w:val="0044779B"/>
    <w:rsid w:val="00447954"/>
    <w:rsid w:val="00447EC7"/>
    <w:rsid w:val="00450482"/>
    <w:rsid w:val="004524A0"/>
    <w:rsid w:val="00454581"/>
    <w:rsid w:val="00455858"/>
    <w:rsid w:val="00455D6F"/>
    <w:rsid w:val="004569CD"/>
    <w:rsid w:val="00457206"/>
    <w:rsid w:val="00457616"/>
    <w:rsid w:val="00457999"/>
    <w:rsid w:val="00457F93"/>
    <w:rsid w:val="0046083A"/>
    <w:rsid w:val="00460893"/>
    <w:rsid w:val="00460B11"/>
    <w:rsid w:val="00460FC9"/>
    <w:rsid w:val="00461834"/>
    <w:rsid w:val="00462119"/>
    <w:rsid w:val="0046326C"/>
    <w:rsid w:val="00463ABB"/>
    <w:rsid w:val="00464818"/>
    <w:rsid w:val="00464C4E"/>
    <w:rsid w:val="00464D70"/>
    <w:rsid w:val="0046553D"/>
    <w:rsid w:val="00465B46"/>
    <w:rsid w:val="00466097"/>
    <w:rsid w:val="00466142"/>
    <w:rsid w:val="0046653F"/>
    <w:rsid w:val="0046661E"/>
    <w:rsid w:val="00467F28"/>
    <w:rsid w:val="00470045"/>
    <w:rsid w:val="004704DF"/>
    <w:rsid w:val="00470F0D"/>
    <w:rsid w:val="004726BF"/>
    <w:rsid w:val="0047290B"/>
    <w:rsid w:val="00472D5E"/>
    <w:rsid w:val="00473869"/>
    <w:rsid w:val="00473F99"/>
    <w:rsid w:val="00474271"/>
    <w:rsid w:val="00474325"/>
    <w:rsid w:val="00475468"/>
    <w:rsid w:val="00475804"/>
    <w:rsid w:val="00476657"/>
    <w:rsid w:val="00476A01"/>
    <w:rsid w:val="00476B1D"/>
    <w:rsid w:val="00477603"/>
    <w:rsid w:val="00480304"/>
    <w:rsid w:val="0048056C"/>
    <w:rsid w:val="0048103C"/>
    <w:rsid w:val="00481FAE"/>
    <w:rsid w:val="00482D12"/>
    <w:rsid w:val="00482DB4"/>
    <w:rsid w:val="00483128"/>
    <w:rsid w:val="00485BD0"/>
    <w:rsid w:val="004862DA"/>
    <w:rsid w:val="00486B51"/>
    <w:rsid w:val="00487152"/>
    <w:rsid w:val="004873DC"/>
    <w:rsid w:val="00487484"/>
    <w:rsid w:val="0048771F"/>
    <w:rsid w:val="0049141E"/>
    <w:rsid w:val="00491822"/>
    <w:rsid w:val="00491A4A"/>
    <w:rsid w:val="00492815"/>
    <w:rsid w:val="00492E40"/>
    <w:rsid w:val="00493181"/>
    <w:rsid w:val="0049365D"/>
    <w:rsid w:val="00494AF1"/>
    <w:rsid w:val="00495538"/>
    <w:rsid w:val="00495A2D"/>
    <w:rsid w:val="00496275"/>
    <w:rsid w:val="004963AC"/>
    <w:rsid w:val="0049651B"/>
    <w:rsid w:val="004968F8"/>
    <w:rsid w:val="00497187"/>
    <w:rsid w:val="004973BE"/>
    <w:rsid w:val="004978BC"/>
    <w:rsid w:val="004978D7"/>
    <w:rsid w:val="004A0321"/>
    <w:rsid w:val="004A09AA"/>
    <w:rsid w:val="004A0DAF"/>
    <w:rsid w:val="004A10BC"/>
    <w:rsid w:val="004A15CC"/>
    <w:rsid w:val="004A1740"/>
    <w:rsid w:val="004A292C"/>
    <w:rsid w:val="004A2A07"/>
    <w:rsid w:val="004A2ADF"/>
    <w:rsid w:val="004A2BEE"/>
    <w:rsid w:val="004A3FAA"/>
    <w:rsid w:val="004A426F"/>
    <w:rsid w:val="004A47AF"/>
    <w:rsid w:val="004A6C13"/>
    <w:rsid w:val="004A6E01"/>
    <w:rsid w:val="004B018B"/>
    <w:rsid w:val="004B0AB7"/>
    <w:rsid w:val="004B2747"/>
    <w:rsid w:val="004B284F"/>
    <w:rsid w:val="004B2E39"/>
    <w:rsid w:val="004B302A"/>
    <w:rsid w:val="004B31D4"/>
    <w:rsid w:val="004B3E87"/>
    <w:rsid w:val="004B42AE"/>
    <w:rsid w:val="004B484B"/>
    <w:rsid w:val="004B5E78"/>
    <w:rsid w:val="004B6EB3"/>
    <w:rsid w:val="004B78C6"/>
    <w:rsid w:val="004B792E"/>
    <w:rsid w:val="004B7CEE"/>
    <w:rsid w:val="004C15CE"/>
    <w:rsid w:val="004C1C2B"/>
    <w:rsid w:val="004C1CC5"/>
    <w:rsid w:val="004C26EE"/>
    <w:rsid w:val="004C33DE"/>
    <w:rsid w:val="004C44C0"/>
    <w:rsid w:val="004C456A"/>
    <w:rsid w:val="004C47FD"/>
    <w:rsid w:val="004C560F"/>
    <w:rsid w:val="004C580A"/>
    <w:rsid w:val="004C5B88"/>
    <w:rsid w:val="004C5C28"/>
    <w:rsid w:val="004C6160"/>
    <w:rsid w:val="004C6B4D"/>
    <w:rsid w:val="004C6F88"/>
    <w:rsid w:val="004C75E3"/>
    <w:rsid w:val="004C7B52"/>
    <w:rsid w:val="004C7B70"/>
    <w:rsid w:val="004D055A"/>
    <w:rsid w:val="004D075E"/>
    <w:rsid w:val="004D0B9B"/>
    <w:rsid w:val="004D0FB8"/>
    <w:rsid w:val="004D114B"/>
    <w:rsid w:val="004D1225"/>
    <w:rsid w:val="004D1952"/>
    <w:rsid w:val="004D247E"/>
    <w:rsid w:val="004D28AC"/>
    <w:rsid w:val="004D2A39"/>
    <w:rsid w:val="004D320E"/>
    <w:rsid w:val="004D35C8"/>
    <w:rsid w:val="004D367D"/>
    <w:rsid w:val="004D4196"/>
    <w:rsid w:val="004D476F"/>
    <w:rsid w:val="004D4AE1"/>
    <w:rsid w:val="004D5B09"/>
    <w:rsid w:val="004D67E8"/>
    <w:rsid w:val="004D6AC9"/>
    <w:rsid w:val="004D6D14"/>
    <w:rsid w:val="004D6DB2"/>
    <w:rsid w:val="004D6DC5"/>
    <w:rsid w:val="004D7567"/>
    <w:rsid w:val="004D75FB"/>
    <w:rsid w:val="004D7783"/>
    <w:rsid w:val="004D7F28"/>
    <w:rsid w:val="004E01F6"/>
    <w:rsid w:val="004E0271"/>
    <w:rsid w:val="004E0C36"/>
    <w:rsid w:val="004E147A"/>
    <w:rsid w:val="004E240B"/>
    <w:rsid w:val="004E2BF2"/>
    <w:rsid w:val="004E412F"/>
    <w:rsid w:val="004E5E71"/>
    <w:rsid w:val="004E645C"/>
    <w:rsid w:val="004E6AA4"/>
    <w:rsid w:val="004E6DD6"/>
    <w:rsid w:val="004E7463"/>
    <w:rsid w:val="004E79B8"/>
    <w:rsid w:val="004E7F06"/>
    <w:rsid w:val="004F08EF"/>
    <w:rsid w:val="004F0E49"/>
    <w:rsid w:val="004F1607"/>
    <w:rsid w:val="004F1964"/>
    <w:rsid w:val="004F1BEF"/>
    <w:rsid w:val="004F1CF1"/>
    <w:rsid w:val="004F3E90"/>
    <w:rsid w:val="004F41BE"/>
    <w:rsid w:val="004F600B"/>
    <w:rsid w:val="004F742C"/>
    <w:rsid w:val="004F758C"/>
    <w:rsid w:val="0050023D"/>
    <w:rsid w:val="00500774"/>
    <w:rsid w:val="00501D98"/>
    <w:rsid w:val="005021B0"/>
    <w:rsid w:val="00502985"/>
    <w:rsid w:val="00502F2C"/>
    <w:rsid w:val="0050451B"/>
    <w:rsid w:val="00505AE2"/>
    <w:rsid w:val="00506CAE"/>
    <w:rsid w:val="00506CCD"/>
    <w:rsid w:val="0050758E"/>
    <w:rsid w:val="00510AAC"/>
    <w:rsid w:val="00511B5B"/>
    <w:rsid w:val="00511FE9"/>
    <w:rsid w:val="005125A2"/>
    <w:rsid w:val="00512EF9"/>
    <w:rsid w:val="005144E3"/>
    <w:rsid w:val="00515088"/>
    <w:rsid w:val="00515437"/>
    <w:rsid w:val="00515862"/>
    <w:rsid w:val="005164CB"/>
    <w:rsid w:val="0051726F"/>
    <w:rsid w:val="0051767A"/>
    <w:rsid w:val="00520024"/>
    <w:rsid w:val="0052019E"/>
    <w:rsid w:val="0052020A"/>
    <w:rsid w:val="005221A3"/>
    <w:rsid w:val="005228F3"/>
    <w:rsid w:val="00523913"/>
    <w:rsid w:val="005239B2"/>
    <w:rsid w:val="00523A0F"/>
    <w:rsid w:val="005241A6"/>
    <w:rsid w:val="00524AE6"/>
    <w:rsid w:val="00525736"/>
    <w:rsid w:val="00525B8D"/>
    <w:rsid w:val="00526E76"/>
    <w:rsid w:val="005278E9"/>
    <w:rsid w:val="00530C0D"/>
    <w:rsid w:val="00530DC0"/>
    <w:rsid w:val="00530DC5"/>
    <w:rsid w:val="005327FC"/>
    <w:rsid w:val="005332A3"/>
    <w:rsid w:val="0053336F"/>
    <w:rsid w:val="0053362E"/>
    <w:rsid w:val="00533AA9"/>
    <w:rsid w:val="00534B54"/>
    <w:rsid w:val="00535ED5"/>
    <w:rsid w:val="0053603D"/>
    <w:rsid w:val="0053681E"/>
    <w:rsid w:val="00537201"/>
    <w:rsid w:val="00537755"/>
    <w:rsid w:val="00537BE5"/>
    <w:rsid w:val="00537F8B"/>
    <w:rsid w:val="0054334F"/>
    <w:rsid w:val="005433BE"/>
    <w:rsid w:val="00545742"/>
    <w:rsid w:val="00546601"/>
    <w:rsid w:val="00546BB3"/>
    <w:rsid w:val="0054768E"/>
    <w:rsid w:val="00547729"/>
    <w:rsid w:val="00547E32"/>
    <w:rsid w:val="00547F8F"/>
    <w:rsid w:val="0055023B"/>
    <w:rsid w:val="00550660"/>
    <w:rsid w:val="005509A7"/>
    <w:rsid w:val="005529D8"/>
    <w:rsid w:val="00552E4B"/>
    <w:rsid w:val="005532E5"/>
    <w:rsid w:val="00554A16"/>
    <w:rsid w:val="00554A84"/>
    <w:rsid w:val="00554CC8"/>
    <w:rsid w:val="005559A9"/>
    <w:rsid w:val="00555C50"/>
    <w:rsid w:val="00556032"/>
    <w:rsid w:val="00556790"/>
    <w:rsid w:val="00556C2C"/>
    <w:rsid w:val="0055793B"/>
    <w:rsid w:val="00560CC1"/>
    <w:rsid w:val="00560D6C"/>
    <w:rsid w:val="00561584"/>
    <w:rsid w:val="00561837"/>
    <w:rsid w:val="00562D62"/>
    <w:rsid w:val="00563820"/>
    <w:rsid w:val="00563C82"/>
    <w:rsid w:val="0056426B"/>
    <w:rsid w:val="00564603"/>
    <w:rsid w:val="005647DE"/>
    <w:rsid w:val="00564A3B"/>
    <w:rsid w:val="005657DD"/>
    <w:rsid w:val="00565801"/>
    <w:rsid w:val="00565AEC"/>
    <w:rsid w:val="00566426"/>
    <w:rsid w:val="005665A8"/>
    <w:rsid w:val="0056778A"/>
    <w:rsid w:val="00567910"/>
    <w:rsid w:val="00570D85"/>
    <w:rsid w:val="005714A4"/>
    <w:rsid w:val="005718D2"/>
    <w:rsid w:val="00572693"/>
    <w:rsid w:val="00572CCE"/>
    <w:rsid w:val="00574F7F"/>
    <w:rsid w:val="005758E8"/>
    <w:rsid w:val="00575AE2"/>
    <w:rsid w:val="00575BB0"/>
    <w:rsid w:val="00575DED"/>
    <w:rsid w:val="00575EB6"/>
    <w:rsid w:val="00575FDF"/>
    <w:rsid w:val="005762FF"/>
    <w:rsid w:val="0057633B"/>
    <w:rsid w:val="005774CF"/>
    <w:rsid w:val="00580985"/>
    <w:rsid w:val="00581E5F"/>
    <w:rsid w:val="00582CFC"/>
    <w:rsid w:val="0058308C"/>
    <w:rsid w:val="005837C1"/>
    <w:rsid w:val="00584014"/>
    <w:rsid w:val="0058439D"/>
    <w:rsid w:val="0058482E"/>
    <w:rsid w:val="005877BA"/>
    <w:rsid w:val="005907BC"/>
    <w:rsid w:val="00590958"/>
    <w:rsid w:val="0059120B"/>
    <w:rsid w:val="00591D67"/>
    <w:rsid w:val="0059220D"/>
    <w:rsid w:val="00592844"/>
    <w:rsid w:val="0059370F"/>
    <w:rsid w:val="00593A0D"/>
    <w:rsid w:val="00595574"/>
    <w:rsid w:val="00595AD1"/>
    <w:rsid w:val="00595D98"/>
    <w:rsid w:val="00595EE6"/>
    <w:rsid w:val="0059601C"/>
    <w:rsid w:val="00597208"/>
    <w:rsid w:val="005A042B"/>
    <w:rsid w:val="005A0DBF"/>
    <w:rsid w:val="005A0F16"/>
    <w:rsid w:val="005A276F"/>
    <w:rsid w:val="005A2C76"/>
    <w:rsid w:val="005A3266"/>
    <w:rsid w:val="005A353F"/>
    <w:rsid w:val="005A35A9"/>
    <w:rsid w:val="005A393B"/>
    <w:rsid w:val="005A3959"/>
    <w:rsid w:val="005A3BA7"/>
    <w:rsid w:val="005A3CDE"/>
    <w:rsid w:val="005A3E4E"/>
    <w:rsid w:val="005A4B83"/>
    <w:rsid w:val="005A4F66"/>
    <w:rsid w:val="005A5A53"/>
    <w:rsid w:val="005A61E4"/>
    <w:rsid w:val="005A65B8"/>
    <w:rsid w:val="005A76D0"/>
    <w:rsid w:val="005A7BD3"/>
    <w:rsid w:val="005A7EB2"/>
    <w:rsid w:val="005B0799"/>
    <w:rsid w:val="005B07C5"/>
    <w:rsid w:val="005B0D9D"/>
    <w:rsid w:val="005B1595"/>
    <w:rsid w:val="005B1E0E"/>
    <w:rsid w:val="005B25B6"/>
    <w:rsid w:val="005B273D"/>
    <w:rsid w:val="005B2B00"/>
    <w:rsid w:val="005B2C2C"/>
    <w:rsid w:val="005B2E32"/>
    <w:rsid w:val="005B3492"/>
    <w:rsid w:val="005B5C1E"/>
    <w:rsid w:val="005B62C4"/>
    <w:rsid w:val="005B65AE"/>
    <w:rsid w:val="005B70CE"/>
    <w:rsid w:val="005B73FD"/>
    <w:rsid w:val="005B7485"/>
    <w:rsid w:val="005C035A"/>
    <w:rsid w:val="005C11C6"/>
    <w:rsid w:val="005C12FA"/>
    <w:rsid w:val="005C223F"/>
    <w:rsid w:val="005C229F"/>
    <w:rsid w:val="005C3A14"/>
    <w:rsid w:val="005C3DA2"/>
    <w:rsid w:val="005C421A"/>
    <w:rsid w:val="005C4298"/>
    <w:rsid w:val="005C452B"/>
    <w:rsid w:val="005C460A"/>
    <w:rsid w:val="005C4F80"/>
    <w:rsid w:val="005C563D"/>
    <w:rsid w:val="005C5F57"/>
    <w:rsid w:val="005C5FF9"/>
    <w:rsid w:val="005C66A9"/>
    <w:rsid w:val="005C77C2"/>
    <w:rsid w:val="005D08CC"/>
    <w:rsid w:val="005D1567"/>
    <w:rsid w:val="005D1768"/>
    <w:rsid w:val="005D214E"/>
    <w:rsid w:val="005D2492"/>
    <w:rsid w:val="005D379E"/>
    <w:rsid w:val="005D3DBF"/>
    <w:rsid w:val="005D44DB"/>
    <w:rsid w:val="005D49C8"/>
    <w:rsid w:val="005D6954"/>
    <w:rsid w:val="005E137C"/>
    <w:rsid w:val="005E1548"/>
    <w:rsid w:val="005E1B7D"/>
    <w:rsid w:val="005E21E8"/>
    <w:rsid w:val="005E24FB"/>
    <w:rsid w:val="005E26E0"/>
    <w:rsid w:val="005E4BCB"/>
    <w:rsid w:val="005E4C22"/>
    <w:rsid w:val="005E5A7A"/>
    <w:rsid w:val="005E616D"/>
    <w:rsid w:val="005E6942"/>
    <w:rsid w:val="005E7796"/>
    <w:rsid w:val="005E7C56"/>
    <w:rsid w:val="005E7E75"/>
    <w:rsid w:val="005F0572"/>
    <w:rsid w:val="005F1F5F"/>
    <w:rsid w:val="005F2659"/>
    <w:rsid w:val="005F2661"/>
    <w:rsid w:val="005F2E45"/>
    <w:rsid w:val="005F37BB"/>
    <w:rsid w:val="005F470F"/>
    <w:rsid w:val="005F4744"/>
    <w:rsid w:val="005F5AF5"/>
    <w:rsid w:val="005F6740"/>
    <w:rsid w:val="005F6772"/>
    <w:rsid w:val="005F734C"/>
    <w:rsid w:val="005F74DD"/>
    <w:rsid w:val="00601F1E"/>
    <w:rsid w:val="006023F7"/>
    <w:rsid w:val="00603FCA"/>
    <w:rsid w:val="006042B4"/>
    <w:rsid w:val="00605D3E"/>
    <w:rsid w:val="00606A48"/>
    <w:rsid w:val="00606B87"/>
    <w:rsid w:val="00606F46"/>
    <w:rsid w:val="006074E1"/>
    <w:rsid w:val="0060783E"/>
    <w:rsid w:val="00607C70"/>
    <w:rsid w:val="0061026F"/>
    <w:rsid w:val="006102AC"/>
    <w:rsid w:val="00610CD0"/>
    <w:rsid w:val="0061311D"/>
    <w:rsid w:val="00613356"/>
    <w:rsid w:val="00613603"/>
    <w:rsid w:val="00613C58"/>
    <w:rsid w:val="0061466C"/>
    <w:rsid w:val="006150B0"/>
    <w:rsid w:val="00615852"/>
    <w:rsid w:val="00615BFE"/>
    <w:rsid w:val="00615C81"/>
    <w:rsid w:val="00616BA4"/>
    <w:rsid w:val="0061716E"/>
    <w:rsid w:val="006176A3"/>
    <w:rsid w:val="00617AFC"/>
    <w:rsid w:val="006202BD"/>
    <w:rsid w:val="00620B3F"/>
    <w:rsid w:val="0062170A"/>
    <w:rsid w:val="00621FCD"/>
    <w:rsid w:val="00622739"/>
    <w:rsid w:val="006228A3"/>
    <w:rsid w:val="00622B92"/>
    <w:rsid w:val="006239B8"/>
    <w:rsid w:val="00623A93"/>
    <w:rsid w:val="0062589E"/>
    <w:rsid w:val="00625A3C"/>
    <w:rsid w:val="006264F1"/>
    <w:rsid w:val="00626C96"/>
    <w:rsid w:val="00627038"/>
    <w:rsid w:val="0062778D"/>
    <w:rsid w:val="00627C9F"/>
    <w:rsid w:val="00627DFF"/>
    <w:rsid w:val="00627F5F"/>
    <w:rsid w:val="00631A83"/>
    <w:rsid w:val="00633753"/>
    <w:rsid w:val="00633F98"/>
    <w:rsid w:val="00634932"/>
    <w:rsid w:val="00635589"/>
    <w:rsid w:val="00636485"/>
    <w:rsid w:val="00637241"/>
    <w:rsid w:val="00637574"/>
    <w:rsid w:val="0064035B"/>
    <w:rsid w:val="00640D80"/>
    <w:rsid w:val="006425C0"/>
    <w:rsid w:val="00643703"/>
    <w:rsid w:val="00643C37"/>
    <w:rsid w:val="006447D8"/>
    <w:rsid w:val="00644F28"/>
    <w:rsid w:val="0064512E"/>
    <w:rsid w:val="00645191"/>
    <w:rsid w:val="006459E2"/>
    <w:rsid w:val="00645A72"/>
    <w:rsid w:val="00646638"/>
    <w:rsid w:val="006478F2"/>
    <w:rsid w:val="00647EA0"/>
    <w:rsid w:val="006500A8"/>
    <w:rsid w:val="00650D58"/>
    <w:rsid w:val="00650F70"/>
    <w:rsid w:val="0065159B"/>
    <w:rsid w:val="00651629"/>
    <w:rsid w:val="0065187E"/>
    <w:rsid w:val="006537A8"/>
    <w:rsid w:val="00653CD3"/>
    <w:rsid w:val="00653D49"/>
    <w:rsid w:val="006541AC"/>
    <w:rsid w:val="00654206"/>
    <w:rsid w:val="00654373"/>
    <w:rsid w:val="00654A70"/>
    <w:rsid w:val="006553C1"/>
    <w:rsid w:val="00655684"/>
    <w:rsid w:val="00655A25"/>
    <w:rsid w:val="006566CE"/>
    <w:rsid w:val="006574B6"/>
    <w:rsid w:val="00660A97"/>
    <w:rsid w:val="00661A1D"/>
    <w:rsid w:val="00662003"/>
    <w:rsid w:val="0066210C"/>
    <w:rsid w:val="006623B6"/>
    <w:rsid w:val="006624A2"/>
    <w:rsid w:val="006631E3"/>
    <w:rsid w:val="006637A8"/>
    <w:rsid w:val="00664F7D"/>
    <w:rsid w:val="0066546E"/>
    <w:rsid w:val="0066559F"/>
    <w:rsid w:val="006673D2"/>
    <w:rsid w:val="00667892"/>
    <w:rsid w:val="00667BBF"/>
    <w:rsid w:val="00670113"/>
    <w:rsid w:val="00670647"/>
    <w:rsid w:val="0067192C"/>
    <w:rsid w:val="006731F3"/>
    <w:rsid w:val="006734E2"/>
    <w:rsid w:val="006745CF"/>
    <w:rsid w:val="006747D5"/>
    <w:rsid w:val="00676B85"/>
    <w:rsid w:val="00676B86"/>
    <w:rsid w:val="00676CDC"/>
    <w:rsid w:val="00680129"/>
    <w:rsid w:val="006817B3"/>
    <w:rsid w:val="00683903"/>
    <w:rsid w:val="00683DC8"/>
    <w:rsid w:val="0068434B"/>
    <w:rsid w:val="006849BD"/>
    <w:rsid w:val="00684AA0"/>
    <w:rsid w:val="0068523C"/>
    <w:rsid w:val="006852F7"/>
    <w:rsid w:val="00686FEA"/>
    <w:rsid w:val="00687081"/>
    <w:rsid w:val="006870DA"/>
    <w:rsid w:val="00687F77"/>
    <w:rsid w:val="0069101E"/>
    <w:rsid w:val="00691591"/>
    <w:rsid w:val="00692541"/>
    <w:rsid w:val="0069270C"/>
    <w:rsid w:val="00693482"/>
    <w:rsid w:val="006935A0"/>
    <w:rsid w:val="00693CF2"/>
    <w:rsid w:val="0069460E"/>
    <w:rsid w:val="00694912"/>
    <w:rsid w:val="0069506E"/>
    <w:rsid w:val="0069546A"/>
    <w:rsid w:val="00695869"/>
    <w:rsid w:val="00696365"/>
    <w:rsid w:val="00696CF4"/>
    <w:rsid w:val="00697274"/>
    <w:rsid w:val="006975CC"/>
    <w:rsid w:val="0069766F"/>
    <w:rsid w:val="006A0233"/>
    <w:rsid w:val="006A0899"/>
    <w:rsid w:val="006A1D78"/>
    <w:rsid w:val="006A1EB5"/>
    <w:rsid w:val="006A205B"/>
    <w:rsid w:val="006A24E1"/>
    <w:rsid w:val="006A2A83"/>
    <w:rsid w:val="006A543F"/>
    <w:rsid w:val="006A659F"/>
    <w:rsid w:val="006A6A52"/>
    <w:rsid w:val="006A6B15"/>
    <w:rsid w:val="006A7526"/>
    <w:rsid w:val="006A784C"/>
    <w:rsid w:val="006A78F1"/>
    <w:rsid w:val="006A7DC3"/>
    <w:rsid w:val="006B01C5"/>
    <w:rsid w:val="006B0381"/>
    <w:rsid w:val="006B0B85"/>
    <w:rsid w:val="006B1075"/>
    <w:rsid w:val="006B24FB"/>
    <w:rsid w:val="006B2851"/>
    <w:rsid w:val="006B2B43"/>
    <w:rsid w:val="006B366F"/>
    <w:rsid w:val="006B3CD4"/>
    <w:rsid w:val="006B51C2"/>
    <w:rsid w:val="006B5633"/>
    <w:rsid w:val="006B7312"/>
    <w:rsid w:val="006B777C"/>
    <w:rsid w:val="006C0199"/>
    <w:rsid w:val="006C0750"/>
    <w:rsid w:val="006C10F3"/>
    <w:rsid w:val="006C1220"/>
    <w:rsid w:val="006C133B"/>
    <w:rsid w:val="006C1A6B"/>
    <w:rsid w:val="006C1C8E"/>
    <w:rsid w:val="006C2E76"/>
    <w:rsid w:val="006C41C6"/>
    <w:rsid w:val="006C54C9"/>
    <w:rsid w:val="006C5630"/>
    <w:rsid w:val="006C59D0"/>
    <w:rsid w:val="006D19DA"/>
    <w:rsid w:val="006D227A"/>
    <w:rsid w:val="006D2B5E"/>
    <w:rsid w:val="006D374C"/>
    <w:rsid w:val="006D3BF3"/>
    <w:rsid w:val="006D3DE7"/>
    <w:rsid w:val="006D4F1B"/>
    <w:rsid w:val="006D53EC"/>
    <w:rsid w:val="006D697D"/>
    <w:rsid w:val="006D6AA2"/>
    <w:rsid w:val="006D6CDC"/>
    <w:rsid w:val="006D70E7"/>
    <w:rsid w:val="006E2EAE"/>
    <w:rsid w:val="006E383B"/>
    <w:rsid w:val="006E4664"/>
    <w:rsid w:val="006E5FBB"/>
    <w:rsid w:val="006E6BA6"/>
    <w:rsid w:val="006E6C35"/>
    <w:rsid w:val="006E708D"/>
    <w:rsid w:val="006E7737"/>
    <w:rsid w:val="006F0E86"/>
    <w:rsid w:val="006F1837"/>
    <w:rsid w:val="006F1AD8"/>
    <w:rsid w:val="006F1CA4"/>
    <w:rsid w:val="006F21F0"/>
    <w:rsid w:val="006F22B0"/>
    <w:rsid w:val="006F2A3F"/>
    <w:rsid w:val="006F351B"/>
    <w:rsid w:val="006F392B"/>
    <w:rsid w:val="006F3CD1"/>
    <w:rsid w:val="006F4330"/>
    <w:rsid w:val="006F557F"/>
    <w:rsid w:val="006F571E"/>
    <w:rsid w:val="006F5BC1"/>
    <w:rsid w:val="006F6302"/>
    <w:rsid w:val="006F6706"/>
    <w:rsid w:val="006F68D6"/>
    <w:rsid w:val="006F692C"/>
    <w:rsid w:val="006F7C55"/>
    <w:rsid w:val="007003E8"/>
    <w:rsid w:val="00701601"/>
    <w:rsid w:val="007026C3"/>
    <w:rsid w:val="0070272D"/>
    <w:rsid w:val="00702DEA"/>
    <w:rsid w:val="00703A9A"/>
    <w:rsid w:val="00704A9A"/>
    <w:rsid w:val="00704C25"/>
    <w:rsid w:val="00705724"/>
    <w:rsid w:val="00705789"/>
    <w:rsid w:val="00705A10"/>
    <w:rsid w:val="00705D9B"/>
    <w:rsid w:val="00705F1D"/>
    <w:rsid w:val="0070620D"/>
    <w:rsid w:val="0070663A"/>
    <w:rsid w:val="0070667A"/>
    <w:rsid w:val="007066CA"/>
    <w:rsid w:val="00706AC7"/>
    <w:rsid w:val="0070758D"/>
    <w:rsid w:val="00707C35"/>
    <w:rsid w:val="00707D70"/>
    <w:rsid w:val="00711248"/>
    <w:rsid w:val="00711C31"/>
    <w:rsid w:val="00713BC9"/>
    <w:rsid w:val="00714036"/>
    <w:rsid w:val="007145B0"/>
    <w:rsid w:val="007149D9"/>
    <w:rsid w:val="00714D55"/>
    <w:rsid w:val="0071557F"/>
    <w:rsid w:val="007163E6"/>
    <w:rsid w:val="00716679"/>
    <w:rsid w:val="00716DCB"/>
    <w:rsid w:val="0072046F"/>
    <w:rsid w:val="00720B33"/>
    <w:rsid w:val="00720BD0"/>
    <w:rsid w:val="00721617"/>
    <w:rsid w:val="00722204"/>
    <w:rsid w:val="00722795"/>
    <w:rsid w:val="007239AC"/>
    <w:rsid w:val="00723DC4"/>
    <w:rsid w:val="00723E95"/>
    <w:rsid w:val="007251E3"/>
    <w:rsid w:val="00725B66"/>
    <w:rsid w:val="007267E0"/>
    <w:rsid w:val="00726D2F"/>
    <w:rsid w:val="007275D3"/>
    <w:rsid w:val="007315EF"/>
    <w:rsid w:val="00731E06"/>
    <w:rsid w:val="00732492"/>
    <w:rsid w:val="00732864"/>
    <w:rsid w:val="007328CA"/>
    <w:rsid w:val="007328CD"/>
    <w:rsid w:val="007328F1"/>
    <w:rsid w:val="00732B1F"/>
    <w:rsid w:val="00733893"/>
    <w:rsid w:val="00733953"/>
    <w:rsid w:val="00733F37"/>
    <w:rsid w:val="00735F74"/>
    <w:rsid w:val="00736364"/>
    <w:rsid w:val="0073642B"/>
    <w:rsid w:val="0073655D"/>
    <w:rsid w:val="00736956"/>
    <w:rsid w:val="00736BBC"/>
    <w:rsid w:val="00737217"/>
    <w:rsid w:val="0073763D"/>
    <w:rsid w:val="00740020"/>
    <w:rsid w:val="0074017D"/>
    <w:rsid w:val="00740AB1"/>
    <w:rsid w:val="007420FB"/>
    <w:rsid w:val="00743CCA"/>
    <w:rsid w:val="0074464E"/>
    <w:rsid w:val="00746ABF"/>
    <w:rsid w:val="00750514"/>
    <w:rsid w:val="007507AF"/>
    <w:rsid w:val="00750D35"/>
    <w:rsid w:val="00750F2F"/>
    <w:rsid w:val="0075199C"/>
    <w:rsid w:val="0075219B"/>
    <w:rsid w:val="00752272"/>
    <w:rsid w:val="007526B5"/>
    <w:rsid w:val="0075272B"/>
    <w:rsid w:val="007529A7"/>
    <w:rsid w:val="007537FA"/>
    <w:rsid w:val="00754496"/>
    <w:rsid w:val="007546A8"/>
    <w:rsid w:val="007546D9"/>
    <w:rsid w:val="00754C92"/>
    <w:rsid w:val="0075518B"/>
    <w:rsid w:val="00755385"/>
    <w:rsid w:val="00755689"/>
    <w:rsid w:val="007558C4"/>
    <w:rsid w:val="00755C87"/>
    <w:rsid w:val="00756D19"/>
    <w:rsid w:val="00760129"/>
    <w:rsid w:val="007613E8"/>
    <w:rsid w:val="007615B6"/>
    <w:rsid w:val="0076315E"/>
    <w:rsid w:val="007632E6"/>
    <w:rsid w:val="0076684E"/>
    <w:rsid w:val="00766A58"/>
    <w:rsid w:val="00767301"/>
    <w:rsid w:val="007679DA"/>
    <w:rsid w:val="00770E7B"/>
    <w:rsid w:val="0077133E"/>
    <w:rsid w:val="00771E8A"/>
    <w:rsid w:val="00772716"/>
    <w:rsid w:val="007740AA"/>
    <w:rsid w:val="00774DF5"/>
    <w:rsid w:val="00775606"/>
    <w:rsid w:val="007764F4"/>
    <w:rsid w:val="0077654F"/>
    <w:rsid w:val="00776669"/>
    <w:rsid w:val="0077686F"/>
    <w:rsid w:val="00776AB8"/>
    <w:rsid w:val="00776E6A"/>
    <w:rsid w:val="007801D2"/>
    <w:rsid w:val="0078112B"/>
    <w:rsid w:val="0078130A"/>
    <w:rsid w:val="00781550"/>
    <w:rsid w:val="00781A2E"/>
    <w:rsid w:val="00781B0B"/>
    <w:rsid w:val="007822A3"/>
    <w:rsid w:val="0078449A"/>
    <w:rsid w:val="00784A93"/>
    <w:rsid w:val="00784EA7"/>
    <w:rsid w:val="00786F07"/>
    <w:rsid w:val="00790119"/>
    <w:rsid w:val="00790FB6"/>
    <w:rsid w:val="00791393"/>
    <w:rsid w:val="007919D0"/>
    <w:rsid w:val="007920CA"/>
    <w:rsid w:val="00792EBE"/>
    <w:rsid w:val="00793616"/>
    <w:rsid w:val="0079367C"/>
    <w:rsid w:val="00795D7D"/>
    <w:rsid w:val="00796246"/>
    <w:rsid w:val="0079641E"/>
    <w:rsid w:val="0079672F"/>
    <w:rsid w:val="007969DC"/>
    <w:rsid w:val="00797484"/>
    <w:rsid w:val="00797AF9"/>
    <w:rsid w:val="007A0130"/>
    <w:rsid w:val="007A0DCF"/>
    <w:rsid w:val="007A0FD0"/>
    <w:rsid w:val="007A2089"/>
    <w:rsid w:val="007A2AE7"/>
    <w:rsid w:val="007A31DC"/>
    <w:rsid w:val="007A33F8"/>
    <w:rsid w:val="007A367B"/>
    <w:rsid w:val="007A4CF0"/>
    <w:rsid w:val="007A4DA2"/>
    <w:rsid w:val="007A4F6D"/>
    <w:rsid w:val="007A50EF"/>
    <w:rsid w:val="007A5F15"/>
    <w:rsid w:val="007A679B"/>
    <w:rsid w:val="007A6BCD"/>
    <w:rsid w:val="007A74F1"/>
    <w:rsid w:val="007B0D2B"/>
    <w:rsid w:val="007B1465"/>
    <w:rsid w:val="007B1D77"/>
    <w:rsid w:val="007B1E50"/>
    <w:rsid w:val="007B231F"/>
    <w:rsid w:val="007B29E4"/>
    <w:rsid w:val="007B33A7"/>
    <w:rsid w:val="007B3A5C"/>
    <w:rsid w:val="007B3B57"/>
    <w:rsid w:val="007B4407"/>
    <w:rsid w:val="007B4D7B"/>
    <w:rsid w:val="007B5184"/>
    <w:rsid w:val="007B552B"/>
    <w:rsid w:val="007B5970"/>
    <w:rsid w:val="007B5D6E"/>
    <w:rsid w:val="007B5E38"/>
    <w:rsid w:val="007B60B4"/>
    <w:rsid w:val="007B64BD"/>
    <w:rsid w:val="007B67FD"/>
    <w:rsid w:val="007B6C74"/>
    <w:rsid w:val="007B6ECE"/>
    <w:rsid w:val="007B6FA5"/>
    <w:rsid w:val="007B71B6"/>
    <w:rsid w:val="007B7457"/>
    <w:rsid w:val="007C088F"/>
    <w:rsid w:val="007C0F5A"/>
    <w:rsid w:val="007C1BDF"/>
    <w:rsid w:val="007C1D49"/>
    <w:rsid w:val="007C1F01"/>
    <w:rsid w:val="007C3CCB"/>
    <w:rsid w:val="007C3D86"/>
    <w:rsid w:val="007C3E26"/>
    <w:rsid w:val="007C428F"/>
    <w:rsid w:val="007C4593"/>
    <w:rsid w:val="007C6628"/>
    <w:rsid w:val="007C7DAC"/>
    <w:rsid w:val="007D0E47"/>
    <w:rsid w:val="007D15FA"/>
    <w:rsid w:val="007D1DD4"/>
    <w:rsid w:val="007D20E2"/>
    <w:rsid w:val="007D39B9"/>
    <w:rsid w:val="007D3A6C"/>
    <w:rsid w:val="007D3CA9"/>
    <w:rsid w:val="007D45C1"/>
    <w:rsid w:val="007D49BE"/>
    <w:rsid w:val="007D49DA"/>
    <w:rsid w:val="007D6210"/>
    <w:rsid w:val="007D652F"/>
    <w:rsid w:val="007D665B"/>
    <w:rsid w:val="007D7D94"/>
    <w:rsid w:val="007E0D85"/>
    <w:rsid w:val="007E1409"/>
    <w:rsid w:val="007E30A9"/>
    <w:rsid w:val="007E34F7"/>
    <w:rsid w:val="007E3985"/>
    <w:rsid w:val="007E462B"/>
    <w:rsid w:val="007E4A95"/>
    <w:rsid w:val="007E4DE8"/>
    <w:rsid w:val="007E56A8"/>
    <w:rsid w:val="007E57A3"/>
    <w:rsid w:val="007E6751"/>
    <w:rsid w:val="007E7133"/>
    <w:rsid w:val="007F09EA"/>
    <w:rsid w:val="007F0B79"/>
    <w:rsid w:val="007F1A4A"/>
    <w:rsid w:val="007F1B38"/>
    <w:rsid w:val="007F227A"/>
    <w:rsid w:val="007F3713"/>
    <w:rsid w:val="007F3BDC"/>
    <w:rsid w:val="007F4183"/>
    <w:rsid w:val="007F447B"/>
    <w:rsid w:val="007F50C9"/>
    <w:rsid w:val="007F5124"/>
    <w:rsid w:val="007F5B3D"/>
    <w:rsid w:val="007F5D70"/>
    <w:rsid w:val="007F61AE"/>
    <w:rsid w:val="007F6BC2"/>
    <w:rsid w:val="007F72EB"/>
    <w:rsid w:val="007F7C9F"/>
    <w:rsid w:val="008004BF"/>
    <w:rsid w:val="008009E9"/>
    <w:rsid w:val="00800A68"/>
    <w:rsid w:val="00800BB3"/>
    <w:rsid w:val="00801513"/>
    <w:rsid w:val="0080153F"/>
    <w:rsid w:val="008022F1"/>
    <w:rsid w:val="00802A0D"/>
    <w:rsid w:val="00802EBD"/>
    <w:rsid w:val="00802EEF"/>
    <w:rsid w:val="00804AB5"/>
    <w:rsid w:val="008053D1"/>
    <w:rsid w:val="008060A7"/>
    <w:rsid w:val="00806C9D"/>
    <w:rsid w:val="00806CBB"/>
    <w:rsid w:val="00807540"/>
    <w:rsid w:val="00807552"/>
    <w:rsid w:val="00810703"/>
    <w:rsid w:val="00810AE7"/>
    <w:rsid w:val="00810D46"/>
    <w:rsid w:val="00811683"/>
    <w:rsid w:val="008146AB"/>
    <w:rsid w:val="00815C98"/>
    <w:rsid w:val="0081687E"/>
    <w:rsid w:val="00816A9A"/>
    <w:rsid w:val="00817003"/>
    <w:rsid w:val="00817254"/>
    <w:rsid w:val="008173B3"/>
    <w:rsid w:val="00817E2A"/>
    <w:rsid w:val="0082031F"/>
    <w:rsid w:val="00820991"/>
    <w:rsid w:val="00820E10"/>
    <w:rsid w:val="008213CF"/>
    <w:rsid w:val="00821D7E"/>
    <w:rsid w:val="00822276"/>
    <w:rsid w:val="0082237E"/>
    <w:rsid w:val="0082247C"/>
    <w:rsid w:val="008228CD"/>
    <w:rsid w:val="00822A08"/>
    <w:rsid w:val="008233AA"/>
    <w:rsid w:val="00823839"/>
    <w:rsid w:val="008238BF"/>
    <w:rsid w:val="008239DD"/>
    <w:rsid w:val="0082429A"/>
    <w:rsid w:val="008249B1"/>
    <w:rsid w:val="008251F8"/>
    <w:rsid w:val="00825FF0"/>
    <w:rsid w:val="0082604E"/>
    <w:rsid w:val="008266A1"/>
    <w:rsid w:val="0082742B"/>
    <w:rsid w:val="008276DD"/>
    <w:rsid w:val="00827FA2"/>
    <w:rsid w:val="00830769"/>
    <w:rsid w:val="00831A92"/>
    <w:rsid w:val="00831B04"/>
    <w:rsid w:val="00832996"/>
    <w:rsid w:val="00833943"/>
    <w:rsid w:val="00833969"/>
    <w:rsid w:val="008346F5"/>
    <w:rsid w:val="008373C5"/>
    <w:rsid w:val="00837A3E"/>
    <w:rsid w:val="0084010E"/>
    <w:rsid w:val="00840215"/>
    <w:rsid w:val="00840269"/>
    <w:rsid w:val="00840486"/>
    <w:rsid w:val="00840A4F"/>
    <w:rsid w:val="008412C4"/>
    <w:rsid w:val="00841562"/>
    <w:rsid w:val="00841C0D"/>
    <w:rsid w:val="00842D89"/>
    <w:rsid w:val="00843137"/>
    <w:rsid w:val="00843201"/>
    <w:rsid w:val="00843B61"/>
    <w:rsid w:val="0084442B"/>
    <w:rsid w:val="00845019"/>
    <w:rsid w:val="00845476"/>
    <w:rsid w:val="008454BD"/>
    <w:rsid w:val="00845CCA"/>
    <w:rsid w:val="00845D1F"/>
    <w:rsid w:val="00846106"/>
    <w:rsid w:val="00846BAC"/>
    <w:rsid w:val="00847A9D"/>
    <w:rsid w:val="0085058B"/>
    <w:rsid w:val="0085063A"/>
    <w:rsid w:val="00850D63"/>
    <w:rsid w:val="00851B5B"/>
    <w:rsid w:val="00852AAD"/>
    <w:rsid w:val="00852CDC"/>
    <w:rsid w:val="00852ECA"/>
    <w:rsid w:val="0085336B"/>
    <w:rsid w:val="00854E14"/>
    <w:rsid w:val="00856D8A"/>
    <w:rsid w:val="0085770B"/>
    <w:rsid w:val="00857A4A"/>
    <w:rsid w:val="0086025C"/>
    <w:rsid w:val="00860435"/>
    <w:rsid w:val="008607A5"/>
    <w:rsid w:val="008612FA"/>
    <w:rsid w:val="008613ED"/>
    <w:rsid w:val="00861C35"/>
    <w:rsid w:val="00862526"/>
    <w:rsid w:val="008628F6"/>
    <w:rsid w:val="00862A47"/>
    <w:rsid w:val="0086333D"/>
    <w:rsid w:val="008637AF"/>
    <w:rsid w:val="00863F07"/>
    <w:rsid w:val="0086408F"/>
    <w:rsid w:val="00864B2B"/>
    <w:rsid w:val="008650AE"/>
    <w:rsid w:val="00865133"/>
    <w:rsid w:val="00865ACD"/>
    <w:rsid w:val="00865AFE"/>
    <w:rsid w:val="008661CC"/>
    <w:rsid w:val="00866D2F"/>
    <w:rsid w:val="00867047"/>
    <w:rsid w:val="00867276"/>
    <w:rsid w:val="00870E8D"/>
    <w:rsid w:val="00871377"/>
    <w:rsid w:val="00871631"/>
    <w:rsid w:val="008737C1"/>
    <w:rsid w:val="0087552B"/>
    <w:rsid w:val="00875567"/>
    <w:rsid w:val="00877592"/>
    <w:rsid w:val="008776F8"/>
    <w:rsid w:val="008806D9"/>
    <w:rsid w:val="00880F6B"/>
    <w:rsid w:val="00882289"/>
    <w:rsid w:val="00882A27"/>
    <w:rsid w:val="00882B85"/>
    <w:rsid w:val="0088301D"/>
    <w:rsid w:val="00883E09"/>
    <w:rsid w:val="00886510"/>
    <w:rsid w:val="00886698"/>
    <w:rsid w:val="00886A8A"/>
    <w:rsid w:val="0088770E"/>
    <w:rsid w:val="00887F87"/>
    <w:rsid w:val="00890A54"/>
    <w:rsid w:val="00891DC5"/>
    <w:rsid w:val="00891DF5"/>
    <w:rsid w:val="008932E6"/>
    <w:rsid w:val="0089380C"/>
    <w:rsid w:val="0089390C"/>
    <w:rsid w:val="00893F2D"/>
    <w:rsid w:val="008948B8"/>
    <w:rsid w:val="00894F92"/>
    <w:rsid w:val="00895455"/>
    <w:rsid w:val="008956FC"/>
    <w:rsid w:val="00896E75"/>
    <w:rsid w:val="008976AF"/>
    <w:rsid w:val="008A02EB"/>
    <w:rsid w:val="008A09DC"/>
    <w:rsid w:val="008A1CB2"/>
    <w:rsid w:val="008A1DCE"/>
    <w:rsid w:val="008A1E8B"/>
    <w:rsid w:val="008A2025"/>
    <w:rsid w:val="008A3E8F"/>
    <w:rsid w:val="008A3EA5"/>
    <w:rsid w:val="008A3FF5"/>
    <w:rsid w:val="008A4A91"/>
    <w:rsid w:val="008A5388"/>
    <w:rsid w:val="008A5496"/>
    <w:rsid w:val="008A578B"/>
    <w:rsid w:val="008A5B80"/>
    <w:rsid w:val="008A647C"/>
    <w:rsid w:val="008A69EA"/>
    <w:rsid w:val="008A6F36"/>
    <w:rsid w:val="008A7D25"/>
    <w:rsid w:val="008B0F36"/>
    <w:rsid w:val="008B21A6"/>
    <w:rsid w:val="008B2FAA"/>
    <w:rsid w:val="008B5568"/>
    <w:rsid w:val="008B5953"/>
    <w:rsid w:val="008B6AEB"/>
    <w:rsid w:val="008B7773"/>
    <w:rsid w:val="008C011D"/>
    <w:rsid w:val="008C024D"/>
    <w:rsid w:val="008C06A3"/>
    <w:rsid w:val="008C09C7"/>
    <w:rsid w:val="008C140C"/>
    <w:rsid w:val="008C1C09"/>
    <w:rsid w:val="008C264B"/>
    <w:rsid w:val="008C2737"/>
    <w:rsid w:val="008C2AA8"/>
    <w:rsid w:val="008C3AD7"/>
    <w:rsid w:val="008C3EBF"/>
    <w:rsid w:val="008C4363"/>
    <w:rsid w:val="008C486A"/>
    <w:rsid w:val="008C61BA"/>
    <w:rsid w:val="008C6273"/>
    <w:rsid w:val="008C7113"/>
    <w:rsid w:val="008D0F90"/>
    <w:rsid w:val="008D12D6"/>
    <w:rsid w:val="008D1B67"/>
    <w:rsid w:val="008D230B"/>
    <w:rsid w:val="008D25C5"/>
    <w:rsid w:val="008D271C"/>
    <w:rsid w:val="008D28AB"/>
    <w:rsid w:val="008D2D72"/>
    <w:rsid w:val="008D3F65"/>
    <w:rsid w:val="008D3FC5"/>
    <w:rsid w:val="008D4603"/>
    <w:rsid w:val="008D5F2C"/>
    <w:rsid w:val="008D61CD"/>
    <w:rsid w:val="008D75F7"/>
    <w:rsid w:val="008D7AA6"/>
    <w:rsid w:val="008E0584"/>
    <w:rsid w:val="008E11AF"/>
    <w:rsid w:val="008E18C4"/>
    <w:rsid w:val="008E1DF8"/>
    <w:rsid w:val="008E2727"/>
    <w:rsid w:val="008E3771"/>
    <w:rsid w:val="008E4549"/>
    <w:rsid w:val="008E4C15"/>
    <w:rsid w:val="008E57F1"/>
    <w:rsid w:val="008E5E28"/>
    <w:rsid w:val="008E69D0"/>
    <w:rsid w:val="008E70BE"/>
    <w:rsid w:val="008E7947"/>
    <w:rsid w:val="008E7D87"/>
    <w:rsid w:val="008E7DDA"/>
    <w:rsid w:val="008E7EE6"/>
    <w:rsid w:val="008F0032"/>
    <w:rsid w:val="008F2533"/>
    <w:rsid w:val="008F3B19"/>
    <w:rsid w:val="008F4BDB"/>
    <w:rsid w:val="008F4E1B"/>
    <w:rsid w:val="008F5358"/>
    <w:rsid w:val="008F64F8"/>
    <w:rsid w:val="008F705B"/>
    <w:rsid w:val="008F7DF3"/>
    <w:rsid w:val="00900199"/>
    <w:rsid w:val="00900384"/>
    <w:rsid w:val="00900456"/>
    <w:rsid w:val="00900E16"/>
    <w:rsid w:val="0090102E"/>
    <w:rsid w:val="009042CF"/>
    <w:rsid w:val="009047ED"/>
    <w:rsid w:val="00905DA8"/>
    <w:rsid w:val="0090622C"/>
    <w:rsid w:val="009062E6"/>
    <w:rsid w:val="009064C6"/>
    <w:rsid w:val="009076AD"/>
    <w:rsid w:val="009079BC"/>
    <w:rsid w:val="009103F8"/>
    <w:rsid w:val="00910B62"/>
    <w:rsid w:val="00910F1D"/>
    <w:rsid w:val="00910F52"/>
    <w:rsid w:val="00912133"/>
    <w:rsid w:val="00913589"/>
    <w:rsid w:val="0091377A"/>
    <w:rsid w:val="009139AE"/>
    <w:rsid w:val="00914F3A"/>
    <w:rsid w:val="00915510"/>
    <w:rsid w:val="00915879"/>
    <w:rsid w:val="009159BE"/>
    <w:rsid w:val="00916122"/>
    <w:rsid w:val="00917C97"/>
    <w:rsid w:val="00920BD0"/>
    <w:rsid w:val="00920E10"/>
    <w:rsid w:val="00921266"/>
    <w:rsid w:val="00922314"/>
    <w:rsid w:val="00922C2B"/>
    <w:rsid w:val="00922FAD"/>
    <w:rsid w:val="0092339D"/>
    <w:rsid w:val="00923493"/>
    <w:rsid w:val="00923498"/>
    <w:rsid w:val="00923847"/>
    <w:rsid w:val="00923CE4"/>
    <w:rsid w:val="009246B2"/>
    <w:rsid w:val="009252C1"/>
    <w:rsid w:val="00926B5F"/>
    <w:rsid w:val="009302B1"/>
    <w:rsid w:val="00930721"/>
    <w:rsid w:val="0093195D"/>
    <w:rsid w:val="00931992"/>
    <w:rsid w:val="00932E3A"/>
    <w:rsid w:val="00933746"/>
    <w:rsid w:val="009343C2"/>
    <w:rsid w:val="0093514A"/>
    <w:rsid w:val="0093570C"/>
    <w:rsid w:val="00937192"/>
    <w:rsid w:val="00937204"/>
    <w:rsid w:val="0093756B"/>
    <w:rsid w:val="009377F9"/>
    <w:rsid w:val="009400C2"/>
    <w:rsid w:val="00940DF2"/>
    <w:rsid w:val="00941029"/>
    <w:rsid w:val="009425F8"/>
    <w:rsid w:val="00942798"/>
    <w:rsid w:val="00942CD5"/>
    <w:rsid w:val="0094385D"/>
    <w:rsid w:val="0094422B"/>
    <w:rsid w:val="00944C06"/>
    <w:rsid w:val="009462FA"/>
    <w:rsid w:val="00947153"/>
    <w:rsid w:val="009475BA"/>
    <w:rsid w:val="009477D1"/>
    <w:rsid w:val="009505DD"/>
    <w:rsid w:val="00950BE4"/>
    <w:rsid w:val="00950FFF"/>
    <w:rsid w:val="0095235E"/>
    <w:rsid w:val="00952A2F"/>
    <w:rsid w:val="00954619"/>
    <w:rsid w:val="0095463E"/>
    <w:rsid w:val="00954E3E"/>
    <w:rsid w:val="0095536D"/>
    <w:rsid w:val="00955905"/>
    <w:rsid w:val="009561AA"/>
    <w:rsid w:val="00956E8C"/>
    <w:rsid w:val="00956F7C"/>
    <w:rsid w:val="009578F1"/>
    <w:rsid w:val="00957AA6"/>
    <w:rsid w:val="00960C53"/>
    <w:rsid w:val="00960ED5"/>
    <w:rsid w:val="00961237"/>
    <w:rsid w:val="00961453"/>
    <w:rsid w:val="00961618"/>
    <w:rsid w:val="009625A8"/>
    <w:rsid w:val="00962612"/>
    <w:rsid w:val="00962742"/>
    <w:rsid w:val="00962E14"/>
    <w:rsid w:val="00965459"/>
    <w:rsid w:val="009656ED"/>
    <w:rsid w:val="00965A21"/>
    <w:rsid w:val="00965D4D"/>
    <w:rsid w:val="00966608"/>
    <w:rsid w:val="009670A7"/>
    <w:rsid w:val="00967450"/>
    <w:rsid w:val="0096761A"/>
    <w:rsid w:val="009705B3"/>
    <w:rsid w:val="009707B6"/>
    <w:rsid w:val="0097087A"/>
    <w:rsid w:val="00971016"/>
    <w:rsid w:val="009721B9"/>
    <w:rsid w:val="009723ED"/>
    <w:rsid w:val="00972439"/>
    <w:rsid w:val="0097374F"/>
    <w:rsid w:val="00974166"/>
    <w:rsid w:val="0097483A"/>
    <w:rsid w:val="00974935"/>
    <w:rsid w:val="00974B69"/>
    <w:rsid w:val="00974CCC"/>
    <w:rsid w:val="00975CF0"/>
    <w:rsid w:val="00975E9F"/>
    <w:rsid w:val="00975EB6"/>
    <w:rsid w:val="009761D1"/>
    <w:rsid w:val="009778E5"/>
    <w:rsid w:val="00977E09"/>
    <w:rsid w:val="009813A6"/>
    <w:rsid w:val="00981D16"/>
    <w:rsid w:val="00982335"/>
    <w:rsid w:val="0098456E"/>
    <w:rsid w:val="0098472C"/>
    <w:rsid w:val="00986AE6"/>
    <w:rsid w:val="009870E1"/>
    <w:rsid w:val="009915EB"/>
    <w:rsid w:val="00991F8D"/>
    <w:rsid w:val="00992485"/>
    <w:rsid w:val="00992734"/>
    <w:rsid w:val="009928ED"/>
    <w:rsid w:val="009951EF"/>
    <w:rsid w:val="0099596C"/>
    <w:rsid w:val="00995E3F"/>
    <w:rsid w:val="00995F3D"/>
    <w:rsid w:val="00996097"/>
    <w:rsid w:val="00996B7B"/>
    <w:rsid w:val="00997C5A"/>
    <w:rsid w:val="009A0C0D"/>
    <w:rsid w:val="009A1756"/>
    <w:rsid w:val="009A1888"/>
    <w:rsid w:val="009A430A"/>
    <w:rsid w:val="009A4A6A"/>
    <w:rsid w:val="009A4E72"/>
    <w:rsid w:val="009A57DF"/>
    <w:rsid w:val="009A58EF"/>
    <w:rsid w:val="009A5C42"/>
    <w:rsid w:val="009A604C"/>
    <w:rsid w:val="009A6288"/>
    <w:rsid w:val="009A68EC"/>
    <w:rsid w:val="009A6D64"/>
    <w:rsid w:val="009A7640"/>
    <w:rsid w:val="009B0ED5"/>
    <w:rsid w:val="009B105D"/>
    <w:rsid w:val="009B108B"/>
    <w:rsid w:val="009B15A0"/>
    <w:rsid w:val="009B19D1"/>
    <w:rsid w:val="009B2AF3"/>
    <w:rsid w:val="009B2F96"/>
    <w:rsid w:val="009B31A4"/>
    <w:rsid w:val="009B41DE"/>
    <w:rsid w:val="009B4A61"/>
    <w:rsid w:val="009B54B7"/>
    <w:rsid w:val="009B5AEF"/>
    <w:rsid w:val="009B63C2"/>
    <w:rsid w:val="009B7452"/>
    <w:rsid w:val="009B7B1F"/>
    <w:rsid w:val="009C0993"/>
    <w:rsid w:val="009C0C78"/>
    <w:rsid w:val="009C10F2"/>
    <w:rsid w:val="009C11EA"/>
    <w:rsid w:val="009C163C"/>
    <w:rsid w:val="009C1D48"/>
    <w:rsid w:val="009C2244"/>
    <w:rsid w:val="009C3C7B"/>
    <w:rsid w:val="009C4F50"/>
    <w:rsid w:val="009C50AE"/>
    <w:rsid w:val="009C5402"/>
    <w:rsid w:val="009C5D95"/>
    <w:rsid w:val="009C6917"/>
    <w:rsid w:val="009C6F77"/>
    <w:rsid w:val="009C7175"/>
    <w:rsid w:val="009C7218"/>
    <w:rsid w:val="009C7525"/>
    <w:rsid w:val="009C7A72"/>
    <w:rsid w:val="009D1991"/>
    <w:rsid w:val="009D1CFF"/>
    <w:rsid w:val="009D1D31"/>
    <w:rsid w:val="009D1D7A"/>
    <w:rsid w:val="009D2099"/>
    <w:rsid w:val="009D2E41"/>
    <w:rsid w:val="009D3E6D"/>
    <w:rsid w:val="009D44FF"/>
    <w:rsid w:val="009D4857"/>
    <w:rsid w:val="009D77CC"/>
    <w:rsid w:val="009E17C3"/>
    <w:rsid w:val="009E1A31"/>
    <w:rsid w:val="009E1E79"/>
    <w:rsid w:val="009E2A69"/>
    <w:rsid w:val="009E3694"/>
    <w:rsid w:val="009E396D"/>
    <w:rsid w:val="009E39BB"/>
    <w:rsid w:val="009E3E55"/>
    <w:rsid w:val="009E4604"/>
    <w:rsid w:val="009E4A29"/>
    <w:rsid w:val="009E4F10"/>
    <w:rsid w:val="009E7272"/>
    <w:rsid w:val="009E73D3"/>
    <w:rsid w:val="009F0AF4"/>
    <w:rsid w:val="009F0CF6"/>
    <w:rsid w:val="009F1183"/>
    <w:rsid w:val="009F141D"/>
    <w:rsid w:val="009F1514"/>
    <w:rsid w:val="009F18D8"/>
    <w:rsid w:val="009F19BB"/>
    <w:rsid w:val="009F1B33"/>
    <w:rsid w:val="009F2EEF"/>
    <w:rsid w:val="009F2F7B"/>
    <w:rsid w:val="009F36C7"/>
    <w:rsid w:val="009F3A3F"/>
    <w:rsid w:val="009F44B4"/>
    <w:rsid w:val="009F44E1"/>
    <w:rsid w:val="009F4ABE"/>
    <w:rsid w:val="009F4C02"/>
    <w:rsid w:val="009F4DC8"/>
    <w:rsid w:val="009F589F"/>
    <w:rsid w:val="009F7119"/>
    <w:rsid w:val="009F7B20"/>
    <w:rsid w:val="00A00401"/>
    <w:rsid w:val="00A00A55"/>
    <w:rsid w:val="00A00C7C"/>
    <w:rsid w:val="00A00D63"/>
    <w:rsid w:val="00A0100F"/>
    <w:rsid w:val="00A01535"/>
    <w:rsid w:val="00A01F59"/>
    <w:rsid w:val="00A02573"/>
    <w:rsid w:val="00A03479"/>
    <w:rsid w:val="00A043DE"/>
    <w:rsid w:val="00A048A8"/>
    <w:rsid w:val="00A04903"/>
    <w:rsid w:val="00A056AA"/>
    <w:rsid w:val="00A05BAE"/>
    <w:rsid w:val="00A06879"/>
    <w:rsid w:val="00A06F04"/>
    <w:rsid w:val="00A07479"/>
    <w:rsid w:val="00A0768A"/>
    <w:rsid w:val="00A0768B"/>
    <w:rsid w:val="00A0769E"/>
    <w:rsid w:val="00A11618"/>
    <w:rsid w:val="00A11921"/>
    <w:rsid w:val="00A119DE"/>
    <w:rsid w:val="00A11FE2"/>
    <w:rsid w:val="00A13F6F"/>
    <w:rsid w:val="00A14CF4"/>
    <w:rsid w:val="00A15060"/>
    <w:rsid w:val="00A152F2"/>
    <w:rsid w:val="00A1570C"/>
    <w:rsid w:val="00A15C4A"/>
    <w:rsid w:val="00A15C4F"/>
    <w:rsid w:val="00A1659C"/>
    <w:rsid w:val="00A16E60"/>
    <w:rsid w:val="00A211BE"/>
    <w:rsid w:val="00A221B4"/>
    <w:rsid w:val="00A22CED"/>
    <w:rsid w:val="00A23560"/>
    <w:rsid w:val="00A2438D"/>
    <w:rsid w:val="00A25121"/>
    <w:rsid w:val="00A26C27"/>
    <w:rsid w:val="00A27045"/>
    <w:rsid w:val="00A2724A"/>
    <w:rsid w:val="00A27394"/>
    <w:rsid w:val="00A27BB4"/>
    <w:rsid w:val="00A27CB5"/>
    <w:rsid w:val="00A30C5A"/>
    <w:rsid w:val="00A32754"/>
    <w:rsid w:val="00A3331C"/>
    <w:rsid w:val="00A3370A"/>
    <w:rsid w:val="00A337FF"/>
    <w:rsid w:val="00A33FB6"/>
    <w:rsid w:val="00A34444"/>
    <w:rsid w:val="00A34A80"/>
    <w:rsid w:val="00A34C54"/>
    <w:rsid w:val="00A3578A"/>
    <w:rsid w:val="00A365E5"/>
    <w:rsid w:val="00A369A4"/>
    <w:rsid w:val="00A36F98"/>
    <w:rsid w:val="00A37149"/>
    <w:rsid w:val="00A37539"/>
    <w:rsid w:val="00A37777"/>
    <w:rsid w:val="00A4045F"/>
    <w:rsid w:val="00A40565"/>
    <w:rsid w:val="00A40747"/>
    <w:rsid w:val="00A40974"/>
    <w:rsid w:val="00A40B4C"/>
    <w:rsid w:val="00A40E19"/>
    <w:rsid w:val="00A43513"/>
    <w:rsid w:val="00A45B0A"/>
    <w:rsid w:val="00A46A68"/>
    <w:rsid w:val="00A46C22"/>
    <w:rsid w:val="00A47388"/>
    <w:rsid w:val="00A477F7"/>
    <w:rsid w:val="00A50CF9"/>
    <w:rsid w:val="00A51842"/>
    <w:rsid w:val="00A51AA1"/>
    <w:rsid w:val="00A52C05"/>
    <w:rsid w:val="00A53831"/>
    <w:rsid w:val="00A53DBF"/>
    <w:rsid w:val="00A53F3F"/>
    <w:rsid w:val="00A55302"/>
    <w:rsid w:val="00A5578F"/>
    <w:rsid w:val="00A55D19"/>
    <w:rsid w:val="00A566E6"/>
    <w:rsid w:val="00A56895"/>
    <w:rsid w:val="00A574D1"/>
    <w:rsid w:val="00A60347"/>
    <w:rsid w:val="00A6094C"/>
    <w:rsid w:val="00A60DC6"/>
    <w:rsid w:val="00A60E63"/>
    <w:rsid w:val="00A61838"/>
    <w:rsid w:val="00A622AD"/>
    <w:rsid w:val="00A62487"/>
    <w:rsid w:val="00A6292D"/>
    <w:rsid w:val="00A6293D"/>
    <w:rsid w:val="00A63AF0"/>
    <w:rsid w:val="00A64702"/>
    <w:rsid w:val="00A64C94"/>
    <w:rsid w:val="00A65B62"/>
    <w:rsid w:val="00A65EA3"/>
    <w:rsid w:val="00A66600"/>
    <w:rsid w:val="00A67E70"/>
    <w:rsid w:val="00A70534"/>
    <w:rsid w:val="00A72761"/>
    <w:rsid w:val="00A72952"/>
    <w:rsid w:val="00A72962"/>
    <w:rsid w:val="00A72D54"/>
    <w:rsid w:val="00A73A46"/>
    <w:rsid w:val="00A746DA"/>
    <w:rsid w:val="00A748DB"/>
    <w:rsid w:val="00A7495B"/>
    <w:rsid w:val="00A749D3"/>
    <w:rsid w:val="00A74A2B"/>
    <w:rsid w:val="00A7525C"/>
    <w:rsid w:val="00A7637F"/>
    <w:rsid w:val="00A76F70"/>
    <w:rsid w:val="00A7741B"/>
    <w:rsid w:val="00A7743E"/>
    <w:rsid w:val="00A7758C"/>
    <w:rsid w:val="00A77B25"/>
    <w:rsid w:val="00A80DAB"/>
    <w:rsid w:val="00A81152"/>
    <w:rsid w:val="00A81A49"/>
    <w:rsid w:val="00A81AE4"/>
    <w:rsid w:val="00A81EF7"/>
    <w:rsid w:val="00A8235E"/>
    <w:rsid w:val="00A8250E"/>
    <w:rsid w:val="00A82B5B"/>
    <w:rsid w:val="00A83153"/>
    <w:rsid w:val="00A84DED"/>
    <w:rsid w:val="00A871C5"/>
    <w:rsid w:val="00A8749C"/>
    <w:rsid w:val="00A8785A"/>
    <w:rsid w:val="00A90432"/>
    <w:rsid w:val="00A92103"/>
    <w:rsid w:val="00A92470"/>
    <w:rsid w:val="00A92484"/>
    <w:rsid w:val="00A92588"/>
    <w:rsid w:val="00A92FE6"/>
    <w:rsid w:val="00A93303"/>
    <w:rsid w:val="00A94009"/>
    <w:rsid w:val="00A9401C"/>
    <w:rsid w:val="00A94EF8"/>
    <w:rsid w:val="00A9551E"/>
    <w:rsid w:val="00A96B34"/>
    <w:rsid w:val="00A97AE2"/>
    <w:rsid w:val="00AA32B7"/>
    <w:rsid w:val="00AA694B"/>
    <w:rsid w:val="00AA7B5A"/>
    <w:rsid w:val="00AA7B60"/>
    <w:rsid w:val="00AB0D4B"/>
    <w:rsid w:val="00AB0DB7"/>
    <w:rsid w:val="00AB0E27"/>
    <w:rsid w:val="00AB13A0"/>
    <w:rsid w:val="00AB175B"/>
    <w:rsid w:val="00AB273A"/>
    <w:rsid w:val="00AB3177"/>
    <w:rsid w:val="00AB323F"/>
    <w:rsid w:val="00AB353B"/>
    <w:rsid w:val="00AB3B11"/>
    <w:rsid w:val="00AB6448"/>
    <w:rsid w:val="00AB6D67"/>
    <w:rsid w:val="00AB7D90"/>
    <w:rsid w:val="00AC04B4"/>
    <w:rsid w:val="00AC0ECB"/>
    <w:rsid w:val="00AC19EB"/>
    <w:rsid w:val="00AC24D4"/>
    <w:rsid w:val="00AC2AC3"/>
    <w:rsid w:val="00AC2E1D"/>
    <w:rsid w:val="00AC3111"/>
    <w:rsid w:val="00AC4224"/>
    <w:rsid w:val="00AC46F5"/>
    <w:rsid w:val="00AC4F32"/>
    <w:rsid w:val="00AC5CB0"/>
    <w:rsid w:val="00AC5F18"/>
    <w:rsid w:val="00AC6B9B"/>
    <w:rsid w:val="00AC6EE1"/>
    <w:rsid w:val="00AC7748"/>
    <w:rsid w:val="00AC783D"/>
    <w:rsid w:val="00AD0248"/>
    <w:rsid w:val="00AD041E"/>
    <w:rsid w:val="00AD084F"/>
    <w:rsid w:val="00AD0FD4"/>
    <w:rsid w:val="00AD1231"/>
    <w:rsid w:val="00AD145F"/>
    <w:rsid w:val="00AD191A"/>
    <w:rsid w:val="00AD2CD8"/>
    <w:rsid w:val="00AD3EA9"/>
    <w:rsid w:val="00AD4986"/>
    <w:rsid w:val="00AD5171"/>
    <w:rsid w:val="00AD5C9D"/>
    <w:rsid w:val="00AD5DDB"/>
    <w:rsid w:val="00AD783C"/>
    <w:rsid w:val="00AE0088"/>
    <w:rsid w:val="00AE0B40"/>
    <w:rsid w:val="00AE0C9B"/>
    <w:rsid w:val="00AE2BE5"/>
    <w:rsid w:val="00AE2F8C"/>
    <w:rsid w:val="00AE42E1"/>
    <w:rsid w:val="00AE4504"/>
    <w:rsid w:val="00AE6B9C"/>
    <w:rsid w:val="00AE6C0B"/>
    <w:rsid w:val="00AE6ED1"/>
    <w:rsid w:val="00AE7B3A"/>
    <w:rsid w:val="00AF0194"/>
    <w:rsid w:val="00AF046B"/>
    <w:rsid w:val="00AF0598"/>
    <w:rsid w:val="00AF05C5"/>
    <w:rsid w:val="00AF0A05"/>
    <w:rsid w:val="00AF0A2A"/>
    <w:rsid w:val="00AF0E99"/>
    <w:rsid w:val="00AF1032"/>
    <w:rsid w:val="00AF1BA8"/>
    <w:rsid w:val="00AF1DEB"/>
    <w:rsid w:val="00AF2018"/>
    <w:rsid w:val="00AF30DB"/>
    <w:rsid w:val="00AF41B8"/>
    <w:rsid w:val="00AF4371"/>
    <w:rsid w:val="00AF4539"/>
    <w:rsid w:val="00AF4F62"/>
    <w:rsid w:val="00AF5AD6"/>
    <w:rsid w:val="00AF5C77"/>
    <w:rsid w:val="00AF62C2"/>
    <w:rsid w:val="00AF6437"/>
    <w:rsid w:val="00AF6F08"/>
    <w:rsid w:val="00AF701E"/>
    <w:rsid w:val="00AF76DD"/>
    <w:rsid w:val="00AF7E61"/>
    <w:rsid w:val="00AF7F86"/>
    <w:rsid w:val="00B00394"/>
    <w:rsid w:val="00B00475"/>
    <w:rsid w:val="00B00C69"/>
    <w:rsid w:val="00B00D76"/>
    <w:rsid w:val="00B02C8D"/>
    <w:rsid w:val="00B02CB6"/>
    <w:rsid w:val="00B036D9"/>
    <w:rsid w:val="00B03D10"/>
    <w:rsid w:val="00B03EC0"/>
    <w:rsid w:val="00B04DA2"/>
    <w:rsid w:val="00B05007"/>
    <w:rsid w:val="00B05452"/>
    <w:rsid w:val="00B05C1F"/>
    <w:rsid w:val="00B05FDA"/>
    <w:rsid w:val="00B06882"/>
    <w:rsid w:val="00B07016"/>
    <w:rsid w:val="00B07FF3"/>
    <w:rsid w:val="00B102FB"/>
    <w:rsid w:val="00B114CF"/>
    <w:rsid w:val="00B11977"/>
    <w:rsid w:val="00B12FEE"/>
    <w:rsid w:val="00B140C8"/>
    <w:rsid w:val="00B146C0"/>
    <w:rsid w:val="00B146CF"/>
    <w:rsid w:val="00B161E7"/>
    <w:rsid w:val="00B16878"/>
    <w:rsid w:val="00B16EC8"/>
    <w:rsid w:val="00B1735E"/>
    <w:rsid w:val="00B17DC9"/>
    <w:rsid w:val="00B20AFB"/>
    <w:rsid w:val="00B24DDF"/>
    <w:rsid w:val="00B25126"/>
    <w:rsid w:val="00B25FB2"/>
    <w:rsid w:val="00B26644"/>
    <w:rsid w:val="00B2678B"/>
    <w:rsid w:val="00B26D87"/>
    <w:rsid w:val="00B26DC0"/>
    <w:rsid w:val="00B27218"/>
    <w:rsid w:val="00B30385"/>
    <w:rsid w:val="00B3047C"/>
    <w:rsid w:val="00B30862"/>
    <w:rsid w:val="00B30F8A"/>
    <w:rsid w:val="00B32E4E"/>
    <w:rsid w:val="00B32F91"/>
    <w:rsid w:val="00B3447E"/>
    <w:rsid w:val="00B34C9E"/>
    <w:rsid w:val="00B3528D"/>
    <w:rsid w:val="00B354B4"/>
    <w:rsid w:val="00B360DA"/>
    <w:rsid w:val="00B36A5A"/>
    <w:rsid w:val="00B37147"/>
    <w:rsid w:val="00B37C4A"/>
    <w:rsid w:val="00B407BE"/>
    <w:rsid w:val="00B41B84"/>
    <w:rsid w:val="00B43986"/>
    <w:rsid w:val="00B43A17"/>
    <w:rsid w:val="00B43F32"/>
    <w:rsid w:val="00B44032"/>
    <w:rsid w:val="00B44232"/>
    <w:rsid w:val="00B4456F"/>
    <w:rsid w:val="00B448F5"/>
    <w:rsid w:val="00B4495A"/>
    <w:rsid w:val="00B449D9"/>
    <w:rsid w:val="00B44BA7"/>
    <w:rsid w:val="00B44BD4"/>
    <w:rsid w:val="00B455C5"/>
    <w:rsid w:val="00B466BF"/>
    <w:rsid w:val="00B46994"/>
    <w:rsid w:val="00B505F3"/>
    <w:rsid w:val="00B50DE3"/>
    <w:rsid w:val="00B50DED"/>
    <w:rsid w:val="00B5203C"/>
    <w:rsid w:val="00B5248B"/>
    <w:rsid w:val="00B52646"/>
    <w:rsid w:val="00B53DA9"/>
    <w:rsid w:val="00B540B4"/>
    <w:rsid w:val="00B54635"/>
    <w:rsid w:val="00B57399"/>
    <w:rsid w:val="00B6125B"/>
    <w:rsid w:val="00B61F61"/>
    <w:rsid w:val="00B62A9A"/>
    <w:rsid w:val="00B62EFF"/>
    <w:rsid w:val="00B62FF4"/>
    <w:rsid w:val="00B63BBC"/>
    <w:rsid w:val="00B641BD"/>
    <w:rsid w:val="00B64232"/>
    <w:rsid w:val="00B642D5"/>
    <w:rsid w:val="00B64AA0"/>
    <w:rsid w:val="00B65039"/>
    <w:rsid w:val="00B65BE1"/>
    <w:rsid w:val="00B66430"/>
    <w:rsid w:val="00B66638"/>
    <w:rsid w:val="00B669C6"/>
    <w:rsid w:val="00B70043"/>
    <w:rsid w:val="00B701E9"/>
    <w:rsid w:val="00B70FBD"/>
    <w:rsid w:val="00B72A67"/>
    <w:rsid w:val="00B72BF1"/>
    <w:rsid w:val="00B72BF9"/>
    <w:rsid w:val="00B72D4F"/>
    <w:rsid w:val="00B7496E"/>
    <w:rsid w:val="00B754F0"/>
    <w:rsid w:val="00B7657F"/>
    <w:rsid w:val="00B802A8"/>
    <w:rsid w:val="00B80C9B"/>
    <w:rsid w:val="00B810EA"/>
    <w:rsid w:val="00B8152A"/>
    <w:rsid w:val="00B819C1"/>
    <w:rsid w:val="00B81B25"/>
    <w:rsid w:val="00B82F2B"/>
    <w:rsid w:val="00B837EA"/>
    <w:rsid w:val="00B83BFA"/>
    <w:rsid w:val="00B83E30"/>
    <w:rsid w:val="00B84084"/>
    <w:rsid w:val="00B84286"/>
    <w:rsid w:val="00B84896"/>
    <w:rsid w:val="00B84A04"/>
    <w:rsid w:val="00B86319"/>
    <w:rsid w:val="00B87218"/>
    <w:rsid w:val="00B8787C"/>
    <w:rsid w:val="00B87EFB"/>
    <w:rsid w:val="00B905AB"/>
    <w:rsid w:val="00B90A10"/>
    <w:rsid w:val="00B90CF8"/>
    <w:rsid w:val="00B9186A"/>
    <w:rsid w:val="00B9194C"/>
    <w:rsid w:val="00B91986"/>
    <w:rsid w:val="00B930EF"/>
    <w:rsid w:val="00B93782"/>
    <w:rsid w:val="00B93CAD"/>
    <w:rsid w:val="00B93F5A"/>
    <w:rsid w:val="00B94ADD"/>
    <w:rsid w:val="00B96DB2"/>
    <w:rsid w:val="00B96E4F"/>
    <w:rsid w:val="00BA127E"/>
    <w:rsid w:val="00BA1DD7"/>
    <w:rsid w:val="00BA2100"/>
    <w:rsid w:val="00BA2E0F"/>
    <w:rsid w:val="00BA3872"/>
    <w:rsid w:val="00BA3A04"/>
    <w:rsid w:val="00BA3A3D"/>
    <w:rsid w:val="00BA3A7F"/>
    <w:rsid w:val="00BA432C"/>
    <w:rsid w:val="00BA46F8"/>
    <w:rsid w:val="00BA48F3"/>
    <w:rsid w:val="00BA4B05"/>
    <w:rsid w:val="00BA5576"/>
    <w:rsid w:val="00BA57AF"/>
    <w:rsid w:val="00BA5A3A"/>
    <w:rsid w:val="00BA6424"/>
    <w:rsid w:val="00BA688E"/>
    <w:rsid w:val="00BA6A92"/>
    <w:rsid w:val="00BA7E3F"/>
    <w:rsid w:val="00BA7ECC"/>
    <w:rsid w:val="00BB0416"/>
    <w:rsid w:val="00BB11B5"/>
    <w:rsid w:val="00BB1338"/>
    <w:rsid w:val="00BB151B"/>
    <w:rsid w:val="00BB15FF"/>
    <w:rsid w:val="00BB181B"/>
    <w:rsid w:val="00BB19A3"/>
    <w:rsid w:val="00BB2202"/>
    <w:rsid w:val="00BB2868"/>
    <w:rsid w:val="00BB2F97"/>
    <w:rsid w:val="00BB3408"/>
    <w:rsid w:val="00BB4052"/>
    <w:rsid w:val="00BB46BB"/>
    <w:rsid w:val="00BB4A53"/>
    <w:rsid w:val="00BB5280"/>
    <w:rsid w:val="00BB5DCC"/>
    <w:rsid w:val="00BC07E4"/>
    <w:rsid w:val="00BC0840"/>
    <w:rsid w:val="00BC0CF7"/>
    <w:rsid w:val="00BC1FA0"/>
    <w:rsid w:val="00BC2013"/>
    <w:rsid w:val="00BC2882"/>
    <w:rsid w:val="00BC3AAF"/>
    <w:rsid w:val="00BC3CBA"/>
    <w:rsid w:val="00BC4B40"/>
    <w:rsid w:val="00BC7341"/>
    <w:rsid w:val="00BC78DA"/>
    <w:rsid w:val="00BD07A2"/>
    <w:rsid w:val="00BD17E4"/>
    <w:rsid w:val="00BD1CF1"/>
    <w:rsid w:val="00BD20EC"/>
    <w:rsid w:val="00BD283D"/>
    <w:rsid w:val="00BD2D06"/>
    <w:rsid w:val="00BD3F24"/>
    <w:rsid w:val="00BD4333"/>
    <w:rsid w:val="00BD4935"/>
    <w:rsid w:val="00BD5652"/>
    <w:rsid w:val="00BD5D88"/>
    <w:rsid w:val="00BD5E4E"/>
    <w:rsid w:val="00BE0530"/>
    <w:rsid w:val="00BE07E2"/>
    <w:rsid w:val="00BE0FFD"/>
    <w:rsid w:val="00BE2447"/>
    <w:rsid w:val="00BE2905"/>
    <w:rsid w:val="00BE2AD6"/>
    <w:rsid w:val="00BE31A5"/>
    <w:rsid w:val="00BE3868"/>
    <w:rsid w:val="00BE41EA"/>
    <w:rsid w:val="00BE450B"/>
    <w:rsid w:val="00BE481A"/>
    <w:rsid w:val="00BE4A79"/>
    <w:rsid w:val="00BE609B"/>
    <w:rsid w:val="00BF00BC"/>
    <w:rsid w:val="00BF10E4"/>
    <w:rsid w:val="00BF18A3"/>
    <w:rsid w:val="00BF20DB"/>
    <w:rsid w:val="00BF2A76"/>
    <w:rsid w:val="00BF2CF4"/>
    <w:rsid w:val="00BF2EDE"/>
    <w:rsid w:val="00BF310C"/>
    <w:rsid w:val="00BF3DB6"/>
    <w:rsid w:val="00BF41F6"/>
    <w:rsid w:val="00BF4225"/>
    <w:rsid w:val="00BF5474"/>
    <w:rsid w:val="00BF59B6"/>
    <w:rsid w:val="00BF76B7"/>
    <w:rsid w:val="00C00CF6"/>
    <w:rsid w:val="00C01399"/>
    <w:rsid w:val="00C01451"/>
    <w:rsid w:val="00C0331A"/>
    <w:rsid w:val="00C03DF2"/>
    <w:rsid w:val="00C040C7"/>
    <w:rsid w:val="00C040FD"/>
    <w:rsid w:val="00C0423A"/>
    <w:rsid w:val="00C04821"/>
    <w:rsid w:val="00C05AD8"/>
    <w:rsid w:val="00C05F03"/>
    <w:rsid w:val="00C0680F"/>
    <w:rsid w:val="00C06B17"/>
    <w:rsid w:val="00C06BE8"/>
    <w:rsid w:val="00C06C00"/>
    <w:rsid w:val="00C07956"/>
    <w:rsid w:val="00C11026"/>
    <w:rsid w:val="00C111E3"/>
    <w:rsid w:val="00C1168C"/>
    <w:rsid w:val="00C11ABE"/>
    <w:rsid w:val="00C12D07"/>
    <w:rsid w:val="00C1324B"/>
    <w:rsid w:val="00C138B8"/>
    <w:rsid w:val="00C139AC"/>
    <w:rsid w:val="00C1411E"/>
    <w:rsid w:val="00C144E4"/>
    <w:rsid w:val="00C15573"/>
    <w:rsid w:val="00C1591B"/>
    <w:rsid w:val="00C160F6"/>
    <w:rsid w:val="00C16FC9"/>
    <w:rsid w:val="00C17286"/>
    <w:rsid w:val="00C17C9E"/>
    <w:rsid w:val="00C202BD"/>
    <w:rsid w:val="00C2039E"/>
    <w:rsid w:val="00C20DBE"/>
    <w:rsid w:val="00C2122A"/>
    <w:rsid w:val="00C21F73"/>
    <w:rsid w:val="00C2263C"/>
    <w:rsid w:val="00C22B31"/>
    <w:rsid w:val="00C2376A"/>
    <w:rsid w:val="00C23E09"/>
    <w:rsid w:val="00C2445D"/>
    <w:rsid w:val="00C2489D"/>
    <w:rsid w:val="00C24974"/>
    <w:rsid w:val="00C24E2D"/>
    <w:rsid w:val="00C27A8A"/>
    <w:rsid w:val="00C27D10"/>
    <w:rsid w:val="00C27E80"/>
    <w:rsid w:val="00C301FB"/>
    <w:rsid w:val="00C30202"/>
    <w:rsid w:val="00C30217"/>
    <w:rsid w:val="00C309BA"/>
    <w:rsid w:val="00C30C8C"/>
    <w:rsid w:val="00C316ED"/>
    <w:rsid w:val="00C31A92"/>
    <w:rsid w:val="00C32840"/>
    <w:rsid w:val="00C3329C"/>
    <w:rsid w:val="00C33939"/>
    <w:rsid w:val="00C345B3"/>
    <w:rsid w:val="00C34D41"/>
    <w:rsid w:val="00C34DA3"/>
    <w:rsid w:val="00C35340"/>
    <w:rsid w:val="00C35683"/>
    <w:rsid w:val="00C35872"/>
    <w:rsid w:val="00C35EB8"/>
    <w:rsid w:val="00C3627A"/>
    <w:rsid w:val="00C37E56"/>
    <w:rsid w:val="00C40C41"/>
    <w:rsid w:val="00C4179B"/>
    <w:rsid w:val="00C41E06"/>
    <w:rsid w:val="00C42AC5"/>
    <w:rsid w:val="00C42C8E"/>
    <w:rsid w:val="00C4352D"/>
    <w:rsid w:val="00C43927"/>
    <w:rsid w:val="00C4436C"/>
    <w:rsid w:val="00C44DB0"/>
    <w:rsid w:val="00C44E75"/>
    <w:rsid w:val="00C45804"/>
    <w:rsid w:val="00C472D8"/>
    <w:rsid w:val="00C476E1"/>
    <w:rsid w:val="00C51DF3"/>
    <w:rsid w:val="00C5275E"/>
    <w:rsid w:val="00C5633B"/>
    <w:rsid w:val="00C56B6D"/>
    <w:rsid w:val="00C571A9"/>
    <w:rsid w:val="00C5732F"/>
    <w:rsid w:val="00C57537"/>
    <w:rsid w:val="00C57773"/>
    <w:rsid w:val="00C61182"/>
    <w:rsid w:val="00C613F1"/>
    <w:rsid w:val="00C6189B"/>
    <w:rsid w:val="00C61DEF"/>
    <w:rsid w:val="00C62DC1"/>
    <w:rsid w:val="00C630E6"/>
    <w:rsid w:val="00C636FE"/>
    <w:rsid w:val="00C65C05"/>
    <w:rsid w:val="00C66B3C"/>
    <w:rsid w:val="00C67435"/>
    <w:rsid w:val="00C67763"/>
    <w:rsid w:val="00C67FED"/>
    <w:rsid w:val="00C67FFA"/>
    <w:rsid w:val="00C70BF5"/>
    <w:rsid w:val="00C72430"/>
    <w:rsid w:val="00C74019"/>
    <w:rsid w:val="00C7474E"/>
    <w:rsid w:val="00C7477A"/>
    <w:rsid w:val="00C74AAF"/>
    <w:rsid w:val="00C75151"/>
    <w:rsid w:val="00C755ED"/>
    <w:rsid w:val="00C7573C"/>
    <w:rsid w:val="00C75760"/>
    <w:rsid w:val="00C75BC5"/>
    <w:rsid w:val="00C76243"/>
    <w:rsid w:val="00C7656C"/>
    <w:rsid w:val="00C76706"/>
    <w:rsid w:val="00C77384"/>
    <w:rsid w:val="00C775B1"/>
    <w:rsid w:val="00C804CA"/>
    <w:rsid w:val="00C80644"/>
    <w:rsid w:val="00C815F7"/>
    <w:rsid w:val="00C8168F"/>
    <w:rsid w:val="00C81D9B"/>
    <w:rsid w:val="00C81DC8"/>
    <w:rsid w:val="00C81E6A"/>
    <w:rsid w:val="00C82C0F"/>
    <w:rsid w:val="00C839E6"/>
    <w:rsid w:val="00C83DF3"/>
    <w:rsid w:val="00C8468E"/>
    <w:rsid w:val="00C84912"/>
    <w:rsid w:val="00C849DF"/>
    <w:rsid w:val="00C84D98"/>
    <w:rsid w:val="00C85DF0"/>
    <w:rsid w:val="00C87335"/>
    <w:rsid w:val="00C87AB5"/>
    <w:rsid w:val="00C91CCF"/>
    <w:rsid w:val="00C9213B"/>
    <w:rsid w:val="00C92223"/>
    <w:rsid w:val="00C92C19"/>
    <w:rsid w:val="00C9398F"/>
    <w:rsid w:val="00C93ED6"/>
    <w:rsid w:val="00C9429C"/>
    <w:rsid w:val="00C9448C"/>
    <w:rsid w:val="00C95215"/>
    <w:rsid w:val="00C9553C"/>
    <w:rsid w:val="00C95C40"/>
    <w:rsid w:val="00C961D1"/>
    <w:rsid w:val="00C96BF3"/>
    <w:rsid w:val="00CA0CA8"/>
    <w:rsid w:val="00CA0DFD"/>
    <w:rsid w:val="00CA149D"/>
    <w:rsid w:val="00CA1533"/>
    <w:rsid w:val="00CA1B14"/>
    <w:rsid w:val="00CA31ED"/>
    <w:rsid w:val="00CA3CC3"/>
    <w:rsid w:val="00CA49EB"/>
    <w:rsid w:val="00CA4FFC"/>
    <w:rsid w:val="00CA5274"/>
    <w:rsid w:val="00CA7621"/>
    <w:rsid w:val="00CB09E0"/>
    <w:rsid w:val="00CB0A76"/>
    <w:rsid w:val="00CB0E67"/>
    <w:rsid w:val="00CB18FF"/>
    <w:rsid w:val="00CB1ABE"/>
    <w:rsid w:val="00CB2189"/>
    <w:rsid w:val="00CB3229"/>
    <w:rsid w:val="00CB3D9A"/>
    <w:rsid w:val="00CB3EF4"/>
    <w:rsid w:val="00CB40A7"/>
    <w:rsid w:val="00CB4279"/>
    <w:rsid w:val="00CB4510"/>
    <w:rsid w:val="00CB45DE"/>
    <w:rsid w:val="00CB484F"/>
    <w:rsid w:val="00CB512A"/>
    <w:rsid w:val="00CB5493"/>
    <w:rsid w:val="00CB7153"/>
    <w:rsid w:val="00CC0901"/>
    <w:rsid w:val="00CC106B"/>
    <w:rsid w:val="00CC12B6"/>
    <w:rsid w:val="00CC2120"/>
    <w:rsid w:val="00CC2186"/>
    <w:rsid w:val="00CC316F"/>
    <w:rsid w:val="00CC33E8"/>
    <w:rsid w:val="00CC35FF"/>
    <w:rsid w:val="00CC365B"/>
    <w:rsid w:val="00CC3C32"/>
    <w:rsid w:val="00CC3EF6"/>
    <w:rsid w:val="00CC4555"/>
    <w:rsid w:val="00CC51FA"/>
    <w:rsid w:val="00CC53D1"/>
    <w:rsid w:val="00CC72A8"/>
    <w:rsid w:val="00CD08C3"/>
    <w:rsid w:val="00CD0E4E"/>
    <w:rsid w:val="00CD1FBC"/>
    <w:rsid w:val="00CD22DE"/>
    <w:rsid w:val="00CD345B"/>
    <w:rsid w:val="00CD491B"/>
    <w:rsid w:val="00CD5C53"/>
    <w:rsid w:val="00CD5D0A"/>
    <w:rsid w:val="00CD67C0"/>
    <w:rsid w:val="00CD7082"/>
    <w:rsid w:val="00CD7B55"/>
    <w:rsid w:val="00CE004B"/>
    <w:rsid w:val="00CE0A7F"/>
    <w:rsid w:val="00CE0E43"/>
    <w:rsid w:val="00CE13A5"/>
    <w:rsid w:val="00CE13F3"/>
    <w:rsid w:val="00CE145B"/>
    <w:rsid w:val="00CE1960"/>
    <w:rsid w:val="00CE1BA5"/>
    <w:rsid w:val="00CE1D2B"/>
    <w:rsid w:val="00CE1E6D"/>
    <w:rsid w:val="00CE2AC7"/>
    <w:rsid w:val="00CE2DAA"/>
    <w:rsid w:val="00CE2E99"/>
    <w:rsid w:val="00CE328A"/>
    <w:rsid w:val="00CE38AD"/>
    <w:rsid w:val="00CE38B6"/>
    <w:rsid w:val="00CE39F0"/>
    <w:rsid w:val="00CE3BA3"/>
    <w:rsid w:val="00CE45FE"/>
    <w:rsid w:val="00CE5206"/>
    <w:rsid w:val="00CE57E4"/>
    <w:rsid w:val="00CE7AEB"/>
    <w:rsid w:val="00CF0EAD"/>
    <w:rsid w:val="00CF16F5"/>
    <w:rsid w:val="00CF1801"/>
    <w:rsid w:val="00CF38E8"/>
    <w:rsid w:val="00CF3BFC"/>
    <w:rsid w:val="00CF464F"/>
    <w:rsid w:val="00CF5470"/>
    <w:rsid w:val="00CF5DC2"/>
    <w:rsid w:val="00CF64D1"/>
    <w:rsid w:val="00CF7019"/>
    <w:rsid w:val="00CF70A2"/>
    <w:rsid w:val="00CF71A4"/>
    <w:rsid w:val="00CF733C"/>
    <w:rsid w:val="00CF771B"/>
    <w:rsid w:val="00D0035F"/>
    <w:rsid w:val="00D0081A"/>
    <w:rsid w:val="00D00FA9"/>
    <w:rsid w:val="00D012B5"/>
    <w:rsid w:val="00D01D7E"/>
    <w:rsid w:val="00D0251B"/>
    <w:rsid w:val="00D02A42"/>
    <w:rsid w:val="00D02A7D"/>
    <w:rsid w:val="00D02B6A"/>
    <w:rsid w:val="00D03C95"/>
    <w:rsid w:val="00D046CC"/>
    <w:rsid w:val="00D05283"/>
    <w:rsid w:val="00D05426"/>
    <w:rsid w:val="00D05AB4"/>
    <w:rsid w:val="00D05EDF"/>
    <w:rsid w:val="00D065D1"/>
    <w:rsid w:val="00D1032C"/>
    <w:rsid w:val="00D104DE"/>
    <w:rsid w:val="00D10986"/>
    <w:rsid w:val="00D10D7C"/>
    <w:rsid w:val="00D11884"/>
    <w:rsid w:val="00D119F0"/>
    <w:rsid w:val="00D120D2"/>
    <w:rsid w:val="00D1286C"/>
    <w:rsid w:val="00D13172"/>
    <w:rsid w:val="00D140E6"/>
    <w:rsid w:val="00D149BB"/>
    <w:rsid w:val="00D15B84"/>
    <w:rsid w:val="00D167C5"/>
    <w:rsid w:val="00D1722D"/>
    <w:rsid w:val="00D176A3"/>
    <w:rsid w:val="00D20219"/>
    <w:rsid w:val="00D2048D"/>
    <w:rsid w:val="00D2097A"/>
    <w:rsid w:val="00D20E96"/>
    <w:rsid w:val="00D21216"/>
    <w:rsid w:val="00D21A23"/>
    <w:rsid w:val="00D21FB4"/>
    <w:rsid w:val="00D22657"/>
    <w:rsid w:val="00D22AA8"/>
    <w:rsid w:val="00D235C5"/>
    <w:rsid w:val="00D23CA7"/>
    <w:rsid w:val="00D24926"/>
    <w:rsid w:val="00D25968"/>
    <w:rsid w:val="00D261D5"/>
    <w:rsid w:val="00D269EC"/>
    <w:rsid w:val="00D273C5"/>
    <w:rsid w:val="00D31D7E"/>
    <w:rsid w:val="00D3276F"/>
    <w:rsid w:val="00D3419C"/>
    <w:rsid w:val="00D3427D"/>
    <w:rsid w:val="00D354E9"/>
    <w:rsid w:val="00D3554B"/>
    <w:rsid w:val="00D35F3F"/>
    <w:rsid w:val="00D36945"/>
    <w:rsid w:val="00D37CED"/>
    <w:rsid w:val="00D41400"/>
    <w:rsid w:val="00D41C03"/>
    <w:rsid w:val="00D41CC9"/>
    <w:rsid w:val="00D41E19"/>
    <w:rsid w:val="00D41F34"/>
    <w:rsid w:val="00D424B0"/>
    <w:rsid w:val="00D42CA4"/>
    <w:rsid w:val="00D42EF4"/>
    <w:rsid w:val="00D43E6E"/>
    <w:rsid w:val="00D44CB4"/>
    <w:rsid w:val="00D45007"/>
    <w:rsid w:val="00D4568F"/>
    <w:rsid w:val="00D45704"/>
    <w:rsid w:val="00D46393"/>
    <w:rsid w:val="00D473CF"/>
    <w:rsid w:val="00D47F4C"/>
    <w:rsid w:val="00D53D85"/>
    <w:rsid w:val="00D54F32"/>
    <w:rsid w:val="00D55418"/>
    <w:rsid w:val="00D55D9E"/>
    <w:rsid w:val="00D56AE2"/>
    <w:rsid w:val="00D57264"/>
    <w:rsid w:val="00D57DCB"/>
    <w:rsid w:val="00D601E9"/>
    <w:rsid w:val="00D6278F"/>
    <w:rsid w:val="00D63DBF"/>
    <w:rsid w:val="00D64C1C"/>
    <w:rsid w:val="00D64CE0"/>
    <w:rsid w:val="00D64F79"/>
    <w:rsid w:val="00D6527D"/>
    <w:rsid w:val="00D65391"/>
    <w:rsid w:val="00D65B36"/>
    <w:rsid w:val="00D66193"/>
    <w:rsid w:val="00D664FC"/>
    <w:rsid w:val="00D66C1D"/>
    <w:rsid w:val="00D66EBE"/>
    <w:rsid w:val="00D66F8C"/>
    <w:rsid w:val="00D678BA"/>
    <w:rsid w:val="00D70797"/>
    <w:rsid w:val="00D716CD"/>
    <w:rsid w:val="00D728D7"/>
    <w:rsid w:val="00D72F88"/>
    <w:rsid w:val="00D73F64"/>
    <w:rsid w:val="00D745A0"/>
    <w:rsid w:val="00D74B7D"/>
    <w:rsid w:val="00D76417"/>
    <w:rsid w:val="00D7773F"/>
    <w:rsid w:val="00D8040A"/>
    <w:rsid w:val="00D81BBA"/>
    <w:rsid w:val="00D820A8"/>
    <w:rsid w:val="00D84236"/>
    <w:rsid w:val="00D846F8"/>
    <w:rsid w:val="00D85791"/>
    <w:rsid w:val="00D87134"/>
    <w:rsid w:val="00D87D54"/>
    <w:rsid w:val="00D87EFF"/>
    <w:rsid w:val="00D903C6"/>
    <w:rsid w:val="00D9144F"/>
    <w:rsid w:val="00D91E4B"/>
    <w:rsid w:val="00D93129"/>
    <w:rsid w:val="00D94263"/>
    <w:rsid w:val="00D94333"/>
    <w:rsid w:val="00D94FD8"/>
    <w:rsid w:val="00D96028"/>
    <w:rsid w:val="00D9607B"/>
    <w:rsid w:val="00D96F1E"/>
    <w:rsid w:val="00D974FD"/>
    <w:rsid w:val="00D9751C"/>
    <w:rsid w:val="00D9795E"/>
    <w:rsid w:val="00D97C32"/>
    <w:rsid w:val="00D97E0F"/>
    <w:rsid w:val="00DA03BA"/>
    <w:rsid w:val="00DA075B"/>
    <w:rsid w:val="00DA0EDB"/>
    <w:rsid w:val="00DA1393"/>
    <w:rsid w:val="00DA1990"/>
    <w:rsid w:val="00DA1AC8"/>
    <w:rsid w:val="00DA20CF"/>
    <w:rsid w:val="00DA26DB"/>
    <w:rsid w:val="00DA347F"/>
    <w:rsid w:val="00DA3D72"/>
    <w:rsid w:val="00DA428D"/>
    <w:rsid w:val="00DA43C5"/>
    <w:rsid w:val="00DA5D0D"/>
    <w:rsid w:val="00DA5FAE"/>
    <w:rsid w:val="00DA6668"/>
    <w:rsid w:val="00DA673A"/>
    <w:rsid w:val="00DA721C"/>
    <w:rsid w:val="00DA722B"/>
    <w:rsid w:val="00DB0B13"/>
    <w:rsid w:val="00DB11AC"/>
    <w:rsid w:val="00DB13D6"/>
    <w:rsid w:val="00DB1F43"/>
    <w:rsid w:val="00DB4475"/>
    <w:rsid w:val="00DB4748"/>
    <w:rsid w:val="00DB5907"/>
    <w:rsid w:val="00DB5FB7"/>
    <w:rsid w:val="00DB6256"/>
    <w:rsid w:val="00DB67ED"/>
    <w:rsid w:val="00DB7E13"/>
    <w:rsid w:val="00DC034B"/>
    <w:rsid w:val="00DC169C"/>
    <w:rsid w:val="00DC2CA2"/>
    <w:rsid w:val="00DC3288"/>
    <w:rsid w:val="00DC3B15"/>
    <w:rsid w:val="00DC6FCC"/>
    <w:rsid w:val="00DC7449"/>
    <w:rsid w:val="00DC7903"/>
    <w:rsid w:val="00DC7B86"/>
    <w:rsid w:val="00DD0AB5"/>
    <w:rsid w:val="00DD2694"/>
    <w:rsid w:val="00DD2C08"/>
    <w:rsid w:val="00DD3207"/>
    <w:rsid w:val="00DD3B28"/>
    <w:rsid w:val="00DD3C5C"/>
    <w:rsid w:val="00DD4665"/>
    <w:rsid w:val="00DD4785"/>
    <w:rsid w:val="00DD4B41"/>
    <w:rsid w:val="00DD4E9D"/>
    <w:rsid w:val="00DD52E3"/>
    <w:rsid w:val="00DD63EC"/>
    <w:rsid w:val="00DD6452"/>
    <w:rsid w:val="00DD655F"/>
    <w:rsid w:val="00DD7F99"/>
    <w:rsid w:val="00DE0B8C"/>
    <w:rsid w:val="00DE173B"/>
    <w:rsid w:val="00DE262E"/>
    <w:rsid w:val="00DE34C0"/>
    <w:rsid w:val="00DE351B"/>
    <w:rsid w:val="00DE40C8"/>
    <w:rsid w:val="00DE47E5"/>
    <w:rsid w:val="00DE4849"/>
    <w:rsid w:val="00DE4B77"/>
    <w:rsid w:val="00DE5B8C"/>
    <w:rsid w:val="00DE6433"/>
    <w:rsid w:val="00DE6F69"/>
    <w:rsid w:val="00DE75D3"/>
    <w:rsid w:val="00DF0E16"/>
    <w:rsid w:val="00DF0E5F"/>
    <w:rsid w:val="00DF14AD"/>
    <w:rsid w:val="00DF1F64"/>
    <w:rsid w:val="00DF2D2A"/>
    <w:rsid w:val="00DF30DF"/>
    <w:rsid w:val="00DF33F2"/>
    <w:rsid w:val="00DF46BF"/>
    <w:rsid w:val="00DF473A"/>
    <w:rsid w:val="00DF5EC7"/>
    <w:rsid w:val="00DF6DD4"/>
    <w:rsid w:val="00DF71ED"/>
    <w:rsid w:val="00E009F7"/>
    <w:rsid w:val="00E01563"/>
    <w:rsid w:val="00E01903"/>
    <w:rsid w:val="00E01DD1"/>
    <w:rsid w:val="00E01E10"/>
    <w:rsid w:val="00E0209D"/>
    <w:rsid w:val="00E02A60"/>
    <w:rsid w:val="00E0314F"/>
    <w:rsid w:val="00E031FB"/>
    <w:rsid w:val="00E045CB"/>
    <w:rsid w:val="00E04762"/>
    <w:rsid w:val="00E05257"/>
    <w:rsid w:val="00E05793"/>
    <w:rsid w:val="00E05E1F"/>
    <w:rsid w:val="00E06221"/>
    <w:rsid w:val="00E06A18"/>
    <w:rsid w:val="00E06A61"/>
    <w:rsid w:val="00E06F01"/>
    <w:rsid w:val="00E07A74"/>
    <w:rsid w:val="00E07E31"/>
    <w:rsid w:val="00E1038C"/>
    <w:rsid w:val="00E105ED"/>
    <w:rsid w:val="00E10878"/>
    <w:rsid w:val="00E10AD0"/>
    <w:rsid w:val="00E11923"/>
    <w:rsid w:val="00E11EF3"/>
    <w:rsid w:val="00E11F71"/>
    <w:rsid w:val="00E1259C"/>
    <w:rsid w:val="00E15996"/>
    <w:rsid w:val="00E167DB"/>
    <w:rsid w:val="00E16B8F"/>
    <w:rsid w:val="00E16C8D"/>
    <w:rsid w:val="00E2041E"/>
    <w:rsid w:val="00E20BFE"/>
    <w:rsid w:val="00E20D06"/>
    <w:rsid w:val="00E20D0B"/>
    <w:rsid w:val="00E210E8"/>
    <w:rsid w:val="00E22775"/>
    <w:rsid w:val="00E22867"/>
    <w:rsid w:val="00E22870"/>
    <w:rsid w:val="00E23395"/>
    <w:rsid w:val="00E246EC"/>
    <w:rsid w:val="00E24B0E"/>
    <w:rsid w:val="00E25581"/>
    <w:rsid w:val="00E26434"/>
    <w:rsid w:val="00E26D16"/>
    <w:rsid w:val="00E2727A"/>
    <w:rsid w:val="00E2740F"/>
    <w:rsid w:val="00E27427"/>
    <w:rsid w:val="00E2767D"/>
    <w:rsid w:val="00E27B45"/>
    <w:rsid w:val="00E304C9"/>
    <w:rsid w:val="00E31F28"/>
    <w:rsid w:val="00E32353"/>
    <w:rsid w:val="00E3299D"/>
    <w:rsid w:val="00E34F6D"/>
    <w:rsid w:val="00E355F8"/>
    <w:rsid w:val="00E35658"/>
    <w:rsid w:val="00E3576C"/>
    <w:rsid w:val="00E36535"/>
    <w:rsid w:val="00E40F3E"/>
    <w:rsid w:val="00E41525"/>
    <w:rsid w:val="00E415CF"/>
    <w:rsid w:val="00E44A14"/>
    <w:rsid w:val="00E45161"/>
    <w:rsid w:val="00E456BB"/>
    <w:rsid w:val="00E456E2"/>
    <w:rsid w:val="00E45F5A"/>
    <w:rsid w:val="00E45FCC"/>
    <w:rsid w:val="00E45FD8"/>
    <w:rsid w:val="00E4602F"/>
    <w:rsid w:val="00E464A1"/>
    <w:rsid w:val="00E47057"/>
    <w:rsid w:val="00E479DD"/>
    <w:rsid w:val="00E501DC"/>
    <w:rsid w:val="00E51A1E"/>
    <w:rsid w:val="00E52481"/>
    <w:rsid w:val="00E52E8F"/>
    <w:rsid w:val="00E532AC"/>
    <w:rsid w:val="00E536C7"/>
    <w:rsid w:val="00E549C3"/>
    <w:rsid w:val="00E55660"/>
    <w:rsid w:val="00E563A2"/>
    <w:rsid w:val="00E56570"/>
    <w:rsid w:val="00E56C6F"/>
    <w:rsid w:val="00E5704C"/>
    <w:rsid w:val="00E5728F"/>
    <w:rsid w:val="00E57DD2"/>
    <w:rsid w:val="00E57E7F"/>
    <w:rsid w:val="00E57FB5"/>
    <w:rsid w:val="00E604C6"/>
    <w:rsid w:val="00E60B16"/>
    <w:rsid w:val="00E6213C"/>
    <w:rsid w:val="00E638A6"/>
    <w:rsid w:val="00E64381"/>
    <w:rsid w:val="00E65DDB"/>
    <w:rsid w:val="00E65E2D"/>
    <w:rsid w:val="00E65E70"/>
    <w:rsid w:val="00E66428"/>
    <w:rsid w:val="00E66467"/>
    <w:rsid w:val="00E667FB"/>
    <w:rsid w:val="00E66A06"/>
    <w:rsid w:val="00E679B4"/>
    <w:rsid w:val="00E67B95"/>
    <w:rsid w:val="00E709C1"/>
    <w:rsid w:val="00E70A28"/>
    <w:rsid w:val="00E70C27"/>
    <w:rsid w:val="00E70E4C"/>
    <w:rsid w:val="00E71690"/>
    <w:rsid w:val="00E73883"/>
    <w:rsid w:val="00E74A72"/>
    <w:rsid w:val="00E75AFC"/>
    <w:rsid w:val="00E75C08"/>
    <w:rsid w:val="00E77804"/>
    <w:rsid w:val="00E800FF"/>
    <w:rsid w:val="00E80C13"/>
    <w:rsid w:val="00E810D3"/>
    <w:rsid w:val="00E81806"/>
    <w:rsid w:val="00E825EF"/>
    <w:rsid w:val="00E825F7"/>
    <w:rsid w:val="00E835D5"/>
    <w:rsid w:val="00E86411"/>
    <w:rsid w:val="00E87043"/>
    <w:rsid w:val="00E87A8A"/>
    <w:rsid w:val="00E87EFA"/>
    <w:rsid w:val="00E901FE"/>
    <w:rsid w:val="00E90918"/>
    <w:rsid w:val="00E91A19"/>
    <w:rsid w:val="00E91AAC"/>
    <w:rsid w:val="00E92216"/>
    <w:rsid w:val="00E92723"/>
    <w:rsid w:val="00E927DB"/>
    <w:rsid w:val="00E93533"/>
    <w:rsid w:val="00E935E3"/>
    <w:rsid w:val="00E9446D"/>
    <w:rsid w:val="00E9779D"/>
    <w:rsid w:val="00E9796D"/>
    <w:rsid w:val="00E97DA6"/>
    <w:rsid w:val="00EA0044"/>
    <w:rsid w:val="00EA0187"/>
    <w:rsid w:val="00EA19D6"/>
    <w:rsid w:val="00EA1E0B"/>
    <w:rsid w:val="00EA2C08"/>
    <w:rsid w:val="00EA2E6C"/>
    <w:rsid w:val="00EA2FDA"/>
    <w:rsid w:val="00EA349B"/>
    <w:rsid w:val="00EA3A26"/>
    <w:rsid w:val="00EA4142"/>
    <w:rsid w:val="00EA4376"/>
    <w:rsid w:val="00EA4393"/>
    <w:rsid w:val="00EA5488"/>
    <w:rsid w:val="00EA5E2B"/>
    <w:rsid w:val="00EA62BD"/>
    <w:rsid w:val="00EA69AC"/>
    <w:rsid w:val="00EA6D3F"/>
    <w:rsid w:val="00EB2640"/>
    <w:rsid w:val="00EB2840"/>
    <w:rsid w:val="00EB42B3"/>
    <w:rsid w:val="00EB51DD"/>
    <w:rsid w:val="00EB5667"/>
    <w:rsid w:val="00EB5A80"/>
    <w:rsid w:val="00EB610D"/>
    <w:rsid w:val="00EB684E"/>
    <w:rsid w:val="00EB78BE"/>
    <w:rsid w:val="00EC07D8"/>
    <w:rsid w:val="00EC095F"/>
    <w:rsid w:val="00EC0B49"/>
    <w:rsid w:val="00EC0E20"/>
    <w:rsid w:val="00EC1182"/>
    <w:rsid w:val="00EC1373"/>
    <w:rsid w:val="00EC1F08"/>
    <w:rsid w:val="00EC202E"/>
    <w:rsid w:val="00EC206F"/>
    <w:rsid w:val="00EC25CF"/>
    <w:rsid w:val="00EC29AE"/>
    <w:rsid w:val="00EC2B31"/>
    <w:rsid w:val="00EC4694"/>
    <w:rsid w:val="00EC4849"/>
    <w:rsid w:val="00EC5C9C"/>
    <w:rsid w:val="00EC68CD"/>
    <w:rsid w:val="00EC69D6"/>
    <w:rsid w:val="00ED0A91"/>
    <w:rsid w:val="00ED0BB6"/>
    <w:rsid w:val="00ED24F0"/>
    <w:rsid w:val="00ED2B74"/>
    <w:rsid w:val="00ED3665"/>
    <w:rsid w:val="00ED4B9D"/>
    <w:rsid w:val="00ED5529"/>
    <w:rsid w:val="00ED5DAB"/>
    <w:rsid w:val="00ED60F3"/>
    <w:rsid w:val="00ED6166"/>
    <w:rsid w:val="00ED74A4"/>
    <w:rsid w:val="00ED7DD0"/>
    <w:rsid w:val="00ED7E03"/>
    <w:rsid w:val="00EE02FA"/>
    <w:rsid w:val="00EE0B17"/>
    <w:rsid w:val="00EE0F77"/>
    <w:rsid w:val="00EE1111"/>
    <w:rsid w:val="00EE1818"/>
    <w:rsid w:val="00EE1C58"/>
    <w:rsid w:val="00EE2923"/>
    <w:rsid w:val="00EE6C11"/>
    <w:rsid w:val="00EE6F7B"/>
    <w:rsid w:val="00EE7612"/>
    <w:rsid w:val="00EE7D55"/>
    <w:rsid w:val="00EF040F"/>
    <w:rsid w:val="00EF1064"/>
    <w:rsid w:val="00EF1425"/>
    <w:rsid w:val="00EF1678"/>
    <w:rsid w:val="00EF1B85"/>
    <w:rsid w:val="00EF4D69"/>
    <w:rsid w:val="00EF50CE"/>
    <w:rsid w:val="00EF56EF"/>
    <w:rsid w:val="00EF5890"/>
    <w:rsid w:val="00EF58E8"/>
    <w:rsid w:val="00EF6AE9"/>
    <w:rsid w:val="00EF75ED"/>
    <w:rsid w:val="00F017DA"/>
    <w:rsid w:val="00F01BF2"/>
    <w:rsid w:val="00F02CD0"/>
    <w:rsid w:val="00F03742"/>
    <w:rsid w:val="00F03797"/>
    <w:rsid w:val="00F039A5"/>
    <w:rsid w:val="00F0440D"/>
    <w:rsid w:val="00F05002"/>
    <w:rsid w:val="00F05049"/>
    <w:rsid w:val="00F05060"/>
    <w:rsid w:val="00F05DBE"/>
    <w:rsid w:val="00F06046"/>
    <w:rsid w:val="00F0674C"/>
    <w:rsid w:val="00F1040F"/>
    <w:rsid w:val="00F110AE"/>
    <w:rsid w:val="00F11640"/>
    <w:rsid w:val="00F1353E"/>
    <w:rsid w:val="00F13699"/>
    <w:rsid w:val="00F13949"/>
    <w:rsid w:val="00F14A9F"/>
    <w:rsid w:val="00F14D49"/>
    <w:rsid w:val="00F1554E"/>
    <w:rsid w:val="00F155F7"/>
    <w:rsid w:val="00F15CDD"/>
    <w:rsid w:val="00F16B8E"/>
    <w:rsid w:val="00F16D5E"/>
    <w:rsid w:val="00F17A30"/>
    <w:rsid w:val="00F17BA2"/>
    <w:rsid w:val="00F20D35"/>
    <w:rsid w:val="00F2119B"/>
    <w:rsid w:val="00F215E4"/>
    <w:rsid w:val="00F22051"/>
    <w:rsid w:val="00F24258"/>
    <w:rsid w:val="00F2436C"/>
    <w:rsid w:val="00F24652"/>
    <w:rsid w:val="00F249B9"/>
    <w:rsid w:val="00F2551E"/>
    <w:rsid w:val="00F26C55"/>
    <w:rsid w:val="00F26E79"/>
    <w:rsid w:val="00F270CE"/>
    <w:rsid w:val="00F270D6"/>
    <w:rsid w:val="00F271C2"/>
    <w:rsid w:val="00F315DD"/>
    <w:rsid w:val="00F32581"/>
    <w:rsid w:val="00F34388"/>
    <w:rsid w:val="00F345D1"/>
    <w:rsid w:val="00F34F6C"/>
    <w:rsid w:val="00F3550C"/>
    <w:rsid w:val="00F36673"/>
    <w:rsid w:val="00F37564"/>
    <w:rsid w:val="00F4009A"/>
    <w:rsid w:val="00F40222"/>
    <w:rsid w:val="00F40798"/>
    <w:rsid w:val="00F41313"/>
    <w:rsid w:val="00F41422"/>
    <w:rsid w:val="00F41580"/>
    <w:rsid w:val="00F41635"/>
    <w:rsid w:val="00F43AEE"/>
    <w:rsid w:val="00F43BA7"/>
    <w:rsid w:val="00F43EE2"/>
    <w:rsid w:val="00F44D29"/>
    <w:rsid w:val="00F452E2"/>
    <w:rsid w:val="00F4536C"/>
    <w:rsid w:val="00F47163"/>
    <w:rsid w:val="00F47391"/>
    <w:rsid w:val="00F4781A"/>
    <w:rsid w:val="00F47DFD"/>
    <w:rsid w:val="00F5176D"/>
    <w:rsid w:val="00F51AE2"/>
    <w:rsid w:val="00F536A4"/>
    <w:rsid w:val="00F547E5"/>
    <w:rsid w:val="00F5495F"/>
    <w:rsid w:val="00F54C89"/>
    <w:rsid w:val="00F54E33"/>
    <w:rsid w:val="00F55242"/>
    <w:rsid w:val="00F55531"/>
    <w:rsid w:val="00F55984"/>
    <w:rsid w:val="00F55B82"/>
    <w:rsid w:val="00F55C35"/>
    <w:rsid w:val="00F5702F"/>
    <w:rsid w:val="00F5781A"/>
    <w:rsid w:val="00F57BBA"/>
    <w:rsid w:val="00F60637"/>
    <w:rsid w:val="00F60C07"/>
    <w:rsid w:val="00F616D1"/>
    <w:rsid w:val="00F61A65"/>
    <w:rsid w:val="00F61E47"/>
    <w:rsid w:val="00F62153"/>
    <w:rsid w:val="00F628F0"/>
    <w:rsid w:val="00F634BB"/>
    <w:rsid w:val="00F64121"/>
    <w:rsid w:val="00F64F47"/>
    <w:rsid w:val="00F66365"/>
    <w:rsid w:val="00F66781"/>
    <w:rsid w:val="00F6776B"/>
    <w:rsid w:val="00F7012D"/>
    <w:rsid w:val="00F70A87"/>
    <w:rsid w:val="00F70F6E"/>
    <w:rsid w:val="00F71C23"/>
    <w:rsid w:val="00F71C4B"/>
    <w:rsid w:val="00F71D2C"/>
    <w:rsid w:val="00F73EE4"/>
    <w:rsid w:val="00F74068"/>
    <w:rsid w:val="00F74E28"/>
    <w:rsid w:val="00F7532B"/>
    <w:rsid w:val="00F75B46"/>
    <w:rsid w:val="00F77194"/>
    <w:rsid w:val="00F77CC4"/>
    <w:rsid w:val="00F77F04"/>
    <w:rsid w:val="00F813ED"/>
    <w:rsid w:val="00F81568"/>
    <w:rsid w:val="00F822EB"/>
    <w:rsid w:val="00F82EE8"/>
    <w:rsid w:val="00F83250"/>
    <w:rsid w:val="00F84017"/>
    <w:rsid w:val="00F841E5"/>
    <w:rsid w:val="00F84397"/>
    <w:rsid w:val="00F849F0"/>
    <w:rsid w:val="00F84C30"/>
    <w:rsid w:val="00F8548F"/>
    <w:rsid w:val="00F85592"/>
    <w:rsid w:val="00F8744F"/>
    <w:rsid w:val="00F876B2"/>
    <w:rsid w:val="00F879B0"/>
    <w:rsid w:val="00F904E1"/>
    <w:rsid w:val="00F905CE"/>
    <w:rsid w:val="00F909EF"/>
    <w:rsid w:val="00F9171C"/>
    <w:rsid w:val="00F91F12"/>
    <w:rsid w:val="00F91F36"/>
    <w:rsid w:val="00F92126"/>
    <w:rsid w:val="00F9267A"/>
    <w:rsid w:val="00F92EA4"/>
    <w:rsid w:val="00F93839"/>
    <w:rsid w:val="00F95F0C"/>
    <w:rsid w:val="00F9704F"/>
    <w:rsid w:val="00F97C94"/>
    <w:rsid w:val="00F97D54"/>
    <w:rsid w:val="00FA1CAA"/>
    <w:rsid w:val="00FA216E"/>
    <w:rsid w:val="00FA28F4"/>
    <w:rsid w:val="00FA3095"/>
    <w:rsid w:val="00FA3CBD"/>
    <w:rsid w:val="00FA4160"/>
    <w:rsid w:val="00FA4185"/>
    <w:rsid w:val="00FA434A"/>
    <w:rsid w:val="00FA4E9E"/>
    <w:rsid w:val="00FA5147"/>
    <w:rsid w:val="00FA6062"/>
    <w:rsid w:val="00FA6840"/>
    <w:rsid w:val="00FA7BE4"/>
    <w:rsid w:val="00FA7CB7"/>
    <w:rsid w:val="00FA7E97"/>
    <w:rsid w:val="00FB0300"/>
    <w:rsid w:val="00FB07C2"/>
    <w:rsid w:val="00FB1E27"/>
    <w:rsid w:val="00FB29D6"/>
    <w:rsid w:val="00FB352F"/>
    <w:rsid w:val="00FB3E58"/>
    <w:rsid w:val="00FB40CE"/>
    <w:rsid w:val="00FB4CEF"/>
    <w:rsid w:val="00FB4DE8"/>
    <w:rsid w:val="00FB4EC1"/>
    <w:rsid w:val="00FB50CE"/>
    <w:rsid w:val="00FB519A"/>
    <w:rsid w:val="00FB53EA"/>
    <w:rsid w:val="00FB549B"/>
    <w:rsid w:val="00FB56B4"/>
    <w:rsid w:val="00FB5870"/>
    <w:rsid w:val="00FB5943"/>
    <w:rsid w:val="00FB599B"/>
    <w:rsid w:val="00FB59A0"/>
    <w:rsid w:val="00FB67F2"/>
    <w:rsid w:val="00FB6980"/>
    <w:rsid w:val="00FB6F0D"/>
    <w:rsid w:val="00FB73BF"/>
    <w:rsid w:val="00FB78F3"/>
    <w:rsid w:val="00FB7AF2"/>
    <w:rsid w:val="00FB7B59"/>
    <w:rsid w:val="00FB7DFF"/>
    <w:rsid w:val="00FC0740"/>
    <w:rsid w:val="00FC1CDB"/>
    <w:rsid w:val="00FC2BDB"/>
    <w:rsid w:val="00FC3224"/>
    <w:rsid w:val="00FC37BF"/>
    <w:rsid w:val="00FC3BCE"/>
    <w:rsid w:val="00FC3D90"/>
    <w:rsid w:val="00FC4507"/>
    <w:rsid w:val="00FC4679"/>
    <w:rsid w:val="00FC469D"/>
    <w:rsid w:val="00FC6798"/>
    <w:rsid w:val="00FC6B8E"/>
    <w:rsid w:val="00FC7B6E"/>
    <w:rsid w:val="00FC7B72"/>
    <w:rsid w:val="00FD131E"/>
    <w:rsid w:val="00FD1985"/>
    <w:rsid w:val="00FD21EE"/>
    <w:rsid w:val="00FD26D0"/>
    <w:rsid w:val="00FD3C93"/>
    <w:rsid w:val="00FD3CD3"/>
    <w:rsid w:val="00FD45F4"/>
    <w:rsid w:val="00FD4DF2"/>
    <w:rsid w:val="00FD554F"/>
    <w:rsid w:val="00FD564A"/>
    <w:rsid w:val="00FD65D4"/>
    <w:rsid w:val="00FD65E4"/>
    <w:rsid w:val="00FD6EFA"/>
    <w:rsid w:val="00FD720B"/>
    <w:rsid w:val="00FD75C8"/>
    <w:rsid w:val="00FD7C2B"/>
    <w:rsid w:val="00FE0117"/>
    <w:rsid w:val="00FE0E10"/>
    <w:rsid w:val="00FE1E64"/>
    <w:rsid w:val="00FE21D3"/>
    <w:rsid w:val="00FE2CC1"/>
    <w:rsid w:val="00FE3065"/>
    <w:rsid w:val="00FE33C0"/>
    <w:rsid w:val="00FE37F4"/>
    <w:rsid w:val="00FE4262"/>
    <w:rsid w:val="00FE5328"/>
    <w:rsid w:val="00FE5BD4"/>
    <w:rsid w:val="00FE6029"/>
    <w:rsid w:val="00FE62AF"/>
    <w:rsid w:val="00FE6577"/>
    <w:rsid w:val="00FE7A90"/>
    <w:rsid w:val="00FE7E76"/>
    <w:rsid w:val="00FF141E"/>
    <w:rsid w:val="00FF2496"/>
    <w:rsid w:val="00FF2B14"/>
    <w:rsid w:val="00FF2BCA"/>
    <w:rsid w:val="00FF2D1F"/>
    <w:rsid w:val="00FF30CA"/>
    <w:rsid w:val="00FF3ED7"/>
    <w:rsid w:val="00FF5010"/>
    <w:rsid w:val="00FF5B18"/>
    <w:rsid w:val="00FF5C4D"/>
    <w:rsid w:val="00FF67F2"/>
    <w:rsid w:val="00FF6D98"/>
    <w:rsid w:val="00FF7568"/>
    <w:rsid w:val="00FF7930"/>
    <w:rsid w:val="00FF7DE2"/>
    <w:rsid w:val="30B931F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799459F0"/>
  <w15:docId w15:val="{3A9D182A-B027-8245-BA9F-DDFC9740B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pPr>
        <w:spacing w:before="120" w:after="12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45019"/>
    <w:rPr>
      <w:sz w:val="22"/>
      <w:szCs w:val="22"/>
    </w:rPr>
  </w:style>
  <w:style w:type="paragraph" w:styleId="1">
    <w:name w:val="heading 1"/>
    <w:basedOn w:val="a"/>
    <w:next w:val="a"/>
    <w:link w:val="1Char"/>
    <w:uiPriority w:val="9"/>
    <w:qFormat/>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pPr>
      <w:keepNext/>
      <w:keepLines/>
      <w:spacing w:before="40" w:after="0"/>
      <w:outlineLvl w:val="2"/>
    </w:pPr>
    <w:rPr>
      <w:rFonts w:asciiTheme="majorHAnsi" w:eastAsiaTheme="majorEastAsia" w:hAnsiTheme="majorHAnsi" w:cstheme="majorBidi"/>
      <w:color w:val="244061" w:themeColor="accent1" w:themeShade="80"/>
      <w:sz w:val="24"/>
      <w:szCs w:val="24"/>
    </w:rPr>
  </w:style>
  <w:style w:type="paragraph" w:styleId="4">
    <w:name w:val="heading 4"/>
    <w:basedOn w:val="a"/>
    <w:next w:val="a"/>
    <w:link w:val="4Char"/>
    <w:uiPriority w:val="9"/>
    <w:semiHidden/>
    <w:unhideWhenUsed/>
    <w:qFormat/>
    <w:rsid w:val="001060A8"/>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5">
    <w:name w:val="heading 5"/>
    <w:basedOn w:val="a"/>
    <w:next w:val="a"/>
    <w:link w:val="5Char"/>
    <w:uiPriority w:val="9"/>
    <w:semiHidden/>
    <w:unhideWhenUsed/>
    <w:qFormat/>
    <w:rsid w:val="001060A8"/>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qFormat/>
    <w:pPr>
      <w:spacing w:after="0"/>
    </w:pPr>
    <w:rPr>
      <w:rFonts w:ascii="Tahoma" w:hAnsi="Tahoma" w:cs="Tahoma"/>
      <w:sz w:val="16"/>
      <w:szCs w:val="16"/>
    </w:rPr>
  </w:style>
  <w:style w:type="character" w:styleId="a4">
    <w:name w:val="Emphasis"/>
    <w:basedOn w:val="a0"/>
    <w:uiPriority w:val="20"/>
    <w:qFormat/>
    <w:rPr>
      <w:i/>
      <w:iCs/>
    </w:rPr>
  </w:style>
  <w:style w:type="paragraph" w:styleId="a5">
    <w:name w:val="footer"/>
    <w:basedOn w:val="a"/>
    <w:link w:val="Char0"/>
    <w:uiPriority w:val="99"/>
    <w:unhideWhenUsed/>
    <w:qFormat/>
    <w:pPr>
      <w:tabs>
        <w:tab w:val="center" w:pos="4153"/>
        <w:tab w:val="right" w:pos="8306"/>
      </w:tabs>
      <w:spacing w:after="0"/>
    </w:pPr>
  </w:style>
  <w:style w:type="paragraph" w:styleId="a6">
    <w:name w:val="header"/>
    <w:basedOn w:val="a"/>
    <w:link w:val="Char1"/>
    <w:uiPriority w:val="99"/>
    <w:unhideWhenUsed/>
    <w:qFormat/>
    <w:pPr>
      <w:tabs>
        <w:tab w:val="center" w:pos="4153"/>
        <w:tab w:val="right" w:pos="8306"/>
      </w:tabs>
      <w:spacing w:after="0"/>
    </w:pPr>
  </w:style>
  <w:style w:type="character" w:styleId="Hyperlink">
    <w:name w:val="Hyperlink"/>
    <w:basedOn w:val="a0"/>
    <w:uiPriority w:val="99"/>
    <w:unhideWhenUsed/>
    <w:qFormat/>
    <w:rPr>
      <w:color w:val="0000FF" w:themeColor="hyperlink"/>
      <w:u w:val="single"/>
    </w:rPr>
  </w:style>
  <w:style w:type="paragraph" w:styleId="a7">
    <w:name w:val="Normal (Web)"/>
    <w:basedOn w:val="a"/>
    <w:uiPriority w:val="99"/>
    <w:unhideWhenUsed/>
    <w:qFormat/>
    <w:pPr>
      <w:spacing w:before="100" w:beforeAutospacing="1" w:after="100" w:afterAutospacing="1"/>
    </w:pPr>
    <w:rPr>
      <w:rFonts w:ascii="Times New Roman" w:eastAsia="Times New Roman" w:hAnsi="Times New Roman" w:cs="Times New Roman"/>
      <w:sz w:val="24"/>
      <w:szCs w:val="24"/>
    </w:rPr>
  </w:style>
  <w:style w:type="character" w:styleId="a8">
    <w:name w:val="Strong"/>
    <w:basedOn w:val="a0"/>
    <w:uiPriority w:val="22"/>
    <w:qFormat/>
    <w:rPr>
      <w:b/>
      <w:bCs/>
    </w:rPr>
  </w:style>
  <w:style w:type="paragraph" w:styleId="a9">
    <w:name w:val="Subtitle"/>
    <w:basedOn w:val="a"/>
    <w:link w:val="Char2"/>
    <w:qFormat/>
    <w:pPr>
      <w:bidi/>
      <w:spacing w:after="0"/>
      <w:jc w:val="center"/>
    </w:pPr>
    <w:rPr>
      <w:rFonts w:ascii="Times New Roman" w:eastAsia="Times New Roman" w:hAnsi="Times New Roman" w:cs="Times New Roman"/>
      <w:i/>
      <w:iCs/>
      <w:sz w:val="28"/>
      <w:szCs w:val="28"/>
      <w:lang w:eastAsia="ar-SA"/>
    </w:rPr>
  </w:style>
  <w:style w:type="table" w:styleId="aa">
    <w:name w:val="Table Grid"/>
    <w:basedOn w:val="a1"/>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Char">
    <w:name w:val="عنوان 2 Char"/>
    <w:basedOn w:val="a0"/>
    <w:link w:val="2"/>
    <w:uiPriority w:val="9"/>
    <w:qFormat/>
    <w:rPr>
      <w:rFonts w:asciiTheme="majorHAnsi" w:eastAsiaTheme="majorEastAsia" w:hAnsiTheme="majorHAnsi" w:cstheme="majorBidi"/>
      <w:color w:val="365F91" w:themeColor="accent1" w:themeShade="BF"/>
      <w:sz w:val="26"/>
      <w:szCs w:val="26"/>
    </w:rPr>
  </w:style>
  <w:style w:type="paragraph" w:styleId="ab">
    <w:name w:val="List Paragraph"/>
    <w:basedOn w:val="a"/>
    <w:uiPriority w:val="34"/>
    <w:qFormat/>
    <w:pPr>
      <w:ind w:left="720"/>
      <w:contextualSpacing/>
    </w:pPr>
  </w:style>
  <w:style w:type="character" w:customStyle="1" w:styleId="Char1">
    <w:name w:val="رأس الصفحة Char"/>
    <w:basedOn w:val="a0"/>
    <w:link w:val="a6"/>
    <w:uiPriority w:val="99"/>
    <w:qFormat/>
  </w:style>
  <w:style w:type="character" w:customStyle="1" w:styleId="Char0">
    <w:name w:val="تذييل الصفحة Char"/>
    <w:basedOn w:val="a0"/>
    <w:link w:val="a5"/>
    <w:uiPriority w:val="99"/>
    <w:qFormat/>
  </w:style>
  <w:style w:type="character" w:customStyle="1" w:styleId="Char">
    <w:name w:val="نص في بالون Char"/>
    <w:basedOn w:val="a0"/>
    <w:link w:val="a3"/>
    <w:uiPriority w:val="99"/>
    <w:semiHidden/>
    <w:qFormat/>
    <w:rPr>
      <w:rFonts w:ascii="Tahoma" w:hAnsi="Tahoma" w:cs="Tahoma"/>
      <w:sz w:val="16"/>
      <w:szCs w:val="16"/>
    </w:rPr>
  </w:style>
  <w:style w:type="character" w:customStyle="1" w:styleId="1Char">
    <w:name w:val="العنوان 1 Char"/>
    <w:basedOn w:val="a0"/>
    <w:link w:val="1"/>
    <w:uiPriority w:val="9"/>
    <w:qFormat/>
    <w:rPr>
      <w:rFonts w:asciiTheme="majorHAnsi" w:eastAsiaTheme="majorEastAsia" w:hAnsiTheme="majorHAnsi" w:cstheme="majorBidi"/>
      <w:color w:val="365F91" w:themeColor="accent1" w:themeShade="BF"/>
      <w:sz w:val="32"/>
      <w:szCs w:val="32"/>
    </w:rPr>
  </w:style>
  <w:style w:type="character" w:customStyle="1" w:styleId="Char2">
    <w:name w:val="عنوان فرعي Char"/>
    <w:basedOn w:val="a0"/>
    <w:link w:val="a9"/>
    <w:qFormat/>
    <w:rPr>
      <w:rFonts w:ascii="Times New Roman" w:eastAsia="Times New Roman" w:hAnsi="Times New Roman" w:cs="Times New Roman"/>
      <w:i/>
      <w:iCs/>
      <w:sz w:val="28"/>
      <w:szCs w:val="28"/>
      <w:lang w:eastAsia="ar-SA"/>
    </w:rPr>
  </w:style>
  <w:style w:type="character" w:customStyle="1" w:styleId="UnresolvedMention1">
    <w:name w:val="Unresolved Mention1"/>
    <w:basedOn w:val="a0"/>
    <w:uiPriority w:val="99"/>
    <w:semiHidden/>
    <w:unhideWhenUsed/>
    <w:rPr>
      <w:color w:val="605E5C"/>
      <w:shd w:val="clear" w:color="auto" w:fill="E1DFDD"/>
    </w:rPr>
  </w:style>
  <w:style w:type="character" w:customStyle="1" w:styleId="3Char">
    <w:name w:val="عنوان 3 Char"/>
    <w:basedOn w:val="a0"/>
    <w:link w:val="3"/>
    <w:uiPriority w:val="9"/>
    <w:semiHidden/>
    <w:qFormat/>
    <w:rPr>
      <w:rFonts w:asciiTheme="majorHAnsi" w:eastAsiaTheme="majorEastAsia" w:hAnsiTheme="majorHAnsi" w:cstheme="majorBidi"/>
      <w:color w:val="244061" w:themeColor="accent1" w:themeShade="80"/>
      <w:sz w:val="24"/>
      <w:szCs w:val="24"/>
    </w:rPr>
  </w:style>
  <w:style w:type="character" w:styleId="ac">
    <w:name w:val="annotation reference"/>
    <w:basedOn w:val="a0"/>
    <w:uiPriority w:val="99"/>
    <w:semiHidden/>
    <w:unhideWhenUsed/>
    <w:rsid w:val="00FF67F2"/>
    <w:rPr>
      <w:sz w:val="16"/>
      <w:szCs w:val="16"/>
    </w:rPr>
  </w:style>
  <w:style w:type="paragraph" w:styleId="ad">
    <w:name w:val="annotation text"/>
    <w:basedOn w:val="a"/>
    <w:link w:val="Char3"/>
    <w:uiPriority w:val="99"/>
    <w:semiHidden/>
    <w:unhideWhenUsed/>
    <w:rsid w:val="00FF67F2"/>
    <w:rPr>
      <w:sz w:val="20"/>
      <w:szCs w:val="20"/>
    </w:rPr>
  </w:style>
  <w:style w:type="character" w:customStyle="1" w:styleId="Char3">
    <w:name w:val="نص تعليق Char"/>
    <w:basedOn w:val="a0"/>
    <w:link w:val="ad"/>
    <w:uiPriority w:val="99"/>
    <w:semiHidden/>
    <w:rsid w:val="00FF67F2"/>
    <w:rPr>
      <w:lang w:val="en-US"/>
    </w:rPr>
  </w:style>
  <w:style w:type="paragraph" w:styleId="ae">
    <w:name w:val="annotation subject"/>
    <w:basedOn w:val="ad"/>
    <w:next w:val="ad"/>
    <w:link w:val="Char4"/>
    <w:uiPriority w:val="99"/>
    <w:semiHidden/>
    <w:unhideWhenUsed/>
    <w:rsid w:val="00FF67F2"/>
    <w:rPr>
      <w:b/>
      <w:bCs/>
    </w:rPr>
  </w:style>
  <w:style w:type="character" w:customStyle="1" w:styleId="Char4">
    <w:name w:val="موضوع تعليق Char"/>
    <w:basedOn w:val="Char3"/>
    <w:link w:val="ae"/>
    <w:uiPriority w:val="99"/>
    <w:semiHidden/>
    <w:rsid w:val="00FF67F2"/>
    <w:rPr>
      <w:b/>
      <w:bCs/>
      <w:lang w:val="en-US"/>
    </w:rPr>
  </w:style>
  <w:style w:type="character" w:styleId="af">
    <w:name w:val="Unresolved Mention"/>
    <w:basedOn w:val="a0"/>
    <w:uiPriority w:val="99"/>
    <w:semiHidden/>
    <w:unhideWhenUsed/>
    <w:rsid w:val="00D64F79"/>
    <w:rPr>
      <w:color w:val="605E5C"/>
      <w:shd w:val="clear" w:color="auto" w:fill="E1DFDD"/>
    </w:rPr>
  </w:style>
  <w:style w:type="character" w:customStyle="1" w:styleId="helvetica">
    <w:name w:val="helvetica"/>
    <w:basedOn w:val="a0"/>
    <w:rsid w:val="0052020A"/>
  </w:style>
  <w:style w:type="character" w:customStyle="1" w:styleId="flex-1">
    <w:name w:val="flex-1"/>
    <w:basedOn w:val="a0"/>
    <w:rsid w:val="0052020A"/>
  </w:style>
  <w:style w:type="character" w:customStyle="1" w:styleId="font-600">
    <w:name w:val="font-[600]"/>
    <w:basedOn w:val="a0"/>
    <w:rsid w:val="0052020A"/>
  </w:style>
  <w:style w:type="character" w:customStyle="1" w:styleId="font-sans">
    <w:name w:val="font-sans"/>
    <w:basedOn w:val="a0"/>
    <w:rsid w:val="0052020A"/>
  </w:style>
  <w:style w:type="table" w:customStyle="1" w:styleId="10">
    <w:name w:val="شبكة جدول1"/>
    <w:basedOn w:val="a1"/>
    <w:next w:val="aa"/>
    <w:uiPriority w:val="39"/>
    <w:rsid w:val="009A7640"/>
    <w:pPr>
      <w:spacing w:before="0" w:after="0"/>
    </w:pPr>
    <w:rPr>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Char">
    <w:name w:val="عنوان 4 Char"/>
    <w:basedOn w:val="a0"/>
    <w:link w:val="4"/>
    <w:uiPriority w:val="9"/>
    <w:semiHidden/>
    <w:rsid w:val="001060A8"/>
    <w:rPr>
      <w:rFonts w:asciiTheme="majorHAnsi" w:eastAsiaTheme="majorEastAsia" w:hAnsiTheme="majorHAnsi" w:cstheme="majorBidi"/>
      <w:i/>
      <w:iCs/>
      <w:color w:val="365F91" w:themeColor="accent1" w:themeShade="BF"/>
      <w:sz w:val="22"/>
      <w:szCs w:val="22"/>
    </w:rPr>
  </w:style>
  <w:style w:type="character" w:customStyle="1" w:styleId="5Char">
    <w:name w:val="عنوان 5 Char"/>
    <w:basedOn w:val="a0"/>
    <w:link w:val="5"/>
    <w:uiPriority w:val="9"/>
    <w:semiHidden/>
    <w:rsid w:val="001060A8"/>
    <w:rPr>
      <w:rFonts w:asciiTheme="majorHAnsi" w:eastAsiaTheme="majorEastAsia" w:hAnsiTheme="majorHAnsi" w:cstheme="majorBidi"/>
      <w:color w:val="365F91" w:themeColor="accent1" w:themeShade="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31"/>
    <customShpInfo spid="_x0000_s1030"/>
    <customShpInfo spid="_x0000_s1029"/>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FBED07-58A4-48EB-BF11-361C75CDDD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93</Pages>
  <Words>27824</Words>
  <Characters>155264</Characters>
  <Application>Microsoft Office Word</Application>
  <DocSecurity>0</DocSecurity>
  <Lines>2283</Lines>
  <Paragraphs>1052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182036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heba hamdy</cp:lastModifiedBy>
  <cp:revision>34</cp:revision>
  <cp:lastPrinted>2025-10-29T09:48:00Z</cp:lastPrinted>
  <dcterms:created xsi:type="dcterms:W3CDTF">2026-02-27T13:30:00Z</dcterms:created>
  <dcterms:modified xsi:type="dcterms:W3CDTF">2026-02-27T14:28:00Z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1033-12.2.0.22222</vt:lpwstr>
  </property>
  <property fmtid="{D5CDD505-2E9C-101B-9397-08002B2CF9AE}" pid="3" name="ICV">
    <vt:lpwstr>5F18BEAC96054E0FBD15FDBB7662CC3C_13</vt:lpwstr>
  </property>
</Properties>
</file>