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D6749">
      <w:pPr>
        <w:bidi/>
        <w:spacing w:line="240" w:lineRule="auto"/>
        <w:jc w:val="left"/>
        <w:rPr>
          <w:rFonts w:hint="default" w:ascii="Simplified Arabic" w:hAnsi="Simplified Arabic" w:cs="Simplified Arabic"/>
          <w:b/>
          <w:bCs/>
          <w:sz w:val="28"/>
          <w:szCs w:val="28"/>
          <w:lang w:bidi="ar-EG"/>
        </w:rPr>
      </w:pPr>
      <w:r>
        <w:rPr>
          <w:rFonts w:hint="default" w:ascii="Simplified Arabic" w:hAnsi="Simplified Arabic" w:cs="Simplified Arabic"/>
          <w:b/>
          <w:bCs/>
          <w:sz w:val="28"/>
          <w:szCs w:val="28"/>
        </w:rPr>
        <w:drawing>
          <wp:anchor distT="0" distB="0" distL="114300" distR="114300" simplePos="0" relativeHeight="251660288" behindDoc="0" locked="0" layoutInCell="1" allowOverlap="1">
            <wp:simplePos x="0" y="0"/>
            <wp:positionH relativeFrom="margin">
              <wp:posOffset>-169545</wp:posOffset>
            </wp:positionH>
            <wp:positionV relativeFrom="margin">
              <wp:posOffset>-184785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default" w:ascii="Simplified Arabic" w:hAnsi="Simplified Arabic" w:cs="Simplified Arabic"/>
          <w:b/>
          <w:bCs/>
          <w:sz w:val="28"/>
          <w:szCs w:val="28"/>
          <w:rtl/>
          <w:lang w:bidi="ar-EG"/>
        </w:rPr>
        <w:t xml:space="preserve">جامعة ميدأوشن </w:t>
      </w:r>
    </w:p>
    <w:p w14:paraId="1E957002">
      <w:pPr>
        <w:bidi/>
        <w:spacing w:line="240" w:lineRule="auto"/>
        <w:jc w:val="left"/>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lang w:bidi="ar-EG"/>
        </w:rPr>
        <w:t xml:space="preserve">    </w:t>
      </w:r>
      <w:r>
        <w:rPr>
          <w:rFonts w:hint="default" w:ascii="Simplified Arabic" w:hAnsi="Simplified Arabic" w:cs="Simplified Arabic"/>
          <w:b/>
          <w:bCs/>
          <w:sz w:val="28"/>
          <w:szCs w:val="28"/>
          <w:rtl/>
          <w:lang w:bidi="ar-EG"/>
        </w:rPr>
        <w:t xml:space="preserve">كلية الإدارة </w:t>
      </w:r>
    </w:p>
    <w:p w14:paraId="3A7BF367">
      <w:pPr>
        <w:bidi/>
        <w:spacing w:line="240" w:lineRule="auto"/>
        <w:jc w:val="left"/>
        <w:rPr>
          <w:rFonts w:hint="default" w:ascii="Simplified Arabic" w:hAnsi="Simplified Arabic" w:cs="Simplified Arabic"/>
          <w:sz w:val="28"/>
          <w:szCs w:val="28"/>
          <w:rtl/>
          <w:lang w:bidi="ar-EG"/>
        </w:rPr>
      </w:pPr>
      <w:r>
        <w:rPr>
          <w:rFonts w:hint="default" w:ascii="Simplified Arabic" w:hAnsi="Simplified Arabic" w:cs="Simplified Arabic"/>
          <w:b/>
          <w:bCs/>
          <w:sz w:val="28"/>
          <w:szCs w:val="28"/>
          <w:rtl/>
        </w:rPr>
        <w:t>قسم / تخصص : ماجستير ادارة اعمال</w:t>
      </w:r>
    </w:p>
    <w:p w14:paraId="5F6542BF">
      <w:pPr>
        <w:bidi/>
        <w:spacing w:line="240" w:lineRule="auto"/>
        <w:jc w:val="left"/>
        <w:rPr>
          <w:rFonts w:hint="default" w:ascii="Simplified Arabic" w:hAnsi="Simplified Arabic" w:cs="Simplified Arabic"/>
          <w:sz w:val="28"/>
          <w:szCs w:val="28"/>
          <w:rtl/>
          <w:lang w:bidi="ar-EG"/>
        </w:rPr>
      </w:pPr>
    </w:p>
    <w:p w14:paraId="5918E769">
      <w:pPr>
        <w:bidi/>
        <w:spacing w:line="240" w:lineRule="auto"/>
        <w:jc w:val="center"/>
        <w:rPr>
          <w:rFonts w:hint="default" w:ascii="Simplified Arabic" w:hAnsi="Simplified Arabic" w:cs="Simplified Arabic"/>
          <w:b/>
          <w:bCs/>
          <w:sz w:val="28"/>
          <w:szCs w:val="28"/>
          <w:lang w:val="en" w:bidi="ar-EG"/>
        </w:rPr>
      </w:pPr>
      <w:r>
        <w:rPr>
          <w:rFonts w:hint="default" w:ascii="Simplified Arabic" w:hAnsi="Simplified Arabic" w:cs="Simplified Arabic"/>
          <w:b/>
          <w:bCs/>
          <w:sz w:val="28"/>
          <w:szCs w:val="28"/>
          <w:rtl/>
        </w:rPr>
        <w:t>عنوان البحث</w:t>
      </w:r>
    </w:p>
    <w:p w14:paraId="2B729D88">
      <w:pPr>
        <w:bidi/>
        <w:spacing w:line="240" w:lineRule="auto"/>
        <w:jc w:val="center"/>
        <w:rPr>
          <w:rFonts w:hint="default" w:ascii="Simplified Arabic" w:hAnsi="Simplified Arabic" w:cs="Simplified Arabic"/>
          <w:b/>
          <w:bCs/>
          <w:sz w:val="28"/>
          <w:szCs w:val="28"/>
          <w:lang w:val="en" w:bidi="ar-EG"/>
        </w:rPr>
      </w:pPr>
      <w:r>
        <w:rPr>
          <w:rFonts w:hint="default" w:ascii="Simplified Arabic" w:hAnsi="Simplified Arabic" w:cs="Simplified Arabic"/>
          <w:b/>
          <w:bCs/>
          <w:sz w:val="28"/>
          <w:szCs w:val="28"/>
          <w:rtl/>
          <w:cs/>
        </w:rPr>
        <w:t>تأثير جودة الأعمال الإنشائية</w:t>
      </w:r>
      <w:r>
        <w:rPr>
          <w:rFonts w:hint="default" w:ascii="Simplified Arabic" w:hAnsi="Simplified Arabic" w:cs="Simplified Arabic"/>
          <w:b/>
          <w:bCs/>
          <w:sz w:val="28"/>
          <w:szCs w:val="28"/>
          <w:rtl/>
        </w:rPr>
        <w:t xml:space="preserve"> على أداء الإستدامة التشغيلية في المشاريع واسعة النطاق: دراسة تطبيقية على  مشاريع صندوق الاستثمارات العامة</w:t>
      </w:r>
    </w:p>
    <w:p w14:paraId="3024630C">
      <w:pPr>
        <w:bidi/>
        <w:spacing w:line="240" w:lineRule="auto"/>
        <w:jc w:val="center"/>
        <w:rPr>
          <w:rFonts w:hint="default" w:ascii="Simplified Arabic" w:hAnsi="Simplified Arabic" w:cs="Simplified Arabic"/>
          <w:sz w:val="28"/>
          <w:szCs w:val="28"/>
          <w:rtl/>
          <w:lang w:bidi="ar-EG"/>
        </w:rPr>
      </w:pPr>
    </w:p>
    <w:p w14:paraId="232F19A4">
      <w:pPr>
        <w:keepNext w:val="0"/>
        <w:keepLines w:val="0"/>
        <w:pageBreakBefore w:val="0"/>
        <w:widowControl/>
        <w:kinsoku/>
        <w:wordWrap/>
        <w:overflowPunct/>
        <w:topLinePunct w:val="0"/>
        <w:autoSpaceDE/>
        <w:autoSpaceDN/>
        <w:bidi/>
        <w:adjustRightInd/>
        <w:snapToGrid/>
        <w:spacing w:line="240" w:lineRule="auto"/>
        <w:ind w:firstLine="397"/>
        <w:jc w:val="center"/>
        <w:textAlignment w:val="auto"/>
        <w:rPr>
          <w:rFonts w:hint="default" w:ascii="Simplified Arabic" w:hAnsi="Simplified Arabic" w:cs="Simplified Arabic"/>
          <w:sz w:val="28"/>
          <w:szCs w:val="28"/>
          <w:rtl/>
          <w:lang w:bidi="ar-EG"/>
        </w:rPr>
      </w:pPr>
    </w:p>
    <w:p w14:paraId="0EB57E30">
      <w:pPr>
        <w:bidi/>
        <w:spacing w:line="240" w:lineRule="auto"/>
        <w:jc w:val="center"/>
        <w:rPr>
          <w:rFonts w:hint="default" w:ascii="Simplified Arabic" w:hAnsi="Simplified Arabic" w:cs="Simplified Arabic"/>
          <w:b/>
          <w:bCs/>
          <w:sz w:val="28"/>
          <w:szCs w:val="28"/>
          <w:rtl/>
          <w:lang w:bidi="ar-EG"/>
        </w:rPr>
      </w:pPr>
    </w:p>
    <w:p w14:paraId="751A7E65">
      <w:pPr>
        <w:bidi/>
        <w:spacing w:line="240" w:lineRule="auto"/>
        <w:jc w:val="center"/>
        <w:rPr>
          <w:rFonts w:hint="default" w:ascii="Simplified Arabic" w:hAnsi="Simplified Arabic" w:cs="Simplified Arabic"/>
          <w:b/>
          <w:bCs/>
          <w:sz w:val="28"/>
          <w:szCs w:val="28"/>
          <w:rtl/>
        </w:rPr>
      </w:pPr>
      <w:r>
        <w:rPr>
          <w:rFonts w:hint="default" w:ascii="Simplified Arabic" w:hAnsi="Simplified Arabic" w:cs="Simplified Arabic"/>
          <w:b/>
          <w:bCs/>
          <w:sz w:val="28"/>
          <w:szCs w:val="28"/>
          <w:rtl/>
          <w:lang w:bidi="ar-EG"/>
        </w:rPr>
        <w:t>إعداد الطالب/</w:t>
      </w:r>
      <w:r>
        <w:rPr>
          <w:rFonts w:hint="default" w:ascii="Simplified Arabic" w:hAnsi="Simplified Arabic" w:cs="Simplified Arabic"/>
          <w:b/>
          <w:bCs/>
          <w:sz w:val="28"/>
          <w:szCs w:val="28"/>
          <w:rtl/>
        </w:rPr>
        <w:t xml:space="preserve"> خليل زهير بشناق</w:t>
      </w:r>
    </w:p>
    <w:p w14:paraId="76AA45C9">
      <w:pPr>
        <w:bidi/>
        <w:spacing w:line="240" w:lineRule="auto"/>
        <w:jc w:val="center"/>
        <w:rPr>
          <w:rFonts w:hint="default" w:ascii="Simplified Arabic" w:hAnsi="Simplified Arabic" w:cs="Simplified Arabic"/>
          <w:b/>
          <w:bCs/>
          <w:sz w:val="28"/>
          <w:szCs w:val="28"/>
          <w:rtl/>
          <w:lang w:bidi="ar-EG"/>
        </w:rPr>
      </w:pPr>
    </w:p>
    <w:p w14:paraId="58D6152F">
      <w:pPr>
        <w:bidi/>
        <w:spacing w:line="240" w:lineRule="auto"/>
        <w:jc w:val="center"/>
        <w:rPr>
          <w:rFonts w:hint="default" w:ascii="Simplified Arabic" w:hAnsi="Simplified Arabic" w:cs="Simplified Arabic"/>
          <w:b/>
          <w:bCs/>
          <w:sz w:val="28"/>
          <w:szCs w:val="28"/>
          <w:rtl/>
          <w:lang w:bidi="ar-EG"/>
        </w:rPr>
      </w:pPr>
    </w:p>
    <w:p w14:paraId="5F4EE2DE">
      <w:pPr>
        <w:bidi/>
        <w:spacing w:line="240" w:lineRule="auto"/>
        <w:jc w:val="center"/>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rtl/>
          <w:lang w:bidi="ar-EG"/>
        </w:rPr>
        <w:t>إشراف/</w:t>
      </w:r>
    </w:p>
    <w:p w14:paraId="2EFA31CD">
      <w:pPr>
        <w:bidi/>
        <w:spacing w:line="240" w:lineRule="auto"/>
        <w:jc w:val="center"/>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rtl/>
          <w:lang w:bidi="ar-EG"/>
        </w:rPr>
        <w:t>د.الفيصل عبد الحميد</w:t>
      </w:r>
      <w:r>
        <w:rPr>
          <w:rFonts w:hint="default" w:ascii="Simplified Arabic" w:hAnsi="Simplified Arabic" w:cs="Simplified Arabic"/>
          <w:b/>
          <w:bCs/>
          <w:sz w:val="28"/>
          <w:szCs w:val="28"/>
          <w:rtl/>
          <w:lang w:bidi="ar-EG"/>
        </w:rPr>
        <w:br w:type="textWrapping"/>
      </w:r>
      <w:r>
        <w:rPr>
          <w:rFonts w:hint="default" w:ascii="Simplified Arabic" w:hAnsi="Simplified Arabic" w:cs="Simplified Arabic"/>
          <w:b/>
          <w:bCs/>
          <w:sz w:val="28"/>
          <w:szCs w:val="28"/>
          <w:rtl/>
          <w:lang w:bidi="ar-EG"/>
        </w:rPr>
        <w:t>د.فايز جراد</w:t>
      </w:r>
    </w:p>
    <w:p w14:paraId="16CF2D6A">
      <w:pPr>
        <w:bidi/>
        <w:spacing w:line="240" w:lineRule="auto"/>
        <w:jc w:val="center"/>
        <w:rPr>
          <w:rFonts w:hint="default" w:ascii="Simplified Arabic" w:hAnsi="Simplified Arabic" w:cs="Simplified Arabic"/>
          <w:b/>
          <w:bCs/>
          <w:sz w:val="28"/>
          <w:szCs w:val="28"/>
          <w:rtl/>
          <w:lang w:bidi="ar-EG"/>
        </w:rPr>
      </w:pPr>
    </w:p>
    <w:p w14:paraId="22738CC6">
      <w:pPr>
        <w:bidi/>
        <w:spacing w:line="240" w:lineRule="auto"/>
        <w:jc w:val="center"/>
        <w:rPr>
          <w:rFonts w:hint="default" w:ascii="Simplified Arabic" w:hAnsi="Simplified Arabic" w:cs="Simplified Arabic"/>
          <w:b/>
          <w:bCs/>
          <w:sz w:val="28"/>
          <w:szCs w:val="28"/>
          <w:rtl/>
          <w:lang w:bidi="ar-EG"/>
        </w:rPr>
      </w:pPr>
    </w:p>
    <w:p w14:paraId="14480418">
      <w:pPr>
        <w:bidi/>
        <w:spacing w:line="240" w:lineRule="auto"/>
        <w:jc w:val="center"/>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rtl/>
          <w:lang w:bidi="ar-EG"/>
        </w:rPr>
        <w:t>العام الدراسي:</w:t>
      </w:r>
    </w:p>
    <w:p w14:paraId="71099ADB">
      <w:pPr>
        <w:bidi/>
        <w:spacing w:line="240" w:lineRule="auto"/>
        <w:jc w:val="center"/>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rtl/>
          <w:lang w:bidi="ar-EG"/>
        </w:rPr>
        <w:t>2025</w:t>
      </w:r>
    </w:p>
    <w:p w14:paraId="7AD5B4A7">
      <w:pPr>
        <w:pStyle w:val="2"/>
        <w:bidi/>
        <w:rPr>
          <w:rFonts w:hint="cs"/>
          <w:rtl/>
          <w:lang w:val="en-US"/>
        </w:rPr>
      </w:pPr>
      <w:bookmarkStart w:id="0" w:name="_Toc29018"/>
      <w:r>
        <w:rPr>
          <w:rFonts w:hint="default"/>
          <w:rtl/>
        </w:rPr>
        <w:t>فهرس المحتو</w:t>
      </w:r>
      <w:r>
        <w:rPr>
          <w:rFonts w:hint="cs"/>
          <w:rtl/>
        </w:rPr>
        <w:t>يات</w:t>
      </w:r>
      <w:bookmarkEnd w:id="0"/>
    </w:p>
    <w:sdt>
      <w:sdtPr>
        <w:rPr>
          <w:rFonts w:ascii="SimSun" w:hAnsi="SimSun" w:eastAsia="SimSun" w:cs="Simplified Arabic"/>
          <w:kern w:val="0"/>
          <w:sz w:val="21"/>
          <w:szCs w:val="28"/>
          <w:rtl/>
          <w:cs/>
          <w:lang w:val="en-US" w:eastAsia="en-US" w:bidi="ar-SA"/>
          <w14:ligatures w14:val="none"/>
        </w:rPr>
        <w:id w:val="147469212"/>
        <w15:color w:val="DBDBDB"/>
        <w:docPartObj>
          <w:docPartGallery w:val="Table of Contents"/>
          <w:docPartUnique/>
        </w:docPartObj>
      </w:sdtPr>
      <w:sdtEndPr>
        <w:rPr>
          <w:rFonts w:hint="default" w:ascii="Simplified Arabic" w:hAnsi="Simplified Arabic" w:eastAsia="Calibri" w:cs="Simplified Arabic"/>
          <w:kern w:val="0"/>
          <w:sz w:val="24"/>
          <w:szCs w:val="28"/>
          <w:u w:val="single"/>
          <w:rtl/>
          <w:cs/>
          <w:lang w:val="en-US" w:eastAsia="en-US" w:bidi="ar-EG"/>
          <w14:ligatures w14:val="none"/>
        </w:rPr>
      </w:sdtEndPr>
      <w:sdtContent>
        <w:p w14:paraId="26DC1312">
          <w:pPr>
            <w:spacing w:before="0" w:beforeLines="0" w:after="0" w:afterLines="0" w:line="240" w:lineRule="auto"/>
            <w:ind w:left="0" w:leftChars="0" w:right="0" w:rightChars="0" w:firstLine="0" w:firstLineChars="0"/>
            <w:jc w:val="center"/>
          </w:pPr>
        </w:p>
        <w:p w14:paraId="406BAA77">
          <w:pPr>
            <w:pStyle w:val="19"/>
            <w:tabs>
              <w:tab w:val="right" w:leader="dot" w:pos="9638"/>
            </w:tabs>
          </w:pPr>
          <w:r>
            <w:rPr>
              <w:rFonts w:hint="default" w:ascii="Simplified Arabic" w:hAnsi="Simplified Arabic" w:cs="Simplified Arabic"/>
              <w:sz w:val="28"/>
              <w:szCs w:val="28"/>
              <w:u w:val="single"/>
              <w:lang w:bidi="ar-EG"/>
            </w:rPr>
            <w:fldChar w:fldCharType="begin"/>
          </w:r>
          <w:r>
            <w:rPr>
              <w:rFonts w:hint="default" w:ascii="Simplified Arabic" w:hAnsi="Simplified Arabic" w:cs="Simplified Arabic"/>
              <w:sz w:val="28"/>
              <w:szCs w:val="28"/>
              <w:u w:val="single"/>
              <w:lang w:bidi="ar-EG"/>
            </w:rPr>
            <w:instrText xml:space="preserve">TOC \o "1-3" \h \u </w:instrText>
          </w:r>
          <w:r>
            <w:rPr>
              <w:rFonts w:hint="default" w:ascii="Simplified Arabic" w:hAnsi="Simplified Arabic" w:cs="Simplified Arabic"/>
              <w:sz w:val="28"/>
              <w:szCs w:val="28"/>
              <w:u w:val="single"/>
              <w:lang w:bidi="ar-EG"/>
            </w:rPr>
            <w:fldChar w:fldCharType="separate"/>
          </w: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_Toc29018 </w:instrText>
          </w:r>
          <w:r>
            <w:rPr>
              <w:rFonts w:hint="default" w:ascii="Simplified Arabic" w:hAnsi="Simplified Arabic" w:cs="Simplified Arabic"/>
              <w:szCs w:val="28"/>
              <w:lang w:bidi="ar-EG"/>
            </w:rPr>
            <w:fldChar w:fldCharType="separate"/>
          </w:r>
          <w:r>
            <w:rPr>
              <w:rFonts w:hint="default"/>
              <w:rtl/>
            </w:rPr>
            <w:t>فهرس المحتو</w:t>
          </w:r>
          <w:r>
            <w:rPr>
              <w:rFonts w:hint="cs"/>
              <w:rtl/>
            </w:rPr>
            <w:t>يات</w:t>
          </w:r>
          <w:r>
            <w:tab/>
          </w:r>
          <w:r>
            <w:fldChar w:fldCharType="begin"/>
          </w:r>
          <w:r>
            <w:instrText xml:space="preserve"> PAGEREF _Toc29018 \h </w:instrText>
          </w:r>
          <w:r>
            <w:fldChar w:fldCharType="separate"/>
          </w:r>
          <w:r>
            <w:t>2</w:t>
          </w:r>
          <w:r>
            <w:fldChar w:fldCharType="end"/>
          </w:r>
          <w:r>
            <w:rPr>
              <w:rFonts w:hint="default" w:ascii="Simplified Arabic" w:hAnsi="Simplified Arabic" w:cs="Simplified Arabic"/>
              <w:szCs w:val="28"/>
              <w:u w:val="single"/>
              <w:lang w:bidi="ar-EG"/>
            </w:rPr>
            <w:fldChar w:fldCharType="end"/>
          </w:r>
        </w:p>
        <w:p w14:paraId="52C1E21C">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_Toc25871 </w:instrText>
          </w:r>
          <w:r>
            <w:rPr>
              <w:rFonts w:hint="default" w:ascii="Simplified Arabic" w:hAnsi="Simplified Arabic" w:cs="Simplified Arabic"/>
              <w:szCs w:val="28"/>
              <w:lang w:bidi="ar-EG"/>
            </w:rPr>
            <w:fldChar w:fldCharType="separate"/>
          </w:r>
          <w:r>
            <w:rPr>
              <w:rFonts w:hint="default"/>
              <w:rtl/>
            </w:rPr>
            <w:t>قائمة الجداول</w:t>
          </w:r>
          <w:r>
            <w:tab/>
          </w:r>
          <w:r>
            <w:fldChar w:fldCharType="begin"/>
          </w:r>
          <w:r>
            <w:instrText xml:space="preserve"> PAGEREF _Toc25871 \h </w:instrText>
          </w:r>
          <w:r>
            <w:fldChar w:fldCharType="separate"/>
          </w:r>
          <w:r>
            <w:t>6</w:t>
          </w:r>
          <w:r>
            <w:fldChar w:fldCharType="end"/>
          </w:r>
          <w:r>
            <w:rPr>
              <w:rFonts w:hint="default" w:ascii="Simplified Arabic" w:hAnsi="Simplified Arabic" w:cs="Simplified Arabic"/>
              <w:szCs w:val="28"/>
              <w:u w:val="single"/>
              <w:lang w:bidi="ar-EG"/>
            </w:rPr>
            <w:fldChar w:fldCharType="end"/>
          </w:r>
        </w:p>
        <w:p w14:paraId="554BE412">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_Toc7992 </w:instrText>
          </w:r>
          <w:r>
            <w:rPr>
              <w:rFonts w:hint="default" w:ascii="Simplified Arabic" w:hAnsi="Simplified Arabic" w:cs="Simplified Arabic"/>
              <w:szCs w:val="28"/>
              <w:lang w:bidi="ar-EG"/>
            </w:rPr>
            <w:fldChar w:fldCharType="separate"/>
          </w:r>
          <w:r>
            <w:rPr>
              <w:rFonts w:hint="default"/>
              <w:rtl/>
            </w:rPr>
            <w:t>فهرس الأشكال</w:t>
          </w:r>
          <w:r>
            <w:tab/>
          </w:r>
          <w:r>
            <w:fldChar w:fldCharType="begin"/>
          </w:r>
          <w:r>
            <w:instrText xml:space="preserve"> PAGEREF _Toc7992 \h </w:instrText>
          </w:r>
          <w:r>
            <w:fldChar w:fldCharType="separate"/>
          </w:r>
          <w:r>
            <w:t>7</w:t>
          </w:r>
          <w:r>
            <w:fldChar w:fldCharType="end"/>
          </w:r>
          <w:r>
            <w:rPr>
              <w:rFonts w:hint="default" w:ascii="Simplified Arabic" w:hAnsi="Simplified Arabic" w:cs="Simplified Arabic"/>
              <w:szCs w:val="28"/>
              <w:u w:val="single"/>
              <w:lang w:bidi="ar-EG"/>
            </w:rPr>
            <w:fldChar w:fldCharType="end"/>
          </w:r>
        </w:p>
        <w:p w14:paraId="25350C53">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_Toc28752 </w:instrText>
          </w:r>
          <w:r>
            <w:rPr>
              <w:rFonts w:hint="default" w:ascii="Simplified Arabic" w:hAnsi="Simplified Arabic" w:cs="Simplified Arabic"/>
              <w:szCs w:val="28"/>
              <w:lang w:bidi="ar-EG"/>
            </w:rPr>
            <w:fldChar w:fldCharType="separate"/>
          </w:r>
          <w:r>
            <w:rPr>
              <w:rFonts w:hint="default"/>
              <w:rtl/>
            </w:rPr>
            <w:t>المستخلص</w:t>
          </w:r>
          <w:r>
            <w:tab/>
          </w:r>
          <w:r>
            <w:fldChar w:fldCharType="begin"/>
          </w:r>
          <w:r>
            <w:instrText xml:space="preserve"> PAGEREF _Toc28752 \h </w:instrText>
          </w:r>
          <w:r>
            <w:fldChar w:fldCharType="separate"/>
          </w:r>
          <w:r>
            <w:t>8</w:t>
          </w:r>
          <w:r>
            <w:fldChar w:fldCharType="end"/>
          </w:r>
          <w:r>
            <w:rPr>
              <w:rFonts w:hint="default" w:ascii="Simplified Arabic" w:hAnsi="Simplified Arabic" w:cs="Simplified Arabic"/>
              <w:szCs w:val="28"/>
              <w:u w:val="single"/>
              <w:lang w:bidi="ar-EG"/>
            </w:rPr>
            <w:fldChar w:fldCharType="end"/>
          </w:r>
        </w:p>
        <w:p w14:paraId="42750673">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_Toc32763 </w:instrText>
          </w:r>
          <w:r>
            <w:rPr>
              <w:rFonts w:hint="default" w:ascii="Simplified Arabic" w:hAnsi="Simplified Arabic" w:cs="Simplified Arabic"/>
              <w:szCs w:val="28"/>
              <w:lang w:bidi="ar-EG"/>
            </w:rPr>
            <w:fldChar w:fldCharType="separate"/>
          </w:r>
          <w:r>
            <w:rPr>
              <w:rFonts w:hint="default"/>
              <w:rtl/>
            </w:rPr>
            <w:t>المقدمة</w:t>
          </w:r>
          <w:r>
            <w:tab/>
          </w:r>
          <w:r>
            <w:fldChar w:fldCharType="begin"/>
          </w:r>
          <w:r>
            <w:instrText xml:space="preserve"> PAGEREF _Toc32763 \h </w:instrText>
          </w:r>
          <w:r>
            <w:fldChar w:fldCharType="separate"/>
          </w:r>
          <w:r>
            <w:t>9</w:t>
          </w:r>
          <w:r>
            <w:fldChar w:fldCharType="end"/>
          </w:r>
          <w:r>
            <w:rPr>
              <w:rFonts w:hint="default" w:ascii="Simplified Arabic" w:hAnsi="Simplified Arabic" w:cs="Simplified Arabic"/>
              <w:szCs w:val="28"/>
              <w:u w:val="single"/>
              <w:lang w:bidi="ar-EG"/>
            </w:rPr>
            <w:fldChar w:fldCharType="end"/>
          </w:r>
        </w:p>
        <w:p w14:paraId="7AC45FA9">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_Toc789 </w:instrText>
          </w:r>
          <w:r>
            <w:rPr>
              <w:rFonts w:hint="default" w:ascii="Simplified Arabic" w:hAnsi="Simplified Arabic" w:cs="Simplified Arabic"/>
              <w:szCs w:val="28"/>
              <w:lang w:bidi="ar-EG"/>
            </w:rPr>
            <w:fldChar w:fldCharType="separate"/>
          </w:r>
          <w:r>
            <w:rPr>
              <w:rFonts w:hint="default"/>
              <w:rtl/>
            </w:rPr>
            <w:t>مشكلة الدراسة</w:t>
          </w:r>
          <w:r>
            <w:tab/>
          </w:r>
          <w:r>
            <w:fldChar w:fldCharType="begin"/>
          </w:r>
          <w:r>
            <w:instrText xml:space="preserve"> PAGEREF _Toc789 \h </w:instrText>
          </w:r>
          <w:r>
            <w:fldChar w:fldCharType="separate"/>
          </w:r>
          <w:r>
            <w:t>10</w:t>
          </w:r>
          <w:r>
            <w:fldChar w:fldCharType="end"/>
          </w:r>
          <w:r>
            <w:rPr>
              <w:rFonts w:hint="default" w:ascii="Simplified Arabic" w:hAnsi="Simplified Arabic" w:cs="Simplified Arabic"/>
              <w:szCs w:val="28"/>
              <w:u w:val="single"/>
              <w:lang w:bidi="ar-EG"/>
            </w:rPr>
            <w:fldChar w:fldCharType="end"/>
          </w:r>
        </w:p>
        <w:p w14:paraId="652DCCDB">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_Toc29353 </w:instrText>
          </w:r>
          <w:r>
            <w:rPr>
              <w:rFonts w:hint="default" w:ascii="Simplified Arabic" w:hAnsi="Simplified Arabic" w:cs="Simplified Arabic"/>
              <w:szCs w:val="28"/>
              <w:lang w:bidi="ar-EG"/>
            </w:rPr>
            <w:fldChar w:fldCharType="separate"/>
          </w:r>
          <w:r>
            <w:rPr>
              <w:rFonts w:hint="default"/>
              <w:rtl/>
            </w:rPr>
            <w:t>أهمية الدراسة</w:t>
          </w:r>
          <w:r>
            <w:tab/>
          </w:r>
          <w:r>
            <w:fldChar w:fldCharType="begin"/>
          </w:r>
          <w:r>
            <w:instrText xml:space="preserve"> PAGEREF _Toc29353 \h </w:instrText>
          </w:r>
          <w:r>
            <w:fldChar w:fldCharType="separate"/>
          </w:r>
          <w:r>
            <w:t>11</w:t>
          </w:r>
          <w:r>
            <w:fldChar w:fldCharType="end"/>
          </w:r>
          <w:r>
            <w:rPr>
              <w:rFonts w:hint="default" w:ascii="Simplified Arabic" w:hAnsi="Simplified Arabic" w:cs="Simplified Arabic"/>
              <w:szCs w:val="28"/>
              <w:u w:val="single"/>
              <w:lang w:bidi="ar-EG"/>
            </w:rPr>
            <w:fldChar w:fldCharType="end"/>
          </w:r>
        </w:p>
        <w:p w14:paraId="4BF0B234">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_Toc19382 </w:instrText>
          </w:r>
          <w:r>
            <w:rPr>
              <w:rFonts w:hint="default" w:ascii="Simplified Arabic" w:hAnsi="Simplified Arabic" w:cs="Simplified Arabic"/>
              <w:szCs w:val="28"/>
              <w:lang w:bidi="ar-EG"/>
            </w:rPr>
            <w:fldChar w:fldCharType="separate"/>
          </w:r>
          <w:r>
            <w:rPr>
              <w:rFonts w:hint="default"/>
              <w:rtl/>
              <w:cs/>
            </w:rPr>
            <w:t>أولاً</w:t>
          </w:r>
          <w:r>
            <w:rPr>
              <w:rFonts w:hint="default"/>
              <w:rtl/>
            </w:rPr>
            <w:t xml:space="preserve">: </w:t>
          </w:r>
          <w:r>
            <w:rPr>
              <w:rFonts w:hint="default"/>
              <w:rtl/>
              <w:cs/>
            </w:rPr>
            <w:t>الأهمية الاستراتيجية والاقتصادية</w:t>
          </w:r>
          <w:r>
            <w:tab/>
          </w:r>
          <w:r>
            <w:fldChar w:fldCharType="begin"/>
          </w:r>
          <w:r>
            <w:instrText xml:space="preserve"> PAGEREF _Toc19382 \h </w:instrText>
          </w:r>
          <w:r>
            <w:fldChar w:fldCharType="separate"/>
          </w:r>
          <w:r>
            <w:t>11</w:t>
          </w:r>
          <w:r>
            <w:fldChar w:fldCharType="end"/>
          </w:r>
          <w:r>
            <w:rPr>
              <w:rFonts w:hint="default" w:ascii="Simplified Arabic" w:hAnsi="Simplified Arabic" w:cs="Simplified Arabic"/>
              <w:szCs w:val="28"/>
              <w:u w:val="single"/>
              <w:lang w:bidi="ar-EG"/>
            </w:rPr>
            <w:fldChar w:fldCharType="end"/>
          </w:r>
        </w:p>
        <w:p w14:paraId="35272D2C">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_Toc20962 </w:instrText>
          </w:r>
          <w:r>
            <w:rPr>
              <w:rFonts w:hint="default" w:ascii="Simplified Arabic" w:hAnsi="Simplified Arabic" w:cs="Simplified Arabic"/>
              <w:szCs w:val="28"/>
              <w:lang w:bidi="ar-EG"/>
            </w:rPr>
            <w:fldChar w:fldCharType="separate"/>
          </w:r>
          <w:r>
            <w:rPr>
              <w:rFonts w:hint="default"/>
              <w:rtl/>
              <w:cs/>
            </w:rPr>
            <w:t>ثانياً</w:t>
          </w:r>
          <w:r>
            <w:rPr>
              <w:rFonts w:hint="default"/>
              <w:rtl/>
            </w:rPr>
            <w:t xml:space="preserve">: </w:t>
          </w:r>
          <w:r>
            <w:rPr>
              <w:rFonts w:hint="default"/>
              <w:rtl/>
              <w:cs/>
            </w:rPr>
            <w:t>الأهمية في البعد البيئي والتقني</w:t>
          </w:r>
          <w:r>
            <w:tab/>
          </w:r>
          <w:r>
            <w:fldChar w:fldCharType="begin"/>
          </w:r>
          <w:r>
            <w:instrText xml:space="preserve"> PAGEREF _Toc20962 \h </w:instrText>
          </w:r>
          <w:r>
            <w:fldChar w:fldCharType="separate"/>
          </w:r>
          <w:r>
            <w:t>11</w:t>
          </w:r>
          <w:r>
            <w:fldChar w:fldCharType="end"/>
          </w:r>
          <w:r>
            <w:rPr>
              <w:rFonts w:hint="default" w:ascii="Simplified Arabic" w:hAnsi="Simplified Arabic" w:cs="Simplified Arabic"/>
              <w:szCs w:val="28"/>
              <w:u w:val="single"/>
              <w:lang w:bidi="ar-EG"/>
            </w:rPr>
            <w:fldChar w:fldCharType="end"/>
          </w:r>
        </w:p>
        <w:p w14:paraId="0248B1A1">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_Toc12636 </w:instrText>
          </w:r>
          <w:r>
            <w:rPr>
              <w:rFonts w:hint="default" w:ascii="Simplified Arabic" w:hAnsi="Simplified Arabic" w:cs="Simplified Arabic"/>
              <w:szCs w:val="28"/>
              <w:lang w:bidi="ar-EG"/>
            </w:rPr>
            <w:fldChar w:fldCharType="separate"/>
          </w:r>
          <w:r>
            <w:rPr>
              <w:rFonts w:hint="default"/>
              <w:rtl/>
              <w:cs/>
            </w:rPr>
            <w:t>ثالثاً</w:t>
          </w:r>
          <w:r>
            <w:rPr>
              <w:rFonts w:hint="default"/>
              <w:rtl/>
            </w:rPr>
            <w:t xml:space="preserve">: </w:t>
          </w:r>
          <w:r>
            <w:rPr>
              <w:rFonts w:hint="default"/>
              <w:rtl/>
              <w:cs/>
            </w:rPr>
            <w:t xml:space="preserve">الأهمية في البعد الاجتماعي </w:t>
          </w:r>
          <w:r>
            <w:rPr>
              <w:rFonts w:hint="default"/>
              <w:rtl/>
            </w:rPr>
            <w:t>(</w:t>
          </w:r>
          <w:r>
            <w:rPr>
              <w:rFonts w:hint="default"/>
              <w:rtl/>
              <w:cs/>
            </w:rPr>
            <w:t>رأس المال البشري</w:t>
          </w:r>
          <w:r>
            <w:rPr>
              <w:rFonts w:hint="default"/>
              <w:rtl/>
            </w:rPr>
            <w:t>)</w:t>
          </w:r>
          <w:r>
            <w:tab/>
          </w:r>
          <w:r>
            <w:fldChar w:fldCharType="begin"/>
          </w:r>
          <w:r>
            <w:instrText xml:space="preserve"> PAGEREF _Toc12636 \h </w:instrText>
          </w:r>
          <w:r>
            <w:fldChar w:fldCharType="separate"/>
          </w:r>
          <w:r>
            <w:t>12</w:t>
          </w:r>
          <w:r>
            <w:fldChar w:fldCharType="end"/>
          </w:r>
          <w:r>
            <w:rPr>
              <w:rFonts w:hint="default" w:ascii="Simplified Arabic" w:hAnsi="Simplified Arabic" w:cs="Simplified Arabic"/>
              <w:szCs w:val="28"/>
              <w:u w:val="single"/>
              <w:lang w:bidi="ar-EG"/>
            </w:rPr>
            <w:fldChar w:fldCharType="end"/>
          </w:r>
        </w:p>
        <w:p w14:paraId="33628D2F">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_Toc2852 </w:instrText>
          </w:r>
          <w:r>
            <w:rPr>
              <w:rFonts w:hint="default" w:ascii="Simplified Arabic" w:hAnsi="Simplified Arabic" w:cs="Simplified Arabic"/>
              <w:szCs w:val="28"/>
              <w:lang w:bidi="ar-EG"/>
            </w:rPr>
            <w:fldChar w:fldCharType="separate"/>
          </w:r>
          <w:r>
            <w:rPr>
              <w:rFonts w:hint="cs" w:cs="Simplified Arabic"/>
              <w:rtl/>
              <w:lang w:bidi="ar-SA"/>
            </w:rPr>
            <w:t>أ</w:t>
          </w:r>
          <w:r>
            <w:rPr>
              <w:rFonts w:hint="default"/>
              <w:rtl/>
            </w:rPr>
            <w:t>هداف الدراسة</w:t>
          </w:r>
          <w:r>
            <w:tab/>
          </w:r>
          <w:r>
            <w:fldChar w:fldCharType="begin"/>
          </w:r>
          <w:r>
            <w:instrText xml:space="preserve"> PAGEREF _Toc2852 \h </w:instrText>
          </w:r>
          <w:r>
            <w:fldChar w:fldCharType="separate"/>
          </w:r>
          <w:r>
            <w:t>12</w:t>
          </w:r>
          <w:r>
            <w:fldChar w:fldCharType="end"/>
          </w:r>
          <w:r>
            <w:rPr>
              <w:rFonts w:hint="default" w:ascii="Simplified Arabic" w:hAnsi="Simplified Arabic" w:cs="Simplified Arabic"/>
              <w:szCs w:val="28"/>
              <w:u w:val="single"/>
              <w:lang w:bidi="ar-EG"/>
            </w:rPr>
            <w:fldChar w:fldCharType="end"/>
          </w:r>
        </w:p>
        <w:p w14:paraId="077B8E0C">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_Toc27287 </w:instrText>
          </w:r>
          <w:r>
            <w:rPr>
              <w:rFonts w:hint="default" w:ascii="Simplified Arabic" w:hAnsi="Simplified Arabic" w:cs="Simplified Arabic"/>
              <w:szCs w:val="28"/>
              <w:lang w:bidi="ar-EG"/>
            </w:rPr>
            <w:fldChar w:fldCharType="separate"/>
          </w:r>
          <w:r>
            <w:rPr>
              <w:rFonts w:hint="default"/>
              <w:rtl/>
              <w:lang w:val="en"/>
            </w:rPr>
            <w:t>الهدف الرئيس</w:t>
          </w:r>
          <w:r>
            <w:rPr>
              <w:rFonts w:hint="default"/>
            </w:rPr>
            <w:t>:</w:t>
          </w:r>
          <w:r>
            <w:tab/>
          </w:r>
          <w:r>
            <w:fldChar w:fldCharType="begin"/>
          </w:r>
          <w:r>
            <w:instrText xml:space="preserve"> PAGEREF _Toc27287 \h </w:instrText>
          </w:r>
          <w:r>
            <w:fldChar w:fldCharType="separate"/>
          </w:r>
          <w:r>
            <w:t>12</w:t>
          </w:r>
          <w:r>
            <w:fldChar w:fldCharType="end"/>
          </w:r>
          <w:r>
            <w:rPr>
              <w:rFonts w:hint="default" w:ascii="Simplified Arabic" w:hAnsi="Simplified Arabic" w:cs="Simplified Arabic"/>
              <w:szCs w:val="28"/>
              <w:u w:val="single"/>
              <w:lang w:bidi="ar-EG"/>
            </w:rPr>
            <w:fldChar w:fldCharType="end"/>
          </w:r>
        </w:p>
        <w:p w14:paraId="1A7312F7">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_Toc17803 </w:instrText>
          </w:r>
          <w:r>
            <w:rPr>
              <w:rFonts w:hint="default" w:ascii="Simplified Arabic" w:hAnsi="Simplified Arabic" w:cs="Simplified Arabic"/>
              <w:szCs w:val="28"/>
              <w:lang w:bidi="ar-EG"/>
            </w:rPr>
            <w:fldChar w:fldCharType="separate"/>
          </w:r>
          <w:r>
            <w:rPr>
              <w:rFonts w:hint="default"/>
              <w:rtl/>
            </w:rPr>
            <w:t>الأهداف الفرعية</w:t>
          </w:r>
          <w:r>
            <w:rPr>
              <w:rFonts w:hint="default"/>
            </w:rPr>
            <w:t>:</w:t>
          </w:r>
          <w:r>
            <w:tab/>
          </w:r>
          <w:r>
            <w:fldChar w:fldCharType="begin"/>
          </w:r>
          <w:r>
            <w:instrText xml:space="preserve"> PAGEREF _Toc17803 \h </w:instrText>
          </w:r>
          <w:r>
            <w:fldChar w:fldCharType="separate"/>
          </w:r>
          <w:r>
            <w:t>13</w:t>
          </w:r>
          <w:r>
            <w:fldChar w:fldCharType="end"/>
          </w:r>
          <w:r>
            <w:rPr>
              <w:rFonts w:hint="default" w:ascii="Simplified Arabic" w:hAnsi="Simplified Arabic" w:cs="Simplified Arabic"/>
              <w:szCs w:val="28"/>
              <w:u w:val="single"/>
              <w:lang w:bidi="ar-EG"/>
            </w:rPr>
            <w:fldChar w:fldCharType="end"/>
          </w:r>
        </w:p>
        <w:p w14:paraId="225B4320">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_Toc18876 </w:instrText>
          </w:r>
          <w:r>
            <w:rPr>
              <w:rFonts w:hint="default" w:ascii="Simplified Arabic" w:hAnsi="Simplified Arabic" w:cs="Simplified Arabic"/>
              <w:szCs w:val="28"/>
              <w:lang w:bidi="ar-EG"/>
            </w:rPr>
            <w:fldChar w:fldCharType="separate"/>
          </w:r>
          <w:r>
            <w:rPr>
              <w:rFonts w:hint="default"/>
              <w:rtl/>
            </w:rPr>
            <w:t>تساؤلات الدراسة</w:t>
          </w:r>
          <w:r>
            <w:tab/>
          </w:r>
          <w:r>
            <w:fldChar w:fldCharType="begin"/>
          </w:r>
          <w:r>
            <w:instrText xml:space="preserve"> PAGEREF _Toc18876 \h </w:instrText>
          </w:r>
          <w:r>
            <w:fldChar w:fldCharType="separate"/>
          </w:r>
          <w:r>
            <w:t>14</w:t>
          </w:r>
          <w:r>
            <w:fldChar w:fldCharType="end"/>
          </w:r>
          <w:r>
            <w:rPr>
              <w:rFonts w:hint="default" w:ascii="Simplified Arabic" w:hAnsi="Simplified Arabic" w:cs="Simplified Arabic"/>
              <w:szCs w:val="28"/>
              <w:u w:val="single"/>
              <w:lang w:bidi="ar-EG"/>
            </w:rPr>
            <w:fldChar w:fldCharType="end"/>
          </w:r>
        </w:p>
        <w:p w14:paraId="03E52942">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_Toc15150 </w:instrText>
          </w:r>
          <w:r>
            <w:rPr>
              <w:rFonts w:hint="default" w:ascii="Simplified Arabic" w:hAnsi="Simplified Arabic" w:cs="Simplified Arabic"/>
              <w:szCs w:val="28"/>
              <w:lang w:bidi="ar-EG"/>
            </w:rPr>
            <w:fldChar w:fldCharType="separate"/>
          </w:r>
          <w:r>
            <w:rPr>
              <w:rFonts w:hint="default"/>
              <w:rtl/>
              <w:lang w:val="en-US"/>
            </w:rPr>
            <w:t>أولاً: التساؤل الرئيس</w:t>
          </w:r>
          <w:r>
            <w:tab/>
          </w:r>
          <w:r>
            <w:fldChar w:fldCharType="begin"/>
          </w:r>
          <w:r>
            <w:instrText xml:space="preserve"> PAGEREF _Toc15150 \h </w:instrText>
          </w:r>
          <w:r>
            <w:fldChar w:fldCharType="separate"/>
          </w:r>
          <w:r>
            <w:t>14</w:t>
          </w:r>
          <w:r>
            <w:fldChar w:fldCharType="end"/>
          </w:r>
          <w:r>
            <w:rPr>
              <w:rFonts w:hint="default" w:ascii="Simplified Arabic" w:hAnsi="Simplified Arabic" w:cs="Simplified Arabic"/>
              <w:szCs w:val="28"/>
              <w:u w:val="single"/>
              <w:lang w:bidi="ar-EG"/>
            </w:rPr>
            <w:fldChar w:fldCharType="end"/>
          </w:r>
        </w:p>
        <w:p w14:paraId="35D18570">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_Toc30002 </w:instrText>
          </w:r>
          <w:r>
            <w:rPr>
              <w:rFonts w:hint="default" w:ascii="Simplified Arabic" w:hAnsi="Simplified Arabic" w:cs="Simplified Arabic"/>
              <w:szCs w:val="28"/>
              <w:lang w:bidi="ar-EG"/>
            </w:rPr>
            <w:fldChar w:fldCharType="separate"/>
          </w:r>
          <w:r>
            <w:rPr>
              <w:rFonts w:hint="default"/>
              <w:rtl/>
            </w:rPr>
            <w:t>ثانياً: التساؤلات الفرعية:</w:t>
          </w:r>
          <w:r>
            <w:tab/>
          </w:r>
          <w:r>
            <w:fldChar w:fldCharType="begin"/>
          </w:r>
          <w:r>
            <w:instrText xml:space="preserve"> PAGEREF _Toc30002 \h </w:instrText>
          </w:r>
          <w:r>
            <w:fldChar w:fldCharType="separate"/>
          </w:r>
          <w:r>
            <w:t>14</w:t>
          </w:r>
          <w:r>
            <w:fldChar w:fldCharType="end"/>
          </w:r>
          <w:r>
            <w:rPr>
              <w:rFonts w:hint="default" w:ascii="Simplified Arabic" w:hAnsi="Simplified Arabic" w:cs="Simplified Arabic"/>
              <w:szCs w:val="28"/>
              <w:u w:val="single"/>
              <w:lang w:bidi="ar-EG"/>
            </w:rPr>
            <w:fldChar w:fldCharType="end"/>
          </w:r>
        </w:p>
        <w:p w14:paraId="76CBF59B">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_Toc17097 </w:instrText>
          </w:r>
          <w:r>
            <w:rPr>
              <w:rFonts w:hint="default" w:ascii="Simplified Arabic" w:hAnsi="Simplified Arabic" w:cs="Simplified Arabic"/>
              <w:szCs w:val="28"/>
              <w:lang w:bidi="ar-EG"/>
            </w:rPr>
            <w:fldChar w:fldCharType="separate"/>
          </w:r>
          <w:r>
            <w:rPr>
              <w:rFonts w:hint="default"/>
            </w:rPr>
            <w:t xml:space="preserve">1- </w:t>
          </w:r>
          <w:r>
            <w:rPr>
              <w:rFonts w:hint="default"/>
              <w:rtl/>
            </w:rPr>
            <w:t>التساؤلات المرتبطة بالبعد البيئي:</w:t>
          </w:r>
          <w:r>
            <w:tab/>
          </w:r>
          <w:r>
            <w:fldChar w:fldCharType="begin"/>
          </w:r>
          <w:r>
            <w:instrText xml:space="preserve"> PAGEREF _Toc17097 \h </w:instrText>
          </w:r>
          <w:r>
            <w:fldChar w:fldCharType="separate"/>
          </w:r>
          <w:r>
            <w:t>14</w:t>
          </w:r>
          <w:r>
            <w:fldChar w:fldCharType="end"/>
          </w:r>
          <w:r>
            <w:rPr>
              <w:rFonts w:hint="default" w:ascii="Simplified Arabic" w:hAnsi="Simplified Arabic" w:cs="Simplified Arabic"/>
              <w:szCs w:val="28"/>
              <w:u w:val="single"/>
              <w:lang w:bidi="ar-EG"/>
            </w:rPr>
            <w:fldChar w:fldCharType="end"/>
          </w:r>
        </w:p>
        <w:p w14:paraId="3739AD5E">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_Toc13069 </w:instrText>
          </w:r>
          <w:r>
            <w:rPr>
              <w:rFonts w:hint="default" w:ascii="Simplified Arabic" w:hAnsi="Simplified Arabic" w:cs="Simplified Arabic"/>
              <w:szCs w:val="28"/>
              <w:lang w:bidi="ar-EG"/>
            </w:rPr>
            <w:fldChar w:fldCharType="separate"/>
          </w:r>
          <w:r>
            <w:rPr>
              <w:rFonts w:hint="default"/>
            </w:rPr>
            <w:t xml:space="preserve">2- </w:t>
          </w:r>
          <w:r>
            <w:rPr>
              <w:rFonts w:hint="default"/>
              <w:rtl/>
            </w:rPr>
            <w:t>لتساؤلات المرتبطة بالبعد الاقتصادي:</w:t>
          </w:r>
          <w:r>
            <w:tab/>
          </w:r>
          <w:r>
            <w:fldChar w:fldCharType="begin"/>
          </w:r>
          <w:r>
            <w:instrText xml:space="preserve"> PAGEREF _Toc13069 \h </w:instrText>
          </w:r>
          <w:r>
            <w:fldChar w:fldCharType="separate"/>
          </w:r>
          <w:r>
            <w:t>14</w:t>
          </w:r>
          <w:r>
            <w:fldChar w:fldCharType="end"/>
          </w:r>
          <w:r>
            <w:rPr>
              <w:rFonts w:hint="default" w:ascii="Simplified Arabic" w:hAnsi="Simplified Arabic" w:cs="Simplified Arabic"/>
              <w:szCs w:val="28"/>
              <w:u w:val="single"/>
              <w:lang w:bidi="ar-EG"/>
            </w:rPr>
            <w:fldChar w:fldCharType="end"/>
          </w:r>
        </w:p>
        <w:p w14:paraId="0DA1D066">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_Toc13142 </w:instrText>
          </w:r>
          <w:r>
            <w:rPr>
              <w:rFonts w:hint="default" w:ascii="Simplified Arabic" w:hAnsi="Simplified Arabic" w:cs="Simplified Arabic"/>
              <w:szCs w:val="28"/>
              <w:lang w:bidi="ar-EG"/>
            </w:rPr>
            <w:fldChar w:fldCharType="separate"/>
          </w:r>
          <w:r>
            <w:rPr>
              <w:rFonts w:hint="default"/>
              <w:rtl/>
            </w:rPr>
            <w:t>فروض الدراسة</w:t>
          </w:r>
          <w:r>
            <w:tab/>
          </w:r>
          <w:r>
            <w:fldChar w:fldCharType="begin"/>
          </w:r>
          <w:r>
            <w:instrText xml:space="preserve"> PAGEREF _Toc13142 \h </w:instrText>
          </w:r>
          <w:r>
            <w:fldChar w:fldCharType="separate"/>
          </w:r>
          <w:r>
            <w:t>15</w:t>
          </w:r>
          <w:r>
            <w:fldChar w:fldCharType="end"/>
          </w:r>
          <w:r>
            <w:rPr>
              <w:rFonts w:hint="default" w:ascii="Simplified Arabic" w:hAnsi="Simplified Arabic" w:cs="Simplified Arabic"/>
              <w:szCs w:val="28"/>
              <w:u w:val="single"/>
              <w:lang w:bidi="ar-EG"/>
            </w:rPr>
            <w:fldChar w:fldCharType="end"/>
          </w:r>
        </w:p>
        <w:p w14:paraId="7A1C5F58">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_Toc27310 </w:instrText>
          </w:r>
          <w:r>
            <w:rPr>
              <w:rFonts w:hint="default" w:ascii="Simplified Arabic" w:hAnsi="Simplified Arabic" w:cs="Simplified Arabic"/>
              <w:szCs w:val="28"/>
              <w:lang w:bidi="ar-EG"/>
            </w:rPr>
            <w:fldChar w:fldCharType="separate"/>
          </w:r>
          <w:r>
            <w:rPr>
              <w:rFonts w:hint="default"/>
              <w:rtl/>
              <w:lang w:val="en"/>
            </w:rPr>
            <w:t>أولا: المتغيرات الأساسية للدراسة</w:t>
          </w:r>
          <w:r>
            <w:tab/>
          </w:r>
          <w:r>
            <w:fldChar w:fldCharType="begin"/>
          </w:r>
          <w:r>
            <w:instrText xml:space="preserve"> PAGEREF _Toc27310 \h </w:instrText>
          </w:r>
          <w:r>
            <w:fldChar w:fldCharType="separate"/>
          </w:r>
          <w:r>
            <w:t>15</w:t>
          </w:r>
          <w:r>
            <w:fldChar w:fldCharType="end"/>
          </w:r>
          <w:r>
            <w:rPr>
              <w:rFonts w:hint="default" w:ascii="Simplified Arabic" w:hAnsi="Simplified Arabic" w:cs="Simplified Arabic"/>
              <w:szCs w:val="28"/>
              <w:u w:val="single"/>
              <w:lang w:bidi="ar-EG"/>
            </w:rPr>
            <w:fldChar w:fldCharType="end"/>
          </w:r>
        </w:p>
        <w:p w14:paraId="28D556F9">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_Toc22971 </w:instrText>
          </w:r>
          <w:r>
            <w:rPr>
              <w:rFonts w:hint="default" w:ascii="Simplified Arabic" w:hAnsi="Simplified Arabic" w:cs="Simplified Arabic"/>
              <w:szCs w:val="28"/>
              <w:lang w:bidi="ar-EG"/>
            </w:rPr>
            <w:fldChar w:fldCharType="separate"/>
          </w:r>
          <w:r>
            <w:rPr>
              <w:rFonts w:hint="default"/>
              <w:rtl/>
              <w:lang w:val="en"/>
            </w:rPr>
            <w:t>ثانيا: الفرضية الرئيسية</w:t>
          </w:r>
          <w:r>
            <w:tab/>
          </w:r>
          <w:r>
            <w:fldChar w:fldCharType="begin"/>
          </w:r>
          <w:r>
            <w:instrText xml:space="preserve"> PAGEREF _Toc22971 \h </w:instrText>
          </w:r>
          <w:r>
            <w:fldChar w:fldCharType="separate"/>
          </w:r>
          <w:r>
            <w:t>15</w:t>
          </w:r>
          <w:r>
            <w:fldChar w:fldCharType="end"/>
          </w:r>
          <w:r>
            <w:rPr>
              <w:rFonts w:hint="default" w:ascii="Simplified Arabic" w:hAnsi="Simplified Arabic" w:cs="Simplified Arabic"/>
              <w:szCs w:val="28"/>
              <w:u w:val="single"/>
              <w:lang w:bidi="ar-EG"/>
            </w:rPr>
            <w:fldChar w:fldCharType="end"/>
          </w:r>
        </w:p>
        <w:p w14:paraId="5C9D13B8">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_Toc21573 </w:instrText>
          </w:r>
          <w:r>
            <w:rPr>
              <w:rFonts w:hint="default" w:ascii="Simplified Arabic" w:hAnsi="Simplified Arabic" w:cs="Simplified Arabic"/>
              <w:szCs w:val="28"/>
              <w:lang w:bidi="ar-EG"/>
            </w:rPr>
            <w:fldChar w:fldCharType="separate"/>
          </w:r>
          <w:r>
            <w:rPr>
              <w:rFonts w:hint="default"/>
              <w:rtl/>
              <w:lang w:val="en"/>
            </w:rPr>
            <w:t>فرض العدم</w:t>
          </w:r>
          <w:r>
            <w:rPr>
              <w:rFonts w:hint="default"/>
            </w:rPr>
            <w:t xml:space="preserve"> (H0)</w:t>
          </w:r>
          <w:r>
            <w:tab/>
          </w:r>
          <w:r>
            <w:fldChar w:fldCharType="begin"/>
          </w:r>
          <w:r>
            <w:instrText xml:space="preserve"> PAGEREF _Toc21573 \h </w:instrText>
          </w:r>
          <w:r>
            <w:fldChar w:fldCharType="separate"/>
          </w:r>
          <w:r>
            <w:t>15</w:t>
          </w:r>
          <w:r>
            <w:fldChar w:fldCharType="end"/>
          </w:r>
          <w:r>
            <w:rPr>
              <w:rFonts w:hint="default" w:ascii="Simplified Arabic" w:hAnsi="Simplified Arabic" w:cs="Simplified Arabic"/>
              <w:szCs w:val="28"/>
              <w:u w:val="single"/>
              <w:lang w:bidi="ar-EG"/>
            </w:rPr>
            <w:fldChar w:fldCharType="end"/>
          </w:r>
        </w:p>
        <w:p w14:paraId="7A52A667">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_Toc14534 </w:instrText>
          </w:r>
          <w:r>
            <w:rPr>
              <w:rFonts w:hint="default" w:ascii="Simplified Arabic" w:hAnsi="Simplified Arabic" w:cs="Simplified Arabic"/>
              <w:szCs w:val="28"/>
              <w:lang w:bidi="ar-EG"/>
            </w:rPr>
            <w:fldChar w:fldCharType="separate"/>
          </w:r>
          <w:r>
            <w:rPr>
              <w:rFonts w:hint="default"/>
              <w:rtl/>
              <w:lang w:val="en"/>
            </w:rPr>
            <w:t>الفرض البديل</w:t>
          </w:r>
          <w:r>
            <w:rPr>
              <w:rFonts w:hint="default"/>
            </w:rPr>
            <w:t xml:space="preserve"> (H1)</w:t>
          </w:r>
          <w:r>
            <w:tab/>
          </w:r>
          <w:r>
            <w:fldChar w:fldCharType="begin"/>
          </w:r>
          <w:r>
            <w:instrText xml:space="preserve"> PAGEREF _Toc14534 \h </w:instrText>
          </w:r>
          <w:r>
            <w:fldChar w:fldCharType="separate"/>
          </w:r>
          <w:r>
            <w:t>15</w:t>
          </w:r>
          <w:r>
            <w:fldChar w:fldCharType="end"/>
          </w:r>
          <w:r>
            <w:rPr>
              <w:rFonts w:hint="default" w:ascii="Simplified Arabic" w:hAnsi="Simplified Arabic" w:cs="Simplified Arabic"/>
              <w:szCs w:val="28"/>
              <w:u w:val="single"/>
              <w:lang w:bidi="ar-EG"/>
            </w:rPr>
            <w:fldChar w:fldCharType="end"/>
          </w:r>
        </w:p>
        <w:p w14:paraId="4DC1DBCD">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_Toc19804 </w:instrText>
          </w:r>
          <w:r>
            <w:rPr>
              <w:rFonts w:hint="default" w:ascii="Simplified Arabic" w:hAnsi="Simplified Arabic" w:cs="Simplified Arabic"/>
              <w:szCs w:val="28"/>
              <w:lang w:bidi="ar-EG"/>
            </w:rPr>
            <w:fldChar w:fldCharType="separate"/>
          </w:r>
          <w:r>
            <w:rPr>
              <w:rFonts w:hint="default"/>
              <w:rtl/>
              <w:lang w:val="en"/>
            </w:rPr>
            <w:t>ثالثا: الفروض الفرعية</w:t>
          </w:r>
          <w:r>
            <w:tab/>
          </w:r>
          <w:r>
            <w:fldChar w:fldCharType="begin"/>
          </w:r>
          <w:r>
            <w:instrText xml:space="preserve"> PAGEREF _Toc19804 \h </w:instrText>
          </w:r>
          <w:r>
            <w:fldChar w:fldCharType="separate"/>
          </w:r>
          <w:r>
            <w:t>16</w:t>
          </w:r>
          <w:r>
            <w:fldChar w:fldCharType="end"/>
          </w:r>
          <w:r>
            <w:rPr>
              <w:rFonts w:hint="default" w:ascii="Simplified Arabic" w:hAnsi="Simplified Arabic" w:cs="Simplified Arabic"/>
              <w:szCs w:val="28"/>
              <w:u w:val="single"/>
              <w:lang w:bidi="ar-EG"/>
            </w:rPr>
            <w:fldChar w:fldCharType="end"/>
          </w:r>
        </w:p>
        <w:p w14:paraId="4A19D6FF">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_Toc19964 </w:instrText>
          </w:r>
          <w:r>
            <w:rPr>
              <w:rFonts w:hint="default" w:ascii="Simplified Arabic" w:hAnsi="Simplified Arabic" w:cs="Simplified Arabic"/>
              <w:szCs w:val="28"/>
              <w:lang w:bidi="ar-EG"/>
            </w:rPr>
            <w:fldChar w:fldCharType="separate"/>
          </w:r>
          <w:r>
            <w:rPr>
              <w:rFonts w:hint="default"/>
              <w:rtl/>
            </w:rPr>
            <w:t>الإطار</w:t>
          </w:r>
          <w:r>
            <w:rPr>
              <w:rFonts w:hint="default"/>
              <w:rtl/>
              <w:lang w:val="en-US"/>
            </w:rPr>
            <w:t xml:space="preserve"> النظري</w:t>
          </w:r>
          <w:r>
            <w:tab/>
          </w:r>
          <w:r>
            <w:fldChar w:fldCharType="begin"/>
          </w:r>
          <w:r>
            <w:instrText xml:space="preserve"> PAGEREF _Toc19964 \h </w:instrText>
          </w:r>
          <w:r>
            <w:fldChar w:fldCharType="separate"/>
          </w:r>
          <w:r>
            <w:t>16</w:t>
          </w:r>
          <w:r>
            <w:fldChar w:fldCharType="end"/>
          </w:r>
          <w:r>
            <w:rPr>
              <w:rFonts w:hint="default" w:ascii="Simplified Arabic" w:hAnsi="Simplified Arabic" w:cs="Simplified Arabic"/>
              <w:szCs w:val="28"/>
              <w:u w:val="single"/>
              <w:lang w:bidi="ar-EG"/>
            </w:rPr>
            <w:fldChar w:fldCharType="end"/>
          </w:r>
        </w:p>
        <w:p w14:paraId="2065E865">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_Toc17120 </w:instrText>
          </w:r>
          <w:r>
            <w:rPr>
              <w:rFonts w:hint="default" w:ascii="Simplified Arabic" w:hAnsi="Simplified Arabic" w:cs="Simplified Arabic"/>
              <w:szCs w:val="28"/>
              <w:lang w:bidi="ar-EG"/>
            </w:rPr>
            <w:fldChar w:fldCharType="separate"/>
          </w:r>
          <w:r>
            <w:rPr>
              <w:rFonts w:hint="default"/>
              <w:rtl/>
            </w:rPr>
            <w:t>مستخلص</w:t>
          </w:r>
          <w:r>
            <w:tab/>
          </w:r>
          <w:r>
            <w:fldChar w:fldCharType="begin"/>
          </w:r>
          <w:r>
            <w:instrText xml:space="preserve"> PAGEREF _Toc17120 \h </w:instrText>
          </w:r>
          <w:r>
            <w:fldChar w:fldCharType="separate"/>
          </w:r>
          <w:r>
            <w:t>16</w:t>
          </w:r>
          <w:r>
            <w:fldChar w:fldCharType="end"/>
          </w:r>
          <w:r>
            <w:rPr>
              <w:rFonts w:hint="default" w:ascii="Simplified Arabic" w:hAnsi="Simplified Arabic" w:cs="Simplified Arabic"/>
              <w:szCs w:val="28"/>
              <w:u w:val="single"/>
              <w:lang w:bidi="ar-EG"/>
            </w:rPr>
            <w:fldChar w:fldCharType="end"/>
          </w:r>
        </w:p>
        <w:p w14:paraId="6B2E591D">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_Toc10775 </w:instrText>
          </w:r>
          <w:r>
            <w:rPr>
              <w:rFonts w:hint="default" w:ascii="Simplified Arabic" w:hAnsi="Simplified Arabic" w:cs="Simplified Arabic"/>
              <w:szCs w:val="28"/>
              <w:lang w:bidi="ar-EG"/>
            </w:rPr>
            <w:fldChar w:fldCharType="separate"/>
          </w:r>
          <w:r>
            <w:rPr>
              <w:rFonts w:hint="default"/>
              <w:rtl/>
              <w:cs/>
            </w:rPr>
            <w:t>أولاً</w:t>
          </w:r>
          <w:r>
            <w:rPr>
              <w:rFonts w:hint="default"/>
              <w:cs w:val="0"/>
            </w:rPr>
            <w:t xml:space="preserve">: </w:t>
          </w:r>
          <w:r>
            <w:rPr>
              <w:rFonts w:hint="default"/>
              <w:rtl/>
              <w:cs w:val="0"/>
              <w:lang w:val="en-US"/>
            </w:rPr>
            <w:t xml:space="preserve"> المفاهيم</w:t>
          </w:r>
          <w:r>
            <w:tab/>
          </w:r>
          <w:r>
            <w:fldChar w:fldCharType="begin"/>
          </w:r>
          <w:r>
            <w:instrText xml:space="preserve"> PAGEREF _Toc10775 \h </w:instrText>
          </w:r>
          <w:r>
            <w:fldChar w:fldCharType="separate"/>
          </w:r>
          <w:r>
            <w:t>17</w:t>
          </w:r>
          <w:r>
            <w:fldChar w:fldCharType="end"/>
          </w:r>
          <w:r>
            <w:rPr>
              <w:rFonts w:hint="default" w:ascii="Simplified Arabic" w:hAnsi="Simplified Arabic" w:cs="Simplified Arabic"/>
              <w:szCs w:val="28"/>
              <w:u w:val="single"/>
              <w:lang w:bidi="ar-EG"/>
            </w:rPr>
            <w:fldChar w:fldCharType="end"/>
          </w:r>
        </w:p>
        <w:p w14:paraId="6597292A">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_Toc25661 </w:instrText>
          </w:r>
          <w:r>
            <w:rPr>
              <w:rFonts w:hint="default" w:ascii="Simplified Arabic" w:hAnsi="Simplified Arabic" w:cs="Simplified Arabic"/>
              <w:szCs w:val="28"/>
              <w:lang w:bidi="ar-EG"/>
            </w:rPr>
            <w:fldChar w:fldCharType="separate"/>
          </w:r>
          <w:r>
            <w:rPr>
              <w:rFonts w:hint="default"/>
              <w:rtl/>
              <w:cs/>
            </w:rPr>
            <w:t>مفهوم جودة الأعمال الإنشائية</w:t>
          </w:r>
          <w:r>
            <w:tab/>
          </w:r>
          <w:r>
            <w:fldChar w:fldCharType="begin"/>
          </w:r>
          <w:r>
            <w:instrText xml:space="preserve"> PAGEREF _Toc25661 \h </w:instrText>
          </w:r>
          <w:r>
            <w:fldChar w:fldCharType="separate"/>
          </w:r>
          <w:r>
            <w:t>17</w:t>
          </w:r>
          <w:r>
            <w:fldChar w:fldCharType="end"/>
          </w:r>
          <w:r>
            <w:rPr>
              <w:rFonts w:hint="default" w:ascii="Simplified Arabic" w:hAnsi="Simplified Arabic" w:cs="Simplified Arabic"/>
              <w:szCs w:val="28"/>
              <w:u w:val="single"/>
              <w:lang w:bidi="ar-EG"/>
            </w:rPr>
            <w:fldChar w:fldCharType="end"/>
          </w:r>
        </w:p>
        <w:p w14:paraId="01D38D1E">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_Toc25115 </w:instrText>
          </w:r>
          <w:r>
            <w:rPr>
              <w:rFonts w:hint="default" w:ascii="Simplified Arabic" w:hAnsi="Simplified Arabic" w:cs="Simplified Arabic"/>
              <w:szCs w:val="28"/>
              <w:lang w:bidi="ar-EG"/>
            </w:rPr>
            <w:fldChar w:fldCharType="separate"/>
          </w:r>
          <w:r>
            <w:rPr>
              <w:rFonts w:hint="default"/>
              <w:rtl/>
              <w:cs/>
            </w:rPr>
            <w:t>مفهوم الاستدامة التشغيلية</w:t>
          </w:r>
          <w:r>
            <w:tab/>
          </w:r>
          <w:r>
            <w:fldChar w:fldCharType="begin"/>
          </w:r>
          <w:r>
            <w:instrText xml:space="preserve"> PAGEREF _Toc25115 \h </w:instrText>
          </w:r>
          <w:r>
            <w:fldChar w:fldCharType="separate"/>
          </w:r>
          <w:r>
            <w:t>17</w:t>
          </w:r>
          <w:r>
            <w:fldChar w:fldCharType="end"/>
          </w:r>
          <w:r>
            <w:rPr>
              <w:rFonts w:hint="default" w:ascii="Simplified Arabic" w:hAnsi="Simplified Arabic" w:cs="Simplified Arabic"/>
              <w:szCs w:val="28"/>
              <w:u w:val="single"/>
              <w:lang w:bidi="ar-EG"/>
            </w:rPr>
            <w:fldChar w:fldCharType="end"/>
          </w:r>
        </w:p>
        <w:p w14:paraId="58B2D886">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_Toc12421 </w:instrText>
          </w:r>
          <w:r>
            <w:rPr>
              <w:rFonts w:hint="default" w:ascii="Simplified Arabic" w:hAnsi="Simplified Arabic" w:cs="Simplified Arabic"/>
              <w:szCs w:val="28"/>
              <w:lang w:bidi="ar-EG"/>
            </w:rPr>
            <w:fldChar w:fldCharType="separate"/>
          </w:r>
          <w:r>
            <w:rPr>
              <w:rFonts w:hint="default"/>
              <w:rtl/>
              <w:cs w:val="0"/>
            </w:rPr>
            <w:t>ثانيا</w:t>
          </w:r>
          <w:r>
            <w:rPr>
              <w:rFonts w:hint="default"/>
              <w:rtl/>
              <w:cs w:val="0"/>
              <w:lang w:val="en-US"/>
            </w:rPr>
            <w:t>: الأبعاد</w:t>
          </w:r>
          <w:r>
            <w:tab/>
          </w:r>
          <w:r>
            <w:fldChar w:fldCharType="begin"/>
          </w:r>
          <w:r>
            <w:instrText xml:space="preserve"> PAGEREF _Toc12421 \h </w:instrText>
          </w:r>
          <w:r>
            <w:fldChar w:fldCharType="separate"/>
          </w:r>
          <w:r>
            <w:t>18</w:t>
          </w:r>
          <w:r>
            <w:fldChar w:fldCharType="end"/>
          </w:r>
          <w:r>
            <w:rPr>
              <w:rFonts w:hint="default" w:ascii="Simplified Arabic" w:hAnsi="Simplified Arabic" w:cs="Simplified Arabic"/>
              <w:szCs w:val="28"/>
              <w:u w:val="single"/>
              <w:lang w:bidi="ar-EG"/>
            </w:rPr>
            <w:fldChar w:fldCharType="end"/>
          </w:r>
        </w:p>
        <w:p w14:paraId="6BE5E238">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_Toc18026 </w:instrText>
          </w:r>
          <w:r>
            <w:rPr>
              <w:rFonts w:hint="default" w:ascii="Simplified Arabic" w:hAnsi="Simplified Arabic" w:cs="Simplified Arabic"/>
              <w:szCs w:val="28"/>
              <w:lang w:bidi="ar-EG"/>
            </w:rPr>
            <w:fldChar w:fldCharType="separate"/>
          </w:r>
          <w:r>
            <w:rPr>
              <w:rFonts w:hint="default"/>
              <w:rtl/>
              <w:cs/>
            </w:rPr>
            <w:t>البعد البيئي للاستدامة التشغيلية</w:t>
          </w:r>
          <w:r>
            <w:tab/>
          </w:r>
          <w:r>
            <w:fldChar w:fldCharType="begin"/>
          </w:r>
          <w:r>
            <w:instrText xml:space="preserve"> PAGEREF _Toc18026 \h </w:instrText>
          </w:r>
          <w:r>
            <w:fldChar w:fldCharType="separate"/>
          </w:r>
          <w:r>
            <w:t>18</w:t>
          </w:r>
          <w:r>
            <w:fldChar w:fldCharType="end"/>
          </w:r>
          <w:r>
            <w:rPr>
              <w:rFonts w:hint="default" w:ascii="Simplified Arabic" w:hAnsi="Simplified Arabic" w:cs="Simplified Arabic"/>
              <w:szCs w:val="28"/>
              <w:u w:val="single"/>
              <w:lang w:bidi="ar-EG"/>
            </w:rPr>
            <w:fldChar w:fldCharType="end"/>
          </w:r>
        </w:p>
        <w:p w14:paraId="17D6AEBF">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_Toc13764 </w:instrText>
          </w:r>
          <w:r>
            <w:rPr>
              <w:rFonts w:hint="default" w:ascii="Simplified Arabic" w:hAnsi="Simplified Arabic" w:cs="Simplified Arabic"/>
              <w:szCs w:val="28"/>
              <w:lang w:bidi="ar-EG"/>
            </w:rPr>
            <w:fldChar w:fldCharType="separate"/>
          </w:r>
          <w:r>
            <w:rPr>
              <w:rFonts w:hint="default"/>
              <w:rtl/>
              <w:cs/>
            </w:rPr>
            <w:t>البعد الاقتصادي للاستدامة التشغيلية</w:t>
          </w:r>
          <w:r>
            <w:tab/>
          </w:r>
          <w:r>
            <w:fldChar w:fldCharType="begin"/>
          </w:r>
          <w:r>
            <w:instrText xml:space="preserve"> PAGEREF _Toc13764 \h </w:instrText>
          </w:r>
          <w:r>
            <w:fldChar w:fldCharType="separate"/>
          </w:r>
          <w:r>
            <w:t>19</w:t>
          </w:r>
          <w:r>
            <w:fldChar w:fldCharType="end"/>
          </w:r>
          <w:r>
            <w:rPr>
              <w:rFonts w:hint="default" w:ascii="Simplified Arabic" w:hAnsi="Simplified Arabic" w:cs="Simplified Arabic"/>
              <w:szCs w:val="28"/>
              <w:u w:val="single"/>
              <w:lang w:bidi="ar-EG"/>
            </w:rPr>
            <w:fldChar w:fldCharType="end"/>
          </w:r>
        </w:p>
        <w:p w14:paraId="3DF9C66F">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_Toc30539 </w:instrText>
          </w:r>
          <w:r>
            <w:rPr>
              <w:rFonts w:hint="default" w:ascii="Simplified Arabic" w:hAnsi="Simplified Arabic" w:cs="Simplified Arabic"/>
              <w:szCs w:val="28"/>
              <w:lang w:bidi="ar-EG"/>
            </w:rPr>
            <w:fldChar w:fldCharType="separate"/>
          </w:r>
          <w:r>
            <w:rPr>
              <w:rFonts w:hint="default"/>
              <w:rtl/>
              <w:cs/>
            </w:rPr>
            <w:t>البعد التقني للاستدامة التشغيلية</w:t>
          </w:r>
          <w:r>
            <w:tab/>
          </w:r>
          <w:r>
            <w:fldChar w:fldCharType="begin"/>
          </w:r>
          <w:r>
            <w:instrText xml:space="preserve"> PAGEREF _Toc30539 \h </w:instrText>
          </w:r>
          <w:r>
            <w:fldChar w:fldCharType="separate"/>
          </w:r>
          <w:r>
            <w:t>19</w:t>
          </w:r>
          <w:r>
            <w:fldChar w:fldCharType="end"/>
          </w:r>
          <w:r>
            <w:rPr>
              <w:rFonts w:hint="default" w:ascii="Simplified Arabic" w:hAnsi="Simplified Arabic" w:cs="Simplified Arabic"/>
              <w:szCs w:val="28"/>
              <w:u w:val="single"/>
              <w:lang w:bidi="ar-EG"/>
            </w:rPr>
            <w:fldChar w:fldCharType="end"/>
          </w:r>
        </w:p>
        <w:p w14:paraId="5751AA2C">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_Toc23526 </w:instrText>
          </w:r>
          <w:r>
            <w:rPr>
              <w:rFonts w:hint="default" w:ascii="Simplified Arabic" w:hAnsi="Simplified Arabic" w:cs="Simplified Arabic"/>
              <w:szCs w:val="28"/>
              <w:lang w:bidi="ar-EG"/>
            </w:rPr>
            <w:fldChar w:fldCharType="separate"/>
          </w:r>
          <w:r>
            <w:rPr>
              <w:rFonts w:hint="default"/>
              <w:rtl/>
              <w:cs/>
            </w:rPr>
            <w:t>البعد الاجتماعي للاستدامة التشغيلية</w:t>
          </w:r>
          <w:r>
            <w:tab/>
          </w:r>
          <w:r>
            <w:fldChar w:fldCharType="begin"/>
          </w:r>
          <w:r>
            <w:instrText xml:space="preserve"> PAGEREF _Toc23526 \h </w:instrText>
          </w:r>
          <w:r>
            <w:fldChar w:fldCharType="separate"/>
          </w:r>
          <w:r>
            <w:t>19</w:t>
          </w:r>
          <w:r>
            <w:fldChar w:fldCharType="end"/>
          </w:r>
          <w:r>
            <w:rPr>
              <w:rFonts w:hint="default" w:ascii="Simplified Arabic" w:hAnsi="Simplified Arabic" w:cs="Simplified Arabic"/>
              <w:szCs w:val="28"/>
              <w:u w:val="single"/>
              <w:lang w:bidi="ar-EG"/>
            </w:rPr>
            <w:fldChar w:fldCharType="end"/>
          </w:r>
        </w:p>
        <w:p w14:paraId="44AA3267">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_Toc27316 </w:instrText>
          </w:r>
          <w:r>
            <w:rPr>
              <w:rFonts w:hint="default" w:ascii="Simplified Arabic" w:hAnsi="Simplified Arabic" w:cs="Simplified Arabic"/>
              <w:szCs w:val="28"/>
              <w:lang w:bidi="ar-EG"/>
            </w:rPr>
            <w:fldChar w:fldCharType="separate"/>
          </w:r>
          <w:r>
            <w:rPr>
              <w:rFonts w:hint="default"/>
              <w:rtl/>
              <w:cs w:val="0"/>
            </w:rPr>
            <w:t>ثالثا</w:t>
          </w:r>
          <w:r>
            <w:rPr>
              <w:rFonts w:hint="default"/>
              <w:rtl/>
              <w:cs w:val="0"/>
              <w:lang w:val="en-US"/>
            </w:rPr>
            <w:t>: النظريات</w:t>
          </w:r>
          <w:r>
            <w:tab/>
          </w:r>
          <w:r>
            <w:fldChar w:fldCharType="begin"/>
          </w:r>
          <w:r>
            <w:instrText xml:space="preserve"> PAGEREF _Toc27316 \h </w:instrText>
          </w:r>
          <w:r>
            <w:fldChar w:fldCharType="separate"/>
          </w:r>
          <w:r>
            <w:t>20</w:t>
          </w:r>
          <w:r>
            <w:fldChar w:fldCharType="end"/>
          </w:r>
          <w:r>
            <w:rPr>
              <w:rFonts w:hint="default" w:ascii="Simplified Arabic" w:hAnsi="Simplified Arabic" w:cs="Simplified Arabic"/>
              <w:szCs w:val="28"/>
              <w:u w:val="single"/>
              <w:lang w:bidi="ar-EG"/>
            </w:rPr>
            <w:fldChar w:fldCharType="end"/>
          </w:r>
        </w:p>
        <w:p w14:paraId="56B811FB">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_Toc8156 </w:instrText>
          </w:r>
          <w:r>
            <w:rPr>
              <w:rFonts w:hint="default" w:ascii="Simplified Arabic" w:hAnsi="Simplified Arabic" w:cs="Simplified Arabic"/>
              <w:szCs w:val="28"/>
              <w:lang w:bidi="ar-EG"/>
            </w:rPr>
            <w:fldChar w:fldCharType="separate"/>
          </w:r>
          <w:r>
            <w:rPr>
              <w:rFonts w:hint="cs" w:cs="Simplified Arabic"/>
              <w:rtl/>
              <w:cs w:val="0"/>
              <w:lang w:bidi="ar-SA"/>
            </w:rPr>
            <w:t>ن</w:t>
          </w:r>
          <w:r>
            <w:rPr>
              <w:rFonts w:hint="default"/>
              <w:rtl/>
              <w:cs/>
            </w:rPr>
            <w:t>ظرية دورة حياة المشروع</w:t>
          </w:r>
          <w:r>
            <w:tab/>
          </w:r>
          <w:r>
            <w:fldChar w:fldCharType="begin"/>
          </w:r>
          <w:r>
            <w:instrText xml:space="preserve"> PAGEREF _Toc8156 \h </w:instrText>
          </w:r>
          <w:r>
            <w:fldChar w:fldCharType="separate"/>
          </w:r>
          <w:r>
            <w:t>20</w:t>
          </w:r>
          <w:r>
            <w:fldChar w:fldCharType="end"/>
          </w:r>
          <w:r>
            <w:rPr>
              <w:rFonts w:hint="default" w:ascii="Simplified Arabic" w:hAnsi="Simplified Arabic" w:cs="Simplified Arabic"/>
              <w:szCs w:val="28"/>
              <w:u w:val="single"/>
              <w:lang w:bidi="ar-EG"/>
            </w:rPr>
            <w:fldChar w:fldCharType="end"/>
          </w:r>
        </w:p>
        <w:p w14:paraId="41D7781C">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_Toc21851 </w:instrText>
          </w:r>
          <w:r>
            <w:rPr>
              <w:rFonts w:hint="default" w:ascii="Simplified Arabic" w:hAnsi="Simplified Arabic" w:cs="Simplified Arabic"/>
              <w:szCs w:val="28"/>
              <w:lang w:bidi="ar-EG"/>
            </w:rPr>
            <w:fldChar w:fldCharType="separate"/>
          </w:r>
          <w:r>
            <w:rPr>
              <w:rFonts w:hint="default"/>
              <w:rtl/>
              <w:cs w:val="0"/>
            </w:rPr>
            <w:t>نظرية إدارة الأصول</w:t>
          </w:r>
          <w:r>
            <w:tab/>
          </w:r>
          <w:r>
            <w:fldChar w:fldCharType="begin"/>
          </w:r>
          <w:r>
            <w:instrText xml:space="preserve"> PAGEREF _Toc21851 \h </w:instrText>
          </w:r>
          <w:r>
            <w:fldChar w:fldCharType="separate"/>
          </w:r>
          <w:r>
            <w:t>20</w:t>
          </w:r>
          <w:r>
            <w:fldChar w:fldCharType="end"/>
          </w:r>
          <w:r>
            <w:rPr>
              <w:rFonts w:hint="default" w:ascii="Simplified Arabic" w:hAnsi="Simplified Arabic" w:cs="Simplified Arabic"/>
              <w:szCs w:val="28"/>
              <w:u w:val="single"/>
              <w:lang w:bidi="ar-EG"/>
            </w:rPr>
            <w:fldChar w:fldCharType="end"/>
          </w:r>
        </w:p>
        <w:p w14:paraId="09D83582">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_Toc2280 </w:instrText>
          </w:r>
          <w:r>
            <w:rPr>
              <w:rFonts w:hint="default" w:ascii="Simplified Arabic" w:hAnsi="Simplified Arabic" w:cs="Simplified Arabic"/>
              <w:szCs w:val="28"/>
              <w:lang w:bidi="ar-EG"/>
            </w:rPr>
            <w:fldChar w:fldCharType="separate"/>
          </w:r>
          <w:r>
            <w:rPr>
              <w:rFonts w:hint="default"/>
              <w:rtl/>
              <w:cs w:val="0"/>
            </w:rPr>
            <w:t>نظرية إدارة المرافق</w:t>
          </w:r>
          <w:r>
            <w:tab/>
          </w:r>
          <w:r>
            <w:fldChar w:fldCharType="begin"/>
          </w:r>
          <w:r>
            <w:instrText xml:space="preserve"> PAGEREF _Toc2280 \h </w:instrText>
          </w:r>
          <w:r>
            <w:fldChar w:fldCharType="separate"/>
          </w:r>
          <w:r>
            <w:t>21</w:t>
          </w:r>
          <w:r>
            <w:fldChar w:fldCharType="end"/>
          </w:r>
          <w:r>
            <w:rPr>
              <w:rFonts w:hint="default" w:ascii="Simplified Arabic" w:hAnsi="Simplified Arabic" w:cs="Simplified Arabic"/>
              <w:szCs w:val="28"/>
              <w:u w:val="single"/>
              <w:lang w:bidi="ar-EG"/>
            </w:rPr>
            <w:fldChar w:fldCharType="end"/>
          </w:r>
        </w:p>
        <w:p w14:paraId="1531C2C2">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_Toc14681 </w:instrText>
          </w:r>
          <w:r>
            <w:rPr>
              <w:rFonts w:hint="default" w:ascii="Simplified Arabic" w:hAnsi="Simplified Arabic" w:cs="Simplified Arabic"/>
              <w:szCs w:val="28"/>
              <w:lang w:bidi="ar-EG"/>
            </w:rPr>
            <w:fldChar w:fldCharType="separate"/>
          </w:r>
          <w:r>
            <w:rPr>
              <w:rFonts w:hint="default"/>
              <w:rtl/>
            </w:rPr>
            <w:t>مقدمة</w:t>
          </w:r>
          <w:r>
            <w:rPr>
              <w:rFonts w:hint="cs" w:cs="Simplified Arabic"/>
              <w:rtl/>
              <w:lang w:val="en-US" w:bidi="ar-SA"/>
            </w:rPr>
            <w:t xml:space="preserve"> الفصل الثاني</w:t>
          </w:r>
          <w:r>
            <w:tab/>
          </w:r>
          <w:r>
            <w:fldChar w:fldCharType="begin"/>
          </w:r>
          <w:r>
            <w:instrText xml:space="preserve"> PAGEREF _Toc14681 \h </w:instrText>
          </w:r>
          <w:r>
            <w:fldChar w:fldCharType="separate"/>
          </w:r>
          <w:r>
            <w:t>22</w:t>
          </w:r>
          <w:r>
            <w:fldChar w:fldCharType="end"/>
          </w:r>
          <w:r>
            <w:rPr>
              <w:rFonts w:hint="default" w:ascii="Simplified Arabic" w:hAnsi="Simplified Arabic" w:cs="Simplified Arabic"/>
              <w:szCs w:val="28"/>
              <w:u w:val="single"/>
              <w:lang w:bidi="ar-EG"/>
            </w:rPr>
            <w:fldChar w:fldCharType="end"/>
          </w:r>
        </w:p>
        <w:p w14:paraId="6A922E08">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_Toc12589 </w:instrText>
          </w:r>
          <w:r>
            <w:rPr>
              <w:rFonts w:hint="default" w:ascii="Simplified Arabic" w:hAnsi="Simplified Arabic" w:cs="Simplified Arabic"/>
              <w:szCs w:val="28"/>
              <w:lang w:bidi="ar-EG"/>
            </w:rPr>
            <w:fldChar w:fldCharType="separate"/>
          </w:r>
          <w:r>
            <w:rPr>
              <w:rFonts w:hint="default"/>
              <w:rtl/>
            </w:rPr>
            <w:t>الدراسات السابقة</w:t>
          </w:r>
          <w:r>
            <w:tab/>
          </w:r>
          <w:r>
            <w:fldChar w:fldCharType="begin"/>
          </w:r>
          <w:r>
            <w:instrText xml:space="preserve"> PAGEREF _Toc12589 \h </w:instrText>
          </w:r>
          <w:r>
            <w:fldChar w:fldCharType="separate"/>
          </w:r>
          <w:r>
            <w:t>22</w:t>
          </w:r>
          <w:r>
            <w:fldChar w:fldCharType="end"/>
          </w:r>
          <w:r>
            <w:rPr>
              <w:rFonts w:hint="default" w:ascii="Simplified Arabic" w:hAnsi="Simplified Arabic" w:cs="Simplified Arabic"/>
              <w:szCs w:val="28"/>
              <w:u w:val="single"/>
              <w:lang w:bidi="ar-EG"/>
            </w:rPr>
            <w:fldChar w:fldCharType="end"/>
          </w:r>
        </w:p>
        <w:p w14:paraId="2E7DB61B">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_Toc12008 </w:instrText>
          </w:r>
          <w:r>
            <w:rPr>
              <w:rFonts w:hint="default" w:ascii="Simplified Arabic" w:hAnsi="Simplified Arabic" w:cs="Simplified Arabic"/>
              <w:szCs w:val="28"/>
              <w:lang w:bidi="ar-EG"/>
            </w:rPr>
            <w:fldChar w:fldCharType="separate"/>
          </w:r>
          <w:r>
            <w:rPr>
              <w:rFonts w:hint="default"/>
            </w:rPr>
            <w:t xml:space="preserve">1. </w:t>
          </w:r>
          <w:r>
            <w:rPr>
              <w:rFonts w:hint="default"/>
              <w:rtl/>
            </w:rPr>
            <w:t xml:space="preserve">دراسة </w:t>
          </w:r>
          <w:r>
            <w:rPr>
              <w:rFonts w:hint="default"/>
              <w:lang w:val="en-US"/>
            </w:rPr>
            <w:t>Naseem &amp; Abbas (2022)</w:t>
          </w:r>
          <w:r>
            <w:rPr>
              <w:rFonts w:hint="default"/>
              <w:rtl/>
              <w:lang w:val="en-US"/>
            </w:rPr>
            <w:t>:</w:t>
          </w:r>
          <w:r>
            <w:tab/>
          </w:r>
          <w:r>
            <w:fldChar w:fldCharType="begin"/>
          </w:r>
          <w:r>
            <w:instrText xml:space="preserve"> PAGEREF _Toc12008 \h </w:instrText>
          </w:r>
          <w:r>
            <w:fldChar w:fldCharType="separate"/>
          </w:r>
          <w:r>
            <w:t>22</w:t>
          </w:r>
          <w:r>
            <w:fldChar w:fldCharType="end"/>
          </w:r>
          <w:r>
            <w:rPr>
              <w:rFonts w:hint="default" w:ascii="Simplified Arabic" w:hAnsi="Simplified Arabic" w:cs="Simplified Arabic"/>
              <w:szCs w:val="28"/>
              <w:u w:val="single"/>
              <w:lang w:bidi="ar-EG"/>
            </w:rPr>
            <w:fldChar w:fldCharType="end"/>
          </w:r>
        </w:p>
        <w:p w14:paraId="1D03F2CB">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_Toc17412 </w:instrText>
          </w:r>
          <w:r>
            <w:rPr>
              <w:rFonts w:hint="default" w:ascii="Simplified Arabic" w:hAnsi="Simplified Arabic" w:cs="Simplified Arabic"/>
              <w:szCs w:val="28"/>
              <w:lang w:bidi="ar-EG"/>
            </w:rPr>
            <w:fldChar w:fldCharType="separate"/>
          </w:r>
          <w:r>
            <w:rPr>
              <w:rFonts w:hint="default" w:ascii="Simplified Arabic" w:hAnsi="Simplified Arabic" w:cs="Simplified Arabic"/>
              <w:bCs/>
              <w:rtl/>
            </w:rPr>
            <w:t xml:space="preserve">2. </w:t>
          </w:r>
          <w:r>
            <w:rPr>
              <w:rFonts w:hint="default"/>
              <w:rtl/>
            </w:rPr>
            <w:t xml:space="preserve">دراسة </w:t>
          </w:r>
          <w:r>
            <w:rPr>
              <w:rFonts w:hint="default"/>
            </w:rPr>
            <w:t>Alnsour et al. (2023)</w:t>
          </w:r>
          <w:r>
            <w:rPr>
              <w:rFonts w:hint="default"/>
              <w:rtl/>
            </w:rPr>
            <w:t>:</w:t>
          </w:r>
          <w:r>
            <w:tab/>
          </w:r>
          <w:r>
            <w:fldChar w:fldCharType="begin"/>
          </w:r>
          <w:r>
            <w:instrText xml:space="preserve"> PAGEREF _Toc17412 \h </w:instrText>
          </w:r>
          <w:r>
            <w:fldChar w:fldCharType="separate"/>
          </w:r>
          <w:r>
            <w:t>23</w:t>
          </w:r>
          <w:r>
            <w:fldChar w:fldCharType="end"/>
          </w:r>
          <w:r>
            <w:rPr>
              <w:rFonts w:hint="default" w:ascii="Simplified Arabic" w:hAnsi="Simplified Arabic" w:cs="Simplified Arabic"/>
              <w:szCs w:val="28"/>
              <w:u w:val="single"/>
              <w:lang w:bidi="ar-EG"/>
            </w:rPr>
            <w:fldChar w:fldCharType="end"/>
          </w:r>
        </w:p>
        <w:p w14:paraId="71CA9A31">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_Toc24573 </w:instrText>
          </w:r>
          <w:r>
            <w:rPr>
              <w:rFonts w:hint="default" w:ascii="Simplified Arabic" w:hAnsi="Simplified Arabic" w:cs="Simplified Arabic"/>
              <w:szCs w:val="28"/>
              <w:lang w:bidi="ar-EG"/>
            </w:rPr>
            <w:fldChar w:fldCharType="separate"/>
          </w:r>
          <w:r>
            <w:rPr>
              <w:rFonts w:hint="default"/>
              <w:rtl/>
            </w:rPr>
            <w:t xml:space="preserve">3. دراسة </w:t>
          </w:r>
          <w:r>
            <w:rPr>
              <w:rFonts w:hint="default"/>
            </w:rPr>
            <w:t>Beste (2023)</w:t>
          </w:r>
          <w:r>
            <w:rPr>
              <w:rFonts w:hint="default"/>
              <w:rtl/>
            </w:rPr>
            <w:t>:</w:t>
          </w:r>
          <w:r>
            <w:tab/>
          </w:r>
          <w:r>
            <w:fldChar w:fldCharType="begin"/>
          </w:r>
          <w:r>
            <w:instrText xml:space="preserve"> PAGEREF _Toc24573 \h </w:instrText>
          </w:r>
          <w:r>
            <w:fldChar w:fldCharType="separate"/>
          </w:r>
          <w:r>
            <w:t>24</w:t>
          </w:r>
          <w:r>
            <w:fldChar w:fldCharType="end"/>
          </w:r>
          <w:r>
            <w:rPr>
              <w:rFonts w:hint="default" w:ascii="Simplified Arabic" w:hAnsi="Simplified Arabic" w:cs="Simplified Arabic"/>
              <w:szCs w:val="28"/>
              <w:u w:val="single"/>
              <w:lang w:bidi="ar-EG"/>
            </w:rPr>
            <w:fldChar w:fldCharType="end"/>
          </w:r>
        </w:p>
        <w:p w14:paraId="3D1B7D1C">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_Toc10139 </w:instrText>
          </w:r>
          <w:r>
            <w:rPr>
              <w:rFonts w:hint="default" w:ascii="Simplified Arabic" w:hAnsi="Simplified Arabic" w:cs="Simplified Arabic"/>
              <w:szCs w:val="28"/>
              <w:lang w:bidi="ar-EG"/>
            </w:rPr>
            <w:fldChar w:fldCharType="separate"/>
          </w:r>
          <w:r>
            <w:rPr>
              <w:rFonts w:hint="default"/>
            </w:rPr>
            <w:t xml:space="preserve">4. </w:t>
          </w:r>
          <w:r>
            <w:rPr>
              <w:rFonts w:hint="default"/>
              <w:rtl/>
            </w:rPr>
            <w:t xml:space="preserve">دراسة </w:t>
          </w:r>
          <w:r>
            <w:rPr>
              <w:rFonts w:hint="default"/>
            </w:rPr>
            <w:t>Yang &amp; Yang (2025)</w:t>
          </w:r>
          <w:r>
            <w:rPr>
              <w:rFonts w:hint="default"/>
              <w:rtl/>
            </w:rPr>
            <w:t>:</w:t>
          </w:r>
          <w:r>
            <w:tab/>
          </w:r>
          <w:r>
            <w:fldChar w:fldCharType="begin"/>
          </w:r>
          <w:r>
            <w:instrText xml:space="preserve"> PAGEREF _Toc10139 \h </w:instrText>
          </w:r>
          <w:r>
            <w:fldChar w:fldCharType="separate"/>
          </w:r>
          <w:r>
            <w:t>25</w:t>
          </w:r>
          <w:r>
            <w:fldChar w:fldCharType="end"/>
          </w:r>
          <w:r>
            <w:rPr>
              <w:rFonts w:hint="default" w:ascii="Simplified Arabic" w:hAnsi="Simplified Arabic" w:cs="Simplified Arabic"/>
              <w:szCs w:val="28"/>
              <w:u w:val="single"/>
              <w:lang w:bidi="ar-EG"/>
            </w:rPr>
            <w:fldChar w:fldCharType="end"/>
          </w:r>
        </w:p>
        <w:p w14:paraId="43C45DC0">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_Toc13777 </w:instrText>
          </w:r>
          <w:r>
            <w:rPr>
              <w:rFonts w:hint="default" w:ascii="Simplified Arabic" w:hAnsi="Simplified Arabic" w:cs="Simplified Arabic"/>
              <w:szCs w:val="28"/>
              <w:lang w:bidi="ar-EG"/>
            </w:rPr>
            <w:fldChar w:fldCharType="separate"/>
          </w:r>
          <w:r>
            <w:rPr>
              <w:rFonts w:hint="default"/>
              <w:rtl/>
            </w:rPr>
            <w:t xml:space="preserve">5. دراسة </w:t>
          </w:r>
          <w:r>
            <w:rPr>
              <w:rFonts w:hint="default"/>
            </w:rPr>
            <w:t>Zhou &amp; Fong (2025)</w:t>
          </w:r>
          <w:r>
            <w:rPr>
              <w:rFonts w:hint="default"/>
              <w:rtl/>
            </w:rPr>
            <w:t xml:space="preserve"> :</w:t>
          </w:r>
          <w:r>
            <w:tab/>
          </w:r>
          <w:r>
            <w:fldChar w:fldCharType="begin"/>
          </w:r>
          <w:r>
            <w:instrText xml:space="preserve"> PAGEREF _Toc13777 \h </w:instrText>
          </w:r>
          <w:r>
            <w:fldChar w:fldCharType="separate"/>
          </w:r>
          <w:r>
            <w:t>25</w:t>
          </w:r>
          <w:r>
            <w:fldChar w:fldCharType="end"/>
          </w:r>
          <w:r>
            <w:rPr>
              <w:rFonts w:hint="default" w:ascii="Simplified Arabic" w:hAnsi="Simplified Arabic" w:cs="Simplified Arabic"/>
              <w:szCs w:val="28"/>
              <w:u w:val="single"/>
              <w:lang w:bidi="ar-EG"/>
            </w:rPr>
            <w:fldChar w:fldCharType="end"/>
          </w:r>
        </w:p>
        <w:p w14:paraId="0EC50F81">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_Toc29932 </w:instrText>
          </w:r>
          <w:r>
            <w:rPr>
              <w:rFonts w:hint="default" w:ascii="Simplified Arabic" w:hAnsi="Simplified Arabic" w:cs="Simplified Arabic"/>
              <w:szCs w:val="28"/>
              <w:lang w:bidi="ar-EG"/>
            </w:rPr>
            <w:fldChar w:fldCharType="separate"/>
          </w:r>
          <w:r>
            <w:rPr>
              <w:rFonts w:hint="default"/>
              <w:rtl/>
            </w:rPr>
            <w:t xml:space="preserve">6. دراسة </w:t>
          </w:r>
          <w:r>
            <w:rPr>
              <w:rFonts w:hint="default"/>
            </w:rPr>
            <w:t>Wang &amp; Jacqueline (2025)</w:t>
          </w:r>
          <w:r>
            <w:rPr>
              <w:rFonts w:hint="default"/>
              <w:rtl/>
            </w:rPr>
            <w:t>:</w:t>
          </w:r>
          <w:r>
            <w:tab/>
          </w:r>
          <w:r>
            <w:fldChar w:fldCharType="begin"/>
          </w:r>
          <w:r>
            <w:instrText xml:space="preserve"> PAGEREF _Toc29932 \h </w:instrText>
          </w:r>
          <w:r>
            <w:fldChar w:fldCharType="separate"/>
          </w:r>
          <w:r>
            <w:t>26</w:t>
          </w:r>
          <w:r>
            <w:fldChar w:fldCharType="end"/>
          </w:r>
          <w:r>
            <w:rPr>
              <w:rFonts w:hint="default" w:ascii="Simplified Arabic" w:hAnsi="Simplified Arabic" w:cs="Simplified Arabic"/>
              <w:szCs w:val="28"/>
              <w:u w:val="single"/>
              <w:lang w:bidi="ar-EG"/>
            </w:rPr>
            <w:fldChar w:fldCharType="end"/>
          </w:r>
        </w:p>
        <w:p w14:paraId="3639769F">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_Toc28566 </w:instrText>
          </w:r>
          <w:r>
            <w:rPr>
              <w:rFonts w:hint="default" w:ascii="Simplified Arabic" w:hAnsi="Simplified Arabic" w:cs="Simplified Arabic"/>
              <w:szCs w:val="28"/>
              <w:lang w:bidi="ar-EG"/>
            </w:rPr>
            <w:fldChar w:fldCharType="separate"/>
          </w:r>
          <w:r>
            <w:rPr>
              <w:rFonts w:hint="default"/>
              <w:rtl/>
            </w:rPr>
            <w:t xml:space="preserve">7. دراسة </w:t>
          </w:r>
          <w:r>
            <w:rPr>
              <w:rFonts w:hint="default"/>
            </w:rPr>
            <w:t>Mohaghegh et al</w:t>
          </w:r>
          <w:r>
            <w:rPr>
              <w:rFonts w:hint="default"/>
              <w:rtl/>
            </w:rPr>
            <w:t>. (2024):</w:t>
          </w:r>
          <w:r>
            <w:tab/>
          </w:r>
          <w:r>
            <w:fldChar w:fldCharType="begin"/>
          </w:r>
          <w:r>
            <w:instrText xml:space="preserve"> PAGEREF _Toc28566 \h </w:instrText>
          </w:r>
          <w:r>
            <w:fldChar w:fldCharType="separate"/>
          </w:r>
          <w:r>
            <w:t>27</w:t>
          </w:r>
          <w:r>
            <w:fldChar w:fldCharType="end"/>
          </w:r>
          <w:r>
            <w:rPr>
              <w:rFonts w:hint="default" w:ascii="Simplified Arabic" w:hAnsi="Simplified Arabic" w:cs="Simplified Arabic"/>
              <w:szCs w:val="28"/>
              <w:u w:val="single"/>
              <w:lang w:bidi="ar-EG"/>
            </w:rPr>
            <w:fldChar w:fldCharType="end"/>
          </w:r>
        </w:p>
        <w:p w14:paraId="48AFC7AE">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_Toc14352 </w:instrText>
          </w:r>
          <w:r>
            <w:rPr>
              <w:rFonts w:hint="default" w:ascii="Simplified Arabic" w:hAnsi="Simplified Arabic" w:cs="Simplified Arabic"/>
              <w:szCs w:val="28"/>
              <w:lang w:bidi="ar-EG"/>
            </w:rPr>
            <w:fldChar w:fldCharType="separate"/>
          </w:r>
          <w:r>
            <w:rPr>
              <w:rFonts w:hint="default"/>
              <w:rtl/>
            </w:rPr>
            <w:t xml:space="preserve">8. دراسة </w:t>
          </w:r>
          <w:r>
            <w:rPr>
              <w:rFonts w:hint="default"/>
            </w:rPr>
            <w:t>Jensen &amp; Chatzilazarou</w:t>
          </w:r>
          <w:r>
            <w:rPr>
              <w:rFonts w:hint="default"/>
              <w:rtl/>
            </w:rPr>
            <w:t xml:space="preserve"> (2017) :</w:t>
          </w:r>
          <w:r>
            <w:tab/>
          </w:r>
          <w:r>
            <w:fldChar w:fldCharType="begin"/>
          </w:r>
          <w:r>
            <w:instrText xml:space="preserve"> PAGEREF _Toc14352 \h </w:instrText>
          </w:r>
          <w:r>
            <w:fldChar w:fldCharType="separate"/>
          </w:r>
          <w:r>
            <w:t>27</w:t>
          </w:r>
          <w:r>
            <w:fldChar w:fldCharType="end"/>
          </w:r>
          <w:r>
            <w:rPr>
              <w:rFonts w:hint="default" w:ascii="Simplified Arabic" w:hAnsi="Simplified Arabic" w:cs="Simplified Arabic"/>
              <w:szCs w:val="28"/>
              <w:u w:val="single"/>
              <w:lang w:bidi="ar-EG"/>
            </w:rPr>
            <w:fldChar w:fldCharType="end"/>
          </w:r>
        </w:p>
        <w:p w14:paraId="37FA100F">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_Toc21483 </w:instrText>
          </w:r>
          <w:r>
            <w:rPr>
              <w:rFonts w:hint="default" w:ascii="Simplified Arabic" w:hAnsi="Simplified Arabic" w:cs="Simplified Arabic"/>
              <w:szCs w:val="28"/>
              <w:lang w:bidi="ar-EG"/>
            </w:rPr>
            <w:fldChar w:fldCharType="separate"/>
          </w:r>
          <w:r>
            <w:rPr>
              <w:rFonts w:hint="default"/>
            </w:rPr>
            <w:t xml:space="preserve">9. </w:t>
          </w:r>
          <w:r>
            <w:rPr>
              <w:rFonts w:hint="default"/>
              <w:rtl/>
            </w:rPr>
            <w:t xml:space="preserve">دراسة </w:t>
          </w:r>
          <w:r>
            <w:rPr>
              <w:rFonts w:hint="default"/>
            </w:rPr>
            <w:t>Kibert</w:t>
          </w:r>
          <w:r>
            <w:rPr>
              <w:rFonts w:hint="default"/>
              <w:rtl/>
            </w:rPr>
            <w:t xml:space="preserve"> (2016)</w:t>
          </w:r>
          <w:r>
            <w:tab/>
          </w:r>
          <w:r>
            <w:fldChar w:fldCharType="begin"/>
          </w:r>
          <w:r>
            <w:instrText xml:space="preserve"> PAGEREF _Toc21483 \h </w:instrText>
          </w:r>
          <w:r>
            <w:fldChar w:fldCharType="separate"/>
          </w:r>
          <w:r>
            <w:t>28</w:t>
          </w:r>
          <w:r>
            <w:fldChar w:fldCharType="end"/>
          </w:r>
          <w:r>
            <w:rPr>
              <w:rFonts w:hint="default" w:ascii="Simplified Arabic" w:hAnsi="Simplified Arabic" w:cs="Simplified Arabic"/>
              <w:szCs w:val="28"/>
              <w:u w:val="single"/>
              <w:lang w:bidi="ar-EG"/>
            </w:rPr>
            <w:fldChar w:fldCharType="end"/>
          </w:r>
        </w:p>
        <w:p w14:paraId="7A9183CC">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_Toc1138 </w:instrText>
          </w:r>
          <w:r>
            <w:rPr>
              <w:rFonts w:hint="default" w:ascii="Simplified Arabic" w:hAnsi="Simplified Arabic" w:cs="Simplified Arabic"/>
              <w:szCs w:val="28"/>
              <w:lang w:bidi="ar-EG"/>
            </w:rPr>
            <w:fldChar w:fldCharType="separate"/>
          </w:r>
          <w:r>
            <w:rPr>
              <w:rFonts w:hint="default"/>
              <w:rtl/>
            </w:rPr>
            <w:t xml:space="preserve">10. دراسة </w:t>
          </w:r>
          <w:r>
            <w:rPr>
              <w:rFonts w:hint="default"/>
            </w:rPr>
            <w:t>Aarseth et al</w:t>
          </w:r>
          <w:r>
            <w:rPr>
              <w:rFonts w:hint="default"/>
              <w:rtl/>
            </w:rPr>
            <w:t>. (2016)</w:t>
          </w:r>
          <w:r>
            <w:tab/>
          </w:r>
          <w:r>
            <w:fldChar w:fldCharType="begin"/>
          </w:r>
          <w:r>
            <w:instrText xml:space="preserve"> PAGEREF _Toc1138 \h </w:instrText>
          </w:r>
          <w:r>
            <w:fldChar w:fldCharType="separate"/>
          </w:r>
          <w:r>
            <w:t>29</w:t>
          </w:r>
          <w:r>
            <w:fldChar w:fldCharType="end"/>
          </w:r>
          <w:r>
            <w:rPr>
              <w:rFonts w:hint="default" w:ascii="Simplified Arabic" w:hAnsi="Simplified Arabic" w:cs="Simplified Arabic"/>
              <w:szCs w:val="28"/>
              <w:u w:val="single"/>
              <w:lang w:bidi="ar-EG"/>
            </w:rPr>
            <w:fldChar w:fldCharType="end"/>
          </w:r>
        </w:p>
        <w:p w14:paraId="0764216C">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_Toc31430 </w:instrText>
          </w:r>
          <w:r>
            <w:rPr>
              <w:rFonts w:hint="default" w:ascii="Simplified Arabic" w:hAnsi="Simplified Arabic" w:cs="Simplified Arabic"/>
              <w:szCs w:val="28"/>
              <w:lang w:bidi="ar-EG"/>
            </w:rPr>
            <w:fldChar w:fldCharType="separate"/>
          </w:r>
          <w:r>
            <w:rPr>
              <w:rFonts w:hint="default" w:ascii="Simplified Arabic" w:hAnsi="Simplified Arabic" w:cs="Simplified Arabic"/>
              <w:bCs w:val="0"/>
              <w:rtl/>
            </w:rPr>
            <w:t xml:space="preserve">11. </w:t>
          </w:r>
          <w:r>
            <w:rPr>
              <w:rFonts w:hint="default"/>
              <w:rtl/>
            </w:rPr>
            <w:t xml:space="preserve">دراسة </w:t>
          </w:r>
          <w:r>
            <w:rPr>
              <w:rFonts w:hint="default"/>
            </w:rPr>
            <w:t>Kiani Mavi et al</w:t>
          </w:r>
          <w:r>
            <w:rPr>
              <w:rFonts w:hint="default"/>
              <w:rtl/>
            </w:rPr>
            <w:t>. (2021)</w:t>
          </w:r>
          <w:r>
            <w:tab/>
          </w:r>
          <w:r>
            <w:fldChar w:fldCharType="begin"/>
          </w:r>
          <w:r>
            <w:instrText xml:space="preserve"> PAGEREF _Toc31430 \h </w:instrText>
          </w:r>
          <w:r>
            <w:fldChar w:fldCharType="separate"/>
          </w:r>
          <w:r>
            <w:t>30</w:t>
          </w:r>
          <w:r>
            <w:fldChar w:fldCharType="end"/>
          </w:r>
          <w:r>
            <w:rPr>
              <w:rFonts w:hint="default" w:ascii="Simplified Arabic" w:hAnsi="Simplified Arabic" w:cs="Simplified Arabic"/>
              <w:szCs w:val="28"/>
              <w:u w:val="single"/>
              <w:lang w:bidi="ar-EG"/>
            </w:rPr>
            <w:fldChar w:fldCharType="end"/>
          </w:r>
        </w:p>
        <w:p w14:paraId="7CD7C1F1">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_Toc892 </w:instrText>
          </w:r>
          <w:r>
            <w:rPr>
              <w:rFonts w:hint="default" w:ascii="Simplified Arabic" w:hAnsi="Simplified Arabic" w:cs="Simplified Arabic"/>
              <w:szCs w:val="28"/>
              <w:lang w:bidi="ar-EG"/>
            </w:rPr>
            <w:fldChar w:fldCharType="separate"/>
          </w:r>
          <w:r>
            <w:rPr>
              <w:rFonts w:hint="default" w:ascii="Simplified Arabic" w:hAnsi="Simplified Arabic" w:cs="Simplified Arabic"/>
              <w:bCs w:val="0"/>
            </w:rPr>
            <w:t xml:space="preserve">12. </w:t>
          </w:r>
          <w:r>
            <w:rPr>
              <w:rFonts w:hint="default"/>
              <w:rtl/>
            </w:rPr>
            <w:t>دراسة:</w:t>
          </w:r>
          <w:r>
            <w:rPr>
              <w:rFonts w:hint="default"/>
            </w:rPr>
            <w:t xml:space="preserve"> Istri et al</w:t>
          </w:r>
          <w:r>
            <w:rPr>
              <w:rFonts w:hint="default"/>
              <w:rtl/>
            </w:rPr>
            <w:t>. (2024):</w:t>
          </w:r>
          <w:r>
            <w:tab/>
          </w:r>
          <w:r>
            <w:fldChar w:fldCharType="begin"/>
          </w:r>
          <w:r>
            <w:instrText xml:space="preserve"> PAGEREF _Toc892 \h </w:instrText>
          </w:r>
          <w:r>
            <w:fldChar w:fldCharType="separate"/>
          </w:r>
          <w:r>
            <w:t>30</w:t>
          </w:r>
          <w:r>
            <w:fldChar w:fldCharType="end"/>
          </w:r>
          <w:r>
            <w:rPr>
              <w:rFonts w:hint="default" w:ascii="Simplified Arabic" w:hAnsi="Simplified Arabic" w:cs="Simplified Arabic"/>
              <w:szCs w:val="28"/>
              <w:u w:val="single"/>
              <w:lang w:bidi="ar-EG"/>
            </w:rPr>
            <w:fldChar w:fldCharType="end"/>
          </w:r>
        </w:p>
        <w:p w14:paraId="21B93044">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_Toc23542 </w:instrText>
          </w:r>
          <w:r>
            <w:rPr>
              <w:rFonts w:hint="default" w:ascii="Simplified Arabic" w:hAnsi="Simplified Arabic" w:cs="Simplified Arabic"/>
              <w:szCs w:val="28"/>
              <w:lang w:bidi="ar-EG"/>
            </w:rPr>
            <w:fldChar w:fldCharType="separate"/>
          </w:r>
          <w:r>
            <w:rPr>
              <w:rFonts w:hint="default"/>
              <w:lang w:val="en-US"/>
            </w:rPr>
            <w:t>13. Raouf &amp; Al-Ghamdi</w:t>
          </w:r>
          <w:r>
            <w:rPr>
              <w:rFonts w:hint="default"/>
              <w:rtl/>
              <w:lang w:val="en-US"/>
            </w:rPr>
            <w:t xml:space="preserve"> (2023).</w:t>
          </w:r>
          <w:r>
            <w:tab/>
          </w:r>
          <w:r>
            <w:fldChar w:fldCharType="begin"/>
          </w:r>
          <w:r>
            <w:instrText xml:space="preserve"> PAGEREF _Toc23542 \h </w:instrText>
          </w:r>
          <w:r>
            <w:fldChar w:fldCharType="separate"/>
          </w:r>
          <w:r>
            <w:t>31</w:t>
          </w:r>
          <w:r>
            <w:fldChar w:fldCharType="end"/>
          </w:r>
          <w:r>
            <w:rPr>
              <w:rFonts w:hint="default" w:ascii="Simplified Arabic" w:hAnsi="Simplified Arabic" w:cs="Simplified Arabic"/>
              <w:szCs w:val="28"/>
              <w:u w:val="single"/>
              <w:lang w:bidi="ar-EG"/>
            </w:rPr>
            <w:fldChar w:fldCharType="end"/>
          </w:r>
        </w:p>
        <w:p w14:paraId="0C233678">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_Toc6566 </w:instrText>
          </w:r>
          <w:r>
            <w:rPr>
              <w:rFonts w:hint="default" w:ascii="Simplified Arabic" w:hAnsi="Simplified Arabic" w:cs="Simplified Arabic"/>
              <w:szCs w:val="28"/>
              <w:lang w:bidi="ar-EG"/>
            </w:rPr>
            <w:fldChar w:fldCharType="separate"/>
          </w:r>
          <w:r>
            <w:rPr>
              <w:rFonts w:hint="cs"/>
              <w:rtl/>
              <w:lang w:val="en-US"/>
            </w:rPr>
            <w:t>الملخص</w:t>
          </w:r>
          <w:r>
            <w:tab/>
          </w:r>
          <w:r>
            <w:fldChar w:fldCharType="begin"/>
          </w:r>
          <w:r>
            <w:instrText xml:space="preserve"> PAGEREF _Toc6566 \h </w:instrText>
          </w:r>
          <w:r>
            <w:fldChar w:fldCharType="separate"/>
          </w:r>
          <w:r>
            <w:t>32</w:t>
          </w:r>
          <w:r>
            <w:fldChar w:fldCharType="end"/>
          </w:r>
          <w:r>
            <w:rPr>
              <w:rFonts w:hint="default" w:ascii="Simplified Arabic" w:hAnsi="Simplified Arabic" w:cs="Simplified Arabic"/>
              <w:szCs w:val="28"/>
              <w:u w:val="single"/>
              <w:lang w:bidi="ar-EG"/>
            </w:rPr>
            <w:fldChar w:fldCharType="end"/>
          </w:r>
        </w:p>
        <w:p w14:paraId="661BFE0A">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_Toc28265 </w:instrText>
          </w:r>
          <w:r>
            <w:rPr>
              <w:rFonts w:hint="default" w:ascii="Simplified Arabic" w:hAnsi="Simplified Arabic" w:cs="Simplified Arabic"/>
              <w:szCs w:val="28"/>
              <w:lang w:bidi="ar-EG"/>
            </w:rPr>
            <w:fldChar w:fldCharType="separate"/>
          </w:r>
          <w:r>
            <w:rPr>
              <w:rFonts w:hint="default"/>
              <w:rtl/>
            </w:rPr>
            <w:t>أولًا: الربط بين الدراسات السابقة</w:t>
          </w:r>
          <w:r>
            <w:tab/>
          </w:r>
          <w:r>
            <w:fldChar w:fldCharType="begin"/>
          </w:r>
          <w:r>
            <w:instrText xml:space="preserve"> PAGEREF _Toc28265 \h </w:instrText>
          </w:r>
          <w:r>
            <w:fldChar w:fldCharType="separate"/>
          </w:r>
          <w:r>
            <w:t>32</w:t>
          </w:r>
          <w:r>
            <w:fldChar w:fldCharType="end"/>
          </w:r>
          <w:r>
            <w:rPr>
              <w:rFonts w:hint="default" w:ascii="Simplified Arabic" w:hAnsi="Simplified Arabic" w:cs="Simplified Arabic"/>
              <w:szCs w:val="28"/>
              <w:u w:val="single"/>
              <w:lang w:bidi="ar-EG"/>
            </w:rPr>
            <w:fldChar w:fldCharType="end"/>
          </w:r>
        </w:p>
        <w:p w14:paraId="7C59E207">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_Toc23834 </w:instrText>
          </w:r>
          <w:r>
            <w:rPr>
              <w:rFonts w:hint="default" w:ascii="Simplified Arabic" w:hAnsi="Simplified Arabic" w:cs="Simplified Arabic"/>
              <w:szCs w:val="28"/>
              <w:lang w:bidi="ar-EG"/>
            </w:rPr>
            <w:fldChar w:fldCharType="separate"/>
          </w:r>
          <w:r>
            <w:rPr>
              <w:rFonts w:hint="default"/>
              <w:rtl/>
            </w:rPr>
            <w:t>ثانيا: الفجوة البحثية</w:t>
          </w:r>
          <w:r>
            <w:tab/>
          </w:r>
          <w:r>
            <w:fldChar w:fldCharType="begin"/>
          </w:r>
          <w:r>
            <w:instrText xml:space="preserve"> PAGEREF _Toc23834 \h </w:instrText>
          </w:r>
          <w:r>
            <w:fldChar w:fldCharType="separate"/>
          </w:r>
          <w:r>
            <w:t>33</w:t>
          </w:r>
          <w:r>
            <w:fldChar w:fldCharType="end"/>
          </w:r>
          <w:r>
            <w:rPr>
              <w:rFonts w:hint="default" w:ascii="Simplified Arabic" w:hAnsi="Simplified Arabic" w:cs="Simplified Arabic"/>
              <w:szCs w:val="28"/>
              <w:u w:val="single"/>
              <w:lang w:bidi="ar-EG"/>
            </w:rPr>
            <w:fldChar w:fldCharType="end"/>
          </w:r>
        </w:p>
        <w:p w14:paraId="6879A8FA">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_Toc18128 </w:instrText>
          </w:r>
          <w:r>
            <w:rPr>
              <w:rFonts w:hint="default" w:ascii="Simplified Arabic" w:hAnsi="Simplified Arabic" w:cs="Simplified Arabic"/>
              <w:szCs w:val="28"/>
              <w:lang w:bidi="ar-EG"/>
            </w:rPr>
            <w:fldChar w:fldCharType="separate"/>
          </w:r>
          <w:r>
            <w:rPr>
              <w:rFonts w:hint="default"/>
              <w:rtl/>
            </w:rPr>
            <w:t>مقدمة</w:t>
          </w:r>
          <w:r>
            <w:rPr>
              <w:rFonts w:hint="cs" w:cs="Simplified Arabic"/>
              <w:rtl/>
              <w:lang w:val="en-US" w:bidi="ar-SA"/>
            </w:rPr>
            <w:t xml:space="preserve"> الفصل الثالث</w:t>
          </w:r>
          <w:r>
            <w:tab/>
          </w:r>
          <w:r>
            <w:fldChar w:fldCharType="begin"/>
          </w:r>
          <w:r>
            <w:instrText xml:space="preserve"> PAGEREF _Toc18128 \h </w:instrText>
          </w:r>
          <w:r>
            <w:fldChar w:fldCharType="separate"/>
          </w:r>
          <w:r>
            <w:t>34</w:t>
          </w:r>
          <w:r>
            <w:fldChar w:fldCharType="end"/>
          </w:r>
          <w:r>
            <w:rPr>
              <w:rFonts w:hint="default" w:ascii="Simplified Arabic" w:hAnsi="Simplified Arabic" w:cs="Simplified Arabic"/>
              <w:szCs w:val="28"/>
              <w:u w:val="single"/>
              <w:lang w:bidi="ar-EG"/>
            </w:rPr>
            <w:fldChar w:fldCharType="end"/>
          </w:r>
        </w:p>
        <w:p w14:paraId="79DADC1D">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_Toc12863 </w:instrText>
          </w:r>
          <w:r>
            <w:rPr>
              <w:rFonts w:hint="default" w:ascii="Simplified Arabic" w:hAnsi="Simplified Arabic" w:cs="Simplified Arabic"/>
              <w:szCs w:val="28"/>
              <w:lang w:bidi="ar-EG"/>
            </w:rPr>
            <w:fldChar w:fldCharType="separate"/>
          </w:r>
          <w:r>
            <w:rPr>
              <w:rFonts w:hint="default"/>
              <w:rtl/>
              <w:lang w:val="en"/>
            </w:rPr>
            <w:t>أولاً: نوع المنهج</w:t>
          </w:r>
          <w:r>
            <w:tab/>
          </w:r>
          <w:r>
            <w:fldChar w:fldCharType="begin"/>
          </w:r>
          <w:r>
            <w:instrText xml:space="preserve"> PAGEREF _Toc12863 \h </w:instrText>
          </w:r>
          <w:r>
            <w:fldChar w:fldCharType="separate"/>
          </w:r>
          <w:r>
            <w:t>34</w:t>
          </w:r>
          <w:r>
            <w:fldChar w:fldCharType="end"/>
          </w:r>
          <w:r>
            <w:rPr>
              <w:rFonts w:hint="default" w:ascii="Simplified Arabic" w:hAnsi="Simplified Arabic" w:cs="Simplified Arabic"/>
              <w:szCs w:val="28"/>
              <w:u w:val="single"/>
              <w:lang w:bidi="ar-EG"/>
            </w:rPr>
            <w:fldChar w:fldCharType="end"/>
          </w:r>
        </w:p>
        <w:p w14:paraId="6E97DD41">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_Toc22634 </w:instrText>
          </w:r>
          <w:r>
            <w:rPr>
              <w:rFonts w:hint="default" w:ascii="Simplified Arabic" w:hAnsi="Simplified Arabic" w:cs="Simplified Arabic"/>
              <w:szCs w:val="28"/>
              <w:lang w:bidi="ar-EG"/>
            </w:rPr>
            <w:fldChar w:fldCharType="separate"/>
          </w:r>
          <w:r>
            <w:rPr>
              <w:rFonts w:hint="default"/>
              <w:rtl/>
              <w:cs/>
              <w:lang w:val="en"/>
            </w:rPr>
            <w:t>الجانب الوصفي:</w:t>
          </w:r>
          <w:r>
            <w:tab/>
          </w:r>
          <w:r>
            <w:fldChar w:fldCharType="begin"/>
          </w:r>
          <w:r>
            <w:instrText xml:space="preserve"> PAGEREF _Toc22634 \h </w:instrText>
          </w:r>
          <w:r>
            <w:fldChar w:fldCharType="separate"/>
          </w:r>
          <w:r>
            <w:t>34</w:t>
          </w:r>
          <w:r>
            <w:fldChar w:fldCharType="end"/>
          </w:r>
          <w:r>
            <w:rPr>
              <w:rFonts w:hint="default" w:ascii="Simplified Arabic" w:hAnsi="Simplified Arabic" w:cs="Simplified Arabic"/>
              <w:szCs w:val="28"/>
              <w:u w:val="single"/>
              <w:lang w:bidi="ar-EG"/>
            </w:rPr>
            <w:fldChar w:fldCharType="end"/>
          </w:r>
        </w:p>
        <w:p w14:paraId="5F9AABCB">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_Toc17908 </w:instrText>
          </w:r>
          <w:r>
            <w:rPr>
              <w:rFonts w:hint="default" w:ascii="Simplified Arabic" w:hAnsi="Simplified Arabic" w:cs="Simplified Arabic"/>
              <w:szCs w:val="28"/>
              <w:lang w:bidi="ar-EG"/>
            </w:rPr>
            <w:fldChar w:fldCharType="separate"/>
          </w:r>
          <w:r>
            <w:rPr>
              <w:rFonts w:hint="default"/>
              <w:rtl/>
              <w:cs/>
              <w:lang w:val="en"/>
            </w:rPr>
            <w:t>الجانب التحليلي:</w:t>
          </w:r>
          <w:r>
            <w:tab/>
          </w:r>
          <w:r>
            <w:fldChar w:fldCharType="begin"/>
          </w:r>
          <w:r>
            <w:instrText xml:space="preserve"> PAGEREF _Toc17908 \h </w:instrText>
          </w:r>
          <w:r>
            <w:fldChar w:fldCharType="separate"/>
          </w:r>
          <w:r>
            <w:t>34</w:t>
          </w:r>
          <w:r>
            <w:fldChar w:fldCharType="end"/>
          </w:r>
          <w:r>
            <w:rPr>
              <w:rFonts w:hint="default" w:ascii="Simplified Arabic" w:hAnsi="Simplified Arabic" w:cs="Simplified Arabic"/>
              <w:szCs w:val="28"/>
              <w:u w:val="single"/>
              <w:lang w:bidi="ar-EG"/>
            </w:rPr>
            <w:fldChar w:fldCharType="end"/>
          </w:r>
        </w:p>
        <w:p w14:paraId="10D39E6D">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_Toc20713 </w:instrText>
          </w:r>
          <w:r>
            <w:rPr>
              <w:rFonts w:hint="default" w:ascii="Simplified Arabic" w:hAnsi="Simplified Arabic" w:cs="Simplified Arabic"/>
              <w:szCs w:val="28"/>
              <w:lang w:bidi="ar-EG"/>
            </w:rPr>
            <w:fldChar w:fldCharType="separate"/>
          </w:r>
          <w:r>
            <w:rPr>
              <w:rFonts w:hint="default"/>
              <w:rtl/>
            </w:rPr>
            <w:t>ثانياً: مجتمع وعينة الدراسة</w:t>
          </w:r>
          <w:r>
            <w:tab/>
          </w:r>
          <w:r>
            <w:fldChar w:fldCharType="begin"/>
          </w:r>
          <w:r>
            <w:instrText xml:space="preserve"> PAGEREF _Toc20713 \h </w:instrText>
          </w:r>
          <w:r>
            <w:fldChar w:fldCharType="separate"/>
          </w:r>
          <w:r>
            <w:t>35</w:t>
          </w:r>
          <w:r>
            <w:fldChar w:fldCharType="end"/>
          </w:r>
          <w:r>
            <w:rPr>
              <w:rFonts w:hint="default" w:ascii="Simplified Arabic" w:hAnsi="Simplified Arabic" w:cs="Simplified Arabic"/>
              <w:szCs w:val="28"/>
              <w:u w:val="single"/>
              <w:lang w:bidi="ar-EG"/>
            </w:rPr>
            <w:fldChar w:fldCharType="end"/>
          </w:r>
        </w:p>
        <w:p w14:paraId="4396593B">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_Toc6717 </w:instrText>
          </w:r>
          <w:r>
            <w:rPr>
              <w:rFonts w:hint="default" w:ascii="Simplified Arabic" w:hAnsi="Simplified Arabic" w:cs="Simplified Arabic"/>
              <w:szCs w:val="28"/>
              <w:lang w:bidi="ar-EG"/>
            </w:rPr>
            <w:fldChar w:fldCharType="separate"/>
          </w:r>
          <w:r>
            <w:rPr>
              <w:rFonts w:hint="default"/>
              <w:rtl/>
              <w:cs/>
            </w:rPr>
            <w:t>مجتمع الدراسة</w:t>
          </w:r>
          <w:r>
            <w:tab/>
          </w:r>
          <w:r>
            <w:fldChar w:fldCharType="begin"/>
          </w:r>
          <w:r>
            <w:instrText xml:space="preserve"> PAGEREF _Toc6717 \h </w:instrText>
          </w:r>
          <w:r>
            <w:fldChar w:fldCharType="separate"/>
          </w:r>
          <w:r>
            <w:t>35</w:t>
          </w:r>
          <w:r>
            <w:fldChar w:fldCharType="end"/>
          </w:r>
          <w:r>
            <w:rPr>
              <w:rFonts w:hint="default" w:ascii="Simplified Arabic" w:hAnsi="Simplified Arabic" w:cs="Simplified Arabic"/>
              <w:szCs w:val="28"/>
              <w:u w:val="single"/>
              <w:lang w:bidi="ar-EG"/>
            </w:rPr>
            <w:fldChar w:fldCharType="end"/>
          </w:r>
        </w:p>
        <w:p w14:paraId="353B1440">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_Toc4314 </w:instrText>
          </w:r>
          <w:r>
            <w:rPr>
              <w:rFonts w:hint="default" w:ascii="Simplified Arabic" w:hAnsi="Simplified Arabic" w:cs="Simplified Arabic"/>
              <w:szCs w:val="28"/>
              <w:lang w:bidi="ar-EG"/>
            </w:rPr>
            <w:fldChar w:fldCharType="separate"/>
          </w:r>
          <w:r>
            <w:rPr>
              <w:rFonts w:hint="default"/>
              <w:rtl/>
              <w:cs/>
            </w:rPr>
            <w:t>عينة الدراسة</w:t>
          </w:r>
          <w:r>
            <w:tab/>
          </w:r>
          <w:r>
            <w:fldChar w:fldCharType="begin"/>
          </w:r>
          <w:r>
            <w:instrText xml:space="preserve"> PAGEREF _Toc4314 \h </w:instrText>
          </w:r>
          <w:r>
            <w:fldChar w:fldCharType="separate"/>
          </w:r>
          <w:r>
            <w:t>35</w:t>
          </w:r>
          <w:r>
            <w:fldChar w:fldCharType="end"/>
          </w:r>
          <w:r>
            <w:rPr>
              <w:rFonts w:hint="default" w:ascii="Simplified Arabic" w:hAnsi="Simplified Arabic" w:cs="Simplified Arabic"/>
              <w:szCs w:val="28"/>
              <w:u w:val="single"/>
              <w:lang w:bidi="ar-EG"/>
            </w:rPr>
            <w:fldChar w:fldCharType="end"/>
          </w:r>
        </w:p>
        <w:p w14:paraId="3AE4D82F">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_Toc16809 </w:instrText>
          </w:r>
          <w:r>
            <w:rPr>
              <w:rFonts w:hint="default" w:ascii="Simplified Arabic" w:hAnsi="Simplified Arabic" w:cs="Simplified Arabic"/>
              <w:szCs w:val="28"/>
              <w:lang w:bidi="ar-EG"/>
            </w:rPr>
            <w:fldChar w:fldCharType="separate"/>
          </w:r>
          <w:r>
            <w:rPr>
              <w:rFonts w:hint="default"/>
              <w:rtl/>
              <w:lang w:val="en"/>
            </w:rPr>
            <w:t>ثالثاً:</w:t>
          </w:r>
          <w:r>
            <w:rPr>
              <w:rFonts w:hint="cs" w:cs="Simplified Arabic"/>
              <w:rtl/>
              <w:lang w:val="en-US" w:bidi="ar-SA"/>
            </w:rPr>
            <w:t xml:space="preserve"> </w:t>
          </w:r>
          <w:r>
            <w:rPr>
              <w:rFonts w:hint="default"/>
              <w:rtl/>
              <w:lang w:val="en"/>
            </w:rPr>
            <w:t>طرق وأساليب التحليل الإحصائي</w:t>
          </w:r>
          <w:r>
            <w:tab/>
          </w:r>
          <w:r>
            <w:fldChar w:fldCharType="begin"/>
          </w:r>
          <w:r>
            <w:instrText xml:space="preserve"> PAGEREF _Toc16809 \h </w:instrText>
          </w:r>
          <w:r>
            <w:fldChar w:fldCharType="separate"/>
          </w:r>
          <w:r>
            <w:t>35</w:t>
          </w:r>
          <w:r>
            <w:fldChar w:fldCharType="end"/>
          </w:r>
          <w:r>
            <w:rPr>
              <w:rFonts w:hint="default" w:ascii="Simplified Arabic" w:hAnsi="Simplified Arabic" w:cs="Simplified Arabic"/>
              <w:szCs w:val="28"/>
              <w:u w:val="single"/>
              <w:lang w:bidi="ar-EG"/>
            </w:rPr>
            <w:fldChar w:fldCharType="end"/>
          </w:r>
        </w:p>
        <w:p w14:paraId="068E1D25">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_Toc3063 </w:instrText>
          </w:r>
          <w:r>
            <w:rPr>
              <w:rFonts w:hint="default" w:ascii="Simplified Arabic" w:hAnsi="Simplified Arabic" w:cs="Simplified Arabic"/>
              <w:szCs w:val="28"/>
              <w:lang w:bidi="ar-EG"/>
            </w:rPr>
            <w:fldChar w:fldCharType="separate"/>
          </w:r>
          <w:r>
            <w:rPr>
              <w:rFonts w:hint="cs" w:cs="Simplified Arabic"/>
              <w:rtl/>
              <w:lang w:val="en" w:bidi="ar-SA"/>
            </w:rPr>
            <w:t>رابعا</w:t>
          </w:r>
          <w:r>
            <w:rPr>
              <w:rFonts w:hint="cs" w:cs="Simplified Arabic"/>
              <w:rtl/>
              <w:lang w:val="en-US" w:bidi="ar-SA"/>
            </w:rPr>
            <w:t xml:space="preserve">: </w:t>
          </w:r>
          <w:r>
            <w:rPr>
              <w:rFonts w:hint="default"/>
              <w:rtl/>
              <w:lang w:val="en"/>
            </w:rPr>
            <w:t>أدوات الدراسة</w:t>
          </w:r>
          <w:r>
            <w:tab/>
          </w:r>
          <w:r>
            <w:fldChar w:fldCharType="begin"/>
          </w:r>
          <w:r>
            <w:instrText xml:space="preserve"> PAGEREF _Toc3063 \h </w:instrText>
          </w:r>
          <w:r>
            <w:fldChar w:fldCharType="separate"/>
          </w:r>
          <w:r>
            <w:t>35</w:t>
          </w:r>
          <w:r>
            <w:fldChar w:fldCharType="end"/>
          </w:r>
          <w:r>
            <w:rPr>
              <w:rFonts w:hint="default" w:ascii="Simplified Arabic" w:hAnsi="Simplified Arabic" w:cs="Simplified Arabic"/>
              <w:szCs w:val="28"/>
              <w:u w:val="single"/>
              <w:lang w:bidi="ar-EG"/>
            </w:rPr>
            <w:fldChar w:fldCharType="end"/>
          </w:r>
        </w:p>
        <w:p w14:paraId="37769ED7">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_Toc1740 </w:instrText>
          </w:r>
          <w:r>
            <w:rPr>
              <w:rFonts w:hint="default" w:ascii="Simplified Arabic" w:hAnsi="Simplified Arabic" w:cs="Simplified Arabic"/>
              <w:szCs w:val="28"/>
              <w:lang w:bidi="ar-EG"/>
            </w:rPr>
            <w:fldChar w:fldCharType="separate"/>
          </w:r>
          <w:r>
            <w:rPr>
              <w:rFonts w:hint="cs" w:cs="Simplified Arabic"/>
              <w:rtl/>
              <w:lang w:val="en" w:bidi="ar-SA"/>
            </w:rPr>
            <w:t>خامسا</w:t>
          </w:r>
          <w:r>
            <w:rPr>
              <w:rFonts w:hint="cs" w:cs="Simplified Arabic"/>
              <w:rtl/>
              <w:lang w:val="en-US" w:bidi="ar-SA"/>
            </w:rPr>
            <w:t xml:space="preserve">: </w:t>
          </w:r>
          <w:r>
            <w:rPr>
              <w:rFonts w:hint="default"/>
              <w:rtl/>
              <w:lang w:val="en"/>
            </w:rPr>
            <w:t>حدود الدراسة</w:t>
          </w:r>
          <w:r>
            <w:tab/>
          </w:r>
          <w:r>
            <w:fldChar w:fldCharType="begin"/>
          </w:r>
          <w:r>
            <w:instrText xml:space="preserve"> PAGEREF _Toc1740 \h </w:instrText>
          </w:r>
          <w:r>
            <w:fldChar w:fldCharType="separate"/>
          </w:r>
          <w:r>
            <w:t>36</w:t>
          </w:r>
          <w:r>
            <w:fldChar w:fldCharType="end"/>
          </w:r>
          <w:r>
            <w:rPr>
              <w:rFonts w:hint="default" w:ascii="Simplified Arabic" w:hAnsi="Simplified Arabic" w:cs="Simplified Arabic"/>
              <w:szCs w:val="28"/>
              <w:u w:val="single"/>
              <w:lang w:bidi="ar-EG"/>
            </w:rPr>
            <w:fldChar w:fldCharType="end"/>
          </w:r>
        </w:p>
        <w:p w14:paraId="6F2BB921">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_Toc31043 </w:instrText>
          </w:r>
          <w:r>
            <w:rPr>
              <w:rFonts w:hint="default" w:ascii="Simplified Arabic" w:hAnsi="Simplified Arabic" w:cs="Simplified Arabic"/>
              <w:szCs w:val="28"/>
              <w:lang w:bidi="ar-EG"/>
            </w:rPr>
            <w:fldChar w:fldCharType="separate"/>
          </w:r>
          <w:r>
            <w:rPr>
              <w:rFonts w:hint="default"/>
              <w:rtl/>
              <w:lang w:val="en-US"/>
            </w:rPr>
            <w:t xml:space="preserve">1. </w:t>
          </w:r>
          <w:r>
            <w:rPr>
              <w:rFonts w:hint="default"/>
              <w:rtl/>
              <w:lang w:val="en"/>
            </w:rPr>
            <w:t>الحدود الموضوعية</w:t>
          </w:r>
          <w:r>
            <w:tab/>
          </w:r>
          <w:r>
            <w:fldChar w:fldCharType="begin"/>
          </w:r>
          <w:r>
            <w:instrText xml:space="preserve"> PAGEREF _Toc31043 \h </w:instrText>
          </w:r>
          <w:r>
            <w:fldChar w:fldCharType="separate"/>
          </w:r>
          <w:r>
            <w:t>36</w:t>
          </w:r>
          <w:r>
            <w:fldChar w:fldCharType="end"/>
          </w:r>
          <w:r>
            <w:rPr>
              <w:rFonts w:hint="default" w:ascii="Simplified Arabic" w:hAnsi="Simplified Arabic" w:cs="Simplified Arabic"/>
              <w:szCs w:val="28"/>
              <w:u w:val="single"/>
              <w:lang w:bidi="ar-EG"/>
            </w:rPr>
            <w:fldChar w:fldCharType="end"/>
          </w:r>
        </w:p>
        <w:p w14:paraId="6AD66286">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_Toc26734 </w:instrText>
          </w:r>
          <w:r>
            <w:rPr>
              <w:rFonts w:hint="default" w:ascii="Simplified Arabic" w:hAnsi="Simplified Arabic" w:cs="Simplified Arabic"/>
              <w:szCs w:val="28"/>
              <w:lang w:bidi="ar-EG"/>
            </w:rPr>
            <w:fldChar w:fldCharType="separate"/>
          </w:r>
          <w:r>
            <w:rPr>
              <w:rFonts w:hint="default"/>
              <w:lang w:val="en"/>
            </w:rPr>
            <w:t xml:space="preserve">2. </w:t>
          </w:r>
          <w:r>
            <w:rPr>
              <w:rFonts w:hint="default"/>
              <w:rtl/>
              <w:lang w:val="en"/>
            </w:rPr>
            <w:t>الحدود المكانية</w:t>
          </w:r>
          <w:r>
            <w:tab/>
          </w:r>
          <w:r>
            <w:fldChar w:fldCharType="begin"/>
          </w:r>
          <w:r>
            <w:instrText xml:space="preserve"> PAGEREF _Toc26734 \h </w:instrText>
          </w:r>
          <w:r>
            <w:fldChar w:fldCharType="separate"/>
          </w:r>
          <w:r>
            <w:t>37</w:t>
          </w:r>
          <w:r>
            <w:fldChar w:fldCharType="end"/>
          </w:r>
          <w:r>
            <w:rPr>
              <w:rFonts w:hint="default" w:ascii="Simplified Arabic" w:hAnsi="Simplified Arabic" w:cs="Simplified Arabic"/>
              <w:szCs w:val="28"/>
              <w:u w:val="single"/>
              <w:lang w:bidi="ar-EG"/>
            </w:rPr>
            <w:fldChar w:fldCharType="end"/>
          </w:r>
        </w:p>
        <w:p w14:paraId="1EBD9D67">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_Toc14571 </w:instrText>
          </w:r>
          <w:r>
            <w:rPr>
              <w:rFonts w:hint="default" w:ascii="Simplified Arabic" w:hAnsi="Simplified Arabic" w:cs="Simplified Arabic"/>
              <w:szCs w:val="28"/>
              <w:lang w:bidi="ar-EG"/>
            </w:rPr>
            <w:fldChar w:fldCharType="separate"/>
          </w:r>
          <w:r>
            <w:rPr>
              <w:rFonts w:hint="default"/>
              <w:rtl/>
              <w:lang w:val="en"/>
            </w:rPr>
            <w:t>3. الحدود الزمانية</w:t>
          </w:r>
          <w:r>
            <w:tab/>
          </w:r>
          <w:r>
            <w:fldChar w:fldCharType="begin"/>
          </w:r>
          <w:r>
            <w:instrText xml:space="preserve"> PAGEREF _Toc14571 \h </w:instrText>
          </w:r>
          <w:r>
            <w:fldChar w:fldCharType="separate"/>
          </w:r>
          <w:r>
            <w:t>37</w:t>
          </w:r>
          <w:r>
            <w:fldChar w:fldCharType="end"/>
          </w:r>
          <w:r>
            <w:rPr>
              <w:rFonts w:hint="default" w:ascii="Simplified Arabic" w:hAnsi="Simplified Arabic" w:cs="Simplified Arabic"/>
              <w:szCs w:val="28"/>
              <w:u w:val="single"/>
              <w:lang w:bidi="ar-EG"/>
            </w:rPr>
            <w:fldChar w:fldCharType="end"/>
          </w:r>
        </w:p>
        <w:p w14:paraId="358BC3F6">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_Toc17977 </w:instrText>
          </w:r>
          <w:r>
            <w:rPr>
              <w:rFonts w:hint="default" w:ascii="Simplified Arabic" w:hAnsi="Simplified Arabic" w:cs="Simplified Arabic"/>
              <w:szCs w:val="28"/>
              <w:lang w:bidi="ar-EG"/>
            </w:rPr>
            <w:fldChar w:fldCharType="separate"/>
          </w:r>
          <w:r>
            <w:rPr>
              <w:rFonts w:hint="default"/>
            </w:rPr>
            <w:t xml:space="preserve">4. </w:t>
          </w:r>
          <w:r>
            <w:rPr>
              <w:rFonts w:hint="default"/>
              <w:rtl/>
            </w:rPr>
            <w:t>الحدود البشرية</w:t>
          </w:r>
          <w:r>
            <w:tab/>
          </w:r>
          <w:r>
            <w:fldChar w:fldCharType="begin"/>
          </w:r>
          <w:r>
            <w:instrText xml:space="preserve"> PAGEREF _Toc17977 \h </w:instrText>
          </w:r>
          <w:r>
            <w:fldChar w:fldCharType="separate"/>
          </w:r>
          <w:r>
            <w:t>37</w:t>
          </w:r>
          <w:r>
            <w:fldChar w:fldCharType="end"/>
          </w:r>
          <w:r>
            <w:rPr>
              <w:rFonts w:hint="default" w:ascii="Simplified Arabic" w:hAnsi="Simplified Arabic" w:cs="Simplified Arabic"/>
              <w:szCs w:val="28"/>
              <w:u w:val="single"/>
              <w:lang w:bidi="ar-EG"/>
            </w:rPr>
            <w:fldChar w:fldCharType="end"/>
          </w:r>
        </w:p>
        <w:p w14:paraId="18BD84AE">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_Toc23123 </w:instrText>
          </w:r>
          <w:r>
            <w:rPr>
              <w:rFonts w:hint="default" w:ascii="Simplified Arabic" w:hAnsi="Simplified Arabic" w:cs="Simplified Arabic"/>
              <w:szCs w:val="28"/>
              <w:lang w:bidi="ar-EG"/>
            </w:rPr>
            <w:fldChar w:fldCharType="separate"/>
          </w:r>
          <w:r>
            <w:rPr>
              <w:rFonts w:hint="cs" w:cs="Simplified Arabic"/>
              <w:rtl/>
              <w:cs w:val="0"/>
              <w:lang w:bidi="ar-SA"/>
            </w:rPr>
            <w:t>سادسا</w:t>
          </w:r>
          <w:r>
            <w:rPr>
              <w:rFonts w:hint="cs" w:cs="Simplified Arabic"/>
              <w:rtl/>
              <w:cs w:val="0"/>
              <w:lang w:val="en-US" w:bidi="ar-SA"/>
            </w:rPr>
            <w:t xml:space="preserve">: </w:t>
          </w:r>
          <w:r>
            <w:rPr>
              <w:rFonts w:hint="default"/>
              <w:rtl/>
              <w:cs w:val="0"/>
            </w:rPr>
            <w:t>المعادلات الإحصائية المستخدمة في الدراسة</w:t>
          </w:r>
          <w:r>
            <w:tab/>
          </w:r>
          <w:r>
            <w:fldChar w:fldCharType="begin"/>
          </w:r>
          <w:r>
            <w:instrText xml:space="preserve"> PAGEREF _Toc23123 \h </w:instrText>
          </w:r>
          <w:r>
            <w:fldChar w:fldCharType="separate"/>
          </w:r>
          <w:r>
            <w:t>37</w:t>
          </w:r>
          <w:r>
            <w:fldChar w:fldCharType="end"/>
          </w:r>
          <w:r>
            <w:rPr>
              <w:rFonts w:hint="default" w:ascii="Simplified Arabic" w:hAnsi="Simplified Arabic" w:cs="Simplified Arabic"/>
              <w:szCs w:val="28"/>
              <w:u w:val="single"/>
              <w:lang w:bidi="ar-EG"/>
            </w:rPr>
            <w:fldChar w:fldCharType="end"/>
          </w:r>
        </w:p>
        <w:p w14:paraId="6E08E7CC">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_Toc32291 </w:instrText>
          </w:r>
          <w:r>
            <w:rPr>
              <w:rFonts w:hint="default" w:ascii="Simplified Arabic" w:hAnsi="Simplified Arabic" w:cs="Simplified Arabic"/>
              <w:szCs w:val="28"/>
              <w:lang w:bidi="ar-EG"/>
            </w:rPr>
            <w:fldChar w:fldCharType="separate"/>
          </w:r>
          <w:r>
            <w:rPr>
              <w:rFonts w:hint="cs" w:cs="Simplified Arabic"/>
              <w:rtl/>
              <w:cs w:val="0"/>
              <w:lang w:bidi="ar-SA"/>
            </w:rPr>
            <w:t>سابعا</w:t>
          </w:r>
          <w:r>
            <w:rPr>
              <w:rFonts w:hint="cs" w:cs="Simplified Arabic"/>
              <w:rtl/>
              <w:cs w:val="0"/>
              <w:lang w:val="en-US" w:bidi="ar-SA"/>
            </w:rPr>
            <w:t xml:space="preserve">: </w:t>
          </w:r>
          <w:r>
            <w:rPr>
              <w:rFonts w:hint="default"/>
              <w:rtl/>
              <w:cs w:val="0"/>
            </w:rPr>
            <w:t>اختبار</w:t>
          </w:r>
          <w:r>
            <w:rPr>
              <w:rFonts w:hint="default"/>
              <w:rtl/>
              <w:cs w:val="0"/>
              <w:lang w:val="en-US"/>
            </w:rPr>
            <w:t xml:space="preserve"> ثبات اداة الدراسة:</w:t>
          </w:r>
          <w:r>
            <w:tab/>
          </w:r>
          <w:r>
            <w:fldChar w:fldCharType="begin"/>
          </w:r>
          <w:r>
            <w:instrText xml:space="preserve"> PAGEREF _Toc32291 \h </w:instrText>
          </w:r>
          <w:r>
            <w:fldChar w:fldCharType="separate"/>
          </w:r>
          <w:r>
            <w:t>42</w:t>
          </w:r>
          <w:r>
            <w:fldChar w:fldCharType="end"/>
          </w:r>
          <w:r>
            <w:rPr>
              <w:rFonts w:hint="default" w:ascii="Simplified Arabic" w:hAnsi="Simplified Arabic" w:cs="Simplified Arabic"/>
              <w:szCs w:val="28"/>
              <w:u w:val="single"/>
              <w:lang w:bidi="ar-EG"/>
            </w:rPr>
            <w:fldChar w:fldCharType="end"/>
          </w:r>
        </w:p>
        <w:p w14:paraId="19175CC3">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_Toc18508 </w:instrText>
          </w:r>
          <w:r>
            <w:rPr>
              <w:rFonts w:hint="default" w:ascii="Simplified Arabic" w:hAnsi="Simplified Arabic" w:cs="Simplified Arabic"/>
              <w:szCs w:val="28"/>
              <w:lang w:bidi="ar-EG"/>
            </w:rPr>
            <w:fldChar w:fldCharType="separate"/>
          </w:r>
          <w:r>
            <w:rPr>
              <w:rFonts w:hint="default"/>
              <w:rtl/>
              <w:cs w:val="0"/>
              <w:lang w:val="en-US"/>
            </w:rPr>
            <w:t>معايير تفسير المتوسطات الحسابية:</w:t>
          </w:r>
          <w:r>
            <w:tab/>
          </w:r>
          <w:r>
            <w:fldChar w:fldCharType="begin"/>
          </w:r>
          <w:r>
            <w:instrText xml:space="preserve"> PAGEREF _Toc18508 \h </w:instrText>
          </w:r>
          <w:r>
            <w:fldChar w:fldCharType="separate"/>
          </w:r>
          <w:r>
            <w:t>42</w:t>
          </w:r>
          <w:r>
            <w:fldChar w:fldCharType="end"/>
          </w:r>
          <w:r>
            <w:rPr>
              <w:rFonts w:hint="default" w:ascii="Simplified Arabic" w:hAnsi="Simplified Arabic" w:cs="Simplified Arabic"/>
              <w:szCs w:val="28"/>
              <w:u w:val="single"/>
              <w:lang w:bidi="ar-EG"/>
            </w:rPr>
            <w:fldChar w:fldCharType="end"/>
          </w:r>
        </w:p>
        <w:p w14:paraId="1B6E5AE0">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_Toc1843 </w:instrText>
          </w:r>
          <w:r>
            <w:rPr>
              <w:rFonts w:hint="default" w:ascii="Simplified Arabic" w:hAnsi="Simplified Arabic" w:cs="Simplified Arabic"/>
              <w:szCs w:val="28"/>
              <w:lang w:bidi="ar-EG"/>
            </w:rPr>
            <w:fldChar w:fldCharType="separate"/>
          </w:r>
          <w:r>
            <w:rPr>
              <w:rFonts w:hint="cs" w:cs="Simplified Arabic"/>
              <w:rtl/>
              <w:cs w:val="0"/>
              <w:lang w:val="en-US" w:bidi="ar-SA"/>
            </w:rPr>
            <w:t xml:space="preserve">ثامنا: </w:t>
          </w:r>
          <w:r>
            <w:rPr>
              <w:rFonts w:hint="default" w:ascii="Simplified Arabic" w:hAnsi="Simplified Arabic" w:cs="Simplified Arabic"/>
              <w:rtl/>
              <w:cs w:val="0"/>
              <w:lang w:val="en-US"/>
            </w:rPr>
            <w:t>اختبار الارتباط بين المتغيرات:</w:t>
          </w:r>
          <w:r>
            <w:tab/>
          </w:r>
          <w:r>
            <w:fldChar w:fldCharType="begin"/>
          </w:r>
          <w:r>
            <w:instrText xml:space="preserve"> PAGEREF _Toc1843 \h </w:instrText>
          </w:r>
          <w:r>
            <w:fldChar w:fldCharType="separate"/>
          </w:r>
          <w:r>
            <w:t>42</w:t>
          </w:r>
          <w:r>
            <w:fldChar w:fldCharType="end"/>
          </w:r>
          <w:r>
            <w:rPr>
              <w:rFonts w:hint="default" w:ascii="Simplified Arabic" w:hAnsi="Simplified Arabic" w:cs="Simplified Arabic"/>
              <w:szCs w:val="28"/>
              <w:u w:val="single"/>
              <w:lang w:bidi="ar-EG"/>
            </w:rPr>
            <w:fldChar w:fldCharType="end"/>
          </w:r>
        </w:p>
        <w:p w14:paraId="0493C34F">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_Toc30664 </w:instrText>
          </w:r>
          <w:r>
            <w:rPr>
              <w:rFonts w:hint="default" w:ascii="Simplified Arabic" w:hAnsi="Simplified Arabic" w:cs="Simplified Arabic"/>
              <w:szCs w:val="28"/>
              <w:lang w:bidi="ar-EG"/>
            </w:rPr>
            <w:fldChar w:fldCharType="separate"/>
          </w:r>
          <w:r>
            <w:rPr>
              <w:rFonts w:hint="default"/>
              <w:rtl/>
            </w:rPr>
            <w:t>مقد</w:t>
          </w:r>
          <w:r>
            <w:rPr>
              <w:rFonts w:hint="cs" w:cs="Simplified Arabic"/>
              <w:rtl/>
              <w:lang w:bidi="ar-SA"/>
            </w:rPr>
            <w:t>مة</w:t>
          </w:r>
          <w:r>
            <w:tab/>
          </w:r>
          <w:r>
            <w:fldChar w:fldCharType="begin"/>
          </w:r>
          <w:r>
            <w:instrText xml:space="preserve"> PAGEREF _Toc30664 \h </w:instrText>
          </w:r>
          <w:r>
            <w:fldChar w:fldCharType="separate"/>
          </w:r>
          <w:r>
            <w:t>43</w:t>
          </w:r>
          <w:r>
            <w:fldChar w:fldCharType="end"/>
          </w:r>
          <w:r>
            <w:rPr>
              <w:rFonts w:hint="default" w:ascii="Simplified Arabic" w:hAnsi="Simplified Arabic" w:cs="Simplified Arabic"/>
              <w:szCs w:val="28"/>
              <w:u w:val="single"/>
              <w:lang w:bidi="ar-EG"/>
            </w:rPr>
            <w:fldChar w:fldCharType="end"/>
          </w:r>
        </w:p>
        <w:p w14:paraId="13A59D22">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_Toc19937 </w:instrText>
          </w:r>
          <w:r>
            <w:rPr>
              <w:rFonts w:hint="default" w:ascii="Simplified Arabic" w:hAnsi="Simplified Arabic" w:cs="Simplified Arabic"/>
              <w:szCs w:val="28"/>
              <w:lang w:bidi="ar-EG"/>
            </w:rPr>
            <w:fldChar w:fldCharType="separate"/>
          </w:r>
          <w:r>
            <w:rPr>
              <w:rFonts w:hint="default"/>
              <w:rtl/>
            </w:rPr>
            <w:t>تحليل</w:t>
          </w:r>
          <w:r>
            <w:rPr>
              <w:rFonts w:hint="default"/>
              <w:rtl/>
              <w:lang w:val="en-US"/>
            </w:rPr>
            <w:t xml:space="preserve"> البيانات الوصفية</w:t>
          </w:r>
          <w:r>
            <w:tab/>
          </w:r>
          <w:r>
            <w:fldChar w:fldCharType="begin"/>
          </w:r>
          <w:r>
            <w:instrText xml:space="preserve"> PAGEREF _Toc19937 \h </w:instrText>
          </w:r>
          <w:r>
            <w:fldChar w:fldCharType="separate"/>
          </w:r>
          <w:r>
            <w:t>44</w:t>
          </w:r>
          <w:r>
            <w:fldChar w:fldCharType="end"/>
          </w:r>
          <w:r>
            <w:rPr>
              <w:rFonts w:hint="default" w:ascii="Simplified Arabic" w:hAnsi="Simplified Arabic" w:cs="Simplified Arabic"/>
              <w:szCs w:val="28"/>
              <w:u w:val="single"/>
              <w:lang w:bidi="ar-EG"/>
            </w:rPr>
            <w:fldChar w:fldCharType="end"/>
          </w:r>
        </w:p>
        <w:p w14:paraId="63689C50">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_Toc1278 </w:instrText>
          </w:r>
          <w:r>
            <w:rPr>
              <w:rFonts w:hint="default" w:ascii="Simplified Arabic" w:hAnsi="Simplified Arabic" w:cs="Simplified Arabic"/>
              <w:szCs w:val="28"/>
              <w:lang w:bidi="ar-EG"/>
            </w:rPr>
            <w:fldChar w:fldCharType="separate"/>
          </w:r>
          <w:r>
            <w:rPr>
              <w:rFonts w:hint="default"/>
              <w:rtl/>
              <w:cs/>
              <w:lang w:val="en-US"/>
            </w:rPr>
            <w:t>أولاً</w:t>
          </w:r>
          <w:r>
            <w:rPr>
              <w:rFonts w:hint="default"/>
              <w:rtl/>
              <w:cs w:val="0"/>
              <w:lang w:val="en-US"/>
            </w:rPr>
            <w:t xml:space="preserve">: </w:t>
          </w:r>
          <w:r>
            <w:rPr>
              <w:rFonts w:hint="default"/>
              <w:rtl/>
              <w:cs/>
              <w:lang w:val="en-US"/>
            </w:rPr>
            <w:t>البعد البيئي للاستدامة التشغيلية</w:t>
          </w:r>
          <w:r>
            <w:rPr>
              <w:rFonts w:hint="default"/>
              <w:rtl w:val="0"/>
              <w:cs w:val="0"/>
              <w:lang w:val="en-US"/>
            </w:rPr>
            <w:t>:</w:t>
          </w:r>
          <w:r>
            <w:tab/>
          </w:r>
          <w:r>
            <w:fldChar w:fldCharType="begin"/>
          </w:r>
          <w:r>
            <w:instrText xml:space="preserve"> PAGEREF _Toc1278 \h </w:instrText>
          </w:r>
          <w:r>
            <w:fldChar w:fldCharType="separate"/>
          </w:r>
          <w:r>
            <w:t>44</w:t>
          </w:r>
          <w:r>
            <w:fldChar w:fldCharType="end"/>
          </w:r>
          <w:r>
            <w:rPr>
              <w:rFonts w:hint="default" w:ascii="Simplified Arabic" w:hAnsi="Simplified Arabic" w:cs="Simplified Arabic"/>
              <w:szCs w:val="28"/>
              <w:u w:val="single"/>
              <w:lang w:bidi="ar-EG"/>
            </w:rPr>
            <w:fldChar w:fldCharType="end"/>
          </w:r>
        </w:p>
        <w:p w14:paraId="7AFB6D7B">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_Toc24729 </w:instrText>
          </w:r>
          <w:r>
            <w:rPr>
              <w:rFonts w:hint="default" w:ascii="Simplified Arabic" w:hAnsi="Simplified Arabic" w:cs="Simplified Arabic"/>
              <w:szCs w:val="28"/>
              <w:lang w:bidi="ar-EG"/>
            </w:rPr>
            <w:fldChar w:fldCharType="separate"/>
          </w:r>
          <w:r>
            <w:rPr>
              <w:rFonts w:hint="default"/>
              <w:rtl/>
              <w:cs w:val="0"/>
              <w:lang w:val="en-US"/>
            </w:rPr>
            <w:t>تحليل نتائج البعد البيئي</w:t>
          </w:r>
          <w:r>
            <w:tab/>
          </w:r>
          <w:r>
            <w:fldChar w:fldCharType="begin"/>
          </w:r>
          <w:r>
            <w:instrText xml:space="preserve"> PAGEREF _Toc24729 \h </w:instrText>
          </w:r>
          <w:r>
            <w:fldChar w:fldCharType="separate"/>
          </w:r>
          <w:r>
            <w:t>46</w:t>
          </w:r>
          <w:r>
            <w:fldChar w:fldCharType="end"/>
          </w:r>
          <w:r>
            <w:rPr>
              <w:rFonts w:hint="default" w:ascii="Simplified Arabic" w:hAnsi="Simplified Arabic" w:cs="Simplified Arabic"/>
              <w:szCs w:val="28"/>
              <w:u w:val="single"/>
              <w:lang w:bidi="ar-EG"/>
            </w:rPr>
            <w:fldChar w:fldCharType="end"/>
          </w:r>
        </w:p>
        <w:p w14:paraId="771CE928">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_Toc863 </w:instrText>
          </w:r>
          <w:r>
            <w:rPr>
              <w:rFonts w:hint="default" w:ascii="Simplified Arabic" w:hAnsi="Simplified Arabic" w:cs="Simplified Arabic"/>
              <w:szCs w:val="28"/>
              <w:lang w:bidi="ar-EG"/>
            </w:rPr>
            <w:fldChar w:fldCharType="separate"/>
          </w:r>
          <w:r>
            <w:rPr>
              <w:rFonts w:hint="cs"/>
              <w:rtl/>
              <w:cs w:val="0"/>
              <w:lang w:val="en-US"/>
            </w:rPr>
            <w:t>ثانيا: البعد الإقتصادي</w:t>
          </w:r>
          <w:r>
            <w:tab/>
          </w:r>
          <w:r>
            <w:fldChar w:fldCharType="begin"/>
          </w:r>
          <w:r>
            <w:instrText xml:space="preserve"> PAGEREF _Toc863 \h </w:instrText>
          </w:r>
          <w:r>
            <w:fldChar w:fldCharType="separate"/>
          </w:r>
          <w:r>
            <w:t>46</w:t>
          </w:r>
          <w:r>
            <w:fldChar w:fldCharType="end"/>
          </w:r>
          <w:r>
            <w:rPr>
              <w:rFonts w:hint="default" w:ascii="Simplified Arabic" w:hAnsi="Simplified Arabic" w:cs="Simplified Arabic"/>
              <w:szCs w:val="28"/>
              <w:u w:val="single"/>
              <w:lang w:bidi="ar-EG"/>
            </w:rPr>
            <w:fldChar w:fldCharType="end"/>
          </w:r>
        </w:p>
        <w:p w14:paraId="0E36E7CE">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_Toc4348 </w:instrText>
          </w:r>
          <w:r>
            <w:rPr>
              <w:rFonts w:hint="default" w:ascii="Simplified Arabic" w:hAnsi="Simplified Arabic" w:cs="Simplified Arabic"/>
              <w:szCs w:val="28"/>
              <w:lang w:bidi="ar-EG"/>
            </w:rPr>
            <w:fldChar w:fldCharType="separate"/>
          </w:r>
          <w:r>
            <w:rPr>
              <w:rFonts w:hint="default"/>
              <w:rtl/>
              <w:cs/>
            </w:rPr>
            <w:t>تحليل نتائج البعد الاقتصادي</w:t>
          </w:r>
          <w:r>
            <w:tab/>
          </w:r>
          <w:r>
            <w:fldChar w:fldCharType="begin"/>
          </w:r>
          <w:r>
            <w:instrText xml:space="preserve"> PAGEREF _Toc4348 \h </w:instrText>
          </w:r>
          <w:r>
            <w:fldChar w:fldCharType="separate"/>
          </w:r>
          <w:r>
            <w:t>47</w:t>
          </w:r>
          <w:r>
            <w:fldChar w:fldCharType="end"/>
          </w:r>
          <w:r>
            <w:rPr>
              <w:rFonts w:hint="default" w:ascii="Simplified Arabic" w:hAnsi="Simplified Arabic" w:cs="Simplified Arabic"/>
              <w:szCs w:val="28"/>
              <w:u w:val="single"/>
              <w:lang w:bidi="ar-EG"/>
            </w:rPr>
            <w:fldChar w:fldCharType="end"/>
          </w:r>
        </w:p>
        <w:p w14:paraId="5293DAD0">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_Toc587 </w:instrText>
          </w:r>
          <w:r>
            <w:rPr>
              <w:rFonts w:hint="default" w:ascii="Simplified Arabic" w:hAnsi="Simplified Arabic" w:cs="Simplified Arabic"/>
              <w:szCs w:val="28"/>
              <w:lang w:bidi="ar-EG"/>
            </w:rPr>
            <w:fldChar w:fldCharType="separate"/>
          </w:r>
          <w:r>
            <w:rPr>
              <w:rFonts w:hint="cs"/>
              <w:rtl/>
              <w:cs w:val="0"/>
            </w:rPr>
            <w:t>ثالثا</w:t>
          </w:r>
          <w:r>
            <w:rPr>
              <w:rFonts w:hint="cs"/>
              <w:rtl/>
              <w:cs w:val="0"/>
              <w:lang w:val="en-US"/>
            </w:rPr>
            <w:t>: البعد التقني</w:t>
          </w:r>
          <w:r>
            <w:tab/>
          </w:r>
          <w:r>
            <w:fldChar w:fldCharType="begin"/>
          </w:r>
          <w:r>
            <w:instrText xml:space="preserve"> PAGEREF _Toc587 \h </w:instrText>
          </w:r>
          <w:r>
            <w:fldChar w:fldCharType="separate"/>
          </w:r>
          <w:r>
            <w:t>48</w:t>
          </w:r>
          <w:r>
            <w:fldChar w:fldCharType="end"/>
          </w:r>
          <w:r>
            <w:rPr>
              <w:rFonts w:hint="default" w:ascii="Simplified Arabic" w:hAnsi="Simplified Arabic" w:cs="Simplified Arabic"/>
              <w:szCs w:val="28"/>
              <w:u w:val="single"/>
              <w:lang w:bidi="ar-EG"/>
            </w:rPr>
            <w:fldChar w:fldCharType="end"/>
          </w:r>
        </w:p>
        <w:p w14:paraId="3563DD82">
          <w:pPr>
            <w:pStyle w:val="21"/>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_Toc11294 </w:instrText>
          </w:r>
          <w:r>
            <w:rPr>
              <w:rFonts w:hint="default" w:ascii="Simplified Arabic" w:hAnsi="Simplified Arabic" w:cs="Simplified Arabic"/>
              <w:szCs w:val="28"/>
              <w:lang w:bidi="ar-EG"/>
            </w:rPr>
            <w:fldChar w:fldCharType="separate"/>
          </w:r>
          <w:r>
            <w:rPr>
              <w:rFonts w:hint="default"/>
              <w:rtl/>
              <w:cs/>
            </w:rPr>
            <w:t>تحليل نتائج البعد التقني</w:t>
          </w:r>
          <w:r>
            <w:tab/>
          </w:r>
          <w:r>
            <w:fldChar w:fldCharType="begin"/>
          </w:r>
          <w:r>
            <w:instrText xml:space="preserve"> PAGEREF _Toc11294 \h </w:instrText>
          </w:r>
          <w:r>
            <w:fldChar w:fldCharType="separate"/>
          </w:r>
          <w:r>
            <w:t>49</w:t>
          </w:r>
          <w:r>
            <w:fldChar w:fldCharType="end"/>
          </w:r>
          <w:r>
            <w:rPr>
              <w:rFonts w:hint="default" w:ascii="Simplified Arabic" w:hAnsi="Simplified Arabic" w:cs="Simplified Arabic"/>
              <w:szCs w:val="28"/>
              <w:u w:val="single"/>
              <w:lang w:bidi="ar-EG"/>
            </w:rPr>
            <w:fldChar w:fldCharType="end"/>
          </w:r>
        </w:p>
        <w:p w14:paraId="77BEF10E">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_Toc4307 </w:instrText>
          </w:r>
          <w:r>
            <w:rPr>
              <w:rFonts w:hint="default" w:ascii="Simplified Arabic" w:hAnsi="Simplified Arabic" w:cs="Simplified Arabic"/>
              <w:szCs w:val="28"/>
              <w:lang w:bidi="ar-EG"/>
            </w:rPr>
            <w:fldChar w:fldCharType="separate"/>
          </w:r>
          <w:r>
            <w:rPr>
              <w:rFonts w:hint="cs"/>
              <w:rtl/>
              <w:cs w:val="0"/>
            </w:rPr>
            <w:t>رابعا</w:t>
          </w:r>
          <w:r>
            <w:rPr>
              <w:rFonts w:hint="cs"/>
              <w:rtl/>
              <w:cs w:val="0"/>
              <w:lang w:val="en-US"/>
            </w:rPr>
            <w:t>: البعد الإجتماعي</w:t>
          </w:r>
          <w:r>
            <w:tab/>
          </w:r>
          <w:r>
            <w:fldChar w:fldCharType="begin"/>
          </w:r>
          <w:r>
            <w:instrText xml:space="preserve"> PAGEREF _Toc4307 \h </w:instrText>
          </w:r>
          <w:r>
            <w:fldChar w:fldCharType="separate"/>
          </w:r>
          <w:r>
            <w:t>49</w:t>
          </w:r>
          <w:r>
            <w:fldChar w:fldCharType="end"/>
          </w:r>
          <w:r>
            <w:rPr>
              <w:rFonts w:hint="default" w:ascii="Simplified Arabic" w:hAnsi="Simplified Arabic" w:cs="Simplified Arabic"/>
              <w:szCs w:val="28"/>
              <w:u w:val="single"/>
              <w:lang w:bidi="ar-EG"/>
            </w:rPr>
            <w:fldChar w:fldCharType="end"/>
          </w:r>
        </w:p>
        <w:p w14:paraId="49DC28E6">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_Toc27093 </w:instrText>
          </w:r>
          <w:r>
            <w:rPr>
              <w:rFonts w:hint="default" w:ascii="Simplified Arabic" w:hAnsi="Simplified Arabic" w:cs="Simplified Arabic"/>
              <w:szCs w:val="28"/>
              <w:lang w:bidi="ar-EG"/>
            </w:rPr>
            <w:fldChar w:fldCharType="separate"/>
          </w:r>
          <w:r>
            <w:rPr>
              <w:rFonts w:hint="default"/>
              <w:rtl/>
              <w:cs/>
            </w:rPr>
            <w:t>النتائج المتعلقة بالتحليل الوصفي لأبعاد الدراسة</w:t>
          </w:r>
          <w:r>
            <w:rPr>
              <w:rFonts w:hint="default"/>
              <w:rtl/>
              <w:cs w:val="0"/>
              <w:lang w:val="en-US"/>
            </w:rPr>
            <w:t>:</w:t>
          </w:r>
          <w:r>
            <w:tab/>
          </w:r>
          <w:r>
            <w:fldChar w:fldCharType="begin"/>
          </w:r>
          <w:r>
            <w:instrText xml:space="preserve"> PAGEREF _Toc27093 \h </w:instrText>
          </w:r>
          <w:r>
            <w:fldChar w:fldCharType="separate"/>
          </w:r>
          <w:r>
            <w:t>50</w:t>
          </w:r>
          <w:r>
            <w:fldChar w:fldCharType="end"/>
          </w:r>
          <w:r>
            <w:rPr>
              <w:rFonts w:hint="default" w:ascii="Simplified Arabic" w:hAnsi="Simplified Arabic" w:cs="Simplified Arabic"/>
              <w:szCs w:val="28"/>
              <w:u w:val="single"/>
              <w:lang w:bidi="ar-EG"/>
            </w:rPr>
            <w:fldChar w:fldCharType="end"/>
          </w:r>
        </w:p>
        <w:p w14:paraId="5E24E7BC">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_Toc92 </w:instrText>
          </w:r>
          <w:r>
            <w:rPr>
              <w:rFonts w:hint="default" w:ascii="Simplified Arabic" w:hAnsi="Simplified Arabic" w:cs="Simplified Arabic"/>
              <w:szCs w:val="28"/>
              <w:lang w:bidi="ar-EG"/>
            </w:rPr>
            <w:fldChar w:fldCharType="separate"/>
          </w:r>
          <w:r>
            <w:rPr>
              <w:rFonts w:hint="default"/>
              <w:rtl/>
              <w:cs/>
            </w:rPr>
            <w:t>1. النتائج المتعلقة بالبعد البيئي للاستدامة التشغيلية</w:t>
          </w:r>
          <w:r>
            <w:tab/>
          </w:r>
          <w:r>
            <w:fldChar w:fldCharType="begin"/>
          </w:r>
          <w:r>
            <w:instrText xml:space="preserve"> PAGEREF _Toc92 \h </w:instrText>
          </w:r>
          <w:r>
            <w:fldChar w:fldCharType="separate"/>
          </w:r>
          <w:r>
            <w:t>51</w:t>
          </w:r>
          <w:r>
            <w:fldChar w:fldCharType="end"/>
          </w:r>
          <w:r>
            <w:rPr>
              <w:rFonts w:hint="default" w:ascii="Simplified Arabic" w:hAnsi="Simplified Arabic" w:cs="Simplified Arabic"/>
              <w:szCs w:val="28"/>
              <w:u w:val="single"/>
              <w:lang w:bidi="ar-EG"/>
            </w:rPr>
            <w:fldChar w:fldCharType="end"/>
          </w:r>
        </w:p>
        <w:p w14:paraId="712A96E2">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_Toc29520 </w:instrText>
          </w:r>
          <w:r>
            <w:rPr>
              <w:rFonts w:hint="default" w:ascii="Simplified Arabic" w:hAnsi="Simplified Arabic" w:cs="Simplified Arabic"/>
              <w:szCs w:val="28"/>
              <w:lang w:bidi="ar-EG"/>
            </w:rPr>
            <w:fldChar w:fldCharType="separate"/>
          </w:r>
          <w:r>
            <w:rPr>
              <w:rFonts w:hint="default"/>
              <w:rtl/>
              <w:cs/>
            </w:rPr>
            <w:t>2. النتائج المتعلقة بالبعد الاقتصادي للاستدامة التشغيلية</w:t>
          </w:r>
          <w:r>
            <w:tab/>
          </w:r>
          <w:r>
            <w:fldChar w:fldCharType="begin"/>
          </w:r>
          <w:r>
            <w:instrText xml:space="preserve"> PAGEREF _Toc29520 \h </w:instrText>
          </w:r>
          <w:r>
            <w:fldChar w:fldCharType="separate"/>
          </w:r>
          <w:r>
            <w:t>51</w:t>
          </w:r>
          <w:r>
            <w:fldChar w:fldCharType="end"/>
          </w:r>
          <w:r>
            <w:rPr>
              <w:rFonts w:hint="default" w:ascii="Simplified Arabic" w:hAnsi="Simplified Arabic" w:cs="Simplified Arabic"/>
              <w:szCs w:val="28"/>
              <w:u w:val="single"/>
              <w:lang w:bidi="ar-EG"/>
            </w:rPr>
            <w:fldChar w:fldCharType="end"/>
          </w:r>
        </w:p>
        <w:p w14:paraId="757F3531">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_Toc25930 </w:instrText>
          </w:r>
          <w:r>
            <w:rPr>
              <w:rFonts w:hint="default" w:ascii="Simplified Arabic" w:hAnsi="Simplified Arabic" w:cs="Simplified Arabic"/>
              <w:szCs w:val="28"/>
              <w:lang w:bidi="ar-EG"/>
            </w:rPr>
            <w:fldChar w:fldCharType="separate"/>
          </w:r>
          <w:r>
            <w:rPr>
              <w:rFonts w:hint="default"/>
              <w:rtl/>
            </w:rPr>
            <w:t xml:space="preserve">3. </w:t>
          </w:r>
          <w:r>
            <w:rPr>
              <w:rFonts w:hint="default"/>
              <w:rtl/>
              <w:cs/>
            </w:rPr>
            <w:t>النتائج المتعلقة بالبعد التقني للاستدامة التشغيلية</w:t>
          </w:r>
          <w:r>
            <w:tab/>
          </w:r>
          <w:r>
            <w:fldChar w:fldCharType="begin"/>
          </w:r>
          <w:r>
            <w:instrText xml:space="preserve"> PAGEREF _Toc25930 \h </w:instrText>
          </w:r>
          <w:r>
            <w:fldChar w:fldCharType="separate"/>
          </w:r>
          <w:r>
            <w:t>52</w:t>
          </w:r>
          <w:r>
            <w:fldChar w:fldCharType="end"/>
          </w:r>
          <w:r>
            <w:rPr>
              <w:rFonts w:hint="default" w:ascii="Simplified Arabic" w:hAnsi="Simplified Arabic" w:cs="Simplified Arabic"/>
              <w:szCs w:val="28"/>
              <w:u w:val="single"/>
              <w:lang w:bidi="ar-EG"/>
            </w:rPr>
            <w:fldChar w:fldCharType="end"/>
          </w:r>
        </w:p>
        <w:p w14:paraId="54A3F5AC">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_Toc9101 </w:instrText>
          </w:r>
          <w:r>
            <w:rPr>
              <w:rFonts w:hint="default" w:ascii="Simplified Arabic" w:hAnsi="Simplified Arabic" w:cs="Simplified Arabic"/>
              <w:szCs w:val="28"/>
              <w:lang w:bidi="ar-EG"/>
            </w:rPr>
            <w:fldChar w:fldCharType="separate"/>
          </w:r>
          <w:r>
            <w:rPr>
              <w:rFonts w:hint="default"/>
              <w:rtl/>
              <w:cs w:val="0"/>
              <w:lang w:val="en-US"/>
            </w:rPr>
            <w:t xml:space="preserve">4. </w:t>
          </w:r>
          <w:r>
            <w:rPr>
              <w:rFonts w:hint="default"/>
              <w:rtl/>
              <w:cs/>
            </w:rPr>
            <w:t>النتائج المتعلقة بالبعد الاجتماعي للاستدامة التشغيلية</w:t>
          </w:r>
          <w:r>
            <w:tab/>
          </w:r>
          <w:r>
            <w:fldChar w:fldCharType="begin"/>
          </w:r>
          <w:r>
            <w:instrText xml:space="preserve"> PAGEREF _Toc9101 \h </w:instrText>
          </w:r>
          <w:r>
            <w:fldChar w:fldCharType="separate"/>
          </w:r>
          <w:r>
            <w:t>52</w:t>
          </w:r>
          <w:r>
            <w:fldChar w:fldCharType="end"/>
          </w:r>
          <w:r>
            <w:rPr>
              <w:rFonts w:hint="default" w:ascii="Simplified Arabic" w:hAnsi="Simplified Arabic" w:cs="Simplified Arabic"/>
              <w:szCs w:val="28"/>
              <w:u w:val="single"/>
              <w:lang w:bidi="ar-EG"/>
            </w:rPr>
            <w:fldChar w:fldCharType="end"/>
          </w:r>
        </w:p>
        <w:p w14:paraId="1CF7D188">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_Toc3620 </w:instrText>
          </w:r>
          <w:r>
            <w:rPr>
              <w:rFonts w:hint="default" w:ascii="Simplified Arabic" w:hAnsi="Simplified Arabic" w:cs="Simplified Arabic"/>
              <w:szCs w:val="28"/>
              <w:lang w:bidi="ar-EG"/>
            </w:rPr>
            <w:fldChar w:fldCharType="separate"/>
          </w:r>
          <w:r>
            <w:rPr>
              <w:rFonts w:hint="default"/>
              <w:rtl/>
            </w:rPr>
            <w:t>التوصيات</w:t>
          </w:r>
          <w:r>
            <w:tab/>
          </w:r>
          <w:r>
            <w:fldChar w:fldCharType="begin"/>
          </w:r>
          <w:r>
            <w:instrText xml:space="preserve"> PAGEREF _Toc3620 \h </w:instrText>
          </w:r>
          <w:r>
            <w:fldChar w:fldCharType="separate"/>
          </w:r>
          <w:r>
            <w:t>53</w:t>
          </w:r>
          <w:r>
            <w:fldChar w:fldCharType="end"/>
          </w:r>
          <w:r>
            <w:rPr>
              <w:rFonts w:hint="default" w:ascii="Simplified Arabic" w:hAnsi="Simplified Arabic" w:cs="Simplified Arabic"/>
              <w:szCs w:val="28"/>
              <w:u w:val="single"/>
              <w:lang w:bidi="ar-EG"/>
            </w:rPr>
            <w:fldChar w:fldCharType="end"/>
          </w:r>
        </w:p>
        <w:p w14:paraId="5782C7E1">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_Toc30829 </w:instrText>
          </w:r>
          <w:r>
            <w:rPr>
              <w:rFonts w:hint="default" w:ascii="Simplified Arabic" w:hAnsi="Simplified Arabic" w:cs="Simplified Arabic"/>
              <w:szCs w:val="28"/>
              <w:lang w:bidi="ar-EG"/>
            </w:rPr>
            <w:fldChar w:fldCharType="separate"/>
          </w:r>
          <w:r>
            <w:rPr>
              <w:rFonts w:hint="default"/>
              <w:rtl/>
            </w:rPr>
            <w:t>المراجع</w:t>
          </w:r>
          <w:r>
            <w:tab/>
          </w:r>
          <w:r>
            <w:fldChar w:fldCharType="begin"/>
          </w:r>
          <w:r>
            <w:instrText xml:space="preserve"> PAGEREF _Toc30829 \h </w:instrText>
          </w:r>
          <w:r>
            <w:fldChar w:fldCharType="separate"/>
          </w:r>
          <w:r>
            <w:t>54</w:t>
          </w:r>
          <w:r>
            <w:fldChar w:fldCharType="end"/>
          </w:r>
          <w:r>
            <w:rPr>
              <w:rFonts w:hint="default" w:ascii="Simplified Arabic" w:hAnsi="Simplified Arabic" w:cs="Simplified Arabic"/>
              <w:szCs w:val="28"/>
              <w:u w:val="single"/>
              <w:lang w:bidi="ar-EG"/>
            </w:rPr>
            <w:fldChar w:fldCharType="end"/>
          </w:r>
        </w:p>
        <w:p w14:paraId="7AFA3014">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_Toc11479 </w:instrText>
          </w:r>
          <w:r>
            <w:rPr>
              <w:rFonts w:hint="default" w:ascii="Simplified Arabic" w:hAnsi="Simplified Arabic" w:cs="Simplified Arabic"/>
              <w:szCs w:val="28"/>
              <w:lang w:bidi="ar-EG"/>
            </w:rPr>
            <w:fldChar w:fldCharType="separate"/>
          </w:r>
          <w:r>
            <w:rPr>
              <w:rFonts w:hint="default"/>
              <w:rtl/>
              <w:cs/>
            </w:rPr>
            <w:t xml:space="preserve">أداة الدراسة </w:t>
          </w:r>
          <w:r>
            <w:rPr>
              <w:rFonts w:hint="default"/>
              <w:rtl/>
              <w:cs w:val="0"/>
            </w:rPr>
            <w:t>(</w:t>
          </w:r>
          <w:r>
            <w:rPr>
              <w:rFonts w:hint="default"/>
              <w:rtl/>
              <w:cs/>
            </w:rPr>
            <w:t>الاستبانة</w:t>
          </w:r>
          <w:r>
            <w:rPr>
              <w:rFonts w:hint="default"/>
              <w:rtl/>
              <w:cs w:val="0"/>
            </w:rPr>
            <w:t>)</w:t>
          </w:r>
          <w:r>
            <w:tab/>
          </w:r>
          <w:r>
            <w:fldChar w:fldCharType="begin"/>
          </w:r>
          <w:r>
            <w:instrText xml:space="preserve"> PAGEREF _Toc11479 \h </w:instrText>
          </w:r>
          <w:r>
            <w:fldChar w:fldCharType="separate"/>
          </w:r>
          <w:r>
            <w:t>56</w:t>
          </w:r>
          <w:r>
            <w:fldChar w:fldCharType="end"/>
          </w:r>
          <w:r>
            <w:rPr>
              <w:rFonts w:hint="default" w:ascii="Simplified Arabic" w:hAnsi="Simplified Arabic" w:cs="Simplified Arabic"/>
              <w:szCs w:val="28"/>
              <w:u w:val="single"/>
              <w:lang w:bidi="ar-EG"/>
            </w:rPr>
            <w:fldChar w:fldCharType="end"/>
          </w:r>
        </w:p>
        <w:p w14:paraId="147584AE">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_Toc8565 </w:instrText>
          </w:r>
          <w:r>
            <w:rPr>
              <w:rFonts w:hint="default" w:ascii="Simplified Arabic" w:hAnsi="Simplified Arabic" w:cs="Simplified Arabic"/>
              <w:szCs w:val="28"/>
              <w:lang w:bidi="ar-EG"/>
            </w:rPr>
            <w:fldChar w:fldCharType="separate"/>
          </w:r>
          <w:r>
            <w:rPr>
              <w:rFonts w:hint="default"/>
              <w:rtl/>
              <w:cs/>
            </w:rPr>
            <w:t>أولاً</w:t>
          </w:r>
          <w:r>
            <w:rPr>
              <w:rFonts w:hint="default"/>
              <w:rtl/>
              <w:cs w:val="0"/>
            </w:rPr>
            <w:t xml:space="preserve">: </w:t>
          </w:r>
          <w:r>
            <w:rPr>
              <w:rFonts w:hint="default"/>
              <w:rtl/>
              <w:cs/>
            </w:rPr>
            <w:t>البيانات الشخصية</w:t>
          </w:r>
          <w:r>
            <w:tab/>
          </w:r>
          <w:r>
            <w:fldChar w:fldCharType="begin"/>
          </w:r>
          <w:r>
            <w:instrText xml:space="preserve"> PAGEREF _Toc8565 \h </w:instrText>
          </w:r>
          <w:r>
            <w:fldChar w:fldCharType="separate"/>
          </w:r>
          <w:r>
            <w:t>57</w:t>
          </w:r>
          <w:r>
            <w:fldChar w:fldCharType="end"/>
          </w:r>
          <w:r>
            <w:rPr>
              <w:rFonts w:hint="default" w:ascii="Simplified Arabic" w:hAnsi="Simplified Arabic" w:cs="Simplified Arabic"/>
              <w:szCs w:val="28"/>
              <w:u w:val="single"/>
              <w:lang w:bidi="ar-EG"/>
            </w:rPr>
            <w:fldChar w:fldCharType="end"/>
          </w:r>
        </w:p>
        <w:p w14:paraId="14BEF1F7">
          <w:pPr>
            <w:pStyle w:val="20"/>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_Toc2811 </w:instrText>
          </w:r>
          <w:r>
            <w:rPr>
              <w:rFonts w:hint="default" w:ascii="Simplified Arabic" w:hAnsi="Simplified Arabic" w:cs="Simplified Arabic"/>
              <w:szCs w:val="28"/>
              <w:lang w:bidi="ar-EG"/>
            </w:rPr>
            <w:fldChar w:fldCharType="separate"/>
          </w:r>
          <w:r>
            <w:rPr>
              <w:rtl/>
              <w:cs/>
            </w:rPr>
            <w:t>ثانياً</w:t>
          </w:r>
          <w:r>
            <w:rPr>
              <w:cs w:val="0"/>
            </w:rPr>
            <w:t xml:space="preserve">: </w:t>
          </w:r>
          <w:r>
            <w:rPr>
              <w:rtl/>
              <w:cs/>
            </w:rPr>
            <w:t>فقرات الاستبانة</w:t>
          </w:r>
          <w:r>
            <w:tab/>
          </w:r>
          <w:r>
            <w:fldChar w:fldCharType="begin"/>
          </w:r>
          <w:r>
            <w:instrText xml:space="preserve"> PAGEREF _Toc2811 \h </w:instrText>
          </w:r>
          <w:r>
            <w:fldChar w:fldCharType="separate"/>
          </w:r>
          <w:r>
            <w:t>57</w:t>
          </w:r>
          <w:r>
            <w:fldChar w:fldCharType="end"/>
          </w:r>
          <w:r>
            <w:rPr>
              <w:rFonts w:hint="default" w:ascii="Simplified Arabic" w:hAnsi="Simplified Arabic" w:cs="Simplified Arabic"/>
              <w:szCs w:val="28"/>
              <w:u w:val="single"/>
              <w:lang w:bidi="ar-EG"/>
            </w:rPr>
            <w:fldChar w:fldCharType="end"/>
          </w:r>
        </w:p>
        <w:p w14:paraId="3530D400">
          <w:pPr>
            <w:pStyle w:val="19"/>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_Toc16761 </w:instrText>
          </w:r>
          <w:r>
            <w:rPr>
              <w:rFonts w:hint="default" w:ascii="Simplified Arabic" w:hAnsi="Simplified Arabic" w:cs="Simplified Arabic"/>
              <w:szCs w:val="28"/>
              <w:lang w:bidi="ar-EG"/>
            </w:rPr>
            <w:fldChar w:fldCharType="separate"/>
          </w:r>
          <w:r>
            <w:rPr>
              <w:rFonts w:hint="default"/>
            </w:rPr>
            <w:t>Abstract</w:t>
          </w:r>
          <w:r>
            <w:tab/>
          </w:r>
          <w:r>
            <w:fldChar w:fldCharType="begin"/>
          </w:r>
          <w:r>
            <w:instrText xml:space="preserve"> PAGEREF _Toc16761 \h </w:instrText>
          </w:r>
          <w:r>
            <w:fldChar w:fldCharType="separate"/>
          </w:r>
          <w:r>
            <w:t>59</w:t>
          </w:r>
          <w:r>
            <w:fldChar w:fldCharType="end"/>
          </w:r>
          <w:r>
            <w:rPr>
              <w:rFonts w:hint="default" w:ascii="Simplified Arabic" w:hAnsi="Simplified Arabic" w:cs="Simplified Arabic"/>
              <w:szCs w:val="28"/>
              <w:u w:val="single"/>
              <w:lang w:bidi="ar-EG"/>
            </w:rPr>
            <w:fldChar w:fldCharType="end"/>
          </w:r>
        </w:p>
        <w:p w14:paraId="66F7DF5C">
          <w:pPr>
            <w:bidi/>
            <w:spacing w:line="240" w:lineRule="auto"/>
            <w:jc w:val="both"/>
            <w:rPr>
              <w:rFonts w:hint="default" w:ascii="Simplified Arabic" w:hAnsi="Simplified Arabic" w:eastAsia="Calibri" w:cs="Simplified Arabic"/>
              <w:kern w:val="0"/>
              <w:sz w:val="24"/>
              <w:szCs w:val="28"/>
              <w:u w:val="single"/>
              <w:rtl/>
              <w:cs/>
              <w:lang w:val="en-US" w:eastAsia="en-US" w:bidi="ar-EG"/>
              <w14:ligatures w14:val="none"/>
            </w:rPr>
          </w:pPr>
          <w:r>
            <w:rPr>
              <w:rFonts w:hint="default" w:ascii="Simplified Arabic" w:hAnsi="Simplified Arabic" w:cs="Simplified Arabic"/>
              <w:szCs w:val="28"/>
              <w:u w:val="single"/>
              <w:lang w:bidi="ar-EG"/>
            </w:rPr>
            <w:fldChar w:fldCharType="end"/>
          </w:r>
        </w:p>
      </w:sdtContent>
    </w:sdt>
    <w:p w14:paraId="2463D288">
      <w:pPr>
        <w:bidi/>
        <w:spacing w:line="240" w:lineRule="auto"/>
        <w:jc w:val="both"/>
        <w:rPr>
          <w:rFonts w:hint="default" w:ascii="Simplified Arabic" w:hAnsi="Simplified Arabic" w:eastAsia="Calibri" w:cs="Simplified Arabic"/>
          <w:kern w:val="0"/>
          <w:sz w:val="24"/>
          <w:szCs w:val="28"/>
          <w:u w:val="single"/>
          <w:rtl/>
          <w:cs/>
          <w:lang w:val="en-US" w:eastAsia="en-US" w:bidi="ar-EG"/>
          <w14:ligatures w14:val="none"/>
        </w:rPr>
      </w:pPr>
    </w:p>
    <w:p w14:paraId="37503B94">
      <w:pPr>
        <w:bidi/>
        <w:spacing w:line="240" w:lineRule="auto"/>
        <w:jc w:val="left"/>
        <w:rPr>
          <w:rFonts w:hint="default" w:ascii="Simplified Arabic" w:hAnsi="Simplified Arabic" w:cs="Simplified Arabic"/>
          <w:sz w:val="28"/>
          <w:szCs w:val="28"/>
          <w:u w:val="single"/>
          <w:rtl/>
          <w:lang w:bidi="ar-EG"/>
        </w:rPr>
      </w:pPr>
    </w:p>
    <w:p w14:paraId="566F8142">
      <w:pPr>
        <w:bidi/>
        <w:spacing w:line="240" w:lineRule="auto"/>
        <w:jc w:val="left"/>
        <w:rPr>
          <w:rFonts w:hint="default" w:ascii="Simplified Arabic" w:hAnsi="Simplified Arabic" w:cs="Simplified Arabic"/>
          <w:sz w:val="28"/>
          <w:szCs w:val="28"/>
          <w:u w:val="single"/>
          <w:rtl/>
          <w:lang w:bidi="ar-EG"/>
        </w:rPr>
      </w:pPr>
    </w:p>
    <w:p w14:paraId="43234021">
      <w:pPr>
        <w:bidi/>
        <w:spacing w:line="240" w:lineRule="auto"/>
        <w:jc w:val="left"/>
        <w:rPr>
          <w:rFonts w:hint="default" w:ascii="Simplified Arabic" w:hAnsi="Simplified Arabic" w:cs="Simplified Arabic"/>
          <w:sz w:val="28"/>
          <w:szCs w:val="28"/>
          <w:u w:val="single"/>
          <w:rtl/>
          <w:lang w:bidi="ar-EG"/>
        </w:rPr>
      </w:pPr>
    </w:p>
    <w:p w14:paraId="12988B58">
      <w:pPr>
        <w:bidi/>
        <w:spacing w:line="240" w:lineRule="auto"/>
        <w:jc w:val="left"/>
        <w:rPr>
          <w:rFonts w:hint="default" w:ascii="Simplified Arabic" w:hAnsi="Simplified Arabic" w:cs="Simplified Arabic"/>
          <w:sz w:val="28"/>
          <w:szCs w:val="28"/>
          <w:u w:val="single"/>
          <w:rtl/>
          <w:lang w:bidi="ar-EG"/>
        </w:rPr>
      </w:pPr>
    </w:p>
    <w:p w14:paraId="14FAE9D5">
      <w:pPr>
        <w:bidi/>
        <w:spacing w:line="240" w:lineRule="auto"/>
        <w:jc w:val="both"/>
        <w:rPr>
          <w:rFonts w:hint="default" w:ascii="Simplified Arabic" w:hAnsi="Simplified Arabic" w:cs="Simplified Arabic"/>
          <w:sz w:val="28"/>
          <w:szCs w:val="28"/>
          <w:u w:val="single"/>
          <w:rtl/>
          <w:lang w:bidi="ar-EG"/>
        </w:rPr>
      </w:pPr>
    </w:p>
    <w:p w14:paraId="40A61660">
      <w:pPr>
        <w:pStyle w:val="2"/>
        <w:bidi/>
        <w:rPr>
          <w:rFonts w:hint="default"/>
          <w:rtl/>
        </w:rPr>
      </w:pPr>
      <w:bookmarkStart w:id="1" w:name="_Toc25871"/>
      <w:r>
        <w:rPr>
          <w:rFonts w:hint="default"/>
          <w:rtl/>
        </w:rPr>
        <w:t>قائمة الجداول</w:t>
      </w:r>
      <w:bookmarkEnd w:id="1"/>
      <w:r>
        <w:rPr>
          <w:rFonts w:hint="default"/>
          <w:rtl/>
        </w:rPr>
        <w:t xml:space="preserve"> </w:t>
      </w:r>
    </w:p>
    <w:p w14:paraId="3C819A49">
      <w:pPr>
        <w:pStyle w:val="18"/>
        <w:tabs>
          <w:tab w:val="right" w:leader="dot" w:pos="9638"/>
        </w:tabs>
      </w:pPr>
      <w:r>
        <w:rPr>
          <w:rFonts w:hint="default" w:ascii="Simplified Arabic" w:hAnsi="Simplified Arabic" w:cs="Simplified Arabic"/>
          <w:sz w:val="28"/>
          <w:szCs w:val="28"/>
          <w:u w:val="single"/>
          <w:lang w:bidi="ar-EG"/>
        </w:rPr>
        <w:fldChar w:fldCharType="begin"/>
      </w:r>
      <w:r>
        <w:rPr>
          <w:rFonts w:hint="default" w:ascii="Simplified Arabic" w:hAnsi="Simplified Arabic" w:cs="Simplified Arabic"/>
          <w:sz w:val="28"/>
          <w:szCs w:val="28"/>
          <w:u w:val="single"/>
          <w:lang w:bidi="ar-EG"/>
        </w:rPr>
        <w:instrText xml:space="preserve">TOC \h \c "Table"</w:instrText>
      </w:r>
      <w:r>
        <w:rPr>
          <w:rFonts w:hint="default" w:ascii="Simplified Arabic" w:hAnsi="Simplified Arabic" w:cs="Simplified Arabic"/>
          <w:sz w:val="28"/>
          <w:szCs w:val="28"/>
          <w:u w:val="single"/>
          <w:lang w:bidi="ar-EG"/>
        </w:rPr>
        <w:fldChar w:fldCharType="separate"/>
      </w: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_Toc15355 </w:instrText>
      </w:r>
      <w:r>
        <w:rPr>
          <w:rFonts w:hint="default" w:ascii="Simplified Arabic" w:hAnsi="Simplified Arabic" w:cs="Simplified Arabic"/>
          <w:szCs w:val="28"/>
          <w:lang w:bidi="ar-EG"/>
        </w:rPr>
        <w:fldChar w:fldCharType="separate"/>
      </w:r>
      <w:r>
        <w:t xml:space="preserve">1 </w:t>
      </w:r>
      <w:r>
        <w:rPr>
          <w:rFonts w:hint="default"/>
          <w:rtl/>
        </w:rPr>
        <w:t>: جدول المتغيرات الأساسية</w:t>
      </w:r>
      <w:r>
        <w:tab/>
      </w:r>
      <w:r>
        <w:fldChar w:fldCharType="begin"/>
      </w:r>
      <w:r>
        <w:instrText xml:space="preserve"> PAGEREF _Toc15355 \h </w:instrText>
      </w:r>
      <w:r>
        <w:fldChar w:fldCharType="separate"/>
      </w:r>
      <w:r>
        <w:t>15</w:t>
      </w:r>
      <w:r>
        <w:fldChar w:fldCharType="end"/>
      </w:r>
      <w:r>
        <w:rPr>
          <w:rFonts w:hint="default" w:ascii="Simplified Arabic" w:hAnsi="Simplified Arabic" w:cs="Simplified Arabic"/>
          <w:szCs w:val="28"/>
          <w:u w:val="single"/>
          <w:lang w:bidi="ar-EG"/>
        </w:rPr>
        <w:fldChar w:fldCharType="end"/>
      </w:r>
    </w:p>
    <w:p w14:paraId="507A97F6">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_Toc8303 </w:instrText>
      </w:r>
      <w:r>
        <w:rPr>
          <w:rFonts w:hint="default" w:ascii="Simplified Arabic" w:hAnsi="Simplified Arabic" w:cs="Simplified Arabic"/>
          <w:szCs w:val="28"/>
          <w:lang w:bidi="ar-EG"/>
        </w:rPr>
        <w:fldChar w:fldCharType="separate"/>
      </w:r>
      <w:r>
        <w:t xml:space="preserve">2 </w:t>
      </w:r>
      <w:r>
        <w:rPr>
          <w:rFonts w:hint="cs"/>
          <w:rtl/>
        </w:rPr>
        <w:t>: جدول المعادلات الأحصائية المستخدمة في الدراسة</w:t>
      </w:r>
      <w:r>
        <w:tab/>
      </w:r>
      <w:r>
        <w:fldChar w:fldCharType="begin"/>
      </w:r>
      <w:r>
        <w:instrText xml:space="preserve"> PAGEREF _Toc8303 \h </w:instrText>
      </w:r>
      <w:r>
        <w:fldChar w:fldCharType="separate"/>
      </w:r>
      <w:r>
        <w:t>38</w:t>
      </w:r>
      <w:r>
        <w:fldChar w:fldCharType="end"/>
      </w:r>
      <w:r>
        <w:rPr>
          <w:rFonts w:hint="default" w:ascii="Simplified Arabic" w:hAnsi="Simplified Arabic" w:cs="Simplified Arabic"/>
          <w:szCs w:val="28"/>
          <w:u w:val="single"/>
          <w:lang w:bidi="ar-EG"/>
        </w:rPr>
        <w:fldChar w:fldCharType="end"/>
      </w:r>
    </w:p>
    <w:p w14:paraId="17488D4C">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_Toc27299 </w:instrText>
      </w:r>
      <w:r>
        <w:rPr>
          <w:rFonts w:hint="default" w:ascii="Simplified Arabic" w:hAnsi="Simplified Arabic" w:cs="Simplified Arabic"/>
          <w:szCs w:val="28"/>
          <w:lang w:bidi="ar-EG"/>
        </w:rPr>
        <w:fldChar w:fldCharType="separate"/>
      </w:r>
      <w:r>
        <w:t xml:space="preserve">3 </w:t>
      </w:r>
      <w:r>
        <w:rPr>
          <w:rFonts w:hint="cs"/>
          <w:rtl/>
        </w:rPr>
        <w:t>: جدول التقسيم حسب مجال العمل</w:t>
      </w:r>
      <w:r>
        <w:tab/>
      </w:r>
      <w:r>
        <w:fldChar w:fldCharType="begin"/>
      </w:r>
      <w:r>
        <w:instrText xml:space="preserve"> PAGEREF _Toc27299 \h </w:instrText>
      </w:r>
      <w:r>
        <w:fldChar w:fldCharType="separate"/>
      </w:r>
      <w:r>
        <w:t>38</w:t>
      </w:r>
      <w:r>
        <w:fldChar w:fldCharType="end"/>
      </w:r>
      <w:r>
        <w:rPr>
          <w:rFonts w:hint="default" w:ascii="Simplified Arabic" w:hAnsi="Simplified Arabic" w:cs="Simplified Arabic"/>
          <w:szCs w:val="28"/>
          <w:u w:val="single"/>
          <w:lang w:bidi="ar-EG"/>
        </w:rPr>
        <w:fldChar w:fldCharType="end"/>
      </w:r>
    </w:p>
    <w:p w14:paraId="73B43169">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_Toc4702 </w:instrText>
      </w:r>
      <w:r>
        <w:rPr>
          <w:rFonts w:hint="default" w:ascii="Simplified Arabic" w:hAnsi="Simplified Arabic" w:cs="Simplified Arabic"/>
          <w:szCs w:val="28"/>
          <w:lang w:bidi="ar-EG"/>
        </w:rPr>
        <w:fldChar w:fldCharType="separate"/>
      </w:r>
      <w:r>
        <w:t xml:space="preserve">4 </w:t>
      </w:r>
      <w:r>
        <w:rPr>
          <w:rFonts w:hint="cs"/>
          <w:rtl/>
        </w:rPr>
        <w:t xml:space="preserve">: </w:t>
      </w:r>
      <w:r>
        <w:rPr>
          <w:rFonts w:hint="cs" w:cs="Simplified Arabic"/>
          <w:rtl/>
          <w:lang w:bidi="ar-SA"/>
        </w:rPr>
        <w:t>جدول</w:t>
      </w:r>
      <w:r>
        <w:rPr>
          <w:rFonts w:hint="cs" w:cs="Simplified Arabic"/>
          <w:rtl/>
          <w:lang w:val="en-US" w:bidi="ar-SA"/>
        </w:rPr>
        <w:t xml:space="preserve"> </w:t>
      </w:r>
      <w:r>
        <w:rPr>
          <w:rFonts w:hint="cs"/>
          <w:rtl/>
        </w:rPr>
        <w:t>لتقسيم حسب جهة العمل</w:t>
      </w:r>
      <w:r>
        <w:tab/>
      </w:r>
      <w:r>
        <w:fldChar w:fldCharType="begin"/>
      </w:r>
      <w:r>
        <w:instrText xml:space="preserve"> PAGEREF _Toc4702 \h </w:instrText>
      </w:r>
      <w:r>
        <w:fldChar w:fldCharType="separate"/>
      </w:r>
      <w:r>
        <w:t>39</w:t>
      </w:r>
      <w:r>
        <w:fldChar w:fldCharType="end"/>
      </w:r>
      <w:r>
        <w:rPr>
          <w:rFonts w:hint="default" w:ascii="Simplified Arabic" w:hAnsi="Simplified Arabic" w:cs="Simplified Arabic"/>
          <w:szCs w:val="28"/>
          <w:u w:val="single"/>
          <w:lang w:bidi="ar-EG"/>
        </w:rPr>
        <w:fldChar w:fldCharType="end"/>
      </w:r>
    </w:p>
    <w:p w14:paraId="54137753">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_Toc24420 </w:instrText>
      </w:r>
      <w:r>
        <w:rPr>
          <w:rFonts w:hint="default" w:ascii="Simplified Arabic" w:hAnsi="Simplified Arabic" w:cs="Simplified Arabic"/>
          <w:szCs w:val="28"/>
          <w:lang w:bidi="ar-EG"/>
        </w:rPr>
        <w:fldChar w:fldCharType="separate"/>
      </w:r>
      <w:r>
        <w:t xml:space="preserve">5 </w:t>
      </w:r>
      <w:r>
        <w:rPr>
          <w:rFonts w:hint="cs"/>
          <w:rtl/>
        </w:rPr>
        <w:t>: جدول تقسيم حسب الدرجة العلمية</w:t>
      </w:r>
      <w:r>
        <w:tab/>
      </w:r>
      <w:r>
        <w:fldChar w:fldCharType="begin"/>
      </w:r>
      <w:r>
        <w:instrText xml:space="preserve"> PAGEREF _Toc24420 \h </w:instrText>
      </w:r>
      <w:r>
        <w:fldChar w:fldCharType="separate"/>
      </w:r>
      <w:r>
        <w:t>40</w:t>
      </w:r>
      <w:r>
        <w:fldChar w:fldCharType="end"/>
      </w:r>
      <w:r>
        <w:rPr>
          <w:rFonts w:hint="default" w:ascii="Simplified Arabic" w:hAnsi="Simplified Arabic" w:cs="Simplified Arabic"/>
          <w:szCs w:val="28"/>
          <w:u w:val="single"/>
          <w:lang w:bidi="ar-EG"/>
        </w:rPr>
        <w:fldChar w:fldCharType="end"/>
      </w:r>
    </w:p>
    <w:p w14:paraId="58934F52">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_Toc6149 </w:instrText>
      </w:r>
      <w:r>
        <w:rPr>
          <w:rFonts w:hint="default" w:ascii="Simplified Arabic" w:hAnsi="Simplified Arabic" w:cs="Simplified Arabic"/>
          <w:szCs w:val="28"/>
          <w:lang w:bidi="ar-EG"/>
        </w:rPr>
        <w:fldChar w:fldCharType="separate"/>
      </w:r>
      <w:r>
        <w:t xml:space="preserve">6 </w:t>
      </w:r>
      <w:r>
        <w:rPr>
          <w:rFonts w:hint="cs"/>
          <w:rtl/>
        </w:rPr>
        <w:t>: جدول التقسيم حسب سنوات الخبرة</w:t>
      </w:r>
      <w:r>
        <w:tab/>
      </w:r>
      <w:r>
        <w:fldChar w:fldCharType="begin"/>
      </w:r>
      <w:r>
        <w:instrText xml:space="preserve"> PAGEREF _Toc6149 \h </w:instrText>
      </w:r>
      <w:r>
        <w:fldChar w:fldCharType="separate"/>
      </w:r>
      <w:r>
        <w:t>41</w:t>
      </w:r>
      <w:r>
        <w:fldChar w:fldCharType="end"/>
      </w:r>
      <w:r>
        <w:rPr>
          <w:rFonts w:hint="default" w:ascii="Simplified Arabic" w:hAnsi="Simplified Arabic" w:cs="Simplified Arabic"/>
          <w:szCs w:val="28"/>
          <w:u w:val="single"/>
          <w:lang w:bidi="ar-EG"/>
        </w:rPr>
        <w:fldChar w:fldCharType="end"/>
      </w:r>
    </w:p>
    <w:p w14:paraId="47104EBD">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_Toc6464 </w:instrText>
      </w:r>
      <w:r>
        <w:rPr>
          <w:rFonts w:hint="default" w:ascii="Simplified Arabic" w:hAnsi="Simplified Arabic" w:cs="Simplified Arabic"/>
          <w:szCs w:val="28"/>
          <w:lang w:bidi="ar-EG"/>
        </w:rPr>
        <w:fldChar w:fldCharType="separate"/>
      </w:r>
      <w:r>
        <w:t xml:space="preserve">7 </w:t>
      </w:r>
      <w:r>
        <w:rPr>
          <w:rFonts w:hint="cs"/>
          <w:rtl/>
        </w:rPr>
        <w:t>:  تحليل معامل الثبات لكل متغير</w:t>
      </w:r>
      <w:r>
        <w:tab/>
      </w:r>
      <w:r>
        <w:fldChar w:fldCharType="begin"/>
      </w:r>
      <w:r>
        <w:instrText xml:space="preserve"> PAGEREF _Toc6464 \h </w:instrText>
      </w:r>
      <w:r>
        <w:fldChar w:fldCharType="separate"/>
      </w:r>
      <w:r>
        <w:t>42</w:t>
      </w:r>
      <w:r>
        <w:fldChar w:fldCharType="end"/>
      </w:r>
      <w:r>
        <w:rPr>
          <w:rFonts w:hint="default" w:ascii="Simplified Arabic" w:hAnsi="Simplified Arabic" w:cs="Simplified Arabic"/>
          <w:szCs w:val="28"/>
          <w:u w:val="single"/>
          <w:lang w:bidi="ar-EG"/>
        </w:rPr>
        <w:fldChar w:fldCharType="end"/>
      </w:r>
    </w:p>
    <w:p w14:paraId="1E12D8E1">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_Toc19620 </w:instrText>
      </w:r>
      <w:r>
        <w:rPr>
          <w:rFonts w:hint="default" w:ascii="Simplified Arabic" w:hAnsi="Simplified Arabic" w:cs="Simplified Arabic"/>
          <w:szCs w:val="28"/>
          <w:lang w:bidi="ar-EG"/>
        </w:rPr>
        <w:fldChar w:fldCharType="separate"/>
      </w:r>
      <w:r>
        <w:t xml:space="preserve">8 </w:t>
      </w:r>
      <w:r>
        <w:rPr>
          <w:rFonts w:hint="cs"/>
          <w:rtl/>
        </w:rPr>
        <w:t>: جدول معامل ارتباطب يرسون بين المتغيرات</w:t>
      </w:r>
      <w:r>
        <w:tab/>
      </w:r>
      <w:r>
        <w:fldChar w:fldCharType="begin"/>
      </w:r>
      <w:r>
        <w:instrText xml:space="preserve"> PAGEREF _Toc19620 \h </w:instrText>
      </w:r>
      <w:r>
        <w:fldChar w:fldCharType="separate"/>
      </w:r>
      <w:r>
        <w:t>43</w:t>
      </w:r>
      <w:r>
        <w:fldChar w:fldCharType="end"/>
      </w:r>
      <w:r>
        <w:rPr>
          <w:rFonts w:hint="default" w:ascii="Simplified Arabic" w:hAnsi="Simplified Arabic" w:cs="Simplified Arabic"/>
          <w:szCs w:val="28"/>
          <w:u w:val="single"/>
          <w:lang w:bidi="ar-EG"/>
        </w:rPr>
        <w:fldChar w:fldCharType="end"/>
      </w:r>
    </w:p>
    <w:p w14:paraId="77889481">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_Toc21147 </w:instrText>
      </w:r>
      <w:r>
        <w:rPr>
          <w:rFonts w:hint="default" w:ascii="Simplified Arabic" w:hAnsi="Simplified Arabic" w:cs="Simplified Arabic"/>
          <w:szCs w:val="28"/>
          <w:lang w:bidi="ar-EG"/>
        </w:rPr>
        <w:fldChar w:fldCharType="separate"/>
      </w:r>
      <w:r>
        <w:t xml:space="preserve">9 </w:t>
      </w:r>
      <w:r>
        <w:rPr>
          <w:rFonts w:hint="cs"/>
          <w:rtl/>
        </w:rPr>
        <w:t>: جدول نتائج البعد البيئي</w:t>
      </w:r>
      <w:r>
        <w:tab/>
      </w:r>
      <w:r>
        <w:fldChar w:fldCharType="begin"/>
      </w:r>
      <w:r>
        <w:instrText xml:space="preserve"> PAGEREF _Toc21147 \h </w:instrText>
      </w:r>
      <w:r>
        <w:fldChar w:fldCharType="separate"/>
      </w:r>
      <w:r>
        <w:t>45</w:t>
      </w:r>
      <w:r>
        <w:fldChar w:fldCharType="end"/>
      </w:r>
      <w:r>
        <w:rPr>
          <w:rFonts w:hint="default" w:ascii="Simplified Arabic" w:hAnsi="Simplified Arabic" w:cs="Simplified Arabic"/>
          <w:szCs w:val="28"/>
          <w:u w:val="single"/>
          <w:lang w:bidi="ar-EG"/>
        </w:rPr>
        <w:fldChar w:fldCharType="end"/>
      </w:r>
    </w:p>
    <w:p w14:paraId="1630AC42">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_Toc11211 </w:instrText>
      </w:r>
      <w:r>
        <w:rPr>
          <w:rFonts w:hint="default" w:ascii="Simplified Arabic" w:hAnsi="Simplified Arabic" w:cs="Simplified Arabic"/>
          <w:szCs w:val="28"/>
          <w:lang w:bidi="ar-EG"/>
        </w:rPr>
        <w:fldChar w:fldCharType="separate"/>
      </w:r>
      <w:r>
        <w:t xml:space="preserve">10 </w:t>
      </w:r>
      <w:r>
        <w:rPr>
          <w:rFonts w:hint="cs"/>
          <w:rtl/>
        </w:rPr>
        <w:t>: جدول البعد الإقتصادي</w:t>
      </w:r>
      <w:r>
        <w:tab/>
      </w:r>
      <w:r>
        <w:fldChar w:fldCharType="begin"/>
      </w:r>
      <w:r>
        <w:instrText xml:space="preserve"> PAGEREF _Toc11211 \h </w:instrText>
      </w:r>
      <w:r>
        <w:fldChar w:fldCharType="separate"/>
      </w:r>
      <w:r>
        <w:t>47</w:t>
      </w:r>
      <w:r>
        <w:fldChar w:fldCharType="end"/>
      </w:r>
      <w:r>
        <w:rPr>
          <w:rFonts w:hint="default" w:ascii="Simplified Arabic" w:hAnsi="Simplified Arabic" w:cs="Simplified Arabic"/>
          <w:szCs w:val="28"/>
          <w:u w:val="single"/>
          <w:lang w:bidi="ar-EG"/>
        </w:rPr>
        <w:fldChar w:fldCharType="end"/>
      </w:r>
    </w:p>
    <w:p w14:paraId="67B52E6E">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_Toc17063 </w:instrText>
      </w:r>
      <w:r>
        <w:rPr>
          <w:rFonts w:hint="default" w:ascii="Simplified Arabic" w:hAnsi="Simplified Arabic" w:cs="Simplified Arabic"/>
          <w:szCs w:val="28"/>
          <w:lang w:bidi="ar-EG"/>
        </w:rPr>
        <w:fldChar w:fldCharType="separate"/>
      </w:r>
      <w:r>
        <w:t xml:space="preserve">11 </w:t>
      </w:r>
      <w:r>
        <w:rPr>
          <w:rFonts w:hint="cs"/>
          <w:rtl/>
        </w:rPr>
        <w:t>: جدول البعد التقني</w:t>
      </w:r>
      <w:r>
        <w:tab/>
      </w:r>
      <w:r>
        <w:fldChar w:fldCharType="begin"/>
      </w:r>
      <w:r>
        <w:instrText xml:space="preserve"> PAGEREF _Toc17063 \h </w:instrText>
      </w:r>
      <w:r>
        <w:fldChar w:fldCharType="separate"/>
      </w:r>
      <w:r>
        <w:t>48</w:t>
      </w:r>
      <w:r>
        <w:fldChar w:fldCharType="end"/>
      </w:r>
      <w:r>
        <w:rPr>
          <w:rFonts w:hint="default" w:ascii="Simplified Arabic" w:hAnsi="Simplified Arabic" w:cs="Simplified Arabic"/>
          <w:szCs w:val="28"/>
          <w:u w:val="single"/>
          <w:lang w:bidi="ar-EG"/>
        </w:rPr>
        <w:fldChar w:fldCharType="end"/>
      </w:r>
    </w:p>
    <w:p w14:paraId="7508DFCE">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_Toc32366 </w:instrText>
      </w:r>
      <w:r>
        <w:rPr>
          <w:rFonts w:hint="default" w:ascii="Simplified Arabic" w:hAnsi="Simplified Arabic" w:cs="Simplified Arabic"/>
          <w:szCs w:val="28"/>
          <w:lang w:bidi="ar-EG"/>
        </w:rPr>
        <w:fldChar w:fldCharType="separate"/>
      </w:r>
      <w:r>
        <w:t xml:space="preserve">12 </w:t>
      </w:r>
      <w:r>
        <w:rPr>
          <w:rFonts w:hint="cs"/>
          <w:rtl/>
        </w:rPr>
        <w:t>: جدول البعد الاجتماعي</w:t>
      </w:r>
      <w:r>
        <w:tab/>
      </w:r>
      <w:r>
        <w:fldChar w:fldCharType="begin"/>
      </w:r>
      <w:r>
        <w:instrText xml:space="preserve"> PAGEREF _Toc32366 \h </w:instrText>
      </w:r>
      <w:r>
        <w:fldChar w:fldCharType="separate"/>
      </w:r>
      <w:r>
        <w:t>50</w:t>
      </w:r>
      <w:r>
        <w:fldChar w:fldCharType="end"/>
      </w:r>
      <w:r>
        <w:rPr>
          <w:rFonts w:hint="default" w:ascii="Simplified Arabic" w:hAnsi="Simplified Arabic" w:cs="Simplified Arabic"/>
          <w:szCs w:val="28"/>
          <w:u w:val="single"/>
          <w:lang w:bidi="ar-EG"/>
        </w:rPr>
        <w:fldChar w:fldCharType="end"/>
      </w:r>
    </w:p>
    <w:p w14:paraId="3DD08229">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_Toc4897 </w:instrText>
      </w:r>
      <w:r>
        <w:rPr>
          <w:rFonts w:hint="default" w:ascii="Simplified Arabic" w:hAnsi="Simplified Arabic" w:cs="Simplified Arabic"/>
          <w:szCs w:val="28"/>
          <w:lang w:bidi="ar-EG"/>
        </w:rPr>
        <w:fldChar w:fldCharType="separate"/>
      </w:r>
      <w:r>
        <w:t xml:space="preserve">13 </w:t>
      </w:r>
      <w:r>
        <w:rPr>
          <w:rFonts w:hint="cs"/>
          <w:rtl/>
        </w:rPr>
        <w:t>: جدول البيانات الشخصية</w:t>
      </w:r>
      <w:r>
        <w:rPr>
          <w:rFonts w:hint="cs" w:cs="Simplified Arabic"/>
          <w:rtl/>
          <w:lang w:val="en-US" w:bidi="ar-SA"/>
        </w:rPr>
        <w:t xml:space="preserve"> </w:t>
      </w:r>
      <w:r>
        <w:rPr>
          <w:rFonts w:hint="cs" w:cs="Simplified Arabic"/>
          <w:rtl/>
          <w:lang w:bidi="ar-SA"/>
        </w:rPr>
        <w:t>للمشاركين</w:t>
      </w:r>
      <w:r>
        <w:rPr>
          <w:rFonts w:hint="cs"/>
          <w:rtl/>
        </w:rPr>
        <w:t>.</w:t>
      </w:r>
      <w:r>
        <w:tab/>
      </w:r>
      <w:r>
        <w:fldChar w:fldCharType="begin"/>
      </w:r>
      <w:r>
        <w:instrText xml:space="preserve"> PAGEREF _Toc4897 \h </w:instrText>
      </w:r>
      <w:r>
        <w:fldChar w:fldCharType="separate"/>
      </w:r>
      <w:r>
        <w:t>57</w:t>
      </w:r>
      <w:r>
        <w:fldChar w:fldCharType="end"/>
      </w:r>
      <w:r>
        <w:rPr>
          <w:rFonts w:hint="default" w:ascii="Simplified Arabic" w:hAnsi="Simplified Arabic" w:cs="Simplified Arabic"/>
          <w:szCs w:val="28"/>
          <w:u w:val="single"/>
          <w:lang w:bidi="ar-EG"/>
        </w:rPr>
        <w:fldChar w:fldCharType="end"/>
      </w:r>
    </w:p>
    <w:p w14:paraId="10FEB3FD">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_Toc7739 </w:instrText>
      </w:r>
      <w:r>
        <w:rPr>
          <w:rFonts w:hint="default" w:ascii="Simplified Arabic" w:hAnsi="Simplified Arabic" w:cs="Simplified Arabic"/>
          <w:szCs w:val="28"/>
          <w:lang w:bidi="ar-EG"/>
        </w:rPr>
        <w:fldChar w:fldCharType="separate"/>
      </w:r>
      <w:r>
        <w:t xml:space="preserve">14 </w:t>
      </w:r>
      <w:r>
        <w:rPr>
          <w:rFonts w:hint="cs"/>
          <w:rtl/>
        </w:rPr>
        <w:t>: جدول فقرات الاستبانة حسب أبعاد الدراسة</w:t>
      </w:r>
      <w:r>
        <w:tab/>
      </w:r>
      <w:r>
        <w:fldChar w:fldCharType="begin"/>
      </w:r>
      <w:r>
        <w:instrText xml:space="preserve"> PAGEREF _Toc7739 \h </w:instrText>
      </w:r>
      <w:r>
        <w:fldChar w:fldCharType="separate"/>
      </w:r>
      <w:r>
        <w:t>58</w:t>
      </w:r>
      <w:r>
        <w:fldChar w:fldCharType="end"/>
      </w:r>
      <w:r>
        <w:rPr>
          <w:rFonts w:hint="default" w:ascii="Simplified Arabic" w:hAnsi="Simplified Arabic" w:cs="Simplified Arabic"/>
          <w:szCs w:val="28"/>
          <w:u w:val="single"/>
          <w:lang w:bidi="ar-EG"/>
        </w:rPr>
        <w:fldChar w:fldCharType="end"/>
      </w:r>
    </w:p>
    <w:p w14:paraId="3A504109">
      <w:pPr>
        <w:bidi/>
        <w:spacing w:line="240" w:lineRule="auto"/>
        <w:jc w:val="left"/>
        <w:rPr>
          <w:rFonts w:hint="default" w:ascii="Simplified Arabic" w:hAnsi="Simplified Arabic" w:cs="Simplified Arabic"/>
          <w:sz w:val="28"/>
          <w:szCs w:val="28"/>
          <w:u w:val="single"/>
          <w:rtl/>
          <w:lang w:bidi="ar-EG"/>
        </w:rPr>
      </w:pPr>
      <w:r>
        <w:rPr>
          <w:rFonts w:hint="default" w:ascii="Simplified Arabic" w:hAnsi="Simplified Arabic" w:cs="Simplified Arabic"/>
          <w:szCs w:val="28"/>
          <w:u w:val="single"/>
          <w:lang w:bidi="ar-EG"/>
        </w:rPr>
        <w:fldChar w:fldCharType="end"/>
      </w:r>
    </w:p>
    <w:p w14:paraId="11198760">
      <w:pPr>
        <w:bidi/>
        <w:spacing w:line="240" w:lineRule="auto"/>
        <w:jc w:val="left"/>
        <w:rPr>
          <w:rFonts w:hint="default" w:ascii="Simplified Arabic" w:hAnsi="Simplified Arabic" w:cs="Simplified Arabic"/>
          <w:sz w:val="28"/>
          <w:szCs w:val="28"/>
          <w:u w:val="single"/>
          <w:rtl/>
          <w:lang w:bidi="ar-EG"/>
        </w:rPr>
      </w:pPr>
    </w:p>
    <w:p w14:paraId="791EDD87">
      <w:pPr>
        <w:bidi/>
        <w:spacing w:line="240" w:lineRule="auto"/>
        <w:jc w:val="left"/>
        <w:rPr>
          <w:rFonts w:hint="default" w:ascii="Simplified Arabic" w:hAnsi="Simplified Arabic" w:cs="Simplified Arabic"/>
          <w:sz w:val="28"/>
          <w:szCs w:val="28"/>
          <w:u w:val="single"/>
          <w:rtl/>
          <w:lang w:bidi="ar-EG"/>
        </w:rPr>
      </w:pPr>
    </w:p>
    <w:p w14:paraId="3BD439BF">
      <w:pPr>
        <w:bidi/>
        <w:spacing w:line="240" w:lineRule="auto"/>
        <w:jc w:val="both"/>
        <w:rPr>
          <w:rFonts w:hint="default" w:ascii="Simplified Arabic" w:hAnsi="Simplified Arabic" w:cs="Simplified Arabic"/>
          <w:sz w:val="28"/>
          <w:szCs w:val="28"/>
          <w:u w:val="single"/>
          <w:rtl/>
          <w:lang w:bidi="ar-EG"/>
        </w:rPr>
      </w:pPr>
    </w:p>
    <w:p w14:paraId="5741615F">
      <w:pPr>
        <w:pStyle w:val="2"/>
        <w:bidi/>
        <w:rPr>
          <w:rFonts w:hint="default"/>
          <w:rtl/>
        </w:rPr>
      </w:pPr>
      <w:bookmarkStart w:id="2" w:name="_Toc7992"/>
      <w:r>
        <w:rPr>
          <w:rFonts w:hint="default"/>
          <w:rtl/>
        </w:rPr>
        <w:t>فهرس الأشكال</w:t>
      </w:r>
      <w:bookmarkEnd w:id="2"/>
    </w:p>
    <w:p w14:paraId="1EF69791">
      <w:pPr>
        <w:bidi/>
        <w:spacing w:line="240" w:lineRule="auto"/>
        <w:jc w:val="left"/>
        <w:rPr>
          <w:rFonts w:hint="default" w:ascii="Simplified Arabic" w:hAnsi="Simplified Arabic" w:cs="Simplified Arabic"/>
          <w:sz w:val="28"/>
          <w:szCs w:val="28"/>
          <w:u w:val="single"/>
          <w:rtl/>
          <w:lang w:bidi="ar-EG"/>
        </w:rPr>
      </w:pPr>
    </w:p>
    <w:p w14:paraId="39AD074C">
      <w:pPr>
        <w:pStyle w:val="18"/>
        <w:tabs>
          <w:tab w:val="right" w:leader="dot" w:pos="9638"/>
        </w:tabs>
      </w:pPr>
      <w:r>
        <w:rPr>
          <w:rFonts w:hint="default" w:ascii="Simplified Arabic" w:hAnsi="Simplified Arabic" w:cs="Simplified Arabic"/>
          <w:sz w:val="28"/>
          <w:szCs w:val="28"/>
          <w:u w:val="single"/>
          <w:lang w:bidi="ar-EG"/>
        </w:rPr>
        <w:fldChar w:fldCharType="begin"/>
      </w:r>
      <w:r>
        <w:rPr>
          <w:rFonts w:hint="default" w:ascii="Simplified Arabic" w:hAnsi="Simplified Arabic" w:cs="Simplified Arabic"/>
          <w:sz w:val="28"/>
          <w:szCs w:val="28"/>
          <w:u w:val="single"/>
          <w:lang w:bidi="ar-EG"/>
        </w:rPr>
        <w:instrText xml:space="preserve">TOC \h \c "Figure"</w:instrText>
      </w:r>
      <w:r>
        <w:rPr>
          <w:rFonts w:hint="default" w:ascii="Simplified Arabic" w:hAnsi="Simplified Arabic" w:cs="Simplified Arabic"/>
          <w:sz w:val="28"/>
          <w:szCs w:val="28"/>
          <w:u w:val="single"/>
          <w:lang w:bidi="ar-EG"/>
        </w:rPr>
        <w:fldChar w:fldCharType="separate"/>
      </w: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_Toc25286 </w:instrText>
      </w:r>
      <w:r>
        <w:rPr>
          <w:rFonts w:hint="default" w:ascii="Simplified Arabic" w:hAnsi="Simplified Arabic" w:cs="Simplified Arabic"/>
          <w:szCs w:val="28"/>
          <w:lang w:bidi="ar-EG"/>
        </w:rPr>
        <w:fldChar w:fldCharType="separate"/>
      </w:r>
      <w:r>
        <w:t xml:space="preserve">1 </w:t>
      </w:r>
      <w:r>
        <w:rPr>
          <w:rFonts w:hint="cs"/>
          <w:rtl/>
          <w:cs w:val="0"/>
        </w:rPr>
        <w:t>: صورة توضيحية للتقسيم حسب مجال العمل</w:t>
      </w:r>
      <w:r>
        <w:tab/>
      </w:r>
      <w:r>
        <w:fldChar w:fldCharType="begin"/>
      </w:r>
      <w:r>
        <w:instrText xml:space="preserve"> PAGEREF _Toc25286 \h </w:instrText>
      </w:r>
      <w:r>
        <w:fldChar w:fldCharType="separate"/>
      </w:r>
      <w:r>
        <w:t>39</w:t>
      </w:r>
      <w:r>
        <w:fldChar w:fldCharType="end"/>
      </w:r>
      <w:r>
        <w:rPr>
          <w:rFonts w:hint="default" w:ascii="Simplified Arabic" w:hAnsi="Simplified Arabic" w:cs="Simplified Arabic"/>
          <w:szCs w:val="28"/>
          <w:u w:val="single"/>
          <w:lang w:bidi="ar-EG"/>
        </w:rPr>
        <w:fldChar w:fldCharType="end"/>
      </w:r>
    </w:p>
    <w:p w14:paraId="77D41086">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_Toc22925 </w:instrText>
      </w:r>
      <w:r>
        <w:rPr>
          <w:rFonts w:hint="default" w:ascii="Simplified Arabic" w:hAnsi="Simplified Arabic" w:cs="Simplified Arabic"/>
          <w:szCs w:val="28"/>
          <w:lang w:bidi="ar-EG"/>
        </w:rPr>
        <w:fldChar w:fldCharType="separate"/>
      </w:r>
      <w:r>
        <w:t xml:space="preserve">2 </w:t>
      </w:r>
      <w:r>
        <w:rPr>
          <w:rFonts w:hint="cs"/>
          <w:rtl/>
        </w:rPr>
        <w:t>: صورة توضيحية للتقسيم حسب جهة العمل</w:t>
      </w:r>
      <w:r>
        <w:tab/>
      </w:r>
      <w:r>
        <w:fldChar w:fldCharType="begin"/>
      </w:r>
      <w:r>
        <w:instrText xml:space="preserve"> PAGEREF _Toc22925 \h </w:instrText>
      </w:r>
      <w:r>
        <w:fldChar w:fldCharType="separate"/>
      </w:r>
      <w:r>
        <w:t>40</w:t>
      </w:r>
      <w:r>
        <w:fldChar w:fldCharType="end"/>
      </w:r>
      <w:r>
        <w:rPr>
          <w:rFonts w:hint="default" w:ascii="Simplified Arabic" w:hAnsi="Simplified Arabic" w:cs="Simplified Arabic"/>
          <w:szCs w:val="28"/>
          <w:u w:val="single"/>
          <w:lang w:bidi="ar-EG"/>
        </w:rPr>
        <w:fldChar w:fldCharType="end"/>
      </w:r>
    </w:p>
    <w:p w14:paraId="7234574A">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_Toc28307 </w:instrText>
      </w:r>
      <w:r>
        <w:rPr>
          <w:rFonts w:hint="default" w:ascii="Simplified Arabic" w:hAnsi="Simplified Arabic" w:cs="Simplified Arabic"/>
          <w:szCs w:val="28"/>
          <w:lang w:bidi="ar-EG"/>
        </w:rPr>
        <w:fldChar w:fldCharType="separate"/>
      </w:r>
      <w:r>
        <w:t xml:space="preserve">3 </w:t>
      </w:r>
      <w:r>
        <w:rPr>
          <w:rFonts w:hint="cs"/>
          <w:rtl/>
        </w:rPr>
        <w:t>: صورة توضح تقسيم حسب الدرجة العلمية</w:t>
      </w:r>
      <w:r>
        <w:tab/>
      </w:r>
      <w:r>
        <w:fldChar w:fldCharType="begin"/>
      </w:r>
      <w:r>
        <w:instrText xml:space="preserve"> PAGEREF _Toc28307 \h </w:instrText>
      </w:r>
      <w:r>
        <w:fldChar w:fldCharType="separate"/>
      </w:r>
      <w:r>
        <w:t>40</w:t>
      </w:r>
      <w:r>
        <w:fldChar w:fldCharType="end"/>
      </w:r>
      <w:r>
        <w:rPr>
          <w:rFonts w:hint="default" w:ascii="Simplified Arabic" w:hAnsi="Simplified Arabic" w:cs="Simplified Arabic"/>
          <w:szCs w:val="28"/>
          <w:u w:val="single"/>
          <w:lang w:bidi="ar-EG"/>
        </w:rPr>
        <w:fldChar w:fldCharType="end"/>
      </w:r>
    </w:p>
    <w:p w14:paraId="6B10026E">
      <w:pPr>
        <w:pStyle w:val="18"/>
        <w:tabs>
          <w:tab w:val="right" w:leader="dot" w:pos="9638"/>
        </w:tabs>
      </w:pPr>
      <w:r>
        <w:rPr>
          <w:rFonts w:hint="default" w:ascii="Simplified Arabic" w:hAnsi="Simplified Arabic" w:cs="Simplified Arabic"/>
          <w:szCs w:val="28"/>
          <w:u w:val="single"/>
          <w:lang w:bidi="ar-EG"/>
        </w:rPr>
        <w:fldChar w:fldCharType="begin"/>
      </w:r>
      <w:r>
        <w:rPr>
          <w:rFonts w:hint="default" w:ascii="Simplified Arabic" w:hAnsi="Simplified Arabic" w:cs="Simplified Arabic"/>
          <w:szCs w:val="28"/>
          <w:lang w:bidi="ar-EG"/>
        </w:rPr>
        <w:instrText xml:space="preserve"> HYPERLINK \l _Toc15474 </w:instrText>
      </w:r>
      <w:r>
        <w:rPr>
          <w:rFonts w:hint="default" w:ascii="Simplified Arabic" w:hAnsi="Simplified Arabic" w:cs="Simplified Arabic"/>
          <w:szCs w:val="28"/>
          <w:lang w:bidi="ar-EG"/>
        </w:rPr>
        <w:fldChar w:fldCharType="separate"/>
      </w:r>
      <w:r>
        <w:t xml:space="preserve">4 </w:t>
      </w:r>
      <w:r>
        <w:rPr>
          <w:rFonts w:hint="cs"/>
          <w:rtl/>
          <w:lang w:val="en-US"/>
        </w:rPr>
        <w:t>: صورة توضح التقسيم حسب سنوات الخبرة</w:t>
      </w:r>
      <w:r>
        <w:tab/>
      </w:r>
      <w:r>
        <w:fldChar w:fldCharType="begin"/>
      </w:r>
      <w:r>
        <w:instrText xml:space="preserve"> PAGEREF _Toc15474 \h </w:instrText>
      </w:r>
      <w:r>
        <w:fldChar w:fldCharType="separate"/>
      </w:r>
      <w:r>
        <w:t>41</w:t>
      </w:r>
      <w:r>
        <w:fldChar w:fldCharType="end"/>
      </w:r>
      <w:r>
        <w:rPr>
          <w:rFonts w:hint="default" w:ascii="Simplified Arabic" w:hAnsi="Simplified Arabic" w:cs="Simplified Arabic"/>
          <w:szCs w:val="28"/>
          <w:u w:val="single"/>
          <w:lang w:bidi="ar-EG"/>
        </w:rPr>
        <w:fldChar w:fldCharType="end"/>
      </w:r>
    </w:p>
    <w:p w14:paraId="1DAEEFEB">
      <w:pPr>
        <w:bidi/>
        <w:spacing w:line="240" w:lineRule="auto"/>
        <w:jc w:val="left"/>
        <w:rPr>
          <w:rFonts w:hint="default" w:ascii="Simplified Arabic" w:hAnsi="Simplified Arabic" w:cs="Simplified Arabic"/>
          <w:sz w:val="28"/>
          <w:szCs w:val="28"/>
          <w:u w:val="single"/>
          <w:rtl/>
          <w:lang w:bidi="ar-EG"/>
        </w:rPr>
      </w:pPr>
      <w:r>
        <w:rPr>
          <w:rFonts w:hint="default" w:ascii="Simplified Arabic" w:hAnsi="Simplified Arabic" w:cs="Simplified Arabic"/>
          <w:szCs w:val="28"/>
          <w:u w:val="single"/>
          <w:lang w:bidi="ar-EG"/>
        </w:rPr>
        <w:fldChar w:fldCharType="end"/>
      </w:r>
    </w:p>
    <w:p w14:paraId="5DE48217">
      <w:pPr>
        <w:bidi/>
        <w:spacing w:line="240" w:lineRule="auto"/>
        <w:jc w:val="left"/>
        <w:rPr>
          <w:rFonts w:hint="default" w:ascii="Simplified Arabic" w:hAnsi="Simplified Arabic" w:cs="Simplified Arabic"/>
          <w:sz w:val="28"/>
          <w:szCs w:val="28"/>
          <w:u w:val="single"/>
          <w:rtl/>
          <w:lang w:bidi="ar-EG"/>
        </w:rPr>
      </w:pPr>
    </w:p>
    <w:p w14:paraId="4FFFC96F">
      <w:pPr>
        <w:bidi/>
        <w:spacing w:line="240" w:lineRule="auto"/>
        <w:jc w:val="both"/>
        <w:rPr>
          <w:rFonts w:hint="default" w:ascii="Simplified Arabic" w:hAnsi="Simplified Arabic" w:cs="Simplified Arabic"/>
          <w:sz w:val="28"/>
          <w:szCs w:val="28"/>
          <w:u w:val="single"/>
          <w:rtl/>
          <w:lang w:bidi="ar-EG"/>
        </w:rPr>
      </w:pPr>
    </w:p>
    <w:p w14:paraId="19205CBF">
      <w:pPr>
        <w:bidi/>
        <w:spacing w:line="240" w:lineRule="auto"/>
        <w:jc w:val="both"/>
        <w:rPr>
          <w:rFonts w:hint="default" w:ascii="Simplified Arabic" w:hAnsi="Simplified Arabic" w:cs="Simplified Arabic"/>
          <w:sz w:val="28"/>
          <w:szCs w:val="28"/>
          <w:u w:val="single"/>
          <w:rtl/>
          <w:lang w:bidi="ar-EG"/>
        </w:rPr>
      </w:pPr>
    </w:p>
    <w:p w14:paraId="3E6CE2F3">
      <w:pPr>
        <w:bidi/>
        <w:spacing w:line="240" w:lineRule="auto"/>
        <w:jc w:val="both"/>
        <w:rPr>
          <w:rFonts w:hint="default" w:ascii="Simplified Arabic" w:hAnsi="Simplified Arabic" w:cs="Simplified Arabic"/>
          <w:sz w:val="28"/>
          <w:szCs w:val="28"/>
          <w:u w:val="single"/>
          <w:rtl/>
          <w:lang w:bidi="ar-EG"/>
        </w:rPr>
      </w:pPr>
    </w:p>
    <w:p w14:paraId="629C220F">
      <w:pPr>
        <w:bidi/>
        <w:spacing w:line="240" w:lineRule="auto"/>
        <w:jc w:val="both"/>
        <w:rPr>
          <w:rFonts w:hint="default" w:ascii="Simplified Arabic" w:hAnsi="Simplified Arabic" w:cs="Simplified Arabic"/>
          <w:sz w:val="28"/>
          <w:szCs w:val="28"/>
          <w:u w:val="single"/>
          <w:rtl/>
          <w:lang w:bidi="ar-EG"/>
        </w:rPr>
      </w:pPr>
    </w:p>
    <w:p w14:paraId="63E5CF7E">
      <w:pPr>
        <w:bidi/>
        <w:spacing w:line="240" w:lineRule="auto"/>
        <w:jc w:val="both"/>
        <w:rPr>
          <w:rFonts w:hint="default" w:ascii="Simplified Arabic" w:hAnsi="Simplified Arabic" w:cs="Simplified Arabic"/>
          <w:sz w:val="28"/>
          <w:szCs w:val="28"/>
          <w:u w:val="single"/>
          <w:rtl/>
          <w:lang w:bidi="ar-EG"/>
        </w:rPr>
      </w:pPr>
    </w:p>
    <w:p w14:paraId="0C9A92C6">
      <w:pPr>
        <w:bidi/>
        <w:spacing w:line="240" w:lineRule="auto"/>
        <w:jc w:val="both"/>
        <w:rPr>
          <w:rFonts w:hint="default" w:ascii="Simplified Arabic" w:hAnsi="Simplified Arabic" w:cs="Simplified Arabic"/>
          <w:sz w:val="28"/>
          <w:szCs w:val="28"/>
          <w:u w:val="single"/>
          <w:rtl/>
          <w:lang w:bidi="ar-EG"/>
        </w:rPr>
      </w:pPr>
    </w:p>
    <w:p w14:paraId="6DC6D894">
      <w:pPr>
        <w:bidi/>
        <w:spacing w:line="240" w:lineRule="auto"/>
        <w:jc w:val="both"/>
        <w:rPr>
          <w:rFonts w:hint="default" w:ascii="Simplified Arabic" w:hAnsi="Simplified Arabic" w:cs="Simplified Arabic"/>
          <w:sz w:val="28"/>
          <w:szCs w:val="28"/>
          <w:u w:val="single"/>
          <w:rtl/>
          <w:lang w:bidi="ar-EG"/>
        </w:rPr>
      </w:pPr>
    </w:p>
    <w:p w14:paraId="4CEA6114">
      <w:pPr>
        <w:bidi/>
        <w:spacing w:line="240" w:lineRule="auto"/>
        <w:jc w:val="both"/>
        <w:rPr>
          <w:rFonts w:hint="default" w:ascii="Simplified Arabic" w:hAnsi="Simplified Arabic" w:cs="Simplified Arabic"/>
          <w:sz w:val="28"/>
          <w:szCs w:val="28"/>
          <w:u w:val="single"/>
          <w:rtl/>
          <w:lang w:bidi="ar-EG"/>
        </w:rPr>
      </w:pPr>
    </w:p>
    <w:p w14:paraId="5B0C6A8D">
      <w:pPr>
        <w:bidi/>
        <w:spacing w:line="240" w:lineRule="auto"/>
        <w:jc w:val="both"/>
        <w:rPr>
          <w:rFonts w:hint="default" w:ascii="Simplified Arabic" w:hAnsi="Simplified Arabic" w:cs="Simplified Arabic"/>
          <w:sz w:val="28"/>
          <w:szCs w:val="28"/>
          <w:u w:val="single"/>
          <w:rtl/>
          <w:lang w:bidi="ar-EG"/>
        </w:rPr>
      </w:pPr>
    </w:p>
    <w:p w14:paraId="2DF2C84C">
      <w:pPr>
        <w:bidi/>
        <w:spacing w:line="240" w:lineRule="auto"/>
        <w:jc w:val="both"/>
        <w:rPr>
          <w:rFonts w:hint="default" w:ascii="Simplified Arabic" w:hAnsi="Simplified Arabic" w:cs="Simplified Arabic"/>
          <w:sz w:val="28"/>
          <w:szCs w:val="28"/>
          <w:u w:val="single"/>
          <w:rtl/>
          <w:lang w:bidi="ar-EG"/>
        </w:rPr>
      </w:pPr>
    </w:p>
    <w:p w14:paraId="668F6A29">
      <w:pPr>
        <w:bidi/>
        <w:spacing w:line="240" w:lineRule="auto"/>
        <w:jc w:val="both"/>
        <w:rPr>
          <w:rFonts w:hint="default" w:ascii="Simplified Arabic" w:hAnsi="Simplified Arabic" w:cs="Simplified Arabic"/>
          <w:sz w:val="28"/>
          <w:szCs w:val="28"/>
          <w:u w:val="single"/>
          <w:rtl/>
          <w:lang w:bidi="ar-EG"/>
        </w:rPr>
      </w:pPr>
    </w:p>
    <w:p w14:paraId="76CC3300">
      <w:pPr>
        <w:bidi/>
        <w:spacing w:line="240" w:lineRule="auto"/>
        <w:jc w:val="left"/>
        <w:rPr>
          <w:rFonts w:hint="default" w:ascii="Simplified Arabic" w:hAnsi="Simplified Arabic" w:cs="Simplified Arabic"/>
          <w:sz w:val="28"/>
          <w:szCs w:val="28"/>
          <w:u w:val="single"/>
          <w:rtl/>
          <w:lang w:bidi="ar-EG"/>
        </w:rPr>
      </w:pPr>
    </w:p>
    <w:p w14:paraId="6FCBDE9A">
      <w:pPr>
        <w:bidi/>
        <w:spacing w:line="240" w:lineRule="auto"/>
        <w:jc w:val="left"/>
        <w:rPr>
          <w:rFonts w:hint="default" w:ascii="Simplified Arabic" w:hAnsi="Simplified Arabic" w:cs="Simplified Arabic"/>
          <w:sz w:val="28"/>
          <w:szCs w:val="28"/>
          <w:u w:val="single"/>
          <w:rtl/>
          <w:lang w:bidi="ar-EG"/>
        </w:rPr>
      </w:pPr>
    </w:p>
    <w:p w14:paraId="32DDC605">
      <w:pPr>
        <w:pStyle w:val="2"/>
        <w:bidi/>
        <w:rPr>
          <w:rFonts w:hint="default"/>
        </w:rPr>
      </w:pPr>
      <w:bookmarkStart w:id="3" w:name="_Toc28752"/>
      <w:r>
        <w:rPr>
          <w:rFonts w:hint="default"/>
          <w:rtl/>
        </w:rPr>
        <w:t>المستخلص</w:t>
      </w:r>
      <w:bookmarkEnd w:id="3"/>
      <w:r>
        <w:rPr>
          <w:rFonts w:hint="default"/>
          <w:rtl/>
        </w:rPr>
        <w:t xml:space="preserve"> </w:t>
      </w:r>
    </w:p>
    <w:p w14:paraId="3C913CD7">
      <w:pPr>
        <w:bidi/>
      </w:pPr>
      <w:r>
        <w:rPr>
          <w:rtl/>
          <w:cs/>
        </w:rPr>
        <w:t>هدفت هذه الدراسة إلى تحليل أثر جودة الأعمال الإنشائية في مرحلة التنفيذ على الاستدامة التشغيلية في المشاريع واسعة النطاق، مع التركيز على المشاريع المرتبطة بصندوق الاستثمارات العامة في المملكة العربية السعودية</w:t>
      </w:r>
      <w:r>
        <w:rPr>
          <w:cs w:val="0"/>
        </w:rPr>
        <w:t xml:space="preserve">. </w:t>
      </w:r>
      <w:r>
        <w:rPr>
          <w:rtl/>
          <w:cs/>
        </w:rPr>
        <w:t>وانطلقت الدراسة من فرضية رئيسية مفادها أن جودة التنفيذ الإنشائي لا تقتصر آثارها على مرحلة البناء فقط، بل تمتد لتؤثر بصورة مباشرة في كفاءة التشغيل واستدامة أداء الأصول على المدى الطويل</w:t>
      </w:r>
      <w:r>
        <w:rPr>
          <w:cs w:val="0"/>
        </w:rPr>
        <w:t xml:space="preserve">. </w:t>
      </w:r>
      <w:r>
        <w:rPr>
          <w:rtl/>
          <w:cs/>
        </w:rPr>
        <w:t>وتناولت الدراسة أربعة أبعاد رئيسية للاستدامة التشغيلية، وهي</w:t>
      </w:r>
      <w:r>
        <w:rPr>
          <w:cs w:val="0"/>
        </w:rPr>
        <w:t xml:space="preserve">: </w:t>
      </w:r>
      <w:r>
        <w:rPr>
          <w:rtl/>
          <w:cs/>
        </w:rPr>
        <w:t>البعد البيئي، والبعد الاقتصادي، والبعد التقني، والبعد الاجتماعي المرتبط برأس المال البشري ونقل المعرفة بين مرحلتي التنفيذ والتشغيل</w:t>
      </w:r>
      <w:r>
        <w:rPr>
          <w:cs w:val="0"/>
        </w:rPr>
        <w:t>.</w:t>
      </w:r>
    </w:p>
    <w:p w14:paraId="2FB7F78F">
      <w:pPr>
        <w:bidi/>
      </w:pPr>
      <w:r>
        <w:rPr>
          <w:rtl/>
          <w:cs/>
        </w:rPr>
        <w:t xml:space="preserve">اعتمدت الدراسة على المنهج الوصفي التحليلي، وتم جمع البيانات من خلال استبانة وزعت على عينة قصدية من العاملين في المجالات المرتبطة بالمشاريع وإدارة المرافق والتشغيل، حيث بلغ عدد المشاركين </w:t>
      </w:r>
      <w:r>
        <w:rPr>
          <w:cs w:val="0"/>
        </w:rPr>
        <w:t xml:space="preserve">(75) </w:t>
      </w:r>
      <w:r>
        <w:rPr>
          <w:rtl/>
          <w:cs/>
        </w:rPr>
        <w:t>مشاركًا</w:t>
      </w:r>
      <w:r>
        <w:rPr>
          <w:cs w:val="0"/>
        </w:rPr>
        <w:t xml:space="preserve">. </w:t>
      </w:r>
      <w:r>
        <w:rPr>
          <w:rtl/>
          <w:cs/>
        </w:rPr>
        <w:t xml:space="preserve">كما تم استخدام عدد من الأساليب الإحصائية لتحليل البيانات، شملت المتوسطات الحسابية والانحرافات المعيارية واختبار </w:t>
      </w:r>
      <w:r>
        <w:rPr>
          <w:cs w:val="0"/>
        </w:rPr>
        <w:t xml:space="preserve">(T) </w:t>
      </w:r>
      <w:r>
        <w:rPr>
          <w:rtl/>
          <w:cs/>
        </w:rPr>
        <w:t>لعينة واحدة، ومعامل ألفا كرونباخ لقياس الثبات، ومعامل ارتباط بيرسون لقياس العلاقة بين متغيرات الدراسة</w:t>
      </w:r>
      <w:r>
        <w:rPr>
          <w:cs w:val="0"/>
        </w:rPr>
        <w:t>.</w:t>
      </w:r>
    </w:p>
    <w:p w14:paraId="71716D6B">
      <w:pPr>
        <w:bidi/>
      </w:pPr>
      <w:r>
        <w:rPr>
          <w:rtl/>
          <w:cs/>
        </w:rPr>
        <w:t>أظهرت نتائج الدراسة ارتفاع مستوى استجابات أفراد العينة تجاه جميع أبعاد الاستدامة التشغيلية، حيث جاء البعد البيئي في المرتبة الأولى، يليه البعد التقني، ثم البعد الاجتماعي، وأخيرًا البعد الاقتصادي، وجميعها ضمن المستوى القوي جدًا</w:t>
      </w:r>
      <w:r>
        <w:rPr>
          <w:cs w:val="0"/>
        </w:rPr>
        <w:t xml:space="preserve">. </w:t>
      </w:r>
      <w:r>
        <w:rPr>
          <w:rtl/>
          <w:cs/>
        </w:rPr>
        <w:t>كما بينت النتائج وجود علاقة إيجابية ذات دلالة إحصائية بين جودة تنفيذ الأعمال الإنشائية وأبعاد الاستدامة التشغيلية المختلفة، مما يدل على أن تحسين جودة التنفيذ خلال مرحلة الإنشاء يسهم في تقليل الأعطال التشغيلية، وخفض تكاليف التشغيل والصيانة، وتحسين كفاءة استخدام الموارد، وتعزيز نقل الخبرة والمعرفة إلى مرحلة التشغيل</w:t>
      </w:r>
      <w:r>
        <w:rPr>
          <w:cs w:val="0"/>
        </w:rPr>
        <w:t>.</w:t>
      </w:r>
    </w:p>
    <w:p w14:paraId="57C5DB87">
      <w:pPr>
        <w:bidi/>
      </w:pPr>
      <w:r>
        <w:rPr>
          <w:rtl/>
          <w:cs/>
        </w:rPr>
        <w:t>وأوصت الدراسة بضرورة تبني منظور إداري وتشغيلي متكامل ينظر إلى جودة التنفيذ الإنشائي بوصفها عنصرًا استراتيجيًا مؤثرًا في كفاءة التشغيل والاستدامة طويلة الأمد، مع أهمية إشراك فرق إدارة المرافق في المراحل المبكرة للمشروع، وتطوير آليات مؤسسية لنقل المعرفة والخبرات بين مرحلتي التنفيذ والتشغيل</w:t>
      </w:r>
      <w:r>
        <w:rPr>
          <w:cs w:val="0"/>
        </w:rPr>
        <w:t>.</w:t>
      </w:r>
    </w:p>
    <w:p w14:paraId="5E4A1EF6">
      <w:pPr>
        <w:bidi/>
      </w:pPr>
      <w:r>
        <w:rPr>
          <w:rtl/>
          <w:cs/>
        </w:rPr>
        <w:t>الكلمات المفتاحية</w:t>
      </w:r>
      <w:r>
        <w:rPr>
          <w:cs w:val="0"/>
        </w:rPr>
        <w:t>:</w:t>
      </w:r>
      <w:r>
        <w:t xml:space="preserve"> </w:t>
      </w:r>
      <w:r>
        <w:rPr>
          <w:rtl/>
          <w:cs/>
        </w:rPr>
        <w:t>جودة الأعمال الإنشائية، الاستدامة التشغيلية، المشاريع واسعة النطاق، إدارة المرافق، صندوق الاستثمارات العامة، نقل المعرفة، تكلفة دورة الحياة</w:t>
      </w:r>
      <w:r>
        <w:rPr>
          <w:cs w:val="0"/>
        </w:rPr>
        <w:t>.</w:t>
      </w:r>
    </w:p>
    <w:p w14:paraId="7C9B0F9A">
      <w:pPr>
        <w:bidi/>
        <w:spacing w:line="240" w:lineRule="auto"/>
        <w:jc w:val="left"/>
        <w:rPr>
          <w:rFonts w:hint="default" w:ascii="Simplified Arabic" w:hAnsi="Simplified Arabic" w:cs="Simplified Arabic"/>
          <w:sz w:val="28"/>
          <w:szCs w:val="28"/>
          <w:u w:val="single"/>
        </w:rPr>
      </w:pPr>
    </w:p>
    <w:p w14:paraId="52341758">
      <w:pPr>
        <w:bidi/>
        <w:spacing w:line="240" w:lineRule="auto"/>
        <w:jc w:val="left"/>
        <w:rPr>
          <w:rFonts w:hint="default" w:ascii="Simplified Arabic" w:hAnsi="Simplified Arabic" w:cs="Simplified Arabic"/>
          <w:sz w:val="28"/>
          <w:szCs w:val="28"/>
          <w:u w:val="single"/>
        </w:rPr>
      </w:pPr>
    </w:p>
    <w:p w14:paraId="7C92AB71">
      <w:pPr>
        <w:bidi/>
        <w:spacing w:line="240" w:lineRule="auto"/>
        <w:jc w:val="left"/>
        <w:rPr>
          <w:rFonts w:hint="default" w:ascii="Simplified Arabic" w:hAnsi="Simplified Arabic" w:cs="Simplified Arabic"/>
          <w:sz w:val="28"/>
          <w:szCs w:val="28"/>
          <w:u w:val="single"/>
        </w:rPr>
      </w:pPr>
    </w:p>
    <w:p w14:paraId="122E0CEB">
      <w:pPr>
        <w:bidi/>
        <w:spacing w:line="240" w:lineRule="auto"/>
        <w:jc w:val="left"/>
        <w:rPr>
          <w:rFonts w:hint="default" w:ascii="Simplified Arabic" w:hAnsi="Simplified Arabic" w:cs="Simplified Arabic"/>
          <w:sz w:val="28"/>
          <w:szCs w:val="28"/>
          <w:u w:val="single"/>
        </w:rPr>
      </w:pPr>
    </w:p>
    <w:p w14:paraId="6D4AE398">
      <w:pPr>
        <w:bidi/>
        <w:spacing w:line="240" w:lineRule="auto"/>
        <w:jc w:val="both"/>
        <w:rPr>
          <w:rFonts w:hint="default" w:ascii="Simplified Arabic" w:hAnsi="Simplified Arabic" w:cs="Simplified Arabic"/>
          <w:sz w:val="28"/>
          <w:szCs w:val="28"/>
          <w:u w:val="single"/>
          <w:rtl/>
        </w:rPr>
      </w:pPr>
    </w:p>
    <w:p w14:paraId="272E54B1">
      <w:pPr>
        <w:bidi/>
        <w:spacing w:line="240" w:lineRule="auto"/>
        <w:jc w:val="both"/>
        <w:rPr>
          <w:rFonts w:hint="default" w:ascii="Simplified Arabic" w:hAnsi="Simplified Arabic" w:cs="Simplified Arabic"/>
          <w:sz w:val="28"/>
          <w:szCs w:val="28"/>
          <w:u w:val="single"/>
          <w:rtl/>
        </w:rPr>
      </w:pPr>
    </w:p>
    <w:p w14:paraId="0FFF2092">
      <w:pPr>
        <w:pStyle w:val="7"/>
        <w:bidi/>
        <w:rPr>
          <w:rFonts w:hint="default"/>
          <w:rtl/>
        </w:rPr>
      </w:pPr>
      <w:r>
        <w:rPr>
          <w:rFonts w:hint="default"/>
          <w:rtl/>
        </w:rPr>
        <w:t>الفصل الأول</w:t>
      </w:r>
      <w:r>
        <w:rPr>
          <w:rFonts w:hint="default"/>
          <w:rtl w:val="0"/>
          <w:lang w:val="en-US"/>
        </w:rPr>
        <w:t>:</w:t>
      </w:r>
      <w:r>
        <w:rPr>
          <w:rFonts w:hint="cs" w:cs="Simplified Arabic"/>
          <w:rtl/>
          <w:lang w:val="en-US" w:bidi="ar-SA"/>
        </w:rPr>
        <w:t xml:space="preserve"> مقدمة الدراسة</w:t>
      </w:r>
    </w:p>
    <w:p w14:paraId="1817352F">
      <w:pPr>
        <w:pStyle w:val="2"/>
        <w:bidi/>
        <w:rPr>
          <w:rFonts w:hint="default"/>
          <w:rtl/>
        </w:rPr>
      </w:pPr>
      <w:bookmarkStart w:id="4" w:name="_Toc32763"/>
      <w:r>
        <w:rPr>
          <w:rFonts w:hint="default"/>
          <w:rtl/>
        </w:rPr>
        <w:t>المقدمة</w:t>
      </w:r>
      <w:bookmarkEnd w:id="4"/>
    </w:p>
    <w:p w14:paraId="3978111D">
      <w:pPr>
        <w:bidi/>
        <w:rPr>
          <w:rFonts w:hint="default"/>
          <w:lang w:val="en"/>
        </w:rPr>
      </w:pPr>
      <w:r>
        <w:rPr>
          <w:rFonts w:hint="default"/>
          <w:rtl/>
        </w:rPr>
        <w:t>تُعَدّ المشاريع واسعة النطاق والمدن الذكية الحديثة، نموذجًا متقدمًا للتحول الحضري والاقتصادي العالمي. هذه المشاريع لا تهدف فقط إلى بناء هياكل ضخمة، بل تسعى لتجسيد مفاهيم الاستدامة والكفاءة التشغيلية كركائز أساسية تضمن دوام النمو وجودة الحياة للأجيال الحالية والقادمة. وفي هذا السياق، يكتسب مفهوم الاستدامة تعريفه الشمولي الذي يربط بين الأبعاد البيئية، الاقتصادية، والاجتماعية للتنمية</w:t>
      </w:r>
      <w:r>
        <w:rPr>
          <w:rFonts w:hint="default"/>
          <w:lang w:val="en"/>
        </w:rPr>
        <w:t>.</w:t>
      </w:r>
    </w:p>
    <w:p w14:paraId="4E3568E4">
      <w:pPr>
        <w:bidi/>
        <w:rPr>
          <w:rFonts w:hint="default"/>
          <w:lang w:val="en"/>
        </w:rPr>
      </w:pPr>
      <w:r>
        <w:rPr>
          <w:rFonts w:hint="default"/>
          <w:rtl/>
        </w:rPr>
        <w:t>في قلب هذا التوجه، تكمن حقيقة راسخة: أن مصير الاستدامة التشغيلية للمشروع لا يُحدد في مرحلة التشغيل، بل يُقرر بشكل حاسم في مرحلة الأعمال الإنشائية والتنفيذ المادي</w:t>
      </w:r>
      <w:r>
        <w:rPr>
          <w:rFonts w:hint="default"/>
          <w:lang w:val="en"/>
        </w:rPr>
        <w:t xml:space="preserve">. </w:t>
      </w:r>
      <w:r>
        <w:rPr>
          <w:rFonts w:hint="default"/>
          <w:rtl/>
        </w:rPr>
        <w:t xml:space="preserve">فالجودة التي يتم بها تركيب الأنظمة الحيوية تُترجم مباشرة إلى مؤشرات أداء بيئية (انخفاض هدر المياه والطاقة)، ومؤشرات اقتصادية (انخفاض تكاليف الصيانة)، وحتى مؤشرات اجتماعية (الاحتفاظ بالخبرات ونقل رأس المال البشري). إن أي تهاون في الجودة الإنشائية لا يُمثل مجرد خطأ فني، بل هو عبء تشغيلي مُؤجَّل يولد ما يُعرف بـ </w:t>
      </w:r>
      <w:r>
        <w:rPr>
          <w:rFonts w:hint="default"/>
          <w:lang w:val="en"/>
        </w:rPr>
        <w:t>"</w:t>
      </w:r>
      <w:r>
        <w:rPr>
          <w:rFonts w:hint="default"/>
          <w:rtl/>
        </w:rPr>
        <w:t>فجوة الأداء</w:t>
      </w:r>
      <w:r>
        <w:rPr>
          <w:rFonts w:hint="default"/>
          <w:lang w:val="en"/>
        </w:rPr>
        <w:t xml:space="preserve">" </w:t>
      </w:r>
      <w:r>
        <w:rPr>
          <w:rFonts w:hint="default"/>
          <w:rtl/>
        </w:rPr>
        <w:t>بين ما صُمم المشروع لأجله وما يحققه فعلياً على أرض الواقع</w:t>
      </w:r>
      <w:r>
        <w:rPr>
          <w:rFonts w:hint="default"/>
          <w:lang w:val="en"/>
        </w:rPr>
        <w:t>.</w:t>
      </w:r>
    </w:p>
    <w:p w14:paraId="7205C71F">
      <w:pPr>
        <w:bidi/>
        <w:rPr>
          <w:rFonts w:hint="default"/>
          <w:lang w:val="en"/>
        </w:rPr>
      </w:pPr>
      <w:r>
        <w:rPr>
          <w:rFonts w:hint="default"/>
          <w:rtl/>
        </w:rPr>
        <w:t>ومع توسّع نطاق المشاريع الوطنية الضخمة في المملكة العربية السعودية – وتحديداً مبادرات صندوق الاستثمارات العامة</w:t>
      </w:r>
      <w:r>
        <w:rPr>
          <w:rFonts w:hint="default"/>
          <w:lang w:val="en"/>
        </w:rPr>
        <w:t xml:space="preserve"> (PIF) </w:t>
      </w:r>
      <w:r>
        <w:rPr>
          <w:rFonts w:hint="default"/>
          <w:rtl/>
        </w:rPr>
        <w:t>مثل البحر الأحمر</w:t>
      </w:r>
      <w:r>
        <w:rPr>
          <w:rFonts w:hint="default"/>
          <w:rtl/>
          <w:lang w:val="en"/>
        </w:rPr>
        <w:t xml:space="preserve"> </w:t>
      </w:r>
      <w:r>
        <w:rPr>
          <w:rFonts w:hint="default"/>
          <w:rtl/>
        </w:rPr>
        <w:t>ونيوم تبرز الحاجة المُلحة لتحليل هذا الرابط المعقد. ففي هذا السياق الفريد، تتداخل التحديات التقنية مع الضرورات الاقتصادية والاستراتيجية لرؤية 2030. إن نجاح هذه المشاريع في تحقيق استدامتها التشغيلية المتكاملة يعتمد على فهم عميق للعلاقة السببية بين إتقان التنفيذ الإنشائي وبين كفاءة إدارة المرافق اللاحقة، وكيف يمكن لجودة الإنشاء أن تدعم التزامنا بـ حماية الحياة البرية وتقليل التلوث، وتضمن في الوقت ذاته استدامة الكوادر البشرية المتخصصة</w:t>
      </w:r>
      <w:r>
        <w:rPr>
          <w:rFonts w:hint="default"/>
          <w:lang w:val="en"/>
        </w:rPr>
        <w:t>.</w:t>
      </w:r>
    </w:p>
    <w:p w14:paraId="2DE22854">
      <w:pPr>
        <w:bidi/>
        <w:rPr>
          <w:rFonts w:hint="default" w:ascii="Simplified Arabic" w:hAnsi="Simplified Arabic" w:cs="Simplified Arabic"/>
          <w:sz w:val="28"/>
          <w:szCs w:val="28"/>
          <w:rtl/>
        </w:rPr>
      </w:pPr>
      <w:r>
        <w:rPr>
          <w:rFonts w:hint="default"/>
          <w:rtl/>
        </w:rPr>
        <w:t>من هذا المنطلق، تسعى هذه الدراسة إلى الخوض في هذا المجال الحيوي، مستهدفةً تقديم إطار تحليلي وكمّي يحدد الأثر الحقيقي لجودة الأعمال الإنشائية على الأداء المتكامل للاستدامة التشغيلية، واقتراح آليات إدارية تدعم اتخاذ القرارات التي تحول المشاريع الإنشائية إلى أصول مستدامة وطويلة الأمد</w:t>
      </w:r>
      <w:r>
        <w:rPr>
          <w:rFonts w:hint="default"/>
          <w:lang w:val="en"/>
        </w:rPr>
        <w:t>.</w:t>
      </w:r>
    </w:p>
    <w:p w14:paraId="59041654">
      <w:pPr>
        <w:pStyle w:val="2"/>
        <w:bidi/>
        <w:rPr>
          <w:rFonts w:hint="default"/>
          <w:rtl/>
        </w:rPr>
      </w:pPr>
      <w:bookmarkStart w:id="5" w:name="_Toc789"/>
      <w:r>
        <w:rPr>
          <w:rFonts w:hint="default"/>
          <w:rtl/>
        </w:rPr>
        <w:t>مشكلة الدراسة</w:t>
      </w:r>
      <w:bookmarkEnd w:id="5"/>
    </w:p>
    <w:p w14:paraId="4A53A0CD">
      <w:pPr>
        <w:bidi/>
        <w:rPr>
          <w:rFonts w:hint="default"/>
          <w:rtl/>
          <w:cs/>
          <w:lang w:val="en"/>
        </w:rPr>
      </w:pPr>
      <w:r>
        <w:rPr>
          <w:rFonts w:hint="default"/>
          <w:rtl/>
          <w:cs/>
          <w:lang w:val="en"/>
        </w:rPr>
        <w:t>تُعرَّف الاستدامة بأنها القدرة على تلبية احتياجات الحاضر دون المساس بقدرة الأجيال القادمة على تلبية احتياجاتها، وذلك من خلال تحقيق توازنٍ بين الأبعاد الاقتصادية والاجتماعية والبيئية للتنمية  وقد تطورت المفاهيم المعاصرة للاستدامة لتشمل إدارة الموارد بكفاءة، وتحسين الأداء التشغيلي للمؤسسات، وتعزيز القيمة طويلة الأمد لأصحاب المصلحة.</w:t>
      </w:r>
    </w:p>
    <w:p w14:paraId="054CABDF">
      <w:pPr>
        <w:bidi/>
        <w:rPr>
          <w:rFonts w:hint="default"/>
          <w:rtl/>
          <w:cs/>
          <w:lang w:val="en"/>
        </w:rPr>
      </w:pPr>
      <w:r>
        <w:rPr>
          <w:rFonts w:hint="default"/>
          <w:rtl/>
          <w:cs/>
          <w:lang w:val="en"/>
        </w:rPr>
        <w:t>وفي سياق المشاريع واسعة النطاق والمدن الذكية الحديثة، تُعد إدارة المرافق المستدامة (Sustainable Facility Management) الأداة التنفيذية لتحقيق هذه الأهداف؛ إذ يتجاوز دورها الصيانة الروتينية ليشمل التحسين المستمر لأداء الاستدامة على مدى دورة حياة الأصل. ومع ذلك، تُظهر الممارسات أن هناك فجوة أداء (The Performance Gap) بين الأهداف الطموحة للتصميم وبين الأداء التشغيلي الفعلي، وتُعزى هذه الفجوة في الغالب إلى القصور في مرحلة الأعمال الإنشائية والتنفيذ المادي.</w:t>
      </w:r>
    </w:p>
    <w:p w14:paraId="696A43DB">
      <w:pPr>
        <w:bidi/>
        <w:rPr>
          <w:rFonts w:hint="default"/>
          <w:rtl/>
          <w:cs/>
          <w:lang w:val="en"/>
        </w:rPr>
      </w:pPr>
      <w:r>
        <w:rPr>
          <w:rFonts w:hint="default"/>
          <w:rtl/>
          <w:cs/>
          <w:lang w:val="en"/>
        </w:rPr>
        <w:t>من هنا، تنبع مشكلة الدراسة في تحليل أثر جودة الأعمال الإنشائية وطرائق تنفيذها على الأداء المتكامل للاستدامة التشغيلية في المشاريع الكبرى بالمملكة، عبر التساؤل حول كيفية تحوّل تحديات التنفيذ الإنشائي إلى إخفاقات تشغيلية في الأبعاد التالية:</w:t>
      </w:r>
    </w:p>
    <w:p w14:paraId="2CBA0B17">
      <w:pPr>
        <w:numPr>
          <w:ilvl w:val="0"/>
          <w:numId w:val="1"/>
        </w:numPr>
        <w:bidi/>
        <w:spacing w:before="480" w:after="480" w:line="240" w:lineRule="auto"/>
        <w:ind w:right="90"/>
        <w:contextualSpacing/>
        <w:jc w:val="left"/>
        <w:rPr>
          <w:rFonts w:hint="default" w:ascii="Simplified Arabic" w:hAnsi="Simplified Arabic" w:eastAsia="Arial" w:cs="Simplified Arabic"/>
          <w:kern w:val="0"/>
          <w:sz w:val="24"/>
          <w:szCs w:val="24"/>
          <w:rtl/>
          <w:cs/>
          <w:lang w:val="en"/>
          <w14:ligatures w14:val="none"/>
        </w:rPr>
      </w:pPr>
      <w:r>
        <w:rPr>
          <w:rFonts w:hint="default" w:ascii="Simplified Arabic" w:hAnsi="Simplified Arabic" w:eastAsia="Arial" w:cs="Simplified Arabic"/>
          <w:b/>
          <w:bCs/>
          <w:kern w:val="0"/>
          <w:sz w:val="28"/>
          <w:szCs w:val="28"/>
          <w:rtl/>
          <w:cs/>
          <w:lang w:val="en"/>
          <w14:ligatures w14:val="none"/>
        </w:rPr>
        <w:t>الاستدامة البيئية</w:t>
      </w:r>
      <w:r>
        <w:rPr>
          <w:rFonts w:hint="default" w:ascii="Simplified Arabic" w:hAnsi="Simplified Arabic" w:eastAsia="Arial" w:cs="Simplified Arabic"/>
          <w:kern w:val="0"/>
          <w:sz w:val="28"/>
          <w:szCs w:val="28"/>
          <w:rtl/>
          <w:cs/>
          <w:lang w:val="en"/>
          <w14:ligatures w14:val="none"/>
        </w:rPr>
        <w:t xml:space="preserve">: </w:t>
      </w:r>
      <w:r>
        <w:rPr>
          <w:rFonts w:hint="default" w:ascii="Simplified Arabic" w:hAnsi="Simplified Arabic" w:eastAsia="Arial" w:cs="Simplified Arabic"/>
          <w:kern w:val="0"/>
          <w:sz w:val="24"/>
          <w:szCs w:val="24"/>
          <w:rtl/>
          <w:cs/>
          <w:lang w:val="en"/>
          <w14:ligatures w14:val="none"/>
        </w:rPr>
        <w:t>حيث يتأثر تحقيق الأهداف البيئية بجودة الإنشاء؛ مثل:</w:t>
      </w:r>
    </w:p>
    <w:p w14:paraId="784845B9">
      <w:pPr>
        <w:numPr>
          <w:ilvl w:val="0"/>
          <w:numId w:val="2"/>
        </w:numPr>
        <w:bidi/>
        <w:spacing w:before="480" w:after="480" w:line="240" w:lineRule="auto"/>
        <w:ind w:right="90"/>
        <w:contextualSpacing/>
        <w:jc w:val="left"/>
        <w:rPr>
          <w:rFonts w:hint="default" w:ascii="Simplified Arabic" w:hAnsi="Simplified Arabic" w:eastAsia="Arial" w:cs="Simplified Arabic"/>
          <w:kern w:val="0"/>
          <w:sz w:val="24"/>
          <w:szCs w:val="24"/>
          <w:rtl/>
          <w:cs/>
          <w:lang w:val="en"/>
          <w14:ligatures w14:val="none"/>
        </w:rPr>
      </w:pPr>
      <w:r>
        <w:rPr>
          <w:rFonts w:hint="default" w:ascii="Simplified Arabic" w:hAnsi="Simplified Arabic" w:eastAsia="Arial" w:cs="Simplified Arabic"/>
          <w:b/>
          <w:bCs/>
          <w:kern w:val="0"/>
          <w:sz w:val="24"/>
          <w:szCs w:val="24"/>
          <w:rtl/>
          <w:cs/>
          <w:lang w:val="en"/>
          <w14:ligatures w14:val="none"/>
        </w:rPr>
        <w:t>كفاءة الطاقة</w:t>
      </w:r>
      <w:r>
        <w:rPr>
          <w:rFonts w:hint="default" w:ascii="Simplified Arabic" w:hAnsi="Simplified Arabic" w:eastAsia="Arial" w:cs="Simplified Arabic"/>
          <w:kern w:val="0"/>
          <w:sz w:val="24"/>
          <w:szCs w:val="24"/>
          <w:rtl/>
          <w:cs/>
          <w:lang w:val="en"/>
          <w14:ligatures w14:val="none"/>
        </w:rPr>
        <w:t>: تأثير جودة تركيب أنظمة العزل والأنظمة الشمسية على تقليل استهلاك الطاقة التشغيلي.</w:t>
      </w:r>
    </w:p>
    <w:p w14:paraId="07A7B848">
      <w:pPr>
        <w:numPr>
          <w:ilvl w:val="0"/>
          <w:numId w:val="2"/>
        </w:numPr>
        <w:bidi/>
        <w:spacing w:before="480" w:after="480" w:line="240" w:lineRule="auto"/>
        <w:ind w:right="90"/>
        <w:contextualSpacing/>
        <w:jc w:val="left"/>
        <w:rPr>
          <w:rFonts w:hint="default" w:ascii="Simplified Arabic" w:hAnsi="Simplified Arabic" w:eastAsia="Arial" w:cs="Simplified Arabic"/>
          <w:kern w:val="0"/>
          <w:sz w:val="24"/>
          <w:szCs w:val="24"/>
          <w:rtl/>
          <w:cs/>
          <w:lang w:val="en"/>
          <w14:ligatures w14:val="none"/>
        </w:rPr>
      </w:pPr>
      <w:r>
        <w:rPr>
          <w:rFonts w:hint="default" w:ascii="Simplified Arabic" w:hAnsi="Simplified Arabic" w:eastAsia="Arial" w:cs="Simplified Arabic"/>
          <w:b/>
          <w:bCs/>
          <w:kern w:val="0"/>
          <w:sz w:val="24"/>
          <w:szCs w:val="24"/>
          <w:rtl/>
          <w:cs/>
          <w:lang w:val="en"/>
          <w14:ligatures w14:val="none"/>
        </w:rPr>
        <w:t>إدارة الموارد المائية:</w:t>
      </w:r>
      <w:r>
        <w:rPr>
          <w:rFonts w:hint="default" w:ascii="Simplified Arabic" w:hAnsi="Simplified Arabic" w:eastAsia="Arial" w:cs="Simplified Arabic"/>
          <w:kern w:val="0"/>
          <w:sz w:val="24"/>
          <w:szCs w:val="24"/>
          <w:rtl/>
          <w:cs/>
          <w:lang w:val="en"/>
          <w14:ligatures w14:val="none"/>
        </w:rPr>
        <w:t xml:space="preserve"> تأثير دقة تركيب شبكات المواسير والبنية التحتية على إدارة الماء (مياه الشرب، الصرف، والأمطار).</w:t>
      </w:r>
    </w:p>
    <w:p w14:paraId="48554F30">
      <w:pPr>
        <w:numPr>
          <w:ilvl w:val="0"/>
          <w:numId w:val="2"/>
        </w:numPr>
        <w:bidi/>
        <w:spacing w:before="480" w:after="480" w:line="240" w:lineRule="auto"/>
        <w:ind w:right="90"/>
        <w:contextualSpacing/>
        <w:jc w:val="left"/>
        <w:rPr>
          <w:rFonts w:hint="default" w:ascii="Simplified Arabic" w:hAnsi="Simplified Arabic" w:eastAsia="Arial" w:cs="Simplified Arabic"/>
          <w:kern w:val="0"/>
          <w:sz w:val="24"/>
          <w:szCs w:val="24"/>
          <w:rtl/>
          <w:cs/>
          <w:lang w:val="en"/>
          <w14:ligatures w14:val="none"/>
        </w:rPr>
      </w:pPr>
      <w:r>
        <w:rPr>
          <w:rFonts w:hint="default" w:ascii="Simplified Arabic" w:hAnsi="Simplified Arabic" w:eastAsia="Arial" w:cs="Simplified Arabic"/>
          <w:b/>
          <w:bCs/>
          <w:kern w:val="0"/>
          <w:sz w:val="24"/>
          <w:szCs w:val="24"/>
          <w:rtl/>
          <w:cs/>
          <w:lang w:val="en"/>
          <w14:ligatures w14:val="none"/>
        </w:rPr>
        <w:t>إدارة النفايات والمواد</w:t>
      </w:r>
      <w:r>
        <w:rPr>
          <w:rFonts w:hint="default" w:ascii="Simplified Arabic" w:hAnsi="Simplified Arabic" w:eastAsia="Arial" w:cs="Simplified Arabic"/>
          <w:b/>
          <w:bCs/>
          <w:kern w:val="0"/>
          <w:sz w:val="28"/>
          <w:szCs w:val="28"/>
          <w:rtl/>
          <w:cs/>
          <w:lang w:val="en"/>
          <w14:ligatures w14:val="none"/>
        </w:rPr>
        <w:t>:</w:t>
      </w:r>
      <w:r>
        <w:rPr>
          <w:rFonts w:hint="default" w:ascii="Simplified Arabic" w:hAnsi="Simplified Arabic" w:eastAsia="Arial" w:cs="Simplified Arabic"/>
          <w:kern w:val="0"/>
          <w:sz w:val="28"/>
          <w:szCs w:val="28"/>
          <w:rtl/>
          <w:cs/>
          <w:lang w:val="en"/>
          <w14:ligatures w14:val="none"/>
        </w:rPr>
        <w:t xml:space="preserve"> </w:t>
      </w:r>
      <w:r>
        <w:rPr>
          <w:rFonts w:hint="default" w:ascii="Simplified Arabic" w:hAnsi="Simplified Arabic" w:eastAsia="Arial" w:cs="Simplified Arabic"/>
          <w:kern w:val="0"/>
          <w:sz w:val="24"/>
          <w:szCs w:val="24"/>
          <w:rtl/>
          <w:cs/>
          <w:lang w:val="en"/>
          <w14:ligatures w14:val="none"/>
        </w:rPr>
        <w:t>تأثير جودة إدارة النفايات الإنشائية على تقليل الفضلات المخرجة في مرحلة التشغيل عن طريق دعم إعادة التدوير واستعمال مواد كيميائية صديقة للبيئة في الموقع.</w:t>
      </w:r>
    </w:p>
    <w:p w14:paraId="0BCBC4A6">
      <w:pPr>
        <w:numPr>
          <w:ilvl w:val="0"/>
          <w:numId w:val="2"/>
        </w:numPr>
        <w:bidi/>
        <w:spacing w:before="480" w:after="480" w:line="240" w:lineRule="auto"/>
        <w:ind w:right="90"/>
        <w:contextualSpacing/>
        <w:jc w:val="left"/>
        <w:rPr>
          <w:rFonts w:hint="default" w:ascii="Simplified Arabic" w:hAnsi="Simplified Arabic" w:eastAsia="Arial" w:cs="Simplified Arabic"/>
          <w:kern w:val="0"/>
          <w:sz w:val="24"/>
          <w:szCs w:val="24"/>
          <w:cs/>
          <w:lang w:val="en"/>
          <w14:ligatures w14:val="none"/>
        </w:rPr>
      </w:pPr>
      <w:r>
        <w:rPr>
          <w:rFonts w:hint="default" w:ascii="Simplified Arabic" w:hAnsi="Simplified Arabic" w:eastAsia="Arial" w:cs="Simplified Arabic"/>
          <w:b/>
          <w:bCs/>
          <w:kern w:val="0"/>
          <w:sz w:val="24"/>
          <w:szCs w:val="24"/>
          <w:rtl/>
          <w:cs/>
          <w:lang w:val="en"/>
          <w14:ligatures w14:val="none"/>
        </w:rPr>
        <w:t>البيئة والحياة البرية:</w:t>
      </w:r>
      <w:r>
        <w:rPr>
          <w:rFonts w:hint="default" w:ascii="Simplified Arabic" w:hAnsi="Simplified Arabic" w:eastAsia="Arial" w:cs="Simplified Arabic"/>
          <w:kern w:val="0"/>
          <w:sz w:val="24"/>
          <w:szCs w:val="24"/>
          <w:rtl/>
          <w:cs/>
          <w:lang w:val="en"/>
          <w14:ligatures w14:val="none"/>
        </w:rPr>
        <w:t xml:space="preserve"> تأثير ممارسات البناء على حماية الحياة البرية وتقليل التلوث (تلوث الهواء الداخلي والخارجي).</w:t>
      </w:r>
    </w:p>
    <w:p w14:paraId="2343D079">
      <w:pPr>
        <w:bidi/>
        <w:spacing w:before="480" w:after="480" w:line="240" w:lineRule="auto"/>
        <w:ind w:left="739" w:right="90"/>
        <w:contextualSpacing/>
        <w:jc w:val="left"/>
        <w:rPr>
          <w:rFonts w:hint="default" w:ascii="Simplified Arabic" w:hAnsi="Simplified Arabic" w:eastAsia="Arial" w:cs="Simplified Arabic"/>
          <w:kern w:val="0"/>
          <w:sz w:val="24"/>
          <w:szCs w:val="24"/>
          <w:rtl/>
          <w:cs/>
          <w:lang w:val="en"/>
          <w14:ligatures w14:val="none"/>
        </w:rPr>
      </w:pPr>
    </w:p>
    <w:p w14:paraId="7BA18653">
      <w:pPr>
        <w:numPr>
          <w:ilvl w:val="0"/>
          <w:numId w:val="1"/>
        </w:numPr>
        <w:bidi/>
        <w:spacing w:before="480" w:after="480" w:line="240" w:lineRule="auto"/>
        <w:ind w:right="90"/>
        <w:contextualSpacing/>
        <w:jc w:val="left"/>
        <w:rPr>
          <w:rFonts w:hint="default" w:ascii="Simplified Arabic" w:hAnsi="Simplified Arabic" w:eastAsia="Arial" w:cs="Simplified Arabic"/>
          <w:kern w:val="0"/>
          <w:sz w:val="24"/>
          <w:szCs w:val="24"/>
          <w:rtl/>
          <w:cs/>
          <w:lang w:val="en"/>
          <w14:ligatures w14:val="none"/>
        </w:rPr>
      </w:pPr>
      <w:r>
        <w:rPr>
          <w:rFonts w:hint="default" w:ascii="Simplified Arabic" w:hAnsi="Simplified Arabic" w:eastAsia="Arial" w:cs="Simplified Arabic"/>
          <w:b/>
          <w:bCs/>
          <w:kern w:val="0"/>
          <w:sz w:val="28"/>
          <w:szCs w:val="28"/>
          <w:rtl/>
          <w:cs/>
          <w:lang w:val="en"/>
          <w14:ligatures w14:val="none"/>
        </w:rPr>
        <w:t>الاستدامة الاقتصادية:</w:t>
      </w:r>
      <w:r>
        <w:rPr>
          <w:rFonts w:hint="default" w:ascii="Simplified Arabic" w:hAnsi="Simplified Arabic" w:eastAsia="Arial" w:cs="Simplified Arabic"/>
          <w:kern w:val="0"/>
          <w:sz w:val="28"/>
          <w:szCs w:val="28"/>
          <w:rtl/>
          <w:cs/>
          <w:lang w:val="en"/>
          <w14:ligatures w14:val="none"/>
        </w:rPr>
        <w:t xml:space="preserve"> </w:t>
      </w:r>
      <w:r>
        <w:rPr>
          <w:rFonts w:hint="default" w:ascii="Simplified Arabic" w:hAnsi="Simplified Arabic" w:eastAsia="Arial" w:cs="Simplified Arabic"/>
          <w:kern w:val="0"/>
          <w:sz w:val="24"/>
          <w:szCs w:val="24"/>
          <w:rtl/>
          <w:cs/>
          <w:lang w:val="en"/>
          <w14:ligatures w14:val="none"/>
        </w:rPr>
        <w:t>عبر تأثير جودة الأعمال الإنشائية على تقليل التكاليف التشغيلية والصيانة المستقبلية.</w:t>
      </w:r>
    </w:p>
    <w:p w14:paraId="7EAB0C38">
      <w:pPr>
        <w:numPr>
          <w:ilvl w:val="0"/>
          <w:numId w:val="1"/>
        </w:numPr>
        <w:bidi/>
        <w:spacing w:before="480" w:after="480" w:line="240" w:lineRule="auto"/>
        <w:ind w:right="90"/>
        <w:contextualSpacing/>
        <w:jc w:val="left"/>
        <w:rPr>
          <w:rFonts w:hint="default" w:ascii="Simplified Arabic" w:hAnsi="Simplified Arabic" w:eastAsia="Arial" w:cs="Simplified Arabic"/>
          <w:kern w:val="0"/>
          <w:sz w:val="24"/>
          <w:szCs w:val="24"/>
          <w:rtl/>
          <w:cs/>
          <w:lang w:val="en"/>
          <w14:ligatures w14:val="none"/>
        </w:rPr>
      </w:pPr>
      <w:r>
        <w:rPr>
          <w:rFonts w:hint="default" w:ascii="Simplified Arabic" w:hAnsi="Simplified Arabic" w:eastAsia="Arial" w:cs="Simplified Arabic"/>
          <w:b/>
          <w:bCs/>
          <w:kern w:val="0"/>
          <w:sz w:val="28"/>
          <w:szCs w:val="28"/>
          <w:rtl/>
          <w:cs/>
          <w:lang w:val="en"/>
          <w14:ligatures w14:val="none"/>
        </w:rPr>
        <w:t>الاستدامة التقنية:</w:t>
      </w:r>
      <w:r>
        <w:rPr>
          <w:rFonts w:hint="default" w:ascii="Simplified Arabic" w:hAnsi="Simplified Arabic" w:eastAsia="Arial" w:cs="Simplified Arabic"/>
          <w:kern w:val="0"/>
          <w:sz w:val="28"/>
          <w:szCs w:val="28"/>
          <w:rtl/>
          <w:cs/>
          <w:lang w:val="en"/>
          <w14:ligatures w14:val="none"/>
        </w:rPr>
        <w:t xml:space="preserve"> </w:t>
      </w:r>
      <w:r>
        <w:rPr>
          <w:rFonts w:hint="default" w:ascii="Simplified Arabic" w:hAnsi="Simplified Arabic" w:eastAsia="Arial" w:cs="Simplified Arabic"/>
          <w:kern w:val="0"/>
          <w:sz w:val="24"/>
          <w:szCs w:val="24"/>
          <w:rtl/>
          <w:cs/>
          <w:lang w:val="en"/>
          <w14:ligatures w14:val="none"/>
        </w:rPr>
        <w:t>عبر تأثير جودة التنفيذ على الموثوقية التشغيلية وتقليل الأعطال الفنية للأصول.</w:t>
      </w:r>
    </w:p>
    <w:p w14:paraId="0300BA1B">
      <w:pPr>
        <w:numPr>
          <w:ilvl w:val="0"/>
          <w:numId w:val="1"/>
        </w:numPr>
        <w:bidi/>
        <w:spacing w:before="480" w:after="480" w:line="240" w:lineRule="auto"/>
        <w:ind w:right="90"/>
        <w:contextualSpacing/>
        <w:jc w:val="left"/>
        <w:rPr>
          <w:rFonts w:hint="default" w:ascii="Simplified Arabic" w:hAnsi="Simplified Arabic" w:eastAsia="Arial" w:cs="Simplified Arabic"/>
          <w:kern w:val="0"/>
          <w:sz w:val="24"/>
          <w:szCs w:val="24"/>
          <w:rtl/>
          <w:lang w:val="en"/>
          <w14:ligatures w14:val="none"/>
        </w:rPr>
      </w:pPr>
      <w:r>
        <w:rPr>
          <w:rFonts w:hint="default" w:ascii="Simplified Arabic" w:hAnsi="Simplified Arabic" w:eastAsia="Arial" w:cs="Simplified Arabic"/>
          <w:b/>
          <w:bCs/>
          <w:kern w:val="0"/>
          <w:sz w:val="28"/>
          <w:szCs w:val="28"/>
          <w:rtl/>
          <w:cs/>
          <w:lang w:val="en"/>
          <w14:ligatures w14:val="none"/>
        </w:rPr>
        <w:t>الاستدامة الاجتماعية:</w:t>
      </w:r>
      <w:r>
        <w:rPr>
          <w:rFonts w:hint="default" w:ascii="Simplified Arabic" w:hAnsi="Simplified Arabic" w:eastAsia="Arial" w:cs="Simplified Arabic"/>
          <w:kern w:val="0"/>
          <w:sz w:val="28"/>
          <w:szCs w:val="28"/>
          <w:rtl/>
          <w:cs/>
          <w:lang w:val="en"/>
          <w14:ligatures w14:val="none"/>
        </w:rPr>
        <w:t xml:space="preserve"> </w:t>
      </w:r>
      <w:r>
        <w:rPr>
          <w:rFonts w:hint="default" w:ascii="Simplified Arabic" w:hAnsi="Simplified Arabic" w:eastAsia="Arial" w:cs="Simplified Arabic"/>
          <w:kern w:val="0"/>
          <w:sz w:val="24"/>
          <w:szCs w:val="24"/>
          <w:rtl/>
          <w:cs/>
          <w:lang w:val="en"/>
          <w14:ligatures w14:val="none"/>
        </w:rPr>
        <w:t>عبر تأثير كفاءة الإدارة الإنشائية في الحفاظ على الموظفين ونقل الخبرات والمعرفة الإنشائية إلى قطاع التشغيل، مما يعزز رأس المال البشري للمشروع</w:t>
      </w:r>
      <w:r>
        <w:rPr>
          <w:rFonts w:hint="default" w:ascii="Simplified Arabic" w:hAnsi="Simplified Arabic" w:eastAsia="Arial" w:cs="Simplified Arabic"/>
          <w:kern w:val="0"/>
          <w:sz w:val="24"/>
          <w:szCs w:val="24"/>
          <w:rtl/>
          <w:lang w:val="en"/>
          <w14:ligatures w14:val="none"/>
        </w:rPr>
        <w:t>.</w:t>
      </w:r>
    </w:p>
    <w:p w14:paraId="0ED1004C">
      <w:pPr>
        <w:bidi/>
        <w:spacing w:before="480" w:after="480" w:line="240" w:lineRule="auto"/>
        <w:ind w:left="379" w:right="90"/>
        <w:jc w:val="left"/>
        <w:rPr>
          <w:rFonts w:hint="default"/>
          <w:rtl/>
        </w:rPr>
      </w:pPr>
      <w:r>
        <w:rPr>
          <w:rFonts w:hint="default" w:ascii="Simplified Arabic" w:hAnsi="Simplified Arabic" w:eastAsia="Arial" w:cs="Simplified Arabic"/>
          <w:kern w:val="0"/>
          <w:sz w:val="24"/>
          <w:szCs w:val="24"/>
          <w:rtl/>
          <w:cs/>
          <w:lang w:val="en"/>
          <w14:ligatures w14:val="none"/>
        </w:rPr>
        <w:t xml:space="preserve">وبناءً على ما تقدم، تكمن مشكلة الدراسة في تحليل أثر الأعمال الإنشائية على الأداء المتكامل للاستدامة التشغيلية في المشاريع واسعة النطاق داخل المملكة </w:t>
      </w:r>
      <w:r>
        <w:rPr>
          <w:rFonts w:hint="default" w:ascii="Simplified Arabic" w:hAnsi="Simplified Arabic" w:eastAsia="Arial" w:cs="Simplified Arabic"/>
          <w:kern w:val="0"/>
          <w:sz w:val="24"/>
          <w:szCs w:val="24"/>
          <w:rtl/>
          <w:lang w:val="en"/>
          <w14:ligatures w14:val="none"/>
        </w:rPr>
        <w:t>(</w:t>
      </w:r>
      <w:r>
        <w:rPr>
          <w:rFonts w:hint="default" w:ascii="Simplified Arabic" w:hAnsi="Simplified Arabic" w:eastAsia="Arial" w:cs="Simplified Arabic"/>
          <w:kern w:val="0"/>
          <w:sz w:val="24"/>
          <w:szCs w:val="24"/>
          <w:rtl/>
          <w:cs/>
          <w:lang w:val="en"/>
          <w14:ligatures w14:val="none"/>
        </w:rPr>
        <w:t>مشاريع صندوق الاستثمارات العامة</w:t>
      </w:r>
      <w:r>
        <w:rPr>
          <w:rFonts w:hint="default" w:ascii="Simplified Arabic" w:hAnsi="Simplified Arabic" w:eastAsia="Arial" w:cs="Simplified Arabic"/>
          <w:kern w:val="0"/>
          <w:sz w:val="24"/>
          <w:szCs w:val="24"/>
          <w:rtl/>
          <w:lang w:val="en"/>
          <w14:ligatures w14:val="none"/>
        </w:rPr>
        <w:t>)</w:t>
      </w:r>
      <w:r>
        <w:rPr>
          <w:rFonts w:hint="default" w:ascii="Simplified Arabic" w:hAnsi="Simplified Arabic" w:eastAsia="Arial" w:cs="Simplified Arabic"/>
          <w:kern w:val="0"/>
          <w:sz w:val="24"/>
          <w:szCs w:val="24"/>
          <w:rtl/>
          <w:cs/>
          <w:lang w:val="en"/>
          <w14:ligatures w14:val="none"/>
        </w:rPr>
        <w:t>، بهدف تعزيز كفاءة الإدارة وتحقيق الأهداف الاستراتيجية لرؤية السعودية</w:t>
      </w:r>
      <w:r>
        <w:rPr>
          <w:rFonts w:hint="default" w:ascii="Simplified Arabic" w:hAnsi="Simplified Arabic" w:eastAsia="SimSun" w:cs="Simplified Arabic"/>
          <w:kern w:val="0"/>
          <w:sz w:val="24"/>
          <w:szCs w:val="24"/>
          <w:rtl/>
          <w:cs/>
          <w:lang w:val="en"/>
          <w14:ligatures w14:val="none"/>
        </w:rPr>
        <w:t xml:space="preserve"> </w:t>
      </w:r>
      <w:r>
        <w:rPr>
          <w:rFonts w:hint="default" w:ascii="Simplified Arabic" w:hAnsi="Simplified Arabic" w:eastAsia="SimSun" w:cs="Simplified Arabic"/>
          <w:kern w:val="0"/>
          <w:sz w:val="24"/>
          <w:szCs w:val="24"/>
          <w:lang w:val="en"/>
          <w14:ligatures w14:val="none"/>
        </w:rPr>
        <w:t>2030.</w:t>
      </w:r>
    </w:p>
    <w:p w14:paraId="0CD972EE">
      <w:pPr>
        <w:pStyle w:val="2"/>
        <w:bidi/>
        <w:rPr>
          <w:rFonts w:hint="default"/>
          <w:rtl/>
        </w:rPr>
      </w:pPr>
      <w:bookmarkStart w:id="6" w:name="_Toc29353"/>
      <w:r>
        <w:rPr>
          <w:rFonts w:hint="default"/>
          <w:rtl/>
        </w:rPr>
        <w:t>أهمية الدراسة</w:t>
      </w:r>
      <w:bookmarkEnd w:id="6"/>
    </w:p>
    <w:p w14:paraId="0BD800B1">
      <w:pPr>
        <w:bidi/>
        <w:spacing w:line="240" w:lineRule="auto"/>
        <w:ind w:right="90" w:firstLine="19"/>
        <w:jc w:val="left"/>
        <w:rPr>
          <w:rFonts w:hint="default" w:ascii="Simplified Arabic" w:hAnsi="Simplified Arabic" w:eastAsia="Arial" w:cs="Simplified Arabic"/>
          <w:szCs w:val="24"/>
          <w:rtl/>
          <w:cs/>
        </w:rPr>
      </w:pPr>
      <w:r>
        <w:rPr>
          <w:rFonts w:hint="default" w:ascii="Simplified Arabic" w:hAnsi="Simplified Arabic" w:eastAsia="Arial" w:cs="Simplified Arabic"/>
          <w:szCs w:val="24"/>
          <w:rtl/>
          <w:cs/>
        </w:rPr>
        <w:t>تكتسب هذه الدراسة أهميتها من كونها تسلط الضوء على نقطة التقاء حيوية وفارقة في دورة حياة المشاريع الكبرى، وهي أثر جودة الأعمال الإنشائية في مرحلة التنفيذ على الأداء المتكامل للاستدامة التشغيلية اللاحقة</w:t>
      </w:r>
      <w:r>
        <w:rPr>
          <w:rFonts w:hint="default" w:ascii="Simplified Arabic" w:hAnsi="Simplified Arabic" w:eastAsia="Arial" w:cs="Simplified Arabic"/>
          <w:szCs w:val="24"/>
          <w:rtl/>
        </w:rPr>
        <w:t xml:space="preserve">. </w:t>
      </w:r>
      <w:r>
        <w:rPr>
          <w:rFonts w:hint="default" w:ascii="Simplified Arabic" w:hAnsi="Simplified Arabic" w:eastAsia="Arial" w:cs="Simplified Arabic"/>
          <w:szCs w:val="24"/>
          <w:rtl/>
          <w:cs/>
        </w:rPr>
        <w:t>وتنبع أهمية هذه الدراسة من محاور متعددة</w:t>
      </w:r>
      <w:r>
        <w:rPr>
          <w:rFonts w:hint="default" w:ascii="Simplified Arabic" w:hAnsi="Simplified Arabic" w:eastAsia="Arial" w:cs="Simplified Arabic"/>
          <w:szCs w:val="24"/>
          <w:rtl/>
        </w:rPr>
        <w:t>:</w:t>
      </w:r>
    </w:p>
    <w:p w14:paraId="789F2FA8">
      <w:pPr>
        <w:pStyle w:val="3"/>
        <w:bidi/>
        <w:rPr>
          <w:rFonts w:hint="default"/>
          <w:rtl/>
          <w:cs/>
        </w:rPr>
      </w:pPr>
      <w:bookmarkStart w:id="7" w:name="_Toc214111453"/>
      <w:bookmarkStart w:id="8" w:name="_Toc19382"/>
      <w:r>
        <w:rPr>
          <w:rFonts w:hint="default"/>
          <w:rtl/>
          <w:cs/>
        </w:rPr>
        <w:t>أولاً</w:t>
      </w:r>
      <w:r>
        <w:rPr>
          <w:rFonts w:hint="default"/>
          <w:rtl/>
        </w:rPr>
        <w:t xml:space="preserve">: </w:t>
      </w:r>
      <w:r>
        <w:rPr>
          <w:rFonts w:hint="default"/>
          <w:rtl/>
          <w:cs/>
        </w:rPr>
        <w:t>الأهمية الاستراتيجية والاقتصادية</w:t>
      </w:r>
      <w:bookmarkEnd w:id="7"/>
      <w:bookmarkEnd w:id="8"/>
    </w:p>
    <w:p w14:paraId="0DF44A6D">
      <w:pPr>
        <w:pStyle w:val="25"/>
        <w:numPr>
          <w:ilvl w:val="0"/>
          <w:numId w:val="3"/>
        </w:numPr>
        <w:bidi/>
        <w:spacing w:line="240" w:lineRule="auto"/>
        <w:ind w:right="90"/>
        <w:jc w:val="left"/>
        <w:rPr>
          <w:rFonts w:hint="default" w:ascii="Simplified Arabic" w:hAnsi="Simplified Arabic" w:eastAsia="Arial" w:cs="Simplified Arabic"/>
          <w:szCs w:val="24"/>
          <w:rtl/>
          <w:cs/>
        </w:rPr>
      </w:pPr>
      <w:r>
        <w:rPr>
          <w:rFonts w:hint="default" w:ascii="Simplified Arabic" w:hAnsi="Simplified Arabic" w:eastAsia="Arial" w:cs="Simplified Arabic"/>
          <w:szCs w:val="24"/>
          <w:rtl/>
          <w:cs/>
        </w:rPr>
        <w:t xml:space="preserve">دعم رؤية </w:t>
      </w:r>
      <w:r>
        <w:rPr>
          <w:rFonts w:hint="default" w:ascii="Simplified Arabic" w:hAnsi="Simplified Arabic" w:eastAsia="Arial" w:cs="Simplified Arabic"/>
          <w:szCs w:val="24"/>
          <w:rtl/>
        </w:rPr>
        <w:t>2030:</w:t>
      </w:r>
      <w:r>
        <w:rPr>
          <w:rFonts w:hint="default" w:ascii="Simplified Arabic" w:hAnsi="Simplified Arabic" w:eastAsia="Arial" w:cs="Simplified Arabic"/>
          <w:szCs w:val="24"/>
          <w:rtl/>
          <w:cs/>
        </w:rPr>
        <w:t xml:space="preserve"> تُعدّ الدراسة داعماً مباشراً لتوجهات رؤية المملكة </w:t>
      </w:r>
      <w:r>
        <w:rPr>
          <w:rFonts w:hint="default" w:ascii="Simplified Arabic" w:hAnsi="Simplified Arabic" w:eastAsia="Arial" w:cs="Simplified Arabic"/>
          <w:szCs w:val="24"/>
          <w:rtl/>
        </w:rPr>
        <w:t>2030 والتي</w:t>
      </w:r>
      <w:r>
        <w:rPr>
          <w:rFonts w:hint="default" w:ascii="Simplified Arabic" w:hAnsi="Simplified Arabic" w:eastAsia="Arial" w:cs="Simplified Arabic"/>
          <w:szCs w:val="24"/>
          <w:rtl/>
          <w:cs/>
        </w:rPr>
        <w:t xml:space="preserve"> تعزز الاستدامة الاقتصادية والبيئية، من خلال تطوير نماذج إدارية ترفع الكفاءة التشغيلية للمشاريع الوطنية الكبرى </w:t>
      </w:r>
      <w:r>
        <w:rPr>
          <w:rFonts w:hint="default" w:ascii="Simplified Arabic" w:hAnsi="Simplified Arabic" w:eastAsia="Arial" w:cs="Simplified Arabic"/>
          <w:szCs w:val="24"/>
          <w:rtl/>
        </w:rPr>
        <w:t>(</w:t>
      </w:r>
      <w:r>
        <w:rPr>
          <w:rFonts w:hint="default" w:ascii="Simplified Arabic" w:hAnsi="Simplified Arabic" w:eastAsia="Arial" w:cs="Simplified Arabic"/>
          <w:szCs w:val="24"/>
          <w:rtl/>
          <w:cs/>
        </w:rPr>
        <w:t>مثل مشاريع صندوق الاستثمارات العامة</w:t>
      </w:r>
      <w:r>
        <w:rPr>
          <w:rFonts w:hint="default" w:ascii="Simplified Arabic" w:hAnsi="Simplified Arabic" w:eastAsia="Arial" w:cs="Simplified Arabic"/>
          <w:szCs w:val="24"/>
          <w:rtl/>
        </w:rPr>
        <w:t>)</w:t>
      </w:r>
    </w:p>
    <w:p w14:paraId="6FD7FDF4">
      <w:pPr>
        <w:pStyle w:val="25"/>
        <w:numPr>
          <w:ilvl w:val="0"/>
          <w:numId w:val="3"/>
        </w:numPr>
        <w:bidi/>
        <w:spacing w:line="240" w:lineRule="auto"/>
        <w:ind w:right="90"/>
        <w:jc w:val="left"/>
        <w:rPr>
          <w:rFonts w:hint="default" w:ascii="Simplified Arabic" w:hAnsi="Simplified Arabic" w:eastAsia="Arial" w:cs="Simplified Arabic"/>
          <w:szCs w:val="24"/>
          <w:rtl/>
          <w:cs/>
        </w:rPr>
      </w:pPr>
      <w:r>
        <w:rPr>
          <w:rFonts w:hint="default" w:ascii="Simplified Arabic" w:hAnsi="Simplified Arabic" w:eastAsia="Arial" w:cs="Simplified Arabic"/>
          <w:szCs w:val="24"/>
          <w:rtl/>
          <w:cs/>
        </w:rPr>
        <w:t xml:space="preserve">خفض تكلفة دورة الحياة </w:t>
      </w:r>
      <w:r>
        <w:rPr>
          <w:rFonts w:hint="default" w:ascii="Simplified Arabic" w:hAnsi="Simplified Arabic" w:eastAsia="Arial" w:cs="Simplified Arabic"/>
          <w:szCs w:val="24"/>
          <w:rtl/>
        </w:rPr>
        <w:t>(LCC):</w:t>
      </w:r>
      <w:r>
        <w:rPr>
          <w:rFonts w:hint="default" w:ascii="Simplified Arabic" w:hAnsi="Simplified Arabic" w:eastAsia="Arial" w:cs="Simplified Arabic"/>
          <w:szCs w:val="24"/>
          <w:rtl/>
          <w:cs/>
        </w:rPr>
        <w:t xml:space="preserve"> تسلط الدراسة الضوء على أن إتقان تنفيذ الأعمال الإنشائية</w:t>
      </w:r>
      <w:r>
        <w:rPr>
          <w:rFonts w:hint="default" w:ascii="Simplified Arabic" w:hAnsi="Simplified Arabic" w:eastAsia="Arial" w:cs="Simplified Arabic"/>
          <w:szCs w:val="24"/>
          <w:rtl/>
          <w:lang w:val="en-US"/>
        </w:rPr>
        <w:t xml:space="preserve"> ت</w:t>
      </w:r>
      <w:r>
        <w:rPr>
          <w:rFonts w:hint="default" w:ascii="Simplified Arabic" w:hAnsi="Simplified Arabic" w:eastAsia="Arial" w:cs="Simplified Arabic"/>
          <w:szCs w:val="24"/>
          <w:rtl/>
          <w:cs/>
        </w:rPr>
        <w:t>مثل الأساس الحاسم لـ خفض التكاليف التشغيلية المستقبلية، وتقليل النفقات غير المتوقعة على الصيانة والإصلاح، وضمان العائد الاقتصادي طويل الأمد على الأصول</w:t>
      </w:r>
      <w:r>
        <w:rPr>
          <w:rFonts w:hint="default" w:ascii="Simplified Arabic" w:hAnsi="Simplified Arabic" w:eastAsia="Arial" w:cs="Simplified Arabic"/>
          <w:szCs w:val="24"/>
          <w:rtl/>
        </w:rPr>
        <w:t>.</w:t>
      </w:r>
    </w:p>
    <w:p w14:paraId="4C3668FC">
      <w:pPr>
        <w:pStyle w:val="25"/>
        <w:numPr>
          <w:ilvl w:val="0"/>
          <w:numId w:val="3"/>
        </w:numPr>
        <w:bidi/>
        <w:spacing w:line="240" w:lineRule="auto"/>
        <w:ind w:right="90"/>
        <w:jc w:val="left"/>
        <w:rPr>
          <w:rFonts w:hint="default" w:ascii="Simplified Arabic" w:hAnsi="Simplified Arabic" w:eastAsia="Arial" w:cs="Simplified Arabic"/>
          <w:szCs w:val="24"/>
          <w:rtl/>
          <w:cs/>
        </w:rPr>
      </w:pPr>
      <w:r>
        <w:rPr>
          <w:rFonts w:hint="default" w:ascii="Simplified Arabic" w:hAnsi="Simplified Arabic" w:eastAsia="Arial" w:cs="Simplified Arabic"/>
          <w:szCs w:val="24"/>
          <w:rtl/>
          <w:lang w:val="en-US"/>
        </w:rPr>
        <w:t>ا</w:t>
      </w:r>
      <w:r>
        <w:rPr>
          <w:rFonts w:hint="default" w:ascii="Simplified Arabic" w:hAnsi="Simplified Arabic" w:eastAsia="Arial" w:cs="Simplified Arabic"/>
          <w:szCs w:val="24"/>
          <w:rtl/>
          <w:cs/>
        </w:rPr>
        <w:t>لربط بين المراحل</w:t>
      </w:r>
      <w:r>
        <w:rPr>
          <w:rFonts w:hint="default" w:ascii="Simplified Arabic" w:hAnsi="Simplified Arabic" w:eastAsia="Arial" w:cs="Simplified Arabic"/>
          <w:szCs w:val="24"/>
          <w:rtl/>
        </w:rPr>
        <w:t>:</w:t>
      </w:r>
      <w:r>
        <w:rPr>
          <w:rFonts w:hint="default" w:ascii="Simplified Arabic" w:hAnsi="Simplified Arabic" w:eastAsia="Arial" w:cs="Simplified Arabic"/>
          <w:szCs w:val="24"/>
          <w:rtl/>
          <w:cs/>
        </w:rPr>
        <w:t xml:space="preserve"> تبرز الدراسة أهمية إيجاد إطار عمل إداري يضمن المواءمة بين فرق التنفيذ </w:t>
      </w:r>
      <w:r>
        <w:rPr>
          <w:rFonts w:hint="default" w:ascii="Simplified Arabic" w:hAnsi="Simplified Arabic" w:eastAsia="Arial" w:cs="Simplified Arabic"/>
          <w:szCs w:val="24"/>
          <w:rtl/>
        </w:rPr>
        <w:t>(</w:t>
      </w:r>
      <w:r>
        <w:rPr>
          <w:rFonts w:hint="default" w:ascii="Simplified Arabic" w:hAnsi="Simplified Arabic" w:eastAsia="Arial" w:cs="Simplified Arabic"/>
          <w:szCs w:val="24"/>
          <w:rtl/>
          <w:cs/>
        </w:rPr>
        <w:t>الإنشاء</w:t>
      </w:r>
      <w:r>
        <w:rPr>
          <w:rFonts w:hint="default" w:ascii="Simplified Arabic" w:hAnsi="Simplified Arabic" w:eastAsia="Arial" w:cs="Simplified Arabic"/>
          <w:szCs w:val="24"/>
          <w:rtl/>
        </w:rPr>
        <w:t xml:space="preserve">) </w:t>
      </w:r>
      <w:r>
        <w:rPr>
          <w:rFonts w:hint="default" w:ascii="Simplified Arabic" w:hAnsi="Simplified Arabic" w:eastAsia="Arial" w:cs="Simplified Arabic"/>
          <w:szCs w:val="24"/>
          <w:rtl/>
          <w:cs/>
        </w:rPr>
        <w:t xml:space="preserve">وفرق التشغيل </w:t>
      </w:r>
      <w:r>
        <w:rPr>
          <w:rFonts w:hint="default" w:ascii="Simplified Arabic" w:hAnsi="Simplified Arabic" w:eastAsia="Arial" w:cs="Simplified Arabic"/>
          <w:szCs w:val="24"/>
          <w:rtl/>
        </w:rPr>
        <w:t>(</w:t>
      </w:r>
      <w:r>
        <w:rPr>
          <w:rFonts w:hint="default" w:ascii="Simplified Arabic" w:hAnsi="Simplified Arabic" w:eastAsia="Arial" w:cs="Simplified Arabic"/>
          <w:szCs w:val="24"/>
          <w:rtl/>
          <w:cs/>
        </w:rPr>
        <w:t>إدارة المرافق</w:t>
      </w:r>
      <w:r>
        <w:rPr>
          <w:rFonts w:hint="default" w:ascii="Simplified Arabic" w:hAnsi="Simplified Arabic" w:eastAsia="Arial" w:cs="Simplified Arabic"/>
          <w:szCs w:val="24"/>
          <w:rtl/>
        </w:rPr>
        <w:t>)</w:t>
      </w:r>
      <w:r>
        <w:rPr>
          <w:rFonts w:hint="default" w:ascii="Simplified Arabic" w:hAnsi="Simplified Arabic" w:eastAsia="Arial" w:cs="Simplified Arabic"/>
          <w:szCs w:val="24"/>
          <w:rtl/>
          <w:cs/>
        </w:rPr>
        <w:t>، لمعالجة فجوة الأداء بين التصميم والواقع</w:t>
      </w:r>
      <w:r>
        <w:rPr>
          <w:rFonts w:hint="default" w:ascii="Simplified Arabic" w:hAnsi="Simplified Arabic" w:eastAsia="Arial" w:cs="Simplified Arabic"/>
          <w:szCs w:val="24"/>
          <w:rtl/>
        </w:rPr>
        <w:t>.</w:t>
      </w:r>
    </w:p>
    <w:p w14:paraId="5E666263">
      <w:pPr>
        <w:pStyle w:val="3"/>
        <w:bidi/>
        <w:rPr>
          <w:rFonts w:hint="default"/>
          <w:rtl/>
          <w:cs/>
        </w:rPr>
      </w:pPr>
      <w:bookmarkStart w:id="9" w:name="_Toc20962"/>
      <w:bookmarkStart w:id="10" w:name="_Toc214111454"/>
      <w:r>
        <w:rPr>
          <w:rFonts w:hint="default"/>
          <w:rtl/>
          <w:cs/>
        </w:rPr>
        <w:t>ثانياً</w:t>
      </w:r>
      <w:r>
        <w:rPr>
          <w:rFonts w:hint="default"/>
          <w:rtl/>
        </w:rPr>
        <w:t xml:space="preserve">: </w:t>
      </w:r>
      <w:r>
        <w:rPr>
          <w:rFonts w:hint="default"/>
          <w:rtl/>
          <w:cs/>
        </w:rPr>
        <w:t>الأهمية في البعد البيئي والتقني</w:t>
      </w:r>
      <w:bookmarkEnd w:id="9"/>
      <w:bookmarkEnd w:id="10"/>
    </w:p>
    <w:p w14:paraId="18D95DD0">
      <w:pPr>
        <w:bidi/>
        <w:spacing w:line="240" w:lineRule="auto"/>
        <w:ind w:right="90" w:firstLine="19"/>
        <w:jc w:val="left"/>
        <w:rPr>
          <w:rFonts w:hint="default" w:ascii="Simplified Arabic" w:hAnsi="Simplified Arabic" w:eastAsia="Arial" w:cs="Simplified Arabic"/>
          <w:szCs w:val="24"/>
          <w:rtl/>
          <w:cs/>
        </w:rPr>
      </w:pPr>
      <w:r>
        <w:rPr>
          <w:rFonts w:hint="default" w:ascii="Simplified Arabic" w:hAnsi="Simplified Arabic" w:eastAsia="Arial" w:cs="Simplified Arabic"/>
          <w:szCs w:val="24"/>
          <w:rtl/>
          <w:cs/>
        </w:rPr>
        <w:t>تُقدم الدراسة مساهمة علمية في كيفية ترجمة جودة الإنشاء إلى أهداف بيئية ملموسة عبر ما يلي</w:t>
      </w:r>
      <w:r>
        <w:rPr>
          <w:rFonts w:hint="default" w:ascii="Simplified Arabic" w:hAnsi="Simplified Arabic" w:eastAsia="Arial" w:cs="Simplified Arabic"/>
          <w:szCs w:val="24"/>
          <w:rtl/>
        </w:rPr>
        <w:t>:</w:t>
      </w:r>
    </w:p>
    <w:p w14:paraId="65F0B2FA">
      <w:pPr>
        <w:pStyle w:val="25"/>
        <w:numPr>
          <w:ilvl w:val="0"/>
          <w:numId w:val="4"/>
        </w:numPr>
        <w:bidi/>
        <w:spacing w:line="240" w:lineRule="auto"/>
        <w:ind w:right="90"/>
        <w:jc w:val="left"/>
        <w:rPr>
          <w:rFonts w:hint="default" w:ascii="Simplified Arabic" w:hAnsi="Simplified Arabic" w:eastAsia="Arial" w:cs="Simplified Arabic"/>
          <w:szCs w:val="24"/>
        </w:rPr>
      </w:pPr>
      <w:r>
        <w:rPr>
          <w:rFonts w:hint="default" w:ascii="Simplified Arabic" w:hAnsi="Simplified Arabic" w:eastAsia="Arial" w:cs="Simplified Arabic"/>
          <w:szCs w:val="24"/>
          <w:rtl/>
          <w:cs/>
        </w:rPr>
        <w:t>إدارة الموارد الحيوية</w:t>
      </w:r>
      <w:r>
        <w:rPr>
          <w:rFonts w:hint="default" w:ascii="Simplified Arabic" w:hAnsi="Simplified Arabic" w:eastAsia="Arial" w:cs="Simplified Arabic"/>
          <w:szCs w:val="24"/>
          <w:rtl/>
        </w:rPr>
        <w:t>:</w:t>
      </w:r>
    </w:p>
    <w:p w14:paraId="5E0F066C">
      <w:pPr>
        <w:pStyle w:val="25"/>
        <w:numPr>
          <w:ilvl w:val="0"/>
          <w:numId w:val="5"/>
        </w:numPr>
        <w:bidi/>
        <w:spacing w:line="240" w:lineRule="auto"/>
        <w:ind w:right="90"/>
        <w:jc w:val="left"/>
        <w:rPr>
          <w:rFonts w:hint="default" w:ascii="Simplified Arabic" w:hAnsi="Simplified Arabic" w:eastAsia="Arial" w:cs="Simplified Arabic"/>
          <w:szCs w:val="24"/>
          <w:rtl/>
          <w:cs/>
        </w:rPr>
      </w:pPr>
      <w:r>
        <w:rPr>
          <w:rFonts w:hint="default" w:ascii="Simplified Arabic" w:hAnsi="Simplified Arabic" w:eastAsia="Arial" w:cs="Simplified Arabic"/>
          <w:szCs w:val="24"/>
          <w:rtl/>
          <w:cs/>
        </w:rPr>
        <w:t>تقليل استهلاك الطاقة</w:t>
      </w:r>
      <w:r>
        <w:rPr>
          <w:rFonts w:hint="default" w:ascii="Simplified Arabic" w:hAnsi="Simplified Arabic" w:eastAsia="Arial" w:cs="Simplified Arabic"/>
          <w:szCs w:val="24"/>
          <w:rtl/>
        </w:rPr>
        <w:t>:</w:t>
      </w:r>
      <w:r>
        <w:rPr>
          <w:rFonts w:hint="default" w:ascii="Simplified Arabic" w:hAnsi="Simplified Arabic" w:eastAsia="Arial" w:cs="Simplified Arabic"/>
          <w:szCs w:val="24"/>
          <w:rtl/>
          <w:cs/>
        </w:rPr>
        <w:t xml:space="preserve"> إبراز أثر الجودة في تركيب الأنظمة الشمسية والعزل على تقليل استهلاك الطاقة التشغيلي الفعلي</w:t>
      </w:r>
      <w:r>
        <w:rPr>
          <w:rFonts w:hint="default" w:ascii="Simplified Arabic" w:hAnsi="Simplified Arabic" w:eastAsia="Arial" w:cs="Simplified Arabic"/>
          <w:szCs w:val="24"/>
          <w:rtl/>
        </w:rPr>
        <w:t>.</w:t>
      </w:r>
    </w:p>
    <w:p w14:paraId="017642C4">
      <w:pPr>
        <w:pStyle w:val="25"/>
        <w:numPr>
          <w:ilvl w:val="0"/>
          <w:numId w:val="5"/>
        </w:numPr>
        <w:bidi/>
        <w:spacing w:line="240" w:lineRule="auto"/>
        <w:ind w:right="90"/>
        <w:jc w:val="left"/>
        <w:rPr>
          <w:rFonts w:hint="default" w:ascii="Simplified Arabic" w:hAnsi="Simplified Arabic" w:eastAsia="Arial" w:cs="Simplified Arabic"/>
          <w:szCs w:val="24"/>
          <w:rtl/>
          <w:cs/>
        </w:rPr>
      </w:pPr>
      <w:r>
        <w:rPr>
          <w:rFonts w:hint="default" w:ascii="Simplified Arabic" w:hAnsi="Simplified Arabic" w:eastAsia="Arial" w:cs="Simplified Arabic"/>
          <w:szCs w:val="24"/>
          <w:rtl/>
          <w:cs/>
        </w:rPr>
        <w:t>إدارة المياه</w:t>
      </w:r>
      <w:r>
        <w:rPr>
          <w:rFonts w:hint="default" w:ascii="Simplified Arabic" w:hAnsi="Simplified Arabic" w:eastAsia="Arial" w:cs="Simplified Arabic"/>
          <w:szCs w:val="24"/>
          <w:rtl/>
        </w:rPr>
        <w:t>:</w:t>
      </w:r>
      <w:r>
        <w:rPr>
          <w:rFonts w:hint="default" w:ascii="Simplified Arabic" w:hAnsi="Simplified Arabic" w:eastAsia="Arial" w:cs="Simplified Arabic"/>
          <w:szCs w:val="24"/>
          <w:rtl/>
          <w:cs/>
        </w:rPr>
        <w:t xml:space="preserve"> تحليل أثر دقة تركيب شبكات المواسير والصرف على إدارة الماء (مياه الشرب، الصرف الصحي، وتصريف الأمطار</w:t>
      </w:r>
      <w:r>
        <w:rPr>
          <w:rFonts w:hint="default" w:ascii="Simplified Arabic" w:hAnsi="Simplified Arabic" w:eastAsia="Arial" w:cs="Simplified Arabic"/>
          <w:szCs w:val="24"/>
          <w:rtl/>
        </w:rPr>
        <w:t xml:space="preserve">) </w:t>
      </w:r>
      <w:r>
        <w:rPr>
          <w:rFonts w:hint="default" w:ascii="Simplified Arabic" w:hAnsi="Simplified Arabic" w:eastAsia="Arial" w:cs="Simplified Arabic"/>
          <w:szCs w:val="24"/>
          <w:rtl/>
          <w:cs/>
        </w:rPr>
        <w:t>والحد من الهدر والتسربات.</w:t>
      </w:r>
    </w:p>
    <w:p w14:paraId="30EC1167">
      <w:pPr>
        <w:pStyle w:val="25"/>
        <w:numPr>
          <w:ilvl w:val="0"/>
          <w:numId w:val="4"/>
        </w:numPr>
        <w:bidi/>
        <w:spacing w:line="240" w:lineRule="auto"/>
        <w:ind w:right="90"/>
        <w:jc w:val="left"/>
        <w:rPr>
          <w:rFonts w:hint="default" w:ascii="Simplified Arabic" w:hAnsi="Simplified Arabic" w:eastAsia="Arial" w:cs="Simplified Arabic"/>
          <w:szCs w:val="24"/>
          <w:rtl/>
          <w:cs/>
        </w:rPr>
      </w:pPr>
      <w:r>
        <w:rPr>
          <w:rFonts w:hint="default" w:ascii="Simplified Arabic" w:hAnsi="Simplified Arabic" w:eastAsia="Arial" w:cs="Simplified Arabic"/>
          <w:szCs w:val="24"/>
          <w:rtl/>
          <w:lang w:val="en-US"/>
        </w:rPr>
        <w:t>ا</w:t>
      </w:r>
      <w:r>
        <w:rPr>
          <w:rFonts w:hint="default" w:ascii="Simplified Arabic" w:hAnsi="Simplified Arabic" w:eastAsia="Arial" w:cs="Simplified Arabic"/>
          <w:szCs w:val="24"/>
          <w:rtl/>
          <w:cs/>
        </w:rPr>
        <w:t>لحد من التلوث والفضلات</w:t>
      </w:r>
      <w:r>
        <w:rPr>
          <w:rFonts w:hint="default" w:ascii="Simplified Arabic" w:hAnsi="Simplified Arabic" w:eastAsia="Arial" w:cs="Simplified Arabic"/>
          <w:szCs w:val="24"/>
          <w:rtl/>
        </w:rPr>
        <w:t>:</w:t>
      </w:r>
      <w:r>
        <w:rPr>
          <w:rFonts w:hint="default" w:ascii="Simplified Arabic" w:hAnsi="Simplified Arabic" w:eastAsia="Arial" w:cs="Simplified Arabic"/>
          <w:szCs w:val="24"/>
          <w:rtl/>
          <w:cs/>
        </w:rPr>
        <w:t xml:space="preserve"> تبرز الدراسة أهمية ممارسات الإنشاء في تقليل الفضلات المخرجة عبر دعم آليات إعادة التدوير في الموقع، واستعمال مواد كيميائية صديقة للبيئة، والمساهمة في تقليل تلوث الهواء (الداخلي والخارجي</w:t>
      </w:r>
      <w:r>
        <w:rPr>
          <w:rFonts w:hint="default" w:ascii="Simplified Arabic" w:hAnsi="Simplified Arabic" w:eastAsia="Arial" w:cs="Simplified Arabic"/>
          <w:szCs w:val="24"/>
          <w:rtl/>
        </w:rPr>
        <w:t xml:space="preserve">) </w:t>
      </w:r>
      <w:r>
        <w:rPr>
          <w:rFonts w:hint="default" w:ascii="Simplified Arabic" w:hAnsi="Simplified Arabic" w:eastAsia="Arial" w:cs="Simplified Arabic"/>
          <w:szCs w:val="24"/>
          <w:rtl/>
          <w:cs/>
        </w:rPr>
        <w:t>من خلال جودة التركيبات والتشطيبات</w:t>
      </w:r>
      <w:r>
        <w:rPr>
          <w:rFonts w:hint="default" w:ascii="Simplified Arabic" w:hAnsi="Simplified Arabic" w:eastAsia="Arial" w:cs="Simplified Arabic"/>
          <w:szCs w:val="24"/>
          <w:rtl/>
        </w:rPr>
        <w:t>.</w:t>
      </w:r>
    </w:p>
    <w:p w14:paraId="6B6458BC">
      <w:pPr>
        <w:pStyle w:val="25"/>
        <w:numPr>
          <w:ilvl w:val="0"/>
          <w:numId w:val="4"/>
        </w:numPr>
        <w:bidi/>
        <w:spacing w:line="240" w:lineRule="auto"/>
        <w:ind w:right="90"/>
        <w:jc w:val="left"/>
        <w:rPr>
          <w:rFonts w:hint="default" w:ascii="Simplified Arabic" w:hAnsi="Simplified Arabic" w:eastAsia="Arial" w:cs="Simplified Arabic"/>
          <w:szCs w:val="24"/>
          <w:rtl/>
          <w:cs/>
        </w:rPr>
      </w:pPr>
      <w:r>
        <w:rPr>
          <w:rFonts w:hint="default" w:ascii="Simplified Arabic" w:hAnsi="Simplified Arabic" w:eastAsia="Arial" w:cs="Simplified Arabic"/>
          <w:szCs w:val="24"/>
          <w:rtl/>
          <w:cs/>
        </w:rPr>
        <w:t>حماية الحياة البرية</w:t>
      </w:r>
      <w:r>
        <w:rPr>
          <w:rFonts w:hint="default" w:ascii="Simplified Arabic" w:hAnsi="Simplified Arabic" w:eastAsia="Arial" w:cs="Simplified Arabic"/>
          <w:szCs w:val="24"/>
          <w:rtl/>
        </w:rPr>
        <w:t>:</w:t>
      </w:r>
      <w:r>
        <w:rPr>
          <w:rFonts w:hint="default" w:ascii="Simplified Arabic" w:hAnsi="Simplified Arabic" w:eastAsia="Arial" w:cs="Simplified Arabic"/>
          <w:szCs w:val="24"/>
          <w:rtl/>
          <w:cs/>
        </w:rPr>
        <w:t xml:space="preserve"> تبرهن الدراسة على أن الالتزام بمعايير الجودة الإنشائية في المناطق الحساسة يساهم بشكل مباشر في حماية الحياة البرية وتقليل البصمة البيئية للمشروع</w:t>
      </w:r>
      <w:r>
        <w:rPr>
          <w:rFonts w:hint="default" w:ascii="Simplified Arabic" w:hAnsi="Simplified Arabic" w:eastAsia="Arial" w:cs="Simplified Arabic"/>
          <w:szCs w:val="24"/>
          <w:rtl/>
        </w:rPr>
        <w:t>.</w:t>
      </w:r>
    </w:p>
    <w:p w14:paraId="03AD121C">
      <w:pPr>
        <w:pStyle w:val="25"/>
        <w:numPr>
          <w:ilvl w:val="0"/>
          <w:numId w:val="4"/>
        </w:numPr>
        <w:bidi/>
        <w:spacing w:line="240" w:lineRule="auto"/>
        <w:ind w:right="90"/>
        <w:jc w:val="left"/>
        <w:rPr>
          <w:rFonts w:hint="default" w:ascii="Simplified Arabic" w:hAnsi="Simplified Arabic" w:eastAsia="Arial" w:cs="Simplified Arabic"/>
          <w:szCs w:val="24"/>
          <w:rtl/>
          <w:cs/>
        </w:rPr>
      </w:pPr>
      <w:r>
        <w:rPr>
          <w:rFonts w:hint="default" w:ascii="Simplified Arabic" w:hAnsi="Simplified Arabic" w:eastAsia="Arial" w:cs="Simplified Arabic"/>
          <w:szCs w:val="24"/>
          <w:rtl/>
          <w:cs/>
        </w:rPr>
        <w:t>الاستدامة التقنية</w:t>
      </w:r>
      <w:r>
        <w:rPr>
          <w:rFonts w:hint="default" w:ascii="Simplified Arabic" w:hAnsi="Simplified Arabic" w:eastAsia="Arial" w:cs="Simplified Arabic"/>
          <w:szCs w:val="24"/>
          <w:rtl/>
        </w:rPr>
        <w:t>:</w:t>
      </w:r>
      <w:r>
        <w:rPr>
          <w:rFonts w:hint="default" w:ascii="Simplified Arabic" w:hAnsi="Simplified Arabic" w:eastAsia="Arial" w:cs="Simplified Arabic"/>
          <w:szCs w:val="24"/>
          <w:rtl/>
          <w:cs/>
        </w:rPr>
        <w:t xml:space="preserve"> دعم موثوقية الأصول التشغيلية من خلال الربط المباشر بين جودة التنفيذ </w:t>
      </w:r>
      <w:r>
        <w:rPr>
          <w:rFonts w:hint="default" w:ascii="Simplified Arabic" w:hAnsi="Simplified Arabic" w:eastAsia="Arial" w:cs="Simplified Arabic"/>
          <w:szCs w:val="24"/>
          <w:rtl/>
        </w:rPr>
        <w:t xml:space="preserve">(Technical Execution Quality) </w:t>
      </w:r>
      <w:r>
        <w:rPr>
          <w:rFonts w:hint="default" w:ascii="Simplified Arabic" w:hAnsi="Simplified Arabic" w:eastAsia="Arial" w:cs="Simplified Arabic"/>
          <w:szCs w:val="24"/>
          <w:rtl/>
          <w:cs/>
        </w:rPr>
        <w:t>وبين تقليل الأعطال وضمان كفاءة الأداء التشغيلي طويلة الأمد للأنظمة المركبة</w:t>
      </w:r>
      <w:r>
        <w:rPr>
          <w:rFonts w:hint="default" w:ascii="Simplified Arabic" w:hAnsi="Simplified Arabic" w:eastAsia="Arial" w:cs="Simplified Arabic"/>
          <w:szCs w:val="24"/>
          <w:rtl/>
        </w:rPr>
        <w:t>.</w:t>
      </w:r>
    </w:p>
    <w:p w14:paraId="219C63F6">
      <w:pPr>
        <w:pStyle w:val="3"/>
        <w:bidi/>
        <w:rPr>
          <w:rFonts w:hint="default"/>
          <w:rtl/>
          <w:cs/>
        </w:rPr>
      </w:pPr>
      <w:bookmarkStart w:id="11" w:name="_Toc214111455"/>
      <w:bookmarkStart w:id="12" w:name="_Toc12636"/>
      <w:r>
        <w:rPr>
          <w:rFonts w:hint="default"/>
          <w:rtl/>
          <w:cs/>
        </w:rPr>
        <w:t>ثالثاً</w:t>
      </w:r>
      <w:r>
        <w:rPr>
          <w:rFonts w:hint="default"/>
          <w:rtl/>
        </w:rPr>
        <w:t xml:space="preserve">: </w:t>
      </w:r>
      <w:r>
        <w:rPr>
          <w:rFonts w:hint="default"/>
          <w:rtl/>
          <w:cs/>
        </w:rPr>
        <w:t xml:space="preserve">الأهمية في البعد الاجتماعي </w:t>
      </w:r>
      <w:r>
        <w:rPr>
          <w:rFonts w:hint="default"/>
          <w:rtl/>
        </w:rPr>
        <w:t>(</w:t>
      </w:r>
      <w:r>
        <w:rPr>
          <w:rFonts w:hint="default"/>
          <w:rtl/>
          <w:cs/>
        </w:rPr>
        <w:t>رأس المال البشري</w:t>
      </w:r>
      <w:r>
        <w:rPr>
          <w:rFonts w:hint="default"/>
          <w:rtl/>
        </w:rPr>
        <w:t>)</w:t>
      </w:r>
      <w:bookmarkEnd w:id="11"/>
      <w:bookmarkEnd w:id="12"/>
    </w:p>
    <w:p w14:paraId="4FC57DD9">
      <w:pPr>
        <w:bidi/>
        <w:rPr>
          <w:rFonts w:hint="default"/>
        </w:rPr>
      </w:pPr>
      <w:r>
        <w:rPr>
          <w:rFonts w:hint="default"/>
          <w:rtl/>
          <w:cs/>
        </w:rPr>
        <w:t>تكتسب الدراسة أهمية اجتماعية وإدارية من خلال</w:t>
      </w:r>
      <w:r>
        <w:rPr>
          <w:rFonts w:hint="default"/>
          <w:rtl/>
        </w:rPr>
        <w:t xml:space="preserve">: </w:t>
      </w:r>
      <w:r>
        <w:rPr>
          <w:rFonts w:hint="default"/>
          <w:rtl/>
          <w:cs/>
        </w:rPr>
        <w:t xml:space="preserve">تسليط الضوء على ضرورة الحفاظ على الموظفين المهرة ونقل خبراتهم ومعرفتهم الدقيقة بـ </w:t>
      </w:r>
      <w:r>
        <w:rPr>
          <w:rFonts w:hint="default"/>
          <w:rtl/>
        </w:rPr>
        <w:t>"</w:t>
      </w:r>
      <w:r>
        <w:rPr>
          <w:rFonts w:hint="default"/>
          <w:rtl/>
          <w:cs/>
        </w:rPr>
        <w:t>كيف تم بناء الأصل</w:t>
      </w:r>
      <w:r>
        <w:rPr>
          <w:rFonts w:hint="default"/>
          <w:rtl/>
        </w:rPr>
        <w:t xml:space="preserve">" </w:t>
      </w:r>
      <w:r>
        <w:rPr>
          <w:rFonts w:hint="default"/>
          <w:rtl/>
          <w:cs/>
        </w:rPr>
        <w:t>من قطاع الإنشاء إلى فرق إدارة المرافق</w:t>
      </w:r>
      <w:r>
        <w:rPr>
          <w:rFonts w:hint="default"/>
          <w:rtl/>
        </w:rPr>
        <w:t xml:space="preserve">. </w:t>
      </w:r>
      <w:r>
        <w:rPr>
          <w:rFonts w:hint="default"/>
          <w:rtl/>
          <w:cs/>
        </w:rPr>
        <w:t>هذا النقل يُعزز من رأس المال البشري للمشروع ويقلل من فجوة المعرفة، مما يضمن استمرارية الأداء الاجتماعي والعملياتي المستدام</w:t>
      </w:r>
      <w:r>
        <w:rPr>
          <w:rFonts w:hint="default"/>
        </w:rPr>
        <w:t>.</w:t>
      </w:r>
    </w:p>
    <w:p w14:paraId="7F75CB64">
      <w:pPr>
        <w:pStyle w:val="2"/>
        <w:bidi/>
        <w:outlineLvl w:val="9"/>
        <w:rPr>
          <w:rFonts w:hint="default"/>
          <w:rtl/>
        </w:rPr>
      </w:pPr>
    </w:p>
    <w:p w14:paraId="6C7D1A28">
      <w:pPr>
        <w:pStyle w:val="2"/>
        <w:bidi/>
        <w:rPr>
          <w:rFonts w:hint="default"/>
          <w:rtl/>
        </w:rPr>
      </w:pPr>
      <w:bookmarkStart w:id="13" w:name="_Toc2852"/>
      <w:r>
        <w:rPr>
          <w:rFonts w:hint="cs" w:cs="Simplified Arabic"/>
          <w:rtl/>
          <w:lang w:bidi="ar-SA"/>
        </w:rPr>
        <w:t>أ</w:t>
      </w:r>
      <w:r>
        <w:rPr>
          <w:rFonts w:hint="default"/>
          <w:rtl/>
        </w:rPr>
        <w:t>هداف الدراسة</w:t>
      </w:r>
      <w:bookmarkEnd w:id="13"/>
    </w:p>
    <w:p w14:paraId="7FCB7F19">
      <w:pPr>
        <w:bidi/>
        <w:rPr>
          <w:rFonts w:hint="default"/>
          <w:rtl/>
          <w:cs/>
          <w:lang w:val="en"/>
        </w:rPr>
      </w:pPr>
      <w:r>
        <w:rPr>
          <w:rFonts w:hint="default"/>
          <w:rtl/>
          <w:lang w:val="en"/>
        </w:rPr>
        <w:t>انطلاقاً من الإشكالية البحثية التي تتمحور حول العلاقة بين جودة الأعمال الإنشائية في مرحلة التنفيذ وبين مستوى الأداء المتكامل للاستدامة التشغيلية في المشاريع واسعة النطاق، تسعى هذه الدراسة إلى بناء إطار تحليلي يوضح طبيعة هذه العلاقة واتجاهها وحجم تأثيرها، وذلك في ضوء التحولات التنموية الكبرى التي تشهدها المملكة العربية السعودية، وما تتطلبه من كفاءة تشغيلية مستدامة للأصول والمشاريع الاستراتيجية</w:t>
      </w:r>
      <w:r>
        <w:rPr>
          <w:rFonts w:hint="default"/>
        </w:rPr>
        <w:t>.</w:t>
      </w:r>
      <w:r>
        <w:rPr>
          <w:rFonts w:hint="default"/>
          <w:rtl/>
          <w:cs/>
          <w:lang w:val="en"/>
        </w:rPr>
        <w:t xml:space="preserve"> </w:t>
      </w:r>
    </w:p>
    <w:p w14:paraId="433B8FBE">
      <w:pPr>
        <w:bidi/>
        <w:rPr>
          <w:rFonts w:hint="default"/>
        </w:rPr>
      </w:pPr>
      <w:r>
        <w:rPr>
          <w:rFonts w:hint="default"/>
          <w:rtl/>
          <w:lang w:val="en"/>
        </w:rPr>
        <w:t>وتتمثل أهداف الدراسة فيما يلي</w:t>
      </w:r>
      <w:r>
        <w:rPr>
          <w:rFonts w:hint="default"/>
        </w:rPr>
        <w:t>:</w:t>
      </w:r>
    </w:p>
    <w:p w14:paraId="5F065718">
      <w:pPr>
        <w:pStyle w:val="3"/>
        <w:bidi/>
        <w:rPr>
          <w:rFonts w:hint="default"/>
        </w:rPr>
      </w:pPr>
      <w:bookmarkStart w:id="14" w:name="_Toc27287"/>
      <w:r>
        <w:rPr>
          <w:rFonts w:hint="default"/>
          <w:rtl/>
          <w:lang w:val="en"/>
        </w:rPr>
        <w:t>الهدف الرئيس</w:t>
      </w:r>
      <w:r>
        <w:rPr>
          <w:rFonts w:hint="default"/>
        </w:rPr>
        <w:t>:</w:t>
      </w:r>
      <w:bookmarkEnd w:id="14"/>
    </w:p>
    <w:p w14:paraId="11482337">
      <w:pPr>
        <w:bidi/>
        <w:rPr>
          <w:rFonts w:hint="default"/>
          <w:rtl/>
        </w:rPr>
      </w:pPr>
      <w:r>
        <w:rPr>
          <w:rFonts w:hint="default"/>
          <w:rtl/>
          <w:lang w:val="en"/>
        </w:rPr>
        <w:t>تحليل وقياس أثر جودة الأعمال الإنشائية في مرحلة التنفيذ على الأداء المتكامل للاستدامة التشغيلية بأبعادها البيئية والاقتصادية والاجتماعية والتقنية، في المشاريع واسعة النطاق بالمملكة العربية السعودية، مع تحديد طبيعة العلاقة السببية بين المتغيرات الرئيسية للدراسة</w:t>
      </w:r>
      <w:r>
        <w:rPr>
          <w:rFonts w:hint="default"/>
        </w:rPr>
        <w:t>.</w:t>
      </w:r>
    </w:p>
    <w:p w14:paraId="70077402">
      <w:pPr>
        <w:pStyle w:val="3"/>
        <w:bidi/>
        <w:rPr>
          <w:rFonts w:hint="default"/>
        </w:rPr>
      </w:pPr>
      <w:bookmarkStart w:id="15" w:name="_Toc17803"/>
      <w:r>
        <w:rPr>
          <w:rFonts w:hint="default"/>
          <w:rtl/>
        </w:rPr>
        <w:t>الأهداف الفرعية</w:t>
      </w:r>
      <w:r>
        <w:rPr>
          <w:rFonts w:hint="default"/>
        </w:rPr>
        <w:t>:</w:t>
      </w:r>
      <w:bookmarkEnd w:id="15"/>
    </w:p>
    <w:p w14:paraId="6B8CA402">
      <w:pPr>
        <w:pStyle w:val="25"/>
        <w:numPr>
          <w:ilvl w:val="0"/>
          <w:numId w:val="6"/>
        </w:numPr>
        <w:bidi/>
        <w:spacing w:line="240" w:lineRule="auto"/>
        <w:jc w:val="left"/>
        <w:rPr>
          <w:rFonts w:hint="default" w:ascii="Simplified Arabic" w:hAnsi="Simplified Arabic" w:cs="Simplified Arabic"/>
          <w:b/>
          <w:bCs/>
          <w:szCs w:val="24"/>
        </w:rPr>
      </w:pPr>
      <w:r>
        <w:rPr>
          <w:rFonts w:hint="default" w:ascii="Simplified Arabic" w:hAnsi="Simplified Arabic" w:cs="Simplified Arabic"/>
          <w:b/>
          <w:bCs/>
          <w:szCs w:val="24"/>
          <w:rtl/>
        </w:rPr>
        <w:t>تحليل أثر جودة الأعمال الإنشائية على البعد البيئي للاستدامة التشغيلية</w:t>
      </w:r>
    </w:p>
    <w:p w14:paraId="686172F8">
      <w:pPr>
        <w:bidi/>
        <w:rPr>
          <w:rFonts w:hint="default"/>
          <w:rtl/>
          <w:lang w:val="en"/>
        </w:rPr>
      </w:pPr>
      <w:r>
        <w:rPr>
          <w:rFonts w:hint="default"/>
          <w:rtl/>
        </w:rPr>
        <w:t>وذلك من خلال استكشاف مدى انعكاس مستوى دقة التنفيذ والالتزام بالمعايير الفنية على كفاءة استخدام الموارد الحيوية، والحد من الهدر، وتقليل الآثار البيئية طويلة المدى خلال مرحلة التشغيل.</w:t>
      </w:r>
    </w:p>
    <w:p w14:paraId="7D84932B">
      <w:pPr>
        <w:pStyle w:val="25"/>
        <w:numPr>
          <w:ilvl w:val="0"/>
          <w:numId w:val="6"/>
        </w:numPr>
        <w:bidi/>
        <w:spacing w:line="240" w:lineRule="auto"/>
        <w:jc w:val="left"/>
        <w:rPr>
          <w:rFonts w:hint="default" w:ascii="Simplified Arabic" w:hAnsi="Simplified Arabic" w:cs="Simplified Arabic"/>
          <w:b/>
          <w:bCs/>
          <w:szCs w:val="24"/>
          <w:rtl/>
        </w:rPr>
      </w:pPr>
      <w:r>
        <w:rPr>
          <w:rFonts w:hint="default" w:ascii="Simplified Arabic" w:hAnsi="Simplified Arabic" w:cs="Simplified Arabic"/>
          <w:b/>
          <w:bCs/>
          <w:szCs w:val="24"/>
          <w:rtl/>
        </w:rPr>
        <w:t>قياس تأثير جودة التنفيذ الإنشائي على البعد الاقتصادي للاستدامة التشغيلية</w:t>
      </w:r>
    </w:p>
    <w:p w14:paraId="4A20F3B1">
      <w:pPr>
        <w:bidi/>
        <w:rPr>
          <w:rFonts w:hint="default"/>
          <w:rtl/>
          <w:lang w:val="en"/>
        </w:rPr>
      </w:pPr>
      <w:r>
        <w:rPr>
          <w:rFonts w:hint="default"/>
          <w:rtl/>
          <w:lang w:val="en"/>
        </w:rPr>
        <w:t>من خلال دراسة العلاقة بين مستوى الإتقان في مرحلة التنفيذ وبين خفض التكاليف التشغيلية المستقبلية، وتقليل تكاليف الصيانة والإصلاح، وتعزيز كفاءة دورة حياة المشروع.</w:t>
      </w:r>
    </w:p>
    <w:p w14:paraId="4ECC3965">
      <w:pPr>
        <w:bidi/>
        <w:spacing w:line="240" w:lineRule="auto"/>
        <w:jc w:val="left"/>
        <w:rPr>
          <w:rFonts w:hint="default" w:ascii="Simplified Arabic" w:hAnsi="Simplified Arabic" w:eastAsia="Calibri" w:cs="Simplified Arabic"/>
          <w:kern w:val="0"/>
          <w:sz w:val="24"/>
          <w:szCs w:val="24"/>
          <w:rtl/>
          <w:lang w:val="en"/>
          <w14:ligatures w14:val="none"/>
        </w:rPr>
      </w:pPr>
    </w:p>
    <w:p w14:paraId="76CDADE9">
      <w:pPr>
        <w:numPr>
          <w:ilvl w:val="0"/>
          <w:numId w:val="6"/>
        </w:numPr>
        <w:bidi/>
        <w:spacing w:line="240" w:lineRule="auto"/>
        <w:ind w:left="720" w:leftChars="0" w:hanging="360" w:firstLineChars="0"/>
        <w:jc w:val="left"/>
        <w:rPr>
          <w:rFonts w:hint="default" w:ascii="Simplified Arabic" w:hAnsi="Simplified Arabic" w:cs="Simplified Arabic"/>
          <w:b/>
          <w:bCs/>
          <w:szCs w:val="24"/>
          <w:rtl/>
        </w:rPr>
      </w:pPr>
      <w:r>
        <w:rPr>
          <w:rFonts w:hint="default" w:ascii="Simplified Arabic" w:hAnsi="Simplified Arabic" w:cs="Simplified Arabic"/>
          <w:b/>
          <w:bCs/>
          <w:szCs w:val="24"/>
          <w:rtl/>
        </w:rPr>
        <w:t>اختبار العلاقة بين جودة التنفيذ الإنشائي والموثوقية التقنية للأصول التشغيلية</w:t>
      </w:r>
    </w:p>
    <w:p w14:paraId="4AFD33C9">
      <w:pPr>
        <w:bidi/>
        <w:rPr>
          <w:rFonts w:hint="default"/>
          <w:rtl/>
          <w:lang w:val="en"/>
        </w:rPr>
      </w:pPr>
      <w:r>
        <w:rPr>
          <w:rFonts w:hint="default"/>
          <w:rtl/>
          <w:lang w:val="en"/>
        </w:rPr>
        <w:t>عبر تحليل مدى تأثير جودة التركيبات والأنظمة على استقرار الأداء، وتقليل الأعطال، وضمان الكفاءة التشغيلية المستدامة على المدى الطويل.</w:t>
      </w:r>
    </w:p>
    <w:p w14:paraId="6EB88C5E">
      <w:pPr>
        <w:pStyle w:val="25"/>
        <w:numPr>
          <w:ilvl w:val="0"/>
          <w:numId w:val="6"/>
        </w:numPr>
        <w:bidi/>
        <w:spacing w:line="240" w:lineRule="auto"/>
        <w:jc w:val="left"/>
        <w:rPr>
          <w:rFonts w:hint="default" w:ascii="Simplified Arabic" w:hAnsi="Simplified Arabic" w:cs="Simplified Arabic"/>
          <w:b/>
          <w:bCs/>
          <w:szCs w:val="24"/>
          <w:rtl/>
        </w:rPr>
      </w:pPr>
      <w:r>
        <w:rPr>
          <w:rFonts w:hint="default" w:ascii="Simplified Arabic" w:hAnsi="Simplified Arabic" w:cs="Simplified Arabic"/>
          <w:b/>
          <w:bCs/>
          <w:szCs w:val="24"/>
          <w:rtl/>
        </w:rPr>
        <w:t>دراسة أثر الممارسات الإدارية المصاحبة لمرحلة التنفيذ على البعد الاجتماعي للاستدامة التشغيلية</w:t>
      </w:r>
    </w:p>
    <w:p w14:paraId="1C29706D">
      <w:pPr>
        <w:bidi/>
        <w:rPr>
          <w:rFonts w:hint="default"/>
          <w:rtl/>
          <w:lang w:val="en"/>
        </w:rPr>
      </w:pPr>
      <w:r>
        <w:rPr>
          <w:rFonts w:hint="default"/>
          <w:rtl/>
          <w:lang w:val="en"/>
        </w:rPr>
        <w:t>وبخاصة ما يتعلق بنقل المعرفة والخبرات الفنية من مرحلة الإنشاء إلى مرحلة التشغيل، ودورها في تعزيز رأس المال البشري وتقليل فجوة المعرفة المؤسسية.</w:t>
      </w:r>
    </w:p>
    <w:p w14:paraId="7CCACCA0">
      <w:pPr>
        <w:pStyle w:val="25"/>
        <w:numPr>
          <w:ilvl w:val="0"/>
          <w:numId w:val="6"/>
        </w:numPr>
        <w:bidi/>
        <w:spacing w:line="240" w:lineRule="auto"/>
        <w:jc w:val="left"/>
        <w:rPr>
          <w:rFonts w:hint="default" w:ascii="Simplified Arabic" w:hAnsi="Simplified Arabic" w:cs="Simplified Arabic"/>
          <w:b/>
          <w:bCs/>
          <w:szCs w:val="24"/>
          <w:rtl/>
        </w:rPr>
      </w:pPr>
      <w:r>
        <w:rPr>
          <w:rFonts w:hint="default" w:ascii="Simplified Arabic" w:hAnsi="Simplified Arabic" w:cs="Simplified Arabic"/>
          <w:b/>
          <w:bCs/>
          <w:szCs w:val="24"/>
          <w:rtl/>
        </w:rPr>
        <w:t>تحليل مستوى التكامل بين مرحلتي الإنشاء والتشغيل كعامل وسيط في تعزيز الاستدامة التشغيلية</w:t>
      </w:r>
    </w:p>
    <w:p w14:paraId="0B191DD3">
      <w:pPr>
        <w:bidi/>
        <w:rPr>
          <w:rFonts w:hint="default"/>
          <w:rtl/>
          <w:lang w:val="en"/>
        </w:rPr>
      </w:pPr>
      <w:r>
        <w:rPr>
          <w:rFonts w:hint="default"/>
          <w:rtl/>
          <w:lang w:val="en"/>
        </w:rPr>
        <w:t>من خلال استكشاف آليات التنسيق الإداري، ومدى انسجام فرق العمل المختلفة، وتأثير ذلك في تقليل فجوة الأداء بين التصميم والتنفيذ والتشغيل.</w:t>
      </w:r>
    </w:p>
    <w:p w14:paraId="723355C3">
      <w:pPr>
        <w:pStyle w:val="25"/>
        <w:numPr>
          <w:ilvl w:val="0"/>
          <w:numId w:val="6"/>
        </w:numPr>
        <w:bidi/>
        <w:spacing w:line="240" w:lineRule="auto"/>
        <w:jc w:val="both"/>
        <w:rPr>
          <w:rFonts w:hint="default" w:ascii="Simplified Arabic" w:hAnsi="Simplified Arabic" w:cs="Simplified Arabic"/>
          <w:b/>
          <w:bCs/>
          <w:szCs w:val="24"/>
          <w:rtl/>
        </w:rPr>
      </w:pPr>
      <w:r>
        <w:rPr>
          <w:rFonts w:hint="default" w:ascii="Simplified Arabic" w:hAnsi="Simplified Arabic" w:cs="Simplified Arabic"/>
          <w:b/>
          <w:bCs/>
          <w:szCs w:val="24"/>
          <w:rtl/>
        </w:rPr>
        <w:t>تقديم إطار إداري مقترح</w:t>
      </w:r>
    </w:p>
    <w:p w14:paraId="5B748323">
      <w:pPr>
        <w:bidi/>
        <w:rPr>
          <w:rFonts w:hint="default"/>
          <w:rtl/>
          <w:lang w:val="en"/>
        </w:rPr>
      </w:pPr>
      <w:r>
        <w:rPr>
          <w:rFonts w:hint="default"/>
          <w:rtl/>
          <w:lang w:val="en"/>
        </w:rPr>
        <w:t>يسهم في دعم صناع القرار في المشاريع الكبرى، من خلال الربط المنهجي بين مؤشرات جودة التنفيذ ومؤشرات الأداء التشغيلي المستدام، بما يعزز تحقيق الأهداف الاستراتيجية طويلة المدى.</w:t>
      </w:r>
    </w:p>
    <w:p w14:paraId="4DCB5A95">
      <w:pPr>
        <w:bidi/>
        <w:spacing w:line="240" w:lineRule="auto"/>
        <w:jc w:val="left"/>
        <w:rPr>
          <w:rFonts w:hint="default" w:ascii="Simplified Arabic" w:hAnsi="Simplified Arabic" w:eastAsia="Calibri" w:cs="Simplified Arabic"/>
          <w:kern w:val="0"/>
          <w:sz w:val="24"/>
          <w:szCs w:val="24"/>
          <w:rtl/>
          <w:lang w:val="en"/>
          <w14:ligatures w14:val="none"/>
        </w:rPr>
      </w:pPr>
    </w:p>
    <w:p w14:paraId="3AE82002">
      <w:pPr>
        <w:pStyle w:val="2"/>
        <w:bidi/>
        <w:rPr>
          <w:rFonts w:hint="default"/>
        </w:rPr>
      </w:pPr>
      <w:bookmarkStart w:id="16" w:name="_Toc18876"/>
      <w:r>
        <w:rPr>
          <w:rFonts w:hint="default"/>
          <w:rtl/>
        </w:rPr>
        <w:t>تساؤلات الدراسة</w:t>
      </w:r>
      <w:bookmarkEnd w:id="16"/>
    </w:p>
    <w:p w14:paraId="087FD1C4">
      <w:pPr>
        <w:bidi/>
        <w:spacing w:before="100" w:beforeAutospacing="1" w:after="100" w:afterAutospacing="1" w:line="240" w:lineRule="auto"/>
        <w:jc w:val="left"/>
        <w:rPr>
          <w:rFonts w:hint="default" w:ascii="Simplified Arabic" w:hAnsi="Simplified Arabic" w:cs="Simplified Arabic"/>
          <w:sz w:val="28"/>
          <w:szCs w:val="28"/>
          <w:u w:val="single"/>
          <w:rtl/>
        </w:rPr>
      </w:pPr>
      <w:r>
        <w:rPr>
          <w:rFonts w:hint="default" w:ascii="Simplified Arabic" w:hAnsi="Simplified Arabic" w:eastAsia="Times New Roman" w:cs="Simplified Arabic"/>
          <w:kern w:val="0"/>
          <w:sz w:val="24"/>
          <w:szCs w:val="24"/>
          <w:rtl/>
          <w14:ligatures w14:val="none"/>
        </w:rPr>
        <w:t>انطلاقاً من الهدف الرئيس للدراسة المتمثل في تحليل وقياس أثر جودة الأعمال الإنشائية على الأداء المتكامل للاستدامة التشغيلية في المشاريع واسعة النطاق، تسعى الدراسة للإجابة عن التساؤلات التالية:</w:t>
      </w:r>
    </w:p>
    <w:p w14:paraId="2F67797E">
      <w:pPr>
        <w:pStyle w:val="3"/>
        <w:bidi/>
        <w:rPr>
          <w:rFonts w:hint="default"/>
          <w:lang w:val="en-US"/>
        </w:rPr>
      </w:pPr>
      <w:bookmarkStart w:id="17" w:name="_Toc15150"/>
      <w:bookmarkStart w:id="18" w:name="_Toc214111462"/>
      <w:r>
        <w:rPr>
          <w:rFonts w:hint="default"/>
          <w:rtl/>
          <w:lang w:val="en-US"/>
        </w:rPr>
        <w:t>أولاً: التساؤل الرئيس</w:t>
      </w:r>
      <w:bookmarkEnd w:id="17"/>
    </w:p>
    <w:p w14:paraId="2FAC9C88">
      <w:pPr>
        <w:bidi/>
        <w:rPr>
          <w:rFonts w:hint="default"/>
          <w:rtl/>
        </w:rPr>
      </w:pPr>
      <w:r>
        <w:rPr>
          <w:rFonts w:hint="default"/>
          <w:rtl/>
        </w:rPr>
        <w:t>ما طبيعة العلاقة وأثر جودة الأعمال الإنشائية في مرحلة التنفيذ على الأداء المتكامل للاستدامة التشغيلية بأبعادها البيئية والاقتصادية والاجتماعية والتقنية في المشاريع واسعة النطاق بالمملكة العربية السعودية؟</w:t>
      </w:r>
    </w:p>
    <w:p w14:paraId="32B52FDB">
      <w:pPr>
        <w:pStyle w:val="3"/>
        <w:bidi/>
        <w:rPr>
          <w:rFonts w:hint="default"/>
          <w:rtl/>
        </w:rPr>
      </w:pPr>
      <w:bookmarkStart w:id="19" w:name="_Toc30002"/>
      <w:r>
        <w:rPr>
          <w:rFonts w:hint="default"/>
          <w:rtl/>
        </w:rPr>
        <w:t>ثانياً: التساؤلات الفرعية:</w:t>
      </w:r>
      <w:bookmarkEnd w:id="19"/>
      <w:r>
        <w:rPr>
          <w:rFonts w:hint="default"/>
          <w:rtl/>
        </w:rPr>
        <w:t xml:space="preserve"> </w:t>
      </w:r>
    </w:p>
    <w:p w14:paraId="7D0A9506">
      <w:pPr>
        <w:pStyle w:val="4"/>
        <w:numPr>
          <w:ilvl w:val="0"/>
          <w:numId w:val="7"/>
        </w:numPr>
        <w:bidi/>
        <w:rPr>
          <w:rFonts w:hint="default"/>
        </w:rPr>
      </w:pPr>
      <w:bookmarkStart w:id="20" w:name="_Toc17097"/>
      <w:r>
        <w:rPr>
          <w:rFonts w:hint="default"/>
          <w:rtl/>
        </w:rPr>
        <w:t>التساؤلات المرتبطة بالبعد البيئي:</w:t>
      </w:r>
      <w:bookmarkEnd w:id="20"/>
    </w:p>
    <w:p w14:paraId="25CA614D">
      <w:pPr>
        <w:pStyle w:val="25"/>
        <w:numPr>
          <w:ilvl w:val="0"/>
          <w:numId w:val="2"/>
        </w:numPr>
        <w:bidi/>
        <w:spacing w:before="100" w:beforeAutospacing="1" w:after="100" w:afterAutospacing="1" w:line="240" w:lineRule="auto"/>
        <w:jc w:val="left"/>
        <w:rPr>
          <w:rFonts w:hint="default" w:ascii="Simplified Arabic" w:hAnsi="Simplified Arabic" w:eastAsia="Times New Roman" w:cs="Simplified Arabic"/>
          <w:szCs w:val="24"/>
        </w:rPr>
      </w:pPr>
      <w:r>
        <w:rPr>
          <w:rFonts w:hint="default" w:ascii="Simplified Arabic" w:hAnsi="Simplified Arabic" w:eastAsia="Times New Roman" w:cs="Simplified Arabic"/>
          <w:szCs w:val="24"/>
          <w:rtl/>
        </w:rPr>
        <w:t>ما أثر جودة الأعمال الإنشائية على كفاءة إدارة الموارد الحيوية خلال مرحلة التشغيل (الطاقة، المياه، والحد من الهدر)؟</w:t>
      </w:r>
    </w:p>
    <w:p w14:paraId="03C79990">
      <w:pPr>
        <w:pStyle w:val="25"/>
        <w:numPr>
          <w:ilvl w:val="0"/>
          <w:numId w:val="2"/>
        </w:numPr>
        <w:bidi/>
        <w:spacing w:before="100" w:beforeAutospacing="1" w:after="100" w:afterAutospacing="1" w:line="240" w:lineRule="auto"/>
        <w:jc w:val="left"/>
        <w:rPr>
          <w:rFonts w:hint="default" w:ascii="Simplified Arabic" w:hAnsi="Simplified Arabic" w:eastAsia="Times New Roman" w:cs="Simplified Arabic"/>
          <w:szCs w:val="24"/>
        </w:rPr>
      </w:pPr>
      <w:r>
        <w:rPr>
          <w:rFonts w:hint="default" w:ascii="Simplified Arabic" w:hAnsi="Simplified Arabic" w:eastAsia="Times New Roman" w:cs="Simplified Arabic"/>
          <w:szCs w:val="24"/>
          <w:rtl/>
        </w:rPr>
        <w:t>إلى أي مدى تسهم جودة التنفيذ في تقليل الآثار البيئية السلبية مثل التلوث وتقليل الفضلات التشغيلية؟</w:t>
      </w:r>
    </w:p>
    <w:p w14:paraId="34F05711">
      <w:pPr>
        <w:pStyle w:val="25"/>
        <w:numPr>
          <w:ilvl w:val="0"/>
          <w:numId w:val="2"/>
        </w:numPr>
        <w:bidi/>
        <w:spacing w:before="100" w:beforeAutospacing="1" w:after="100" w:afterAutospacing="1" w:line="240" w:lineRule="auto"/>
        <w:jc w:val="left"/>
        <w:rPr>
          <w:rFonts w:hint="default" w:ascii="Simplified Arabic" w:hAnsi="Simplified Arabic" w:eastAsia="Times New Roman" w:cs="Simplified Arabic"/>
          <w:szCs w:val="24"/>
        </w:rPr>
      </w:pPr>
      <w:r>
        <w:rPr>
          <w:rFonts w:hint="default" w:ascii="Simplified Arabic" w:hAnsi="Simplified Arabic" w:eastAsia="Times New Roman" w:cs="Simplified Arabic"/>
          <w:szCs w:val="24"/>
          <w:rtl/>
        </w:rPr>
        <w:t>ما العلاقة بين جودة التنفيذ الإنشائي والالتزام بالممارسات البيئية المستدامة طويلة الأمد؟</w:t>
      </w:r>
    </w:p>
    <w:p w14:paraId="65EE3316">
      <w:pPr>
        <w:pStyle w:val="25"/>
        <w:bidi/>
        <w:spacing w:before="100" w:beforeAutospacing="1" w:after="100" w:afterAutospacing="1" w:line="240" w:lineRule="auto"/>
        <w:ind w:left="739"/>
        <w:jc w:val="left"/>
        <w:rPr>
          <w:rFonts w:hint="default" w:ascii="Simplified Arabic" w:hAnsi="Simplified Arabic" w:eastAsia="Times New Roman" w:cs="Simplified Arabic"/>
          <w:szCs w:val="24"/>
        </w:rPr>
      </w:pPr>
    </w:p>
    <w:bookmarkEnd w:id="18"/>
    <w:p w14:paraId="7B312E37">
      <w:pPr>
        <w:pStyle w:val="4"/>
        <w:numPr>
          <w:ilvl w:val="0"/>
          <w:numId w:val="7"/>
        </w:numPr>
        <w:bidi/>
        <w:rPr>
          <w:rFonts w:hint="default"/>
        </w:rPr>
      </w:pPr>
      <w:bookmarkStart w:id="21" w:name="_Toc13069"/>
      <w:r>
        <w:rPr>
          <w:rFonts w:hint="default"/>
          <w:rtl/>
        </w:rPr>
        <w:t>لتساؤلات المرتبطة بالبعد الاقتصادي:</w:t>
      </w:r>
      <w:bookmarkEnd w:id="21"/>
    </w:p>
    <w:p w14:paraId="636E7650">
      <w:pPr>
        <w:pStyle w:val="25"/>
        <w:bidi/>
        <w:spacing w:line="240" w:lineRule="auto"/>
        <w:jc w:val="left"/>
        <w:rPr>
          <w:rFonts w:hint="default" w:ascii="Simplified Arabic" w:hAnsi="Simplified Arabic" w:cs="Simplified Arabic"/>
          <w:sz w:val="28"/>
          <w:szCs w:val="28"/>
          <w:rtl/>
          <w:lang w:val="en-US"/>
        </w:rPr>
      </w:pPr>
      <w:r>
        <w:rPr>
          <w:rFonts w:hint="default" w:ascii="Simplified Arabic" w:hAnsi="Simplified Arabic" w:cs="Simplified Arabic"/>
          <w:b/>
          <w:bCs/>
          <w:sz w:val="28"/>
          <w:szCs w:val="28"/>
          <w:rtl/>
          <w:lang w:val="en-US"/>
        </w:rPr>
        <w:t xml:space="preserve">- </w:t>
      </w:r>
      <w:r>
        <w:rPr>
          <w:rFonts w:hint="default" w:ascii="Simplified Arabic" w:hAnsi="Simplified Arabic" w:cs="Simplified Arabic"/>
          <w:sz w:val="28"/>
          <w:szCs w:val="28"/>
          <w:rtl/>
          <w:lang w:val="en-US"/>
        </w:rPr>
        <w:t>ما تأثير جودة الأعمال الإنشائية على خفض التكاليف التشغيلية المستقبلية؟</w:t>
      </w:r>
    </w:p>
    <w:p w14:paraId="707A3DC9">
      <w:pPr>
        <w:pStyle w:val="25"/>
        <w:bidi/>
        <w:spacing w:line="240" w:lineRule="auto"/>
        <w:jc w:val="left"/>
        <w:rPr>
          <w:rFonts w:hint="default" w:ascii="Simplified Arabic" w:hAnsi="Simplified Arabic" w:cs="Simplified Arabic"/>
          <w:sz w:val="28"/>
          <w:szCs w:val="28"/>
          <w:rtl/>
          <w:lang w:val="en-US"/>
        </w:rPr>
      </w:pPr>
      <w:r>
        <w:rPr>
          <w:rFonts w:hint="default" w:ascii="Simplified Arabic" w:hAnsi="Simplified Arabic" w:cs="Simplified Arabic"/>
          <w:sz w:val="28"/>
          <w:szCs w:val="28"/>
          <w:rtl/>
          <w:lang w:val="en-US"/>
        </w:rPr>
        <w:t>- كيف تسهم جودة التنفيذ في تقليل تكاليف الصيانة والإصلاح خلال دورة حياة المشروع؟</w:t>
      </w:r>
    </w:p>
    <w:p w14:paraId="124B4B57">
      <w:pPr>
        <w:pStyle w:val="25"/>
        <w:bidi/>
        <w:spacing w:line="240" w:lineRule="auto"/>
        <w:jc w:val="left"/>
        <w:rPr>
          <w:rFonts w:hint="default" w:ascii="Simplified Arabic" w:hAnsi="Simplified Arabic" w:cs="Simplified Arabic"/>
          <w:sz w:val="28"/>
          <w:szCs w:val="28"/>
          <w:lang w:val="en-US"/>
        </w:rPr>
      </w:pPr>
      <w:r>
        <w:rPr>
          <w:rFonts w:hint="default" w:ascii="Simplified Arabic" w:hAnsi="Simplified Arabic" w:cs="Simplified Arabic"/>
          <w:sz w:val="28"/>
          <w:szCs w:val="28"/>
          <w:rtl/>
          <w:lang w:val="en-US"/>
        </w:rPr>
        <w:t>- إلى أي مدى يمكن تبرير ارتفاع التكلفة الاستثمارية الأولية من خلال تحقيق وفورات طويلة الأمد في تكلفة دورة الحياة</w:t>
      </w:r>
      <w:r>
        <w:rPr>
          <w:rFonts w:hint="default" w:ascii="Simplified Arabic" w:hAnsi="Simplified Arabic" w:cs="Simplified Arabic"/>
          <w:sz w:val="28"/>
          <w:szCs w:val="28"/>
          <w:lang w:val="en-US"/>
        </w:rPr>
        <w:t xml:space="preserve"> (LCC)</w:t>
      </w:r>
      <w:r>
        <w:rPr>
          <w:rFonts w:hint="default" w:ascii="Simplified Arabic" w:hAnsi="Simplified Arabic" w:cs="Simplified Arabic"/>
          <w:sz w:val="28"/>
          <w:szCs w:val="28"/>
          <w:rtl/>
          <w:lang w:val="en-US"/>
        </w:rPr>
        <w:t>؟</w:t>
      </w:r>
    </w:p>
    <w:p w14:paraId="3A54EE14">
      <w:pPr>
        <w:pStyle w:val="25"/>
        <w:bidi/>
        <w:spacing w:line="240" w:lineRule="auto"/>
        <w:jc w:val="left"/>
        <w:rPr>
          <w:rFonts w:hint="default" w:ascii="Simplified Arabic" w:hAnsi="Simplified Arabic" w:cs="Simplified Arabic"/>
          <w:sz w:val="28"/>
          <w:szCs w:val="28"/>
          <w:rtl/>
          <w:lang w:val="en-US"/>
        </w:rPr>
      </w:pPr>
    </w:p>
    <w:p w14:paraId="2036C72B">
      <w:pPr>
        <w:pStyle w:val="25"/>
        <w:bidi/>
        <w:spacing w:line="240" w:lineRule="auto"/>
        <w:jc w:val="left"/>
        <w:rPr>
          <w:rStyle w:val="32"/>
          <w:rFonts w:hint="default"/>
          <w:rtl/>
          <w:lang w:val="en-US"/>
        </w:rPr>
      </w:pPr>
      <w:r>
        <w:rPr>
          <w:rFonts w:hint="default" w:ascii="Simplified Arabic" w:hAnsi="Simplified Arabic" w:cs="Simplified Arabic"/>
          <w:sz w:val="28"/>
          <w:szCs w:val="28"/>
          <w:rtl/>
          <w:lang w:val="en-US"/>
        </w:rPr>
        <w:t>3</w:t>
      </w:r>
      <w:r>
        <w:rPr>
          <w:rStyle w:val="32"/>
          <w:rFonts w:hint="default"/>
          <w:rtl/>
          <w:lang w:val="en-US"/>
        </w:rPr>
        <w:t>- لتساؤلات المرتبطة بالبعد التقني / العملياتي:</w:t>
      </w:r>
    </w:p>
    <w:p w14:paraId="728B08B3">
      <w:pPr>
        <w:pStyle w:val="25"/>
        <w:bidi/>
        <w:spacing w:line="240" w:lineRule="auto"/>
        <w:jc w:val="left"/>
        <w:rPr>
          <w:rFonts w:hint="default" w:ascii="Simplified Arabic" w:hAnsi="Simplified Arabic" w:cs="Simplified Arabic"/>
          <w:sz w:val="28"/>
          <w:szCs w:val="28"/>
          <w:rtl/>
          <w:lang w:val="en-US"/>
        </w:rPr>
      </w:pPr>
      <w:r>
        <w:rPr>
          <w:rFonts w:hint="default" w:ascii="Simplified Arabic" w:hAnsi="Simplified Arabic" w:cs="Simplified Arabic"/>
          <w:sz w:val="28"/>
          <w:szCs w:val="28"/>
          <w:rtl/>
          <w:lang w:val="en-US"/>
        </w:rPr>
        <w:t>- ما العلاقة بين جودة التنفيذ الإنشائي ومستوى الموثوقية التقنية للأصول التشغيلية؟</w:t>
      </w:r>
    </w:p>
    <w:p w14:paraId="46991912">
      <w:pPr>
        <w:pStyle w:val="25"/>
        <w:bidi/>
        <w:spacing w:line="240" w:lineRule="auto"/>
        <w:jc w:val="left"/>
        <w:rPr>
          <w:rFonts w:hint="default" w:ascii="Simplified Arabic" w:hAnsi="Simplified Arabic" w:cs="Simplified Arabic"/>
          <w:sz w:val="28"/>
          <w:szCs w:val="28"/>
          <w:rtl/>
          <w:lang w:val="en-US"/>
        </w:rPr>
      </w:pPr>
      <w:r>
        <w:rPr>
          <w:rFonts w:hint="default" w:ascii="Simplified Arabic" w:hAnsi="Simplified Arabic" w:cs="Simplified Arabic"/>
          <w:sz w:val="28"/>
          <w:szCs w:val="28"/>
          <w:rtl/>
          <w:lang w:val="en-US"/>
        </w:rPr>
        <w:t>- كيف تؤثر جودة التركيبات الميكانيكية والكهربائية على تقليل الأعطال التشغيلية وتحسين كفاءة الأداء طويل المدى؟</w:t>
      </w:r>
    </w:p>
    <w:p w14:paraId="59633021">
      <w:pPr>
        <w:pStyle w:val="25"/>
        <w:bidi/>
        <w:spacing w:line="240" w:lineRule="auto"/>
        <w:jc w:val="left"/>
        <w:rPr>
          <w:rFonts w:hint="default" w:ascii="Simplified Arabic" w:hAnsi="Simplified Arabic" w:cs="Simplified Arabic"/>
          <w:sz w:val="28"/>
          <w:szCs w:val="28"/>
          <w:rtl/>
        </w:rPr>
      </w:pPr>
      <w:r>
        <w:rPr>
          <w:rFonts w:hint="default" w:ascii="Simplified Arabic" w:hAnsi="Simplified Arabic" w:cs="Simplified Arabic"/>
          <w:sz w:val="28"/>
          <w:szCs w:val="28"/>
          <w:rtl/>
          <w:lang w:val="en-US"/>
        </w:rPr>
        <w:t xml:space="preserve">- </w:t>
      </w:r>
      <w:r>
        <w:rPr>
          <w:rFonts w:hint="default" w:ascii="Simplified Arabic" w:hAnsi="Simplified Arabic" w:cs="Simplified Arabic"/>
          <w:sz w:val="28"/>
          <w:szCs w:val="28"/>
          <w:rtl/>
        </w:rPr>
        <w:t>ما أثر دقة التنفيذ على استقرار العمليات التشغيلية واستدامتها؟</w:t>
      </w:r>
    </w:p>
    <w:p w14:paraId="10CDF60D">
      <w:pPr>
        <w:pStyle w:val="25"/>
        <w:bidi/>
        <w:spacing w:line="240" w:lineRule="auto"/>
        <w:jc w:val="left"/>
        <w:rPr>
          <w:rFonts w:hint="default" w:ascii="Simplified Arabic" w:hAnsi="Simplified Arabic" w:cs="Simplified Arabic"/>
          <w:sz w:val="28"/>
          <w:szCs w:val="28"/>
          <w:rtl/>
        </w:rPr>
      </w:pPr>
    </w:p>
    <w:p w14:paraId="5C103C56">
      <w:pPr>
        <w:pStyle w:val="25"/>
        <w:bidi/>
        <w:spacing w:line="240" w:lineRule="auto"/>
        <w:jc w:val="left"/>
        <w:rPr>
          <w:rStyle w:val="32"/>
          <w:rFonts w:hint="default"/>
          <w:lang w:val="en-US"/>
        </w:rPr>
      </w:pPr>
      <w:r>
        <w:rPr>
          <w:rFonts w:hint="default" w:ascii="Simplified Arabic" w:hAnsi="Simplified Arabic" w:cs="Simplified Arabic"/>
          <w:b/>
          <w:bCs/>
          <w:sz w:val="28"/>
          <w:szCs w:val="28"/>
          <w:rtl/>
        </w:rPr>
        <w:t>4</w:t>
      </w:r>
      <w:r>
        <w:rPr>
          <w:rStyle w:val="32"/>
          <w:rFonts w:hint="default"/>
          <w:rtl/>
        </w:rPr>
        <w:t>- التساؤلات المرتبطة بالبعد الاجتماعي (رأس المال البشري):</w:t>
      </w:r>
    </w:p>
    <w:p w14:paraId="233D9FDD">
      <w:pPr>
        <w:pStyle w:val="25"/>
        <w:bidi/>
        <w:spacing w:line="240" w:lineRule="auto"/>
        <w:jc w:val="left"/>
        <w:rPr>
          <w:rFonts w:hint="default" w:ascii="Simplified Arabic" w:hAnsi="Simplified Arabic" w:cs="Simplified Arabic"/>
          <w:sz w:val="28"/>
          <w:szCs w:val="28"/>
          <w:rtl/>
          <w:lang w:val="en-US"/>
        </w:rPr>
      </w:pPr>
      <w:r>
        <w:rPr>
          <w:rFonts w:hint="default" w:ascii="Simplified Arabic" w:hAnsi="Simplified Arabic" w:cs="Simplified Arabic"/>
          <w:sz w:val="28"/>
          <w:szCs w:val="28"/>
          <w:rtl/>
          <w:lang w:val="en-US"/>
        </w:rPr>
        <w:t>- ما أثر الممارسات الإدارية المصاحبة لمرحلة التنفيذ على نقل المعرفة والخبرات إلى مرحلة التشغيل؟</w:t>
      </w:r>
    </w:p>
    <w:p w14:paraId="4262D64A">
      <w:pPr>
        <w:pStyle w:val="25"/>
        <w:bidi/>
        <w:spacing w:line="240" w:lineRule="auto"/>
        <w:jc w:val="left"/>
        <w:rPr>
          <w:rFonts w:hint="default" w:ascii="Simplified Arabic" w:hAnsi="Simplified Arabic" w:cs="Simplified Arabic"/>
          <w:sz w:val="28"/>
          <w:szCs w:val="28"/>
          <w:rtl/>
          <w:lang w:val="en-US"/>
        </w:rPr>
      </w:pPr>
      <w:r>
        <w:rPr>
          <w:rFonts w:hint="default" w:ascii="Simplified Arabic" w:hAnsi="Simplified Arabic" w:cs="Simplified Arabic"/>
          <w:sz w:val="28"/>
          <w:szCs w:val="28"/>
          <w:rtl/>
          <w:lang w:val="en-US"/>
        </w:rPr>
        <w:t>- كيف يسهم التكامل بين فرق التنفيذ والتشغيل في تعزيز الاستدامة الاجتماعية وتقليل فجوة المعرفة المؤسسية؟</w:t>
      </w:r>
    </w:p>
    <w:p w14:paraId="3040FF60">
      <w:pPr>
        <w:pStyle w:val="25"/>
        <w:bidi/>
        <w:spacing w:line="240" w:lineRule="auto"/>
        <w:jc w:val="left"/>
        <w:rPr>
          <w:rFonts w:hint="default" w:ascii="Simplified Arabic" w:hAnsi="Simplified Arabic" w:cs="Simplified Arabic"/>
          <w:sz w:val="28"/>
          <w:szCs w:val="28"/>
          <w:rtl/>
          <w:lang w:val="en-US"/>
        </w:rPr>
      </w:pPr>
      <w:r>
        <w:rPr>
          <w:rFonts w:hint="default" w:ascii="Simplified Arabic" w:hAnsi="Simplified Arabic" w:cs="Simplified Arabic"/>
          <w:sz w:val="28"/>
          <w:szCs w:val="28"/>
          <w:rtl/>
          <w:lang w:val="en-US"/>
        </w:rPr>
        <w:t>- ما العلاقة بين جودة الإدارة الإنشائية وتعزيز رأس المال البشري للمشروع؟</w:t>
      </w:r>
    </w:p>
    <w:p w14:paraId="76684D62">
      <w:pPr>
        <w:pStyle w:val="25"/>
        <w:bidi/>
        <w:spacing w:line="240" w:lineRule="auto"/>
        <w:jc w:val="left"/>
        <w:rPr>
          <w:rFonts w:hint="default" w:ascii="Simplified Arabic" w:hAnsi="Simplified Arabic" w:cs="Simplified Arabic"/>
          <w:sz w:val="28"/>
          <w:szCs w:val="28"/>
          <w:rtl/>
          <w:lang w:val="en-US"/>
        </w:rPr>
      </w:pPr>
    </w:p>
    <w:p w14:paraId="5AEA0F2D">
      <w:pPr>
        <w:pStyle w:val="25"/>
        <w:bidi/>
        <w:spacing w:line="240" w:lineRule="auto"/>
        <w:jc w:val="left"/>
        <w:rPr>
          <w:rStyle w:val="32"/>
          <w:rFonts w:hint="default"/>
          <w:rtl/>
          <w:lang w:val="en-US"/>
        </w:rPr>
      </w:pPr>
      <w:r>
        <w:rPr>
          <w:rFonts w:hint="default" w:ascii="Simplified Arabic" w:hAnsi="Simplified Arabic" w:cs="Simplified Arabic"/>
          <w:b/>
          <w:bCs/>
          <w:sz w:val="28"/>
          <w:szCs w:val="28"/>
          <w:rtl/>
          <w:lang w:val="en-US"/>
        </w:rPr>
        <w:t>5</w:t>
      </w:r>
      <w:r>
        <w:rPr>
          <w:rStyle w:val="32"/>
          <w:rFonts w:hint="default"/>
          <w:rtl/>
          <w:lang w:val="en-US"/>
        </w:rPr>
        <w:t>- التساؤلات المرتبطة بالإطار الإداري المقترح:</w:t>
      </w:r>
    </w:p>
    <w:p w14:paraId="350F39DF">
      <w:pPr>
        <w:pStyle w:val="25"/>
        <w:bidi/>
        <w:spacing w:line="240" w:lineRule="auto"/>
        <w:jc w:val="left"/>
        <w:rPr>
          <w:rFonts w:hint="default" w:ascii="Simplified Arabic" w:hAnsi="Simplified Arabic" w:cs="Simplified Arabic"/>
          <w:sz w:val="28"/>
          <w:szCs w:val="28"/>
          <w:rtl/>
          <w:lang w:val="en-US"/>
        </w:rPr>
      </w:pPr>
      <w:r>
        <w:rPr>
          <w:rFonts w:hint="default" w:ascii="Simplified Arabic" w:hAnsi="Simplified Arabic" w:cs="Simplified Arabic"/>
          <w:sz w:val="28"/>
          <w:szCs w:val="28"/>
          <w:rtl/>
          <w:lang w:val="en-US"/>
        </w:rPr>
        <w:t>- ما مستوى التكامل بين مرحلتي الإنشاء والتشغيل في المشاريع واسعة النطاق؟</w:t>
      </w:r>
    </w:p>
    <w:p w14:paraId="141F8ADF">
      <w:pPr>
        <w:pStyle w:val="25"/>
        <w:bidi/>
        <w:spacing w:line="240" w:lineRule="auto"/>
        <w:jc w:val="left"/>
        <w:rPr>
          <w:rFonts w:hint="default" w:ascii="Simplified Arabic" w:hAnsi="Simplified Arabic" w:cs="Simplified Arabic"/>
          <w:sz w:val="28"/>
          <w:szCs w:val="28"/>
          <w:rtl/>
          <w:lang w:val="en-US"/>
        </w:rPr>
      </w:pPr>
      <w:r>
        <w:rPr>
          <w:rFonts w:hint="default" w:ascii="Simplified Arabic" w:hAnsi="Simplified Arabic" w:cs="Simplified Arabic"/>
          <w:sz w:val="28"/>
          <w:szCs w:val="28"/>
          <w:rtl/>
          <w:lang w:val="en-US"/>
        </w:rPr>
        <w:t>- ما الآليات الإدارية القادرة على الربط بين مؤشرات جودة التنفيذ ومؤشرات الأداء التشغيلي المستدام؟</w:t>
      </w:r>
    </w:p>
    <w:p w14:paraId="436A9C99">
      <w:pPr>
        <w:pStyle w:val="25"/>
        <w:bidi/>
        <w:spacing w:line="240" w:lineRule="auto"/>
        <w:jc w:val="left"/>
        <w:rPr>
          <w:rFonts w:hint="default" w:ascii="Simplified Arabic" w:hAnsi="Simplified Arabic" w:cs="Simplified Arabic"/>
          <w:sz w:val="28"/>
          <w:szCs w:val="28"/>
          <w:lang w:val="en-US"/>
        </w:rPr>
      </w:pPr>
      <w:r>
        <w:rPr>
          <w:rFonts w:hint="default" w:ascii="Simplified Arabic" w:hAnsi="Simplified Arabic" w:cs="Simplified Arabic"/>
          <w:sz w:val="28"/>
          <w:szCs w:val="28"/>
          <w:rtl/>
          <w:lang w:val="en-US"/>
        </w:rPr>
        <w:t xml:space="preserve">- كيف يمكن بناء نموذج إداري يعزز تقليل فجوة الأداء بين التصميم والتنفيذ والتشغيل؟ </w:t>
      </w:r>
    </w:p>
    <w:p w14:paraId="7ABDDD95">
      <w:pPr>
        <w:pStyle w:val="2"/>
        <w:bidi/>
        <w:rPr>
          <w:rFonts w:hint="default"/>
          <w:rtl/>
        </w:rPr>
      </w:pPr>
      <w:r>
        <w:rPr>
          <w:rFonts w:hint="default"/>
          <w:rtl/>
        </w:rPr>
        <w:t xml:space="preserve"> </w:t>
      </w:r>
      <w:bookmarkStart w:id="22" w:name="_Toc13142"/>
      <w:r>
        <w:rPr>
          <w:rFonts w:hint="default"/>
          <w:rtl/>
        </w:rPr>
        <w:t>فروض الدراسة</w:t>
      </w:r>
      <w:bookmarkEnd w:id="22"/>
    </w:p>
    <w:p w14:paraId="36A1BC71">
      <w:pPr>
        <w:pStyle w:val="3"/>
        <w:bidi/>
        <w:rPr>
          <w:rFonts w:hint="default"/>
          <w:lang w:val="en"/>
        </w:rPr>
      </w:pPr>
      <w:bookmarkStart w:id="23" w:name="_Toc214111466"/>
      <w:bookmarkStart w:id="24" w:name="_Toc27310"/>
      <w:r>
        <w:rPr>
          <w:rFonts w:hint="default"/>
          <w:rtl/>
          <w:lang w:val="en"/>
        </w:rPr>
        <w:t>أولا: المتغيرات الأساسية للدراسة</w:t>
      </w:r>
      <w:bookmarkEnd w:id="23"/>
      <w:bookmarkEnd w:id="24"/>
    </w:p>
    <w:tbl>
      <w:tblPr>
        <w:tblStyle w:val="26"/>
        <w:bidiVisual/>
        <w:tblW w:w="0" w:type="auto"/>
        <w:tblInd w:w="5" w:type="dxa"/>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Layout w:type="autofit"/>
        <w:tblCellMar>
          <w:top w:w="0" w:type="dxa"/>
          <w:left w:w="108" w:type="dxa"/>
          <w:bottom w:w="0" w:type="dxa"/>
          <w:right w:w="108" w:type="dxa"/>
        </w:tblCellMar>
      </w:tblPr>
      <w:tblGrid>
        <w:gridCol w:w="2349"/>
        <w:gridCol w:w="1632"/>
        <w:gridCol w:w="5873"/>
      </w:tblGrid>
      <w:tr w14:paraId="7A210674">
        <w:tblPrEx>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Ex>
        <w:tc>
          <w:tcPr>
            <w:tcW w:w="0" w:type="auto"/>
            <w:tcBorders>
              <w:top w:val="single" w:color="9BBB59" w:sz="8" w:space="0"/>
              <w:left w:val="single" w:color="9BBB59" w:sz="8" w:space="0"/>
              <w:bottom w:val="single" w:color="FFFFFF" w:sz="18" w:space="0"/>
              <w:right w:val="single" w:color="9BBB59" w:sz="8" w:space="0"/>
              <w:insideH w:val="single" w:sz="4" w:space="0"/>
              <w:insideV w:val="nil"/>
            </w:tcBorders>
            <w:shd w:val="clear" w:color="auto" w:fill="9BBB59"/>
          </w:tcPr>
          <w:p w14:paraId="1627732D">
            <w:pPr>
              <w:pStyle w:val="10"/>
              <w:bidi/>
              <w:spacing w:after="0" w:line="240" w:lineRule="auto"/>
              <w:jc w:val="left"/>
              <w:rPr>
                <w:rFonts w:hint="default" w:ascii="Simplified Arabic" w:hAnsi="Simplified Arabic" w:eastAsia="Times New Roman" w:cs="Simplified Arabic"/>
                <w:b/>
                <w:bCs/>
                <w:color w:val="FFFFFF"/>
                <w:kern w:val="0"/>
                <w:sz w:val="24"/>
                <w:szCs w:val="24"/>
                <w14:ligatures w14:val="none"/>
              </w:rPr>
            </w:pPr>
            <w:r>
              <w:rPr>
                <w:rFonts w:hint="default" w:ascii="Simplified Arabic" w:hAnsi="Simplified Arabic" w:eastAsia="Times New Roman" w:cs="Simplified Arabic"/>
                <w:b/>
                <w:bCs/>
                <w:color w:val="FFFFFF"/>
                <w:kern w:val="0"/>
                <w:sz w:val="24"/>
                <w:szCs w:val="24"/>
                <w:rtl/>
                <w14:ligatures w14:val="none"/>
              </w:rPr>
              <w:t>المتغير</w:t>
            </w:r>
          </w:p>
        </w:tc>
        <w:tc>
          <w:tcPr>
            <w:tcW w:w="0" w:type="auto"/>
            <w:tcBorders>
              <w:top w:val="single" w:color="9BBB59" w:sz="8" w:space="0"/>
              <w:left w:val="single" w:color="9BBB59" w:sz="8" w:space="0"/>
              <w:bottom w:val="single" w:color="FFFFFF" w:sz="18" w:space="0"/>
              <w:right w:val="single" w:color="9BBB59" w:sz="8" w:space="0"/>
              <w:insideH w:val="single" w:sz="4" w:space="0"/>
              <w:insideV w:val="nil"/>
            </w:tcBorders>
            <w:shd w:val="clear" w:color="auto" w:fill="9BBB59"/>
          </w:tcPr>
          <w:p w14:paraId="027A432B">
            <w:pPr>
              <w:pStyle w:val="10"/>
              <w:bidi/>
              <w:spacing w:after="0" w:line="240" w:lineRule="auto"/>
              <w:jc w:val="left"/>
              <w:rPr>
                <w:rFonts w:hint="default" w:ascii="Simplified Arabic" w:hAnsi="Simplified Arabic" w:eastAsia="Times New Roman" w:cs="Simplified Arabic"/>
                <w:b/>
                <w:bCs/>
                <w:color w:val="FFFFFF"/>
                <w:kern w:val="0"/>
                <w:sz w:val="24"/>
                <w:szCs w:val="24"/>
                <w:rtl/>
                <w14:ligatures w14:val="none"/>
              </w:rPr>
            </w:pPr>
            <w:r>
              <w:rPr>
                <w:rFonts w:hint="default" w:ascii="Simplified Arabic" w:hAnsi="Simplified Arabic" w:eastAsia="Times New Roman" w:cs="Simplified Arabic"/>
                <w:b/>
                <w:bCs/>
                <w:color w:val="FFFFFF"/>
                <w:kern w:val="0"/>
                <w:sz w:val="24"/>
                <w:szCs w:val="24"/>
                <w:rtl/>
                <w14:ligatures w14:val="none"/>
              </w:rPr>
              <w:t>المسمى فالدراسة</w:t>
            </w:r>
          </w:p>
        </w:tc>
        <w:tc>
          <w:tcPr>
            <w:tcW w:w="0" w:type="auto"/>
            <w:tcBorders>
              <w:top w:val="single" w:color="9BBB59" w:sz="8" w:space="0"/>
              <w:left w:val="single" w:color="9BBB59" w:sz="8" w:space="0"/>
              <w:bottom w:val="single" w:color="FFFFFF" w:sz="18" w:space="0"/>
              <w:right w:val="single" w:color="9BBB59" w:sz="8" w:space="0"/>
              <w:insideH w:val="single" w:sz="4" w:space="0"/>
              <w:insideV w:val="nil"/>
            </w:tcBorders>
            <w:shd w:val="clear" w:color="auto" w:fill="9BBB59"/>
          </w:tcPr>
          <w:p w14:paraId="276F767B">
            <w:pPr>
              <w:pStyle w:val="10"/>
              <w:bidi/>
              <w:spacing w:after="0" w:line="240" w:lineRule="auto"/>
              <w:jc w:val="left"/>
              <w:rPr>
                <w:rFonts w:hint="default" w:ascii="Simplified Arabic" w:hAnsi="Simplified Arabic" w:eastAsia="Times New Roman" w:cs="Simplified Arabic"/>
                <w:b/>
                <w:bCs/>
                <w:color w:val="FFFFFF"/>
                <w:kern w:val="0"/>
                <w:sz w:val="24"/>
                <w:szCs w:val="24"/>
                <w:rtl/>
                <w14:ligatures w14:val="none"/>
              </w:rPr>
            </w:pPr>
            <w:r>
              <w:rPr>
                <w:rFonts w:hint="default" w:ascii="Simplified Arabic" w:hAnsi="Simplified Arabic" w:eastAsia="Times New Roman" w:cs="Simplified Arabic"/>
                <w:b/>
                <w:bCs/>
                <w:color w:val="FFFFFF"/>
                <w:kern w:val="0"/>
                <w:sz w:val="24"/>
                <w:szCs w:val="24"/>
                <w:rtl/>
                <w14:ligatures w14:val="none"/>
              </w:rPr>
              <w:t>الأبعاد الرئيسية</w:t>
            </w:r>
          </w:p>
        </w:tc>
      </w:tr>
      <w:tr w14:paraId="1D87324F">
        <w:tblPrEx>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CellMar>
            <w:top w:w="0" w:type="dxa"/>
            <w:left w:w="108" w:type="dxa"/>
            <w:bottom w:w="0" w:type="dxa"/>
            <w:right w:w="108" w:type="dxa"/>
          </w:tblCellMar>
        </w:tblPrEx>
        <w:tc>
          <w:tcPr>
            <w:tcW w:w="0" w:type="auto"/>
            <w:tcBorders>
              <w:top w:val="single" w:color="FFFFFF" w:sz="18" w:space="0"/>
              <w:left w:val="single" w:color="9BBB59" w:sz="8" w:space="0"/>
              <w:bottom w:val="single" w:color="9BBB59" w:sz="8" w:space="0"/>
              <w:right w:val="single" w:color="9BBB59" w:sz="8" w:space="0"/>
            </w:tcBorders>
            <w:shd w:val="clear" w:color="auto" w:fill="D7E3BC"/>
          </w:tcPr>
          <w:p w14:paraId="600182B4">
            <w:pPr>
              <w:pStyle w:val="10"/>
              <w:bidi/>
              <w:spacing w:after="0" w:line="240" w:lineRule="auto"/>
              <w:jc w:val="left"/>
              <w:rPr>
                <w:rFonts w:hint="default" w:ascii="Simplified Arabic" w:hAnsi="Simplified Arabic" w:eastAsia="Times New Roman" w:cs="Simplified Arabic"/>
                <w:b/>
                <w:bCs/>
                <w:color w:val="000000"/>
                <w:kern w:val="0"/>
                <w:sz w:val="24"/>
                <w:szCs w:val="24"/>
                <w:rtl/>
                <w14:ligatures w14:val="none"/>
              </w:rPr>
            </w:pPr>
            <w:r>
              <w:rPr>
                <w:rFonts w:hint="default" w:ascii="Simplified Arabic" w:hAnsi="Simplified Arabic" w:eastAsia="Times New Roman" w:cs="Simplified Arabic"/>
                <w:b/>
                <w:bCs/>
                <w:color w:val="000000"/>
                <w:kern w:val="0"/>
                <w:sz w:val="24"/>
                <w:szCs w:val="24"/>
                <w:rtl/>
                <w14:ligatures w14:val="none"/>
              </w:rPr>
              <w:t>المتغير المستقل (</w:t>
            </w:r>
            <w:r>
              <w:rPr>
                <w:rFonts w:hint="default" w:ascii="Simplified Arabic" w:hAnsi="Simplified Arabic" w:eastAsia="Times New Roman" w:cs="Simplified Arabic"/>
                <w:b/>
                <w:bCs/>
                <w:color w:val="000000"/>
                <w:kern w:val="0"/>
                <w:sz w:val="24"/>
                <w:szCs w:val="24"/>
                <w14:ligatures w14:val="none"/>
              </w:rPr>
              <w:t>Independent Variable</w:t>
            </w:r>
            <w:r>
              <w:rPr>
                <w:rFonts w:hint="default" w:ascii="Simplified Arabic" w:hAnsi="Simplified Arabic" w:eastAsia="Times New Roman" w:cs="Simplified Arabic"/>
                <w:b/>
                <w:bCs/>
                <w:color w:val="000000"/>
                <w:kern w:val="0"/>
                <w:sz w:val="24"/>
                <w:szCs w:val="24"/>
                <w:rtl/>
                <w14:ligatures w14:val="none"/>
              </w:rPr>
              <w:t>)</w:t>
            </w:r>
          </w:p>
        </w:tc>
        <w:tc>
          <w:tcPr>
            <w:tcW w:w="0" w:type="auto"/>
            <w:tcBorders>
              <w:top w:val="single" w:color="FFFFFF" w:sz="18" w:space="0"/>
              <w:left w:val="single" w:color="9BBB59" w:sz="8" w:space="0"/>
              <w:bottom w:val="single" w:color="9BBB59" w:sz="8" w:space="0"/>
              <w:right w:val="single" w:color="9BBB59" w:sz="8" w:space="0"/>
            </w:tcBorders>
            <w:shd w:val="clear" w:color="auto" w:fill="D7E3BC"/>
          </w:tcPr>
          <w:p w14:paraId="35002941">
            <w:pPr>
              <w:pStyle w:val="10"/>
              <w:bidi/>
              <w:spacing w:after="0" w:line="240" w:lineRule="auto"/>
              <w:jc w:val="left"/>
              <w:rPr>
                <w:rFonts w:hint="default" w:ascii="Simplified Arabic" w:hAnsi="Simplified Arabic" w:eastAsia="Times New Roman" w:cs="Simplified Arabic"/>
                <w:color w:val="000000"/>
                <w:kern w:val="0"/>
                <w:sz w:val="24"/>
                <w:szCs w:val="24"/>
                <w:rtl/>
                <w:cs/>
                <w14:ligatures w14:val="none"/>
              </w:rPr>
            </w:pPr>
            <w:r>
              <w:rPr>
                <w:rFonts w:hint="default" w:ascii="Simplified Arabic" w:hAnsi="Simplified Arabic" w:eastAsia="Times New Roman" w:cs="Simplified Arabic"/>
                <w:color w:val="000000"/>
                <w:kern w:val="0"/>
                <w:sz w:val="24"/>
                <w:szCs w:val="24"/>
                <w:rtl/>
                <w:cs/>
                <w14:ligatures w14:val="none"/>
              </w:rPr>
              <w:t xml:space="preserve">جودة الأعمال الإنشائية </w:t>
            </w:r>
            <w:r>
              <w:rPr>
                <w:rFonts w:hint="default" w:ascii="Simplified Arabic" w:hAnsi="Simplified Arabic" w:eastAsia="Times New Roman" w:cs="Simplified Arabic"/>
                <w:color w:val="000000"/>
                <w:kern w:val="0"/>
                <w:sz w:val="24"/>
                <w:szCs w:val="24"/>
                <w:rtl/>
                <w14:ligatures w14:val="none"/>
              </w:rPr>
              <w:t xml:space="preserve">/ </w:t>
            </w:r>
            <w:r>
              <w:rPr>
                <w:rFonts w:hint="default" w:ascii="Simplified Arabic" w:hAnsi="Simplified Arabic" w:eastAsia="Times New Roman" w:cs="Simplified Arabic"/>
                <w:color w:val="000000"/>
                <w:kern w:val="0"/>
                <w:sz w:val="24"/>
                <w:szCs w:val="24"/>
                <w:rtl/>
                <w:cs/>
                <w14:ligatures w14:val="none"/>
              </w:rPr>
              <w:t>كفاءة التنفيذ</w:t>
            </w:r>
          </w:p>
        </w:tc>
        <w:tc>
          <w:tcPr>
            <w:tcW w:w="0" w:type="auto"/>
            <w:tcBorders>
              <w:top w:val="single" w:color="FFFFFF" w:sz="18" w:space="0"/>
              <w:left w:val="single" w:color="9BBB59" w:sz="8" w:space="0"/>
              <w:bottom w:val="single" w:color="9BBB59" w:sz="8" w:space="0"/>
              <w:right w:val="single" w:color="9BBB59" w:sz="8" w:space="0"/>
            </w:tcBorders>
            <w:shd w:val="clear" w:color="auto" w:fill="D7E3BC"/>
          </w:tcPr>
          <w:p w14:paraId="623B71BC">
            <w:pPr>
              <w:pStyle w:val="10"/>
              <w:bidi/>
              <w:spacing w:after="0" w:line="240" w:lineRule="auto"/>
              <w:jc w:val="left"/>
              <w:rPr>
                <w:rFonts w:hint="default" w:ascii="Simplified Arabic" w:hAnsi="Simplified Arabic" w:eastAsia="Times New Roman" w:cs="Simplified Arabic"/>
                <w:color w:val="000000"/>
                <w:kern w:val="0"/>
                <w:sz w:val="24"/>
                <w:szCs w:val="24"/>
                <w:rtl/>
                <w:cs/>
                <w14:ligatures w14:val="none"/>
              </w:rPr>
            </w:pPr>
            <w:r>
              <w:rPr>
                <w:rFonts w:hint="default" w:ascii="Simplified Arabic" w:hAnsi="Simplified Arabic" w:eastAsia="Times New Roman" w:cs="Simplified Arabic"/>
                <w:color w:val="000000"/>
                <w:kern w:val="0"/>
                <w:sz w:val="24"/>
                <w:szCs w:val="24"/>
                <w:rtl/>
                <w:cs/>
                <w14:ligatures w14:val="none"/>
              </w:rPr>
              <w:t xml:space="preserve">جودة التنفيذ المادي </w:t>
            </w:r>
            <w:r>
              <w:rPr>
                <w:rFonts w:hint="default" w:ascii="Simplified Arabic" w:hAnsi="Simplified Arabic" w:eastAsia="Times New Roman" w:cs="Simplified Arabic"/>
                <w:color w:val="000000"/>
                <w:kern w:val="0"/>
                <w:sz w:val="24"/>
                <w:szCs w:val="24"/>
                <w:rtl/>
                <w14:ligatures w14:val="none"/>
              </w:rPr>
              <w:t>(Piping &amp; Solar/Energy Systems)</w:t>
            </w:r>
            <w:r>
              <w:rPr>
                <w:rFonts w:hint="default" w:ascii="Simplified Arabic" w:hAnsi="Simplified Arabic" w:eastAsia="Times New Roman" w:cs="Simplified Arabic"/>
                <w:color w:val="000000"/>
                <w:kern w:val="0"/>
                <w:sz w:val="24"/>
                <w:szCs w:val="24"/>
                <w:rtl/>
                <w:cs/>
                <w14:ligatures w14:val="none"/>
              </w:rPr>
              <w:t>، التصميم الإنشائي المتكامل، التزام المقاولين بمعايير الجودة.</w:t>
            </w:r>
          </w:p>
        </w:tc>
      </w:tr>
      <w:tr w14:paraId="178BFCC7">
        <w:tblPrEx>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CellMar>
            <w:top w:w="0" w:type="dxa"/>
            <w:left w:w="108" w:type="dxa"/>
            <w:bottom w:w="0" w:type="dxa"/>
            <w:right w:w="108" w:type="dxa"/>
          </w:tblCellMar>
        </w:tblPrEx>
        <w:tc>
          <w:tcPr>
            <w:tcW w:w="0" w:type="auto"/>
            <w:tcBorders>
              <w:top w:val="single" w:color="9BBB59" w:sz="8" w:space="0"/>
              <w:left w:val="single" w:color="9BBB59" w:sz="8" w:space="0"/>
              <w:bottom w:val="single" w:color="9BBB59" w:sz="8" w:space="0"/>
              <w:right w:val="single" w:color="9BBB59" w:sz="8" w:space="0"/>
            </w:tcBorders>
            <w:shd w:val="clear" w:color="auto" w:fill="FFFFFF"/>
          </w:tcPr>
          <w:p w14:paraId="66A1C196">
            <w:pPr>
              <w:pStyle w:val="10"/>
              <w:bidi/>
              <w:spacing w:after="0" w:line="240" w:lineRule="auto"/>
              <w:jc w:val="left"/>
              <w:rPr>
                <w:rFonts w:hint="default" w:ascii="Simplified Arabic" w:hAnsi="Simplified Arabic" w:eastAsia="Times New Roman" w:cs="Simplified Arabic"/>
                <w:b/>
                <w:bCs/>
                <w:color w:val="000000"/>
                <w:kern w:val="0"/>
                <w:sz w:val="24"/>
                <w:szCs w:val="24"/>
                <w:rtl/>
                <w14:ligatures w14:val="none"/>
              </w:rPr>
            </w:pPr>
            <w:r>
              <w:rPr>
                <w:rFonts w:hint="default" w:ascii="Simplified Arabic" w:hAnsi="Simplified Arabic" w:eastAsia="Times New Roman" w:cs="Simplified Arabic"/>
                <w:b/>
                <w:bCs/>
                <w:color w:val="000000"/>
                <w:kern w:val="0"/>
                <w:sz w:val="24"/>
                <w:szCs w:val="24"/>
                <w:rtl/>
                <w14:ligatures w14:val="none"/>
              </w:rPr>
              <w:t>المتغير التابع (</w:t>
            </w:r>
            <w:r>
              <w:rPr>
                <w:rFonts w:hint="default" w:ascii="Simplified Arabic" w:hAnsi="Simplified Arabic" w:eastAsia="Times New Roman" w:cs="Simplified Arabic"/>
                <w:b/>
                <w:bCs/>
                <w:color w:val="000000"/>
                <w:kern w:val="0"/>
                <w:sz w:val="24"/>
                <w:szCs w:val="24"/>
                <w14:ligatures w14:val="none"/>
              </w:rPr>
              <w:t>Dependent Variable</w:t>
            </w:r>
            <w:r>
              <w:rPr>
                <w:rFonts w:hint="default" w:ascii="Simplified Arabic" w:hAnsi="Simplified Arabic" w:eastAsia="Times New Roman" w:cs="Simplified Arabic"/>
                <w:b/>
                <w:bCs/>
                <w:color w:val="000000"/>
                <w:kern w:val="0"/>
                <w:sz w:val="24"/>
                <w:szCs w:val="24"/>
                <w:rtl/>
                <w14:ligatures w14:val="none"/>
              </w:rPr>
              <w:t>)</w:t>
            </w:r>
          </w:p>
        </w:tc>
        <w:tc>
          <w:tcPr>
            <w:tcW w:w="0" w:type="auto"/>
            <w:tcBorders>
              <w:top w:val="single" w:color="9BBB59" w:sz="8" w:space="0"/>
              <w:left w:val="single" w:color="9BBB59" w:sz="8" w:space="0"/>
              <w:bottom w:val="single" w:color="9BBB59" w:sz="8" w:space="0"/>
              <w:right w:val="single" w:color="9BBB59" w:sz="8" w:space="0"/>
            </w:tcBorders>
            <w:shd w:val="clear" w:color="auto" w:fill="FFFFFF"/>
          </w:tcPr>
          <w:p w14:paraId="668C7CDE">
            <w:pPr>
              <w:pStyle w:val="10"/>
              <w:bidi/>
              <w:spacing w:after="0" w:line="240" w:lineRule="auto"/>
              <w:jc w:val="left"/>
              <w:rPr>
                <w:rFonts w:hint="default" w:ascii="Simplified Arabic" w:hAnsi="Simplified Arabic" w:eastAsia="Times New Roman" w:cs="Simplified Arabic"/>
                <w:color w:val="000000"/>
                <w:kern w:val="0"/>
                <w:sz w:val="24"/>
                <w:szCs w:val="24"/>
                <w:rtl/>
                <w:cs/>
                <w14:ligatures w14:val="none"/>
              </w:rPr>
            </w:pPr>
            <w:r>
              <w:rPr>
                <w:rFonts w:hint="default" w:ascii="Simplified Arabic" w:hAnsi="Simplified Arabic" w:eastAsia="Times New Roman" w:cs="Simplified Arabic"/>
                <w:color w:val="000000"/>
                <w:kern w:val="0"/>
                <w:sz w:val="24"/>
                <w:szCs w:val="24"/>
                <w:rtl/>
                <w:cs/>
                <w14:ligatures w14:val="none"/>
              </w:rPr>
              <w:t>أداء الاستدامة التشغيلية المتكامل</w:t>
            </w:r>
          </w:p>
        </w:tc>
        <w:tc>
          <w:tcPr>
            <w:tcW w:w="0" w:type="auto"/>
            <w:tcBorders>
              <w:top w:val="single" w:color="9BBB59" w:sz="8" w:space="0"/>
              <w:left w:val="single" w:color="9BBB59" w:sz="8" w:space="0"/>
              <w:bottom w:val="single" w:color="9BBB59" w:sz="8" w:space="0"/>
              <w:right w:val="single" w:color="9BBB59" w:sz="8" w:space="0"/>
            </w:tcBorders>
            <w:shd w:val="clear" w:color="auto" w:fill="FFFFFF"/>
          </w:tcPr>
          <w:p w14:paraId="369F47A3">
            <w:pPr>
              <w:pStyle w:val="10"/>
              <w:bidi/>
              <w:spacing w:after="0" w:line="240" w:lineRule="auto"/>
              <w:jc w:val="left"/>
              <w:rPr>
                <w:rFonts w:hint="default" w:ascii="Simplified Arabic" w:hAnsi="Simplified Arabic" w:eastAsia="Times New Roman" w:cs="Simplified Arabic"/>
                <w:color w:val="000000"/>
                <w:kern w:val="0"/>
                <w:sz w:val="24"/>
                <w:szCs w:val="24"/>
                <w:rtl/>
                <w:cs/>
                <w14:ligatures w14:val="none"/>
              </w:rPr>
            </w:pPr>
            <w:r>
              <w:rPr>
                <w:rFonts w:hint="default" w:ascii="Simplified Arabic" w:hAnsi="Simplified Arabic" w:eastAsia="Times New Roman" w:cs="Simplified Arabic"/>
                <w:color w:val="000000"/>
                <w:kern w:val="0"/>
                <w:sz w:val="24"/>
                <w:szCs w:val="24"/>
                <w:rtl/>
                <w:cs/>
                <w14:ligatures w14:val="none"/>
              </w:rPr>
              <w:t>الاستدامة البيئية (إدارة الموارد والفضلات</w:t>
            </w:r>
            <w:r>
              <w:rPr>
                <w:rFonts w:hint="default" w:ascii="Simplified Arabic" w:hAnsi="Simplified Arabic" w:eastAsia="Times New Roman" w:cs="Simplified Arabic"/>
                <w:color w:val="000000"/>
                <w:kern w:val="0"/>
                <w:sz w:val="24"/>
                <w:szCs w:val="24"/>
                <w:rtl/>
                <w14:ligatures w14:val="none"/>
              </w:rPr>
              <w:t>)</w:t>
            </w:r>
            <w:r>
              <w:rPr>
                <w:rFonts w:hint="default" w:ascii="Simplified Arabic" w:hAnsi="Simplified Arabic" w:eastAsia="Times New Roman" w:cs="Simplified Arabic"/>
                <w:color w:val="000000"/>
                <w:kern w:val="0"/>
                <w:sz w:val="24"/>
                <w:szCs w:val="24"/>
                <w:rtl/>
                <w:cs/>
                <w14:ligatures w14:val="none"/>
              </w:rPr>
              <w:t>، الاستدامة الاقتصادية (خفض التكاليف</w:t>
            </w:r>
            <w:r>
              <w:rPr>
                <w:rFonts w:hint="default" w:ascii="Simplified Arabic" w:hAnsi="Simplified Arabic" w:eastAsia="Times New Roman" w:cs="Simplified Arabic"/>
                <w:color w:val="000000"/>
                <w:kern w:val="0"/>
                <w:sz w:val="24"/>
                <w:szCs w:val="24"/>
                <w:rtl/>
                <w14:ligatures w14:val="none"/>
              </w:rPr>
              <w:t>)</w:t>
            </w:r>
            <w:r>
              <w:rPr>
                <w:rFonts w:hint="default" w:ascii="Simplified Arabic" w:hAnsi="Simplified Arabic" w:eastAsia="Times New Roman" w:cs="Simplified Arabic"/>
                <w:color w:val="000000"/>
                <w:kern w:val="0"/>
                <w:sz w:val="24"/>
                <w:szCs w:val="24"/>
                <w:rtl/>
                <w:cs/>
                <w14:ligatures w14:val="none"/>
              </w:rPr>
              <w:t>، الاستدامة الاجتماعية (رأس المال البشري</w:t>
            </w:r>
            <w:r>
              <w:rPr>
                <w:rFonts w:hint="default" w:ascii="Simplified Arabic" w:hAnsi="Simplified Arabic" w:eastAsia="Times New Roman" w:cs="Simplified Arabic"/>
                <w:color w:val="000000"/>
                <w:kern w:val="0"/>
                <w:sz w:val="24"/>
                <w:szCs w:val="24"/>
                <w:rtl/>
                <w14:ligatures w14:val="none"/>
              </w:rPr>
              <w:t>)</w:t>
            </w:r>
            <w:r>
              <w:rPr>
                <w:rFonts w:hint="default" w:ascii="Simplified Arabic" w:hAnsi="Simplified Arabic" w:eastAsia="Times New Roman" w:cs="Simplified Arabic"/>
                <w:color w:val="000000"/>
                <w:kern w:val="0"/>
                <w:sz w:val="24"/>
                <w:szCs w:val="24"/>
                <w:rtl/>
                <w:cs/>
                <w14:ligatures w14:val="none"/>
              </w:rPr>
              <w:t>، الاستدامة التقنية</w:t>
            </w:r>
            <w:r>
              <w:rPr>
                <w:rFonts w:hint="default" w:ascii="Simplified Arabic" w:hAnsi="Simplified Arabic" w:eastAsia="Times New Roman" w:cs="Simplified Arabic"/>
                <w:color w:val="000000"/>
                <w:kern w:val="0"/>
                <w:sz w:val="24"/>
                <w:szCs w:val="24"/>
                <w:rtl/>
                <w14:ligatures w14:val="none"/>
              </w:rPr>
              <w:t>/</w:t>
            </w:r>
            <w:r>
              <w:rPr>
                <w:rFonts w:hint="default" w:ascii="Simplified Arabic" w:hAnsi="Simplified Arabic" w:eastAsia="Times New Roman" w:cs="Simplified Arabic"/>
                <w:color w:val="000000"/>
                <w:kern w:val="0"/>
                <w:sz w:val="24"/>
                <w:szCs w:val="24"/>
                <w:rtl/>
                <w:cs/>
                <w14:ligatures w14:val="none"/>
              </w:rPr>
              <w:t>العملياتية (تقليل الأعطال والموثوقية</w:t>
            </w:r>
            <w:r>
              <w:rPr>
                <w:rFonts w:hint="default" w:ascii="Simplified Arabic" w:hAnsi="Simplified Arabic" w:eastAsia="Times New Roman" w:cs="Simplified Arabic"/>
                <w:color w:val="000000"/>
                <w:kern w:val="0"/>
                <w:sz w:val="24"/>
                <w:szCs w:val="24"/>
                <w:rtl/>
                <w14:ligatures w14:val="none"/>
              </w:rPr>
              <w:t>).</w:t>
            </w:r>
          </w:p>
        </w:tc>
      </w:tr>
    </w:tbl>
    <w:p w14:paraId="5163FB9F">
      <w:pPr>
        <w:bidi/>
        <w:jc w:val="center"/>
        <w:rPr>
          <w:rStyle w:val="37"/>
          <w:rFonts w:hint="default"/>
        </w:rPr>
      </w:pPr>
      <w:bookmarkStart w:id="25" w:name="_Toc214111467"/>
      <w:r>
        <w:rPr>
          <w:rFonts w:hint="cs" w:cs="Times New Roman"/>
          <w:lang w:bidi="ar-SA"/>
        </w:rPr>
        <w:fldChar w:fldCharType="begin"/>
      </w:r>
      <w:r>
        <w:rPr>
          <w:rFonts w:hint="cs" w:cs="Times New Roman"/>
          <w:lang w:bidi="ar-SA"/>
        </w:rPr>
        <w:instrText xml:space="preserve"> SEQ Table \* ARABIC </w:instrText>
      </w:r>
      <w:r>
        <w:rPr>
          <w:rFonts w:hint="cs" w:cs="Times New Roman"/>
          <w:lang w:bidi="ar-SA"/>
        </w:rPr>
        <w:fldChar w:fldCharType="separate"/>
      </w:r>
      <w:r>
        <w:rPr>
          <w:rFonts w:hint="cs" w:cs="Times New Roman"/>
          <w:lang w:bidi="ar-SA"/>
        </w:rPr>
        <w:t>1</w:t>
      </w:r>
      <w:r>
        <w:rPr>
          <w:rFonts w:hint="cs" w:cs="Times New Roman"/>
          <w:lang w:bidi="ar-SA"/>
        </w:rPr>
        <w:fldChar w:fldCharType="end"/>
      </w:r>
      <w:bookmarkStart w:id="26" w:name="_Toc15355"/>
      <w:r>
        <w:rPr>
          <w:rStyle w:val="37"/>
          <w:rFonts w:hint="default"/>
          <w:rtl/>
        </w:rPr>
        <w:t>: جدول المتغيرات الأساسية</w:t>
      </w:r>
      <w:bookmarkEnd w:id="26"/>
    </w:p>
    <w:p w14:paraId="4A7ED883">
      <w:pPr>
        <w:pStyle w:val="3"/>
        <w:bidi/>
        <w:rPr>
          <w:rFonts w:hint="default"/>
          <w:lang w:val="en"/>
        </w:rPr>
      </w:pPr>
      <w:bookmarkStart w:id="27" w:name="_Toc22971"/>
      <w:r>
        <w:rPr>
          <w:rFonts w:hint="default"/>
          <w:rtl/>
          <w:lang w:val="en"/>
        </w:rPr>
        <w:t>ثانيا: الفرضية الرئيسية</w:t>
      </w:r>
      <w:bookmarkEnd w:id="27"/>
      <w:r>
        <w:rPr>
          <w:rFonts w:hint="default"/>
          <w:rtl/>
          <w:lang w:val="en"/>
        </w:rPr>
        <w:t xml:space="preserve"> </w:t>
      </w:r>
      <w:bookmarkEnd w:id="25"/>
    </w:p>
    <w:p w14:paraId="208FADCC">
      <w:pPr>
        <w:pStyle w:val="4"/>
        <w:bidi/>
        <w:rPr>
          <w:rFonts w:hint="default"/>
        </w:rPr>
      </w:pPr>
      <w:bookmarkStart w:id="28" w:name="_Toc21573"/>
      <w:bookmarkStart w:id="29" w:name="_Toc214111468"/>
      <w:r>
        <w:rPr>
          <w:rFonts w:hint="default"/>
          <w:rtl/>
          <w:lang w:val="en"/>
        </w:rPr>
        <w:t>فرض العدم</w:t>
      </w:r>
      <w:r>
        <w:rPr>
          <w:rFonts w:hint="default"/>
        </w:rPr>
        <w:t xml:space="preserve"> (H0)</w:t>
      </w:r>
      <w:bookmarkEnd w:id="28"/>
    </w:p>
    <w:p w14:paraId="430B3789">
      <w:pPr>
        <w:bidi/>
        <w:rPr>
          <w:rFonts w:hint="default"/>
        </w:rPr>
      </w:pPr>
      <w:r>
        <w:rPr>
          <w:rFonts w:hint="default"/>
          <w:rtl/>
          <w:lang w:val="en"/>
        </w:rPr>
        <w:t>لا يوجد أثر ذو دلالة إحصائية لجودة الأعمال الإنشائية في مرحلة التنفيذ على الأداء المتكامل للاستدامة التشغيلية (بأبعادها البيئية والاقتصادية والاجتماعية والتقنية) في المشاريع واسعة النطاق التابعة لصندوق الاستثمارات العامة في المملكة العربية السعودية</w:t>
      </w:r>
      <w:r>
        <w:rPr>
          <w:rFonts w:hint="default"/>
        </w:rPr>
        <w:t>.</w:t>
      </w:r>
    </w:p>
    <w:p w14:paraId="205E671A">
      <w:pPr>
        <w:pStyle w:val="4"/>
        <w:bidi/>
        <w:rPr>
          <w:rFonts w:hint="default"/>
        </w:rPr>
      </w:pPr>
      <w:bookmarkStart w:id="30" w:name="_Toc14534"/>
      <w:r>
        <w:rPr>
          <w:rFonts w:hint="default"/>
          <w:rtl/>
          <w:lang w:val="en"/>
        </w:rPr>
        <w:t>الفرض البديل</w:t>
      </w:r>
      <w:r>
        <w:rPr>
          <w:rFonts w:hint="default"/>
        </w:rPr>
        <w:t xml:space="preserve"> (H1)</w:t>
      </w:r>
      <w:bookmarkEnd w:id="30"/>
    </w:p>
    <w:p w14:paraId="60A60C3D">
      <w:pPr>
        <w:bidi/>
        <w:rPr>
          <w:rFonts w:hint="default"/>
        </w:rPr>
      </w:pPr>
      <w:r>
        <w:rPr>
          <w:rFonts w:hint="default"/>
          <w:rtl/>
          <w:lang w:val="en"/>
        </w:rPr>
        <w:t>يوجد أثر إيجابي ذو دلالة إحصائية لجودة الأعمال الإنشائية في مرحلة التنفيذ على الأداء المتكامل للاستدامة التشغيلية (بأبعادها البيئية والاقتصادية والاجتماعية والتقنية) في المشاريع واسعة النطاق التابعة لصندوق الاستثمارات العامة في المملكة العربية السعودية</w:t>
      </w:r>
      <w:r>
        <w:rPr>
          <w:rFonts w:hint="default"/>
        </w:rPr>
        <w:t>.</w:t>
      </w:r>
    </w:p>
    <w:p w14:paraId="12839CEA">
      <w:pPr>
        <w:pStyle w:val="3"/>
        <w:bidi/>
        <w:rPr>
          <w:rFonts w:hint="default"/>
          <w:lang w:val="en"/>
        </w:rPr>
      </w:pPr>
      <w:bookmarkStart w:id="31" w:name="_Toc19804"/>
      <w:r>
        <w:rPr>
          <w:rFonts w:hint="default"/>
          <w:rtl/>
          <w:lang w:val="en"/>
        </w:rPr>
        <w:t>ثالثا: الفروض الفرعية</w:t>
      </w:r>
      <w:bookmarkEnd w:id="31"/>
      <w:r>
        <w:rPr>
          <w:rFonts w:hint="default"/>
          <w:rtl/>
          <w:lang w:val="en"/>
        </w:rPr>
        <w:t xml:space="preserve"> </w:t>
      </w:r>
      <w:bookmarkEnd w:id="29"/>
    </w:p>
    <w:p w14:paraId="7C8EDC89">
      <w:pPr>
        <w:numPr>
          <w:ilvl w:val="0"/>
          <w:numId w:val="8"/>
        </w:numPr>
        <w:bidi/>
        <w:rPr>
          <w:rFonts w:hint="default"/>
          <w:lang w:val="en"/>
        </w:rPr>
      </w:pPr>
      <w:r>
        <w:rPr>
          <w:rFonts w:hint="default"/>
          <w:rtl/>
          <w:lang w:val="en"/>
        </w:rPr>
        <w:t xml:space="preserve">تؤثر جودة الأعمال الإنشائية تأثيراً معنوياً في تعزيز كفاءة الأداء البيئي خلال مرحلة التشغيل في المشاريع واسعة النطاق. </w:t>
      </w:r>
    </w:p>
    <w:p w14:paraId="57A3F51E">
      <w:pPr>
        <w:numPr>
          <w:ilvl w:val="0"/>
          <w:numId w:val="8"/>
        </w:numPr>
        <w:bidi/>
        <w:rPr>
          <w:rFonts w:hint="default"/>
          <w:lang w:val="en"/>
        </w:rPr>
      </w:pPr>
      <w:r>
        <w:rPr>
          <w:rFonts w:hint="default"/>
          <w:rtl/>
          <w:lang w:val="en"/>
        </w:rPr>
        <w:t>(ويقاس ذلك من خلال كفاءة استخدام الطاقة والمياه وتقليل الهدر والآثار البيئية التشغيلية).</w:t>
      </w:r>
    </w:p>
    <w:p w14:paraId="03F457D4">
      <w:pPr>
        <w:numPr>
          <w:ilvl w:val="0"/>
          <w:numId w:val="8"/>
        </w:numPr>
        <w:bidi/>
        <w:rPr>
          <w:rFonts w:hint="default"/>
          <w:lang w:val="en"/>
        </w:rPr>
      </w:pPr>
      <w:r>
        <w:rPr>
          <w:rFonts w:hint="default"/>
          <w:rtl/>
          <w:lang w:val="en"/>
        </w:rPr>
        <w:t xml:space="preserve"> ترتبط جودة التنفيذ الإنشائي بانخفاض التكاليف التشغيلية وتكاليف الصيانة على مدى دورة حياة المشروع.</w:t>
      </w:r>
    </w:p>
    <w:p w14:paraId="7A19B23D">
      <w:pPr>
        <w:numPr>
          <w:ilvl w:val="0"/>
          <w:numId w:val="8"/>
        </w:numPr>
        <w:bidi/>
        <w:rPr>
          <w:rFonts w:hint="default"/>
        </w:rPr>
      </w:pPr>
      <w:r>
        <w:rPr>
          <w:rFonts w:hint="default"/>
          <w:lang w:val="en"/>
        </w:rPr>
        <w:t xml:space="preserve"> </w:t>
      </w:r>
      <w:r>
        <w:rPr>
          <w:rFonts w:hint="default"/>
          <w:rtl/>
          <w:lang w:val="en"/>
        </w:rPr>
        <w:t>يسهم مستوى جودة الأعمال الإنشائية في رفع الموثوقية التشغيلية وتقليل الأعطال الفنية للأصول.</w:t>
      </w:r>
    </w:p>
    <w:p w14:paraId="48439F59">
      <w:pPr>
        <w:numPr>
          <w:ilvl w:val="0"/>
          <w:numId w:val="8"/>
        </w:numPr>
        <w:bidi/>
        <w:rPr>
          <w:rFonts w:hint="default"/>
          <w:lang w:val="en"/>
        </w:rPr>
      </w:pPr>
      <w:r>
        <w:rPr>
          <w:rFonts w:hint="default"/>
          <w:lang w:val="en"/>
        </w:rPr>
        <w:t xml:space="preserve"> </w:t>
      </w:r>
      <w:r>
        <w:rPr>
          <w:rFonts w:hint="default"/>
          <w:rtl/>
          <w:lang w:val="en"/>
        </w:rPr>
        <w:t>يسهم انتقال الكفاءات والخبرات من مرحلة التنفيذ الإنشائي إلى مرحلة التشغيل في تعزيز الاستدامة الاجتماعية والعملياتية من خلال تقليل فجوة المعرفة وخفض التكاليف المرتبطة باستقطاب وتدريب كوادر جديدة.</w:t>
      </w:r>
    </w:p>
    <w:p w14:paraId="3398622A">
      <w:pPr>
        <w:numPr>
          <w:ilvl w:val="0"/>
          <w:numId w:val="8"/>
        </w:numPr>
        <w:bidi/>
        <w:rPr>
          <w:rFonts w:hint="default"/>
          <w:lang w:val="en"/>
        </w:rPr>
      </w:pPr>
      <w:r>
        <w:rPr>
          <w:rFonts w:hint="default"/>
          <w:lang w:val="en"/>
        </w:rPr>
        <w:t xml:space="preserve"> </w:t>
      </w:r>
      <w:r>
        <w:rPr>
          <w:rFonts w:hint="default"/>
          <w:rtl/>
          <w:lang w:val="en"/>
        </w:rPr>
        <w:t xml:space="preserve">يعزز التكامل بين مرحلتي الإنشاء والتشغيل مستوى الاستدامة التشغيلية في المشاريع واسعة النطاق. </w:t>
      </w:r>
    </w:p>
    <w:p w14:paraId="6040EA03">
      <w:pPr>
        <w:pStyle w:val="2"/>
        <w:bidi/>
        <w:rPr>
          <w:rFonts w:hint="default"/>
          <w:rtl/>
          <w:lang w:val="en-US"/>
        </w:rPr>
      </w:pPr>
      <w:bookmarkStart w:id="32" w:name="_Toc19964"/>
      <w:r>
        <w:rPr>
          <w:rFonts w:hint="default"/>
          <w:rtl/>
        </w:rPr>
        <w:t>الإطار</w:t>
      </w:r>
      <w:r>
        <w:rPr>
          <w:rFonts w:hint="default"/>
          <w:rtl/>
          <w:lang w:val="en-US"/>
        </w:rPr>
        <w:t xml:space="preserve"> النظري</w:t>
      </w:r>
      <w:bookmarkEnd w:id="32"/>
    </w:p>
    <w:p w14:paraId="71E07820">
      <w:pPr>
        <w:pStyle w:val="3"/>
        <w:bidi/>
        <w:rPr>
          <w:rFonts w:hint="default"/>
          <w:rtl/>
          <w:lang w:val="en-US"/>
        </w:rPr>
      </w:pPr>
      <w:bookmarkStart w:id="33" w:name="_Toc17120"/>
      <w:r>
        <w:rPr>
          <w:rFonts w:hint="default"/>
          <w:rtl/>
        </w:rPr>
        <w:t>مستخلص</w:t>
      </w:r>
      <w:bookmarkEnd w:id="33"/>
    </w:p>
    <w:p w14:paraId="4C03AD88">
      <w:pPr>
        <w:bidi/>
        <w:spacing w:line="240" w:lineRule="auto"/>
        <w:jc w:val="left"/>
        <w:rPr>
          <w:rFonts w:hint="default" w:ascii="Simplified Arabic" w:hAnsi="Simplified Arabic" w:cs="Simplified Arabic"/>
          <w:rtl/>
          <w:lang w:val="en-US" w:bidi="ar-SA"/>
        </w:rPr>
      </w:pPr>
      <w:r>
        <w:rPr>
          <w:rFonts w:hint="default" w:ascii="Simplified Arabic" w:hAnsi="Simplified Arabic" w:cs="Simplified Arabic"/>
          <w:rtl/>
          <w:cs/>
          <w:lang w:val="en-US" w:bidi="ar-SA"/>
        </w:rPr>
        <w:t>يعتمد الإطار النظري لهذه الدراسة على مجموعة من المفاهيم والنظريات المرتبطة بإدارة المشاريع وإدارة المرافق والاستدامة التشغيلية، وذلك بهدف تفسير العلاقة بين جودة الأعمال الإنشائية في مرحلة التنفيذ ومستوى الاستدامة التشغيلية للمشاريع واسعة النطاق</w:t>
      </w:r>
      <w:r>
        <w:rPr>
          <w:rFonts w:hint="default" w:ascii="Simplified Arabic" w:hAnsi="Simplified Arabic" w:cs="Simplified Arabic"/>
          <w:rtl/>
          <w:cs w:val="0"/>
          <w:lang w:val="en-US" w:bidi="ar-SA"/>
        </w:rPr>
        <w:t xml:space="preserve">. </w:t>
      </w:r>
      <w:r>
        <w:rPr>
          <w:rFonts w:hint="default" w:ascii="Simplified Arabic" w:hAnsi="Simplified Arabic" w:cs="Simplified Arabic"/>
          <w:rtl/>
          <w:cs/>
          <w:lang w:val="en-US" w:bidi="ar-SA"/>
        </w:rPr>
        <w:t>حيث تشير الأدبيات العلمية إلى أن نجاح المشاريع لا يعتمد فقط على مرحلة التصميم أو التخطيط، بل يتأثر بشكل كبير بمدى جودة التنفيذ الإنشائي ومدى الالتزام بالمعايير الفنية والهندسية أثناء مرحلة البناء</w:t>
      </w:r>
      <w:r>
        <w:rPr>
          <w:rFonts w:hint="default" w:ascii="Simplified Arabic" w:hAnsi="Simplified Arabic" w:cs="Simplified Arabic"/>
          <w:rtl/>
          <w:cs w:val="0"/>
          <w:lang w:val="en-US" w:bidi="ar-SA"/>
        </w:rPr>
        <w:t>.</w:t>
      </w:r>
    </w:p>
    <w:p w14:paraId="01F542C9">
      <w:pPr>
        <w:bidi/>
        <w:spacing w:line="240" w:lineRule="auto"/>
        <w:jc w:val="left"/>
        <w:rPr>
          <w:rFonts w:hint="default" w:ascii="Simplified Arabic" w:hAnsi="Simplified Arabic" w:cs="Simplified Arabic"/>
          <w:rtl/>
          <w:lang w:val="en-US" w:bidi="ar-SA"/>
        </w:rPr>
      </w:pPr>
      <w:r>
        <w:rPr>
          <w:rFonts w:hint="default" w:ascii="Simplified Arabic" w:hAnsi="Simplified Arabic" w:cs="Simplified Arabic"/>
          <w:rtl/>
          <w:cs/>
          <w:lang w:val="en-US" w:bidi="ar-SA"/>
        </w:rPr>
        <w:t>وترتكز الدراسة بشكل رئيسي على نظرية دورة حياة المشروع، التي تنص على أن المشروع يمر بعدة مراحل مترابطة تبدأ بمرحلة التخطيط والتصميم، ثم مرحلة التنفيذ، وصولًا إلى مرحلة التشغيل والصيانة</w:t>
      </w:r>
      <w:r>
        <w:rPr>
          <w:rFonts w:hint="default" w:ascii="Simplified Arabic" w:hAnsi="Simplified Arabic" w:cs="Simplified Arabic"/>
          <w:rtl/>
          <w:cs w:val="0"/>
          <w:lang w:val="en-US" w:bidi="ar-SA"/>
        </w:rPr>
        <w:t xml:space="preserve">. </w:t>
      </w:r>
      <w:r>
        <w:rPr>
          <w:rFonts w:hint="default" w:ascii="Simplified Arabic" w:hAnsi="Simplified Arabic" w:cs="Simplified Arabic"/>
          <w:rtl/>
          <w:cs/>
          <w:lang w:val="en-US" w:bidi="ar-SA"/>
        </w:rPr>
        <w:t>وتؤكد هذه النظرية أن القرارات التي يتم اتخاذها في مرحلة التنفيذ الإنشائي تؤثر بشكل مباشر على الأداء التشغيلي للمشروع خلال المراحل اللاحقة من دورة حياته</w:t>
      </w:r>
      <w:r>
        <w:rPr>
          <w:rFonts w:hint="default" w:ascii="Simplified Arabic" w:hAnsi="Simplified Arabic" w:cs="Simplified Arabic"/>
          <w:rtl/>
          <w:cs w:val="0"/>
          <w:lang w:val="en-US" w:bidi="ar-SA"/>
        </w:rPr>
        <w:t xml:space="preserve">. </w:t>
      </w:r>
      <w:r>
        <w:rPr>
          <w:rFonts w:hint="default" w:ascii="Simplified Arabic" w:hAnsi="Simplified Arabic" w:cs="Simplified Arabic"/>
          <w:rtl/>
          <w:cs/>
          <w:lang w:val="en-US" w:bidi="ar-SA"/>
        </w:rPr>
        <w:t>وبناءً على ذلك، فإن أي قصور في جودة التنفيذ قد يؤدي إلى ظهور مشكلات تشغيلية مستقبلية مثل زيادة الأعطال أو ارتفاع تكاليف الصيانة، مما يؤثر على كفاءة تشغيل المرافق</w:t>
      </w:r>
      <w:r>
        <w:rPr>
          <w:rFonts w:hint="default" w:ascii="Simplified Arabic" w:hAnsi="Simplified Arabic" w:cs="Simplified Arabic"/>
          <w:rtl/>
          <w:cs w:val="0"/>
          <w:lang w:val="en-US" w:bidi="ar-SA"/>
        </w:rPr>
        <w:t>.</w:t>
      </w:r>
    </w:p>
    <w:p w14:paraId="09FFC000">
      <w:pPr>
        <w:bidi/>
        <w:spacing w:line="240" w:lineRule="auto"/>
        <w:jc w:val="left"/>
        <w:rPr>
          <w:rFonts w:hint="default" w:ascii="Simplified Arabic" w:hAnsi="Simplified Arabic" w:cs="Simplified Arabic"/>
          <w:rtl/>
          <w:lang w:val="en-US" w:bidi="ar-SA"/>
        </w:rPr>
      </w:pPr>
      <w:r>
        <w:rPr>
          <w:rFonts w:hint="default" w:ascii="Simplified Arabic" w:hAnsi="Simplified Arabic" w:cs="Simplified Arabic"/>
          <w:rtl/>
          <w:cs/>
          <w:lang w:val="en-US" w:bidi="ar-SA"/>
        </w:rPr>
        <w:t>كما يستند الإطار النظري للدراسة إلى مفاهيم إدارة الأصول وإدارة المرافق، حيث تركز هذه المفاهيم على تحقيق الكفاءة التشغيلية للأصول والبنية التحتية طوال دورة حياتها</w:t>
      </w:r>
      <w:r>
        <w:rPr>
          <w:rFonts w:hint="default" w:ascii="Simplified Arabic" w:hAnsi="Simplified Arabic" w:cs="Simplified Arabic"/>
          <w:rtl/>
          <w:cs w:val="0"/>
          <w:lang w:val="en-US" w:bidi="ar-SA"/>
        </w:rPr>
        <w:t xml:space="preserve">. </w:t>
      </w:r>
      <w:r>
        <w:rPr>
          <w:rFonts w:hint="default" w:ascii="Simplified Arabic" w:hAnsi="Simplified Arabic" w:cs="Simplified Arabic"/>
          <w:rtl/>
          <w:cs/>
          <w:lang w:val="en-US" w:bidi="ar-SA"/>
        </w:rPr>
        <w:t>وتشير الأدبيات في هذا المجال إلى أن جودة التنفيذ الإنشائي تعد من العوامل الأساسية التي تؤثر في كفاءة إدارة الأصول وفي قدرة المرافق على العمل بكفاءة عالية خلال مرحلة التشغيل</w:t>
      </w:r>
      <w:r>
        <w:rPr>
          <w:rFonts w:hint="default" w:ascii="Simplified Arabic" w:hAnsi="Simplified Arabic" w:cs="Simplified Arabic"/>
          <w:rtl/>
          <w:cs w:val="0"/>
          <w:lang w:val="en-US" w:bidi="ar-SA"/>
        </w:rPr>
        <w:t xml:space="preserve">. </w:t>
      </w:r>
      <w:r>
        <w:rPr>
          <w:rFonts w:hint="default" w:ascii="Simplified Arabic" w:hAnsi="Simplified Arabic" w:cs="Simplified Arabic"/>
          <w:rtl/>
          <w:cs/>
          <w:lang w:val="en-US" w:bidi="ar-SA"/>
        </w:rPr>
        <w:t>كما تسهم جودة التنفيذ في تحسين موثوقية الأنظمة الفنية والبنية التحتية، وتقليل الأعطال التشغيلية، وتعزيز كفاءة عمليات الصيانة</w:t>
      </w:r>
      <w:r>
        <w:rPr>
          <w:rFonts w:hint="default" w:ascii="Simplified Arabic" w:hAnsi="Simplified Arabic" w:cs="Simplified Arabic"/>
          <w:rtl/>
          <w:cs w:val="0"/>
          <w:lang w:val="en-US" w:bidi="ar-SA"/>
        </w:rPr>
        <w:t>.</w:t>
      </w:r>
    </w:p>
    <w:p w14:paraId="4091F59A">
      <w:pPr>
        <w:bidi/>
        <w:spacing w:line="240" w:lineRule="auto"/>
        <w:jc w:val="left"/>
        <w:rPr>
          <w:rFonts w:hint="default" w:ascii="Simplified Arabic" w:hAnsi="Simplified Arabic" w:cs="Simplified Arabic"/>
          <w:rtl/>
          <w:lang w:val="en-US" w:bidi="ar-SA"/>
        </w:rPr>
      </w:pPr>
      <w:r>
        <w:rPr>
          <w:rFonts w:hint="default" w:ascii="Simplified Arabic" w:hAnsi="Simplified Arabic" w:cs="Simplified Arabic"/>
          <w:rtl/>
          <w:cs/>
          <w:lang w:val="en-US" w:bidi="ar-SA"/>
        </w:rPr>
        <w:t>ومن منظور الاستدامة، ترتبط جودة الأعمال الإنشائية بشكل وثيق بتحقيق الاستدامة التشغيلية للمشاريع، والتي تشمل مجموعة من الأبعاد المتكاملة مثل البعد البيئي والاقتصادي والتقني والاجتماعي</w:t>
      </w:r>
      <w:r>
        <w:rPr>
          <w:rFonts w:hint="default" w:ascii="Simplified Arabic" w:hAnsi="Simplified Arabic" w:cs="Simplified Arabic"/>
          <w:rtl/>
          <w:cs w:val="0"/>
          <w:lang w:val="en-US" w:bidi="ar-SA"/>
        </w:rPr>
        <w:t xml:space="preserve">. </w:t>
      </w:r>
      <w:r>
        <w:rPr>
          <w:rFonts w:hint="default" w:ascii="Simplified Arabic" w:hAnsi="Simplified Arabic" w:cs="Simplified Arabic"/>
          <w:rtl/>
          <w:cs/>
          <w:lang w:val="en-US" w:bidi="ar-SA"/>
        </w:rPr>
        <w:t>ففي البعد البيئي، يسهم التنفيذ الجيد للأنظمة المرتبطة بالطاقة والمياه والعزل الحراري في تحسين كفاءة استخدام الموارد الطبيعية وتقليل الآثار البيئية للمرافق</w:t>
      </w:r>
      <w:r>
        <w:rPr>
          <w:rFonts w:hint="default" w:ascii="Simplified Arabic" w:hAnsi="Simplified Arabic" w:cs="Simplified Arabic"/>
          <w:rtl/>
          <w:cs w:val="0"/>
          <w:lang w:val="en-US" w:bidi="ar-SA"/>
        </w:rPr>
        <w:t xml:space="preserve">. </w:t>
      </w:r>
      <w:r>
        <w:rPr>
          <w:rFonts w:hint="default" w:ascii="Simplified Arabic" w:hAnsi="Simplified Arabic" w:cs="Simplified Arabic"/>
          <w:rtl/>
          <w:cs/>
          <w:lang w:val="en-US" w:bidi="ar-SA"/>
        </w:rPr>
        <w:t>أما في البعد الاقتصادي، فإن جودة التنفيذ تسهم في تقليل التكاليف التشغيلية وتكاليف الصيانة على المدى الطويل، مما يعزز الجدوى الاقتصادية للمشاريع</w:t>
      </w:r>
      <w:r>
        <w:rPr>
          <w:rFonts w:hint="default" w:ascii="Simplified Arabic" w:hAnsi="Simplified Arabic" w:cs="Simplified Arabic"/>
          <w:rtl/>
          <w:cs w:val="0"/>
          <w:lang w:val="en-US" w:bidi="ar-SA"/>
        </w:rPr>
        <w:t xml:space="preserve">. </w:t>
      </w:r>
      <w:r>
        <w:rPr>
          <w:rFonts w:hint="default" w:ascii="Simplified Arabic" w:hAnsi="Simplified Arabic" w:cs="Simplified Arabic"/>
          <w:rtl/>
          <w:cs/>
          <w:lang w:val="en-US" w:bidi="ar-SA"/>
        </w:rPr>
        <w:t>وفيما يتعلق بالبعد التقني، فإن جودة تنفيذ الأنظمة الميكانيكية والكهربائية والبنية التحتية تسهم في تحسين موثوقية الأنظمة التشغيلية واستقرار الأداء الفني للمرافق</w:t>
      </w:r>
      <w:r>
        <w:rPr>
          <w:rFonts w:hint="default" w:ascii="Simplified Arabic" w:hAnsi="Simplified Arabic" w:cs="Simplified Arabic"/>
          <w:rtl/>
          <w:cs w:val="0"/>
          <w:lang w:val="en-US" w:bidi="ar-SA"/>
        </w:rPr>
        <w:t>.</w:t>
      </w:r>
    </w:p>
    <w:p w14:paraId="62CF74BC">
      <w:pPr>
        <w:bidi/>
        <w:spacing w:line="240" w:lineRule="auto"/>
        <w:jc w:val="left"/>
        <w:rPr>
          <w:rFonts w:hint="default" w:ascii="Simplified Arabic" w:hAnsi="Simplified Arabic" w:cs="Simplified Arabic"/>
          <w:rtl/>
          <w:lang w:val="en-US" w:bidi="ar-SA"/>
        </w:rPr>
      </w:pPr>
      <w:r>
        <w:rPr>
          <w:rFonts w:hint="default" w:ascii="Simplified Arabic" w:hAnsi="Simplified Arabic" w:cs="Simplified Arabic"/>
          <w:rtl/>
          <w:cs/>
          <w:lang w:val="en-US" w:bidi="ar-SA"/>
        </w:rPr>
        <w:t>إضافة إلى ذلك، يبرز البعد الاجتماعي المرتبط برأس المال البشري، والذي يركز على أهمية نقل المعرفة والخبرات بين فرق التنفيذ وفرق التشغيل</w:t>
      </w:r>
      <w:r>
        <w:rPr>
          <w:rFonts w:hint="default" w:ascii="Simplified Arabic" w:hAnsi="Simplified Arabic" w:cs="Simplified Arabic"/>
          <w:rtl/>
          <w:cs w:val="0"/>
          <w:lang w:val="en-US" w:bidi="ar-SA"/>
        </w:rPr>
        <w:t xml:space="preserve">. </w:t>
      </w:r>
      <w:r>
        <w:rPr>
          <w:rFonts w:hint="default" w:ascii="Simplified Arabic" w:hAnsi="Simplified Arabic" w:cs="Simplified Arabic"/>
          <w:rtl/>
          <w:cs/>
          <w:lang w:val="en-US" w:bidi="ar-SA"/>
        </w:rPr>
        <w:t>حيث إن العاملين في مرحلة التنفيذ يمتلكون معرفة تفصيلية بالأنظمة والمرافق التي تم إنشاؤها، وهو ما يجعل نقل هذه المعرفة إلى فرق التشغيل عاملًا مهمًا في تحسين كفاءة إدارة المرافق وتقليل المشكلات التشغيلية</w:t>
      </w:r>
      <w:r>
        <w:rPr>
          <w:rFonts w:hint="default" w:ascii="Simplified Arabic" w:hAnsi="Simplified Arabic" w:cs="Simplified Arabic"/>
          <w:rtl/>
          <w:cs w:val="0"/>
          <w:lang w:val="en-US" w:bidi="ar-SA"/>
        </w:rPr>
        <w:t>.</w:t>
      </w:r>
    </w:p>
    <w:p w14:paraId="13A79CCB">
      <w:pPr>
        <w:bidi/>
        <w:spacing w:line="240" w:lineRule="auto"/>
        <w:jc w:val="left"/>
        <w:rPr>
          <w:rFonts w:hint="default" w:ascii="Simplified Arabic" w:hAnsi="Simplified Arabic" w:cs="Simplified Arabic"/>
          <w:rtl/>
          <w:lang w:val="en-US" w:bidi="ar-SA"/>
        </w:rPr>
      </w:pPr>
      <w:r>
        <w:rPr>
          <w:rFonts w:hint="default" w:ascii="Simplified Arabic" w:hAnsi="Simplified Arabic" w:cs="Simplified Arabic"/>
          <w:rtl/>
          <w:cs/>
          <w:lang w:val="en-US" w:bidi="ar-SA"/>
        </w:rPr>
        <w:t>وبناءً على ما سبق، يوضح الإطار النظري لهذه الدراسة أن جودة تنفيذ الأعمال الإنشائية تمثل عاملًا أساسيًا في تحقيق الاستدامة التشغيلية للمشاريع واسعة النطاق، وذلك من خلال تأثيرها المباشر على كفاءة تشغيل المرافق واستدامة أدائها على المدى الطويل</w:t>
      </w:r>
      <w:r>
        <w:rPr>
          <w:rFonts w:hint="default" w:ascii="Simplified Arabic" w:hAnsi="Simplified Arabic" w:cs="Simplified Arabic"/>
          <w:rtl/>
          <w:cs w:val="0"/>
          <w:lang w:val="en-US" w:bidi="ar-SA"/>
        </w:rPr>
        <w:t xml:space="preserve">. </w:t>
      </w:r>
      <w:r>
        <w:rPr>
          <w:rFonts w:hint="default" w:ascii="Simplified Arabic" w:hAnsi="Simplified Arabic" w:cs="Simplified Arabic"/>
          <w:rtl/>
          <w:cs/>
          <w:lang w:val="en-US" w:bidi="ar-SA"/>
        </w:rPr>
        <w:t>كما يؤكد هذا الإطار على أهمية تحقيق التكامل بين مراحل المشروع المختلفة، خاصة بين مرحلتي التنفيذ والتشغيل، لضمان تحقيق أفضل مستوى من الأداء التشغيلي والاستدامة للمشاريع</w:t>
      </w:r>
      <w:r>
        <w:rPr>
          <w:rFonts w:hint="default" w:ascii="Simplified Arabic" w:hAnsi="Simplified Arabic" w:cs="Simplified Arabic"/>
          <w:rtl/>
          <w:cs w:val="0"/>
          <w:lang w:val="en-US" w:bidi="ar-SA"/>
        </w:rPr>
        <w:t>.</w:t>
      </w:r>
    </w:p>
    <w:p w14:paraId="2868F04D">
      <w:pPr>
        <w:pStyle w:val="3"/>
        <w:bidi/>
        <w:rPr>
          <w:rFonts w:hint="default"/>
          <w:cs w:val="0"/>
          <w:lang w:val="en-US"/>
        </w:rPr>
      </w:pPr>
      <w:bookmarkStart w:id="34" w:name="_Toc10775"/>
      <w:r>
        <w:rPr>
          <w:rFonts w:hint="default"/>
          <w:rtl/>
          <w:cs/>
        </w:rPr>
        <w:t>أولاً</w:t>
      </w:r>
      <w:r>
        <w:rPr>
          <w:rFonts w:hint="default"/>
          <w:cs w:val="0"/>
        </w:rPr>
        <w:t xml:space="preserve">: </w:t>
      </w:r>
      <w:r>
        <w:rPr>
          <w:rFonts w:hint="default"/>
          <w:rtl/>
          <w:cs w:val="0"/>
          <w:lang w:val="en-US"/>
        </w:rPr>
        <w:t xml:space="preserve"> المفاهيم</w:t>
      </w:r>
      <w:bookmarkEnd w:id="34"/>
    </w:p>
    <w:p w14:paraId="06499AA3">
      <w:pPr>
        <w:pStyle w:val="4"/>
        <w:bidi/>
        <w:rPr>
          <w:rFonts w:hint="default"/>
        </w:rPr>
      </w:pPr>
      <w:r>
        <w:rPr>
          <w:rFonts w:hint="default"/>
          <w:rtl/>
          <w:cs w:val="0"/>
          <w:lang w:val="en-US"/>
        </w:rPr>
        <w:t xml:space="preserve">  </w:t>
      </w:r>
      <w:bookmarkStart w:id="35" w:name="_Toc25661"/>
      <w:r>
        <w:rPr>
          <w:rFonts w:hint="default"/>
          <w:rtl/>
          <w:cs/>
        </w:rPr>
        <w:t>مفهوم جودة الأعمال الإنشائية</w:t>
      </w:r>
      <w:bookmarkEnd w:id="35"/>
    </w:p>
    <w:p w14:paraId="460B5A99">
      <w:pPr>
        <w:pStyle w:val="15"/>
        <w:keepNext w:val="0"/>
        <w:keepLines w:val="0"/>
        <w:widowControl/>
        <w:suppressLineNumbers w:val="0"/>
        <w:bidi/>
        <w:spacing w:line="240" w:lineRule="auto"/>
        <w:jc w:val="left"/>
        <w:rPr>
          <w:rFonts w:hint="default" w:ascii="Simplified Arabic" w:hAnsi="Simplified Arabic" w:cs="Simplified Arabic"/>
        </w:rPr>
      </w:pPr>
      <w:r>
        <w:rPr>
          <w:rFonts w:hint="default" w:ascii="Simplified Arabic" w:hAnsi="Simplified Arabic" w:cs="Simplified Arabic"/>
          <w:rtl/>
          <w:cs/>
          <w:lang w:bidi="ar-SA"/>
        </w:rPr>
        <w:t>تُعد جودة الأعمال الإنشائية من العوامل الأساسية التي تؤثر في نجاح المشاريع الهندسية على المدى الطويل، حيث تمثل مرحلة التنفيذ الإنشائي إحدى أهم مراحل دورة حياة المشروع، لما لها من تأثير مباشر على الأداء المستقبلي للمرافق والبنية التحتية</w:t>
      </w:r>
      <w:r>
        <w:rPr>
          <w:rFonts w:hint="default" w:ascii="Simplified Arabic" w:hAnsi="Simplified Arabic" w:cs="Simplified Arabic"/>
          <w:cs w:val="0"/>
        </w:rPr>
        <w:t xml:space="preserve">. </w:t>
      </w:r>
      <w:r>
        <w:rPr>
          <w:rFonts w:hint="default" w:ascii="Simplified Arabic" w:hAnsi="Simplified Arabic" w:cs="Simplified Arabic"/>
          <w:rtl/>
          <w:cs/>
          <w:lang w:bidi="ar-SA"/>
        </w:rPr>
        <w:t>وتشير جودة الأعمال الإنشائية إلى مدى التزام عمليات التنفيذ بالمعايير الفنية والهندسية المعتمدة، إضافة إلى تطبيق أفضل الممارسات المهنية في تنفيذ الأعمال الإنشائية، بما يضمن تحقيق الأداء المطلوب للمشروع خلال مرحلة التشغيل</w:t>
      </w:r>
      <w:r>
        <w:rPr>
          <w:rFonts w:hint="default" w:ascii="Simplified Arabic" w:hAnsi="Simplified Arabic" w:cs="Simplified Arabic"/>
          <w:cs w:val="0"/>
        </w:rPr>
        <w:t>.</w:t>
      </w:r>
    </w:p>
    <w:p w14:paraId="1C833577">
      <w:pPr>
        <w:pStyle w:val="15"/>
        <w:keepNext w:val="0"/>
        <w:keepLines w:val="0"/>
        <w:widowControl/>
        <w:suppressLineNumbers w:val="0"/>
        <w:bidi/>
        <w:spacing w:line="240" w:lineRule="auto"/>
        <w:jc w:val="left"/>
        <w:rPr>
          <w:rFonts w:hint="default" w:ascii="Simplified Arabic" w:hAnsi="Simplified Arabic" w:cs="Simplified Arabic"/>
        </w:rPr>
      </w:pPr>
      <w:r>
        <w:rPr>
          <w:rFonts w:hint="default" w:ascii="Simplified Arabic" w:hAnsi="Simplified Arabic" w:cs="Simplified Arabic"/>
          <w:rtl/>
          <w:cs/>
          <w:lang w:bidi="ar-SA"/>
        </w:rPr>
        <w:t>وقد أكدت العديد من الدراسات في مجال إدارة المشاريع والبناء المستدام أن جودة التنفيذ الإنشائي تلعب دورًا حاسمًا في تحديد مستوى كفاءة المشروع خلال مراحله التشغيلية اللاحقة</w:t>
      </w:r>
      <w:r>
        <w:rPr>
          <w:rFonts w:hint="default" w:ascii="Simplified Arabic" w:hAnsi="Simplified Arabic" w:cs="Simplified Arabic"/>
          <w:cs w:val="0"/>
        </w:rPr>
        <w:t xml:space="preserve">. </w:t>
      </w:r>
      <w:r>
        <w:rPr>
          <w:rFonts w:hint="default" w:ascii="Simplified Arabic" w:hAnsi="Simplified Arabic" w:cs="Simplified Arabic"/>
          <w:rtl/>
          <w:cs/>
          <w:lang w:bidi="ar-SA"/>
        </w:rPr>
        <w:t>فعندما يتم تنفيذ الأعمال الإنشائية وفق معايير عالية من الجودة والدقة، فإن ذلك يسهم في تقليل احتمالية حدوث الأعطال التشغيلية، كما يقلل من الحاجة إلى أعمال الصيانة التصحيحية المتكررة، ويعزز من استقرار الأداء التشغيلي للمرافق</w:t>
      </w:r>
      <w:r>
        <w:rPr>
          <w:rFonts w:hint="default" w:ascii="Simplified Arabic" w:hAnsi="Simplified Arabic" w:cs="Simplified Arabic"/>
          <w:cs w:val="0"/>
        </w:rPr>
        <w:t>.</w:t>
      </w:r>
    </w:p>
    <w:p w14:paraId="1376F3A8">
      <w:pPr>
        <w:pStyle w:val="15"/>
        <w:keepNext w:val="0"/>
        <w:keepLines w:val="0"/>
        <w:widowControl/>
        <w:suppressLineNumbers w:val="0"/>
        <w:bidi/>
        <w:spacing w:line="240" w:lineRule="auto"/>
        <w:jc w:val="left"/>
        <w:rPr>
          <w:rFonts w:hint="default" w:ascii="Simplified Arabic" w:hAnsi="Simplified Arabic" w:cs="Simplified Arabic"/>
        </w:rPr>
      </w:pPr>
      <w:r>
        <w:rPr>
          <w:rFonts w:hint="default" w:ascii="Simplified Arabic" w:hAnsi="Simplified Arabic" w:cs="Simplified Arabic"/>
          <w:rtl/>
          <w:cs/>
          <w:lang w:bidi="ar-SA"/>
        </w:rPr>
        <w:t>وتتضمن جودة الأعمال الإنشائية مجموعة من العناصر الأساسية مثل الالتزام بالمواصفات الفنية، واستخدام المواد المناسبة، وتطبيق أنظمة الرقابة على الجودة، إضافة إلى كفاءة الكوادر الفنية والهندسية المشاركة في تنفيذ المشروع</w:t>
      </w:r>
      <w:r>
        <w:rPr>
          <w:rFonts w:hint="default" w:ascii="Simplified Arabic" w:hAnsi="Simplified Arabic" w:cs="Simplified Arabic"/>
          <w:cs w:val="0"/>
        </w:rPr>
        <w:t xml:space="preserve">. </w:t>
      </w:r>
      <w:r>
        <w:rPr>
          <w:rFonts w:hint="default" w:ascii="Simplified Arabic" w:hAnsi="Simplified Arabic" w:cs="Simplified Arabic"/>
          <w:rtl/>
          <w:cs/>
          <w:lang w:bidi="ar-SA"/>
        </w:rPr>
        <w:t>كما تشمل جودة التنفيذ أيضًا مدى الالتزام بإجراءات الفحص والاختبار أثناء مراحل التنفيذ المختلفة، وذلك للتأكد من أن جميع الأنظمة والبنى التحتية قد تم تنفيذها وفق المعايير المطلوبة</w:t>
      </w:r>
      <w:r>
        <w:rPr>
          <w:rFonts w:hint="default" w:ascii="Simplified Arabic" w:hAnsi="Simplified Arabic" w:cs="Simplified Arabic"/>
          <w:cs w:val="0"/>
        </w:rPr>
        <w:t>.</w:t>
      </w:r>
    </w:p>
    <w:p w14:paraId="72BEC4AC">
      <w:pPr>
        <w:pStyle w:val="15"/>
        <w:keepNext w:val="0"/>
        <w:keepLines w:val="0"/>
        <w:widowControl/>
        <w:suppressLineNumbers w:val="0"/>
        <w:bidi/>
        <w:spacing w:line="240" w:lineRule="auto"/>
        <w:jc w:val="left"/>
        <w:rPr>
          <w:rFonts w:hint="default" w:ascii="Simplified Arabic" w:hAnsi="Simplified Arabic" w:cs="Simplified Arabic"/>
          <w:rtl/>
        </w:rPr>
      </w:pPr>
      <w:r>
        <w:rPr>
          <w:rFonts w:hint="default" w:ascii="Simplified Arabic" w:hAnsi="Simplified Arabic" w:cs="Simplified Arabic"/>
          <w:rtl/>
          <w:cs/>
          <w:lang w:bidi="ar-SA"/>
        </w:rPr>
        <w:t>وفي سياق المشاريع واسعة النطاق، تزداد أهمية جودة التنفيذ الإنشائي نظرًا لتعقيد هذه المشاريع وكثرة الأنظمة المتداخلة فيها، مثل الأنظمة الميكانيكية والكهربائية وأنظمة الطاقة والمياه والبنية التحتية المختلفة</w:t>
      </w:r>
      <w:r>
        <w:rPr>
          <w:rFonts w:hint="default" w:ascii="Simplified Arabic" w:hAnsi="Simplified Arabic" w:cs="Simplified Arabic"/>
          <w:cs w:val="0"/>
        </w:rPr>
        <w:t xml:space="preserve">. </w:t>
      </w:r>
      <w:r>
        <w:rPr>
          <w:rFonts w:hint="default" w:ascii="Simplified Arabic" w:hAnsi="Simplified Arabic" w:cs="Simplified Arabic"/>
          <w:rtl/>
          <w:cs/>
          <w:lang w:bidi="ar-SA"/>
        </w:rPr>
        <w:t>ولذلك فإن أي قصور في جودة التنفيذ قد يؤدي إلى ظهور مشكلات تشغيلية معقدة في مرحلة التشغيل، وهو ما ينعكس سلبًا على الأداء العام للمشروع وعلى كفاءة إدارة المرافق</w:t>
      </w:r>
      <w:r>
        <w:rPr>
          <w:rFonts w:hint="default" w:ascii="Simplified Arabic" w:hAnsi="Simplified Arabic" w:cs="Simplified Arabic"/>
          <w:cs w:val="0"/>
        </w:rPr>
        <w:t>.</w:t>
      </w:r>
    </w:p>
    <w:p w14:paraId="15F66DDE">
      <w:pPr>
        <w:pStyle w:val="4"/>
        <w:bidi/>
        <w:rPr>
          <w:rFonts w:hint="default"/>
          <w:rtl/>
          <w:cs/>
        </w:rPr>
      </w:pPr>
      <w:bookmarkStart w:id="36" w:name="_Toc25115"/>
      <w:r>
        <w:rPr>
          <w:rFonts w:hint="default"/>
          <w:rtl/>
          <w:cs/>
        </w:rPr>
        <w:t>مفهوم الاستدامة التشغيلية</w:t>
      </w:r>
      <w:bookmarkEnd w:id="36"/>
    </w:p>
    <w:p w14:paraId="6AD2FCB0">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يشير مفهوم الاستدامة التشغيلية إلى قدرة المرافق والمنشآت على الاستمرار في تقديم خدماتها بكفاءة عالية خلال مرحلة التشغيل مع تحقيق التوازن بين الجوانب الاقتصادية والبيئية والاجتماعية والتقنية</w:t>
      </w:r>
      <w:r>
        <w:rPr>
          <w:rFonts w:hint="default" w:ascii="Simplified Arabic" w:hAnsi="Simplified Arabic" w:cs="Simplified Arabic"/>
          <w:rtl/>
          <w:cs w:val="0"/>
        </w:rPr>
        <w:t xml:space="preserve">. </w:t>
      </w:r>
      <w:r>
        <w:rPr>
          <w:rFonts w:hint="default" w:ascii="Simplified Arabic" w:hAnsi="Simplified Arabic" w:cs="Simplified Arabic"/>
          <w:rtl/>
          <w:cs/>
        </w:rPr>
        <w:t>ويعد هذا المفهوم امتدادًا لمفهوم الاستدامة الذي يركز على تحقيق التنمية المستدامة من خلال الاستخدام الرشيد للموارد الطبيعية وتحقيق الكفاءة الاقتصادية والعدالة الاجتماعية</w:t>
      </w:r>
      <w:r>
        <w:rPr>
          <w:rFonts w:hint="default" w:ascii="Simplified Arabic" w:hAnsi="Simplified Arabic" w:cs="Simplified Arabic"/>
          <w:rtl/>
          <w:cs w:val="0"/>
        </w:rPr>
        <w:t>.</w:t>
      </w:r>
    </w:p>
    <w:p w14:paraId="5D87EEDE">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وفي مجال إدارة المرافق، ترتبط الاستدامة التشغيلية بقدرة الأنظمة التشغيلية على العمل بكفاءة عالية لفترات طويلة دون حدوث أعطال متكررة أو استهلاك مفرط للموارد</w:t>
      </w:r>
      <w:r>
        <w:rPr>
          <w:rFonts w:hint="default" w:ascii="Simplified Arabic" w:hAnsi="Simplified Arabic" w:cs="Simplified Arabic"/>
          <w:rtl/>
          <w:cs w:val="0"/>
        </w:rPr>
        <w:t xml:space="preserve">. </w:t>
      </w:r>
      <w:r>
        <w:rPr>
          <w:rFonts w:hint="default" w:ascii="Simplified Arabic" w:hAnsi="Simplified Arabic" w:cs="Simplified Arabic"/>
          <w:rtl/>
          <w:cs/>
        </w:rPr>
        <w:t>كما تشمل الاستدامة التشغيلية قدرة المنشآت على تقليل الآثار البيئية الناتجة عن تشغيلها، مثل استهلاك الطاقة والمياه وانبعاثات الكربون والنفايات</w:t>
      </w:r>
      <w:r>
        <w:rPr>
          <w:rFonts w:hint="default" w:ascii="Simplified Arabic" w:hAnsi="Simplified Arabic" w:cs="Simplified Arabic"/>
          <w:rtl/>
          <w:cs w:val="0"/>
        </w:rPr>
        <w:t>.</w:t>
      </w:r>
    </w:p>
    <w:p w14:paraId="018F4FF7">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وقد أصبحت الاستدامة التشغيلية أحد المفاهيم الأساسية في إدارة المشاريع الحديثة، خاصة في ظل التوجه العالمي نحو تطوير المدن الذكية والمباني المستدامة</w:t>
      </w:r>
      <w:r>
        <w:rPr>
          <w:rFonts w:hint="default" w:ascii="Simplified Arabic" w:hAnsi="Simplified Arabic" w:cs="Simplified Arabic"/>
          <w:rtl/>
          <w:cs w:val="0"/>
        </w:rPr>
        <w:t xml:space="preserve">. </w:t>
      </w:r>
      <w:r>
        <w:rPr>
          <w:rFonts w:hint="default" w:ascii="Simplified Arabic" w:hAnsi="Simplified Arabic" w:cs="Simplified Arabic"/>
          <w:rtl/>
          <w:cs/>
        </w:rPr>
        <w:t>حيث تسعى العديد من المؤسسات إلى تصميم وتنفيذ مشاريع قادرة على تحقيق مستويات عالية من الكفاءة التشغيلية مع تقليل التأثيرات البيئية والاقتصادية المرتبطة بتشغيل هذه المشاريع</w:t>
      </w:r>
      <w:r>
        <w:rPr>
          <w:rFonts w:hint="default" w:ascii="Simplified Arabic" w:hAnsi="Simplified Arabic" w:cs="Simplified Arabic"/>
          <w:rtl/>
          <w:cs w:val="0"/>
        </w:rPr>
        <w:t>.</w:t>
      </w:r>
    </w:p>
    <w:p w14:paraId="5714C7E9">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rPr>
        <w:t xml:space="preserve">كما أن الاستدامة التشغيلية ترتبط بشكل وثيق بمفهوم إدارة دورة حياة الأصول </w:t>
      </w:r>
      <w:r>
        <w:rPr>
          <w:rFonts w:hint="default" w:ascii="Simplified Arabic" w:hAnsi="Simplified Arabic" w:cs="Simplified Arabic"/>
          <w:rtl/>
          <w:cs w:val="0"/>
        </w:rPr>
        <w:t>(Asset Lifecycle Management)</w:t>
      </w:r>
      <w:r>
        <w:rPr>
          <w:rFonts w:hint="default" w:ascii="Simplified Arabic" w:hAnsi="Simplified Arabic" w:cs="Simplified Arabic"/>
          <w:rtl/>
          <w:cs/>
        </w:rPr>
        <w:t>، والذي يركز على تحقيق أفضل أداء ممكن للأصول خلال كامل دورة حياتها بدءًا من مرحلة التصميم والتنفيذ وصولًا إلى مرحلة التشغيل والصيانة</w:t>
      </w:r>
      <w:r>
        <w:rPr>
          <w:rFonts w:hint="default" w:ascii="Simplified Arabic" w:hAnsi="Simplified Arabic" w:cs="Simplified Arabic"/>
          <w:rtl/>
          <w:cs w:val="0"/>
        </w:rPr>
        <w:t xml:space="preserve">. </w:t>
      </w:r>
      <w:r>
        <w:rPr>
          <w:rFonts w:hint="default" w:ascii="Simplified Arabic" w:hAnsi="Simplified Arabic" w:cs="Simplified Arabic"/>
          <w:rtl/>
          <w:cs/>
        </w:rPr>
        <w:t>وفي هذا السياق، تلعب جودة التنفيذ الإنشائي دورًا مهمًا في دعم الاستدامة التشغيلية من خلال تقليل المشكلات الفنية والتشغيلية التي قد تظهر خلال مرحلة تشغيل المشروع</w:t>
      </w:r>
      <w:r>
        <w:rPr>
          <w:rFonts w:hint="default" w:ascii="Simplified Arabic" w:hAnsi="Simplified Arabic" w:cs="Simplified Arabic"/>
          <w:rtl/>
          <w:cs w:val="0"/>
        </w:rPr>
        <w:t>.</w:t>
      </w:r>
    </w:p>
    <w:p w14:paraId="4D6429C0">
      <w:pPr>
        <w:pStyle w:val="3"/>
        <w:bidi/>
        <w:rPr>
          <w:rFonts w:hint="default" w:ascii="Simplified Arabic" w:hAnsi="Simplified Arabic" w:cs="Simplified Arabic"/>
          <w:rtl/>
          <w:cs w:val="0"/>
          <w:lang w:val="en-US" w:bidi="ar-SA"/>
        </w:rPr>
      </w:pPr>
      <w:bookmarkStart w:id="37" w:name="_Toc12421"/>
      <w:r>
        <w:rPr>
          <w:rFonts w:hint="default"/>
          <w:rtl/>
          <w:cs w:val="0"/>
        </w:rPr>
        <w:t>ثانيا</w:t>
      </w:r>
      <w:r>
        <w:rPr>
          <w:rFonts w:hint="default"/>
          <w:rtl/>
          <w:cs w:val="0"/>
          <w:lang w:val="en-US"/>
        </w:rPr>
        <w:t>: الأبعاد</w:t>
      </w:r>
      <w:bookmarkEnd w:id="37"/>
    </w:p>
    <w:p w14:paraId="78FE5A85">
      <w:pPr>
        <w:pStyle w:val="4"/>
        <w:bidi/>
        <w:rPr>
          <w:rFonts w:hint="default"/>
          <w:rtl/>
          <w:cs/>
        </w:rPr>
      </w:pPr>
      <w:bookmarkStart w:id="38" w:name="_Toc18026"/>
      <w:r>
        <w:rPr>
          <w:rFonts w:hint="default"/>
          <w:rtl/>
          <w:cs/>
        </w:rPr>
        <w:t>البعد البيئي للاستدامة التشغيلية</w:t>
      </w:r>
      <w:bookmarkEnd w:id="38"/>
    </w:p>
    <w:p w14:paraId="3F2CAE8F">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يمثل البعد البيئي أحد أهم أبعاد الاستدامة التشغيلية، حيث يركز على تقليل الآثار البيئية الناتجة عن تشغيل المنشآت والمرافق</w:t>
      </w:r>
      <w:r>
        <w:rPr>
          <w:rFonts w:hint="default" w:ascii="Simplified Arabic" w:hAnsi="Simplified Arabic" w:cs="Simplified Arabic"/>
          <w:rtl/>
          <w:cs w:val="0"/>
        </w:rPr>
        <w:t xml:space="preserve">. </w:t>
      </w:r>
      <w:r>
        <w:rPr>
          <w:rFonts w:hint="default" w:ascii="Simplified Arabic" w:hAnsi="Simplified Arabic" w:cs="Simplified Arabic"/>
          <w:rtl/>
          <w:cs/>
        </w:rPr>
        <w:t>ويتضمن هذا البعد مجموعة من الممارسات التي تهدف إلى تحسين كفاءة استخدام الموارد الطبيعية مثل الطاقة والمياه، إضافة إلى تقليل الانبعاثات الكربونية والنفايات الناتجة عن العمليات التشغيلية</w:t>
      </w:r>
      <w:r>
        <w:rPr>
          <w:rFonts w:hint="default" w:ascii="Simplified Arabic" w:hAnsi="Simplified Arabic" w:cs="Simplified Arabic"/>
          <w:rtl/>
          <w:cs w:val="0"/>
        </w:rPr>
        <w:t>.</w:t>
      </w:r>
    </w:p>
    <w:p w14:paraId="2A61E725">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وتؤثر جودة التنفيذ الإنشائي بشكل مباشر على الأداء البيئي للمشاريع، حيث إن تنفيذ الأنظمة البيئية مثل أنظمة الطاقة وأنظمة العزل الحراري وأنظمة إدارة المياه بطريقة صحيحة يسهم في تحسين كفاءة استخدام الموارد خلال مرحلة التشغيل</w:t>
      </w:r>
      <w:r>
        <w:rPr>
          <w:rFonts w:hint="default" w:ascii="Simplified Arabic" w:hAnsi="Simplified Arabic" w:cs="Simplified Arabic"/>
          <w:rtl/>
          <w:cs w:val="0"/>
        </w:rPr>
        <w:t xml:space="preserve">. </w:t>
      </w:r>
      <w:r>
        <w:rPr>
          <w:rFonts w:hint="default" w:ascii="Simplified Arabic" w:hAnsi="Simplified Arabic" w:cs="Simplified Arabic"/>
          <w:rtl/>
          <w:cs/>
        </w:rPr>
        <w:t>فعلى سبيل المثال، يؤدي تنفيذ أنظمة العزل الحراري بجودة عالية إلى تقليل استهلاك الطاقة اللازمة لتبريد أو تدفئة المباني، مما يسهم في تقليل الانبعاثات الكربونية المرتبطة بتشغيل هذه المباني</w:t>
      </w:r>
      <w:r>
        <w:rPr>
          <w:rFonts w:hint="default" w:ascii="Simplified Arabic" w:hAnsi="Simplified Arabic" w:cs="Simplified Arabic"/>
          <w:rtl/>
          <w:cs w:val="0"/>
        </w:rPr>
        <w:t>.</w:t>
      </w:r>
    </w:p>
    <w:p w14:paraId="744039AE">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كما أن جودة تنفيذ شبكات المياه والبنية التحتية المرتبطة بها تلعب دورًا مهمًا في تقليل الهدر في الموارد المائية، وذلك من خلال تقليل احتمالية حدوث التسربات أو الأعطال في شبكات المياه</w:t>
      </w:r>
      <w:r>
        <w:rPr>
          <w:rFonts w:hint="default" w:ascii="Simplified Arabic" w:hAnsi="Simplified Arabic" w:cs="Simplified Arabic"/>
          <w:rtl/>
          <w:cs w:val="0"/>
        </w:rPr>
        <w:t xml:space="preserve">. </w:t>
      </w:r>
      <w:r>
        <w:rPr>
          <w:rFonts w:hint="default" w:ascii="Simplified Arabic" w:hAnsi="Simplified Arabic" w:cs="Simplified Arabic"/>
          <w:rtl/>
          <w:cs/>
        </w:rPr>
        <w:t>وتعد هذه المسألة ذات أهمية خاصة في المناطق التي تعاني من ندرة الموارد المائية</w:t>
      </w:r>
      <w:r>
        <w:rPr>
          <w:rFonts w:hint="default" w:ascii="Simplified Arabic" w:hAnsi="Simplified Arabic" w:cs="Simplified Arabic"/>
          <w:rtl/>
          <w:cs w:val="0"/>
        </w:rPr>
        <w:t>.</w:t>
      </w:r>
    </w:p>
    <w:p w14:paraId="56985053">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rPr>
        <w:t>إضافة إلى ذلك، تسهم جودة تنفيذ الأنظمة المرتبطة بإدارة النفايات في تحسين الأداء البيئي للمرافق، حيث يمكن أن يساعد التصميم والتنفيذ الجيد لهذه الأنظمة في تعزيز عمليات إعادة التدوير وتقليل كمية النفايات التي يتم التخلص منها في مكبات النفايات</w:t>
      </w:r>
      <w:r>
        <w:rPr>
          <w:rFonts w:hint="default" w:ascii="Simplified Arabic" w:hAnsi="Simplified Arabic" w:cs="Simplified Arabic"/>
          <w:rtl/>
          <w:cs w:val="0"/>
        </w:rPr>
        <w:t>.</w:t>
      </w:r>
    </w:p>
    <w:p w14:paraId="69F81C05">
      <w:pPr>
        <w:pStyle w:val="4"/>
        <w:bidi/>
        <w:rPr>
          <w:rFonts w:hint="default" w:ascii="Simplified Arabic" w:hAnsi="Simplified Arabic" w:cs="Simplified Arabic"/>
          <w:rtl/>
          <w:cs/>
        </w:rPr>
      </w:pPr>
      <w:r>
        <w:rPr>
          <w:rFonts w:hint="default"/>
          <w:rtl/>
          <w:cs w:val="0"/>
          <w:lang w:val="en-US"/>
        </w:rPr>
        <w:t xml:space="preserve"> </w:t>
      </w:r>
      <w:bookmarkStart w:id="39" w:name="_Toc13764"/>
      <w:r>
        <w:rPr>
          <w:rFonts w:hint="default"/>
          <w:rtl/>
          <w:cs/>
        </w:rPr>
        <w:t>البعد الاقتصادي للاستدامة التشغيلية</w:t>
      </w:r>
      <w:bookmarkEnd w:id="39"/>
    </w:p>
    <w:p w14:paraId="5F817727">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يركز البعد الاقتصادي للاستدامة التشغيلية على تحقيق الكفاءة الاقتصادية خلال مرحلة تشغيل المشروع، وذلك من خلال تقليل التكاليف التشغيلية وتحسين العائد الاقتصادي للأصول</w:t>
      </w:r>
      <w:r>
        <w:rPr>
          <w:rFonts w:hint="default" w:ascii="Simplified Arabic" w:hAnsi="Simplified Arabic" w:cs="Simplified Arabic"/>
          <w:rtl/>
          <w:cs w:val="0"/>
        </w:rPr>
        <w:t xml:space="preserve">. </w:t>
      </w:r>
      <w:r>
        <w:rPr>
          <w:rFonts w:hint="default" w:ascii="Simplified Arabic" w:hAnsi="Simplified Arabic" w:cs="Simplified Arabic"/>
          <w:rtl/>
          <w:cs/>
        </w:rPr>
        <w:t>ويعد هذا البعد أحد أهم الاعتبارات التي تسعى المؤسسات إلى تحقيقها عند تنفيذ المشاريع الكبرى، حيث يمكن أن تؤثر التكاليف التشغيلية بشكل كبير على الجدوى الاقتصادية للمشاريع</w:t>
      </w:r>
      <w:r>
        <w:rPr>
          <w:rFonts w:hint="default" w:ascii="Simplified Arabic" w:hAnsi="Simplified Arabic" w:cs="Simplified Arabic"/>
          <w:rtl/>
          <w:cs w:val="0"/>
        </w:rPr>
        <w:t>.</w:t>
      </w:r>
    </w:p>
    <w:p w14:paraId="48E544F5">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وتؤثر جودة الأعمال الإنشائية بشكل مباشر على التكاليف التشغيلية للمشاريع، حيث إن تنفيذ الأعمال الإنشائية وفق معايير جودة عالية يسهم في تقليل احتمالية حدوث الأعطال التشغيلية، مما يقلل من تكاليف الصيانة والإصلاح</w:t>
      </w:r>
      <w:r>
        <w:rPr>
          <w:rFonts w:hint="default" w:ascii="Simplified Arabic" w:hAnsi="Simplified Arabic" w:cs="Simplified Arabic"/>
          <w:rtl/>
          <w:cs w:val="0"/>
        </w:rPr>
        <w:t xml:space="preserve">. </w:t>
      </w:r>
      <w:r>
        <w:rPr>
          <w:rFonts w:hint="default" w:ascii="Simplified Arabic" w:hAnsi="Simplified Arabic" w:cs="Simplified Arabic"/>
          <w:rtl/>
          <w:cs/>
        </w:rPr>
        <w:t>كما أن جودة التنفيذ تسهم في تقليل الحاجة إلى إعادة العمل أو إجراء تعديلات على الأنظمة بعد تسليم المشروع</w:t>
      </w:r>
      <w:r>
        <w:rPr>
          <w:rFonts w:hint="default" w:ascii="Simplified Arabic" w:hAnsi="Simplified Arabic" w:cs="Simplified Arabic"/>
          <w:rtl/>
          <w:cs w:val="0"/>
        </w:rPr>
        <w:t>.</w:t>
      </w:r>
    </w:p>
    <w:p w14:paraId="241B7245">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 xml:space="preserve">كما يرتبط البعد الاقتصادي بمفهوم تكلفة دورة الحياة </w:t>
      </w:r>
      <w:r>
        <w:rPr>
          <w:rFonts w:hint="default" w:ascii="Simplified Arabic" w:hAnsi="Simplified Arabic" w:cs="Simplified Arabic"/>
          <w:rtl/>
          <w:cs w:val="0"/>
        </w:rPr>
        <w:t>(Life Cycle Cost)</w:t>
      </w:r>
      <w:r>
        <w:rPr>
          <w:rFonts w:hint="default" w:ascii="Simplified Arabic" w:hAnsi="Simplified Arabic" w:cs="Simplified Arabic"/>
          <w:rtl/>
          <w:cs/>
        </w:rPr>
        <w:t>، والذي يشير إلى إجمالي التكاليف المرتبطة بالمشروع خلال كامل دورة حياته</w:t>
      </w:r>
      <w:r>
        <w:rPr>
          <w:rFonts w:hint="default" w:ascii="Simplified Arabic" w:hAnsi="Simplified Arabic" w:cs="Simplified Arabic"/>
          <w:rtl/>
          <w:cs w:val="0"/>
        </w:rPr>
        <w:t xml:space="preserve">. </w:t>
      </w:r>
      <w:r>
        <w:rPr>
          <w:rFonts w:hint="default" w:ascii="Simplified Arabic" w:hAnsi="Simplified Arabic" w:cs="Simplified Arabic"/>
          <w:rtl/>
          <w:cs/>
        </w:rPr>
        <w:t>ويشمل ذلك تكاليف التصميم والتنفيذ إضافة إلى تكاليف التشغيل والصيانة</w:t>
      </w:r>
      <w:r>
        <w:rPr>
          <w:rFonts w:hint="default" w:ascii="Simplified Arabic" w:hAnsi="Simplified Arabic" w:cs="Simplified Arabic"/>
          <w:rtl/>
          <w:cs w:val="0"/>
        </w:rPr>
        <w:t xml:space="preserve">. </w:t>
      </w:r>
      <w:r>
        <w:rPr>
          <w:rFonts w:hint="default" w:ascii="Simplified Arabic" w:hAnsi="Simplified Arabic" w:cs="Simplified Arabic"/>
          <w:rtl/>
          <w:cs/>
        </w:rPr>
        <w:t>وقد أظهرت العديد من الدراسات أن الاستثمار في تحسين جودة التنفيذ الإنشائي يمكن أن يؤدي إلى تقليل التكاليف الإجمالية للمشروع على المدى الطويل</w:t>
      </w:r>
      <w:r>
        <w:rPr>
          <w:rFonts w:hint="default" w:ascii="Simplified Arabic" w:hAnsi="Simplified Arabic" w:cs="Simplified Arabic"/>
          <w:rtl/>
          <w:cs w:val="0"/>
        </w:rPr>
        <w:t>.</w:t>
      </w:r>
    </w:p>
    <w:p w14:paraId="56F4AB5F">
      <w:pPr>
        <w:pStyle w:val="4"/>
        <w:bidi/>
        <w:rPr>
          <w:rFonts w:hint="default" w:ascii="Simplified Arabic" w:hAnsi="Simplified Arabic" w:cs="Simplified Arabic"/>
          <w:rtl/>
          <w:cs/>
        </w:rPr>
      </w:pPr>
      <w:r>
        <w:rPr>
          <w:rFonts w:hint="default"/>
          <w:rtl/>
          <w:cs w:val="0"/>
        </w:rPr>
        <w:t xml:space="preserve"> </w:t>
      </w:r>
      <w:bookmarkStart w:id="40" w:name="_Toc30539"/>
      <w:r>
        <w:rPr>
          <w:rFonts w:hint="default"/>
          <w:rtl/>
          <w:cs/>
        </w:rPr>
        <w:t>البعد التقني للاستدامة التشغيلية</w:t>
      </w:r>
      <w:bookmarkEnd w:id="40"/>
    </w:p>
    <w:p w14:paraId="5CEFACA2">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يرتبط البعد التقني للاستدامة التشغيلية بمدى كفاءة الأنظمة التشغيلية للمرافق وقدرتها على العمل بشكل مستقر وموثوق خلال مرحلة التشغيل</w:t>
      </w:r>
      <w:r>
        <w:rPr>
          <w:rFonts w:hint="default" w:ascii="Simplified Arabic" w:hAnsi="Simplified Arabic" w:cs="Simplified Arabic"/>
          <w:rtl/>
          <w:cs w:val="0"/>
        </w:rPr>
        <w:t xml:space="preserve">. </w:t>
      </w:r>
      <w:r>
        <w:rPr>
          <w:rFonts w:hint="default" w:ascii="Simplified Arabic" w:hAnsi="Simplified Arabic" w:cs="Simplified Arabic"/>
          <w:rtl/>
          <w:cs/>
        </w:rPr>
        <w:t>وتشمل هذه الأنظمة مجموعة واسعة من المكونات مثل الأنظمة الميكانيكية والكهربائية وأنظمة التكييف والتهوية وأنظمة التحكم الذكية</w:t>
      </w:r>
      <w:r>
        <w:rPr>
          <w:rFonts w:hint="default" w:ascii="Simplified Arabic" w:hAnsi="Simplified Arabic" w:cs="Simplified Arabic"/>
          <w:rtl/>
          <w:cs w:val="0"/>
        </w:rPr>
        <w:t>.</w:t>
      </w:r>
    </w:p>
    <w:p w14:paraId="7CBB598B">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وتؤثر جودة التنفيذ الإنشائي بشكل كبير على الأداء التقني للمرافق، حيث إن أي أخطاء في تنفيذ الأنظمة التقنية قد تؤدي إلى حدوث أعطال متكررة أو انخفاض في كفاءة أداء هذه الأنظمة</w:t>
      </w:r>
      <w:r>
        <w:rPr>
          <w:rFonts w:hint="default" w:ascii="Simplified Arabic" w:hAnsi="Simplified Arabic" w:cs="Simplified Arabic"/>
          <w:rtl/>
          <w:cs w:val="0"/>
        </w:rPr>
        <w:t xml:space="preserve">. </w:t>
      </w:r>
      <w:r>
        <w:rPr>
          <w:rFonts w:hint="default" w:ascii="Simplified Arabic" w:hAnsi="Simplified Arabic" w:cs="Simplified Arabic"/>
          <w:rtl/>
          <w:cs/>
        </w:rPr>
        <w:t>كما أن جودة التنفيذ تؤثر على قدرة الأنظمة التشغيلية على العمل بكفاءة عالية لفترات طويلة دون الحاجة إلى أعمال صيانة متكررة</w:t>
      </w:r>
      <w:r>
        <w:rPr>
          <w:rFonts w:hint="default" w:ascii="Simplified Arabic" w:hAnsi="Simplified Arabic" w:cs="Simplified Arabic"/>
          <w:rtl/>
          <w:cs w:val="0"/>
        </w:rPr>
        <w:t>.</w:t>
      </w:r>
    </w:p>
    <w:p w14:paraId="7C55E520">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كما أن التوثيق الفني الجيد للأنظمة أثناء مرحلة التنفيذ يسهم في تسهيل عمليات التشغيل والصيانة لاحقًا، حيث يمكن لفرق إدارة المرافق الاعتماد على هذه الوثائق لفهم خصائص الأنظمة التشغيلية وطريقة عملها</w:t>
      </w:r>
      <w:r>
        <w:rPr>
          <w:rFonts w:hint="default" w:ascii="Simplified Arabic" w:hAnsi="Simplified Arabic" w:cs="Simplified Arabic"/>
          <w:rtl/>
          <w:cs w:val="0"/>
        </w:rPr>
        <w:t>.</w:t>
      </w:r>
    </w:p>
    <w:p w14:paraId="0682697F">
      <w:pPr>
        <w:bidi/>
        <w:spacing w:line="240" w:lineRule="auto"/>
        <w:jc w:val="left"/>
        <w:rPr>
          <w:rFonts w:hint="default" w:ascii="Simplified Arabic" w:hAnsi="Simplified Arabic" w:cs="Simplified Arabic"/>
          <w:rtl/>
        </w:rPr>
      </w:pPr>
      <w:r>
        <w:rPr>
          <w:rFonts w:hint="default" w:ascii="Simplified Arabic" w:hAnsi="Simplified Arabic" w:cs="Simplified Arabic"/>
          <w:rtl/>
        </w:rPr>
        <w:t>وبناءً على ذلك، يتمثل المتغير المستقل في هذه الدراسة في جودة الأعمال الإنشائية في مرحلة التنفيذ، بينما يتمثل المتغير التابع في أداء الاستدامة التشغيلية بأبعادها البيئية والاقتصادية والتقنية والاجتماعية.</w:t>
      </w:r>
    </w:p>
    <w:p w14:paraId="2DCC98CF">
      <w:pPr>
        <w:pStyle w:val="4"/>
        <w:bidi/>
        <w:rPr>
          <w:rFonts w:hint="default"/>
          <w:rtl/>
          <w:cs/>
        </w:rPr>
      </w:pPr>
      <w:bookmarkStart w:id="41" w:name="_Toc23526"/>
      <w:r>
        <w:rPr>
          <w:rFonts w:hint="default"/>
          <w:rtl/>
          <w:cs/>
        </w:rPr>
        <w:t>البعد الاجتماعي للاستدامة التشغيلية</w:t>
      </w:r>
      <w:bookmarkEnd w:id="41"/>
    </w:p>
    <w:p w14:paraId="57D592FD">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يشير البعد الاجتماعي للاستدامة التشغيلية إلى دور رأس المال البشري في تحقيق استدامة الأداء التشغيلي للمشاريع</w:t>
      </w:r>
      <w:r>
        <w:rPr>
          <w:rFonts w:hint="default" w:ascii="Simplified Arabic" w:hAnsi="Simplified Arabic" w:cs="Simplified Arabic"/>
          <w:rtl/>
          <w:cs w:val="0"/>
        </w:rPr>
        <w:t xml:space="preserve">. </w:t>
      </w:r>
      <w:r>
        <w:rPr>
          <w:rFonts w:hint="default" w:ascii="Simplified Arabic" w:hAnsi="Simplified Arabic" w:cs="Simplified Arabic"/>
          <w:rtl/>
          <w:cs/>
        </w:rPr>
        <w:t>ويشمل ذلك نقل المعرفة والخبرات بين الفرق المختلفة داخل المشروع، إضافة إلى تطوير مهارات العاملين وتعزيز التعاون بين فرق التنفيذ والتشغيل</w:t>
      </w:r>
      <w:r>
        <w:rPr>
          <w:rFonts w:hint="default" w:ascii="Simplified Arabic" w:hAnsi="Simplified Arabic" w:cs="Simplified Arabic"/>
          <w:rtl/>
          <w:cs w:val="0"/>
        </w:rPr>
        <w:t>.</w:t>
      </w:r>
    </w:p>
    <w:p w14:paraId="7BFE3B69">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وفي سياق المشاريع الإنشائية، يمتلك العاملون في مرحلة التنفيذ معرفة تفصيلية بالأنظمة والمرافق التي تم تنفيذها، وهو ما يجعل نقل هذه المعرفة إلى فرق التشغيل أمرًا بالغ الأهمية لضمان استمرارية الأداء التشغيلي للمشروع</w:t>
      </w:r>
      <w:r>
        <w:rPr>
          <w:rFonts w:hint="default" w:ascii="Simplified Arabic" w:hAnsi="Simplified Arabic" w:cs="Simplified Arabic"/>
          <w:rtl/>
          <w:cs w:val="0"/>
        </w:rPr>
        <w:t xml:space="preserve">. </w:t>
      </w:r>
      <w:r>
        <w:rPr>
          <w:rFonts w:hint="default" w:ascii="Simplified Arabic" w:hAnsi="Simplified Arabic" w:cs="Simplified Arabic"/>
          <w:rtl/>
          <w:cs/>
        </w:rPr>
        <w:t>ويساعد هذا النقل المعرفي في تقليل فجوة المعرفة بين مرحلتي التنفيذ والتشغيل، كما يسهم في تحسين كفاءة إدارة المرافق</w:t>
      </w:r>
      <w:r>
        <w:rPr>
          <w:rFonts w:hint="default" w:ascii="Simplified Arabic" w:hAnsi="Simplified Arabic" w:cs="Simplified Arabic"/>
          <w:rtl/>
          <w:cs w:val="0"/>
        </w:rPr>
        <w:t>.</w:t>
      </w:r>
    </w:p>
    <w:p w14:paraId="4BB95B2C">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rPr>
        <w:t>كما أن استمرار بعض الكوادر التي شاركت في تنفيذ المشروع في مرحلة التشغيل يمكن أن يسهم في تحسين فهم خصائص المرافق والأنظمة التشغيلية، مما يساعد في تقليل المشكلات التشغيلية وتحسين كفاءة عمليات الصيانة</w:t>
      </w:r>
      <w:r>
        <w:rPr>
          <w:rFonts w:hint="default" w:ascii="Simplified Arabic" w:hAnsi="Simplified Arabic" w:cs="Simplified Arabic"/>
          <w:rtl/>
          <w:cs w:val="0"/>
        </w:rPr>
        <w:t>.</w:t>
      </w:r>
    </w:p>
    <w:p w14:paraId="4CEE6802">
      <w:pPr>
        <w:pStyle w:val="3"/>
        <w:bidi/>
        <w:rPr>
          <w:rFonts w:hint="default" w:ascii="Simplified Arabic" w:hAnsi="Simplified Arabic" w:cs="Simplified Arabic"/>
          <w:rtl/>
          <w:cs w:val="0"/>
          <w:lang w:val="en-US" w:bidi="ar-SA"/>
        </w:rPr>
      </w:pPr>
      <w:bookmarkStart w:id="42" w:name="_Toc27316"/>
      <w:r>
        <w:rPr>
          <w:rFonts w:hint="default"/>
          <w:rtl/>
          <w:cs w:val="0"/>
        </w:rPr>
        <w:t>ثالثا</w:t>
      </w:r>
      <w:r>
        <w:rPr>
          <w:rFonts w:hint="default"/>
          <w:rtl/>
          <w:cs w:val="0"/>
          <w:lang w:val="en-US"/>
        </w:rPr>
        <w:t>: النظريات</w:t>
      </w:r>
      <w:bookmarkEnd w:id="42"/>
    </w:p>
    <w:p w14:paraId="1697D9D3">
      <w:pPr>
        <w:pStyle w:val="4"/>
        <w:bidi/>
        <w:rPr>
          <w:rFonts w:hint="default"/>
          <w:rtl/>
          <w:cs w:val="0"/>
          <w:lang w:val="en-US"/>
        </w:rPr>
      </w:pPr>
      <w:r>
        <w:rPr>
          <w:rFonts w:hint="default"/>
          <w:rtl/>
          <w:cs w:val="0"/>
        </w:rPr>
        <w:t xml:space="preserve"> </w:t>
      </w:r>
      <w:bookmarkStart w:id="43" w:name="_Toc8156"/>
      <w:r>
        <w:rPr>
          <w:rFonts w:hint="cs" w:cs="Simplified Arabic"/>
          <w:rtl/>
          <w:cs w:val="0"/>
          <w:lang w:bidi="ar-SA"/>
        </w:rPr>
        <w:t>ن</w:t>
      </w:r>
      <w:r>
        <w:rPr>
          <w:rFonts w:hint="default"/>
          <w:rtl/>
          <w:cs/>
        </w:rPr>
        <w:t>ظرية دورة حياة المشروع</w:t>
      </w:r>
      <w:bookmarkEnd w:id="43"/>
      <w:r>
        <w:rPr>
          <w:rFonts w:hint="default"/>
          <w:rtl/>
          <w:cs/>
        </w:rPr>
        <w:t xml:space="preserve"> </w:t>
      </w:r>
    </w:p>
    <w:p w14:paraId="1946D1EA">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تعد نظرية دورة حياة المشروع من أهم الأطر النظرية المستخدمة في مجال إدارة المشاريع، حيث تركز هذه النظرية على أن المشروع يمر بمجموعة من المراحل المتتابعة والمترابطة التي تبدأ من مرحلة التخطيط والتصميم، مرورًا بمرحلة التنفيذ، وصولًا إلى مرحلة التشغيل والصيانة</w:t>
      </w:r>
      <w:r>
        <w:rPr>
          <w:rFonts w:hint="default" w:ascii="Simplified Arabic" w:hAnsi="Simplified Arabic" w:cs="Simplified Arabic"/>
          <w:rtl/>
          <w:cs w:val="0"/>
        </w:rPr>
        <w:t xml:space="preserve">. </w:t>
      </w:r>
      <w:r>
        <w:rPr>
          <w:rFonts w:hint="default" w:ascii="Simplified Arabic" w:hAnsi="Simplified Arabic" w:cs="Simplified Arabic"/>
          <w:rtl/>
          <w:cs/>
        </w:rPr>
        <w:t>وتشير هذه النظرية إلى أن القرارات التي يتم اتخاذها في المراحل المبكرة من المشروع يمكن أن يكون لها تأثير كبير على أداء المشروع في المراحل اللاحقة، وخاصة خلال مرحلة التشغيل</w:t>
      </w:r>
      <w:r>
        <w:rPr>
          <w:rFonts w:hint="default" w:ascii="Simplified Arabic" w:hAnsi="Simplified Arabic" w:cs="Simplified Arabic"/>
          <w:rtl/>
          <w:cs w:val="0"/>
        </w:rPr>
        <w:t>.</w:t>
      </w:r>
    </w:p>
    <w:p w14:paraId="7095FA90">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وتتكون دورة حياة المشروع عادة من أربع مراحل رئيسية، وهي</w:t>
      </w:r>
      <w:r>
        <w:rPr>
          <w:rFonts w:hint="default" w:ascii="Simplified Arabic" w:hAnsi="Simplified Arabic" w:cs="Simplified Arabic"/>
          <w:rtl/>
          <w:cs w:val="0"/>
        </w:rPr>
        <w:t xml:space="preserve">: </w:t>
      </w:r>
      <w:r>
        <w:rPr>
          <w:rFonts w:hint="default" w:ascii="Simplified Arabic" w:hAnsi="Simplified Arabic" w:cs="Simplified Arabic"/>
          <w:rtl/>
          <w:cs/>
        </w:rPr>
        <w:t>مرحلة البدء أو التخطيط، ومرحلة التصميم، ومرحلة التنفيذ، ومرحلة التشغيل والصيانة</w:t>
      </w:r>
      <w:r>
        <w:rPr>
          <w:rFonts w:hint="default" w:ascii="Simplified Arabic" w:hAnsi="Simplified Arabic" w:cs="Simplified Arabic"/>
          <w:rtl/>
          <w:cs w:val="0"/>
        </w:rPr>
        <w:t xml:space="preserve">. </w:t>
      </w:r>
      <w:r>
        <w:rPr>
          <w:rFonts w:hint="default" w:ascii="Simplified Arabic" w:hAnsi="Simplified Arabic" w:cs="Simplified Arabic"/>
          <w:rtl/>
          <w:cs/>
        </w:rPr>
        <w:t>وتُعد مرحلة التنفيذ الإنشائي إحدى أهم مراحل دورة حياة المشروع، نظرًا لما لها من تأثير مباشر على جودة المشروع وعلى كفاءة أدائه خلال مرحلة التشغيل</w:t>
      </w:r>
      <w:r>
        <w:rPr>
          <w:rFonts w:hint="default" w:ascii="Simplified Arabic" w:hAnsi="Simplified Arabic" w:cs="Simplified Arabic"/>
          <w:rtl/>
          <w:cs w:val="0"/>
        </w:rPr>
        <w:t xml:space="preserve">. </w:t>
      </w:r>
      <w:r>
        <w:rPr>
          <w:rFonts w:hint="default" w:ascii="Simplified Arabic" w:hAnsi="Simplified Arabic" w:cs="Simplified Arabic"/>
          <w:rtl/>
          <w:cs/>
        </w:rPr>
        <w:t>ففي هذه المرحلة يتم تحويل التصاميم الهندسية إلى واقع فعلي من خلال تنفيذ الأعمال الإنشائية المختلفة، مثل أعمال البناء والبنية التحتية وتركيب الأنظمة الميكانيكية والكهربائية</w:t>
      </w:r>
      <w:r>
        <w:rPr>
          <w:rFonts w:hint="default" w:ascii="Simplified Arabic" w:hAnsi="Simplified Arabic" w:cs="Simplified Arabic"/>
          <w:rtl/>
          <w:cs w:val="0"/>
        </w:rPr>
        <w:t>.</w:t>
      </w:r>
    </w:p>
    <w:p w14:paraId="05A18FC6">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وتؤكد نظرية دورة حياة المشروع أن أي قصور في جودة التنفيذ خلال مرحلة الإنشاء قد يؤدي إلى ظهور مشكلات تشغيلية لاحقة، مثل زيادة الأعطال الفنية أو ارتفاع تكاليف الصيانة أو انخفاض كفاءة الأداء التشغيلي للمرافق</w:t>
      </w:r>
      <w:r>
        <w:rPr>
          <w:rFonts w:hint="default" w:ascii="Simplified Arabic" w:hAnsi="Simplified Arabic" w:cs="Simplified Arabic"/>
          <w:rtl/>
          <w:cs w:val="0"/>
        </w:rPr>
        <w:t xml:space="preserve">. </w:t>
      </w:r>
      <w:r>
        <w:rPr>
          <w:rFonts w:hint="default" w:ascii="Simplified Arabic" w:hAnsi="Simplified Arabic" w:cs="Simplified Arabic"/>
          <w:rtl/>
          <w:cs/>
        </w:rPr>
        <w:t>ولذلك فإن تحقيق مستويات عالية من الجودة في مرحلة التنفيذ يعد عنصرًا أساسيًا في ضمان نجاح المشروع خلال مراحله اللاحقة</w:t>
      </w:r>
      <w:r>
        <w:rPr>
          <w:rFonts w:hint="default" w:ascii="Simplified Arabic" w:hAnsi="Simplified Arabic" w:cs="Simplified Arabic"/>
          <w:rtl/>
          <w:cs w:val="0"/>
        </w:rPr>
        <w:t>.</w:t>
      </w:r>
    </w:p>
    <w:p w14:paraId="3D8F2D2C">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كما تشير هذه النظرية إلى أهمية تحقيق التكامل بين مختلف مراحل المشروع، بحيث يتم الأخذ في الاعتبار متطلبات التشغيل والصيانة أثناء مرحلة التصميم والتنفيذ</w:t>
      </w:r>
      <w:r>
        <w:rPr>
          <w:rFonts w:hint="default" w:ascii="Simplified Arabic" w:hAnsi="Simplified Arabic" w:cs="Simplified Arabic"/>
          <w:rtl/>
          <w:cs w:val="0"/>
        </w:rPr>
        <w:t xml:space="preserve">. </w:t>
      </w:r>
      <w:r>
        <w:rPr>
          <w:rFonts w:hint="default" w:ascii="Simplified Arabic" w:hAnsi="Simplified Arabic" w:cs="Simplified Arabic"/>
          <w:rtl/>
          <w:cs/>
        </w:rPr>
        <w:t>ويساعد هذا التكامل في تقليل الفجوة بين مرحلة التنفيذ ومرحلة التشغيل، كما يسهم في تحسين كفاءة إدارة المرافق خلال مرحلة التشغيل</w:t>
      </w:r>
      <w:r>
        <w:rPr>
          <w:rFonts w:hint="default" w:ascii="Simplified Arabic" w:hAnsi="Simplified Arabic" w:cs="Simplified Arabic"/>
          <w:rtl/>
          <w:cs w:val="0"/>
        </w:rPr>
        <w:t>.</w:t>
      </w:r>
    </w:p>
    <w:p w14:paraId="53F1878E">
      <w:pPr>
        <w:bidi/>
        <w:spacing w:line="240" w:lineRule="auto"/>
        <w:jc w:val="left"/>
        <w:rPr>
          <w:rFonts w:hint="default" w:ascii="Simplified Arabic" w:hAnsi="Simplified Arabic" w:cs="Simplified Arabic"/>
          <w:rtl/>
        </w:rPr>
      </w:pPr>
      <w:r>
        <w:rPr>
          <w:rFonts w:hint="default" w:ascii="Simplified Arabic" w:hAnsi="Simplified Arabic" w:cs="Simplified Arabic"/>
          <w:rtl/>
          <w:cs/>
        </w:rPr>
        <w:t>وفي سياق المشاريع واسعة النطاق، مثل مشاريع المدن الذكية أو مشاريع البنية التحتية الكبرى، تزداد أهمية تطبيق مفهوم دورة حياة المشروع، حيث إن هذه المشاريع تتميز بتعقيدها الكبير وتعدد الأنظمة المرتبطة بها</w:t>
      </w:r>
      <w:r>
        <w:rPr>
          <w:rFonts w:hint="default" w:ascii="Simplified Arabic" w:hAnsi="Simplified Arabic" w:cs="Simplified Arabic"/>
          <w:rtl/>
          <w:cs w:val="0"/>
        </w:rPr>
        <w:t xml:space="preserve">. </w:t>
      </w:r>
      <w:r>
        <w:rPr>
          <w:rFonts w:hint="default" w:ascii="Simplified Arabic" w:hAnsi="Simplified Arabic" w:cs="Simplified Arabic"/>
          <w:rtl/>
          <w:cs/>
        </w:rPr>
        <w:t>ولذلك فإن جودة التنفيذ الإنشائي في هذه المشاريع تلعب دورًا محوريًا في تحقيق الاستدامة التشغيلية للمرافق وضمان كفاءة أدائها على المدى الطويل</w:t>
      </w:r>
      <w:r>
        <w:rPr>
          <w:rFonts w:hint="default" w:ascii="Simplified Arabic" w:hAnsi="Simplified Arabic" w:cs="Simplified Arabic"/>
          <w:rtl/>
          <w:cs w:val="0"/>
        </w:rPr>
        <w:t>.</w:t>
      </w:r>
    </w:p>
    <w:p w14:paraId="4347672D">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rPr>
        <w:t>ومن هذا المنطلق، تستند هذه الدراسة إلى نظرية دورة حياة المشروع باعتبارها إطارًا نظريًا يفسر العلاقة بين جودة الأعمال الإنشائية في مرحلة التنفيذ وبين مستوى الاستدامة التشغيلية للمشاريع، حيث تفترض الدراسة أن تحسين جودة التنفيذ خلال مرحلة البناء يسهم في تعزيز كفاءة الأداء التشغيلي للمرافق في المراحل اللاحقة من دورة حياة المشروع</w:t>
      </w:r>
      <w:r>
        <w:rPr>
          <w:rFonts w:hint="default" w:ascii="Simplified Arabic" w:hAnsi="Simplified Arabic" w:cs="Simplified Arabic"/>
          <w:rtl/>
          <w:cs w:val="0"/>
        </w:rPr>
        <w:t>.</w:t>
      </w:r>
    </w:p>
    <w:p w14:paraId="21111368">
      <w:pPr>
        <w:pStyle w:val="4"/>
        <w:bidi/>
        <w:rPr>
          <w:rFonts w:hint="default" w:ascii="Simplified Arabic" w:hAnsi="Simplified Arabic" w:cs="Simplified Arabic"/>
          <w:rtl/>
          <w:cs w:val="0"/>
          <w:lang w:val="en-US" w:bidi="ar-SA"/>
        </w:rPr>
      </w:pPr>
      <w:r>
        <w:rPr>
          <w:rFonts w:hint="default"/>
          <w:rtl/>
          <w:cs w:val="0"/>
        </w:rPr>
        <w:t xml:space="preserve"> </w:t>
      </w:r>
      <w:bookmarkStart w:id="44" w:name="_Toc21851"/>
      <w:r>
        <w:rPr>
          <w:rFonts w:hint="default"/>
          <w:rtl/>
          <w:cs w:val="0"/>
        </w:rPr>
        <w:t>نظرية إدارة الأصول</w:t>
      </w:r>
      <w:bookmarkEnd w:id="44"/>
      <w:r>
        <w:rPr>
          <w:rFonts w:hint="default"/>
          <w:rtl/>
          <w:cs w:val="0"/>
          <w:lang w:val="en-US"/>
        </w:rPr>
        <w:t xml:space="preserve"> </w:t>
      </w:r>
    </w:p>
    <w:p w14:paraId="092341B9">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val="0"/>
        </w:rPr>
        <w:t>تُعد نظرية إدارة الأصول من الأطر المفاهيمية المهمة في مجال إدارة المشاريع والبنية التحتية، حيث تركز هذه النظرية على الإدارة الفعالة للأصول طوال دورة حياتها، بدءًا من مرحلة التخطيط والتصميم والتنفيذ وصولًا إلى مرحلة التشغيل والصيانة وحتى نهاية العمر الافتراضي للأصل. ويهدف هذا النهج إلى تحقيق أقصى قيمة ممكنة من الأصول مع تقليل التكاليف والمخاطر المرتبطة بإدارتها.</w:t>
      </w:r>
    </w:p>
    <w:p w14:paraId="3F48557F">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val="0"/>
        </w:rPr>
        <w:t>ويشير مفهوم إدارة الأصول إلى مجموعة من الممارسات الإدارية والفنية التي تهدف إلى تحسين أداء الأصول والبنية التحتية على المدى الطويل. وتشمل هذه الممارسات التخطيط الاستراتيجي للأصول، وتقييم حالة الأصول، وتحديد احتياجات الصيانة، إضافة إلى اتخاذ القرارات المتعلقة بالاستثمار في الأصول واستبدالها عند الحاجة.</w:t>
      </w:r>
    </w:p>
    <w:p w14:paraId="7FAB5487">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val="0"/>
        </w:rPr>
        <w:t>وتؤكد نظرية إدارة الأصول أن جودة التنفيذ في مرحلة إنشاء الأصول تمثل أحد العوامل الأساسية التي تؤثر في كفاءة هذه الأصول خلال مرحلة التشغيل. فعندما يتم تنفيذ الأعمال الإنشائية وفق معايير جودة عالية، فإن ذلك يسهم في تقليل احتمالية حدوث الأعطال التشغيلية، كما يطيل العمر الافتراضي للأصول ويقلل من تكاليف الصيانة والإصلاح.</w:t>
      </w:r>
    </w:p>
    <w:p w14:paraId="340BA792">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val="0"/>
        </w:rPr>
        <w:t>كما ترتبط إدارة الأصول ارتباطًا وثيقًا بمفهوم تكلفة دورة الحياة (Life Cycle Cost)، والذي يشير إلى أن القرارات التي يتم اتخاذها في المراحل المبكرة من المشروع، مثل اختيار المواد أو طرق التنفيذ، يمكن أن تؤثر بشكل كبير على التكاليف المستقبلية المرتبطة بتشغيل الأصول وصيانتها. ولذلك فإن الاستثمار في جودة التنفيذ الإنشائي قد يؤدي إلى تحقيق وفورات اقتصادية كبيرة على المدى الطويل.</w:t>
      </w:r>
    </w:p>
    <w:p w14:paraId="44AB2669">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val="0"/>
        </w:rPr>
        <w:t>وفي سياق المشاريع واسعة النطاق، مثل مشاريع البنية التحتية والمدن الذكية، تزداد أهمية تطبيق مبادئ إدارة الأصول نظرًا لتعقيد هذه المشاريع وارتفاع تكاليف تشغيلها وصيانتها. ولذلك فإن جودة التنفيذ الإنشائي تعد عنصرًا أساسيًا في دعم إدارة الأصول وتحقيق الاستدامة التشغيلية للمشاريع.</w:t>
      </w:r>
    </w:p>
    <w:p w14:paraId="0202963D">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val="0"/>
        </w:rPr>
        <w:t>وانطلاقًا من ذلك، يمكن القول إن نظرية إدارة الأصول تقدم إطارًا نظريًا مهمًا لفهم العلاقة بين جودة الأعمال الإنشائية وبين الأداء التشغيلي طويل الأمد للأصول، حيث تسهم جودة التنفيذ في تحسين كفاءة الأصول وتقليل التكاليف التشغيلية وتعزيز استدامة أدائها.</w:t>
      </w:r>
    </w:p>
    <w:p w14:paraId="5B7DA056">
      <w:pPr>
        <w:pStyle w:val="4"/>
        <w:bidi/>
        <w:rPr>
          <w:rFonts w:hint="default"/>
          <w:rtl/>
          <w:cs w:val="0"/>
          <w:lang w:val="en-US"/>
        </w:rPr>
      </w:pPr>
      <w:bookmarkStart w:id="45" w:name="_Toc2280"/>
      <w:r>
        <w:rPr>
          <w:rFonts w:hint="default"/>
          <w:rtl/>
          <w:cs w:val="0"/>
        </w:rPr>
        <w:t>نظرية إدارة المرافق</w:t>
      </w:r>
      <w:bookmarkEnd w:id="45"/>
      <w:r>
        <w:rPr>
          <w:rFonts w:hint="default"/>
          <w:rtl/>
          <w:cs w:val="0"/>
        </w:rPr>
        <w:t xml:space="preserve"> </w:t>
      </w:r>
    </w:p>
    <w:p w14:paraId="69350235">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val="0"/>
        </w:rPr>
        <w:t>تعد نظرية إدارة المرافق من المفاهيم الأساسية في مجال إدارة المباني والمنشآت الحديثة، حيث تركز هذه النظرية على إدارة وتشغيل المرافق بطريقة تضمن تحقيق أعلى مستوى من الكفاءة التشغيلية مع توفير بيئة عمل مناسبة للمستخدمين. وتشمل إدارة المرافق مجموعة واسعة من الأنشطة مثل تشغيل الأنظمة الفنية، وإدارة الصيانة، وإدارة الطاقة، إضافة إلى توفير الخدمات الداعمة للمباني والمنشآت.</w:t>
      </w:r>
    </w:p>
    <w:p w14:paraId="3D5664FE">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val="0"/>
        </w:rPr>
        <w:t>ويُعرّف مفهوم إدارة المرافق بأنه عملية تنسيق وإدارة الموارد المادية والبشرية داخل المنشآت بهدف ضمان التشغيل الفعّال للمرافق وتحقيق أهداف المؤسسة. وتشمل هذه العملية الإشراف على الأنظمة الميكانيكية والكهربائية، وإدارة أعمال الصيانة الوقائية والتصحيحية، إضافة إلى مراقبة أداء المباني وضمان استمرارية عملها بكفاءة.</w:t>
      </w:r>
    </w:p>
    <w:p w14:paraId="1C0AB0C7">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val="0"/>
        </w:rPr>
        <w:t>وتشير الأدبيات الحديثة في مجال إدارة المرافق إلى أن جودة التنفيذ الإنشائي تلعب دورًا مهمًا في تحديد مستوى كفاءة إدارة المرافق خلال مرحلة التشغيل. فعندما يتم تنفيذ الأنظمة الفنية والبنية التحتية بجودة عالية، فإن ذلك يسهم في تقليل الأعطال التشغيلية وتحسين موثوقية الأنظمة، مما يسهل على فرق إدارة المرافق القيام بمهامها بكفاءة أكبر.</w:t>
      </w:r>
    </w:p>
    <w:p w14:paraId="7B941C9F">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val="0"/>
        </w:rPr>
        <w:t>كما تؤكد نظرية إدارة المرافق على أهمية التكامل بين مرحلة التنفيذ ومرحلة التشغيل، حيث ينبغي أخذ متطلبات التشغيل والصيانة في الاعتبار أثناء مراحل التصميم والتنفيذ. ويساعد هذا التكامل في تقليل المشكلات التشغيلية التي قد تظهر بعد تسليم المشروع، كما يسهم في تحسين كفاءة إدارة المرافق.</w:t>
      </w:r>
    </w:p>
    <w:p w14:paraId="5B78DAE0">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val="0"/>
        </w:rPr>
        <w:t>ومن الجوانب المهمة التي تركز عليها نظرية إدارة المرافق أيضًا مسألة نقل المعرفة والخبرات بين فرق التنفيذ وفرق التشغيل، حيث يمتلك العاملون في مرحلة التنفيذ معرفة تفصيلية بالأنظمة التي تم تركيبها، وهو ما يجعل نقل هذه المعرفة إلى فرق التشغيل أمرًا ضروريًا لضمان التشغيل الفعال للمرافق.</w:t>
      </w:r>
    </w:p>
    <w:p w14:paraId="59F23306">
      <w:pPr>
        <w:bidi/>
        <w:spacing w:line="240" w:lineRule="auto"/>
        <w:jc w:val="left"/>
        <w:rPr>
          <w:rFonts w:hint="default" w:ascii="Simplified Arabic" w:hAnsi="Simplified Arabic" w:cs="Simplified Arabic"/>
          <w:rtl/>
          <w:cs w:val="0"/>
        </w:rPr>
      </w:pPr>
      <w:r>
        <w:rPr>
          <w:rFonts w:hint="default" w:ascii="Simplified Arabic" w:hAnsi="Simplified Arabic" w:cs="Simplified Arabic"/>
          <w:rtl/>
          <w:cs w:val="0"/>
        </w:rPr>
        <w:t>وفي ضوء ذلك، يمكن اعتبار إدارة المرافق أحد العوامل الأساسية التي تربط بين جودة التنفيذ الإنشائي وبين الأداء التشغيلي للمشاريع، حيث يسهم التنفيذ الجيد في تحسين كفاءة إدارة المرافق وتعزيز الاستدامة التشغيلية للمشاريع على المدى الطويل.</w:t>
      </w:r>
    </w:p>
    <w:p w14:paraId="779E885D">
      <w:pPr>
        <w:pStyle w:val="7"/>
        <w:bidi/>
        <w:rPr>
          <w:rFonts w:hint="default" w:ascii="Simplified Arabic" w:hAnsi="Simplified Arabic" w:cs="Simplified Arabic"/>
          <w:sz w:val="28"/>
          <w:szCs w:val="28"/>
          <w:u w:val="single"/>
          <w:rtl/>
        </w:rPr>
      </w:pPr>
      <w:r>
        <w:rPr>
          <w:rFonts w:hint="default"/>
          <w:rtl/>
        </w:rPr>
        <w:t>الفصل الثاني</w:t>
      </w:r>
      <w:r>
        <w:rPr>
          <w:rFonts w:hint="cs" w:cs="Simplified Arabic"/>
          <w:rtl/>
          <w:lang w:val="en-US" w:bidi="ar-SA"/>
        </w:rPr>
        <w:t xml:space="preserve">: </w:t>
      </w:r>
      <w:r>
        <w:rPr>
          <w:rFonts w:hint="default"/>
          <w:rtl/>
        </w:rPr>
        <w:t>الدراسات السابقة</w:t>
      </w:r>
    </w:p>
    <w:p w14:paraId="0CECD9E9">
      <w:pPr>
        <w:pStyle w:val="2"/>
        <w:bidi/>
        <w:rPr>
          <w:rFonts w:hint="default" w:cs="Simplified Arabic"/>
          <w:lang w:val="en-US" w:bidi="ar-SA"/>
        </w:rPr>
      </w:pPr>
      <w:bookmarkStart w:id="46" w:name="_Toc14681"/>
      <w:r>
        <w:rPr>
          <w:rFonts w:hint="default"/>
          <w:rtl/>
        </w:rPr>
        <w:t>مقدمة</w:t>
      </w:r>
      <w:r>
        <w:rPr>
          <w:rFonts w:hint="cs" w:cs="Simplified Arabic"/>
          <w:rtl/>
          <w:lang w:val="en-US" w:bidi="ar-SA"/>
        </w:rPr>
        <w:t xml:space="preserve"> الفصل الثاني</w:t>
      </w:r>
      <w:bookmarkEnd w:id="46"/>
    </w:p>
    <w:p w14:paraId="0B02AEA0">
      <w:pPr>
        <w:bidi/>
        <w:rPr>
          <w:rFonts w:hint="default"/>
          <w:rtl/>
          <w:lang w:val="en-US"/>
        </w:rPr>
      </w:pPr>
      <w:r>
        <w:rPr>
          <w:rFonts w:hint="default"/>
          <w:rtl/>
          <w:cs/>
          <w:lang w:val="en-US"/>
        </w:rPr>
        <w:t>تمثل الدراسات السابقة أحد الركائز الأساسية في البحث العلمي، حيث تسهم في بناء الإطار المعرفي للموضوع محل الدراسة، كما تساعد الباحث على التعرف على الجهود العلمية السابقة التي تناولت المفاهيم والمتغيرات المرتبطة بموضوع البحث</w:t>
      </w:r>
      <w:r>
        <w:rPr>
          <w:rFonts w:hint="default"/>
          <w:rtl/>
          <w:cs w:val="0"/>
          <w:lang w:val="en-US"/>
        </w:rPr>
        <w:t xml:space="preserve">. </w:t>
      </w:r>
      <w:r>
        <w:rPr>
          <w:rFonts w:hint="default"/>
          <w:rtl/>
          <w:cs/>
          <w:lang w:val="en-US"/>
        </w:rPr>
        <w:t>وتتيح مراجعة الدراسات السابقة للباحث فهم الاتجاهات البحثية المختلفة، وتحديد الأساليب والمنهجيات التي استخدمها الباحثون في معالجة المشكلات العلمية ذات الصلة</w:t>
      </w:r>
      <w:r>
        <w:rPr>
          <w:rFonts w:hint="default"/>
          <w:rtl/>
          <w:cs w:val="0"/>
          <w:lang w:val="en-US"/>
        </w:rPr>
        <w:t>.</w:t>
      </w:r>
    </w:p>
    <w:p w14:paraId="4BE63731">
      <w:pPr>
        <w:bidi/>
        <w:rPr>
          <w:rFonts w:hint="default"/>
          <w:rtl/>
          <w:lang w:val="en-US"/>
        </w:rPr>
      </w:pPr>
      <w:r>
        <w:rPr>
          <w:rFonts w:hint="default"/>
          <w:rtl/>
          <w:cs/>
          <w:lang w:val="en-US"/>
        </w:rPr>
        <w:t>كما تساعد الدراسات السابقة في إبراز الفجوات البحثية التي لم يتم تناولها بشكل كافٍ في الأدبيات العلمية، وهو ما يسهم في توجيه البحث الحالي نحو معالجة هذه الفجوات وتقديم إسهام علمي جديد في مجال الدراسة</w:t>
      </w:r>
      <w:r>
        <w:rPr>
          <w:rFonts w:hint="default"/>
          <w:rtl/>
          <w:cs w:val="0"/>
          <w:lang w:val="en-US"/>
        </w:rPr>
        <w:t xml:space="preserve">. </w:t>
      </w:r>
      <w:r>
        <w:rPr>
          <w:rFonts w:hint="default"/>
          <w:rtl/>
          <w:cs/>
          <w:lang w:val="en-US"/>
        </w:rPr>
        <w:t>إضافة إلى ذلك، فإن تحليل الدراسات السابقة يساعد في دعم الإطار النظري للدراسة وتفسير نتائجها في ضوء ما توصلت إليه الدراسات الأخرى</w:t>
      </w:r>
      <w:r>
        <w:rPr>
          <w:rFonts w:hint="default"/>
          <w:rtl/>
          <w:cs w:val="0"/>
          <w:lang w:val="en-US"/>
        </w:rPr>
        <w:t>.</w:t>
      </w:r>
    </w:p>
    <w:p w14:paraId="1679C0A5">
      <w:pPr>
        <w:bidi/>
        <w:rPr>
          <w:rFonts w:hint="default"/>
          <w:rtl/>
          <w:lang w:val="en-US"/>
        </w:rPr>
      </w:pPr>
      <w:r>
        <w:rPr>
          <w:rFonts w:hint="default"/>
          <w:rtl/>
          <w:cs/>
          <w:lang w:val="en-US"/>
        </w:rPr>
        <w:t>وفي سياق موضوع هذه الدراسة، فقد تناولت العديد من الدراسات العلاقة بين جودة تنفيذ الأعمال الإنشائية وأداء المشاريع، كما ركزت دراسات أخرى على مفهوم الاستدامة في المشاريع والبنية التحتية، إضافة إلى دور إدارة المرافق في تحسين كفاءة التشغيل للمباني والمنشآت</w:t>
      </w:r>
      <w:r>
        <w:rPr>
          <w:rFonts w:hint="default"/>
          <w:rtl/>
          <w:cs w:val="0"/>
          <w:lang w:val="en-US"/>
        </w:rPr>
        <w:t xml:space="preserve">. </w:t>
      </w:r>
      <w:r>
        <w:rPr>
          <w:rFonts w:hint="default"/>
          <w:rtl/>
          <w:cs/>
          <w:lang w:val="en-US"/>
        </w:rPr>
        <w:t>كما اهتمت بعض الدراسات بدراسة أثر نقل المعرفة والخبرات بين مراحل المشروع المختلفة في تحسين الأداء التشغيلي للمرافق</w:t>
      </w:r>
      <w:r>
        <w:rPr>
          <w:rFonts w:hint="default"/>
          <w:rtl/>
          <w:cs w:val="0"/>
          <w:lang w:val="en-US"/>
        </w:rPr>
        <w:t>.</w:t>
      </w:r>
    </w:p>
    <w:p w14:paraId="238BC456">
      <w:pPr>
        <w:bidi/>
        <w:rPr>
          <w:rFonts w:hint="default" w:ascii="Simplified Arabic" w:hAnsi="Simplified Arabic" w:cs="Simplified Arabic"/>
          <w:sz w:val="28"/>
          <w:szCs w:val="28"/>
          <w:u w:val="single"/>
          <w:rtl/>
        </w:rPr>
      </w:pPr>
      <w:r>
        <w:rPr>
          <w:rFonts w:hint="default"/>
          <w:rtl/>
          <w:cs/>
          <w:lang w:val="en-US"/>
        </w:rPr>
        <w:t>وبناءً على ذلك، يستعرض هذا الجزء مجموعة من الدراسات السابقة ذات الصلة بموضوع البحث، وذلك بهدف تحليل أبرز ما توصلت إليه هذه الدراسات من نتائج، وبيان أوجه التشابه والاختلاف بينها، تمهيدًا لتحديد الفجوة البحثية التي يسعى البحث الحالي إلى معالجتها</w:t>
      </w:r>
      <w:r>
        <w:rPr>
          <w:rFonts w:hint="default"/>
          <w:rtl/>
          <w:cs w:val="0"/>
          <w:lang w:val="en-US"/>
        </w:rPr>
        <w:t>.</w:t>
      </w:r>
    </w:p>
    <w:p w14:paraId="6F8A6CA3">
      <w:pPr>
        <w:pStyle w:val="2"/>
        <w:bidi/>
        <w:rPr>
          <w:rFonts w:hint="default"/>
        </w:rPr>
      </w:pPr>
      <w:bookmarkStart w:id="47" w:name="_Toc12589"/>
      <w:r>
        <w:rPr>
          <w:rFonts w:hint="default"/>
          <w:rtl/>
        </w:rPr>
        <w:t>الدراسات السابقة</w:t>
      </w:r>
      <w:bookmarkEnd w:id="47"/>
    </w:p>
    <w:p w14:paraId="21DE6DC0">
      <w:pPr>
        <w:pStyle w:val="3"/>
        <w:numPr>
          <w:ilvl w:val="0"/>
          <w:numId w:val="9"/>
        </w:numPr>
        <w:bidi/>
        <w:outlineLvl w:val="0"/>
        <w:rPr>
          <w:rFonts w:hint="default"/>
        </w:rPr>
      </w:pPr>
      <w:bookmarkStart w:id="48" w:name="_Toc12008"/>
      <w:r>
        <w:rPr>
          <w:rFonts w:hint="default"/>
          <w:rtl/>
        </w:rPr>
        <w:t xml:space="preserve">دراسة </w:t>
      </w:r>
      <w:r>
        <w:rPr>
          <w:rFonts w:hint="default"/>
          <w:lang w:val="en-US"/>
        </w:rPr>
        <w:t>Naseem &amp; Abbas (2022)</w:t>
      </w:r>
      <w:r>
        <w:rPr>
          <w:rFonts w:hint="default"/>
          <w:rtl/>
          <w:lang w:val="en-US"/>
        </w:rPr>
        <w:t>:</w:t>
      </w:r>
      <w:bookmarkEnd w:id="48"/>
    </w:p>
    <w:p w14:paraId="2618F9F8">
      <w:pPr>
        <w:bidi/>
        <w:rPr>
          <w:rFonts w:hint="default"/>
        </w:rPr>
      </w:pPr>
      <w:r>
        <w:rPr>
          <w:rFonts w:hint="default"/>
          <w:rtl/>
          <w:lang w:val="en-US"/>
        </w:rPr>
        <w:t xml:space="preserve"> تناولت هذه الدراسة </w:t>
      </w:r>
      <w:r>
        <w:rPr>
          <w:rFonts w:hint="default"/>
          <w:rtl/>
        </w:rPr>
        <w:t>أثر نقل المعرفة</w:t>
      </w:r>
      <w:r>
        <w:rPr>
          <w:rFonts w:hint="default"/>
        </w:rPr>
        <w:t xml:space="preserve"> (Knowledge Transfer) </w:t>
      </w:r>
      <w:r>
        <w:rPr>
          <w:rFonts w:hint="default"/>
          <w:rtl/>
        </w:rPr>
        <w:t>واستيعاب المعرفة</w:t>
      </w:r>
      <w:r>
        <w:rPr>
          <w:rFonts w:hint="default"/>
        </w:rPr>
        <w:t xml:space="preserve"> (Knowledge Assimilation) </w:t>
      </w:r>
      <w:r>
        <w:rPr>
          <w:rFonts w:hint="default"/>
          <w:rtl/>
        </w:rPr>
        <w:t>على أداء المشاريع</w:t>
      </w:r>
      <w:r>
        <w:rPr>
          <w:rFonts w:hint="default"/>
        </w:rPr>
        <w:t xml:space="preserve"> (Project Performance) </w:t>
      </w:r>
      <w:r>
        <w:rPr>
          <w:rFonts w:hint="default"/>
          <w:rtl/>
        </w:rPr>
        <w:t>في منظمات قائمة على المشاريع في باكستان. اعتمدت الدراسة على المنهج الكمي غير التجريبي، وجمعت بيانات من 151 مدير مشروع باستخدام نمذجة المعادلات الهيكلية</w:t>
      </w:r>
      <w:r>
        <w:rPr>
          <w:rFonts w:hint="default"/>
        </w:rPr>
        <w:t xml:space="preserve"> (SEM) </w:t>
      </w:r>
      <w:r>
        <w:rPr>
          <w:rFonts w:hint="default"/>
          <w:rtl/>
        </w:rPr>
        <w:t>لاختبار العلاقات بين المتغيرات</w:t>
      </w:r>
      <w:r>
        <w:rPr>
          <w:rFonts w:hint="default"/>
        </w:rPr>
        <w:t>.</w:t>
      </w:r>
    </w:p>
    <w:p w14:paraId="0CE74D03">
      <w:pPr>
        <w:bidi/>
        <w:rPr>
          <w:rFonts w:hint="default"/>
          <w:rtl/>
        </w:rPr>
      </w:pPr>
      <w:r>
        <w:rPr>
          <w:rFonts w:hint="default"/>
          <w:rtl/>
        </w:rPr>
        <w:t>تميزت الدراسة بإدخال استيعاب المعرفة كمتغير وسيط بين نقل المعرفة وأداء المشروع، وهو جانب اعتبرته فجوة في الأدبيات السابقة، خاصة في أعمال</w:t>
      </w:r>
      <w:r>
        <w:rPr>
          <w:rFonts w:hint="default"/>
        </w:rPr>
        <w:t xml:space="preserve"> Landaeta (2008). </w:t>
      </w:r>
      <w:r>
        <w:rPr>
          <w:rFonts w:hint="default"/>
          <w:rtl/>
        </w:rPr>
        <w:t>النتائج أظهرت أن بعض أساليب نقل المعرفة — خصوصًا الأساليب التقنية الرسمية</w:t>
      </w:r>
      <w:r>
        <w:rPr>
          <w:rFonts w:hint="default"/>
        </w:rPr>
        <w:t xml:space="preserve"> (Technology-Formal) </w:t>
      </w:r>
      <w:r>
        <w:rPr>
          <w:rFonts w:hint="default"/>
          <w:rtl/>
        </w:rPr>
        <w:t>مثل البريد الإلكتروني والاجتماعات الافتراضية — كان لها تأثير معنوي، بينما لم تثبت بقية أنماط النقل (البشري الرسمي أو غير الرسمي) دلالة قوية على الأداء. كما لم تجد الدراسة دعماً كافياً للدور الوسيط الكامل لاستيعاب المعرفة كما افترضت</w:t>
      </w:r>
      <w:r>
        <w:rPr>
          <w:rFonts w:hint="default"/>
        </w:rPr>
        <w:t>.</w:t>
      </w:r>
    </w:p>
    <w:p w14:paraId="37CCA170">
      <w:pPr>
        <w:bidi/>
        <w:rPr>
          <w:rFonts w:hint="default" w:ascii="Simplified Arabic" w:hAnsi="Simplified Arabic" w:cs="Simplified Arabic"/>
          <w:rtl/>
        </w:rPr>
      </w:pPr>
      <w:r>
        <w:rPr>
          <w:rFonts w:hint="default"/>
          <w:rtl/>
        </w:rPr>
        <w:t>الدراسة تسهم نظريًا في تعزيز منظور القدرات الديناميكية ونظرية المعرفة كأساس لتحقيق الأداء، إلا أنها بقيت في إطار “الأداء المرحلي للمشروع” دون التوسع نحو الأثر طويل الأمد بعد انتهاء المشروع</w:t>
      </w:r>
      <w:r>
        <w:rPr>
          <w:rFonts w:hint="default"/>
        </w:rPr>
        <w:t>.</w:t>
      </w:r>
    </w:p>
    <w:p w14:paraId="75487AE6">
      <w:pPr>
        <w:pStyle w:val="3"/>
        <w:numPr>
          <w:ilvl w:val="0"/>
          <w:numId w:val="9"/>
        </w:numPr>
        <w:bidi/>
        <w:outlineLvl w:val="0"/>
        <w:rPr>
          <w:rStyle w:val="16"/>
          <w:rFonts w:hint="default" w:ascii="Simplified Arabic" w:hAnsi="Simplified Arabic" w:cs="Simplified Arabic"/>
          <w:b/>
          <w:bCs/>
          <w:rtl/>
        </w:rPr>
      </w:pPr>
      <w:bookmarkStart w:id="49" w:name="_Toc17412"/>
      <w:r>
        <w:rPr>
          <w:rFonts w:hint="default"/>
          <w:rtl/>
        </w:rPr>
        <w:t xml:space="preserve">دراسة </w:t>
      </w:r>
      <w:r>
        <w:rPr>
          <w:rFonts w:hint="default"/>
        </w:rPr>
        <w:t>Alnsour et al. (2023)</w:t>
      </w:r>
      <w:r>
        <w:rPr>
          <w:rFonts w:hint="default"/>
          <w:rtl/>
        </w:rPr>
        <w:t>:</w:t>
      </w:r>
      <w:bookmarkEnd w:id="49"/>
    </w:p>
    <w:p w14:paraId="0EABB5B0">
      <w:pPr>
        <w:bidi/>
        <w:rPr>
          <w:rFonts w:hint="default"/>
          <w:rtl/>
        </w:rPr>
      </w:pPr>
      <w:r>
        <w:rPr>
          <w:rFonts w:hint="default"/>
          <w:rtl/>
        </w:rPr>
        <w:t xml:space="preserve"> وفي هذه الدراسة تم تطوير نموذج متكامل لمؤشرات تقييم أداء المقاولين من منظور الاستدامة خلال مرحلة التنفيذ في مشاريع البناء بالأردن، انطلاقًا من ملاحظة أن كثيرًا من المشاريع المصممة وفق معايير مستدامة قد لا تحقق أهدافها عند الانتقال إلى مرحلة التنفيذ نتيجة ضعف الممارسات التطبيقية. وانطلقت الدراسة من فرضية أن المقاول يمثل الحلقة الأكثر تأثيرًا في ترجمة مبادئ الاستدامة من مستوى التخطيط النظري إلى التطبيق العملي، الأمر الذي يستدعي وجود إطار قياس دقيق يحدد مستوى التزامه بالأبعاد البيئية والاجتماعية والاقتصادية</w:t>
      </w:r>
      <w:r>
        <w:rPr>
          <w:rFonts w:hint="default"/>
        </w:rPr>
        <w:t>.</w:t>
      </w:r>
    </w:p>
    <w:p w14:paraId="6ED96F7D">
      <w:pPr>
        <w:bidi/>
        <w:rPr>
          <w:rFonts w:hint="default"/>
          <w:rtl/>
        </w:rPr>
      </w:pPr>
      <w:r>
        <w:rPr>
          <w:rFonts w:hint="default"/>
          <w:rtl/>
        </w:rPr>
        <w:t>اعتمدت الدراسة منهجية متعددة المراحل شملت مراجعة أدبيات واسعة، وتصميم استبانة وزعت على 300 مختص في قطاع البناء، تم تحليل 106 استجابات صالحة منها باستخدام الأساليب الإحصائية، إضافة إلى إجراء مقابلات شبه منظمة مع ثمانية خبراء في مجال الاستدامة وإدارة المشاريع. وأسفرت النتائج عن تطوير نموذج يضم 78 مؤشرًا موزعة على خمسة أبعاد رئيسية: البيئي، الاجتماعي، الاقتصادي، التصنيع الرشيق</w:t>
      </w:r>
      <w:r>
        <w:rPr>
          <w:rFonts w:hint="default"/>
        </w:rPr>
        <w:t xml:space="preserve"> (Lean)</w:t>
      </w:r>
      <w:r>
        <w:rPr>
          <w:rFonts w:hint="default"/>
          <w:rtl/>
        </w:rPr>
        <w:t>، والثقافي، مع منح البعد البيئي الوزن الأعلى (39%)، يليه الاجتماعي (24%) ثم الاقتصادي</w:t>
      </w:r>
      <w:r>
        <w:rPr>
          <w:rFonts w:hint="default"/>
        </w:rPr>
        <w:t xml:space="preserve"> (19%)</w:t>
      </w:r>
      <w:r>
        <w:rPr>
          <w:rFonts w:hint="default"/>
          <w:rtl/>
        </w:rPr>
        <w:t>. كما تم اعتماد نظام نقاط إجمالي (332 درجة) يسمح بتصنيف أداء المقاولين خلال مرحلة التنفيذ</w:t>
      </w:r>
      <w:r>
        <w:rPr>
          <w:rFonts w:hint="default"/>
        </w:rPr>
        <w:t>.</w:t>
      </w:r>
    </w:p>
    <w:p w14:paraId="395CC862">
      <w:pPr>
        <w:bidi/>
        <w:rPr>
          <w:rFonts w:hint="default"/>
          <w:rtl/>
        </w:rPr>
      </w:pPr>
      <w:r>
        <w:rPr>
          <w:rFonts w:hint="default"/>
          <w:rtl/>
        </w:rPr>
        <w:t>وتكمن أهمية هذه الدراسة في تحويل مفهوم الاستدامة إلى أداة تقييم كمية قابلة للتطبيق العملي، وربطها بنظام ترجيح يعكس أولويات السياق المحلي، خاصة في ما يتعلق بحماية الموارد الطبيعية والالتزام بالمسؤولية البيئية. كما أن إدراج بعدي الثقافة وحقوق الإنسان يعكس إدراكًا لأهمية السياق المجتمعي في تحقيق التنمية المستدامة</w:t>
      </w:r>
      <w:r>
        <w:rPr>
          <w:rFonts w:hint="default"/>
        </w:rPr>
        <w:t>.</w:t>
      </w:r>
    </w:p>
    <w:p w14:paraId="48F06B2C">
      <w:pPr>
        <w:bidi/>
        <w:rPr>
          <w:rFonts w:hint="default"/>
          <w:rtl/>
        </w:rPr>
      </w:pPr>
    </w:p>
    <w:p w14:paraId="044A174A">
      <w:pPr>
        <w:bidi/>
        <w:rPr>
          <w:rFonts w:hint="default"/>
          <w:rtl/>
        </w:rPr>
      </w:pPr>
      <w:r>
        <w:rPr>
          <w:rFonts w:hint="default"/>
          <w:rtl/>
        </w:rPr>
        <w:t>ومع ذلك، فإن تركيز النموذج على مرحلة التنفيذ يضع الاستدامة في إطارها المرحلي، بحيث يُقاس الأداء أثناء الإنشاء دون تتبع انعكاس تلك الممارسات على كفاءة التشغيل طويل الأمد بعد تسليم المشروع. كما أن عملية القياس اعتمدت بشكل أساسي على تقييمات خبراء وآراء مختصين، الأمر الذي يجعل النتائج مرتبطة بتقديرات إدراكية أكثر من ارتباطها ببيانات تشغيل فعلية أو مؤشرات أداء ممتدة عبر دورة حياة المشروع. ويظهر من ذلك أن العلاقة بين جودة التنفيذ والاستدامة التشغيلية اللاحقة لا تزال بحاجة إلى معالجة تحليلية أعمق، خاصة في المشاريع واسعة النطاق التي تتسم بتعقيد استثماري وتشغيلي مرتفع</w:t>
      </w:r>
      <w:r>
        <w:rPr>
          <w:rFonts w:hint="default"/>
        </w:rPr>
        <w:t>.</w:t>
      </w:r>
    </w:p>
    <w:p w14:paraId="3F964F07">
      <w:pPr>
        <w:bidi/>
        <w:rPr>
          <w:rFonts w:hint="default" w:ascii="Simplified Arabic" w:hAnsi="Simplified Arabic" w:cs="Simplified Arabic"/>
          <w:b/>
          <w:bCs/>
          <w:sz w:val="22"/>
          <w:rtl/>
        </w:rPr>
      </w:pPr>
      <w:r>
        <w:rPr>
          <w:rFonts w:hint="default"/>
          <w:rtl/>
        </w:rPr>
        <w:t>وفي هذا السياق، يتقاطع بحث الدراسة الحالية مع ما قدمته هذه الدراسة من حيث الاهتمام بجودة التنفيذ، إلا أنه يتجه نحو توسيع نطاق التحليل ليشمل أثر جودة الأعمال الإنشائية على الاستدامة التشغيلية طويلة المدى، بما في ذلك كفاءة إدارة المرافق، وخفض تكلفة دورة الحياة، وتعزيز موثوقية الأصول التشغيلية. وبذلك ينتقل النقاش من تقييم الأداء أثناء مرحلة الإنشاء إلى تحليل القيمة المستدامة المتحققة بعد التشغيل، وهو بعد استراتيجي يعزز فهم التكامل بين مرحلتي التنفيذ والتشغيل في المشاريع الكبرى</w:t>
      </w:r>
      <w:r>
        <w:rPr>
          <w:rFonts w:hint="default"/>
        </w:rPr>
        <w:t>.</w:t>
      </w:r>
    </w:p>
    <w:p w14:paraId="3423476A">
      <w:pPr>
        <w:pStyle w:val="3"/>
        <w:numPr>
          <w:ilvl w:val="0"/>
          <w:numId w:val="9"/>
        </w:numPr>
        <w:bidi/>
        <w:outlineLvl w:val="0"/>
        <w:rPr>
          <w:rFonts w:hint="default" w:ascii="Simplified Arabic" w:hAnsi="Simplified Arabic" w:cs="Simplified Arabic"/>
          <w:b/>
          <w:bCs/>
          <w:rtl/>
        </w:rPr>
      </w:pPr>
      <w:bookmarkStart w:id="50" w:name="_Toc24573"/>
      <w:r>
        <w:rPr>
          <w:rFonts w:hint="default"/>
          <w:rtl/>
        </w:rPr>
        <w:t xml:space="preserve">دراسة </w:t>
      </w:r>
      <w:r>
        <w:rPr>
          <w:rFonts w:hint="default"/>
        </w:rPr>
        <w:t>Beste (2023)</w:t>
      </w:r>
      <w:r>
        <w:rPr>
          <w:rFonts w:hint="default"/>
          <w:rtl/>
        </w:rPr>
        <w:t>:</w:t>
      </w:r>
      <w:bookmarkEnd w:id="50"/>
      <w:r>
        <w:rPr>
          <w:rFonts w:hint="default"/>
          <w:rtl/>
        </w:rPr>
        <w:t xml:space="preserve"> </w:t>
      </w:r>
    </w:p>
    <w:p w14:paraId="3A0444AA">
      <w:pPr>
        <w:rPr>
          <w:rFonts w:hint="default"/>
          <w:rtl/>
        </w:rPr>
      </w:pPr>
    </w:p>
    <w:p w14:paraId="7DDB4289">
      <w:pPr>
        <w:bidi/>
        <w:rPr>
          <w:rFonts w:hint="default"/>
          <w:rtl/>
        </w:rPr>
      </w:pPr>
      <w:r>
        <w:rPr>
          <w:rFonts w:hint="default"/>
          <w:rtl/>
        </w:rPr>
        <w:t>وهنا تم استخدام ستخدام أسلوب “التعلم المصغر” (</w:t>
      </w:r>
      <w:r>
        <w:rPr>
          <w:rFonts w:hint="default"/>
        </w:rPr>
        <w:t>Microlearning</w:t>
      </w:r>
      <w:r>
        <w:rPr>
          <w:rFonts w:hint="default"/>
          <w:rtl/>
        </w:rPr>
        <w:t>) في تعزيز نقل المعرفة داخل منظمة قائمة على المشاريع، وذلك في سياق مؤسسة حكومية نرويجية تعمل في إدارة وتنفيذ مشاريع البناء العامة. انطلقت الدراسة من إشكالية مركزية تتمثل في ضعف انتقال الخبرات بين الفرق المشروعـية، مما يؤدي إلى تكرار الأخطاء وارتفاع التكاليف، خاصة في ظل الطبيعة المؤقتة للمشاريع وضغط الوقت الذي يحد من فرص التعلم المؤسسي المنهجي.</w:t>
      </w:r>
    </w:p>
    <w:p w14:paraId="1D35F7F0">
      <w:pPr>
        <w:bidi/>
        <w:rPr>
          <w:rFonts w:hint="default"/>
          <w:rtl/>
        </w:rPr>
      </w:pPr>
      <w:r>
        <w:rPr>
          <w:rFonts w:hint="default"/>
          <w:rtl/>
        </w:rPr>
        <w:t>اعتمدت الدراسة منهجية بحث إجرائي</w:t>
      </w:r>
      <w:r>
        <w:rPr>
          <w:rFonts w:hint="default"/>
        </w:rPr>
        <w:t xml:space="preserve"> (Action Research) </w:t>
      </w:r>
      <w:r>
        <w:rPr>
          <w:rFonts w:hint="default"/>
          <w:rtl/>
        </w:rPr>
        <w:t>امتدت على مدار مشروع استراتيجي لتحسين الكفاءة التكلفية، حيث تم تصميم سلسلة من سبع وحدات تعليمية قصيرة تركز على مفاهيم خفض التكاليف وتحسين الكفاءة في المشاريع الإنشائية، ووزعت على 334 موظفًا يعملون في إدارات متعددة مرتبطة بالمشاريع. وقد تراوحت نسبة المشاركة بين 75% في الدرس الأول و47% في الدرس السابع، مع معدل إكمال مرتفع لمن بدأوا الوحدات التعليمية. وأظهرت نتائج الاستبيانات المدمجة في بداية ونهاية السلسلة تحسنًا ذا دلالة إحصائية في الإدراك الذاتي لمستوى المعرفة بالكفاءة التكلفية، إضافة إلى تحسن طفيف في تقييم الأنظمة المؤسسية الداعمة لذلك</w:t>
      </w:r>
      <w:r>
        <w:rPr>
          <w:rFonts w:hint="default"/>
        </w:rPr>
        <w:t>.</w:t>
      </w:r>
    </w:p>
    <w:p w14:paraId="5FA7E169">
      <w:pPr>
        <w:bidi/>
        <w:rPr>
          <w:rFonts w:hint="default"/>
          <w:rtl/>
        </w:rPr>
      </w:pPr>
      <w:r>
        <w:rPr>
          <w:rFonts w:hint="default"/>
          <w:rtl/>
        </w:rPr>
        <w:t>تكتسب الدراسة أهميتها من كونها تربط بين إدارة المعرفة والأداء الاقتصادي للمشاريع، وتقدم نموذجًا عمليًا لتحويل المعرفة الضمنية (</w:t>
      </w:r>
      <w:r>
        <w:rPr>
          <w:rFonts w:hint="default"/>
        </w:rPr>
        <w:t>Tacit Knowledge</w:t>
      </w:r>
      <w:r>
        <w:rPr>
          <w:rFonts w:hint="default"/>
          <w:rtl/>
        </w:rPr>
        <w:t>) المتراكمة في المشاريع السابقة إلى معرفة مشتركة يمكن تعميمها داخل المنظمة. كما تقترح إطارًا مفاهيميًا يوضح مراحل خلق المعرفة، تخزينها، توزيعها، واستخدامها، مع إبراز دور التعلم المصغر كأداة لتقليل “لزوجة المعرفة” التي تعيق انتقالها بين الفرق.</w:t>
      </w:r>
    </w:p>
    <w:p w14:paraId="1FF54452">
      <w:pPr>
        <w:bidi/>
        <w:rPr>
          <w:rFonts w:hint="default"/>
          <w:rtl/>
        </w:rPr>
      </w:pPr>
      <w:r>
        <w:rPr>
          <w:rFonts w:hint="default"/>
          <w:rtl/>
        </w:rPr>
        <w:t>ومع ذلك، يظل التركيز منصبًا على آليات نقل المعرفة ذاتها، دون قياس الأثر الفعلي طويل الأمد على مؤشرات الأداء التشغيلي أو تقليل الأعطال أو تحسين موثوقية الأصول بعد التسليم. كما أن التقييم اعتمد بدرجة كبيرة على قياسات إدراكية ذاتية، دون تتبع بيانات تشغيل فعلية أو مؤشرات مالية ممتدة عبر دورة حياة الأصل. كذلك جاء التطبيق في سياق تنظيمي محدد في القطاع العام النرويجي، وهو ما قد يختلف من حيث التعقيد الاستثماري والحجم الرأسمالي مقارنة بالمشاريع الضخمة المرتبطة بصناديق استثمار سيادية.</w:t>
      </w:r>
    </w:p>
    <w:p w14:paraId="44E3E6C4">
      <w:pPr>
        <w:bidi/>
        <w:rPr>
          <w:rFonts w:hint="default"/>
          <w:rtl/>
        </w:rPr>
      </w:pPr>
      <w:r>
        <w:rPr>
          <w:rFonts w:hint="default"/>
          <w:rtl/>
        </w:rPr>
        <w:t>وفي هذا السياق، يتقاطع بحث الدراسة الحالية مع هذه الدراسة من زاوية التركيز على نقل المعرفة وتقليل فجوة التعلم بين المراحل المختلفة للمشروع، إلا أنه يتجه إلى توسيع التحليل ليشمل العلاقة بين جودة التنفيذ الإنشائي والاستدامة التشغيلية طويلة الأمد، بما في ذلك البعد المرتبط برأس المال البشري من خلال نقل الأفراد ذوي الخبرة من مرحلة الإنشاء إلى مرحلة التشغيل. وبهذا ينتقل الطرح من تحسين تبادل المعرفة داخل المرحلة التنفيذية إلى تحليل أثر التكامل المعرفي بين مرحلتي الإنشاء والتشغيل على الأداء المستدام للأصول في المشاريع واسعة النطاق.</w:t>
      </w:r>
    </w:p>
    <w:p w14:paraId="74CE2170">
      <w:pPr>
        <w:pStyle w:val="3"/>
        <w:numPr>
          <w:ilvl w:val="0"/>
          <w:numId w:val="9"/>
        </w:numPr>
        <w:bidi/>
        <w:outlineLvl w:val="0"/>
        <w:rPr>
          <w:rFonts w:hint="default"/>
        </w:rPr>
      </w:pPr>
      <w:bookmarkStart w:id="51" w:name="_Toc10139"/>
      <w:r>
        <w:rPr>
          <w:rFonts w:hint="default"/>
          <w:rtl/>
        </w:rPr>
        <w:t xml:space="preserve">دراسة </w:t>
      </w:r>
      <w:r>
        <w:rPr>
          <w:rFonts w:hint="default"/>
        </w:rPr>
        <w:t>Yang &amp; Yang (2025)</w:t>
      </w:r>
      <w:r>
        <w:rPr>
          <w:rFonts w:hint="default"/>
          <w:rtl/>
        </w:rPr>
        <w:t>:</w:t>
      </w:r>
      <w:bookmarkEnd w:id="51"/>
    </w:p>
    <w:p w14:paraId="7AA0C9BA">
      <w:pPr>
        <w:bidi/>
        <w:rPr>
          <w:rFonts w:hint="default"/>
        </w:rPr>
      </w:pPr>
      <w:r>
        <w:rPr>
          <w:rFonts w:hint="default"/>
          <w:rtl/>
        </w:rPr>
        <w:t xml:space="preserve"> في هذه الدراسة تم بناء نموذج متكامل لتقييم الأداء الاقتصادي في إدارة مشاريع التشييد، في ظل التحديات المتزايدة التي تواجه شركات البناء نتيجة اشتداد المنافسة وتعقّد البيئات التشغيلية. انطلقت الدراسة من ملاحظة أن أنظمة التقييم التقليدية تفتقر إلى التكامل الزمني والشمولي، حيث غالبًا ما تُقيّم المؤشرات المالية بشكل منفصل أو بأثر رجعي، مما يحد من قدرتها على دعم القرار الإداري الديناميكي.</w:t>
      </w:r>
    </w:p>
    <w:p w14:paraId="50E956CD">
      <w:pPr>
        <w:bidi/>
        <w:rPr>
          <w:rFonts w:hint="default"/>
          <w:rtl/>
        </w:rPr>
      </w:pPr>
      <w:r>
        <w:rPr>
          <w:rFonts w:hint="default"/>
          <w:rtl/>
        </w:rPr>
        <w:t>اعتمد الباحثان على تطوير نموذج متعدد الأبعاد يرتكز على ثلاثة محاور رئيسية: الربحية (</w:t>
      </w:r>
      <w:r>
        <w:rPr>
          <w:rFonts w:hint="default"/>
        </w:rPr>
        <w:t>Profit</w:t>
      </w:r>
      <w:r>
        <w:rPr>
          <w:rFonts w:hint="default"/>
          <w:rtl/>
        </w:rPr>
        <w:t>)، وصافي التدفقات النقدية (</w:t>
      </w:r>
      <w:r>
        <w:rPr>
          <w:rFonts w:hint="default"/>
        </w:rPr>
        <w:t>Net Cash Flow</w:t>
      </w:r>
      <w:r>
        <w:rPr>
          <w:rFonts w:hint="default"/>
          <w:rtl/>
        </w:rPr>
        <w:t>)، ورصيد حقوق الملكية (</w:t>
      </w:r>
      <w:r>
        <w:rPr>
          <w:rFonts w:hint="default"/>
        </w:rPr>
        <w:t>Equity Balance</w:t>
      </w:r>
      <w:r>
        <w:rPr>
          <w:rFonts w:hint="default"/>
          <w:rtl/>
        </w:rPr>
        <w:t>)، مع تفكيك كل محور إلى مؤشرات فرعية كمية قابلة للقياس النسبي، مثل معدل الربح، نسبة التحصيل النقدي، ونسبة الذمم الدائنة إلى المدينة. وقد تم استخدام أسلوب النسب المالية بدلاً من القيم المطلقة لضمان قابلية المقارنة بين المشاريع ذات الأحجام المختلفة، وهي معالجة منهجية تعزز دقة التحليل.</w:t>
      </w:r>
    </w:p>
    <w:p w14:paraId="67CCB8EA">
      <w:pPr>
        <w:bidi/>
        <w:rPr>
          <w:rFonts w:hint="default"/>
          <w:rtl/>
        </w:rPr>
      </w:pPr>
      <w:r>
        <w:rPr>
          <w:rFonts w:hint="default"/>
          <w:rtl/>
        </w:rPr>
        <w:t>ومن الإضافات المفاهيمية المهمة في الدراسة تقديم تحليلي “النقطة المتزامنة” (</w:t>
      </w:r>
      <w:r>
        <w:rPr>
          <w:rFonts w:hint="default"/>
        </w:rPr>
        <w:t>Simultaneous Point</w:t>
      </w:r>
      <w:r>
        <w:rPr>
          <w:rFonts w:hint="default"/>
          <w:rtl/>
        </w:rPr>
        <w:t>) و“العقدة الموحدة” (</w:t>
      </w:r>
      <w:r>
        <w:rPr>
          <w:rFonts w:hint="default"/>
        </w:rPr>
        <w:t>Same Node</w:t>
      </w:r>
      <w:r>
        <w:rPr>
          <w:rFonts w:hint="default"/>
          <w:rtl/>
        </w:rPr>
        <w:t>)، حيث يسمح الأول بدمج بيانات الأنظمة المختلفة في لحظة زمنية واحدة لتقديم صورة شمولية آنية، بينما يهدف الثاني إلى توحيد البيانات عبر أنظمة الأعمال المختلفة عند نفس العقدة الزمنية لضمان الاتساق والتحقق من العلاقات السببية بين المؤشرات. وقد تم اختبار النموذج على خمسة مشاريع حقيقية تابعة لإحدى شركات الإنشاء الصينية الكبرى، وأظهرت النتائج قدرة النموذج على تقديم تقييم دقيق لحالة المشروع الاقتصادية، مع إمكانية إصدار إنذارات مبكرة للمخاطر.</w:t>
      </w:r>
    </w:p>
    <w:p w14:paraId="04C8E64B">
      <w:pPr>
        <w:bidi/>
        <w:rPr>
          <w:rFonts w:hint="default"/>
          <w:rtl/>
        </w:rPr>
      </w:pPr>
      <w:r>
        <w:rPr>
          <w:rFonts w:hint="default"/>
          <w:rtl/>
        </w:rPr>
        <w:t>ورغم أن الدراسة قدمت نموذجًا متقدمًا في تقييم الأداء الاقتصادي المرحلي للمشاريع، إلا أن تركيزها انصبّ على الأداء المالي والإداري خلال مرحلة التنفيذ، دون التوسع في تحليل الأثر طويل الأمد لجودة التنفيذ على الكفاءة التشغيلية بعد تسليم المشروع. كما أن العلاقة بين جودة الأعمال الإنشائية كمحدد تقني وبين الاستدامة التشغيلية المستقبلية لم تُتناول بصورة مباشرة، حيث بقي التحليل في إطار المؤشرات الاقتصادية الداخلية لإدارة المشروع أثناء التنفيذ.</w:t>
      </w:r>
    </w:p>
    <w:p w14:paraId="3B90A573">
      <w:pPr>
        <w:bidi/>
        <w:rPr>
          <w:rStyle w:val="16"/>
          <w:rFonts w:hint="default" w:ascii="Simplified Arabic" w:hAnsi="Simplified Arabic" w:cs="Simplified Arabic"/>
          <w:b w:val="0"/>
          <w:bCs w:val="0"/>
          <w:sz w:val="22"/>
          <w:rtl/>
        </w:rPr>
      </w:pPr>
      <w:r>
        <w:rPr>
          <w:rFonts w:hint="default"/>
          <w:rtl/>
        </w:rPr>
        <w:t>وفي هذا السياق، يختلف بحث الدراسة الحالية من حيث انتقاله من تقييم الأداء الاقتصادي المرحلي إلى تحليل الترابط الاستراتيجي بين جودة التنفيذ الإنشائي وأبعاد الاستدامة التشغيلية طويلة المدى، بما يشمل الكفاءة التقنية للأصول، وخفض تكلفة دورة الحياة، واستمرارية رأس المال البشري. وبذلك يُستكمل البعد المالي الذي ركزت عليه الدراسة عبر ربطه بمنظور استدامي تشغيلي أشمل يتجاوز لحظة التنفيذ إلى مرحلة ما بعد التشغيل.</w:t>
      </w:r>
    </w:p>
    <w:p w14:paraId="2AC9C42A">
      <w:pPr>
        <w:pStyle w:val="3"/>
        <w:numPr>
          <w:ilvl w:val="0"/>
          <w:numId w:val="9"/>
        </w:numPr>
        <w:bidi/>
        <w:outlineLvl w:val="0"/>
        <w:rPr>
          <w:rFonts w:hint="default"/>
          <w:rtl/>
        </w:rPr>
      </w:pPr>
      <w:bookmarkStart w:id="52" w:name="_Toc13777"/>
      <w:r>
        <w:rPr>
          <w:rFonts w:hint="default"/>
          <w:rtl/>
        </w:rPr>
        <w:t xml:space="preserve">دراسة </w:t>
      </w:r>
      <w:r>
        <w:rPr>
          <w:rFonts w:hint="default"/>
        </w:rPr>
        <w:t>Zhou &amp; Fong (2025)</w:t>
      </w:r>
      <w:r>
        <w:rPr>
          <w:rFonts w:hint="default"/>
          <w:rtl/>
        </w:rPr>
        <w:t xml:space="preserve"> :</w:t>
      </w:r>
      <w:bookmarkEnd w:id="52"/>
      <w:r>
        <w:rPr>
          <w:rFonts w:hint="default"/>
          <w:rtl/>
        </w:rPr>
        <w:t xml:space="preserve"> </w:t>
      </w:r>
    </w:p>
    <w:p w14:paraId="10B3DF2B">
      <w:pPr>
        <w:bidi/>
        <w:rPr>
          <w:rFonts w:hint="default"/>
          <w:rtl/>
        </w:rPr>
      </w:pPr>
      <w:r>
        <w:rPr>
          <w:rFonts w:hint="default"/>
          <w:rtl/>
        </w:rPr>
        <w:t>تناقش هذه الدراسة فعالية نقل المعرفة في مشاريع التشييد الدولية (</w:t>
      </w:r>
      <w:r>
        <w:rPr>
          <w:rFonts w:hint="default"/>
        </w:rPr>
        <w:t>ICPs</w:t>
      </w:r>
      <w:r>
        <w:rPr>
          <w:rFonts w:hint="default"/>
          <w:rtl/>
        </w:rPr>
        <w:t>) من منظور تكويني متقدم، منطلقة من فرضية أن البيئة الدولية للمشاريع تتسم بدرجة عالية من التعقيد السببي الناتج عن التعدد الثقافي، والطبيعة المؤقتة للفرق، وتباين الخلفيات المعرفية والتنظيمية. ترى الدراسة أن الأساليب التقليدية القائمة على تحليل الأثر الخطي (</w:t>
      </w:r>
      <w:r>
        <w:rPr>
          <w:rFonts w:hint="default"/>
        </w:rPr>
        <w:t>Net-effect analysis</w:t>
      </w:r>
      <w:r>
        <w:rPr>
          <w:rFonts w:hint="default"/>
          <w:rtl/>
        </w:rPr>
        <w:t>) غير قادرة على تفسير هذا التعقيد، ما يستدعي اعتماد منهج قادر على كشف “الوصفات السببية” المركّبة التي تقود إلى نتائج متشابهة.</w:t>
      </w:r>
    </w:p>
    <w:p w14:paraId="123D9A4F">
      <w:pPr>
        <w:bidi/>
        <w:rPr>
          <w:rFonts w:hint="default"/>
          <w:rtl/>
        </w:rPr>
      </w:pPr>
      <w:r>
        <w:rPr>
          <w:rFonts w:hint="default"/>
          <w:rtl/>
        </w:rPr>
        <w:t xml:space="preserve">اعتمد الباحثان منهج </w:t>
      </w:r>
      <w:r>
        <w:rPr>
          <w:rFonts w:hint="default"/>
        </w:rPr>
        <w:t>fsQCA</w:t>
      </w:r>
      <w:r>
        <w:rPr>
          <w:rFonts w:hint="default"/>
          <w:rtl/>
        </w:rPr>
        <w:t xml:space="preserve"> لتحليل بيانات 353 ممارسًا يعملون في مشاريع دولية، وهو منهج يسمح بفهم التفاعلات بين المتغيرات بدل اختبار تأثير كل متغير على حدة. وقد تم تأطير العوامل المؤثرة ضمن أربعة أبعاد مستمدة من نظرية الاتصال: بُعد الفاعل (الرغبة في نقل المعرفة)، بُعد العلاقة (المسافة الثقافية، المسافة المعرفية، الثقة المتبادلة)، بُعد السياق (الكفاءة عبر الثقافات وآليات التعلم التنظيمي)، وبُعد النشاط (شدة التواصل).</w:t>
      </w:r>
    </w:p>
    <w:p w14:paraId="4C21C9A8">
      <w:pPr>
        <w:bidi/>
        <w:rPr>
          <w:rFonts w:hint="default"/>
          <w:rtl/>
        </w:rPr>
      </w:pPr>
      <w:r>
        <w:rPr>
          <w:rFonts w:hint="default"/>
          <w:rtl/>
        </w:rPr>
        <w:t>أظهرت النتائج أن شدة التواصل تمثل شرطًا ضروريًا لتحقيق فعالية عالية في نقل المعرفة، ما يعني أن أي تكوين سببي ناجح لا يمكن أن يتحقق دون وجود تواصل مكثف ومستمر بين أعضاء الفريق. كما كشفت الدراسة عن ثلاث فئات استراتيجية رئيسية: مسار قائم على الإدارة بين الثقافات، ومسار قائم على آليات التعلم التنظيمي، ومسار مركّب يجمع بين البعدين. وتبرز أهمية هذه النتيجة في تأكيد مبدأ “تعدد المسارات” (</w:t>
      </w:r>
      <w:r>
        <w:rPr>
          <w:rFonts w:hint="default"/>
        </w:rPr>
        <w:t>Equifinality</w:t>
      </w:r>
      <w:r>
        <w:rPr>
          <w:rFonts w:hint="default"/>
          <w:rtl/>
        </w:rPr>
        <w:t>)، حيث يمكن تحقيق نفس النتيجة عبر تكوينات مختلفة تبعًا لسياق المشروع.</w:t>
      </w:r>
    </w:p>
    <w:p w14:paraId="43C24CF7">
      <w:pPr>
        <w:bidi/>
        <w:rPr>
          <w:rStyle w:val="16"/>
          <w:rFonts w:hint="default" w:ascii="Simplified Arabic" w:hAnsi="Simplified Arabic" w:cs="Simplified Arabic"/>
          <w:b w:val="0"/>
          <w:bCs w:val="0"/>
          <w:sz w:val="22"/>
          <w:rtl/>
        </w:rPr>
      </w:pPr>
      <w:r>
        <w:rPr>
          <w:rFonts w:hint="default"/>
          <w:rtl/>
        </w:rPr>
        <w:t>ورغم القوة المنهجية للدراسة واعتمادها على تحليل تكويني متقدم، فإن نطاقها بقي محصورًا داخل إطار فعالية نقل المعرفة خلال مرحلة تنفيذ المشروع، دون التوسع في تحليل الأثر الممتد لهذه الفعالية على الأداء التشغيلي طويل الأمد أو على استدامة الأصول بعد التسليم. كما أن العلاقة بين جودة التنفيذ الفني وبين النتائج التشغيلية المستقبلية لم تُعالج بشكل مباشر، إذ تم التركيز على البيئة التنظيمية لنقل المعرفة أكثر من ارتباطها بالاستدامة التشغيلية الشاملة.</w:t>
      </w:r>
    </w:p>
    <w:p w14:paraId="6C80E006">
      <w:pPr>
        <w:pStyle w:val="3"/>
        <w:numPr>
          <w:ilvl w:val="0"/>
          <w:numId w:val="9"/>
        </w:numPr>
        <w:bidi/>
        <w:outlineLvl w:val="0"/>
        <w:rPr>
          <w:rFonts w:hint="default"/>
          <w:rtl/>
        </w:rPr>
      </w:pPr>
      <w:r>
        <w:rPr>
          <w:rFonts w:hint="default"/>
          <w:rtl/>
        </w:rPr>
        <w:t xml:space="preserve"> </w:t>
      </w:r>
      <w:bookmarkStart w:id="53" w:name="_Toc29932"/>
      <w:r>
        <w:rPr>
          <w:rFonts w:hint="default"/>
          <w:rtl/>
        </w:rPr>
        <w:t xml:space="preserve">دراسة </w:t>
      </w:r>
      <w:r>
        <w:rPr>
          <w:rFonts w:hint="default"/>
        </w:rPr>
        <w:t>Wang &amp; Jacqueline (2025)</w:t>
      </w:r>
      <w:r>
        <w:rPr>
          <w:rFonts w:hint="default"/>
          <w:rtl/>
        </w:rPr>
        <w:t>:</w:t>
      </w:r>
      <w:bookmarkEnd w:id="53"/>
      <w:r>
        <w:rPr>
          <w:rFonts w:hint="default"/>
          <w:rtl/>
        </w:rPr>
        <w:t xml:space="preserve"> </w:t>
      </w:r>
    </w:p>
    <w:p w14:paraId="2CEA6766">
      <w:pPr>
        <w:bidi/>
        <w:rPr>
          <w:rFonts w:hint="default"/>
          <w:rtl/>
        </w:rPr>
      </w:pPr>
      <w:r>
        <w:rPr>
          <w:rFonts w:hint="default"/>
          <w:rtl/>
        </w:rPr>
        <w:t>تتناول هذه الدراسة مراجعة تحليلية شاملة للعوامل المؤثرة في إدارة الجودة وأثرها على الأداء التنظيمي في قطاع التشييد، من منظور يجمع بين التطور النظري والتحولات التكنولوجية المعاصرة. تنطلق الدراسة من فرضية أساسية مفادها أن إدارة الجودة لم تعد مجرد أداة رقابية لضبط المواصفات، بل أصبحت عنصرًا استراتيجيًا محوريًا في بناء الميزة التنافسية وتعزيز استدامة المؤسسات الإنشائية على المدى الطويل.</w:t>
      </w:r>
    </w:p>
    <w:p w14:paraId="378D7159">
      <w:pPr>
        <w:bidi/>
        <w:rPr>
          <w:rFonts w:hint="default"/>
          <w:rtl/>
        </w:rPr>
      </w:pPr>
      <w:r>
        <w:rPr>
          <w:rFonts w:hint="default"/>
          <w:rtl/>
        </w:rPr>
        <w:t>اعتمد الباحثان منهج تحليل الأدبيات (</w:t>
      </w:r>
      <w:r>
        <w:rPr>
          <w:rFonts w:hint="default"/>
        </w:rPr>
        <w:t>Literature Review</w:t>
      </w:r>
      <w:r>
        <w:rPr>
          <w:rFonts w:hint="default"/>
          <w:rtl/>
        </w:rPr>
        <w:t>) بشكل منهجي، حيث قاما بتتبع تطور نظريات إدارة الجودة بدءًا من الإدارة العلمية لتايلور، مرورًا بإدارة الجودة الشاملة (</w:t>
      </w:r>
      <w:r>
        <w:rPr>
          <w:rFonts w:hint="default"/>
        </w:rPr>
        <w:t>TQM</w:t>
      </w:r>
      <w:r>
        <w:rPr>
          <w:rFonts w:hint="default"/>
          <w:rtl/>
        </w:rPr>
        <w:t xml:space="preserve">) ومعايير </w:t>
      </w:r>
      <w:r>
        <w:rPr>
          <w:rFonts w:hint="default"/>
        </w:rPr>
        <w:t>ISO</w:t>
      </w:r>
      <w:r>
        <w:rPr>
          <w:rFonts w:hint="default"/>
          <w:rtl/>
        </w:rPr>
        <w:t xml:space="preserve">، وصولًا إلى المفاهيم الحديثة مثل </w:t>
      </w:r>
      <w:r>
        <w:rPr>
          <w:rFonts w:hint="default"/>
        </w:rPr>
        <w:t>Lean Construction</w:t>
      </w:r>
      <w:r>
        <w:rPr>
          <w:rFonts w:hint="default"/>
          <w:rtl/>
        </w:rPr>
        <w:t xml:space="preserve"> والتحول الرقمي والذكاء الاصطناعي في مراقبة الجودة. وقد تم تقسيم الأدبيات إلى محورين: دراسات دولية ودراسات صينية، مع إبراز أوجه التقدم والقصور في كل سياق.</w:t>
      </w:r>
    </w:p>
    <w:p w14:paraId="2DCA6E55">
      <w:pPr>
        <w:bidi/>
        <w:rPr>
          <w:rFonts w:hint="default"/>
          <w:rtl/>
        </w:rPr>
      </w:pPr>
      <w:r>
        <w:rPr>
          <w:rFonts w:hint="default"/>
          <w:rtl/>
        </w:rPr>
        <w:t>تؤكد النتائج أن هناك علاقة إيجابية قوية بين جودة التنفيذ والأداء التنظيمي، سواء من حيث الربحية، الحصة السوقية، رضا العملاء، أو القيمة العلامية. كما تشير الدراسات الدولية إلى أن الجودة تُسهم في تقليل تكاليف الصيانة المستقبلية، وتحسين كفاءة تخصيص الموارد، وبناء الثقة المؤسسية. أما الدراسات المحلية (الصينية) فتركز على العلاقة بين الجودة وتكلفة دورة الحياة، وتأثير الاستثمار المبكر في الجودة على تقليل إعادة العمل وتحسين صافي القيمة الحالية للمشروعات.</w:t>
      </w:r>
    </w:p>
    <w:p w14:paraId="38BBC211">
      <w:pPr>
        <w:bidi/>
        <w:rPr>
          <w:rFonts w:hint="default"/>
          <w:rtl/>
        </w:rPr>
      </w:pPr>
      <w:r>
        <w:rPr>
          <w:rFonts w:hint="default"/>
          <w:rtl/>
        </w:rPr>
        <w:t>ومع ذلك، تكشف الدراسة عن تحديات منهجية متكررة في الأدبيات، أبرزها: محدودية العينات الجغرافية، ضعف التحكم في المتغيرات الخارجية، غياب التحليل الطولي طويل المدى، والاعتماد على مؤشرات قياس ذاتية للجودة. كما تشير إلى فجوة في الربط بين الجودة كنظام إداري وبين التحولات الرقمية المتسارعة، والحاجة إلى بناء نماذج تحليلية أكثر تكاملاً تأخذ في الاعتبار التغيرات التكنولوجية والسياقية.</w:t>
      </w:r>
    </w:p>
    <w:p w14:paraId="2206F8C3">
      <w:pPr>
        <w:bidi/>
        <w:rPr>
          <w:rFonts w:hint="default"/>
          <w:rtl/>
        </w:rPr>
      </w:pPr>
      <w:r>
        <w:rPr>
          <w:rFonts w:hint="default"/>
          <w:rtl/>
        </w:rPr>
        <w:t>وتطرح الدراسة توجهًا مستقبليًا يتمثل في تبني نموذج بحثي قائم على “البيانات الضخمة + التوأم الرقمي”، واستخدام تقنيات إنترنت الأشياء لتحسين تتبع الجودة وتحليل المخاطر بصورة لحظية، مما يعكس تحولًا من الرقابة التقليدية إلى الإدارة الذكية التنبؤية.</w:t>
      </w:r>
    </w:p>
    <w:p w14:paraId="35631619">
      <w:pPr>
        <w:bidi/>
        <w:rPr>
          <w:rFonts w:hint="default"/>
          <w:rtl/>
        </w:rPr>
      </w:pPr>
      <w:r>
        <w:rPr>
          <w:rFonts w:hint="default"/>
          <w:rtl/>
        </w:rPr>
        <w:t xml:space="preserve">ورغم شمولية الطرح، فإن تركيز الدراسة ظل موجهًا نحو العلاقة بين إدارة الجودة والأداء التنظيمي داخل حدود المؤسسة، دون التوسع في تحليل الأثر الممتد لجودة التنفيذ على الاستدامة التشغيلية للأصول بعد التسليم، أو على كفاءة إدارة المرافق في مرحلة التشغيل. كما لم يتم الربط بصورة مباشرة بين جودة الأعمال الإنشائية وبين تقليل تكلفة دورة الحياة التشغيلية للأصل من منظور استثماري طويل الأمد. </w:t>
      </w:r>
    </w:p>
    <w:p w14:paraId="3B1BE302">
      <w:pPr>
        <w:pStyle w:val="3"/>
        <w:numPr>
          <w:ilvl w:val="0"/>
          <w:numId w:val="9"/>
        </w:numPr>
        <w:bidi/>
        <w:outlineLvl w:val="0"/>
        <w:rPr>
          <w:rStyle w:val="16"/>
          <w:rFonts w:hint="default" w:ascii="Simplified Arabic" w:hAnsi="Simplified Arabic" w:cs="Simplified Arabic"/>
          <w:b w:val="0"/>
          <w:bCs w:val="0"/>
          <w:sz w:val="22"/>
          <w:rtl/>
        </w:rPr>
      </w:pPr>
      <w:bookmarkStart w:id="54" w:name="_Toc28566"/>
      <w:r>
        <w:rPr>
          <w:rFonts w:hint="default"/>
          <w:rtl/>
        </w:rPr>
        <w:t xml:space="preserve">دراسة </w:t>
      </w:r>
      <w:r>
        <w:rPr>
          <w:rFonts w:hint="default"/>
        </w:rPr>
        <w:t>Mohaghegh et al</w:t>
      </w:r>
      <w:r>
        <w:rPr>
          <w:rFonts w:hint="default"/>
          <w:rtl/>
        </w:rPr>
        <w:t>. (2024):</w:t>
      </w:r>
      <w:bookmarkEnd w:id="54"/>
      <w:r>
        <w:rPr>
          <w:rFonts w:hint="default"/>
          <w:rtl/>
        </w:rPr>
        <w:t xml:space="preserve"> </w:t>
      </w:r>
    </w:p>
    <w:p w14:paraId="2581CF50">
      <w:pPr>
        <w:bidi/>
        <w:rPr>
          <w:rFonts w:hint="default"/>
          <w:rtl/>
        </w:rPr>
      </w:pPr>
      <w:r>
        <w:rPr>
          <w:rFonts w:hint="default"/>
          <w:rtl/>
        </w:rPr>
        <w:t>تسعى هذه الدراسة إلى تحليل العلاقة بين إدارة المعرفة (</w:t>
      </w:r>
      <w:r>
        <w:rPr>
          <w:rFonts w:hint="default"/>
        </w:rPr>
        <w:t>KM</w:t>
      </w:r>
      <w:r>
        <w:rPr>
          <w:rFonts w:hint="default"/>
          <w:rtl/>
        </w:rPr>
        <w:t>) والأداء التنظيمي، مع التركيز على الدور الوسيط لكل من توظيف المعرفة (</w:t>
      </w:r>
      <w:r>
        <w:rPr>
          <w:rFonts w:hint="default"/>
        </w:rPr>
        <w:t>Knowledge Utilization</w:t>
      </w:r>
      <w:r>
        <w:rPr>
          <w:rFonts w:hint="default"/>
          <w:rtl/>
        </w:rPr>
        <w:t>) والاستدامة (</w:t>
      </w:r>
      <w:r>
        <w:rPr>
          <w:rFonts w:hint="default"/>
        </w:rPr>
        <w:t>Sustainability</w:t>
      </w:r>
      <w:r>
        <w:rPr>
          <w:rFonts w:hint="default"/>
          <w:rtl/>
        </w:rPr>
        <w:t>). تنطلق الدراسة من منظور “المورد المعرفي” المستمد من الامتداد المعرفي لنظرية الموارد (</w:t>
      </w:r>
      <w:r>
        <w:rPr>
          <w:rFonts w:hint="default"/>
        </w:rPr>
        <w:t>RBV</w:t>
      </w:r>
      <w:r>
        <w:rPr>
          <w:rFonts w:hint="default"/>
          <w:rtl/>
        </w:rPr>
        <w:t>)، والذي يفترض أن المعرفة تمثل أصلًا استراتيجيًا وهو غير ملموس لا يخلق قيمة إلا إذا تم توظيفه بفعالية داخل العمليات التنظيمية.</w:t>
      </w:r>
    </w:p>
    <w:p w14:paraId="5C13DBF6">
      <w:pPr>
        <w:bidi/>
        <w:rPr>
          <w:rFonts w:hint="default"/>
          <w:rtl/>
        </w:rPr>
      </w:pPr>
      <w:r>
        <w:rPr>
          <w:rFonts w:hint="default"/>
          <w:rtl/>
        </w:rPr>
        <w:t xml:space="preserve">اعتمد الباحثون إطارًا نظريًا يقسم إدارة المعرفة إلى ثلاثة أبعاد تشغيلية رئيسية: توليد المعرفة، ترميزها، ومشاركتها، مع فصل “توظيف المعرفة” كمتغير وسيط مستقل بدل اعتباره جزءًا من العملية. كما تم إدراج الاستدامة وفق نموذج الأبعاد الثلاثة (الاقتصادي، البيئي، الاجتماعي) كوسيط استراتيجي ثانٍ. تم جمع البيانات من 413 مشاركًا في قطاع الخدمات بالكويت، واستخدام نموذج </w:t>
      </w:r>
      <w:r>
        <w:rPr>
          <w:rFonts w:hint="default"/>
        </w:rPr>
        <w:t>LASSO regression</w:t>
      </w:r>
      <w:r>
        <w:rPr>
          <w:rFonts w:hint="default"/>
          <w:rtl/>
        </w:rPr>
        <w:t xml:space="preserve"> لمعالجة مشكلة التعدد الخطي بين المتغيرات.</w:t>
      </w:r>
    </w:p>
    <w:p w14:paraId="373AE96D">
      <w:pPr>
        <w:bidi/>
        <w:rPr>
          <w:rFonts w:hint="default"/>
          <w:rtl/>
        </w:rPr>
      </w:pPr>
      <w:r>
        <w:rPr>
          <w:rFonts w:hint="default"/>
          <w:rtl/>
        </w:rPr>
        <w:t>أظهرت النتائج أن الأثر المباشر لإدارة المعرفة على الأداء التنظيمي غير معنوي إحصائيًا، في حين أن الأثر غير المباشر عبر توظيف المعرفة والاستدامة كان معنويًا وقويًا. بمعنى آخر، لا تكفي عمليات توليد أو مشاركة المعرفة بذاتها لرفع الأداء، بل يجب أن تُترجم إلى تطبيق فعلي وأن تُدمج ضمن استراتيجية استدامة واضحة. وقد تبين أن الاستدامة وتوظيف المعرفة يمارسان تأثيرًا مباشرًا وإيجابيًا على الأداء، ويشكلان وساطة كاملة (</w:t>
      </w:r>
      <w:r>
        <w:rPr>
          <w:rFonts w:hint="default"/>
        </w:rPr>
        <w:t>Full Mediation</w:t>
      </w:r>
      <w:r>
        <w:rPr>
          <w:rFonts w:hint="default"/>
          <w:rtl/>
        </w:rPr>
        <w:t>) للعلاقة بين إدارة المعرفة والأداء.</w:t>
      </w:r>
    </w:p>
    <w:p w14:paraId="6A19CB25">
      <w:pPr>
        <w:bidi/>
        <w:rPr>
          <w:rFonts w:hint="default"/>
          <w:rtl/>
        </w:rPr>
      </w:pPr>
    </w:p>
    <w:p w14:paraId="7A9339DB">
      <w:pPr>
        <w:bidi/>
        <w:rPr>
          <w:rFonts w:hint="default"/>
          <w:rtl/>
        </w:rPr>
      </w:pPr>
      <w:r>
        <w:rPr>
          <w:rFonts w:hint="default"/>
          <w:rtl/>
        </w:rPr>
        <w:t>تكمن أهمية الدراسة في إعادة توجيه النقاش من “امتلاك المعرفة” إلى “استخدام المعرفة” ومن الإدارة الإجرائية إلى الدمج الاستراتيجي مع الاستدامة. كما تتميز منهجيًا باستخدام تقنيات تعلم آلي للتحقق من متانة النتائج.</w:t>
      </w:r>
    </w:p>
    <w:p w14:paraId="3E145211">
      <w:pPr>
        <w:bidi/>
        <w:rPr>
          <w:rFonts w:hint="default"/>
          <w:rtl/>
        </w:rPr>
      </w:pPr>
      <w:r>
        <w:rPr>
          <w:rFonts w:hint="default"/>
          <w:rtl/>
        </w:rPr>
        <w:t>ومع ذلك، يظل نطاق الدراسة محصورًا في قطاع الخدمات وبيئة جغرافية محددة، كما أن التركيز كان على الأداء التنظيمي العام دون الربط المباشر بدورة حياة الأصول أو جودة التنفيذ الفني في المشاريع الكبرى.</w:t>
      </w:r>
    </w:p>
    <w:p w14:paraId="1AFC92E6">
      <w:pPr>
        <w:pStyle w:val="3"/>
        <w:numPr>
          <w:ilvl w:val="0"/>
          <w:numId w:val="9"/>
        </w:numPr>
        <w:bidi/>
        <w:ind w:left="720" w:leftChars="0" w:hanging="360" w:firstLineChars="0"/>
        <w:rPr>
          <w:rFonts w:hint="default"/>
          <w:rtl/>
        </w:rPr>
      </w:pPr>
      <w:bookmarkStart w:id="55" w:name="_Toc14352"/>
      <w:r>
        <w:rPr>
          <w:rFonts w:hint="default"/>
          <w:rtl/>
        </w:rPr>
        <w:t xml:space="preserve">دراسة </w:t>
      </w:r>
      <w:r>
        <w:rPr>
          <w:rFonts w:hint="default"/>
        </w:rPr>
        <w:t>Jensen &amp; Chatzilazarou</w:t>
      </w:r>
      <w:r>
        <w:rPr>
          <w:rFonts w:hint="default"/>
          <w:rtl/>
        </w:rPr>
        <w:t xml:space="preserve"> (2017) :</w:t>
      </w:r>
      <w:bookmarkEnd w:id="55"/>
    </w:p>
    <w:p w14:paraId="31BE511D">
      <w:pPr>
        <w:bidi/>
        <w:rPr>
          <w:rFonts w:hint="default"/>
          <w:rtl/>
        </w:rPr>
      </w:pPr>
      <w:r>
        <w:rPr>
          <w:rFonts w:hint="default"/>
          <w:rtl/>
        </w:rPr>
        <w:t>تتناول هذه الدراسة قضية نقل المعرفة بين وحدات تشغيل وصيانة المباني (</w:t>
      </w:r>
      <w:r>
        <w:rPr>
          <w:rFonts w:hint="default"/>
        </w:rPr>
        <w:t>O&amp;M</w:t>
      </w:r>
      <w:r>
        <w:rPr>
          <w:rFonts w:hint="default"/>
          <w:rtl/>
        </w:rPr>
        <w:t>) وإدارة مشاريع البناء داخل منظمات إدارة المرافق، بهدف ضمان تحسين أداء المنشآت الجديدة. تنطلق الدراسة من فرضية أن المعرفة المتولدة خلال سنوات من التشغيل والصيانة تمثل رصيدًا استراتيجيًا يمكن أن يسهم في رفع جودة القرارات التصميمية والتنفيذية في المشاريع المستقبلية، شريطة وجود آليات فعّالة لتخزينها ونقلها.</w:t>
      </w:r>
    </w:p>
    <w:p w14:paraId="79214429">
      <w:pPr>
        <w:bidi/>
        <w:rPr>
          <w:rFonts w:hint="default"/>
          <w:rtl/>
        </w:rPr>
      </w:pPr>
      <w:r>
        <w:rPr>
          <w:rFonts w:hint="default"/>
          <w:rtl/>
        </w:rPr>
        <w:t>اعتمد الباحثان منهج دراسة الحالة النوعية على منظمة إدارة مرافق بجامعة التقنية الدنماركية (</w:t>
      </w:r>
      <w:r>
        <w:rPr>
          <w:rFonts w:hint="default"/>
        </w:rPr>
        <w:t>DTU Campus Service</w:t>
      </w:r>
      <w:r>
        <w:rPr>
          <w:rFonts w:hint="default"/>
          <w:rtl/>
        </w:rPr>
        <w:t>)، حيث تم إجراء عشر مقابلات شبه منظمة مع مديري الإدارات المختلفة، إضافة إلى تحليل الأدوات والإجراءات المعتمدة داخل المنظمة. وتركز التحليل على طبيعة التفاعل بين إدارة المشاريع العقارية (</w:t>
      </w:r>
      <w:r>
        <w:rPr>
          <w:rFonts w:hint="default"/>
        </w:rPr>
        <w:t>PMO</w:t>
      </w:r>
      <w:r>
        <w:rPr>
          <w:rFonts w:hint="default"/>
          <w:rtl/>
        </w:rPr>
        <w:t>) وإدارة التشغيل والصيانة، مع الاستناد إلى أدبيات إدارة المعرفة التي تميز بين المعرفة الضمنية والصريحة، وبين استراتيجيات “التخصيص” (</w:t>
      </w:r>
      <w:r>
        <w:rPr>
          <w:rFonts w:hint="default"/>
        </w:rPr>
        <w:t>Personalization</w:t>
      </w:r>
      <w:r>
        <w:rPr>
          <w:rFonts w:hint="default"/>
          <w:rtl/>
        </w:rPr>
        <w:t>) و“الترميز” (</w:t>
      </w:r>
      <w:r>
        <w:rPr>
          <w:rFonts w:hint="default"/>
        </w:rPr>
        <w:t>Codification</w:t>
      </w:r>
      <w:r>
        <w:rPr>
          <w:rFonts w:hint="default"/>
          <w:rtl/>
        </w:rPr>
        <w:t>).</w:t>
      </w:r>
    </w:p>
    <w:p w14:paraId="2F202278">
      <w:pPr>
        <w:bidi/>
        <w:rPr>
          <w:rFonts w:hint="default"/>
          <w:rtl/>
        </w:rPr>
      </w:pPr>
      <w:r>
        <w:rPr>
          <w:rFonts w:hint="default"/>
          <w:rtl/>
        </w:rPr>
        <w:t>أظهرت النتائج أن المنظمة طورت نموذجًا مرحليًا (</w:t>
      </w:r>
      <w:r>
        <w:rPr>
          <w:rFonts w:hint="default"/>
        </w:rPr>
        <w:t>Phase-Gate Model</w:t>
      </w:r>
      <w:r>
        <w:rPr>
          <w:rFonts w:hint="default"/>
          <w:rtl/>
        </w:rPr>
        <w:t xml:space="preserve">) لإشراك فرق التشغيل في مراحل التصميم المبكرة، إضافة إلى استخدام أدوات رقمية مثل </w:t>
      </w:r>
      <w:r>
        <w:rPr>
          <w:rFonts w:hint="default"/>
        </w:rPr>
        <w:t>BIM</w:t>
      </w:r>
      <w:r>
        <w:rPr>
          <w:rFonts w:hint="default"/>
          <w:rtl/>
        </w:rPr>
        <w:t xml:space="preserve"> وأنظمة </w:t>
      </w:r>
      <w:r>
        <w:rPr>
          <w:rFonts w:hint="default"/>
        </w:rPr>
        <w:t>CAFM</w:t>
      </w:r>
      <w:r>
        <w:rPr>
          <w:rFonts w:hint="default"/>
          <w:rtl/>
        </w:rPr>
        <w:t xml:space="preserve"> لحفظ المعرفة المؤسسية. كما تم تطوير “معايير تصميم” (</w:t>
      </w:r>
      <w:r>
        <w:rPr>
          <w:rFonts w:hint="default"/>
        </w:rPr>
        <w:t>Design Standards</w:t>
      </w:r>
      <w:r>
        <w:rPr>
          <w:rFonts w:hint="default"/>
          <w:rtl/>
        </w:rPr>
        <w:t>) تُستخدم كآلية لترميز الخبرة التشغيلية وتحويلها إلى متطلبات تصميمية إلزامية، ما يسهم في ضمان اتساق المباني الجديدة وسهولة صيانتها مستقبلاً. ومع ذلك، كشفت الدراسة عن تحديات تنظيمية وثقافية، أبرزها اختلاف “العقلية” بين فرق المشاريع قصيرة الأجل (</w:t>
      </w:r>
      <w:r>
        <w:rPr>
          <w:rFonts w:hint="default"/>
        </w:rPr>
        <w:t>Hunters</w:t>
      </w:r>
      <w:r>
        <w:rPr>
          <w:rFonts w:hint="default"/>
          <w:rtl/>
        </w:rPr>
        <w:t>) وفرق التشغيل طويلة الأجل (</w:t>
      </w:r>
      <w:r>
        <w:rPr>
          <w:rFonts w:hint="default"/>
        </w:rPr>
        <w:t>Farmers</w:t>
      </w:r>
      <w:r>
        <w:rPr>
          <w:rFonts w:hint="default"/>
          <w:rtl/>
        </w:rPr>
        <w:t>)، إضافة إلى محدودية الموارد البشرية وضعف التعاون غير الرسمي بين الإدارات، مما يقلل من فعالية نقل المعرفة رغم وجود الأدوات.</w:t>
      </w:r>
    </w:p>
    <w:p w14:paraId="1CAE9041">
      <w:pPr>
        <w:bidi/>
        <w:rPr>
          <w:rFonts w:hint="default"/>
          <w:rtl/>
        </w:rPr>
      </w:pPr>
      <w:r>
        <w:rPr>
          <w:rFonts w:hint="default"/>
          <w:rtl/>
        </w:rPr>
        <w:t>يتضح من الدراسة أن نقل المعرفة بين مرحلتي التشغيل والإنشاء لا يعتمد فقط على وجود أنظمة معلومات أو إجراءات رسمية، بل يتطلب ثقافة تنظيمية موحدة، وحوافز تحفّز المشاركة، واستراتيجية إدارة معرفة واضحة تجيب عن أسئلة: ماذا نشارك؟ ولماذا؟ وكيف؟ ولمن؟</w:t>
      </w:r>
    </w:p>
    <w:p w14:paraId="4755F18D">
      <w:pPr>
        <w:bidi/>
        <w:rPr>
          <w:rStyle w:val="16"/>
          <w:rFonts w:hint="default" w:ascii="Simplified Arabic" w:hAnsi="Simplified Arabic" w:cs="Simplified Arabic"/>
          <w:b w:val="0"/>
          <w:bCs w:val="0"/>
          <w:sz w:val="22"/>
          <w:rtl/>
        </w:rPr>
      </w:pPr>
      <w:r>
        <w:rPr>
          <w:rFonts w:hint="default"/>
          <w:rtl/>
        </w:rPr>
        <w:t xml:space="preserve">ورغم القيمة التطبيقية العالية للدراسة، فإن تركيزها ينصب على تحسين تدفق المعرفة داخل المنظمة، دون التوسع في قياس الأثر الكمي طويل المدى لذلك النقل على مؤشرات الاستدامة التشغيلية أو تكلفة دورة الحياة. كما بقي التحليل ضمن سياق إدارة مرافق جامعية، دون التطرق إلى المشاريع الضخمة ذات الطابع الاستثماري طويل الأجل. </w:t>
      </w:r>
    </w:p>
    <w:p w14:paraId="48ED9E82">
      <w:pPr>
        <w:pStyle w:val="3"/>
        <w:numPr>
          <w:ilvl w:val="0"/>
          <w:numId w:val="9"/>
        </w:numPr>
        <w:bidi/>
        <w:outlineLvl w:val="0"/>
        <w:rPr>
          <w:rFonts w:hint="default"/>
        </w:rPr>
      </w:pPr>
      <w:bookmarkStart w:id="56" w:name="_Toc21483"/>
      <w:r>
        <w:rPr>
          <w:rFonts w:hint="default"/>
          <w:rtl/>
        </w:rPr>
        <w:t xml:space="preserve">دراسة </w:t>
      </w:r>
      <w:r>
        <w:rPr>
          <w:rFonts w:hint="default"/>
        </w:rPr>
        <w:t>Kibert</w:t>
      </w:r>
      <w:r>
        <w:rPr>
          <w:rFonts w:hint="default"/>
          <w:rtl/>
        </w:rPr>
        <w:t xml:space="preserve"> (2016)</w:t>
      </w:r>
      <w:bookmarkEnd w:id="56"/>
    </w:p>
    <w:p w14:paraId="0BD222FC">
      <w:pPr>
        <w:bidi/>
        <w:rPr>
          <w:rFonts w:hint="default"/>
          <w:rtl/>
        </w:rPr>
      </w:pPr>
      <w:r>
        <w:rPr>
          <w:rFonts w:hint="default"/>
          <w:rtl/>
        </w:rPr>
        <w:t xml:space="preserve">يُعد كتاب </w:t>
      </w:r>
      <w:r>
        <w:rPr>
          <w:rFonts w:hint="default"/>
        </w:rPr>
        <w:t>Kibert</w:t>
      </w:r>
      <w:r>
        <w:rPr>
          <w:rFonts w:hint="default"/>
          <w:rtl/>
        </w:rPr>
        <w:t xml:space="preserve"> من أهم المراجع التأسيسية في مجال البناء المستدام، حيث يقدم إطارًا نظريًا ومنهجيًا متكاملًا لفهم العلاقة بين التصميم، التنفيذ، والتشغيل ضمن منظور الاستدامة الشاملة. لا يتعامل الكتاب مع الاستدامة كمجرد تحسينات تقنية جزئية، بل يؤسس لتحول فكري عميق في كيفية تصور دورة حياة المبنى بأكملها، بدءًا من التخطيط والتصميم، مرورًا بالتنفيذ، وانتهاءً بالتشغيل وإعادة الاستخدام أو التفكيك.</w:t>
      </w:r>
    </w:p>
    <w:p w14:paraId="45B8C71B">
      <w:pPr>
        <w:bidi/>
        <w:rPr>
          <w:rFonts w:hint="default"/>
          <w:rtl/>
        </w:rPr>
      </w:pPr>
      <w:r>
        <w:rPr>
          <w:rFonts w:hint="default"/>
          <w:rtl/>
        </w:rPr>
        <w:t xml:space="preserve">في الفصل الأول، يوضح </w:t>
      </w:r>
      <w:r>
        <w:rPr>
          <w:rFonts w:hint="default"/>
        </w:rPr>
        <w:t>Kibert</w:t>
      </w:r>
      <w:r>
        <w:rPr>
          <w:rFonts w:hint="default"/>
          <w:rtl/>
        </w:rPr>
        <w:t xml:space="preserve"> التحول العالمي نحو “المباني عالية الأداء” ويربطه بتحديات أوسع مثل تغير المناخ، ندرة الموارد، وارتفاع تكاليف التشغيل. ويؤكد أن الاستدامة التشغيلية لا تتحقق عبر أنظمة الطاقة فقط، بل من خلال تكامل الموقع، المواد، جودة الهواء الداخلي، المياه، والطاقة ضمن إطار تصميم متكامل (</w:t>
      </w:r>
      <w:r>
        <w:rPr>
          <w:rFonts w:hint="default"/>
        </w:rPr>
        <w:t>Integrated Design Process</w:t>
      </w:r>
      <w:r>
        <w:rPr>
          <w:rFonts w:hint="default"/>
          <w:rtl/>
        </w:rPr>
        <w:t>). هذا المفهوم تحديدًا مهم جدًا لبحثي، لأنه يؤسس لفكرة أن جودة التنفيذ ليست مرحلة منفصلة، بل امتداد عضوي للتصميم المتكامل.</w:t>
      </w:r>
    </w:p>
    <w:p w14:paraId="15E40F5B">
      <w:pPr>
        <w:bidi/>
        <w:rPr>
          <w:rFonts w:hint="default"/>
          <w:rtl/>
        </w:rPr>
      </w:pPr>
      <w:r>
        <w:rPr>
          <w:rFonts w:hint="default"/>
          <w:rtl/>
        </w:rPr>
        <w:t>يعرض الكتاب مبادئ البناء المستدام السبعة (</w:t>
      </w:r>
      <w:r>
        <w:rPr>
          <w:rFonts w:hint="default"/>
        </w:rPr>
        <w:t>Reduce, Reuse, Recycle, Protect Nature, Eliminate Toxics, Life-Cycle Costing, Quality</w:t>
      </w:r>
      <w:r>
        <w:rPr>
          <w:rFonts w:hint="default"/>
          <w:rtl/>
        </w:rPr>
        <w:t xml:space="preserve">) ويربطها بدورة حياة الأصل بالكامل، مع تركيز واضح على مفهوم </w:t>
      </w:r>
      <w:r>
        <w:rPr>
          <w:rFonts w:hint="default"/>
        </w:rPr>
        <w:t>Life-Cycle Costing (LCC)</w:t>
      </w:r>
      <w:r>
        <w:rPr>
          <w:rFonts w:hint="default"/>
          <w:rtl/>
        </w:rPr>
        <w:t xml:space="preserve"> وأهمية اتخاذ قرارات إنشائية مبكرة تقلل التكلفة التشغيلية لاحقًا. كما يناقش مفهوم الطاقة المجسدة (</w:t>
      </w:r>
      <w:r>
        <w:rPr>
          <w:rFonts w:hint="default"/>
        </w:rPr>
        <w:t>Embodied Energy</w:t>
      </w:r>
      <w:r>
        <w:rPr>
          <w:rFonts w:hint="default"/>
          <w:rtl/>
        </w:rPr>
        <w:t>) وأثر المواد والتنفيذ على البصمة الكربونية طويلة الأمد، ما يعزز منطق أن جودة التنفيذ تؤثر مباشرة في الأداء البيئي والتشغيلي.</w:t>
      </w:r>
    </w:p>
    <w:p w14:paraId="1F95FC0B">
      <w:pPr>
        <w:bidi/>
        <w:rPr>
          <w:rFonts w:hint="default"/>
          <w:rtl/>
        </w:rPr>
      </w:pPr>
      <w:r>
        <w:rPr>
          <w:rFonts w:hint="default"/>
          <w:rtl/>
        </w:rPr>
        <w:t xml:space="preserve">ويميز الكتاب أيضًا بين “المبنى الأخضر” كمنتج نهائي و”البناء المستدام” كعملية منهجية، مشددًا على أن الأنظمة مثل </w:t>
      </w:r>
      <w:r>
        <w:rPr>
          <w:rFonts w:hint="default"/>
        </w:rPr>
        <w:t>LEED</w:t>
      </w:r>
      <w:r>
        <w:rPr>
          <w:rFonts w:hint="default"/>
          <w:rtl/>
        </w:rPr>
        <w:t xml:space="preserve"> و</w:t>
      </w:r>
      <w:r>
        <w:rPr>
          <w:rFonts w:hint="default"/>
        </w:rPr>
        <w:t>BREEAM</w:t>
      </w:r>
      <w:r>
        <w:rPr>
          <w:rFonts w:hint="default"/>
          <w:rtl/>
        </w:rPr>
        <w:t xml:space="preserve"> ليست هدفًا بحد ذاتها، بل أدوات تقييم ضمن رؤية أشمل. كما يسلط الضوء على أهمية الموقع وتقليل طاقة النقل (</w:t>
      </w:r>
      <w:r>
        <w:rPr>
          <w:rFonts w:hint="default"/>
        </w:rPr>
        <w:t>Commuting Energy</w:t>
      </w:r>
      <w:r>
        <w:rPr>
          <w:rFonts w:hint="default"/>
          <w:rtl/>
        </w:rPr>
        <w:t>)، وهو بعد غالبًا ما يتم تجاهله في الدراسات التشغيلية.</w:t>
      </w:r>
    </w:p>
    <w:p w14:paraId="478FFAA1">
      <w:pPr>
        <w:bidi/>
        <w:rPr>
          <w:rFonts w:hint="default"/>
          <w:rtl/>
        </w:rPr>
      </w:pPr>
      <w:r>
        <w:rPr>
          <w:rFonts w:hint="default"/>
          <w:rtl/>
        </w:rPr>
        <w:t xml:space="preserve">ورغم شمولية الإطار النظري الذي يقدمه، فإن الكتاب يركز بشكل أكبر على التصميم وأنظمة التقييم، دون التعمق في قياس الأثر المباشر لجودة التنفيذ الفعلية على الاستدامة التشغيلية طويلة الأمد في المشاريع الضخمة ذات الطابع الاستثماري، مثل مشاريع </w:t>
      </w:r>
      <w:r>
        <w:rPr>
          <w:rFonts w:hint="default"/>
        </w:rPr>
        <w:t>PIF</w:t>
      </w:r>
      <w:r>
        <w:rPr>
          <w:rFonts w:hint="default"/>
          <w:rtl/>
        </w:rPr>
        <w:t>.</w:t>
      </w:r>
    </w:p>
    <w:p w14:paraId="30CA820B">
      <w:pPr>
        <w:pStyle w:val="3"/>
        <w:numPr>
          <w:ilvl w:val="0"/>
          <w:numId w:val="9"/>
        </w:numPr>
        <w:bidi/>
        <w:outlineLvl w:val="0"/>
        <w:rPr>
          <w:rFonts w:hint="default"/>
          <w:rtl/>
        </w:rPr>
      </w:pPr>
      <w:bookmarkStart w:id="57" w:name="_Toc1138"/>
      <w:r>
        <w:rPr>
          <w:rFonts w:hint="default"/>
          <w:rtl/>
        </w:rPr>
        <w:t xml:space="preserve">دراسة </w:t>
      </w:r>
      <w:r>
        <w:rPr>
          <w:rFonts w:hint="default"/>
        </w:rPr>
        <w:t>Aarseth et al</w:t>
      </w:r>
      <w:r>
        <w:rPr>
          <w:rFonts w:hint="default"/>
          <w:rtl/>
        </w:rPr>
        <w:t>. (2016)</w:t>
      </w:r>
      <w:bookmarkEnd w:id="57"/>
    </w:p>
    <w:p w14:paraId="55F4CF4C">
      <w:pPr>
        <w:bidi/>
        <w:rPr>
          <w:rFonts w:hint="default"/>
          <w:rtl/>
        </w:rPr>
      </w:pPr>
      <w:r>
        <w:rPr>
          <w:rFonts w:hint="default"/>
          <w:rtl/>
        </w:rPr>
        <w:t>تقدم هذه الدراسة مراجعة منهجية شاملة للأدبيات المتعلقة بالاستدامة في سياق إدارة المشاريع، وذلك عبر تحليل 68 مقالة منشورة في خمس مجلات علمية رائدة في مجال إدارة المشاريع والإنتاج المستدام حتى عام 2016. تنطلق الدراسة من ملاحظة أن مفهوم الاستدامة داخل أدبيات إدارة المشاريع لا يزال حديثًا نسبيًا ومجزأً نظريًا، الأمر الذي استدعى بناء تصور تكاملي يوضح كيف تُدار الاستدامة داخل المشاريع ومن قبل الجهات المحيطة بها.</w:t>
      </w:r>
    </w:p>
    <w:p w14:paraId="1206611B">
      <w:pPr>
        <w:bidi/>
        <w:rPr>
          <w:rFonts w:hint="default"/>
          <w:rtl/>
        </w:rPr>
      </w:pPr>
      <w:r>
        <w:rPr>
          <w:rFonts w:hint="default"/>
          <w:rtl/>
        </w:rPr>
        <w:t>أظهرت نتائج التحليل وجود منظورين رئيسيين في أدبيات استدامة المشاريع: الأول ينظر من زاوية “منظمة المشروع” المسؤولة عن تنفيذ الأصل، والثاني يتبنى منظور “الجهة المضيفة” أو البيئة التنظيمية التي تحتضن المشروع وتؤثر عليه. ومن خلال هذا التصنيف، حدد الباحثون ثماني استراتيجيات للاستدامة، موزعة بين استراتيجيات تتبناها منظمة المشروع، وأخرى تعتمدها الجهة المضيفة، إضافة إلى استراتيجيات مشتركة بين الطرفين.</w:t>
      </w:r>
    </w:p>
    <w:p w14:paraId="19C7F192">
      <w:pPr>
        <w:bidi/>
        <w:rPr>
          <w:rFonts w:hint="default"/>
          <w:rtl/>
        </w:rPr>
      </w:pPr>
      <w:r>
        <w:rPr>
          <w:rFonts w:hint="default"/>
          <w:rtl/>
        </w:rPr>
        <w:t>تشمل استراتيجيات منظمة المشروع: وضع أهداف استراتيجية وتكتيكية للاستدامة، تطوير ممارسات مستدامة في سلاسل التوريد، وإدماج الاستدامة في مرحلة التصميم من خلال أدوات مثل مؤشرات الأداء وتحليل دورة الحياة. أما على مستوى الجهة المضيفة، فتبرز أهمية السياسات التنظيمية، واللوائح البيئية، وأدوات التقييم المسبق للأثر البيئي والاجتماعي. كما تبرز استراتيجيات مشتركة مثل إشراك أصحاب المصلحة، تطوير الكفاءات المتعلقة بالاستدامة، ودمج معايير الاستدامة في إدارة محافظ المشاريع.</w:t>
      </w:r>
    </w:p>
    <w:p w14:paraId="473D60D3">
      <w:pPr>
        <w:bidi/>
        <w:rPr>
          <w:rFonts w:hint="default"/>
          <w:rtl/>
        </w:rPr>
      </w:pPr>
      <w:r>
        <w:rPr>
          <w:rFonts w:hint="default"/>
          <w:rtl/>
        </w:rPr>
        <w:t>تُعزز الدراسة إطارها النظري من خلال حالة تطبيقية لمشروع تدفئة مستدام في النرويج (</w:t>
      </w:r>
      <w:r>
        <w:rPr>
          <w:rFonts w:hint="default"/>
        </w:rPr>
        <w:t>Hot Fjord</w:t>
      </w:r>
      <w:r>
        <w:rPr>
          <w:rFonts w:hint="default"/>
          <w:rtl/>
        </w:rPr>
        <w:t>)، حيث توضح كيف تتفاعل هذه الاستراتيجيات عمليًا داخل مشروع حقيقي، وغالبًا بصورة تطورية غير مخططة بالكامل منذ البداية، بل تتشكل تدريجيًا مع نضج الفهم المؤسسي.</w:t>
      </w:r>
    </w:p>
    <w:p w14:paraId="74E25787">
      <w:pPr>
        <w:bidi/>
        <w:rPr>
          <w:rFonts w:hint="default"/>
          <w:rtl/>
        </w:rPr>
      </w:pPr>
      <w:r>
        <w:rPr>
          <w:rFonts w:hint="default"/>
          <w:rtl/>
        </w:rPr>
        <w:t>يُظهر التحليل أن الاستدامة في المشاريع لا تُدار فقط عبر أدوات فنية، بل عبر تفاعل مؤسسي متعدد المستويات يجمع بين السياسات، والحوكمة، والتصميم، وإدارة أصحاب المصلحة. كما يتضح أن مرحلة التكوين المبكرة للمشروع تمثل نقطة محورية لإدماج الاعتبارات المستدامة، سواء عبر قرارات اختيار المشروع أو عبر إشراك الفاعلين المؤثرين.</w:t>
      </w:r>
    </w:p>
    <w:p w14:paraId="0B60297C">
      <w:pPr>
        <w:bidi/>
        <w:rPr>
          <w:rStyle w:val="16"/>
          <w:rFonts w:hint="default" w:ascii="Simplified Arabic" w:hAnsi="Simplified Arabic" w:cs="Simplified Arabic"/>
          <w:b w:val="0"/>
          <w:bCs w:val="0"/>
          <w:sz w:val="22"/>
          <w:rtl/>
        </w:rPr>
      </w:pPr>
      <w:r>
        <w:rPr>
          <w:rFonts w:hint="default"/>
          <w:rtl/>
        </w:rPr>
        <w:t>تقدم الدراسة بذلك إطارًا تصنيفيًا مهمًا يساعد على فهم آليات إدارة الاستدامة داخل المشاريع من منظور استراتيجي شامل، ويضع أساسًا نظريًا يمكن البناء عليه في دراسات تحليل العلاقة بين جودة التنفيذ، الحوكمة، والأداء المستدام طويل الأمد للأصول.</w:t>
      </w:r>
    </w:p>
    <w:p w14:paraId="6490A90A">
      <w:pPr>
        <w:pStyle w:val="3"/>
        <w:numPr>
          <w:ilvl w:val="0"/>
          <w:numId w:val="9"/>
        </w:numPr>
        <w:bidi/>
        <w:outlineLvl w:val="0"/>
        <w:rPr>
          <w:rStyle w:val="16"/>
          <w:rFonts w:hint="default" w:ascii="Simplified Arabic" w:hAnsi="Simplified Arabic" w:cs="Simplified Arabic"/>
          <w:b w:val="0"/>
          <w:bCs w:val="0"/>
          <w:sz w:val="22"/>
          <w:rtl/>
        </w:rPr>
      </w:pPr>
      <w:bookmarkStart w:id="58" w:name="_Toc31430"/>
      <w:r>
        <w:rPr>
          <w:rFonts w:hint="default"/>
          <w:rtl/>
        </w:rPr>
        <w:t xml:space="preserve">دراسة </w:t>
      </w:r>
      <w:r>
        <w:rPr>
          <w:rFonts w:hint="default"/>
        </w:rPr>
        <w:t>Kiani Mavi et al</w:t>
      </w:r>
      <w:r>
        <w:rPr>
          <w:rFonts w:hint="default"/>
          <w:rtl/>
        </w:rPr>
        <w:t>. (2021)</w:t>
      </w:r>
      <w:bookmarkEnd w:id="58"/>
    </w:p>
    <w:p w14:paraId="7630D60B">
      <w:pPr>
        <w:bidi/>
        <w:rPr>
          <w:rFonts w:hint="default"/>
          <w:rtl/>
        </w:rPr>
      </w:pPr>
      <w:r>
        <w:rPr>
          <w:rFonts w:hint="default"/>
          <w:rtl/>
        </w:rPr>
        <w:t xml:space="preserve">تسعى هذه الدراسة إلى تحديد الاتجاهات البحثية الرئيسة في مجال الاستدامة في مشاريع البناء، من خلال مراجعة منهجية للأدبيات المنشورة بين عامي 2015 و2020 في أبرز المجلات العلمية المتخصصة. اعتمد الباحثون منهجية تحليل ببليومتري متقدمة باستخدام أداتي </w:t>
      </w:r>
      <w:r>
        <w:rPr>
          <w:rFonts w:hint="default"/>
        </w:rPr>
        <w:t>BibExcel</w:t>
      </w:r>
      <w:r>
        <w:rPr>
          <w:rFonts w:hint="default"/>
          <w:rtl/>
        </w:rPr>
        <w:t xml:space="preserve"> و</w:t>
      </w:r>
      <w:r>
        <w:rPr>
          <w:rFonts w:hint="default"/>
        </w:rPr>
        <w:t>Gephi</w:t>
      </w:r>
      <w:r>
        <w:rPr>
          <w:rFonts w:hint="default"/>
          <w:rtl/>
        </w:rPr>
        <w:t>، مع تطبيق تحليل شبكة توازي التركيز البحثي (</w:t>
      </w:r>
      <w:r>
        <w:rPr>
          <w:rFonts w:hint="default"/>
        </w:rPr>
        <w:t>RFPN</w:t>
      </w:r>
      <w:r>
        <w:rPr>
          <w:rFonts w:hint="default"/>
          <w:rtl/>
        </w:rPr>
        <w:t>) وتحليل التشارك في الكلمات المفتاحية (</w:t>
      </w:r>
      <w:r>
        <w:rPr>
          <w:rFonts w:hint="default"/>
        </w:rPr>
        <w:t>KCON</w:t>
      </w:r>
      <w:r>
        <w:rPr>
          <w:rFonts w:hint="default"/>
          <w:rtl/>
        </w:rPr>
        <w:t>)، مما أتاح فهماً هيكلياً للعلاقات بين الدراسات والموضوعات البحثية.</w:t>
      </w:r>
    </w:p>
    <w:p w14:paraId="1CB1F4B2">
      <w:pPr>
        <w:bidi/>
        <w:rPr>
          <w:rFonts w:hint="default"/>
          <w:rtl/>
        </w:rPr>
      </w:pPr>
      <w:r>
        <w:rPr>
          <w:rFonts w:hint="default"/>
          <w:rtl/>
        </w:rPr>
        <w:t>أظهرت نتائج التحليل أن الأدبيات تنقسم إلى ثلاثة تيارات رئيسية:</w:t>
      </w:r>
    </w:p>
    <w:p w14:paraId="47CFAFFB">
      <w:pPr>
        <w:numPr>
          <w:ilvl w:val="0"/>
          <w:numId w:val="10"/>
        </w:numPr>
        <w:bidi/>
        <w:ind w:left="420" w:leftChars="0" w:hanging="420" w:firstLineChars="0"/>
        <w:rPr>
          <w:rFonts w:hint="default"/>
          <w:rtl/>
        </w:rPr>
      </w:pPr>
      <w:r>
        <w:rPr>
          <w:rFonts w:hint="default"/>
          <w:rtl/>
        </w:rPr>
        <w:t>تقييم الاستدامة،</w:t>
      </w:r>
    </w:p>
    <w:p w14:paraId="3FE62A26">
      <w:pPr>
        <w:numPr>
          <w:ilvl w:val="0"/>
          <w:numId w:val="10"/>
        </w:numPr>
        <w:bidi/>
        <w:ind w:left="420" w:leftChars="0" w:hanging="420" w:firstLineChars="0"/>
        <w:rPr>
          <w:rFonts w:hint="default"/>
          <w:rtl/>
        </w:rPr>
      </w:pPr>
      <w:r>
        <w:rPr>
          <w:rFonts w:hint="default"/>
          <w:rtl/>
        </w:rPr>
        <w:t>إدارة المشاريع من أجل الاستدامة،</w:t>
      </w:r>
    </w:p>
    <w:p w14:paraId="1D7FA42C">
      <w:pPr>
        <w:numPr>
          <w:ilvl w:val="0"/>
          <w:numId w:val="10"/>
        </w:numPr>
        <w:bidi/>
        <w:ind w:left="420" w:leftChars="0" w:hanging="420" w:firstLineChars="0"/>
        <w:rPr>
          <w:rFonts w:hint="default"/>
          <w:rtl/>
        </w:rPr>
      </w:pPr>
      <w:r>
        <w:rPr>
          <w:rFonts w:hint="default"/>
          <w:rtl/>
        </w:rPr>
        <w:t>محركات البناء المستدام.</w:t>
      </w:r>
    </w:p>
    <w:p w14:paraId="10B97618">
      <w:pPr>
        <w:bidi/>
        <w:rPr>
          <w:rFonts w:hint="default"/>
          <w:rtl/>
        </w:rPr>
      </w:pPr>
      <w:r>
        <w:rPr>
          <w:rFonts w:hint="default"/>
          <w:rtl/>
        </w:rPr>
        <w:t>أبرزت النتائج أن مفهوم الاستدامة يرتبط بقوة بكلمات مثل “</w:t>
      </w:r>
      <w:r>
        <w:rPr>
          <w:rFonts w:hint="default"/>
        </w:rPr>
        <w:t>construction</w:t>
      </w:r>
      <w:r>
        <w:rPr>
          <w:rFonts w:hint="default"/>
          <w:rtl/>
        </w:rPr>
        <w:t>” و“</w:t>
      </w:r>
      <w:r>
        <w:rPr>
          <w:rFonts w:hint="default"/>
        </w:rPr>
        <w:t>project management</w:t>
      </w:r>
      <w:r>
        <w:rPr>
          <w:rFonts w:hint="default"/>
          <w:rtl/>
        </w:rPr>
        <w:t>”، مما يدل على ترابط مفاهيمي عالٍ بين الإدارة والتنفيذ والنتائج المستدامة. كما كشفت الدراسة أن جانب “التقييم والقياس” يشكل محوراً مركزياً، إذ إن معظم النماذج المقترحة تعتمد على مؤشرات أداء، أو أنظمة تقييم متعددة الأبعاد، أو مؤشرات مركبة لقياس الأداء الاقتصادي والاجتماعي والبيئي.</w:t>
      </w:r>
    </w:p>
    <w:p w14:paraId="71F55DFD">
      <w:pPr>
        <w:bidi/>
        <w:rPr>
          <w:rFonts w:hint="default"/>
          <w:rtl/>
        </w:rPr>
      </w:pPr>
      <w:r>
        <w:rPr>
          <w:rFonts w:hint="default"/>
          <w:rtl/>
        </w:rPr>
        <w:t>ورغم كثافة الطرح النظري وتعدد أدوات القياس، يتضح أن التكامل بين مراحل المشروع لا يزال يُناقش غالباً من زاوية الإدارة أو التصميم أكثر من كونه عملية مستمرة تمتد عبر دورة حياة الأصل. كما أن بعض النماذج تميل إلى تبسيط الاستدامة في مؤشرات كمية، ما قد يُغفل التعقيد التشغيلي طويل الأمد، خصوصاً في المشاريع الكبرى عالية التعقيد.</w:t>
      </w:r>
    </w:p>
    <w:p w14:paraId="0E19AB98">
      <w:pPr>
        <w:bidi/>
        <w:rPr>
          <w:rFonts w:hint="default"/>
          <w:rtl/>
        </w:rPr>
      </w:pPr>
      <w:r>
        <w:rPr>
          <w:rFonts w:hint="default"/>
          <w:rtl/>
        </w:rPr>
        <w:t>وتؤكد الدراسة أهمية إدماج الاستدامة منذ المراحل المبكرة (التصميم ودراسات الجدوى)، مع ضرورة مراقبتها طوال دورة حياة المشروع، بما يشمل مراحل التنفيذ والتشغيل والتفكيك. هذا الطرح يعزز الاتجاه الذي يرى أن جودة التنفيذ ليست مسألة فنية بحتة، بل ركيزة استراتيجية تؤثر على الأداء المستدام لاحقاً.</w:t>
      </w:r>
    </w:p>
    <w:p w14:paraId="70F30A3C">
      <w:pPr>
        <w:bidi/>
        <w:rPr>
          <w:rStyle w:val="16"/>
          <w:rFonts w:hint="default" w:ascii="Simplified Arabic" w:hAnsi="Simplified Arabic" w:cs="Simplified Arabic"/>
          <w:b w:val="0"/>
          <w:bCs w:val="0"/>
          <w:sz w:val="22"/>
          <w:rtl/>
        </w:rPr>
      </w:pPr>
      <w:r>
        <w:rPr>
          <w:rFonts w:hint="default"/>
          <w:rtl/>
        </w:rPr>
        <w:t xml:space="preserve">يمثل هذا البحث مرجعاً نظرياً مهماً لفهم البنية العامة لأدبيات الاستدامة في مشاريع البناء، كما يوفر خريطة مفاهيمية يمكن الانطلاق منها لتحليل العلاقة بين جودة الأعمال الإنشائية والأداء التشغيلي المستدام، خاصة عند دراسة الترابط بين مؤشرات التنفيذ ومخرجات الاستدامة عبر الأبعاد الأربعة. </w:t>
      </w:r>
    </w:p>
    <w:p w14:paraId="00F150A8">
      <w:pPr>
        <w:pStyle w:val="3"/>
        <w:numPr>
          <w:ilvl w:val="0"/>
          <w:numId w:val="9"/>
        </w:numPr>
        <w:bidi/>
        <w:outlineLvl w:val="0"/>
        <w:rPr>
          <w:rStyle w:val="16"/>
          <w:rFonts w:hint="default" w:ascii="Simplified Arabic" w:hAnsi="Simplified Arabic" w:cs="Simplified Arabic"/>
          <w:b w:val="0"/>
          <w:bCs w:val="0"/>
        </w:rPr>
      </w:pPr>
      <w:bookmarkStart w:id="59" w:name="_Toc892"/>
      <w:r>
        <w:rPr>
          <w:rFonts w:hint="default"/>
          <w:rtl/>
        </w:rPr>
        <w:t>دراسة:</w:t>
      </w:r>
      <w:r>
        <w:rPr>
          <w:rFonts w:hint="default"/>
        </w:rPr>
        <w:t xml:space="preserve"> Istri et al</w:t>
      </w:r>
      <w:r>
        <w:rPr>
          <w:rFonts w:hint="default"/>
          <w:rtl/>
        </w:rPr>
        <w:t>. (2024):</w:t>
      </w:r>
      <w:bookmarkEnd w:id="59"/>
    </w:p>
    <w:p w14:paraId="3BAA9E4B">
      <w:pPr>
        <w:bidi/>
        <w:rPr>
          <w:rFonts w:hint="default"/>
          <w:rtl/>
        </w:rPr>
      </w:pPr>
      <w:r>
        <w:rPr>
          <w:rFonts w:hint="default"/>
          <w:rtl/>
        </w:rPr>
        <w:t>تتناول هذه الدراسة العلاقة بين تطبيق ممارسات البناء الأخضر وأداء المشاريع الإنشائية من خلال نموذج تحليلي متقدم يعتمد على نمذجة المعادلات الهيكلية (</w:t>
      </w:r>
      <w:r>
        <w:rPr>
          <w:rFonts w:hint="default"/>
        </w:rPr>
        <w:t>SEM</w:t>
      </w:r>
      <w:r>
        <w:rPr>
          <w:rFonts w:hint="default"/>
          <w:rtl/>
        </w:rPr>
        <w:t xml:space="preserve">) باستخدام منهج </w:t>
      </w:r>
      <w:r>
        <w:rPr>
          <w:rFonts w:hint="default"/>
        </w:rPr>
        <w:t>WarpPLS</w:t>
      </w:r>
      <w:r>
        <w:rPr>
          <w:rFonts w:hint="default"/>
          <w:rtl/>
        </w:rPr>
        <w:t>. تنطلق الدراسة من واقع أن قطاع البناء يُعد من أكثر القطاعات تأثيرًا بيئيًا، سواء من حيث إنتاج المخلفات، أو انبعاثات الغازات، أو استهلاك الموارد، إضافة إلى ارتفاع معدلات الحوادث المهنية. ومن هذا المنطلق، تحاول الدراسة الانتقال من الطرح النظري لمفهوم البناء الأخضر إلى قياس أثره الفعلي على أداء المشروع.</w:t>
      </w:r>
    </w:p>
    <w:p w14:paraId="30C0844B">
      <w:pPr>
        <w:bidi/>
        <w:rPr>
          <w:rFonts w:hint="default"/>
          <w:lang w:val="en-US"/>
        </w:rPr>
      </w:pPr>
      <w:r>
        <w:rPr>
          <w:rFonts w:hint="default"/>
          <w:rtl/>
        </w:rPr>
        <w:t>اعتمد الباحثون على بناء نموذج مفاهيمي يربط بين متغير مستقل يتمثل في “مؤشرات البناء الأخضر” (20 مؤشرًا) ومتغير تابع يتمثل في “أداء المشروع”، والذي تم تقسيمه إلى خمسة أبعاد: الأداء المالي، الزمني، الجودة، السلامة والصحة المهنية (</w:t>
      </w:r>
      <w:r>
        <w:rPr>
          <w:rFonts w:hint="default"/>
        </w:rPr>
        <w:t>OHS</w:t>
      </w:r>
      <w:r>
        <w:rPr>
          <w:rFonts w:hint="default"/>
          <w:rtl/>
        </w:rPr>
        <w:t>)، وأداء المبنى الأخضر. وقد أظهرت نتائج اختبار الملاءمة الإحصائية للنموذج (</w:t>
      </w:r>
      <w:r>
        <w:rPr>
          <w:rFonts w:hint="default"/>
        </w:rPr>
        <w:t>GoF = 0.451</w:t>
      </w:r>
      <w:r>
        <w:rPr>
          <w:rFonts w:hint="default"/>
          <w:rtl/>
        </w:rPr>
        <w:t>) أن النموذج يتمتع بقوة تفسيرية مرتفعة، مع دلالات إحصائية قوية للمسارات الرئيسة.</w:t>
      </w:r>
    </w:p>
    <w:p w14:paraId="64A00BAF">
      <w:pPr>
        <w:bidi/>
        <w:rPr>
          <w:rFonts w:hint="default"/>
          <w:rtl/>
        </w:rPr>
      </w:pPr>
      <w:r>
        <w:rPr>
          <w:rFonts w:hint="default"/>
          <w:rtl/>
        </w:rPr>
        <w:t>كشفت النتائج أن أقوى تأثير للبناء الأخضر كان على الأداء المالي (</w:t>
      </w:r>
      <w:r>
        <w:rPr>
          <w:rFonts w:hint="default"/>
        </w:rPr>
        <w:t>β = 0.74, P &lt; 0.01</w:t>
      </w:r>
      <w:r>
        <w:rPr>
          <w:rFonts w:hint="default"/>
          <w:rtl/>
        </w:rPr>
        <w:t>)، مما يدل على ارتباط مباشر بين تطبيق الممارسات الخضراء وتحسين مؤشرات التكلفة الفعلية والقيمة المخططة. كما ظهر تأثير متوسط ودال إحصائيًا على الأداء الزمني (</w:t>
      </w:r>
      <w:r>
        <w:rPr>
          <w:rFonts w:hint="default"/>
        </w:rPr>
        <w:t>β = 0.40</w:t>
      </w:r>
      <w:r>
        <w:rPr>
          <w:rFonts w:hint="default"/>
          <w:rtl/>
        </w:rPr>
        <w:t>)، والجودة (</w:t>
      </w:r>
      <w:r>
        <w:rPr>
          <w:rFonts w:hint="default"/>
        </w:rPr>
        <w:t>β = 0.46</w:t>
      </w:r>
      <w:r>
        <w:rPr>
          <w:rFonts w:hint="default"/>
          <w:rtl/>
        </w:rPr>
        <w:t>)، والسلامة المهنية (</w:t>
      </w:r>
      <w:r>
        <w:rPr>
          <w:rFonts w:hint="default"/>
        </w:rPr>
        <w:t>β = 0.40</w:t>
      </w:r>
      <w:r>
        <w:rPr>
          <w:rFonts w:hint="default"/>
          <w:rtl/>
        </w:rPr>
        <w:t>). أما المفارقة اللافتة فكانت في أن تطبيق البناء الأخضر لم يظهر تأثيرًا معنويًا مباشرًا على “أداء المبنى الأخضر” ذاته، حيث تبين أن تحقيق 86% من مؤشرات البناء الأخضر يمثل النقطة المثلى بين الاستدامة والكفاءة التشغيلية، مقارنة بالتطبيق الكامل بنسبة 100%.</w:t>
      </w:r>
    </w:p>
    <w:p w14:paraId="52D2B86E">
      <w:pPr>
        <w:bidi/>
        <w:rPr>
          <w:rFonts w:hint="default"/>
          <w:rtl/>
        </w:rPr>
      </w:pPr>
      <w:r>
        <w:rPr>
          <w:rFonts w:hint="default"/>
          <w:rtl/>
        </w:rPr>
        <w:t>ومن خلال تحليل أوزان المؤشرات، برز “توثيق المشروع” كأكثر مؤشرات البناء الأخضر تأثيرًا، في حين كانت “كفاءة الطاقة” الأقل وزنًا نسبيًا. كما أظهرت الرسوم البيانية (الصفحات 9–12) أن الأداء المالي يرتكز أساسًا على التكلفة الفعلية والقيمة المخططة، بينما يركز الأداء الزمني على تسريع التسليم والالتزام بالجدول، ويُعطي الأداء النوعي أهمية أكبر لجودة النظام وجودة التنفيذ الفعلي، في حين تتصدر إصابات العمل ومعدلات الحوادث مؤشرات السلامة المهنية.</w:t>
      </w:r>
    </w:p>
    <w:p w14:paraId="10263F13">
      <w:pPr>
        <w:bidi/>
        <w:rPr>
          <w:rStyle w:val="16"/>
          <w:rFonts w:hint="default" w:ascii="Simplified Arabic" w:hAnsi="Simplified Arabic" w:cs="Simplified Arabic"/>
          <w:b w:val="0"/>
          <w:bCs w:val="0"/>
          <w:sz w:val="22"/>
          <w:rtl/>
        </w:rPr>
      </w:pPr>
      <w:r>
        <w:rPr>
          <w:rFonts w:hint="default"/>
          <w:rtl/>
        </w:rPr>
        <w:t xml:space="preserve">تقدم الدراسة بذلك نموذجًا كميًا متكاملًا يربط بين تطبيق ممارسات البناء الأخضر ومخرجات الأداء متعددة الأبعاد، مع إظهار أن العلاقة ليست خطية بالكامل، بل تتأثر بدرجة التطبيق ومستوى التوازن بين المتطلبات البيئية والقيود التشغيلية. </w:t>
      </w:r>
    </w:p>
    <w:p w14:paraId="25545C80">
      <w:pPr>
        <w:pStyle w:val="3"/>
        <w:numPr>
          <w:ilvl w:val="0"/>
          <w:numId w:val="9"/>
        </w:numPr>
        <w:bidi/>
        <w:outlineLvl w:val="0"/>
        <w:rPr>
          <w:rFonts w:hint="default"/>
          <w:lang w:val="en-US"/>
        </w:rPr>
      </w:pPr>
      <w:bookmarkStart w:id="60" w:name="_Toc23542"/>
      <w:r>
        <w:rPr>
          <w:rFonts w:hint="default"/>
          <w:lang w:val="en-US"/>
        </w:rPr>
        <w:t>Raouf &amp; Al-Ghamdi</w:t>
      </w:r>
      <w:r>
        <w:rPr>
          <w:rFonts w:hint="default"/>
          <w:rtl/>
          <w:lang w:val="en-US"/>
        </w:rPr>
        <w:t xml:space="preserve"> (2023).</w:t>
      </w:r>
      <w:bookmarkEnd w:id="60"/>
    </w:p>
    <w:p w14:paraId="156C394F">
      <w:pPr>
        <w:bidi/>
        <w:rPr>
          <w:rFonts w:hint="default"/>
          <w:rtl/>
          <w:lang w:val="en-US"/>
        </w:rPr>
      </w:pPr>
      <w:r>
        <w:rPr>
          <w:rFonts w:hint="default"/>
          <w:rtl/>
          <w:lang w:val="en-US"/>
        </w:rPr>
        <w:t xml:space="preserve">اتخذ هذا البحث موضوع جودة تنفيذ المباني الخضراء من خلال تطوير إطار تحليلي يربط بين مرحلتي الإنشاء والتشغيل لضمان تحقيق أهداف الاستدامة المرتبطة بالمباني الخضراء. وتستند الدراسة إلى حقيقة أن قطاع البناء يُعد من أكثر القطاعات تأثيرًا على البيئة نتيجة استهلاك الموارد الطبيعية والانبعاثات الناتجة عن الأنشطة الإنشائية، حيث تشير الدراسات إلى أن عمليات البناء تسهم بشكل كبير في إنتاج النفايات والانبعاثات الكربونية واستهلاك الطاقة والمياه، مما يجعل تطبيق مبادئ البناء الأخضر ضرورة لتحقيق التوازن بين التنمية العمرانية والحفاظ على البيئة. </w:t>
      </w:r>
    </w:p>
    <w:p w14:paraId="458AFDBA">
      <w:pPr>
        <w:bidi/>
        <w:rPr>
          <w:rFonts w:hint="default"/>
          <w:rtl/>
          <w:lang w:val="en-US"/>
        </w:rPr>
      </w:pPr>
      <w:r>
        <w:rPr>
          <w:rFonts w:hint="default"/>
          <w:rtl/>
          <w:lang w:val="en-US"/>
        </w:rPr>
        <w:t>اعتمدت الدراسة منهجية بحث تجمع بين مراجعة الأدبيات العلمية، والمقابلات شبه المنظمة مع خبراء في قطاع البناء، بالإضافة إلى جلسات نقاش جماعية (</w:t>
      </w:r>
      <w:r>
        <w:rPr>
          <w:rFonts w:hint="default"/>
          <w:lang w:val="en-US"/>
        </w:rPr>
        <w:t>Focus Group</w:t>
      </w:r>
      <w:r>
        <w:rPr>
          <w:rFonts w:hint="default"/>
          <w:rtl/>
          <w:lang w:val="en-US"/>
        </w:rPr>
        <w:t xml:space="preserve">) بهدف تطوير إطار شامل لتقييم جودة تنفيذ مشاريع المباني الخضراء عبر مختلف مراحل دورة حياة المشروع. وقد شملت عينة الدراسة مجموعة من المتخصصين في إدارة المشاريع والهندسة والاستدامة ممن يمتلكون خبرة طويلة في مشاريع المباني الخضراء المعتمدة وفق أنظمة تقييم مثل </w:t>
      </w:r>
      <w:r>
        <w:rPr>
          <w:rFonts w:hint="default"/>
          <w:lang w:val="en-US"/>
        </w:rPr>
        <w:t>LEED</w:t>
      </w:r>
      <w:r>
        <w:rPr>
          <w:rFonts w:hint="default"/>
          <w:rtl/>
          <w:lang w:val="en-US"/>
        </w:rPr>
        <w:t xml:space="preserve"> و</w:t>
      </w:r>
      <w:r>
        <w:rPr>
          <w:rFonts w:hint="default"/>
          <w:lang w:val="en-US"/>
        </w:rPr>
        <w:t>GSAS</w:t>
      </w:r>
      <w:r>
        <w:rPr>
          <w:rFonts w:hint="default"/>
          <w:rtl/>
          <w:lang w:val="en-US"/>
        </w:rPr>
        <w:t>.</w:t>
      </w:r>
    </w:p>
    <w:p w14:paraId="7E3068D9">
      <w:pPr>
        <w:bidi/>
        <w:rPr>
          <w:rFonts w:hint="default"/>
          <w:rtl/>
          <w:lang w:val="en-US"/>
        </w:rPr>
      </w:pPr>
      <w:r>
        <w:rPr>
          <w:rFonts w:hint="default"/>
          <w:rtl/>
          <w:lang w:val="en-US"/>
        </w:rPr>
        <w:t>ركزت الدراسة على تحليل العلاقة بين جودة التنفيذ في مرحلة الإنشاء وبين الأداء التشغيلي للمبنى بعد الانتهاء من المشروع، حيث أكدت النتائج أن العديد من المشكلات التي تظهر في مرحلة التشغيل تعود أساسًا إلى قصور في جودة التنفيذ خلال مرحلة البناء مثل ضعف الالتزام بالمواصفات، أو سوء تركيب الأنظمة الميكانيكية والكهربائية، أو عدم كفاءة التنسيق بين الأطراف المشاركة في المشروع. كما أشارت الدراسة إلى أن تطبيق إجراءات ضبط الجودة مثل الفحص المستمر، واختبارات الأداء، وعمليات الـ</w:t>
      </w:r>
      <w:r>
        <w:rPr>
          <w:rFonts w:hint="default"/>
          <w:lang w:val="en-US"/>
        </w:rPr>
        <w:t>Commissioning</w:t>
      </w:r>
      <w:r>
        <w:rPr>
          <w:rFonts w:hint="default"/>
          <w:rtl/>
          <w:lang w:val="en-US"/>
        </w:rPr>
        <w:t xml:space="preserve"> يسهم بشكل كبير في تقليل الأخطاء وتحسين أداء المباني الخضراء على المدى الطويل.</w:t>
      </w:r>
    </w:p>
    <w:p w14:paraId="243EFC7E">
      <w:pPr>
        <w:bidi/>
        <w:rPr>
          <w:rFonts w:hint="default"/>
          <w:rtl/>
          <w:lang w:val="en-US"/>
        </w:rPr>
      </w:pPr>
      <w:r>
        <w:rPr>
          <w:rFonts w:hint="default"/>
          <w:rtl/>
          <w:lang w:val="en-US"/>
        </w:rPr>
        <w:t>كما أبرزت النتائج أهمية التنسيق بين مراحل التصميم والتنفيذ والتشغيل، حيث إن ضعف التواصل بين هذه المراحل يؤدي غالبًا إلى عدم تحقيق الأداء البيئي المتوقع للمباني الخضراء. كذلك أشارت الدراسة إلى أن اختيار نظام تسليم المشروع (</w:t>
      </w:r>
      <w:r>
        <w:rPr>
          <w:rFonts w:hint="default"/>
          <w:lang w:val="en-US"/>
        </w:rPr>
        <w:t>Project Delivery System</w:t>
      </w:r>
      <w:r>
        <w:rPr>
          <w:rFonts w:hint="default"/>
          <w:rtl/>
          <w:lang w:val="en-US"/>
        </w:rPr>
        <w:t>) يلعب دورًا مهمًا في مستوى الجودة، حيث يمكن لبعض الأنظمة التعاقدية أن تعزز التعاون بين الأطراف المختلفة وتحسن من كفاءة تنفيذ متطلبات الاستدامة.</w:t>
      </w:r>
    </w:p>
    <w:p w14:paraId="0240D501">
      <w:pPr>
        <w:bidi/>
        <w:rPr>
          <w:rFonts w:hint="default"/>
          <w:rtl/>
          <w:lang w:val="en-US"/>
        </w:rPr>
      </w:pPr>
      <w:r>
        <w:rPr>
          <w:rFonts w:hint="default"/>
          <w:rtl/>
          <w:lang w:val="en-US"/>
        </w:rPr>
        <w:t>وبشكل عام، تقدم هذه الدراسة إطارًا منهجيًا يساعد الجهات المالكة والمصممين ومديري المشاريع على تقييم جودة تنفيذ مشاريع المباني الخضراء بطريقة أكثر تكاملًا، مع التركيز على أهمية الربط بين متطلبات الاستدامة وجودة التنفيذ لضمان تحقيق الأداء البيئي والتشغيلي المستهدف للمباني.</w:t>
      </w:r>
    </w:p>
    <w:p w14:paraId="61D381F7">
      <w:pPr>
        <w:pStyle w:val="3"/>
        <w:bidi/>
        <w:rPr>
          <w:rFonts w:hint="cs"/>
          <w:rtl/>
          <w:lang w:val="en-US"/>
        </w:rPr>
      </w:pPr>
      <w:bookmarkStart w:id="61" w:name="_Toc6566"/>
      <w:r>
        <w:rPr>
          <w:rFonts w:hint="cs"/>
          <w:rtl/>
          <w:lang w:val="en-US"/>
        </w:rPr>
        <w:t>الملخص</w:t>
      </w:r>
      <w:bookmarkEnd w:id="61"/>
    </w:p>
    <w:p w14:paraId="06ADF4CE">
      <w:pPr>
        <w:bidi/>
        <w:rPr>
          <w:rFonts w:hint="default"/>
          <w:rtl/>
          <w:lang w:val="en-US"/>
        </w:rPr>
      </w:pPr>
      <w:r>
        <w:rPr>
          <w:rFonts w:hint="default"/>
          <w:rtl/>
          <w:lang w:val="en-US"/>
        </w:rPr>
        <w:t>يتضح من خلال استعراض الدراسات السابقة أن موضوع الاستدامة في المشاريع الإنشائية وإدارة المعرفة في المنظمات المعتمدة على المشاريع قد حظي باهتمام متزايد في الأدبيات العلمية خلال السنوات الأخيرة. فقد تناولت العديد من الدراسات تأثير ممارسات الاستدامة على أداء المشاريع، في حين ركزت دراسات أخرى على دور إدارة المعرفة ونقل المعرفة في تحسين كفاءة الأداء التنظيمي وتعزيز القدرة على الاستفادة من الخبرات المتراكمة داخل المؤسسات.</w:t>
      </w:r>
    </w:p>
    <w:p w14:paraId="29710B50">
      <w:pPr>
        <w:bidi/>
        <w:rPr>
          <w:rFonts w:hint="default"/>
          <w:rtl/>
          <w:lang w:val="en-US"/>
        </w:rPr>
      </w:pPr>
      <w:r>
        <w:rPr>
          <w:rFonts w:hint="default"/>
          <w:rtl/>
          <w:lang w:val="en-US"/>
        </w:rPr>
        <w:t>كما أظهرت هذه الدراسات تنوعًا في الأساليب والمنهجيات المستخدمة لدراسة هذه الموضوعات، إضافة إلى اختلاف السياقات التطبيقية التي تناولتها، الأمر الذي أسهم في تقديم رؤى متعددة حول العوامل المؤثرة في تحقيق الاستدامة وتحسين الأداء في المشاريع المعتمدة على المعرفة. ومن خلال تحليل هذه الدراسات يمكن ملاحظة وجود مجموعة من النقاط المشتركة والاتجاهات البحثية التي تساعد في تكوين تصور أكثر وضوحًا حول العلاقة بين مفاهيم الاستدامة وإدارة المعرفة في قطاع المشاريع.</w:t>
      </w:r>
    </w:p>
    <w:p w14:paraId="5B7F42D9">
      <w:pPr>
        <w:bidi/>
        <w:rPr>
          <w:rFonts w:hint="default"/>
          <w:rtl/>
          <w:lang w:val="en-US"/>
        </w:rPr>
      </w:pPr>
      <w:r>
        <w:rPr>
          <w:rFonts w:hint="default"/>
          <w:rtl/>
          <w:lang w:val="en-US"/>
        </w:rPr>
        <w:t>وبناءً على ذلك، سيتم في الفقرة التالية تقديم تحليل تكاملي لأبرز ما توصلت إليه الدراسات السابقة، بهدف إبراز أوجه التشابه والاختلاف بينها، وتوضيح الاتجاهات البحثية المرتبطة بموضوع الدراسة الحالية.</w:t>
      </w:r>
    </w:p>
    <w:p w14:paraId="72ABCE7E">
      <w:pPr>
        <w:bidi/>
        <w:rPr>
          <w:rFonts w:hint="default"/>
          <w:rtl/>
          <w:lang w:val="en-US"/>
        </w:rPr>
      </w:pPr>
    </w:p>
    <w:p w14:paraId="06C74504">
      <w:pPr>
        <w:pStyle w:val="3"/>
        <w:bidi/>
        <w:rPr>
          <w:rFonts w:hint="default"/>
          <w:rtl/>
        </w:rPr>
      </w:pPr>
      <w:bookmarkStart w:id="62" w:name="_Toc28265"/>
      <w:r>
        <w:rPr>
          <w:rFonts w:hint="default"/>
          <w:rtl/>
        </w:rPr>
        <w:t>أولًا: الربط بين الدراسات السابقة</w:t>
      </w:r>
      <w:bookmarkEnd w:id="62"/>
    </w:p>
    <w:p w14:paraId="514C20CF">
      <w:pPr>
        <w:bidi/>
        <w:spacing w:line="240" w:lineRule="auto"/>
        <w:jc w:val="left"/>
        <w:rPr>
          <w:rStyle w:val="16"/>
          <w:rFonts w:hint="default" w:ascii="Simplified Arabic" w:hAnsi="Simplified Arabic" w:cs="Simplified Arabic"/>
          <w:b w:val="0"/>
          <w:bCs w:val="0"/>
          <w:rtl/>
        </w:rPr>
      </w:pPr>
      <w:r>
        <w:rPr>
          <w:rStyle w:val="16"/>
          <w:rFonts w:hint="default" w:ascii="Simplified Arabic" w:hAnsi="Simplified Arabic" w:cs="Simplified Arabic"/>
          <w:b w:val="0"/>
          <w:bCs w:val="0"/>
          <w:rtl/>
        </w:rPr>
        <w:t>تشير الأدبيات السابقة إلى تزايد الاهتمام بتطبيق مفاهيم الاستدامة في قطاع البناء، لما لهذا القطاع من تأثيرات بيئية واقتصادية واجتماعية كبيرة. فقد ركزت العديد من الدراسات على أهمية تطبيق ممارسات البناء المستدام من أجل تقليل استهلاك الموارد الطبيعية وتحسين كفاءة استخدام الطاقة والمياه وتقليل الانبعاثات والنفايات الناتجة عن عمليات البناء والتشغيل. كما أوضحت مجموعة من الدراسات أن تبني استراتيجيات الاستدامة في المشاريع الإنشائية يمكن أن يسهم في تحسين الأداء البيئي والاقتصادي للمشاريع على المدى الطويل.</w:t>
      </w:r>
    </w:p>
    <w:p w14:paraId="655AF5DB">
      <w:pPr>
        <w:bidi/>
        <w:spacing w:line="240" w:lineRule="auto"/>
        <w:jc w:val="left"/>
        <w:rPr>
          <w:rStyle w:val="16"/>
          <w:rFonts w:hint="default" w:ascii="Simplified Arabic" w:hAnsi="Simplified Arabic" w:cs="Simplified Arabic"/>
          <w:b w:val="0"/>
          <w:bCs w:val="0"/>
          <w:rtl/>
        </w:rPr>
      </w:pPr>
      <w:r>
        <w:rPr>
          <w:rStyle w:val="16"/>
          <w:rFonts w:hint="default" w:ascii="Simplified Arabic" w:hAnsi="Simplified Arabic" w:cs="Simplified Arabic"/>
          <w:b w:val="0"/>
          <w:bCs w:val="0"/>
          <w:rtl/>
        </w:rPr>
        <w:t>وفي هذا السياق، تناولت بعض الدراسات دور إدارة المعرفة ونقل المعرفة في تحسين كفاءة تنفيذ المشاريع، حيث أشارت إلى أن نقل المعرفة بين مراحل المشروع المختلفة يسهم في تقليل الأخطاء وتحسين عملية اتخاذ القرار، إضافة إلى تعزيز الاستفادة من الخبرات المتراكمة داخل المنظمات. كما ركزت دراسات أخرى على العلاقة بين إدارة المعرفة والأداء التنظيمي، وأظهرت نتائجها أن المؤسسات التي تطبق ممارسات فعالة لإدارة المعرفة تحقق مستويات أعلى من الكفاءة التشغيلية والابتكار المؤسسي.</w:t>
      </w:r>
    </w:p>
    <w:p w14:paraId="49FE841A">
      <w:pPr>
        <w:bidi/>
        <w:spacing w:line="240" w:lineRule="auto"/>
        <w:jc w:val="left"/>
        <w:rPr>
          <w:rStyle w:val="16"/>
          <w:rFonts w:hint="default" w:ascii="Simplified Arabic" w:hAnsi="Simplified Arabic" w:cs="Simplified Arabic"/>
          <w:b w:val="0"/>
          <w:bCs w:val="0"/>
          <w:rtl/>
        </w:rPr>
      </w:pPr>
      <w:r>
        <w:rPr>
          <w:rStyle w:val="16"/>
          <w:rFonts w:hint="default" w:ascii="Simplified Arabic" w:hAnsi="Simplified Arabic" w:cs="Simplified Arabic"/>
          <w:b w:val="0"/>
          <w:bCs w:val="0"/>
          <w:rtl/>
        </w:rPr>
        <w:t>ومن جهة أخرى، اهتمت بعض الدراسات بدراسة ممارسات الاستدامة في المشاريع الإنشائية، خاصة ما يتعلق بتطبيق تقنيات البناء الأخضر وتأثيرها على أداء المشاريع من حيث الجودة والتكلفة والوقت. وقد أظهرت هذه الدراسات أن تطبيق ممارسات البناء الأخضر يسهم في تحسين الأداء العام للمشاريع وتقليل الآثار البيئية السلبية المرتبطة بقطاع البناء.</w:t>
      </w:r>
    </w:p>
    <w:p w14:paraId="6BD32688">
      <w:pPr>
        <w:bidi/>
        <w:spacing w:line="240" w:lineRule="auto"/>
        <w:jc w:val="left"/>
        <w:rPr>
          <w:rStyle w:val="16"/>
          <w:rFonts w:hint="default" w:ascii="Simplified Arabic" w:hAnsi="Simplified Arabic" w:cs="Simplified Arabic"/>
          <w:b w:val="0"/>
          <w:bCs w:val="0"/>
          <w:rtl/>
        </w:rPr>
      </w:pPr>
      <w:r>
        <w:rPr>
          <w:rStyle w:val="16"/>
          <w:rFonts w:hint="default" w:ascii="Simplified Arabic" w:hAnsi="Simplified Arabic" w:cs="Simplified Arabic"/>
          <w:b w:val="0"/>
          <w:bCs w:val="0"/>
          <w:rtl/>
        </w:rPr>
        <w:t>كما تناولت دراسات أخرى أهمية جودة التنفيذ في مشاريع المباني الخضراء، حيث أكدت أن نجاح تطبيق معايير الاستدامة لا يعتمد فقط على مرحلة التصميم، بل يتطلب أيضًا مستوى عاليًا من الجودة في مراحل التنفيذ والتشغيل. وقد بينت بعض الدراسات أن ضعف التنسيق بين مراحل التصميم والتنفيذ والتشغيل قد يؤدي إلى انخفاض الأداء الفعلي للمباني مقارنة بالأداء المتوقع في مرحلة التصميم.</w:t>
      </w:r>
    </w:p>
    <w:p w14:paraId="26D895C2">
      <w:pPr>
        <w:bidi/>
        <w:spacing w:line="240" w:lineRule="auto"/>
        <w:jc w:val="left"/>
        <w:rPr>
          <w:rStyle w:val="16"/>
          <w:rFonts w:hint="default" w:ascii="Simplified Arabic" w:hAnsi="Simplified Arabic" w:cs="Simplified Arabic"/>
          <w:b w:val="0"/>
          <w:bCs w:val="0"/>
          <w:rtl/>
        </w:rPr>
      </w:pPr>
      <w:r>
        <w:rPr>
          <w:rStyle w:val="16"/>
          <w:rFonts w:hint="default" w:ascii="Simplified Arabic" w:hAnsi="Simplified Arabic" w:cs="Simplified Arabic"/>
          <w:b w:val="0"/>
          <w:bCs w:val="0"/>
          <w:rtl/>
        </w:rPr>
        <w:t>وعلى الرغم من تعدد الدراسات التي تناولت الاستدامة وإدارة المعرفة في المشاريع الإنشائية، إلا أن معظم هذه الدراسات ركزت على كل متغير بشكل منفصل، سواء من حيث دراسة ممارسات الاستدامة في المشاريع أو دراسة إدارة المعرفة وتأثيرها على الأداء التنظيمي، في حين أن العلاقة بين هذه المتغيرات في سياق إدارة المرافق ومراحل دورة حياة المشروع ما تزال بحاجة إلى مزيد من الدراسة والتحليل.</w:t>
      </w:r>
    </w:p>
    <w:p w14:paraId="6DF6ED0F">
      <w:pPr>
        <w:pStyle w:val="3"/>
        <w:bidi/>
        <w:rPr>
          <w:rFonts w:hint="default"/>
          <w:rtl/>
        </w:rPr>
      </w:pPr>
      <w:bookmarkStart w:id="63" w:name="_Toc23834"/>
      <w:r>
        <w:rPr>
          <w:rFonts w:hint="default"/>
          <w:rtl/>
        </w:rPr>
        <w:t>ثانيا: الفجوة البحثية</w:t>
      </w:r>
      <w:bookmarkEnd w:id="63"/>
    </w:p>
    <w:p w14:paraId="25C10002">
      <w:pPr>
        <w:bidi/>
        <w:spacing w:line="240" w:lineRule="auto"/>
        <w:jc w:val="left"/>
        <w:rPr>
          <w:rStyle w:val="16"/>
          <w:rFonts w:hint="default" w:ascii="Simplified Arabic" w:hAnsi="Simplified Arabic" w:cs="Simplified Arabic"/>
          <w:b w:val="0"/>
          <w:bCs w:val="0"/>
          <w:rtl/>
        </w:rPr>
      </w:pPr>
      <w:r>
        <w:rPr>
          <w:rStyle w:val="16"/>
          <w:rFonts w:hint="default" w:ascii="Simplified Arabic" w:hAnsi="Simplified Arabic" w:cs="Simplified Arabic"/>
          <w:b w:val="0"/>
          <w:bCs w:val="0"/>
          <w:rtl/>
        </w:rPr>
        <w:t>على الرغم من وجود العديد من الدراسات التي تناولت موضوع الاستدامة في المشاريع الإنشائية، إضافة إلى الدراسات التي ركزت على إدارة المعرفة ونقل المعرفة داخل المنظمات، إلا أن مراجعة الأدبيات تشير إلى وجود نقص في الدراسات التي تربط بشكل مباشر بين الاستدامة المرتبطة برأس المال البشري ونقل المعرفة بين مراحل المشروع المختلفة، خاصة في المشاريع الكبرى التي تتطلب مستويات عالية من التنسيق بين مراحل دورة حياة المشروع.</w:t>
      </w:r>
    </w:p>
    <w:p w14:paraId="025E8E23">
      <w:pPr>
        <w:bidi/>
        <w:spacing w:line="240" w:lineRule="auto"/>
        <w:jc w:val="left"/>
        <w:rPr>
          <w:rStyle w:val="16"/>
          <w:rFonts w:hint="default" w:ascii="Simplified Arabic" w:hAnsi="Simplified Arabic" w:cs="Simplified Arabic"/>
          <w:b w:val="0"/>
          <w:bCs w:val="0"/>
          <w:rtl/>
        </w:rPr>
      </w:pPr>
      <w:r>
        <w:rPr>
          <w:rStyle w:val="16"/>
          <w:rFonts w:hint="default" w:ascii="Simplified Arabic" w:hAnsi="Simplified Arabic" w:cs="Simplified Arabic"/>
          <w:b w:val="0"/>
          <w:bCs w:val="0"/>
          <w:rtl/>
        </w:rPr>
        <w:t>كما أن معظم الدراسات السابقة ركزت على تحليل ممارسات الاستدامة أو إدارة المعرفة بشكل منفصل، حيث تناولت بعض الدراسات تطبيق مبادئ الاستدامة في المشاريع الإنشائية، بينما ركزت دراسات أخرى على دور إدارة المعرفة في تحسين الأداء التنظيمي. إلا أن العلاقة التكاملية بين هذه المفاهيم، خاصة في سياق إدارة المرافق واستدامة المعرفة بين مرحلة الإنشاء ومرحلة التشغيل، ما تزال بحاجة إلى مزيد من الدراسة والتحليل.</w:t>
      </w:r>
    </w:p>
    <w:p w14:paraId="3A0B3548">
      <w:pPr>
        <w:bidi/>
        <w:spacing w:line="240" w:lineRule="auto"/>
        <w:jc w:val="left"/>
        <w:rPr>
          <w:rStyle w:val="16"/>
          <w:rFonts w:hint="default" w:ascii="Simplified Arabic" w:hAnsi="Simplified Arabic" w:cs="Simplified Arabic"/>
          <w:b w:val="0"/>
          <w:bCs w:val="0"/>
          <w:rtl/>
        </w:rPr>
      </w:pPr>
      <w:r>
        <w:rPr>
          <w:rStyle w:val="16"/>
          <w:rFonts w:hint="default" w:ascii="Simplified Arabic" w:hAnsi="Simplified Arabic" w:cs="Simplified Arabic"/>
          <w:b w:val="0"/>
          <w:bCs w:val="0"/>
          <w:rtl/>
        </w:rPr>
        <w:t>ومن ناحية أخرى، تشير بعض الأدبيات إلى أن جودة أعمال التنفيذ في المشاريع الإنشائية لا تؤثر فقط على نجاح المشروع خلال مرحلة البناء، بل تمتد آثارها لتشمل المرحلة التشغيلية للمرافق. فضعف جودة التنفيذ قد يؤدي إلى ارتفاع تكاليف الصيانة والتشغيل، وزيادة استهلاك الطاقة والموارد، إضافة إلى ظهور مشكلات تقنية وتشغيلية في الأنظمة المختلفة داخل المرافق. وبالتالي فإن مستوى جودة التنفيذ يعد عاملًا مؤثرًا في تحقيق الكفاءة الاقتصادية والبيئية والتقنية للمباني خلال مرحلة التشغيل.</w:t>
      </w:r>
    </w:p>
    <w:p w14:paraId="59E2B796">
      <w:pPr>
        <w:bidi/>
        <w:spacing w:line="240" w:lineRule="auto"/>
        <w:jc w:val="left"/>
        <w:rPr>
          <w:rStyle w:val="16"/>
          <w:rFonts w:hint="default" w:ascii="Simplified Arabic" w:hAnsi="Simplified Arabic" w:cs="Simplified Arabic"/>
          <w:b w:val="0"/>
          <w:bCs w:val="0"/>
          <w:rtl/>
        </w:rPr>
      </w:pPr>
      <w:r>
        <w:rPr>
          <w:rStyle w:val="16"/>
          <w:rFonts w:hint="default" w:ascii="Simplified Arabic" w:hAnsi="Simplified Arabic" w:cs="Simplified Arabic"/>
          <w:b w:val="0"/>
          <w:bCs w:val="0"/>
          <w:rtl/>
        </w:rPr>
        <w:t>كما أن معظم الدراسات ركزت على مرحلة التصميم أو التنفيذ بشكل منفصل، بينما لم تحظَ مرحلة الانتقال من مرحلة الإنشاء إلى مرحلة التشغيل باهتمام كافٍ في الأدبيات، رغم أهميتها في ضمان استدامة الأداء التشغيلي للمرافق. ويشمل ذلك الاستفادة من الخبرات والمعرفة التي يكتسبها العاملون في مرحلة التنفيذ وإمكانية نقلها إلى مرحلة التشغيل، بما يسهم في تحسين إدارة المرافق وتقليل التكاليف التشغيلية وتعزيز كفاءة الأداء.</w:t>
      </w:r>
    </w:p>
    <w:p w14:paraId="20193E2E">
      <w:pPr>
        <w:bidi/>
        <w:spacing w:line="240" w:lineRule="auto"/>
        <w:jc w:val="left"/>
        <w:rPr>
          <w:rFonts w:hint="default" w:ascii="Simplified Arabic" w:hAnsi="Simplified Arabic" w:cs="Simplified Arabic"/>
          <w:b/>
          <w:bCs/>
          <w:sz w:val="48"/>
          <w:szCs w:val="48"/>
          <w:u w:val="single"/>
          <w:rtl/>
        </w:rPr>
      </w:pPr>
      <w:r>
        <w:rPr>
          <w:rStyle w:val="16"/>
          <w:rFonts w:hint="default" w:ascii="Simplified Arabic" w:hAnsi="Simplified Arabic" w:cs="Simplified Arabic"/>
          <w:b w:val="0"/>
          <w:bCs w:val="0"/>
          <w:rtl/>
        </w:rPr>
        <w:t>وبناءً على ذلك، يسعى هذا البحث إلى سد هذه الفجوة من خلال دراسة العلاقة بين الاستدامة المرتبطة برأس المال البشري، وجودة أعمال التنفيذ، ونقل المعرفة بين مراحل المشروع المختلفة، ودورها في تحسين كفاءة إدارة المرافق وتعزيز الاستدامة الاقتصادية والبيئية والتقنية خلال المرحلة التشغيلية للمشاريع الكبرى.</w:t>
      </w:r>
    </w:p>
    <w:p w14:paraId="2C935DFE">
      <w:pPr>
        <w:bidi/>
        <w:spacing w:line="240" w:lineRule="auto"/>
        <w:jc w:val="center"/>
        <w:rPr>
          <w:rFonts w:hint="default" w:ascii="Simplified Arabic" w:hAnsi="Simplified Arabic" w:cs="Simplified Arabic"/>
          <w:b/>
          <w:bCs/>
          <w:sz w:val="28"/>
          <w:szCs w:val="28"/>
          <w:lang w:val="en-US"/>
        </w:rPr>
      </w:pPr>
      <w:bookmarkStart w:id="64" w:name="_GoBack"/>
      <w:bookmarkEnd w:id="64"/>
    </w:p>
    <w:sectPr>
      <w:footerReference r:id="rId5" w:type="default"/>
      <w:pgSz w:w="11906" w:h="16838"/>
      <w:pgMar w:top="1134" w:right="1134" w:bottom="1134" w:left="1134" w:header="708" w:footer="709" w:gutter="0"/>
      <w:pgBorders w:offsetFrom="page">
        <w:top w:val="thinThickThinMediumGap" w:color="auto" w:sz="6" w:space="24"/>
        <w:left w:val="thinThickThinMediumGap" w:color="auto" w:sz="6" w:space="24"/>
        <w:bottom w:val="thinThickThinMediumGap" w:color="auto" w:sz="6" w:space="24"/>
        <w:right w:val="thinThickThinMediumGap" w:color="auto" w:sz="6" w:space="24"/>
      </w:pgBorders>
      <w:cols w:space="0"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implified Arabic">
    <w:panose1 w:val="02020603050405020304"/>
    <w:charset w:val="00"/>
    <w:family w:val="auto"/>
    <w:pitch w:val="default"/>
    <w:sig w:usb0="00002003" w:usb1="80000000" w:usb2="00000008" w:usb3="00000000" w:csb0="00000041" w:csb1="2008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F0729">
    <w:pPr>
      <w:pStyle w:val="12"/>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ABAC0B">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14:paraId="2CABAC0B">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F3E0B5"/>
    <w:multiLevelType w:val="singleLevel"/>
    <w:tmpl w:val="FCF3E0B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01DB6977"/>
    <w:multiLevelType w:val="singleLevel"/>
    <w:tmpl w:val="01DB6977"/>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047A6E46"/>
    <w:multiLevelType w:val="multilevel"/>
    <w:tmpl w:val="047A6E46"/>
    <w:lvl w:ilvl="0" w:tentative="0">
      <w:start w:val="1"/>
      <w:numFmt w:val="bullet"/>
      <w:lvlText w:val=""/>
      <w:lvlJc w:val="left"/>
      <w:pPr>
        <w:ind w:left="739" w:hanging="360"/>
      </w:pPr>
      <w:rPr>
        <w:rFonts w:hint="default" w:ascii="Symbol" w:hAnsi="Symbol"/>
      </w:rPr>
    </w:lvl>
    <w:lvl w:ilvl="1" w:tentative="0">
      <w:start w:val="1"/>
      <w:numFmt w:val="bullet"/>
      <w:lvlText w:val="o"/>
      <w:lvlJc w:val="left"/>
      <w:pPr>
        <w:ind w:left="1459" w:hanging="360"/>
      </w:pPr>
      <w:rPr>
        <w:rFonts w:hint="default" w:ascii="Courier New" w:hAnsi="Courier New" w:cs="Courier New"/>
      </w:rPr>
    </w:lvl>
    <w:lvl w:ilvl="2" w:tentative="0">
      <w:start w:val="1"/>
      <w:numFmt w:val="bullet"/>
      <w:lvlText w:val=""/>
      <w:lvlJc w:val="left"/>
      <w:pPr>
        <w:ind w:left="2179" w:hanging="360"/>
      </w:pPr>
      <w:rPr>
        <w:rFonts w:hint="default" w:ascii="Wingdings" w:hAnsi="Wingdings"/>
      </w:rPr>
    </w:lvl>
    <w:lvl w:ilvl="3" w:tentative="0">
      <w:start w:val="1"/>
      <w:numFmt w:val="bullet"/>
      <w:lvlText w:val=""/>
      <w:lvlJc w:val="left"/>
      <w:pPr>
        <w:ind w:left="2899" w:hanging="360"/>
      </w:pPr>
      <w:rPr>
        <w:rFonts w:hint="default" w:ascii="Symbol" w:hAnsi="Symbol"/>
      </w:rPr>
    </w:lvl>
    <w:lvl w:ilvl="4" w:tentative="0">
      <w:start w:val="1"/>
      <w:numFmt w:val="bullet"/>
      <w:lvlText w:val="o"/>
      <w:lvlJc w:val="left"/>
      <w:pPr>
        <w:ind w:left="3619" w:hanging="360"/>
      </w:pPr>
      <w:rPr>
        <w:rFonts w:hint="default" w:ascii="Courier New" w:hAnsi="Courier New" w:cs="Courier New"/>
      </w:rPr>
    </w:lvl>
    <w:lvl w:ilvl="5" w:tentative="0">
      <w:start w:val="1"/>
      <w:numFmt w:val="bullet"/>
      <w:lvlText w:val=""/>
      <w:lvlJc w:val="left"/>
      <w:pPr>
        <w:ind w:left="4339" w:hanging="360"/>
      </w:pPr>
      <w:rPr>
        <w:rFonts w:hint="default" w:ascii="Wingdings" w:hAnsi="Wingdings"/>
      </w:rPr>
    </w:lvl>
    <w:lvl w:ilvl="6" w:tentative="0">
      <w:start w:val="1"/>
      <w:numFmt w:val="bullet"/>
      <w:lvlText w:val=""/>
      <w:lvlJc w:val="left"/>
      <w:pPr>
        <w:ind w:left="5059" w:hanging="360"/>
      </w:pPr>
      <w:rPr>
        <w:rFonts w:hint="default" w:ascii="Symbol" w:hAnsi="Symbol"/>
      </w:rPr>
    </w:lvl>
    <w:lvl w:ilvl="7" w:tentative="0">
      <w:start w:val="1"/>
      <w:numFmt w:val="bullet"/>
      <w:lvlText w:val="o"/>
      <w:lvlJc w:val="left"/>
      <w:pPr>
        <w:ind w:left="5779" w:hanging="360"/>
      </w:pPr>
      <w:rPr>
        <w:rFonts w:hint="default" w:ascii="Courier New" w:hAnsi="Courier New" w:cs="Courier New"/>
      </w:rPr>
    </w:lvl>
    <w:lvl w:ilvl="8" w:tentative="0">
      <w:start w:val="1"/>
      <w:numFmt w:val="bullet"/>
      <w:lvlText w:val=""/>
      <w:lvlJc w:val="left"/>
      <w:pPr>
        <w:ind w:left="6499" w:hanging="360"/>
      </w:pPr>
      <w:rPr>
        <w:rFonts w:hint="default" w:ascii="Wingdings" w:hAnsi="Wingdings"/>
      </w:rPr>
    </w:lvl>
  </w:abstractNum>
  <w:abstractNum w:abstractNumId="3">
    <w:nsid w:val="13711623"/>
    <w:multiLevelType w:val="multilevel"/>
    <w:tmpl w:val="13711623"/>
    <w:lvl w:ilvl="0" w:tentative="0">
      <w:start w:val="0"/>
      <w:numFmt w:val="bullet"/>
      <w:lvlText w:val="-"/>
      <w:lvlJc w:val="left"/>
      <w:pPr>
        <w:ind w:left="739" w:hanging="360"/>
      </w:pPr>
      <w:rPr>
        <w:rFonts w:hint="default" w:ascii="Arial" w:hAnsi="Arial" w:eastAsia="Arial" w:cs="Arial"/>
      </w:rPr>
    </w:lvl>
    <w:lvl w:ilvl="1" w:tentative="0">
      <w:start w:val="1"/>
      <w:numFmt w:val="lowerLetter"/>
      <w:lvlText w:val="%2."/>
      <w:lvlJc w:val="left"/>
      <w:pPr>
        <w:ind w:left="1459" w:hanging="360"/>
      </w:pPr>
    </w:lvl>
    <w:lvl w:ilvl="2" w:tentative="0">
      <w:start w:val="1"/>
      <w:numFmt w:val="lowerRoman"/>
      <w:lvlText w:val="%3."/>
      <w:lvlJc w:val="right"/>
      <w:pPr>
        <w:ind w:left="2179" w:hanging="180"/>
      </w:pPr>
    </w:lvl>
    <w:lvl w:ilvl="3" w:tentative="0">
      <w:start w:val="1"/>
      <w:numFmt w:val="decimal"/>
      <w:lvlText w:val="%4."/>
      <w:lvlJc w:val="left"/>
      <w:pPr>
        <w:ind w:left="2899" w:hanging="360"/>
      </w:pPr>
    </w:lvl>
    <w:lvl w:ilvl="4" w:tentative="0">
      <w:start w:val="1"/>
      <w:numFmt w:val="lowerLetter"/>
      <w:lvlText w:val="%5."/>
      <w:lvlJc w:val="left"/>
      <w:pPr>
        <w:ind w:left="3619" w:hanging="360"/>
      </w:pPr>
    </w:lvl>
    <w:lvl w:ilvl="5" w:tentative="0">
      <w:start w:val="1"/>
      <w:numFmt w:val="lowerRoman"/>
      <w:lvlText w:val="%6."/>
      <w:lvlJc w:val="right"/>
      <w:pPr>
        <w:ind w:left="4339" w:hanging="180"/>
      </w:pPr>
    </w:lvl>
    <w:lvl w:ilvl="6" w:tentative="0">
      <w:start w:val="1"/>
      <w:numFmt w:val="decimal"/>
      <w:lvlText w:val="%7."/>
      <w:lvlJc w:val="left"/>
      <w:pPr>
        <w:ind w:left="5059" w:hanging="360"/>
      </w:pPr>
    </w:lvl>
    <w:lvl w:ilvl="7" w:tentative="0">
      <w:start w:val="1"/>
      <w:numFmt w:val="lowerLetter"/>
      <w:lvlText w:val="%8."/>
      <w:lvlJc w:val="left"/>
      <w:pPr>
        <w:ind w:left="5779" w:hanging="360"/>
      </w:pPr>
    </w:lvl>
    <w:lvl w:ilvl="8" w:tentative="0">
      <w:start w:val="1"/>
      <w:numFmt w:val="lowerRoman"/>
      <w:lvlText w:val="%9."/>
      <w:lvlJc w:val="right"/>
      <w:pPr>
        <w:ind w:left="6499" w:hanging="180"/>
      </w:pPr>
    </w:lvl>
  </w:abstractNum>
  <w:abstractNum w:abstractNumId="4">
    <w:nsid w:val="25E20EDF"/>
    <w:multiLevelType w:val="multilevel"/>
    <w:tmpl w:val="25E20EDF"/>
    <w:lvl w:ilvl="0" w:tentative="0">
      <w:start w:val="1"/>
      <w:numFmt w:val="bullet"/>
      <w:lvlText w:val=""/>
      <w:lvlJc w:val="left"/>
      <w:pPr>
        <w:ind w:left="739" w:hanging="360"/>
      </w:pPr>
      <w:rPr>
        <w:rFonts w:hint="default" w:ascii="Symbol" w:hAnsi="Symbol"/>
      </w:rPr>
    </w:lvl>
    <w:lvl w:ilvl="1" w:tentative="0">
      <w:start w:val="1"/>
      <w:numFmt w:val="bullet"/>
      <w:lvlText w:val="o"/>
      <w:lvlJc w:val="left"/>
      <w:pPr>
        <w:ind w:left="1459" w:hanging="360"/>
      </w:pPr>
      <w:rPr>
        <w:rFonts w:hint="default" w:ascii="Courier New" w:hAnsi="Courier New" w:cs="Courier New"/>
      </w:rPr>
    </w:lvl>
    <w:lvl w:ilvl="2" w:tentative="0">
      <w:start w:val="1"/>
      <w:numFmt w:val="bullet"/>
      <w:lvlText w:val=""/>
      <w:lvlJc w:val="left"/>
      <w:pPr>
        <w:ind w:left="2179" w:hanging="360"/>
      </w:pPr>
      <w:rPr>
        <w:rFonts w:hint="default" w:ascii="Wingdings" w:hAnsi="Wingdings"/>
      </w:rPr>
    </w:lvl>
    <w:lvl w:ilvl="3" w:tentative="0">
      <w:start w:val="1"/>
      <w:numFmt w:val="bullet"/>
      <w:lvlText w:val=""/>
      <w:lvlJc w:val="left"/>
      <w:pPr>
        <w:ind w:left="2899" w:hanging="360"/>
      </w:pPr>
      <w:rPr>
        <w:rFonts w:hint="default" w:ascii="Symbol" w:hAnsi="Symbol"/>
      </w:rPr>
    </w:lvl>
    <w:lvl w:ilvl="4" w:tentative="0">
      <w:start w:val="1"/>
      <w:numFmt w:val="bullet"/>
      <w:lvlText w:val="o"/>
      <w:lvlJc w:val="left"/>
      <w:pPr>
        <w:ind w:left="3619" w:hanging="360"/>
      </w:pPr>
      <w:rPr>
        <w:rFonts w:hint="default" w:ascii="Courier New" w:hAnsi="Courier New" w:cs="Courier New"/>
      </w:rPr>
    </w:lvl>
    <w:lvl w:ilvl="5" w:tentative="0">
      <w:start w:val="1"/>
      <w:numFmt w:val="bullet"/>
      <w:lvlText w:val=""/>
      <w:lvlJc w:val="left"/>
      <w:pPr>
        <w:ind w:left="4339" w:hanging="360"/>
      </w:pPr>
      <w:rPr>
        <w:rFonts w:hint="default" w:ascii="Wingdings" w:hAnsi="Wingdings"/>
      </w:rPr>
    </w:lvl>
    <w:lvl w:ilvl="6" w:tentative="0">
      <w:start w:val="1"/>
      <w:numFmt w:val="bullet"/>
      <w:lvlText w:val=""/>
      <w:lvlJc w:val="left"/>
      <w:pPr>
        <w:ind w:left="5059" w:hanging="360"/>
      </w:pPr>
      <w:rPr>
        <w:rFonts w:hint="default" w:ascii="Symbol" w:hAnsi="Symbol"/>
      </w:rPr>
    </w:lvl>
    <w:lvl w:ilvl="7" w:tentative="0">
      <w:start w:val="1"/>
      <w:numFmt w:val="bullet"/>
      <w:lvlText w:val="o"/>
      <w:lvlJc w:val="left"/>
      <w:pPr>
        <w:ind w:left="5779" w:hanging="360"/>
      </w:pPr>
      <w:rPr>
        <w:rFonts w:hint="default" w:ascii="Courier New" w:hAnsi="Courier New" w:cs="Courier New"/>
      </w:rPr>
    </w:lvl>
    <w:lvl w:ilvl="8" w:tentative="0">
      <w:start w:val="1"/>
      <w:numFmt w:val="bullet"/>
      <w:lvlText w:val=""/>
      <w:lvlJc w:val="left"/>
      <w:pPr>
        <w:ind w:left="6499" w:hanging="360"/>
      </w:pPr>
      <w:rPr>
        <w:rFonts w:hint="default" w:ascii="Wingdings" w:hAnsi="Wingdings"/>
      </w:rPr>
    </w:lvl>
  </w:abstractNum>
  <w:abstractNum w:abstractNumId="5">
    <w:nsid w:val="426D107C"/>
    <w:multiLevelType w:val="multilevel"/>
    <w:tmpl w:val="426D107C"/>
    <w:lvl w:ilvl="0" w:tentative="0">
      <w:start w:val="1"/>
      <w:numFmt w:val="decimal"/>
      <w:lvlText w:val="%1."/>
      <w:lvlJc w:val="left"/>
      <w:pPr>
        <w:ind w:left="379" w:hanging="360"/>
      </w:pPr>
      <w:rPr>
        <w:rFonts w:hint="default"/>
      </w:rPr>
    </w:lvl>
    <w:lvl w:ilvl="1" w:tentative="0">
      <w:start w:val="1"/>
      <w:numFmt w:val="bullet"/>
      <w:lvlText w:val="o"/>
      <w:lvlJc w:val="left"/>
      <w:pPr>
        <w:ind w:left="1099" w:hanging="360"/>
      </w:pPr>
      <w:rPr>
        <w:rFonts w:hint="default" w:ascii="Courier New" w:hAnsi="Courier New" w:cs="Courier New"/>
      </w:rPr>
    </w:lvl>
    <w:lvl w:ilvl="2" w:tentative="0">
      <w:start w:val="1"/>
      <w:numFmt w:val="bullet"/>
      <w:lvlText w:val=""/>
      <w:lvlJc w:val="left"/>
      <w:pPr>
        <w:ind w:left="1819" w:hanging="360"/>
      </w:pPr>
      <w:rPr>
        <w:rFonts w:hint="default" w:ascii="Wingdings" w:hAnsi="Wingdings"/>
      </w:rPr>
    </w:lvl>
    <w:lvl w:ilvl="3" w:tentative="0">
      <w:start w:val="1"/>
      <w:numFmt w:val="bullet"/>
      <w:lvlText w:val=""/>
      <w:lvlJc w:val="left"/>
      <w:pPr>
        <w:ind w:left="2539" w:hanging="360"/>
      </w:pPr>
      <w:rPr>
        <w:rFonts w:hint="default" w:ascii="Symbol" w:hAnsi="Symbol"/>
      </w:rPr>
    </w:lvl>
    <w:lvl w:ilvl="4" w:tentative="0">
      <w:start w:val="1"/>
      <w:numFmt w:val="bullet"/>
      <w:lvlText w:val="o"/>
      <w:lvlJc w:val="left"/>
      <w:pPr>
        <w:ind w:left="3259" w:hanging="360"/>
      </w:pPr>
      <w:rPr>
        <w:rFonts w:hint="default" w:ascii="Courier New" w:hAnsi="Courier New" w:cs="Courier New"/>
      </w:rPr>
    </w:lvl>
    <w:lvl w:ilvl="5" w:tentative="0">
      <w:start w:val="1"/>
      <w:numFmt w:val="bullet"/>
      <w:lvlText w:val=""/>
      <w:lvlJc w:val="left"/>
      <w:pPr>
        <w:ind w:left="3979" w:hanging="360"/>
      </w:pPr>
      <w:rPr>
        <w:rFonts w:hint="default" w:ascii="Wingdings" w:hAnsi="Wingdings"/>
      </w:rPr>
    </w:lvl>
    <w:lvl w:ilvl="6" w:tentative="0">
      <w:start w:val="1"/>
      <w:numFmt w:val="bullet"/>
      <w:lvlText w:val=""/>
      <w:lvlJc w:val="left"/>
      <w:pPr>
        <w:ind w:left="4699" w:hanging="360"/>
      </w:pPr>
      <w:rPr>
        <w:rFonts w:hint="default" w:ascii="Symbol" w:hAnsi="Symbol"/>
      </w:rPr>
    </w:lvl>
    <w:lvl w:ilvl="7" w:tentative="0">
      <w:start w:val="1"/>
      <w:numFmt w:val="bullet"/>
      <w:lvlText w:val="o"/>
      <w:lvlJc w:val="left"/>
      <w:pPr>
        <w:ind w:left="5419" w:hanging="360"/>
      </w:pPr>
      <w:rPr>
        <w:rFonts w:hint="default" w:ascii="Courier New" w:hAnsi="Courier New" w:cs="Courier New"/>
      </w:rPr>
    </w:lvl>
    <w:lvl w:ilvl="8" w:tentative="0">
      <w:start w:val="1"/>
      <w:numFmt w:val="bullet"/>
      <w:lvlText w:val=""/>
      <w:lvlJc w:val="left"/>
      <w:pPr>
        <w:ind w:left="6139" w:hanging="360"/>
      </w:pPr>
      <w:rPr>
        <w:rFonts w:hint="default" w:ascii="Wingdings" w:hAnsi="Wingdings"/>
      </w:rPr>
    </w:lvl>
  </w:abstractNum>
  <w:abstractNum w:abstractNumId="6">
    <w:nsid w:val="4E2F2426"/>
    <w:multiLevelType w:val="multilevel"/>
    <w:tmpl w:val="4E2F2426"/>
    <w:lvl w:ilvl="0" w:tentative="0">
      <w:start w:val="1"/>
      <w:numFmt w:val="decimal"/>
      <w:lvlText w:val="%1."/>
      <w:lvlJc w:val="left"/>
      <w:pPr>
        <w:ind w:left="739" w:hanging="360"/>
      </w:pPr>
    </w:lvl>
    <w:lvl w:ilvl="1" w:tentative="0">
      <w:start w:val="1"/>
      <w:numFmt w:val="lowerLetter"/>
      <w:lvlText w:val="%2."/>
      <w:lvlJc w:val="left"/>
      <w:pPr>
        <w:ind w:left="1459" w:hanging="360"/>
      </w:pPr>
    </w:lvl>
    <w:lvl w:ilvl="2" w:tentative="0">
      <w:start w:val="1"/>
      <w:numFmt w:val="lowerRoman"/>
      <w:lvlText w:val="%3."/>
      <w:lvlJc w:val="right"/>
      <w:pPr>
        <w:ind w:left="2179" w:hanging="180"/>
      </w:pPr>
    </w:lvl>
    <w:lvl w:ilvl="3" w:tentative="0">
      <w:start w:val="1"/>
      <w:numFmt w:val="decimal"/>
      <w:lvlText w:val="%4."/>
      <w:lvlJc w:val="left"/>
      <w:pPr>
        <w:ind w:left="2899" w:hanging="360"/>
      </w:pPr>
    </w:lvl>
    <w:lvl w:ilvl="4" w:tentative="0">
      <w:start w:val="1"/>
      <w:numFmt w:val="lowerLetter"/>
      <w:lvlText w:val="%5."/>
      <w:lvlJc w:val="left"/>
      <w:pPr>
        <w:ind w:left="3619" w:hanging="360"/>
      </w:pPr>
    </w:lvl>
    <w:lvl w:ilvl="5" w:tentative="0">
      <w:start w:val="1"/>
      <w:numFmt w:val="lowerRoman"/>
      <w:lvlText w:val="%6."/>
      <w:lvlJc w:val="right"/>
      <w:pPr>
        <w:ind w:left="4339" w:hanging="180"/>
      </w:pPr>
    </w:lvl>
    <w:lvl w:ilvl="6" w:tentative="0">
      <w:start w:val="1"/>
      <w:numFmt w:val="decimal"/>
      <w:lvlText w:val="%7."/>
      <w:lvlJc w:val="left"/>
      <w:pPr>
        <w:ind w:left="5059" w:hanging="360"/>
      </w:pPr>
    </w:lvl>
    <w:lvl w:ilvl="7" w:tentative="0">
      <w:start w:val="1"/>
      <w:numFmt w:val="lowerLetter"/>
      <w:lvlText w:val="%8."/>
      <w:lvlJc w:val="left"/>
      <w:pPr>
        <w:ind w:left="5779" w:hanging="360"/>
      </w:pPr>
    </w:lvl>
    <w:lvl w:ilvl="8" w:tentative="0">
      <w:start w:val="1"/>
      <w:numFmt w:val="lowerRoman"/>
      <w:lvlText w:val="%9."/>
      <w:lvlJc w:val="right"/>
      <w:pPr>
        <w:ind w:left="6499" w:hanging="180"/>
      </w:pPr>
    </w:lvl>
  </w:abstractNum>
  <w:abstractNum w:abstractNumId="7">
    <w:nsid w:val="58C82AF6"/>
    <w:multiLevelType w:val="multilevel"/>
    <w:tmpl w:val="58C82AF6"/>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67CC3D6C"/>
    <w:multiLevelType w:val="multilevel"/>
    <w:tmpl w:val="67CC3D6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6960479A"/>
    <w:multiLevelType w:val="multilevel"/>
    <w:tmpl w:val="6960479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6"/>
  </w:num>
  <w:num w:numId="2">
    <w:abstractNumId w:val="3"/>
  </w:num>
  <w:num w:numId="3">
    <w:abstractNumId w:val="2"/>
  </w:num>
  <w:num w:numId="4">
    <w:abstractNumId w:val="5"/>
  </w:num>
  <w:num w:numId="5">
    <w:abstractNumId w:val="4"/>
  </w:num>
  <w:num w:numId="6">
    <w:abstractNumId w:val="9"/>
  </w:num>
  <w:num w:numId="7">
    <w:abstractNumId w:val="7"/>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2A91"/>
    <w:rsid w:val="00090F21"/>
    <w:rsid w:val="00091BB6"/>
    <w:rsid w:val="000B7649"/>
    <w:rsid w:val="000E398A"/>
    <w:rsid w:val="000F44B4"/>
    <w:rsid w:val="0018131A"/>
    <w:rsid w:val="001902DB"/>
    <w:rsid w:val="001C2162"/>
    <w:rsid w:val="0028313F"/>
    <w:rsid w:val="00283764"/>
    <w:rsid w:val="002F275F"/>
    <w:rsid w:val="003341AC"/>
    <w:rsid w:val="003451F3"/>
    <w:rsid w:val="0037321D"/>
    <w:rsid w:val="003F16D5"/>
    <w:rsid w:val="004032E1"/>
    <w:rsid w:val="0041580B"/>
    <w:rsid w:val="004163C7"/>
    <w:rsid w:val="00430556"/>
    <w:rsid w:val="004745B5"/>
    <w:rsid w:val="004A4859"/>
    <w:rsid w:val="004D0BD7"/>
    <w:rsid w:val="005D2381"/>
    <w:rsid w:val="005E05EC"/>
    <w:rsid w:val="00603F85"/>
    <w:rsid w:val="0062058A"/>
    <w:rsid w:val="0068149D"/>
    <w:rsid w:val="006878B6"/>
    <w:rsid w:val="00690B52"/>
    <w:rsid w:val="006948DE"/>
    <w:rsid w:val="0070315A"/>
    <w:rsid w:val="00781DA9"/>
    <w:rsid w:val="007862CD"/>
    <w:rsid w:val="00797C8C"/>
    <w:rsid w:val="007B0E54"/>
    <w:rsid w:val="007C1D30"/>
    <w:rsid w:val="007E01D5"/>
    <w:rsid w:val="007E3A20"/>
    <w:rsid w:val="00877AAC"/>
    <w:rsid w:val="00890AC7"/>
    <w:rsid w:val="00896FE4"/>
    <w:rsid w:val="008E6373"/>
    <w:rsid w:val="008F1EAE"/>
    <w:rsid w:val="009125CE"/>
    <w:rsid w:val="00946F5F"/>
    <w:rsid w:val="00964CF6"/>
    <w:rsid w:val="009B5510"/>
    <w:rsid w:val="009B6888"/>
    <w:rsid w:val="009C0161"/>
    <w:rsid w:val="009D0808"/>
    <w:rsid w:val="009D108D"/>
    <w:rsid w:val="009E1436"/>
    <w:rsid w:val="009E5668"/>
    <w:rsid w:val="00A314FF"/>
    <w:rsid w:val="00A72426"/>
    <w:rsid w:val="00A8623F"/>
    <w:rsid w:val="00AA79E9"/>
    <w:rsid w:val="00AB0A70"/>
    <w:rsid w:val="00AF750A"/>
    <w:rsid w:val="00B40370"/>
    <w:rsid w:val="00B63B0F"/>
    <w:rsid w:val="00B7678A"/>
    <w:rsid w:val="00B81029"/>
    <w:rsid w:val="00B9029C"/>
    <w:rsid w:val="00BB4799"/>
    <w:rsid w:val="00BC094B"/>
    <w:rsid w:val="00BD0050"/>
    <w:rsid w:val="00C1535D"/>
    <w:rsid w:val="00C72744"/>
    <w:rsid w:val="00CB2A44"/>
    <w:rsid w:val="00CD408F"/>
    <w:rsid w:val="00D04F62"/>
    <w:rsid w:val="00D22171"/>
    <w:rsid w:val="00D44B95"/>
    <w:rsid w:val="00D52480"/>
    <w:rsid w:val="00D57AEC"/>
    <w:rsid w:val="00D6625B"/>
    <w:rsid w:val="00DC66C1"/>
    <w:rsid w:val="00E01B9F"/>
    <w:rsid w:val="00E558A5"/>
    <w:rsid w:val="00E66CA5"/>
    <w:rsid w:val="00E7744B"/>
    <w:rsid w:val="00E80FD9"/>
    <w:rsid w:val="00E82994"/>
    <w:rsid w:val="00E95144"/>
    <w:rsid w:val="00ED6B6A"/>
    <w:rsid w:val="00F03CA0"/>
    <w:rsid w:val="00F23F1E"/>
    <w:rsid w:val="00F3742E"/>
    <w:rsid w:val="00F546CE"/>
    <w:rsid w:val="00F85132"/>
    <w:rsid w:val="00F9011E"/>
    <w:rsid w:val="00F925D0"/>
    <w:rsid w:val="00FF4B07"/>
    <w:rsid w:val="017710B1"/>
    <w:rsid w:val="034C7ACC"/>
    <w:rsid w:val="05AF4D90"/>
    <w:rsid w:val="0AAE1995"/>
    <w:rsid w:val="0C0E2057"/>
    <w:rsid w:val="0F236E7F"/>
    <w:rsid w:val="0F4E3A55"/>
    <w:rsid w:val="0F967349"/>
    <w:rsid w:val="111E2F24"/>
    <w:rsid w:val="11933536"/>
    <w:rsid w:val="14B7580A"/>
    <w:rsid w:val="14EF5F28"/>
    <w:rsid w:val="17C81091"/>
    <w:rsid w:val="17F930B2"/>
    <w:rsid w:val="1A004251"/>
    <w:rsid w:val="1ACD78E9"/>
    <w:rsid w:val="245817F2"/>
    <w:rsid w:val="258A3166"/>
    <w:rsid w:val="29CE74E8"/>
    <w:rsid w:val="2A7321C9"/>
    <w:rsid w:val="2BB46ADD"/>
    <w:rsid w:val="2C1D5D2F"/>
    <w:rsid w:val="2C306189"/>
    <w:rsid w:val="2DAD387D"/>
    <w:rsid w:val="301C755C"/>
    <w:rsid w:val="35161D20"/>
    <w:rsid w:val="37BC4518"/>
    <w:rsid w:val="46281B8B"/>
    <w:rsid w:val="487A2A48"/>
    <w:rsid w:val="4FD25C3C"/>
    <w:rsid w:val="536C0C62"/>
    <w:rsid w:val="54223FA5"/>
    <w:rsid w:val="54A77445"/>
    <w:rsid w:val="566A2E68"/>
    <w:rsid w:val="56700357"/>
    <w:rsid w:val="5C445AA6"/>
    <w:rsid w:val="5C9F07FD"/>
    <w:rsid w:val="5CB61A6B"/>
    <w:rsid w:val="5DA0439E"/>
    <w:rsid w:val="5E67242D"/>
    <w:rsid w:val="64612227"/>
    <w:rsid w:val="65450F75"/>
    <w:rsid w:val="66AD5901"/>
    <w:rsid w:val="6C571997"/>
    <w:rsid w:val="6D1113DD"/>
    <w:rsid w:val="6D503F45"/>
    <w:rsid w:val="6F584281"/>
    <w:rsid w:val="6FC25408"/>
    <w:rsid w:val="6FCC6980"/>
    <w:rsid w:val="74BE1BD8"/>
    <w:rsid w:val="76D50D11"/>
    <w:rsid w:val="784D04C5"/>
    <w:rsid w:val="799B79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ordWrap/>
      <w:bidi/>
      <w:spacing w:after="280" w:line="240" w:lineRule="auto"/>
      <w:jc w:val="left"/>
    </w:pPr>
    <w:rPr>
      <w:rFonts w:ascii="Simplified Arabic" w:hAnsi="Simplified Arabic" w:eastAsia="Calibri" w:cs="Simplified Arabic"/>
      <w:kern w:val="0"/>
      <w:sz w:val="24"/>
      <w:szCs w:val="28"/>
      <w:rtl/>
      <w:cs/>
      <w:lang w:val="en-US" w:eastAsia="en-US" w:bidi="ar-SA"/>
      <w14:ligatures w14:val="none"/>
    </w:rPr>
  </w:style>
  <w:style w:type="paragraph" w:styleId="2">
    <w:name w:val="heading 1"/>
    <w:basedOn w:val="1"/>
    <w:next w:val="1"/>
    <w:link w:val="28"/>
    <w:qFormat/>
    <w:uiPriority w:val="9"/>
    <w:pPr>
      <w:jc w:val="center"/>
      <w:outlineLvl w:val="0"/>
    </w:pPr>
    <w:rPr>
      <w:rFonts w:ascii="Simplified Arabic" w:hAnsi="Simplified Arabic" w:cs="Simplified Arabic"/>
      <w:b/>
      <w:bCs/>
      <w:sz w:val="36"/>
      <w:szCs w:val="36"/>
      <w:rtl/>
      <w:lang w:bidi="ar-EG"/>
    </w:rPr>
  </w:style>
  <w:style w:type="paragraph" w:styleId="3">
    <w:name w:val="heading 2"/>
    <w:basedOn w:val="1"/>
    <w:next w:val="1"/>
    <w:link w:val="24"/>
    <w:unhideWhenUsed/>
    <w:qFormat/>
    <w:uiPriority w:val="9"/>
    <w:pPr>
      <w:keepNext/>
      <w:keepLines/>
      <w:spacing w:before="360" w:after="80"/>
      <w:jc w:val="both"/>
      <w:outlineLvl w:val="1"/>
    </w:pPr>
    <w:rPr>
      <w:rFonts w:ascii="Simplified Arabic" w:hAnsi="Simplified Arabic" w:eastAsia="Calibri" w:cs="Simplified Arabic"/>
      <w:b/>
      <w:bCs/>
      <w:kern w:val="0"/>
      <w:sz w:val="32"/>
      <w:szCs w:val="32"/>
      <w:rtl/>
      <w:cs/>
      <w:lang w:val="en"/>
      <w14:ligatures w14:val="none"/>
    </w:rPr>
  </w:style>
  <w:style w:type="paragraph" w:styleId="4">
    <w:name w:val="heading 3"/>
    <w:basedOn w:val="3"/>
    <w:next w:val="1"/>
    <w:link w:val="32"/>
    <w:unhideWhenUsed/>
    <w:qFormat/>
    <w:uiPriority w:val="9"/>
    <w:pPr>
      <w:keepNext w:val="0"/>
      <w:keepLines w:val="0"/>
      <w:jc w:val="left"/>
      <w:outlineLvl w:val="2"/>
    </w:pPr>
    <w:rPr>
      <w:sz w:val="28"/>
      <w:szCs w:val="28"/>
      <w:cs w:val="0"/>
      <w:lang w:val="en-US"/>
    </w:rPr>
  </w:style>
  <w:style w:type="paragraph" w:styleId="5">
    <w:name w:val="heading 4"/>
    <w:basedOn w:val="1"/>
    <w:next w:val="1"/>
    <w:unhideWhenUsed/>
    <w:qFormat/>
    <w:uiPriority w:val="9"/>
    <w:pPr>
      <w:keepNext/>
      <w:keepLines/>
      <w:spacing w:before="280" w:after="290" w:line="376" w:lineRule="auto"/>
      <w:outlineLvl w:val="3"/>
    </w:pPr>
    <w:rPr>
      <w:b/>
      <w:bCs/>
      <w:sz w:val="28"/>
      <w:szCs w:val="28"/>
    </w:rPr>
  </w:style>
  <w:style w:type="paragraph" w:styleId="6">
    <w:name w:val="heading 5"/>
    <w:basedOn w:val="1"/>
    <w:next w:val="1"/>
    <w:unhideWhenUsed/>
    <w:qFormat/>
    <w:uiPriority w:val="9"/>
    <w:pPr>
      <w:keepNext/>
      <w:keepLines/>
      <w:spacing w:before="280" w:after="290" w:line="376" w:lineRule="auto"/>
      <w:outlineLvl w:val="4"/>
    </w:pPr>
    <w:rPr>
      <w:b/>
      <w:bCs/>
      <w:sz w:val="28"/>
      <w:szCs w:val="28"/>
    </w:rPr>
  </w:style>
  <w:style w:type="paragraph" w:styleId="7">
    <w:name w:val="heading 6"/>
    <w:basedOn w:val="1"/>
    <w:next w:val="1"/>
    <w:unhideWhenUsed/>
    <w:qFormat/>
    <w:uiPriority w:val="9"/>
    <w:pPr>
      <w:jc w:val="center"/>
      <w:outlineLvl w:val="5"/>
    </w:pPr>
    <w:rPr>
      <w:rFonts w:ascii="Simplified Arabic" w:hAnsi="Simplified Arabic" w:cs="Simplified Arabic"/>
      <w:b/>
      <w:bCs/>
      <w:color w:val="2F5597" w:themeColor="accent1" w:themeShade="BF"/>
      <w:sz w:val="48"/>
      <w:szCs w:val="48"/>
      <w:rtl/>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caption"/>
    <w:next w:val="1"/>
    <w:link w:val="37"/>
    <w:unhideWhenUsed/>
    <w:qFormat/>
    <w:uiPriority w:val="35"/>
    <w:pPr>
      <w:bidi/>
      <w:jc w:val="center"/>
    </w:pPr>
    <w:rPr>
      <w:rFonts w:ascii="Simplified Arabic" w:hAnsi="Simplified Arabic" w:eastAsia="SimSun" w:cs="Simplified Arabic"/>
      <w:b/>
      <w:bCs/>
      <w:sz w:val="22"/>
      <w:szCs w:val="22"/>
      <w:rtl/>
      <w:lang w:bidi="ar-SA"/>
    </w:rPr>
  </w:style>
  <w:style w:type="character" w:styleId="11">
    <w:name w:val="Emphasis"/>
    <w:basedOn w:val="8"/>
    <w:qFormat/>
    <w:uiPriority w:val="20"/>
    <w:rPr>
      <w:i/>
      <w:iCs/>
    </w:rPr>
  </w:style>
  <w:style w:type="paragraph" w:styleId="12">
    <w:name w:val="footer"/>
    <w:basedOn w:val="1"/>
    <w:link w:val="23"/>
    <w:unhideWhenUsed/>
    <w:qFormat/>
    <w:uiPriority w:val="99"/>
    <w:pPr>
      <w:tabs>
        <w:tab w:val="center" w:pos="4153"/>
        <w:tab w:val="right" w:pos="8306"/>
      </w:tabs>
      <w:spacing w:after="0" w:line="240" w:lineRule="auto"/>
    </w:pPr>
  </w:style>
  <w:style w:type="paragraph" w:styleId="13">
    <w:name w:val="header"/>
    <w:basedOn w:val="1"/>
    <w:link w:val="22"/>
    <w:unhideWhenUsed/>
    <w:qFormat/>
    <w:uiPriority w:val="99"/>
    <w:pPr>
      <w:tabs>
        <w:tab w:val="center" w:pos="4153"/>
        <w:tab w:val="right" w:pos="8306"/>
      </w:tabs>
      <w:spacing w:after="0" w:line="240" w:lineRule="auto"/>
    </w:pPr>
  </w:style>
  <w:style w:type="character" w:styleId="14">
    <w:name w:val="Hyperlink"/>
    <w:basedOn w:val="8"/>
    <w:semiHidden/>
    <w:unhideWhenUsed/>
    <w:qFormat/>
    <w:uiPriority w:val="99"/>
    <w:rPr>
      <w:color w:val="0000FF"/>
      <w:u w:val="single"/>
    </w:rPr>
  </w:style>
  <w:style w:type="paragraph" w:styleId="15">
    <w:name w:val="Normal (Web)"/>
    <w:basedOn w:val="1"/>
    <w:semiHidden/>
    <w:unhideWhenUsed/>
    <w:qFormat/>
    <w:uiPriority w:val="99"/>
    <w:pPr>
      <w:bidi w:val="0"/>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16">
    <w:name w:val="Strong"/>
    <w:basedOn w:val="8"/>
    <w:qFormat/>
    <w:uiPriority w:val="22"/>
    <w:rPr>
      <w:b/>
      <w:bCs/>
    </w:rPr>
  </w:style>
  <w:style w:type="table" w:styleId="17">
    <w:name w:val="Table Grid"/>
    <w:basedOn w:val="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8">
    <w:name w:val="table of figures"/>
    <w:basedOn w:val="1"/>
    <w:next w:val="1"/>
    <w:semiHidden/>
    <w:unhideWhenUsed/>
    <w:qFormat/>
    <w:uiPriority w:val="99"/>
    <w:pPr>
      <w:ind w:leftChars="200" w:hanging="200" w:hangingChars="200"/>
    </w:pPr>
  </w:style>
  <w:style w:type="paragraph" w:styleId="19">
    <w:name w:val="toc 1"/>
    <w:basedOn w:val="1"/>
    <w:next w:val="1"/>
    <w:semiHidden/>
    <w:unhideWhenUsed/>
    <w:qFormat/>
    <w:uiPriority w:val="39"/>
  </w:style>
  <w:style w:type="paragraph" w:styleId="20">
    <w:name w:val="toc 2"/>
    <w:basedOn w:val="1"/>
    <w:next w:val="1"/>
    <w:semiHidden/>
    <w:unhideWhenUsed/>
    <w:uiPriority w:val="39"/>
    <w:pPr>
      <w:ind w:left="420" w:leftChars="200"/>
    </w:pPr>
  </w:style>
  <w:style w:type="paragraph" w:styleId="21">
    <w:name w:val="toc 3"/>
    <w:basedOn w:val="1"/>
    <w:next w:val="1"/>
    <w:semiHidden/>
    <w:unhideWhenUsed/>
    <w:uiPriority w:val="39"/>
    <w:pPr>
      <w:ind w:left="840" w:leftChars="400"/>
    </w:pPr>
  </w:style>
  <w:style w:type="character" w:customStyle="1" w:styleId="22">
    <w:name w:val="Header Char"/>
    <w:basedOn w:val="8"/>
    <w:link w:val="13"/>
    <w:qFormat/>
    <w:uiPriority w:val="99"/>
  </w:style>
  <w:style w:type="character" w:customStyle="1" w:styleId="23">
    <w:name w:val="Footer Char"/>
    <w:basedOn w:val="8"/>
    <w:link w:val="12"/>
    <w:qFormat/>
    <w:uiPriority w:val="99"/>
  </w:style>
  <w:style w:type="character" w:customStyle="1" w:styleId="24">
    <w:name w:val="Heading 2 Char"/>
    <w:link w:val="3"/>
    <w:qFormat/>
    <w:uiPriority w:val="9"/>
    <w:rPr>
      <w:rFonts w:ascii="Simplified Arabic" w:hAnsi="Simplified Arabic" w:eastAsia="Calibri" w:cs="Simplified Arabic"/>
      <w:b/>
      <w:bCs/>
      <w:kern w:val="0"/>
      <w:sz w:val="32"/>
      <w:szCs w:val="32"/>
      <w:rtl/>
      <w:cs/>
      <w:lang w:val="en" w:eastAsia="en-US" w:bidi="ar-SA"/>
      <w14:ligatures w14:val="none"/>
    </w:rPr>
  </w:style>
  <w:style w:type="paragraph" w:styleId="25">
    <w:name w:val="List Paragraph"/>
    <w:basedOn w:val="1"/>
    <w:qFormat/>
    <w:uiPriority w:val="34"/>
    <w:pPr>
      <w:spacing w:before="480" w:after="480"/>
      <w:ind w:left="720"/>
      <w:contextualSpacing/>
    </w:pPr>
    <w:rPr>
      <w:rFonts w:ascii="Arial" w:hAnsi="Arial" w:eastAsia="Calibri" w:cs="Calibri"/>
      <w:kern w:val="0"/>
      <w:sz w:val="24"/>
      <w:lang w:val="en"/>
      <w14:ligatures w14:val="none"/>
    </w:rPr>
  </w:style>
  <w:style w:type="table" w:customStyle="1" w:styleId="26">
    <w:name w:val="Grid Table 4 - Accent 31"/>
    <w:basedOn w:val="9"/>
    <w:qFormat/>
    <w:uiPriority w:val="49"/>
    <w:pPr>
      <w:spacing w:after="0" w:line="240" w:lineRule="auto"/>
    </w:pPr>
    <w:rPr>
      <w:rFonts w:ascii="Times New Roman" w:hAnsi="Times New Roman" w:eastAsia="SimSun" w:cs="Times New Roman"/>
      <w:kern w:val="0"/>
      <w:sz w:val="20"/>
      <w:szCs w:val="20"/>
      <w14:ligatures w14:val="none"/>
    </w:rPr>
    <w:tblPr>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color w:val="FFFFFF"/>
      </w:rPr>
      <w:tcPr>
        <w:tcBorders>
          <w:top w:val="single" w:color="A5A5A5" w:sz="4" w:space="0"/>
          <w:left w:val="single" w:color="A5A5A5" w:sz="4" w:space="0"/>
          <w:bottom w:val="single" w:color="A5A5A5" w:sz="4" w:space="0"/>
          <w:right w:val="single" w:color="A5A5A5" w:sz="4" w:space="0"/>
          <w:insideH w:val="nil"/>
          <w:insideV w:val="nil"/>
        </w:tcBorders>
        <w:shd w:val="clear" w:color="auto" w:fill="A5A5A5"/>
      </w:tcPr>
    </w:tblStylePr>
    <w:tblStylePr w:type="lastRow">
      <w:rPr>
        <w:b/>
        <w:bCs/>
      </w:rPr>
      <w:tcPr>
        <w:tcBorders>
          <w:top w:val="double" w:color="A5A5A5" w:sz="4" w:space="0"/>
        </w:tcBorders>
      </w:tcPr>
    </w:tblStylePr>
    <w:tblStylePr w:type="firstCol">
      <w:rPr>
        <w:b/>
        <w:bCs/>
      </w:rPr>
    </w:tblStylePr>
    <w:tblStylePr w:type="lastCol">
      <w:rPr>
        <w:b/>
        <w:bCs/>
      </w:rPr>
    </w:tblStylePr>
    <w:tblStylePr w:type="band1Vert">
      <w:tcPr>
        <w:shd w:val="clear" w:color="auto" w:fill="EDEDED"/>
      </w:tcPr>
    </w:tblStylePr>
    <w:tblStylePr w:type="band1Horz">
      <w:tcPr>
        <w:shd w:val="clear" w:color="auto" w:fill="EDEDED"/>
      </w:tcPr>
    </w:tblStylePr>
  </w:style>
  <w:style w:type="table" w:customStyle="1" w:styleId="27">
    <w:name w:val="Grid Table 4 Accent 3"/>
    <w:basedOn w:val="9"/>
    <w:qFormat/>
    <w:uiPriority w:val="49"/>
    <w:pPr>
      <w:spacing w:after="0" w:line="240" w:lineRule="auto"/>
    </w:p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character" w:customStyle="1" w:styleId="28">
    <w:name w:val="Heading 1 Char"/>
    <w:link w:val="2"/>
    <w:qFormat/>
    <w:uiPriority w:val="9"/>
    <w:rPr>
      <w:rFonts w:ascii="Simplified Arabic" w:hAnsi="Simplified Arabic" w:cs="Simplified Arabic" w:eastAsiaTheme="minorHAnsi"/>
      <w:b/>
      <w:bCs/>
      <w:kern w:val="2"/>
      <w:sz w:val="36"/>
      <w:szCs w:val="36"/>
      <w:rtl/>
      <w:lang w:val="en-US" w:eastAsia="en-US" w:bidi="ar-EG"/>
      <w14:ligatures w14:val="standardContextual"/>
    </w:rPr>
  </w:style>
  <w:style w:type="table" w:customStyle="1" w:styleId="29">
    <w:name w:val="Grid Table 4 - Accent 32"/>
    <w:basedOn w:val="9"/>
    <w:qFormat/>
    <w:uiPriority w:val="49"/>
    <w:pPr>
      <w:spacing w:after="0" w:line="240" w:lineRule="auto"/>
    </w:pPr>
    <w:rPr>
      <w:rFonts w:ascii="Times New Roman" w:hAnsi="Times New Roman" w:eastAsia="SimSun" w:cs="Times New Roman"/>
      <w:kern w:val="0"/>
      <w:sz w:val="20"/>
      <w:szCs w:val="20"/>
      <w14:ligatures w14:val="none"/>
    </w:rPr>
    <w:tblPr>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color w:val="FFFFFF"/>
      </w:rPr>
      <w:tcPr>
        <w:tcBorders>
          <w:top w:val="single" w:color="A5A5A5" w:sz="4" w:space="0"/>
          <w:left w:val="single" w:color="A5A5A5" w:sz="4" w:space="0"/>
          <w:bottom w:val="single" w:color="A5A5A5" w:sz="4" w:space="0"/>
          <w:right w:val="single" w:color="A5A5A5" w:sz="4" w:space="0"/>
          <w:insideH w:val="nil"/>
          <w:insideV w:val="nil"/>
        </w:tcBorders>
        <w:shd w:val="clear" w:color="auto" w:fill="A5A5A5"/>
      </w:tcPr>
    </w:tblStylePr>
    <w:tblStylePr w:type="lastRow">
      <w:rPr>
        <w:b/>
        <w:bCs/>
      </w:rPr>
      <w:tcPr>
        <w:tcBorders>
          <w:top w:val="double" w:color="A5A5A5" w:sz="4" w:space="0"/>
        </w:tcBorders>
      </w:tcPr>
    </w:tblStylePr>
    <w:tblStylePr w:type="firstCol">
      <w:rPr>
        <w:b/>
        <w:bCs/>
      </w:rPr>
    </w:tblStylePr>
    <w:tblStylePr w:type="lastCol">
      <w:rPr>
        <w:b/>
        <w:bCs/>
      </w:rPr>
    </w:tblStylePr>
    <w:tblStylePr w:type="band1Vert">
      <w:tcPr>
        <w:shd w:val="clear" w:color="auto" w:fill="EDEDED"/>
      </w:tcPr>
    </w:tblStylePr>
    <w:tblStylePr w:type="band1Horz">
      <w:tcPr>
        <w:shd w:val="clear" w:color="auto" w:fill="EDEDED"/>
      </w:tcPr>
    </w:tblStylePr>
  </w:style>
  <w:style w:type="table" w:customStyle="1" w:styleId="30">
    <w:name w:val="Grid Table 4 - Accent 33"/>
    <w:basedOn w:val="9"/>
    <w:qFormat/>
    <w:uiPriority w:val="49"/>
    <w:pPr>
      <w:spacing w:after="0" w:line="240" w:lineRule="auto"/>
    </w:pPr>
    <w:rPr>
      <w:rFonts w:ascii="Times New Roman" w:hAnsi="Times New Roman" w:eastAsia="SimSun" w:cs="Times New Roman"/>
      <w:kern w:val="0"/>
      <w:sz w:val="20"/>
      <w:szCs w:val="20"/>
      <w14:ligatures w14:val="none"/>
    </w:rPr>
    <w:tblPr>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color w:val="FFFFFF"/>
      </w:rPr>
      <w:tcPr>
        <w:tcBorders>
          <w:top w:val="single" w:color="A5A5A5" w:sz="4" w:space="0"/>
          <w:left w:val="single" w:color="A5A5A5" w:sz="4" w:space="0"/>
          <w:bottom w:val="single" w:color="A5A5A5" w:sz="4" w:space="0"/>
          <w:right w:val="single" w:color="A5A5A5" w:sz="4" w:space="0"/>
          <w:insideH w:val="nil"/>
          <w:insideV w:val="nil"/>
        </w:tcBorders>
        <w:shd w:val="clear" w:color="auto" w:fill="A5A5A5"/>
      </w:tcPr>
    </w:tblStylePr>
    <w:tblStylePr w:type="lastRow">
      <w:rPr>
        <w:b/>
        <w:bCs/>
      </w:rPr>
      <w:tcPr>
        <w:tcBorders>
          <w:top w:val="double" w:color="A5A5A5" w:sz="4" w:space="0"/>
        </w:tcBorders>
      </w:tcPr>
    </w:tblStylePr>
    <w:tblStylePr w:type="firstCol">
      <w:rPr>
        <w:b/>
        <w:bCs/>
      </w:rPr>
    </w:tblStylePr>
    <w:tblStylePr w:type="lastCol">
      <w:rPr>
        <w:b/>
        <w:bCs/>
      </w:rPr>
    </w:tblStylePr>
    <w:tblStylePr w:type="band1Vert">
      <w:tcPr>
        <w:shd w:val="clear" w:color="auto" w:fill="EDEDED"/>
      </w:tcPr>
    </w:tblStylePr>
    <w:tblStylePr w:type="band1Horz">
      <w:tcPr>
        <w:shd w:val="clear" w:color="auto" w:fill="EDEDED"/>
      </w:tcPr>
    </w:tblStylePr>
  </w:style>
  <w:style w:type="table" w:customStyle="1" w:styleId="31">
    <w:name w:val="Grid Table 4 - Accent 34"/>
    <w:basedOn w:val="9"/>
    <w:qFormat/>
    <w:uiPriority w:val="49"/>
    <w:pPr>
      <w:spacing w:after="0" w:line="240" w:lineRule="auto"/>
    </w:pPr>
    <w:rPr>
      <w:rFonts w:ascii="Times New Roman" w:hAnsi="Times New Roman" w:eastAsia="SimSun" w:cs="Times New Roman"/>
      <w:kern w:val="0"/>
      <w:sz w:val="20"/>
      <w:szCs w:val="20"/>
      <w14:ligatures w14:val="none"/>
    </w:rPr>
    <w:tblPr>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color w:val="FFFFFF"/>
      </w:rPr>
      <w:tcPr>
        <w:tcBorders>
          <w:top w:val="single" w:color="A5A5A5" w:sz="4" w:space="0"/>
          <w:left w:val="single" w:color="A5A5A5" w:sz="4" w:space="0"/>
          <w:bottom w:val="single" w:color="A5A5A5" w:sz="4" w:space="0"/>
          <w:right w:val="single" w:color="A5A5A5" w:sz="4" w:space="0"/>
          <w:insideH w:val="nil"/>
          <w:insideV w:val="nil"/>
        </w:tcBorders>
        <w:shd w:val="clear" w:color="auto" w:fill="A5A5A5"/>
      </w:tcPr>
    </w:tblStylePr>
    <w:tblStylePr w:type="lastRow">
      <w:rPr>
        <w:b/>
        <w:bCs/>
      </w:rPr>
      <w:tcPr>
        <w:tcBorders>
          <w:top w:val="double" w:color="A5A5A5" w:sz="4" w:space="0"/>
        </w:tcBorders>
      </w:tcPr>
    </w:tblStylePr>
    <w:tblStylePr w:type="firstCol">
      <w:rPr>
        <w:b/>
        <w:bCs/>
      </w:rPr>
    </w:tblStylePr>
    <w:tblStylePr w:type="lastCol">
      <w:rPr>
        <w:b/>
        <w:bCs/>
      </w:rPr>
    </w:tblStylePr>
    <w:tblStylePr w:type="band1Vert">
      <w:tcPr>
        <w:shd w:val="clear" w:color="auto" w:fill="EDEDED"/>
      </w:tcPr>
    </w:tblStylePr>
    <w:tblStylePr w:type="band1Horz">
      <w:tcPr>
        <w:shd w:val="clear" w:color="auto" w:fill="EDEDED"/>
      </w:tcPr>
    </w:tblStylePr>
  </w:style>
  <w:style w:type="character" w:customStyle="1" w:styleId="32">
    <w:name w:val="Heading 3 Char"/>
    <w:link w:val="4"/>
    <w:semiHidden/>
    <w:qFormat/>
    <w:uiPriority w:val="9"/>
    <w:rPr>
      <w:rFonts w:ascii="Simplified Arabic" w:hAnsi="Simplified Arabic" w:eastAsia="Calibri" w:cs="Simplified Arabic"/>
      <w:b/>
      <w:bCs/>
      <w:kern w:val="0"/>
      <w:sz w:val="28"/>
      <w:szCs w:val="28"/>
      <w:rtl/>
      <w:cs w:val="0"/>
      <w:lang w:val="en-US" w:eastAsia="en-US" w:bidi="ar-SA"/>
      <w14:ligatures w14:val="none"/>
    </w:rPr>
  </w:style>
  <w:style w:type="table" w:customStyle="1" w:styleId="33">
    <w:name w:val="Grid Table 4 - Accent 35"/>
    <w:basedOn w:val="9"/>
    <w:qFormat/>
    <w:uiPriority w:val="49"/>
    <w:pPr>
      <w:spacing w:after="0" w:line="240" w:lineRule="auto"/>
    </w:pPr>
    <w:rPr>
      <w:rFonts w:ascii="Times New Roman" w:hAnsi="Times New Roman" w:eastAsia="SimSun" w:cs="Times New Roman"/>
      <w:kern w:val="0"/>
      <w:sz w:val="20"/>
      <w:szCs w:val="20"/>
      <w14:ligatures w14:val="none"/>
    </w:rPr>
    <w:tblPr>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color w:val="FFFFFF"/>
      </w:rPr>
      <w:tcPr>
        <w:tcBorders>
          <w:top w:val="single" w:color="A5A5A5" w:sz="4" w:space="0"/>
          <w:left w:val="single" w:color="A5A5A5" w:sz="4" w:space="0"/>
          <w:bottom w:val="single" w:color="A5A5A5" w:sz="4" w:space="0"/>
          <w:right w:val="single" w:color="A5A5A5" w:sz="4" w:space="0"/>
          <w:insideH w:val="nil"/>
          <w:insideV w:val="nil"/>
        </w:tcBorders>
        <w:shd w:val="clear" w:color="auto" w:fill="A5A5A5"/>
      </w:tcPr>
    </w:tblStylePr>
    <w:tblStylePr w:type="lastRow">
      <w:rPr>
        <w:b/>
        <w:bCs/>
      </w:rPr>
      <w:tcPr>
        <w:tcBorders>
          <w:top w:val="double" w:color="A5A5A5" w:sz="4" w:space="0"/>
        </w:tcBorders>
      </w:tcPr>
    </w:tblStylePr>
    <w:tblStylePr w:type="firstCol">
      <w:rPr>
        <w:b/>
        <w:bCs/>
      </w:rPr>
    </w:tblStylePr>
    <w:tblStylePr w:type="lastCol">
      <w:rPr>
        <w:b/>
        <w:bCs/>
      </w:rPr>
    </w:tblStylePr>
    <w:tblStylePr w:type="band1Vert">
      <w:tcPr>
        <w:shd w:val="clear" w:color="auto" w:fill="EDEDED"/>
      </w:tcPr>
    </w:tblStylePr>
    <w:tblStylePr w:type="band1Horz">
      <w:tcPr>
        <w:shd w:val="clear" w:color="auto" w:fill="EDEDED"/>
      </w:tcPr>
    </w:tblStylePr>
  </w:style>
  <w:style w:type="paragraph" w:customStyle="1" w:styleId="34">
    <w:name w:val="WPSOffice手动目录 1"/>
    <w:qFormat/>
    <w:uiPriority w:val="0"/>
    <w:pPr>
      <w:ind w:leftChars="0"/>
    </w:pPr>
    <w:rPr>
      <w:rFonts w:ascii="Times New Roman" w:hAnsi="Times New Roman" w:eastAsia="SimSun" w:cs="Times New Roman"/>
      <w:sz w:val="20"/>
      <w:szCs w:val="20"/>
    </w:rPr>
  </w:style>
  <w:style w:type="paragraph" w:customStyle="1" w:styleId="35">
    <w:name w:val="WPSOffice手动目录 2"/>
    <w:qFormat/>
    <w:uiPriority w:val="0"/>
    <w:pPr>
      <w:ind w:leftChars="200"/>
    </w:pPr>
    <w:rPr>
      <w:rFonts w:ascii="Times New Roman" w:hAnsi="Times New Roman" w:eastAsia="SimSun" w:cs="Times New Roman"/>
      <w:sz w:val="20"/>
      <w:szCs w:val="20"/>
    </w:rPr>
  </w:style>
  <w:style w:type="paragraph" w:customStyle="1" w:styleId="36">
    <w:name w:val="WPSOffice手动目录 3"/>
    <w:qFormat/>
    <w:uiPriority w:val="0"/>
    <w:pPr>
      <w:ind w:leftChars="400"/>
    </w:pPr>
    <w:rPr>
      <w:rFonts w:ascii="Times New Roman" w:hAnsi="Times New Roman" w:eastAsia="SimSun" w:cs="Times New Roman"/>
      <w:sz w:val="20"/>
      <w:szCs w:val="20"/>
    </w:rPr>
  </w:style>
  <w:style w:type="character" w:customStyle="1" w:styleId="37">
    <w:name w:val="Caption Char"/>
    <w:link w:val="10"/>
    <w:qFormat/>
    <w:uiPriority w:val="0"/>
    <w:rPr>
      <w:rFonts w:ascii="Simplified Arabic" w:hAnsi="Simplified Arabic" w:cs="Simplified Arabic"/>
      <w:b/>
      <w:bCs/>
      <w:sz w:val="22"/>
      <w:szCs w:val="22"/>
      <w:rtl/>
      <w:lang w:bidi="ar-SA"/>
    </w:rPr>
  </w:style>
  <w:style w:type="character" w:customStyle="1" w:styleId="38">
    <w:name w:val="font21"/>
    <w:qFormat/>
    <w:uiPriority w:val="0"/>
    <w:rPr>
      <w:rFonts w:hint="default" w:ascii="Simplified Arabic" w:hAnsi="Simplified Arabic" w:eastAsia="Simplified Arabic" w:cs="Simplified Arabic"/>
      <w:color w:val="000000"/>
      <w:sz w:val="28"/>
      <w:szCs w:val="28"/>
      <w:u w:val="none"/>
    </w:rPr>
  </w:style>
  <w:style w:type="character" w:customStyle="1" w:styleId="39">
    <w:name w:val="font41"/>
    <w:qFormat/>
    <w:uiPriority w:val="0"/>
    <w:rPr>
      <w:rFonts w:hint="default" w:ascii="Simplified Arabic" w:hAnsi="Simplified Arabic" w:eastAsia="Simplified Arabic" w:cs="Simplified Arabic"/>
      <w:color w:val="FFFFFF"/>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34</Pages>
  <Words>9358</Words>
  <Characters>53345</Characters>
  <Lines>444</Lines>
  <Paragraphs>125</Paragraphs>
  <TotalTime>2</TotalTime>
  <ScaleCrop>false</ScaleCrop>
  <LinksUpToDate>false</LinksUpToDate>
  <CharactersWithSpaces>62578</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2024-01-27T08:57:00Z</dcterms:created>
  <dc:creator>marwamostafa2013</dc:creator>
  <cp:lastModifiedBy>ك</cp:lastModifiedBy>
  <dcterms:modified xsi:type="dcterms:W3CDTF">2026-03-20T08:46:23Z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1033-12.2.0.23196</vt:lpwstr>
  </property>
  <property fmtid="{D5CDD505-2E9C-101B-9397-08002B2CF9AE}" pid="4" name="ICV">
    <vt:lpwstr>188A0283AD914496A195F1AE5043C36D_12</vt:lpwstr>
  </property>
</Properties>
</file>