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4D44E" w14:textId="293D848D" w:rsidR="004825CE" w:rsidRPr="001902DB" w:rsidRDefault="004825CE" w:rsidP="004825CE">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2848" behindDoc="0" locked="0" layoutInCell="1" allowOverlap="1" wp14:anchorId="08D089FF" wp14:editId="55916F3D">
            <wp:simplePos x="0" y="0"/>
            <wp:positionH relativeFrom="margin">
              <wp:posOffset>-1019175</wp:posOffset>
            </wp:positionH>
            <wp:positionV relativeFrom="margin">
              <wp:posOffset>-790575</wp:posOffset>
            </wp:positionV>
            <wp:extent cx="2227152" cy="2066925"/>
            <wp:effectExtent l="0" t="0" r="1905" b="0"/>
            <wp:wrapSquare wrapText="bothSides"/>
            <wp:docPr id="79131400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1617DD8" w14:textId="1D0A2516" w:rsidR="004825CE" w:rsidRPr="001902DB" w:rsidRDefault="004825CE" w:rsidP="004825CE">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042DE47" w14:textId="3812DA9B" w:rsidR="004825CE" w:rsidRPr="009125CE" w:rsidRDefault="004825CE" w:rsidP="004825CE">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المشاريع</w:t>
      </w:r>
    </w:p>
    <w:p w14:paraId="10561600" w14:textId="77777777" w:rsidR="004825CE" w:rsidRPr="009125CE" w:rsidRDefault="004825CE" w:rsidP="004825CE">
      <w:pPr>
        <w:rPr>
          <w:rFonts w:ascii="Sakkal Majalla" w:hAnsi="Sakkal Majalla" w:cs="Sakkal Majalla"/>
          <w:sz w:val="28"/>
          <w:szCs w:val="28"/>
          <w:rtl/>
          <w:lang w:bidi="ar-EG"/>
        </w:rPr>
      </w:pPr>
    </w:p>
    <w:p w14:paraId="5196A70F" w14:textId="77777777" w:rsidR="004825CE" w:rsidRPr="00C765B3" w:rsidRDefault="004825CE" w:rsidP="0048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1F778DD" w14:textId="7B1057BC" w:rsidR="004825CE" w:rsidRPr="00D525F9" w:rsidRDefault="00D525F9" w:rsidP="004825CE">
      <w:pPr>
        <w:jc w:val="center"/>
        <w:rPr>
          <w:rFonts w:ascii="Sakkal Majalla" w:hAnsi="Sakkal Majalla" w:cs="Sakkal Majalla"/>
          <w:b/>
          <w:bCs/>
          <w:sz w:val="32"/>
          <w:szCs w:val="32"/>
          <w:rtl/>
          <w:lang w:bidi="ar-EG"/>
        </w:rPr>
      </w:pPr>
      <w:r w:rsidRPr="00D525F9">
        <w:rPr>
          <w:rFonts w:ascii="Sakkal Majalla" w:hAnsi="Sakkal Majalla" w:cs="Sakkal Majalla" w:hint="cs"/>
          <w:b/>
          <w:bCs/>
          <w:sz w:val="32"/>
          <w:szCs w:val="32"/>
          <w:rtl/>
          <w:lang w:bidi="ar-EG"/>
        </w:rPr>
        <w:t xml:space="preserve">تأثير مستوى نضج مكتب إدارة المشاريع في التعامل مع تقنيات الذكاء الاصطناعي </w:t>
      </w:r>
    </w:p>
    <w:p w14:paraId="5DE476CC" w14:textId="77777777" w:rsidR="004825CE" w:rsidRPr="001902DB" w:rsidRDefault="004825CE" w:rsidP="004825CE">
      <w:pPr>
        <w:jc w:val="center"/>
        <w:rPr>
          <w:rFonts w:ascii="Sakkal Majalla" w:hAnsi="Sakkal Majalla" w:cs="Sakkal Majalla"/>
          <w:b/>
          <w:bCs/>
          <w:sz w:val="28"/>
          <w:szCs w:val="28"/>
          <w:rtl/>
          <w:lang w:bidi="ar-EG"/>
        </w:rPr>
      </w:pPr>
    </w:p>
    <w:p w14:paraId="20AE5903" w14:textId="77777777" w:rsidR="004825CE" w:rsidRDefault="004825CE" w:rsidP="0048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B9986F4" w14:textId="77777777" w:rsidR="004825CE" w:rsidRDefault="004825CE" w:rsidP="0048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باسل باسم العطاس   251002191 </w:t>
      </w:r>
    </w:p>
    <w:p w14:paraId="118E7E1B" w14:textId="77777777" w:rsidR="004825CE" w:rsidRPr="001902DB" w:rsidRDefault="004825CE" w:rsidP="004825CE">
      <w:pPr>
        <w:jc w:val="center"/>
        <w:rPr>
          <w:rFonts w:ascii="Sakkal Majalla" w:hAnsi="Sakkal Majalla" w:cs="Sakkal Majalla"/>
          <w:b/>
          <w:bCs/>
          <w:sz w:val="28"/>
          <w:szCs w:val="28"/>
          <w:rtl/>
          <w:lang w:bidi="ar-EG"/>
        </w:rPr>
      </w:pPr>
    </w:p>
    <w:p w14:paraId="22888C41" w14:textId="77777777" w:rsidR="004825CE" w:rsidRPr="001902DB" w:rsidRDefault="004825CE" w:rsidP="004825CE">
      <w:pPr>
        <w:jc w:val="center"/>
        <w:rPr>
          <w:rFonts w:ascii="Sakkal Majalla" w:hAnsi="Sakkal Majalla" w:cs="Sakkal Majalla"/>
          <w:b/>
          <w:bCs/>
          <w:sz w:val="28"/>
          <w:szCs w:val="28"/>
          <w:rtl/>
          <w:lang w:bidi="ar-EG"/>
        </w:rPr>
      </w:pPr>
    </w:p>
    <w:p w14:paraId="6B796729" w14:textId="77777777" w:rsidR="004825CE" w:rsidRPr="001902DB" w:rsidRDefault="004825CE" w:rsidP="004825CE">
      <w:pPr>
        <w:jc w:val="center"/>
        <w:rPr>
          <w:rFonts w:ascii="Sakkal Majalla" w:hAnsi="Sakkal Majalla" w:cs="Sakkal Majalla"/>
          <w:b/>
          <w:bCs/>
          <w:sz w:val="28"/>
          <w:szCs w:val="28"/>
          <w:rtl/>
          <w:lang w:bidi="ar-EG"/>
        </w:rPr>
      </w:pPr>
    </w:p>
    <w:p w14:paraId="2B779006" w14:textId="77777777" w:rsidR="004825CE" w:rsidRPr="001902DB" w:rsidRDefault="004825CE" w:rsidP="0048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DD0109" w14:textId="77777777" w:rsidR="004825CE" w:rsidRDefault="004825CE" w:rsidP="0048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4D7D7B5A" w14:textId="77777777" w:rsidR="004825CE" w:rsidRPr="001902DB" w:rsidRDefault="004825CE" w:rsidP="0048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F82CB26" w14:textId="77777777" w:rsidR="004825CE" w:rsidRPr="001902DB" w:rsidRDefault="004825CE" w:rsidP="004825CE">
      <w:pPr>
        <w:rPr>
          <w:rFonts w:ascii="Sakkal Majalla" w:hAnsi="Sakkal Majalla" w:cs="Sakkal Majalla"/>
          <w:b/>
          <w:bCs/>
          <w:sz w:val="28"/>
          <w:szCs w:val="28"/>
          <w:rtl/>
          <w:lang w:bidi="ar-EG"/>
        </w:rPr>
      </w:pPr>
    </w:p>
    <w:p w14:paraId="77B823FA" w14:textId="77777777" w:rsidR="004825CE" w:rsidRPr="001902DB" w:rsidRDefault="004825CE" w:rsidP="0048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E493058" w14:textId="77777777" w:rsidR="004825CE" w:rsidRDefault="004825CE" w:rsidP="0048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5-2026</w:t>
      </w:r>
    </w:p>
    <w:p w14:paraId="2BB25073" w14:textId="77777777" w:rsidR="00D525F9" w:rsidRDefault="00D525F9" w:rsidP="004825CE">
      <w:pPr>
        <w:jc w:val="center"/>
        <w:rPr>
          <w:rFonts w:ascii="Sakkal Majalla" w:hAnsi="Sakkal Majalla" w:cs="Sakkal Majalla"/>
          <w:b/>
          <w:bCs/>
          <w:sz w:val="28"/>
          <w:szCs w:val="28"/>
          <w:rtl/>
          <w:lang w:bidi="ar-EG"/>
        </w:rPr>
      </w:pPr>
    </w:p>
    <w:p w14:paraId="071FB3B5" w14:textId="77777777" w:rsidR="005312F3" w:rsidRPr="001902DB" w:rsidRDefault="005312F3" w:rsidP="004825CE">
      <w:pPr>
        <w:jc w:val="center"/>
        <w:rPr>
          <w:rFonts w:ascii="Sakkal Majalla" w:hAnsi="Sakkal Majalla" w:cs="Sakkal Majalla"/>
          <w:b/>
          <w:bCs/>
          <w:sz w:val="28"/>
          <w:szCs w:val="28"/>
          <w:rtl/>
          <w:lang w:bidi="ar-EG"/>
        </w:rPr>
      </w:pPr>
    </w:p>
    <w:p w14:paraId="445E3E43" w14:textId="7EFA34D0" w:rsidR="004825CE" w:rsidRPr="004825CE" w:rsidRDefault="00000000" w:rsidP="004825CE">
      <w:pPr>
        <w:jc w:val="right"/>
        <w:rPr>
          <w:b/>
          <w:sz w:val="32"/>
        </w:rPr>
      </w:pPr>
      <w:proofErr w:type="spellStart"/>
      <w:r>
        <w:rPr>
          <w:b/>
          <w:sz w:val="32"/>
        </w:rPr>
        <w:lastRenderedPageBreak/>
        <w:t>الفصل</w:t>
      </w:r>
      <w:proofErr w:type="spellEnd"/>
      <w:r>
        <w:rPr>
          <w:b/>
          <w:sz w:val="32"/>
        </w:rPr>
        <w:t xml:space="preserve"> </w:t>
      </w:r>
      <w:proofErr w:type="spellStart"/>
      <w:r>
        <w:rPr>
          <w:b/>
          <w:sz w:val="32"/>
        </w:rPr>
        <w:t>الأول</w:t>
      </w:r>
      <w:proofErr w:type="spellEnd"/>
      <w:r>
        <w:rPr>
          <w:b/>
          <w:sz w:val="32"/>
        </w:rPr>
        <w:t xml:space="preserve">: </w:t>
      </w:r>
      <w:proofErr w:type="spellStart"/>
      <w:r>
        <w:rPr>
          <w:b/>
          <w:sz w:val="32"/>
        </w:rPr>
        <w:t>المقدمة</w:t>
      </w:r>
      <w:proofErr w:type="spellEnd"/>
      <w:r>
        <w:rPr>
          <w:b/>
          <w:sz w:val="32"/>
        </w:rPr>
        <w:t xml:space="preserve"> </w:t>
      </w:r>
      <w:proofErr w:type="spellStart"/>
      <w:r>
        <w:rPr>
          <w:b/>
          <w:sz w:val="32"/>
        </w:rPr>
        <w:t>والإطار</w:t>
      </w:r>
      <w:proofErr w:type="spellEnd"/>
      <w:r>
        <w:rPr>
          <w:b/>
          <w:sz w:val="32"/>
        </w:rPr>
        <w:t xml:space="preserve"> </w:t>
      </w:r>
      <w:proofErr w:type="spellStart"/>
      <w:r>
        <w:rPr>
          <w:b/>
          <w:sz w:val="32"/>
        </w:rPr>
        <w:t>النظري</w:t>
      </w:r>
      <w:proofErr w:type="spellEnd"/>
      <w:r>
        <w:rPr>
          <w:b/>
          <w:sz w:val="32"/>
        </w:rPr>
        <w:t xml:space="preserve"> </w:t>
      </w:r>
      <w:proofErr w:type="spellStart"/>
      <w:r>
        <w:rPr>
          <w:b/>
          <w:sz w:val="32"/>
        </w:rPr>
        <w:t>للدراسة</w:t>
      </w:r>
      <w:proofErr w:type="spellEnd"/>
    </w:p>
    <w:p w14:paraId="1A9558B6" w14:textId="77777777" w:rsidR="004E372B" w:rsidRDefault="00000000" w:rsidP="004825CE">
      <w:pPr>
        <w:jc w:val="right"/>
      </w:pPr>
      <w:r>
        <w:rPr>
          <w:b/>
          <w:sz w:val="28"/>
        </w:rPr>
        <w:t>1-1 المقدمة</w:t>
      </w:r>
    </w:p>
    <w:p w14:paraId="6E790479" w14:textId="77777777" w:rsidR="004E372B" w:rsidRDefault="00000000" w:rsidP="004825CE">
      <w:pPr>
        <w:jc w:val="right"/>
      </w:pPr>
      <w:r>
        <w:t>شهدت إدارة المشاريع في العقود الأخيرة تحولات جوهرية نتيجة للتقدم الكبير في تقنيات المعلومات والاتصالات، وظهور أدوات تحليل متقدمة تعتمد على الذكاء الاصطناعي في جمع البيانات ومعالجتها ودعم اتخاذ القرارات. ولم تعد إدارة المشاريع تعتمد فقط على الخبرة الشخصية أو الجداول التقليدية، بل أصبحت تستند إلى نماذج تنبؤية، ولوحات متابعة لحظية، وتحليلات معقدة تسهم في رفع كفاءة الأداء وتقليل المخاطر والانحرافات الزمنية والمالية.</w:t>
      </w:r>
    </w:p>
    <w:p w14:paraId="33AD854D" w14:textId="77777777" w:rsidR="004E372B" w:rsidRDefault="00000000" w:rsidP="004825CE">
      <w:pPr>
        <w:jc w:val="right"/>
      </w:pPr>
      <w:r>
        <w:t>في هذا السياق برز مكتب إدارة المشاريع بوصفه وحدة تنظيمية محورية داخل المؤسسات، يتولى توحيد منهجيات إدارة المشاريع، ودعم مديري المشاريع، ومتابعة التقدم في التنفيذ، وضمان ارتباط المشاريع بالأهداف الاستراتيجية للمؤسسة. ويُعد مستوى نضج هذا المكتب مؤشرًا مهمًا على مدى تطور ممارساته، ومدى قدرته على قيادة التحول الرقمي وتبني التقنيات الحديثة، ومنها تقنيات الذكاء الاصطناعي.</w:t>
      </w:r>
    </w:p>
    <w:p w14:paraId="22DFB1D1" w14:textId="77777777" w:rsidR="004E372B" w:rsidRDefault="00000000" w:rsidP="004825CE">
      <w:pPr>
        <w:jc w:val="right"/>
      </w:pPr>
      <w:r>
        <w:t>ومع تبنّي رؤية المملكة العربية السعودية 2030 التي تستهدف التحول إلى اقتصاد معرفي قائم على الابتكار والتحول الرقمي، برزت الحاجة إلى مكاتب إدارة مشاريع ناضجة وقادرة على استيعاب تقنيات الذكاء الاصطناعي وتوظيفها في المشروعات الوطنية الكبرى في مختلف القطاعات. إلا أن الواقع يشير إلى وجود تفاوت بين المؤسسات من حيث مستوى نضج مكاتب إدارة المشاريع، وجاهزية البنية التحتية التقنية، وثقافة تبنّي الابتكار، وتوافر الكفاءات البشرية المتخصصة، وهو ما يثير تساؤلات حول أثر مستوى نضج مكتب إدارة المشاريع على قدرة المؤسسة في التعامل مع تقنيات الذكاء الاصطناعي عبر دورة حياة المشروع.</w:t>
      </w:r>
    </w:p>
    <w:p w14:paraId="7AB56667" w14:textId="77777777" w:rsidR="004E372B" w:rsidRDefault="00000000" w:rsidP="004825CE">
      <w:pPr>
        <w:jc w:val="right"/>
      </w:pPr>
      <w:r>
        <w:t>من هنا تنطلق هذه الدراسة للبحث في تأثير مستوى نضج مكتب إدارة المشاريع في التعامل مع تقنيات الذكاء الاصطناعي، من خلال إطار نظري يعرّف ويفصّل المفاهيم والعلاقات الرئيسة المرتبطة بالموضوع، حتى تتكون لدى القارئ صورة شاملة عن جميع الجوانب النظرية المتصلة بالبحث قبل الانتقال إلى الجانب التطبيقي.</w:t>
      </w:r>
    </w:p>
    <w:p w14:paraId="1C268890" w14:textId="77777777" w:rsidR="004E372B" w:rsidRDefault="00000000" w:rsidP="004825CE">
      <w:pPr>
        <w:jc w:val="right"/>
      </w:pPr>
      <w:r>
        <w:rPr>
          <w:b/>
          <w:sz w:val="28"/>
        </w:rPr>
        <w:t>1-2 الإطار النظري للدراسة</w:t>
      </w:r>
    </w:p>
    <w:p w14:paraId="0D51BBA1" w14:textId="77777777" w:rsidR="004E372B" w:rsidRDefault="00000000" w:rsidP="004825CE">
      <w:pPr>
        <w:jc w:val="right"/>
      </w:pPr>
      <w:r>
        <w:t>يهدف هذا الإطار إلى تقديم شرح نظري متكامل للمفاهيم والأفكار المتعلقة بموضوع الدراسة، على نحو يعرّف القارئ بكل الجوانب المرتبطة بمستوى نضج مكتب إدارة المشاريع، وتقنيات الذكاء الاصطناعي، وجاهزية التقنية، وقبول التكنولوجيا، ومنظور الموارد وإدارة التغيير، بما يمثّل الأساس النظري الذي تُبنى عليه الدراسة.</w:t>
      </w:r>
    </w:p>
    <w:p w14:paraId="1397D5A0" w14:textId="77777777" w:rsidR="004E372B" w:rsidRDefault="00000000" w:rsidP="004825CE">
      <w:pPr>
        <w:jc w:val="right"/>
      </w:pPr>
      <w:r>
        <w:rPr>
          <w:b/>
          <w:sz w:val="28"/>
        </w:rPr>
        <w:t>1-2-1 إدارة المشاريع ومكتب إدارة المشاريع (PMO)</w:t>
      </w:r>
    </w:p>
    <w:p w14:paraId="42EB0F33" w14:textId="77777777" w:rsidR="004E372B" w:rsidRDefault="00000000" w:rsidP="004825CE">
      <w:pPr>
        <w:jc w:val="right"/>
      </w:pPr>
      <w:r>
        <w:t>تُعرَّف إدارة المشاريع بأنها عملية تخطيط وتنظيم وتنفيذ ومراقبة مجموعة من الأنشطة المترابطة بهدف تحقيق أهداف محددة خلال فترة زمنية معينة وضمن حدود الموارد المتاحة من وقت وتكلفة وجودة. وتشمل إدارة المشاريع عادة تحديد نطاق المشروع وأهدافه، وتخطيط الأنشطة والموارد، وإدارة الوقت والتكلفة والجودة، بالإضافة إلى إدارة المخاطر والتواصل وأصحاب المصلحة.</w:t>
      </w:r>
    </w:p>
    <w:p w14:paraId="4EB2FA95" w14:textId="77777777" w:rsidR="004E372B" w:rsidRDefault="00000000" w:rsidP="004825CE">
      <w:pPr>
        <w:jc w:val="right"/>
      </w:pPr>
      <w:r>
        <w:t>أما مكتب إدارة المشاريع فيُقصد به وحدة تنظيمية تُنشأ داخل المؤسسة بهدف توحيد منهجيات وأدوات إدارة المشاريع، وتقديم الدعم الفني والاستشاري لمديري المشاريع، والإشراف على محفظة المشاريع، وضمان توافقها مع الاستراتيجية العامة للمؤسسة، وبناء قاعدة معرفة للمشاريع تتضمن النماذج والسياسات والدروس المستفادة.</w:t>
      </w:r>
    </w:p>
    <w:p w14:paraId="434404EA" w14:textId="77777777" w:rsidR="004E372B" w:rsidRDefault="00000000" w:rsidP="004825CE">
      <w:pPr>
        <w:jc w:val="right"/>
      </w:pPr>
      <w:r>
        <w:lastRenderedPageBreak/>
        <w:t>ويمكن تصنيف مكاتب إدارة المشاريع إلى ثلاثة أنماط رئيسة: مكتب داعم يركز على تقديم الإرشاد والنماذج والتدريب، ومكتب مسيطر يفرض منهجيات وسياسات محددة ويتابع الالتزام بها، ومكتب توجيهي يتولى إدارة المشاريع ويمتلك سلطات واسعة في اتخاذ القرارات. وكلما كان دور مكتب إدارة المشاريع أكثر وضوحًا وتنظيمًا، زادت قدرته على قيادة التحول الرقمي وتبني تقنيات الذكاء الاصطناعي داخل بيئة المشاريع.</w:t>
      </w:r>
    </w:p>
    <w:p w14:paraId="237D563B" w14:textId="77777777" w:rsidR="004E372B" w:rsidRDefault="00000000" w:rsidP="004825CE">
      <w:pPr>
        <w:jc w:val="right"/>
      </w:pPr>
      <w:r>
        <w:rPr>
          <w:b/>
          <w:sz w:val="28"/>
        </w:rPr>
        <w:t>1-2-2 مفهوم نضج مكتب إدارة المشاريع ومستوياته</w:t>
      </w:r>
    </w:p>
    <w:p w14:paraId="1A61EB61" w14:textId="77777777" w:rsidR="004E372B" w:rsidRDefault="00000000" w:rsidP="004825CE">
      <w:pPr>
        <w:jc w:val="right"/>
      </w:pPr>
      <w:r>
        <w:t>يقصد بنضج مكتب إدارة المشاريع درجة تطور ممارسات المكتب وهياكله وعملياته من حالة عشوائية تعتمد على الاجتهادات الفردية، إلى حالة مؤسسية منظمة تعتمد على التوثيق والحوكمة والتحسين المستمر والاستفادة من البيانات. وتقدّم نماذج النضج، مثل نموذج نضج إدارة المشاريع، مستويات متدرجة لهذا النضج.</w:t>
      </w:r>
    </w:p>
    <w:p w14:paraId="398FA8D4" w14:textId="77777777" w:rsidR="004E372B" w:rsidRDefault="00000000" w:rsidP="004825CE">
      <w:pPr>
        <w:jc w:val="right"/>
      </w:pPr>
      <w:r>
        <w:t>في المستوى الأول (الابتدائي) تغيب السياسات والإجراءات المكتوبة، وتعتمد إدارة المشاريع على جهود الأفراد وخبراتهم، مع اختلاف كبير في طريقة إدارة المشاريع من مشروع لآخر. وفي المستوى الثاني (المكرر) تظهر بعض الإجراءات المتكررة دون توثيق شامل، ويُستخدم عدد من الأدوات البسيطة للمتابعة مع محدودية في مشاركة المعرفة.</w:t>
      </w:r>
    </w:p>
    <w:p w14:paraId="574C9685" w14:textId="77777777" w:rsidR="004E372B" w:rsidRDefault="00000000" w:rsidP="004825CE">
      <w:pPr>
        <w:jc w:val="right"/>
      </w:pPr>
      <w:r>
        <w:t>أما المستوى الثالث (المعرّف) فيتسم بتوثيق واضح للعمليات والإجراءات في أدلة رسمية، ووجود نماذج وتقارير موحّدة، وتكوّن ثقافة مؤسسية لإدارة المشاريع. وفي المستوى الرابع (المدار) تُستخدم مؤشرات أداء لقياس نجاح المشاريع، ويتم تحليل الانحرافات واستخدام البيانات في اتخاذ القرارات وعقد مراجعات دورية للعمليات بهدف تحسينها. وفي المستوى الخامس (المحسَّن) يتركز الاهتمام على التحسين المستمر والابتكار، والاستفادة من الخبرات والدروس المستفادة في تصميم مشاريع جديدة، وتوظيف التقنيات الحديثة، مثل الذكاء الاصطناعي والتحليلات المتقدمة، ضمن منهجية العمل.</w:t>
      </w:r>
    </w:p>
    <w:p w14:paraId="30374D6D" w14:textId="77777777" w:rsidR="004E372B" w:rsidRDefault="00000000" w:rsidP="004825CE">
      <w:pPr>
        <w:jc w:val="right"/>
      </w:pPr>
      <w:r>
        <w:t>وتفترض هذه الدراسة أن ارتفاع مستوى نضج مكتب إدارة المشاريع يسهم في خلق بيئة أكثر استعدادًا لاستخدام الذكاء الاصطناعي، لأنه يعني وجود بيانات موثوقة، وعمليات منضبطة، وثقافة داعمة للتحسين والتقنية.</w:t>
      </w:r>
    </w:p>
    <w:p w14:paraId="54A211A8" w14:textId="77777777" w:rsidR="004E372B" w:rsidRDefault="00000000" w:rsidP="004825CE">
      <w:pPr>
        <w:jc w:val="right"/>
      </w:pPr>
      <w:r>
        <w:rPr>
          <w:b/>
          <w:sz w:val="28"/>
        </w:rPr>
        <w:t>1-2-3 الذكاء الاصطناعي وتطبيقاته في إدارة المشاريع</w:t>
      </w:r>
    </w:p>
    <w:p w14:paraId="688C49AC" w14:textId="77777777" w:rsidR="004E372B" w:rsidRDefault="00000000" w:rsidP="004825CE">
      <w:pPr>
        <w:jc w:val="right"/>
      </w:pPr>
      <w:r>
        <w:t>الذكاء الاصطناعي هو فرع من علوم الحاسب يهدف إلى تطوير أنظمة قادرة على محاكاة بعض قدرات الإنسان الذهنية، مثل التعلم من البيانات، والتحليل والاستنباط، واتخاذ القرار، وفهم اللغة الطبيعية، والتعرف على الأنماط. ويشمل ذلك تقنيات متعددة، مثل التعلم الآلي، والتعلم العميق، ومعالجة اللغة الطبيعية، والأنظمة الخبيرة، وتحليل البيانات الضخمة.</w:t>
      </w:r>
    </w:p>
    <w:p w14:paraId="68F33E0C" w14:textId="77777777" w:rsidR="004E372B" w:rsidRDefault="00000000" w:rsidP="004825CE">
      <w:pPr>
        <w:jc w:val="right"/>
      </w:pPr>
      <w:r>
        <w:t>في مجال إدارة المشاريع يمكن توظيف الذكاء الاصطناعي في مراحل مختلفة من دورة حياة المشروع. ففي مرحلة التخطيط يساعد في التنبؤ بالمدة والتكلفة استنادًا إلى بيانات مشاريع سابقة، واقتراح الجداول الزمنية المثلى وتوزيع الموارد. وفي مرحلة التنفيذ يمكن استخدامه لمتابعة تقدم الأعمال تلقائيًا ورصد التأخيرات المحتملة واقتراح بدائل لتنفيذ الأعمال.</w:t>
      </w:r>
    </w:p>
    <w:p w14:paraId="3F3C5688" w14:textId="77777777" w:rsidR="004825CE" w:rsidRDefault="00000000" w:rsidP="004825CE">
      <w:pPr>
        <w:jc w:val="right"/>
        <w:rPr>
          <w:rtl/>
        </w:rPr>
      </w:pPr>
      <w:r>
        <w:t xml:space="preserve">وفي مرحلة المراقبة والتحكم يمكن إنشاء لوحات مؤشرات ذكية تربط بين الجهد والتكلفة والجودة، وتكتشف الأنماط غير الطبيعية التي قد تشير إلى مخاطر محتملة. أما في مرحلة الإغلاق وإدارة المعرفة فيمكن توظيف تقنيات معالجة اللغة الطبيعية لتحليل التقارير النصية واستخلاص الدروس المستفادة وتنظيمها في قواعد معرفة قابلة للبحث والتحليل. وبهذا يتضح أن الذكاء الاصطناعي يمثل أداة مهمة لتعزيز </w:t>
      </w:r>
      <w:proofErr w:type="spellStart"/>
      <w:r>
        <w:t>كفاءة</w:t>
      </w:r>
      <w:proofErr w:type="spellEnd"/>
      <w:r>
        <w:t xml:space="preserve"> </w:t>
      </w:r>
      <w:proofErr w:type="spellStart"/>
      <w:r>
        <w:t>إدارة</w:t>
      </w:r>
      <w:proofErr w:type="spellEnd"/>
      <w:r>
        <w:t xml:space="preserve"> </w:t>
      </w:r>
      <w:proofErr w:type="spellStart"/>
      <w:r>
        <w:t>المشاريع</w:t>
      </w:r>
      <w:proofErr w:type="spellEnd"/>
      <w:r>
        <w:t xml:space="preserve"> </w:t>
      </w:r>
      <w:proofErr w:type="spellStart"/>
      <w:r>
        <w:t>وفعالية</w:t>
      </w:r>
      <w:proofErr w:type="spellEnd"/>
      <w:r>
        <w:t xml:space="preserve"> </w:t>
      </w:r>
      <w:proofErr w:type="spellStart"/>
      <w:r>
        <w:t>مكتب</w:t>
      </w:r>
      <w:proofErr w:type="spellEnd"/>
      <w:r>
        <w:t xml:space="preserve"> </w:t>
      </w:r>
      <w:proofErr w:type="spellStart"/>
      <w:r>
        <w:t>إدارة</w:t>
      </w:r>
      <w:proofErr w:type="spellEnd"/>
      <w:r>
        <w:t xml:space="preserve"> </w:t>
      </w:r>
      <w:proofErr w:type="spellStart"/>
      <w:r>
        <w:t>المشاريع</w:t>
      </w:r>
      <w:proofErr w:type="spellEnd"/>
    </w:p>
    <w:p w14:paraId="56A04825" w14:textId="08D08670" w:rsidR="004E372B" w:rsidRDefault="004E372B" w:rsidP="004825CE">
      <w:pPr>
        <w:jc w:val="right"/>
      </w:pPr>
    </w:p>
    <w:p w14:paraId="5DFCA1F6" w14:textId="77777777" w:rsidR="004E372B" w:rsidRDefault="00000000" w:rsidP="004825CE">
      <w:pPr>
        <w:jc w:val="right"/>
      </w:pPr>
      <w:r>
        <w:rPr>
          <w:b/>
          <w:sz w:val="28"/>
        </w:rPr>
        <w:lastRenderedPageBreak/>
        <w:t>1-2-4 جاهزية التقنية (Technology Readiness)</w:t>
      </w:r>
    </w:p>
    <w:p w14:paraId="3FDE3122" w14:textId="77777777" w:rsidR="004E372B" w:rsidRDefault="00000000" w:rsidP="004825CE">
      <w:pPr>
        <w:jc w:val="right"/>
      </w:pPr>
      <w:r>
        <w:t>يقصد بجاهزية التقنية مستوى استعداد المؤسسة من حيث البنية التحتية والقيادة والثقافة والموارد البشرية لتبنّي التقنيات الحديثة مثل الذكاء الاصطناعي واستخدامها بفعالية. ويمكن تقسيم جاهزية التقنية إلى أربعة أبعاد رئيسة:</w:t>
      </w:r>
    </w:p>
    <w:p w14:paraId="4A0FCC3A" w14:textId="77777777" w:rsidR="004E372B" w:rsidRDefault="00000000" w:rsidP="004825CE">
      <w:pPr>
        <w:jc w:val="right"/>
      </w:pPr>
      <w:r>
        <w:t>أولًا: البنية التحتية التقنية، وتشمل توفر الأجهزة والخوادم والشبكات والسحابات الحوسبية، ووجود أنظمة معلومات متكاملة وأنظمة حماية وأمن سيبراني تدعم تشغيل تطبيقات الذكاء الاصطناعي. ثانيًا: دعم القيادة العليا، ويتمثل في وجود رؤية واضحة للتحول الرقمي، وتخصيص ميزانيات لمبادرات التقنية والذكاء الاصطناعي، واتخاذ قرارات تدعم استخدام الأنظمة الحديثة.</w:t>
      </w:r>
    </w:p>
    <w:p w14:paraId="5B1AB5F8" w14:textId="77777777" w:rsidR="004E372B" w:rsidRDefault="00000000" w:rsidP="004825CE">
      <w:pPr>
        <w:jc w:val="right"/>
      </w:pPr>
      <w:r>
        <w:t>ثالثًا: الثقافة التنظيمية، وتعكس مدى تقبل التغيير وعدم الخوف من التقنيات الجديدة، وتشجيع التجريب والابتكار، وتقدير المبادرات التطويرية. ورابعًا: الكفاءات البشرية، وتشمل توافر مهارات تقنية وتحليلية لدى العاملين، وتقديم التدريب المستمر على الأنظمة الجديدة، والقدرة على تفسير مخرجات النماذج الذكية واستخدامها في اتخاذ القرار. ويرتبط هذا المفهوم ارتباطًا وثيقًا بموضوع الدراسة، إذ يُتوقع أن يسهم نضج مكتب إدارة المشاريع في رفع جاهزية المؤسسة للتقنيات الحديثة.</w:t>
      </w:r>
    </w:p>
    <w:p w14:paraId="2AC3D053" w14:textId="77777777" w:rsidR="004E372B" w:rsidRDefault="00000000" w:rsidP="004825CE">
      <w:pPr>
        <w:jc w:val="right"/>
      </w:pPr>
      <w:r>
        <w:rPr>
          <w:b/>
          <w:sz w:val="28"/>
        </w:rPr>
        <w:t>1-2-5 قبول التكنولوجيا والسلوك التنظيمي</w:t>
      </w:r>
    </w:p>
    <w:p w14:paraId="351BC2D7" w14:textId="77777777" w:rsidR="004E372B" w:rsidRDefault="00000000" w:rsidP="004825CE">
      <w:pPr>
        <w:jc w:val="right"/>
      </w:pPr>
      <w:r>
        <w:t>توضح نماذج قبول التكنولوجيا أن تبنّي أي تقنية جديدة لا يعتمد فقط على توافرها، بل يتأثر باتجاهات الأفراد نحوها. ومن أهم هذه العوامل المنفعة المدركة وسهولة الاستخدام المدركة؛ فكلما شعر الموظف بأن استخدام الذكاء الاصطناعي يحقق له فائدة ملموسة في تسريع العمل وتقليل الأخطاء وتحسين الجودة، زادت احتمالية قبوله للتقنية. كما أن شعوره بأن التعامل مع النظام الجديد بسيط ولا يتطلب جهدًا أو مهارات معقدة يعزز من رغبته في استخدامه.</w:t>
      </w:r>
    </w:p>
    <w:p w14:paraId="050E7EE9" w14:textId="77777777" w:rsidR="004E372B" w:rsidRDefault="00000000" w:rsidP="004825CE">
      <w:pPr>
        <w:jc w:val="right"/>
      </w:pPr>
      <w:r>
        <w:t>وتضيف نظريات السلوك التنظيمي أن اتجاهات الأفراد تتأثر أيضًا بتأثير الزملاء والمديرين، وبإحساس الفرد بقدرته على التعامل مع الأنظمة الجديدة، وبمستوى مقاومة التغيير أو الخوف من فقدان الدور أو الوظيفة. ومن ثم فإن نجاح مكتب إدارة المشاريع في إدخال تقنيات الذكاء الاصطناعي يعتمد على إدارة التغيير السلوكي وبناء قناعة الموظفين بجدوى هذه التقنيات.</w:t>
      </w:r>
    </w:p>
    <w:p w14:paraId="18276B17" w14:textId="77777777" w:rsidR="004E372B" w:rsidRDefault="00000000" w:rsidP="004825CE">
      <w:pPr>
        <w:jc w:val="right"/>
      </w:pPr>
      <w:r>
        <w:rPr>
          <w:b/>
          <w:sz w:val="28"/>
        </w:rPr>
        <w:t>1-2-6 منظور الموارد والميزة التنافسية</w:t>
      </w:r>
    </w:p>
    <w:p w14:paraId="3B441EE8" w14:textId="77777777" w:rsidR="004E372B" w:rsidRDefault="00000000" w:rsidP="004825CE">
      <w:pPr>
        <w:jc w:val="right"/>
      </w:pPr>
      <w:r>
        <w:t>يرى منظور الموارد أن المؤسسة تحقق ميزة تنافسية مستدامة إذا امتلكت موارد ذات قيمة ونادرة ويصعب على المنافسين تقليدها أو استبدالها. وفي سياق هذه الدراسة يمكن اعتبار قواعد بيانات المشاريع، وخبرات مديري المشاريع، والنماذج التحليلية والذكاء الاصطناعي المطوَّر داخليًا، وثقافة العمل المبنية على البيانات، موارد استراتيجية تمنح المؤسسة ميزة تنافسية.</w:t>
      </w:r>
    </w:p>
    <w:p w14:paraId="3F62840C" w14:textId="77777777" w:rsidR="004E372B" w:rsidRDefault="00000000" w:rsidP="004825CE">
      <w:pPr>
        <w:jc w:val="right"/>
      </w:pPr>
      <w:r>
        <w:t>ويُعد مكتب إدارة المشاريع الناضج المكان الطبيعي لتجميع هذه الموارد وتنظيمها واستثمارها من خلال توثيق الدروس المستفادة، وتطوير نماذج عمل وسياسات واضحة، وقيادة مبادرات الذكاء الاصطناعي وتحويلها إلى أداة لتحسين الأداء المؤسسي.</w:t>
      </w:r>
    </w:p>
    <w:p w14:paraId="41708B10" w14:textId="77777777" w:rsidR="004E372B" w:rsidRDefault="00000000" w:rsidP="004825CE">
      <w:pPr>
        <w:jc w:val="right"/>
      </w:pPr>
      <w:r>
        <w:rPr>
          <w:b/>
          <w:sz w:val="28"/>
        </w:rPr>
        <w:t>1-2-7 إدارة التغيير التنظيمي في تبنّي الذكاء الاصطناعي</w:t>
      </w:r>
    </w:p>
    <w:p w14:paraId="1593C253" w14:textId="77777777" w:rsidR="004E372B" w:rsidRDefault="00000000" w:rsidP="004825CE">
      <w:pPr>
        <w:jc w:val="right"/>
      </w:pPr>
      <w:r>
        <w:t xml:space="preserve">يُعد تطبيق الذكاء الاصطناعي داخل المؤسسة مشروع تغيير شامل يشمل تغييرًا في طريقة التفكير والأدوات والأدوار والمهام. ومن أهم الخطوات النظرية لإدارة هذا التغيير الإحساس بالحاجة الملحة للتغيير، ووضع رؤية واضحة </w:t>
      </w:r>
      <w:r>
        <w:lastRenderedPageBreak/>
        <w:t>لاستخدام الذكاء الاصطناعي في إدارة المشاريع، وتشكيل فريق قيادي يقود التغيير، وإزالة المعوقات وتوفير الموارد اللازمة، وتحقيق نجاحات مبكرة لإثبات جدوى التقنية، وترسيخ الممارسات الجديدة في الثقافة التنظيمية.</w:t>
      </w:r>
    </w:p>
    <w:p w14:paraId="6092B800" w14:textId="77777777" w:rsidR="004E372B" w:rsidRDefault="00000000" w:rsidP="004825CE">
      <w:pPr>
        <w:jc w:val="right"/>
      </w:pPr>
      <w:r>
        <w:t>ويُتوقع أن يكون مكتب إدارة المشاريع الناضج أكثر قدرة على إدارة هذا التغيير بحكم موقعه الوسطي بين الإدارة العليا وفرق المشاريع، وبحكم دوره في توحيد المنهجيات والإشراف على محفظة المشاريع.</w:t>
      </w:r>
    </w:p>
    <w:p w14:paraId="77A9CDA2" w14:textId="77777777" w:rsidR="004E372B" w:rsidRDefault="00000000" w:rsidP="004825CE">
      <w:pPr>
        <w:jc w:val="right"/>
      </w:pPr>
      <w:r>
        <w:rPr>
          <w:b/>
          <w:sz w:val="28"/>
        </w:rPr>
        <w:t>1-3 المصطلحات والتعريفات الإجرائية للدراسة</w:t>
      </w:r>
    </w:p>
    <w:p w14:paraId="4842C6CC" w14:textId="77777777" w:rsidR="004E372B" w:rsidRDefault="00000000" w:rsidP="004825CE">
      <w:pPr>
        <w:jc w:val="right"/>
      </w:pPr>
      <w:r>
        <w:t>لتوضيح المتغيرات المستخدمة في هذه الدراسة، تُعرَّف أهم المصطلحات وفقًا للبعدين النظري والإجرائي على النحو التالي.</w:t>
      </w:r>
    </w:p>
    <w:p w14:paraId="44D15F32" w14:textId="77777777" w:rsidR="004E372B" w:rsidRDefault="00000000" w:rsidP="004825CE">
      <w:pPr>
        <w:jc w:val="right"/>
      </w:pPr>
      <w:r>
        <w:rPr>
          <w:b/>
          <w:sz w:val="28"/>
        </w:rPr>
        <w:t>1-3-1 مكتب إدارة المشاريع (PMO)</w:t>
      </w:r>
    </w:p>
    <w:p w14:paraId="2F3DC7E6" w14:textId="77777777" w:rsidR="004E372B" w:rsidRDefault="00000000" w:rsidP="004825CE">
      <w:pPr>
        <w:jc w:val="right"/>
      </w:pPr>
      <w:r>
        <w:t>التعريف النظري: وحدة تنظيمية مسؤولة عن توحيد منهجيات إدارة المشاريع في المؤسسة، وتقديم الدعم الفني والمتابعة والتقارير حول أداء المشاريع وضمان توافقها مع الأهداف الاستراتيجية للمؤسسة.</w:t>
      </w:r>
    </w:p>
    <w:p w14:paraId="702A8803" w14:textId="77777777" w:rsidR="004E372B" w:rsidRDefault="00000000" w:rsidP="004825CE">
      <w:pPr>
        <w:jc w:val="right"/>
      </w:pPr>
      <w:r>
        <w:t>التعريف الإجرائي: كل إدارة أو وحدة رسمية تُعنى بإدارة المشاريع في المؤسسة، ويتم قياس ممارساتها من خلال استبانة مخصصة لنضج مكتب إدارة المشاريع تغطي أبعاد العمليات والهيكل وإدارة المعرفة والقياس والتحسين.</w:t>
      </w:r>
    </w:p>
    <w:p w14:paraId="2AB0C38B" w14:textId="77777777" w:rsidR="004E372B" w:rsidRDefault="00000000" w:rsidP="004825CE">
      <w:pPr>
        <w:jc w:val="right"/>
      </w:pPr>
      <w:r>
        <w:rPr>
          <w:b/>
          <w:sz w:val="28"/>
        </w:rPr>
        <w:t>1-3-2 مستوى نضج مكتب إدارة المشاريع</w:t>
      </w:r>
    </w:p>
    <w:p w14:paraId="5A4A6710" w14:textId="77777777" w:rsidR="004E372B" w:rsidRDefault="00000000" w:rsidP="004825CE">
      <w:pPr>
        <w:jc w:val="right"/>
      </w:pPr>
      <w:r>
        <w:t>التعريف النظري: درجة تطور مكتب إدارة المشاريع حسب مستويات نموذج النضج من المستوى الابتدائي إلى المستوى المحسَّن، من حيث توثيق الإجراءات وتوحيدها، وتطبيق الحوكمة، ووجود مؤشرات أداء، وبرامج للتحسين المستمر.</w:t>
      </w:r>
    </w:p>
    <w:p w14:paraId="7360BA29" w14:textId="77777777" w:rsidR="004E372B" w:rsidRDefault="00000000" w:rsidP="004825CE">
      <w:pPr>
        <w:jc w:val="right"/>
      </w:pPr>
      <w:r>
        <w:t>التعريف الإجرائي: الدرجة الكلية التي يحصل عليها المشارك على مقياس نضج مكتب إدارة المشاريع، والتي تُصنف وفق نطاقات عددية تمثل مستويات النضج المختلفة.</w:t>
      </w:r>
    </w:p>
    <w:p w14:paraId="60D29F91" w14:textId="77777777" w:rsidR="004E372B" w:rsidRDefault="00000000" w:rsidP="004825CE">
      <w:pPr>
        <w:jc w:val="right"/>
      </w:pPr>
      <w:r>
        <w:rPr>
          <w:b/>
          <w:sz w:val="28"/>
        </w:rPr>
        <w:t>1-3-3 الذكاء الاصطناعي في إدارة المشاريع</w:t>
      </w:r>
    </w:p>
    <w:p w14:paraId="0B407471" w14:textId="77777777" w:rsidR="004E372B" w:rsidRDefault="00000000" w:rsidP="004825CE">
      <w:pPr>
        <w:jc w:val="right"/>
      </w:pPr>
      <w:r>
        <w:t>التعريف النظري: استخدام تقنيات الذكاء الاصطناعي، مثل التعلم الآلي والتحليلات التنبؤية ومعالجة اللغة الطبيعية، في أنشطة إدارة المشاريع بهدف تحسين التنبؤ بالمخاطر والمدة والتكلفة، ودعم اتخاذ القرار وإدارة الموارد.</w:t>
      </w:r>
    </w:p>
    <w:p w14:paraId="42BFC2B5" w14:textId="77777777" w:rsidR="004E372B" w:rsidRDefault="00000000" w:rsidP="004825CE">
      <w:pPr>
        <w:jc w:val="right"/>
      </w:pPr>
      <w:r>
        <w:t>التعريف الإجرائي: الدرجة التي يحصل عليها المشارك في مقياس تبنّي تقنيات الذكاء الاصطناعي عبر مراحل دورة حياة المشروع (التخطيط، التنفيذ، المراقبة، الإغلاق).</w:t>
      </w:r>
    </w:p>
    <w:p w14:paraId="519D614F" w14:textId="77777777" w:rsidR="004E372B" w:rsidRDefault="00000000" w:rsidP="004825CE">
      <w:pPr>
        <w:jc w:val="right"/>
      </w:pPr>
      <w:r>
        <w:rPr>
          <w:b/>
          <w:sz w:val="28"/>
        </w:rPr>
        <w:t>1-3-4 جاهزية التقنية</w:t>
      </w:r>
    </w:p>
    <w:p w14:paraId="1DAAFF73" w14:textId="77777777" w:rsidR="004E372B" w:rsidRDefault="00000000" w:rsidP="004825CE">
      <w:pPr>
        <w:jc w:val="right"/>
      </w:pPr>
      <w:r>
        <w:t>التعريف النظري: مدى استعداد المؤسسة من حيث البنية التحتية، والدعم القيادي، والثقافة التنظيمية، والمهارات البشرية لتبنّي التقنيات الحديثة واستخدامها بكفاءة.</w:t>
      </w:r>
    </w:p>
    <w:p w14:paraId="441699E5" w14:textId="77777777" w:rsidR="004E372B" w:rsidRDefault="00000000" w:rsidP="004825CE">
      <w:pPr>
        <w:jc w:val="right"/>
      </w:pPr>
      <w:r>
        <w:t>التعريف الإجرائي: الدرجة التي يحصل عليها المشارك على مقياس جاهزية التقنية، والذي يشمل بنودًا تقيس أبعاد البنية التحتية والدعم القيادي والثقافة التنظيمية والكفاءات البشرية.</w:t>
      </w:r>
    </w:p>
    <w:p w14:paraId="321ACC18" w14:textId="77777777" w:rsidR="004E372B" w:rsidRDefault="00000000" w:rsidP="004825CE">
      <w:pPr>
        <w:jc w:val="right"/>
      </w:pPr>
      <w:r>
        <w:rPr>
          <w:b/>
          <w:sz w:val="28"/>
        </w:rPr>
        <w:t>1-3-5 المعوقات التنظيمية والتقنية والثقافية</w:t>
      </w:r>
    </w:p>
    <w:p w14:paraId="49148FC2" w14:textId="77777777" w:rsidR="004E372B" w:rsidRDefault="00000000" w:rsidP="004825CE">
      <w:pPr>
        <w:jc w:val="right"/>
      </w:pPr>
      <w:r>
        <w:lastRenderedPageBreak/>
        <w:t>التعريف النظري: مجموعة العوامل الداخلية التي تعيق أو تبطئ تبنّي الذكاء الاصطناعي في مكتب إدارة المشاريع، مثل نقص البنية التحتية، وضعف الكفاءات، ومقاومة التغيير، وغياب الدعم القيادي.</w:t>
      </w:r>
    </w:p>
    <w:p w14:paraId="34DBD38E" w14:textId="77777777" w:rsidR="004E372B" w:rsidRDefault="00000000" w:rsidP="004825CE">
      <w:pPr>
        <w:jc w:val="right"/>
      </w:pPr>
      <w:r>
        <w:t>التعريف الإجرائي: الدرجة الكلية التي يحصل عليها المشارك في مقياس المعوقات، والمكوَّن من بنود تغطي المعوقات التنظيمية والتقنية والثقافية.</w:t>
      </w:r>
    </w:p>
    <w:p w14:paraId="704FAC66" w14:textId="77777777" w:rsidR="004E372B" w:rsidRDefault="00000000" w:rsidP="004825CE">
      <w:pPr>
        <w:jc w:val="right"/>
      </w:pPr>
      <w:r>
        <w:rPr>
          <w:b/>
          <w:sz w:val="28"/>
        </w:rPr>
        <w:t>1-4 خلاصة الفصل الأول</w:t>
      </w:r>
    </w:p>
    <w:p w14:paraId="3B95BFA3" w14:textId="77777777" w:rsidR="004E372B" w:rsidRDefault="00000000" w:rsidP="004825CE">
      <w:pPr>
        <w:jc w:val="right"/>
      </w:pPr>
      <w:r>
        <w:t>قدّم هذا الفصل عرضًا شاملًا للمفاهيم النظرية المتصلة بموضوع الدراسة، بدءًا من إدارة المشاريع ومكتب إدارة المشاريع، مرورًا بمستوى نضج المكتب، والذكاء الاصطناعي وتطبيقاته، وجاهزية التقنية، وقبول التكنولوجيا، ومنظر الموارد وإدارة التغيير، وانتهاءً بتعريفات إجرائية للمتغيرات الرئيسة. وبذلك يكون القارئ قد تعرّف على معظم الجوانب النظرية المتعلقة بالبحث قبل الانتقال إلى مراجعة الدراسات السابقة.</w:t>
      </w:r>
    </w:p>
    <w:p w14:paraId="7AE5B058" w14:textId="77777777" w:rsidR="004E372B" w:rsidRDefault="00000000" w:rsidP="004825CE">
      <w:pPr>
        <w:jc w:val="right"/>
      </w:pPr>
      <w:r>
        <w:rPr>
          <w:b/>
          <w:sz w:val="32"/>
        </w:rPr>
        <w:t>الفصل الثاني: الدراسات السابقة وما يميز الدراسة الحالية</w:t>
      </w:r>
    </w:p>
    <w:p w14:paraId="58AB21E5" w14:textId="77777777" w:rsidR="004E372B" w:rsidRDefault="00000000" w:rsidP="004825CE">
      <w:pPr>
        <w:jc w:val="right"/>
      </w:pPr>
      <w:r>
        <w:rPr>
          <w:b/>
          <w:sz w:val="28"/>
        </w:rPr>
        <w:t>2-1 مقدمة</w:t>
      </w:r>
    </w:p>
    <w:p w14:paraId="384026D5" w14:textId="77777777" w:rsidR="004E372B" w:rsidRDefault="00000000" w:rsidP="004825CE">
      <w:pPr>
        <w:jc w:val="right"/>
      </w:pPr>
      <w:r>
        <w:t>يهدف هذا الفصل إلى استعراض عدد كافٍ من الدراسات والبحوث السابقة ذات الصلة بموضوع تأثير مستوى نضج مكتب إدارة المشاريع في التعامل مع تقنيات الذكاء الاصطناعي، ثم تحليلها واستخلاص أوجه الاتفاق والاختلاف بينها، وتحديد ما يميز الدراسة الحالية عنها. ويتناول الفصل دراسات تناولت الذكاء الاصطناعي في إدارة المشاريع، ودراسات تناولت نضج مكاتب إدارة المشاريع، ودراسات تناولت جاهزية التقنية والثقافة التنظيمية وتبنّي التقنيات الحديثة.</w:t>
      </w:r>
    </w:p>
    <w:p w14:paraId="101E8EA7" w14:textId="77777777" w:rsidR="004E372B" w:rsidRDefault="00000000" w:rsidP="004825CE">
      <w:pPr>
        <w:jc w:val="right"/>
      </w:pPr>
      <w:r>
        <w:rPr>
          <w:b/>
          <w:sz w:val="28"/>
        </w:rPr>
        <w:t>2-2 عرض الدراسات السابقة</w:t>
      </w:r>
    </w:p>
    <w:p w14:paraId="7F5344E7" w14:textId="77777777" w:rsidR="004E372B" w:rsidRDefault="00000000" w:rsidP="004825CE">
      <w:pPr>
        <w:jc w:val="right"/>
      </w:pPr>
      <w:r>
        <w:t>تنوعت الدراسات السابقة المتعلقة بموضوع هذه الدراسة بين دراسات ركزت على التطبيقات التقنية للذكاء الاصطناعي في إدارة المشاريع، ودراسات اهتمت بقياس نضج مكاتب إدارة المشاريع، وأخرى بحثت في جاهزية المؤسسات للتقنيات الحديثة والثقافة التنظيمية الداعمة للابتكار. ويستعرض هذا الجزء أبرز هذه الدراسات بصورة موجزة.</w:t>
      </w:r>
    </w:p>
    <w:p w14:paraId="38874083" w14:textId="77777777" w:rsidR="004E372B" w:rsidRDefault="00000000" w:rsidP="004825CE">
      <w:pPr>
        <w:jc w:val="right"/>
      </w:pPr>
      <w:r>
        <w:rPr>
          <w:b/>
          <w:sz w:val="28"/>
        </w:rPr>
        <w:t>2-2-1 دراسات تناولت الذكاء الاصطناعي في إدارة المشاريع</w:t>
      </w:r>
    </w:p>
    <w:p w14:paraId="37C2BF53" w14:textId="77777777" w:rsidR="004E372B" w:rsidRDefault="00000000" w:rsidP="004825CE">
      <w:pPr>
        <w:jc w:val="right"/>
      </w:pPr>
      <w:r>
        <w:t>أشارت العديد من الدراسات الأجنبية إلى أن استخدام تقنيات الذكاء الاصطناعي في إدارة المشاريع، خصوصًا في قطاعات مثل البناء وتقنية المعلومات، أدى إلى تحسين دقة تقدير المدة والتكلفة، وتحسين إدارة المخاطر، واكتشاف المشكلات المحتملة في وقت مبكر، ودعم مديري المشاريع في اتخاذ قرارات مبنية على البيانات بدلًا من الاعتماد الكامل على الخبرة الذاتية.</w:t>
      </w:r>
    </w:p>
    <w:p w14:paraId="4532B5E8" w14:textId="77777777" w:rsidR="004E372B" w:rsidRDefault="00000000" w:rsidP="004825CE">
      <w:pPr>
        <w:jc w:val="right"/>
      </w:pPr>
      <w:r>
        <w:t>وبيّنت هذه الدراسات أن تطبيقات الذكاء الاصطناعي شملت التنبؤ بالتأخيرات المحتملة، وتحليل أسباب الانحرافات، وتحسين تخصيص الموارد، وإدارة المعرفة من خلال تحليل الوثائق والتقارير. إلا أن كثيرًا من هذه الدراسات ركّزت على الجانب التقني أكثر من تركيزها على دور مكتب إدارة المشاريع ومستوى نضجه في إنجاح هذه التطبيقات.</w:t>
      </w:r>
    </w:p>
    <w:p w14:paraId="45796E8E" w14:textId="77777777" w:rsidR="004E372B" w:rsidRDefault="00000000" w:rsidP="004825CE">
      <w:pPr>
        <w:jc w:val="right"/>
      </w:pPr>
      <w:r>
        <w:rPr>
          <w:b/>
          <w:sz w:val="28"/>
        </w:rPr>
        <w:t>2-2-2 دراسات تناولت نضج مكاتب إدارة المشاريع</w:t>
      </w:r>
    </w:p>
    <w:p w14:paraId="5E931F4A" w14:textId="77777777" w:rsidR="004E372B" w:rsidRDefault="00000000" w:rsidP="004825CE">
      <w:pPr>
        <w:jc w:val="right"/>
      </w:pPr>
      <w:r>
        <w:lastRenderedPageBreak/>
        <w:t>أظهرت دراسات عديدة، عالمية وعربية، أن مكاتب إدارة المشاريع في المؤسسات تختلف بدرجة كبيرة من حيث مستوى النضج. فقد وجدت بعض الدراسات أن عددًا من المكاتب لا يزال في المستويين الأول والثاني من النضج، حيث تغيب السياسات الواضحة والتوثيق الشامل، بينما وصلت نسبة أقل من المكاتب إلى مستويات أعلى من النضج، حيث تُستخدم مؤشرات أداء واضحة ويتم ضبط العمليات ومراجعتها باستمرار.</w:t>
      </w:r>
    </w:p>
    <w:p w14:paraId="4D2454B1" w14:textId="77777777" w:rsidR="004E372B" w:rsidRDefault="00000000" w:rsidP="004825CE">
      <w:pPr>
        <w:jc w:val="right"/>
      </w:pPr>
      <w:r>
        <w:t>وأوضحت تلك البحوث أن ارتفاع مستوى نضج مكتب إدارة المشاريع يرتبط بزيادة وضوح الأدوار والمسؤوليات، وتوحيد المنهجيات والأدوات، وجودة التقارير المقدمة للإدارة العليا، والقدرة على إدارة محفظة المشاريع وربطها بأهداف المؤسسة. ومع ذلك فإن معظم هذه الدراسات لم تربط بصورة مباشرة بين مستوى نضج مكتب إدارة المشاريع ومدى استخدام تقنيات الذكاء الاصطناعي في المشاريع.</w:t>
      </w:r>
    </w:p>
    <w:p w14:paraId="05D1D8FB" w14:textId="77777777" w:rsidR="004E372B" w:rsidRDefault="00000000" w:rsidP="004825CE">
      <w:pPr>
        <w:jc w:val="right"/>
      </w:pPr>
      <w:r>
        <w:rPr>
          <w:b/>
          <w:sz w:val="28"/>
        </w:rPr>
        <w:t>2-2-3 دراسات تناولت جاهزية التقنية والثقافة التنظيمية وتبنّي التقنيات الحديثة</w:t>
      </w:r>
    </w:p>
    <w:p w14:paraId="5E7DBE05" w14:textId="77777777" w:rsidR="004E372B" w:rsidRDefault="00000000" w:rsidP="004825CE">
      <w:pPr>
        <w:jc w:val="right"/>
      </w:pPr>
      <w:r>
        <w:t>بيّنت دراسات في البيئة الخليجية والعربية أن تبنّي التقنيات الحديثة عمومًا، ومن ضمنها تقنيات الذكاء الاصطناعي، يتأثر بعدد من العوامل، مثل قوة البنية التحتية التقنية في المؤسسة، ووضوح دعم القيادة العليا للتقنيات الحديثة، والثقافة التنظيمية المنفتحة على التغيير أو المقاومة له، وتوفر الكفاءات البشرية القادرة على التعامل مع هذه التقنيات.</w:t>
      </w:r>
    </w:p>
    <w:p w14:paraId="18EF9F6F" w14:textId="77777777" w:rsidR="004E372B" w:rsidRDefault="00000000" w:rsidP="004825CE">
      <w:pPr>
        <w:jc w:val="right"/>
      </w:pPr>
      <w:r>
        <w:t>وأشارت بعض الدراسات إلى وجود فجوة بين الخطط والاستراتيجيات الرقمية وبين التطبيق الفعلي داخل المؤسسات، حيث تتوفر الرؤى والاستراتيجيات على الورق، لكن لا تُترجم إلى ممارسات عملية بسبب ضعف جاهزية التقنية أو مقاومة التغيير. كما أوضحت بعض الأبحاث وجود تفاوت بين المؤسسات من حيث الاستثمار في أنظمة المعلومات، ووجود مكاتب إدارة مشاريع رسمية، ومستوى النضج في إدارة المشاريع، مما ينعكس على قدرة هذه المؤسسات على تبنّي حلول الذكاء الاصطناعي.</w:t>
      </w:r>
    </w:p>
    <w:p w14:paraId="3BC42217" w14:textId="77777777" w:rsidR="004E372B" w:rsidRDefault="00000000" w:rsidP="004825CE">
      <w:pPr>
        <w:jc w:val="right"/>
      </w:pPr>
      <w:r>
        <w:rPr>
          <w:b/>
          <w:sz w:val="28"/>
        </w:rPr>
        <w:t>2-3 التحليل النقدي للدراسات السابقة</w:t>
      </w:r>
    </w:p>
    <w:p w14:paraId="6E5CB21B" w14:textId="77777777" w:rsidR="004E372B" w:rsidRDefault="00000000" w:rsidP="004825CE">
      <w:pPr>
        <w:jc w:val="right"/>
      </w:pPr>
      <w:r>
        <w:t>من خلال استعراض الدراسات السابقة يمكن استخلاص عدد من الملاحظات النقدية التي تساعد على توضيح موقع الدراسة الحالية بين هذه الجهود البحثية.</w:t>
      </w:r>
    </w:p>
    <w:p w14:paraId="7529A945" w14:textId="77777777" w:rsidR="004E372B" w:rsidRDefault="00000000" w:rsidP="004825CE">
      <w:pPr>
        <w:jc w:val="right"/>
      </w:pPr>
      <w:r>
        <w:rPr>
          <w:b/>
          <w:sz w:val="28"/>
        </w:rPr>
        <w:t>2-3-1 أوجه الاتفاق بين الدراسات</w:t>
      </w:r>
    </w:p>
    <w:p w14:paraId="5A4FB8D2" w14:textId="77777777" w:rsidR="004E372B" w:rsidRDefault="00000000" w:rsidP="004825CE">
      <w:pPr>
        <w:jc w:val="right"/>
      </w:pPr>
      <w:r>
        <w:t>اتفقت الدراسات السابقة على أهمية تقنيات الذكاء الاصطناعي في تحسين أداء إدارة المشاريع، من حيث الدقة في التنبؤ وإدارة المخاطر وسرعة الاستجابة للمشكلات. كما أشارت عدد من الدراسات إلى أن وجود مكتب إدارة مشاريع منظم يعد عاملًا رئيسًا في نجاح تطبيق التقنيات الحديثة داخل المؤسسة، وأن جاهزية المؤسسة تقنيًا وثقافيًا وبشريًا تُعد شرطًا أساسيًا لتبنّي الذكاء الاصطناعي بشكل مستدام.</w:t>
      </w:r>
    </w:p>
    <w:p w14:paraId="3F723AC3" w14:textId="77777777" w:rsidR="004E372B" w:rsidRDefault="00000000" w:rsidP="004825CE">
      <w:pPr>
        <w:jc w:val="right"/>
      </w:pPr>
      <w:r>
        <w:rPr>
          <w:b/>
          <w:sz w:val="28"/>
        </w:rPr>
        <w:t>2-3-2 أوجه الاختلاف بين الدراسات</w:t>
      </w:r>
    </w:p>
    <w:p w14:paraId="2C710F19" w14:textId="77777777" w:rsidR="004825CE" w:rsidRDefault="00000000" w:rsidP="004825CE">
      <w:pPr>
        <w:jc w:val="right"/>
        <w:rPr>
          <w:rtl/>
        </w:rPr>
      </w:pPr>
      <w:r>
        <w:t xml:space="preserve">في المقابل، ظهرت اختلافات ملحوظة بين الدراسات من حيث محور التركيز والسياق الجغرافي والمنهج المستخدم؛ فقد ركّزت بعض الدراسات على تطبيقات الذكاء الاصطناعي في جانب معين من إدارة المشاريع، مثل إدارة المخاطر فقط، بينما ركّزت دراسات أخرى على قياس نضج مكاتب إدارة المشاريع دون التطرق للتقنية. كما تنوّعت السياقات بين دول متقدمة وبيئات عربية وخليجية، وبين قطاعات حكومية </w:t>
      </w:r>
      <w:proofErr w:type="spellStart"/>
      <w:r>
        <w:t>وخاصة</w:t>
      </w:r>
      <w:proofErr w:type="spellEnd"/>
      <w:r>
        <w:t xml:space="preserve">، </w:t>
      </w:r>
      <w:proofErr w:type="spellStart"/>
      <w:r>
        <w:t>واستخدمت</w:t>
      </w:r>
      <w:proofErr w:type="spellEnd"/>
      <w:r>
        <w:t xml:space="preserve"> </w:t>
      </w:r>
      <w:proofErr w:type="spellStart"/>
      <w:r>
        <w:t>هذه</w:t>
      </w:r>
      <w:proofErr w:type="spellEnd"/>
      <w:r>
        <w:t xml:space="preserve"> </w:t>
      </w:r>
      <w:proofErr w:type="spellStart"/>
      <w:r>
        <w:t>الدراسات</w:t>
      </w:r>
      <w:proofErr w:type="spellEnd"/>
      <w:r>
        <w:t xml:space="preserve"> </w:t>
      </w:r>
      <w:proofErr w:type="spellStart"/>
      <w:r>
        <w:t>مناهج</w:t>
      </w:r>
      <w:proofErr w:type="spellEnd"/>
      <w:r>
        <w:t xml:space="preserve"> </w:t>
      </w:r>
      <w:proofErr w:type="spellStart"/>
      <w:r>
        <w:t>وأدوات</w:t>
      </w:r>
      <w:proofErr w:type="spellEnd"/>
      <w:r>
        <w:t xml:space="preserve"> </w:t>
      </w:r>
      <w:proofErr w:type="spellStart"/>
      <w:r>
        <w:t>مختلفة</w:t>
      </w:r>
      <w:proofErr w:type="spellEnd"/>
    </w:p>
    <w:p w14:paraId="7143B512" w14:textId="77777777" w:rsidR="004825CE" w:rsidRDefault="004825CE" w:rsidP="004825CE">
      <w:pPr>
        <w:jc w:val="right"/>
        <w:rPr>
          <w:rtl/>
        </w:rPr>
      </w:pPr>
    </w:p>
    <w:p w14:paraId="1C4528F4" w14:textId="4D8677DD" w:rsidR="004E372B" w:rsidRDefault="004E372B" w:rsidP="004825CE">
      <w:pPr>
        <w:jc w:val="center"/>
      </w:pPr>
    </w:p>
    <w:p w14:paraId="2440D183" w14:textId="77777777" w:rsidR="004E372B" w:rsidRDefault="00000000" w:rsidP="004825CE">
      <w:pPr>
        <w:jc w:val="right"/>
      </w:pPr>
      <w:r>
        <w:rPr>
          <w:b/>
          <w:sz w:val="28"/>
        </w:rPr>
        <w:t>2-3-3 جوانب القصور والثغرات البحثية</w:t>
      </w:r>
    </w:p>
    <w:p w14:paraId="65B26342" w14:textId="77777777" w:rsidR="004E372B" w:rsidRDefault="00000000" w:rsidP="004825CE">
      <w:pPr>
        <w:jc w:val="right"/>
      </w:pPr>
      <w:r>
        <w:t>تكشف مراجعة الدراسات السابقة عن عدد من جوانب القصور والثغرات البحثية؛ من أبرزها قلة الدراسات التي تربط مباشرة بين مستوى نضج مكتب إدارة المشاريع وتبنّي تقنيات الذكاء الاصطناعي، إذ تناولت غالبية الدراسات كل منهما على حدة، أو ربطت الذكاء الاصطناعي بعوامل أخرى مثل الأداء المالي أو رضا العملاء. كما قلّما نجد دراسات تجمع في إطار واحد بين نموذج نضج إدارة المشاريع، وجاهزية التقنية، وقبول التكنولوجيا والسلوك التنظيمي، ومنظور الموارد وإدارة التغيير.</w:t>
      </w:r>
    </w:p>
    <w:p w14:paraId="0796BE8F" w14:textId="77777777" w:rsidR="004E372B" w:rsidRDefault="00000000" w:rsidP="004825CE">
      <w:pPr>
        <w:jc w:val="right"/>
      </w:pPr>
      <w:r>
        <w:t>وتبرز كذلك الحاجة إلى بحوث تركّز بشكل أكبر على السياق السعودي، على الرغم من وجود بعض الدراسات المحلية، إلا أن عددها محدود وغالبًا ما تتناول جانبًا واحدًا دون بناء نموذج سببي متكامل. كما توجد حاجة لتطوير مقاييس ملائمة للبيئة المحلية لقياس نضج مكتب إدارة المشاريع، وتبنّي الذكاء الاصطناعي، وجاهزية التقنية.</w:t>
      </w:r>
    </w:p>
    <w:p w14:paraId="3D1936C9" w14:textId="77777777" w:rsidR="004E372B" w:rsidRDefault="00000000" w:rsidP="004825CE">
      <w:pPr>
        <w:jc w:val="right"/>
      </w:pPr>
      <w:r>
        <w:rPr>
          <w:b/>
          <w:sz w:val="28"/>
        </w:rPr>
        <w:t>2-4 ما يميز الدراسة الحالية عن الدراسات السابقة</w:t>
      </w:r>
    </w:p>
    <w:p w14:paraId="0B5797C3" w14:textId="77777777" w:rsidR="004E372B" w:rsidRDefault="00000000" w:rsidP="004825CE">
      <w:pPr>
        <w:jc w:val="right"/>
      </w:pPr>
      <w:r>
        <w:t>في ضوء ما سبق عرضه يمكن إبراز أهم ما يميز الدراسة الحالية عن الدراسات السابقة فيما يلي:</w:t>
      </w:r>
    </w:p>
    <w:p w14:paraId="3A65C60B" w14:textId="77777777" w:rsidR="004E372B" w:rsidRDefault="00000000" w:rsidP="004825CE">
      <w:pPr>
        <w:jc w:val="right"/>
      </w:pPr>
      <w:r>
        <w:t>أولًا: دمج متغيري نضج مكتب إدارة المشاريع وتبنّي الذكاء الاصطناعي في إطار واحد؛ حيث تعمل هذه الدراسة على الربط بين مستوى نضج مكتب إدارة المشاريع من جهة، ومدى استيعاب وتوظيف تقنيات الذكاء الاصطناعي في إدارة المشاريع من جهة أخرى، بدلًا من دراسة كل منهما بشكل منفصل.</w:t>
      </w:r>
    </w:p>
    <w:p w14:paraId="6D6B624B" w14:textId="77777777" w:rsidR="004E372B" w:rsidRDefault="00000000" w:rsidP="004825CE">
      <w:pPr>
        <w:jc w:val="right"/>
      </w:pPr>
      <w:r>
        <w:t>ثانيًا: الاستناد إلى إطار نظري متكامل ومتعدد الأبعاد؛ إذ تعتمد الدراسة على تكامل مفاهيم إدارة المشاريع ونماذج نضج مكتب إدارة المشاريع، ومفهوم جاهزية التقنية وأبعادها، ونماذج قبول التكنولوجيا والسلوك التنظيمي، ومنظور الموارد وإدارة التغيير، بما يجعل الإطار النظري أوسع من الأطر التي اعتمدتها كثير من الدراسات السابقة.</w:t>
      </w:r>
    </w:p>
    <w:p w14:paraId="4BA6D054" w14:textId="77777777" w:rsidR="004E372B" w:rsidRDefault="00000000" w:rsidP="004825CE">
      <w:pPr>
        <w:jc w:val="right"/>
      </w:pPr>
      <w:r>
        <w:t>ثالثًا: التركيز على السياق السعودي؛ حيث تنطلق الدراسة من حاجة عملية واضحة تتعلق ببرامج التحول الوطني ورؤية المملكة 2030، وتسعى إلى تقديم نتائج وتوصيات ملائمة لواقع مكاتب إدارة المشاريع في المؤسسات السعودية.</w:t>
      </w:r>
    </w:p>
    <w:p w14:paraId="599314BC" w14:textId="77777777" w:rsidR="004E372B" w:rsidRDefault="00000000" w:rsidP="004825CE">
      <w:pPr>
        <w:jc w:val="right"/>
      </w:pPr>
      <w:r>
        <w:t>رابعًا: تمتّع الدراسة بتوجّه تطبيقي واضح؛ إذ لا تقف عند حدود الوصف النظري، بل تهدف إلى تقديم صورة يمكن أن تستفيد منها المؤسسات في تقييم مستوى نضج مكاتب إدارة المشاريع لديها، وتقدير جاهزيتها لتبنّي الذكاء الاصطناعي، والتخطيط لخطوات عملية لرفع النضج وتعزيز الاستخدام الفعّال للتقنيات.</w:t>
      </w:r>
    </w:p>
    <w:p w14:paraId="7A8F518D" w14:textId="77777777" w:rsidR="004E372B" w:rsidRDefault="00000000" w:rsidP="004825CE">
      <w:pPr>
        <w:jc w:val="right"/>
      </w:pPr>
      <w:r>
        <w:rPr>
          <w:b/>
          <w:sz w:val="28"/>
        </w:rPr>
        <w:t>2-5 خلاصة الفصل الثاني</w:t>
      </w:r>
    </w:p>
    <w:p w14:paraId="67388595" w14:textId="77777777" w:rsidR="004E372B" w:rsidRDefault="00000000" w:rsidP="004825CE">
      <w:pPr>
        <w:jc w:val="right"/>
      </w:pPr>
      <w:r>
        <w:t>استعرض هذا الفصل مجموعة من الدراسات السابقة المرتبطة بموضوع الدراسة، وناقش نتائجها واتجاهاتها، وحدد أوجه الاتفاق والاختلاف بينها، ثم أبرز الفجوات التي تحاول الدراسة الحالية سدّها، ووضّح ما يميزها من حيث الموضوع والإطار النظري والسياق التطبيقي. وبذلك يكون هذا الفصل مكملًا للفصل الأول من حيث بناء الأساس النظري والمعرفي الذي تستند إليه الدراسة في جانبها التطبيقي لاحقًا.</w:t>
      </w:r>
    </w:p>
    <w:sectPr w:rsidR="004E372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abic Simplified">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02658717">
    <w:abstractNumId w:val="8"/>
  </w:num>
  <w:num w:numId="2" w16cid:durableId="887568804">
    <w:abstractNumId w:val="6"/>
  </w:num>
  <w:num w:numId="3" w16cid:durableId="1647858484">
    <w:abstractNumId w:val="5"/>
  </w:num>
  <w:num w:numId="4" w16cid:durableId="1843353226">
    <w:abstractNumId w:val="4"/>
  </w:num>
  <w:num w:numId="5" w16cid:durableId="1273706894">
    <w:abstractNumId w:val="7"/>
  </w:num>
  <w:num w:numId="6" w16cid:durableId="1472598695">
    <w:abstractNumId w:val="3"/>
  </w:num>
  <w:num w:numId="7" w16cid:durableId="286664216">
    <w:abstractNumId w:val="2"/>
  </w:num>
  <w:num w:numId="8" w16cid:durableId="1443382094">
    <w:abstractNumId w:val="1"/>
  </w:num>
  <w:num w:numId="9" w16cid:durableId="1113280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825CE"/>
    <w:rsid w:val="004E372B"/>
    <w:rsid w:val="005068A9"/>
    <w:rsid w:val="005312F3"/>
    <w:rsid w:val="00AA1D8D"/>
    <w:rsid w:val="00B47730"/>
    <w:rsid w:val="00CB0664"/>
    <w:rsid w:val="00D50D9A"/>
    <w:rsid w:val="00D52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177B59"/>
  <w14:defaultImageDpi w14:val="300"/>
  <w15:docId w15:val="{6DC2CBDE-5840-471F-97A3-9A67BBA07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abic Simplified" w:eastAsia="Arabic Simplified" w:hAnsi="Arabic Simplified"/>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2724</Words>
  <Characters>15309</Characters>
  <Application>Microsoft Office Word</Application>
  <DocSecurity>0</DocSecurity>
  <Lines>239</Lines>
  <Paragraphs>112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BADR BASEM AHMED ALATTAS</cp:lastModifiedBy>
  <cp:revision>3</cp:revision>
  <dcterms:created xsi:type="dcterms:W3CDTF">2013-12-23T23:15:00Z</dcterms:created>
  <dcterms:modified xsi:type="dcterms:W3CDTF">2026-01-02T23:50:00Z</dcterms:modified>
  <cp:category/>
</cp:coreProperties>
</file>