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AD811" w14:textId="77777777" w:rsidR="00CF7B61" w:rsidRPr="007C2480" w:rsidRDefault="00CF7B61" w:rsidP="00EB0259">
      <w:pPr>
        <w:bidi/>
        <w:spacing w:line="360" w:lineRule="auto"/>
        <w:jc w:val="center"/>
        <w:rPr>
          <w:rFonts w:ascii="Traditional Arabic" w:eastAsia="Times New Roman" w:hAnsi="Traditional Arabic" w:cs="Traditional Arabic"/>
          <w:rtl/>
        </w:rPr>
      </w:pPr>
      <w:r w:rsidRPr="007C2480">
        <w:rPr>
          <w:rFonts w:ascii="Traditional Arabic" w:eastAsia="Times New Roman" w:hAnsi="Traditional Arabic" w:cs="Traditional Arabic"/>
          <w:noProof/>
          <w:rtl/>
          <w:lang w:val="ar" w:bidi="ar"/>
        </w:rPr>
        <w:drawing>
          <wp:anchor distT="0" distB="0" distL="114300" distR="114300" simplePos="0" relativeHeight="251658240" behindDoc="1" locked="0" layoutInCell="1" allowOverlap="1" wp14:anchorId="4B5C27CD" wp14:editId="296FB7EB">
            <wp:simplePos x="0" y="0"/>
            <wp:positionH relativeFrom="margin">
              <wp:posOffset>1709365</wp:posOffset>
            </wp:positionH>
            <wp:positionV relativeFrom="paragraph">
              <wp:posOffset>0</wp:posOffset>
            </wp:positionV>
            <wp:extent cx="2407285" cy="2407285"/>
            <wp:effectExtent l="0" t="0" r="0" b="0"/>
            <wp:wrapTight wrapText="bothSides">
              <wp:wrapPolygon edited="0">
                <wp:start x="0" y="0"/>
                <wp:lineTo x="0" y="21366"/>
                <wp:lineTo x="21366" y="21366"/>
                <wp:lineTo x="2136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idocea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7285" cy="2407285"/>
                    </a:xfrm>
                    <a:prstGeom prst="rect">
                      <a:avLst/>
                    </a:prstGeom>
                  </pic:spPr>
                </pic:pic>
              </a:graphicData>
            </a:graphic>
            <wp14:sizeRelH relativeFrom="margin">
              <wp14:pctWidth>0</wp14:pctWidth>
            </wp14:sizeRelH>
            <wp14:sizeRelV relativeFrom="margin">
              <wp14:pctHeight>0</wp14:pctHeight>
            </wp14:sizeRelV>
          </wp:anchor>
        </w:drawing>
      </w:r>
    </w:p>
    <w:p w14:paraId="06BFF638" w14:textId="77777777" w:rsidR="00CF7B61" w:rsidRPr="007C2480" w:rsidRDefault="00CF7B61" w:rsidP="00EB0259">
      <w:pPr>
        <w:bidi/>
        <w:spacing w:line="360" w:lineRule="auto"/>
        <w:jc w:val="center"/>
        <w:rPr>
          <w:rFonts w:ascii="Traditional Arabic" w:eastAsia="Times New Roman" w:hAnsi="Traditional Arabic" w:cs="Traditional Arabic"/>
          <w:rtl/>
        </w:rPr>
      </w:pPr>
    </w:p>
    <w:p w14:paraId="0D55875B" w14:textId="77777777" w:rsidR="00CF7B61" w:rsidRPr="007C2480" w:rsidRDefault="00CF7B61" w:rsidP="00EB0259">
      <w:pPr>
        <w:bidi/>
        <w:spacing w:line="360" w:lineRule="auto"/>
        <w:jc w:val="center"/>
        <w:rPr>
          <w:rFonts w:ascii="Traditional Arabic" w:eastAsia="Times New Roman" w:hAnsi="Traditional Arabic" w:cs="Traditional Arabic"/>
          <w:rtl/>
        </w:rPr>
      </w:pPr>
    </w:p>
    <w:p w14:paraId="25366CB3" w14:textId="77777777" w:rsidR="00CF7B61" w:rsidRPr="007C2480" w:rsidRDefault="00CF7B61" w:rsidP="00EB0259">
      <w:pPr>
        <w:bidi/>
        <w:spacing w:line="360" w:lineRule="auto"/>
        <w:jc w:val="center"/>
        <w:rPr>
          <w:rFonts w:ascii="Traditional Arabic" w:eastAsia="Times New Roman" w:hAnsi="Traditional Arabic" w:cs="Traditional Arabic"/>
          <w:rtl/>
        </w:rPr>
      </w:pPr>
    </w:p>
    <w:p w14:paraId="33F4E32C" w14:textId="77777777" w:rsidR="00CF7B61" w:rsidRPr="007C2480" w:rsidRDefault="00CF7B61" w:rsidP="00EB0259">
      <w:pPr>
        <w:bidi/>
        <w:spacing w:line="360" w:lineRule="auto"/>
        <w:jc w:val="center"/>
        <w:rPr>
          <w:rFonts w:ascii="Traditional Arabic" w:eastAsia="Times New Roman" w:hAnsi="Traditional Arabic" w:cs="Traditional Arabic"/>
          <w:rtl/>
        </w:rPr>
      </w:pPr>
    </w:p>
    <w:p w14:paraId="3EDBE5C1" w14:textId="77777777" w:rsidR="000B50EE" w:rsidRDefault="000B50EE" w:rsidP="000B50EE">
      <w:pPr>
        <w:bidi/>
        <w:spacing w:line="360" w:lineRule="auto"/>
        <w:rPr>
          <w:rFonts w:ascii="Traditional Arabic" w:eastAsia="Times New Roman" w:hAnsi="Traditional Arabic" w:cs="Traditional Arabic"/>
          <w:rtl/>
        </w:rPr>
      </w:pPr>
    </w:p>
    <w:p w14:paraId="39738A67" w14:textId="77777777" w:rsidR="000B50EE" w:rsidRDefault="000B50EE" w:rsidP="000B50EE">
      <w:pPr>
        <w:bidi/>
        <w:spacing w:line="360" w:lineRule="auto"/>
        <w:rPr>
          <w:rFonts w:ascii="Traditional Arabic" w:eastAsia="Times New Roman" w:hAnsi="Traditional Arabic" w:cs="Traditional Arabic"/>
          <w:b/>
          <w:bCs/>
          <w:rtl/>
          <w:lang w:bidi="ar"/>
        </w:rPr>
      </w:pPr>
    </w:p>
    <w:p w14:paraId="47C5D97D" w14:textId="1509F11C" w:rsidR="00CF7B61" w:rsidRPr="00DB3C7B" w:rsidRDefault="00CF7B61" w:rsidP="000B50EE">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 xml:space="preserve">جامعة </w:t>
      </w:r>
      <w:proofErr w:type="spellStart"/>
      <w:r w:rsidRPr="00DB3C7B">
        <w:rPr>
          <w:rFonts w:ascii="Traditional Arabic" w:eastAsia="Times New Roman" w:hAnsi="Traditional Arabic" w:cs="Traditional Arabic"/>
          <w:b/>
          <w:bCs/>
          <w:rtl/>
          <w:lang w:bidi="ar"/>
        </w:rPr>
        <w:t>ميدأوشن</w:t>
      </w:r>
      <w:proofErr w:type="spellEnd"/>
    </w:p>
    <w:p w14:paraId="0C356888"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كلية الادارة</w:t>
      </w:r>
    </w:p>
    <w:p w14:paraId="77F7CDE5"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p>
    <w:p w14:paraId="151F1A57" w14:textId="3B4C3B60" w:rsidR="00CF7B61" w:rsidRPr="00DB3C7B" w:rsidRDefault="00323439" w:rsidP="00DB3C7B">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أثر التحوّل الرقمي المؤسسي على رضا الموظفين في مؤسسات المملكة العربية السعودية: وزارة الموارد البشرية والتنمية الاجتماعية أنموذجًا</w:t>
      </w:r>
    </w:p>
    <w:p w14:paraId="65423346"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p>
    <w:p w14:paraId="37B6030F"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إعداد</w:t>
      </w:r>
    </w:p>
    <w:p w14:paraId="5CA02F3D" w14:textId="77777777" w:rsidR="00CF7B61" w:rsidRPr="00DB3C7B" w:rsidRDefault="00CF7B61" w:rsidP="00EB0259">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 xml:space="preserve">باحث </w:t>
      </w:r>
      <w:proofErr w:type="gramStart"/>
      <w:r w:rsidRPr="00DB3C7B">
        <w:rPr>
          <w:rFonts w:ascii="Traditional Arabic" w:eastAsia="Times New Roman" w:hAnsi="Traditional Arabic" w:cs="Traditional Arabic"/>
          <w:b/>
          <w:bCs/>
          <w:rtl/>
          <w:lang w:bidi="ar"/>
        </w:rPr>
        <w:t>الدكتوراه :</w:t>
      </w:r>
      <w:proofErr w:type="gramEnd"/>
      <w:r w:rsidRPr="00DB3C7B">
        <w:rPr>
          <w:rFonts w:ascii="Traditional Arabic" w:eastAsia="Times New Roman" w:hAnsi="Traditional Arabic" w:cs="Traditional Arabic"/>
          <w:b/>
          <w:bCs/>
          <w:rtl/>
          <w:lang w:bidi="ar"/>
        </w:rPr>
        <w:t xml:space="preserve"> سعود عبدالعزيز عبدالله آل حمد</w:t>
      </w:r>
    </w:p>
    <w:p w14:paraId="67D358D2" w14:textId="5A2A9F7B" w:rsidR="003625A1" w:rsidRPr="00DB3C7B" w:rsidRDefault="00CF7B61" w:rsidP="00DB3C7B">
      <w:pPr>
        <w:bidi/>
        <w:spacing w:line="360" w:lineRule="auto"/>
        <w:jc w:val="center"/>
        <w:rPr>
          <w:rFonts w:ascii="Traditional Arabic" w:eastAsia="Times New Roman" w:hAnsi="Traditional Arabic" w:cs="Traditional Arabic"/>
          <w:b/>
          <w:bCs/>
          <w:rtl/>
          <w:lang w:bidi="ar"/>
        </w:rPr>
      </w:pPr>
      <w:r w:rsidRPr="00DB3C7B">
        <w:rPr>
          <w:rFonts w:ascii="Traditional Arabic" w:eastAsia="Times New Roman" w:hAnsi="Traditional Arabic" w:cs="Traditional Arabic"/>
          <w:b/>
          <w:bCs/>
          <w:rtl/>
          <w:lang w:bidi="ar"/>
        </w:rPr>
        <w:t>المملكة العربية السعودية</w:t>
      </w:r>
    </w:p>
    <w:p w14:paraId="30350887" w14:textId="77777777" w:rsidR="00DB3C7B" w:rsidRPr="00DB3C7B" w:rsidRDefault="00DB3C7B" w:rsidP="00DB3C7B">
      <w:pPr>
        <w:bidi/>
        <w:spacing w:line="360" w:lineRule="auto"/>
        <w:jc w:val="center"/>
        <w:rPr>
          <w:rFonts w:ascii="Traditional Arabic" w:eastAsia="Times New Roman" w:hAnsi="Traditional Arabic" w:cs="Traditional Arabic"/>
          <w:b/>
          <w:bCs/>
          <w:rtl/>
          <w:lang w:bidi="ar"/>
        </w:rPr>
      </w:pPr>
    </w:p>
    <w:p w14:paraId="32035D50" w14:textId="77777777" w:rsidR="00E72D37" w:rsidRPr="00DB3C7B" w:rsidRDefault="00CF7B61" w:rsidP="00EB0259">
      <w:pPr>
        <w:bidi/>
        <w:spacing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رسالة مقدمة لجامعة </w:t>
      </w:r>
      <w:proofErr w:type="spellStart"/>
      <w:r w:rsidRPr="00DB3C7B">
        <w:rPr>
          <w:rFonts w:ascii="Traditional Arabic" w:eastAsia="Times New Roman" w:hAnsi="Traditional Arabic" w:cs="Traditional Arabic"/>
          <w:b/>
          <w:bCs/>
          <w:rtl/>
        </w:rPr>
        <w:t>ميد</w:t>
      </w:r>
      <w:r w:rsidR="00E72D37" w:rsidRPr="00DB3C7B">
        <w:rPr>
          <w:rFonts w:ascii="Traditional Arabic" w:eastAsia="Times New Roman" w:hAnsi="Traditional Arabic" w:cs="Traditional Arabic"/>
          <w:b/>
          <w:bCs/>
          <w:rtl/>
        </w:rPr>
        <w:t>أوشن</w:t>
      </w:r>
      <w:proofErr w:type="spellEnd"/>
      <w:r w:rsidR="00E72D37" w:rsidRPr="00DB3C7B">
        <w:rPr>
          <w:rFonts w:ascii="Traditional Arabic" w:eastAsia="Times New Roman" w:hAnsi="Traditional Arabic" w:cs="Traditional Arabic"/>
          <w:b/>
          <w:bCs/>
          <w:rtl/>
        </w:rPr>
        <w:t xml:space="preserve"> </w:t>
      </w:r>
      <w:proofErr w:type="spellStart"/>
      <w:r w:rsidR="00E72D37" w:rsidRPr="00DB3C7B">
        <w:rPr>
          <w:rFonts w:ascii="Traditional Arabic" w:eastAsia="Times New Roman" w:hAnsi="Traditional Arabic" w:cs="Traditional Arabic"/>
          <w:b/>
          <w:bCs/>
          <w:rtl/>
        </w:rPr>
        <w:t>لإستكمال</w:t>
      </w:r>
      <w:proofErr w:type="spellEnd"/>
      <w:r w:rsidR="00E72D37" w:rsidRPr="00DB3C7B">
        <w:rPr>
          <w:rFonts w:ascii="Traditional Arabic" w:eastAsia="Times New Roman" w:hAnsi="Traditional Arabic" w:cs="Traditional Arabic"/>
          <w:b/>
          <w:bCs/>
          <w:rtl/>
        </w:rPr>
        <w:t xml:space="preserve"> متطلبات نيل درجة الدكتوراه </w:t>
      </w:r>
    </w:p>
    <w:p w14:paraId="461F848D" w14:textId="77777777" w:rsidR="00E72D37" w:rsidRPr="00DB3C7B" w:rsidRDefault="00E72D37" w:rsidP="00EB0259">
      <w:pPr>
        <w:bidi/>
        <w:spacing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في </w:t>
      </w:r>
    </w:p>
    <w:p w14:paraId="3E88B99B" w14:textId="7D94EA85" w:rsidR="003625A1" w:rsidRPr="00DB3C7B" w:rsidRDefault="00E72D37" w:rsidP="00DB3C7B">
      <w:pPr>
        <w:bidi/>
        <w:spacing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الإدارة</w:t>
      </w:r>
    </w:p>
    <w:p w14:paraId="1E453D03" w14:textId="77777777" w:rsidR="003625A1" w:rsidRPr="00DB3C7B" w:rsidRDefault="003625A1" w:rsidP="00EB0259">
      <w:pPr>
        <w:bidi/>
        <w:spacing w:line="360" w:lineRule="auto"/>
        <w:jc w:val="center"/>
        <w:rPr>
          <w:rFonts w:ascii="Traditional Arabic" w:eastAsia="Times New Roman" w:hAnsi="Traditional Arabic" w:cs="Traditional Arabic"/>
          <w:b/>
          <w:bCs/>
          <w:rtl/>
        </w:rPr>
      </w:pPr>
    </w:p>
    <w:p w14:paraId="61425D6D" w14:textId="77777777" w:rsidR="003625A1" w:rsidRPr="00DB3C7B" w:rsidRDefault="003625A1" w:rsidP="00EB0259">
      <w:pPr>
        <w:bidi/>
        <w:spacing w:line="360" w:lineRule="auto"/>
        <w:jc w:val="center"/>
        <w:rPr>
          <w:rFonts w:ascii="Traditional Arabic" w:eastAsia="Times New Roman" w:hAnsi="Traditional Arabic" w:cs="Traditional Arabic"/>
          <w:b/>
          <w:bCs/>
          <w:rtl/>
        </w:rPr>
      </w:pPr>
    </w:p>
    <w:p w14:paraId="4A07076C" w14:textId="77777777" w:rsidR="003625A1" w:rsidRPr="00DB3C7B" w:rsidRDefault="003625A1" w:rsidP="00EB0259">
      <w:pPr>
        <w:bidi/>
        <w:spacing w:line="360" w:lineRule="auto"/>
        <w:jc w:val="center"/>
        <w:rPr>
          <w:rFonts w:ascii="Traditional Arabic" w:eastAsia="Times New Roman" w:hAnsi="Traditional Arabic" w:cs="Traditional Arabic"/>
          <w:b/>
          <w:bCs/>
          <w:rtl/>
        </w:rPr>
      </w:pPr>
    </w:p>
    <w:p w14:paraId="0AB4987F" w14:textId="77777777" w:rsidR="00E72D37" w:rsidRPr="00DB3C7B" w:rsidRDefault="00E72D37" w:rsidP="00EB0259">
      <w:pPr>
        <w:bidi/>
        <w:spacing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 xml:space="preserve">سنة التخرج </w:t>
      </w:r>
    </w:p>
    <w:p w14:paraId="43A6C936" w14:textId="54F5FB75" w:rsidR="00B64312" w:rsidRPr="00DB3C7B" w:rsidRDefault="00E72D37" w:rsidP="00DB3C7B">
      <w:pPr>
        <w:bidi/>
        <w:spacing w:after="240" w:line="360" w:lineRule="auto"/>
        <w:jc w:val="center"/>
        <w:rPr>
          <w:rFonts w:ascii="Traditional Arabic" w:eastAsia="Times New Roman" w:hAnsi="Traditional Arabic" w:cs="Traditional Arabic"/>
          <w:b/>
          <w:bCs/>
          <w:rtl/>
        </w:rPr>
      </w:pPr>
      <w:r w:rsidRPr="00DB3C7B">
        <w:rPr>
          <w:rFonts w:ascii="Traditional Arabic" w:eastAsia="Times New Roman" w:hAnsi="Traditional Arabic" w:cs="Traditional Arabic"/>
          <w:b/>
          <w:bCs/>
          <w:rtl/>
        </w:rPr>
        <w:t>202</w:t>
      </w:r>
      <w:r w:rsidR="00572992" w:rsidRPr="00DB3C7B">
        <w:rPr>
          <w:rFonts w:ascii="Traditional Arabic" w:eastAsia="Times New Roman" w:hAnsi="Traditional Arabic" w:cs="Traditional Arabic"/>
          <w:b/>
          <w:bCs/>
          <w:rtl/>
        </w:rPr>
        <w:t>7</w:t>
      </w:r>
      <w:bookmarkStart w:id="0" w:name="_Hlk214369247"/>
    </w:p>
    <w:p w14:paraId="5D3EBEEE" w14:textId="0EE013DB" w:rsidR="00A93973" w:rsidRDefault="00B64312" w:rsidP="00EB0259">
      <w:pPr>
        <w:bidi/>
        <w:spacing w:after="160" w:line="360" w:lineRule="auto"/>
        <w:jc w:val="center"/>
        <w:divId w:val="1647278641"/>
        <w:rPr>
          <w:rFonts w:ascii="Traditional Arabic" w:hAnsi="Traditional Arabic" w:cs="Traditional Arabic"/>
          <w:b/>
          <w:bCs/>
          <w:sz w:val="32"/>
          <w:szCs w:val="32"/>
          <w:rtl/>
        </w:rPr>
      </w:pPr>
      <w:r w:rsidRPr="00DB3C7B">
        <w:rPr>
          <w:rFonts w:ascii="Traditional Arabic" w:hAnsi="Traditional Arabic" w:cs="Traditional Arabic"/>
          <w:b/>
          <w:bCs/>
          <w:sz w:val="32"/>
          <w:szCs w:val="32"/>
          <w:rtl/>
        </w:rPr>
        <w:lastRenderedPageBreak/>
        <w:t xml:space="preserve">الفصل الثاني </w:t>
      </w:r>
    </w:p>
    <w:p w14:paraId="7314A611" w14:textId="77777777" w:rsidR="00B64312" w:rsidRPr="00DB3C7B" w:rsidRDefault="00B64312" w:rsidP="00EB0259">
      <w:pPr>
        <w:bidi/>
        <w:spacing w:after="160" w:line="360" w:lineRule="auto"/>
        <w:divId w:val="1647278641"/>
        <w:rPr>
          <w:rFonts w:ascii="Traditional Arabic" w:hAnsi="Traditional Arabic" w:cs="Traditional Arabic"/>
          <w:b/>
          <w:bCs/>
          <w:sz w:val="28"/>
          <w:szCs w:val="28"/>
          <w:lang w:bidi="ar"/>
        </w:rPr>
      </w:pPr>
      <w:r w:rsidRPr="00DB3C7B">
        <w:rPr>
          <w:rFonts w:ascii="Traditional Arabic" w:hAnsi="Traditional Arabic" w:cs="Traditional Arabic"/>
          <w:b/>
          <w:bCs/>
          <w:sz w:val="28"/>
          <w:szCs w:val="28"/>
          <w:rtl/>
        </w:rPr>
        <w:t>ملخص تنفيذي</w:t>
      </w:r>
    </w:p>
    <w:p w14:paraId="4ACC34DB" w14:textId="77777777" w:rsidR="002F488C" w:rsidRDefault="000B50EE" w:rsidP="000B50EE">
      <w:pPr>
        <w:bidi/>
        <w:spacing w:after="160" w:line="360" w:lineRule="auto"/>
        <w:divId w:val="1647278641"/>
        <w:rPr>
          <w:rFonts w:ascii="Traditional Arabic" w:hAnsi="Traditional Arabic" w:cs="Traditional Arabic"/>
        </w:rPr>
      </w:pPr>
      <w:r w:rsidRPr="000B50EE">
        <w:rPr>
          <w:rFonts w:ascii="Traditional Arabic" w:hAnsi="Traditional Arabic" w:cs="Traditional Arabic"/>
          <w:rtl/>
        </w:rPr>
        <w:t>يُقدِّم هذا الفصل (2.0–2.3) مراجعة أدبيات منهجية وتحليلية تُسند النموذج المفاهيمي للدراسة التي تبحث أثر التحوّل الرقمي المؤسسي على الرضا الوظيفي لدى موظفي وزارة الموارد البشرية والتنمية الاجتماعية. وقد بُنيت المراجعة على تصور أن التحوّل الرقمي المؤسسي</w:t>
      </w:r>
      <w:r w:rsidRPr="000B50EE">
        <w:rPr>
          <w:rFonts w:ascii="Traditional Arabic" w:hAnsi="Traditional Arabic" w:cs="Traditional Arabic"/>
        </w:rPr>
        <w:t xml:space="preserve"> (DTD) </w:t>
      </w:r>
      <w:r w:rsidRPr="000B50EE">
        <w:rPr>
          <w:rFonts w:ascii="Traditional Arabic" w:hAnsi="Traditional Arabic" w:cs="Traditional Arabic"/>
          <w:rtl/>
        </w:rPr>
        <w:t xml:space="preserve">لا يُفهم بوصفه </w:t>
      </w:r>
      <w:r w:rsidR="002F488C">
        <w:rPr>
          <w:rFonts w:ascii="Traditional Arabic" w:hAnsi="Traditional Arabic" w:cs="Traditional Arabic"/>
          <w:rtl/>
        </w:rPr>
        <w:t>"</w:t>
      </w:r>
      <w:proofErr w:type="spellStart"/>
      <w:r w:rsidRPr="000B50EE">
        <w:rPr>
          <w:rFonts w:ascii="Traditional Arabic" w:hAnsi="Traditional Arabic" w:cs="Traditional Arabic"/>
          <w:rtl/>
        </w:rPr>
        <w:t>رقمنة</w:t>
      </w:r>
      <w:proofErr w:type="spellEnd"/>
      <w:r w:rsidR="002F488C">
        <w:rPr>
          <w:rFonts w:ascii="Traditional Arabic" w:hAnsi="Traditional Arabic" w:cs="Traditional Arabic"/>
          <w:rtl/>
        </w:rPr>
        <w:t>"</w:t>
      </w:r>
      <w:r w:rsidRPr="000B50EE">
        <w:rPr>
          <w:rFonts w:ascii="Traditional Arabic" w:hAnsi="Traditional Arabic" w:cs="Traditional Arabic"/>
          <w:rtl/>
        </w:rPr>
        <w:t xml:space="preserve"> جزئية فحسب، بل بوصفه تحولًا في تصميم العمليات الداخلية وتكاملها، وفي جودة الأنظمة والدعم المصاحب لها، بما يُعيد تشكيل خبرة الموظف اليومية</w:t>
      </w:r>
      <w:r w:rsidRPr="000B50EE">
        <w:rPr>
          <w:rFonts w:ascii="Traditional Arabic" w:hAnsi="Traditional Arabic" w:cs="Traditional Arabic"/>
        </w:rPr>
        <w:t xml:space="preserve"> Vial, 2019</w:t>
      </w:r>
      <w:r w:rsidR="002F488C">
        <w:rPr>
          <w:rFonts w:ascii="Traditional Arabic" w:hAnsi="Traditional Arabic" w:cs="Traditional Arabic"/>
        </w:rPr>
        <w:t xml:space="preserve">) </w:t>
      </w:r>
      <w:r w:rsidRPr="000B50EE">
        <w:rPr>
          <w:rFonts w:ascii="Traditional Arabic" w:hAnsi="Traditional Arabic" w:cs="Traditional Arabic"/>
          <w:rtl/>
        </w:rPr>
        <w:t>؛</w:t>
      </w:r>
      <w:r w:rsidR="002F488C">
        <w:rPr>
          <w:rFonts w:ascii="Traditional Arabic" w:hAnsi="Traditional Arabic" w:cs="Traditional Arabic"/>
        </w:rPr>
        <w:t>(</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Mergel</w:t>
      </w:r>
      <w:proofErr w:type="spellEnd"/>
      <w:r w:rsidRPr="000B50EE">
        <w:rPr>
          <w:rFonts w:ascii="Traditional Arabic" w:hAnsi="Traditional Arabic" w:cs="Traditional Arabic"/>
        </w:rPr>
        <w:t xml:space="preserve"> et al., 2019</w:t>
      </w:r>
      <w:r w:rsidR="002F488C">
        <w:rPr>
          <w:rFonts w:ascii="Traditional Arabic" w:hAnsi="Traditional Arabic" w:cs="Traditional Arabic"/>
        </w:rPr>
        <w:t xml:space="preserve"> </w:t>
      </w:r>
      <w:r w:rsidRPr="000B50EE">
        <w:rPr>
          <w:rFonts w:ascii="Traditional Arabic" w:hAnsi="Traditional Arabic" w:cs="Traditional Arabic"/>
        </w:rPr>
        <w:br/>
      </w:r>
      <w:r w:rsidRPr="000B50EE">
        <w:rPr>
          <w:rFonts w:ascii="Traditional Arabic" w:hAnsi="Traditional Arabic" w:cs="Traditional Arabic"/>
          <w:rtl/>
        </w:rPr>
        <w:t xml:space="preserve">وتقود الدراسة تفسير الأثر عبر مسارين وسيطين متوازيين: مسار </w:t>
      </w:r>
      <w:r w:rsidR="002F488C">
        <w:rPr>
          <w:rFonts w:ascii="Traditional Arabic" w:hAnsi="Traditional Arabic" w:cs="Traditional Arabic"/>
          <w:rtl/>
        </w:rPr>
        <w:t>"</w:t>
      </w:r>
      <w:r w:rsidRPr="000B50EE">
        <w:rPr>
          <w:rFonts w:ascii="Traditional Arabic" w:hAnsi="Traditional Arabic" w:cs="Traditional Arabic"/>
          <w:rtl/>
        </w:rPr>
        <w:t>تعزيزي</w:t>
      </w:r>
      <w:r w:rsidR="002F488C">
        <w:rPr>
          <w:rFonts w:ascii="Traditional Arabic" w:hAnsi="Traditional Arabic" w:cs="Traditional Arabic"/>
          <w:rtl/>
        </w:rPr>
        <w:t>"</w:t>
      </w:r>
      <w:r w:rsidRPr="000B50EE">
        <w:rPr>
          <w:rFonts w:ascii="Traditional Arabic" w:hAnsi="Traditional Arabic" w:cs="Traditional Arabic"/>
          <w:rtl/>
        </w:rPr>
        <w:t xml:space="preserve"> يعتمد على قبول التقنية وفق نموذج</w:t>
      </w:r>
      <w:r w:rsidRPr="000B50EE">
        <w:rPr>
          <w:rFonts w:ascii="Traditional Arabic" w:hAnsi="Traditional Arabic" w:cs="Traditional Arabic"/>
        </w:rPr>
        <w:t xml:space="preserve"> (TAM) </w:t>
      </w:r>
      <w:r w:rsidRPr="000B50EE">
        <w:rPr>
          <w:rFonts w:ascii="Traditional Arabic" w:hAnsi="Traditional Arabic" w:cs="Traditional Arabic"/>
          <w:rtl/>
        </w:rPr>
        <w:t>من خلال المنفعة المتصوَّرة وسهولة الاستخدام المتصوَّرة</w:t>
      </w:r>
      <w:r w:rsidRPr="000B50EE">
        <w:rPr>
          <w:rFonts w:ascii="Traditional Arabic" w:hAnsi="Traditional Arabic" w:cs="Traditional Arabic"/>
        </w:rPr>
        <w:t xml:space="preserve"> (Davis, 1989)</w:t>
      </w:r>
      <w:r w:rsidR="002F488C">
        <w:rPr>
          <w:rFonts w:ascii="Traditional Arabic" w:hAnsi="Traditional Arabic" w:cs="Traditional Arabic"/>
        </w:rPr>
        <w:t xml:space="preserve"> </w:t>
      </w:r>
      <w:r w:rsidRPr="000B50EE">
        <w:rPr>
          <w:rFonts w:ascii="Traditional Arabic" w:hAnsi="Traditional Arabic" w:cs="Traditional Arabic"/>
          <w:rtl/>
        </w:rPr>
        <w:t xml:space="preserve">، ومسار </w:t>
      </w:r>
      <w:r w:rsidR="002F488C">
        <w:rPr>
          <w:rFonts w:ascii="Traditional Arabic" w:hAnsi="Traditional Arabic" w:cs="Traditional Arabic"/>
          <w:rtl/>
        </w:rPr>
        <w:t>"</w:t>
      </w:r>
      <w:r w:rsidRPr="000B50EE">
        <w:rPr>
          <w:rFonts w:ascii="Traditional Arabic" w:hAnsi="Traditional Arabic" w:cs="Traditional Arabic"/>
          <w:rtl/>
        </w:rPr>
        <w:t>ضاغط</w:t>
      </w:r>
      <w:r w:rsidR="002F488C">
        <w:rPr>
          <w:rFonts w:ascii="Traditional Arabic" w:hAnsi="Traditional Arabic" w:cs="Traditional Arabic"/>
          <w:rtl/>
        </w:rPr>
        <w:t>"</w:t>
      </w:r>
      <w:r w:rsidRPr="000B50EE">
        <w:rPr>
          <w:rFonts w:ascii="Traditional Arabic" w:hAnsi="Traditional Arabic" w:cs="Traditional Arabic"/>
          <w:rtl/>
        </w:rPr>
        <w:t xml:space="preserve"> يعتمد على الإجهاد التقني</w:t>
      </w:r>
      <w:r w:rsidRPr="000B50EE">
        <w:rPr>
          <w:rFonts w:ascii="Traditional Arabic" w:hAnsi="Traditional Arabic" w:cs="Traditional Arabic"/>
        </w:rPr>
        <w:t xml:space="preserve"> (Technostress) </w:t>
      </w:r>
      <w:r w:rsidR="002F488C">
        <w:rPr>
          <w:rFonts w:ascii="Traditional Arabic" w:hAnsi="Traditional Arabic" w:cs="Traditional Arabic" w:hint="cs"/>
          <w:rtl/>
        </w:rPr>
        <w:t xml:space="preserve"> </w:t>
      </w:r>
      <w:r w:rsidRPr="000B50EE">
        <w:rPr>
          <w:rFonts w:ascii="Traditional Arabic" w:hAnsi="Traditional Arabic" w:cs="Traditional Arabic"/>
          <w:rtl/>
        </w:rPr>
        <w:t xml:space="preserve">بوصفه استجابة لضغوط التقنية ومتطلباتها، كما طُوِّر بمفهوم </w:t>
      </w:r>
      <w:r w:rsidR="002F488C">
        <w:rPr>
          <w:rFonts w:ascii="Traditional Arabic" w:hAnsi="Traditional Arabic" w:cs="Traditional Arabic"/>
          <w:rtl/>
        </w:rPr>
        <w:t>"</w:t>
      </w:r>
      <w:r w:rsidRPr="000B50EE">
        <w:rPr>
          <w:rFonts w:ascii="Traditional Arabic" w:hAnsi="Traditional Arabic" w:cs="Traditional Arabic"/>
          <w:rtl/>
        </w:rPr>
        <w:t>صانعات الإجهاد</w:t>
      </w:r>
      <w:r w:rsidR="002F488C">
        <w:rPr>
          <w:rFonts w:ascii="Traditional Arabic" w:hAnsi="Traditional Arabic" w:cs="Traditional Arabic"/>
          <w:rtl/>
        </w:rPr>
        <w:t>"</w:t>
      </w:r>
      <w:r w:rsidRPr="000B50EE">
        <w:rPr>
          <w:rFonts w:ascii="Traditional Arabic" w:hAnsi="Traditional Arabic" w:cs="Traditional Arabic"/>
          <w:rtl/>
        </w:rPr>
        <w:t xml:space="preserve"> و</w:t>
      </w:r>
      <w:r w:rsidR="002F488C">
        <w:rPr>
          <w:rFonts w:ascii="Traditional Arabic" w:hAnsi="Traditional Arabic" w:cs="Traditional Arabic"/>
          <w:rtl/>
        </w:rPr>
        <w:t>"</w:t>
      </w:r>
      <w:r w:rsidRPr="000B50EE">
        <w:rPr>
          <w:rFonts w:ascii="Traditional Arabic" w:hAnsi="Traditional Arabic" w:cs="Traditional Arabic"/>
          <w:rtl/>
        </w:rPr>
        <w:t>مثبطاته</w:t>
      </w:r>
      <w:r w:rsidR="002F488C">
        <w:rPr>
          <w:rFonts w:ascii="Traditional Arabic" w:hAnsi="Traditional Arabic" w:cs="Traditional Arabic"/>
          <w:rtl/>
        </w:rPr>
        <w:t>"</w:t>
      </w:r>
    </w:p>
    <w:p w14:paraId="795E37A1" w14:textId="61F17C53" w:rsidR="000B50EE" w:rsidRPr="000B50EE" w:rsidRDefault="000B50EE" w:rsidP="002F488C">
      <w:pPr>
        <w:bidi/>
        <w:spacing w:after="160" w:line="360" w:lineRule="auto"/>
        <w:divId w:val="1647278641"/>
        <w:rPr>
          <w:rFonts w:ascii="Traditional Arabic" w:hAnsi="Traditional Arabic" w:cs="Traditional Arabic"/>
        </w:rPr>
      </w:pPr>
      <w:r w:rsidRPr="000B50EE">
        <w:rPr>
          <w:rFonts w:ascii="Traditional Arabic" w:hAnsi="Traditional Arabic" w:cs="Traditional Arabic"/>
        </w:rPr>
        <w:t xml:space="preserve"> Ragu-Nathan et al., </w:t>
      </w:r>
      <w:proofErr w:type="gramStart"/>
      <w:r w:rsidRPr="000B50EE">
        <w:rPr>
          <w:rFonts w:ascii="Traditional Arabic" w:hAnsi="Traditional Arabic" w:cs="Traditional Arabic"/>
        </w:rPr>
        <w:t>2008</w:t>
      </w:r>
      <w:r w:rsidR="002F488C">
        <w:rPr>
          <w:rFonts w:ascii="Traditional Arabic" w:hAnsi="Traditional Arabic" w:cs="Traditional Arabic"/>
        </w:rPr>
        <w:t>)</w:t>
      </w:r>
      <w:r w:rsidRPr="000B50EE">
        <w:rPr>
          <w:rFonts w:ascii="Traditional Arabic" w:hAnsi="Traditional Arabic" w:cs="Traditional Arabic"/>
          <w:rtl/>
        </w:rPr>
        <w:t>؛</w:t>
      </w:r>
      <w:proofErr w:type="gramEnd"/>
      <w:r w:rsidRPr="000B50EE">
        <w:rPr>
          <w:rFonts w:ascii="Traditional Arabic" w:hAnsi="Traditional Arabic" w:cs="Traditional Arabic"/>
        </w:rPr>
        <w:t xml:space="preserve"> </w:t>
      </w:r>
      <w:proofErr w:type="spellStart"/>
      <w:r w:rsidRPr="000B50EE">
        <w:rPr>
          <w:rFonts w:ascii="Traditional Arabic" w:hAnsi="Traditional Arabic" w:cs="Traditional Arabic"/>
        </w:rPr>
        <w:t>Tarafdar</w:t>
      </w:r>
      <w:proofErr w:type="spellEnd"/>
      <w:r w:rsidRPr="000B50EE">
        <w:rPr>
          <w:rFonts w:ascii="Traditional Arabic" w:hAnsi="Traditional Arabic" w:cs="Traditional Arabic"/>
        </w:rPr>
        <w:t xml:space="preserve"> et al., 2011</w:t>
      </w:r>
      <w:r w:rsidRPr="000B50EE">
        <w:rPr>
          <w:rFonts w:ascii="Traditional Arabic" w:hAnsi="Traditional Arabic" w:cs="Traditional Arabic"/>
          <w:rtl/>
        </w:rPr>
        <w:t>؛</w:t>
      </w:r>
      <w:r w:rsidR="002F488C">
        <w:rPr>
          <w:rFonts w:ascii="Traditional Arabic" w:hAnsi="Traditional Arabic" w:cs="Traditional Arabic"/>
        </w:rPr>
        <w:t>(</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Ayyagari</w:t>
      </w:r>
      <w:proofErr w:type="spellEnd"/>
      <w:r w:rsidRPr="000B50EE">
        <w:rPr>
          <w:rFonts w:ascii="Traditional Arabic" w:hAnsi="Traditional Arabic" w:cs="Traditional Arabic"/>
        </w:rPr>
        <w:t xml:space="preserve"> et al., 2011.</w:t>
      </w:r>
      <w:r w:rsidR="002F488C">
        <w:rPr>
          <w:rFonts w:ascii="Traditional Arabic" w:hAnsi="Traditional Arabic" w:cs="Traditional Arabic" w:hint="cs"/>
          <w:rtl/>
        </w:rPr>
        <w:t xml:space="preserve"> .</w:t>
      </w:r>
      <w:r w:rsidRPr="000B50EE">
        <w:rPr>
          <w:rFonts w:ascii="Traditional Arabic" w:hAnsi="Traditional Arabic" w:cs="Traditional Arabic"/>
        </w:rPr>
        <w:br/>
      </w:r>
      <w:r w:rsidRPr="000B50EE">
        <w:rPr>
          <w:rFonts w:ascii="Traditional Arabic" w:hAnsi="Traditional Arabic" w:cs="Traditional Arabic"/>
          <w:rtl/>
        </w:rPr>
        <w:t>ويُسند الفصل اختيار أبعاد التحوّل الرقمي المؤسسي عبر عدستين داعمتين: إطار التقنية–المنظمة–البيئة</w:t>
      </w:r>
      <w:r w:rsidRPr="000B50EE">
        <w:rPr>
          <w:rFonts w:ascii="Traditional Arabic" w:hAnsi="Traditional Arabic" w:cs="Traditional Arabic"/>
        </w:rPr>
        <w:t xml:space="preserve"> (TOE) </w:t>
      </w:r>
      <w:r w:rsidRPr="000B50EE">
        <w:rPr>
          <w:rFonts w:ascii="Traditional Arabic" w:hAnsi="Traditional Arabic" w:cs="Traditional Arabic"/>
          <w:rtl/>
        </w:rPr>
        <w:t>لتفسير جاهزية المنظمة وسياقات التبنّي والتنفيذ</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Tornatzky</w:t>
      </w:r>
      <w:proofErr w:type="spellEnd"/>
      <w:r w:rsidRPr="000B50EE">
        <w:rPr>
          <w:rFonts w:ascii="Traditional Arabic" w:hAnsi="Traditional Arabic" w:cs="Traditional Arabic"/>
        </w:rPr>
        <w:t xml:space="preserve"> &amp; Fleischer, 1990</w:t>
      </w:r>
      <w:proofErr w:type="gramStart"/>
      <w:r w:rsidR="002F488C">
        <w:rPr>
          <w:rFonts w:ascii="Traditional Arabic" w:hAnsi="Traditional Arabic" w:cs="Traditional Arabic"/>
        </w:rPr>
        <w:t xml:space="preserve">) </w:t>
      </w:r>
      <w:r w:rsidRPr="000B50EE">
        <w:rPr>
          <w:rFonts w:ascii="Traditional Arabic" w:hAnsi="Traditional Arabic" w:cs="Traditional Arabic"/>
          <w:rtl/>
        </w:rPr>
        <w:t>؛</w:t>
      </w:r>
      <w:proofErr w:type="gramEnd"/>
      <w:r w:rsidRPr="000B50EE">
        <w:rPr>
          <w:rFonts w:ascii="Traditional Arabic" w:hAnsi="Traditional Arabic" w:cs="Traditional Arabic"/>
        </w:rPr>
        <w:t xml:space="preserve"> Oliveira &amp; Martins, 2011</w:t>
      </w:r>
      <w:r w:rsidRPr="000B50EE">
        <w:rPr>
          <w:rFonts w:ascii="Traditional Arabic" w:hAnsi="Traditional Arabic" w:cs="Traditional Arabic"/>
          <w:rtl/>
        </w:rPr>
        <w:t>،</w:t>
      </w:r>
      <w:r w:rsidR="002F488C">
        <w:rPr>
          <w:rFonts w:ascii="Traditional Arabic" w:hAnsi="Traditional Arabic" w:cs="Traditional Arabic" w:hint="cs"/>
          <w:rtl/>
        </w:rPr>
        <w:t xml:space="preserve">) </w:t>
      </w:r>
      <w:r w:rsidRPr="000B50EE">
        <w:rPr>
          <w:rFonts w:ascii="Traditional Arabic" w:hAnsi="Traditional Arabic" w:cs="Traditional Arabic"/>
          <w:rtl/>
        </w:rPr>
        <w:t xml:space="preserve">والمنظور </w:t>
      </w:r>
      <w:proofErr w:type="spellStart"/>
      <w:r w:rsidRPr="000B50EE">
        <w:rPr>
          <w:rFonts w:ascii="Traditional Arabic" w:hAnsi="Traditional Arabic" w:cs="Traditional Arabic"/>
          <w:rtl/>
        </w:rPr>
        <w:t>السوسيوتقني</w:t>
      </w:r>
      <w:proofErr w:type="spellEnd"/>
      <w:r w:rsidRPr="000B50EE">
        <w:rPr>
          <w:rFonts w:ascii="Traditional Arabic" w:hAnsi="Traditional Arabic" w:cs="Traditional Arabic"/>
          <w:rtl/>
        </w:rPr>
        <w:t xml:space="preserve"> لتفسير تفاعل النظام التقني مع النظام الاجتماعي داخل المنظمة</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Sarker</w:t>
      </w:r>
      <w:proofErr w:type="spellEnd"/>
      <w:r w:rsidRPr="000B50EE">
        <w:rPr>
          <w:rFonts w:ascii="Traditional Arabic" w:hAnsi="Traditional Arabic" w:cs="Traditional Arabic"/>
        </w:rPr>
        <w:t xml:space="preserve"> et al., 2019). </w:t>
      </w:r>
      <w:r w:rsidRPr="000B50EE">
        <w:rPr>
          <w:rFonts w:ascii="Traditional Arabic" w:hAnsi="Traditional Arabic" w:cs="Traditional Arabic"/>
          <w:rtl/>
        </w:rPr>
        <w:t>ويُختتم الفصل بتوليف نقدي يحدد الفجوة البحثية في ثلاثة مستويات (نظرية، سياقية/تطبيقية، منهجية) ويربطها بأسئلة الدراسة (س1–س4) وفرضياتها</w:t>
      </w:r>
      <w:r w:rsidRPr="000B50EE">
        <w:rPr>
          <w:rFonts w:ascii="Traditional Arabic" w:hAnsi="Traditional Arabic" w:cs="Traditional Arabic"/>
        </w:rPr>
        <w:t xml:space="preserve"> (H1–H4) </w:t>
      </w:r>
      <w:r w:rsidRPr="000B50EE">
        <w:rPr>
          <w:rFonts w:ascii="Traditional Arabic" w:hAnsi="Traditional Arabic" w:cs="Traditional Arabic"/>
          <w:rtl/>
        </w:rPr>
        <w:t>كما وردت في الخطة المعتمدة</w:t>
      </w:r>
      <w:r w:rsidRPr="000B50EE">
        <w:rPr>
          <w:rFonts w:ascii="Traditional Arabic" w:hAnsi="Traditional Arabic" w:cs="Traditional Arabic"/>
        </w:rPr>
        <w:t>.</w:t>
      </w:r>
    </w:p>
    <w:p w14:paraId="2AA8D45F" w14:textId="77777777" w:rsidR="00DB3C7B" w:rsidRPr="000B50EE" w:rsidRDefault="00DB3C7B" w:rsidP="00EB0259">
      <w:pPr>
        <w:bidi/>
        <w:spacing w:after="160" w:line="360" w:lineRule="auto"/>
        <w:divId w:val="1647278641"/>
        <w:rPr>
          <w:rFonts w:ascii="Traditional Arabic" w:hAnsi="Traditional Arabic" w:cs="Traditional Arabic"/>
          <w:b/>
          <w:bCs/>
          <w:sz w:val="28"/>
          <w:szCs w:val="28"/>
          <w:rtl/>
        </w:rPr>
      </w:pPr>
    </w:p>
    <w:p w14:paraId="0B83B191" w14:textId="2B66CCF9" w:rsidR="00B64312" w:rsidRDefault="00CC426D" w:rsidP="00DB3C7B">
      <w:pPr>
        <w:bidi/>
        <w:spacing w:after="160" w:line="360" w:lineRule="auto"/>
        <w:divId w:val="1647278641"/>
        <w:rPr>
          <w:rFonts w:ascii="Traditional Arabic" w:hAnsi="Traditional Arabic" w:cs="Traditional Arabic"/>
          <w:b/>
          <w:bCs/>
          <w:sz w:val="28"/>
          <w:szCs w:val="28"/>
          <w:rtl/>
        </w:rPr>
      </w:pPr>
      <w:r w:rsidRPr="00DB3C7B">
        <w:rPr>
          <w:rFonts w:ascii="Traditional Arabic" w:hAnsi="Traditional Arabic" w:cs="Traditional Arabic"/>
          <w:b/>
          <w:bCs/>
          <w:sz w:val="28"/>
          <w:szCs w:val="28"/>
          <w:rtl/>
        </w:rPr>
        <w:t xml:space="preserve">2.0 </w:t>
      </w:r>
      <w:r w:rsidR="00B64312" w:rsidRPr="00DB3C7B">
        <w:rPr>
          <w:rFonts w:ascii="Traditional Arabic" w:hAnsi="Traditional Arabic" w:cs="Traditional Arabic"/>
          <w:b/>
          <w:bCs/>
          <w:sz w:val="28"/>
          <w:szCs w:val="28"/>
          <w:rtl/>
        </w:rPr>
        <w:t>مقدمة الفصل الثاني</w:t>
      </w:r>
    </w:p>
    <w:p w14:paraId="0D3BF0C9" w14:textId="59050FB2" w:rsidR="000B50EE" w:rsidRPr="000B50EE" w:rsidRDefault="000B50EE" w:rsidP="000B50EE">
      <w:pPr>
        <w:bidi/>
        <w:spacing w:after="160" w:line="360" w:lineRule="auto"/>
        <w:divId w:val="1647278641"/>
        <w:rPr>
          <w:rFonts w:ascii="Traditional Arabic" w:hAnsi="Traditional Arabic" w:cs="Traditional Arabic"/>
          <w:b/>
          <w:bCs/>
        </w:rPr>
      </w:pPr>
      <w:r>
        <w:rPr>
          <w:rFonts w:ascii="Traditional Arabic" w:hAnsi="Traditional Arabic" w:cs="Traditional Arabic"/>
          <w:b/>
          <w:bCs/>
        </w:rPr>
        <w:t xml:space="preserve"> </w:t>
      </w:r>
      <w:r w:rsidRPr="000B50EE">
        <w:rPr>
          <w:rFonts w:ascii="Traditional Arabic" w:hAnsi="Traditional Arabic" w:cs="Traditional Arabic"/>
          <w:b/>
          <w:bCs/>
        </w:rPr>
        <w:t xml:space="preserve">2.0.1 </w:t>
      </w:r>
      <w:r w:rsidRPr="000B50EE">
        <w:rPr>
          <w:rFonts w:ascii="Traditional Arabic" w:hAnsi="Traditional Arabic" w:cs="Traditional Arabic"/>
          <w:b/>
          <w:bCs/>
          <w:rtl/>
        </w:rPr>
        <w:t>تمهيد منهجي لمراجعة الأدبيات</w:t>
      </w:r>
      <w:r w:rsidRPr="000B50EE">
        <w:rPr>
          <w:rFonts w:ascii="Traditional Arabic" w:hAnsi="Traditional Arabic" w:cs="Traditional Arabic"/>
        </w:rPr>
        <w:br/>
      </w:r>
      <w:r w:rsidRPr="000B50EE">
        <w:rPr>
          <w:rFonts w:ascii="Traditional Arabic" w:hAnsi="Traditional Arabic" w:cs="Traditional Arabic"/>
          <w:rtl/>
        </w:rPr>
        <w:t xml:space="preserve">اعتمدت مراجعة الأدبيات في هذا الفصل نهج </w:t>
      </w:r>
      <w:r w:rsidR="002F488C">
        <w:rPr>
          <w:rFonts w:ascii="Traditional Arabic" w:hAnsi="Traditional Arabic" w:cs="Traditional Arabic"/>
          <w:rtl/>
        </w:rPr>
        <w:t>"</w:t>
      </w:r>
      <w:r w:rsidRPr="000B50EE">
        <w:rPr>
          <w:rFonts w:ascii="Traditional Arabic" w:hAnsi="Traditional Arabic" w:cs="Traditional Arabic"/>
          <w:rtl/>
        </w:rPr>
        <w:t>المراجعة التحليلية السردية</w:t>
      </w:r>
      <w:r w:rsidR="002F488C">
        <w:rPr>
          <w:rFonts w:ascii="Traditional Arabic" w:hAnsi="Traditional Arabic" w:cs="Traditional Arabic"/>
          <w:rtl/>
        </w:rPr>
        <w:t>"</w:t>
      </w:r>
      <w:r w:rsidRPr="000B50EE">
        <w:rPr>
          <w:rFonts w:ascii="Traditional Arabic" w:hAnsi="Traditional Arabic" w:cs="Traditional Arabic"/>
        </w:rPr>
        <w:t xml:space="preserve"> (Analytical Narrative Review) </w:t>
      </w:r>
      <w:r w:rsidRPr="000B50EE">
        <w:rPr>
          <w:rFonts w:ascii="Traditional Arabic" w:hAnsi="Traditional Arabic" w:cs="Traditional Arabic"/>
          <w:rtl/>
        </w:rPr>
        <w:t>المدعومة باشتراطات انتقائية للتوثيق والتحقق؛ بهدف بناء إطار نظري متماسك وتوليف نتائج الدراسات السابقة للوصول إلى الفجوة البحثية وربطها بأسئلة الدراسة وفرضياتها. وتم البحث عن الأدبيات في قواعد بيانات ودوريات علمية متخصصة قدر الإمكان</w:t>
      </w:r>
      <w:r w:rsidR="002F488C">
        <w:rPr>
          <w:rFonts w:ascii="Traditional Arabic" w:hAnsi="Traditional Arabic" w:cs="Traditional Arabic"/>
        </w:rPr>
        <w:t xml:space="preserve"> </w:t>
      </w:r>
      <w:r w:rsidRPr="000B50EE">
        <w:rPr>
          <w:rFonts w:ascii="Traditional Arabic" w:hAnsi="Traditional Arabic" w:cs="Traditional Arabic"/>
          <w:rtl/>
        </w:rPr>
        <w:t>مثل</w:t>
      </w:r>
      <w:r w:rsidRPr="000B50EE">
        <w:rPr>
          <w:rFonts w:ascii="Traditional Arabic" w:hAnsi="Traditional Arabic" w:cs="Traditional Arabic"/>
        </w:rPr>
        <w:t>: Scopus</w:t>
      </w:r>
      <w:proofErr w:type="gramStart"/>
      <w:r w:rsidR="002F488C">
        <w:rPr>
          <w:rFonts w:ascii="Traditional Arabic" w:hAnsi="Traditional Arabic" w:cs="Traditional Arabic"/>
        </w:rPr>
        <w:t xml:space="preserve">) </w:t>
      </w:r>
      <w:r w:rsidRPr="000B50EE">
        <w:rPr>
          <w:rFonts w:ascii="Traditional Arabic" w:hAnsi="Traditional Arabic" w:cs="Traditional Arabic"/>
          <w:rtl/>
        </w:rPr>
        <w:t>،</w:t>
      </w:r>
      <w:proofErr w:type="gramEnd"/>
      <w:r w:rsidRPr="000B50EE">
        <w:rPr>
          <w:rFonts w:ascii="Traditional Arabic" w:hAnsi="Traditional Arabic" w:cs="Traditional Arabic"/>
          <w:rtl/>
        </w:rPr>
        <w:t xml:space="preserve"> </w:t>
      </w:r>
      <w:r w:rsidRPr="000B50EE">
        <w:rPr>
          <w:rFonts w:ascii="Traditional Arabic" w:hAnsi="Traditional Arabic" w:cs="Traditional Arabic"/>
        </w:rPr>
        <w:t>Web of Science</w:t>
      </w:r>
      <w:r w:rsidRPr="000B50EE">
        <w:rPr>
          <w:rFonts w:ascii="Traditional Arabic" w:hAnsi="Traditional Arabic" w:cs="Traditional Arabic"/>
          <w:rtl/>
        </w:rPr>
        <w:t xml:space="preserve">، </w:t>
      </w:r>
      <w:r w:rsidRPr="000B50EE">
        <w:rPr>
          <w:rFonts w:ascii="Traditional Arabic" w:hAnsi="Traditional Arabic" w:cs="Traditional Arabic"/>
        </w:rPr>
        <w:t>ScienceDirect</w:t>
      </w:r>
      <w:r w:rsidRPr="000B50EE">
        <w:rPr>
          <w:rFonts w:ascii="Traditional Arabic" w:hAnsi="Traditional Arabic" w:cs="Traditional Arabic"/>
          <w:rtl/>
        </w:rPr>
        <w:t xml:space="preserve">، </w:t>
      </w:r>
      <w:r w:rsidRPr="000B50EE">
        <w:rPr>
          <w:rFonts w:ascii="Traditional Arabic" w:hAnsi="Traditional Arabic" w:cs="Traditional Arabic"/>
        </w:rPr>
        <w:t>SpringerLink</w:t>
      </w:r>
      <w:r w:rsidRPr="000B50EE">
        <w:rPr>
          <w:rFonts w:ascii="Traditional Arabic" w:hAnsi="Traditional Arabic" w:cs="Traditional Arabic"/>
          <w:rtl/>
        </w:rPr>
        <w:t xml:space="preserve">، </w:t>
      </w:r>
      <w:r w:rsidRPr="000B50EE">
        <w:rPr>
          <w:rFonts w:ascii="Traditional Arabic" w:hAnsi="Traditional Arabic" w:cs="Traditional Arabic"/>
        </w:rPr>
        <w:t xml:space="preserve">AIS </w:t>
      </w:r>
      <w:proofErr w:type="spellStart"/>
      <w:r w:rsidRPr="000B50EE">
        <w:rPr>
          <w:rFonts w:ascii="Traditional Arabic" w:hAnsi="Traditional Arabic" w:cs="Traditional Arabic"/>
        </w:rPr>
        <w:t>eLibrary</w:t>
      </w:r>
      <w:proofErr w:type="spellEnd"/>
      <w:r w:rsidRPr="000B50EE">
        <w:rPr>
          <w:rFonts w:ascii="Traditional Arabic" w:hAnsi="Traditional Arabic" w:cs="Traditional Arabic"/>
          <w:rtl/>
        </w:rPr>
        <w:t xml:space="preserve">، </w:t>
      </w:r>
      <w:r w:rsidR="002F488C">
        <w:rPr>
          <w:rFonts w:ascii="Traditional Arabic" w:hAnsi="Traditional Arabic" w:cs="Traditional Arabic"/>
        </w:rPr>
        <w:t xml:space="preserve">   </w:t>
      </w:r>
      <w:r w:rsidR="002F488C">
        <w:rPr>
          <w:rFonts w:ascii="Traditional Arabic" w:hAnsi="Traditional Arabic" w:cs="Traditional Arabic"/>
        </w:rPr>
        <w:lastRenderedPageBreak/>
        <w:t>(</w:t>
      </w:r>
      <w:r w:rsidRPr="000B50EE">
        <w:rPr>
          <w:rFonts w:ascii="Traditional Arabic" w:hAnsi="Traditional Arabic" w:cs="Traditional Arabic"/>
        </w:rPr>
        <w:t xml:space="preserve">Google Scholar </w:t>
      </w:r>
      <w:r w:rsidR="00B04E3B">
        <w:rPr>
          <w:rFonts w:ascii="Traditional Arabic" w:hAnsi="Traditional Arabic" w:cs="Traditional Arabic" w:hint="cs"/>
          <w:rtl/>
        </w:rPr>
        <w:t xml:space="preserve"> </w:t>
      </w:r>
      <w:r w:rsidRPr="000B50EE">
        <w:rPr>
          <w:rFonts w:ascii="Traditional Arabic" w:hAnsi="Traditional Arabic" w:cs="Traditional Arabic"/>
          <w:rtl/>
        </w:rPr>
        <w:t>إضافة إلى مصادر رسمية وتقارير داعمة للسياق السعودي عند الاستشهاد بها</w:t>
      </w:r>
      <w:r w:rsidRPr="000B50EE">
        <w:rPr>
          <w:rFonts w:ascii="Traditional Arabic" w:hAnsi="Traditional Arabic" w:cs="Traditional Arabic"/>
        </w:rPr>
        <w:t xml:space="preserve"> </w:t>
      </w:r>
      <w:r w:rsidRPr="000B50EE">
        <w:rPr>
          <w:rFonts w:ascii="Traditional Arabic" w:hAnsi="Traditional Arabic" w:cs="Traditional Arabic"/>
          <w:rtl/>
        </w:rPr>
        <w:t>مثل تقارير</w:t>
      </w:r>
      <w:r w:rsidRPr="000B50EE">
        <w:rPr>
          <w:rFonts w:ascii="Traditional Arabic" w:hAnsi="Traditional Arabic" w:cs="Traditional Arabic"/>
        </w:rPr>
        <w:t xml:space="preserve"> Digital</w:t>
      </w:r>
      <w:r w:rsidR="00B04E3B">
        <w:rPr>
          <w:rFonts w:ascii="Traditional Arabic" w:hAnsi="Traditional Arabic" w:cs="Traditional Arabic"/>
        </w:rPr>
        <w:t>)</w:t>
      </w:r>
      <w:r w:rsidRPr="000B50EE">
        <w:rPr>
          <w:rFonts w:ascii="Traditional Arabic" w:hAnsi="Traditional Arabic" w:cs="Traditional Arabic"/>
        </w:rPr>
        <w:t xml:space="preserve"> </w:t>
      </w:r>
      <w:r w:rsidR="00B04E3B">
        <w:rPr>
          <w:rFonts w:ascii="Traditional Arabic" w:hAnsi="Traditional Arabic" w:cs="Traditional Arabic"/>
        </w:rPr>
        <w:t xml:space="preserve"> (</w:t>
      </w:r>
      <w:r w:rsidRPr="000B50EE">
        <w:rPr>
          <w:rFonts w:ascii="Traditional Arabic" w:hAnsi="Traditional Arabic" w:cs="Traditional Arabic"/>
        </w:rPr>
        <w:t xml:space="preserve">Government Authority [DGA] </w:t>
      </w:r>
      <w:r w:rsidR="00B04E3B">
        <w:rPr>
          <w:rFonts w:ascii="Traditional Arabic" w:hAnsi="Traditional Arabic" w:cs="Traditional Arabic" w:hint="cs"/>
          <w:rtl/>
        </w:rPr>
        <w:t xml:space="preserve"> </w:t>
      </w:r>
      <w:r w:rsidRPr="000B50EE">
        <w:rPr>
          <w:rFonts w:ascii="Traditional Arabic" w:hAnsi="Traditional Arabic" w:cs="Traditional Arabic"/>
          <w:rtl/>
        </w:rPr>
        <w:t>وتقارير</w:t>
      </w:r>
      <w:r w:rsidRPr="000B50EE">
        <w:rPr>
          <w:rFonts w:ascii="Traditional Arabic" w:hAnsi="Traditional Arabic" w:cs="Traditional Arabic"/>
        </w:rPr>
        <w:t xml:space="preserve"> </w:t>
      </w:r>
      <w:r w:rsidR="00B04E3B">
        <w:rPr>
          <w:rFonts w:ascii="Traditional Arabic" w:hAnsi="Traditional Arabic" w:cs="Traditional Arabic"/>
        </w:rPr>
        <w:t>(</w:t>
      </w:r>
      <w:r w:rsidRPr="000B50EE">
        <w:rPr>
          <w:rFonts w:ascii="Traditional Arabic" w:hAnsi="Traditional Arabic" w:cs="Traditional Arabic"/>
        </w:rPr>
        <w:t xml:space="preserve">World Bank) </w:t>
      </w:r>
      <w:r w:rsidRPr="000B50EE">
        <w:rPr>
          <w:rFonts w:ascii="Traditional Arabic" w:hAnsi="Traditional Arabic" w:cs="Traditional Arabic"/>
          <w:rtl/>
        </w:rPr>
        <w:t xml:space="preserve">بيانات محددة لقواعد البيانات المستخدَمة فعليًا: </w:t>
      </w:r>
    </w:p>
    <w:p w14:paraId="4F9118E6" w14:textId="0F977A94" w:rsidR="000B50EE" w:rsidRPr="000B50EE" w:rsidRDefault="000B50EE" w:rsidP="000B50EE">
      <w:pPr>
        <w:bidi/>
        <w:spacing w:after="160" w:line="360" w:lineRule="auto"/>
        <w:divId w:val="1647278641"/>
        <w:rPr>
          <w:rFonts w:ascii="Traditional Arabic" w:hAnsi="Traditional Arabic" w:cs="Traditional Arabic"/>
        </w:rPr>
      </w:pPr>
      <w:r w:rsidRPr="000B50EE">
        <w:rPr>
          <w:rFonts w:ascii="Traditional Arabic" w:hAnsi="Traditional Arabic" w:cs="Traditional Arabic"/>
          <w:rtl/>
        </w:rPr>
        <w:t>واستُخدمت كلمات مفتاحية عربية وإنجليزية ترتبط بمتغيرات النموذج ومساراته، ومن أمثلتها</w:t>
      </w:r>
      <w:r w:rsidRPr="000B50EE">
        <w:rPr>
          <w:rFonts w:ascii="Traditional Arabic" w:hAnsi="Traditional Arabic" w:cs="Traditional Arabic"/>
        </w:rPr>
        <w:t>:</w:t>
      </w:r>
      <w:r w:rsidRPr="000B50EE">
        <w:rPr>
          <w:rFonts w:ascii="Traditional Arabic" w:hAnsi="Traditional Arabic" w:cs="Traditional Arabic"/>
        </w:rPr>
        <w:br/>
      </w:r>
      <w:r w:rsidRPr="000B50EE">
        <w:rPr>
          <w:rFonts w:ascii="Traditional Arabic" w:hAnsi="Traditional Arabic" w:cs="Traditional Arabic"/>
          <w:rtl/>
        </w:rPr>
        <w:t xml:space="preserve">التحوّل الرقمي المؤسسي، التحول الرقمي الحكومي، التحول الرقمي للعمليات </w:t>
      </w:r>
      <w:proofErr w:type="gramStart"/>
      <w:r w:rsidRPr="000B50EE">
        <w:rPr>
          <w:rFonts w:ascii="Traditional Arabic" w:hAnsi="Traditional Arabic" w:cs="Traditional Arabic"/>
          <w:rtl/>
        </w:rPr>
        <w:t>الداخلية،</w:t>
      </w:r>
      <w:r w:rsidR="00B04E3B">
        <w:rPr>
          <w:rFonts w:ascii="Traditional Arabic" w:hAnsi="Traditional Arabic" w:cs="Traditional Arabic" w:hint="cs"/>
          <w:rtl/>
        </w:rPr>
        <w:t>(</w:t>
      </w:r>
      <w:proofErr w:type="gramEnd"/>
      <w:r w:rsidRPr="000B50EE">
        <w:rPr>
          <w:rFonts w:ascii="Traditional Arabic" w:hAnsi="Traditional Arabic" w:cs="Traditional Arabic"/>
          <w:rtl/>
        </w:rPr>
        <w:t xml:space="preserve"> </w:t>
      </w:r>
      <w:r w:rsidRPr="000B50EE">
        <w:rPr>
          <w:rFonts w:ascii="Traditional Arabic" w:hAnsi="Traditional Arabic" w:cs="Traditional Arabic"/>
        </w:rPr>
        <w:t>Institutional Digital Transformation</w:t>
      </w:r>
      <w:r w:rsidRPr="000B50EE">
        <w:rPr>
          <w:rFonts w:ascii="Traditional Arabic" w:hAnsi="Traditional Arabic" w:cs="Traditional Arabic"/>
          <w:rtl/>
        </w:rPr>
        <w:t xml:space="preserve">، </w:t>
      </w:r>
      <w:r w:rsidRPr="000B50EE">
        <w:rPr>
          <w:rFonts w:ascii="Traditional Arabic" w:hAnsi="Traditional Arabic" w:cs="Traditional Arabic"/>
        </w:rPr>
        <w:t>Digital transformation in public sector</w:t>
      </w:r>
      <w:r w:rsidRPr="000B50EE">
        <w:rPr>
          <w:rFonts w:ascii="Traditional Arabic" w:hAnsi="Traditional Arabic" w:cs="Traditional Arabic"/>
          <w:rtl/>
        </w:rPr>
        <w:t xml:space="preserve">، </w:t>
      </w:r>
      <w:r w:rsidRPr="000B50EE">
        <w:rPr>
          <w:rFonts w:ascii="Traditional Arabic" w:hAnsi="Traditional Arabic" w:cs="Traditional Arabic"/>
        </w:rPr>
        <w:t>Job satisfaction/Employee satisfaction</w:t>
      </w:r>
      <w:r w:rsidRPr="000B50EE">
        <w:rPr>
          <w:rFonts w:ascii="Traditional Arabic" w:hAnsi="Traditional Arabic" w:cs="Traditional Arabic"/>
          <w:rtl/>
        </w:rPr>
        <w:t xml:space="preserve">، </w:t>
      </w:r>
      <w:r w:rsidRPr="000B50EE">
        <w:rPr>
          <w:rFonts w:ascii="Traditional Arabic" w:hAnsi="Traditional Arabic" w:cs="Traditional Arabic"/>
        </w:rPr>
        <w:t>Technology Acceptance Model (TAM)</w:t>
      </w:r>
      <w:r w:rsidRPr="000B50EE">
        <w:rPr>
          <w:rFonts w:ascii="Traditional Arabic" w:hAnsi="Traditional Arabic" w:cs="Traditional Arabic"/>
          <w:rtl/>
        </w:rPr>
        <w:t xml:space="preserve">، </w:t>
      </w:r>
      <w:r w:rsidRPr="000B50EE">
        <w:rPr>
          <w:rFonts w:ascii="Traditional Arabic" w:hAnsi="Traditional Arabic" w:cs="Traditional Arabic"/>
        </w:rPr>
        <w:t>Perceived Usefulness</w:t>
      </w:r>
      <w:r w:rsidRPr="000B50EE">
        <w:rPr>
          <w:rFonts w:ascii="Traditional Arabic" w:hAnsi="Traditional Arabic" w:cs="Traditional Arabic"/>
          <w:rtl/>
        </w:rPr>
        <w:t xml:space="preserve">، </w:t>
      </w:r>
      <w:r w:rsidRPr="000B50EE">
        <w:rPr>
          <w:rFonts w:ascii="Traditional Arabic" w:hAnsi="Traditional Arabic" w:cs="Traditional Arabic"/>
        </w:rPr>
        <w:t>Perceived Ease of Use</w:t>
      </w:r>
      <w:r w:rsidRPr="000B50EE">
        <w:rPr>
          <w:rFonts w:ascii="Traditional Arabic" w:hAnsi="Traditional Arabic" w:cs="Traditional Arabic"/>
          <w:rtl/>
        </w:rPr>
        <w:t xml:space="preserve">، </w:t>
      </w:r>
      <w:r w:rsidRPr="000B50EE">
        <w:rPr>
          <w:rFonts w:ascii="Traditional Arabic" w:hAnsi="Traditional Arabic" w:cs="Traditional Arabic"/>
        </w:rPr>
        <w:t>Technostress</w:t>
      </w:r>
      <w:r w:rsidRPr="000B50EE">
        <w:rPr>
          <w:rFonts w:ascii="Traditional Arabic" w:hAnsi="Traditional Arabic" w:cs="Traditional Arabic"/>
          <w:rtl/>
        </w:rPr>
        <w:t xml:space="preserve">، </w:t>
      </w:r>
      <w:r w:rsidRPr="000B50EE">
        <w:rPr>
          <w:rFonts w:ascii="Traditional Arabic" w:hAnsi="Traditional Arabic" w:cs="Traditional Arabic"/>
        </w:rPr>
        <w:t>Techno-overload</w:t>
      </w:r>
      <w:r w:rsidRPr="000B50EE">
        <w:rPr>
          <w:rFonts w:ascii="Traditional Arabic" w:hAnsi="Traditional Arabic" w:cs="Traditional Arabic"/>
          <w:rtl/>
        </w:rPr>
        <w:t xml:space="preserve">، </w:t>
      </w:r>
      <w:r w:rsidRPr="000B50EE">
        <w:rPr>
          <w:rFonts w:ascii="Traditional Arabic" w:hAnsi="Traditional Arabic" w:cs="Traditional Arabic"/>
        </w:rPr>
        <w:t>Techno-invasion</w:t>
      </w:r>
      <w:r w:rsidRPr="000B50EE">
        <w:rPr>
          <w:rFonts w:ascii="Traditional Arabic" w:hAnsi="Traditional Arabic" w:cs="Traditional Arabic"/>
          <w:rtl/>
        </w:rPr>
        <w:t xml:space="preserve">، </w:t>
      </w:r>
      <w:r w:rsidRPr="000B50EE">
        <w:rPr>
          <w:rFonts w:ascii="Traditional Arabic" w:hAnsi="Traditional Arabic" w:cs="Traditional Arabic"/>
        </w:rPr>
        <w:t>Techno-complexity</w:t>
      </w:r>
      <w:r w:rsidRPr="000B50EE">
        <w:rPr>
          <w:rFonts w:ascii="Traditional Arabic" w:hAnsi="Traditional Arabic" w:cs="Traditional Arabic"/>
          <w:rtl/>
        </w:rPr>
        <w:t xml:space="preserve">، </w:t>
      </w:r>
      <w:r w:rsidRPr="000B50EE">
        <w:rPr>
          <w:rFonts w:ascii="Traditional Arabic" w:hAnsi="Traditional Arabic" w:cs="Traditional Arabic"/>
        </w:rPr>
        <w:t>Techno-uncertainty</w:t>
      </w:r>
      <w:r w:rsidRPr="000B50EE">
        <w:rPr>
          <w:rFonts w:ascii="Traditional Arabic" w:hAnsi="Traditional Arabic" w:cs="Traditional Arabic"/>
          <w:rtl/>
        </w:rPr>
        <w:t xml:space="preserve">، </w:t>
      </w:r>
      <w:r w:rsidRPr="000B50EE">
        <w:rPr>
          <w:rFonts w:ascii="Traditional Arabic" w:hAnsi="Traditional Arabic" w:cs="Traditional Arabic"/>
        </w:rPr>
        <w:t>TOE framework</w:t>
      </w:r>
      <w:r w:rsidRPr="000B50EE">
        <w:rPr>
          <w:rFonts w:ascii="Traditional Arabic" w:hAnsi="Traditional Arabic" w:cs="Traditional Arabic"/>
          <w:rtl/>
        </w:rPr>
        <w:t xml:space="preserve">، </w:t>
      </w:r>
      <w:r w:rsidRPr="000B50EE">
        <w:rPr>
          <w:rFonts w:ascii="Traditional Arabic" w:hAnsi="Traditional Arabic" w:cs="Traditional Arabic"/>
        </w:rPr>
        <w:t>Sociotechnical perspective.</w:t>
      </w:r>
      <w:r w:rsidR="00B04E3B">
        <w:rPr>
          <w:rFonts w:ascii="Traditional Arabic" w:hAnsi="Traditional Arabic" w:cs="Traditional Arabic" w:hint="cs"/>
          <w:rtl/>
        </w:rPr>
        <w:t xml:space="preserve"> )</w:t>
      </w:r>
    </w:p>
    <w:p w14:paraId="0C750D25" w14:textId="3714F1AC" w:rsidR="000B50EE" w:rsidRPr="000B50EE" w:rsidRDefault="000B50EE" w:rsidP="000B50EE">
      <w:pPr>
        <w:bidi/>
        <w:spacing w:after="160" w:line="360" w:lineRule="auto"/>
        <w:divId w:val="1647278641"/>
        <w:rPr>
          <w:rFonts w:ascii="Traditional Arabic" w:hAnsi="Traditional Arabic" w:cs="Traditional Arabic"/>
          <w:rtl/>
        </w:rPr>
      </w:pPr>
      <w:r w:rsidRPr="000B50EE">
        <w:rPr>
          <w:rFonts w:ascii="Traditional Arabic" w:hAnsi="Traditional Arabic" w:cs="Traditional Arabic"/>
          <w:rtl/>
        </w:rPr>
        <w:t xml:space="preserve">وتم اعتماد نافذة زمنية للدراسات الحديثة (2019–2026) لالتقاط تطور الأدبيات المعاصرة في التحول الرقمي والجانب </w:t>
      </w:r>
      <w:r w:rsidR="002F488C">
        <w:rPr>
          <w:rFonts w:ascii="Traditional Arabic" w:hAnsi="Traditional Arabic" w:cs="Traditional Arabic"/>
          <w:rtl/>
        </w:rPr>
        <w:t>"</w:t>
      </w:r>
      <w:r w:rsidRPr="000B50EE">
        <w:rPr>
          <w:rFonts w:ascii="Traditional Arabic" w:hAnsi="Traditional Arabic" w:cs="Traditional Arabic"/>
          <w:rtl/>
        </w:rPr>
        <w:t>المضيء/المظلم</w:t>
      </w:r>
      <w:r w:rsidR="002F488C">
        <w:rPr>
          <w:rFonts w:ascii="Traditional Arabic" w:hAnsi="Traditional Arabic" w:cs="Traditional Arabic"/>
          <w:rtl/>
        </w:rPr>
        <w:t>"</w:t>
      </w:r>
      <w:r w:rsidRPr="000B50EE">
        <w:rPr>
          <w:rFonts w:ascii="Traditional Arabic" w:hAnsi="Traditional Arabic" w:cs="Traditional Arabic"/>
          <w:rtl/>
        </w:rPr>
        <w:t xml:space="preserve"> للتقنية، مع الاستثناء المقصود للمراجع التأسيسية اللازمة لتأصيل المفاهيم وأدوات </w:t>
      </w:r>
      <w:proofErr w:type="gramStart"/>
      <w:r w:rsidRPr="000B50EE">
        <w:rPr>
          <w:rFonts w:ascii="Traditional Arabic" w:hAnsi="Traditional Arabic" w:cs="Traditional Arabic"/>
          <w:rtl/>
        </w:rPr>
        <w:t>القياس</w:t>
      </w:r>
      <w:r w:rsidR="00B04E3B">
        <w:rPr>
          <w:rFonts w:ascii="Traditional Arabic" w:hAnsi="Traditional Arabic" w:cs="Traditional Arabic" w:hint="cs"/>
          <w:rtl/>
        </w:rPr>
        <w:t xml:space="preserve"> </w:t>
      </w:r>
      <w:r w:rsidRPr="000B50EE">
        <w:rPr>
          <w:rFonts w:ascii="Traditional Arabic" w:hAnsi="Traditional Arabic" w:cs="Traditional Arabic"/>
          <w:rtl/>
        </w:rPr>
        <w:t xml:space="preserve"> (</w:t>
      </w:r>
      <w:proofErr w:type="gramEnd"/>
      <w:r w:rsidRPr="000B50EE">
        <w:rPr>
          <w:rFonts w:ascii="Traditional Arabic" w:hAnsi="Traditional Arabic" w:cs="Traditional Arabic"/>
        </w:rPr>
        <w:t>: Davis, 1989</w:t>
      </w:r>
      <w:r w:rsidRPr="000B50EE">
        <w:rPr>
          <w:rFonts w:ascii="Traditional Arabic" w:hAnsi="Traditional Arabic" w:cs="Traditional Arabic"/>
          <w:rtl/>
        </w:rPr>
        <w:t>؛</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DeLone</w:t>
      </w:r>
      <w:proofErr w:type="spellEnd"/>
      <w:r w:rsidRPr="000B50EE">
        <w:rPr>
          <w:rFonts w:ascii="Traditional Arabic" w:hAnsi="Traditional Arabic" w:cs="Traditional Arabic"/>
        </w:rPr>
        <w:t xml:space="preserve"> &amp; McLean, 2003</w:t>
      </w:r>
      <w:r w:rsidRPr="000B50EE">
        <w:rPr>
          <w:rFonts w:ascii="Traditional Arabic" w:hAnsi="Traditional Arabic" w:cs="Traditional Arabic"/>
          <w:rtl/>
        </w:rPr>
        <w:t>؛</w:t>
      </w:r>
      <w:r w:rsidRPr="000B50EE">
        <w:rPr>
          <w:rFonts w:ascii="Traditional Arabic" w:hAnsi="Traditional Arabic" w:cs="Traditional Arabic"/>
        </w:rPr>
        <w:t xml:space="preserve"> Venkatesh et al., 2003</w:t>
      </w:r>
      <w:r w:rsidRPr="000B50EE">
        <w:rPr>
          <w:rFonts w:ascii="Traditional Arabic" w:hAnsi="Traditional Arabic" w:cs="Traditional Arabic"/>
          <w:rtl/>
        </w:rPr>
        <w:t>؛</w:t>
      </w:r>
      <w:r w:rsidRPr="000B50EE">
        <w:rPr>
          <w:rFonts w:ascii="Traditional Arabic" w:hAnsi="Traditional Arabic" w:cs="Traditional Arabic"/>
        </w:rPr>
        <w:t xml:space="preserve"> Locke, 1976</w:t>
      </w:r>
      <w:r w:rsidRPr="000B50EE">
        <w:rPr>
          <w:rFonts w:ascii="Traditional Arabic" w:hAnsi="Traditional Arabic" w:cs="Traditional Arabic"/>
          <w:rtl/>
        </w:rPr>
        <w:t>؛</w:t>
      </w:r>
      <w:r w:rsidRPr="000B50EE">
        <w:rPr>
          <w:rFonts w:ascii="Traditional Arabic" w:hAnsi="Traditional Arabic" w:cs="Traditional Arabic"/>
        </w:rPr>
        <w:t xml:space="preserve"> Weiss, 2002</w:t>
      </w:r>
      <w:r w:rsidRPr="000B50EE">
        <w:rPr>
          <w:rFonts w:ascii="Traditional Arabic" w:hAnsi="Traditional Arabic" w:cs="Traditional Arabic"/>
          <w:rtl/>
        </w:rPr>
        <w:t>؛</w:t>
      </w:r>
      <w:r w:rsidRPr="000B50EE">
        <w:rPr>
          <w:rFonts w:ascii="Traditional Arabic" w:hAnsi="Traditional Arabic" w:cs="Traditional Arabic"/>
        </w:rPr>
        <w:t xml:space="preserve"> Ragu-Nathan et al., 2008</w:t>
      </w:r>
      <w:r w:rsidRPr="000B50EE">
        <w:rPr>
          <w:rFonts w:ascii="Traditional Arabic" w:hAnsi="Traditional Arabic" w:cs="Traditional Arabic"/>
          <w:rtl/>
        </w:rPr>
        <w:t>؛</w:t>
      </w:r>
      <w:r w:rsidRPr="000B50EE">
        <w:rPr>
          <w:rFonts w:ascii="Traditional Arabic" w:hAnsi="Traditional Arabic" w:cs="Traditional Arabic"/>
        </w:rPr>
        <w:t xml:space="preserve"> </w:t>
      </w:r>
      <w:proofErr w:type="spellStart"/>
      <w:r w:rsidRPr="000B50EE">
        <w:rPr>
          <w:rFonts w:ascii="Traditional Arabic" w:hAnsi="Traditional Arabic" w:cs="Traditional Arabic"/>
        </w:rPr>
        <w:t>Tornatzky</w:t>
      </w:r>
      <w:proofErr w:type="spellEnd"/>
      <w:r w:rsidRPr="000B50EE">
        <w:rPr>
          <w:rFonts w:ascii="Traditional Arabic" w:hAnsi="Traditional Arabic" w:cs="Traditional Arabic"/>
        </w:rPr>
        <w:t xml:space="preserve"> &amp; Fleischer, 1990.</w:t>
      </w:r>
      <w:r w:rsidR="00B04E3B">
        <w:rPr>
          <w:rFonts w:ascii="Traditional Arabic" w:hAnsi="Traditional Arabic" w:cs="Traditional Arabic" w:hint="cs"/>
          <w:rtl/>
        </w:rPr>
        <w:t>).</w:t>
      </w:r>
    </w:p>
    <w:p w14:paraId="0185F2E7" w14:textId="31F6E48D" w:rsidR="000B50EE" w:rsidRPr="000B50EE" w:rsidRDefault="000B50EE" w:rsidP="000B50EE">
      <w:pPr>
        <w:bidi/>
        <w:spacing w:after="160" w:line="360" w:lineRule="auto"/>
        <w:divId w:val="1647278641"/>
        <w:rPr>
          <w:rFonts w:ascii="Traditional Arabic" w:hAnsi="Traditional Arabic" w:cs="Traditional Arabic"/>
        </w:rPr>
      </w:pPr>
      <w:r w:rsidRPr="000B50EE">
        <w:rPr>
          <w:rFonts w:ascii="Traditional Arabic" w:hAnsi="Traditional Arabic" w:cs="Traditional Arabic"/>
          <w:rtl/>
        </w:rPr>
        <w:t>وشملت معايير الإدراج ما يلي: (1) الارتباط المباشر بمتغيرات الدراسة أو بآلياتها</w:t>
      </w:r>
      <w:r w:rsidRPr="000B50EE">
        <w:rPr>
          <w:rFonts w:ascii="Traditional Arabic" w:hAnsi="Traditional Arabic" w:cs="Traditional Arabic"/>
        </w:rPr>
        <w:t xml:space="preserve"> (DTD </w:t>
      </w:r>
      <w:r w:rsidRPr="000B50EE">
        <w:t>→</w:t>
      </w:r>
      <w:r w:rsidRPr="000B50EE">
        <w:rPr>
          <w:rFonts w:ascii="Traditional Arabic" w:hAnsi="Traditional Arabic" w:cs="Traditional Arabic"/>
        </w:rPr>
        <w:t xml:space="preserve"> TAM/</w:t>
      </w:r>
      <w:proofErr w:type="gramStart"/>
      <w:r w:rsidRPr="000B50EE">
        <w:rPr>
          <w:rFonts w:ascii="Traditional Arabic" w:hAnsi="Traditional Arabic" w:cs="Traditional Arabic"/>
        </w:rPr>
        <w:t xml:space="preserve">Technostress </w:t>
      </w:r>
      <w:r w:rsidR="00B04E3B">
        <w:t xml:space="preserve"> </w:t>
      </w:r>
      <w:r w:rsidRPr="000B50EE">
        <w:t>→</w:t>
      </w:r>
      <w:proofErr w:type="gramEnd"/>
      <w:r w:rsidRPr="000B50EE">
        <w:rPr>
          <w:rFonts w:ascii="Traditional Arabic" w:hAnsi="Traditional Arabic" w:cs="Traditional Arabic"/>
        </w:rPr>
        <w:t xml:space="preserve"> JS) </w:t>
      </w:r>
      <w:r w:rsidRPr="000B50EE">
        <w:rPr>
          <w:rFonts w:ascii="Traditional Arabic" w:hAnsi="Traditional Arabic" w:cs="Traditional Arabic"/>
          <w:rtl/>
        </w:rPr>
        <w:t>أو بالأطر المفسرة لها، (2) نشر علمي محكّم أو عبر ناشر أكاديمي معروف، (3) وضوح منهجي في التصميم والعينة/الأداة والنتائج، (4) ملاءمة سياق الدراسة (القطاع العام) أو قابلية الاستئناس به. أما معايير الاستبعاد فشملت: (1) التكرار، (2) الدراسات التي تركز حصريًا على رضا المستفيد الخارجي دون الموظف الداخلي إذا لم تخدم منطق الفجوة، (3) غياب معلومات منهجية أساسية (حجم عينة/أسلوب تحليل) بصورة تجعل الاستنتاج غير قابل للتقييم، (4) مقالات الرأي غير المدعومة بنتائج</w:t>
      </w:r>
      <w:r w:rsidRPr="000B50EE">
        <w:rPr>
          <w:rFonts w:ascii="Traditional Arabic" w:hAnsi="Traditional Arabic" w:cs="Traditional Arabic"/>
        </w:rPr>
        <w:t>.</w:t>
      </w:r>
    </w:p>
    <w:p w14:paraId="0AC42CB6" w14:textId="2AC10812" w:rsidR="000B50EE" w:rsidRDefault="000B50EE" w:rsidP="000B50EE">
      <w:pPr>
        <w:bidi/>
        <w:spacing w:after="160" w:line="360" w:lineRule="auto"/>
        <w:divId w:val="1647278641"/>
        <w:rPr>
          <w:rFonts w:ascii="Traditional Arabic" w:hAnsi="Traditional Arabic" w:cs="Traditional Arabic"/>
          <w:rtl/>
        </w:rPr>
      </w:pPr>
      <w:r w:rsidRPr="000B50EE">
        <w:rPr>
          <w:rFonts w:ascii="Traditional Arabic" w:hAnsi="Traditional Arabic" w:cs="Traditional Arabic"/>
          <w:rtl/>
        </w:rPr>
        <w:t xml:space="preserve">وعُرضت الأدبيات داخل هذا الفصل وفق التنظيم الآتي: (أ) الإطار النظري لمفاهيم المتغيرات ونماذج تفسير العلاقات (2.1)، ثم (ب) الدراسات السابقة مرتبة حسب متغيرات النموذج (مستقل </w:t>
      </w:r>
      <w:r w:rsidRPr="000B50EE">
        <w:rPr>
          <w:rFonts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وسيط</w:t>
      </w:r>
      <w:r w:rsidRPr="000B50EE">
        <w:rPr>
          <w:rFonts w:ascii="Traditional Arabic" w:hAnsi="Traditional Arabic" w:cs="Traditional Arabic"/>
          <w:rtl/>
        </w:rPr>
        <w:t>/</w:t>
      </w:r>
      <w:r w:rsidRPr="000B50EE">
        <w:rPr>
          <w:rFonts w:ascii="Traditional Arabic" w:hAnsi="Traditional Arabic" w:cs="Traditional Arabic" w:hint="cs"/>
          <w:rtl/>
        </w:rPr>
        <w:t>وسطاء</w:t>
      </w:r>
      <w:r w:rsidRPr="000B50EE">
        <w:rPr>
          <w:rFonts w:ascii="Traditional Arabic" w:hAnsi="Traditional Arabic" w:cs="Traditional Arabic"/>
          <w:rtl/>
        </w:rPr>
        <w:t xml:space="preserve"> </w:t>
      </w:r>
      <w:r w:rsidRPr="000B50EE">
        <w:rPr>
          <w:rFonts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تابع</w:t>
      </w:r>
      <w:r w:rsidRPr="000B50EE">
        <w:rPr>
          <w:rFonts w:ascii="Traditional Arabic" w:hAnsi="Traditional Arabic" w:cs="Traditional Arabic"/>
          <w:rtl/>
        </w:rPr>
        <w:t xml:space="preserve"> </w:t>
      </w:r>
      <w:r w:rsidRPr="000B50EE">
        <w:rPr>
          <w:rFonts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دراسات</w:t>
      </w:r>
      <w:r w:rsidRPr="000B50EE">
        <w:rPr>
          <w:rFonts w:ascii="Traditional Arabic" w:hAnsi="Traditional Arabic" w:cs="Traditional Arabic"/>
          <w:rtl/>
        </w:rPr>
        <w:t xml:space="preserve"> </w:t>
      </w:r>
      <w:r w:rsidRPr="000B50EE">
        <w:rPr>
          <w:rFonts w:ascii="Traditional Arabic" w:hAnsi="Traditional Arabic" w:cs="Traditional Arabic" w:hint="cs"/>
          <w:rtl/>
        </w:rPr>
        <w:t>الربط</w:t>
      </w:r>
      <w:r w:rsidRPr="000B50EE">
        <w:rPr>
          <w:rFonts w:ascii="Traditional Arabic" w:hAnsi="Traditional Arabic" w:cs="Traditional Arabic"/>
          <w:rtl/>
        </w:rPr>
        <w:t xml:space="preserve">) </w:t>
      </w:r>
      <w:r w:rsidRPr="000B50EE">
        <w:rPr>
          <w:rFonts w:ascii="Traditional Arabic" w:hAnsi="Traditional Arabic" w:cs="Traditional Arabic" w:hint="cs"/>
          <w:rtl/>
        </w:rPr>
        <w:t>مع</w:t>
      </w:r>
      <w:r w:rsidRPr="000B50EE">
        <w:rPr>
          <w:rFonts w:ascii="Traditional Arabic" w:hAnsi="Traditional Arabic" w:cs="Traditional Arabic"/>
          <w:rtl/>
        </w:rPr>
        <w:t xml:space="preserve"> </w:t>
      </w:r>
      <w:r w:rsidRPr="000B50EE">
        <w:rPr>
          <w:rFonts w:ascii="Traditional Arabic" w:hAnsi="Traditional Arabic" w:cs="Traditional Arabic" w:hint="cs"/>
          <w:rtl/>
        </w:rPr>
        <w:t>الترتيب</w:t>
      </w:r>
      <w:r w:rsidRPr="000B50EE">
        <w:rPr>
          <w:rFonts w:ascii="Traditional Arabic" w:hAnsi="Traditional Arabic" w:cs="Traditional Arabic"/>
          <w:rtl/>
        </w:rPr>
        <w:t xml:space="preserve"> </w:t>
      </w:r>
      <w:r w:rsidRPr="000B50EE">
        <w:rPr>
          <w:rFonts w:ascii="Traditional Arabic" w:hAnsi="Traditional Arabic" w:cs="Traditional Arabic" w:hint="cs"/>
          <w:rtl/>
        </w:rPr>
        <w:t>الز</w:t>
      </w:r>
      <w:r w:rsidRPr="000B50EE">
        <w:rPr>
          <w:rFonts w:ascii="Traditional Arabic" w:hAnsi="Traditional Arabic" w:cs="Traditional Arabic"/>
          <w:rtl/>
        </w:rPr>
        <w:t xml:space="preserve">مني داخل كل محور (الأحدث </w:t>
      </w:r>
      <w:r w:rsidRPr="000B50EE">
        <w:rPr>
          <w:rFonts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الأقدم</w:t>
      </w:r>
      <w:r w:rsidRPr="000B50EE">
        <w:rPr>
          <w:rFonts w:ascii="Traditional Arabic" w:hAnsi="Traditional Arabic" w:cs="Traditional Arabic"/>
          <w:rtl/>
        </w:rPr>
        <w:t xml:space="preserve">) </w:t>
      </w:r>
      <w:r w:rsidRPr="000B50EE">
        <w:rPr>
          <w:rFonts w:ascii="Traditional Arabic" w:hAnsi="Traditional Arabic" w:cs="Traditional Arabic" w:hint="cs"/>
          <w:rtl/>
        </w:rPr>
        <w:t>ما</w:t>
      </w:r>
      <w:r w:rsidRPr="000B50EE">
        <w:rPr>
          <w:rFonts w:ascii="Traditional Arabic" w:hAnsi="Traditional Arabic" w:cs="Traditional Arabic"/>
          <w:rtl/>
        </w:rPr>
        <w:t xml:space="preserve"> </w:t>
      </w:r>
      <w:r w:rsidRPr="000B50EE">
        <w:rPr>
          <w:rFonts w:ascii="Traditional Arabic" w:hAnsi="Traditional Arabic" w:cs="Traditional Arabic" w:hint="cs"/>
          <w:rtl/>
        </w:rPr>
        <w:t>أمكن</w:t>
      </w:r>
      <w:r w:rsidRPr="000B50EE">
        <w:rPr>
          <w:rFonts w:ascii="Traditional Arabic" w:hAnsi="Traditional Arabic" w:cs="Traditional Arabic"/>
          <w:rtl/>
        </w:rPr>
        <w:t xml:space="preserve"> (2.2)</w:t>
      </w:r>
      <w:r w:rsidRPr="000B50EE">
        <w:rPr>
          <w:rFonts w:ascii="Traditional Arabic" w:hAnsi="Traditional Arabic" w:cs="Traditional Arabic" w:hint="cs"/>
          <w:rtl/>
        </w:rPr>
        <w:t>،</w:t>
      </w:r>
      <w:r w:rsidRPr="000B50EE">
        <w:rPr>
          <w:rFonts w:ascii="Traditional Arabic" w:hAnsi="Traditional Arabic" w:cs="Traditional Arabic"/>
          <w:rtl/>
        </w:rPr>
        <w:t xml:space="preserve"> </w:t>
      </w:r>
      <w:r w:rsidRPr="000B50EE">
        <w:rPr>
          <w:rFonts w:ascii="Traditional Arabic" w:hAnsi="Traditional Arabic" w:cs="Traditional Arabic" w:hint="cs"/>
          <w:rtl/>
        </w:rPr>
        <w:t>ثم</w:t>
      </w:r>
      <w:r w:rsidRPr="000B50EE">
        <w:rPr>
          <w:rFonts w:ascii="Traditional Arabic" w:hAnsi="Traditional Arabic" w:cs="Traditional Arabic"/>
          <w:rtl/>
        </w:rPr>
        <w:t xml:space="preserve"> (</w:t>
      </w:r>
      <w:r w:rsidRPr="000B50EE">
        <w:rPr>
          <w:rFonts w:ascii="Traditional Arabic" w:hAnsi="Traditional Arabic" w:cs="Traditional Arabic" w:hint="cs"/>
          <w:rtl/>
        </w:rPr>
        <w:t>ج</w:t>
      </w:r>
      <w:r w:rsidRPr="000B50EE">
        <w:rPr>
          <w:rFonts w:ascii="Traditional Arabic" w:hAnsi="Traditional Arabic" w:cs="Traditional Arabic"/>
          <w:rtl/>
        </w:rPr>
        <w:t xml:space="preserve">) </w:t>
      </w:r>
      <w:r w:rsidRPr="000B50EE">
        <w:rPr>
          <w:rFonts w:ascii="Traditional Arabic" w:hAnsi="Traditional Arabic" w:cs="Traditional Arabic" w:hint="cs"/>
          <w:rtl/>
        </w:rPr>
        <w:t>خلاصة</w:t>
      </w:r>
      <w:r w:rsidRPr="000B50EE">
        <w:rPr>
          <w:rFonts w:ascii="Traditional Arabic" w:hAnsi="Traditional Arabic" w:cs="Traditional Arabic"/>
          <w:rtl/>
        </w:rPr>
        <w:t xml:space="preserve"> </w:t>
      </w:r>
      <w:r w:rsidRPr="000B50EE">
        <w:rPr>
          <w:rFonts w:ascii="Traditional Arabic" w:hAnsi="Traditional Arabic" w:cs="Traditional Arabic" w:hint="cs"/>
          <w:rtl/>
        </w:rPr>
        <w:t>نقدية</w:t>
      </w:r>
      <w:r w:rsidRPr="000B50EE">
        <w:rPr>
          <w:rFonts w:ascii="Traditional Arabic" w:hAnsi="Traditional Arabic" w:cs="Traditional Arabic"/>
          <w:rtl/>
        </w:rPr>
        <w:t xml:space="preserve"> </w:t>
      </w:r>
      <w:r w:rsidRPr="000B50EE">
        <w:rPr>
          <w:rFonts w:ascii="Traditional Arabic" w:hAnsi="Traditional Arabic" w:cs="Traditional Arabic" w:hint="cs"/>
          <w:rtl/>
        </w:rPr>
        <w:t>تُخرج</w:t>
      </w:r>
      <w:r w:rsidRPr="000B50EE">
        <w:rPr>
          <w:rFonts w:ascii="Traditional Arabic" w:hAnsi="Traditional Arabic" w:cs="Traditional Arabic"/>
          <w:rtl/>
        </w:rPr>
        <w:t xml:space="preserve"> </w:t>
      </w:r>
      <w:r w:rsidRPr="000B50EE">
        <w:rPr>
          <w:rFonts w:ascii="Traditional Arabic" w:hAnsi="Traditional Arabic" w:cs="Traditional Arabic" w:hint="cs"/>
          <w:rtl/>
        </w:rPr>
        <w:t>الفجوة</w:t>
      </w:r>
      <w:r w:rsidRPr="000B50EE">
        <w:rPr>
          <w:rFonts w:ascii="Traditional Arabic" w:hAnsi="Traditional Arabic" w:cs="Traditional Arabic"/>
          <w:rtl/>
        </w:rPr>
        <w:t xml:space="preserve"> </w:t>
      </w:r>
      <w:r w:rsidRPr="000B50EE">
        <w:rPr>
          <w:rFonts w:ascii="Traditional Arabic" w:hAnsi="Traditional Arabic" w:cs="Traditional Arabic" w:hint="cs"/>
          <w:rtl/>
        </w:rPr>
        <w:t>البحثية</w:t>
      </w:r>
      <w:r w:rsidRPr="000B50EE">
        <w:rPr>
          <w:rFonts w:ascii="Traditional Arabic" w:hAnsi="Traditional Arabic" w:cs="Traditional Arabic"/>
          <w:rtl/>
        </w:rPr>
        <w:t xml:space="preserve"> </w:t>
      </w:r>
      <w:r w:rsidRPr="000B50EE">
        <w:rPr>
          <w:rFonts w:ascii="Traditional Arabic" w:hAnsi="Traditional Arabic" w:cs="Traditional Arabic" w:hint="cs"/>
          <w:rtl/>
        </w:rPr>
        <w:t>في</w:t>
      </w:r>
      <w:r w:rsidRPr="000B50EE">
        <w:rPr>
          <w:rFonts w:ascii="Traditional Arabic" w:hAnsi="Traditional Arabic" w:cs="Traditional Arabic"/>
          <w:rtl/>
        </w:rPr>
        <w:t xml:space="preserve"> </w:t>
      </w:r>
      <w:r w:rsidRPr="000B50EE">
        <w:rPr>
          <w:rFonts w:ascii="Traditional Arabic" w:hAnsi="Traditional Arabic" w:cs="Traditional Arabic" w:hint="cs"/>
          <w:rtl/>
        </w:rPr>
        <w:t>ثلاثة</w:t>
      </w:r>
      <w:r w:rsidRPr="000B50EE">
        <w:rPr>
          <w:rFonts w:ascii="Traditional Arabic" w:hAnsi="Traditional Arabic" w:cs="Traditional Arabic"/>
          <w:rtl/>
        </w:rPr>
        <w:t xml:space="preserve"> </w:t>
      </w:r>
      <w:r w:rsidRPr="000B50EE">
        <w:rPr>
          <w:rFonts w:ascii="Traditional Arabic" w:hAnsi="Traditional Arabic" w:cs="Traditional Arabic" w:hint="cs"/>
          <w:rtl/>
        </w:rPr>
        <w:t>مستويات</w:t>
      </w:r>
      <w:r w:rsidRPr="000B50EE">
        <w:rPr>
          <w:rFonts w:ascii="Traditional Arabic" w:hAnsi="Traditional Arabic" w:cs="Traditional Arabic"/>
          <w:rtl/>
        </w:rPr>
        <w:t xml:space="preserve"> </w:t>
      </w:r>
      <w:r w:rsidRPr="000B50EE">
        <w:rPr>
          <w:rFonts w:ascii="Traditional Arabic" w:hAnsi="Traditional Arabic" w:cs="Traditional Arabic" w:hint="cs"/>
          <w:rtl/>
        </w:rPr>
        <w:t>وتربطها</w:t>
      </w:r>
      <w:r w:rsidRPr="000B50EE">
        <w:rPr>
          <w:rFonts w:ascii="Traditional Arabic" w:hAnsi="Traditional Arabic" w:cs="Traditional Arabic"/>
          <w:rtl/>
        </w:rPr>
        <w:t xml:space="preserve"> </w:t>
      </w:r>
      <w:r w:rsidRPr="000B50EE">
        <w:rPr>
          <w:rFonts w:ascii="Traditional Arabic" w:hAnsi="Traditional Arabic" w:cs="Traditional Arabic" w:hint="cs"/>
          <w:rtl/>
        </w:rPr>
        <w:t>مباشرة</w:t>
      </w:r>
      <w:r w:rsidRPr="000B50EE">
        <w:rPr>
          <w:rFonts w:ascii="Traditional Arabic" w:hAnsi="Traditional Arabic" w:cs="Traditional Arabic"/>
          <w:rtl/>
        </w:rPr>
        <w:t xml:space="preserve"> </w:t>
      </w:r>
      <w:r w:rsidRPr="000B50EE">
        <w:rPr>
          <w:rFonts w:ascii="Traditional Arabic" w:hAnsi="Traditional Arabic" w:cs="Traditional Arabic" w:hint="cs"/>
          <w:rtl/>
        </w:rPr>
        <w:t>بأسئلة</w:t>
      </w:r>
      <w:r w:rsidRPr="000B50EE">
        <w:rPr>
          <w:rFonts w:ascii="Traditional Arabic" w:hAnsi="Traditional Arabic" w:cs="Traditional Arabic"/>
          <w:rtl/>
        </w:rPr>
        <w:t xml:space="preserve"> </w:t>
      </w:r>
      <w:r w:rsidRPr="000B50EE">
        <w:rPr>
          <w:rFonts w:ascii="Traditional Arabic" w:hAnsi="Traditional Arabic" w:cs="Traditional Arabic" w:hint="cs"/>
          <w:rtl/>
        </w:rPr>
        <w:t>الدراسة</w:t>
      </w:r>
      <w:r w:rsidRPr="000B50EE">
        <w:rPr>
          <w:rFonts w:ascii="Traditional Arabic" w:hAnsi="Traditional Arabic" w:cs="Traditional Arabic"/>
          <w:rtl/>
        </w:rPr>
        <w:t xml:space="preserve"> (</w:t>
      </w:r>
      <w:r w:rsidRPr="000B50EE">
        <w:rPr>
          <w:rFonts w:ascii="Traditional Arabic" w:hAnsi="Traditional Arabic" w:cs="Traditional Arabic" w:hint="cs"/>
          <w:rtl/>
        </w:rPr>
        <w:t>س</w:t>
      </w:r>
      <w:r w:rsidRPr="000B50EE">
        <w:rPr>
          <w:rFonts w:ascii="Traditional Arabic" w:hAnsi="Traditional Arabic" w:cs="Traditional Arabic"/>
          <w:rtl/>
        </w:rPr>
        <w:t>1</w:t>
      </w:r>
      <w:r w:rsidRPr="000B50EE">
        <w:rPr>
          <w:rFonts w:ascii="Traditional Arabic" w:hAnsi="Traditional Arabic" w:cs="Traditional Arabic" w:hint="cs"/>
          <w:rtl/>
        </w:rPr>
        <w:t>–س</w:t>
      </w:r>
      <w:r w:rsidRPr="000B50EE">
        <w:rPr>
          <w:rFonts w:ascii="Traditional Arabic" w:hAnsi="Traditional Arabic" w:cs="Traditional Arabic"/>
          <w:rtl/>
        </w:rPr>
        <w:t xml:space="preserve">4) </w:t>
      </w:r>
      <w:r w:rsidRPr="000B50EE">
        <w:rPr>
          <w:rFonts w:ascii="Traditional Arabic" w:hAnsi="Traditional Arabic" w:cs="Traditional Arabic" w:hint="cs"/>
          <w:rtl/>
        </w:rPr>
        <w:t>وفرضياتها</w:t>
      </w:r>
      <w:r w:rsidRPr="000B50EE">
        <w:rPr>
          <w:rFonts w:ascii="Traditional Arabic" w:hAnsi="Traditional Arabic" w:cs="Traditional Arabic"/>
        </w:rPr>
        <w:t xml:space="preserve"> (H1–H4) (2.3).</w:t>
      </w:r>
    </w:p>
    <w:p w14:paraId="00C31C94" w14:textId="15C1DFF7" w:rsidR="00DB3C7B" w:rsidRDefault="00B04E3B" w:rsidP="00335B65">
      <w:pPr>
        <w:bidi/>
        <w:spacing w:after="160" w:line="360" w:lineRule="auto"/>
        <w:divId w:val="1647278641"/>
        <w:rPr>
          <w:rFonts w:ascii="Traditional Arabic" w:hAnsi="Traditional Arabic" w:cs="Traditional Arabic"/>
          <w:rtl/>
        </w:rPr>
      </w:pPr>
      <w:r>
        <w:rPr>
          <w:rFonts w:ascii="Traditional Arabic" w:hAnsi="Traditional Arabic" w:cs="Traditional Arabic"/>
        </w:rPr>
        <w:lastRenderedPageBreak/>
        <w:t xml:space="preserve"> </w:t>
      </w:r>
      <w:r w:rsidR="006B19D1" w:rsidRPr="00B04E3B">
        <w:rPr>
          <w:rFonts w:ascii="Traditional Arabic" w:hAnsi="Traditional Arabic" w:cs="Traditional Arabic"/>
          <w:b/>
          <w:bCs/>
        </w:rPr>
        <w:t xml:space="preserve">2.0.2 </w:t>
      </w:r>
      <w:r w:rsidR="006B19D1" w:rsidRPr="00B04E3B">
        <w:rPr>
          <w:rFonts w:ascii="Traditional Arabic" w:hAnsi="Traditional Arabic" w:cs="Traditional Arabic"/>
          <w:b/>
          <w:bCs/>
          <w:rtl/>
        </w:rPr>
        <w:t>مدخل موضوعي إلى الفصل وربطه بأسئلة الدراسة وفرضياتها</w:t>
      </w:r>
      <w:r w:rsidR="006B19D1" w:rsidRPr="006B19D1">
        <w:rPr>
          <w:rFonts w:ascii="Traditional Arabic" w:hAnsi="Traditional Arabic" w:cs="Traditional Arabic"/>
        </w:rPr>
        <w:br/>
      </w:r>
      <w:r w:rsidR="006B19D1" w:rsidRPr="006B19D1">
        <w:rPr>
          <w:rFonts w:ascii="Traditional Arabic" w:hAnsi="Traditional Arabic" w:cs="Traditional Arabic"/>
          <w:rtl/>
        </w:rPr>
        <w:t>يُعد هذا الفصل حجر الأساس الذي يُعرِّف متغيرات الدراسة تعريفًا علميًا، ويعرض الأطر النظرية التي تفسر العلاقات المتوقعة بين التحول الرقمي المؤسسي (بأبعاده الأربعة) والرضا الوظيفي، مع اختبار الأثر المباشر</w:t>
      </w:r>
      <w:r w:rsidR="006B19D1" w:rsidRPr="006B19D1">
        <w:rPr>
          <w:rFonts w:ascii="Traditional Arabic" w:hAnsi="Traditional Arabic" w:cs="Traditional Arabic"/>
        </w:rPr>
        <w:t xml:space="preserve"> (H1a–H1</w:t>
      </w:r>
      <w:proofErr w:type="gramStart"/>
      <w:r w:rsidR="006B19D1" w:rsidRPr="006B19D1">
        <w:rPr>
          <w:rFonts w:ascii="Traditional Arabic" w:hAnsi="Traditional Arabic" w:cs="Traditional Arabic"/>
        </w:rPr>
        <w:t>d)</w:t>
      </w:r>
      <w:r w:rsidR="006B19D1" w:rsidRPr="006B19D1">
        <w:rPr>
          <w:rFonts w:ascii="Traditional Arabic" w:hAnsi="Traditional Arabic" w:cs="Traditional Arabic"/>
          <w:rtl/>
        </w:rPr>
        <w:t>،</w:t>
      </w:r>
      <w:proofErr w:type="gramEnd"/>
      <w:r w:rsidR="006B19D1" w:rsidRPr="006B19D1">
        <w:rPr>
          <w:rFonts w:ascii="Traditional Arabic" w:hAnsi="Traditional Arabic" w:cs="Traditional Arabic"/>
          <w:rtl/>
        </w:rPr>
        <w:t xml:space="preserve"> واختبار وساطة الإجهاد التقني</w:t>
      </w:r>
      <w:r w:rsidR="006B19D1" w:rsidRPr="006B19D1">
        <w:rPr>
          <w:rFonts w:ascii="Traditional Arabic" w:hAnsi="Traditional Arabic" w:cs="Traditional Arabic"/>
        </w:rPr>
        <w:t xml:space="preserve"> (H2a–H2c) </w:t>
      </w:r>
      <w:r w:rsidR="006B19D1" w:rsidRPr="006B19D1">
        <w:rPr>
          <w:rFonts w:ascii="Traditional Arabic" w:hAnsi="Traditional Arabic" w:cs="Traditional Arabic"/>
          <w:rtl/>
        </w:rPr>
        <w:t>وقبول التقنية وفق</w:t>
      </w:r>
      <w:r w:rsidR="006B19D1" w:rsidRPr="006B19D1">
        <w:rPr>
          <w:rFonts w:ascii="Traditional Arabic" w:hAnsi="Traditional Arabic" w:cs="Traditional Arabic"/>
        </w:rPr>
        <w:t xml:space="preserve"> TAM (H3a–H3f)</w:t>
      </w:r>
      <w:r w:rsidR="006B19D1" w:rsidRPr="006B19D1">
        <w:rPr>
          <w:rFonts w:ascii="Traditional Arabic" w:hAnsi="Traditional Arabic" w:cs="Traditional Arabic"/>
          <w:rtl/>
        </w:rPr>
        <w:t>، واختبار الاعتدال الديموغرافي</w:t>
      </w:r>
      <w:r w:rsidR="006B19D1" w:rsidRPr="006B19D1">
        <w:rPr>
          <w:rFonts w:ascii="Traditional Arabic" w:hAnsi="Traditional Arabic" w:cs="Traditional Arabic"/>
        </w:rPr>
        <w:t xml:space="preserve"> (H4). </w:t>
      </w:r>
      <w:r w:rsidR="006B19D1" w:rsidRPr="006B19D1">
        <w:rPr>
          <w:rFonts w:ascii="Traditional Arabic" w:hAnsi="Traditional Arabic" w:cs="Traditional Arabic"/>
          <w:rtl/>
        </w:rPr>
        <w:t>كما يُسند الفصل أسئلة الدراسة الأربع: قياس مستويات المتغيرات (س1)، اختبار الأثر المباشر للتحول الرقمي على الرضا (س2)، اختبار دور الوسطاء (س3)، واختبار تغاير العلاقة بحسب الديموغرافيات (س4)</w:t>
      </w:r>
      <w:r w:rsidR="006B19D1" w:rsidRPr="006B19D1">
        <w:rPr>
          <w:rFonts w:ascii="Traditional Arabic" w:hAnsi="Traditional Arabic" w:cs="Traditional Arabic"/>
        </w:rPr>
        <w:t>.</w:t>
      </w:r>
    </w:p>
    <w:p w14:paraId="75054B11" w14:textId="77777777" w:rsidR="00335B65" w:rsidRPr="00335B65" w:rsidRDefault="00335B65" w:rsidP="00335B65">
      <w:pPr>
        <w:bidi/>
        <w:spacing w:after="160" w:line="360" w:lineRule="auto"/>
        <w:divId w:val="1647278641"/>
        <w:rPr>
          <w:rFonts w:ascii="Traditional Arabic" w:hAnsi="Traditional Arabic" w:cs="Traditional Arabic"/>
          <w:rtl/>
        </w:rPr>
      </w:pPr>
    </w:p>
    <w:p w14:paraId="240B7F1D" w14:textId="5F4A09B1" w:rsidR="00335B65" w:rsidRPr="0062755D" w:rsidRDefault="00B64312" w:rsidP="0062755D">
      <w:pPr>
        <w:bidi/>
        <w:spacing w:after="160" w:line="360" w:lineRule="auto"/>
        <w:divId w:val="1647278641"/>
        <w:rPr>
          <w:rFonts w:ascii="Traditional Arabic" w:hAnsi="Traditional Arabic" w:cs="Traditional Arabic"/>
          <w:b/>
          <w:bCs/>
          <w:sz w:val="28"/>
          <w:szCs w:val="28"/>
        </w:rPr>
      </w:pPr>
      <w:r w:rsidRPr="00DB3C7B">
        <w:rPr>
          <w:rFonts w:ascii="Traditional Arabic" w:hAnsi="Traditional Arabic" w:cs="Traditional Arabic"/>
          <w:b/>
          <w:bCs/>
          <w:sz w:val="28"/>
          <w:szCs w:val="28"/>
          <w:rtl/>
        </w:rPr>
        <w:t>2.1 الإطار النظري للدراسة</w:t>
      </w:r>
    </w:p>
    <w:p w14:paraId="32A0C570" w14:textId="77777777" w:rsidR="00D70865" w:rsidRPr="00D70865" w:rsidRDefault="0062755D" w:rsidP="00D70865">
      <w:pPr>
        <w:bidi/>
        <w:spacing w:after="160" w:line="360" w:lineRule="auto"/>
        <w:divId w:val="1647278641"/>
        <w:rPr>
          <w:rFonts w:ascii="Traditional Arabic" w:hAnsi="Traditional Arabic" w:cs="Traditional Arabic"/>
        </w:rPr>
      </w:pPr>
      <w:r>
        <w:rPr>
          <w:rFonts w:ascii="Traditional Arabic" w:hAnsi="Traditional Arabic" w:cs="Traditional Arabic"/>
        </w:rPr>
        <w:t xml:space="preserve"> </w:t>
      </w:r>
      <w:r w:rsidR="00335B65" w:rsidRPr="0062755D">
        <w:rPr>
          <w:rFonts w:ascii="Traditional Arabic" w:hAnsi="Traditional Arabic" w:cs="Traditional Arabic"/>
          <w:b/>
          <w:bCs/>
        </w:rPr>
        <w:t xml:space="preserve">2.1.0 </w:t>
      </w:r>
      <w:r w:rsidR="00335B65" w:rsidRPr="0062755D">
        <w:rPr>
          <w:rFonts w:ascii="Traditional Arabic" w:hAnsi="Traditional Arabic" w:cs="Traditional Arabic"/>
          <w:b/>
          <w:bCs/>
          <w:rtl/>
        </w:rPr>
        <w:t>الإطار النظري المحوري وتكامل الأطر المساندة</w:t>
      </w:r>
      <w:r w:rsidR="00335B65" w:rsidRPr="00335B65">
        <w:rPr>
          <w:rFonts w:ascii="Traditional Arabic" w:hAnsi="Traditional Arabic" w:cs="Traditional Arabic"/>
        </w:rPr>
        <w:br/>
      </w:r>
      <w:r w:rsidR="00D70865" w:rsidRPr="00D70865">
        <w:rPr>
          <w:rFonts w:ascii="Traditional Arabic" w:hAnsi="Traditional Arabic" w:cs="Traditional Arabic"/>
          <w:rtl/>
        </w:rPr>
        <w:t>يقود تفسير النموذج في هذه الدراسة إطارٌ تفسيري ثنائي المسار، لا مجموعة أطر متوازية منفصلة. ويتمثل هذا الإطار القائد في دمج نموذج قبول التقنية</w:t>
      </w:r>
      <w:r w:rsidR="00D70865" w:rsidRPr="00D70865">
        <w:rPr>
          <w:rFonts w:ascii="Traditional Arabic" w:hAnsi="Traditional Arabic" w:cs="Traditional Arabic"/>
        </w:rPr>
        <w:t xml:space="preserve"> (TAM) </w:t>
      </w:r>
      <w:r w:rsidR="00D70865" w:rsidRPr="00D70865">
        <w:rPr>
          <w:rFonts w:ascii="Traditional Arabic" w:hAnsi="Traditional Arabic" w:cs="Traditional Arabic"/>
          <w:rtl/>
        </w:rPr>
        <w:t>بوصفه مفسرًا للمسار التعزيزي للتحوّل الرقمي، مع أدبيات الإجهاد التقني</w:t>
      </w:r>
      <w:r w:rsidR="00D70865" w:rsidRPr="00D70865">
        <w:rPr>
          <w:rFonts w:ascii="Traditional Arabic" w:hAnsi="Traditional Arabic" w:cs="Traditional Arabic"/>
        </w:rPr>
        <w:t xml:space="preserve"> (Technostress) </w:t>
      </w:r>
      <w:r w:rsidR="00D70865" w:rsidRPr="00D70865">
        <w:rPr>
          <w:rFonts w:ascii="Traditional Arabic" w:hAnsi="Traditional Arabic" w:cs="Traditional Arabic"/>
          <w:rtl/>
        </w:rPr>
        <w:t>بوصفها مفسرًا للمسار الضاغط أو الكابح. فمن جهة أولى، يفسر</w:t>
      </w:r>
      <w:r w:rsidR="00D70865" w:rsidRPr="00D70865">
        <w:rPr>
          <w:rFonts w:ascii="Traditional Arabic" w:hAnsi="Traditional Arabic" w:cs="Traditional Arabic"/>
        </w:rPr>
        <w:t xml:space="preserve"> TAM </w:t>
      </w:r>
      <w:r w:rsidR="00D70865" w:rsidRPr="00D70865">
        <w:rPr>
          <w:rFonts w:ascii="Traditional Arabic" w:hAnsi="Traditional Arabic" w:cs="Traditional Arabic"/>
          <w:rtl/>
        </w:rPr>
        <w:t>كيف تُترجم خصائص بيئة العمل الرقمية إلى إدراكات الموظف للمنفعة المتصوَّرة وسهولة الاستخدام المتصوَّرة، ثم إلى تقبّل أعلى للتقنية وخبرة عمل أكثر إيجابية؛ وهو منطق تأسس في عمل</w:t>
      </w:r>
      <w:r w:rsidR="00D70865" w:rsidRPr="00D70865">
        <w:rPr>
          <w:rFonts w:ascii="Traditional Arabic" w:hAnsi="Traditional Arabic" w:cs="Traditional Arabic"/>
        </w:rPr>
        <w:t xml:space="preserve"> Davis </w:t>
      </w:r>
      <w:r w:rsidR="00D70865" w:rsidRPr="00D70865">
        <w:rPr>
          <w:rFonts w:ascii="Traditional Arabic" w:hAnsi="Traditional Arabic" w:cs="Traditional Arabic"/>
          <w:rtl/>
        </w:rPr>
        <w:t>ويظل من أكثر الأطر استخدامًا لفهم التفاعل الفردي مع النظم التقنية في العمل. ومن جهة ثانية، تفسر أدبيات الإجهاد التقني كيف يمكن للمتطلبات الرقمية المفرطة، وتعقيد الأنظمة، وتسارع التغيير التقني، وتداخل حدود العمل والحياة أن تنقل أثرًا سلبيًا من البيئة الرقمية إلى الرضا الوظيفي والرفاه المهني. وبذلك يصبح المتغير المستقل في الدراسة ــ أي التحوّل الرقمي المؤسسي ــ سابقًا تنظيميًا يمكن أن يدفع في اتجاهين متعاكسين: اتجاه تعزيزي عبر القبول، واتجاه ضاغط عبر الإجهاد التقني</w:t>
      </w:r>
      <w:r w:rsidR="00D70865" w:rsidRPr="00D70865">
        <w:rPr>
          <w:rFonts w:ascii="Traditional Arabic" w:hAnsi="Traditional Arabic" w:cs="Traditional Arabic"/>
        </w:rPr>
        <w:t>. </w:t>
      </w:r>
    </w:p>
    <w:p w14:paraId="5CC31F4B" w14:textId="77777777" w:rsidR="00D70865" w:rsidRPr="00D70865" w:rsidRDefault="00D70865" w:rsidP="00D70865">
      <w:pPr>
        <w:bidi/>
        <w:spacing w:after="160" w:line="360" w:lineRule="auto"/>
        <w:divId w:val="1647278641"/>
        <w:rPr>
          <w:rFonts w:ascii="Traditional Arabic" w:hAnsi="Traditional Arabic" w:cs="Traditional Arabic"/>
        </w:rPr>
      </w:pPr>
      <w:r w:rsidRPr="00D70865">
        <w:rPr>
          <w:rFonts w:ascii="Traditional Arabic" w:hAnsi="Traditional Arabic" w:cs="Traditional Arabic"/>
          <w:rtl/>
        </w:rPr>
        <w:t xml:space="preserve">وفي ضوء هذا الإطار القائد، تؤدي بقية الأطر دورًا خادمًا ومفسرًا لا دورًا موازيًا. فإطار التحوّل الرقمي المؤسسي كما عُرض في الأدبيات الحديثة يحدد طبيعة السابق التنظيمي موضوع الدراسة، ويؤكد أن التحوّل الرقمي ليس مجرد </w:t>
      </w:r>
      <w:proofErr w:type="spellStart"/>
      <w:r w:rsidRPr="00D70865">
        <w:rPr>
          <w:rFonts w:ascii="Traditional Arabic" w:hAnsi="Traditional Arabic" w:cs="Traditional Arabic"/>
          <w:rtl/>
        </w:rPr>
        <w:t>رقمنة</w:t>
      </w:r>
      <w:proofErr w:type="spellEnd"/>
      <w:r w:rsidRPr="00D70865">
        <w:rPr>
          <w:rFonts w:ascii="Traditional Arabic" w:hAnsi="Traditional Arabic" w:cs="Traditional Arabic"/>
          <w:rtl/>
        </w:rPr>
        <w:t xml:space="preserve"> جزئية، بل إعادة تشكيل للعمليات والهياكل والثقافة وعلاقات العمل داخل المنظمة، ولا سيما في القطاع العام. ومن ثمّ فإن أبعاد التحوّل الرقمي المعتمدة في الدراسة تمثل الصياغة التشغيلية لذلك السابق التنظيمي. أما إطار</w:t>
      </w:r>
      <w:r w:rsidRPr="00D70865">
        <w:rPr>
          <w:rFonts w:ascii="Traditional Arabic" w:hAnsi="Traditional Arabic" w:cs="Traditional Arabic"/>
        </w:rPr>
        <w:t xml:space="preserve"> TOE </w:t>
      </w:r>
      <w:r w:rsidRPr="00D70865">
        <w:rPr>
          <w:rFonts w:ascii="Traditional Arabic" w:hAnsi="Traditional Arabic" w:cs="Traditional Arabic"/>
          <w:rtl/>
        </w:rPr>
        <w:t xml:space="preserve">فيُستخدم هنا بوصفه عدسةً لتصنيف هذا السابق على مستوى التنظيم؛ أي لتبرير لماذا تقع بعض الأبعاد في المجال التقني وبعضها في المجال التنظيمي، دون أن يكون هو المفسر المباشر لمخرجات الموظف. ويأتي المنظور </w:t>
      </w:r>
      <w:proofErr w:type="spellStart"/>
      <w:r w:rsidRPr="00D70865">
        <w:rPr>
          <w:rFonts w:ascii="Traditional Arabic" w:hAnsi="Traditional Arabic" w:cs="Traditional Arabic"/>
          <w:rtl/>
        </w:rPr>
        <w:t>السوسيوتقني</w:t>
      </w:r>
      <w:proofErr w:type="spellEnd"/>
      <w:r w:rsidRPr="00D70865">
        <w:rPr>
          <w:rFonts w:ascii="Traditional Arabic" w:hAnsi="Traditional Arabic" w:cs="Traditional Arabic"/>
          <w:rtl/>
        </w:rPr>
        <w:t xml:space="preserve"> ليضبط منطق الربط بين المستويين؛ إذ يفسر لماذا لا تُنتج التقنية الأثر نفسه لدى </w:t>
      </w:r>
      <w:r w:rsidRPr="00D70865">
        <w:rPr>
          <w:rFonts w:ascii="Traditional Arabic" w:hAnsi="Traditional Arabic" w:cs="Traditional Arabic"/>
          <w:rtl/>
        </w:rPr>
        <w:lastRenderedPageBreak/>
        <w:t>جميع الموظفين، ولماذا يتحدد الأثر النهائي للتحوّل الرقمي وفق درجة الملاءمة بين النظام التقني من جهة، والنظام الاجتماعي والتنظيمي من جهة أخرى. وبهذا الترتيب تصبح</w:t>
      </w:r>
      <w:r w:rsidRPr="00D70865">
        <w:rPr>
          <w:rFonts w:ascii="Traditional Arabic" w:hAnsi="Traditional Arabic" w:cs="Traditional Arabic"/>
        </w:rPr>
        <w:t xml:space="preserve"> TAM </w:t>
      </w:r>
      <w:r w:rsidRPr="00D70865">
        <w:rPr>
          <w:rFonts w:ascii="Traditional Arabic" w:hAnsi="Traditional Arabic" w:cs="Traditional Arabic"/>
          <w:rtl/>
        </w:rPr>
        <w:t>و</w:t>
      </w:r>
      <w:r w:rsidRPr="00D70865">
        <w:rPr>
          <w:rFonts w:ascii="Traditional Arabic" w:hAnsi="Traditional Arabic" w:cs="Traditional Arabic"/>
        </w:rPr>
        <w:t xml:space="preserve">Technostress </w:t>
      </w:r>
      <w:r w:rsidRPr="00D70865">
        <w:rPr>
          <w:rFonts w:ascii="Traditional Arabic" w:hAnsi="Traditional Arabic" w:cs="Traditional Arabic"/>
          <w:rtl/>
        </w:rPr>
        <w:t>آليتي التفسير الرئيسيتين، بينما يعمل كل من التحوّل الرقمي المؤسسي و</w:t>
      </w:r>
      <w:r w:rsidRPr="00D70865">
        <w:rPr>
          <w:rFonts w:ascii="Traditional Arabic" w:hAnsi="Traditional Arabic" w:cs="Traditional Arabic"/>
        </w:rPr>
        <w:t xml:space="preserve">TOE </w:t>
      </w:r>
      <w:r w:rsidRPr="00D70865">
        <w:rPr>
          <w:rFonts w:ascii="Traditional Arabic" w:hAnsi="Traditional Arabic" w:cs="Traditional Arabic"/>
          <w:rtl/>
        </w:rPr>
        <w:t xml:space="preserve">والمنظور </w:t>
      </w:r>
      <w:proofErr w:type="spellStart"/>
      <w:r w:rsidRPr="00D70865">
        <w:rPr>
          <w:rFonts w:ascii="Traditional Arabic" w:hAnsi="Traditional Arabic" w:cs="Traditional Arabic"/>
          <w:rtl/>
        </w:rPr>
        <w:t>السوسيوتقني</w:t>
      </w:r>
      <w:proofErr w:type="spellEnd"/>
      <w:r w:rsidRPr="00D70865">
        <w:rPr>
          <w:rFonts w:ascii="Traditional Arabic" w:hAnsi="Traditional Arabic" w:cs="Traditional Arabic"/>
          <w:rtl/>
        </w:rPr>
        <w:t xml:space="preserve"> كطبقات تأسيسية تنظّم مصدر الأثر وسياقه وشروط اختلافه</w:t>
      </w:r>
      <w:r w:rsidRPr="00D70865">
        <w:rPr>
          <w:rFonts w:ascii="Traditional Arabic" w:hAnsi="Traditional Arabic" w:cs="Traditional Arabic"/>
        </w:rPr>
        <w:t>. </w:t>
      </w:r>
    </w:p>
    <w:p w14:paraId="449476A2" w14:textId="77777777" w:rsidR="00D70865" w:rsidRPr="00D70865" w:rsidRDefault="00D70865" w:rsidP="00D70865">
      <w:pPr>
        <w:bidi/>
        <w:spacing w:after="160" w:line="360" w:lineRule="auto"/>
        <w:divId w:val="1647278641"/>
        <w:rPr>
          <w:rFonts w:ascii="Traditional Arabic" w:hAnsi="Traditional Arabic" w:cs="Traditional Arabic"/>
        </w:rPr>
      </w:pPr>
      <w:r w:rsidRPr="00D70865">
        <w:rPr>
          <w:rFonts w:ascii="Traditional Arabic" w:hAnsi="Traditional Arabic" w:cs="Traditional Arabic"/>
          <w:rtl/>
        </w:rPr>
        <w:t xml:space="preserve">وعليه، فإن منطق النموذج المفاهيمي يُصاغ على النحو الآتي: يؤثر التحوّل الرقمي المؤسسي ــ بوصفه تغيرًا في الإتاحة والكفاءة والدعم والتكامل ــ في الرضا الوظيفي عبر مسارين متوازيين؛ الأول مسار تعزيزي يرفع تقبّل التقنية، والثاني مسار ضاغط قد يرفع الإجهاد التقني أو يخفضه تبعًا لجودة التنفيذ. ثم تُفهم الفروق بين الموظفين من خلال العدسة </w:t>
      </w:r>
      <w:proofErr w:type="spellStart"/>
      <w:r w:rsidRPr="00D70865">
        <w:rPr>
          <w:rFonts w:ascii="Traditional Arabic" w:hAnsi="Traditional Arabic" w:cs="Traditional Arabic"/>
          <w:rtl/>
        </w:rPr>
        <w:t>السوسيوتقنية</w:t>
      </w:r>
      <w:proofErr w:type="spellEnd"/>
      <w:r w:rsidRPr="00D70865">
        <w:rPr>
          <w:rFonts w:ascii="Traditional Arabic" w:hAnsi="Traditional Arabic" w:cs="Traditional Arabic"/>
          <w:rtl/>
        </w:rPr>
        <w:t xml:space="preserve"> وبالاستئناس بمنطق الفروق الفردية في أدبيات القبول والتبني. وهذه الصياغة أكثر اتساقًا مع طبيعة الدراسة الحالية؛ لأنها تمنع تشتت الإطار النظري بين مدارس مستقلة، وتربط الفرضيات كلها بمنطق سببي موحد</w:t>
      </w:r>
      <w:r w:rsidRPr="00D70865">
        <w:rPr>
          <w:rFonts w:ascii="Traditional Arabic" w:hAnsi="Traditional Arabic" w:cs="Traditional Arabic"/>
        </w:rPr>
        <w:t>.</w:t>
      </w:r>
    </w:p>
    <w:p w14:paraId="47104173" w14:textId="77777777" w:rsidR="00D70865" w:rsidRPr="00D70865" w:rsidRDefault="00D70865" w:rsidP="00335B65">
      <w:pPr>
        <w:bidi/>
        <w:spacing w:after="160" w:line="360" w:lineRule="auto"/>
        <w:divId w:val="1647278641"/>
        <w:rPr>
          <w:rFonts w:ascii="Traditional Arabic" w:hAnsi="Traditional Arabic" w:cs="Traditional Arabic"/>
          <w:rtl/>
        </w:rPr>
      </w:pPr>
    </w:p>
    <w:p w14:paraId="76F6166B" w14:textId="012DB487" w:rsidR="00335B65" w:rsidRPr="00335B65" w:rsidRDefault="00335B65" w:rsidP="00335B65">
      <w:pPr>
        <w:bidi/>
        <w:spacing w:after="160" w:line="360" w:lineRule="auto"/>
        <w:divId w:val="1647278641"/>
        <w:rPr>
          <w:rFonts w:ascii="Traditional Arabic" w:hAnsi="Traditional Arabic" w:cs="Traditional Arabic"/>
        </w:rPr>
      </w:pPr>
      <w:proofErr w:type="gramStart"/>
      <w:r w:rsidRPr="0062755D">
        <w:rPr>
          <w:rFonts w:ascii="Traditional Arabic" w:hAnsi="Traditional Arabic" w:cs="Traditional Arabic"/>
          <w:b/>
          <w:bCs/>
        </w:rPr>
        <w:t xml:space="preserve">2.1.1 </w:t>
      </w:r>
      <w:r w:rsidR="0062755D" w:rsidRPr="0062755D">
        <w:rPr>
          <w:rFonts w:ascii="Traditional Arabic" w:hAnsi="Traditional Arabic" w:cs="Traditional Arabic" w:hint="cs"/>
          <w:b/>
          <w:bCs/>
          <w:rtl/>
        </w:rPr>
        <w:t xml:space="preserve"> </w:t>
      </w:r>
      <w:r w:rsidRPr="0062755D">
        <w:rPr>
          <w:rFonts w:ascii="Traditional Arabic" w:hAnsi="Traditional Arabic" w:cs="Traditional Arabic"/>
          <w:b/>
          <w:bCs/>
          <w:rtl/>
        </w:rPr>
        <w:t>التحول</w:t>
      </w:r>
      <w:proofErr w:type="gramEnd"/>
      <w:r w:rsidRPr="0062755D">
        <w:rPr>
          <w:rFonts w:ascii="Traditional Arabic" w:hAnsi="Traditional Arabic" w:cs="Traditional Arabic"/>
          <w:b/>
          <w:bCs/>
          <w:rtl/>
        </w:rPr>
        <w:t xml:space="preserve"> الرقمي المؤسسي</w:t>
      </w:r>
      <w:r w:rsidRPr="00335B65">
        <w:rPr>
          <w:rFonts w:ascii="Traditional Arabic" w:hAnsi="Traditional Arabic" w:cs="Traditional Arabic"/>
        </w:rPr>
        <w:br/>
      </w:r>
      <w:r w:rsidRPr="00335B65">
        <w:rPr>
          <w:rFonts w:ascii="Traditional Arabic" w:hAnsi="Traditional Arabic" w:cs="Traditional Arabic"/>
          <w:rtl/>
        </w:rPr>
        <w:t>يُقدَّم التحول الرقمي في الأدبيات الحديثة بوصفه عملية تغيير مؤسسي شاملة تُحدثها التقنيات الرقمية عبر دفع المنظمة إلى إعادة تشكيل عملياتها ونماذج عملها وبناها التنظيمية وعلاقات أصحاب المصلحة، مع التأكيد على أن النتائج ليست حتمية في اتجاه واحد، بل تتأثر بجودة التصميم والتنفيذ وإدارة التغيير</w:t>
      </w:r>
      <w:r w:rsidRPr="00335B65">
        <w:rPr>
          <w:rFonts w:ascii="Traditional Arabic" w:hAnsi="Traditional Arabic" w:cs="Traditional Arabic"/>
        </w:rPr>
        <w:t xml:space="preserve"> (Vial, 2019). </w:t>
      </w:r>
      <w:r w:rsidRPr="00335B65">
        <w:rPr>
          <w:rFonts w:ascii="Traditional Arabic" w:hAnsi="Traditional Arabic" w:cs="Traditional Arabic"/>
          <w:rtl/>
        </w:rPr>
        <w:t xml:space="preserve">وفي القطاع العام، يُبرز مفهوم التحول الرقمي الحكومي بوصفه تحولًا يتجاوز </w:t>
      </w:r>
      <w:r w:rsidR="002F488C">
        <w:rPr>
          <w:rFonts w:ascii="Traditional Arabic" w:hAnsi="Traditional Arabic" w:cs="Traditional Arabic"/>
          <w:rtl/>
        </w:rPr>
        <w:t>"</w:t>
      </w:r>
      <w:proofErr w:type="spellStart"/>
      <w:r w:rsidRPr="00335B65">
        <w:rPr>
          <w:rFonts w:ascii="Traditional Arabic" w:hAnsi="Traditional Arabic" w:cs="Traditional Arabic"/>
          <w:rtl/>
        </w:rPr>
        <w:t>الرقمنة</w:t>
      </w:r>
      <w:proofErr w:type="spellEnd"/>
      <w:r w:rsidR="002F488C">
        <w:rPr>
          <w:rFonts w:ascii="Traditional Arabic" w:hAnsi="Traditional Arabic" w:cs="Traditional Arabic"/>
          <w:rtl/>
        </w:rPr>
        <w:t>"</w:t>
      </w:r>
      <w:r w:rsidRPr="00335B65">
        <w:rPr>
          <w:rFonts w:ascii="Traditional Arabic" w:hAnsi="Traditional Arabic" w:cs="Traditional Arabic"/>
          <w:rtl/>
        </w:rPr>
        <w:t xml:space="preserve"> وينصرف إلى تحسين الكفاءة والشفافية والتشغيل البيني وجودة الخدمات ضمن منظومة حوكمة وتشريعات متعددة الأطراف</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Mergel</w:t>
      </w:r>
      <w:proofErr w:type="spellEnd"/>
      <w:r w:rsidRPr="00335B65">
        <w:rPr>
          <w:rFonts w:ascii="Traditional Arabic" w:hAnsi="Traditional Arabic" w:cs="Traditional Arabic"/>
        </w:rPr>
        <w:t xml:space="preserve"> et al., 2019).</w:t>
      </w:r>
    </w:p>
    <w:p w14:paraId="59C70AF8" w14:textId="4F62934D"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t>ويستلزم تحديد التحول الرقمي المؤسسي في هذه الدراسة تمييزه عن مفاهيم قريبة</w:t>
      </w:r>
      <w:r w:rsidRPr="00335B65">
        <w:rPr>
          <w:rFonts w:ascii="Traditional Arabic" w:hAnsi="Traditional Arabic" w:cs="Traditional Arabic"/>
        </w:rPr>
        <w:t>:</w:t>
      </w:r>
      <w:r w:rsidRPr="00335B65">
        <w:rPr>
          <w:rFonts w:ascii="Traditional Arabic" w:hAnsi="Traditional Arabic" w:cs="Traditional Arabic"/>
        </w:rPr>
        <w:br/>
      </w:r>
      <w:proofErr w:type="spellStart"/>
      <w:r w:rsidRPr="00335B65">
        <w:rPr>
          <w:rFonts w:ascii="Traditional Arabic" w:hAnsi="Traditional Arabic" w:cs="Traditional Arabic"/>
          <w:rtl/>
        </w:rPr>
        <w:t>الرقمنة</w:t>
      </w:r>
      <w:proofErr w:type="spellEnd"/>
      <w:r w:rsidRPr="00335B65">
        <w:rPr>
          <w:rFonts w:ascii="Traditional Arabic" w:hAnsi="Traditional Arabic" w:cs="Traditional Arabic"/>
        </w:rPr>
        <w:t xml:space="preserve"> (Digitization) </w:t>
      </w:r>
      <w:r w:rsidRPr="00335B65">
        <w:rPr>
          <w:rFonts w:ascii="Traditional Arabic" w:hAnsi="Traditional Arabic" w:cs="Traditional Arabic"/>
          <w:rtl/>
        </w:rPr>
        <w:t>تُستخدم غالبًا لوصف تحويل المحتوى/المعاملات من صيغة ورقية إلى رقمية دون إعادة تصميم عميق لطريقة العمل</w:t>
      </w:r>
      <w:r w:rsidRPr="00335B65">
        <w:rPr>
          <w:rFonts w:ascii="Traditional Arabic" w:hAnsi="Traditional Arabic" w:cs="Traditional Arabic"/>
        </w:rPr>
        <w:t>.</w:t>
      </w:r>
      <w:r w:rsidRPr="00335B65">
        <w:rPr>
          <w:rFonts w:ascii="Traditional Arabic" w:hAnsi="Traditional Arabic" w:cs="Traditional Arabic"/>
        </w:rPr>
        <w:br/>
      </w:r>
      <w:r w:rsidRPr="00335B65">
        <w:rPr>
          <w:rFonts w:ascii="Traditional Arabic" w:hAnsi="Traditional Arabic" w:cs="Traditional Arabic"/>
          <w:rtl/>
        </w:rPr>
        <w:t>أما الأتمتة الإجرائية</w:t>
      </w:r>
      <w:r w:rsidRPr="00335B65">
        <w:rPr>
          <w:rFonts w:ascii="Traditional Arabic" w:hAnsi="Traditional Arabic" w:cs="Traditional Arabic"/>
        </w:rPr>
        <w:t xml:space="preserve"> (Automation) </w:t>
      </w:r>
      <w:r w:rsidRPr="00335B65">
        <w:rPr>
          <w:rFonts w:ascii="Traditional Arabic" w:hAnsi="Traditional Arabic" w:cs="Traditional Arabic"/>
          <w:rtl/>
        </w:rPr>
        <w:t>فتركز على تسريع خطوات محددة دون بالضرورة إعادة هندسة العملية بأكملها</w:t>
      </w:r>
      <w:r w:rsidRPr="00335B65">
        <w:rPr>
          <w:rFonts w:ascii="Traditional Arabic" w:hAnsi="Traditional Arabic" w:cs="Traditional Arabic"/>
        </w:rPr>
        <w:t>.</w:t>
      </w:r>
      <w:r w:rsidRPr="00335B65">
        <w:rPr>
          <w:rFonts w:ascii="Traditional Arabic" w:hAnsi="Traditional Arabic" w:cs="Traditional Arabic"/>
        </w:rPr>
        <w:br/>
      </w:r>
      <w:r w:rsidRPr="00335B65">
        <w:rPr>
          <w:rFonts w:ascii="Traditional Arabic" w:hAnsi="Traditional Arabic" w:cs="Traditional Arabic"/>
          <w:rtl/>
        </w:rPr>
        <w:t xml:space="preserve">بينما التحول الرقمي المؤسسي – كما يُعتمد هنا – يقتضي إعادة تصميم تفاعل الموظف مع العمليات الداخلية، وتحقيق تكامل أفضل للأنظمة وتدفق المعلومات، وبناء قدرات تنظيمية (تدريب/دعم/حوكمة) تجعل التقنية جزءًا من </w:t>
      </w:r>
      <w:r w:rsidR="002F488C">
        <w:rPr>
          <w:rFonts w:ascii="Traditional Arabic" w:hAnsi="Traditional Arabic" w:cs="Traditional Arabic"/>
          <w:rtl/>
        </w:rPr>
        <w:t>"</w:t>
      </w:r>
      <w:r w:rsidRPr="00335B65">
        <w:rPr>
          <w:rFonts w:ascii="Traditional Arabic" w:hAnsi="Traditional Arabic" w:cs="Traditional Arabic"/>
          <w:rtl/>
        </w:rPr>
        <w:t>نظام العمل</w:t>
      </w:r>
      <w:r w:rsidR="002F488C">
        <w:rPr>
          <w:rFonts w:ascii="Traditional Arabic" w:hAnsi="Traditional Arabic" w:cs="Traditional Arabic"/>
          <w:rtl/>
        </w:rPr>
        <w:t>"</w:t>
      </w:r>
      <w:r w:rsidRPr="00335B65">
        <w:rPr>
          <w:rFonts w:ascii="Traditional Arabic" w:hAnsi="Traditional Arabic" w:cs="Traditional Arabic"/>
          <w:rtl/>
        </w:rPr>
        <w:t xml:space="preserve"> لا أداة منفصلة</w:t>
      </w:r>
      <w:r w:rsidRPr="00335B65">
        <w:rPr>
          <w:rFonts w:ascii="Traditional Arabic" w:hAnsi="Traditional Arabic" w:cs="Traditional Arabic"/>
        </w:rPr>
        <w:t xml:space="preserve"> (Vial, 2019</w:t>
      </w:r>
      <w:r w:rsidRPr="00335B65">
        <w:rPr>
          <w:rFonts w:ascii="Traditional Arabic" w:hAnsi="Traditional Arabic" w:cs="Traditional Arabic"/>
          <w:rtl/>
        </w:rPr>
        <w:t>؛</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Mergel</w:t>
      </w:r>
      <w:proofErr w:type="spellEnd"/>
      <w:r w:rsidRPr="00335B65">
        <w:rPr>
          <w:rFonts w:ascii="Traditional Arabic" w:hAnsi="Traditional Arabic" w:cs="Traditional Arabic"/>
        </w:rPr>
        <w:t xml:space="preserve"> et al., 2019).</w:t>
      </w:r>
    </w:p>
    <w:p w14:paraId="4C2AFF71" w14:textId="0B2A2EC0" w:rsidR="00D9234A" w:rsidRPr="00D9234A" w:rsidRDefault="00422956" w:rsidP="00D9234A">
      <w:pPr>
        <w:bidi/>
        <w:spacing w:after="600" w:line="360" w:lineRule="auto"/>
        <w:divId w:val="1647278641"/>
        <w:rPr>
          <w:rFonts w:ascii="Traditional Arabic" w:hAnsi="Traditional Arabic" w:cs="Traditional Arabic"/>
        </w:rPr>
      </w:pPr>
      <w:r>
        <w:rPr>
          <w:rFonts w:ascii="Traditional Arabic" w:hAnsi="Traditional Arabic" w:cs="Traditional Arabic"/>
          <w:b/>
          <w:bCs/>
        </w:rPr>
        <w:t xml:space="preserve"> </w:t>
      </w:r>
      <w:r w:rsidR="00335B65" w:rsidRPr="0062755D">
        <w:rPr>
          <w:rFonts w:ascii="Traditional Arabic" w:hAnsi="Traditional Arabic" w:cs="Traditional Arabic"/>
          <w:b/>
          <w:bCs/>
        </w:rPr>
        <w:t xml:space="preserve">2.1.2 </w:t>
      </w:r>
      <w:r w:rsidR="00335B65" w:rsidRPr="0062755D">
        <w:rPr>
          <w:rFonts w:ascii="Traditional Arabic" w:hAnsi="Traditional Arabic" w:cs="Traditional Arabic"/>
          <w:b/>
          <w:bCs/>
          <w:rtl/>
        </w:rPr>
        <w:t>أبعاد التحول الرقمي المؤسسي في الدراسة</w:t>
      </w:r>
      <w:r w:rsidR="00335B65" w:rsidRPr="00335B65">
        <w:rPr>
          <w:rFonts w:ascii="Traditional Arabic" w:hAnsi="Traditional Arabic" w:cs="Traditional Arabic"/>
        </w:rPr>
        <w:br/>
      </w:r>
      <w:r w:rsidR="00D9234A" w:rsidRPr="00D9234A">
        <w:rPr>
          <w:rFonts w:ascii="Traditional Arabic" w:hAnsi="Traditional Arabic" w:cs="Traditional Arabic"/>
          <w:rtl/>
        </w:rPr>
        <w:t>تُشغِّل الدراسة التحول الرقمي المؤسسي</w:t>
      </w:r>
      <w:r w:rsidR="00D9234A" w:rsidRPr="00D9234A">
        <w:rPr>
          <w:rFonts w:ascii="Traditional Arabic" w:hAnsi="Traditional Arabic" w:cs="Traditional Arabic"/>
        </w:rPr>
        <w:t xml:space="preserve"> (DTD) </w:t>
      </w:r>
      <w:r w:rsidR="00D9234A" w:rsidRPr="00D9234A">
        <w:rPr>
          <w:rFonts w:ascii="Traditional Arabic" w:hAnsi="Traditional Arabic" w:cs="Traditional Arabic"/>
          <w:rtl/>
        </w:rPr>
        <w:t xml:space="preserve">بوصفه بناءً مستقلًا متعدد الأبعاد يلتقط خبرة الموظف الرقمية داخل العمليات </w:t>
      </w:r>
      <w:r w:rsidR="00D9234A" w:rsidRPr="00D9234A">
        <w:rPr>
          <w:rFonts w:ascii="Traditional Arabic" w:hAnsi="Traditional Arabic" w:cs="Traditional Arabic"/>
          <w:rtl/>
        </w:rPr>
        <w:lastRenderedPageBreak/>
        <w:t>الداخلية عبر أربعة أبعاد معتمدة في فرضيات الدراسة</w:t>
      </w:r>
      <w:r w:rsidR="00D9234A" w:rsidRPr="00D9234A">
        <w:rPr>
          <w:rFonts w:ascii="Traditional Arabic" w:hAnsi="Traditional Arabic" w:cs="Traditional Arabic"/>
        </w:rPr>
        <w:t xml:space="preserve"> (H1a–H1</w:t>
      </w:r>
      <w:proofErr w:type="gramStart"/>
      <w:r w:rsidR="00D9234A" w:rsidRPr="00D9234A">
        <w:rPr>
          <w:rFonts w:ascii="Traditional Arabic" w:hAnsi="Traditional Arabic" w:cs="Traditional Arabic"/>
        </w:rPr>
        <w:t>d)</w:t>
      </w:r>
      <w:r w:rsidR="00D9234A" w:rsidRPr="00D9234A">
        <w:rPr>
          <w:rFonts w:ascii="Traditional Arabic" w:hAnsi="Traditional Arabic" w:cs="Traditional Arabic"/>
          <w:rtl/>
        </w:rPr>
        <w:t>،</w:t>
      </w:r>
      <w:proofErr w:type="gramEnd"/>
      <w:r w:rsidR="00D9234A" w:rsidRPr="00D9234A">
        <w:rPr>
          <w:rFonts w:ascii="Traditional Arabic" w:hAnsi="Traditional Arabic" w:cs="Traditional Arabic"/>
          <w:rtl/>
        </w:rPr>
        <w:t xml:space="preserve"> هي</w:t>
      </w:r>
      <w:r w:rsidR="00D9234A" w:rsidRPr="00D9234A">
        <w:rPr>
          <w:rFonts w:ascii="Traditional Arabic" w:hAnsi="Traditional Arabic" w:cs="Traditional Arabic"/>
        </w:rPr>
        <w:t>:</w:t>
      </w:r>
      <w:r w:rsidR="00D9234A" w:rsidRPr="00D9234A">
        <w:rPr>
          <w:rFonts w:ascii="Traditional Arabic" w:hAnsi="Traditional Arabic" w:cs="Traditional Arabic"/>
        </w:rPr>
        <w:br/>
        <w:t>(1)</w:t>
      </w:r>
      <w:r w:rsidR="004D2C4E">
        <w:rPr>
          <w:rFonts w:ascii="Traditional Arabic" w:hAnsi="Traditional Arabic" w:cs="Traditional Arabic" w:hint="cs"/>
          <w:rtl/>
        </w:rPr>
        <w:t xml:space="preserve"> </w:t>
      </w:r>
      <w:r w:rsidR="00D9234A" w:rsidRPr="00D9234A">
        <w:rPr>
          <w:rFonts w:ascii="Traditional Arabic" w:hAnsi="Traditional Arabic" w:cs="Traditional Arabic"/>
        </w:rPr>
        <w:t xml:space="preserve"> </w:t>
      </w:r>
      <w:r w:rsidR="00D9234A" w:rsidRPr="00D9234A">
        <w:rPr>
          <w:rFonts w:ascii="Traditional Arabic" w:hAnsi="Traditional Arabic" w:cs="Traditional Arabic"/>
          <w:rtl/>
        </w:rPr>
        <w:t>توفر/انتشار الأنظمة الرقمية الداعمة لأداء المهام</w:t>
      </w:r>
      <w:r w:rsidR="00D9234A" w:rsidRPr="00D9234A">
        <w:rPr>
          <w:rFonts w:ascii="Traditional Arabic" w:hAnsi="Traditional Arabic" w:cs="Traditional Arabic"/>
        </w:rPr>
        <w:t xml:space="preserve"> (DTD1)</w:t>
      </w:r>
      <w:r w:rsidR="004D2C4E" w:rsidRPr="00D9234A">
        <w:rPr>
          <w:rFonts w:ascii="Traditional Arabic" w:hAnsi="Traditional Arabic" w:cs="Traditional Arabic"/>
        </w:rPr>
        <w:t xml:space="preserve"> </w:t>
      </w:r>
      <w:r w:rsidR="004D2C4E">
        <w:rPr>
          <w:rFonts w:ascii="Traditional Arabic" w:hAnsi="Traditional Arabic" w:cs="Traditional Arabic" w:hint="cs"/>
          <w:rtl/>
        </w:rPr>
        <w:t>.</w:t>
      </w:r>
      <w:r w:rsidR="00D9234A" w:rsidRPr="00D9234A">
        <w:rPr>
          <w:rFonts w:ascii="Traditional Arabic" w:hAnsi="Traditional Arabic" w:cs="Traditional Arabic"/>
        </w:rPr>
        <w:br/>
        <w:t>(2)</w:t>
      </w:r>
      <w:r w:rsidR="004D2C4E">
        <w:rPr>
          <w:rFonts w:ascii="Traditional Arabic" w:hAnsi="Traditional Arabic" w:cs="Traditional Arabic" w:hint="cs"/>
          <w:rtl/>
        </w:rPr>
        <w:t xml:space="preserve"> </w:t>
      </w:r>
      <w:r w:rsidR="00D9234A" w:rsidRPr="00D9234A">
        <w:rPr>
          <w:rFonts w:ascii="Traditional Arabic" w:hAnsi="Traditional Arabic" w:cs="Traditional Arabic"/>
        </w:rPr>
        <w:t xml:space="preserve"> </w:t>
      </w:r>
      <w:r w:rsidR="00D9234A" w:rsidRPr="00D9234A">
        <w:rPr>
          <w:rFonts w:ascii="Traditional Arabic" w:hAnsi="Traditional Arabic" w:cs="Traditional Arabic"/>
          <w:rtl/>
        </w:rPr>
        <w:t>كفاءة الأنظمة والعمليات الرقمية</w:t>
      </w:r>
      <w:r w:rsidR="00D9234A" w:rsidRPr="00D9234A">
        <w:rPr>
          <w:rFonts w:ascii="Traditional Arabic" w:hAnsi="Traditional Arabic" w:cs="Traditional Arabic"/>
        </w:rPr>
        <w:t xml:space="preserve"> (DTD2)</w:t>
      </w:r>
      <w:r w:rsidR="004D2C4E" w:rsidRPr="00D9234A">
        <w:rPr>
          <w:rFonts w:ascii="Traditional Arabic" w:hAnsi="Traditional Arabic" w:cs="Traditional Arabic"/>
        </w:rPr>
        <w:t xml:space="preserve"> </w:t>
      </w:r>
      <w:r w:rsidR="004D2C4E">
        <w:rPr>
          <w:rFonts w:ascii="Traditional Arabic" w:hAnsi="Traditional Arabic" w:cs="Traditional Arabic" w:hint="cs"/>
          <w:rtl/>
        </w:rPr>
        <w:t>.</w:t>
      </w:r>
      <w:r w:rsidR="00D9234A" w:rsidRPr="00D9234A">
        <w:rPr>
          <w:rFonts w:ascii="Traditional Arabic" w:hAnsi="Traditional Arabic" w:cs="Traditional Arabic"/>
        </w:rPr>
        <w:br/>
        <w:t>(3)</w:t>
      </w:r>
      <w:r w:rsidR="004D2C4E">
        <w:rPr>
          <w:rFonts w:ascii="Traditional Arabic" w:hAnsi="Traditional Arabic" w:cs="Traditional Arabic" w:hint="cs"/>
          <w:rtl/>
        </w:rPr>
        <w:t xml:space="preserve"> </w:t>
      </w:r>
      <w:r w:rsidR="00D9234A" w:rsidRPr="00D9234A">
        <w:rPr>
          <w:rFonts w:ascii="Traditional Arabic" w:hAnsi="Traditional Arabic" w:cs="Traditional Arabic"/>
          <w:rtl/>
        </w:rPr>
        <w:t>جودة الدعم الفني والتدريب الرقمي</w:t>
      </w:r>
      <w:r w:rsidR="00D9234A" w:rsidRPr="00D9234A">
        <w:rPr>
          <w:rFonts w:ascii="Traditional Arabic" w:hAnsi="Traditional Arabic" w:cs="Traditional Arabic"/>
        </w:rPr>
        <w:t xml:space="preserve"> (DTD3)</w:t>
      </w:r>
      <w:r w:rsidR="004D2C4E">
        <w:rPr>
          <w:rFonts w:ascii="Traditional Arabic" w:hAnsi="Traditional Arabic" w:cs="Traditional Arabic" w:hint="cs"/>
          <w:rtl/>
        </w:rPr>
        <w:t xml:space="preserve"> .</w:t>
      </w:r>
      <w:r w:rsidR="00D9234A" w:rsidRPr="00D9234A">
        <w:rPr>
          <w:rFonts w:ascii="Traditional Arabic" w:hAnsi="Traditional Arabic" w:cs="Traditional Arabic"/>
        </w:rPr>
        <w:br/>
        <w:t>(4)</w:t>
      </w:r>
      <w:r w:rsidR="004D2C4E">
        <w:rPr>
          <w:rFonts w:ascii="Traditional Arabic" w:hAnsi="Traditional Arabic" w:cs="Traditional Arabic" w:hint="cs"/>
          <w:rtl/>
        </w:rPr>
        <w:t xml:space="preserve"> </w:t>
      </w:r>
      <w:r w:rsidR="00D9234A" w:rsidRPr="00D9234A">
        <w:rPr>
          <w:rFonts w:ascii="Traditional Arabic" w:hAnsi="Traditional Arabic" w:cs="Traditional Arabic"/>
          <w:rtl/>
        </w:rPr>
        <w:t>تكامل العمليات الرقمية وتبسيط الإجراءات</w:t>
      </w:r>
      <w:r w:rsidR="00D9234A" w:rsidRPr="00D9234A">
        <w:rPr>
          <w:rFonts w:ascii="Traditional Arabic" w:hAnsi="Traditional Arabic" w:cs="Traditional Arabic"/>
        </w:rPr>
        <w:t xml:space="preserve"> (DTD4)</w:t>
      </w:r>
      <w:r w:rsidR="004D2C4E">
        <w:rPr>
          <w:rFonts w:ascii="Traditional Arabic" w:hAnsi="Traditional Arabic" w:cs="Traditional Arabic" w:hint="cs"/>
          <w:rtl/>
        </w:rPr>
        <w:t xml:space="preserve"> .</w:t>
      </w:r>
    </w:p>
    <w:p w14:paraId="28967E06" w14:textId="77777777" w:rsidR="00D9234A" w:rsidRPr="00D9234A" w:rsidRDefault="00D9234A" w:rsidP="00D9234A">
      <w:pPr>
        <w:bidi/>
        <w:spacing w:after="600" w:line="360" w:lineRule="auto"/>
        <w:divId w:val="1647278641"/>
        <w:rPr>
          <w:rFonts w:ascii="Traditional Arabic" w:hAnsi="Traditional Arabic" w:cs="Traditional Arabic"/>
        </w:rPr>
      </w:pPr>
      <w:r w:rsidRPr="00D9234A">
        <w:rPr>
          <w:rFonts w:ascii="Traditional Arabic" w:hAnsi="Traditional Arabic" w:cs="Traditional Arabic"/>
          <w:rtl/>
        </w:rPr>
        <w:t>ويخدم إطار التقنية–المنظمة–البيئة</w:t>
      </w:r>
      <w:r w:rsidRPr="00D9234A">
        <w:rPr>
          <w:rFonts w:ascii="Traditional Arabic" w:hAnsi="Traditional Arabic" w:cs="Traditional Arabic"/>
        </w:rPr>
        <w:t xml:space="preserve"> (TOE) </w:t>
      </w:r>
      <w:r w:rsidRPr="00D9234A">
        <w:rPr>
          <w:rFonts w:ascii="Traditional Arabic" w:hAnsi="Traditional Arabic" w:cs="Traditional Arabic"/>
          <w:rtl/>
        </w:rPr>
        <w:t>تبرير توزيع هذه الأبعاد؛ إذ يتقاطع كل من</w:t>
      </w:r>
      <w:r w:rsidRPr="00D9234A">
        <w:rPr>
          <w:rFonts w:ascii="Traditional Arabic" w:hAnsi="Traditional Arabic" w:cs="Traditional Arabic"/>
        </w:rPr>
        <w:t xml:space="preserve"> (DTD1) </w:t>
      </w:r>
      <w:r w:rsidRPr="00D9234A">
        <w:rPr>
          <w:rFonts w:ascii="Traditional Arabic" w:hAnsi="Traditional Arabic" w:cs="Traditional Arabic"/>
          <w:rtl/>
        </w:rPr>
        <w:t>و</w:t>
      </w:r>
      <w:r w:rsidRPr="00D9234A">
        <w:rPr>
          <w:rFonts w:ascii="Traditional Arabic" w:hAnsi="Traditional Arabic" w:cs="Traditional Arabic"/>
        </w:rPr>
        <w:t xml:space="preserve">(DTD2) </w:t>
      </w:r>
      <w:r w:rsidRPr="00D9234A">
        <w:rPr>
          <w:rFonts w:ascii="Traditional Arabic" w:hAnsi="Traditional Arabic" w:cs="Traditional Arabic"/>
          <w:rtl/>
        </w:rPr>
        <w:t>مع السياق التقني بما يشمله من توافر الأنظمة ونضجها وموثوقيتها، بينما يتقاطع كل من</w:t>
      </w:r>
      <w:r w:rsidRPr="00D9234A">
        <w:rPr>
          <w:rFonts w:ascii="Traditional Arabic" w:hAnsi="Traditional Arabic" w:cs="Traditional Arabic"/>
        </w:rPr>
        <w:t xml:space="preserve"> (DTD3) </w:t>
      </w:r>
      <w:r w:rsidRPr="00D9234A">
        <w:rPr>
          <w:rFonts w:ascii="Traditional Arabic" w:hAnsi="Traditional Arabic" w:cs="Traditional Arabic"/>
          <w:rtl/>
        </w:rPr>
        <w:t>و</w:t>
      </w:r>
      <w:r w:rsidRPr="00D9234A">
        <w:rPr>
          <w:rFonts w:ascii="Traditional Arabic" w:hAnsi="Traditional Arabic" w:cs="Traditional Arabic"/>
        </w:rPr>
        <w:t xml:space="preserve">(DTD4) </w:t>
      </w:r>
      <w:r w:rsidRPr="00D9234A">
        <w:rPr>
          <w:rFonts w:ascii="Traditional Arabic" w:hAnsi="Traditional Arabic" w:cs="Traditional Arabic"/>
          <w:rtl/>
        </w:rPr>
        <w:t>مع السياق التنظيمي بما يشمله من الدعم، والتدريب، وتصميم العمليات، وآليات التنسيق الداخلي</w:t>
      </w:r>
      <w:r w:rsidRPr="00D9234A">
        <w:rPr>
          <w:rFonts w:ascii="Traditional Arabic" w:hAnsi="Traditional Arabic" w:cs="Traditional Arabic"/>
        </w:rPr>
        <w:t xml:space="preserve"> (</w:t>
      </w:r>
      <w:proofErr w:type="spellStart"/>
      <w:r w:rsidRPr="00D9234A">
        <w:rPr>
          <w:rFonts w:ascii="Traditional Arabic" w:hAnsi="Traditional Arabic" w:cs="Traditional Arabic"/>
        </w:rPr>
        <w:t>Tornatzky</w:t>
      </w:r>
      <w:proofErr w:type="spellEnd"/>
      <w:r w:rsidRPr="00D9234A">
        <w:rPr>
          <w:rFonts w:ascii="Traditional Arabic" w:hAnsi="Traditional Arabic" w:cs="Traditional Arabic"/>
        </w:rPr>
        <w:t xml:space="preserve"> &amp; Fleischer, 1990; Oliveira &amp; Martins, 2011). </w:t>
      </w:r>
      <w:r w:rsidRPr="00D9234A">
        <w:rPr>
          <w:rFonts w:ascii="Traditional Arabic" w:hAnsi="Traditional Arabic" w:cs="Traditional Arabic"/>
          <w:rtl/>
        </w:rPr>
        <w:t>أما السياق البيئي فيظل خلفية تفسيرية مهمة في القطاع العام، من حيث الحوكمة والامتثال واللوائح، دون إدخاله متغيرًا مباشرًا ما لم تتضمنه أداة القياس</w:t>
      </w:r>
      <w:r w:rsidRPr="00D9234A">
        <w:rPr>
          <w:rFonts w:ascii="Traditional Arabic" w:hAnsi="Traditional Arabic" w:cs="Traditional Arabic"/>
        </w:rPr>
        <w:t>.</w:t>
      </w:r>
    </w:p>
    <w:p w14:paraId="306D7C34" w14:textId="758CE2FE" w:rsidR="00D9234A" w:rsidRPr="00D9234A" w:rsidRDefault="00D9234A" w:rsidP="00D9234A">
      <w:pPr>
        <w:bidi/>
        <w:spacing w:after="600" w:line="360" w:lineRule="auto"/>
        <w:divId w:val="1647278641"/>
        <w:rPr>
          <w:rFonts w:ascii="Traditional Arabic" w:hAnsi="Traditional Arabic" w:cs="Traditional Arabic"/>
        </w:rPr>
      </w:pPr>
      <w:r w:rsidRPr="00D9234A">
        <w:rPr>
          <w:rFonts w:ascii="Traditional Arabic" w:hAnsi="Traditional Arabic" w:cs="Traditional Arabic"/>
          <w:rtl/>
        </w:rPr>
        <w:t xml:space="preserve">وفي ضوء ذلك، لا تُعتمد </w:t>
      </w:r>
      <w:r w:rsidR="004D2C4E">
        <w:rPr>
          <w:rFonts w:ascii="Traditional Arabic" w:hAnsi="Traditional Arabic" w:cs="Traditional Arabic" w:hint="cs"/>
          <w:rtl/>
        </w:rPr>
        <w:t>"</w:t>
      </w:r>
      <w:r w:rsidRPr="00D9234A">
        <w:rPr>
          <w:rFonts w:ascii="Traditional Arabic" w:hAnsi="Traditional Arabic" w:cs="Traditional Arabic"/>
          <w:rtl/>
        </w:rPr>
        <w:t>التحديات التقنية</w:t>
      </w:r>
      <w:r w:rsidR="004D2C4E">
        <w:rPr>
          <w:rFonts w:ascii="Traditional Arabic" w:hAnsi="Traditional Arabic" w:cs="Traditional Arabic" w:hint="cs"/>
          <w:rtl/>
        </w:rPr>
        <w:t>"</w:t>
      </w:r>
      <w:r w:rsidRPr="00D9234A">
        <w:rPr>
          <w:rFonts w:ascii="Traditional Arabic" w:hAnsi="Traditional Arabic" w:cs="Traditional Arabic"/>
          <w:rtl/>
        </w:rPr>
        <w:t xml:space="preserve"> بوصفها بُعدًا مستقلًا ضمن متغير التحول الرقمي المؤسسي؛ لأن ذلك يخلط بين جودة التحول وآثاره الضاغطة</w:t>
      </w:r>
      <w:r w:rsidRPr="00D9234A">
        <w:rPr>
          <w:rFonts w:ascii="Traditional Arabic" w:hAnsi="Traditional Arabic" w:cs="Traditional Arabic"/>
        </w:rPr>
        <w:t xml:space="preserve">. </w:t>
      </w:r>
      <w:r w:rsidRPr="00D9234A">
        <w:rPr>
          <w:rFonts w:ascii="Traditional Arabic" w:hAnsi="Traditional Arabic" w:cs="Traditional Arabic"/>
          <w:rtl/>
        </w:rPr>
        <w:t>وعليه، فإذا انصرفت البنود إلى الأعطال، وبطء الاستجابة، وتكرار الأخطاء، وعدم استقرار الأنظمة، فإنها تُعامل بوصفها مؤشرات عكسية ضمن بُعد كفاءة الأنظمة والعمليات الرقمية</w:t>
      </w:r>
      <w:r w:rsidRPr="00D9234A">
        <w:rPr>
          <w:rFonts w:ascii="Traditional Arabic" w:hAnsi="Traditional Arabic" w:cs="Traditional Arabic"/>
        </w:rPr>
        <w:t xml:space="preserve"> (DTD2). </w:t>
      </w:r>
      <w:r w:rsidRPr="00D9234A">
        <w:rPr>
          <w:rFonts w:ascii="Traditional Arabic" w:hAnsi="Traditional Arabic" w:cs="Traditional Arabic"/>
          <w:rtl/>
        </w:rPr>
        <w:t>أما إذا انصرفت إلى الشعور بالعبء، أو التعقيد، أو الاقتحام، أو صعوبة مواكبة التغيرات التقنية، فإنها تُعامل ضمن متغير الإجهاد التقني</w:t>
      </w:r>
      <w:r w:rsidRPr="00D9234A">
        <w:rPr>
          <w:rFonts w:ascii="Traditional Arabic" w:hAnsi="Traditional Arabic" w:cs="Traditional Arabic"/>
        </w:rPr>
        <w:t xml:space="preserve"> (Technostress) </w:t>
      </w:r>
      <w:r w:rsidRPr="00D9234A">
        <w:rPr>
          <w:rFonts w:ascii="Traditional Arabic" w:hAnsi="Traditional Arabic" w:cs="Traditional Arabic"/>
          <w:rtl/>
        </w:rPr>
        <w:t>بوصفها صانعات ضغط تقني، لا عناصر في البناء المستقل ذاته</w:t>
      </w:r>
      <w:r w:rsidRPr="00D9234A">
        <w:rPr>
          <w:rFonts w:ascii="Traditional Arabic" w:hAnsi="Traditional Arabic" w:cs="Traditional Arabic"/>
        </w:rPr>
        <w:t xml:space="preserve"> (Ragu-Nathan et al., 2008; </w:t>
      </w:r>
      <w:proofErr w:type="spellStart"/>
      <w:r w:rsidRPr="00D9234A">
        <w:rPr>
          <w:rFonts w:ascii="Traditional Arabic" w:hAnsi="Traditional Arabic" w:cs="Traditional Arabic"/>
        </w:rPr>
        <w:t>Tarafdar</w:t>
      </w:r>
      <w:proofErr w:type="spellEnd"/>
      <w:r w:rsidRPr="00D9234A">
        <w:rPr>
          <w:rFonts w:ascii="Traditional Arabic" w:hAnsi="Traditional Arabic" w:cs="Traditional Arabic"/>
        </w:rPr>
        <w:t xml:space="preserve"> et al., 2011; </w:t>
      </w:r>
      <w:proofErr w:type="spellStart"/>
      <w:r w:rsidRPr="00D9234A">
        <w:rPr>
          <w:rFonts w:ascii="Traditional Arabic" w:hAnsi="Traditional Arabic" w:cs="Traditional Arabic"/>
        </w:rPr>
        <w:t>Ayyagari</w:t>
      </w:r>
      <w:proofErr w:type="spellEnd"/>
      <w:r w:rsidRPr="00D9234A">
        <w:rPr>
          <w:rFonts w:ascii="Traditional Arabic" w:hAnsi="Traditional Arabic" w:cs="Traditional Arabic"/>
        </w:rPr>
        <w:t xml:space="preserve"> et al., 2011).</w:t>
      </w:r>
    </w:p>
    <w:p w14:paraId="7342B06D" w14:textId="77777777" w:rsidR="00D9234A" w:rsidRPr="00D9234A" w:rsidRDefault="00D9234A" w:rsidP="00D9234A">
      <w:pPr>
        <w:bidi/>
        <w:spacing w:after="600" w:line="360" w:lineRule="auto"/>
        <w:divId w:val="1647278641"/>
        <w:rPr>
          <w:rFonts w:ascii="Traditional Arabic" w:hAnsi="Traditional Arabic" w:cs="Traditional Arabic"/>
        </w:rPr>
      </w:pPr>
      <w:r w:rsidRPr="00D9234A">
        <w:rPr>
          <w:rFonts w:ascii="Traditional Arabic" w:hAnsi="Traditional Arabic" w:cs="Traditional Arabic"/>
          <w:rtl/>
        </w:rPr>
        <w:t>وبذلك يُحافظ على الاتساق بين الإطار النظري وفرضيات الدراسة؛ إذ يظل التحول الرقمي المؤسسي بناءً موجَّهًا لقياس جودة التحول في البيئة الداخلية، بينما تُقاس آثاره الضاغطة نفسيًا ومعرفيًا من خلال متغير الإجهاد التقني. وانطلاقًا من هذا التحديد، يُتوقع أن يرتبط تحسن أبعاد التحول الرقمي المؤسسي الأربعة بارتفاع الرضا الوظيفي مباشرة</w:t>
      </w:r>
      <w:r w:rsidRPr="00D9234A">
        <w:rPr>
          <w:rFonts w:ascii="Traditional Arabic" w:hAnsi="Traditional Arabic" w:cs="Traditional Arabic"/>
        </w:rPr>
        <w:t xml:space="preserve"> (H1a–H1d)</w:t>
      </w:r>
      <w:r w:rsidRPr="00D9234A">
        <w:rPr>
          <w:rFonts w:ascii="Traditional Arabic" w:hAnsi="Traditional Arabic" w:cs="Traditional Arabic"/>
          <w:rtl/>
        </w:rPr>
        <w:t>، وبصورة غير مباشرة عبر رفع قبول التقنية وخفض الإجهاد التقني</w:t>
      </w:r>
      <w:r w:rsidRPr="00D9234A">
        <w:rPr>
          <w:rFonts w:ascii="Traditional Arabic" w:hAnsi="Traditional Arabic" w:cs="Traditional Arabic"/>
        </w:rPr>
        <w:t xml:space="preserve"> (H2–H3).</w:t>
      </w:r>
    </w:p>
    <w:p w14:paraId="21A7D44A" w14:textId="392B460C" w:rsidR="0062755D" w:rsidRPr="00D9234A" w:rsidRDefault="0062755D" w:rsidP="00D9234A">
      <w:pPr>
        <w:bidi/>
        <w:spacing w:after="160" w:line="360" w:lineRule="auto"/>
        <w:divId w:val="1647278641"/>
        <w:rPr>
          <w:rFonts w:ascii="Traditional Arabic" w:hAnsi="Traditional Arabic" w:cs="Traditional Arabic"/>
          <w:rtl/>
        </w:rPr>
      </w:pPr>
    </w:p>
    <w:tbl>
      <w:tblPr>
        <w:tblStyle w:val="5-3"/>
        <w:tblpPr w:leftFromText="180" w:rightFromText="180" w:vertAnchor="page" w:horzAnchor="margin" w:tblpY="2155"/>
        <w:bidiVisual/>
        <w:tblW w:w="9566" w:type="dxa"/>
        <w:tblLayout w:type="fixed"/>
        <w:tblLook w:val="04A0" w:firstRow="1" w:lastRow="0" w:firstColumn="1" w:lastColumn="0" w:noHBand="0" w:noVBand="1"/>
      </w:tblPr>
      <w:tblGrid>
        <w:gridCol w:w="1594"/>
        <w:gridCol w:w="1594"/>
        <w:gridCol w:w="1595"/>
        <w:gridCol w:w="1732"/>
        <w:gridCol w:w="1456"/>
        <w:gridCol w:w="1595"/>
      </w:tblGrid>
      <w:tr w:rsidR="0062755D" w:rsidRPr="007C2480" w14:paraId="31F0AE09" w14:textId="77777777" w:rsidTr="008B6F3E">
        <w:trPr>
          <w:cnfStyle w:val="100000000000" w:firstRow="1" w:lastRow="0" w:firstColumn="0" w:lastColumn="0" w:oddVBand="0" w:evenVBand="0" w:oddHBand="0"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688DB24C" w14:textId="77777777" w:rsidR="0062755D" w:rsidRPr="008B6F3E" w:rsidRDefault="0062755D" w:rsidP="007C5230">
            <w:pPr>
              <w:spacing w:line="360" w:lineRule="auto"/>
              <w:jc w:val="center"/>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tl/>
              </w:rPr>
              <w:lastRenderedPageBreak/>
              <w:t>بُعد التحول الرقمي المؤسسي</w:t>
            </w:r>
            <w:r w:rsidRPr="008B6F3E">
              <w:rPr>
                <w:rFonts w:ascii="Traditional Arabic" w:eastAsia="Times New Roman" w:hAnsi="Traditional Arabic" w:cs="Traditional Arabic"/>
                <w:color w:val="auto"/>
              </w:rPr>
              <w:t xml:space="preserve"> (DTD)</w:t>
            </w:r>
          </w:p>
        </w:tc>
        <w:tc>
          <w:tcPr>
            <w:tcW w:w="1594" w:type="dxa"/>
            <w:vAlign w:val="center"/>
            <w:hideMark/>
          </w:tcPr>
          <w:p w14:paraId="1EFDEC65" w14:textId="77777777" w:rsidR="0062755D" w:rsidRPr="008B6F3E"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tl/>
              </w:rPr>
              <w:t>مضمون البعد (تعريف إجرائي موجز)</w:t>
            </w:r>
          </w:p>
        </w:tc>
        <w:tc>
          <w:tcPr>
            <w:tcW w:w="1595" w:type="dxa"/>
            <w:vAlign w:val="center"/>
            <w:hideMark/>
          </w:tcPr>
          <w:p w14:paraId="0E62AFEB" w14:textId="77777777" w:rsidR="0062755D" w:rsidRPr="008B6F3E"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tl/>
              </w:rPr>
              <w:t>الأثر المتوقع على</w:t>
            </w:r>
            <w:r w:rsidRPr="008B6F3E">
              <w:rPr>
                <w:rFonts w:ascii="Traditional Arabic" w:eastAsia="Times New Roman" w:hAnsi="Traditional Arabic" w:cs="Traditional Arabic"/>
                <w:color w:val="auto"/>
              </w:rPr>
              <w:t xml:space="preserve"> TAM (PU/PEOU)</w:t>
            </w:r>
          </w:p>
        </w:tc>
        <w:tc>
          <w:tcPr>
            <w:tcW w:w="1732" w:type="dxa"/>
            <w:vAlign w:val="center"/>
            <w:hideMark/>
          </w:tcPr>
          <w:p w14:paraId="7B0379F3" w14:textId="77777777" w:rsidR="0062755D" w:rsidRPr="008B6F3E"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tl/>
              </w:rPr>
              <w:t>الأثر المتوقع على</w:t>
            </w:r>
            <w:r w:rsidRPr="008B6F3E">
              <w:rPr>
                <w:rFonts w:ascii="Traditional Arabic" w:eastAsia="Times New Roman" w:hAnsi="Traditional Arabic" w:cs="Traditional Arabic"/>
                <w:color w:val="auto"/>
              </w:rPr>
              <w:t xml:space="preserve"> Technostress</w:t>
            </w:r>
          </w:p>
        </w:tc>
        <w:tc>
          <w:tcPr>
            <w:tcW w:w="1456" w:type="dxa"/>
            <w:vAlign w:val="center"/>
            <w:hideMark/>
          </w:tcPr>
          <w:p w14:paraId="4F6A463A" w14:textId="77777777" w:rsidR="0062755D" w:rsidRPr="008B6F3E"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tl/>
              </w:rPr>
              <w:t>الأثر المتوقع على</w:t>
            </w:r>
            <w:r w:rsidRPr="008B6F3E">
              <w:rPr>
                <w:rFonts w:ascii="Traditional Arabic" w:eastAsia="Times New Roman" w:hAnsi="Traditional Arabic" w:cs="Traditional Arabic"/>
                <w:color w:val="auto"/>
              </w:rPr>
              <w:t xml:space="preserve"> JS</w:t>
            </w:r>
          </w:p>
        </w:tc>
        <w:tc>
          <w:tcPr>
            <w:tcW w:w="1595" w:type="dxa"/>
            <w:vAlign w:val="center"/>
            <w:hideMark/>
          </w:tcPr>
          <w:p w14:paraId="3B150F17" w14:textId="77777777" w:rsidR="0062755D" w:rsidRPr="008B6F3E" w:rsidRDefault="0062755D" w:rsidP="007C5230">
            <w:pPr>
              <w:spacing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tl/>
              </w:rPr>
              <w:t>أمثلة توثيق داخل المتن</w:t>
            </w:r>
          </w:p>
        </w:tc>
      </w:tr>
      <w:tr w:rsidR="0062755D" w:rsidRPr="007C2480" w14:paraId="33AA9B1E" w14:textId="77777777" w:rsidTr="008B6F3E">
        <w:trPr>
          <w:cnfStyle w:val="000000100000" w:firstRow="0" w:lastRow="0" w:firstColumn="0" w:lastColumn="0" w:oddVBand="0" w:evenVBand="0" w:oddHBand="1"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79517073" w14:textId="77777777" w:rsidR="0062755D" w:rsidRPr="008B6F3E" w:rsidRDefault="0062755D" w:rsidP="007C5230">
            <w:pPr>
              <w:spacing w:line="360" w:lineRule="auto"/>
              <w:jc w:val="center"/>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Pr>
              <w:t xml:space="preserve">DTD1 </w:t>
            </w:r>
            <w:r w:rsidRPr="008B6F3E">
              <w:rPr>
                <w:rFonts w:ascii="Traditional Arabic" w:eastAsia="Times New Roman" w:hAnsi="Traditional Arabic" w:cs="Traditional Arabic"/>
                <w:color w:val="auto"/>
                <w:rtl/>
              </w:rPr>
              <w:t>توفر/انتشار الأنظمة</w:t>
            </w:r>
          </w:p>
        </w:tc>
        <w:tc>
          <w:tcPr>
            <w:tcW w:w="1594" w:type="dxa"/>
            <w:vAlign w:val="center"/>
            <w:hideMark/>
          </w:tcPr>
          <w:p w14:paraId="4453DC2B"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مدى شمول الأنظمة الرقمية لمعاملات الموظف واستخدامها اليومي</w:t>
            </w:r>
          </w:p>
        </w:tc>
        <w:tc>
          <w:tcPr>
            <w:tcW w:w="1595" w:type="dxa"/>
            <w:vAlign w:val="center"/>
            <w:hideMark/>
          </w:tcPr>
          <w:p w14:paraId="60324924"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عبر تقليل الاعتماد على بدائل مرهقة/يدوية</w:t>
            </w:r>
          </w:p>
        </w:tc>
        <w:tc>
          <w:tcPr>
            <w:tcW w:w="1732" w:type="dxa"/>
            <w:vAlign w:val="center"/>
            <w:hideMark/>
          </w:tcPr>
          <w:p w14:paraId="042CDD06"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قد</w:t>
            </w:r>
            <w:r w:rsidRPr="007C2480">
              <w:rPr>
                <w:rFonts w:ascii="Traditional Arabic" w:eastAsia="Times New Roman" w:hAnsi="Traditional Arabic" w:cs="Traditional Arabic"/>
              </w:rPr>
              <w:t xml:space="preserve"> </w:t>
            </w:r>
            <w:r w:rsidRPr="007C2480">
              <w:rPr>
                <w:rFonts w:eastAsia="Times New Roman"/>
              </w:rPr>
              <w:t>↓</w:t>
            </w:r>
            <w:r w:rsidRPr="007C2480">
              <w:rPr>
                <w:rFonts w:ascii="Traditional Arabic" w:eastAsia="Times New Roman" w:hAnsi="Traditional Arabic" w:cs="Traditional Arabic"/>
              </w:rPr>
              <w:t xml:space="preserve"> overload </w:t>
            </w:r>
            <w:r w:rsidRPr="007C2480">
              <w:rPr>
                <w:rFonts w:ascii="Traditional Arabic" w:eastAsia="Times New Roman" w:hAnsi="Traditional Arabic" w:cs="Traditional Arabic"/>
                <w:rtl/>
              </w:rPr>
              <w:t xml:space="preserve">عبر تنظيم العمل، أو </w:t>
            </w:r>
            <w:r w:rsidRPr="007C2480">
              <w:rPr>
                <w:rFonts w:eastAsia="Times New Roman" w:hint="cs"/>
                <w:rtl/>
              </w:rPr>
              <w:t>↑</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إذا</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صاحبته</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كثافة</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أدوات</w:t>
            </w:r>
          </w:p>
        </w:tc>
        <w:tc>
          <w:tcPr>
            <w:tcW w:w="1456" w:type="dxa"/>
            <w:vAlign w:val="center"/>
            <w:hideMark/>
          </w:tcPr>
          <w:p w14:paraId="4827D4B8"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 xml:space="preserve">غالبًا </w:t>
            </w:r>
            <w:r w:rsidRPr="007C2480">
              <w:rPr>
                <w:rFonts w:eastAsia="Times New Roman" w:hint="cs"/>
                <w:rtl/>
              </w:rPr>
              <w:t>↑</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عبر</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إحساس</w:t>
            </w:r>
            <w:r w:rsidRPr="007C2480">
              <w:rPr>
                <w:rFonts w:ascii="Traditional Arabic" w:eastAsia="Times New Roman" w:hAnsi="Traditional Arabic" w:cs="Traditional Arabic"/>
                <w:rtl/>
              </w:rPr>
              <w:t xml:space="preserve"> </w:t>
            </w:r>
            <w:r w:rsidRPr="007C2480">
              <w:rPr>
                <w:rFonts w:ascii="Traditional Arabic" w:eastAsia="Times New Roman" w:hAnsi="Traditional Arabic" w:cs="Traditional Arabic" w:hint="cs"/>
                <w:rtl/>
              </w:rPr>
              <w:t>الإنجاز</w:t>
            </w:r>
            <w:r w:rsidRPr="007C2480">
              <w:rPr>
                <w:rFonts w:ascii="Traditional Arabic" w:eastAsia="Times New Roman" w:hAnsi="Traditional Arabic" w:cs="Traditional Arabic"/>
                <w:rtl/>
              </w:rPr>
              <w:t>/</w:t>
            </w:r>
            <w:r w:rsidRPr="007C2480">
              <w:rPr>
                <w:rFonts w:ascii="Traditional Arabic" w:eastAsia="Times New Roman" w:hAnsi="Traditional Arabic" w:cs="Traditional Arabic" w:hint="cs"/>
                <w:rtl/>
              </w:rPr>
              <w:t>السرعة</w:t>
            </w:r>
          </w:p>
        </w:tc>
        <w:tc>
          <w:tcPr>
            <w:tcW w:w="1595" w:type="dxa"/>
            <w:vAlign w:val="center"/>
            <w:hideMark/>
          </w:tcPr>
          <w:p w14:paraId="3B1870C2"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(Vial, 2019)</w:t>
            </w:r>
          </w:p>
        </w:tc>
      </w:tr>
      <w:tr w:rsidR="0062755D" w:rsidRPr="007C2480" w14:paraId="2DB13048" w14:textId="77777777" w:rsidTr="008B6F3E">
        <w:trPr>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330DA32B" w14:textId="77777777" w:rsidR="0062755D" w:rsidRPr="008B6F3E" w:rsidRDefault="0062755D" w:rsidP="007C5230">
            <w:pPr>
              <w:spacing w:line="360" w:lineRule="auto"/>
              <w:jc w:val="center"/>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Pr>
              <w:t xml:space="preserve">DTD2 </w:t>
            </w:r>
            <w:r w:rsidRPr="008B6F3E">
              <w:rPr>
                <w:rFonts w:ascii="Traditional Arabic" w:eastAsia="Times New Roman" w:hAnsi="Traditional Arabic" w:cs="Traditional Arabic"/>
                <w:color w:val="auto"/>
                <w:rtl/>
              </w:rPr>
              <w:t>كفاءة الأنظمة والعمليات</w:t>
            </w:r>
          </w:p>
        </w:tc>
        <w:tc>
          <w:tcPr>
            <w:tcW w:w="1594" w:type="dxa"/>
            <w:vAlign w:val="center"/>
            <w:hideMark/>
          </w:tcPr>
          <w:p w14:paraId="2D397739"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الاستقرار، سرعة الاستجابة، تقليل الأخطاء، وضوح التدفق</w:t>
            </w:r>
          </w:p>
        </w:tc>
        <w:tc>
          <w:tcPr>
            <w:tcW w:w="1595" w:type="dxa"/>
            <w:vAlign w:val="center"/>
            <w:hideMark/>
          </w:tcPr>
          <w:p w14:paraId="109F8DF1"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(تحسن الأداء) 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سلاسة الاستخدام</w:t>
            </w:r>
            <w:r w:rsidRPr="007C2480">
              <w:rPr>
                <w:rFonts w:ascii="Traditional Arabic" w:eastAsia="Times New Roman" w:hAnsi="Traditional Arabic" w:cs="Traditional Arabic"/>
              </w:rPr>
              <w:t>)</w:t>
            </w:r>
          </w:p>
        </w:tc>
        <w:tc>
          <w:tcPr>
            <w:tcW w:w="1732" w:type="dxa"/>
            <w:vAlign w:val="center"/>
            <w:hideMark/>
          </w:tcPr>
          <w:p w14:paraId="54150DEC"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complexity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uncertainty </w:t>
            </w:r>
            <w:r w:rsidRPr="007C2480">
              <w:rPr>
                <w:rFonts w:ascii="Traditional Arabic" w:eastAsia="Times New Roman" w:hAnsi="Traditional Arabic" w:cs="Traditional Arabic"/>
                <w:rtl/>
              </w:rPr>
              <w:t>إذا تحسن الاستقرار</w:t>
            </w:r>
          </w:p>
        </w:tc>
        <w:tc>
          <w:tcPr>
            <w:tcW w:w="1456" w:type="dxa"/>
            <w:vAlign w:val="center"/>
            <w:hideMark/>
          </w:tcPr>
          <w:p w14:paraId="46C3F97D"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الإنتاجية وثراء العمل، مع الحذر من ضغط الوقت</w:t>
            </w:r>
          </w:p>
        </w:tc>
        <w:tc>
          <w:tcPr>
            <w:tcW w:w="1595" w:type="dxa"/>
            <w:vAlign w:val="center"/>
            <w:hideMark/>
          </w:tcPr>
          <w:p w14:paraId="674719AF"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Bolli</w:t>
            </w:r>
            <w:proofErr w:type="spellEnd"/>
            <w:r w:rsidRPr="007C2480">
              <w:rPr>
                <w:rFonts w:ascii="Traditional Arabic" w:eastAsia="Times New Roman" w:hAnsi="Traditional Arabic" w:cs="Traditional Arabic"/>
              </w:rPr>
              <w:t xml:space="preserve"> &amp; </w:t>
            </w:r>
            <w:proofErr w:type="spellStart"/>
            <w:r w:rsidRPr="007C2480">
              <w:rPr>
                <w:rFonts w:ascii="Traditional Arabic" w:eastAsia="Times New Roman" w:hAnsi="Traditional Arabic" w:cs="Traditional Arabic"/>
              </w:rPr>
              <w:t>Pusterla</w:t>
            </w:r>
            <w:proofErr w:type="spellEnd"/>
            <w:r w:rsidRPr="007C2480">
              <w:rPr>
                <w:rFonts w:ascii="Traditional Arabic" w:eastAsia="Times New Roman" w:hAnsi="Traditional Arabic" w:cs="Traditional Arabic"/>
              </w:rPr>
              <w:t>, 2022)</w:t>
            </w:r>
          </w:p>
        </w:tc>
      </w:tr>
      <w:tr w:rsidR="0062755D" w:rsidRPr="007C2480" w14:paraId="3C93B075" w14:textId="77777777" w:rsidTr="008B6F3E">
        <w:trPr>
          <w:cnfStyle w:val="000000100000" w:firstRow="0" w:lastRow="0" w:firstColumn="0" w:lastColumn="0" w:oddVBand="0" w:evenVBand="0" w:oddHBand="1" w:evenHBand="0" w:firstRowFirstColumn="0" w:firstRowLastColumn="0" w:lastRowFirstColumn="0" w:lastRowLastColumn="0"/>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01960E9B" w14:textId="77777777" w:rsidR="0062755D" w:rsidRPr="008B6F3E" w:rsidRDefault="0062755D" w:rsidP="007C5230">
            <w:pPr>
              <w:spacing w:line="360" w:lineRule="auto"/>
              <w:jc w:val="center"/>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Pr>
              <w:t xml:space="preserve">DTD3 </w:t>
            </w:r>
            <w:r w:rsidRPr="008B6F3E">
              <w:rPr>
                <w:rFonts w:ascii="Traditional Arabic" w:eastAsia="Times New Roman" w:hAnsi="Traditional Arabic" w:cs="Traditional Arabic"/>
                <w:color w:val="auto"/>
                <w:rtl/>
              </w:rPr>
              <w:t>جودة الدعم والتدريب</w:t>
            </w:r>
          </w:p>
        </w:tc>
        <w:tc>
          <w:tcPr>
            <w:tcW w:w="1594" w:type="dxa"/>
            <w:vAlign w:val="center"/>
            <w:hideMark/>
          </w:tcPr>
          <w:p w14:paraId="74BAF89E"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التدريب، قنوات المساعدة، الاستجابة للأعطال</w:t>
            </w:r>
          </w:p>
        </w:tc>
        <w:tc>
          <w:tcPr>
            <w:tcW w:w="1595" w:type="dxa"/>
            <w:vAlign w:val="center"/>
            <w:hideMark/>
          </w:tcPr>
          <w:p w14:paraId="43E0BAF6"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(تعلم أسهل) و</w:t>
            </w: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عبر الاستخدام الفعال</w:t>
            </w:r>
          </w:p>
        </w:tc>
        <w:tc>
          <w:tcPr>
            <w:tcW w:w="1732" w:type="dxa"/>
            <w:vAlign w:val="center"/>
            <w:hideMark/>
          </w:tcPr>
          <w:p w14:paraId="1F715499"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overload/complexity </w:t>
            </w:r>
            <w:r w:rsidRPr="007C2480">
              <w:rPr>
                <w:rFonts w:ascii="Traditional Arabic" w:eastAsia="Times New Roman" w:hAnsi="Traditional Arabic" w:cs="Traditional Arabic"/>
                <w:rtl/>
              </w:rPr>
              <w:t>عبر التمكين والدعم</w:t>
            </w:r>
          </w:p>
        </w:tc>
        <w:tc>
          <w:tcPr>
            <w:tcW w:w="1456" w:type="dxa"/>
            <w:vAlign w:val="center"/>
            <w:hideMark/>
          </w:tcPr>
          <w:p w14:paraId="59C73444"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الثقة والتمكن وتقليل الإحباط</w:t>
            </w:r>
          </w:p>
        </w:tc>
        <w:tc>
          <w:tcPr>
            <w:tcW w:w="1595" w:type="dxa"/>
            <w:vAlign w:val="center"/>
            <w:hideMark/>
          </w:tcPr>
          <w:p w14:paraId="4A2D07DE" w14:textId="77777777" w:rsidR="0062755D" w:rsidRPr="007C2480" w:rsidRDefault="0062755D" w:rsidP="007C5230">
            <w:pPr>
              <w:spacing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DeLone</w:t>
            </w:r>
            <w:proofErr w:type="spellEnd"/>
            <w:r w:rsidRPr="007C2480">
              <w:rPr>
                <w:rFonts w:ascii="Traditional Arabic" w:eastAsia="Times New Roman" w:hAnsi="Traditional Arabic" w:cs="Traditional Arabic"/>
              </w:rPr>
              <w:t xml:space="preserve"> &amp; McLean, 2003</w:t>
            </w:r>
            <w:r w:rsidRPr="007C2480">
              <w:rPr>
                <w:rFonts w:ascii="Traditional Arabic" w:eastAsia="Times New Roman" w:hAnsi="Traditional Arabic" w:cs="Traditional Arabic"/>
                <w:rtl/>
              </w:rPr>
              <w:t>؛</w:t>
            </w:r>
            <w:r w:rsidRPr="007C2480">
              <w:rPr>
                <w:rFonts w:ascii="Traditional Arabic" w:eastAsia="Times New Roman" w:hAnsi="Traditional Arabic" w:cs="Traditional Arabic"/>
              </w:rPr>
              <w:t xml:space="preserve"> Kumar, 2024)</w:t>
            </w:r>
          </w:p>
        </w:tc>
      </w:tr>
      <w:tr w:rsidR="0062755D" w:rsidRPr="007C2480" w14:paraId="6B8C7982" w14:textId="77777777" w:rsidTr="008B6F3E">
        <w:trPr>
          <w:divId w:val="1647278641"/>
          <w:trHeight w:val="1320"/>
        </w:trPr>
        <w:tc>
          <w:tcPr>
            <w:cnfStyle w:val="001000000000" w:firstRow="0" w:lastRow="0" w:firstColumn="1" w:lastColumn="0" w:oddVBand="0" w:evenVBand="0" w:oddHBand="0" w:evenHBand="0" w:firstRowFirstColumn="0" w:firstRowLastColumn="0" w:lastRowFirstColumn="0" w:lastRowLastColumn="0"/>
            <w:tcW w:w="1594" w:type="dxa"/>
            <w:vAlign w:val="center"/>
            <w:hideMark/>
          </w:tcPr>
          <w:p w14:paraId="08E5460F" w14:textId="77777777" w:rsidR="0062755D" w:rsidRPr="008B6F3E" w:rsidRDefault="0062755D" w:rsidP="007C5230">
            <w:pPr>
              <w:spacing w:line="360" w:lineRule="auto"/>
              <w:jc w:val="center"/>
              <w:rPr>
                <w:rFonts w:ascii="Traditional Arabic" w:eastAsia="Times New Roman" w:hAnsi="Traditional Arabic" w:cs="Traditional Arabic"/>
                <w:color w:val="auto"/>
              </w:rPr>
            </w:pPr>
            <w:r w:rsidRPr="008B6F3E">
              <w:rPr>
                <w:rFonts w:ascii="Traditional Arabic" w:eastAsia="Times New Roman" w:hAnsi="Traditional Arabic" w:cs="Traditional Arabic"/>
                <w:color w:val="auto"/>
              </w:rPr>
              <w:t xml:space="preserve">DTD4 </w:t>
            </w:r>
            <w:r w:rsidRPr="008B6F3E">
              <w:rPr>
                <w:rFonts w:ascii="Traditional Arabic" w:eastAsia="Times New Roman" w:hAnsi="Traditional Arabic" w:cs="Traditional Arabic"/>
                <w:color w:val="auto"/>
                <w:rtl/>
              </w:rPr>
              <w:t>التكامل والتبسيط</w:t>
            </w:r>
          </w:p>
        </w:tc>
        <w:tc>
          <w:tcPr>
            <w:tcW w:w="1594" w:type="dxa"/>
            <w:vAlign w:val="center"/>
            <w:hideMark/>
          </w:tcPr>
          <w:p w14:paraId="5EBD60D9"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tl/>
              </w:rPr>
              <w:t>التشغيل البيني وتقليل الازدواجية والخطوات</w:t>
            </w:r>
          </w:p>
        </w:tc>
        <w:tc>
          <w:tcPr>
            <w:tcW w:w="1595" w:type="dxa"/>
            <w:vAlign w:val="center"/>
            <w:hideMark/>
          </w:tcPr>
          <w:p w14:paraId="223955E7"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PU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PEOU </w:t>
            </w:r>
            <w:r w:rsidRPr="007C2480">
              <w:rPr>
                <w:rFonts w:ascii="Traditional Arabic" w:eastAsia="Times New Roman" w:hAnsi="Traditional Arabic" w:cs="Traditional Arabic"/>
                <w:rtl/>
              </w:rPr>
              <w:t>عبر تبسيط رحلة الإجراء</w:t>
            </w:r>
          </w:p>
        </w:tc>
        <w:tc>
          <w:tcPr>
            <w:tcW w:w="1732" w:type="dxa"/>
            <w:vAlign w:val="center"/>
            <w:hideMark/>
          </w:tcPr>
          <w:p w14:paraId="0CA13612"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overload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interruption </w:t>
            </w:r>
            <w:r w:rsidRPr="007C2480">
              <w:rPr>
                <w:rFonts w:ascii="Traditional Arabic" w:eastAsia="Times New Roman" w:hAnsi="Traditional Arabic" w:cs="Traditional Arabic"/>
                <w:rtl/>
              </w:rPr>
              <w:t>و</w:t>
            </w:r>
            <w:r w:rsidRPr="007C2480">
              <w:rPr>
                <w:rFonts w:eastAsia="Times New Roman"/>
              </w:rPr>
              <w:t>↓</w:t>
            </w:r>
            <w:r w:rsidRPr="007C2480">
              <w:rPr>
                <w:rFonts w:ascii="Traditional Arabic" w:eastAsia="Times New Roman" w:hAnsi="Traditional Arabic" w:cs="Traditional Arabic"/>
              </w:rPr>
              <w:t xml:space="preserve"> uncertainty</w:t>
            </w:r>
          </w:p>
        </w:tc>
        <w:tc>
          <w:tcPr>
            <w:tcW w:w="1456" w:type="dxa"/>
            <w:vAlign w:val="center"/>
            <w:hideMark/>
          </w:tcPr>
          <w:p w14:paraId="1FA3F807"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eastAsia="Times New Roman"/>
              </w:rPr>
              <w:t>↑</w:t>
            </w:r>
            <w:r w:rsidRPr="007C2480">
              <w:rPr>
                <w:rFonts w:ascii="Traditional Arabic" w:eastAsia="Times New Roman" w:hAnsi="Traditional Arabic" w:cs="Traditional Arabic"/>
              </w:rPr>
              <w:t xml:space="preserve"> </w:t>
            </w:r>
            <w:r w:rsidRPr="007C2480">
              <w:rPr>
                <w:rFonts w:ascii="Traditional Arabic" w:eastAsia="Times New Roman" w:hAnsi="Traditional Arabic" w:cs="Traditional Arabic"/>
                <w:rtl/>
              </w:rPr>
              <w:t>عبر الانسيابية وتقليل الاحتكاك البيروقراطي</w:t>
            </w:r>
          </w:p>
        </w:tc>
        <w:tc>
          <w:tcPr>
            <w:tcW w:w="1595" w:type="dxa"/>
            <w:vAlign w:val="center"/>
            <w:hideMark/>
          </w:tcPr>
          <w:p w14:paraId="706EF3D1" w14:textId="77777777" w:rsidR="0062755D" w:rsidRPr="007C2480" w:rsidRDefault="0062755D" w:rsidP="007C5230">
            <w:pPr>
              <w:spacing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rPr>
            </w:pPr>
            <w:r w:rsidRPr="007C2480">
              <w:rPr>
                <w:rFonts w:ascii="Traditional Arabic" w:eastAsia="Times New Roman" w:hAnsi="Traditional Arabic" w:cs="Traditional Arabic"/>
              </w:rPr>
              <w:t>(</w:t>
            </w:r>
            <w:proofErr w:type="spellStart"/>
            <w:r w:rsidRPr="007C2480">
              <w:rPr>
                <w:rFonts w:ascii="Traditional Arabic" w:eastAsia="Times New Roman" w:hAnsi="Traditional Arabic" w:cs="Traditional Arabic"/>
              </w:rPr>
              <w:t>Mergel</w:t>
            </w:r>
            <w:proofErr w:type="spellEnd"/>
            <w:r w:rsidRPr="007C2480">
              <w:rPr>
                <w:rFonts w:ascii="Traditional Arabic" w:eastAsia="Times New Roman" w:hAnsi="Traditional Arabic" w:cs="Traditional Arabic"/>
              </w:rPr>
              <w:t xml:space="preserve"> et al., 2019)</w:t>
            </w:r>
          </w:p>
        </w:tc>
      </w:tr>
    </w:tbl>
    <w:p w14:paraId="2DF02590" w14:textId="4A23ABBC" w:rsidR="0062755D" w:rsidRPr="003B7C35" w:rsidRDefault="0062755D" w:rsidP="003B7C35">
      <w:pPr>
        <w:bidi/>
        <w:spacing w:after="160" w:line="360" w:lineRule="auto"/>
        <w:divId w:val="1647278641"/>
        <w:rPr>
          <w:rFonts w:ascii="Traditional Arabic" w:hAnsi="Traditional Arabic" w:cs="Traditional Arabic"/>
          <w:b/>
          <w:bCs/>
          <w:rtl/>
          <w:lang w:bidi="ar"/>
        </w:rPr>
      </w:pPr>
      <w:r w:rsidRPr="00606ECD">
        <w:rPr>
          <w:rFonts w:ascii="Traditional Arabic" w:hAnsi="Traditional Arabic" w:cs="Traditional Arabic"/>
          <w:b/>
          <w:bCs/>
          <w:rtl/>
        </w:rPr>
        <w:t>جدول تلخيصي لعلاقة أبعاد</w:t>
      </w:r>
      <w:r w:rsidRPr="00606ECD">
        <w:rPr>
          <w:rFonts w:ascii="Traditional Arabic" w:hAnsi="Traditional Arabic" w:cs="Traditional Arabic"/>
          <w:b/>
          <w:bCs/>
          <w:lang w:bidi="ar"/>
        </w:rPr>
        <w:t xml:space="preserve"> DTD </w:t>
      </w:r>
      <w:r w:rsidRPr="00606ECD">
        <w:rPr>
          <w:rFonts w:ascii="Traditional Arabic" w:hAnsi="Traditional Arabic" w:cs="Traditional Arabic"/>
          <w:b/>
          <w:bCs/>
          <w:rtl/>
        </w:rPr>
        <w:t>بالآثار المتوقعة</w:t>
      </w:r>
    </w:p>
    <w:p w14:paraId="7B82EB66" w14:textId="3159B329" w:rsidR="0062755D" w:rsidRPr="003B7C35" w:rsidRDefault="0062755D" w:rsidP="003B7C35">
      <w:pPr>
        <w:bidi/>
        <w:spacing w:after="160" w:line="360" w:lineRule="auto"/>
        <w:divId w:val="1647278641"/>
        <w:rPr>
          <w:rFonts w:ascii="Traditional Arabic" w:hAnsi="Traditional Arabic" w:cs="Traditional Arabic"/>
          <w:lang w:bidi="ar"/>
        </w:rPr>
      </w:pPr>
      <w:r w:rsidRPr="007C2480">
        <w:rPr>
          <w:rFonts w:ascii="Traditional Arabic" w:hAnsi="Traditional Arabic" w:cs="Traditional Arabic"/>
          <w:rtl/>
        </w:rPr>
        <w:t xml:space="preserve">تستند منطلقات الجدول إلى أدبيات التحول الرقمي (خصوصًا تركيزه على إعادة تصميم العمليات)، وإلى أدلة أثر </w:t>
      </w:r>
      <w:proofErr w:type="spellStart"/>
      <w:r w:rsidRPr="007C2480">
        <w:rPr>
          <w:rFonts w:ascii="Traditional Arabic" w:hAnsi="Traditional Arabic" w:cs="Traditional Arabic"/>
          <w:rtl/>
        </w:rPr>
        <w:t>الرقمنة</w:t>
      </w:r>
      <w:proofErr w:type="spellEnd"/>
      <w:r w:rsidRPr="007C2480">
        <w:rPr>
          <w:rFonts w:ascii="Traditional Arabic" w:hAnsi="Traditional Arabic" w:cs="Traditional Arabic"/>
          <w:rtl/>
        </w:rPr>
        <w:t xml:space="preserve"> على الرضا عبر قنوات الإنتاجية وتوازن الحياة، وإلى نماذج جودة النظام/الخدمة وارتباطها بالرضا، وإلى مراجعات الإجهاد التقني التي تؤكد دور التدخلات التنظيمية (الدعم/التدريب) في التخفيف</w:t>
      </w:r>
      <w:r w:rsidRPr="007C2480">
        <w:rPr>
          <w:rFonts w:ascii="Traditional Arabic" w:hAnsi="Traditional Arabic" w:cs="Traditional Arabic"/>
          <w:lang w:bidi="ar"/>
        </w:rPr>
        <w:t>.</w:t>
      </w:r>
      <w:r w:rsidR="003B7C35">
        <w:rPr>
          <w:rFonts w:ascii="Traditional Arabic" w:hAnsi="Traditional Arabic" w:cs="Traditional Arabic"/>
          <w:lang w:bidi="ar"/>
        </w:rPr>
        <w:tab/>
      </w:r>
    </w:p>
    <w:p w14:paraId="00720589" w14:textId="46F31978" w:rsidR="00D70865" w:rsidRPr="00D70865" w:rsidRDefault="00335B65" w:rsidP="00D70865">
      <w:pPr>
        <w:bidi/>
        <w:spacing w:after="160" w:line="360" w:lineRule="auto"/>
        <w:divId w:val="1647278641"/>
        <w:rPr>
          <w:rFonts w:ascii="Traditional Arabic" w:hAnsi="Traditional Arabic" w:cs="Traditional Arabic"/>
        </w:rPr>
      </w:pPr>
      <w:proofErr w:type="gramStart"/>
      <w:r w:rsidRPr="0062755D">
        <w:rPr>
          <w:rFonts w:ascii="Traditional Arabic" w:hAnsi="Traditional Arabic" w:cs="Traditional Arabic"/>
          <w:b/>
          <w:bCs/>
        </w:rPr>
        <w:t xml:space="preserve">2.1.3 </w:t>
      </w:r>
      <w:r w:rsidR="0062755D" w:rsidRPr="0062755D">
        <w:rPr>
          <w:rFonts w:ascii="Traditional Arabic" w:hAnsi="Traditional Arabic" w:cs="Traditional Arabic" w:hint="cs"/>
          <w:b/>
          <w:bCs/>
          <w:rtl/>
        </w:rPr>
        <w:t xml:space="preserve"> </w:t>
      </w:r>
      <w:r w:rsidRPr="0062755D">
        <w:rPr>
          <w:rFonts w:ascii="Traditional Arabic" w:hAnsi="Traditional Arabic" w:cs="Traditional Arabic"/>
          <w:b/>
          <w:bCs/>
          <w:rtl/>
        </w:rPr>
        <w:t>الرضا</w:t>
      </w:r>
      <w:proofErr w:type="gramEnd"/>
      <w:r w:rsidRPr="0062755D">
        <w:rPr>
          <w:rFonts w:ascii="Traditional Arabic" w:hAnsi="Traditional Arabic" w:cs="Traditional Arabic"/>
          <w:b/>
          <w:bCs/>
          <w:rtl/>
        </w:rPr>
        <w:t xml:space="preserve"> الوظيفي في بيئة العمل الرقمية</w:t>
      </w:r>
      <w:r w:rsidRPr="00335B65">
        <w:rPr>
          <w:rFonts w:ascii="Traditional Arabic" w:hAnsi="Traditional Arabic" w:cs="Traditional Arabic"/>
        </w:rPr>
        <w:br/>
      </w:r>
      <w:r w:rsidR="00D70865" w:rsidRPr="00D70865">
        <w:rPr>
          <w:rFonts w:ascii="Traditional Arabic" w:hAnsi="Traditional Arabic" w:cs="Traditional Arabic"/>
          <w:rtl/>
        </w:rPr>
        <w:t>ومن حيث القياس، ينبغي التمييز بوضوح بين البناء النظري للرضا الوظيفي وبين الأداة المستخدمة لقياسه في الدراسة الحالية. فالأدبيات الكلاسيكية والمعاصرة تتعامل مع الرضا الوظيفي بوصفه تقييمًا عامًا أو متعدد الأبعاد للخبرة الوظيفية، وقدّم</w:t>
      </w:r>
      <w:r w:rsidR="00D70865" w:rsidRPr="00D70865">
        <w:rPr>
          <w:rFonts w:ascii="Traditional Arabic" w:hAnsi="Traditional Arabic" w:cs="Traditional Arabic"/>
        </w:rPr>
        <w:t xml:space="preserve"> </w:t>
      </w:r>
      <w:r w:rsidR="00D70865" w:rsidRPr="00D70865">
        <w:rPr>
          <w:rFonts w:ascii="Traditional Arabic" w:hAnsi="Traditional Arabic" w:cs="Traditional Arabic"/>
        </w:rPr>
        <w:lastRenderedPageBreak/>
        <w:t xml:space="preserve">Spector </w:t>
      </w:r>
      <w:r w:rsidR="00D70865" w:rsidRPr="00D70865">
        <w:rPr>
          <w:rFonts w:ascii="Traditional Arabic" w:hAnsi="Traditional Arabic" w:cs="Traditional Arabic"/>
          <w:rtl/>
        </w:rPr>
        <w:t>مرجعًا مهمًا في عرض نظرياته وأدواته، كما يُعد </w:t>
      </w:r>
      <w:r w:rsidR="00D70865" w:rsidRPr="00D70865">
        <w:rPr>
          <w:rFonts w:ascii="Traditional Arabic" w:hAnsi="Traditional Arabic" w:cs="Traditional Arabic"/>
        </w:rPr>
        <w:t>Job Satisfaction Survey (JSS) </w:t>
      </w:r>
      <w:r w:rsidR="00D70865" w:rsidRPr="00D70865">
        <w:rPr>
          <w:rFonts w:ascii="Traditional Arabic" w:hAnsi="Traditional Arabic" w:cs="Traditional Arabic"/>
          <w:rtl/>
        </w:rPr>
        <w:t>أداةً أصلية معروفة تتكون من 36 بندًا موزعة على تسعة أبعاد وباستجابة سداسية، وقد طُوِّرت أساسًا لقياس الرضا في منظمات الخدمة العامة والخدمات الإنسانية. فإذا كانت أداة الدراسة الحالية لا تستخدم هذه البنية الأصلية حرفيًا، بل تعتمد مقياسًا مكيَّفًا لبيئة العمل الرقمية وباستجابة خماسية، فيجب النص صراحةً على أن الدراسة لا تستخدم</w:t>
      </w:r>
      <w:r w:rsidR="00D70865" w:rsidRPr="00D70865">
        <w:rPr>
          <w:rFonts w:ascii="Traditional Arabic" w:hAnsi="Traditional Arabic" w:cs="Traditional Arabic"/>
        </w:rPr>
        <w:t xml:space="preserve"> JSS </w:t>
      </w:r>
      <w:r w:rsidR="00D70865" w:rsidRPr="00D70865">
        <w:rPr>
          <w:rFonts w:ascii="Traditional Arabic" w:hAnsi="Traditional Arabic" w:cs="Traditional Arabic"/>
          <w:rtl/>
        </w:rPr>
        <w:t>الأصلي بصيغته الكاملة، وإنما تستفيد من</w:t>
      </w:r>
      <w:r w:rsidR="00D70865" w:rsidRPr="00D70865">
        <w:rPr>
          <w:rFonts w:ascii="Traditional Arabic" w:hAnsi="Traditional Arabic" w:cs="Traditional Arabic"/>
        </w:rPr>
        <w:t xml:space="preserve"> </w:t>
      </w:r>
      <w:proofErr w:type="gramStart"/>
      <w:r w:rsidR="00D70865" w:rsidRPr="00D70865">
        <w:rPr>
          <w:rFonts w:ascii="Traditional Arabic" w:hAnsi="Traditional Arabic" w:cs="Traditional Arabic"/>
        </w:rPr>
        <w:t xml:space="preserve">Spector </w:t>
      </w:r>
      <w:r w:rsidR="00D70865">
        <w:rPr>
          <w:rFonts w:ascii="Traditional Arabic" w:hAnsi="Traditional Arabic" w:cs="Traditional Arabic" w:hint="cs"/>
          <w:rtl/>
        </w:rPr>
        <w:t xml:space="preserve"> </w:t>
      </w:r>
      <w:r w:rsidR="00D70865" w:rsidRPr="00D70865">
        <w:rPr>
          <w:rFonts w:ascii="Traditional Arabic" w:hAnsi="Traditional Arabic" w:cs="Traditional Arabic"/>
          <w:rtl/>
        </w:rPr>
        <w:t>مرجعًا</w:t>
      </w:r>
      <w:proofErr w:type="gramEnd"/>
      <w:r w:rsidR="00D70865" w:rsidRPr="00D70865">
        <w:rPr>
          <w:rFonts w:ascii="Traditional Arabic" w:hAnsi="Traditional Arabic" w:cs="Traditional Arabic"/>
          <w:rtl/>
        </w:rPr>
        <w:t xml:space="preserve"> للبناء المفاهيمي العام للرضا الوظيفي، ثم تكيّف بنود القياس بما يتفق مع سياق العمل الرقمي وأهداف الدراسة. أما إذا كانت الاستبانة النهائية تستخدم</w:t>
      </w:r>
      <w:r w:rsidR="00D70865" w:rsidRPr="00D70865">
        <w:rPr>
          <w:rFonts w:ascii="Traditional Arabic" w:hAnsi="Traditional Arabic" w:cs="Traditional Arabic"/>
        </w:rPr>
        <w:t xml:space="preserve"> JSS </w:t>
      </w:r>
      <w:r w:rsidR="00D70865" w:rsidRPr="00D70865">
        <w:rPr>
          <w:rFonts w:ascii="Traditional Arabic" w:hAnsi="Traditional Arabic" w:cs="Traditional Arabic"/>
          <w:rtl/>
        </w:rPr>
        <w:t>أو ترجمةً معتمدة له، فيجب ذكر ذلك بالنص، مع توضيح عدد البنود، والأبعاد، وطريقة الاستجابة، والحصول على الصيغة المسموح بها أكاديميًا</w:t>
      </w:r>
      <w:r w:rsidR="00D70865" w:rsidRPr="00D70865">
        <w:rPr>
          <w:rFonts w:ascii="Traditional Arabic" w:hAnsi="Traditional Arabic" w:cs="Traditional Arabic"/>
        </w:rPr>
        <w:t>. </w:t>
      </w:r>
    </w:p>
    <w:p w14:paraId="314B0760" w14:textId="77777777" w:rsidR="00D70865" w:rsidRPr="00D70865" w:rsidRDefault="00D70865" w:rsidP="00D70865">
      <w:pPr>
        <w:bidi/>
        <w:spacing w:after="160" w:line="360" w:lineRule="auto"/>
        <w:divId w:val="1647278641"/>
        <w:rPr>
          <w:rFonts w:ascii="Traditional Arabic" w:hAnsi="Traditional Arabic" w:cs="Traditional Arabic"/>
        </w:rPr>
      </w:pPr>
      <w:r w:rsidRPr="00D70865">
        <w:rPr>
          <w:rFonts w:ascii="Traditional Arabic" w:hAnsi="Traditional Arabic" w:cs="Traditional Arabic"/>
          <w:rtl/>
        </w:rPr>
        <w:t>ولأجل اتساق البناء النظري مع الأداة، فإن الأنسب في النسخة الحالية ــ ما دام الفصل يربط الرضا الوظيفي بخصوصية بيئة العمل الرقمية داخل وزارة الموارد البشرية والتنمية الاجتماعية ــ هو التصريح بأن المقياس المعتمد مقياس مكيَّف للرضا الوظيفي في بيئة العمل الرقمية، يستند إلى الأدبيات العامة في الرضا الوظيفي وتصميم العمل، ويستفيد كذلك من أدبيات رضا/قبول النظم الرقمية والآثار المهنية لاستخدام تقنيات المعلومات في العمل. وتبرير هذا الاختيار أن الرضا المقصود في الدراسة لا يقتصر على الرضا العام عن الوظيفة في معناها التقليدي، بل يتصل أيضًا بإدراك الموظف لسهولة العمل عبر الأنظمة، وأثرها في الإنتاجية، والتوازن بين العمل والحياة، وجودة الدعم المؤسسي في سياق التحوّل الرقمي. وهذه الصياغة أكثر دقة من الإحالة العامة إلى</w:t>
      </w:r>
      <w:r w:rsidRPr="00D70865">
        <w:rPr>
          <w:rFonts w:ascii="Traditional Arabic" w:hAnsi="Traditional Arabic" w:cs="Traditional Arabic"/>
        </w:rPr>
        <w:t xml:space="preserve"> Spector </w:t>
      </w:r>
      <w:r w:rsidRPr="00D70865">
        <w:rPr>
          <w:rFonts w:ascii="Traditional Arabic" w:hAnsi="Traditional Arabic" w:cs="Traditional Arabic"/>
          <w:rtl/>
        </w:rPr>
        <w:t>وحده إذا كانت البنود النهائية قد أُعيد تكييفها لتناسب بيئة العمل الرقمية</w:t>
      </w:r>
      <w:r w:rsidRPr="00D70865">
        <w:rPr>
          <w:rFonts w:ascii="Traditional Arabic" w:hAnsi="Traditional Arabic" w:cs="Traditional Arabic"/>
        </w:rPr>
        <w:t>. </w:t>
      </w:r>
    </w:p>
    <w:p w14:paraId="52B7A53F" w14:textId="10487667" w:rsidR="00335B65" w:rsidRPr="00335B65" w:rsidRDefault="00D70865" w:rsidP="00335B65">
      <w:pPr>
        <w:bidi/>
        <w:spacing w:after="160" w:line="360" w:lineRule="auto"/>
        <w:divId w:val="1647278641"/>
        <w:rPr>
          <w:rFonts w:ascii="Traditional Arabic" w:hAnsi="Traditional Arabic" w:cs="Traditional Arabic"/>
        </w:rPr>
      </w:pPr>
      <w:r>
        <w:rPr>
          <w:rFonts w:ascii="Traditional Arabic" w:hAnsi="Traditional Arabic" w:cs="Traditional Arabic"/>
        </w:rPr>
        <w:t xml:space="preserve"> </w:t>
      </w:r>
      <w:r w:rsidR="00335B65" w:rsidRPr="0062755D">
        <w:rPr>
          <w:rFonts w:ascii="Traditional Arabic" w:hAnsi="Traditional Arabic" w:cs="Traditional Arabic"/>
          <w:b/>
          <w:bCs/>
        </w:rPr>
        <w:t xml:space="preserve">2.1.4 </w:t>
      </w:r>
      <w:r w:rsidR="00335B65" w:rsidRPr="0062755D">
        <w:rPr>
          <w:rFonts w:ascii="Traditional Arabic" w:hAnsi="Traditional Arabic" w:cs="Traditional Arabic"/>
          <w:b/>
          <w:bCs/>
          <w:rtl/>
        </w:rPr>
        <w:t>نموذج قبول التقنية</w:t>
      </w:r>
      <w:r w:rsidR="00335B65" w:rsidRPr="0062755D">
        <w:rPr>
          <w:rFonts w:ascii="Traditional Arabic" w:hAnsi="Traditional Arabic" w:cs="Traditional Arabic"/>
          <w:b/>
          <w:bCs/>
        </w:rPr>
        <w:t xml:space="preserve"> (TAM) </w:t>
      </w:r>
      <w:r w:rsidR="00335B65" w:rsidRPr="0062755D">
        <w:rPr>
          <w:rFonts w:ascii="Traditional Arabic" w:hAnsi="Traditional Arabic" w:cs="Traditional Arabic"/>
          <w:b/>
          <w:bCs/>
          <w:rtl/>
        </w:rPr>
        <w:t>ودوره في تفسير مسار الدراسة</w:t>
      </w:r>
      <w:r w:rsidR="00335B65" w:rsidRPr="00335B65">
        <w:rPr>
          <w:rFonts w:ascii="Traditional Arabic" w:hAnsi="Traditional Arabic" w:cs="Traditional Arabic"/>
        </w:rPr>
        <w:br/>
      </w:r>
      <w:r w:rsidR="00335B65" w:rsidRPr="00335B65">
        <w:rPr>
          <w:rFonts w:ascii="Traditional Arabic" w:hAnsi="Traditional Arabic" w:cs="Traditional Arabic"/>
          <w:rtl/>
        </w:rPr>
        <w:t>يُعَد نموذج قبول التقنية</w:t>
      </w:r>
      <w:r w:rsidR="00335B65" w:rsidRPr="00335B65">
        <w:rPr>
          <w:rFonts w:ascii="Traditional Arabic" w:hAnsi="Traditional Arabic" w:cs="Traditional Arabic"/>
        </w:rPr>
        <w:t xml:space="preserve"> (TAM) </w:t>
      </w:r>
      <w:r w:rsidR="00335B65" w:rsidRPr="00335B65">
        <w:rPr>
          <w:rFonts w:ascii="Traditional Arabic" w:hAnsi="Traditional Arabic" w:cs="Traditional Arabic"/>
          <w:rtl/>
        </w:rPr>
        <w:t>إطارًا تأسيسيًا لتفسير تبني المستخدم للتقنيات داخل العمل عبر بعدين إدراكيين: المنفعة المتصورة</w:t>
      </w:r>
      <w:r w:rsidR="00335B65" w:rsidRPr="00335B65">
        <w:rPr>
          <w:rFonts w:ascii="Traditional Arabic" w:hAnsi="Traditional Arabic" w:cs="Traditional Arabic"/>
        </w:rPr>
        <w:t xml:space="preserve"> (PU) </w:t>
      </w:r>
      <w:r w:rsidR="00335B65" w:rsidRPr="00335B65">
        <w:rPr>
          <w:rFonts w:ascii="Traditional Arabic" w:hAnsi="Traditional Arabic" w:cs="Traditional Arabic"/>
          <w:rtl/>
        </w:rPr>
        <w:t>وسهولة الاستخدام المتصورة</w:t>
      </w:r>
      <w:r w:rsidR="00335B65" w:rsidRPr="00335B65">
        <w:rPr>
          <w:rFonts w:ascii="Traditional Arabic" w:hAnsi="Traditional Arabic" w:cs="Traditional Arabic"/>
        </w:rPr>
        <w:t xml:space="preserve"> (PEOU) (Davis, 1989). </w:t>
      </w:r>
      <w:r w:rsidR="00335B65" w:rsidRPr="00335B65">
        <w:rPr>
          <w:rFonts w:ascii="Traditional Arabic" w:hAnsi="Traditional Arabic" w:cs="Traditional Arabic"/>
          <w:rtl/>
        </w:rPr>
        <w:t>ويُفترض أن تسهم</w:t>
      </w:r>
      <w:r w:rsidR="00335B65" w:rsidRPr="00335B65">
        <w:rPr>
          <w:rFonts w:ascii="Traditional Arabic" w:hAnsi="Traditional Arabic" w:cs="Traditional Arabic"/>
        </w:rPr>
        <w:t xml:space="preserve"> PEOU </w:t>
      </w:r>
      <w:r w:rsidR="00335B65" w:rsidRPr="00335B65">
        <w:rPr>
          <w:rFonts w:ascii="Traditional Arabic" w:hAnsi="Traditional Arabic" w:cs="Traditional Arabic"/>
          <w:rtl/>
        </w:rPr>
        <w:t>في رفع</w:t>
      </w:r>
      <w:r w:rsidR="00335B65" w:rsidRPr="00335B65">
        <w:rPr>
          <w:rFonts w:ascii="Traditional Arabic" w:hAnsi="Traditional Arabic" w:cs="Traditional Arabic"/>
        </w:rPr>
        <w:t xml:space="preserve"> PU </w:t>
      </w:r>
      <w:r w:rsidR="00335B65" w:rsidRPr="00335B65">
        <w:rPr>
          <w:rFonts w:ascii="Traditional Arabic" w:hAnsi="Traditional Arabic" w:cs="Traditional Arabic"/>
          <w:rtl/>
        </w:rPr>
        <w:t>في كثير من السياقات، وأن كليهما يرتبط بمواقف/نيات الاستخدام ثم الاستخدام الفعلي</w:t>
      </w:r>
      <w:r w:rsidR="00335B65" w:rsidRPr="00335B65">
        <w:rPr>
          <w:rFonts w:ascii="Traditional Arabic" w:hAnsi="Traditional Arabic" w:cs="Traditional Arabic"/>
        </w:rPr>
        <w:t xml:space="preserve"> Davis, 1989</w:t>
      </w:r>
      <w:proofErr w:type="gramStart"/>
      <w:r w:rsidR="00B04E3B">
        <w:rPr>
          <w:rFonts w:ascii="Traditional Arabic" w:hAnsi="Traditional Arabic" w:cs="Traditional Arabic"/>
        </w:rPr>
        <w:t xml:space="preserve">) </w:t>
      </w:r>
      <w:r w:rsidR="00335B65" w:rsidRPr="00335B65">
        <w:rPr>
          <w:rFonts w:ascii="Traditional Arabic" w:hAnsi="Traditional Arabic" w:cs="Traditional Arabic"/>
          <w:rtl/>
        </w:rPr>
        <w:t>؛</w:t>
      </w:r>
      <w:proofErr w:type="gramEnd"/>
      <w:r w:rsidR="00335B65" w:rsidRPr="00335B65">
        <w:rPr>
          <w:rFonts w:ascii="Traditional Arabic" w:hAnsi="Traditional Arabic" w:cs="Traditional Arabic"/>
        </w:rPr>
        <w:t xml:space="preserve"> Venkatesh &amp; </w:t>
      </w:r>
      <w:r w:rsidR="00B04E3B">
        <w:rPr>
          <w:rFonts w:ascii="Traditional Arabic" w:hAnsi="Traditional Arabic" w:cs="Traditional Arabic"/>
        </w:rPr>
        <w:t>(</w:t>
      </w:r>
      <w:r w:rsidR="00335B65" w:rsidRPr="00335B65">
        <w:rPr>
          <w:rFonts w:ascii="Traditional Arabic" w:hAnsi="Traditional Arabic" w:cs="Traditional Arabic"/>
        </w:rPr>
        <w:t xml:space="preserve">Davis, 2000 </w:t>
      </w:r>
      <w:r w:rsidR="00B04E3B">
        <w:rPr>
          <w:rFonts w:ascii="Traditional Arabic" w:hAnsi="Traditional Arabic" w:cs="Traditional Arabic" w:hint="cs"/>
          <w:rtl/>
        </w:rPr>
        <w:t xml:space="preserve"> </w:t>
      </w:r>
      <w:r w:rsidR="00335B65" w:rsidRPr="00335B65">
        <w:rPr>
          <w:rFonts w:ascii="Traditional Arabic" w:hAnsi="Traditional Arabic" w:cs="Traditional Arabic"/>
          <w:rtl/>
        </w:rPr>
        <w:t>كما طُور</w:t>
      </w:r>
      <w:r w:rsidR="00335B65" w:rsidRPr="00335B65">
        <w:rPr>
          <w:rFonts w:ascii="Traditional Arabic" w:hAnsi="Traditional Arabic" w:cs="Traditional Arabic"/>
        </w:rPr>
        <w:t xml:space="preserve"> TAM </w:t>
      </w:r>
      <w:r w:rsidR="00335B65" w:rsidRPr="00335B65">
        <w:rPr>
          <w:rFonts w:ascii="Traditional Arabic" w:hAnsi="Traditional Arabic" w:cs="Traditional Arabic"/>
          <w:rtl/>
        </w:rPr>
        <w:t>لاحقًا عبر</w:t>
      </w:r>
      <w:r w:rsidR="00335B65" w:rsidRPr="00335B65">
        <w:rPr>
          <w:rFonts w:ascii="Traditional Arabic" w:hAnsi="Traditional Arabic" w:cs="Traditional Arabic"/>
        </w:rPr>
        <w:t xml:space="preserve"> TAM3 </w:t>
      </w:r>
      <w:r w:rsidR="00335B65" w:rsidRPr="00335B65">
        <w:rPr>
          <w:rFonts w:ascii="Traditional Arabic" w:hAnsi="Traditional Arabic" w:cs="Traditional Arabic"/>
          <w:rtl/>
        </w:rPr>
        <w:t>بدعوة لتدخلات تنظيمية تعزز القبول</w:t>
      </w:r>
      <w:r w:rsidR="00335B65" w:rsidRPr="00335B65">
        <w:rPr>
          <w:rFonts w:ascii="Traditional Arabic" w:hAnsi="Traditional Arabic" w:cs="Traditional Arabic"/>
        </w:rPr>
        <w:t xml:space="preserve"> (Venkatesh &amp; </w:t>
      </w:r>
      <w:proofErr w:type="spellStart"/>
      <w:r w:rsidR="00335B65" w:rsidRPr="00335B65">
        <w:rPr>
          <w:rFonts w:ascii="Traditional Arabic" w:hAnsi="Traditional Arabic" w:cs="Traditional Arabic"/>
        </w:rPr>
        <w:t>Bala</w:t>
      </w:r>
      <w:proofErr w:type="spellEnd"/>
      <w:r w:rsidR="00335B65" w:rsidRPr="00335B65">
        <w:rPr>
          <w:rFonts w:ascii="Traditional Arabic" w:hAnsi="Traditional Arabic" w:cs="Traditional Arabic"/>
        </w:rPr>
        <w:t>, 2008).</w:t>
      </w:r>
    </w:p>
    <w:p w14:paraId="6A4B4BC2" w14:textId="77777777" w:rsidR="00335B65" w:rsidRPr="00335B65" w:rsidRDefault="00335B65" w:rsidP="00335B65">
      <w:pPr>
        <w:bidi/>
        <w:spacing w:after="160" w:line="360" w:lineRule="auto"/>
        <w:divId w:val="1647278641"/>
        <w:rPr>
          <w:rFonts w:ascii="Traditional Arabic" w:hAnsi="Traditional Arabic" w:cs="Traditional Arabic"/>
        </w:rPr>
      </w:pPr>
      <w:r w:rsidRPr="00335B65">
        <w:rPr>
          <w:rFonts w:ascii="Traditional Arabic" w:hAnsi="Traditional Arabic" w:cs="Traditional Arabic"/>
          <w:rtl/>
        </w:rPr>
        <w:t>وتُعد ملاءمة</w:t>
      </w:r>
      <w:r w:rsidRPr="00335B65">
        <w:rPr>
          <w:rFonts w:ascii="Traditional Arabic" w:hAnsi="Traditional Arabic" w:cs="Traditional Arabic"/>
        </w:rPr>
        <w:t xml:space="preserve"> TAM </w:t>
      </w:r>
      <w:r w:rsidRPr="00335B65">
        <w:rPr>
          <w:rFonts w:ascii="Traditional Arabic" w:hAnsi="Traditional Arabic" w:cs="Traditional Arabic"/>
          <w:rtl/>
        </w:rPr>
        <w:t>لهذه الدراسة نابعة من أن الموظف في الوزارة يُنجز جزءًا متزايدًا من عمله عبر الأنظمة الرقمية الداخلية؛ لذا فإن إدراكه لفائدة هذه الأنظمة وسهولة التعامل معها يُتوقع أن يكون قناة تفسيرية تربط خصائص التحول الرقمي المؤسسي بنتائج اتجاهية مثل الرضا الوظيفي. وبناءً عليه، تُسند</w:t>
      </w:r>
      <w:r w:rsidRPr="00335B65">
        <w:rPr>
          <w:rFonts w:ascii="Traditional Arabic" w:hAnsi="Traditional Arabic" w:cs="Traditional Arabic"/>
        </w:rPr>
        <w:t xml:space="preserve"> TAM </w:t>
      </w:r>
      <w:r w:rsidRPr="00335B65">
        <w:rPr>
          <w:rFonts w:ascii="Traditional Arabic" w:hAnsi="Traditional Arabic" w:cs="Traditional Arabic"/>
          <w:rtl/>
        </w:rPr>
        <w:t>فرضيات المسار</w:t>
      </w:r>
      <w:r w:rsidRPr="00335B65">
        <w:rPr>
          <w:rFonts w:ascii="Traditional Arabic" w:hAnsi="Traditional Arabic" w:cs="Traditional Arabic"/>
        </w:rPr>
        <w:t>:</w:t>
      </w:r>
      <w:r w:rsidRPr="00335B65">
        <w:rPr>
          <w:rFonts w:ascii="Traditional Arabic" w:hAnsi="Traditional Arabic" w:cs="Traditional Arabic"/>
        </w:rPr>
        <w:br/>
        <w:t xml:space="preserve">DTD </w:t>
      </w:r>
      <w:r w:rsidRPr="00335B65">
        <w:t>→</w:t>
      </w:r>
      <w:r w:rsidRPr="00335B65">
        <w:rPr>
          <w:rFonts w:ascii="Traditional Arabic" w:hAnsi="Traditional Arabic" w:cs="Traditional Arabic"/>
        </w:rPr>
        <w:t xml:space="preserve"> PU/PEOU (H3a–H3b)</w:t>
      </w:r>
      <w:r w:rsidRPr="00335B65">
        <w:rPr>
          <w:rFonts w:ascii="Traditional Arabic" w:hAnsi="Traditional Arabic" w:cs="Traditional Arabic"/>
          <w:rtl/>
        </w:rPr>
        <w:t>،</w:t>
      </w:r>
      <w:r w:rsidRPr="00335B65">
        <w:rPr>
          <w:rFonts w:ascii="Traditional Arabic" w:hAnsi="Traditional Arabic" w:cs="Traditional Arabic"/>
        </w:rPr>
        <w:br/>
      </w:r>
      <w:r w:rsidRPr="00335B65">
        <w:rPr>
          <w:rFonts w:ascii="Traditional Arabic" w:hAnsi="Traditional Arabic" w:cs="Traditional Arabic"/>
        </w:rPr>
        <w:lastRenderedPageBreak/>
        <w:t xml:space="preserve">PU/PEOU </w:t>
      </w:r>
      <w:r w:rsidRPr="00335B65">
        <w:t>→</w:t>
      </w:r>
      <w:r w:rsidRPr="00335B65">
        <w:rPr>
          <w:rFonts w:ascii="Traditional Arabic" w:hAnsi="Traditional Arabic" w:cs="Traditional Arabic"/>
        </w:rPr>
        <w:t xml:space="preserve"> </w:t>
      </w:r>
      <w:r w:rsidRPr="00335B65">
        <w:rPr>
          <w:rFonts w:ascii="Traditional Arabic" w:hAnsi="Traditional Arabic" w:cs="Traditional Arabic"/>
          <w:rtl/>
        </w:rPr>
        <w:t>الرضا الوظيفي</w:t>
      </w:r>
      <w:r w:rsidRPr="00335B65">
        <w:rPr>
          <w:rFonts w:ascii="Traditional Arabic" w:hAnsi="Traditional Arabic" w:cs="Traditional Arabic"/>
        </w:rPr>
        <w:t xml:space="preserve"> (H3c–H3d)</w:t>
      </w:r>
      <w:r w:rsidRPr="00335B65">
        <w:rPr>
          <w:rFonts w:ascii="Traditional Arabic" w:hAnsi="Traditional Arabic" w:cs="Traditional Arabic"/>
          <w:rtl/>
        </w:rPr>
        <w:t>،</w:t>
      </w:r>
      <w:r w:rsidRPr="00335B65">
        <w:rPr>
          <w:rFonts w:ascii="Traditional Arabic" w:hAnsi="Traditional Arabic" w:cs="Traditional Arabic"/>
        </w:rPr>
        <w:br/>
      </w:r>
      <w:r w:rsidRPr="00335B65">
        <w:rPr>
          <w:rFonts w:ascii="Traditional Arabic" w:hAnsi="Traditional Arabic" w:cs="Traditional Arabic"/>
          <w:rtl/>
        </w:rPr>
        <w:t>والوساطة عبر</w:t>
      </w:r>
      <w:r w:rsidRPr="00335B65">
        <w:rPr>
          <w:rFonts w:ascii="Traditional Arabic" w:hAnsi="Traditional Arabic" w:cs="Traditional Arabic"/>
        </w:rPr>
        <w:t xml:space="preserve"> PU/PEOU (H3e–H3f).</w:t>
      </w:r>
    </w:p>
    <w:p w14:paraId="65A64490" w14:textId="55A545F7" w:rsidR="00335B65" w:rsidRPr="00335B65" w:rsidRDefault="0062755D" w:rsidP="00335B65">
      <w:pPr>
        <w:bidi/>
        <w:spacing w:after="160" w:line="360" w:lineRule="auto"/>
        <w:divId w:val="1647278641"/>
        <w:rPr>
          <w:rFonts w:ascii="Traditional Arabic" w:hAnsi="Traditional Arabic" w:cs="Traditional Arabic"/>
        </w:rPr>
      </w:pPr>
      <w:r>
        <w:rPr>
          <w:rFonts w:ascii="Traditional Arabic" w:hAnsi="Traditional Arabic" w:cs="Traditional Arabic"/>
        </w:rPr>
        <w:t xml:space="preserve"> </w:t>
      </w:r>
      <w:r w:rsidR="00335B65" w:rsidRPr="0062755D">
        <w:rPr>
          <w:rFonts w:ascii="Traditional Arabic" w:hAnsi="Traditional Arabic" w:cs="Traditional Arabic"/>
          <w:b/>
          <w:bCs/>
        </w:rPr>
        <w:t xml:space="preserve">2.1.5 </w:t>
      </w:r>
      <w:r w:rsidR="00335B65" w:rsidRPr="0062755D">
        <w:rPr>
          <w:rFonts w:ascii="Traditional Arabic" w:hAnsi="Traditional Arabic" w:cs="Traditional Arabic"/>
          <w:b/>
          <w:bCs/>
          <w:rtl/>
        </w:rPr>
        <w:t>الإجهاد التقني</w:t>
      </w:r>
      <w:r w:rsidR="00335B65" w:rsidRPr="0062755D">
        <w:rPr>
          <w:rFonts w:ascii="Traditional Arabic" w:hAnsi="Traditional Arabic" w:cs="Traditional Arabic"/>
          <w:b/>
          <w:bCs/>
        </w:rPr>
        <w:t xml:space="preserve"> (Technostress) </w:t>
      </w:r>
      <w:r w:rsidR="00335B65" w:rsidRPr="0062755D">
        <w:rPr>
          <w:rFonts w:ascii="Traditional Arabic" w:hAnsi="Traditional Arabic" w:cs="Traditional Arabic"/>
          <w:b/>
          <w:bCs/>
          <w:rtl/>
        </w:rPr>
        <w:t xml:space="preserve">كمسار </w:t>
      </w:r>
      <w:r w:rsidR="002F488C">
        <w:rPr>
          <w:rFonts w:ascii="Traditional Arabic" w:hAnsi="Traditional Arabic" w:cs="Traditional Arabic"/>
          <w:b/>
          <w:bCs/>
          <w:rtl/>
        </w:rPr>
        <w:t>"</w:t>
      </w:r>
      <w:r w:rsidR="00335B65" w:rsidRPr="0062755D">
        <w:rPr>
          <w:rFonts w:ascii="Traditional Arabic" w:hAnsi="Traditional Arabic" w:cs="Traditional Arabic"/>
          <w:b/>
          <w:bCs/>
          <w:rtl/>
        </w:rPr>
        <w:t>الجانب المظلم</w:t>
      </w:r>
      <w:r w:rsidR="002F488C">
        <w:rPr>
          <w:rFonts w:ascii="Traditional Arabic" w:hAnsi="Traditional Arabic" w:cs="Traditional Arabic"/>
          <w:b/>
          <w:bCs/>
          <w:rtl/>
        </w:rPr>
        <w:t>"</w:t>
      </w:r>
      <w:r w:rsidR="00335B65" w:rsidRPr="0062755D">
        <w:rPr>
          <w:rFonts w:ascii="Traditional Arabic" w:hAnsi="Traditional Arabic" w:cs="Traditional Arabic"/>
          <w:b/>
          <w:bCs/>
          <w:rtl/>
        </w:rPr>
        <w:t xml:space="preserve"> للتقنية</w:t>
      </w:r>
      <w:r w:rsidR="00335B65" w:rsidRPr="00335B65">
        <w:rPr>
          <w:rFonts w:ascii="Traditional Arabic" w:hAnsi="Traditional Arabic" w:cs="Traditional Arabic"/>
        </w:rPr>
        <w:br/>
      </w:r>
      <w:r w:rsidR="00335B65" w:rsidRPr="00335B65">
        <w:rPr>
          <w:rFonts w:ascii="Traditional Arabic" w:hAnsi="Traditional Arabic" w:cs="Traditional Arabic"/>
          <w:rtl/>
        </w:rPr>
        <w:t xml:space="preserve">يُعرَّف الإجهاد التقني بوصفه ضغوطًا تنشأ عندما تتجاوز متطلبات التقنية قدرة الفرد على التكيف، أو عندما تتسم بيئة التقنية بكثافة/تعقيد/تغير سريع/اقتحام لحدود العمل والحياة. وقد طُور مفهوم </w:t>
      </w:r>
      <w:r w:rsidR="002F488C">
        <w:rPr>
          <w:rFonts w:ascii="Traditional Arabic" w:hAnsi="Traditional Arabic" w:cs="Traditional Arabic"/>
          <w:rtl/>
        </w:rPr>
        <w:t>"</w:t>
      </w:r>
      <w:r w:rsidR="00335B65" w:rsidRPr="00335B65">
        <w:rPr>
          <w:rFonts w:ascii="Traditional Arabic" w:hAnsi="Traditional Arabic" w:cs="Traditional Arabic"/>
          <w:rtl/>
        </w:rPr>
        <w:t>صانعات الإجهاد التقني</w:t>
      </w:r>
      <w:r w:rsidR="002F488C">
        <w:rPr>
          <w:rFonts w:ascii="Traditional Arabic" w:hAnsi="Traditional Arabic" w:cs="Traditional Arabic"/>
          <w:rtl/>
        </w:rPr>
        <w:t>"</w:t>
      </w:r>
      <w:r w:rsidR="00335B65" w:rsidRPr="00335B65">
        <w:rPr>
          <w:rFonts w:ascii="Traditional Arabic" w:hAnsi="Traditional Arabic" w:cs="Traditional Arabic"/>
          <w:rtl/>
        </w:rPr>
        <w:t xml:space="preserve"> كمجموعة مثيرات تشمل: عبء العمل الرقمي الزائد</w:t>
      </w:r>
      <w:r w:rsidR="00335B65" w:rsidRPr="00335B65">
        <w:rPr>
          <w:rFonts w:ascii="Traditional Arabic" w:hAnsi="Traditional Arabic" w:cs="Traditional Arabic"/>
        </w:rPr>
        <w:t xml:space="preserve"> (Techno-overload)</w:t>
      </w:r>
      <w:r w:rsidR="00335B65" w:rsidRPr="00335B65">
        <w:rPr>
          <w:rFonts w:ascii="Traditional Arabic" w:hAnsi="Traditional Arabic" w:cs="Traditional Arabic"/>
          <w:rtl/>
        </w:rPr>
        <w:t>، الاقتحام</w:t>
      </w:r>
      <w:r w:rsidR="00335B65" w:rsidRPr="00335B65">
        <w:rPr>
          <w:rFonts w:ascii="Traditional Arabic" w:hAnsi="Traditional Arabic" w:cs="Traditional Arabic"/>
        </w:rPr>
        <w:t xml:space="preserve"> (Techno-invasion)</w:t>
      </w:r>
      <w:r w:rsidR="00335B65" w:rsidRPr="00335B65">
        <w:rPr>
          <w:rFonts w:ascii="Traditional Arabic" w:hAnsi="Traditional Arabic" w:cs="Traditional Arabic"/>
          <w:rtl/>
        </w:rPr>
        <w:t>، التعقيد</w:t>
      </w:r>
      <w:r w:rsidR="00335B65" w:rsidRPr="00335B65">
        <w:rPr>
          <w:rFonts w:ascii="Traditional Arabic" w:hAnsi="Traditional Arabic" w:cs="Traditional Arabic"/>
        </w:rPr>
        <w:t xml:space="preserve"> (Techno-complexity)</w:t>
      </w:r>
      <w:r w:rsidR="00335B65" w:rsidRPr="00335B65">
        <w:rPr>
          <w:rFonts w:ascii="Traditional Arabic" w:hAnsi="Traditional Arabic" w:cs="Traditional Arabic"/>
          <w:rtl/>
        </w:rPr>
        <w:t>، عدم اليقين</w:t>
      </w:r>
      <w:r w:rsidR="00335B65" w:rsidRPr="00335B65">
        <w:rPr>
          <w:rFonts w:ascii="Traditional Arabic" w:hAnsi="Traditional Arabic" w:cs="Traditional Arabic"/>
        </w:rPr>
        <w:t xml:space="preserve"> (Techno-uncertainty)</w:t>
      </w:r>
      <w:r w:rsidR="00335B65" w:rsidRPr="00335B65">
        <w:rPr>
          <w:rFonts w:ascii="Traditional Arabic" w:hAnsi="Traditional Arabic" w:cs="Traditional Arabic"/>
          <w:rtl/>
        </w:rPr>
        <w:t xml:space="preserve">، إلى جانب </w:t>
      </w:r>
      <w:r w:rsidR="002F488C">
        <w:rPr>
          <w:rFonts w:ascii="Traditional Arabic" w:hAnsi="Traditional Arabic" w:cs="Traditional Arabic"/>
          <w:rtl/>
        </w:rPr>
        <w:t>"</w:t>
      </w:r>
      <w:r w:rsidR="00335B65" w:rsidRPr="00335B65">
        <w:rPr>
          <w:rFonts w:ascii="Traditional Arabic" w:hAnsi="Traditional Arabic" w:cs="Traditional Arabic"/>
          <w:rtl/>
        </w:rPr>
        <w:t>مثبطات</w:t>
      </w:r>
      <w:r w:rsidR="002F488C">
        <w:rPr>
          <w:rFonts w:ascii="Traditional Arabic" w:hAnsi="Traditional Arabic" w:cs="Traditional Arabic"/>
          <w:rtl/>
        </w:rPr>
        <w:t>"</w:t>
      </w:r>
      <w:r w:rsidR="00335B65" w:rsidRPr="00335B65">
        <w:rPr>
          <w:rFonts w:ascii="Traditional Arabic" w:hAnsi="Traditional Arabic" w:cs="Traditional Arabic"/>
          <w:rtl/>
        </w:rPr>
        <w:t xml:space="preserve"> تنظيميّة يمكن أن تخفف الأثر</w:t>
      </w:r>
      <w:r w:rsidR="00335B65" w:rsidRPr="00335B65">
        <w:rPr>
          <w:rFonts w:ascii="Traditional Arabic" w:hAnsi="Traditional Arabic" w:cs="Traditional Arabic"/>
        </w:rPr>
        <w:t xml:space="preserve"> Ragu-Nathan et al., 2008</w:t>
      </w:r>
      <w:r w:rsidR="00B04E3B">
        <w:rPr>
          <w:rFonts w:ascii="Traditional Arabic" w:hAnsi="Traditional Arabic" w:cs="Traditional Arabic"/>
        </w:rPr>
        <w:t>)</w:t>
      </w:r>
      <w:r w:rsidR="00335B65" w:rsidRPr="00335B65">
        <w:rPr>
          <w:rFonts w:ascii="Traditional Arabic" w:hAnsi="Traditional Arabic" w:cs="Traditional Arabic"/>
          <w:rtl/>
        </w:rPr>
        <w:t>؛</w:t>
      </w:r>
      <w:r w:rsidR="00335B65" w:rsidRPr="00335B65">
        <w:rPr>
          <w:rFonts w:ascii="Traditional Arabic" w:hAnsi="Traditional Arabic" w:cs="Traditional Arabic"/>
        </w:rPr>
        <w:t xml:space="preserve"> </w:t>
      </w:r>
      <w:r w:rsidR="00B04E3B">
        <w:rPr>
          <w:rFonts w:ascii="Traditional Arabic" w:hAnsi="Traditional Arabic" w:cs="Traditional Arabic"/>
        </w:rPr>
        <w:t>(</w:t>
      </w:r>
      <w:proofErr w:type="spellStart"/>
      <w:r w:rsidR="00335B65" w:rsidRPr="00335B65">
        <w:rPr>
          <w:rFonts w:ascii="Traditional Arabic" w:hAnsi="Traditional Arabic" w:cs="Traditional Arabic"/>
        </w:rPr>
        <w:t>Tarafdar</w:t>
      </w:r>
      <w:proofErr w:type="spellEnd"/>
      <w:r w:rsidR="00335B65" w:rsidRPr="00335B65">
        <w:rPr>
          <w:rFonts w:ascii="Traditional Arabic" w:hAnsi="Traditional Arabic" w:cs="Traditional Arabic"/>
        </w:rPr>
        <w:t xml:space="preserve"> et al., 2011 </w:t>
      </w:r>
      <w:r w:rsidR="00335B65" w:rsidRPr="00335B65">
        <w:rPr>
          <w:rFonts w:ascii="Traditional Arabic" w:hAnsi="Traditional Arabic" w:cs="Traditional Arabic"/>
          <w:rtl/>
        </w:rPr>
        <w:t>كما دعمت أعمال أخرى تفسير الإجهاد عبر خصائص التقنية ومثيراتها في سياقات نظم المعلومات</w:t>
      </w:r>
      <w:r w:rsidR="00335B65" w:rsidRPr="00335B65">
        <w:rPr>
          <w:rFonts w:ascii="Traditional Arabic" w:hAnsi="Traditional Arabic" w:cs="Traditional Arabic"/>
        </w:rPr>
        <w:t xml:space="preserve"> (</w:t>
      </w:r>
      <w:proofErr w:type="spellStart"/>
      <w:r w:rsidR="00335B65" w:rsidRPr="00335B65">
        <w:rPr>
          <w:rFonts w:ascii="Traditional Arabic" w:hAnsi="Traditional Arabic" w:cs="Traditional Arabic"/>
        </w:rPr>
        <w:t>Ayyagari</w:t>
      </w:r>
      <w:proofErr w:type="spellEnd"/>
      <w:r w:rsidR="00335B65" w:rsidRPr="00335B65">
        <w:rPr>
          <w:rFonts w:ascii="Traditional Arabic" w:hAnsi="Traditional Arabic" w:cs="Traditional Arabic"/>
        </w:rPr>
        <w:t xml:space="preserve"> et al., 2011).</w:t>
      </w:r>
    </w:p>
    <w:p w14:paraId="36A14884" w14:textId="4785F92D" w:rsidR="00335B65" w:rsidRDefault="00335B65" w:rsidP="00335B65">
      <w:pPr>
        <w:bidi/>
        <w:spacing w:after="160" w:line="360" w:lineRule="auto"/>
        <w:divId w:val="1647278641"/>
        <w:rPr>
          <w:rFonts w:ascii="Traditional Arabic" w:hAnsi="Traditional Arabic" w:cs="Traditional Arabic"/>
          <w:rtl/>
        </w:rPr>
      </w:pPr>
      <w:r w:rsidRPr="00335B65">
        <w:rPr>
          <w:rFonts w:ascii="Traditional Arabic" w:hAnsi="Traditional Arabic" w:cs="Traditional Arabic"/>
          <w:rtl/>
        </w:rPr>
        <w:t>وفي بيئات تحويل رقمي كثيفة، يمكن أن يزداد الإجهاد التقني مع ضعف التدريب وتعدد الأنظمة وتكرار التحديثات وغموض الإجراءات، بما ينعكس على الاحتراق والتوازن بين العمل والحياة ومخرجات الرضا</w:t>
      </w:r>
      <w:r w:rsidRPr="00335B65">
        <w:rPr>
          <w:rFonts w:ascii="Traditional Arabic" w:hAnsi="Traditional Arabic" w:cs="Traditional Arabic"/>
        </w:rPr>
        <w:t xml:space="preserve"> (</w:t>
      </w:r>
      <w:proofErr w:type="spellStart"/>
      <w:r w:rsidRPr="00335B65">
        <w:rPr>
          <w:rFonts w:ascii="Traditional Arabic" w:hAnsi="Traditional Arabic" w:cs="Traditional Arabic"/>
        </w:rPr>
        <w:t>Ninaus</w:t>
      </w:r>
      <w:proofErr w:type="spellEnd"/>
      <w:r w:rsidRPr="00335B65">
        <w:rPr>
          <w:rFonts w:ascii="Traditional Arabic" w:hAnsi="Traditional Arabic" w:cs="Traditional Arabic"/>
        </w:rPr>
        <w:t xml:space="preserve"> et al., 2021). </w:t>
      </w:r>
      <w:r w:rsidRPr="00335B65">
        <w:rPr>
          <w:rFonts w:ascii="Traditional Arabic" w:hAnsi="Traditional Arabic" w:cs="Traditional Arabic"/>
          <w:rtl/>
        </w:rPr>
        <w:t>وبناءً عليه، يُعد إدراج</w:t>
      </w:r>
      <w:r w:rsidRPr="00335B65">
        <w:rPr>
          <w:rFonts w:ascii="Traditional Arabic" w:hAnsi="Traditional Arabic" w:cs="Traditional Arabic"/>
        </w:rPr>
        <w:t xml:space="preserve"> Technostress </w:t>
      </w:r>
      <w:r w:rsidRPr="00335B65">
        <w:rPr>
          <w:rFonts w:ascii="Traditional Arabic" w:hAnsi="Traditional Arabic" w:cs="Traditional Arabic"/>
          <w:rtl/>
        </w:rPr>
        <w:t>وسيطًا في الدراسة الحالية منسجمًا مع فرضيات</w:t>
      </w:r>
      <w:r w:rsidRPr="00335B65">
        <w:rPr>
          <w:rFonts w:ascii="Traditional Arabic" w:hAnsi="Traditional Arabic" w:cs="Traditional Arabic"/>
        </w:rPr>
        <w:t>:</w:t>
      </w:r>
      <w:r w:rsidRPr="00335B65">
        <w:rPr>
          <w:rFonts w:ascii="Traditional Arabic" w:hAnsi="Traditional Arabic" w:cs="Traditional Arabic"/>
        </w:rPr>
        <w:br/>
      </w:r>
      <w:r w:rsidR="00B04E3B">
        <w:rPr>
          <w:rFonts w:ascii="Traditional Arabic" w:hAnsi="Traditional Arabic" w:cs="Traditional Arabic"/>
        </w:rPr>
        <w:t xml:space="preserve"> </w:t>
      </w:r>
      <w:r w:rsidRPr="00335B65">
        <w:rPr>
          <w:rFonts w:ascii="Traditional Arabic" w:hAnsi="Traditional Arabic" w:cs="Traditional Arabic"/>
        </w:rPr>
        <w:t xml:space="preserve">DTD </w:t>
      </w:r>
      <w:r w:rsidRPr="00335B65">
        <w:t>→</w:t>
      </w:r>
      <w:r w:rsidRPr="00335B65">
        <w:rPr>
          <w:rFonts w:ascii="Traditional Arabic" w:hAnsi="Traditional Arabic" w:cs="Traditional Arabic"/>
        </w:rPr>
        <w:t xml:space="preserve"> Technostress (H2a) </w:t>
      </w:r>
      <w:r w:rsidRPr="00335B65">
        <w:rPr>
          <w:rFonts w:ascii="Traditional Arabic" w:hAnsi="Traditional Arabic" w:cs="Traditional Arabic"/>
          <w:rtl/>
        </w:rPr>
        <w:t>بوصفه أثرًا سلبيًا متوقعًا لأبعاد التحول الجيدة على صانعات الإجهاد،</w:t>
      </w:r>
      <w:r w:rsidRPr="00335B65">
        <w:rPr>
          <w:rFonts w:ascii="Traditional Arabic" w:hAnsi="Traditional Arabic" w:cs="Traditional Arabic"/>
        </w:rPr>
        <w:br/>
        <w:t xml:space="preserve">Technostress </w:t>
      </w:r>
      <w:r w:rsidRPr="00335B65">
        <w:t>→</w:t>
      </w:r>
      <w:r w:rsidRPr="00335B65">
        <w:rPr>
          <w:rFonts w:ascii="Traditional Arabic" w:hAnsi="Traditional Arabic" w:cs="Traditional Arabic"/>
        </w:rPr>
        <w:t xml:space="preserve"> </w:t>
      </w:r>
      <w:r w:rsidRPr="00335B65">
        <w:rPr>
          <w:rFonts w:ascii="Traditional Arabic" w:hAnsi="Traditional Arabic" w:cs="Traditional Arabic"/>
          <w:rtl/>
        </w:rPr>
        <w:t>الرضا الوظيفي</w:t>
      </w:r>
      <w:r w:rsidRPr="00335B65">
        <w:rPr>
          <w:rFonts w:ascii="Traditional Arabic" w:hAnsi="Traditional Arabic" w:cs="Traditional Arabic"/>
        </w:rPr>
        <w:t xml:space="preserve"> (H2b) </w:t>
      </w:r>
      <w:r w:rsidRPr="00335B65">
        <w:rPr>
          <w:rFonts w:ascii="Traditional Arabic" w:hAnsi="Traditional Arabic" w:cs="Traditional Arabic"/>
          <w:rtl/>
        </w:rPr>
        <w:t>بوصفه أثرًا سلبيًا،</w:t>
      </w:r>
      <w:r w:rsidR="004D2C4E">
        <w:rPr>
          <w:rFonts w:ascii="Traditional Arabic" w:hAnsi="Traditional Arabic" w:cs="Traditional Arabic" w:hint="cs"/>
          <w:rtl/>
        </w:rPr>
        <w:t xml:space="preserve"> </w:t>
      </w:r>
      <w:proofErr w:type="gramStart"/>
      <w:r w:rsidRPr="00335B65">
        <w:rPr>
          <w:rFonts w:ascii="Traditional Arabic" w:hAnsi="Traditional Arabic" w:cs="Traditional Arabic"/>
          <w:rtl/>
        </w:rPr>
        <w:t>والوساطة</w:t>
      </w:r>
      <w:r w:rsidR="004D2C4E">
        <w:rPr>
          <w:rFonts w:ascii="Traditional Arabic" w:hAnsi="Traditional Arabic" w:cs="Traditional Arabic" w:hint="cs"/>
          <w:rtl/>
        </w:rPr>
        <w:t xml:space="preserve"> </w:t>
      </w:r>
      <w:r w:rsidRPr="00335B65">
        <w:rPr>
          <w:rFonts w:ascii="Traditional Arabic" w:hAnsi="Traditional Arabic" w:cs="Traditional Arabic"/>
        </w:rPr>
        <w:t xml:space="preserve"> (</w:t>
      </w:r>
      <w:proofErr w:type="gramEnd"/>
      <w:r w:rsidRPr="00335B65">
        <w:rPr>
          <w:rFonts w:ascii="Traditional Arabic" w:hAnsi="Traditional Arabic" w:cs="Traditional Arabic"/>
        </w:rPr>
        <w:t>H2c)</w:t>
      </w:r>
      <w:r w:rsidR="004D2C4E">
        <w:rPr>
          <w:rFonts w:ascii="Traditional Arabic" w:hAnsi="Traditional Arabic" w:cs="Traditional Arabic" w:hint="cs"/>
          <w:rtl/>
        </w:rPr>
        <w:t>.</w:t>
      </w:r>
    </w:p>
    <w:p w14:paraId="79B506D1" w14:textId="60E41F90" w:rsidR="004D2C4E" w:rsidRPr="00335B65" w:rsidRDefault="004D2C4E" w:rsidP="004D2C4E">
      <w:pPr>
        <w:bidi/>
        <w:spacing w:after="160" w:line="360" w:lineRule="auto"/>
        <w:divId w:val="1647278641"/>
        <w:rPr>
          <w:rFonts w:ascii="Traditional Arabic" w:hAnsi="Traditional Arabic" w:cs="Traditional Arabic"/>
        </w:rPr>
      </w:pPr>
      <w:r w:rsidRPr="004D2C4E">
        <w:rPr>
          <w:rFonts w:ascii="Traditional Arabic" w:hAnsi="Traditional Arabic" w:cs="Traditional Arabic"/>
          <w:rtl/>
        </w:rPr>
        <w:t>وفي هذا السياق، لا تُفهم التحديات المرتبطة بالإرهاق الرقمي أو التعقيد أو الاقتحام أو ضغط التغير التقني بوصفها جزءًا من البناء المستقل للتحول الرقمي المؤسسي، بل بوصفها مخرجات ضاغطة أو صانعات إجهاد تقني تنتج عن ضعف جودة التحول أو عن قصور التهيئة التنظيمية المصاحبة له. ومن ثم، فإن الفصل المنهجي بين جودة التحول والضغط الناتج عنه يعد ضروريًا لضبط العلاقة بين المتغير المستقل والمتغير الوسيط في النموذج الحالي</w:t>
      </w:r>
      <w:r w:rsidRPr="004D2C4E">
        <w:rPr>
          <w:rFonts w:ascii="Traditional Arabic" w:hAnsi="Traditional Arabic" w:cs="Traditional Arabic"/>
        </w:rPr>
        <w:t>.</w:t>
      </w:r>
    </w:p>
    <w:p w14:paraId="6467C1A0" w14:textId="49D6D94F" w:rsidR="00335B65" w:rsidRPr="00335B65" w:rsidRDefault="00335B65" w:rsidP="004D2C4E">
      <w:pPr>
        <w:bidi/>
        <w:spacing w:after="160" w:line="360" w:lineRule="auto"/>
        <w:divId w:val="1647278641"/>
        <w:rPr>
          <w:rFonts w:ascii="Traditional Arabic" w:hAnsi="Traditional Arabic" w:cs="Traditional Arabic"/>
        </w:rPr>
      </w:pPr>
      <w:r w:rsidRPr="0062755D">
        <w:rPr>
          <w:rFonts w:ascii="Traditional Arabic" w:hAnsi="Traditional Arabic" w:cs="Traditional Arabic"/>
          <w:b/>
          <w:bCs/>
        </w:rPr>
        <w:t xml:space="preserve">2.1.6 </w:t>
      </w:r>
      <w:r w:rsidR="0062755D" w:rsidRPr="0062755D">
        <w:rPr>
          <w:rFonts w:ascii="Traditional Arabic" w:hAnsi="Traditional Arabic" w:cs="Traditional Arabic" w:hint="cs"/>
          <w:b/>
          <w:bCs/>
          <w:rtl/>
        </w:rPr>
        <w:t xml:space="preserve"> </w:t>
      </w:r>
      <w:r w:rsidRPr="0062755D">
        <w:rPr>
          <w:rFonts w:ascii="Traditional Arabic" w:hAnsi="Traditional Arabic" w:cs="Traditional Arabic"/>
          <w:b/>
          <w:bCs/>
          <w:rtl/>
        </w:rPr>
        <w:t>منطق العلاقات السببية ومسارات النموذج وربطها بالفرضيات</w:t>
      </w:r>
      <w:r w:rsidRPr="00335B65">
        <w:rPr>
          <w:rFonts w:ascii="Traditional Arabic" w:hAnsi="Traditional Arabic" w:cs="Traditional Arabic"/>
        </w:rPr>
        <w:br/>
      </w:r>
      <w:r w:rsidRPr="00335B65">
        <w:rPr>
          <w:rFonts w:ascii="Traditional Arabic" w:hAnsi="Traditional Arabic" w:cs="Traditional Arabic"/>
          <w:rtl/>
        </w:rPr>
        <w:t>تُفَسَّر العلاقات بين متغيرات الدراسة عبر مسارين وسيطين متوازيين</w:t>
      </w:r>
      <w:r w:rsidRPr="00335B65">
        <w:rPr>
          <w:rFonts w:ascii="Traditional Arabic" w:hAnsi="Traditional Arabic" w:cs="Traditional Arabic"/>
        </w:rPr>
        <w:t>:</w:t>
      </w:r>
      <w:r w:rsidRPr="00335B65">
        <w:rPr>
          <w:rFonts w:ascii="Traditional Arabic" w:hAnsi="Traditional Arabic" w:cs="Traditional Arabic"/>
        </w:rPr>
        <w:br/>
      </w:r>
      <w:r w:rsidRPr="004D2C4E">
        <w:rPr>
          <w:rFonts w:ascii="Traditional Arabic" w:hAnsi="Traditional Arabic" w:cs="Traditional Arabic"/>
          <w:b/>
          <w:bCs/>
          <w:rtl/>
        </w:rPr>
        <w:t>المسار التعزيزي</w:t>
      </w:r>
      <w:r w:rsidRPr="004D2C4E">
        <w:rPr>
          <w:rFonts w:ascii="Traditional Arabic" w:hAnsi="Traditional Arabic" w:cs="Traditional Arabic"/>
          <w:b/>
          <w:bCs/>
        </w:rPr>
        <w:t xml:space="preserve"> (TAM) </w:t>
      </w:r>
      <w:r w:rsidR="004D2C4E" w:rsidRPr="004D2C4E">
        <w:rPr>
          <w:rFonts w:ascii="Traditional Arabic" w:hAnsi="Traditional Arabic" w:cs="Traditional Arabic" w:hint="cs"/>
          <w:b/>
          <w:bCs/>
          <w:rtl/>
        </w:rPr>
        <w:t>:</w:t>
      </w:r>
      <w:r w:rsidR="004D2C4E">
        <w:rPr>
          <w:rFonts w:ascii="Traditional Arabic" w:hAnsi="Traditional Arabic" w:cs="Traditional Arabic" w:hint="cs"/>
          <w:rtl/>
        </w:rPr>
        <w:t xml:space="preserve"> </w:t>
      </w:r>
      <w:r w:rsidRPr="00335B65">
        <w:rPr>
          <w:rFonts w:ascii="Traditional Arabic" w:hAnsi="Traditional Arabic" w:cs="Traditional Arabic"/>
          <w:rtl/>
        </w:rPr>
        <w:t>تتحول جودة التحول الرقمي المؤسسي (خاصة كفاءة الأنظمة، الدعم، التكامل) إلى إدراكات أعلى للمنفعة وسهولة الاستخدام، بما يعزز خبرة العمل الرقمية ويرتبط بارتفاع الرضا الوظيفي</w:t>
      </w:r>
      <w:r w:rsidRPr="00335B65">
        <w:rPr>
          <w:rFonts w:ascii="Traditional Arabic" w:hAnsi="Traditional Arabic" w:cs="Traditional Arabic"/>
        </w:rPr>
        <w:t xml:space="preserve"> (H3).</w:t>
      </w:r>
      <w:r w:rsidRPr="00335B65">
        <w:rPr>
          <w:rFonts w:ascii="Traditional Arabic" w:hAnsi="Traditional Arabic" w:cs="Traditional Arabic"/>
        </w:rPr>
        <w:br/>
      </w:r>
      <w:r w:rsidR="004D2C4E" w:rsidRPr="004D2C4E">
        <w:rPr>
          <w:rFonts w:ascii="Traditional Arabic" w:hAnsi="Traditional Arabic" w:cs="Traditional Arabic"/>
          <w:b/>
          <w:bCs/>
          <w:rtl/>
        </w:rPr>
        <w:t>المسار الضاغط</w:t>
      </w:r>
      <w:r w:rsidR="004D2C4E" w:rsidRPr="004D2C4E">
        <w:rPr>
          <w:rFonts w:ascii="Traditional Arabic" w:hAnsi="Traditional Arabic" w:cs="Traditional Arabic"/>
          <w:b/>
          <w:bCs/>
        </w:rPr>
        <w:t xml:space="preserve"> (Technostress) </w:t>
      </w:r>
      <w:r w:rsidR="004D2C4E" w:rsidRPr="004D2C4E">
        <w:rPr>
          <w:rFonts w:ascii="Traditional Arabic" w:hAnsi="Traditional Arabic" w:cs="Traditional Arabic" w:hint="cs"/>
          <w:b/>
          <w:bCs/>
          <w:rtl/>
        </w:rPr>
        <w:t>:</w:t>
      </w:r>
      <w:r w:rsidR="004D2C4E">
        <w:rPr>
          <w:rFonts w:ascii="Traditional Arabic" w:hAnsi="Traditional Arabic" w:cs="Traditional Arabic" w:hint="cs"/>
          <w:rtl/>
        </w:rPr>
        <w:t xml:space="preserve"> </w:t>
      </w:r>
      <w:r w:rsidR="004D2C4E" w:rsidRPr="004D2C4E">
        <w:rPr>
          <w:rFonts w:ascii="Traditional Arabic" w:hAnsi="Traditional Arabic" w:cs="Traditional Arabic"/>
          <w:rtl/>
        </w:rPr>
        <w:t xml:space="preserve">تنطلق الدراسة من أن التحول الرقمي المؤسسي لا يفضي إلى نتائج إيجابية تلقائيًا، بل قد يولد آثارًا ضاغطة عندما تضعف كفاءة الأنظمة، أو يزداد التشظي بين التطبيقات، أو يقصر التدريب والدعم، أو تتسارع </w:t>
      </w:r>
      <w:r w:rsidR="004D2C4E" w:rsidRPr="004D2C4E">
        <w:rPr>
          <w:rFonts w:ascii="Traditional Arabic" w:hAnsi="Traditional Arabic" w:cs="Traditional Arabic"/>
          <w:rtl/>
        </w:rPr>
        <w:lastRenderedPageBreak/>
        <w:t>التغيرات التقنية دون تهيئة كافية. وفي هذه الحالة، لا تُعامل هذه المشكلات بوصفها أبعادًا في التحول ذاته، بل بوصفها مقدمات أو مثيرات للإجهاد التقني. أما حين يتحسن التحول الرقمي من حيث الاستقرار، والتكامل، والدعم، وسهولة الإجراء، فيُتوقع أن تنخفض صانعات الإجهاد التقني، بما يعزز الرضا الوظيفي بصورة غير مباشرة</w:t>
      </w:r>
      <w:r w:rsidR="004D2C4E" w:rsidRPr="004D2C4E">
        <w:rPr>
          <w:rFonts w:ascii="Traditional Arabic" w:hAnsi="Traditional Arabic" w:cs="Traditional Arabic"/>
        </w:rPr>
        <w:t xml:space="preserve"> (H2)</w:t>
      </w:r>
      <w:r w:rsidR="004D2C4E">
        <w:rPr>
          <w:rFonts w:ascii="Traditional Arabic" w:hAnsi="Traditional Arabic" w:cs="Traditional Arabic" w:hint="cs"/>
          <w:rtl/>
        </w:rPr>
        <w:t>.</w:t>
      </w:r>
    </w:p>
    <w:p w14:paraId="7B7BF083" w14:textId="185B049D" w:rsidR="00335B65" w:rsidRDefault="00335B65" w:rsidP="00335B65">
      <w:pPr>
        <w:bidi/>
        <w:spacing w:after="160" w:line="360" w:lineRule="auto"/>
        <w:divId w:val="1647278641"/>
        <w:rPr>
          <w:rFonts w:ascii="Traditional Arabic" w:hAnsi="Traditional Arabic" w:cs="Traditional Arabic"/>
          <w:rtl/>
        </w:rPr>
      </w:pPr>
      <w:r w:rsidRPr="00335B65">
        <w:rPr>
          <w:rFonts w:ascii="Traditional Arabic" w:hAnsi="Traditional Arabic" w:cs="Traditional Arabic"/>
          <w:rtl/>
        </w:rPr>
        <w:t>ويُتوقع أيضًا وجود أثر مباشر محتمل لأبعاد التحول الرقمي على الرضا</w:t>
      </w:r>
      <w:r w:rsidRPr="00335B65">
        <w:rPr>
          <w:rFonts w:ascii="Traditional Arabic" w:hAnsi="Traditional Arabic" w:cs="Traditional Arabic"/>
        </w:rPr>
        <w:t xml:space="preserve"> (H1a–H1d)</w:t>
      </w:r>
      <w:r w:rsidRPr="00335B65">
        <w:rPr>
          <w:rFonts w:ascii="Traditional Arabic" w:hAnsi="Traditional Arabic" w:cs="Traditional Arabic"/>
          <w:rtl/>
        </w:rPr>
        <w:t>؛ لأن بعض مخرجات الرضا قد تتأثر مباشرة بتبسيط الإجراءات وتقليل الأخطاء وتحسين الوصول للمعلومات. كما يُختبر اعتدال الخصائص الديموغرافية</w:t>
      </w:r>
      <w:r w:rsidRPr="00335B65">
        <w:rPr>
          <w:rFonts w:ascii="Traditional Arabic" w:hAnsi="Traditional Arabic" w:cs="Traditional Arabic"/>
        </w:rPr>
        <w:t xml:space="preserve"> (H4) </w:t>
      </w:r>
      <w:r w:rsidRPr="00335B65">
        <w:rPr>
          <w:rFonts w:ascii="Traditional Arabic" w:hAnsi="Traditional Arabic" w:cs="Traditional Arabic"/>
          <w:rtl/>
        </w:rPr>
        <w:t>لتفسير اختلاف استجابة الموظفين للمسارين، انسجامًا مع الأدبيات التي تقر بتغاير القبول/الضغط بحسب العمر والخبرة وطبيعة الدور</w:t>
      </w:r>
      <w:r w:rsidRPr="00335B65">
        <w:rPr>
          <w:rFonts w:ascii="Traditional Arabic" w:hAnsi="Traditional Arabic" w:cs="Traditional Arabic"/>
        </w:rPr>
        <w:t xml:space="preserve"> Venkatesh et al., 2003</w:t>
      </w:r>
      <w:r w:rsidR="00B04E3B">
        <w:rPr>
          <w:rFonts w:ascii="Traditional Arabic" w:hAnsi="Traditional Arabic" w:cs="Traditional Arabic"/>
        </w:rPr>
        <w:t>)</w:t>
      </w:r>
      <w:r w:rsidRPr="00335B65">
        <w:rPr>
          <w:rFonts w:ascii="Traditional Arabic" w:hAnsi="Traditional Arabic" w:cs="Traditional Arabic"/>
          <w:rtl/>
        </w:rPr>
        <w:t>؛</w:t>
      </w:r>
      <w:r w:rsidRPr="00335B65">
        <w:rPr>
          <w:rFonts w:ascii="Traditional Arabic" w:hAnsi="Traditional Arabic" w:cs="Traditional Arabic"/>
        </w:rPr>
        <w:t xml:space="preserve"> Morris &amp; Venkatesh, 2000</w:t>
      </w:r>
      <w:r w:rsidR="00B04E3B">
        <w:rPr>
          <w:rFonts w:ascii="Traditional Arabic" w:hAnsi="Traditional Arabic" w:cs="Traditional Arabic" w:hint="cs"/>
          <w:rtl/>
        </w:rPr>
        <w:t>).</w:t>
      </w:r>
    </w:p>
    <w:p w14:paraId="017FB0B2" w14:textId="54A564F4" w:rsidR="007C5230" w:rsidRPr="005939A1" w:rsidRDefault="00311C76" w:rsidP="003B7C35">
      <w:pPr>
        <w:bidi/>
        <w:spacing w:after="160" w:line="360" w:lineRule="auto"/>
        <w:divId w:val="1647278641"/>
        <w:rPr>
          <w:rFonts w:ascii="Traditional Arabic" w:hAnsi="Traditional Arabic" w:cs="Traditional Arabic"/>
        </w:rPr>
      </w:pPr>
      <w:r>
        <w:rPr>
          <w:rFonts w:ascii="Traditional Arabic" w:hAnsi="Traditional Arabic" w:cs="Traditional Arabic"/>
          <w:noProof/>
        </w:rPr>
        <w:drawing>
          <wp:inline distT="0" distB="0" distL="0" distR="0" wp14:anchorId="681EBEDA" wp14:editId="361B42C7">
            <wp:extent cx="5731510" cy="3126105"/>
            <wp:effectExtent l="0" t="0" r="254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النموذج المفاهيمي.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p>
    <w:p w14:paraId="407615F3" w14:textId="5ACDCA06" w:rsidR="007C5230" w:rsidRPr="007C5230" w:rsidRDefault="007C5230" w:rsidP="007C5230">
      <w:pPr>
        <w:bidi/>
        <w:spacing w:after="160" w:line="360" w:lineRule="auto"/>
        <w:divId w:val="1647278641"/>
        <w:rPr>
          <w:rFonts w:ascii="Traditional Arabic" w:hAnsi="Traditional Arabic" w:cs="Traditional Arabic"/>
        </w:rPr>
      </w:pPr>
      <w:r>
        <w:rPr>
          <w:rFonts w:ascii="Traditional Arabic" w:hAnsi="Traditional Arabic" w:cs="Traditional Arabic"/>
        </w:rPr>
        <w:t xml:space="preserve"> </w:t>
      </w:r>
      <w:r w:rsidRPr="007C5230">
        <w:rPr>
          <w:rFonts w:ascii="Traditional Arabic" w:hAnsi="Traditional Arabic" w:cs="Traditional Arabic"/>
          <w:b/>
          <w:bCs/>
        </w:rPr>
        <w:t xml:space="preserve">2.1.7 </w:t>
      </w:r>
      <w:r w:rsidRPr="007C5230">
        <w:rPr>
          <w:rFonts w:ascii="Traditional Arabic" w:hAnsi="Traditional Arabic" w:cs="Traditional Arabic"/>
          <w:b/>
          <w:bCs/>
          <w:rtl/>
        </w:rPr>
        <w:t>إطار التقنية–المنظمة–البيئة</w:t>
      </w:r>
      <w:r w:rsidRPr="007C5230">
        <w:rPr>
          <w:rFonts w:ascii="Traditional Arabic" w:hAnsi="Traditional Arabic" w:cs="Traditional Arabic"/>
          <w:b/>
          <w:bCs/>
        </w:rPr>
        <w:t xml:space="preserve"> (TOE) </w:t>
      </w:r>
      <w:r w:rsidRPr="007C5230">
        <w:rPr>
          <w:rFonts w:ascii="Traditional Arabic" w:hAnsi="Traditional Arabic" w:cs="Traditional Arabic"/>
          <w:b/>
          <w:bCs/>
          <w:rtl/>
        </w:rPr>
        <w:t xml:space="preserve">والمنظور </w:t>
      </w:r>
      <w:proofErr w:type="spellStart"/>
      <w:r w:rsidRPr="007C5230">
        <w:rPr>
          <w:rFonts w:ascii="Traditional Arabic" w:hAnsi="Traditional Arabic" w:cs="Traditional Arabic"/>
          <w:b/>
          <w:bCs/>
          <w:rtl/>
        </w:rPr>
        <w:t>السوسيوتقني</w:t>
      </w:r>
      <w:proofErr w:type="spellEnd"/>
      <w:r w:rsidRPr="007C5230">
        <w:rPr>
          <w:rFonts w:ascii="Traditional Arabic" w:hAnsi="Traditional Arabic" w:cs="Traditional Arabic"/>
          <w:b/>
          <w:bCs/>
          <w:rtl/>
        </w:rPr>
        <w:t xml:space="preserve"> كأطر مساندة</w:t>
      </w:r>
      <w:r w:rsidRPr="007C5230">
        <w:rPr>
          <w:rFonts w:ascii="Traditional Arabic" w:hAnsi="Traditional Arabic" w:cs="Traditional Arabic"/>
        </w:rPr>
        <w:br/>
      </w:r>
      <w:r w:rsidRPr="007C5230">
        <w:rPr>
          <w:rFonts w:ascii="Traditional Arabic" w:hAnsi="Traditional Arabic" w:cs="Traditional Arabic"/>
          <w:rtl/>
        </w:rPr>
        <w:t>يُستخدم إطار</w:t>
      </w:r>
      <w:r w:rsidRPr="007C5230">
        <w:rPr>
          <w:rFonts w:ascii="Traditional Arabic" w:hAnsi="Traditional Arabic" w:cs="Traditional Arabic"/>
        </w:rPr>
        <w:t xml:space="preserve"> TOE </w:t>
      </w:r>
      <w:r w:rsidRPr="007C5230">
        <w:rPr>
          <w:rFonts w:ascii="Traditional Arabic" w:hAnsi="Traditional Arabic" w:cs="Traditional Arabic"/>
          <w:rtl/>
        </w:rPr>
        <w:t>لتفسير اختلافات تبني الابتكار وتنفيذه بين المنظمات؛ إذ يُنظر إلى سياق تقني (البنية/النضج/</w:t>
      </w:r>
      <w:proofErr w:type="gramStart"/>
      <w:r w:rsidRPr="007C5230">
        <w:rPr>
          <w:rFonts w:ascii="Traditional Arabic" w:hAnsi="Traditional Arabic" w:cs="Traditional Arabic"/>
          <w:rtl/>
        </w:rPr>
        <w:t>الموثوقية)،</w:t>
      </w:r>
      <w:proofErr w:type="gramEnd"/>
      <w:r w:rsidRPr="007C5230">
        <w:rPr>
          <w:rFonts w:ascii="Traditional Arabic" w:hAnsi="Traditional Arabic" w:cs="Traditional Arabic"/>
          <w:rtl/>
        </w:rPr>
        <w:t xml:space="preserve"> وسياق تنظيمي (الموارد/التدريب/الدعم/الهيكل)، وسياق بيئي (الأنظمة/الضغوط/الامتثال) بوصفها محددات رئيسة للتبني والنتائج</w:t>
      </w:r>
      <w:r w:rsidRPr="007C5230">
        <w:rPr>
          <w:rFonts w:ascii="Traditional Arabic" w:hAnsi="Traditional Arabic" w:cs="Traditional Arabic"/>
        </w:rPr>
        <w:t xml:space="preserve"> </w:t>
      </w:r>
      <w:r w:rsidR="00B04E3B">
        <w:rPr>
          <w:rFonts w:ascii="Traditional Arabic" w:hAnsi="Traditional Arabic" w:cs="Traditional Arabic" w:hint="cs"/>
          <w:rtl/>
        </w:rPr>
        <w:t>(</w:t>
      </w:r>
      <w:proofErr w:type="spellStart"/>
      <w:r w:rsidRPr="007C5230">
        <w:rPr>
          <w:rFonts w:ascii="Traditional Arabic" w:hAnsi="Traditional Arabic" w:cs="Traditional Arabic"/>
        </w:rPr>
        <w:t>Tornatzky</w:t>
      </w:r>
      <w:proofErr w:type="spellEnd"/>
      <w:r w:rsidRPr="007C5230">
        <w:rPr>
          <w:rFonts w:ascii="Traditional Arabic" w:hAnsi="Traditional Arabic" w:cs="Traditional Arabic"/>
        </w:rPr>
        <w:t xml:space="preserve"> &amp; Fleischer, 1990</w:t>
      </w:r>
      <w:r w:rsidRPr="007C5230">
        <w:rPr>
          <w:rFonts w:ascii="Traditional Arabic" w:hAnsi="Traditional Arabic" w:cs="Traditional Arabic"/>
          <w:rtl/>
        </w:rPr>
        <w:t>؛</w:t>
      </w:r>
      <w:r w:rsidRPr="007C5230">
        <w:rPr>
          <w:rFonts w:ascii="Traditional Arabic" w:hAnsi="Traditional Arabic" w:cs="Traditional Arabic"/>
        </w:rPr>
        <w:t xml:space="preserve"> </w:t>
      </w:r>
      <w:r w:rsidR="00606ECD">
        <w:rPr>
          <w:rFonts w:ascii="Traditional Arabic" w:hAnsi="Traditional Arabic" w:cs="Traditional Arabic"/>
        </w:rPr>
        <w:t xml:space="preserve"> .</w:t>
      </w:r>
      <w:r w:rsidR="00B04E3B">
        <w:rPr>
          <w:rFonts w:ascii="Traditional Arabic" w:hAnsi="Traditional Arabic" w:cs="Traditional Arabic"/>
        </w:rPr>
        <w:t>(</w:t>
      </w:r>
      <w:r w:rsidRPr="007C5230">
        <w:rPr>
          <w:rFonts w:ascii="Traditional Arabic" w:hAnsi="Traditional Arabic" w:cs="Traditional Arabic"/>
        </w:rPr>
        <w:t xml:space="preserve">Oliveira &amp; Martins, 2011 </w:t>
      </w:r>
      <w:r w:rsidRPr="007C5230">
        <w:rPr>
          <w:rFonts w:ascii="Traditional Arabic" w:hAnsi="Traditional Arabic" w:cs="Traditional Arabic"/>
          <w:rtl/>
        </w:rPr>
        <w:t>ويسند ذلك تشغيل</w:t>
      </w:r>
      <w:r w:rsidRPr="007C5230">
        <w:rPr>
          <w:rFonts w:ascii="Traditional Arabic" w:hAnsi="Traditional Arabic" w:cs="Traditional Arabic"/>
        </w:rPr>
        <w:t xml:space="preserve"> DTD </w:t>
      </w:r>
      <w:r w:rsidRPr="007C5230">
        <w:rPr>
          <w:rFonts w:ascii="Traditional Arabic" w:hAnsi="Traditional Arabic" w:cs="Traditional Arabic"/>
          <w:rtl/>
        </w:rPr>
        <w:t>إلى أبعاد ذات طبيعة تقنية/تنظيمية داخل الوزارة</w:t>
      </w:r>
      <w:r w:rsidRPr="007C5230">
        <w:rPr>
          <w:rFonts w:ascii="Traditional Arabic" w:hAnsi="Traditional Arabic" w:cs="Traditional Arabic"/>
        </w:rPr>
        <w:t>.</w:t>
      </w:r>
    </w:p>
    <w:p w14:paraId="0D34DCCE" w14:textId="77777777" w:rsidR="007C5230" w:rsidRPr="007C5230" w:rsidRDefault="007C5230" w:rsidP="007C5230">
      <w:pPr>
        <w:bidi/>
        <w:spacing w:after="160" w:line="360" w:lineRule="auto"/>
        <w:divId w:val="1647278641"/>
        <w:rPr>
          <w:rFonts w:ascii="Traditional Arabic" w:hAnsi="Traditional Arabic" w:cs="Traditional Arabic"/>
        </w:rPr>
      </w:pPr>
      <w:r w:rsidRPr="007C5230">
        <w:rPr>
          <w:rFonts w:ascii="Traditional Arabic" w:hAnsi="Traditional Arabic" w:cs="Traditional Arabic"/>
          <w:rtl/>
        </w:rPr>
        <w:t xml:space="preserve">أما المنظور </w:t>
      </w:r>
      <w:proofErr w:type="spellStart"/>
      <w:r w:rsidRPr="007C5230">
        <w:rPr>
          <w:rFonts w:ascii="Traditional Arabic" w:hAnsi="Traditional Arabic" w:cs="Traditional Arabic"/>
          <w:rtl/>
        </w:rPr>
        <w:t>السوسيوتقني</w:t>
      </w:r>
      <w:proofErr w:type="spellEnd"/>
      <w:r w:rsidRPr="007C5230">
        <w:rPr>
          <w:rFonts w:ascii="Traditional Arabic" w:hAnsi="Traditional Arabic" w:cs="Traditional Arabic"/>
          <w:rtl/>
        </w:rPr>
        <w:t xml:space="preserve"> فيؤكد أن التقنية لا تُنتج نتائجها بصورة منفصلة، بل من خلال تفاعلها مع النظام الاجتماعي داخل المنظمة (تصميم العمل، الثقافة، العلاقات الإشرافية، القواعد)، وهو ما يبرر تغاير أثر التحول الرقمي بين فئات الموظفين حتى داخل نفس الجهة</w:t>
      </w:r>
      <w:r w:rsidRPr="007C5230">
        <w:rPr>
          <w:rFonts w:ascii="Traditional Arabic" w:hAnsi="Traditional Arabic" w:cs="Traditional Arabic"/>
        </w:rPr>
        <w:t xml:space="preserve"> (</w:t>
      </w:r>
      <w:proofErr w:type="spellStart"/>
      <w:r w:rsidRPr="007C5230">
        <w:rPr>
          <w:rFonts w:ascii="Traditional Arabic" w:hAnsi="Traditional Arabic" w:cs="Traditional Arabic"/>
        </w:rPr>
        <w:t>Sarker</w:t>
      </w:r>
      <w:proofErr w:type="spellEnd"/>
      <w:r w:rsidRPr="007C5230">
        <w:rPr>
          <w:rFonts w:ascii="Traditional Arabic" w:hAnsi="Traditional Arabic" w:cs="Traditional Arabic"/>
        </w:rPr>
        <w:t xml:space="preserve"> et al., 2019).</w:t>
      </w:r>
    </w:p>
    <w:p w14:paraId="40076FED" w14:textId="5BD1A7EC" w:rsidR="007C5230" w:rsidRPr="007C5230" w:rsidRDefault="007C5230" w:rsidP="007C5230">
      <w:pPr>
        <w:bidi/>
        <w:spacing w:after="160" w:line="360" w:lineRule="auto"/>
        <w:divId w:val="1647278641"/>
        <w:rPr>
          <w:rFonts w:ascii="Traditional Arabic" w:hAnsi="Traditional Arabic" w:cs="Traditional Arabic"/>
        </w:rPr>
      </w:pPr>
      <w:r>
        <w:rPr>
          <w:rFonts w:ascii="Traditional Arabic" w:hAnsi="Traditional Arabic" w:cs="Traditional Arabic"/>
          <w:b/>
          <w:bCs/>
        </w:rPr>
        <w:lastRenderedPageBreak/>
        <w:t xml:space="preserve"> </w:t>
      </w:r>
      <w:r w:rsidRPr="007C5230">
        <w:rPr>
          <w:rFonts w:ascii="Traditional Arabic" w:hAnsi="Traditional Arabic" w:cs="Traditional Arabic"/>
          <w:b/>
          <w:bCs/>
        </w:rPr>
        <w:t xml:space="preserve">2.1.8 </w:t>
      </w:r>
      <w:r w:rsidRPr="007C5230">
        <w:rPr>
          <w:rFonts w:ascii="Traditional Arabic" w:hAnsi="Traditional Arabic" w:cs="Traditional Arabic"/>
          <w:b/>
          <w:bCs/>
          <w:rtl/>
        </w:rPr>
        <w:t>المتغيرات الديموغرافية وخلاصة الربط بالنموذج</w:t>
      </w:r>
      <w:r w:rsidRPr="007C5230">
        <w:rPr>
          <w:rFonts w:ascii="Traditional Arabic" w:hAnsi="Traditional Arabic" w:cs="Traditional Arabic"/>
        </w:rPr>
        <w:br/>
      </w:r>
      <w:r w:rsidRPr="007C5230">
        <w:rPr>
          <w:rFonts w:ascii="Traditional Arabic" w:hAnsi="Traditional Arabic" w:cs="Traditional Arabic"/>
          <w:rtl/>
        </w:rPr>
        <w:t>تُدرس الخصائص الديموغرافية (مثل الجنس، العمر، المؤهل، سنوات الخبرة، القطاع/الإدارة) بوصفها عوامل قد تُعدّل العلاقة بين التحول الرقمي المؤسسي والرضا الوظيفي</w:t>
      </w:r>
      <w:r w:rsidRPr="007C5230">
        <w:rPr>
          <w:rFonts w:ascii="Traditional Arabic" w:hAnsi="Traditional Arabic" w:cs="Traditional Arabic"/>
        </w:rPr>
        <w:t xml:space="preserve"> (H</w:t>
      </w:r>
      <w:proofErr w:type="gramStart"/>
      <w:r w:rsidRPr="007C5230">
        <w:rPr>
          <w:rFonts w:ascii="Traditional Arabic" w:hAnsi="Traditional Arabic" w:cs="Traditional Arabic"/>
        </w:rPr>
        <w:t>4)</w:t>
      </w:r>
      <w:r w:rsidRPr="007C5230">
        <w:rPr>
          <w:rFonts w:ascii="Traditional Arabic" w:hAnsi="Traditional Arabic" w:cs="Traditional Arabic"/>
          <w:rtl/>
        </w:rPr>
        <w:t>،</w:t>
      </w:r>
      <w:proofErr w:type="gramEnd"/>
      <w:r w:rsidRPr="007C5230">
        <w:rPr>
          <w:rFonts w:ascii="Traditional Arabic" w:hAnsi="Traditional Arabic" w:cs="Traditional Arabic"/>
          <w:rtl/>
        </w:rPr>
        <w:t xml:space="preserve"> استنادًا إلى منطق الفروق الفردية في نماذج القبول</w:t>
      </w:r>
      <w:r w:rsidRPr="007C5230">
        <w:rPr>
          <w:rFonts w:ascii="Traditional Arabic" w:hAnsi="Traditional Arabic" w:cs="Traditional Arabic"/>
        </w:rPr>
        <w:t xml:space="preserve"> (Venkatesh et al., 2003) </w:t>
      </w:r>
      <w:r w:rsidRPr="007C5230">
        <w:rPr>
          <w:rFonts w:ascii="Traditional Arabic" w:hAnsi="Traditional Arabic" w:cs="Traditional Arabic"/>
          <w:rtl/>
        </w:rPr>
        <w:t xml:space="preserve">وبالاستئناس بنتائج تشير إلى تغاير قنوات تأثير </w:t>
      </w:r>
      <w:proofErr w:type="spellStart"/>
      <w:r w:rsidRPr="007C5230">
        <w:rPr>
          <w:rFonts w:ascii="Traditional Arabic" w:hAnsi="Traditional Arabic" w:cs="Traditional Arabic"/>
          <w:rtl/>
        </w:rPr>
        <w:t>الرقمنة</w:t>
      </w:r>
      <w:proofErr w:type="spellEnd"/>
      <w:r w:rsidRPr="007C5230">
        <w:rPr>
          <w:rFonts w:ascii="Traditional Arabic" w:hAnsi="Traditional Arabic" w:cs="Traditional Arabic"/>
          <w:rtl/>
        </w:rPr>
        <w:t xml:space="preserve"> على الرضا بحسب خصائص العاملين</w:t>
      </w:r>
      <w:r w:rsidRPr="007C5230">
        <w:rPr>
          <w:rFonts w:ascii="Traditional Arabic" w:hAnsi="Traditional Arabic" w:cs="Traditional Arabic"/>
        </w:rPr>
        <w:t xml:space="preserve"> (</w:t>
      </w:r>
      <w:proofErr w:type="spellStart"/>
      <w:r w:rsidRPr="007C5230">
        <w:rPr>
          <w:rFonts w:ascii="Traditional Arabic" w:hAnsi="Traditional Arabic" w:cs="Traditional Arabic"/>
        </w:rPr>
        <w:t>Bolli</w:t>
      </w:r>
      <w:proofErr w:type="spellEnd"/>
      <w:r w:rsidRPr="007C5230">
        <w:rPr>
          <w:rFonts w:ascii="Traditional Arabic" w:hAnsi="Traditional Arabic" w:cs="Traditional Arabic"/>
        </w:rPr>
        <w:t xml:space="preserve"> &amp; </w:t>
      </w:r>
      <w:proofErr w:type="spellStart"/>
      <w:r w:rsidRPr="007C5230">
        <w:rPr>
          <w:rFonts w:ascii="Traditional Arabic" w:hAnsi="Traditional Arabic" w:cs="Traditional Arabic"/>
        </w:rPr>
        <w:t>Pusterla</w:t>
      </w:r>
      <w:proofErr w:type="spellEnd"/>
      <w:r w:rsidRPr="007C5230">
        <w:rPr>
          <w:rFonts w:ascii="Traditional Arabic" w:hAnsi="Traditional Arabic" w:cs="Traditional Arabic"/>
        </w:rPr>
        <w:t>, 2022).</w:t>
      </w:r>
    </w:p>
    <w:p w14:paraId="31118A68" w14:textId="08F78A6E" w:rsidR="007C5230" w:rsidRPr="007C5230" w:rsidRDefault="007C5230" w:rsidP="007C5230">
      <w:pPr>
        <w:bidi/>
        <w:spacing w:after="160" w:line="360" w:lineRule="auto"/>
        <w:divId w:val="1647278641"/>
        <w:rPr>
          <w:rFonts w:ascii="Traditional Arabic" w:hAnsi="Traditional Arabic" w:cs="Traditional Arabic"/>
        </w:rPr>
      </w:pPr>
      <w:r w:rsidRPr="007C5230">
        <w:rPr>
          <w:rFonts w:ascii="Traditional Arabic" w:hAnsi="Traditional Arabic" w:cs="Traditional Arabic"/>
          <w:rtl/>
        </w:rPr>
        <w:t>وبذلك يُختتم الإطار النظري بمنطق أن أبعاد التحول الرقمي المؤسسي تؤثر على الرضا الوظيفي مباشرة</w:t>
      </w:r>
      <w:r w:rsidRPr="007C5230">
        <w:rPr>
          <w:rFonts w:ascii="Traditional Arabic" w:hAnsi="Traditional Arabic" w:cs="Traditional Arabic"/>
        </w:rPr>
        <w:t xml:space="preserve"> (H1) </w:t>
      </w:r>
      <w:r w:rsidRPr="007C5230">
        <w:rPr>
          <w:rFonts w:ascii="Traditional Arabic" w:hAnsi="Traditional Arabic" w:cs="Traditional Arabic"/>
          <w:rtl/>
        </w:rPr>
        <w:t>وبصورة غير مباشرة عبر قناتين: قبول التقنية</w:t>
      </w:r>
      <w:r w:rsidRPr="007C5230">
        <w:rPr>
          <w:rFonts w:ascii="Traditional Arabic" w:hAnsi="Traditional Arabic" w:cs="Traditional Arabic"/>
        </w:rPr>
        <w:t xml:space="preserve"> (H3) </w:t>
      </w:r>
      <w:r w:rsidRPr="007C5230">
        <w:rPr>
          <w:rFonts w:ascii="Traditional Arabic" w:hAnsi="Traditional Arabic" w:cs="Traditional Arabic"/>
          <w:rtl/>
        </w:rPr>
        <w:t>والإجهاد التقني</w:t>
      </w:r>
      <w:r w:rsidRPr="007C5230">
        <w:rPr>
          <w:rFonts w:ascii="Traditional Arabic" w:hAnsi="Traditional Arabic" w:cs="Traditional Arabic"/>
        </w:rPr>
        <w:t xml:space="preserve"> (H2)</w:t>
      </w:r>
      <w:r w:rsidRPr="007C5230">
        <w:rPr>
          <w:rFonts w:ascii="Traditional Arabic" w:hAnsi="Traditional Arabic" w:cs="Traditional Arabic"/>
          <w:rtl/>
        </w:rPr>
        <w:t>، مع احتمال تغاير الأثر باختلاف الخصائص الديموغرافية</w:t>
      </w:r>
      <w:r w:rsidRPr="007C5230">
        <w:rPr>
          <w:rFonts w:ascii="Traditional Arabic" w:hAnsi="Traditional Arabic" w:cs="Traditional Arabic"/>
        </w:rPr>
        <w:t xml:space="preserve"> (H4)</w:t>
      </w:r>
      <w:r w:rsidRPr="007C5230">
        <w:rPr>
          <w:rFonts w:ascii="Traditional Arabic" w:hAnsi="Traditional Arabic" w:cs="Traditional Arabic"/>
          <w:rtl/>
        </w:rPr>
        <w:t>، بما يخدم أسئلة الدراسة (س1–س4)</w:t>
      </w:r>
      <w:r w:rsidRPr="007C5230">
        <w:rPr>
          <w:rFonts w:ascii="Traditional Arabic" w:hAnsi="Traditional Arabic" w:cs="Traditional Arabic"/>
        </w:rPr>
        <w:t>.</w:t>
      </w:r>
    </w:p>
    <w:p w14:paraId="3CD85EAE" w14:textId="77777777" w:rsidR="007C5230" w:rsidRPr="00606ECD" w:rsidRDefault="007C5230" w:rsidP="007C5230">
      <w:pPr>
        <w:bidi/>
        <w:spacing w:after="160" w:line="360" w:lineRule="auto"/>
        <w:divId w:val="1647278641"/>
        <w:rPr>
          <w:rFonts w:ascii="Traditional Arabic" w:hAnsi="Traditional Arabic" w:cs="Traditional Arabic"/>
          <w:b/>
          <w:bCs/>
        </w:rPr>
      </w:pPr>
      <w:r w:rsidRPr="00606ECD">
        <w:rPr>
          <w:rFonts w:ascii="Traditional Arabic" w:hAnsi="Traditional Arabic" w:cs="Traditional Arabic"/>
          <w:b/>
          <w:bCs/>
          <w:rtl/>
        </w:rPr>
        <w:t>جدول (2-1): مواءمة أبعاد التحول الرقمي المؤسسي</w:t>
      </w:r>
      <w:r w:rsidRPr="00606ECD">
        <w:rPr>
          <w:rFonts w:ascii="Traditional Arabic" w:hAnsi="Traditional Arabic" w:cs="Traditional Arabic"/>
          <w:b/>
          <w:bCs/>
        </w:rPr>
        <w:t xml:space="preserve"> (DTD) </w:t>
      </w:r>
      <w:r w:rsidRPr="00606ECD">
        <w:rPr>
          <w:rFonts w:ascii="Traditional Arabic" w:hAnsi="Traditional Arabic" w:cs="Traditional Arabic"/>
          <w:b/>
          <w:bCs/>
          <w:rtl/>
        </w:rPr>
        <w:t>مع الآثار المتوقعة ومسارات الفرضيات</w:t>
      </w:r>
    </w:p>
    <w:tbl>
      <w:tblPr>
        <w:tblStyle w:val="5-3"/>
        <w:tblpPr w:leftFromText="180" w:rightFromText="180" w:vertAnchor="text" w:tblpXSpec="right" w:tblpY="1"/>
        <w:bidiVisual/>
        <w:tblW w:w="9360" w:type="dxa"/>
        <w:tblLook w:val="04A0" w:firstRow="1" w:lastRow="0" w:firstColumn="1" w:lastColumn="0" w:noHBand="0" w:noVBand="1"/>
      </w:tblPr>
      <w:tblGrid>
        <w:gridCol w:w="1160"/>
        <w:gridCol w:w="1350"/>
        <w:gridCol w:w="1571"/>
        <w:gridCol w:w="1880"/>
        <w:gridCol w:w="1033"/>
        <w:gridCol w:w="2366"/>
      </w:tblGrid>
      <w:tr w:rsidR="007C5230" w:rsidRPr="008B6F3E" w14:paraId="2F065125" w14:textId="77777777" w:rsidTr="00191B11">
        <w:trPr>
          <w:cnfStyle w:val="100000000000" w:firstRow="1" w:lastRow="0" w:firstColumn="0" w:lastColumn="0" w:oddVBand="0" w:evenVBand="0" w:oddHBand="0"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C3DD03" w14:textId="77777777" w:rsidR="007C5230" w:rsidRPr="008B6F3E" w:rsidRDefault="007C5230" w:rsidP="007C5230">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بُعد</w:t>
            </w:r>
            <w:r w:rsidRPr="008B6F3E">
              <w:rPr>
                <w:rFonts w:ascii="Traditional Arabic" w:eastAsia="Times New Roman" w:hAnsi="Traditional Arabic" w:cs="Traditional Arabic"/>
                <w:color w:val="0D0D0D"/>
                <w:spacing w:val="-2"/>
                <w:sz w:val="20"/>
                <w:szCs w:val="20"/>
              </w:rPr>
              <w:t xml:space="preserve"> DTD</w:t>
            </w:r>
          </w:p>
        </w:tc>
        <w:tc>
          <w:tcPr>
            <w:tcW w:w="0" w:type="auto"/>
            <w:vAlign w:val="center"/>
            <w:hideMark/>
          </w:tcPr>
          <w:p w14:paraId="68027A0E" w14:textId="77777777" w:rsidR="007C5230" w:rsidRPr="008B6F3E"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مضمون البعد (تعريف إجرائي موجز)</w:t>
            </w:r>
          </w:p>
        </w:tc>
        <w:tc>
          <w:tcPr>
            <w:tcW w:w="1571" w:type="dxa"/>
            <w:vAlign w:val="center"/>
            <w:hideMark/>
          </w:tcPr>
          <w:p w14:paraId="42114D3E" w14:textId="77777777" w:rsidR="007C5230" w:rsidRPr="008B6F3E"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أثر متوقع على</w:t>
            </w:r>
            <w:r w:rsidRPr="008B6F3E">
              <w:rPr>
                <w:rFonts w:ascii="Traditional Arabic" w:eastAsia="Times New Roman" w:hAnsi="Traditional Arabic" w:cs="Traditional Arabic"/>
                <w:color w:val="0D0D0D"/>
                <w:spacing w:val="-2"/>
                <w:sz w:val="20"/>
                <w:szCs w:val="20"/>
              </w:rPr>
              <w:t xml:space="preserve"> TAM (H3a–H3b)</w:t>
            </w:r>
          </w:p>
        </w:tc>
        <w:tc>
          <w:tcPr>
            <w:tcW w:w="1880" w:type="dxa"/>
            <w:vAlign w:val="center"/>
            <w:hideMark/>
          </w:tcPr>
          <w:p w14:paraId="2CCD1B6A" w14:textId="77777777" w:rsidR="007C5230" w:rsidRPr="008B6F3E"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أثر متوقع على</w:t>
            </w:r>
            <w:r w:rsidRPr="008B6F3E">
              <w:rPr>
                <w:rFonts w:ascii="Traditional Arabic" w:eastAsia="Times New Roman" w:hAnsi="Traditional Arabic" w:cs="Traditional Arabic"/>
                <w:color w:val="0D0D0D"/>
                <w:spacing w:val="-2"/>
                <w:sz w:val="20"/>
                <w:szCs w:val="20"/>
              </w:rPr>
              <w:t xml:space="preserve"> Technostress (H2a)</w:t>
            </w:r>
          </w:p>
        </w:tc>
        <w:tc>
          <w:tcPr>
            <w:tcW w:w="0" w:type="auto"/>
            <w:vAlign w:val="center"/>
            <w:hideMark/>
          </w:tcPr>
          <w:p w14:paraId="53A18DD2" w14:textId="77777777" w:rsidR="007C5230" w:rsidRPr="008B6F3E"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أثر متوقع على الرضا الوظيفي</w:t>
            </w:r>
            <w:r w:rsidRPr="008B6F3E">
              <w:rPr>
                <w:rFonts w:ascii="Traditional Arabic" w:eastAsia="Times New Roman" w:hAnsi="Traditional Arabic" w:cs="Traditional Arabic"/>
                <w:color w:val="0D0D0D"/>
                <w:spacing w:val="-2"/>
                <w:sz w:val="20"/>
                <w:szCs w:val="20"/>
              </w:rPr>
              <w:t xml:space="preserve"> (H1)</w:t>
            </w:r>
          </w:p>
        </w:tc>
        <w:tc>
          <w:tcPr>
            <w:tcW w:w="0" w:type="auto"/>
            <w:vAlign w:val="center"/>
            <w:hideMark/>
          </w:tcPr>
          <w:p w14:paraId="77CA82BC" w14:textId="77777777" w:rsidR="007C5230" w:rsidRPr="008B6F3E" w:rsidRDefault="007C5230" w:rsidP="007C5230">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ملاحظات نظرية موجزة</w:t>
            </w:r>
          </w:p>
        </w:tc>
      </w:tr>
      <w:tr w:rsidR="007C5230" w:rsidRPr="008B6F3E" w14:paraId="54CE1321" w14:textId="77777777" w:rsidTr="00191B11">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63D32F" w14:textId="77777777" w:rsidR="007C5230" w:rsidRPr="008B6F3E" w:rsidRDefault="007C5230" w:rsidP="007C5230">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 xml:space="preserve">DTD1 </w:t>
            </w:r>
            <w:r w:rsidRPr="008B6F3E">
              <w:rPr>
                <w:rFonts w:ascii="Traditional Arabic" w:eastAsia="Times New Roman" w:hAnsi="Traditional Arabic" w:cs="Traditional Arabic"/>
                <w:color w:val="0D0D0D"/>
                <w:spacing w:val="-2"/>
                <w:sz w:val="20"/>
                <w:szCs w:val="20"/>
                <w:rtl/>
              </w:rPr>
              <w:t>توفر/انتشار الأنظمة</w:t>
            </w:r>
          </w:p>
        </w:tc>
        <w:tc>
          <w:tcPr>
            <w:tcW w:w="0" w:type="auto"/>
            <w:vAlign w:val="center"/>
            <w:hideMark/>
          </w:tcPr>
          <w:p w14:paraId="30A96447" w14:textId="77777777"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شمول الأنظمة الرقمية لمعاملات الموظف واستخدامها اليومي</w:t>
            </w:r>
          </w:p>
        </w:tc>
        <w:tc>
          <w:tcPr>
            <w:tcW w:w="1571" w:type="dxa"/>
            <w:vAlign w:val="center"/>
            <w:hideMark/>
          </w:tcPr>
          <w:p w14:paraId="6D78C617" w14:textId="1D9BCC74"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PU/</w:t>
            </w:r>
            <w:proofErr w:type="gramStart"/>
            <w:r w:rsidRPr="008B6F3E">
              <w:rPr>
                <w:rFonts w:ascii="Traditional Arabic" w:eastAsia="Times New Roman" w:hAnsi="Traditional Arabic" w:cs="Traditional Arabic"/>
                <w:color w:val="0D0D0D"/>
                <w:spacing w:val="-2"/>
                <w:sz w:val="20"/>
                <w:szCs w:val="20"/>
              </w:rPr>
              <w:t xml:space="preserve">PEOU </w:t>
            </w:r>
            <w:r w:rsidR="005E42D3" w:rsidRPr="008B6F3E">
              <w:rPr>
                <w:rFonts w:ascii="Traditional Arabic" w:eastAsia="Times New Roman" w:hAnsi="Traditional Arabic" w:cs="Traditional Arabic"/>
                <w:color w:val="0D0D0D"/>
                <w:spacing w:val="-2"/>
                <w:sz w:val="20"/>
                <w:szCs w:val="20"/>
                <w:rtl/>
              </w:rPr>
              <w:t xml:space="preserve"> رفع</w:t>
            </w:r>
            <w:proofErr w:type="gramEnd"/>
            <w:r w:rsidR="005E42D3" w:rsidRPr="008B6F3E">
              <w:rPr>
                <w:rFonts w:ascii="Traditional Arabic" w:eastAsia="Times New Roman" w:hAnsi="Traditional Arabic" w:cs="Traditional Arabic"/>
                <w:color w:val="0D0D0D"/>
                <w:spacing w:val="-2"/>
                <w:sz w:val="20"/>
                <w:szCs w:val="20"/>
              </w:rPr>
              <w:t xml:space="preserve"> </w:t>
            </w:r>
            <w:r w:rsidRPr="008B6F3E">
              <w:rPr>
                <w:rFonts w:ascii="Traditional Arabic" w:eastAsia="Times New Roman" w:hAnsi="Traditional Arabic" w:cs="Traditional Arabic"/>
                <w:color w:val="0D0D0D"/>
                <w:spacing w:val="-2"/>
                <w:sz w:val="20"/>
                <w:szCs w:val="20"/>
                <w:rtl/>
              </w:rPr>
              <w:t>عبر خفض الاعتماد على البدائل اليدوية</w:t>
            </w:r>
          </w:p>
        </w:tc>
        <w:tc>
          <w:tcPr>
            <w:tcW w:w="1880" w:type="dxa"/>
            <w:vAlign w:val="center"/>
            <w:hideMark/>
          </w:tcPr>
          <w:p w14:paraId="4D545970" w14:textId="3C05A9FD" w:rsidR="007C5230" w:rsidRPr="008B6F3E" w:rsidRDefault="005E42D3" w:rsidP="005E42D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قد يخفض الإجهاد عند تنظيم الاستخدام، وقد يرفعه إذا صاحبه تعدد أدوات غير منسق</w:t>
            </w:r>
          </w:p>
        </w:tc>
        <w:tc>
          <w:tcPr>
            <w:tcW w:w="0" w:type="auto"/>
            <w:vAlign w:val="center"/>
            <w:hideMark/>
          </w:tcPr>
          <w:p w14:paraId="37F80BE8" w14:textId="77777777"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أثر إيجابي متوقع</w:t>
            </w:r>
            <w:r w:rsidRPr="008B6F3E">
              <w:rPr>
                <w:rFonts w:ascii="Traditional Arabic" w:eastAsia="Times New Roman" w:hAnsi="Traditional Arabic" w:cs="Traditional Arabic"/>
                <w:color w:val="0D0D0D"/>
                <w:spacing w:val="-2"/>
                <w:sz w:val="20"/>
                <w:szCs w:val="20"/>
              </w:rPr>
              <w:t xml:space="preserve"> (H1a)</w:t>
            </w:r>
          </w:p>
        </w:tc>
        <w:tc>
          <w:tcPr>
            <w:tcW w:w="0" w:type="auto"/>
            <w:vAlign w:val="center"/>
            <w:hideMark/>
          </w:tcPr>
          <w:p w14:paraId="41EDA48A" w14:textId="742BBF8E"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 xml:space="preserve">يرتبط بمنطق </w:t>
            </w:r>
            <w:r w:rsidR="002F488C"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tl/>
              </w:rPr>
              <w:t>الإتاحة</w:t>
            </w:r>
            <w:r w:rsidR="002F488C"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tl/>
              </w:rPr>
              <w:t xml:space="preserve"> كشرط لانتقال التحول من مبادرة إلى ممارسة</w:t>
            </w:r>
            <w:r w:rsidRPr="008B6F3E">
              <w:rPr>
                <w:rFonts w:ascii="Traditional Arabic" w:eastAsia="Times New Roman" w:hAnsi="Traditional Arabic" w:cs="Traditional Arabic"/>
                <w:color w:val="0D0D0D"/>
                <w:spacing w:val="-2"/>
                <w:sz w:val="20"/>
                <w:szCs w:val="20"/>
              </w:rPr>
              <w:t xml:space="preserve"> (Vial, 2019)</w:t>
            </w:r>
          </w:p>
        </w:tc>
      </w:tr>
      <w:tr w:rsidR="007C5230" w:rsidRPr="008B6F3E" w14:paraId="29A8DA22" w14:textId="77777777" w:rsidTr="00191B11">
        <w:trPr>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C0C065" w14:textId="77777777" w:rsidR="007C5230" w:rsidRPr="008B6F3E" w:rsidRDefault="007C5230" w:rsidP="007C5230">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 xml:space="preserve">DTD2 </w:t>
            </w:r>
            <w:r w:rsidRPr="008B6F3E">
              <w:rPr>
                <w:rFonts w:ascii="Traditional Arabic" w:eastAsia="Times New Roman" w:hAnsi="Traditional Arabic" w:cs="Traditional Arabic"/>
                <w:color w:val="0D0D0D"/>
                <w:spacing w:val="-2"/>
                <w:sz w:val="20"/>
                <w:szCs w:val="20"/>
                <w:rtl/>
              </w:rPr>
              <w:t>كفاءة الأنظمة والعمليات</w:t>
            </w:r>
          </w:p>
        </w:tc>
        <w:tc>
          <w:tcPr>
            <w:tcW w:w="0" w:type="auto"/>
            <w:vAlign w:val="center"/>
            <w:hideMark/>
          </w:tcPr>
          <w:p w14:paraId="7DA18947" w14:textId="77777777" w:rsidR="007C5230" w:rsidRPr="008B6F3E"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الاستقرار، سرعة الاستجابة، تقليل الأخطاء، وضوح التدفق</w:t>
            </w:r>
          </w:p>
        </w:tc>
        <w:tc>
          <w:tcPr>
            <w:tcW w:w="1571" w:type="dxa"/>
            <w:vAlign w:val="center"/>
            <w:hideMark/>
          </w:tcPr>
          <w:p w14:paraId="391C578A" w14:textId="2DC50922" w:rsidR="007C5230" w:rsidRPr="008B6F3E" w:rsidRDefault="00191B11" w:rsidP="007C523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 xml:space="preserve"> </w:t>
            </w:r>
            <w:r w:rsidR="007C5230" w:rsidRPr="008B6F3E">
              <w:rPr>
                <w:rFonts w:ascii="Traditional Arabic" w:eastAsia="Times New Roman" w:hAnsi="Traditional Arabic" w:cs="Traditional Arabic"/>
                <w:color w:val="0D0D0D"/>
                <w:spacing w:val="-2"/>
                <w:sz w:val="20"/>
                <w:szCs w:val="20"/>
              </w:rPr>
              <w:t>PU/</w:t>
            </w:r>
            <w:proofErr w:type="gramStart"/>
            <w:r w:rsidR="007C5230" w:rsidRPr="008B6F3E">
              <w:rPr>
                <w:rFonts w:ascii="Traditional Arabic" w:eastAsia="Times New Roman" w:hAnsi="Traditional Arabic" w:cs="Traditional Arabic"/>
                <w:color w:val="0D0D0D"/>
                <w:spacing w:val="-2"/>
                <w:sz w:val="20"/>
                <w:szCs w:val="20"/>
              </w:rPr>
              <w:t xml:space="preserve">PEOU </w:t>
            </w:r>
            <w:r w:rsidRPr="008B6F3E">
              <w:rPr>
                <w:rFonts w:ascii="Traditional Arabic" w:eastAsia="Times New Roman" w:hAnsi="Traditional Arabic" w:cs="Traditional Arabic"/>
                <w:color w:val="0D0D0D"/>
                <w:spacing w:val="-2"/>
                <w:sz w:val="20"/>
                <w:szCs w:val="20"/>
                <w:rtl/>
              </w:rPr>
              <w:t xml:space="preserve"> رفع</w:t>
            </w:r>
            <w:proofErr w:type="gramEnd"/>
            <w:r w:rsidRPr="008B6F3E">
              <w:rPr>
                <w:rFonts w:ascii="Traditional Arabic" w:eastAsia="Times New Roman" w:hAnsi="Traditional Arabic" w:cs="Traditional Arabic"/>
                <w:color w:val="0D0D0D"/>
                <w:spacing w:val="-2"/>
                <w:sz w:val="20"/>
                <w:szCs w:val="20"/>
                <w:rtl/>
              </w:rPr>
              <w:t xml:space="preserve"> </w:t>
            </w:r>
            <w:r w:rsidR="007C5230" w:rsidRPr="008B6F3E">
              <w:rPr>
                <w:rFonts w:ascii="Traditional Arabic" w:eastAsia="Times New Roman" w:hAnsi="Traditional Arabic" w:cs="Traditional Arabic"/>
                <w:color w:val="0D0D0D"/>
                <w:spacing w:val="-2"/>
                <w:sz w:val="20"/>
                <w:szCs w:val="20"/>
                <w:rtl/>
              </w:rPr>
              <w:t>عبر تحسين الأداء وسلاسة الاستخدام</w:t>
            </w:r>
          </w:p>
        </w:tc>
        <w:tc>
          <w:tcPr>
            <w:tcW w:w="1880" w:type="dxa"/>
            <w:vAlign w:val="center"/>
            <w:hideMark/>
          </w:tcPr>
          <w:p w14:paraId="0F5719FC" w14:textId="77777777" w:rsidR="007C5230" w:rsidRPr="008B6F3E"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خفض التعقيد/عدم اليقين عند تحسن الاستقرار</w:t>
            </w:r>
          </w:p>
        </w:tc>
        <w:tc>
          <w:tcPr>
            <w:tcW w:w="0" w:type="auto"/>
            <w:vAlign w:val="center"/>
            <w:hideMark/>
          </w:tcPr>
          <w:p w14:paraId="1B8C8BA7" w14:textId="77777777" w:rsidR="007C5230" w:rsidRPr="008B6F3E"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أثر إيجابي متوقع</w:t>
            </w:r>
            <w:r w:rsidRPr="008B6F3E">
              <w:rPr>
                <w:rFonts w:ascii="Traditional Arabic" w:eastAsia="Times New Roman" w:hAnsi="Traditional Arabic" w:cs="Traditional Arabic"/>
                <w:color w:val="0D0D0D"/>
                <w:spacing w:val="-2"/>
                <w:sz w:val="20"/>
                <w:szCs w:val="20"/>
              </w:rPr>
              <w:t xml:space="preserve"> (H1b)</w:t>
            </w:r>
          </w:p>
        </w:tc>
        <w:tc>
          <w:tcPr>
            <w:tcW w:w="0" w:type="auto"/>
            <w:vAlign w:val="center"/>
            <w:hideMark/>
          </w:tcPr>
          <w:p w14:paraId="79D6347F" w14:textId="5F558CA2" w:rsidR="007C5230" w:rsidRPr="008B6F3E" w:rsidRDefault="00191B11" w:rsidP="007C523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hAnsi="Traditional Arabic" w:cs="Traditional Arabic"/>
                <w:rtl/>
              </w:rPr>
              <w:t>الأعطال والبطء وتكرار الأخطاء تُعامل هنا مؤشرات عكسية على الكفاءة، لا بُعدًا مستقلًا</w:t>
            </w:r>
          </w:p>
        </w:tc>
      </w:tr>
      <w:tr w:rsidR="007C5230" w:rsidRPr="008B6F3E" w14:paraId="40594561" w14:textId="77777777" w:rsidTr="00191B11">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C516B4" w14:textId="77777777" w:rsidR="007C5230" w:rsidRPr="008B6F3E" w:rsidRDefault="007C5230" w:rsidP="007C5230">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 xml:space="preserve">DTD3 </w:t>
            </w:r>
            <w:r w:rsidRPr="008B6F3E">
              <w:rPr>
                <w:rFonts w:ascii="Traditional Arabic" w:eastAsia="Times New Roman" w:hAnsi="Traditional Arabic" w:cs="Traditional Arabic"/>
                <w:color w:val="0D0D0D"/>
                <w:spacing w:val="-2"/>
                <w:sz w:val="20"/>
                <w:szCs w:val="20"/>
                <w:rtl/>
              </w:rPr>
              <w:t>جودة الدعم والتدريب</w:t>
            </w:r>
          </w:p>
        </w:tc>
        <w:tc>
          <w:tcPr>
            <w:tcW w:w="0" w:type="auto"/>
            <w:vAlign w:val="center"/>
            <w:hideMark/>
          </w:tcPr>
          <w:p w14:paraId="1D04D4C1" w14:textId="77777777"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التدريب، قنوات المساعدة، سرعة الاستجابة</w:t>
            </w:r>
          </w:p>
        </w:tc>
        <w:tc>
          <w:tcPr>
            <w:tcW w:w="1571" w:type="dxa"/>
            <w:vAlign w:val="center"/>
            <w:hideMark/>
          </w:tcPr>
          <w:p w14:paraId="29F295EA" w14:textId="1A3CC640" w:rsidR="00191B11" w:rsidRPr="008B6F3E" w:rsidRDefault="00191B11" w:rsidP="00191B11">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vanish/>
                <w:color w:val="0D0D0D"/>
                <w:spacing w:val="-2"/>
                <w:sz w:val="20"/>
                <w:szCs w:val="20"/>
              </w:rPr>
            </w:pPr>
            <w:proofErr w:type="gramStart"/>
            <w:r w:rsidRPr="008B6F3E">
              <w:rPr>
                <w:rFonts w:ascii="Traditional Arabic" w:eastAsia="Times New Roman" w:hAnsi="Traditional Arabic" w:cs="Traditional Arabic"/>
                <w:color w:val="0D0D0D"/>
                <w:spacing w:val="-2"/>
                <w:sz w:val="20"/>
                <w:szCs w:val="20"/>
                <w:rtl/>
              </w:rPr>
              <w:t xml:space="preserve">رفع </w:t>
            </w:r>
            <w:r w:rsidRPr="008B6F3E">
              <w:rPr>
                <w:rFonts w:ascii="Traditional Arabic" w:hAnsi="Traditional Arabic" w:cs="Traditional Arabic"/>
              </w:rPr>
              <w:t xml:space="preserve"> PEOU</w:t>
            </w:r>
            <w:proofErr w:type="gramEnd"/>
            <w:r w:rsidRPr="008B6F3E">
              <w:rPr>
                <w:rFonts w:ascii="Traditional Arabic" w:hAnsi="Traditional Arabic" w:cs="Traditional Arabic"/>
              </w:rPr>
              <w:t xml:space="preserve"> </w:t>
            </w:r>
            <w:r w:rsidRPr="008B6F3E">
              <w:rPr>
                <w:rFonts w:ascii="Traditional Arabic" w:hAnsi="Traditional Arabic" w:cs="Traditional Arabic"/>
                <w:rtl/>
              </w:rPr>
              <w:t>و</w:t>
            </w:r>
            <w:r w:rsidRPr="008B6F3E">
              <w:rPr>
                <w:rFonts w:ascii="Traditional Arabic" w:hAnsi="Traditional Arabic" w:cs="Traditional Arabic"/>
              </w:rPr>
              <w:t xml:space="preserve">PU </w:t>
            </w:r>
            <w:r w:rsidRPr="008B6F3E">
              <w:rPr>
                <w:rFonts w:ascii="Traditional Arabic" w:hAnsi="Traditional Arabic" w:cs="Traditional Arabic"/>
                <w:rtl/>
              </w:rPr>
              <w:t>عبر التمكين والتعلم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1B11" w:rsidRPr="008B6F3E" w14:paraId="457F726B" w14:textId="77777777" w:rsidTr="00191B11">
              <w:trPr>
                <w:tblCellSpacing w:w="15" w:type="dxa"/>
              </w:trPr>
              <w:tc>
                <w:tcPr>
                  <w:tcW w:w="0" w:type="auto"/>
                  <w:vAlign w:val="center"/>
                  <w:hideMark/>
                </w:tcPr>
                <w:p w14:paraId="5A6DE88E" w14:textId="77777777" w:rsidR="00191B11" w:rsidRPr="008B6F3E" w:rsidRDefault="00191B11" w:rsidP="00191B11">
                  <w:pPr>
                    <w:framePr w:hSpace="180" w:wrap="around" w:vAnchor="text" w:hAnchor="text" w:xAlign="right" w:y="1"/>
                    <w:jc w:val="center"/>
                    <w:rPr>
                      <w:rFonts w:ascii="Traditional Arabic" w:eastAsia="Times New Roman" w:hAnsi="Traditional Arabic" w:cs="Traditional Arabic"/>
                      <w:color w:val="0D0D0D"/>
                      <w:spacing w:val="-2"/>
                      <w:sz w:val="20"/>
                      <w:szCs w:val="20"/>
                    </w:rPr>
                  </w:pPr>
                </w:p>
              </w:tc>
            </w:tr>
          </w:tbl>
          <w:p w14:paraId="5D62B007" w14:textId="264037C9"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p>
        </w:tc>
        <w:tc>
          <w:tcPr>
            <w:tcW w:w="1880" w:type="dxa"/>
            <w:vAlign w:val="center"/>
            <w:hideMark/>
          </w:tcPr>
          <w:p w14:paraId="2E07D410" w14:textId="0CD043D0"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 xml:space="preserve">خفض صانعات الإجهاد بوصفه </w:t>
            </w:r>
            <w:r w:rsidR="002F488C"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tl/>
              </w:rPr>
              <w:t>مثبطًا</w:t>
            </w:r>
            <w:r w:rsidR="002F488C"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tl/>
              </w:rPr>
              <w:t xml:space="preserve"> تنظيميًا</w:t>
            </w:r>
          </w:p>
        </w:tc>
        <w:tc>
          <w:tcPr>
            <w:tcW w:w="0" w:type="auto"/>
            <w:vAlign w:val="center"/>
            <w:hideMark/>
          </w:tcPr>
          <w:p w14:paraId="7D5F2347" w14:textId="77777777"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أثر إيجابي متوقع</w:t>
            </w:r>
            <w:r w:rsidRPr="008B6F3E">
              <w:rPr>
                <w:rFonts w:ascii="Traditional Arabic" w:eastAsia="Times New Roman" w:hAnsi="Traditional Arabic" w:cs="Traditional Arabic"/>
                <w:color w:val="0D0D0D"/>
                <w:spacing w:val="-2"/>
                <w:sz w:val="20"/>
                <w:szCs w:val="20"/>
              </w:rPr>
              <w:t xml:space="preserve"> (H1c)</w:t>
            </w:r>
          </w:p>
        </w:tc>
        <w:tc>
          <w:tcPr>
            <w:tcW w:w="0" w:type="auto"/>
            <w:vAlign w:val="center"/>
            <w:hideMark/>
          </w:tcPr>
          <w:p w14:paraId="45D96735" w14:textId="77777777" w:rsidR="007C5230" w:rsidRPr="008B6F3E" w:rsidRDefault="007C5230" w:rsidP="007C5230">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يتسق مع مثبطات الإجهاد التقني</w:t>
            </w:r>
            <w:r w:rsidRPr="008B6F3E">
              <w:rPr>
                <w:rFonts w:ascii="Traditional Arabic" w:eastAsia="Times New Roman" w:hAnsi="Traditional Arabic" w:cs="Traditional Arabic"/>
                <w:color w:val="0D0D0D"/>
                <w:spacing w:val="-2"/>
                <w:sz w:val="20"/>
                <w:szCs w:val="20"/>
              </w:rPr>
              <w:t xml:space="preserve"> (</w:t>
            </w:r>
            <w:proofErr w:type="spellStart"/>
            <w:r w:rsidRPr="008B6F3E">
              <w:rPr>
                <w:rFonts w:ascii="Traditional Arabic" w:eastAsia="Times New Roman" w:hAnsi="Traditional Arabic" w:cs="Traditional Arabic"/>
                <w:color w:val="0D0D0D"/>
                <w:spacing w:val="-2"/>
                <w:sz w:val="20"/>
                <w:szCs w:val="20"/>
              </w:rPr>
              <w:t>Tarafdar</w:t>
            </w:r>
            <w:proofErr w:type="spellEnd"/>
            <w:r w:rsidRPr="008B6F3E">
              <w:rPr>
                <w:rFonts w:ascii="Traditional Arabic" w:eastAsia="Times New Roman" w:hAnsi="Traditional Arabic" w:cs="Traditional Arabic"/>
                <w:color w:val="0D0D0D"/>
                <w:spacing w:val="-2"/>
                <w:sz w:val="20"/>
                <w:szCs w:val="20"/>
              </w:rPr>
              <w:t xml:space="preserve"> et al., 2011) </w:t>
            </w:r>
            <w:r w:rsidRPr="008B6F3E">
              <w:rPr>
                <w:rFonts w:ascii="Traditional Arabic" w:eastAsia="Times New Roman" w:hAnsi="Traditional Arabic" w:cs="Traditional Arabic"/>
                <w:color w:val="0D0D0D"/>
                <w:spacing w:val="-2"/>
                <w:sz w:val="20"/>
                <w:szCs w:val="20"/>
                <w:rtl/>
              </w:rPr>
              <w:t>ومع جودة الخدمة/النظام</w:t>
            </w:r>
            <w:r w:rsidRPr="008B6F3E">
              <w:rPr>
                <w:rFonts w:ascii="Traditional Arabic" w:eastAsia="Times New Roman" w:hAnsi="Traditional Arabic" w:cs="Traditional Arabic"/>
                <w:color w:val="0D0D0D"/>
                <w:spacing w:val="-2"/>
                <w:sz w:val="20"/>
                <w:szCs w:val="20"/>
              </w:rPr>
              <w:t xml:space="preserve"> (</w:t>
            </w:r>
            <w:proofErr w:type="spellStart"/>
            <w:r w:rsidRPr="008B6F3E">
              <w:rPr>
                <w:rFonts w:ascii="Traditional Arabic" w:eastAsia="Times New Roman" w:hAnsi="Traditional Arabic" w:cs="Traditional Arabic"/>
                <w:color w:val="0D0D0D"/>
                <w:spacing w:val="-2"/>
                <w:sz w:val="20"/>
                <w:szCs w:val="20"/>
              </w:rPr>
              <w:t>DeLone</w:t>
            </w:r>
            <w:proofErr w:type="spellEnd"/>
            <w:r w:rsidRPr="008B6F3E">
              <w:rPr>
                <w:rFonts w:ascii="Traditional Arabic" w:eastAsia="Times New Roman" w:hAnsi="Traditional Arabic" w:cs="Traditional Arabic"/>
                <w:color w:val="0D0D0D"/>
                <w:spacing w:val="-2"/>
                <w:sz w:val="20"/>
                <w:szCs w:val="20"/>
              </w:rPr>
              <w:t xml:space="preserve"> &amp; McLean, 2003)</w:t>
            </w:r>
          </w:p>
        </w:tc>
      </w:tr>
      <w:tr w:rsidR="007C5230" w:rsidRPr="008B6F3E" w14:paraId="5D70D1B0" w14:textId="77777777" w:rsidTr="00191B11">
        <w:trPr>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C76E02" w14:textId="77777777" w:rsidR="007C5230" w:rsidRPr="008B6F3E" w:rsidRDefault="007C5230" w:rsidP="007C5230">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 xml:space="preserve">DTD4 </w:t>
            </w:r>
            <w:r w:rsidRPr="008B6F3E">
              <w:rPr>
                <w:rFonts w:ascii="Traditional Arabic" w:eastAsia="Times New Roman" w:hAnsi="Traditional Arabic" w:cs="Traditional Arabic"/>
                <w:color w:val="0D0D0D"/>
                <w:spacing w:val="-2"/>
                <w:sz w:val="20"/>
                <w:szCs w:val="20"/>
                <w:rtl/>
              </w:rPr>
              <w:t>التكامل وتبسيط الإجراءات</w:t>
            </w:r>
          </w:p>
        </w:tc>
        <w:tc>
          <w:tcPr>
            <w:tcW w:w="0" w:type="auto"/>
            <w:vAlign w:val="center"/>
            <w:hideMark/>
          </w:tcPr>
          <w:p w14:paraId="6CD41F69" w14:textId="77777777" w:rsidR="007C5230" w:rsidRPr="008B6F3E"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التشغيل البيني الداخلي وتقليل الازدواجية والخطوات</w:t>
            </w:r>
          </w:p>
        </w:tc>
        <w:tc>
          <w:tcPr>
            <w:tcW w:w="1571" w:type="dxa"/>
            <w:vAlign w:val="center"/>
            <w:hideMark/>
          </w:tcPr>
          <w:p w14:paraId="20C5F36F" w14:textId="77777777" w:rsidR="007C5230" w:rsidRPr="008B6F3E" w:rsidRDefault="007C5230" w:rsidP="00191B11">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رفع</w:t>
            </w:r>
            <w:r w:rsidRPr="008B6F3E">
              <w:rPr>
                <w:rFonts w:ascii="Traditional Arabic" w:eastAsia="Times New Roman" w:hAnsi="Traditional Arabic" w:cs="Traditional Arabic"/>
                <w:color w:val="0D0D0D"/>
                <w:spacing w:val="-2"/>
                <w:sz w:val="20"/>
                <w:szCs w:val="20"/>
              </w:rPr>
              <w:t xml:space="preserve"> PU/PEOU </w:t>
            </w:r>
            <w:r w:rsidRPr="008B6F3E">
              <w:rPr>
                <w:rFonts w:ascii="Traditional Arabic" w:eastAsia="Times New Roman" w:hAnsi="Traditional Arabic" w:cs="Traditional Arabic"/>
                <w:color w:val="0D0D0D"/>
                <w:spacing w:val="-2"/>
                <w:sz w:val="20"/>
                <w:szCs w:val="20"/>
                <w:rtl/>
              </w:rPr>
              <w:t>عبر تبسيط رحلة الإجراء</w:t>
            </w:r>
          </w:p>
        </w:tc>
        <w:tc>
          <w:tcPr>
            <w:tcW w:w="1880"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4"/>
            </w:tblGrid>
            <w:tr w:rsidR="00191B11" w:rsidRPr="008B6F3E" w14:paraId="679FDA9E" w14:textId="77777777" w:rsidTr="00191B11">
              <w:trPr>
                <w:tblCellSpacing w:w="15" w:type="dxa"/>
              </w:trPr>
              <w:tc>
                <w:tcPr>
                  <w:tcW w:w="0" w:type="auto"/>
                  <w:vAlign w:val="center"/>
                  <w:hideMark/>
                </w:tcPr>
                <w:p w14:paraId="00195A0A" w14:textId="77777777" w:rsidR="00191B11" w:rsidRPr="008B6F3E" w:rsidRDefault="00191B11" w:rsidP="00191B11">
                  <w:pPr>
                    <w:framePr w:hSpace="180" w:wrap="around" w:vAnchor="text" w:hAnchor="text" w:xAlign="right" w:y="1"/>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خفض الانقطاع والتشتت والاحتكاك الإجرائي</w:t>
                  </w:r>
                </w:p>
              </w:tc>
            </w:tr>
          </w:tbl>
          <w:p w14:paraId="7A92C6F3" w14:textId="77777777" w:rsidR="00191B11" w:rsidRPr="008B6F3E" w:rsidRDefault="00191B11" w:rsidP="00191B11">
            <w:pP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vanish/>
                <w:color w:val="0D0D0D"/>
                <w:spacing w:val="-2"/>
                <w:sz w:val="20"/>
                <w:szCs w:val="20"/>
              </w:rPr>
            </w:pPr>
          </w:p>
          <w:p w14:paraId="6518BF91" w14:textId="1F7FACEA" w:rsidR="007C5230" w:rsidRPr="008B6F3E" w:rsidRDefault="007C5230" w:rsidP="00191B11">
            <w:pP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p>
        </w:tc>
        <w:tc>
          <w:tcPr>
            <w:tcW w:w="0" w:type="auto"/>
            <w:vAlign w:val="center"/>
            <w:hideMark/>
          </w:tcPr>
          <w:p w14:paraId="0179FA24" w14:textId="77777777" w:rsidR="007C5230" w:rsidRPr="008B6F3E"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أثر إيجابي متوقع</w:t>
            </w:r>
            <w:r w:rsidRPr="008B6F3E">
              <w:rPr>
                <w:rFonts w:ascii="Traditional Arabic" w:eastAsia="Times New Roman" w:hAnsi="Traditional Arabic" w:cs="Traditional Arabic"/>
                <w:color w:val="0D0D0D"/>
                <w:spacing w:val="-2"/>
                <w:sz w:val="20"/>
                <w:szCs w:val="20"/>
              </w:rPr>
              <w:t xml:space="preserve"> (H1d)</w:t>
            </w:r>
          </w:p>
        </w:tc>
        <w:tc>
          <w:tcPr>
            <w:tcW w:w="0" w:type="auto"/>
            <w:vAlign w:val="center"/>
            <w:hideMark/>
          </w:tcPr>
          <w:p w14:paraId="3F7DF019" w14:textId="77777777" w:rsidR="007C5230" w:rsidRPr="008B6F3E" w:rsidRDefault="007C5230" w:rsidP="007C5230">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ينسجم مع التحول الحكومي بوصفه إعادة تصميم للعمليات</w:t>
            </w:r>
            <w:r w:rsidRPr="008B6F3E">
              <w:rPr>
                <w:rFonts w:ascii="Traditional Arabic" w:eastAsia="Times New Roman" w:hAnsi="Traditional Arabic" w:cs="Traditional Arabic"/>
                <w:color w:val="0D0D0D"/>
                <w:spacing w:val="-2"/>
                <w:sz w:val="20"/>
                <w:szCs w:val="20"/>
              </w:rPr>
              <w:t xml:space="preserve"> (</w:t>
            </w:r>
            <w:proofErr w:type="spellStart"/>
            <w:r w:rsidRPr="008B6F3E">
              <w:rPr>
                <w:rFonts w:ascii="Traditional Arabic" w:eastAsia="Times New Roman" w:hAnsi="Traditional Arabic" w:cs="Traditional Arabic"/>
                <w:color w:val="0D0D0D"/>
                <w:spacing w:val="-2"/>
                <w:sz w:val="20"/>
                <w:szCs w:val="20"/>
              </w:rPr>
              <w:t>Mergel</w:t>
            </w:r>
            <w:proofErr w:type="spellEnd"/>
            <w:r w:rsidRPr="008B6F3E">
              <w:rPr>
                <w:rFonts w:ascii="Traditional Arabic" w:eastAsia="Times New Roman" w:hAnsi="Traditional Arabic" w:cs="Traditional Arabic"/>
                <w:color w:val="0D0D0D"/>
                <w:spacing w:val="-2"/>
                <w:sz w:val="20"/>
                <w:szCs w:val="20"/>
              </w:rPr>
              <w:t xml:space="preserve"> et al., 2019)</w:t>
            </w:r>
          </w:p>
        </w:tc>
      </w:tr>
    </w:tbl>
    <w:p w14:paraId="586CF6BE" w14:textId="37A22233" w:rsidR="00191B11" w:rsidRPr="00191B11" w:rsidRDefault="00191B11" w:rsidP="00191B11">
      <w:pPr>
        <w:bidi/>
        <w:spacing w:after="160" w:line="360" w:lineRule="auto"/>
        <w:divId w:val="1647278641"/>
        <w:rPr>
          <w:rFonts w:ascii="Traditional Arabic" w:hAnsi="Traditional Arabic" w:cs="Traditional Arabic"/>
          <w:rtl/>
        </w:rPr>
      </w:pPr>
      <w:r w:rsidRPr="00191B11">
        <w:rPr>
          <w:rFonts w:ascii="Traditional Arabic" w:hAnsi="Traditional Arabic" w:cs="Traditional Arabic"/>
          <w:rtl/>
        </w:rPr>
        <w:t>تُدرج البنود التي تعكس ضعف الاستقرار أو بطء النظام أو تكرار الأعطال ضمن</w:t>
      </w:r>
      <w:r w:rsidRPr="00191B11">
        <w:rPr>
          <w:rFonts w:ascii="Traditional Arabic" w:hAnsi="Traditional Arabic" w:cs="Traditional Arabic"/>
        </w:rPr>
        <w:t xml:space="preserve"> (DTD2) </w:t>
      </w:r>
      <w:r w:rsidRPr="00191B11">
        <w:rPr>
          <w:rFonts w:ascii="Traditional Arabic" w:hAnsi="Traditional Arabic" w:cs="Traditional Arabic"/>
          <w:rtl/>
        </w:rPr>
        <w:t>بعد عكس اتجاهها عند التحليل إذا لزم، بينما تُدرج البنود التي تعكس العبء أو التعقيد أو الاقتحام أو صعوبة مواكبة التغير التقني ضمن متغير الإجهاد التقني</w:t>
      </w:r>
      <w:r w:rsidRPr="00191B11">
        <w:rPr>
          <w:rFonts w:ascii="Traditional Arabic" w:hAnsi="Traditional Arabic" w:cs="Traditional Arabic"/>
        </w:rPr>
        <w:t>.</w:t>
      </w:r>
    </w:p>
    <w:p w14:paraId="4EF75EDB" w14:textId="77777777" w:rsidR="00663477" w:rsidRDefault="00663477" w:rsidP="00191B11">
      <w:pPr>
        <w:bidi/>
        <w:spacing w:after="160" w:line="360" w:lineRule="auto"/>
        <w:divId w:val="1647278641"/>
        <w:rPr>
          <w:rFonts w:ascii="Traditional Arabic" w:hAnsi="Traditional Arabic" w:cs="Traditional Arabic"/>
          <w:b/>
          <w:bCs/>
        </w:rPr>
      </w:pPr>
    </w:p>
    <w:p w14:paraId="04D6862E" w14:textId="77777777" w:rsidR="00663477" w:rsidRDefault="00663477" w:rsidP="00663477">
      <w:pPr>
        <w:bidi/>
        <w:spacing w:after="160" w:line="360" w:lineRule="auto"/>
        <w:divId w:val="1647278641"/>
        <w:rPr>
          <w:rFonts w:ascii="Traditional Arabic" w:hAnsi="Traditional Arabic" w:cs="Traditional Arabic"/>
          <w:b/>
          <w:bCs/>
        </w:rPr>
      </w:pPr>
    </w:p>
    <w:p w14:paraId="4152F5DF" w14:textId="02FED24D" w:rsidR="007C5230" w:rsidRPr="00606ECD" w:rsidRDefault="007C5230" w:rsidP="00663477">
      <w:pPr>
        <w:bidi/>
        <w:spacing w:after="160" w:line="360" w:lineRule="auto"/>
        <w:divId w:val="1647278641"/>
        <w:rPr>
          <w:rFonts w:ascii="Traditional Arabic" w:hAnsi="Traditional Arabic" w:cs="Traditional Arabic"/>
          <w:b/>
          <w:bCs/>
        </w:rPr>
      </w:pPr>
      <w:r w:rsidRPr="00606ECD">
        <w:rPr>
          <w:rFonts w:ascii="Traditional Arabic" w:hAnsi="Traditional Arabic" w:cs="Traditional Arabic"/>
          <w:b/>
          <w:bCs/>
          <w:rtl/>
        </w:rPr>
        <w:lastRenderedPageBreak/>
        <w:t>جدول (2-2): تعريفات المتغيرات والقياس والتمييز وملاحظات التكييف (وفق متطلبات اللجنة)</w:t>
      </w:r>
    </w:p>
    <w:tbl>
      <w:tblPr>
        <w:tblStyle w:val="5-3"/>
        <w:tblpPr w:leftFromText="180" w:rightFromText="180" w:vertAnchor="text" w:horzAnchor="page" w:tblpXSpec="center" w:tblpY="18"/>
        <w:bidiVisual/>
        <w:tblW w:w="10141" w:type="dxa"/>
        <w:tblLook w:val="04A0" w:firstRow="1" w:lastRow="0" w:firstColumn="1" w:lastColumn="0" w:noHBand="0" w:noVBand="1"/>
      </w:tblPr>
      <w:tblGrid>
        <w:gridCol w:w="1478"/>
        <w:gridCol w:w="1164"/>
        <w:gridCol w:w="3582"/>
        <w:gridCol w:w="1267"/>
        <w:gridCol w:w="1177"/>
        <w:gridCol w:w="1473"/>
      </w:tblGrid>
      <w:tr w:rsidR="007C5230" w:rsidRPr="008B6F3E" w14:paraId="5160AF61" w14:textId="77777777" w:rsidTr="008E4A93">
        <w:trPr>
          <w:cnfStyle w:val="100000000000" w:firstRow="1" w:lastRow="0" w:firstColumn="0" w:lastColumn="0" w:oddVBand="0" w:evenVBand="0" w:oddHBand="0"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372A81" w14:textId="77777777" w:rsidR="007C5230" w:rsidRPr="008B6F3E" w:rsidRDefault="007C5230" w:rsidP="008E4A93">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المتغير</w:t>
            </w:r>
          </w:p>
        </w:tc>
        <w:tc>
          <w:tcPr>
            <w:tcW w:w="0" w:type="auto"/>
            <w:vAlign w:val="center"/>
            <w:hideMark/>
          </w:tcPr>
          <w:p w14:paraId="1166828A" w14:textId="77777777" w:rsidR="007C5230" w:rsidRPr="008B6F3E" w:rsidRDefault="007C5230" w:rsidP="008E4A93">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التعريف المعتمد</w:t>
            </w:r>
          </w:p>
        </w:tc>
        <w:tc>
          <w:tcPr>
            <w:tcW w:w="0" w:type="auto"/>
            <w:vAlign w:val="center"/>
            <w:hideMark/>
          </w:tcPr>
          <w:p w14:paraId="24AA9C49" w14:textId="77777777" w:rsidR="007C5230" w:rsidRPr="008B6F3E" w:rsidRDefault="007C5230" w:rsidP="008E4A93">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الأبعاد</w:t>
            </w:r>
          </w:p>
        </w:tc>
        <w:tc>
          <w:tcPr>
            <w:tcW w:w="0" w:type="auto"/>
            <w:vAlign w:val="center"/>
            <w:hideMark/>
          </w:tcPr>
          <w:p w14:paraId="403A602E" w14:textId="77777777" w:rsidR="007C5230" w:rsidRPr="008B6F3E" w:rsidRDefault="007C5230" w:rsidP="008E4A93">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التمييز عن مفاهيم قريبة</w:t>
            </w:r>
          </w:p>
        </w:tc>
        <w:tc>
          <w:tcPr>
            <w:tcW w:w="0" w:type="auto"/>
            <w:vAlign w:val="center"/>
            <w:hideMark/>
          </w:tcPr>
          <w:p w14:paraId="1A889F60" w14:textId="77777777" w:rsidR="007C5230" w:rsidRPr="008B6F3E" w:rsidRDefault="007C5230" w:rsidP="008E4A93">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مصدر القياس/الأداة</w:t>
            </w:r>
          </w:p>
        </w:tc>
        <w:tc>
          <w:tcPr>
            <w:tcW w:w="1473" w:type="dxa"/>
            <w:vAlign w:val="center"/>
            <w:hideMark/>
          </w:tcPr>
          <w:p w14:paraId="0656F77A" w14:textId="77777777" w:rsidR="007C5230" w:rsidRPr="008B6F3E" w:rsidRDefault="007C5230" w:rsidP="008E4A93">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ملاحظات التكييف لسياق الوزارة</w:t>
            </w:r>
          </w:p>
        </w:tc>
      </w:tr>
      <w:tr w:rsidR="007C5230" w:rsidRPr="008B6F3E" w14:paraId="6A3840C0" w14:textId="77777777" w:rsidTr="008E4A93">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4EE97" w14:textId="77777777" w:rsidR="007C5230" w:rsidRPr="008B6F3E" w:rsidRDefault="007C5230" w:rsidP="008E4A93">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التحول الرقمي المؤسسي</w:t>
            </w:r>
            <w:r w:rsidRPr="008B6F3E">
              <w:rPr>
                <w:rFonts w:ascii="Traditional Arabic" w:eastAsia="Times New Roman" w:hAnsi="Traditional Arabic" w:cs="Traditional Arabic"/>
                <w:color w:val="0D0D0D"/>
                <w:spacing w:val="-2"/>
                <w:sz w:val="20"/>
                <w:szCs w:val="20"/>
              </w:rPr>
              <w:t xml:space="preserve"> (DTD)</w:t>
            </w:r>
          </w:p>
        </w:tc>
        <w:tc>
          <w:tcPr>
            <w:tcW w:w="0" w:type="auto"/>
            <w:vAlign w:val="center"/>
            <w:hideMark/>
          </w:tcPr>
          <w:p w14:paraId="5AB1BBDE"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تحول مؤسسي في العمليات الداخلية عبر تصميم/تكامل الأنظمة والعمليات وتمكين المستخدم الداخلي رقميًا</w:t>
            </w:r>
            <w:r w:rsidRPr="008B6F3E">
              <w:rPr>
                <w:rFonts w:ascii="Traditional Arabic" w:eastAsia="Times New Roman" w:hAnsi="Traditional Arabic" w:cs="Traditional Arabic"/>
                <w:color w:val="0D0D0D"/>
                <w:spacing w:val="-2"/>
                <w:sz w:val="20"/>
                <w:szCs w:val="20"/>
              </w:rPr>
              <w:t xml:space="preserve"> (Vial, 2019</w:t>
            </w:r>
            <w:r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Pr>
              <w:t xml:space="preserve"> </w:t>
            </w:r>
            <w:proofErr w:type="spellStart"/>
            <w:r w:rsidRPr="008B6F3E">
              <w:rPr>
                <w:rFonts w:ascii="Traditional Arabic" w:eastAsia="Times New Roman" w:hAnsi="Traditional Arabic" w:cs="Traditional Arabic"/>
                <w:color w:val="0D0D0D"/>
                <w:spacing w:val="-2"/>
                <w:sz w:val="20"/>
                <w:szCs w:val="20"/>
              </w:rPr>
              <w:t>Mergel</w:t>
            </w:r>
            <w:proofErr w:type="spellEnd"/>
            <w:r w:rsidRPr="008B6F3E">
              <w:rPr>
                <w:rFonts w:ascii="Traditional Arabic" w:eastAsia="Times New Roman" w:hAnsi="Traditional Arabic" w:cs="Traditional Arabic"/>
                <w:color w:val="0D0D0D"/>
                <w:spacing w:val="-2"/>
                <w:sz w:val="20"/>
                <w:szCs w:val="20"/>
              </w:rPr>
              <w:t xml:space="preserve"> et al., 2019)</w:t>
            </w: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1B11" w:rsidRPr="008B6F3E" w14:paraId="0EFE9B61" w14:textId="77777777" w:rsidTr="00191B11">
              <w:trPr>
                <w:tblCellSpacing w:w="15" w:type="dxa"/>
              </w:trPr>
              <w:tc>
                <w:tcPr>
                  <w:tcW w:w="0" w:type="auto"/>
                  <w:vAlign w:val="center"/>
                  <w:hideMark/>
                </w:tcPr>
                <w:p w14:paraId="18123EC4" w14:textId="77777777" w:rsidR="00191B11" w:rsidRPr="008B6F3E" w:rsidRDefault="00191B11" w:rsidP="008E4A93">
                  <w:pPr>
                    <w:framePr w:hSpace="180" w:wrap="around" w:vAnchor="text" w:hAnchor="page" w:xAlign="center" w:y="18"/>
                    <w:jc w:val="center"/>
                    <w:rPr>
                      <w:rFonts w:ascii="Traditional Arabic" w:eastAsia="Times New Roman" w:hAnsi="Traditional Arabic" w:cs="Traditional Arabic"/>
                      <w:color w:val="0D0D0D"/>
                      <w:spacing w:val="-2"/>
                      <w:sz w:val="20"/>
                      <w:szCs w:val="20"/>
                    </w:rPr>
                  </w:pPr>
                </w:p>
              </w:tc>
            </w:tr>
          </w:tbl>
          <w:p w14:paraId="589B983A" w14:textId="77777777" w:rsidR="00191B11" w:rsidRPr="008B6F3E" w:rsidRDefault="00191B11"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vanish/>
                <w:color w:val="0D0D0D"/>
                <w:spacing w:val="-2"/>
                <w:sz w:val="20"/>
                <w:szCs w:val="20"/>
              </w:rPr>
            </w:pPr>
          </w:p>
          <w:p w14:paraId="44BC19D7" w14:textId="77777777" w:rsidR="008B6F3E" w:rsidRPr="008B6F3E" w:rsidRDefault="008B6F3E" w:rsidP="008E4A93">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 xml:space="preserve">DTD1 </w:t>
            </w:r>
            <w:r w:rsidRPr="008B6F3E">
              <w:rPr>
                <w:rFonts w:ascii="Traditional Arabic" w:eastAsia="Times New Roman" w:hAnsi="Traditional Arabic" w:cs="Traditional Arabic"/>
                <w:color w:val="0D0D0D"/>
                <w:spacing w:val="-2"/>
                <w:sz w:val="20"/>
                <w:szCs w:val="20"/>
                <w:rtl/>
              </w:rPr>
              <w:t xml:space="preserve">توفر/انتشار الأنظمة، </w:t>
            </w:r>
            <w:r w:rsidRPr="008B6F3E">
              <w:rPr>
                <w:rFonts w:ascii="Traditional Arabic" w:eastAsia="Times New Roman" w:hAnsi="Traditional Arabic" w:cs="Traditional Arabic"/>
                <w:color w:val="0D0D0D"/>
                <w:spacing w:val="-2"/>
                <w:sz w:val="20"/>
                <w:szCs w:val="20"/>
              </w:rPr>
              <w:t xml:space="preserve">DTD2 </w:t>
            </w:r>
            <w:r w:rsidRPr="008B6F3E">
              <w:rPr>
                <w:rFonts w:ascii="Traditional Arabic" w:eastAsia="Times New Roman" w:hAnsi="Traditional Arabic" w:cs="Traditional Arabic"/>
                <w:color w:val="0D0D0D"/>
                <w:spacing w:val="-2"/>
                <w:sz w:val="20"/>
                <w:szCs w:val="20"/>
                <w:rtl/>
              </w:rPr>
              <w:t xml:space="preserve">كفاءة الأنظمة والعمليات، </w:t>
            </w:r>
            <w:r w:rsidRPr="008B6F3E">
              <w:rPr>
                <w:rFonts w:ascii="Traditional Arabic" w:eastAsia="Times New Roman" w:hAnsi="Traditional Arabic" w:cs="Traditional Arabic"/>
                <w:color w:val="0D0D0D"/>
                <w:spacing w:val="-2"/>
                <w:sz w:val="20"/>
                <w:szCs w:val="20"/>
              </w:rPr>
              <w:t xml:space="preserve">DTD3 </w:t>
            </w:r>
            <w:r w:rsidRPr="008B6F3E">
              <w:rPr>
                <w:rFonts w:ascii="Traditional Arabic" w:eastAsia="Times New Roman" w:hAnsi="Traditional Arabic" w:cs="Traditional Arabic"/>
                <w:color w:val="0D0D0D"/>
                <w:spacing w:val="-2"/>
                <w:sz w:val="20"/>
                <w:szCs w:val="20"/>
                <w:rtl/>
              </w:rPr>
              <w:t xml:space="preserve">جودة الدعم والتدريب، </w:t>
            </w:r>
            <w:r w:rsidRPr="008B6F3E">
              <w:rPr>
                <w:rFonts w:ascii="Traditional Arabic" w:eastAsia="Times New Roman" w:hAnsi="Traditional Arabic" w:cs="Traditional Arabic"/>
                <w:color w:val="0D0D0D"/>
                <w:spacing w:val="-2"/>
                <w:sz w:val="20"/>
                <w:szCs w:val="20"/>
              </w:rPr>
              <w:t xml:space="preserve">DTD4 </w:t>
            </w:r>
            <w:r w:rsidRPr="008B6F3E">
              <w:rPr>
                <w:rFonts w:ascii="Traditional Arabic" w:eastAsia="Times New Roman" w:hAnsi="Traditional Arabic" w:cs="Traditional Arabic"/>
                <w:color w:val="0D0D0D"/>
                <w:spacing w:val="-2"/>
                <w:sz w:val="20"/>
                <w:szCs w:val="20"/>
                <w:rtl/>
              </w:rPr>
              <w:t>تكامل العمليات وتبسيط الإجراءات</w:t>
            </w:r>
          </w:p>
          <w:p w14:paraId="6F812982" w14:textId="7076C93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p>
        </w:tc>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51"/>
            </w:tblGrid>
            <w:tr w:rsidR="00191B11" w:rsidRPr="008B6F3E" w14:paraId="25FD93FA" w14:textId="77777777" w:rsidTr="00191B11">
              <w:trPr>
                <w:tblCellSpacing w:w="15" w:type="dxa"/>
              </w:trPr>
              <w:tc>
                <w:tcPr>
                  <w:tcW w:w="0" w:type="auto"/>
                  <w:vAlign w:val="center"/>
                  <w:hideMark/>
                </w:tcPr>
                <w:p w14:paraId="7087D4DA" w14:textId="77777777" w:rsidR="00191B11" w:rsidRPr="008B6F3E" w:rsidRDefault="00191B11" w:rsidP="008E4A93">
                  <w:pPr>
                    <w:framePr w:hSpace="180" w:wrap="around" w:vAnchor="text" w:hAnchor="page" w:xAlign="center" w:y="18"/>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 xml:space="preserve">يختلف عن </w:t>
                  </w:r>
                  <w:proofErr w:type="spellStart"/>
                  <w:r w:rsidRPr="008B6F3E">
                    <w:rPr>
                      <w:rFonts w:ascii="Traditional Arabic" w:eastAsia="Times New Roman" w:hAnsi="Traditional Arabic" w:cs="Traditional Arabic"/>
                      <w:color w:val="0D0D0D"/>
                      <w:spacing w:val="-2"/>
                      <w:sz w:val="20"/>
                      <w:szCs w:val="20"/>
                      <w:rtl/>
                    </w:rPr>
                    <w:t>الرقمنة</w:t>
                  </w:r>
                  <w:proofErr w:type="spellEnd"/>
                  <w:r w:rsidRPr="008B6F3E">
                    <w:rPr>
                      <w:rFonts w:ascii="Traditional Arabic" w:eastAsia="Times New Roman" w:hAnsi="Traditional Arabic" w:cs="Traditional Arabic"/>
                      <w:color w:val="0D0D0D"/>
                      <w:spacing w:val="-2"/>
                      <w:sz w:val="20"/>
                      <w:szCs w:val="20"/>
                      <w:rtl/>
                    </w:rPr>
                    <w:t xml:space="preserve"> الجزئية وعن أتمتة إجراء منفصل؛ لأنه يقيس جودة التحول في البيئة الداخلية لا مجرد وجود التقنية</w:t>
                  </w:r>
                </w:p>
              </w:tc>
            </w:tr>
          </w:tbl>
          <w:p w14:paraId="0C229D23" w14:textId="77777777" w:rsidR="00191B11" w:rsidRPr="008B6F3E" w:rsidRDefault="00191B11"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vanish/>
                <w:color w:val="0D0D0D"/>
                <w:spacing w:val="-2"/>
                <w:sz w:val="20"/>
                <w:szCs w:val="20"/>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91B11" w:rsidRPr="008B6F3E" w14:paraId="55671845" w14:textId="77777777" w:rsidTr="00191B11">
              <w:trPr>
                <w:tblCellSpacing w:w="15" w:type="dxa"/>
              </w:trPr>
              <w:tc>
                <w:tcPr>
                  <w:tcW w:w="0" w:type="auto"/>
                  <w:vAlign w:val="center"/>
                  <w:hideMark/>
                </w:tcPr>
                <w:p w14:paraId="26F30DD9" w14:textId="77777777" w:rsidR="00191B11" w:rsidRPr="008B6F3E" w:rsidRDefault="00191B11" w:rsidP="008E4A93">
                  <w:pPr>
                    <w:framePr w:hSpace="180" w:wrap="around" w:vAnchor="text" w:hAnchor="page" w:xAlign="center" w:y="18"/>
                    <w:jc w:val="center"/>
                    <w:rPr>
                      <w:rFonts w:ascii="Traditional Arabic" w:eastAsia="Times New Roman" w:hAnsi="Traditional Arabic" w:cs="Traditional Arabic"/>
                      <w:color w:val="0D0D0D"/>
                      <w:spacing w:val="-2"/>
                      <w:sz w:val="20"/>
                      <w:szCs w:val="20"/>
                    </w:rPr>
                  </w:pPr>
                </w:p>
              </w:tc>
            </w:tr>
          </w:tbl>
          <w:p w14:paraId="492255B7" w14:textId="73A3DDFB"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p>
        </w:tc>
        <w:tc>
          <w:tcPr>
            <w:tcW w:w="0" w:type="auto"/>
            <w:vAlign w:val="center"/>
            <w:hideMark/>
          </w:tcPr>
          <w:p w14:paraId="453F2020" w14:textId="6CB4D35E" w:rsidR="007C5230" w:rsidRPr="008B6F3E" w:rsidRDefault="007C5230" w:rsidP="008E4A93">
            <w:pPr>
              <w:bidi/>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مقياس</w:t>
            </w:r>
            <w:r w:rsidRPr="008B6F3E">
              <w:rPr>
                <w:rFonts w:ascii="Traditional Arabic" w:eastAsia="Times New Roman" w:hAnsi="Traditional Arabic" w:cs="Traditional Arabic"/>
                <w:color w:val="0D0D0D"/>
                <w:spacing w:val="-2"/>
                <w:sz w:val="20"/>
                <w:szCs w:val="20"/>
              </w:rPr>
              <w:t xml:space="preserve"> DTD </w:t>
            </w:r>
            <w:r w:rsidRPr="008B6F3E">
              <w:rPr>
                <w:rFonts w:ascii="Traditional Arabic" w:eastAsia="Times New Roman" w:hAnsi="Traditional Arabic" w:cs="Traditional Arabic"/>
                <w:color w:val="0D0D0D"/>
                <w:spacing w:val="-2"/>
                <w:sz w:val="20"/>
                <w:szCs w:val="20"/>
                <w:rtl/>
              </w:rPr>
              <w:t>النهائي المستخدم في الاستبانة</w:t>
            </w:r>
          </w:p>
        </w:tc>
        <w:tc>
          <w:tcPr>
            <w:tcW w:w="1473" w:type="dxa"/>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7"/>
            </w:tblGrid>
            <w:tr w:rsidR="00191B11" w:rsidRPr="008B6F3E" w14:paraId="00FA7772" w14:textId="77777777" w:rsidTr="00191B11">
              <w:trPr>
                <w:tblCellSpacing w:w="15" w:type="dxa"/>
              </w:trPr>
              <w:tc>
                <w:tcPr>
                  <w:tcW w:w="0" w:type="auto"/>
                  <w:vAlign w:val="center"/>
                  <w:hideMark/>
                </w:tcPr>
                <w:p w14:paraId="6EA3121B" w14:textId="77777777" w:rsidR="00191B11" w:rsidRPr="008B6F3E" w:rsidRDefault="00191B11" w:rsidP="008E4A93">
                  <w:pPr>
                    <w:framePr w:hSpace="180" w:wrap="around" w:vAnchor="text" w:hAnchor="page" w:xAlign="center" w:y="18"/>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لا تُعامل “التحديات التقنية” بُعدًا مستقلًا؛ فالأعطال والبطء وعدم الاستقرار تدخل كمؤشرات عكسية ضمن</w:t>
                  </w:r>
                  <w:r w:rsidRPr="008B6F3E">
                    <w:rPr>
                      <w:rFonts w:ascii="Traditional Arabic" w:eastAsia="Times New Roman" w:hAnsi="Traditional Arabic" w:cs="Traditional Arabic"/>
                      <w:color w:val="0D0D0D"/>
                      <w:spacing w:val="-2"/>
                      <w:sz w:val="20"/>
                      <w:szCs w:val="20"/>
                    </w:rPr>
                    <w:t xml:space="preserve"> DTD2</w:t>
                  </w:r>
                  <w:r w:rsidRPr="008B6F3E">
                    <w:rPr>
                      <w:rFonts w:ascii="Traditional Arabic" w:eastAsia="Times New Roman" w:hAnsi="Traditional Arabic" w:cs="Traditional Arabic"/>
                      <w:color w:val="0D0D0D"/>
                      <w:spacing w:val="-2"/>
                      <w:sz w:val="20"/>
                      <w:szCs w:val="20"/>
                      <w:rtl/>
                    </w:rPr>
                    <w:t>، بينما يدخل العبء والتعقيد والاقتحام ضمن</w:t>
                  </w:r>
                  <w:r w:rsidRPr="008B6F3E">
                    <w:rPr>
                      <w:rFonts w:ascii="Traditional Arabic" w:eastAsia="Times New Roman" w:hAnsi="Traditional Arabic" w:cs="Traditional Arabic"/>
                      <w:color w:val="0D0D0D"/>
                      <w:spacing w:val="-2"/>
                      <w:sz w:val="20"/>
                      <w:szCs w:val="20"/>
                    </w:rPr>
                    <w:t xml:space="preserve"> Technostress</w:t>
                  </w:r>
                </w:p>
              </w:tc>
            </w:tr>
          </w:tbl>
          <w:p w14:paraId="21C052E1" w14:textId="6F0003EA"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p>
        </w:tc>
      </w:tr>
      <w:tr w:rsidR="007C5230" w:rsidRPr="008B6F3E" w14:paraId="7AE68A12" w14:textId="77777777" w:rsidTr="008E4A93">
        <w:trPr>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18FCBD" w14:textId="77777777" w:rsidR="007C5230" w:rsidRPr="008B6F3E" w:rsidRDefault="007C5230" w:rsidP="008E4A93">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قبول التقنية</w:t>
            </w:r>
            <w:r w:rsidRPr="008B6F3E">
              <w:rPr>
                <w:rFonts w:ascii="Traditional Arabic" w:eastAsia="Times New Roman" w:hAnsi="Traditional Arabic" w:cs="Traditional Arabic"/>
                <w:color w:val="0D0D0D"/>
                <w:spacing w:val="-2"/>
                <w:sz w:val="20"/>
                <w:szCs w:val="20"/>
              </w:rPr>
              <w:t xml:space="preserve"> (TAM)</w:t>
            </w:r>
          </w:p>
        </w:tc>
        <w:tc>
          <w:tcPr>
            <w:tcW w:w="0" w:type="auto"/>
            <w:vAlign w:val="center"/>
            <w:hideMark/>
          </w:tcPr>
          <w:p w14:paraId="58A4A338" w14:textId="77777777" w:rsidR="007C5230" w:rsidRPr="008B6F3E"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إدراكات الموظف لفائدة التقنية وسهولة استخدامها كمدخل لقبولها</w:t>
            </w:r>
            <w:r w:rsidRPr="008B6F3E">
              <w:rPr>
                <w:rFonts w:ascii="Traditional Arabic" w:eastAsia="Times New Roman" w:hAnsi="Traditional Arabic" w:cs="Traditional Arabic"/>
                <w:color w:val="0D0D0D"/>
                <w:spacing w:val="-2"/>
                <w:sz w:val="20"/>
                <w:szCs w:val="20"/>
              </w:rPr>
              <w:t xml:space="preserve"> (Davis, 1989)</w:t>
            </w:r>
          </w:p>
        </w:tc>
        <w:tc>
          <w:tcPr>
            <w:tcW w:w="0" w:type="auto"/>
            <w:vAlign w:val="center"/>
            <w:hideMark/>
          </w:tcPr>
          <w:p w14:paraId="3F167CE7" w14:textId="77777777" w:rsidR="007C5230" w:rsidRPr="008B6F3E"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PU</w:t>
            </w:r>
            <w:r w:rsidRPr="008B6F3E">
              <w:rPr>
                <w:rFonts w:ascii="Traditional Arabic" w:eastAsia="Times New Roman" w:hAnsi="Traditional Arabic" w:cs="Traditional Arabic"/>
                <w:color w:val="0D0D0D"/>
                <w:spacing w:val="-2"/>
                <w:sz w:val="20"/>
                <w:szCs w:val="20"/>
                <w:rtl/>
              </w:rPr>
              <w:t xml:space="preserve">، </w:t>
            </w:r>
            <w:r w:rsidRPr="008B6F3E">
              <w:rPr>
                <w:rFonts w:ascii="Traditional Arabic" w:eastAsia="Times New Roman" w:hAnsi="Traditional Arabic" w:cs="Traditional Arabic"/>
                <w:color w:val="0D0D0D"/>
                <w:spacing w:val="-2"/>
                <w:sz w:val="20"/>
                <w:szCs w:val="20"/>
              </w:rPr>
              <w:t>PEOU</w:t>
            </w:r>
          </w:p>
        </w:tc>
        <w:tc>
          <w:tcPr>
            <w:tcW w:w="0" w:type="auto"/>
            <w:vAlign w:val="center"/>
            <w:hideMark/>
          </w:tcPr>
          <w:p w14:paraId="5CC2706D" w14:textId="77777777" w:rsidR="007C5230" w:rsidRPr="008B6F3E"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يختلف عن الاستخدام الفعلي أو الرضا العام عن العمل</w:t>
            </w:r>
          </w:p>
        </w:tc>
        <w:tc>
          <w:tcPr>
            <w:tcW w:w="0" w:type="auto"/>
            <w:vAlign w:val="center"/>
            <w:hideMark/>
          </w:tcPr>
          <w:p w14:paraId="2A5FDC84" w14:textId="77777777" w:rsidR="007C5230" w:rsidRPr="008B6F3E"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(Davis, 1989)</w:t>
            </w:r>
          </w:p>
        </w:tc>
        <w:tc>
          <w:tcPr>
            <w:tcW w:w="1473" w:type="dxa"/>
            <w:vAlign w:val="center"/>
            <w:hideMark/>
          </w:tcPr>
          <w:p w14:paraId="3A9B8267" w14:textId="77777777" w:rsidR="007C5230" w:rsidRPr="008B6F3E"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مواءمة البنود مع الأنظمة الداخلية الشائعة الاستخدام وتفسير</w:t>
            </w:r>
            <w:r w:rsidRPr="008B6F3E">
              <w:rPr>
                <w:rFonts w:ascii="Traditional Arabic" w:eastAsia="Times New Roman" w:hAnsi="Traditional Arabic" w:cs="Traditional Arabic"/>
                <w:color w:val="0D0D0D"/>
                <w:spacing w:val="-2"/>
                <w:sz w:val="20"/>
                <w:szCs w:val="20"/>
              </w:rPr>
              <w:t xml:space="preserve"> PU/PEOU </w:t>
            </w:r>
            <w:r w:rsidRPr="008B6F3E">
              <w:rPr>
                <w:rFonts w:ascii="Traditional Arabic" w:eastAsia="Times New Roman" w:hAnsi="Traditional Arabic" w:cs="Traditional Arabic"/>
                <w:color w:val="0D0D0D"/>
                <w:spacing w:val="-2"/>
                <w:sz w:val="20"/>
                <w:szCs w:val="20"/>
                <w:rtl/>
              </w:rPr>
              <w:t>وفق طبيعة العمل الحكومي</w:t>
            </w:r>
          </w:p>
        </w:tc>
      </w:tr>
      <w:tr w:rsidR="007C5230" w:rsidRPr="008B6F3E" w14:paraId="4540324D" w14:textId="77777777" w:rsidTr="008E4A93">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BE0E0" w14:textId="77777777" w:rsidR="007C5230" w:rsidRPr="008B6F3E" w:rsidRDefault="007C5230" w:rsidP="008E4A93">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الإجهاد التقني</w:t>
            </w:r>
            <w:r w:rsidRPr="008B6F3E">
              <w:rPr>
                <w:rFonts w:ascii="Traditional Arabic" w:eastAsia="Times New Roman" w:hAnsi="Traditional Arabic" w:cs="Traditional Arabic"/>
                <w:color w:val="0D0D0D"/>
                <w:spacing w:val="-2"/>
                <w:sz w:val="20"/>
                <w:szCs w:val="20"/>
              </w:rPr>
              <w:t xml:space="preserve"> (Technostress)</w:t>
            </w:r>
          </w:p>
        </w:tc>
        <w:tc>
          <w:tcPr>
            <w:tcW w:w="0" w:type="auto"/>
            <w:vAlign w:val="center"/>
            <w:hideMark/>
          </w:tcPr>
          <w:p w14:paraId="6EFEF9D1"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ضغوط ناتجة عن متطلبات التقنية التي تتجاوز قدرة التكيف</w:t>
            </w:r>
          </w:p>
        </w:tc>
        <w:tc>
          <w:tcPr>
            <w:tcW w:w="0" w:type="auto"/>
            <w:vAlign w:val="center"/>
            <w:hideMark/>
          </w:tcPr>
          <w:p w14:paraId="46C2BE49"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overload/invasion/complexity/uncertainty</w:t>
            </w:r>
          </w:p>
        </w:tc>
        <w:tc>
          <w:tcPr>
            <w:tcW w:w="0" w:type="auto"/>
            <w:vAlign w:val="center"/>
            <w:hideMark/>
          </w:tcPr>
          <w:p w14:paraId="380ADDFF"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يختلف عن الضغط الوظيفي العام غير المرتبط بالتقنية</w:t>
            </w:r>
          </w:p>
        </w:tc>
        <w:tc>
          <w:tcPr>
            <w:tcW w:w="0" w:type="auto"/>
            <w:vAlign w:val="center"/>
            <w:hideMark/>
          </w:tcPr>
          <w:p w14:paraId="13F3538F"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(Ragu-Nathan et al., 2008</w:t>
            </w:r>
            <w:r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Pr>
              <w:t xml:space="preserve"> </w:t>
            </w:r>
            <w:proofErr w:type="spellStart"/>
            <w:r w:rsidRPr="008B6F3E">
              <w:rPr>
                <w:rFonts w:ascii="Traditional Arabic" w:eastAsia="Times New Roman" w:hAnsi="Traditional Arabic" w:cs="Traditional Arabic"/>
                <w:color w:val="0D0D0D"/>
                <w:spacing w:val="-2"/>
                <w:sz w:val="20"/>
                <w:szCs w:val="20"/>
              </w:rPr>
              <w:t>Tarafdar</w:t>
            </w:r>
            <w:proofErr w:type="spellEnd"/>
            <w:r w:rsidRPr="008B6F3E">
              <w:rPr>
                <w:rFonts w:ascii="Traditional Arabic" w:eastAsia="Times New Roman" w:hAnsi="Traditional Arabic" w:cs="Traditional Arabic"/>
                <w:color w:val="0D0D0D"/>
                <w:spacing w:val="-2"/>
                <w:sz w:val="20"/>
                <w:szCs w:val="20"/>
              </w:rPr>
              <w:t xml:space="preserve"> et al., 2011)</w:t>
            </w:r>
          </w:p>
        </w:tc>
        <w:tc>
          <w:tcPr>
            <w:tcW w:w="1473" w:type="dxa"/>
            <w:vAlign w:val="center"/>
            <w:hideMark/>
          </w:tcPr>
          <w:p w14:paraId="78D95935" w14:textId="22EEFA5F"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 xml:space="preserve">مواءمة البنود مع واقع </w:t>
            </w:r>
            <w:r w:rsidR="002F488C"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tl/>
              </w:rPr>
              <w:t>الاتصال الدائم</w:t>
            </w:r>
            <w:r w:rsidR="002F488C"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tl/>
              </w:rPr>
              <w:t xml:space="preserve"> وتعدد الأنظمة والتحديثات داخل الوزارة، وفحص الصدق بعد الترجمة</w:t>
            </w:r>
          </w:p>
        </w:tc>
      </w:tr>
      <w:tr w:rsidR="007C5230" w:rsidRPr="008B6F3E" w14:paraId="6C24DBFF" w14:textId="77777777" w:rsidTr="008E4A93">
        <w:trPr>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D68B1D" w14:textId="77777777" w:rsidR="007C5230" w:rsidRPr="008B6F3E" w:rsidRDefault="007C5230" w:rsidP="008E4A93">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الرضا الوظيفي</w:t>
            </w:r>
            <w:r w:rsidRPr="008B6F3E">
              <w:rPr>
                <w:rFonts w:ascii="Traditional Arabic" w:eastAsia="Times New Roman" w:hAnsi="Traditional Arabic" w:cs="Traditional Arabic"/>
                <w:color w:val="0D0D0D"/>
                <w:spacing w:val="-2"/>
                <w:sz w:val="20"/>
                <w:szCs w:val="20"/>
              </w:rPr>
              <w:t xml:space="preserve"> (JS)</w:t>
            </w:r>
          </w:p>
        </w:tc>
        <w:tc>
          <w:tcPr>
            <w:tcW w:w="0" w:type="auto"/>
            <w:vAlign w:val="center"/>
            <w:hideMark/>
          </w:tcPr>
          <w:p w14:paraId="23A3BAE4" w14:textId="77777777" w:rsidR="007C5230" w:rsidRPr="008B6F3E"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تقييم وجداني/معرفي تجاه العمل يتشكل من الخبرات والخصائص الوظيفية</w:t>
            </w:r>
            <w:r w:rsidRPr="008B6F3E">
              <w:rPr>
                <w:rFonts w:ascii="Traditional Arabic" w:eastAsia="Times New Roman" w:hAnsi="Traditional Arabic" w:cs="Traditional Arabic"/>
                <w:color w:val="0D0D0D"/>
                <w:spacing w:val="-2"/>
                <w:sz w:val="20"/>
                <w:szCs w:val="20"/>
              </w:rPr>
              <w:t xml:space="preserve"> (Locke, 1976</w:t>
            </w:r>
            <w:r w:rsidRPr="008B6F3E">
              <w:rPr>
                <w:rFonts w:ascii="Traditional Arabic" w:eastAsia="Times New Roman" w:hAnsi="Traditional Arabic" w:cs="Traditional Arabic"/>
                <w:color w:val="0D0D0D"/>
                <w:spacing w:val="-2"/>
                <w:sz w:val="20"/>
                <w:szCs w:val="20"/>
                <w:rtl/>
              </w:rPr>
              <w:t>؛</w:t>
            </w:r>
            <w:r w:rsidRPr="008B6F3E">
              <w:rPr>
                <w:rFonts w:ascii="Traditional Arabic" w:eastAsia="Times New Roman" w:hAnsi="Traditional Arabic" w:cs="Traditional Arabic"/>
                <w:color w:val="0D0D0D"/>
                <w:spacing w:val="-2"/>
                <w:sz w:val="20"/>
                <w:szCs w:val="20"/>
              </w:rPr>
              <w:t xml:space="preserve"> Weiss, 2002)</w:t>
            </w:r>
          </w:p>
        </w:tc>
        <w:tc>
          <w:tcPr>
            <w:tcW w:w="0" w:type="auto"/>
            <w:vAlign w:val="center"/>
          </w:tcPr>
          <w:p w14:paraId="5B45911F" w14:textId="39B0EE96" w:rsidR="007C5230" w:rsidRPr="008B6F3E" w:rsidRDefault="00905EEE" w:rsidP="008E4A93">
            <w:pPr>
              <w:bidi/>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 xml:space="preserve">مقياس مكيَّف للرضا الوظيفي في بيئة العمل الرقمية بصيغة </w:t>
            </w:r>
            <w:proofErr w:type="spellStart"/>
            <w:r w:rsidRPr="008B6F3E">
              <w:rPr>
                <w:rFonts w:ascii="Traditional Arabic" w:eastAsia="Times New Roman" w:hAnsi="Traditional Arabic" w:cs="Traditional Arabic"/>
                <w:color w:val="0D0D0D"/>
                <w:spacing w:val="-2"/>
                <w:sz w:val="20"/>
                <w:szCs w:val="20"/>
                <w:rtl/>
              </w:rPr>
              <w:t>ليكرت</w:t>
            </w:r>
            <w:proofErr w:type="spellEnd"/>
            <w:r w:rsidRPr="008B6F3E">
              <w:rPr>
                <w:rFonts w:ascii="Traditional Arabic" w:eastAsia="Times New Roman" w:hAnsi="Traditional Arabic" w:cs="Traditional Arabic"/>
                <w:color w:val="0D0D0D"/>
                <w:spacing w:val="-2"/>
                <w:sz w:val="20"/>
                <w:szCs w:val="20"/>
                <w:rtl/>
              </w:rPr>
              <w:t xml:space="preserve"> خماسية، ولا يُعامل على أنه</w:t>
            </w:r>
            <w:r w:rsidRPr="008B6F3E">
              <w:rPr>
                <w:rFonts w:ascii="Traditional Arabic" w:eastAsia="Times New Roman" w:hAnsi="Traditional Arabic" w:cs="Traditional Arabic"/>
                <w:color w:val="0D0D0D"/>
                <w:spacing w:val="-2"/>
                <w:sz w:val="20"/>
                <w:szCs w:val="20"/>
              </w:rPr>
              <w:t xml:space="preserve"> JSS </w:t>
            </w:r>
            <w:r w:rsidRPr="008B6F3E">
              <w:rPr>
                <w:rFonts w:ascii="Traditional Arabic" w:eastAsia="Times New Roman" w:hAnsi="Traditional Arabic" w:cs="Traditional Arabic"/>
                <w:color w:val="0D0D0D"/>
                <w:spacing w:val="-2"/>
                <w:sz w:val="20"/>
                <w:szCs w:val="20"/>
                <w:rtl/>
              </w:rPr>
              <w:t>الأصلي ما لم تُستخدم بنية</w:t>
            </w:r>
            <w:r w:rsidRPr="008B6F3E">
              <w:rPr>
                <w:rFonts w:ascii="Traditional Arabic" w:eastAsia="Times New Roman" w:hAnsi="Traditional Arabic" w:cs="Traditional Arabic"/>
                <w:color w:val="0D0D0D"/>
                <w:spacing w:val="-2"/>
                <w:sz w:val="20"/>
                <w:szCs w:val="20"/>
              </w:rPr>
              <w:t xml:space="preserve"> Spector </w:t>
            </w:r>
            <w:r w:rsidRPr="008B6F3E">
              <w:rPr>
                <w:rFonts w:ascii="Traditional Arabic" w:eastAsia="Times New Roman" w:hAnsi="Traditional Arabic" w:cs="Traditional Arabic"/>
                <w:color w:val="0D0D0D"/>
                <w:spacing w:val="-2"/>
                <w:sz w:val="20"/>
                <w:szCs w:val="20"/>
                <w:rtl/>
              </w:rPr>
              <w:t>الأصلية حرفيًا</w:t>
            </w:r>
          </w:p>
        </w:tc>
        <w:tc>
          <w:tcPr>
            <w:tcW w:w="0" w:type="auto"/>
            <w:vAlign w:val="center"/>
            <w:hideMark/>
          </w:tcPr>
          <w:p w14:paraId="16DD395E" w14:textId="77777777" w:rsidR="007C5230" w:rsidRPr="008B6F3E"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يختلف عن رضا المستخدم عن النظام</w:t>
            </w:r>
            <w:r w:rsidRPr="008B6F3E">
              <w:rPr>
                <w:rFonts w:ascii="Traditional Arabic" w:eastAsia="Times New Roman" w:hAnsi="Traditional Arabic" w:cs="Traditional Arabic"/>
                <w:color w:val="0D0D0D"/>
                <w:spacing w:val="-2"/>
                <w:sz w:val="20"/>
                <w:szCs w:val="20"/>
              </w:rPr>
              <w:t xml:space="preserve"> (User satisfaction) </w:t>
            </w:r>
            <w:r w:rsidRPr="008B6F3E">
              <w:rPr>
                <w:rFonts w:ascii="Traditional Arabic" w:eastAsia="Times New Roman" w:hAnsi="Traditional Arabic" w:cs="Traditional Arabic"/>
                <w:color w:val="0D0D0D"/>
                <w:spacing w:val="-2"/>
                <w:sz w:val="20"/>
                <w:szCs w:val="20"/>
                <w:rtl/>
              </w:rPr>
              <w:t>وعن الالتزام/الاندماج</w:t>
            </w:r>
          </w:p>
        </w:tc>
        <w:tc>
          <w:tcPr>
            <w:tcW w:w="0" w:type="auto"/>
            <w:vAlign w:val="center"/>
            <w:hideMark/>
          </w:tcPr>
          <w:p w14:paraId="0D62D5F9" w14:textId="77777777" w:rsidR="007C5230" w:rsidRPr="008B6F3E" w:rsidRDefault="00977543"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مقياس مكيَّف للرضا الوظيفي في بيئة العمل الرقمية</w:t>
            </w:r>
          </w:p>
          <w:p w14:paraId="3FEE7C3A" w14:textId="68EAA903" w:rsidR="00977543" w:rsidRPr="008B6F3E" w:rsidRDefault="00977543"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p>
        </w:tc>
        <w:tc>
          <w:tcPr>
            <w:tcW w:w="1473" w:type="dxa"/>
            <w:vAlign w:val="center"/>
            <w:hideMark/>
          </w:tcPr>
          <w:p w14:paraId="3F92433E" w14:textId="53BDC3E3" w:rsidR="00977543" w:rsidRPr="008B6F3E" w:rsidRDefault="00977543"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يُستخدم</w:t>
            </w:r>
            <w:r w:rsidRPr="008B6F3E">
              <w:rPr>
                <w:rFonts w:ascii="Traditional Arabic" w:eastAsia="Times New Roman" w:hAnsi="Traditional Arabic" w:cs="Traditional Arabic"/>
                <w:color w:val="0D0D0D"/>
                <w:spacing w:val="-2"/>
                <w:sz w:val="20"/>
                <w:szCs w:val="20"/>
              </w:rPr>
              <w:t xml:space="preserve"> Spector</w:t>
            </w:r>
          </w:p>
          <w:p w14:paraId="3B2095F0" w14:textId="53C4CA50" w:rsidR="007C5230" w:rsidRPr="008B6F3E" w:rsidRDefault="00977543"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مرجعًا للبناء العام للرضا الوظيفي، بينما تُشتق بنود الأداة وتُكيَّف بما يلائم بيئة العمل الرقمية، مع ضرورة بيان مصدر كل بعد في فصل المنهجية؛ وإذا كانت الدراسة تستخدم</w:t>
            </w:r>
            <w:r w:rsidRPr="008B6F3E">
              <w:rPr>
                <w:rFonts w:ascii="Traditional Arabic" w:eastAsia="Times New Roman" w:hAnsi="Traditional Arabic" w:cs="Traditional Arabic"/>
                <w:color w:val="0D0D0D"/>
                <w:spacing w:val="-2"/>
                <w:sz w:val="20"/>
                <w:szCs w:val="20"/>
              </w:rPr>
              <w:t xml:space="preserve"> JSS </w:t>
            </w:r>
            <w:r w:rsidRPr="008B6F3E">
              <w:rPr>
                <w:rFonts w:ascii="Traditional Arabic" w:eastAsia="Times New Roman" w:hAnsi="Traditional Arabic" w:cs="Traditional Arabic"/>
                <w:color w:val="0D0D0D"/>
                <w:spacing w:val="-2"/>
                <w:sz w:val="20"/>
                <w:szCs w:val="20"/>
                <w:rtl/>
              </w:rPr>
              <w:t>الأصلي أو ترجمة معتمدة له، فيجب التصريح بذلك نصًا وذكر خصائصه كاملة</w:t>
            </w:r>
          </w:p>
        </w:tc>
      </w:tr>
      <w:tr w:rsidR="007C5230" w:rsidRPr="008B6F3E" w14:paraId="0E279997" w14:textId="77777777" w:rsidTr="008E4A93">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18AE3C" w14:textId="77777777" w:rsidR="007C5230" w:rsidRPr="008B6F3E" w:rsidRDefault="007C5230" w:rsidP="008E4A93">
            <w:pPr>
              <w:jc w:val="center"/>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الخصائص الديموغرافية</w:t>
            </w:r>
            <w:r w:rsidRPr="008B6F3E">
              <w:rPr>
                <w:rFonts w:ascii="Traditional Arabic" w:eastAsia="Times New Roman" w:hAnsi="Traditional Arabic" w:cs="Traditional Arabic"/>
                <w:color w:val="0D0D0D"/>
                <w:spacing w:val="-2"/>
                <w:sz w:val="20"/>
                <w:szCs w:val="20"/>
              </w:rPr>
              <w:t xml:space="preserve"> (H4)</w:t>
            </w:r>
          </w:p>
        </w:tc>
        <w:tc>
          <w:tcPr>
            <w:tcW w:w="0" w:type="auto"/>
            <w:vAlign w:val="center"/>
            <w:hideMark/>
          </w:tcPr>
          <w:p w14:paraId="16E12385"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 xml:space="preserve">خصائص فردية تُختبر </w:t>
            </w:r>
            <w:proofErr w:type="spellStart"/>
            <w:r w:rsidRPr="008B6F3E">
              <w:rPr>
                <w:rFonts w:ascii="Traditional Arabic" w:eastAsia="Times New Roman" w:hAnsi="Traditional Arabic" w:cs="Traditional Arabic"/>
                <w:color w:val="0D0D0D"/>
                <w:spacing w:val="-2"/>
                <w:sz w:val="20"/>
                <w:szCs w:val="20"/>
                <w:rtl/>
              </w:rPr>
              <w:t>كتغايرات</w:t>
            </w:r>
            <w:proofErr w:type="spellEnd"/>
            <w:r w:rsidRPr="008B6F3E">
              <w:rPr>
                <w:rFonts w:ascii="Traditional Arabic" w:eastAsia="Times New Roman" w:hAnsi="Traditional Arabic" w:cs="Traditional Arabic"/>
                <w:color w:val="0D0D0D"/>
                <w:spacing w:val="-2"/>
                <w:sz w:val="20"/>
                <w:szCs w:val="20"/>
                <w:rtl/>
              </w:rPr>
              <w:t xml:space="preserve"> محتملة للأثر</w:t>
            </w:r>
          </w:p>
        </w:tc>
        <w:tc>
          <w:tcPr>
            <w:tcW w:w="0" w:type="auto"/>
            <w:vAlign w:val="center"/>
            <w:hideMark/>
          </w:tcPr>
          <w:p w14:paraId="561C521F"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الجنس/العمر/الخبرة/المؤهل/القطاع</w:t>
            </w:r>
          </w:p>
        </w:tc>
        <w:tc>
          <w:tcPr>
            <w:tcW w:w="0" w:type="auto"/>
            <w:vAlign w:val="center"/>
            <w:hideMark/>
          </w:tcPr>
          <w:p w14:paraId="178760EE"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ليست متغيرات تفسيرية بذاتها بل تُستخدم للاعتدال/الفروق</w:t>
            </w:r>
          </w:p>
        </w:tc>
        <w:tc>
          <w:tcPr>
            <w:tcW w:w="0" w:type="auto"/>
            <w:vAlign w:val="center"/>
            <w:hideMark/>
          </w:tcPr>
          <w:p w14:paraId="3F9E52FE"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Pr>
              <w:t>(Venkatesh et al., 2003)</w:t>
            </w:r>
          </w:p>
        </w:tc>
        <w:tc>
          <w:tcPr>
            <w:tcW w:w="1473" w:type="dxa"/>
            <w:vAlign w:val="center"/>
            <w:hideMark/>
          </w:tcPr>
          <w:p w14:paraId="37E2AD85" w14:textId="77777777" w:rsidR="007C5230" w:rsidRPr="008B6F3E"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B6F3E">
              <w:rPr>
                <w:rFonts w:ascii="Traditional Arabic" w:eastAsia="Times New Roman" w:hAnsi="Traditional Arabic" w:cs="Traditional Arabic"/>
                <w:color w:val="0D0D0D"/>
                <w:spacing w:val="-2"/>
                <w:sz w:val="20"/>
                <w:szCs w:val="20"/>
                <w:rtl/>
              </w:rPr>
              <w:t>تحديد فئات الترميز وطريقة اختبار الاعتدال</w:t>
            </w:r>
            <w:r w:rsidRPr="008B6F3E">
              <w:rPr>
                <w:rFonts w:ascii="Traditional Arabic" w:eastAsia="Times New Roman" w:hAnsi="Traditional Arabic" w:cs="Traditional Arabic"/>
                <w:color w:val="0D0D0D"/>
                <w:spacing w:val="-2"/>
                <w:sz w:val="20"/>
                <w:szCs w:val="20"/>
              </w:rPr>
              <w:t xml:space="preserve"> (MGA </w:t>
            </w:r>
            <w:r w:rsidRPr="008B6F3E">
              <w:rPr>
                <w:rFonts w:ascii="Traditional Arabic" w:eastAsia="Times New Roman" w:hAnsi="Traditional Arabic" w:cs="Traditional Arabic"/>
                <w:color w:val="0D0D0D"/>
                <w:spacing w:val="-2"/>
                <w:sz w:val="20"/>
                <w:szCs w:val="20"/>
                <w:rtl/>
              </w:rPr>
              <w:t>أو تفاعل</w:t>
            </w:r>
            <w:r w:rsidRPr="008B6F3E">
              <w:rPr>
                <w:rFonts w:ascii="Traditional Arabic" w:eastAsia="Times New Roman" w:hAnsi="Traditional Arabic" w:cs="Traditional Arabic"/>
                <w:color w:val="0D0D0D"/>
                <w:spacing w:val="-2"/>
                <w:sz w:val="20"/>
                <w:szCs w:val="20"/>
              </w:rPr>
              <w:t xml:space="preserve">) </w:t>
            </w:r>
            <w:r w:rsidRPr="008B6F3E">
              <w:rPr>
                <w:rFonts w:ascii="Traditional Arabic" w:eastAsia="Times New Roman" w:hAnsi="Traditional Arabic" w:cs="Traditional Arabic"/>
                <w:color w:val="0D0D0D"/>
                <w:spacing w:val="-2"/>
                <w:sz w:val="20"/>
                <w:szCs w:val="20"/>
                <w:rtl/>
              </w:rPr>
              <w:t>في الفصل الثالث</w:t>
            </w:r>
          </w:p>
        </w:tc>
      </w:tr>
    </w:tbl>
    <w:p w14:paraId="4041A3BF" w14:textId="4F3DD560" w:rsidR="00606ECD" w:rsidRPr="003B7C35" w:rsidRDefault="00905EEE" w:rsidP="003B7C35">
      <w:pPr>
        <w:bidi/>
        <w:spacing w:after="160" w:line="360" w:lineRule="auto"/>
        <w:divId w:val="1647278641"/>
        <w:rPr>
          <w:rFonts w:ascii="Traditional Arabic" w:hAnsi="Traditional Arabic" w:cs="Traditional Arabic"/>
          <w:rtl/>
        </w:rPr>
      </w:pPr>
      <w:r w:rsidRPr="00905EEE">
        <w:rPr>
          <w:rFonts w:ascii="Traditional Arabic" w:hAnsi="Traditional Arabic" w:cs="Traditional Arabic"/>
          <w:rtl/>
        </w:rPr>
        <w:lastRenderedPageBreak/>
        <w:t>تُغلق هذه الصياغة فجوة القياس؛ لأنها تمنع الخلط بين البناء المفاهيمي للرضا الوظيفي وبين أداة القياس عمليًا. فإذا كانت الاستبانة تعتمد صياغة مكيَّفة لبيئة العمل الرقمية، وجب عرضها بهذا الوصف، مع الإبقاء على</w:t>
      </w:r>
      <w:r w:rsidRPr="00905EEE">
        <w:rPr>
          <w:rFonts w:ascii="Traditional Arabic" w:hAnsi="Traditional Arabic" w:cs="Traditional Arabic"/>
        </w:rPr>
        <w:t xml:space="preserve"> Spector </w:t>
      </w:r>
      <w:r w:rsidRPr="00905EEE">
        <w:rPr>
          <w:rFonts w:ascii="Traditional Arabic" w:hAnsi="Traditional Arabic" w:cs="Traditional Arabic"/>
          <w:rtl/>
        </w:rPr>
        <w:t>مرجعًا نظريًا عامًّا لا مصدرًا وحيدًا للبنود. أما إذا كانت الأداة تطبق</w:t>
      </w:r>
      <w:r w:rsidRPr="00905EEE">
        <w:rPr>
          <w:rFonts w:ascii="Traditional Arabic" w:hAnsi="Traditional Arabic" w:cs="Traditional Arabic"/>
        </w:rPr>
        <w:t xml:space="preserve"> JSS </w:t>
      </w:r>
      <w:r w:rsidRPr="00905EEE">
        <w:rPr>
          <w:rFonts w:ascii="Traditional Arabic" w:hAnsi="Traditional Arabic" w:cs="Traditional Arabic"/>
          <w:rtl/>
        </w:rPr>
        <w:t>كما وضعه</w:t>
      </w:r>
      <w:r w:rsidRPr="00905EEE">
        <w:rPr>
          <w:rFonts w:ascii="Traditional Arabic" w:hAnsi="Traditional Arabic" w:cs="Traditional Arabic"/>
        </w:rPr>
        <w:t xml:space="preserve"> Spector</w:t>
      </w:r>
      <w:r w:rsidRPr="00905EEE">
        <w:rPr>
          <w:rFonts w:ascii="Traditional Arabic" w:hAnsi="Traditional Arabic" w:cs="Traditional Arabic"/>
          <w:rtl/>
        </w:rPr>
        <w:t>، فيجب تعديل النص والمنهجية بما يطابق خصائصه الأصلية من حيث عدد البنود والأبعاد ونمط الاستجابة</w:t>
      </w:r>
      <w:r w:rsidRPr="00905EEE">
        <w:rPr>
          <w:rFonts w:ascii="Traditional Arabic" w:hAnsi="Traditional Arabic" w:cs="Traditional Arabic"/>
        </w:rPr>
        <w:t>.</w:t>
      </w:r>
    </w:p>
    <w:p w14:paraId="4E6B3CD3" w14:textId="45935571" w:rsidR="007C5230" w:rsidRPr="00606ECD" w:rsidRDefault="007C5230" w:rsidP="00606ECD">
      <w:pPr>
        <w:bidi/>
        <w:spacing w:after="160" w:line="360" w:lineRule="auto"/>
        <w:divId w:val="1647278641"/>
        <w:rPr>
          <w:rFonts w:ascii="Traditional Arabic" w:hAnsi="Traditional Arabic" w:cs="Traditional Arabic"/>
          <w:b/>
          <w:bCs/>
        </w:rPr>
      </w:pPr>
      <w:r w:rsidRPr="00606ECD">
        <w:rPr>
          <w:rFonts w:ascii="Traditional Arabic" w:hAnsi="Traditional Arabic" w:cs="Traditional Arabic"/>
          <w:b/>
          <w:bCs/>
          <w:rtl/>
        </w:rPr>
        <w:t>جدول (2-3): ربط الإطار النظري بالفرضيات وأسئلة الدراسة</w:t>
      </w:r>
    </w:p>
    <w:tbl>
      <w:tblPr>
        <w:tblStyle w:val="5-3"/>
        <w:tblpPr w:leftFromText="180" w:rightFromText="180" w:vertAnchor="text" w:tblpXSpec="center" w:tblpY="1"/>
        <w:bidiVisual/>
        <w:tblW w:w="9360" w:type="dxa"/>
        <w:tblLook w:val="04A0" w:firstRow="1" w:lastRow="0" w:firstColumn="1" w:lastColumn="0" w:noHBand="0" w:noVBand="1"/>
      </w:tblPr>
      <w:tblGrid>
        <w:gridCol w:w="3583"/>
        <w:gridCol w:w="2893"/>
        <w:gridCol w:w="1509"/>
        <w:gridCol w:w="1375"/>
      </w:tblGrid>
      <w:tr w:rsidR="007C5230" w:rsidRPr="008E4A93" w14:paraId="44300CD2" w14:textId="77777777" w:rsidTr="008E4A93">
        <w:trPr>
          <w:cnfStyle w:val="100000000000" w:firstRow="1" w:lastRow="0" w:firstColumn="0" w:lastColumn="0" w:oddVBand="0" w:evenVBand="0" w:oddHBand="0"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1DF612" w14:textId="77777777" w:rsidR="007C5230" w:rsidRPr="008E4A93" w:rsidRDefault="007C5230" w:rsidP="008E4A93">
            <w:pPr>
              <w:jc w:val="center"/>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الإطار/النظرية</w:t>
            </w:r>
          </w:p>
        </w:tc>
        <w:tc>
          <w:tcPr>
            <w:tcW w:w="0" w:type="auto"/>
            <w:vAlign w:val="center"/>
            <w:hideMark/>
          </w:tcPr>
          <w:p w14:paraId="4675BD0C" w14:textId="77777777" w:rsidR="007C5230" w:rsidRPr="008E4A93" w:rsidRDefault="007C5230" w:rsidP="008E4A93">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ما الذي تفسره في النموذج؟</w:t>
            </w:r>
          </w:p>
        </w:tc>
        <w:tc>
          <w:tcPr>
            <w:tcW w:w="0" w:type="auto"/>
            <w:vAlign w:val="center"/>
            <w:hideMark/>
          </w:tcPr>
          <w:p w14:paraId="2DE24B27" w14:textId="77777777" w:rsidR="007C5230" w:rsidRPr="008E4A93" w:rsidRDefault="007C5230" w:rsidP="008E4A93">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الفرضيات المرتبطة</w:t>
            </w:r>
          </w:p>
        </w:tc>
        <w:tc>
          <w:tcPr>
            <w:tcW w:w="0" w:type="auto"/>
            <w:vAlign w:val="center"/>
            <w:hideMark/>
          </w:tcPr>
          <w:p w14:paraId="5D69F02E" w14:textId="77777777" w:rsidR="007C5230" w:rsidRPr="008E4A93" w:rsidRDefault="007C5230" w:rsidP="008E4A93">
            <w:pPr>
              <w:jc w:val="center"/>
              <w:cnfStyle w:val="100000000000" w:firstRow="1"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أسئلة الدراسة المرتبطة</w:t>
            </w:r>
          </w:p>
        </w:tc>
      </w:tr>
      <w:tr w:rsidR="007C5230" w:rsidRPr="008E4A93" w14:paraId="66950C0E" w14:textId="77777777" w:rsidTr="008E4A93">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394E03" w14:textId="3210BBAD" w:rsidR="008B0592" w:rsidRPr="008E4A93" w:rsidRDefault="007C5230" w:rsidP="008E4A93">
            <w:pPr>
              <w:jc w:val="center"/>
              <w:rPr>
                <w:rFonts w:ascii="Traditional Arabic" w:eastAsia="Times New Roman" w:hAnsi="Traditional Arabic" w:cs="Traditional Arabic"/>
                <w:b w:val="0"/>
                <w:bCs w:val="0"/>
                <w:color w:val="0D0D0D"/>
                <w:spacing w:val="-2"/>
                <w:sz w:val="20"/>
                <w:szCs w:val="20"/>
              </w:rPr>
            </w:pPr>
            <w:r w:rsidRPr="008E4A93">
              <w:rPr>
                <w:rFonts w:ascii="Traditional Arabic" w:eastAsia="Times New Roman" w:hAnsi="Traditional Arabic" w:cs="Traditional Arabic"/>
                <w:color w:val="0D0D0D"/>
                <w:spacing w:val="-2"/>
                <w:sz w:val="20"/>
                <w:szCs w:val="20"/>
              </w:rPr>
              <w:t>TAM</w:t>
            </w:r>
          </w:p>
          <w:p w14:paraId="0268B4A7" w14:textId="57294498" w:rsidR="007C5230" w:rsidRPr="008E4A93" w:rsidRDefault="007C5230" w:rsidP="008E4A93">
            <w:pPr>
              <w:jc w:val="center"/>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Pr>
              <w:t>(Davis, 1989)</w:t>
            </w:r>
          </w:p>
        </w:tc>
        <w:tc>
          <w:tcPr>
            <w:tcW w:w="0" w:type="auto"/>
            <w:vAlign w:val="center"/>
            <w:hideMark/>
          </w:tcPr>
          <w:p w14:paraId="05E70E6A"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كيفية انتقال جودة التحول الرقمي إلى إدراكات</w:t>
            </w:r>
            <w:r w:rsidRPr="008E4A93">
              <w:rPr>
                <w:rFonts w:ascii="Traditional Arabic" w:eastAsia="Times New Roman" w:hAnsi="Traditional Arabic" w:cs="Traditional Arabic"/>
                <w:color w:val="0D0D0D"/>
                <w:spacing w:val="-2"/>
                <w:sz w:val="20"/>
                <w:szCs w:val="20"/>
              </w:rPr>
              <w:t xml:space="preserve"> PU/PEOU </w:t>
            </w:r>
            <w:r w:rsidRPr="008E4A93">
              <w:rPr>
                <w:rFonts w:ascii="Traditional Arabic" w:eastAsia="Times New Roman" w:hAnsi="Traditional Arabic" w:cs="Traditional Arabic"/>
                <w:color w:val="0D0D0D"/>
                <w:spacing w:val="-2"/>
                <w:sz w:val="20"/>
                <w:szCs w:val="20"/>
                <w:rtl/>
              </w:rPr>
              <w:t>ثم إلى الرضا الوظيفي</w:t>
            </w:r>
          </w:p>
        </w:tc>
        <w:tc>
          <w:tcPr>
            <w:tcW w:w="0" w:type="auto"/>
            <w:vAlign w:val="center"/>
            <w:hideMark/>
          </w:tcPr>
          <w:p w14:paraId="0C209E47"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Pr>
              <w:t>H3a–H3f</w:t>
            </w:r>
          </w:p>
        </w:tc>
        <w:tc>
          <w:tcPr>
            <w:tcW w:w="0" w:type="auto"/>
            <w:vAlign w:val="center"/>
            <w:hideMark/>
          </w:tcPr>
          <w:p w14:paraId="5A64C2E1"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س3 (الوساطة)، مع دعم س2 (الأثر)</w:t>
            </w:r>
          </w:p>
        </w:tc>
      </w:tr>
      <w:tr w:rsidR="007C5230" w:rsidRPr="008E4A93" w14:paraId="275D3641" w14:textId="77777777" w:rsidTr="008E4A93">
        <w:trPr>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FA86ED" w14:textId="46FC9804" w:rsidR="008B0592" w:rsidRPr="008E4A93" w:rsidRDefault="007C5230" w:rsidP="008E4A93">
            <w:pPr>
              <w:jc w:val="center"/>
              <w:rPr>
                <w:rFonts w:ascii="Traditional Arabic" w:eastAsia="Times New Roman" w:hAnsi="Traditional Arabic" w:cs="Traditional Arabic"/>
                <w:b w:val="0"/>
                <w:bCs w:val="0"/>
                <w:color w:val="0D0D0D"/>
                <w:spacing w:val="-2"/>
                <w:sz w:val="20"/>
                <w:szCs w:val="20"/>
              </w:rPr>
            </w:pPr>
            <w:r w:rsidRPr="008E4A93">
              <w:rPr>
                <w:rFonts w:ascii="Traditional Arabic" w:eastAsia="Times New Roman" w:hAnsi="Traditional Arabic" w:cs="Traditional Arabic"/>
                <w:color w:val="0D0D0D"/>
                <w:spacing w:val="-2"/>
                <w:sz w:val="20"/>
                <w:szCs w:val="20"/>
              </w:rPr>
              <w:t>Technostress</w:t>
            </w:r>
          </w:p>
          <w:p w14:paraId="7EFC519E" w14:textId="6272BE47" w:rsidR="007C5230" w:rsidRPr="008E4A93" w:rsidRDefault="007C5230" w:rsidP="008E4A93">
            <w:pPr>
              <w:jc w:val="center"/>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Pr>
              <w:t>(Ragu-Nathan et al., 2008</w:t>
            </w:r>
            <w:r w:rsidRPr="008E4A93">
              <w:rPr>
                <w:rFonts w:ascii="Traditional Arabic" w:eastAsia="Times New Roman" w:hAnsi="Traditional Arabic" w:cs="Traditional Arabic"/>
                <w:color w:val="0D0D0D"/>
                <w:spacing w:val="-2"/>
                <w:sz w:val="20"/>
                <w:szCs w:val="20"/>
                <w:rtl/>
              </w:rPr>
              <w:t>؛</w:t>
            </w:r>
            <w:r w:rsidRPr="008E4A93">
              <w:rPr>
                <w:rFonts w:ascii="Traditional Arabic" w:eastAsia="Times New Roman" w:hAnsi="Traditional Arabic" w:cs="Traditional Arabic"/>
                <w:color w:val="0D0D0D"/>
                <w:spacing w:val="-2"/>
                <w:sz w:val="20"/>
                <w:szCs w:val="20"/>
              </w:rPr>
              <w:t xml:space="preserve"> </w:t>
            </w:r>
            <w:proofErr w:type="spellStart"/>
            <w:r w:rsidRPr="008E4A93">
              <w:rPr>
                <w:rFonts w:ascii="Traditional Arabic" w:eastAsia="Times New Roman" w:hAnsi="Traditional Arabic" w:cs="Traditional Arabic"/>
                <w:color w:val="0D0D0D"/>
                <w:spacing w:val="-2"/>
                <w:sz w:val="20"/>
                <w:szCs w:val="20"/>
              </w:rPr>
              <w:t>Tarafdar</w:t>
            </w:r>
            <w:proofErr w:type="spellEnd"/>
            <w:r w:rsidRPr="008E4A93">
              <w:rPr>
                <w:rFonts w:ascii="Traditional Arabic" w:eastAsia="Times New Roman" w:hAnsi="Traditional Arabic" w:cs="Traditional Arabic"/>
                <w:color w:val="0D0D0D"/>
                <w:spacing w:val="-2"/>
                <w:sz w:val="20"/>
                <w:szCs w:val="20"/>
              </w:rPr>
              <w:t xml:space="preserve"> et al., 2011</w:t>
            </w:r>
            <w:r w:rsidRPr="008E4A93">
              <w:rPr>
                <w:rFonts w:ascii="Traditional Arabic" w:eastAsia="Times New Roman" w:hAnsi="Traditional Arabic" w:cs="Traditional Arabic"/>
                <w:color w:val="0D0D0D"/>
                <w:spacing w:val="-2"/>
                <w:sz w:val="20"/>
                <w:szCs w:val="20"/>
                <w:rtl/>
              </w:rPr>
              <w:t>؛</w:t>
            </w:r>
            <w:r w:rsidRPr="008E4A93">
              <w:rPr>
                <w:rFonts w:ascii="Traditional Arabic" w:eastAsia="Times New Roman" w:hAnsi="Traditional Arabic" w:cs="Traditional Arabic"/>
                <w:color w:val="0D0D0D"/>
                <w:spacing w:val="-2"/>
                <w:sz w:val="20"/>
                <w:szCs w:val="20"/>
              </w:rPr>
              <w:t xml:space="preserve"> </w:t>
            </w:r>
            <w:proofErr w:type="spellStart"/>
            <w:r w:rsidRPr="008E4A93">
              <w:rPr>
                <w:rFonts w:ascii="Traditional Arabic" w:eastAsia="Times New Roman" w:hAnsi="Traditional Arabic" w:cs="Traditional Arabic"/>
                <w:color w:val="0D0D0D"/>
                <w:spacing w:val="-2"/>
                <w:sz w:val="20"/>
                <w:szCs w:val="20"/>
              </w:rPr>
              <w:t>Ayyagari</w:t>
            </w:r>
            <w:proofErr w:type="spellEnd"/>
            <w:r w:rsidRPr="008E4A93">
              <w:rPr>
                <w:rFonts w:ascii="Traditional Arabic" w:eastAsia="Times New Roman" w:hAnsi="Traditional Arabic" w:cs="Traditional Arabic"/>
                <w:color w:val="0D0D0D"/>
                <w:spacing w:val="-2"/>
                <w:sz w:val="20"/>
                <w:szCs w:val="20"/>
              </w:rPr>
              <w:t xml:space="preserve"> et al., 2011)</w:t>
            </w:r>
          </w:p>
        </w:tc>
        <w:tc>
          <w:tcPr>
            <w:tcW w:w="0" w:type="auto"/>
            <w:vAlign w:val="center"/>
            <w:hideMark/>
          </w:tcPr>
          <w:p w14:paraId="30D4271D" w14:textId="77777777" w:rsidR="007C5230" w:rsidRPr="008E4A93"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المسار الضاغط: كيف تولد متطلبات التقنية ضغطًا يقلل الرضا، وكيف تُخفف الموارد التنظيمية الأثر</w:t>
            </w:r>
          </w:p>
        </w:tc>
        <w:tc>
          <w:tcPr>
            <w:tcW w:w="0" w:type="auto"/>
            <w:vAlign w:val="center"/>
            <w:hideMark/>
          </w:tcPr>
          <w:p w14:paraId="55ED622B" w14:textId="77777777" w:rsidR="007C5230" w:rsidRPr="008E4A93"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Pr>
              <w:t>H2a–H2c</w:t>
            </w:r>
          </w:p>
        </w:tc>
        <w:tc>
          <w:tcPr>
            <w:tcW w:w="0" w:type="auto"/>
            <w:vAlign w:val="center"/>
            <w:hideMark/>
          </w:tcPr>
          <w:p w14:paraId="0EDBF546" w14:textId="77777777" w:rsidR="007C5230" w:rsidRPr="008E4A93"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س3</w:t>
            </w:r>
          </w:p>
        </w:tc>
      </w:tr>
      <w:tr w:rsidR="007C5230" w:rsidRPr="008E4A93" w14:paraId="7A24B15B" w14:textId="77777777" w:rsidTr="008E4A93">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ACB441" w14:textId="6360A5D2" w:rsidR="008B0592" w:rsidRPr="008E4A93" w:rsidRDefault="007C5230" w:rsidP="008E4A93">
            <w:pPr>
              <w:jc w:val="center"/>
              <w:rPr>
                <w:rFonts w:ascii="Traditional Arabic" w:eastAsia="Times New Roman" w:hAnsi="Traditional Arabic" w:cs="Traditional Arabic"/>
                <w:b w:val="0"/>
                <w:bCs w:val="0"/>
                <w:color w:val="0D0D0D"/>
                <w:spacing w:val="-2"/>
                <w:sz w:val="20"/>
                <w:szCs w:val="20"/>
              </w:rPr>
            </w:pPr>
            <w:r w:rsidRPr="008E4A93">
              <w:rPr>
                <w:rFonts w:ascii="Traditional Arabic" w:eastAsia="Times New Roman" w:hAnsi="Traditional Arabic" w:cs="Traditional Arabic"/>
                <w:color w:val="0D0D0D"/>
                <w:spacing w:val="-2"/>
                <w:sz w:val="20"/>
                <w:szCs w:val="20"/>
              </w:rPr>
              <w:t>TOE</w:t>
            </w:r>
          </w:p>
          <w:p w14:paraId="3DF71B74" w14:textId="341729D6" w:rsidR="007C5230" w:rsidRPr="008E4A93" w:rsidRDefault="007C5230" w:rsidP="008E4A93">
            <w:pPr>
              <w:jc w:val="center"/>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Pr>
              <w:t>(</w:t>
            </w:r>
            <w:proofErr w:type="spellStart"/>
            <w:r w:rsidRPr="008E4A93">
              <w:rPr>
                <w:rFonts w:ascii="Traditional Arabic" w:eastAsia="Times New Roman" w:hAnsi="Traditional Arabic" w:cs="Traditional Arabic"/>
                <w:color w:val="0D0D0D"/>
                <w:spacing w:val="-2"/>
                <w:sz w:val="20"/>
                <w:szCs w:val="20"/>
              </w:rPr>
              <w:t>Tornatzky</w:t>
            </w:r>
            <w:proofErr w:type="spellEnd"/>
            <w:r w:rsidRPr="008E4A93">
              <w:rPr>
                <w:rFonts w:ascii="Traditional Arabic" w:eastAsia="Times New Roman" w:hAnsi="Traditional Arabic" w:cs="Traditional Arabic"/>
                <w:color w:val="0D0D0D"/>
                <w:spacing w:val="-2"/>
                <w:sz w:val="20"/>
                <w:szCs w:val="20"/>
              </w:rPr>
              <w:t xml:space="preserve"> &amp; Fleischer, 1990</w:t>
            </w:r>
            <w:r w:rsidRPr="008E4A93">
              <w:rPr>
                <w:rFonts w:ascii="Traditional Arabic" w:eastAsia="Times New Roman" w:hAnsi="Traditional Arabic" w:cs="Traditional Arabic"/>
                <w:color w:val="0D0D0D"/>
                <w:spacing w:val="-2"/>
                <w:sz w:val="20"/>
                <w:szCs w:val="20"/>
                <w:rtl/>
              </w:rPr>
              <w:t>؛</w:t>
            </w:r>
            <w:r w:rsidRPr="008E4A93">
              <w:rPr>
                <w:rFonts w:ascii="Traditional Arabic" w:eastAsia="Times New Roman" w:hAnsi="Traditional Arabic" w:cs="Traditional Arabic"/>
                <w:color w:val="0D0D0D"/>
                <w:spacing w:val="-2"/>
                <w:sz w:val="20"/>
                <w:szCs w:val="20"/>
              </w:rPr>
              <w:t xml:space="preserve"> Oliveira &amp; Martins, 2011)</w:t>
            </w:r>
          </w:p>
        </w:tc>
        <w:tc>
          <w:tcPr>
            <w:tcW w:w="0" w:type="auto"/>
            <w:vAlign w:val="center"/>
            <w:hideMark/>
          </w:tcPr>
          <w:p w14:paraId="4BE501B0"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لماذا تختلف نتائج التحول الرقمي تبعًا للجاهزية التقنية والتنظيمية والبيئية، وكيف تُبرر أبعاد</w:t>
            </w:r>
            <w:r w:rsidRPr="008E4A93">
              <w:rPr>
                <w:rFonts w:ascii="Traditional Arabic" w:eastAsia="Times New Roman" w:hAnsi="Traditional Arabic" w:cs="Traditional Arabic"/>
                <w:color w:val="0D0D0D"/>
                <w:spacing w:val="-2"/>
                <w:sz w:val="20"/>
                <w:szCs w:val="20"/>
              </w:rPr>
              <w:t xml:space="preserve"> DTD</w:t>
            </w:r>
          </w:p>
        </w:tc>
        <w:tc>
          <w:tcPr>
            <w:tcW w:w="0" w:type="auto"/>
            <w:vAlign w:val="center"/>
            <w:hideMark/>
          </w:tcPr>
          <w:p w14:paraId="2B7EA0E5"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يدعم بناء</w:t>
            </w:r>
            <w:r w:rsidRPr="008E4A93">
              <w:rPr>
                <w:rFonts w:ascii="Traditional Arabic" w:eastAsia="Times New Roman" w:hAnsi="Traditional Arabic" w:cs="Traditional Arabic"/>
                <w:color w:val="0D0D0D"/>
                <w:spacing w:val="-2"/>
                <w:sz w:val="20"/>
                <w:szCs w:val="20"/>
              </w:rPr>
              <w:t xml:space="preserve"> H1 </w:t>
            </w:r>
            <w:r w:rsidRPr="008E4A93">
              <w:rPr>
                <w:rFonts w:ascii="Traditional Arabic" w:eastAsia="Times New Roman" w:hAnsi="Traditional Arabic" w:cs="Traditional Arabic"/>
                <w:color w:val="0D0D0D"/>
                <w:spacing w:val="-2"/>
                <w:sz w:val="20"/>
                <w:szCs w:val="20"/>
                <w:rtl/>
              </w:rPr>
              <w:t>واشتقاق أبعاد</w:t>
            </w:r>
            <w:r w:rsidRPr="008E4A93">
              <w:rPr>
                <w:rFonts w:ascii="Traditional Arabic" w:eastAsia="Times New Roman" w:hAnsi="Traditional Arabic" w:cs="Traditional Arabic"/>
                <w:color w:val="0D0D0D"/>
                <w:spacing w:val="-2"/>
                <w:sz w:val="20"/>
                <w:szCs w:val="20"/>
              </w:rPr>
              <w:t xml:space="preserve"> DTD</w:t>
            </w:r>
          </w:p>
        </w:tc>
        <w:tc>
          <w:tcPr>
            <w:tcW w:w="0" w:type="auto"/>
            <w:vAlign w:val="center"/>
            <w:hideMark/>
          </w:tcPr>
          <w:p w14:paraId="33EF3082"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س1 (مستويات الأبعاد)، س2</w:t>
            </w:r>
          </w:p>
        </w:tc>
      </w:tr>
      <w:tr w:rsidR="007C5230" w:rsidRPr="008E4A93" w14:paraId="4533BF50" w14:textId="77777777" w:rsidTr="008E4A93">
        <w:trPr>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28DAA0" w14:textId="77777777" w:rsidR="008B0592" w:rsidRPr="008E4A93" w:rsidRDefault="007C5230" w:rsidP="008E4A93">
            <w:pPr>
              <w:jc w:val="center"/>
              <w:rPr>
                <w:rFonts w:ascii="Traditional Arabic" w:eastAsia="Times New Roman" w:hAnsi="Traditional Arabic" w:cs="Traditional Arabic"/>
                <w:b w:val="0"/>
                <w:bCs w:val="0"/>
                <w:color w:val="0D0D0D"/>
                <w:spacing w:val="-2"/>
                <w:sz w:val="20"/>
                <w:szCs w:val="20"/>
                <w:rtl/>
              </w:rPr>
            </w:pPr>
            <w:r w:rsidRPr="008E4A93">
              <w:rPr>
                <w:rFonts w:ascii="Traditional Arabic" w:eastAsia="Times New Roman" w:hAnsi="Traditional Arabic" w:cs="Traditional Arabic"/>
                <w:color w:val="0D0D0D"/>
                <w:spacing w:val="-2"/>
                <w:sz w:val="20"/>
                <w:szCs w:val="20"/>
                <w:rtl/>
              </w:rPr>
              <w:t xml:space="preserve">المنظور </w:t>
            </w:r>
            <w:proofErr w:type="spellStart"/>
            <w:r w:rsidRPr="008E4A93">
              <w:rPr>
                <w:rFonts w:ascii="Traditional Arabic" w:eastAsia="Times New Roman" w:hAnsi="Traditional Arabic" w:cs="Traditional Arabic"/>
                <w:color w:val="0D0D0D"/>
                <w:spacing w:val="-2"/>
                <w:sz w:val="20"/>
                <w:szCs w:val="20"/>
                <w:rtl/>
              </w:rPr>
              <w:t>السوسيوتقني</w:t>
            </w:r>
            <w:proofErr w:type="spellEnd"/>
          </w:p>
          <w:p w14:paraId="6CB4F0DC" w14:textId="0DC6575D" w:rsidR="007C5230" w:rsidRPr="008E4A93" w:rsidRDefault="007C5230" w:rsidP="008E4A93">
            <w:pPr>
              <w:jc w:val="center"/>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Pr>
              <w:t>(</w:t>
            </w:r>
            <w:proofErr w:type="spellStart"/>
            <w:r w:rsidRPr="008E4A93">
              <w:rPr>
                <w:rFonts w:ascii="Traditional Arabic" w:eastAsia="Times New Roman" w:hAnsi="Traditional Arabic" w:cs="Traditional Arabic"/>
                <w:color w:val="0D0D0D"/>
                <w:spacing w:val="-2"/>
                <w:sz w:val="20"/>
                <w:szCs w:val="20"/>
              </w:rPr>
              <w:t>Sarker</w:t>
            </w:r>
            <w:proofErr w:type="spellEnd"/>
            <w:r w:rsidRPr="008E4A93">
              <w:rPr>
                <w:rFonts w:ascii="Traditional Arabic" w:eastAsia="Times New Roman" w:hAnsi="Traditional Arabic" w:cs="Traditional Arabic"/>
                <w:color w:val="0D0D0D"/>
                <w:spacing w:val="-2"/>
                <w:sz w:val="20"/>
                <w:szCs w:val="20"/>
              </w:rPr>
              <w:t xml:space="preserve"> et al., 2019)</w:t>
            </w:r>
          </w:p>
        </w:tc>
        <w:tc>
          <w:tcPr>
            <w:tcW w:w="0" w:type="auto"/>
            <w:vAlign w:val="center"/>
            <w:hideMark/>
          </w:tcPr>
          <w:p w14:paraId="74890B0D" w14:textId="77777777" w:rsidR="007C5230" w:rsidRPr="008E4A93"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تفسير تفاعل النظام التقني والاجتماعي وتغاير التجربة الرقمية بين الموظفين</w:t>
            </w:r>
          </w:p>
        </w:tc>
        <w:tc>
          <w:tcPr>
            <w:tcW w:w="0" w:type="auto"/>
            <w:vAlign w:val="center"/>
            <w:hideMark/>
          </w:tcPr>
          <w:p w14:paraId="4879D78D" w14:textId="77777777" w:rsidR="007C5230" w:rsidRPr="008E4A93"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يدعم تفسير</w:t>
            </w:r>
            <w:r w:rsidRPr="008E4A93">
              <w:rPr>
                <w:rFonts w:ascii="Traditional Arabic" w:eastAsia="Times New Roman" w:hAnsi="Traditional Arabic" w:cs="Traditional Arabic"/>
                <w:color w:val="0D0D0D"/>
                <w:spacing w:val="-2"/>
                <w:sz w:val="20"/>
                <w:szCs w:val="20"/>
              </w:rPr>
              <w:t xml:space="preserve"> H1–H3 </w:t>
            </w:r>
            <w:r w:rsidRPr="008E4A93">
              <w:rPr>
                <w:rFonts w:ascii="Traditional Arabic" w:eastAsia="Times New Roman" w:hAnsi="Traditional Arabic" w:cs="Traditional Arabic"/>
                <w:color w:val="0D0D0D"/>
                <w:spacing w:val="-2"/>
                <w:sz w:val="20"/>
                <w:szCs w:val="20"/>
                <w:rtl/>
              </w:rPr>
              <w:t>ويقوي منطق</w:t>
            </w:r>
            <w:r w:rsidRPr="008E4A93">
              <w:rPr>
                <w:rFonts w:ascii="Traditional Arabic" w:eastAsia="Times New Roman" w:hAnsi="Traditional Arabic" w:cs="Traditional Arabic"/>
                <w:color w:val="0D0D0D"/>
                <w:spacing w:val="-2"/>
                <w:sz w:val="20"/>
                <w:szCs w:val="20"/>
              </w:rPr>
              <w:t xml:space="preserve"> H4</w:t>
            </w:r>
          </w:p>
        </w:tc>
        <w:tc>
          <w:tcPr>
            <w:tcW w:w="0" w:type="auto"/>
            <w:vAlign w:val="center"/>
            <w:hideMark/>
          </w:tcPr>
          <w:p w14:paraId="054F105F" w14:textId="77777777" w:rsidR="007C5230" w:rsidRPr="008E4A93" w:rsidRDefault="007C5230" w:rsidP="008E4A93">
            <w:pPr>
              <w:jc w:val="center"/>
              <w:cnfStyle w:val="000000000000" w:firstRow="0" w:lastRow="0" w:firstColumn="0" w:lastColumn="0" w:oddVBand="0" w:evenVBand="0" w:oddHBand="0"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س4</w:t>
            </w:r>
          </w:p>
        </w:tc>
      </w:tr>
      <w:tr w:rsidR="007C5230" w:rsidRPr="008E4A93" w14:paraId="1EA02412" w14:textId="77777777" w:rsidTr="008E4A93">
        <w:trPr>
          <w:cnfStyle w:val="000000100000" w:firstRow="0" w:lastRow="0" w:firstColumn="0" w:lastColumn="0" w:oddVBand="0" w:evenVBand="0" w:oddHBand="1" w:evenHBand="0" w:firstRowFirstColumn="0" w:firstRowLastColumn="0" w:lastRowFirstColumn="0" w:lastRowLastColumn="0"/>
          <w:divId w:val="16472786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B50F55" w14:textId="0D1237BF" w:rsidR="008B0592" w:rsidRPr="008E4A93" w:rsidRDefault="007C5230" w:rsidP="008E4A93">
            <w:pPr>
              <w:jc w:val="center"/>
              <w:rPr>
                <w:rFonts w:ascii="Traditional Arabic" w:eastAsia="Times New Roman" w:hAnsi="Traditional Arabic" w:cs="Traditional Arabic"/>
                <w:b w:val="0"/>
                <w:bCs w:val="0"/>
                <w:color w:val="0D0D0D"/>
                <w:spacing w:val="-2"/>
                <w:sz w:val="20"/>
                <w:szCs w:val="20"/>
              </w:rPr>
            </w:pPr>
            <w:r w:rsidRPr="008E4A93">
              <w:rPr>
                <w:rFonts w:ascii="Traditional Arabic" w:eastAsia="Times New Roman" w:hAnsi="Traditional Arabic" w:cs="Traditional Arabic"/>
                <w:color w:val="0D0D0D"/>
                <w:spacing w:val="-2"/>
                <w:sz w:val="20"/>
                <w:szCs w:val="20"/>
              </w:rPr>
              <w:t>UTAUT/</w:t>
            </w:r>
            <w:r w:rsidRPr="008E4A93">
              <w:rPr>
                <w:rFonts w:ascii="Traditional Arabic" w:eastAsia="Times New Roman" w:hAnsi="Traditional Arabic" w:cs="Traditional Arabic"/>
                <w:color w:val="0D0D0D"/>
                <w:spacing w:val="-2"/>
                <w:sz w:val="20"/>
                <w:szCs w:val="20"/>
                <w:rtl/>
              </w:rPr>
              <w:t>الفروق الفردية</w:t>
            </w:r>
          </w:p>
          <w:p w14:paraId="6D3F3FBE" w14:textId="185825F6" w:rsidR="007C5230" w:rsidRPr="008E4A93" w:rsidRDefault="007C5230" w:rsidP="008E4A93">
            <w:pPr>
              <w:jc w:val="center"/>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Pr>
              <w:t>(Venkatesh et al., 2003)</w:t>
            </w:r>
          </w:p>
        </w:tc>
        <w:tc>
          <w:tcPr>
            <w:tcW w:w="0" w:type="auto"/>
            <w:vAlign w:val="center"/>
            <w:hideMark/>
          </w:tcPr>
          <w:p w14:paraId="2E7D5A81"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لماذا قد تختلف قوة/اتجاه الأثر بين الفئات الديموغرافية</w:t>
            </w:r>
          </w:p>
        </w:tc>
        <w:tc>
          <w:tcPr>
            <w:tcW w:w="0" w:type="auto"/>
            <w:vAlign w:val="center"/>
            <w:hideMark/>
          </w:tcPr>
          <w:p w14:paraId="1A05D1B8"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Pr>
              <w:t>H4</w:t>
            </w:r>
          </w:p>
        </w:tc>
        <w:tc>
          <w:tcPr>
            <w:tcW w:w="0" w:type="auto"/>
            <w:vAlign w:val="center"/>
            <w:hideMark/>
          </w:tcPr>
          <w:p w14:paraId="6C4B44ED" w14:textId="77777777" w:rsidR="007C5230" w:rsidRPr="008E4A93" w:rsidRDefault="007C5230" w:rsidP="008E4A93">
            <w:pPr>
              <w:jc w:val="center"/>
              <w:cnfStyle w:val="000000100000" w:firstRow="0" w:lastRow="0" w:firstColumn="0" w:lastColumn="0" w:oddVBand="0" w:evenVBand="0" w:oddHBand="1" w:evenHBand="0" w:firstRowFirstColumn="0" w:firstRowLastColumn="0" w:lastRowFirstColumn="0" w:lastRowLastColumn="0"/>
              <w:rPr>
                <w:rFonts w:ascii="Traditional Arabic" w:eastAsia="Times New Roman" w:hAnsi="Traditional Arabic" w:cs="Traditional Arabic"/>
                <w:color w:val="0D0D0D"/>
                <w:spacing w:val="-2"/>
                <w:sz w:val="20"/>
                <w:szCs w:val="20"/>
              </w:rPr>
            </w:pPr>
            <w:r w:rsidRPr="008E4A93">
              <w:rPr>
                <w:rFonts w:ascii="Traditional Arabic" w:eastAsia="Times New Roman" w:hAnsi="Traditional Arabic" w:cs="Traditional Arabic"/>
                <w:color w:val="0D0D0D"/>
                <w:spacing w:val="-2"/>
                <w:sz w:val="20"/>
                <w:szCs w:val="20"/>
                <w:rtl/>
              </w:rPr>
              <w:t>س4</w:t>
            </w:r>
          </w:p>
        </w:tc>
      </w:tr>
    </w:tbl>
    <w:p w14:paraId="17A920F2" w14:textId="77777777" w:rsidR="007C5230" w:rsidRPr="007C5230" w:rsidRDefault="007C5230" w:rsidP="007C5230">
      <w:pPr>
        <w:bidi/>
        <w:spacing w:after="160" w:line="360" w:lineRule="auto"/>
        <w:divId w:val="1647278641"/>
        <w:rPr>
          <w:rFonts w:ascii="Traditional Arabic" w:hAnsi="Traditional Arabic" w:cs="Traditional Arabic"/>
        </w:rPr>
      </w:pPr>
    </w:p>
    <w:p w14:paraId="1927287A" w14:textId="5D1E6B26" w:rsidR="0062755D" w:rsidRDefault="008B0592" w:rsidP="00905EEE">
      <w:pPr>
        <w:bidi/>
        <w:spacing w:after="160" w:line="360" w:lineRule="auto"/>
        <w:divId w:val="1647278641"/>
        <w:rPr>
          <w:rFonts w:ascii="Traditional Arabic" w:hAnsi="Traditional Arabic" w:cs="Traditional Arabic"/>
          <w:rtl/>
        </w:rPr>
      </w:pPr>
      <w:r w:rsidRPr="00BC27A4">
        <w:rPr>
          <w:rFonts w:ascii="Traditional Arabic" w:hAnsi="Traditional Arabic" w:cs="Traditional Arabic"/>
          <w:b/>
          <w:bCs/>
          <w:sz w:val="28"/>
          <w:szCs w:val="28"/>
          <w:rtl/>
        </w:rPr>
        <w:t>فقرة انتقالية إلى الدراسات السابقة</w:t>
      </w:r>
      <w:r w:rsidRPr="008B0592">
        <w:rPr>
          <w:rFonts w:ascii="Traditional Arabic" w:hAnsi="Traditional Arabic" w:cs="Traditional Arabic"/>
        </w:rPr>
        <w:br/>
      </w:r>
      <w:r w:rsidR="00905EEE" w:rsidRPr="00905EEE">
        <w:rPr>
          <w:rFonts w:ascii="Traditional Arabic" w:hAnsi="Traditional Arabic" w:cs="Traditional Arabic"/>
          <w:rtl/>
        </w:rPr>
        <w:t>وفي ضوء هذا البناء النظري، لا تُقرأ الدراسات السابقة بوصفها سردًا تاريخيًا فحسب، بل بوصفها أدلةً جزئية تختبر عناصر النموذج الحالي: بعضُها يوضح طبيعة السابق التنظيمي المتمثل في التحوّل الرقمي المؤسسي، وبعضُها يختبر المسار التعزيزي عبر قبول التقنية، وبعضُها يبرز المسار الضاغط عبر الإجهاد التقني، وبذلك تسهم مجتمعةً في تبرير فرضيات الدراسة الحالية وصياغة فجوتها البحثية بصورتها النهائية</w:t>
      </w:r>
      <w:r w:rsidR="00905EEE" w:rsidRPr="00905EEE">
        <w:rPr>
          <w:rFonts w:ascii="Traditional Arabic" w:hAnsi="Traditional Arabic" w:cs="Traditional Arabic"/>
        </w:rPr>
        <w:t>.</w:t>
      </w:r>
      <w:r w:rsidR="00905EEE">
        <w:rPr>
          <w:rFonts w:ascii="Traditional Arabic" w:hAnsi="Traditional Arabic" w:cs="Traditional Arabic" w:hint="cs"/>
          <w:rtl/>
        </w:rPr>
        <w:t xml:space="preserve"> </w:t>
      </w:r>
      <w:r w:rsidRPr="008B0592">
        <w:rPr>
          <w:rFonts w:ascii="Traditional Arabic" w:hAnsi="Traditional Arabic" w:cs="Traditional Arabic"/>
          <w:rtl/>
        </w:rPr>
        <w:t>وبعد تأسيس المفاهيم والأطر المفسرة لمسارات النموذج واشتقاق الفرضيات</w:t>
      </w:r>
      <w:r w:rsidRPr="008B0592">
        <w:rPr>
          <w:rFonts w:ascii="Traditional Arabic" w:hAnsi="Traditional Arabic" w:cs="Traditional Arabic"/>
        </w:rPr>
        <w:t xml:space="preserve"> (H1–H4)</w:t>
      </w:r>
      <w:r w:rsidRPr="008B0592">
        <w:rPr>
          <w:rFonts w:ascii="Traditional Arabic" w:hAnsi="Traditional Arabic" w:cs="Traditional Arabic"/>
          <w:rtl/>
        </w:rPr>
        <w:t>، تُعرض الدراسات السابقة في القسم التالي بطريقة تحليلية تُبرز النتائج المتسقة والمتعارضة وحدود الأدلة وأثر اختلاف السياقات والمنهجيات، مع ربط كل محور بالأسئلة (س1–س4) والفرضيات ذات الصلة</w:t>
      </w:r>
      <w:r w:rsidRPr="008B0592">
        <w:rPr>
          <w:rFonts w:ascii="Traditional Arabic" w:hAnsi="Traditional Arabic" w:cs="Traditional Arabic"/>
        </w:rPr>
        <w:t>.</w:t>
      </w:r>
    </w:p>
    <w:p w14:paraId="00374A12" w14:textId="77777777" w:rsidR="00C37F6C" w:rsidRDefault="00C37F6C" w:rsidP="00EB0259">
      <w:pPr>
        <w:bidi/>
        <w:spacing w:after="160" w:line="360" w:lineRule="auto"/>
        <w:divId w:val="1647278641"/>
        <w:rPr>
          <w:rFonts w:ascii="Traditional Arabic" w:hAnsi="Traditional Arabic" w:cs="Traditional Arabic"/>
          <w:b/>
          <w:bCs/>
          <w:sz w:val="28"/>
          <w:szCs w:val="28"/>
          <w:rtl/>
        </w:rPr>
      </w:pPr>
    </w:p>
    <w:p w14:paraId="4F3622D3" w14:textId="2A32BEAB" w:rsidR="00BC27A4" w:rsidRPr="00BC27A4" w:rsidRDefault="002544C2" w:rsidP="00BC27A4">
      <w:pPr>
        <w:bidi/>
        <w:spacing w:after="160" w:line="360" w:lineRule="auto"/>
        <w:divId w:val="1647278641"/>
        <w:rPr>
          <w:rFonts w:ascii="Traditional Arabic" w:hAnsi="Traditional Arabic" w:cs="Traditional Arabic"/>
          <w:b/>
          <w:bCs/>
          <w:sz w:val="28"/>
          <w:szCs w:val="28"/>
        </w:rPr>
      </w:pPr>
      <w:r w:rsidRPr="00DB3C7B">
        <w:rPr>
          <w:rFonts w:ascii="Traditional Arabic" w:hAnsi="Traditional Arabic" w:cs="Traditional Arabic"/>
          <w:b/>
          <w:bCs/>
          <w:sz w:val="28"/>
          <w:szCs w:val="28"/>
          <w:rtl/>
        </w:rPr>
        <w:lastRenderedPageBreak/>
        <w:t xml:space="preserve">2.2 </w:t>
      </w:r>
      <w:r w:rsidR="00B64312" w:rsidRPr="00DB3C7B">
        <w:rPr>
          <w:rFonts w:ascii="Traditional Arabic" w:hAnsi="Traditional Arabic" w:cs="Traditional Arabic"/>
          <w:b/>
          <w:bCs/>
          <w:sz w:val="28"/>
          <w:szCs w:val="28"/>
          <w:rtl/>
        </w:rPr>
        <w:t>الدراسات السابقة</w:t>
      </w:r>
      <w:r w:rsidR="00BC27A4" w:rsidRPr="00BC27A4">
        <w:rPr>
          <w:rFonts w:ascii="Traditional Arabic" w:hAnsi="Traditional Arabic" w:cs="Traditional Arabic"/>
        </w:rPr>
        <w:br/>
      </w:r>
      <w:r w:rsidR="00BC27A4">
        <w:rPr>
          <w:rFonts w:ascii="Traditional Arabic" w:hAnsi="Traditional Arabic" w:cs="Traditional Arabic"/>
          <w:b/>
          <w:bCs/>
        </w:rPr>
        <w:t xml:space="preserve"> </w:t>
      </w:r>
      <w:r w:rsidR="00BC27A4" w:rsidRPr="00BC27A4">
        <w:rPr>
          <w:rFonts w:ascii="Traditional Arabic" w:hAnsi="Traditional Arabic" w:cs="Traditional Arabic"/>
          <w:b/>
          <w:bCs/>
        </w:rPr>
        <w:t xml:space="preserve">2.2.1 </w:t>
      </w:r>
      <w:r w:rsidR="00BC27A4" w:rsidRPr="00BC27A4">
        <w:rPr>
          <w:rFonts w:ascii="Traditional Arabic" w:hAnsi="Traditional Arabic" w:cs="Traditional Arabic"/>
          <w:b/>
          <w:bCs/>
          <w:rtl/>
        </w:rPr>
        <w:t>دراسات التحول الرقمي المؤسسي</w:t>
      </w:r>
      <w:r w:rsidR="00BC27A4" w:rsidRPr="00BC27A4">
        <w:rPr>
          <w:rFonts w:ascii="Traditional Arabic" w:hAnsi="Traditional Arabic" w:cs="Traditional Arabic"/>
          <w:rtl/>
        </w:rPr>
        <w:t xml:space="preserve"> </w:t>
      </w:r>
      <w:r w:rsidR="00BC27A4" w:rsidRPr="00BC27A4">
        <w:rPr>
          <w:rFonts w:ascii="Traditional Arabic" w:hAnsi="Traditional Arabic" w:cs="Traditional Arabic"/>
          <w:b/>
          <w:bCs/>
          <w:rtl/>
        </w:rPr>
        <w:t>والموظفين</w:t>
      </w:r>
      <w:r w:rsidR="00BC27A4" w:rsidRPr="00BC27A4">
        <w:rPr>
          <w:rFonts w:ascii="Traditional Arabic" w:hAnsi="Traditional Arabic" w:cs="Traditional Arabic"/>
        </w:rPr>
        <w:br/>
      </w:r>
      <w:r w:rsidR="00BC27A4" w:rsidRPr="00BC27A4">
        <w:rPr>
          <w:rFonts w:ascii="Traditional Arabic" w:hAnsi="Traditional Arabic" w:cs="Traditional Arabic"/>
          <w:rtl/>
        </w:rPr>
        <w:t>دراسة</w:t>
      </w:r>
      <w:r w:rsidR="00BC27A4" w:rsidRPr="00BC27A4">
        <w:rPr>
          <w:rFonts w:ascii="Traditional Arabic" w:hAnsi="Traditional Arabic" w:cs="Traditional Arabic"/>
        </w:rPr>
        <w:t xml:space="preserve"> (</w:t>
      </w:r>
      <w:proofErr w:type="spellStart"/>
      <w:r w:rsidR="00BC27A4" w:rsidRPr="00BC27A4">
        <w:rPr>
          <w:rFonts w:ascii="Traditional Arabic" w:hAnsi="Traditional Arabic" w:cs="Traditional Arabic"/>
        </w:rPr>
        <w:t>Shibeika</w:t>
      </w:r>
      <w:proofErr w:type="spellEnd"/>
      <w:r w:rsidR="00BC27A4" w:rsidRPr="00BC27A4">
        <w:rPr>
          <w:rFonts w:ascii="Traditional Arabic" w:hAnsi="Traditional Arabic" w:cs="Traditional Arabic"/>
        </w:rPr>
        <w:t xml:space="preserve"> et al., 2025) </w:t>
      </w:r>
      <w:r w:rsidR="00BC27A4" w:rsidRPr="00BC27A4">
        <w:rPr>
          <w:rFonts w:ascii="Traditional Arabic" w:hAnsi="Traditional Arabic" w:cs="Traditional Arabic"/>
          <w:rtl/>
        </w:rPr>
        <w:t>بعنوان</w:t>
      </w:r>
      <w:r w:rsidR="00BC27A4" w:rsidRPr="00BC27A4">
        <w:rPr>
          <w:rFonts w:ascii="Traditional Arabic" w:hAnsi="Traditional Arabic" w:cs="Traditional Arabic"/>
        </w:rPr>
        <w:t xml:space="preserve">: </w:t>
      </w:r>
      <w:r w:rsidR="002F488C">
        <w:rPr>
          <w:rFonts w:ascii="Traditional Arabic" w:hAnsi="Traditional Arabic" w:cs="Traditional Arabic"/>
        </w:rPr>
        <w:t>"</w:t>
      </w:r>
      <w:r w:rsidR="00BC27A4" w:rsidRPr="00BC27A4">
        <w:rPr>
          <w:rFonts w:ascii="Traditional Arabic" w:hAnsi="Traditional Arabic" w:cs="Traditional Arabic"/>
        </w:rPr>
        <w:t>THE IMPACT OF DIGITAL TRANSFORMATION IN HUMAN RESOURCE MANAGEMENT ON EMPLOYEE SATISFACTION IN SAUDI PRIVATE SECTOR</w:t>
      </w:r>
      <w:r w:rsidR="002F488C">
        <w:rPr>
          <w:rFonts w:ascii="Traditional Arabic" w:hAnsi="Traditional Arabic" w:cs="Traditional Arabic"/>
        </w:rPr>
        <w:t>"</w:t>
      </w:r>
      <w:r w:rsidR="00BC27A4" w:rsidRPr="00BC27A4">
        <w:rPr>
          <w:rFonts w:ascii="Traditional Arabic" w:hAnsi="Traditional Arabic" w:cs="Traditional Arabic"/>
        </w:rPr>
        <w:t>.</w:t>
      </w:r>
      <w:r w:rsidR="00BC27A4" w:rsidRPr="00BC27A4">
        <w:rPr>
          <w:rFonts w:ascii="Traditional Arabic" w:hAnsi="Traditional Arabic" w:cs="Traditional Arabic"/>
        </w:rPr>
        <w:br/>
      </w:r>
      <w:r w:rsidR="00BC27A4" w:rsidRPr="00BC27A4">
        <w:rPr>
          <w:rFonts w:ascii="Traditional Arabic" w:hAnsi="Traditional Arabic" w:cs="Traditional Arabic"/>
          <w:rtl/>
        </w:rPr>
        <w:t>هدفت الدراسة إلى: (1) اختبار أثر التحول الرقمي في إدارة الموارد البشرية على رضا الموظفين؛ (2) تقويم دور ممارسات الموارد البشرية الرقمية في تحسين جوانب تجربة العمل. تمثل المجتمع بموظفي شركات من القطاع الخاص (لم يُذكر حجم المجتمع)، وبلغت العينة 400 موظف من 10 شركات. استُخدم المنهج الكمي عبر استبانة وتحليلات علاقة. وأظهرت النتائج: (1) أثرًا إيجابيًا دالًا للتحول الرقمي في ممارسات الموارد البشرية على رضا الموظفين؛ (2) بروز التدريب وإدارة التغيير كشرطين لرفع فرص تحقق الأثر</w:t>
      </w:r>
      <w:r w:rsidR="00BC27A4" w:rsidRPr="00BC27A4">
        <w:rPr>
          <w:rFonts w:ascii="Traditional Arabic" w:hAnsi="Traditional Arabic" w:cs="Traditional Arabic"/>
        </w:rPr>
        <w:t>.</w:t>
      </w:r>
      <w:r w:rsidR="00BC27A4" w:rsidRPr="00BC27A4">
        <w:rPr>
          <w:rFonts w:ascii="Traditional Arabic" w:hAnsi="Traditional Arabic" w:cs="Traditional Arabic"/>
        </w:rPr>
        <w:br/>
      </w:r>
      <w:r w:rsidR="00BC27A4" w:rsidRPr="00BC27A4">
        <w:rPr>
          <w:rFonts w:ascii="Traditional Arabic" w:hAnsi="Traditional Arabic" w:cs="Traditional Arabic"/>
          <w:rtl/>
        </w:rPr>
        <w:t>تحليل/ربط: تدعم النتائج اتجاه فرضيات الأثر المباشر للتحول الرقمي على الرضا</w:t>
      </w:r>
      <w:r w:rsidR="00BC27A4" w:rsidRPr="00BC27A4">
        <w:rPr>
          <w:rFonts w:ascii="Traditional Arabic" w:hAnsi="Traditional Arabic" w:cs="Traditional Arabic"/>
        </w:rPr>
        <w:t xml:space="preserve"> (H1) </w:t>
      </w:r>
      <w:r w:rsidR="00BC27A4" w:rsidRPr="00BC27A4">
        <w:rPr>
          <w:rFonts w:ascii="Traditional Arabic" w:hAnsi="Traditional Arabic" w:cs="Traditional Arabic"/>
          <w:rtl/>
        </w:rPr>
        <w:t>من حيث الاتجاه العام، لكنها تُظهر حدودًا سياقية تتعلق بكون الدراسة في قطاع خاص ووظيفة فرعية</w:t>
      </w:r>
      <w:r w:rsidR="00BC27A4" w:rsidRPr="00BC27A4">
        <w:rPr>
          <w:rFonts w:ascii="Traditional Arabic" w:hAnsi="Traditional Arabic" w:cs="Traditional Arabic"/>
        </w:rPr>
        <w:t xml:space="preserve"> (HRM). </w:t>
      </w:r>
      <w:r w:rsidR="00BC27A4" w:rsidRPr="00BC27A4">
        <w:rPr>
          <w:rFonts w:ascii="Traditional Arabic" w:hAnsi="Traditional Arabic" w:cs="Traditional Arabic"/>
          <w:rtl/>
        </w:rPr>
        <w:t>كما لم تُفصل الدراسة آليات الوساطة</w:t>
      </w:r>
      <w:r w:rsidR="00BC27A4" w:rsidRPr="00BC27A4">
        <w:rPr>
          <w:rFonts w:ascii="Traditional Arabic" w:hAnsi="Traditional Arabic" w:cs="Traditional Arabic"/>
        </w:rPr>
        <w:t xml:space="preserve"> (H2–H3)</w:t>
      </w:r>
      <w:r w:rsidR="00BC27A4" w:rsidRPr="00BC27A4">
        <w:rPr>
          <w:rFonts w:ascii="Traditional Arabic" w:hAnsi="Traditional Arabic" w:cs="Traditional Arabic"/>
          <w:rtl/>
        </w:rPr>
        <w:t>، ما يبرر اختبار هذه الآليات داخل سياق الوزارة (س3)</w:t>
      </w:r>
      <w:r w:rsidR="00BC27A4" w:rsidRPr="00BC27A4">
        <w:rPr>
          <w:rFonts w:ascii="Traditional Arabic" w:hAnsi="Traditional Arabic" w:cs="Traditional Arabic"/>
        </w:rPr>
        <w:t>.</w:t>
      </w:r>
    </w:p>
    <w:p w14:paraId="6AE2CB12" w14:textId="064D886B"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Tzavella</w:t>
      </w:r>
      <w:proofErr w:type="spellEnd"/>
      <w:r w:rsidRPr="00BC27A4">
        <w:rPr>
          <w:rFonts w:ascii="Traditional Arabic" w:hAnsi="Traditional Arabic" w:cs="Traditional Arabic"/>
        </w:rPr>
        <w:t xml:space="preserve"> et al.,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Measuring Job Satisfaction of Government Employees and the Impact of Digital Transformation in the Public Sector</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قياس الرضا الوظيفي لموظفي جهة حكومية في ظل التحول الرقمي؛ (2) تقدير دور مجالات التحول (مثل التدريب والمهارات الرقمية والموارد والإجراءات) في تفسير الاتجاهات. شمل مجتمع الدراسة 750 موظفًا، وبلغت العينة 206 استبانة إلكترونية. استُخدمت تحليلات وصفية واختبارات ثبات وتحليل ارتباط. وأظهرت النتائج: (1) اتجاهًا محايدًا إلى إيجابي قليلًا نحو مستوى التحول؛ (2) وجود ارتباط بين مجالات التحول مع إشارة إلى أهمية التدريب والعوائق المرتبطة بالوقت/الدافعية</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أهمية التدريب كمرتكز تنفيذي للتحول</w:t>
      </w:r>
      <w:r w:rsidRPr="00BC27A4">
        <w:rPr>
          <w:rFonts w:ascii="Traditional Arabic" w:hAnsi="Traditional Arabic" w:cs="Traditional Arabic"/>
        </w:rPr>
        <w:t xml:space="preserve"> (</w:t>
      </w:r>
      <w:r w:rsidRPr="00BC27A4">
        <w:rPr>
          <w:rFonts w:ascii="Traditional Arabic" w:hAnsi="Traditional Arabic" w:cs="Traditional Arabic"/>
          <w:rtl/>
        </w:rPr>
        <w:t>يتقاطع مع</w:t>
      </w:r>
      <w:r w:rsidRPr="00BC27A4">
        <w:rPr>
          <w:rFonts w:ascii="Traditional Arabic" w:hAnsi="Traditional Arabic" w:cs="Traditional Arabic"/>
        </w:rPr>
        <w:t xml:space="preserve"> DTD3 </w:t>
      </w:r>
      <w:r w:rsidRPr="00BC27A4">
        <w:rPr>
          <w:rFonts w:ascii="Traditional Arabic" w:hAnsi="Traditional Arabic" w:cs="Traditional Arabic"/>
          <w:rtl/>
        </w:rPr>
        <w:t>و</w:t>
      </w:r>
      <w:r w:rsidRPr="00BC27A4">
        <w:rPr>
          <w:rFonts w:ascii="Traditional Arabic" w:hAnsi="Traditional Arabic" w:cs="Traditional Arabic"/>
        </w:rPr>
        <w:t>H1c)</w:t>
      </w:r>
      <w:r w:rsidRPr="00BC27A4">
        <w:rPr>
          <w:rFonts w:ascii="Traditional Arabic" w:hAnsi="Traditional Arabic" w:cs="Traditional Arabic"/>
          <w:rtl/>
        </w:rPr>
        <w:t>، لكنها تُظهر محدودية تشغيل التحول إلى أبعاد تشغيلية داخلية تمس تجربة الموظف اليومية. ومن ثم تُسند الحاجة إلى تشغيل</w:t>
      </w:r>
      <w:r w:rsidRPr="00BC27A4">
        <w:rPr>
          <w:rFonts w:ascii="Traditional Arabic" w:hAnsi="Traditional Arabic" w:cs="Traditional Arabic"/>
        </w:rPr>
        <w:t xml:space="preserve"> DTD </w:t>
      </w:r>
      <w:r w:rsidRPr="00BC27A4">
        <w:rPr>
          <w:rFonts w:ascii="Traditional Arabic" w:hAnsi="Traditional Arabic" w:cs="Traditional Arabic"/>
          <w:rtl/>
        </w:rPr>
        <w:t>بأبعاد أكثر تحديدًا وفق النموذج الحالي، بما يخدم سؤال (س2) وفرضيات</w:t>
      </w:r>
      <w:r w:rsidRPr="00BC27A4">
        <w:rPr>
          <w:rFonts w:ascii="Traditional Arabic" w:hAnsi="Traditional Arabic" w:cs="Traditional Arabic"/>
        </w:rPr>
        <w:t xml:space="preserve"> (H1a–H1d).</w:t>
      </w:r>
    </w:p>
    <w:p w14:paraId="19956A40" w14:textId="5E479832"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Khuc</w:t>
      </w:r>
      <w:proofErr w:type="spellEnd"/>
      <w:r w:rsidRPr="00BC27A4">
        <w:rPr>
          <w:rFonts w:ascii="Traditional Arabic" w:hAnsi="Traditional Arabic" w:cs="Traditional Arabic"/>
        </w:rPr>
        <w:t xml:space="preserve"> &amp; Nguyen,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impact of digital transformation on job performance: The mediating role of job satisfaction and work pressure</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التحول الرقمي على الأداء الوظيفي؛ (2) اختبار وساطة الرضا الوظيفي وضغط العمل. بلغ حجم العينة 242، واستُخدم تحليل</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SmartPLS</w:t>
      </w:r>
      <w:proofErr w:type="spellEnd"/>
      <w:r w:rsidRPr="00BC27A4">
        <w:rPr>
          <w:rFonts w:ascii="Traditional Arabic" w:hAnsi="Traditional Arabic" w:cs="Traditional Arabic"/>
        </w:rPr>
        <w:t xml:space="preserve">. </w:t>
      </w:r>
      <w:r w:rsidRPr="00BC27A4">
        <w:rPr>
          <w:rFonts w:ascii="Traditional Arabic" w:hAnsi="Traditional Arabic" w:cs="Traditional Arabic"/>
          <w:rtl/>
        </w:rPr>
        <w:t xml:space="preserve">وأظهرت النتائج: (1) أثرًا مباشرًا للتحول الرقمي على الأداء؛ (2) أثرًا غير </w:t>
      </w:r>
      <w:r w:rsidRPr="00BC27A4">
        <w:rPr>
          <w:rFonts w:ascii="Traditional Arabic" w:hAnsi="Traditional Arabic" w:cs="Traditional Arabic"/>
          <w:rtl/>
        </w:rPr>
        <w:lastRenderedPageBreak/>
        <w:t>مباشر عبر الرضا وضغط العمل</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تُظهر الدراسة اتساقًا مع منطق الوساطة في تفسير آثار التحول الرقمي، لكنها تختلف في المتغير التابع (الأداء) وفي آليات الوساطة؛ وهو ما يدعم في الدراسة الحالية اختبار وساطتين أكثر تخصصًا</w:t>
      </w:r>
      <w:r w:rsidRPr="00BC27A4">
        <w:rPr>
          <w:rFonts w:ascii="Traditional Arabic" w:hAnsi="Traditional Arabic" w:cs="Traditional Arabic"/>
        </w:rPr>
        <w:t xml:space="preserve"> (TAM </w:t>
      </w:r>
      <w:r w:rsidRPr="00BC27A4">
        <w:rPr>
          <w:rFonts w:ascii="Traditional Arabic" w:hAnsi="Traditional Arabic" w:cs="Traditional Arabic"/>
          <w:rtl/>
        </w:rPr>
        <w:t>و</w:t>
      </w:r>
      <w:r w:rsidRPr="00BC27A4">
        <w:rPr>
          <w:rFonts w:ascii="Traditional Arabic" w:hAnsi="Traditional Arabic" w:cs="Traditional Arabic"/>
        </w:rPr>
        <w:t xml:space="preserve">Technostress) </w:t>
      </w:r>
      <w:r w:rsidRPr="00BC27A4">
        <w:rPr>
          <w:rFonts w:ascii="Traditional Arabic" w:hAnsi="Traditional Arabic" w:cs="Traditional Arabic"/>
          <w:rtl/>
        </w:rPr>
        <w:t>على الرضا الوظيفي بوصفه متغيرًا تابعًا</w:t>
      </w:r>
      <w:r w:rsidRPr="00BC27A4">
        <w:rPr>
          <w:rFonts w:ascii="Traditional Arabic" w:hAnsi="Traditional Arabic" w:cs="Traditional Arabic"/>
        </w:rPr>
        <w:t xml:space="preserve"> (</w:t>
      </w:r>
      <w:r w:rsidRPr="00BC27A4">
        <w:rPr>
          <w:rFonts w:ascii="Traditional Arabic" w:hAnsi="Traditional Arabic" w:cs="Traditional Arabic"/>
          <w:rtl/>
        </w:rPr>
        <w:t>س3؛</w:t>
      </w:r>
      <w:r w:rsidRPr="00BC27A4">
        <w:rPr>
          <w:rFonts w:ascii="Traditional Arabic" w:hAnsi="Traditional Arabic" w:cs="Traditional Arabic"/>
        </w:rPr>
        <w:t xml:space="preserve"> H2–H3).</w:t>
      </w:r>
    </w:p>
    <w:p w14:paraId="1419E4B5" w14:textId="42452D23"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Kadi</w:t>
      </w:r>
      <w:proofErr w:type="spellEnd"/>
      <w:r w:rsidRPr="00BC27A4">
        <w:rPr>
          <w:rFonts w:ascii="Traditional Arabic" w:hAnsi="Traditional Arabic" w:cs="Traditional Arabic"/>
        </w:rPr>
        <w:t xml:space="preserve">, 2024)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Digital transformation and employee involvement: Employees’ perspective in Saudi Arabia’s public sector</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استكشاف ممارسات التحول الرقمي مع التركيز على إشراك الموظفين؛ (2) تفسير أثر الإشراك على نجاح مبادرات التحول من منظور الموظف. اعتمدت الدراسة منهجًا نوعيًا، وأُجريت 20 مقابلة. وأظهرت النتائج: (1) ضعف جودة التطبيق عند انخفاض إشراك الموظفين؛ (2) ارتباط محدودية الإشراك بمقاومة التغيير وفجوة المهارات</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تؤكد الدراسة أن التحول الرقمي في القطاع العام لا يُختزل في التقنية؛ بل يتطلب إدارة تغيير وتمكينًا بشريًا. ويُستفاد منها في تقوية منطق</w:t>
      </w:r>
      <w:r w:rsidRPr="00BC27A4">
        <w:rPr>
          <w:rFonts w:ascii="Traditional Arabic" w:hAnsi="Traditional Arabic" w:cs="Traditional Arabic"/>
        </w:rPr>
        <w:t xml:space="preserve"> DTD3 </w:t>
      </w:r>
      <w:r w:rsidRPr="00BC27A4">
        <w:rPr>
          <w:rFonts w:ascii="Traditional Arabic" w:hAnsi="Traditional Arabic" w:cs="Traditional Arabic"/>
          <w:rtl/>
        </w:rPr>
        <w:t>ودور الموارد التنظيمية المثبِّطة للإجهاد</w:t>
      </w:r>
      <w:r w:rsidRPr="00BC27A4">
        <w:rPr>
          <w:rFonts w:ascii="Traditional Arabic" w:hAnsi="Traditional Arabic" w:cs="Traditional Arabic"/>
        </w:rPr>
        <w:t xml:space="preserve"> (</w:t>
      </w:r>
      <w:r w:rsidRPr="00BC27A4">
        <w:rPr>
          <w:rFonts w:ascii="Traditional Arabic" w:hAnsi="Traditional Arabic" w:cs="Traditional Arabic"/>
          <w:rtl/>
        </w:rPr>
        <w:t>س3؛</w:t>
      </w:r>
      <w:r w:rsidRPr="00BC27A4">
        <w:rPr>
          <w:rFonts w:ascii="Traditional Arabic" w:hAnsi="Traditional Arabic" w:cs="Traditional Arabic"/>
        </w:rPr>
        <w:t xml:space="preserve"> H2)</w:t>
      </w:r>
      <w:r w:rsidRPr="00BC27A4">
        <w:rPr>
          <w:rFonts w:ascii="Traditional Arabic" w:hAnsi="Traditional Arabic" w:cs="Traditional Arabic"/>
          <w:rtl/>
        </w:rPr>
        <w:t>، مع الإشارة إلى أن الانتقال من دليل نوعي إلى اختبار كمي لمسارات</w:t>
      </w:r>
      <w:r w:rsidRPr="00BC27A4">
        <w:rPr>
          <w:rFonts w:ascii="Traditional Arabic" w:hAnsi="Traditional Arabic" w:cs="Traditional Arabic"/>
        </w:rPr>
        <w:t xml:space="preserve"> H1–H4 </w:t>
      </w:r>
      <w:r w:rsidRPr="00BC27A4">
        <w:rPr>
          <w:rFonts w:ascii="Traditional Arabic" w:hAnsi="Traditional Arabic" w:cs="Traditional Arabic"/>
          <w:rtl/>
        </w:rPr>
        <w:t>يمثل إضافة منهجية تستهدفها الدراسة الحالية</w:t>
      </w:r>
      <w:r w:rsidRPr="00BC27A4">
        <w:rPr>
          <w:rFonts w:ascii="Traditional Arabic" w:hAnsi="Traditional Arabic" w:cs="Traditional Arabic"/>
        </w:rPr>
        <w:t>.</w:t>
      </w:r>
    </w:p>
    <w:p w14:paraId="4067A3DC" w14:textId="67BDC148"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توليف نقدي لمحور التحول الرقمي المؤسسي وربطه بـ</w:t>
      </w:r>
      <w:r w:rsidRPr="00BC27A4">
        <w:rPr>
          <w:rFonts w:ascii="Traditional Arabic" w:hAnsi="Traditional Arabic" w:cs="Traditional Arabic"/>
        </w:rPr>
        <w:t xml:space="preserve">H1 </w:t>
      </w:r>
      <w:r w:rsidRPr="00BC27A4">
        <w:rPr>
          <w:rFonts w:ascii="Traditional Arabic" w:hAnsi="Traditional Arabic" w:cs="Traditional Arabic"/>
          <w:rtl/>
        </w:rPr>
        <w:t>وس2</w:t>
      </w:r>
      <w:r w:rsidRPr="00BC27A4">
        <w:rPr>
          <w:rFonts w:ascii="Traditional Arabic" w:hAnsi="Traditional Arabic" w:cs="Traditional Arabic"/>
        </w:rPr>
        <w:br/>
      </w:r>
      <w:r w:rsidRPr="00BC27A4">
        <w:rPr>
          <w:rFonts w:ascii="Traditional Arabic" w:hAnsi="Traditional Arabic" w:cs="Traditional Arabic"/>
          <w:rtl/>
        </w:rPr>
        <w:t xml:space="preserve">تتسق نتائج الدراسات في أن التحول الرقمي يرتبط بنتائج أكثر إيجابية على الموظفين عندما يصاحبه تمكين تنظيمي (التدريب والدعم وإدارة </w:t>
      </w:r>
      <w:proofErr w:type="gramStart"/>
      <w:r w:rsidRPr="00BC27A4">
        <w:rPr>
          <w:rFonts w:ascii="Traditional Arabic" w:hAnsi="Traditional Arabic" w:cs="Traditional Arabic"/>
          <w:rtl/>
        </w:rPr>
        <w:t>التغيير</w:t>
      </w:r>
      <w:r w:rsidR="00606ECD">
        <w:rPr>
          <w:rFonts w:ascii="Traditional Arabic" w:hAnsi="Traditional Arabic" w:cs="Traditional Arabic" w:hint="cs"/>
          <w:rtl/>
        </w:rPr>
        <w:t>(</w:t>
      </w:r>
      <w:proofErr w:type="spellStart"/>
      <w:proofErr w:type="gramEnd"/>
      <w:r w:rsidRPr="00BC27A4">
        <w:rPr>
          <w:rFonts w:ascii="Traditional Arabic" w:hAnsi="Traditional Arabic" w:cs="Traditional Arabic"/>
        </w:rPr>
        <w:t>Shibeika</w:t>
      </w:r>
      <w:proofErr w:type="spellEnd"/>
      <w:r w:rsidRPr="00BC27A4">
        <w:rPr>
          <w:rFonts w:ascii="Traditional Arabic" w:hAnsi="Traditional Arabic" w:cs="Traditional Arabic"/>
        </w:rPr>
        <w:t xml:space="preserve"> et al., 2025</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Tzavella</w:t>
      </w:r>
      <w:proofErr w:type="spellEnd"/>
      <w:r w:rsidRPr="00BC27A4">
        <w:rPr>
          <w:rFonts w:ascii="Traditional Arabic" w:hAnsi="Traditional Arabic" w:cs="Traditional Arabic"/>
        </w:rPr>
        <w:t xml:space="preserve"> et al., 2025</w:t>
      </w:r>
      <w:r w:rsidRPr="00BC27A4">
        <w:rPr>
          <w:rFonts w:ascii="Traditional Arabic" w:hAnsi="Traditional Arabic" w:cs="Traditional Arabic"/>
          <w:rtl/>
        </w:rPr>
        <w:t>؛</w:t>
      </w:r>
      <w:r w:rsidR="00606ECD">
        <w:rPr>
          <w:rFonts w:ascii="Traditional Arabic" w:hAnsi="Traditional Arabic" w:cs="Traditional Arabic"/>
        </w:rPr>
        <w:t xml:space="preserve"> (</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Kadi</w:t>
      </w:r>
      <w:proofErr w:type="spellEnd"/>
      <w:r w:rsidRPr="00BC27A4">
        <w:rPr>
          <w:rFonts w:ascii="Traditional Arabic" w:hAnsi="Traditional Arabic" w:cs="Traditional Arabic"/>
        </w:rPr>
        <w:t xml:space="preserve">, 2024 </w:t>
      </w:r>
      <w:r w:rsidRPr="00BC27A4">
        <w:rPr>
          <w:rFonts w:ascii="Traditional Arabic" w:hAnsi="Traditional Arabic" w:cs="Traditional Arabic"/>
          <w:rtl/>
        </w:rPr>
        <w:t>وتظهر نتائج متباينة في قوة الأثر واتجاهه حين تختلف طبيعة القطاع أو طريقة تشغيل التحول أو المتغير التابع</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Khuc</w:t>
      </w:r>
      <w:proofErr w:type="spellEnd"/>
      <w:r w:rsidRPr="00BC27A4">
        <w:rPr>
          <w:rFonts w:ascii="Traditional Arabic" w:hAnsi="Traditional Arabic" w:cs="Traditional Arabic"/>
        </w:rPr>
        <w:t xml:space="preserve"> &amp; Nguyen, 2025). </w:t>
      </w:r>
      <w:r w:rsidRPr="00BC27A4">
        <w:rPr>
          <w:rFonts w:ascii="Traditional Arabic" w:hAnsi="Traditional Arabic" w:cs="Traditional Arabic"/>
          <w:rtl/>
        </w:rPr>
        <w:t>كما تتكرر حدود منهجية: تركّز على سياقات محددة، وتباين أدوات القياس، وعدم اختبار آليات وسيطة متوازية. وبناءً عليه، يصبح اختبار أثر أبعاد</w:t>
      </w:r>
      <w:r w:rsidRPr="00BC27A4">
        <w:rPr>
          <w:rFonts w:ascii="Traditional Arabic" w:hAnsi="Traditional Arabic" w:cs="Traditional Arabic"/>
        </w:rPr>
        <w:t xml:space="preserve"> DTD </w:t>
      </w:r>
      <w:r w:rsidRPr="00BC27A4">
        <w:rPr>
          <w:rFonts w:ascii="Traditional Arabic" w:hAnsi="Traditional Arabic" w:cs="Traditional Arabic"/>
          <w:rtl/>
        </w:rPr>
        <w:t>الأربعة على الرضا الوظيفي مباشرة</w:t>
      </w:r>
      <w:r w:rsidRPr="00BC27A4">
        <w:rPr>
          <w:rFonts w:ascii="Traditional Arabic" w:hAnsi="Traditional Arabic" w:cs="Traditional Arabic"/>
        </w:rPr>
        <w:t xml:space="preserve"> (H1a–H1d) </w:t>
      </w:r>
      <w:r w:rsidRPr="00BC27A4">
        <w:rPr>
          <w:rFonts w:ascii="Traditional Arabic" w:hAnsi="Traditional Arabic" w:cs="Traditional Arabic"/>
          <w:rtl/>
        </w:rPr>
        <w:t>وفي سياق وزارة سعودية محددة (س2) مساهمة تطبيقية/سياقية واضحة، مع اختبار الوساطة لتفسير الآليات (س3</w:t>
      </w:r>
      <w:r w:rsidR="00606ECD">
        <w:rPr>
          <w:rFonts w:ascii="Traditional Arabic" w:hAnsi="Traditional Arabic" w:cs="Traditional Arabic" w:hint="cs"/>
          <w:rtl/>
        </w:rPr>
        <w:t>).</w:t>
      </w:r>
    </w:p>
    <w:p w14:paraId="6305F9EC" w14:textId="698EDDD5"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2.2.2 </w:t>
      </w:r>
      <w:r w:rsidRPr="00BC27A4">
        <w:rPr>
          <w:rFonts w:ascii="Traditional Arabic" w:hAnsi="Traditional Arabic" w:cs="Traditional Arabic"/>
          <w:b/>
          <w:bCs/>
          <w:rtl/>
        </w:rPr>
        <w:t>دراسات قبول التقنية</w:t>
      </w:r>
      <w:r w:rsidRPr="00BC27A4">
        <w:rPr>
          <w:rFonts w:ascii="Traditional Arabic" w:hAnsi="Traditional Arabic" w:cs="Traditional Arabic"/>
          <w:b/>
          <w:bCs/>
        </w:rPr>
        <w:t xml:space="preserve"> (TAM)</w:t>
      </w:r>
      <w:r>
        <w:rPr>
          <w:rFonts w:ascii="Traditional Arabic" w:hAnsi="Traditional Arabic" w:cs="Traditional Arabic"/>
          <w:b/>
          <w:bCs/>
        </w:rPr>
        <w:t xml:space="preserve"> </w:t>
      </w:r>
      <w:r w:rsidRPr="00BC27A4">
        <w:rPr>
          <w:rFonts w:ascii="Traditional Arabic" w:hAnsi="Traditional Arabic" w:cs="Traditional Arabic"/>
        </w:rPr>
        <w:br/>
      </w: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Badawy</w:t>
      </w:r>
      <w:proofErr w:type="spellEnd"/>
      <w:r w:rsidRPr="00BC27A4">
        <w:rPr>
          <w:rFonts w:ascii="Traditional Arabic" w:hAnsi="Traditional Arabic" w:cs="Traditional Arabic"/>
        </w:rPr>
        <w:t xml:space="preserve">,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Effect of Perceived Ease of Use and Usefulness of HRIS on Employee Satisfaction and Engagement in Real Estate and Construction Sector in Egypt</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w:t>
      </w:r>
      <w:r w:rsidRPr="00BC27A4">
        <w:rPr>
          <w:rFonts w:ascii="Traditional Arabic" w:hAnsi="Traditional Arabic" w:cs="Traditional Arabic"/>
        </w:rPr>
        <w:t xml:space="preserve"> PU </w:t>
      </w:r>
      <w:r w:rsidRPr="00BC27A4">
        <w:rPr>
          <w:rFonts w:ascii="Traditional Arabic" w:hAnsi="Traditional Arabic" w:cs="Traditional Arabic"/>
          <w:rtl/>
        </w:rPr>
        <w:t>و</w:t>
      </w:r>
      <w:r w:rsidR="00606ECD">
        <w:rPr>
          <w:rFonts w:ascii="Traditional Arabic" w:hAnsi="Traditional Arabic" w:cs="Traditional Arabic"/>
        </w:rPr>
        <w:t xml:space="preserve"> </w:t>
      </w:r>
      <w:r w:rsidRPr="00BC27A4">
        <w:rPr>
          <w:rFonts w:ascii="Traditional Arabic" w:hAnsi="Traditional Arabic" w:cs="Traditional Arabic"/>
        </w:rPr>
        <w:t xml:space="preserve">PEOU </w:t>
      </w:r>
      <w:r w:rsidRPr="00BC27A4">
        <w:rPr>
          <w:rFonts w:ascii="Traditional Arabic" w:hAnsi="Traditional Arabic" w:cs="Traditional Arabic"/>
          <w:rtl/>
        </w:rPr>
        <w:t>لنظم معلومات الموارد البشرية على رضا الموظفين؛ (2) اختبار أثرهما على اندماج الموظفين. بلغ حجم العينة 384. واستُخدم منهج كمي عبر استبانة. وأظهرت النتائج: (1) أثرًا إيجابيًا دالًا لـ</w:t>
      </w:r>
      <w:r w:rsidRPr="00BC27A4">
        <w:rPr>
          <w:rFonts w:ascii="Traditional Arabic" w:hAnsi="Traditional Arabic" w:cs="Traditional Arabic"/>
        </w:rPr>
        <w:t xml:space="preserve">PU </w:t>
      </w:r>
      <w:r w:rsidRPr="00BC27A4">
        <w:rPr>
          <w:rFonts w:ascii="Traditional Arabic" w:hAnsi="Traditional Arabic" w:cs="Traditional Arabic"/>
          <w:rtl/>
        </w:rPr>
        <w:lastRenderedPageBreak/>
        <w:t>و</w:t>
      </w:r>
      <w:proofErr w:type="gramStart"/>
      <w:r w:rsidRPr="00BC27A4">
        <w:rPr>
          <w:rFonts w:ascii="Traditional Arabic" w:hAnsi="Traditional Arabic" w:cs="Traditional Arabic"/>
        </w:rPr>
        <w:t xml:space="preserve">PEOU </w:t>
      </w:r>
      <w:r w:rsidR="00606ECD">
        <w:rPr>
          <w:rFonts w:ascii="Traditional Arabic" w:hAnsi="Traditional Arabic" w:cs="Traditional Arabic" w:hint="cs"/>
          <w:rtl/>
        </w:rPr>
        <w:t xml:space="preserve"> </w:t>
      </w:r>
      <w:r w:rsidRPr="00BC27A4">
        <w:rPr>
          <w:rFonts w:ascii="Traditional Arabic" w:hAnsi="Traditional Arabic" w:cs="Traditional Arabic"/>
          <w:rtl/>
        </w:rPr>
        <w:t>على</w:t>
      </w:r>
      <w:proofErr w:type="gramEnd"/>
      <w:r w:rsidRPr="00BC27A4">
        <w:rPr>
          <w:rFonts w:ascii="Traditional Arabic" w:hAnsi="Traditional Arabic" w:cs="Traditional Arabic"/>
          <w:rtl/>
        </w:rPr>
        <w:t xml:space="preserve"> رضا الموظفين؛ (2) أثرًا إيجابيًا دالًا لهما على الاندماج</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فرضيات</w:t>
      </w:r>
      <w:r w:rsidRPr="00BC27A4">
        <w:rPr>
          <w:rFonts w:ascii="Traditional Arabic" w:hAnsi="Traditional Arabic" w:cs="Traditional Arabic"/>
        </w:rPr>
        <w:t xml:space="preserve"> (H3c–H3d) </w:t>
      </w:r>
      <w:r w:rsidRPr="00BC27A4">
        <w:rPr>
          <w:rFonts w:ascii="Traditional Arabic" w:hAnsi="Traditional Arabic" w:cs="Traditional Arabic"/>
          <w:rtl/>
        </w:rPr>
        <w:t xml:space="preserve">من حيث اتجاه العلاقة، لكنها تُظهر حدًا </w:t>
      </w:r>
      <w:proofErr w:type="spellStart"/>
      <w:r w:rsidRPr="00BC27A4">
        <w:rPr>
          <w:rFonts w:ascii="Traditional Arabic" w:hAnsi="Traditional Arabic" w:cs="Traditional Arabic"/>
          <w:rtl/>
        </w:rPr>
        <w:t>سياقيًا</w:t>
      </w:r>
      <w:proofErr w:type="spellEnd"/>
      <w:r w:rsidR="00606ECD">
        <w:rPr>
          <w:rFonts w:ascii="Traditional Arabic" w:hAnsi="Traditional Arabic" w:cs="Traditional Arabic"/>
        </w:rPr>
        <w:t>)</w:t>
      </w:r>
      <w:r w:rsidRPr="00BC27A4">
        <w:rPr>
          <w:rFonts w:ascii="Traditional Arabic" w:hAnsi="Traditional Arabic" w:cs="Traditional Arabic"/>
          <w:rtl/>
        </w:rPr>
        <w:t>قطاع خاص/دولة مختلفة/نظام</w:t>
      </w:r>
      <w:r w:rsidRPr="00BC27A4">
        <w:rPr>
          <w:rFonts w:ascii="Traditional Arabic" w:hAnsi="Traditional Arabic" w:cs="Traditional Arabic"/>
        </w:rPr>
        <w:t xml:space="preserve"> </w:t>
      </w:r>
      <w:r w:rsidR="00606ECD">
        <w:rPr>
          <w:rFonts w:ascii="Traditional Arabic" w:hAnsi="Traditional Arabic" w:cs="Traditional Arabic"/>
        </w:rPr>
        <w:t>.(</w:t>
      </w:r>
      <w:r w:rsidRPr="00BC27A4">
        <w:rPr>
          <w:rFonts w:ascii="Traditional Arabic" w:hAnsi="Traditional Arabic" w:cs="Traditional Arabic"/>
        </w:rPr>
        <w:t xml:space="preserve">HRIS </w:t>
      </w:r>
      <w:r w:rsidRPr="00BC27A4">
        <w:rPr>
          <w:rFonts w:ascii="Traditional Arabic" w:hAnsi="Traditional Arabic" w:cs="Traditional Arabic"/>
          <w:rtl/>
        </w:rPr>
        <w:t>وبناء عليه يتعين اختبار الآلية نفسها داخل الوزارة مع أبعاد التحول المؤسسي</w:t>
      </w:r>
      <w:r w:rsidRPr="00BC27A4">
        <w:rPr>
          <w:rFonts w:ascii="Traditional Arabic" w:hAnsi="Traditional Arabic" w:cs="Traditional Arabic"/>
        </w:rPr>
        <w:t xml:space="preserve"> H3a–H3f</w:t>
      </w:r>
      <w:r w:rsidR="00606ECD">
        <w:rPr>
          <w:rFonts w:ascii="Traditional Arabic" w:hAnsi="Traditional Arabic" w:cs="Traditional Arabic"/>
        </w:rPr>
        <w:t xml:space="preserve">) </w:t>
      </w:r>
      <w:r w:rsidRPr="00BC27A4">
        <w:rPr>
          <w:rFonts w:ascii="Traditional Arabic" w:hAnsi="Traditional Arabic" w:cs="Traditional Arabic"/>
          <w:rtl/>
        </w:rPr>
        <w:t>؛ س3</w:t>
      </w:r>
      <w:r w:rsidR="00606ECD">
        <w:rPr>
          <w:rFonts w:ascii="Traditional Arabic" w:hAnsi="Traditional Arabic" w:cs="Traditional Arabic" w:hint="cs"/>
          <w:rtl/>
        </w:rPr>
        <w:t>).</w:t>
      </w:r>
    </w:p>
    <w:p w14:paraId="7751CC1D" w14:textId="23B2BE9E"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Mutambik</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Almuqrin</w:t>
      </w:r>
      <w:proofErr w:type="spellEnd"/>
      <w:r w:rsidRPr="00BC27A4">
        <w:rPr>
          <w:rFonts w:ascii="Traditional Arabic" w:hAnsi="Traditional Arabic" w:cs="Traditional Arabic"/>
        </w:rPr>
        <w:t xml:space="preserve">, 2024)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Employee Acceptance of Digital Transformation: A Study in a Smart City Context</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تحديد محددات قبول الموظفين للتحول الرقمي؛ (2) اختبار نموذج يقيس أثر دعم الإدارة والمنافع المتصورة وتعقيد العمليات والجمود على نية القبول. بلغ حجم العينة 1180 موظفًا داخل سياق سعودي. وأظهرت النتائج: (1) ارتباط دعم الإدارة والمنافع المتصورة إيجابًا بنية القبول؛ (2) ارتباط الجمود وتعقيد العمليات سلبًا بنية القبول</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تتسق النتائج مع منطق أن عوامل تنظيمية (الدعم) وهيكلية (تعقيد العمليات) تشكل إدراكات القبول، ما يسند تفسير انتقال</w:t>
      </w:r>
      <w:r w:rsidRPr="00BC27A4">
        <w:rPr>
          <w:rFonts w:ascii="Traditional Arabic" w:hAnsi="Traditional Arabic" w:cs="Traditional Arabic"/>
        </w:rPr>
        <w:t xml:space="preserve"> DTD3/DTD4 </w:t>
      </w:r>
      <w:r w:rsidRPr="00BC27A4">
        <w:rPr>
          <w:rFonts w:ascii="Traditional Arabic" w:hAnsi="Traditional Arabic" w:cs="Traditional Arabic"/>
          <w:rtl/>
        </w:rPr>
        <w:t>إلى</w:t>
      </w:r>
      <w:r w:rsidRPr="00BC27A4">
        <w:rPr>
          <w:rFonts w:ascii="Traditional Arabic" w:hAnsi="Traditional Arabic" w:cs="Traditional Arabic"/>
        </w:rPr>
        <w:t xml:space="preserve"> PU/PEOU (H3a–H3b). </w:t>
      </w:r>
      <w:r w:rsidRPr="00BC27A4">
        <w:rPr>
          <w:rFonts w:ascii="Traditional Arabic" w:hAnsi="Traditional Arabic" w:cs="Traditional Arabic"/>
          <w:rtl/>
        </w:rPr>
        <w:t>كما تدعم النتائج إدراج السياق السعودي بوصفه سياقًا قابلًا للاختبار مع اختلاف جهة التطبيق (مدينة ذكية مقابل وزارة)</w:t>
      </w:r>
      <w:r w:rsidRPr="00BC27A4">
        <w:rPr>
          <w:rFonts w:ascii="Traditional Arabic" w:hAnsi="Traditional Arabic" w:cs="Traditional Arabic"/>
        </w:rPr>
        <w:t>.</w:t>
      </w:r>
    </w:p>
    <w:p w14:paraId="18107EA1" w14:textId="28E11EA1"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(Jo &amp; Park, 2023)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Mechanisms for successful management of enterprise resource planning from user information processing and system quality perspective</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دمج</w:t>
      </w:r>
      <w:r w:rsidRPr="00BC27A4">
        <w:rPr>
          <w:rFonts w:ascii="Traditional Arabic" w:hAnsi="Traditional Arabic" w:cs="Traditional Arabic"/>
        </w:rPr>
        <w:t xml:space="preserve"> TAM </w:t>
      </w:r>
      <w:r w:rsidRPr="00BC27A4">
        <w:rPr>
          <w:rFonts w:ascii="Traditional Arabic" w:hAnsi="Traditional Arabic" w:cs="Traditional Arabic"/>
          <w:rtl/>
        </w:rPr>
        <w:t>مع نموذج نجاح نظم المعلومات وعامل المشاركة لتفسير رضا المستخدم بعد تطبيق</w:t>
      </w:r>
      <w:r w:rsidRPr="00BC27A4">
        <w:rPr>
          <w:rFonts w:ascii="Traditional Arabic" w:hAnsi="Traditional Arabic" w:cs="Traditional Arabic"/>
        </w:rPr>
        <w:t xml:space="preserve"> ERP</w:t>
      </w:r>
      <w:r w:rsidRPr="00BC27A4">
        <w:rPr>
          <w:rFonts w:ascii="Traditional Arabic" w:hAnsi="Traditional Arabic" w:cs="Traditional Arabic"/>
          <w:rtl/>
        </w:rPr>
        <w:t>؛ (2) اختبار الدور التعديلي لمشاركة المستخدم. بلغ حجم العينة 234 مستخدمًا. وأظهرت النتائج: (1) أثرًا إيجابيًا لـ</w:t>
      </w:r>
      <w:proofErr w:type="gramStart"/>
      <w:r w:rsidRPr="00BC27A4">
        <w:rPr>
          <w:rFonts w:ascii="Traditional Arabic" w:hAnsi="Traditional Arabic" w:cs="Traditional Arabic"/>
        </w:rPr>
        <w:t xml:space="preserve">PEOU </w:t>
      </w:r>
      <w:r w:rsidR="00606ECD">
        <w:rPr>
          <w:rFonts w:ascii="Traditional Arabic" w:hAnsi="Traditional Arabic" w:cs="Traditional Arabic" w:hint="cs"/>
          <w:rtl/>
        </w:rPr>
        <w:t xml:space="preserve"> </w:t>
      </w:r>
      <w:r w:rsidRPr="00BC27A4">
        <w:rPr>
          <w:rFonts w:ascii="Traditional Arabic" w:hAnsi="Traditional Arabic" w:cs="Traditional Arabic"/>
          <w:rtl/>
        </w:rPr>
        <w:t>وجودة</w:t>
      </w:r>
      <w:proofErr w:type="gramEnd"/>
      <w:r w:rsidRPr="00BC27A4">
        <w:rPr>
          <w:rFonts w:ascii="Traditional Arabic" w:hAnsi="Traditional Arabic" w:cs="Traditional Arabic"/>
          <w:rtl/>
        </w:rPr>
        <w:t xml:space="preserve"> النظام وجودة الخدمة والمشاركة على رضا المستخدم؛ (2) عدم دلالة أثر</w:t>
      </w:r>
      <w:r w:rsidRPr="00BC27A4">
        <w:rPr>
          <w:rFonts w:ascii="Traditional Arabic" w:hAnsi="Traditional Arabic" w:cs="Traditional Arabic"/>
        </w:rPr>
        <w:t xml:space="preserve"> PU </w:t>
      </w:r>
      <w:r w:rsidRPr="00BC27A4">
        <w:rPr>
          <w:rFonts w:ascii="Traditional Arabic" w:hAnsi="Traditional Arabic" w:cs="Traditional Arabic"/>
          <w:rtl/>
        </w:rPr>
        <w:t>على الرضا في السياق المدروس؛ (3) تعديل مشاركة المستخدم لبعض المسارات</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تُظهر الدراسة نتيجة متعارضة جزئيًا بشأن</w:t>
      </w:r>
      <w:r w:rsidRPr="00BC27A4">
        <w:rPr>
          <w:rFonts w:ascii="Traditional Arabic" w:hAnsi="Traditional Arabic" w:cs="Traditional Arabic"/>
        </w:rPr>
        <w:t xml:space="preserve"> PU </w:t>
      </w:r>
      <w:r w:rsidRPr="00BC27A4">
        <w:rPr>
          <w:rFonts w:ascii="Traditional Arabic" w:hAnsi="Traditional Arabic" w:cs="Traditional Arabic"/>
          <w:rtl/>
        </w:rPr>
        <w:t>مقارنة بدراسات أخرى، ما يُفسر باختلاف سياق النظام ونضجه وتوقعات المستخدمين. وتدعم هذه النتيجة الحاجة إلى اختبار</w:t>
      </w:r>
      <w:r w:rsidRPr="00BC27A4">
        <w:rPr>
          <w:rFonts w:ascii="Traditional Arabic" w:hAnsi="Traditional Arabic" w:cs="Traditional Arabic"/>
        </w:rPr>
        <w:t xml:space="preserve"> TAM </w:t>
      </w:r>
      <w:r w:rsidRPr="00BC27A4">
        <w:rPr>
          <w:rFonts w:ascii="Traditional Arabic" w:hAnsi="Traditional Arabic" w:cs="Traditional Arabic"/>
          <w:rtl/>
        </w:rPr>
        <w:t xml:space="preserve">ميدانيًا في الوزارة بدل افتراض دلالة ثابتة </w:t>
      </w:r>
      <w:proofErr w:type="gramStart"/>
      <w:r w:rsidRPr="00BC27A4">
        <w:rPr>
          <w:rFonts w:ascii="Traditional Arabic" w:hAnsi="Traditional Arabic" w:cs="Traditional Arabic"/>
          <w:rtl/>
        </w:rPr>
        <w:t>لـ</w:t>
      </w:r>
      <w:r w:rsidRPr="00BC27A4">
        <w:rPr>
          <w:rFonts w:ascii="Traditional Arabic" w:hAnsi="Traditional Arabic" w:cs="Traditional Arabic"/>
        </w:rPr>
        <w:t>PU</w:t>
      </w:r>
      <w:proofErr w:type="gramEnd"/>
      <w:r w:rsidRPr="00BC27A4">
        <w:rPr>
          <w:rFonts w:ascii="Traditional Arabic" w:hAnsi="Traditional Arabic" w:cs="Traditional Arabic"/>
          <w:rtl/>
        </w:rPr>
        <w:t>، وتدعم أيضًا إدراج عناصر تنظيمية (مثل المشاركة/التدريب) في تفسير القبول</w:t>
      </w:r>
      <w:r w:rsidRPr="00BC27A4">
        <w:rPr>
          <w:rFonts w:ascii="Traditional Arabic" w:hAnsi="Traditional Arabic" w:cs="Traditional Arabic"/>
        </w:rPr>
        <w:t>.</w:t>
      </w:r>
    </w:p>
    <w:p w14:paraId="4BD6B756" w14:textId="18848B5F"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توليف نقدي لمحور</w:t>
      </w:r>
      <w:r w:rsidRPr="00BC27A4">
        <w:rPr>
          <w:rFonts w:ascii="Traditional Arabic" w:hAnsi="Traditional Arabic" w:cs="Traditional Arabic"/>
        </w:rPr>
        <w:t xml:space="preserve"> TAM </w:t>
      </w:r>
      <w:r w:rsidRPr="00BC27A4">
        <w:rPr>
          <w:rFonts w:ascii="Traditional Arabic" w:hAnsi="Traditional Arabic" w:cs="Traditional Arabic"/>
          <w:rtl/>
        </w:rPr>
        <w:t>وربطه بـ</w:t>
      </w:r>
      <w:r w:rsidR="00606ECD">
        <w:rPr>
          <w:rFonts w:ascii="Traditional Arabic" w:hAnsi="Traditional Arabic" w:cs="Traditional Arabic"/>
        </w:rPr>
        <w:t xml:space="preserve"> </w:t>
      </w:r>
      <w:r w:rsidRPr="00BC27A4">
        <w:rPr>
          <w:rFonts w:ascii="Traditional Arabic" w:hAnsi="Traditional Arabic" w:cs="Traditional Arabic"/>
        </w:rPr>
        <w:t xml:space="preserve">H3 </w:t>
      </w:r>
      <w:r w:rsidRPr="00BC27A4">
        <w:rPr>
          <w:rFonts w:ascii="Traditional Arabic" w:hAnsi="Traditional Arabic" w:cs="Traditional Arabic"/>
          <w:rtl/>
        </w:rPr>
        <w:t>وس3</w:t>
      </w:r>
      <w:r w:rsidRPr="00BC27A4">
        <w:rPr>
          <w:rFonts w:ascii="Traditional Arabic" w:hAnsi="Traditional Arabic" w:cs="Traditional Arabic"/>
        </w:rPr>
        <w:br/>
      </w:r>
      <w:r w:rsidRPr="00BC27A4">
        <w:rPr>
          <w:rFonts w:ascii="Traditional Arabic" w:hAnsi="Traditional Arabic" w:cs="Traditional Arabic"/>
          <w:rtl/>
        </w:rPr>
        <w:t>تتسق الأدلة في أن القبول لا يتحدد بخصائص تقنية مجردة، بل يتشكل بوضوح عبر عوامل تنظيمية (الدعم، جودة الخدمة، المشاركة) وعبر خصائص العملية (تعقيدها)</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Mutambik</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Almuqrin</w:t>
      </w:r>
      <w:proofErr w:type="spellEnd"/>
      <w:r w:rsidRPr="00BC27A4">
        <w:rPr>
          <w:rFonts w:ascii="Traditional Arabic" w:hAnsi="Traditional Arabic" w:cs="Traditional Arabic"/>
        </w:rPr>
        <w:t>, 2024</w:t>
      </w:r>
      <w:proofErr w:type="gramStart"/>
      <w:r w:rsidR="00606ECD">
        <w:rPr>
          <w:rFonts w:ascii="Traditional Arabic" w:hAnsi="Traditional Arabic" w:cs="Traditional Arabic"/>
        </w:rPr>
        <w:t xml:space="preserve">) </w:t>
      </w:r>
      <w:r w:rsidRPr="00BC27A4">
        <w:rPr>
          <w:rFonts w:ascii="Traditional Arabic" w:hAnsi="Traditional Arabic" w:cs="Traditional Arabic"/>
          <w:rtl/>
        </w:rPr>
        <w:t>؛</w:t>
      </w:r>
      <w:proofErr w:type="gramEnd"/>
      <w:r w:rsidR="00606ECD">
        <w:rPr>
          <w:rFonts w:ascii="Traditional Arabic" w:hAnsi="Traditional Arabic" w:cs="Traditional Arabic"/>
        </w:rPr>
        <w:t xml:space="preserve">. </w:t>
      </w:r>
      <w:proofErr w:type="gramStart"/>
      <w:r w:rsidR="00606ECD">
        <w:rPr>
          <w:rFonts w:ascii="Traditional Arabic" w:hAnsi="Traditional Arabic" w:cs="Traditional Arabic"/>
        </w:rPr>
        <w:t>(</w:t>
      </w:r>
      <w:r w:rsidRPr="00BC27A4">
        <w:rPr>
          <w:rFonts w:ascii="Traditional Arabic" w:hAnsi="Traditional Arabic" w:cs="Traditional Arabic"/>
        </w:rPr>
        <w:t xml:space="preserve"> Jo</w:t>
      </w:r>
      <w:proofErr w:type="gramEnd"/>
      <w:r w:rsidRPr="00BC27A4">
        <w:rPr>
          <w:rFonts w:ascii="Traditional Arabic" w:hAnsi="Traditional Arabic" w:cs="Traditional Arabic"/>
        </w:rPr>
        <w:t xml:space="preserve"> &amp; Park, 2023 </w:t>
      </w:r>
      <w:r w:rsidRPr="00BC27A4">
        <w:rPr>
          <w:rFonts w:ascii="Traditional Arabic" w:hAnsi="Traditional Arabic" w:cs="Traditional Arabic"/>
          <w:rtl/>
        </w:rPr>
        <w:lastRenderedPageBreak/>
        <w:t>وتظهر نتائج متعارضة جزئيًا حول</w:t>
      </w:r>
      <w:r w:rsidRPr="00BC27A4">
        <w:rPr>
          <w:rFonts w:ascii="Traditional Arabic" w:hAnsi="Traditional Arabic" w:cs="Traditional Arabic"/>
        </w:rPr>
        <w:t xml:space="preserve"> PU</w:t>
      </w:r>
      <w:r w:rsidRPr="00BC27A4">
        <w:rPr>
          <w:rFonts w:ascii="Traditional Arabic" w:hAnsi="Traditional Arabic" w:cs="Traditional Arabic"/>
          <w:rtl/>
        </w:rPr>
        <w:t>، بما يدفع إلى تفسير دور السياق ونضج النظام والمهنة. ومن ثم تُسند فرضيات الدراسة</w:t>
      </w:r>
      <w:r w:rsidRPr="00BC27A4">
        <w:rPr>
          <w:rFonts w:ascii="Traditional Arabic" w:hAnsi="Traditional Arabic" w:cs="Traditional Arabic"/>
        </w:rPr>
        <w:t xml:space="preserve"> (H3a–H3f) </w:t>
      </w:r>
      <w:r w:rsidRPr="00BC27A4">
        <w:rPr>
          <w:rFonts w:ascii="Traditional Arabic" w:hAnsi="Traditional Arabic" w:cs="Traditional Arabic"/>
          <w:rtl/>
        </w:rPr>
        <w:t>وسؤال (س3) عبر اختبار كيف ينعكس</w:t>
      </w:r>
      <w:r w:rsidRPr="00BC27A4">
        <w:rPr>
          <w:rFonts w:ascii="Traditional Arabic" w:hAnsi="Traditional Arabic" w:cs="Traditional Arabic"/>
        </w:rPr>
        <w:t xml:space="preserve"> DTD – </w:t>
      </w:r>
      <w:r w:rsidRPr="00BC27A4">
        <w:rPr>
          <w:rFonts w:ascii="Traditional Arabic" w:hAnsi="Traditional Arabic" w:cs="Traditional Arabic"/>
          <w:rtl/>
        </w:rPr>
        <w:t>بأبعاده – على</w:t>
      </w:r>
      <w:r w:rsidRPr="00BC27A4">
        <w:rPr>
          <w:rFonts w:ascii="Traditional Arabic" w:hAnsi="Traditional Arabic" w:cs="Traditional Arabic"/>
        </w:rPr>
        <w:t xml:space="preserve"> PU/PEOU </w:t>
      </w:r>
      <w:r w:rsidRPr="00BC27A4">
        <w:rPr>
          <w:rFonts w:ascii="Traditional Arabic" w:hAnsi="Traditional Arabic" w:cs="Traditional Arabic"/>
          <w:rtl/>
        </w:rPr>
        <w:t>ثم على الرضا الوظيفي</w:t>
      </w:r>
      <w:r w:rsidRPr="00BC27A4">
        <w:rPr>
          <w:rFonts w:ascii="Traditional Arabic" w:hAnsi="Traditional Arabic" w:cs="Traditional Arabic"/>
        </w:rPr>
        <w:t>.</w:t>
      </w:r>
    </w:p>
    <w:p w14:paraId="074437B6" w14:textId="2DD8E01E"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2.2.3 </w:t>
      </w:r>
      <w:r w:rsidRPr="00BC27A4">
        <w:rPr>
          <w:rFonts w:ascii="Traditional Arabic" w:hAnsi="Traditional Arabic" w:cs="Traditional Arabic"/>
          <w:b/>
          <w:bCs/>
          <w:rtl/>
        </w:rPr>
        <w:t>دراسات الإجهاد التقني</w:t>
      </w:r>
      <w:r w:rsidRPr="00BC27A4">
        <w:rPr>
          <w:rFonts w:ascii="Traditional Arabic" w:hAnsi="Traditional Arabic" w:cs="Traditional Arabic"/>
          <w:b/>
          <w:bCs/>
        </w:rPr>
        <w:t xml:space="preserve"> (Technostress)</w:t>
      </w:r>
      <w:r w:rsidRPr="00BC27A4">
        <w:rPr>
          <w:rFonts w:ascii="Traditional Arabic" w:hAnsi="Traditional Arabic" w:cs="Traditional Arabic"/>
        </w:rPr>
        <w:br/>
      </w:r>
      <w:r w:rsidRPr="00BC27A4">
        <w:rPr>
          <w:rFonts w:ascii="Traditional Arabic" w:hAnsi="Traditional Arabic" w:cs="Traditional Arabic"/>
          <w:rtl/>
        </w:rPr>
        <w:t>دراسة</w:t>
      </w:r>
      <w:r w:rsidRPr="00BC27A4">
        <w:rPr>
          <w:rFonts w:ascii="Traditional Arabic" w:hAnsi="Traditional Arabic" w:cs="Traditional Arabic"/>
        </w:rPr>
        <w:t xml:space="preserve"> (Tu et al.,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Technostress, Burnout, and Job Satisfaction: An Empirical Study of STEM Teachers’ Well-Being and Performance</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فحص صانعات الإجهاد التقني ومثبطاته؛ (2) اختبار الاحتراق وسيطًا بين الإجهاد والرضا الوظيفي. بلغ حجم العينة 378، واستُخدم تحليل</w:t>
      </w:r>
      <w:r w:rsidRPr="00BC27A4">
        <w:rPr>
          <w:rFonts w:ascii="Traditional Arabic" w:hAnsi="Traditional Arabic" w:cs="Traditional Arabic"/>
        </w:rPr>
        <w:t xml:space="preserve"> SEM. </w:t>
      </w:r>
      <w:r w:rsidRPr="00BC27A4">
        <w:rPr>
          <w:rFonts w:ascii="Traditional Arabic" w:hAnsi="Traditional Arabic" w:cs="Traditional Arabic"/>
          <w:rtl/>
        </w:rPr>
        <w:t>وأظهرت النتائج: (1) ارتباط صانعات الإجهاد بارتفاع الاحتراق؛ (2) وساطة الاحتراق في العلاقة مع الرضا؛ (3) دور مثبطات الإجهاد في التخفيف</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منطق</w:t>
      </w:r>
      <w:r w:rsidRPr="00BC27A4">
        <w:rPr>
          <w:rFonts w:ascii="Traditional Arabic" w:hAnsi="Traditional Arabic" w:cs="Traditional Arabic"/>
        </w:rPr>
        <w:t xml:space="preserve"> (H2b) </w:t>
      </w:r>
      <w:r w:rsidRPr="00BC27A4">
        <w:rPr>
          <w:rFonts w:ascii="Traditional Arabic" w:hAnsi="Traditional Arabic" w:cs="Traditional Arabic"/>
          <w:rtl/>
        </w:rPr>
        <w:t>و</w:t>
      </w:r>
      <w:r w:rsidRPr="00BC27A4">
        <w:rPr>
          <w:rFonts w:ascii="Traditional Arabic" w:hAnsi="Traditional Arabic" w:cs="Traditional Arabic"/>
        </w:rPr>
        <w:t xml:space="preserve">(H2c) </w:t>
      </w:r>
      <w:r w:rsidRPr="00BC27A4">
        <w:rPr>
          <w:rFonts w:ascii="Traditional Arabic" w:hAnsi="Traditional Arabic" w:cs="Traditional Arabic"/>
          <w:rtl/>
        </w:rPr>
        <w:t>وتؤكد أن اختبار الوساطة في الدراسة الحالية (س3) يتسق مع اتجاهات حديثة، مع الإقرار بأن طبيعة العمل (تعليم) تختلف عن السياق الحكومي</w:t>
      </w:r>
      <w:r w:rsidRPr="00BC27A4">
        <w:rPr>
          <w:rFonts w:ascii="Traditional Arabic" w:hAnsi="Traditional Arabic" w:cs="Traditional Arabic"/>
        </w:rPr>
        <w:t>.</w:t>
      </w:r>
    </w:p>
    <w:p w14:paraId="5F19EFF2" w14:textId="3B993119"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Alshammary</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Hilmi</w:t>
      </w:r>
      <w:proofErr w:type="spellEnd"/>
      <w:r w:rsidRPr="00BC27A4">
        <w:rPr>
          <w:rFonts w:ascii="Traditional Arabic" w:hAnsi="Traditional Arabic" w:cs="Traditional Arabic"/>
        </w:rPr>
        <w:t xml:space="preserve">, 2024)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Tackling techno-stress: Supervisor support and job clarity as catalysts for employee satisfaction</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صانعات إجهاد تقنية على الرضا الوظيفي؛ (2) اختبار دور دعم المشرف ووضوح الدور كعوامل تخفيف. بلغ حجم العينة 135 في سياق سعودي (مصارف). وأظهرت النتائج: (1) أثرًا سلبيًا دالًا لصانعات الإجهاد على الرضا؛ (2) أثرًا مخففًا للدعم ووضوح الدور</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محليًا منطق</w:t>
      </w:r>
      <w:r w:rsidRPr="00BC27A4">
        <w:rPr>
          <w:rFonts w:ascii="Traditional Arabic" w:hAnsi="Traditional Arabic" w:cs="Traditional Arabic"/>
        </w:rPr>
        <w:t xml:space="preserve"> (H2b) </w:t>
      </w:r>
      <w:r w:rsidRPr="00BC27A4">
        <w:rPr>
          <w:rFonts w:ascii="Traditional Arabic" w:hAnsi="Traditional Arabic" w:cs="Traditional Arabic"/>
          <w:rtl/>
        </w:rPr>
        <w:t>وتؤيد اعتبار الدعم التنظيمي موردًا مثبطًا وهو ما يتقاطع مع</w:t>
      </w:r>
      <w:r w:rsidRPr="00BC27A4">
        <w:rPr>
          <w:rFonts w:ascii="Traditional Arabic" w:hAnsi="Traditional Arabic" w:cs="Traditional Arabic"/>
        </w:rPr>
        <w:t xml:space="preserve"> DTD3.</w:t>
      </w:r>
    </w:p>
    <w:p w14:paraId="011704EA" w14:textId="59336C4E"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(Singh et al., 2022)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Enforced remote working: The impact of digital platform-induced stress and remote working experience on technology exhaustion and subjective wellbeing</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ضغط المنصات الرقمية في إنهاك التقنية والرفاه؛ (2) اختبار دور الخبرة السابقة بالعمل عن بعد في تعديل الأثر. بلغ حجم العينة 306. وأظهرت النتائج: (1) ارتباط ضغوط المنصات بارتفاع إنهاك التقنية؛ (2) تعديل الخبرة لبعض المسارات</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رغم اختلاف المخرجات عن الرضا الوظيفي مباشرة، فإن الدراسة تُظهر أن كثافة المنصات وتداخل حدود العمل/الحياة يمكن أن تكون سابقة لضغوط رقمية، وهو ما يدعم تفسير مسار</w:t>
      </w:r>
      <w:r w:rsidRPr="00BC27A4">
        <w:rPr>
          <w:rFonts w:ascii="Traditional Arabic" w:hAnsi="Traditional Arabic" w:cs="Traditional Arabic"/>
        </w:rPr>
        <w:t xml:space="preserve"> (H2) </w:t>
      </w:r>
      <w:r w:rsidRPr="00BC27A4">
        <w:rPr>
          <w:rFonts w:ascii="Traditional Arabic" w:hAnsi="Traditional Arabic" w:cs="Traditional Arabic"/>
          <w:rtl/>
        </w:rPr>
        <w:t>ويدعم أيضًا منطق الاعتدال الديموغرافي</w:t>
      </w:r>
      <w:r w:rsidRPr="00BC27A4">
        <w:rPr>
          <w:rFonts w:ascii="Traditional Arabic" w:hAnsi="Traditional Arabic" w:cs="Traditional Arabic"/>
        </w:rPr>
        <w:t xml:space="preserve"> (H4) </w:t>
      </w:r>
      <w:r w:rsidRPr="00BC27A4">
        <w:rPr>
          <w:rFonts w:ascii="Traditional Arabic" w:hAnsi="Traditional Arabic" w:cs="Traditional Arabic"/>
          <w:rtl/>
        </w:rPr>
        <w:t>بالاستئناس بدور الخبرة</w:t>
      </w:r>
      <w:r w:rsidRPr="00BC27A4">
        <w:rPr>
          <w:rFonts w:ascii="Traditional Arabic" w:hAnsi="Traditional Arabic" w:cs="Traditional Arabic"/>
        </w:rPr>
        <w:t>.</w:t>
      </w:r>
    </w:p>
    <w:p w14:paraId="6B242AFF" w14:textId="2ADD864C"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lastRenderedPageBreak/>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Aktan</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Toraman</w:t>
      </w:r>
      <w:proofErr w:type="spellEnd"/>
      <w:r w:rsidRPr="00BC27A4">
        <w:rPr>
          <w:rFonts w:ascii="Traditional Arabic" w:hAnsi="Traditional Arabic" w:cs="Traditional Arabic"/>
        </w:rPr>
        <w:t xml:space="preserve">, 2022)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relationship between Technostress levels and job satisfaction of Teachers within the COVID-19 period</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قياس مستوى الإجهاد التقني في التعليم عن بعد؛ (2) فحص علاقته بالرضا الوظيفي وفروق بين فئات. بلغ حجم العينة 525. وأظهرت النتائج مؤشرات على تغاير الإجهاد والرضا بحسب بعض الخصائص</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مبدأ تغاير أثر التقنية بين الفئات، ما يسند اختبار</w:t>
      </w:r>
      <w:r w:rsidRPr="00BC27A4">
        <w:rPr>
          <w:rFonts w:ascii="Traditional Arabic" w:hAnsi="Traditional Arabic" w:cs="Traditional Arabic"/>
        </w:rPr>
        <w:t xml:space="preserve"> H4.</w:t>
      </w:r>
    </w:p>
    <w:p w14:paraId="659255FF" w14:textId="5BF8D776"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(Al-Ansari &amp; </w:t>
      </w:r>
      <w:proofErr w:type="spellStart"/>
      <w:r w:rsidRPr="00BC27A4">
        <w:rPr>
          <w:rFonts w:ascii="Traditional Arabic" w:hAnsi="Traditional Arabic" w:cs="Traditional Arabic"/>
        </w:rPr>
        <w:t>Alshare</w:t>
      </w:r>
      <w:proofErr w:type="spellEnd"/>
      <w:r w:rsidRPr="00BC27A4">
        <w:rPr>
          <w:rFonts w:ascii="Traditional Arabic" w:hAnsi="Traditional Arabic" w:cs="Traditional Arabic"/>
        </w:rPr>
        <w:t xml:space="preserve">, 2019)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impact of technostress components on the employees satisfaction and perceived performance: The case of Qatar</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صانعات ومثبطات الإجهاد التقني على الرضا؛ (2) قياس ارتباط الرضا بمخرجات أخرى. وعُرضت النتائج باتجاه سلبي للصانعات وإيجابي للمثبطات</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تدعم الدراسة بنية</w:t>
      </w:r>
      <w:r w:rsidRPr="00BC27A4">
        <w:rPr>
          <w:rFonts w:ascii="Traditional Arabic" w:hAnsi="Traditional Arabic" w:cs="Traditional Arabic"/>
        </w:rPr>
        <w:t xml:space="preserve"> H2 </w:t>
      </w:r>
      <w:r w:rsidRPr="00BC27A4">
        <w:rPr>
          <w:rFonts w:ascii="Traditional Arabic" w:hAnsi="Traditional Arabic" w:cs="Traditional Arabic"/>
          <w:rtl/>
        </w:rPr>
        <w:t>وتدعم دور الموارد التنظيمية</w:t>
      </w:r>
      <w:r w:rsidRPr="00BC27A4">
        <w:rPr>
          <w:rFonts w:ascii="Traditional Arabic" w:hAnsi="Traditional Arabic" w:cs="Traditional Arabic"/>
        </w:rPr>
        <w:t xml:space="preserve"> </w:t>
      </w:r>
      <w:r w:rsidRPr="00BC27A4">
        <w:rPr>
          <w:rFonts w:ascii="Traditional Arabic" w:hAnsi="Traditional Arabic" w:cs="Traditional Arabic"/>
          <w:rtl/>
        </w:rPr>
        <w:t>يتقاطع مع</w:t>
      </w:r>
      <w:r w:rsidRPr="00BC27A4">
        <w:rPr>
          <w:rFonts w:ascii="Traditional Arabic" w:hAnsi="Traditional Arabic" w:cs="Traditional Arabic"/>
        </w:rPr>
        <w:t xml:space="preserve"> </w:t>
      </w:r>
      <w:r w:rsidR="00606ECD">
        <w:rPr>
          <w:rFonts w:ascii="Traditional Arabic" w:hAnsi="Traditional Arabic" w:cs="Traditional Arabic"/>
        </w:rPr>
        <w:t>(</w:t>
      </w:r>
      <w:r w:rsidRPr="00BC27A4">
        <w:rPr>
          <w:rFonts w:ascii="Traditional Arabic" w:hAnsi="Traditional Arabic" w:cs="Traditional Arabic"/>
        </w:rPr>
        <w:t xml:space="preserve">DTD3) </w:t>
      </w:r>
      <w:r w:rsidRPr="00BC27A4">
        <w:rPr>
          <w:rFonts w:ascii="Traditional Arabic" w:hAnsi="Traditional Arabic" w:cs="Traditional Arabic"/>
          <w:rtl/>
        </w:rPr>
        <w:t xml:space="preserve">مع التنبيه لنقص بعض البيانات المنهجية التفصيلية في النص </w:t>
      </w:r>
      <w:proofErr w:type="gramStart"/>
      <w:r w:rsidRPr="00BC27A4">
        <w:rPr>
          <w:rFonts w:ascii="Traditional Arabic" w:hAnsi="Traditional Arabic" w:cs="Traditional Arabic"/>
          <w:rtl/>
        </w:rPr>
        <w:t xml:space="preserve">المتاح </w:t>
      </w:r>
      <w:r w:rsidR="00606ECD">
        <w:rPr>
          <w:rFonts w:ascii="Traditional Arabic" w:hAnsi="Traditional Arabic" w:cs="Traditional Arabic" w:hint="cs"/>
          <w:rtl/>
        </w:rPr>
        <w:t>.</w:t>
      </w:r>
      <w:proofErr w:type="gramEnd"/>
    </w:p>
    <w:p w14:paraId="39FA0974" w14:textId="61A98397"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توليف نقدي لمحور</w:t>
      </w:r>
      <w:r w:rsidRPr="00BC27A4">
        <w:rPr>
          <w:rFonts w:ascii="Traditional Arabic" w:hAnsi="Traditional Arabic" w:cs="Traditional Arabic"/>
        </w:rPr>
        <w:t xml:space="preserve"> Technostress </w:t>
      </w:r>
      <w:r w:rsidRPr="00BC27A4">
        <w:rPr>
          <w:rFonts w:ascii="Traditional Arabic" w:hAnsi="Traditional Arabic" w:cs="Traditional Arabic"/>
          <w:rtl/>
        </w:rPr>
        <w:t>وربطه بـ</w:t>
      </w:r>
      <w:r w:rsidR="00606ECD">
        <w:rPr>
          <w:rFonts w:ascii="Traditional Arabic" w:hAnsi="Traditional Arabic" w:cs="Traditional Arabic"/>
        </w:rPr>
        <w:t xml:space="preserve"> </w:t>
      </w:r>
      <w:r w:rsidRPr="00BC27A4">
        <w:rPr>
          <w:rFonts w:ascii="Traditional Arabic" w:hAnsi="Traditional Arabic" w:cs="Traditional Arabic"/>
        </w:rPr>
        <w:t xml:space="preserve">H2 </w:t>
      </w:r>
      <w:r w:rsidRPr="00BC27A4">
        <w:rPr>
          <w:rFonts w:ascii="Traditional Arabic" w:hAnsi="Traditional Arabic" w:cs="Traditional Arabic"/>
          <w:rtl/>
        </w:rPr>
        <w:t>وس3</w:t>
      </w:r>
      <w:r w:rsidRPr="00BC27A4">
        <w:rPr>
          <w:rFonts w:ascii="Traditional Arabic" w:hAnsi="Traditional Arabic" w:cs="Traditional Arabic"/>
        </w:rPr>
        <w:br/>
      </w:r>
      <w:r w:rsidRPr="00BC27A4">
        <w:rPr>
          <w:rFonts w:ascii="Traditional Arabic" w:hAnsi="Traditional Arabic" w:cs="Traditional Arabic"/>
          <w:rtl/>
        </w:rPr>
        <w:t>تتسق الأدلة عبر سياقات متعددة في أن الإجهاد التقني يرتبط بمخرجات سلبية وأنه يمكن تخفيفه عبر موارد تنظيمية</w:t>
      </w:r>
      <w:r w:rsidRPr="00BC27A4">
        <w:rPr>
          <w:rFonts w:ascii="Traditional Arabic" w:hAnsi="Traditional Arabic" w:cs="Traditional Arabic"/>
        </w:rPr>
        <w:t xml:space="preserve"> (Tu et al., 2025</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Alshammary</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Hilmi</w:t>
      </w:r>
      <w:proofErr w:type="spellEnd"/>
      <w:r w:rsidRPr="00BC27A4">
        <w:rPr>
          <w:rFonts w:ascii="Traditional Arabic" w:hAnsi="Traditional Arabic" w:cs="Traditional Arabic"/>
        </w:rPr>
        <w:t>, 2024</w:t>
      </w:r>
      <w:r w:rsidRPr="00BC27A4">
        <w:rPr>
          <w:rFonts w:ascii="Traditional Arabic" w:hAnsi="Traditional Arabic" w:cs="Traditional Arabic"/>
          <w:rtl/>
        </w:rPr>
        <w:t>؛</w:t>
      </w:r>
      <w:r w:rsidRPr="00BC27A4">
        <w:rPr>
          <w:rFonts w:ascii="Traditional Arabic" w:hAnsi="Traditional Arabic" w:cs="Traditional Arabic"/>
        </w:rPr>
        <w:t xml:space="preserve"> </w:t>
      </w:r>
      <w:r w:rsidR="00606ECD">
        <w:rPr>
          <w:rFonts w:ascii="Traditional Arabic" w:hAnsi="Traditional Arabic" w:cs="Traditional Arabic"/>
        </w:rPr>
        <w:t>(</w:t>
      </w:r>
      <w:r w:rsidRPr="00BC27A4">
        <w:rPr>
          <w:rFonts w:ascii="Traditional Arabic" w:hAnsi="Traditional Arabic" w:cs="Traditional Arabic"/>
        </w:rPr>
        <w:t xml:space="preserve">Al-Ansari &amp; </w:t>
      </w:r>
      <w:proofErr w:type="spellStart"/>
      <w:r w:rsidRPr="00BC27A4">
        <w:rPr>
          <w:rFonts w:ascii="Traditional Arabic" w:hAnsi="Traditional Arabic" w:cs="Traditional Arabic"/>
        </w:rPr>
        <w:t>Alshare</w:t>
      </w:r>
      <w:proofErr w:type="spellEnd"/>
      <w:r w:rsidRPr="00BC27A4">
        <w:rPr>
          <w:rFonts w:ascii="Traditional Arabic" w:hAnsi="Traditional Arabic" w:cs="Traditional Arabic"/>
        </w:rPr>
        <w:t xml:space="preserve">, 2019 </w:t>
      </w:r>
      <w:r w:rsidRPr="00BC27A4">
        <w:rPr>
          <w:rFonts w:ascii="Traditional Arabic" w:hAnsi="Traditional Arabic" w:cs="Traditional Arabic"/>
          <w:rtl/>
        </w:rPr>
        <w:t>وتظهر حدود الأدلة في اختلاف المهن والسياقات وهيمنة التصاميم المقطعية وتباين أدوات القياس. لذا تُبرر الدراسة الحالية اختبار</w:t>
      </w:r>
      <w:r w:rsidRPr="00BC27A4">
        <w:rPr>
          <w:rFonts w:ascii="Traditional Arabic" w:hAnsi="Traditional Arabic" w:cs="Traditional Arabic"/>
        </w:rPr>
        <w:t xml:space="preserve"> Technostress </w:t>
      </w:r>
      <w:r w:rsidRPr="00BC27A4">
        <w:rPr>
          <w:rFonts w:ascii="Traditional Arabic" w:hAnsi="Traditional Arabic" w:cs="Traditional Arabic"/>
          <w:rtl/>
        </w:rPr>
        <w:t>وسيطًا بين</w:t>
      </w:r>
      <w:r w:rsidRPr="00BC27A4">
        <w:rPr>
          <w:rFonts w:ascii="Traditional Arabic" w:hAnsi="Traditional Arabic" w:cs="Traditional Arabic"/>
        </w:rPr>
        <w:t xml:space="preserve"> DTD </w:t>
      </w:r>
      <w:r w:rsidRPr="00BC27A4">
        <w:rPr>
          <w:rFonts w:ascii="Traditional Arabic" w:hAnsi="Traditional Arabic" w:cs="Traditional Arabic"/>
          <w:rtl/>
        </w:rPr>
        <w:t>والرضا الوظيفي داخل سياق الوزارة</w:t>
      </w:r>
      <w:r w:rsidRPr="00BC27A4">
        <w:rPr>
          <w:rFonts w:ascii="Traditional Arabic" w:hAnsi="Traditional Arabic" w:cs="Traditional Arabic"/>
        </w:rPr>
        <w:t xml:space="preserve"> H2</w:t>
      </w:r>
      <w:r w:rsidRPr="00BC27A4">
        <w:rPr>
          <w:rFonts w:ascii="Traditional Arabic" w:hAnsi="Traditional Arabic" w:cs="Traditional Arabic"/>
          <w:rtl/>
        </w:rPr>
        <w:t xml:space="preserve">؛ </w:t>
      </w:r>
      <w:r w:rsidR="00606ECD">
        <w:rPr>
          <w:rFonts w:ascii="Traditional Arabic" w:hAnsi="Traditional Arabic" w:cs="Traditional Arabic" w:hint="cs"/>
          <w:rtl/>
        </w:rPr>
        <w:t>(</w:t>
      </w:r>
      <w:r w:rsidRPr="00BC27A4">
        <w:rPr>
          <w:rFonts w:ascii="Traditional Arabic" w:hAnsi="Traditional Arabic" w:cs="Traditional Arabic"/>
          <w:rtl/>
        </w:rPr>
        <w:t>س3) مع اختبار التغاير الديموغرافي</w:t>
      </w:r>
      <w:r w:rsidRPr="00BC27A4">
        <w:rPr>
          <w:rFonts w:ascii="Traditional Arabic" w:hAnsi="Traditional Arabic" w:cs="Traditional Arabic"/>
        </w:rPr>
        <w:t xml:space="preserve"> H4</w:t>
      </w:r>
      <w:r w:rsidRPr="00BC27A4">
        <w:rPr>
          <w:rFonts w:ascii="Traditional Arabic" w:hAnsi="Traditional Arabic" w:cs="Traditional Arabic"/>
          <w:rtl/>
        </w:rPr>
        <w:t xml:space="preserve">؛ </w:t>
      </w:r>
      <w:r w:rsidR="00606ECD">
        <w:rPr>
          <w:rFonts w:ascii="Traditional Arabic" w:hAnsi="Traditional Arabic" w:cs="Traditional Arabic" w:hint="cs"/>
          <w:rtl/>
        </w:rPr>
        <w:t>(</w:t>
      </w:r>
      <w:r w:rsidRPr="00BC27A4">
        <w:rPr>
          <w:rFonts w:ascii="Traditional Arabic" w:hAnsi="Traditional Arabic" w:cs="Traditional Arabic"/>
          <w:rtl/>
        </w:rPr>
        <w:t>س4</w:t>
      </w:r>
      <w:r w:rsidR="00606ECD">
        <w:rPr>
          <w:rFonts w:ascii="Traditional Arabic" w:hAnsi="Traditional Arabic" w:cs="Traditional Arabic" w:hint="cs"/>
          <w:rtl/>
        </w:rPr>
        <w:t>)</w:t>
      </w:r>
      <w:r w:rsidRPr="00BC27A4">
        <w:rPr>
          <w:rFonts w:ascii="Traditional Arabic" w:hAnsi="Traditional Arabic" w:cs="Traditional Arabic"/>
        </w:rPr>
        <w:t>.</w:t>
      </w:r>
    </w:p>
    <w:p w14:paraId="48497D9C" w14:textId="09ED5F7A" w:rsidR="00BC27A4" w:rsidRPr="00BC27A4" w:rsidRDefault="00BC27A4" w:rsidP="00BC27A4">
      <w:pPr>
        <w:bidi/>
        <w:spacing w:after="160" w:line="360" w:lineRule="auto"/>
        <w:divId w:val="1647278641"/>
        <w:rPr>
          <w:rFonts w:ascii="Traditional Arabic" w:hAnsi="Traditional Arabic" w:cs="Traditional Arabic"/>
          <w:rtl/>
        </w:rPr>
      </w:pPr>
      <w:r>
        <w:rPr>
          <w:rFonts w:ascii="Traditional Arabic" w:hAnsi="Traditional Arabic" w:cs="Traditional Arabic"/>
          <w:b/>
          <w:bCs/>
        </w:rPr>
        <w:t xml:space="preserve"> </w:t>
      </w:r>
      <w:r w:rsidRPr="00BC27A4">
        <w:rPr>
          <w:rFonts w:ascii="Traditional Arabic" w:hAnsi="Traditional Arabic" w:cs="Traditional Arabic"/>
          <w:b/>
          <w:bCs/>
        </w:rPr>
        <w:t>2.2.4</w:t>
      </w:r>
      <w:r w:rsidRPr="00BC27A4">
        <w:rPr>
          <w:rFonts w:ascii="Traditional Arabic" w:hAnsi="Traditional Arabic" w:cs="Traditional Arabic"/>
        </w:rPr>
        <w:t xml:space="preserve"> </w:t>
      </w:r>
      <w:r w:rsidRPr="00BC27A4">
        <w:rPr>
          <w:rFonts w:ascii="Traditional Arabic" w:hAnsi="Traditional Arabic" w:cs="Traditional Arabic"/>
          <w:b/>
          <w:bCs/>
          <w:rtl/>
        </w:rPr>
        <w:t xml:space="preserve">دراسات الرضا الوظيفي في سياق </w:t>
      </w:r>
      <w:proofErr w:type="spellStart"/>
      <w:r w:rsidRPr="00BC27A4">
        <w:rPr>
          <w:rFonts w:ascii="Traditional Arabic" w:hAnsi="Traditional Arabic" w:cs="Traditional Arabic"/>
          <w:b/>
          <w:bCs/>
          <w:rtl/>
        </w:rPr>
        <w:t>الرقمنة</w:t>
      </w:r>
      <w:proofErr w:type="spellEnd"/>
      <w:r w:rsidRPr="00BC27A4">
        <w:rPr>
          <w:rFonts w:ascii="Traditional Arabic" w:hAnsi="Traditional Arabic" w:cs="Traditional Arabic"/>
        </w:rPr>
        <w:br/>
      </w: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Lechevalier</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Mofakhami</w:t>
      </w:r>
      <w:proofErr w:type="spellEnd"/>
      <w:r w:rsidRPr="00BC27A4">
        <w:rPr>
          <w:rFonts w:ascii="Traditional Arabic" w:hAnsi="Traditional Arabic" w:cs="Traditional Arabic"/>
        </w:rPr>
        <w:t xml:space="preserve">, 2025)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Assessing job satisfaction in the era of digital transformation: a comparative study of the first wave of tasks digitalization in Japan and France</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هدفت الدراسة إلى: (1) تحليل أثر </w:t>
      </w:r>
      <w:proofErr w:type="spellStart"/>
      <w:r w:rsidRPr="00BC27A4">
        <w:rPr>
          <w:rFonts w:ascii="Traditional Arabic" w:hAnsi="Traditional Arabic" w:cs="Traditional Arabic"/>
          <w:rtl/>
        </w:rPr>
        <w:t>رقمنة</w:t>
      </w:r>
      <w:proofErr w:type="spellEnd"/>
      <w:r w:rsidRPr="00BC27A4">
        <w:rPr>
          <w:rFonts w:ascii="Traditional Arabic" w:hAnsi="Traditional Arabic" w:cs="Traditional Arabic"/>
          <w:rtl/>
        </w:rPr>
        <w:t xml:space="preserve"> المهام على الرضا الوظيفي؛ (2) اختبار الوساطة عبر خصائص تنظيم العمل؛ (3) المقارنة بين دول. وأظهرت النتائج: (1) غياب أثر مباشر للاستخدام الرقمي على الرضا؛ (2) وجود أثر غير مباشر عبر خصائص تنظيم العمل</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تحليل/ربط: تُظهر النتائج تعارضًا مع افتراض </w:t>
      </w:r>
      <w:r w:rsidR="002F488C">
        <w:rPr>
          <w:rFonts w:ascii="Traditional Arabic" w:hAnsi="Traditional Arabic" w:cs="Traditional Arabic"/>
          <w:rtl/>
        </w:rPr>
        <w:t>"</w:t>
      </w:r>
      <w:r w:rsidRPr="00BC27A4">
        <w:rPr>
          <w:rFonts w:ascii="Traditional Arabic" w:hAnsi="Traditional Arabic" w:cs="Traditional Arabic"/>
          <w:rtl/>
        </w:rPr>
        <w:t>أثر مباشر دائم</w:t>
      </w:r>
      <w:r w:rsidR="002F488C">
        <w:rPr>
          <w:rFonts w:ascii="Traditional Arabic" w:hAnsi="Traditional Arabic" w:cs="Traditional Arabic"/>
          <w:rtl/>
        </w:rPr>
        <w:t>"</w:t>
      </w:r>
      <w:r w:rsidRPr="00BC27A4">
        <w:rPr>
          <w:rFonts w:ascii="Traditional Arabic" w:hAnsi="Traditional Arabic" w:cs="Traditional Arabic"/>
          <w:rtl/>
        </w:rPr>
        <w:t xml:space="preserve"> </w:t>
      </w:r>
      <w:proofErr w:type="spellStart"/>
      <w:r w:rsidRPr="00BC27A4">
        <w:rPr>
          <w:rFonts w:ascii="Traditional Arabic" w:hAnsi="Traditional Arabic" w:cs="Traditional Arabic"/>
          <w:rtl/>
        </w:rPr>
        <w:t>للرقمنة</w:t>
      </w:r>
      <w:proofErr w:type="spellEnd"/>
      <w:r w:rsidRPr="00BC27A4">
        <w:rPr>
          <w:rFonts w:ascii="Traditional Arabic" w:hAnsi="Traditional Arabic" w:cs="Traditional Arabic"/>
          <w:rtl/>
        </w:rPr>
        <w:t xml:space="preserve"> على الرضا، وتؤكد أهمية اختبار الوساطة؛ ما يسند في الدراسة الحالية اختبار</w:t>
      </w:r>
      <w:r w:rsidRPr="00BC27A4">
        <w:rPr>
          <w:rFonts w:ascii="Traditional Arabic" w:hAnsi="Traditional Arabic" w:cs="Traditional Arabic"/>
        </w:rPr>
        <w:t xml:space="preserve"> H2 </w:t>
      </w:r>
      <w:r w:rsidRPr="00BC27A4">
        <w:rPr>
          <w:rFonts w:ascii="Traditional Arabic" w:hAnsi="Traditional Arabic" w:cs="Traditional Arabic"/>
          <w:rtl/>
        </w:rPr>
        <w:t>و</w:t>
      </w:r>
      <w:r w:rsidRPr="00BC27A4">
        <w:rPr>
          <w:rFonts w:ascii="Traditional Arabic" w:hAnsi="Traditional Arabic" w:cs="Traditional Arabic"/>
        </w:rPr>
        <w:t xml:space="preserve">H3 </w:t>
      </w:r>
      <w:r w:rsidRPr="00BC27A4">
        <w:rPr>
          <w:rFonts w:ascii="Traditional Arabic" w:hAnsi="Traditional Arabic" w:cs="Traditional Arabic"/>
          <w:rtl/>
        </w:rPr>
        <w:t>إلى جانب</w:t>
      </w:r>
      <w:r w:rsidRPr="00BC27A4">
        <w:rPr>
          <w:rFonts w:ascii="Traditional Arabic" w:hAnsi="Traditional Arabic" w:cs="Traditional Arabic"/>
        </w:rPr>
        <w:t xml:space="preserve"> H1 </w:t>
      </w:r>
      <w:r w:rsidR="00606ECD">
        <w:rPr>
          <w:rFonts w:ascii="Traditional Arabic" w:hAnsi="Traditional Arabic" w:cs="Traditional Arabic" w:hint="cs"/>
          <w:rtl/>
        </w:rPr>
        <w:t>(</w:t>
      </w:r>
      <w:r w:rsidRPr="00BC27A4">
        <w:rPr>
          <w:rFonts w:ascii="Traditional Arabic" w:hAnsi="Traditional Arabic" w:cs="Traditional Arabic"/>
          <w:rtl/>
        </w:rPr>
        <w:t>س2–س3</w:t>
      </w:r>
      <w:r w:rsidR="00606ECD">
        <w:rPr>
          <w:rFonts w:ascii="Traditional Arabic" w:hAnsi="Traditional Arabic" w:cs="Traditional Arabic"/>
        </w:rPr>
        <w:t>(</w:t>
      </w:r>
      <w:r w:rsidR="00606ECD">
        <w:rPr>
          <w:rFonts w:ascii="Traditional Arabic" w:hAnsi="Traditional Arabic" w:cs="Traditional Arabic" w:hint="cs"/>
          <w:rtl/>
        </w:rPr>
        <w:t>.</w:t>
      </w:r>
    </w:p>
    <w:p w14:paraId="466494AD" w14:textId="207BB239"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lastRenderedPageBreak/>
        <w:t>دراسة</w:t>
      </w:r>
      <w:r w:rsidRPr="00BC27A4">
        <w:rPr>
          <w:rFonts w:ascii="Traditional Arabic" w:hAnsi="Traditional Arabic" w:cs="Traditional Arabic"/>
        </w:rPr>
        <w:t xml:space="preserve"> (Kim &amp; Sohn, 2024)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The Impact of Quiet Quitting on Turnover Intentions in the Era of Digital Transformation…</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هدفت الدراسة إلى: (1) اختبار أثر الانسحاب الصامت على نية ترك العمل؛ (2) اختبار وساطة الرضا الوظيفي والالتزام؛ (3) اختبار اعتدال الأمان النفسي. وأظهرت النتائج ارتباطًا سلبيا بالرضا ودورًا للأمان النفسي في التخفيف</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تحليل/ربط: تُظهر الدراسة حساسية الرضا الوظيفي في بيئات التحول، وتدعم منطقيًا فحص موارد تنظيمية/إنسانية كعوامل تفسيرية، وإن كان المتغير المستقل مختلفًا عن</w:t>
      </w:r>
      <w:r w:rsidRPr="00BC27A4">
        <w:rPr>
          <w:rFonts w:ascii="Traditional Arabic" w:hAnsi="Traditional Arabic" w:cs="Traditional Arabic"/>
        </w:rPr>
        <w:t xml:space="preserve"> DTD.</w:t>
      </w:r>
    </w:p>
    <w:p w14:paraId="1BA883DF" w14:textId="40A877C3"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rtl/>
        </w:rPr>
        <w:t>دراسة</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Bolli</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Pusterla</w:t>
      </w:r>
      <w:proofErr w:type="spellEnd"/>
      <w:r w:rsidRPr="00BC27A4">
        <w:rPr>
          <w:rFonts w:ascii="Traditional Arabic" w:hAnsi="Traditional Arabic" w:cs="Traditional Arabic"/>
        </w:rPr>
        <w:t xml:space="preserve">, 2022) </w:t>
      </w:r>
      <w:r w:rsidRPr="00BC27A4">
        <w:rPr>
          <w:rFonts w:ascii="Traditional Arabic" w:hAnsi="Traditional Arabic" w:cs="Traditional Arabic"/>
          <w:rtl/>
        </w:rPr>
        <w:t>بعنوان</w:t>
      </w:r>
      <w:r w:rsidRPr="00BC27A4">
        <w:rPr>
          <w:rFonts w:ascii="Traditional Arabic" w:hAnsi="Traditional Arabic" w:cs="Traditional Arabic"/>
        </w:rPr>
        <w:t xml:space="preserve">: </w:t>
      </w:r>
      <w:r w:rsidR="002F488C">
        <w:rPr>
          <w:rFonts w:ascii="Traditional Arabic" w:hAnsi="Traditional Arabic" w:cs="Traditional Arabic"/>
        </w:rPr>
        <w:t>"</w:t>
      </w:r>
      <w:r w:rsidRPr="00BC27A4">
        <w:rPr>
          <w:rFonts w:ascii="Traditional Arabic" w:hAnsi="Traditional Arabic" w:cs="Traditional Arabic"/>
        </w:rPr>
        <w:t>Decomposing the effects of digitalization on workers’ job satisfaction</w:t>
      </w:r>
      <w:r w:rsidR="002F488C">
        <w:rPr>
          <w:rFonts w:ascii="Traditional Arabic" w:hAnsi="Traditional Arabic" w:cs="Traditional Arabic"/>
        </w:rPr>
        <w:t>"</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هدفت الدراسة إلى تفكيك أثر </w:t>
      </w:r>
      <w:proofErr w:type="spellStart"/>
      <w:r w:rsidRPr="00BC27A4">
        <w:rPr>
          <w:rFonts w:ascii="Traditional Arabic" w:hAnsi="Traditional Arabic" w:cs="Traditional Arabic"/>
          <w:rtl/>
        </w:rPr>
        <w:t>الرقمنة</w:t>
      </w:r>
      <w:proofErr w:type="spellEnd"/>
      <w:r w:rsidRPr="00BC27A4">
        <w:rPr>
          <w:rFonts w:ascii="Traditional Arabic" w:hAnsi="Traditional Arabic" w:cs="Traditional Arabic"/>
          <w:rtl/>
        </w:rPr>
        <w:t xml:space="preserve"> على الرضا عبر قنوات متعددة، وأظهرت قنوات إيجابية (الإنتاجية/إثراء العمل) وقنوات سلبية (ضغط الوقت/توازن العمل والحياة) مع </w:t>
      </w:r>
      <w:proofErr w:type="spellStart"/>
      <w:r w:rsidRPr="00BC27A4">
        <w:rPr>
          <w:rFonts w:ascii="Traditional Arabic" w:hAnsi="Traditional Arabic" w:cs="Traditional Arabic"/>
          <w:rtl/>
        </w:rPr>
        <w:t>تغايرات</w:t>
      </w:r>
      <w:proofErr w:type="spellEnd"/>
      <w:r w:rsidRPr="00BC27A4">
        <w:rPr>
          <w:rFonts w:ascii="Traditional Arabic" w:hAnsi="Traditional Arabic" w:cs="Traditional Arabic"/>
          <w:rtl/>
        </w:rPr>
        <w:t xml:space="preserve"> بحسب الخصائص</w:t>
      </w:r>
      <w:r w:rsidRPr="00BC27A4">
        <w:rPr>
          <w:rFonts w:ascii="Traditional Arabic" w:hAnsi="Traditional Arabic" w:cs="Traditional Arabic"/>
        </w:rPr>
        <w:t>.</w:t>
      </w:r>
      <w:r w:rsidRPr="00BC27A4">
        <w:rPr>
          <w:rFonts w:ascii="Traditional Arabic" w:hAnsi="Traditional Arabic" w:cs="Traditional Arabic"/>
        </w:rPr>
        <w:br/>
      </w:r>
      <w:r w:rsidRPr="00BC27A4">
        <w:rPr>
          <w:rFonts w:ascii="Traditional Arabic" w:hAnsi="Traditional Arabic" w:cs="Traditional Arabic"/>
          <w:rtl/>
        </w:rPr>
        <w:t xml:space="preserve">تحليل/ربط: تُسند الدراسة منطق </w:t>
      </w:r>
      <w:r w:rsidR="002F488C">
        <w:rPr>
          <w:rFonts w:ascii="Traditional Arabic" w:hAnsi="Traditional Arabic" w:cs="Traditional Arabic"/>
          <w:rtl/>
        </w:rPr>
        <w:t>"</w:t>
      </w:r>
      <w:r w:rsidRPr="00BC27A4">
        <w:rPr>
          <w:rFonts w:ascii="Traditional Arabic" w:hAnsi="Traditional Arabic" w:cs="Traditional Arabic"/>
          <w:rtl/>
        </w:rPr>
        <w:t>الأثر المزدوج</w:t>
      </w:r>
      <w:r w:rsidR="002F488C">
        <w:rPr>
          <w:rFonts w:ascii="Traditional Arabic" w:hAnsi="Traditional Arabic" w:cs="Traditional Arabic"/>
          <w:rtl/>
        </w:rPr>
        <w:t>"</w:t>
      </w:r>
      <w:r w:rsidRPr="00BC27A4">
        <w:rPr>
          <w:rFonts w:ascii="Traditional Arabic" w:hAnsi="Traditional Arabic" w:cs="Traditional Arabic"/>
          <w:rtl/>
        </w:rPr>
        <w:t xml:space="preserve"> الذي يبرر إدراج وسيطين متوازيين (قبول/إجهاد) واختبار التغاير الديموغرافي</w:t>
      </w:r>
      <w:r w:rsidRPr="00BC27A4">
        <w:rPr>
          <w:rFonts w:ascii="Traditional Arabic" w:hAnsi="Traditional Arabic" w:cs="Traditional Arabic"/>
        </w:rPr>
        <w:t xml:space="preserve"> (H4).</w:t>
      </w:r>
    </w:p>
    <w:p w14:paraId="2AD7BF61" w14:textId="7273E438" w:rsidR="00BC27A4" w:rsidRPr="00BC27A4" w:rsidRDefault="00BC27A4" w:rsidP="00BC27A4">
      <w:pPr>
        <w:bidi/>
        <w:spacing w:after="160" w:line="360" w:lineRule="auto"/>
        <w:divId w:val="1647278641"/>
        <w:rPr>
          <w:rFonts w:ascii="Traditional Arabic" w:hAnsi="Traditional Arabic" w:cs="Traditional Arabic"/>
          <w:rtl/>
        </w:rPr>
      </w:pPr>
      <w:r w:rsidRPr="00BC27A4">
        <w:rPr>
          <w:rFonts w:ascii="Traditional Arabic" w:hAnsi="Traditional Arabic" w:cs="Traditional Arabic"/>
          <w:rtl/>
        </w:rPr>
        <w:t>توليف نقدي لمحور الرضا الوظيفي وربطه بـ</w:t>
      </w:r>
      <w:r w:rsidRPr="00BC27A4">
        <w:rPr>
          <w:rFonts w:ascii="Traditional Arabic" w:hAnsi="Traditional Arabic" w:cs="Traditional Arabic"/>
        </w:rPr>
        <w:t>H1–H4</w:t>
      </w:r>
      <w:r w:rsidRPr="00BC27A4">
        <w:rPr>
          <w:rFonts w:ascii="Traditional Arabic" w:hAnsi="Traditional Arabic" w:cs="Traditional Arabic"/>
        </w:rPr>
        <w:br/>
      </w:r>
      <w:r w:rsidRPr="00BC27A4">
        <w:rPr>
          <w:rFonts w:ascii="Traditional Arabic" w:hAnsi="Traditional Arabic" w:cs="Traditional Arabic"/>
          <w:rtl/>
        </w:rPr>
        <w:t xml:space="preserve">تتسق الأدلة في أن </w:t>
      </w:r>
      <w:proofErr w:type="spellStart"/>
      <w:r w:rsidRPr="00BC27A4">
        <w:rPr>
          <w:rFonts w:ascii="Traditional Arabic" w:hAnsi="Traditional Arabic" w:cs="Traditional Arabic"/>
          <w:rtl/>
        </w:rPr>
        <w:t>الرقمنة</w:t>
      </w:r>
      <w:proofErr w:type="spellEnd"/>
      <w:r w:rsidRPr="00BC27A4">
        <w:rPr>
          <w:rFonts w:ascii="Traditional Arabic" w:hAnsi="Traditional Arabic" w:cs="Traditional Arabic"/>
          <w:rtl/>
        </w:rPr>
        <w:t xml:space="preserve"> تحمل قنوات أثر متعددة، وأن الأثر المباشر قد يتغير باختلاف السياق وتنظيم العمل ومستوى الدعم</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Lechevalier</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Mofakhami</w:t>
      </w:r>
      <w:proofErr w:type="spellEnd"/>
      <w:r w:rsidRPr="00BC27A4">
        <w:rPr>
          <w:rFonts w:ascii="Traditional Arabic" w:hAnsi="Traditional Arabic" w:cs="Traditional Arabic"/>
        </w:rPr>
        <w:t>, 2025</w:t>
      </w:r>
      <w:r w:rsidR="00606ECD">
        <w:rPr>
          <w:rFonts w:ascii="Traditional Arabic" w:hAnsi="Traditional Arabic" w:cs="Traditional Arabic"/>
        </w:rPr>
        <w:t>)</w:t>
      </w:r>
      <w:proofErr w:type="gramStart"/>
      <w:r w:rsidRPr="00BC27A4">
        <w:rPr>
          <w:rFonts w:ascii="Traditional Arabic" w:hAnsi="Traditional Arabic" w:cs="Traditional Arabic"/>
          <w:rtl/>
        </w:rPr>
        <w:t>؛</w:t>
      </w:r>
      <w:r w:rsidRPr="00BC27A4">
        <w:rPr>
          <w:rFonts w:ascii="Traditional Arabic" w:hAnsi="Traditional Arabic" w:cs="Traditional Arabic"/>
        </w:rPr>
        <w:t xml:space="preserve"> </w:t>
      </w:r>
      <w:r w:rsidR="00606ECD">
        <w:rPr>
          <w:rFonts w:ascii="Traditional Arabic" w:hAnsi="Traditional Arabic" w:cs="Traditional Arabic"/>
        </w:rPr>
        <w:t>.</w:t>
      </w:r>
      <w:proofErr w:type="gramEnd"/>
      <w:r w:rsidR="00606ECD">
        <w:rPr>
          <w:rFonts w:ascii="Traditional Arabic" w:hAnsi="Traditional Arabic" w:cs="Traditional Arabic"/>
        </w:rPr>
        <w:t>(</w:t>
      </w:r>
      <w:proofErr w:type="spellStart"/>
      <w:r w:rsidRPr="00BC27A4">
        <w:rPr>
          <w:rFonts w:ascii="Traditional Arabic" w:hAnsi="Traditional Arabic" w:cs="Traditional Arabic"/>
        </w:rPr>
        <w:t>Bolli</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Pusterla</w:t>
      </w:r>
      <w:proofErr w:type="spellEnd"/>
      <w:r w:rsidRPr="00BC27A4">
        <w:rPr>
          <w:rFonts w:ascii="Traditional Arabic" w:hAnsi="Traditional Arabic" w:cs="Traditional Arabic"/>
        </w:rPr>
        <w:t xml:space="preserve">, 2022 </w:t>
      </w:r>
      <w:r w:rsidRPr="00BC27A4">
        <w:rPr>
          <w:rFonts w:ascii="Traditional Arabic" w:hAnsi="Traditional Arabic" w:cs="Traditional Arabic"/>
          <w:rtl/>
        </w:rPr>
        <w:t>كما تتكرر الإشارة لتغاير خبرة الموظفين. وبناء عليه تتجه الدراسة الحالية لاختبار الأثر المباشر</w:t>
      </w:r>
      <w:r w:rsidRPr="00BC27A4">
        <w:rPr>
          <w:rFonts w:ascii="Traditional Arabic" w:hAnsi="Traditional Arabic" w:cs="Traditional Arabic"/>
        </w:rPr>
        <w:t xml:space="preserve"> (H1) </w:t>
      </w:r>
      <w:r w:rsidRPr="00BC27A4">
        <w:rPr>
          <w:rFonts w:ascii="Traditional Arabic" w:hAnsi="Traditional Arabic" w:cs="Traditional Arabic"/>
          <w:rtl/>
        </w:rPr>
        <w:t>مع تفسيره عبر آليات</w:t>
      </w:r>
      <w:r w:rsidRPr="00BC27A4">
        <w:rPr>
          <w:rFonts w:ascii="Traditional Arabic" w:hAnsi="Traditional Arabic" w:cs="Traditional Arabic"/>
        </w:rPr>
        <w:t xml:space="preserve"> (H2–H3) </w:t>
      </w:r>
      <w:r w:rsidRPr="00BC27A4">
        <w:rPr>
          <w:rFonts w:ascii="Traditional Arabic" w:hAnsi="Traditional Arabic" w:cs="Traditional Arabic"/>
          <w:rtl/>
        </w:rPr>
        <w:t>واختبار الاعتدال</w:t>
      </w:r>
      <w:r w:rsidRPr="00BC27A4">
        <w:rPr>
          <w:rFonts w:ascii="Traditional Arabic" w:hAnsi="Traditional Arabic" w:cs="Traditional Arabic"/>
        </w:rPr>
        <w:t xml:space="preserve"> (H4) </w:t>
      </w:r>
      <w:r w:rsidRPr="00BC27A4">
        <w:rPr>
          <w:rFonts w:ascii="Traditional Arabic" w:hAnsi="Traditional Arabic" w:cs="Traditional Arabic"/>
          <w:rtl/>
        </w:rPr>
        <w:t>بما يخدم (س2–س4</w:t>
      </w:r>
      <w:r w:rsidR="00606ECD">
        <w:rPr>
          <w:rFonts w:ascii="Traditional Arabic" w:hAnsi="Traditional Arabic" w:cs="Traditional Arabic"/>
        </w:rPr>
        <w:t>(</w:t>
      </w:r>
      <w:r w:rsidR="00606ECD">
        <w:rPr>
          <w:rFonts w:ascii="Traditional Arabic" w:hAnsi="Traditional Arabic" w:cs="Traditional Arabic" w:hint="cs"/>
          <w:rtl/>
        </w:rPr>
        <w:t>.</w:t>
      </w:r>
    </w:p>
    <w:p w14:paraId="31D5BD03" w14:textId="0BD8EF57" w:rsidR="00BC27A4" w:rsidRPr="00BC27A4" w:rsidRDefault="00BC27A4" w:rsidP="00BC27A4">
      <w:pPr>
        <w:bidi/>
        <w:spacing w:after="160" w:line="360" w:lineRule="auto"/>
        <w:divId w:val="1647278641"/>
        <w:rPr>
          <w:rFonts w:ascii="Traditional Arabic" w:hAnsi="Traditional Arabic" w:cs="Traditional Arabic"/>
        </w:rPr>
      </w:pPr>
      <w:r w:rsidRPr="00BC27A4">
        <w:rPr>
          <w:rFonts w:ascii="Traditional Arabic" w:hAnsi="Traditional Arabic" w:cs="Traditional Arabic"/>
          <w:b/>
          <w:bCs/>
        </w:rPr>
        <w:t xml:space="preserve">2.2.5 </w:t>
      </w:r>
      <w:r>
        <w:rPr>
          <w:rFonts w:ascii="Traditional Arabic" w:hAnsi="Traditional Arabic" w:cs="Traditional Arabic" w:hint="cs"/>
          <w:b/>
          <w:bCs/>
          <w:rtl/>
        </w:rPr>
        <w:t xml:space="preserve"> </w:t>
      </w:r>
      <w:r w:rsidRPr="00BC27A4">
        <w:rPr>
          <w:rFonts w:ascii="Traditional Arabic" w:hAnsi="Traditional Arabic" w:cs="Traditional Arabic"/>
          <w:b/>
          <w:bCs/>
          <w:rtl/>
        </w:rPr>
        <w:t>دراسات الربط بين المتغيرات ومسارات النموذج</w:t>
      </w:r>
      <w:r w:rsidRPr="00BC27A4">
        <w:rPr>
          <w:rFonts w:ascii="Traditional Arabic" w:hAnsi="Traditional Arabic" w:cs="Traditional Arabic"/>
        </w:rPr>
        <w:br/>
      </w:r>
      <w:r w:rsidRPr="00BC27A4">
        <w:rPr>
          <w:rFonts w:ascii="Traditional Arabic" w:hAnsi="Traditional Arabic" w:cs="Traditional Arabic"/>
          <w:rtl/>
        </w:rPr>
        <w:t>تشير محاور الأدبيات السابقة إلى أن تفسير أثر التحول الرقمي على الرضا الوظيفي يتطلب نمذجة مسارات غير مباشرة بدل الاكتفاء بالاختبار المباشر؛ إذ تُظهر أدبيات</w:t>
      </w:r>
      <w:r w:rsidRPr="00BC27A4">
        <w:rPr>
          <w:rFonts w:ascii="Traditional Arabic" w:hAnsi="Traditional Arabic" w:cs="Traditional Arabic"/>
        </w:rPr>
        <w:t xml:space="preserve"> TAM </w:t>
      </w:r>
      <w:r w:rsidRPr="00BC27A4">
        <w:rPr>
          <w:rFonts w:ascii="Traditional Arabic" w:hAnsi="Traditional Arabic" w:cs="Traditional Arabic"/>
          <w:rtl/>
        </w:rPr>
        <w:t>أن إدراكات الفائدة/السهولة تتأثر بالدعم والجودة وقد ترتبط بنتائج الرضا</w:t>
      </w:r>
      <w:r w:rsidRPr="00BC27A4">
        <w:rPr>
          <w:rFonts w:ascii="Traditional Arabic" w:hAnsi="Traditional Arabic" w:cs="Traditional Arabic"/>
        </w:rPr>
        <w:t xml:space="preserve"> Davis, 1989</w:t>
      </w:r>
      <w:r w:rsidR="00606ECD">
        <w:rPr>
          <w:rFonts w:ascii="Traditional Arabic" w:hAnsi="Traditional Arabic" w:cs="Traditional Arabic"/>
        </w:rPr>
        <w:t>)</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Badawy</w:t>
      </w:r>
      <w:proofErr w:type="spellEnd"/>
      <w:r w:rsidRPr="00BC27A4">
        <w:rPr>
          <w:rFonts w:ascii="Traditional Arabic" w:hAnsi="Traditional Arabic" w:cs="Traditional Arabic"/>
        </w:rPr>
        <w:t>, 2025</w:t>
      </w:r>
      <w:r w:rsidR="00606ECD">
        <w:rPr>
          <w:rFonts w:ascii="Traditional Arabic" w:hAnsi="Traditional Arabic" w:cs="Traditional Arabic" w:hint="cs"/>
          <w:rtl/>
        </w:rPr>
        <w:t>)</w:t>
      </w:r>
      <w:r w:rsidRPr="00BC27A4">
        <w:rPr>
          <w:rFonts w:ascii="Traditional Arabic" w:hAnsi="Traditional Arabic" w:cs="Traditional Arabic"/>
          <w:rtl/>
        </w:rPr>
        <w:t>، بينما تُظهر أدبيات</w:t>
      </w:r>
      <w:r w:rsidRPr="00BC27A4">
        <w:rPr>
          <w:rFonts w:ascii="Traditional Arabic" w:hAnsi="Traditional Arabic" w:cs="Traditional Arabic"/>
        </w:rPr>
        <w:t xml:space="preserve"> Technostress </w:t>
      </w:r>
      <w:r w:rsidRPr="00BC27A4">
        <w:rPr>
          <w:rFonts w:ascii="Traditional Arabic" w:hAnsi="Traditional Arabic" w:cs="Traditional Arabic"/>
          <w:rtl/>
        </w:rPr>
        <w:t>أن صانعات الإجهاد ترتبط بانخفاض الرضا وأن الموارد التنظيمية تخفف الأثر</w:t>
      </w:r>
      <w:r w:rsidRPr="00BC27A4">
        <w:rPr>
          <w:rFonts w:ascii="Traditional Arabic" w:hAnsi="Traditional Arabic" w:cs="Traditional Arabic"/>
        </w:rPr>
        <w:t xml:space="preserve"> Ragu-Nathan et al., 2008</w:t>
      </w:r>
      <w:r w:rsidR="00606ECD">
        <w:rPr>
          <w:rFonts w:ascii="Traditional Arabic" w:hAnsi="Traditional Arabic" w:cs="Traditional Arabic"/>
        </w:rPr>
        <w:t xml:space="preserve">) </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Tarafdar</w:t>
      </w:r>
      <w:proofErr w:type="spellEnd"/>
      <w:r w:rsidRPr="00BC27A4">
        <w:rPr>
          <w:rFonts w:ascii="Traditional Arabic" w:hAnsi="Traditional Arabic" w:cs="Traditional Arabic"/>
        </w:rPr>
        <w:t xml:space="preserve"> et al., 2011</w:t>
      </w:r>
      <w:r w:rsidRPr="00BC27A4">
        <w:rPr>
          <w:rFonts w:ascii="Traditional Arabic" w:hAnsi="Traditional Arabic" w:cs="Traditional Arabic"/>
          <w:rtl/>
        </w:rPr>
        <w:t>؛</w:t>
      </w:r>
      <w:r w:rsidRPr="00BC27A4">
        <w:rPr>
          <w:rFonts w:ascii="Traditional Arabic" w:hAnsi="Traditional Arabic" w:cs="Traditional Arabic"/>
        </w:rPr>
        <w:t xml:space="preserve"> </w:t>
      </w:r>
      <w:r w:rsidR="00606ECD">
        <w:rPr>
          <w:rFonts w:ascii="Traditional Arabic" w:hAnsi="Traditional Arabic" w:cs="Traditional Arabic"/>
        </w:rPr>
        <w:t>.(</w:t>
      </w:r>
      <w:proofErr w:type="spellStart"/>
      <w:r w:rsidRPr="00BC27A4">
        <w:rPr>
          <w:rFonts w:ascii="Traditional Arabic" w:hAnsi="Traditional Arabic" w:cs="Traditional Arabic"/>
        </w:rPr>
        <w:t>Alshammary</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Hilmi</w:t>
      </w:r>
      <w:proofErr w:type="spellEnd"/>
      <w:r w:rsidRPr="00BC27A4">
        <w:rPr>
          <w:rFonts w:ascii="Traditional Arabic" w:hAnsi="Traditional Arabic" w:cs="Traditional Arabic"/>
        </w:rPr>
        <w:t xml:space="preserve">, 2024 </w:t>
      </w:r>
      <w:r w:rsidR="00606ECD">
        <w:rPr>
          <w:rFonts w:ascii="Traditional Arabic" w:hAnsi="Traditional Arabic" w:cs="Traditional Arabic" w:hint="cs"/>
          <w:rtl/>
        </w:rPr>
        <w:t xml:space="preserve"> </w:t>
      </w:r>
      <w:r w:rsidRPr="00BC27A4">
        <w:rPr>
          <w:rFonts w:ascii="Traditional Arabic" w:hAnsi="Traditional Arabic" w:cs="Traditional Arabic"/>
          <w:rtl/>
        </w:rPr>
        <w:t xml:space="preserve">وفي المقابل، تُظهر أدبيات الرضا في سياق </w:t>
      </w:r>
      <w:proofErr w:type="spellStart"/>
      <w:r w:rsidRPr="00BC27A4">
        <w:rPr>
          <w:rFonts w:ascii="Traditional Arabic" w:hAnsi="Traditional Arabic" w:cs="Traditional Arabic"/>
          <w:rtl/>
        </w:rPr>
        <w:t>الرقمنة</w:t>
      </w:r>
      <w:proofErr w:type="spellEnd"/>
      <w:r w:rsidRPr="00BC27A4">
        <w:rPr>
          <w:rFonts w:ascii="Traditional Arabic" w:hAnsi="Traditional Arabic" w:cs="Traditional Arabic"/>
          <w:rtl/>
        </w:rPr>
        <w:t xml:space="preserve"> أن الأثر قد يكون غير مباشر أو متغايرًا بحسب تنظيم العمل وخصائص العاملين</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Lechevalier</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Mofakhami</w:t>
      </w:r>
      <w:proofErr w:type="spellEnd"/>
      <w:r w:rsidRPr="00BC27A4">
        <w:rPr>
          <w:rFonts w:ascii="Traditional Arabic" w:hAnsi="Traditional Arabic" w:cs="Traditional Arabic"/>
        </w:rPr>
        <w:t>, 2025</w:t>
      </w:r>
      <w:r w:rsidR="00606ECD">
        <w:rPr>
          <w:rFonts w:ascii="Traditional Arabic" w:hAnsi="Traditional Arabic" w:cs="Traditional Arabic"/>
        </w:rPr>
        <w:t xml:space="preserve">) </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Bolli</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Pusterla</w:t>
      </w:r>
      <w:proofErr w:type="spellEnd"/>
      <w:r w:rsidRPr="00BC27A4">
        <w:rPr>
          <w:rFonts w:ascii="Traditional Arabic" w:hAnsi="Traditional Arabic" w:cs="Traditional Arabic"/>
        </w:rPr>
        <w:t>, 2022</w:t>
      </w:r>
      <w:r w:rsidR="00606ECD">
        <w:rPr>
          <w:rFonts w:ascii="Traditional Arabic" w:hAnsi="Traditional Arabic" w:cs="Traditional Arabic" w:hint="cs"/>
          <w:rtl/>
        </w:rPr>
        <w:t>).</w:t>
      </w:r>
      <w:r w:rsidRPr="00BC27A4">
        <w:rPr>
          <w:rFonts w:ascii="Traditional Arabic" w:hAnsi="Traditional Arabic" w:cs="Traditional Arabic"/>
        </w:rPr>
        <w:br/>
      </w:r>
      <w:r w:rsidRPr="00BC27A4">
        <w:rPr>
          <w:rFonts w:ascii="Traditional Arabic" w:hAnsi="Traditional Arabic" w:cs="Traditional Arabic"/>
          <w:rtl/>
        </w:rPr>
        <w:lastRenderedPageBreak/>
        <w:t>وبناءً على ذلك، يُعد اختبار النموذج المتكامل في الوزارة – بأبعاد</w:t>
      </w:r>
      <w:r w:rsidRPr="00BC27A4">
        <w:rPr>
          <w:rFonts w:ascii="Traditional Arabic" w:hAnsi="Traditional Arabic" w:cs="Traditional Arabic"/>
        </w:rPr>
        <w:t xml:space="preserve"> DTD </w:t>
      </w:r>
      <w:r w:rsidRPr="00BC27A4">
        <w:rPr>
          <w:rFonts w:ascii="Traditional Arabic" w:hAnsi="Traditional Arabic" w:cs="Traditional Arabic"/>
          <w:rtl/>
        </w:rPr>
        <w:t>الأربعة، ووساطة</w:t>
      </w:r>
      <w:r w:rsidRPr="00BC27A4">
        <w:rPr>
          <w:rFonts w:ascii="Traditional Arabic" w:hAnsi="Traditional Arabic" w:cs="Traditional Arabic"/>
        </w:rPr>
        <w:t xml:space="preserve"> TAM </w:t>
      </w:r>
      <w:r w:rsidRPr="00BC27A4">
        <w:rPr>
          <w:rFonts w:ascii="Traditional Arabic" w:hAnsi="Traditional Arabic" w:cs="Traditional Arabic"/>
          <w:rtl/>
        </w:rPr>
        <w:t>و</w:t>
      </w:r>
      <w:r w:rsidRPr="00BC27A4">
        <w:rPr>
          <w:rFonts w:ascii="Traditional Arabic" w:hAnsi="Traditional Arabic" w:cs="Traditional Arabic"/>
        </w:rPr>
        <w:t>Technostress</w:t>
      </w:r>
      <w:r w:rsidRPr="00BC27A4">
        <w:rPr>
          <w:rFonts w:ascii="Traditional Arabic" w:hAnsi="Traditional Arabic" w:cs="Traditional Arabic"/>
          <w:rtl/>
        </w:rPr>
        <w:t>، واعتدال الديموغرافيات – استجابة مباشرة لحدود الأدبيات المتفرقة، بما يخدم الأسئلة (س1–س4) والفرضيات</w:t>
      </w:r>
      <w:r w:rsidRPr="00BC27A4">
        <w:rPr>
          <w:rFonts w:ascii="Traditional Arabic" w:hAnsi="Traditional Arabic" w:cs="Traditional Arabic"/>
        </w:rPr>
        <w:t xml:space="preserve"> (H1–H4).</w:t>
      </w:r>
    </w:p>
    <w:p w14:paraId="6FC0EE95" w14:textId="05559975" w:rsidR="00BC27A4" w:rsidRPr="00BC27A4" w:rsidRDefault="00BC27A4" w:rsidP="00BC27A4">
      <w:pPr>
        <w:bidi/>
        <w:spacing w:after="160" w:line="360" w:lineRule="auto"/>
        <w:divId w:val="1647278641"/>
        <w:rPr>
          <w:rFonts w:ascii="Traditional Arabic" w:hAnsi="Traditional Arabic" w:cs="Traditional Arabic"/>
          <w:b/>
          <w:bCs/>
          <w:sz w:val="28"/>
          <w:szCs w:val="28"/>
        </w:rPr>
      </w:pPr>
      <w:r w:rsidRPr="00BC27A4">
        <w:rPr>
          <w:rFonts w:ascii="Traditional Arabic" w:hAnsi="Traditional Arabic" w:cs="Traditional Arabic"/>
          <w:b/>
          <w:bCs/>
          <w:sz w:val="28"/>
          <w:szCs w:val="28"/>
        </w:rPr>
        <w:t xml:space="preserve"> 2.3 </w:t>
      </w:r>
      <w:r w:rsidRPr="00BC27A4">
        <w:rPr>
          <w:rFonts w:ascii="Traditional Arabic" w:hAnsi="Traditional Arabic" w:cs="Traditional Arabic"/>
          <w:b/>
          <w:bCs/>
          <w:sz w:val="28"/>
          <w:szCs w:val="28"/>
          <w:rtl/>
        </w:rPr>
        <w:t>الخلاصة النقدية والفجوة البحثية وربطها بالنموذج</w:t>
      </w:r>
    </w:p>
    <w:p w14:paraId="578DC9CE" w14:textId="771043E0" w:rsidR="00BC27A4" w:rsidRPr="00BC27A4" w:rsidRDefault="00BC27A4" w:rsidP="00BC27A4">
      <w:pPr>
        <w:bidi/>
        <w:spacing w:after="160" w:line="360" w:lineRule="auto"/>
        <w:divId w:val="1647278641"/>
        <w:rPr>
          <w:rFonts w:ascii="Traditional Arabic" w:hAnsi="Traditional Arabic" w:cs="Traditional Arabic"/>
          <w:rtl/>
        </w:rPr>
      </w:pPr>
      <w:r>
        <w:rPr>
          <w:rFonts w:ascii="Traditional Arabic" w:hAnsi="Traditional Arabic" w:cs="Traditional Arabic"/>
          <w:b/>
          <w:bCs/>
        </w:rPr>
        <w:t xml:space="preserve"> </w:t>
      </w:r>
      <w:r w:rsidRPr="00BC27A4">
        <w:rPr>
          <w:rFonts w:ascii="Traditional Arabic" w:hAnsi="Traditional Arabic" w:cs="Traditional Arabic"/>
          <w:b/>
          <w:bCs/>
        </w:rPr>
        <w:t xml:space="preserve">2.3.1 </w:t>
      </w:r>
      <w:r w:rsidRPr="00BC27A4">
        <w:rPr>
          <w:rFonts w:ascii="Traditional Arabic" w:hAnsi="Traditional Arabic" w:cs="Traditional Arabic"/>
          <w:b/>
          <w:bCs/>
          <w:rtl/>
        </w:rPr>
        <w:t>ما الذي اتفقت عليه الأدبيات؟</w:t>
      </w:r>
      <w:r w:rsidRPr="00BC27A4">
        <w:rPr>
          <w:rFonts w:ascii="Traditional Arabic" w:hAnsi="Traditional Arabic" w:cs="Traditional Arabic"/>
        </w:rPr>
        <w:br/>
      </w:r>
      <w:r w:rsidRPr="00BC27A4">
        <w:rPr>
          <w:rFonts w:ascii="Traditional Arabic" w:hAnsi="Traditional Arabic" w:cs="Traditional Arabic"/>
          <w:rtl/>
        </w:rPr>
        <w:t>تتفق الأدبيات عمومًا على أن التحول الرقمي المؤسسي يتجاوز إدخال التقنية إلى إعادة تصميم العمليات وتغيير طريقة العمل، وأن النتائج تعتمد على جودة التنفيذ وإدارة التغيير والموارد التنظيمية</w:t>
      </w:r>
      <w:r w:rsidRPr="00BC27A4">
        <w:rPr>
          <w:rFonts w:ascii="Traditional Arabic" w:hAnsi="Traditional Arabic" w:cs="Traditional Arabic"/>
        </w:rPr>
        <w:t xml:space="preserve"> Vial, 2019</w:t>
      </w:r>
      <w:r w:rsidR="00397F3A">
        <w:rPr>
          <w:rFonts w:ascii="Traditional Arabic" w:hAnsi="Traditional Arabic" w:cs="Traditional Arabic"/>
        </w:rPr>
        <w:t xml:space="preserve">) </w:t>
      </w:r>
      <w:r w:rsidRPr="00BC27A4">
        <w:rPr>
          <w:rFonts w:ascii="Traditional Arabic" w:hAnsi="Traditional Arabic" w:cs="Traditional Arabic"/>
          <w:rtl/>
        </w:rPr>
        <w:t>؛</w:t>
      </w:r>
      <w:r w:rsidR="00397F3A">
        <w:rPr>
          <w:rFonts w:ascii="Traditional Arabic" w:hAnsi="Traditional Arabic" w:cs="Traditional Arabic"/>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Mergel</w:t>
      </w:r>
      <w:proofErr w:type="spellEnd"/>
      <w:r w:rsidRPr="00BC27A4">
        <w:rPr>
          <w:rFonts w:ascii="Traditional Arabic" w:hAnsi="Traditional Arabic" w:cs="Traditional Arabic"/>
        </w:rPr>
        <w:t xml:space="preserve"> et al., 2019 </w:t>
      </w:r>
      <w:r w:rsidR="00397F3A">
        <w:rPr>
          <w:rFonts w:ascii="Traditional Arabic" w:hAnsi="Traditional Arabic" w:cs="Traditional Arabic" w:hint="cs"/>
          <w:rtl/>
        </w:rPr>
        <w:t xml:space="preserve"> </w:t>
      </w:r>
      <w:r w:rsidRPr="00BC27A4">
        <w:rPr>
          <w:rFonts w:ascii="Traditional Arabic" w:hAnsi="Traditional Arabic" w:cs="Traditional Arabic"/>
          <w:rtl/>
        </w:rPr>
        <w:t>كما تتفق أدبيات القبول على مركزية إدراك الفائدة/السهولة في تفسير قبول التقنية ضمن بيئات العمل</w:t>
      </w:r>
      <w:r w:rsidRPr="00BC27A4">
        <w:rPr>
          <w:rFonts w:ascii="Traditional Arabic" w:hAnsi="Traditional Arabic" w:cs="Traditional Arabic"/>
        </w:rPr>
        <w:t xml:space="preserve"> (Davis, 1989)</w:t>
      </w:r>
      <w:r w:rsidRPr="00BC27A4">
        <w:rPr>
          <w:rFonts w:ascii="Traditional Arabic" w:hAnsi="Traditional Arabic" w:cs="Traditional Arabic"/>
          <w:rtl/>
        </w:rPr>
        <w:t xml:space="preserve">، وتتفق أدبيات الإجهاد التقني على وجود </w:t>
      </w:r>
      <w:r w:rsidR="002F488C">
        <w:rPr>
          <w:rFonts w:ascii="Traditional Arabic" w:hAnsi="Traditional Arabic" w:cs="Traditional Arabic"/>
          <w:rtl/>
        </w:rPr>
        <w:t>"</w:t>
      </w:r>
      <w:r w:rsidRPr="00BC27A4">
        <w:rPr>
          <w:rFonts w:ascii="Traditional Arabic" w:hAnsi="Traditional Arabic" w:cs="Traditional Arabic"/>
          <w:rtl/>
        </w:rPr>
        <w:t>صانعات</w:t>
      </w:r>
      <w:r w:rsidR="002F488C">
        <w:rPr>
          <w:rFonts w:ascii="Traditional Arabic" w:hAnsi="Traditional Arabic" w:cs="Traditional Arabic"/>
          <w:rtl/>
        </w:rPr>
        <w:t>"</w:t>
      </w:r>
      <w:r w:rsidRPr="00BC27A4">
        <w:rPr>
          <w:rFonts w:ascii="Traditional Arabic" w:hAnsi="Traditional Arabic" w:cs="Traditional Arabic"/>
          <w:rtl/>
        </w:rPr>
        <w:t xml:space="preserve"> تؤثر سلبًا في مخرجات الموظف مع قابلية التخفيف عبر موارد تنظيمية</w:t>
      </w:r>
      <w:r w:rsidRPr="00BC27A4">
        <w:rPr>
          <w:rFonts w:ascii="Traditional Arabic" w:hAnsi="Traditional Arabic" w:cs="Traditional Arabic"/>
        </w:rPr>
        <w:t xml:space="preserve"> (Ragu-Nathan et al., 2008</w:t>
      </w:r>
      <w:r w:rsidRPr="00BC27A4">
        <w:rPr>
          <w:rFonts w:ascii="Traditional Arabic" w:hAnsi="Traditional Arabic" w:cs="Traditional Arabic"/>
          <w:rtl/>
        </w:rPr>
        <w:t>؛</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Tarafdar</w:t>
      </w:r>
      <w:proofErr w:type="spellEnd"/>
      <w:r w:rsidRPr="00BC27A4">
        <w:rPr>
          <w:rFonts w:ascii="Traditional Arabic" w:hAnsi="Traditional Arabic" w:cs="Traditional Arabic"/>
        </w:rPr>
        <w:t xml:space="preserve"> et al., 2011</w:t>
      </w:r>
      <w:r w:rsidR="00397F3A">
        <w:rPr>
          <w:rFonts w:ascii="Traditional Arabic" w:hAnsi="Traditional Arabic" w:cs="Traditional Arabic" w:hint="cs"/>
          <w:rtl/>
        </w:rPr>
        <w:t>).</w:t>
      </w:r>
    </w:p>
    <w:p w14:paraId="7583D174" w14:textId="4F67AD13"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2.3.2 </w:t>
      </w:r>
      <w:r w:rsidRPr="00BC27A4">
        <w:rPr>
          <w:rFonts w:ascii="Traditional Arabic" w:hAnsi="Traditional Arabic" w:cs="Traditional Arabic"/>
          <w:b/>
          <w:bCs/>
          <w:rtl/>
        </w:rPr>
        <w:t>أين ظهرت النتائج المتعارضة؟ ولماذا؟</w:t>
      </w:r>
      <w:r w:rsidRPr="00BC27A4">
        <w:rPr>
          <w:rFonts w:ascii="Traditional Arabic" w:hAnsi="Traditional Arabic" w:cs="Traditional Arabic"/>
        </w:rPr>
        <w:br/>
      </w:r>
      <w:r w:rsidRPr="00BC27A4">
        <w:rPr>
          <w:rFonts w:ascii="Traditional Arabic" w:hAnsi="Traditional Arabic" w:cs="Traditional Arabic"/>
          <w:rtl/>
        </w:rPr>
        <w:t xml:space="preserve">تظهر نتائج متعارضة بشأن </w:t>
      </w:r>
      <w:r w:rsidR="002F488C">
        <w:rPr>
          <w:rFonts w:ascii="Traditional Arabic" w:hAnsi="Traditional Arabic" w:cs="Traditional Arabic"/>
          <w:rtl/>
        </w:rPr>
        <w:t>"</w:t>
      </w:r>
      <w:r w:rsidRPr="00BC27A4">
        <w:rPr>
          <w:rFonts w:ascii="Traditional Arabic" w:hAnsi="Traditional Arabic" w:cs="Traditional Arabic"/>
          <w:rtl/>
        </w:rPr>
        <w:t>الأثر المباشر</w:t>
      </w:r>
      <w:r w:rsidR="002F488C">
        <w:rPr>
          <w:rFonts w:ascii="Traditional Arabic" w:hAnsi="Traditional Arabic" w:cs="Traditional Arabic"/>
          <w:rtl/>
        </w:rPr>
        <w:t>"</w:t>
      </w:r>
      <w:r w:rsidRPr="00BC27A4">
        <w:rPr>
          <w:rFonts w:ascii="Traditional Arabic" w:hAnsi="Traditional Arabic" w:cs="Traditional Arabic"/>
          <w:rtl/>
        </w:rPr>
        <w:t xml:space="preserve"> </w:t>
      </w:r>
      <w:proofErr w:type="spellStart"/>
      <w:r w:rsidRPr="00BC27A4">
        <w:rPr>
          <w:rFonts w:ascii="Traditional Arabic" w:hAnsi="Traditional Arabic" w:cs="Traditional Arabic"/>
          <w:rtl/>
        </w:rPr>
        <w:t>للرقمنة</w:t>
      </w:r>
      <w:proofErr w:type="spellEnd"/>
      <w:r w:rsidRPr="00BC27A4">
        <w:rPr>
          <w:rFonts w:ascii="Traditional Arabic" w:hAnsi="Traditional Arabic" w:cs="Traditional Arabic"/>
          <w:rtl/>
        </w:rPr>
        <w:t>/التحول على الرضا الوظيفي؛ إذ تُظهر بعض الأعمال أثرًا مباشرًا محدودًا أو غير دال مع بروز آثار غير مباشرة عبر خصائص تنظيم العمل</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Lechevalier</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Mofakhami</w:t>
      </w:r>
      <w:proofErr w:type="spellEnd"/>
      <w:r w:rsidRPr="00BC27A4">
        <w:rPr>
          <w:rFonts w:ascii="Traditional Arabic" w:hAnsi="Traditional Arabic" w:cs="Traditional Arabic"/>
        </w:rPr>
        <w:t>, 2025)</w:t>
      </w:r>
      <w:r w:rsidRPr="00BC27A4">
        <w:rPr>
          <w:rFonts w:ascii="Traditional Arabic" w:hAnsi="Traditional Arabic" w:cs="Traditional Arabic"/>
          <w:rtl/>
        </w:rPr>
        <w:t>، بينما تظهر أعمال أخرى أثرًا إيجابيًا عبر قنوات مثل الإنتاجية وإثراء العمل</w:t>
      </w:r>
      <w:r w:rsidRPr="00BC27A4">
        <w:rPr>
          <w:rFonts w:ascii="Traditional Arabic" w:hAnsi="Traditional Arabic" w:cs="Traditional Arabic"/>
        </w:rPr>
        <w:t xml:space="preserve"> (</w:t>
      </w:r>
      <w:proofErr w:type="spellStart"/>
      <w:r w:rsidRPr="00BC27A4">
        <w:rPr>
          <w:rFonts w:ascii="Traditional Arabic" w:hAnsi="Traditional Arabic" w:cs="Traditional Arabic"/>
        </w:rPr>
        <w:t>Bolli</w:t>
      </w:r>
      <w:proofErr w:type="spellEnd"/>
      <w:r w:rsidRPr="00BC27A4">
        <w:rPr>
          <w:rFonts w:ascii="Traditional Arabic" w:hAnsi="Traditional Arabic" w:cs="Traditional Arabic"/>
        </w:rPr>
        <w:t xml:space="preserve"> &amp; </w:t>
      </w:r>
      <w:proofErr w:type="spellStart"/>
      <w:r w:rsidRPr="00BC27A4">
        <w:rPr>
          <w:rFonts w:ascii="Traditional Arabic" w:hAnsi="Traditional Arabic" w:cs="Traditional Arabic"/>
        </w:rPr>
        <w:t>Pusterla</w:t>
      </w:r>
      <w:proofErr w:type="spellEnd"/>
      <w:r w:rsidRPr="00BC27A4">
        <w:rPr>
          <w:rFonts w:ascii="Traditional Arabic" w:hAnsi="Traditional Arabic" w:cs="Traditional Arabic"/>
        </w:rPr>
        <w:t xml:space="preserve">, 2022). </w:t>
      </w:r>
      <w:r w:rsidRPr="00BC27A4">
        <w:rPr>
          <w:rFonts w:ascii="Traditional Arabic" w:hAnsi="Traditional Arabic" w:cs="Traditional Arabic"/>
          <w:rtl/>
        </w:rPr>
        <w:t xml:space="preserve">ويُفسر جانب من هذا التعارض باختلاف كيفية تشغيل </w:t>
      </w:r>
      <w:r w:rsidR="002F488C">
        <w:rPr>
          <w:rFonts w:ascii="Traditional Arabic" w:hAnsi="Traditional Arabic" w:cs="Traditional Arabic"/>
          <w:rtl/>
        </w:rPr>
        <w:t>"</w:t>
      </w:r>
      <w:r w:rsidRPr="00BC27A4">
        <w:rPr>
          <w:rFonts w:ascii="Traditional Arabic" w:hAnsi="Traditional Arabic" w:cs="Traditional Arabic"/>
          <w:rtl/>
        </w:rPr>
        <w:t>التحول/</w:t>
      </w:r>
      <w:proofErr w:type="spellStart"/>
      <w:r w:rsidRPr="00BC27A4">
        <w:rPr>
          <w:rFonts w:ascii="Traditional Arabic" w:hAnsi="Traditional Arabic" w:cs="Traditional Arabic"/>
          <w:rtl/>
        </w:rPr>
        <w:t>الرقمنة</w:t>
      </w:r>
      <w:proofErr w:type="spellEnd"/>
      <w:r w:rsidR="002F488C">
        <w:rPr>
          <w:rFonts w:ascii="Traditional Arabic" w:hAnsi="Traditional Arabic" w:cs="Traditional Arabic"/>
          <w:rtl/>
        </w:rPr>
        <w:t>"</w:t>
      </w:r>
      <w:r w:rsidRPr="00BC27A4">
        <w:rPr>
          <w:rFonts w:ascii="Traditional Arabic" w:hAnsi="Traditional Arabic" w:cs="Traditional Arabic"/>
          <w:rtl/>
        </w:rPr>
        <w:t xml:space="preserve"> (استخدام رقمي عام مقابل أبعاد تشغيلية داخل مؤسسة)، واختلاف المهنة والسياق التنظيمي، وتفاوت نضج الأنظمة وجودة الدعم. كما تظهر نتائج متباينة في بعض تطبيقات</w:t>
      </w:r>
      <w:r w:rsidRPr="00BC27A4">
        <w:rPr>
          <w:rFonts w:ascii="Traditional Arabic" w:hAnsi="Traditional Arabic" w:cs="Traditional Arabic"/>
        </w:rPr>
        <w:t xml:space="preserve"> TAM </w:t>
      </w:r>
      <w:r w:rsidRPr="00BC27A4">
        <w:rPr>
          <w:rFonts w:ascii="Traditional Arabic" w:hAnsi="Traditional Arabic" w:cs="Traditional Arabic"/>
          <w:rtl/>
        </w:rPr>
        <w:t>بشأن دلالة</w:t>
      </w:r>
      <w:r w:rsidRPr="00BC27A4">
        <w:rPr>
          <w:rFonts w:ascii="Traditional Arabic" w:hAnsi="Traditional Arabic" w:cs="Traditional Arabic"/>
        </w:rPr>
        <w:t xml:space="preserve"> PU </w:t>
      </w:r>
      <w:r w:rsidRPr="00BC27A4">
        <w:rPr>
          <w:rFonts w:ascii="Traditional Arabic" w:hAnsi="Traditional Arabic" w:cs="Traditional Arabic"/>
          <w:rtl/>
        </w:rPr>
        <w:t>في الرضا/مخرجات الاستخدام</w:t>
      </w:r>
      <w:r w:rsidRPr="00BC27A4">
        <w:rPr>
          <w:rFonts w:ascii="Traditional Arabic" w:hAnsi="Traditional Arabic" w:cs="Traditional Arabic"/>
        </w:rPr>
        <w:t xml:space="preserve"> Jo &amp; Park, 2023</w:t>
      </w:r>
      <w:r w:rsidR="00397F3A">
        <w:rPr>
          <w:rFonts w:ascii="Traditional Arabic" w:hAnsi="Traditional Arabic" w:cs="Traditional Arabic"/>
        </w:rPr>
        <w:t>)</w:t>
      </w:r>
      <w:proofErr w:type="gramStart"/>
      <w:r w:rsidRPr="00BC27A4">
        <w:rPr>
          <w:rFonts w:ascii="Traditional Arabic" w:hAnsi="Traditional Arabic" w:cs="Traditional Arabic"/>
        </w:rPr>
        <w:t xml:space="preserve"> </w:t>
      </w:r>
      <w:r w:rsidR="00397F3A">
        <w:rPr>
          <w:rFonts w:ascii="Traditional Arabic" w:hAnsi="Traditional Arabic" w:cs="Traditional Arabic" w:hint="cs"/>
          <w:rtl/>
        </w:rPr>
        <w:t xml:space="preserve"> </w:t>
      </w:r>
      <w:r w:rsidRPr="00BC27A4">
        <w:rPr>
          <w:rFonts w:ascii="Traditional Arabic" w:hAnsi="Traditional Arabic" w:cs="Traditional Arabic"/>
        </w:rPr>
        <w:t xml:space="preserve"> </w:t>
      </w:r>
      <w:r w:rsidR="00397F3A">
        <w:rPr>
          <w:rFonts w:ascii="Traditional Arabic" w:hAnsi="Traditional Arabic" w:cs="Traditional Arabic"/>
        </w:rPr>
        <w:t>(</w:t>
      </w:r>
      <w:proofErr w:type="spellStart"/>
      <w:proofErr w:type="gramEnd"/>
      <w:r w:rsidRPr="00BC27A4">
        <w:rPr>
          <w:rFonts w:ascii="Traditional Arabic" w:hAnsi="Traditional Arabic" w:cs="Traditional Arabic"/>
        </w:rPr>
        <w:t>Badawy</w:t>
      </w:r>
      <w:proofErr w:type="spellEnd"/>
      <w:r w:rsidRPr="00BC27A4">
        <w:rPr>
          <w:rFonts w:ascii="Traditional Arabic" w:hAnsi="Traditional Arabic" w:cs="Traditional Arabic"/>
        </w:rPr>
        <w:t>, 2025</w:t>
      </w:r>
      <w:r w:rsidR="00397F3A">
        <w:rPr>
          <w:rFonts w:ascii="Traditional Arabic" w:hAnsi="Traditional Arabic" w:cs="Traditional Arabic"/>
        </w:rPr>
        <w:t>.</w:t>
      </w:r>
      <w:r w:rsidRPr="00BC27A4">
        <w:rPr>
          <w:rFonts w:ascii="Traditional Arabic" w:hAnsi="Traditional Arabic" w:cs="Traditional Arabic"/>
          <w:rtl/>
        </w:rPr>
        <w:t>، وهو ما يدعم ضرورة اختبار النموذج داخل سياق الوزارة بدل تعميم نتيجة واحدة</w:t>
      </w:r>
      <w:r w:rsidRPr="00BC27A4">
        <w:rPr>
          <w:rFonts w:ascii="Traditional Arabic" w:hAnsi="Traditional Arabic" w:cs="Traditional Arabic"/>
        </w:rPr>
        <w:t>.</w:t>
      </w:r>
    </w:p>
    <w:p w14:paraId="5D074560" w14:textId="031EAA75"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2.3.3 </w:t>
      </w:r>
      <w:r w:rsidRPr="00BC27A4">
        <w:rPr>
          <w:rFonts w:ascii="Traditional Arabic" w:hAnsi="Traditional Arabic" w:cs="Traditional Arabic"/>
          <w:b/>
          <w:bCs/>
          <w:rtl/>
        </w:rPr>
        <w:t>حدود الأدلة التي تستدعي البحث الحالي</w:t>
      </w:r>
      <w:r w:rsidRPr="00BC27A4">
        <w:rPr>
          <w:rFonts w:ascii="Traditional Arabic" w:hAnsi="Traditional Arabic" w:cs="Traditional Arabic"/>
        </w:rPr>
        <w:br/>
      </w:r>
      <w:r w:rsidRPr="00BC27A4">
        <w:rPr>
          <w:rFonts w:ascii="Traditional Arabic" w:hAnsi="Traditional Arabic" w:cs="Traditional Arabic"/>
          <w:rtl/>
        </w:rPr>
        <w:t>تتكرر حدود منهجية في الأدبيات: هيمنة التصاميم المقطعية، وتباين أدوات القياس، وتركز نتائج كثيرة على سياقات خارج القطاع العام السعودي، أو على رضا المستفيد الخارجي بدل الموظف. كما أن قلة من الدراسات تجمع في نموذج واحد بين</w:t>
      </w:r>
      <w:r w:rsidRPr="00BC27A4">
        <w:rPr>
          <w:rFonts w:ascii="Traditional Arabic" w:hAnsi="Traditional Arabic" w:cs="Traditional Arabic"/>
        </w:rPr>
        <w:t xml:space="preserve"> DTD </w:t>
      </w:r>
      <w:r w:rsidRPr="00BC27A4">
        <w:rPr>
          <w:rFonts w:ascii="Traditional Arabic" w:hAnsi="Traditional Arabic" w:cs="Traditional Arabic"/>
          <w:rtl/>
        </w:rPr>
        <w:t>متعدد الأبعاد ووساطة</w:t>
      </w:r>
      <w:r w:rsidRPr="00BC27A4">
        <w:rPr>
          <w:rFonts w:ascii="Traditional Arabic" w:hAnsi="Traditional Arabic" w:cs="Traditional Arabic"/>
        </w:rPr>
        <w:t xml:space="preserve"> TAM </w:t>
      </w:r>
      <w:r w:rsidRPr="00BC27A4">
        <w:rPr>
          <w:rFonts w:ascii="Traditional Arabic" w:hAnsi="Traditional Arabic" w:cs="Traditional Arabic"/>
          <w:rtl/>
        </w:rPr>
        <w:t>و</w:t>
      </w:r>
      <w:r w:rsidRPr="00BC27A4">
        <w:rPr>
          <w:rFonts w:ascii="Traditional Arabic" w:hAnsi="Traditional Arabic" w:cs="Traditional Arabic"/>
        </w:rPr>
        <w:t xml:space="preserve">Technostress </w:t>
      </w:r>
      <w:r w:rsidRPr="00BC27A4">
        <w:rPr>
          <w:rFonts w:ascii="Traditional Arabic" w:hAnsi="Traditional Arabic" w:cs="Traditional Arabic"/>
          <w:rtl/>
        </w:rPr>
        <w:t>والاعتدال الديموغرافي</w:t>
      </w:r>
      <w:r w:rsidRPr="00BC27A4">
        <w:rPr>
          <w:rFonts w:ascii="Traditional Arabic" w:hAnsi="Traditional Arabic" w:cs="Traditional Arabic"/>
        </w:rPr>
        <w:t>.</w:t>
      </w:r>
    </w:p>
    <w:p w14:paraId="7AFD65FD" w14:textId="5DE40F17" w:rsidR="00BC27A4" w:rsidRPr="00D70865"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2.3.4 </w:t>
      </w:r>
      <w:r w:rsidRPr="00BC27A4">
        <w:rPr>
          <w:rFonts w:ascii="Traditional Arabic" w:hAnsi="Traditional Arabic" w:cs="Traditional Arabic"/>
          <w:b/>
          <w:bCs/>
          <w:rtl/>
        </w:rPr>
        <w:t>الفجوة البحثية بثلاثة مستويات وربطها بأسئلة/فرضيات الدراسة</w:t>
      </w:r>
      <w:r w:rsidRPr="00BC27A4">
        <w:rPr>
          <w:rFonts w:ascii="Traditional Arabic" w:hAnsi="Traditional Arabic" w:cs="Traditional Arabic"/>
        </w:rPr>
        <w:br/>
      </w:r>
      <w:r w:rsidRPr="00BC27A4">
        <w:rPr>
          <w:rFonts w:ascii="Traditional Arabic" w:hAnsi="Traditional Arabic" w:cs="Traditional Arabic"/>
          <w:rtl/>
        </w:rPr>
        <w:t>الفجوة النظرية: تتمثل في محدودية الأعمال التي تُشغّل التحول الرقمي المؤسسي إلى أبعاد تشغيلية داخلية قابلة للقياس، ثم تربطها في نموذج واحد بآليتين تفسيريّتين متوازيتين على مستوى الموظف</w:t>
      </w:r>
      <w:r w:rsidRPr="00BC27A4">
        <w:rPr>
          <w:rFonts w:ascii="Traditional Arabic" w:hAnsi="Traditional Arabic" w:cs="Traditional Arabic"/>
        </w:rPr>
        <w:t xml:space="preserve"> (TAM</w:t>
      </w:r>
      <w:r w:rsidR="00397F3A">
        <w:rPr>
          <w:rFonts w:ascii="Traditional Arabic" w:hAnsi="Traditional Arabic" w:cs="Traditional Arabic"/>
        </w:rPr>
        <w:t>)</w:t>
      </w:r>
      <w:r w:rsidRPr="00BC27A4">
        <w:rPr>
          <w:rFonts w:ascii="Traditional Arabic" w:hAnsi="Traditional Arabic" w:cs="Traditional Arabic"/>
        </w:rPr>
        <w:t xml:space="preserve"> </w:t>
      </w:r>
      <w:r w:rsidRPr="00BC27A4">
        <w:rPr>
          <w:rFonts w:ascii="Traditional Arabic" w:hAnsi="Traditional Arabic" w:cs="Traditional Arabic"/>
          <w:rtl/>
        </w:rPr>
        <w:t>و</w:t>
      </w:r>
      <w:r w:rsidRPr="00BC27A4">
        <w:rPr>
          <w:rFonts w:ascii="Traditional Arabic" w:hAnsi="Traditional Arabic" w:cs="Traditional Arabic"/>
        </w:rPr>
        <w:t>Technostress</w:t>
      </w:r>
      <w:proofErr w:type="gramStart"/>
      <w:r w:rsidR="00397F3A">
        <w:rPr>
          <w:rFonts w:ascii="Traditional Arabic" w:hAnsi="Traditional Arabic" w:cs="Traditional Arabic"/>
        </w:rPr>
        <w:t>)</w:t>
      </w:r>
      <w:r w:rsidRPr="00BC27A4">
        <w:rPr>
          <w:rFonts w:ascii="Traditional Arabic" w:hAnsi="Traditional Arabic" w:cs="Traditional Arabic"/>
        </w:rPr>
        <w:t xml:space="preserve"> </w:t>
      </w:r>
      <w:r w:rsidR="00397F3A">
        <w:rPr>
          <w:rFonts w:ascii="Traditional Arabic" w:hAnsi="Traditional Arabic" w:cs="Traditional Arabic" w:hint="cs"/>
          <w:rtl/>
        </w:rPr>
        <w:t>)</w:t>
      </w:r>
      <w:proofErr w:type="gramEnd"/>
      <w:r w:rsidR="00397F3A">
        <w:rPr>
          <w:rFonts w:ascii="Traditional Arabic" w:hAnsi="Traditional Arabic" w:cs="Traditional Arabic" w:hint="cs"/>
          <w:rtl/>
        </w:rPr>
        <w:t xml:space="preserve"> </w:t>
      </w:r>
      <w:r w:rsidRPr="00BC27A4">
        <w:rPr>
          <w:rFonts w:ascii="Traditional Arabic" w:hAnsi="Traditional Arabic" w:cs="Traditional Arabic"/>
          <w:rtl/>
        </w:rPr>
        <w:t xml:space="preserve">وصولًا إلى الرضا الوظيفي. </w:t>
      </w:r>
      <w:r w:rsidRPr="00BC27A4">
        <w:rPr>
          <w:rFonts w:ascii="Traditional Arabic" w:hAnsi="Traditional Arabic" w:cs="Traditional Arabic"/>
          <w:rtl/>
        </w:rPr>
        <w:lastRenderedPageBreak/>
        <w:t>وتستهدف الدراسة سد هذه الفجوة عبر فرضيات الوساطة</w:t>
      </w:r>
      <w:r w:rsidRPr="00BC27A4">
        <w:rPr>
          <w:rFonts w:ascii="Traditional Arabic" w:hAnsi="Traditional Arabic" w:cs="Traditional Arabic"/>
        </w:rPr>
        <w:t xml:space="preserve"> H2c</w:t>
      </w:r>
      <w:proofErr w:type="gramStart"/>
      <w:r w:rsidR="00397F3A">
        <w:rPr>
          <w:rFonts w:ascii="Traditional Arabic" w:hAnsi="Traditional Arabic" w:cs="Traditional Arabic"/>
        </w:rPr>
        <w:t xml:space="preserve">) </w:t>
      </w:r>
      <w:r w:rsidRPr="00BC27A4">
        <w:rPr>
          <w:rFonts w:ascii="Traditional Arabic" w:hAnsi="Traditional Arabic" w:cs="Traditional Arabic"/>
          <w:rtl/>
        </w:rPr>
        <w:t>؛</w:t>
      </w:r>
      <w:proofErr w:type="gramEnd"/>
      <w:r w:rsidRPr="00BC27A4">
        <w:rPr>
          <w:rFonts w:ascii="Traditional Arabic" w:hAnsi="Traditional Arabic" w:cs="Traditional Arabic"/>
        </w:rPr>
        <w:t xml:space="preserve"> H3e</w:t>
      </w:r>
      <w:r w:rsidRPr="00BC27A4">
        <w:rPr>
          <w:rFonts w:ascii="Traditional Arabic" w:hAnsi="Traditional Arabic" w:cs="Traditional Arabic"/>
          <w:rtl/>
        </w:rPr>
        <w:t>؛</w:t>
      </w:r>
      <w:r w:rsidR="00397F3A">
        <w:rPr>
          <w:rFonts w:ascii="Traditional Arabic" w:hAnsi="Traditional Arabic" w:cs="Traditional Arabic"/>
        </w:rPr>
        <w:t>(</w:t>
      </w:r>
      <w:r w:rsidRPr="00BC27A4">
        <w:rPr>
          <w:rFonts w:ascii="Traditional Arabic" w:hAnsi="Traditional Arabic" w:cs="Traditional Arabic"/>
        </w:rPr>
        <w:t xml:space="preserve"> H3f </w:t>
      </w:r>
      <w:r w:rsidR="00397F3A">
        <w:rPr>
          <w:rFonts w:ascii="Traditional Arabic" w:hAnsi="Traditional Arabic" w:cs="Traditional Arabic" w:hint="cs"/>
          <w:rtl/>
        </w:rPr>
        <w:t xml:space="preserve"> </w:t>
      </w:r>
      <w:r w:rsidRPr="00BC27A4">
        <w:rPr>
          <w:rFonts w:ascii="Traditional Arabic" w:hAnsi="Traditional Arabic" w:cs="Traditional Arabic"/>
          <w:rtl/>
        </w:rPr>
        <w:t>وبناء جدول ربط النظرية بالفرضيات (جدول</w:t>
      </w:r>
      <w:r w:rsidRPr="00D70865">
        <w:rPr>
          <w:rFonts w:ascii="Traditional Arabic" w:hAnsi="Traditional Arabic" w:cs="Traditional Arabic"/>
          <w:rtl/>
        </w:rPr>
        <w:t xml:space="preserve"> 2-3) بما يخدم سؤال (س3)</w:t>
      </w:r>
      <w:r w:rsidRPr="00D70865">
        <w:rPr>
          <w:rFonts w:ascii="Traditional Arabic" w:hAnsi="Traditional Arabic" w:cs="Traditional Arabic"/>
        </w:rPr>
        <w:t>.</w:t>
      </w:r>
    </w:p>
    <w:p w14:paraId="663E8D40" w14:textId="77777777" w:rsidR="00BC27A4" w:rsidRPr="00D70865" w:rsidRDefault="00BC27A4" w:rsidP="00BC27A4">
      <w:pPr>
        <w:bidi/>
        <w:spacing w:after="160" w:line="360" w:lineRule="auto"/>
        <w:divId w:val="1647278641"/>
        <w:rPr>
          <w:rFonts w:ascii="Traditional Arabic" w:hAnsi="Traditional Arabic" w:cs="Traditional Arabic"/>
        </w:rPr>
      </w:pPr>
      <w:r w:rsidRPr="00D70865">
        <w:rPr>
          <w:rFonts w:ascii="Traditional Arabic" w:hAnsi="Traditional Arabic" w:cs="Traditional Arabic"/>
          <w:rtl/>
        </w:rPr>
        <w:t>الفجوة السياقية/التطبيقية: تتمثل في محدودية الأدلة الميدانية التي تقيس أثر التحول الرقمي المؤسسي على الرضا الوظيفي للموظفين داخل جهة حكومية سعودية محددة مثل وزارة الموارد البشرية والتنمية الاجتماعية، مع تشغيل التحول إلى أبعاد تمس خبرة الموظف اليومية. وتُعالج الدراسة ذلك باختبار الأثر المباشر لأبعاد</w:t>
      </w:r>
      <w:r w:rsidRPr="00D70865">
        <w:rPr>
          <w:rFonts w:ascii="Traditional Arabic" w:hAnsi="Traditional Arabic" w:cs="Traditional Arabic"/>
        </w:rPr>
        <w:t xml:space="preserve"> DTD </w:t>
      </w:r>
      <w:r w:rsidRPr="00D70865">
        <w:rPr>
          <w:rFonts w:ascii="Traditional Arabic" w:hAnsi="Traditional Arabic" w:cs="Traditional Arabic"/>
          <w:rtl/>
        </w:rPr>
        <w:t>الأربعة على الرضا</w:t>
      </w:r>
      <w:r w:rsidRPr="00D70865">
        <w:rPr>
          <w:rFonts w:ascii="Traditional Arabic" w:hAnsi="Traditional Arabic" w:cs="Traditional Arabic"/>
        </w:rPr>
        <w:t xml:space="preserve"> (H1a–H1d) </w:t>
      </w:r>
      <w:r w:rsidRPr="00D70865">
        <w:rPr>
          <w:rFonts w:ascii="Traditional Arabic" w:hAnsi="Traditional Arabic" w:cs="Traditional Arabic"/>
          <w:rtl/>
        </w:rPr>
        <w:t>ضمن سياق الوزارة، بما يخدم سؤال (س2) ويستند إلى قياس مستويات المتغيرات (س1)</w:t>
      </w:r>
      <w:r w:rsidRPr="00D70865">
        <w:rPr>
          <w:rFonts w:ascii="Traditional Arabic" w:hAnsi="Traditional Arabic" w:cs="Traditional Arabic"/>
        </w:rPr>
        <w:t>.</w:t>
      </w:r>
    </w:p>
    <w:p w14:paraId="08BDB149" w14:textId="74E43BD4" w:rsidR="00BC27A4" w:rsidRPr="00D70865" w:rsidRDefault="00BC27A4" w:rsidP="00BC27A4">
      <w:pPr>
        <w:bidi/>
        <w:spacing w:after="160" w:line="360" w:lineRule="auto"/>
        <w:divId w:val="1647278641"/>
        <w:rPr>
          <w:rFonts w:ascii="Traditional Arabic" w:hAnsi="Traditional Arabic" w:cs="Traditional Arabic"/>
          <w:rtl/>
        </w:rPr>
      </w:pPr>
      <w:r w:rsidRPr="00D70865">
        <w:rPr>
          <w:rFonts w:ascii="Traditional Arabic" w:hAnsi="Traditional Arabic" w:cs="Traditional Arabic"/>
          <w:rtl/>
        </w:rPr>
        <w:t>الفجوة المنهجية: تتمثل في ندرة النماذج الكمية المتكاملة التي تختبر المسارات المباشرة وغير المباشرة والاعتدال الديموغرافي في آن واحد ضمن سياق حكومي، مع ضبط جودة القياس وشفافية البيانات المنهجية. وتُعالج الدراسة ذلك باختبار نموذج سببي متكامل وفق الفرضيات</w:t>
      </w:r>
      <w:r w:rsidRPr="00D70865">
        <w:rPr>
          <w:rFonts w:ascii="Traditional Arabic" w:hAnsi="Traditional Arabic" w:cs="Traditional Arabic"/>
        </w:rPr>
        <w:t xml:space="preserve"> (H1–H4) </w:t>
      </w:r>
      <w:r w:rsidRPr="00D70865">
        <w:rPr>
          <w:rFonts w:ascii="Traditional Arabic" w:hAnsi="Traditional Arabic" w:cs="Traditional Arabic"/>
          <w:rtl/>
        </w:rPr>
        <w:t>والتحقق من تغاير العلاقة بحسب الديموغرافيات</w:t>
      </w:r>
      <w:r w:rsidRPr="00D70865">
        <w:rPr>
          <w:rFonts w:ascii="Traditional Arabic" w:hAnsi="Traditional Arabic" w:cs="Traditional Arabic"/>
        </w:rPr>
        <w:t xml:space="preserve"> (H4) </w:t>
      </w:r>
      <w:r w:rsidRPr="00D70865">
        <w:rPr>
          <w:rFonts w:ascii="Traditional Arabic" w:hAnsi="Traditional Arabic" w:cs="Traditional Arabic"/>
          <w:rtl/>
        </w:rPr>
        <w:t>بما يخدم سؤال (س4)، مع الالتزام بإجراءات الصدق والثبات وخطة التحليل كما ستُعرض في الفصل الثالث</w:t>
      </w:r>
      <w:r w:rsidRPr="00D70865">
        <w:rPr>
          <w:rFonts w:ascii="Traditional Arabic" w:hAnsi="Traditional Arabic" w:cs="Traditional Arabic"/>
        </w:rPr>
        <w:t>.</w:t>
      </w:r>
    </w:p>
    <w:p w14:paraId="6A239DFF" w14:textId="77777777" w:rsidR="00D70865" w:rsidRPr="00D70865" w:rsidRDefault="00D70865" w:rsidP="00D70865">
      <w:pPr>
        <w:bidi/>
        <w:spacing w:after="160" w:line="360" w:lineRule="auto"/>
        <w:divId w:val="1647278641"/>
        <w:rPr>
          <w:rFonts w:ascii="Traditional Arabic" w:hAnsi="Traditional Arabic" w:cs="Traditional Arabic"/>
        </w:rPr>
      </w:pPr>
      <w:r w:rsidRPr="00D70865">
        <w:rPr>
          <w:rFonts w:ascii="Traditional Arabic" w:hAnsi="Traditional Arabic" w:cs="Traditional Arabic"/>
          <w:rtl/>
        </w:rPr>
        <w:t>تتحدد الفجوة البحثية في هذه الدراسة على ثلاثة مستويات مترابطة</w:t>
      </w:r>
      <w:r w:rsidRPr="00D70865">
        <w:rPr>
          <w:rFonts w:ascii="Traditional Arabic" w:hAnsi="Traditional Arabic" w:cs="Traditional Arabic"/>
        </w:rPr>
        <w:t>. </w:t>
      </w:r>
      <w:r w:rsidRPr="00D70865">
        <w:rPr>
          <w:rFonts w:ascii="Traditional Arabic" w:hAnsi="Traditional Arabic" w:cs="Traditional Arabic"/>
          <w:rtl/>
        </w:rPr>
        <w:t>أولًا، على المستوى النظري، ما تزال الأدبيات موزعة بين أعمال تفسر التحوّل الرقمي بوصفه تحولًا مؤسسيًا شاملًا، وأعمال تركز على قبول التقنية، وأخرى تنظر إلى الإجهاد التقني وآثاره السلبية؛ بينما يظل دمج هذه الخطوط النظرية في نموذج واحد يفسر كيف تنتقل آثار التحوّل الرقمي المؤسسي إلى الرضا الوظيفي عبر مسارين متوازيين محدودًا نسبيًا</w:t>
      </w:r>
      <w:r w:rsidRPr="00D70865">
        <w:rPr>
          <w:rFonts w:ascii="Traditional Arabic" w:hAnsi="Traditional Arabic" w:cs="Traditional Arabic"/>
        </w:rPr>
        <w:t>. </w:t>
      </w:r>
      <w:r w:rsidRPr="00D70865">
        <w:rPr>
          <w:rFonts w:ascii="Traditional Arabic" w:hAnsi="Traditional Arabic" w:cs="Traditional Arabic"/>
          <w:rtl/>
        </w:rPr>
        <w:t xml:space="preserve">ثانيًا، على المستوى </w:t>
      </w:r>
      <w:proofErr w:type="spellStart"/>
      <w:r w:rsidRPr="00D70865">
        <w:rPr>
          <w:rFonts w:ascii="Traditional Arabic" w:hAnsi="Traditional Arabic" w:cs="Traditional Arabic"/>
          <w:rtl/>
        </w:rPr>
        <w:t>السياقي</w:t>
      </w:r>
      <w:proofErr w:type="spellEnd"/>
      <w:r w:rsidRPr="00D70865">
        <w:rPr>
          <w:rFonts w:ascii="Traditional Arabic" w:hAnsi="Traditional Arabic" w:cs="Traditional Arabic"/>
          <w:rtl/>
        </w:rPr>
        <w:t>/التطبيقي، تتركز الأدلة الحديثة في سياقات تعليمية، أو مصرفية، أو قطاع خاص، أو إدارات محلية خارج المملكة العربية السعودية، في حين يظل اختبار هذه العلاقات داخل وزارة حكومية سعودية كبرى محدودًا، رغم اختلاف متطلبات الحوكمة، وطبيعة الإجراءات، وشكل التفاعل اليومي مع الأنظمة الرقمية في القطاع العام</w:t>
      </w:r>
      <w:r w:rsidRPr="00D70865">
        <w:rPr>
          <w:rFonts w:ascii="Traditional Arabic" w:hAnsi="Traditional Arabic" w:cs="Traditional Arabic"/>
        </w:rPr>
        <w:t>. </w:t>
      </w:r>
      <w:r w:rsidRPr="00D70865">
        <w:rPr>
          <w:rFonts w:ascii="Traditional Arabic" w:hAnsi="Traditional Arabic" w:cs="Traditional Arabic"/>
          <w:rtl/>
        </w:rPr>
        <w:t>ثالثًا، على المستوى المنهجي، يغلب على الأدبيات استخدام تصميمات مقطعية تدرس إما مخرجات غير الرضا الوظيفي، أو نية القبول/رضا المستخدم عن النظام بدل الرضا الوظيفي بوصفه مخرجًا نهائيًا، كما أن كثيرًا منها لا يفحص أبعاد التحوّل الرقمي المؤسسي بوصفها بناءً متعدد الأبعاد داخل نموذج واحد يضم المتغيرات الوسيطة والمعدلة</w:t>
      </w:r>
      <w:r w:rsidRPr="00D70865">
        <w:rPr>
          <w:rFonts w:ascii="Traditional Arabic" w:hAnsi="Traditional Arabic" w:cs="Traditional Arabic"/>
        </w:rPr>
        <w:t>. </w:t>
      </w:r>
    </w:p>
    <w:p w14:paraId="737125D6" w14:textId="4AAFB360" w:rsidR="00D70865" w:rsidRDefault="00D70865" w:rsidP="00D70865">
      <w:pPr>
        <w:bidi/>
        <w:spacing w:after="160" w:line="360" w:lineRule="auto"/>
        <w:divId w:val="1647278641"/>
        <w:rPr>
          <w:rFonts w:ascii="Traditional Arabic" w:hAnsi="Traditional Arabic" w:cs="Traditional Arabic"/>
          <w:rtl/>
        </w:rPr>
      </w:pPr>
      <w:r w:rsidRPr="00D70865">
        <w:rPr>
          <w:rFonts w:ascii="Traditional Arabic" w:hAnsi="Traditional Arabic" w:cs="Traditional Arabic"/>
          <w:rtl/>
        </w:rPr>
        <w:t>وبناءً على ذلك، تتجه الدراسة الحالية إلى سد هذه الفجوات من خلال اختبار نموذج يجمع بين: أبعاد التحوّل الرقمي المؤسسي، وقبول التقنية، والإجهاد التقني، والرضا الوظيفي، مع فحص أثر الخصائص الديموغرافية بوصفها عوامل معدلة. ومن ثمّ فإن أسئلة الدراسة وفرضياتها لا تنطلق من فراغ، بل من حاجة نظرية إلى دمج المسارين التفسيريين، ومن حاجة تطبيقية إلى اختبارهما في سياق حكومي سعودي محدد، ومن حاجة منهجية إلى بناء نموذج أكثر تكاملًا واتساقًا بين البناء النظري والقياس والأثر المفترض</w:t>
      </w:r>
      <w:r w:rsidRPr="00D70865">
        <w:rPr>
          <w:rFonts w:ascii="Traditional Arabic" w:hAnsi="Traditional Arabic" w:cs="Traditional Arabic"/>
        </w:rPr>
        <w:t>. </w:t>
      </w:r>
    </w:p>
    <w:p w14:paraId="51815792" w14:textId="019202BD" w:rsidR="008A75B0" w:rsidRPr="00D70865" w:rsidRDefault="008A75B0" w:rsidP="008A75B0">
      <w:pPr>
        <w:bidi/>
        <w:spacing w:after="160" w:line="360" w:lineRule="auto"/>
        <w:divId w:val="1647278641"/>
        <w:rPr>
          <w:rFonts w:ascii="Traditional Arabic" w:hAnsi="Traditional Arabic" w:cs="Traditional Arabic"/>
        </w:rPr>
      </w:pPr>
      <w:r w:rsidRPr="008A75B0">
        <w:rPr>
          <w:rFonts w:ascii="Traditional Arabic" w:hAnsi="Traditional Arabic" w:cs="Traditional Arabic"/>
          <w:rtl/>
        </w:rPr>
        <w:lastRenderedPageBreak/>
        <w:t>تخلص الدراسة، في ضوء ما سبق، إلى أن الفجوة البحثية ليست فجوة عامة في موضوع التحوّل الرقمي، بل فجوة محددة البنية</w:t>
      </w:r>
      <w:r w:rsidRPr="008A75B0">
        <w:rPr>
          <w:rFonts w:ascii="Traditional Arabic" w:hAnsi="Traditional Arabic" w:cs="Traditional Arabic"/>
        </w:rPr>
        <w:t xml:space="preserve">. </w:t>
      </w:r>
      <w:r w:rsidRPr="008A75B0">
        <w:rPr>
          <w:rFonts w:ascii="Traditional Arabic" w:hAnsi="Traditional Arabic" w:cs="Traditional Arabic"/>
          <w:rtl/>
        </w:rPr>
        <w:t xml:space="preserve">فهي، نظريًا، تتمثل في ضعف الدمج بين تفسير الأثر الإيجابي للتحوّل الرقمي عبر قبول التقنية وتفسير أثره السلبي عبر الإجهاد التقني داخل نموذج واحد. وهي، </w:t>
      </w:r>
      <w:proofErr w:type="spellStart"/>
      <w:r w:rsidRPr="008A75B0">
        <w:rPr>
          <w:rFonts w:ascii="Traditional Arabic" w:hAnsi="Traditional Arabic" w:cs="Traditional Arabic"/>
          <w:rtl/>
        </w:rPr>
        <w:t>سياقيًا</w:t>
      </w:r>
      <w:proofErr w:type="spellEnd"/>
      <w:r w:rsidRPr="008A75B0">
        <w:rPr>
          <w:rFonts w:ascii="Traditional Arabic" w:hAnsi="Traditional Arabic" w:cs="Traditional Arabic"/>
          <w:rtl/>
        </w:rPr>
        <w:t>، تتمثل في محدودية الأدلة التي اختبرت هذه العلاقات داخل مؤسسة حكومية سعودية، رغم اختلاف منطق التحوّل الرقمي في القطاع العام عن كثير من السياقات الخاصة أو الأكاديمية. وهي، منهجيًا، تتمثل في ندرة الدراسات التي تقيس التحوّل الرقمي المؤسسي بوصفه بناءً متعدد الأبعاد، ثم تربطه بالرضا الوظيفي من خلال متغيرات وسيطة ومعدلة ضمن نموذج مفاهيمي متكامل. ومن هنا تتحدد مساهمة الدراسة الحالية في اختبار هذا النموذج على مستوى الأسئلة والفرضيات جميعًا: تفسير الأثر المباشر للتحوّل الرقمي، وتفسير أثره غير المباشر عبر قبول التقنية والإجهاد التقني، وتفسير تباينه باختلاف الخصائص الديموغرافية</w:t>
      </w:r>
      <w:r w:rsidRPr="008A75B0">
        <w:rPr>
          <w:rFonts w:ascii="Traditional Arabic" w:hAnsi="Traditional Arabic" w:cs="Traditional Arabic"/>
        </w:rPr>
        <w:t>. </w:t>
      </w:r>
    </w:p>
    <w:p w14:paraId="18DFFB1C" w14:textId="77777777" w:rsidR="00D70865" w:rsidRPr="00BC27A4" w:rsidRDefault="00D70865" w:rsidP="00D70865">
      <w:pPr>
        <w:bidi/>
        <w:spacing w:after="160" w:line="360" w:lineRule="auto"/>
        <w:divId w:val="1647278641"/>
        <w:rPr>
          <w:rFonts w:ascii="Traditional Arabic" w:hAnsi="Traditional Arabic" w:cs="Traditional Arabic"/>
        </w:rPr>
      </w:pPr>
    </w:p>
    <w:p w14:paraId="7046F99C" w14:textId="190CC053" w:rsidR="00BC27A4" w:rsidRPr="00BC27A4" w:rsidRDefault="00BC27A4" w:rsidP="00BC27A4">
      <w:pPr>
        <w:bidi/>
        <w:spacing w:after="160" w:line="360" w:lineRule="auto"/>
        <w:divId w:val="1647278641"/>
        <w:rPr>
          <w:rFonts w:ascii="Traditional Arabic" w:hAnsi="Traditional Arabic" w:cs="Traditional Arabic"/>
        </w:rPr>
      </w:pPr>
      <w:r>
        <w:rPr>
          <w:rFonts w:ascii="Traditional Arabic" w:hAnsi="Traditional Arabic" w:cs="Traditional Arabic"/>
          <w:b/>
          <w:bCs/>
        </w:rPr>
        <w:t xml:space="preserve"> </w:t>
      </w:r>
      <w:r w:rsidRPr="00BC27A4">
        <w:rPr>
          <w:rFonts w:ascii="Traditional Arabic" w:hAnsi="Traditional Arabic" w:cs="Traditional Arabic"/>
          <w:b/>
          <w:bCs/>
        </w:rPr>
        <w:t xml:space="preserve">2.3.5 </w:t>
      </w:r>
      <w:r w:rsidRPr="00BC27A4">
        <w:rPr>
          <w:rFonts w:ascii="Traditional Arabic" w:hAnsi="Traditional Arabic" w:cs="Traditional Arabic"/>
          <w:b/>
          <w:bCs/>
          <w:rtl/>
        </w:rPr>
        <w:t>تمهيد للفصل الثالث</w:t>
      </w:r>
      <w:r w:rsidRPr="00BC27A4">
        <w:rPr>
          <w:rFonts w:ascii="Traditional Arabic" w:hAnsi="Traditional Arabic" w:cs="Traditional Arabic"/>
        </w:rPr>
        <w:br/>
      </w:r>
      <w:r w:rsidRPr="00BC27A4">
        <w:rPr>
          <w:rFonts w:ascii="Traditional Arabic" w:hAnsi="Traditional Arabic" w:cs="Traditional Arabic"/>
          <w:rtl/>
        </w:rPr>
        <w:t>وبناءً على ما سبق، يُعرض في الفصل الثالث المنهج المتبع وإجراءات جمع البيانات وأداة القياس، واختبارات الصدق والثبات، وخطة التحليل الإحصائي لاختبار الفرضيات والمسارات الواردة في النموذج، بما يتيح الانتقال من التأسيس النظري إلى الاختبار الميداني المنظم</w:t>
      </w:r>
      <w:r w:rsidRPr="00BC27A4">
        <w:rPr>
          <w:rFonts w:ascii="Traditional Arabic" w:hAnsi="Traditional Arabic" w:cs="Traditional Arabic"/>
        </w:rPr>
        <w:t>.</w:t>
      </w:r>
    </w:p>
    <w:p w14:paraId="1FF11933" w14:textId="57789F19" w:rsidR="003627DB" w:rsidRDefault="003627DB" w:rsidP="003627DB">
      <w:pPr>
        <w:bidi/>
        <w:spacing w:after="160" w:line="360" w:lineRule="auto"/>
        <w:divId w:val="1647278641"/>
        <w:rPr>
          <w:rFonts w:ascii="Traditional Arabic" w:hAnsi="Traditional Arabic" w:cs="Traditional Arabic"/>
          <w:rtl/>
        </w:rPr>
      </w:pPr>
    </w:p>
    <w:p w14:paraId="497C6091" w14:textId="43917663" w:rsidR="00BC27A4" w:rsidRDefault="00BC27A4" w:rsidP="00BC27A4">
      <w:pPr>
        <w:bidi/>
        <w:spacing w:after="160" w:line="360" w:lineRule="auto"/>
        <w:divId w:val="1647278641"/>
        <w:rPr>
          <w:rFonts w:ascii="Traditional Arabic" w:hAnsi="Traditional Arabic" w:cs="Traditional Arabic"/>
          <w:rtl/>
        </w:rPr>
      </w:pPr>
    </w:p>
    <w:p w14:paraId="3E779A64" w14:textId="0D6AD3C9" w:rsidR="00BC27A4" w:rsidRDefault="00BC27A4" w:rsidP="00BC27A4">
      <w:pPr>
        <w:bidi/>
        <w:spacing w:after="160" w:line="360" w:lineRule="auto"/>
        <w:divId w:val="1647278641"/>
        <w:rPr>
          <w:rFonts w:ascii="Traditional Arabic" w:hAnsi="Traditional Arabic" w:cs="Traditional Arabic"/>
          <w:rtl/>
        </w:rPr>
      </w:pPr>
    </w:p>
    <w:p w14:paraId="564B773F" w14:textId="282A92B1" w:rsidR="00BC27A4" w:rsidRDefault="00BC27A4" w:rsidP="00BC27A4">
      <w:pPr>
        <w:bidi/>
        <w:spacing w:after="160" w:line="360" w:lineRule="auto"/>
        <w:divId w:val="1647278641"/>
        <w:rPr>
          <w:rFonts w:ascii="Traditional Arabic" w:hAnsi="Traditional Arabic" w:cs="Traditional Arabic"/>
          <w:rtl/>
        </w:rPr>
      </w:pPr>
    </w:p>
    <w:p w14:paraId="044A4BDF" w14:textId="314D6D00" w:rsidR="00BC27A4" w:rsidRDefault="00BC27A4" w:rsidP="00BC27A4">
      <w:pPr>
        <w:bidi/>
        <w:spacing w:after="160" w:line="360" w:lineRule="auto"/>
        <w:divId w:val="1647278641"/>
        <w:rPr>
          <w:rFonts w:ascii="Traditional Arabic" w:hAnsi="Traditional Arabic" w:cs="Traditional Arabic"/>
          <w:rtl/>
        </w:rPr>
      </w:pPr>
    </w:p>
    <w:p w14:paraId="025B5B51" w14:textId="77777777" w:rsidR="00BC27A4" w:rsidRPr="00BC27A4" w:rsidRDefault="00BC27A4" w:rsidP="00BC27A4">
      <w:pPr>
        <w:bidi/>
        <w:spacing w:after="160" w:line="360" w:lineRule="auto"/>
        <w:divId w:val="1647278641"/>
        <w:rPr>
          <w:rFonts w:ascii="Traditional Arabic" w:hAnsi="Traditional Arabic" w:cs="Traditional Arabic"/>
          <w:rtl/>
        </w:rPr>
      </w:pPr>
    </w:p>
    <w:bookmarkEnd w:id="0"/>
    <w:p w14:paraId="70D58E8F" w14:textId="77777777" w:rsidR="00BC27A4" w:rsidRDefault="00BC27A4">
      <w:pPr>
        <w:rPr>
          <w:rFonts w:ascii="Traditional Arabic" w:hAnsi="Traditional Arabic" w:cs="Traditional Arabic"/>
          <w:rtl/>
        </w:rPr>
      </w:pPr>
      <w:r>
        <w:rPr>
          <w:rFonts w:ascii="Traditional Arabic" w:hAnsi="Traditional Arabic" w:cs="Traditional Arabic"/>
          <w:rtl/>
        </w:rPr>
        <w:br w:type="page"/>
      </w:r>
    </w:p>
    <w:p w14:paraId="7EE2474D" w14:textId="49D64D62" w:rsidR="00113D0D" w:rsidRDefault="007C2480" w:rsidP="00113D0D">
      <w:pPr>
        <w:bidi/>
        <w:spacing w:before="600" w:after="160" w:line="360" w:lineRule="auto"/>
        <w:ind w:left="1200" w:right="1200"/>
        <w:jc w:val="center"/>
        <w:divId w:val="1647278641"/>
        <w:rPr>
          <w:rFonts w:ascii="Traditional Arabic" w:hAnsi="Traditional Arabic" w:cs="Traditional Arabic"/>
          <w:b/>
          <w:bCs/>
          <w:sz w:val="32"/>
          <w:szCs w:val="32"/>
          <w:rtl/>
        </w:rPr>
      </w:pPr>
      <w:r w:rsidRPr="00173B3F">
        <w:rPr>
          <w:rFonts w:ascii="Traditional Arabic" w:hAnsi="Traditional Arabic" w:cs="Traditional Arabic"/>
          <w:b/>
          <w:bCs/>
          <w:sz w:val="32"/>
          <w:szCs w:val="32"/>
          <w:rtl/>
        </w:rPr>
        <w:lastRenderedPageBreak/>
        <w:t>قائمة المراجع</w:t>
      </w:r>
    </w:p>
    <w:p w14:paraId="3D5644FC" w14:textId="7ED650AF" w:rsidR="00173B3F" w:rsidRPr="00113D0D" w:rsidRDefault="00173B3F" w:rsidP="00113D0D">
      <w:pPr>
        <w:bidi/>
        <w:spacing w:before="600" w:after="160" w:line="360" w:lineRule="auto"/>
        <w:ind w:left="120" w:right="1200"/>
        <w:divId w:val="1647278641"/>
        <w:rPr>
          <w:rFonts w:ascii="Traditional Arabic" w:hAnsi="Traditional Arabic" w:cs="Traditional Arabic"/>
          <w:b/>
          <w:bCs/>
          <w:sz w:val="28"/>
          <w:szCs w:val="28"/>
          <w:rtl/>
        </w:rPr>
      </w:pPr>
      <w:r w:rsidRPr="00113D0D">
        <w:rPr>
          <w:rFonts w:ascii="Traditional Arabic" w:hAnsi="Traditional Arabic" w:cs="Traditional Arabic"/>
          <w:b/>
          <w:bCs/>
          <w:sz w:val="28"/>
          <w:szCs w:val="28"/>
          <w:rtl/>
        </w:rPr>
        <w:t>المراجع الأجنبية</w:t>
      </w:r>
      <w:r w:rsidRPr="00113D0D">
        <w:rPr>
          <w:rFonts w:ascii="Traditional Arabic" w:hAnsi="Traditional Arabic" w:cs="Traditional Arabic"/>
          <w:b/>
          <w:bCs/>
          <w:sz w:val="28"/>
          <w:szCs w:val="28"/>
        </w:rPr>
        <w:t xml:space="preserve"> A–H </w:t>
      </w:r>
    </w:p>
    <w:p w14:paraId="31A15DE6" w14:textId="77777777" w:rsidR="00173B3F" w:rsidRDefault="00173B3F" w:rsidP="00173B3F">
      <w:pPr>
        <w:pStyle w:val="FirstParagraph"/>
        <w:numPr>
          <w:ilvl w:val="0"/>
          <w:numId w:val="46"/>
        </w:numPr>
        <w:ind w:left="0"/>
        <w:divId w:val="1647278641"/>
      </w:pPr>
      <w:proofErr w:type="spellStart"/>
      <w:r>
        <w:t>Aktan</w:t>
      </w:r>
      <w:proofErr w:type="spellEnd"/>
      <w:r>
        <w:t xml:space="preserve">, M., &amp; </w:t>
      </w:r>
      <w:proofErr w:type="spellStart"/>
      <w:r>
        <w:t>Toraman</w:t>
      </w:r>
      <w:proofErr w:type="spellEnd"/>
      <w:r>
        <w:t xml:space="preserve">, Ç. (2022). The relationship between technostress levels and job satisfaction of teachers within the COVID-19 period. </w:t>
      </w:r>
      <w:r>
        <w:rPr>
          <w:i/>
          <w:iCs/>
        </w:rPr>
        <w:t>Education and Information Technologies, 27</w:t>
      </w:r>
      <w:r>
        <w:t>, 10429–10453. https://doi.org/10.1007/s10639-022-11027-2</w:t>
      </w:r>
    </w:p>
    <w:p w14:paraId="22437ABA" w14:textId="6641002A" w:rsidR="00811F96" w:rsidRDefault="00811F96" w:rsidP="00173B3F">
      <w:pPr>
        <w:pStyle w:val="a9"/>
        <w:numPr>
          <w:ilvl w:val="0"/>
          <w:numId w:val="46"/>
        </w:numPr>
        <w:ind w:left="0"/>
        <w:divId w:val="1647278641"/>
      </w:pPr>
      <w:r w:rsidRPr="00811F96">
        <w:t xml:space="preserve">Al-Ansari, M. A., &amp; </w:t>
      </w:r>
      <w:proofErr w:type="spellStart"/>
      <w:r w:rsidRPr="00811F96">
        <w:t>Alshare</w:t>
      </w:r>
      <w:proofErr w:type="spellEnd"/>
      <w:r w:rsidRPr="00811F96">
        <w:t xml:space="preserve">, K. (2019). The impact of technostress components on the </w:t>
      </w:r>
      <w:proofErr w:type="gramStart"/>
      <w:r w:rsidRPr="00811F96">
        <w:t>employees</w:t>
      </w:r>
      <w:proofErr w:type="gramEnd"/>
      <w:r w:rsidRPr="00811F96">
        <w:t xml:space="preserve"> satisfaction and perceived performance: The case of Qatar. Journal of Global Information Management, 27(3), 65–86. https://doi.org/10.4018/JGIM.2019070104</w:t>
      </w:r>
    </w:p>
    <w:p w14:paraId="12C4D121" w14:textId="3DA43395" w:rsidR="00811F96" w:rsidRDefault="00811F96" w:rsidP="00811F96">
      <w:pPr>
        <w:pStyle w:val="a9"/>
        <w:numPr>
          <w:ilvl w:val="0"/>
          <w:numId w:val="46"/>
        </w:numPr>
        <w:ind w:left="0"/>
        <w:divId w:val="1647278641"/>
      </w:pPr>
      <w:proofErr w:type="spellStart"/>
      <w:r w:rsidRPr="00811F96">
        <w:rPr>
          <w:i/>
          <w:iCs/>
          <w:lang w:val="en-US"/>
        </w:rPr>
        <w:t>Alshammary</w:t>
      </w:r>
      <w:proofErr w:type="spellEnd"/>
      <w:r w:rsidRPr="00811F96">
        <w:rPr>
          <w:i/>
          <w:iCs/>
          <w:lang w:val="en-US"/>
        </w:rPr>
        <w:t xml:space="preserve">, K. M. O., &amp; </w:t>
      </w:r>
      <w:proofErr w:type="spellStart"/>
      <w:r w:rsidRPr="00811F96">
        <w:rPr>
          <w:i/>
          <w:iCs/>
          <w:lang w:val="en-US"/>
        </w:rPr>
        <w:t>Hilmi</w:t>
      </w:r>
      <w:proofErr w:type="spellEnd"/>
      <w:r w:rsidRPr="00811F96">
        <w:rPr>
          <w:i/>
          <w:iCs/>
          <w:lang w:val="en-US"/>
        </w:rPr>
        <w:t>, M. F. (2024). Tackling techno-stress: Supervisor support and job clarity as catalysts for employee satisfaction. Journal of Infrastructure, Policy and Development, 8(9), 5458. </w:t>
      </w:r>
      <w:hyperlink r:id="rId10" w:history="1">
        <w:r w:rsidRPr="00811F96">
          <w:rPr>
            <w:rStyle w:val="Hyperlink"/>
            <w:i/>
            <w:iCs/>
            <w:lang w:val="en-US"/>
          </w:rPr>
          <w:t>https://doi.org/10.24294/jipd.v8i9.5458</w:t>
        </w:r>
      </w:hyperlink>
      <w:r w:rsidRPr="00811F96">
        <w:rPr>
          <w:lang w:val="en-US"/>
        </w:rPr>
        <w:t> </w:t>
      </w:r>
    </w:p>
    <w:p w14:paraId="354A7C66" w14:textId="66B04145" w:rsidR="00173B3F" w:rsidRDefault="00173B3F" w:rsidP="00173B3F">
      <w:pPr>
        <w:pStyle w:val="a9"/>
        <w:numPr>
          <w:ilvl w:val="0"/>
          <w:numId w:val="46"/>
        </w:numPr>
        <w:ind w:left="0"/>
        <w:divId w:val="1647278641"/>
      </w:pPr>
      <w:proofErr w:type="spellStart"/>
      <w:r>
        <w:t>Ayyagari</w:t>
      </w:r>
      <w:proofErr w:type="spellEnd"/>
      <w:r>
        <w:t xml:space="preserve">, R., Grover, V., &amp; Purvis, R. (2011). Technostress: Technological antecedents and implications. </w:t>
      </w:r>
      <w:r>
        <w:rPr>
          <w:i/>
          <w:iCs/>
        </w:rPr>
        <w:t>MIS Quarterly, 35</w:t>
      </w:r>
      <w:r>
        <w:t>(4), 831–858. https://doi.org/10.2307/41409963</w:t>
      </w:r>
    </w:p>
    <w:p w14:paraId="7D23E626" w14:textId="09CB123D" w:rsidR="00811F96" w:rsidRPr="00811F96" w:rsidRDefault="00811F96" w:rsidP="00811F96">
      <w:pPr>
        <w:pStyle w:val="a9"/>
        <w:numPr>
          <w:ilvl w:val="0"/>
          <w:numId w:val="46"/>
        </w:numPr>
        <w:ind w:left="0"/>
        <w:divId w:val="1647278641"/>
      </w:pPr>
      <w:proofErr w:type="spellStart"/>
      <w:r w:rsidRPr="00811F96">
        <w:rPr>
          <w:i/>
          <w:iCs/>
          <w:lang w:val="en-US"/>
        </w:rPr>
        <w:t>Badawy</w:t>
      </w:r>
      <w:proofErr w:type="spellEnd"/>
      <w:r w:rsidRPr="00811F96">
        <w:rPr>
          <w:i/>
          <w:iCs/>
          <w:lang w:val="en-US"/>
        </w:rPr>
        <w:t xml:space="preserve">, S. M. (2025). The effect of perceived ease of use and usefulness of HRIS on employee satisfaction and engagement in real estate and construction sector in Egypt. </w:t>
      </w:r>
      <w:r w:rsidRPr="00811F96">
        <w:rPr>
          <w:i/>
          <w:iCs/>
          <w:rtl/>
        </w:rPr>
        <w:t>المجلة العربية للإدارة</w:t>
      </w:r>
      <w:r w:rsidRPr="00811F96">
        <w:rPr>
          <w:i/>
          <w:iCs/>
          <w:lang w:val="en-US"/>
        </w:rPr>
        <w:t> </w:t>
      </w:r>
      <w:hyperlink r:id="rId11" w:history="1">
        <w:r w:rsidRPr="00811F96">
          <w:rPr>
            <w:rStyle w:val="Hyperlink"/>
            <w:i/>
            <w:iCs/>
            <w:lang w:val="en-US"/>
          </w:rPr>
          <w:t>https://doi.org/10.21608/aja.2025.410527.1911</w:t>
        </w:r>
      </w:hyperlink>
      <w:r w:rsidRPr="00811F96">
        <w:rPr>
          <w:lang w:val="en-US"/>
        </w:rPr>
        <w:t> </w:t>
      </w:r>
    </w:p>
    <w:p w14:paraId="767B86E6" w14:textId="541D2511" w:rsidR="00173B3F" w:rsidRDefault="00173B3F" w:rsidP="00811F96">
      <w:pPr>
        <w:pStyle w:val="a9"/>
        <w:numPr>
          <w:ilvl w:val="0"/>
          <w:numId w:val="46"/>
        </w:numPr>
        <w:ind w:left="0"/>
        <w:divId w:val="1647278641"/>
      </w:pPr>
      <w:r>
        <w:t xml:space="preserve">Baker, J. (2012). The technology–organization–environment framework. In Y. K. Dwivedi, M. R. Wade, &amp; S. L. </w:t>
      </w:r>
      <w:proofErr w:type="spellStart"/>
      <w:r>
        <w:t>Schneberger</w:t>
      </w:r>
      <w:proofErr w:type="spellEnd"/>
      <w:r>
        <w:t xml:space="preserve"> (Eds.), </w:t>
      </w:r>
      <w:r>
        <w:rPr>
          <w:i/>
          <w:iCs/>
        </w:rPr>
        <w:t>Information systems theory: Explaining and predicting our digital society</w:t>
      </w:r>
      <w:r>
        <w:t xml:space="preserve"> (Vol. 1, pp. 231–245). Springer. https://doi.org/10.1007/978-1-4419-6108-2_12</w:t>
      </w:r>
    </w:p>
    <w:p w14:paraId="7BF32E98" w14:textId="77777777" w:rsidR="00173B3F" w:rsidRDefault="00173B3F" w:rsidP="00173B3F">
      <w:pPr>
        <w:pStyle w:val="a9"/>
        <w:numPr>
          <w:ilvl w:val="0"/>
          <w:numId w:val="46"/>
        </w:numPr>
        <w:ind w:left="0"/>
        <w:divId w:val="1647278641"/>
      </w:pPr>
      <w:r>
        <w:t xml:space="preserve">Bharadwaj, A. S., El </w:t>
      </w:r>
      <w:proofErr w:type="spellStart"/>
      <w:r>
        <w:t>Sawy</w:t>
      </w:r>
      <w:proofErr w:type="spellEnd"/>
      <w:r>
        <w:t xml:space="preserve">, O. A., </w:t>
      </w:r>
      <w:proofErr w:type="spellStart"/>
      <w:r>
        <w:t>Pavlou</w:t>
      </w:r>
      <w:proofErr w:type="spellEnd"/>
      <w:r>
        <w:t xml:space="preserve">, P. A., &amp; Venkatraman, N. (2013). Digital business strategy: Toward a next generation of insights. </w:t>
      </w:r>
      <w:r>
        <w:rPr>
          <w:i/>
          <w:iCs/>
        </w:rPr>
        <w:t>MIS Quarterly, 37</w:t>
      </w:r>
      <w:r>
        <w:t>(2), 471–482. https://doi.org/10.25300/misq/2013/37:2.3</w:t>
      </w:r>
    </w:p>
    <w:p w14:paraId="3B4F85F7" w14:textId="77777777" w:rsidR="00173B3F" w:rsidRDefault="00173B3F" w:rsidP="00173B3F">
      <w:pPr>
        <w:pStyle w:val="a9"/>
        <w:numPr>
          <w:ilvl w:val="0"/>
          <w:numId w:val="46"/>
        </w:numPr>
        <w:ind w:left="0"/>
        <w:divId w:val="1647278641"/>
      </w:pPr>
      <w:proofErr w:type="spellStart"/>
      <w:r>
        <w:t>Bolli</w:t>
      </w:r>
      <w:proofErr w:type="spellEnd"/>
      <w:r>
        <w:t xml:space="preserve">, T., &amp; </w:t>
      </w:r>
      <w:proofErr w:type="spellStart"/>
      <w:r>
        <w:t>Pusterla</w:t>
      </w:r>
      <w:proofErr w:type="spellEnd"/>
      <w:r>
        <w:t xml:space="preserve">, F. (2022). Decomposing the effects of digitalization on workers’ job satisfaction. </w:t>
      </w:r>
      <w:r>
        <w:rPr>
          <w:i/>
          <w:iCs/>
        </w:rPr>
        <w:t>International Review of Economics, 69</w:t>
      </w:r>
      <w:r>
        <w:t>(2), 263–300. https://doi.org/10.1007/s12232-022-00392-6</w:t>
      </w:r>
    </w:p>
    <w:p w14:paraId="74D31B3C" w14:textId="77777777" w:rsidR="00173B3F" w:rsidRDefault="00173B3F" w:rsidP="00173B3F">
      <w:pPr>
        <w:pStyle w:val="a9"/>
        <w:numPr>
          <w:ilvl w:val="0"/>
          <w:numId w:val="46"/>
        </w:numPr>
        <w:ind w:left="0"/>
        <w:divId w:val="1647278641"/>
      </w:pPr>
      <w:r>
        <w:t xml:space="preserve">Cochran, W. G. (1977). </w:t>
      </w:r>
      <w:r>
        <w:rPr>
          <w:i/>
          <w:iCs/>
        </w:rPr>
        <w:t>Sampling techniques</w:t>
      </w:r>
      <w:r>
        <w:t xml:space="preserve"> (3rd ed.). Wiley.</w:t>
      </w:r>
    </w:p>
    <w:p w14:paraId="61C8CA13" w14:textId="77777777" w:rsidR="00173B3F" w:rsidRDefault="00173B3F" w:rsidP="00173B3F">
      <w:pPr>
        <w:pStyle w:val="a9"/>
        <w:numPr>
          <w:ilvl w:val="0"/>
          <w:numId w:val="46"/>
        </w:numPr>
        <w:ind w:left="0"/>
        <w:divId w:val="1647278641"/>
      </w:pPr>
      <w:r>
        <w:t xml:space="preserve">Davenport, T. H. (1993). </w:t>
      </w:r>
      <w:r>
        <w:rPr>
          <w:i/>
          <w:iCs/>
        </w:rPr>
        <w:t>Process innovation: Reengineering work through information technology</w:t>
      </w:r>
      <w:r>
        <w:t>. Harvard Business School Press.</w:t>
      </w:r>
    </w:p>
    <w:p w14:paraId="6EFD2FB7" w14:textId="77777777" w:rsidR="00173B3F" w:rsidRDefault="00173B3F" w:rsidP="00173B3F">
      <w:pPr>
        <w:pStyle w:val="a9"/>
        <w:numPr>
          <w:ilvl w:val="0"/>
          <w:numId w:val="46"/>
        </w:numPr>
        <w:ind w:left="0"/>
        <w:divId w:val="1647278641"/>
      </w:pPr>
      <w:r>
        <w:lastRenderedPageBreak/>
        <w:t xml:space="preserve">Davis, F. D. (1989). Perceived usefulness, perceived ease of use, and user acceptance of information technology. </w:t>
      </w:r>
      <w:r>
        <w:rPr>
          <w:i/>
          <w:iCs/>
        </w:rPr>
        <w:t>MIS Quarterly, 13</w:t>
      </w:r>
      <w:r>
        <w:t>(3), 319–340. https://doi.org/10.2307/249008</w:t>
      </w:r>
    </w:p>
    <w:p w14:paraId="021C6024" w14:textId="77777777" w:rsidR="00173B3F" w:rsidRDefault="00173B3F" w:rsidP="00173B3F">
      <w:pPr>
        <w:pStyle w:val="a9"/>
        <w:numPr>
          <w:ilvl w:val="0"/>
          <w:numId w:val="46"/>
        </w:numPr>
        <w:ind w:left="0"/>
        <w:divId w:val="1647278641"/>
      </w:pPr>
      <w:proofErr w:type="spellStart"/>
      <w:r>
        <w:t>DeLone</w:t>
      </w:r>
      <w:proofErr w:type="spellEnd"/>
      <w:r>
        <w:t xml:space="preserve">, W. H., &amp; McLean, E. R. (2003). The </w:t>
      </w:r>
      <w:proofErr w:type="spellStart"/>
      <w:r>
        <w:t>DeLone</w:t>
      </w:r>
      <w:proofErr w:type="spellEnd"/>
      <w:r>
        <w:t xml:space="preserve"> and McLean model of information systems success: A ten-year update. </w:t>
      </w:r>
      <w:r>
        <w:rPr>
          <w:i/>
          <w:iCs/>
        </w:rPr>
        <w:t>Journal of Management Information Systems, 19</w:t>
      </w:r>
      <w:r>
        <w:t>(4), 9–30. https://doi.org/10.1080/07421222.2003.11045748</w:t>
      </w:r>
    </w:p>
    <w:p w14:paraId="15A104D8" w14:textId="77777777" w:rsidR="00173B3F" w:rsidRDefault="00173B3F" w:rsidP="00173B3F">
      <w:pPr>
        <w:pStyle w:val="a9"/>
        <w:numPr>
          <w:ilvl w:val="0"/>
          <w:numId w:val="46"/>
        </w:numPr>
        <w:ind w:left="0"/>
        <w:divId w:val="1647278641"/>
      </w:pPr>
      <w:r>
        <w:t xml:space="preserve">Derks, D., van </w:t>
      </w:r>
      <w:proofErr w:type="spellStart"/>
      <w:r>
        <w:t>Mierlo</w:t>
      </w:r>
      <w:proofErr w:type="spellEnd"/>
      <w:r>
        <w:t xml:space="preserve">, H., &amp; Schmitz, E. B. (2014). A diary study on work-related smartphone use, psychological detachment and exhaustion: The role of perceived segmentation norm. </w:t>
      </w:r>
      <w:r>
        <w:rPr>
          <w:i/>
          <w:iCs/>
        </w:rPr>
        <w:t>Journal of Occupational Health Psychology, 19</w:t>
      </w:r>
      <w:r>
        <w:t>(1), 74–84. https://doi.org/10.1037/a0035076</w:t>
      </w:r>
    </w:p>
    <w:p w14:paraId="5D439C0D" w14:textId="77777777" w:rsidR="00173B3F" w:rsidRDefault="00173B3F" w:rsidP="00173B3F">
      <w:pPr>
        <w:pStyle w:val="a9"/>
        <w:numPr>
          <w:ilvl w:val="0"/>
          <w:numId w:val="46"/>
        </w:numPr>
        <w:ind w:left="0"/>
        <w:divId w:val="1647278641"/>
      </w:pPr>
      <w:proofErr w:type="spellStart"/>
      <w:r>
        <w:t>DeVellis</w:t>
      </w:r>
      <w:proofErr w:type="spellEnd"/>
      <w:r>
        <w:t xml:space="preserve">, R. F. (2016). </w:t>
      </w:r>
      <w:r>
        <w:rPr>
          <w:i/>
          <w:iCs/>
        </w:rPr>
        <w:t>Scale development: Theory and applications</w:t>
      </w:r>
      <w:r>
        <w:t xml:space="preserve"> (4th ed.). Sage.</w:t>
      </w:r>
    </w:p>
    <w:p w14:paraId="05C67771" w14:textId="77777777" w:rsidR="00173B3F" w:rsidRDefault="00173B3F" w:rsidP="00173B3F">
      <w:pPr>
        <w:pStyle w:val="a9"/>
        <w:numPr>
          <w:ilvl w:val="0"/>
          <w:numId w:val="46"/>
        </w:numPr>
        <w:ind w:left="0"/>
        <w:divId w:val="1647278641"/>
      </w:pPr>
      <w:r>
        <w:t xml:space="preserve">Eisenhardt, K. M., &amp; </w:t>
      </w:r>
      <w:proofErr w:type="spellStart"/>
      <w:r>
        <w:t>Graebner</w:t>
      </w:r>
      <w:proofErr w:type="spellEnd"/>
      <w:r>
        <w:t xml:space="preserve">, M. E. (2007). Theory building from cases: Opportunities and challenges. </w:t>
      </w:r>
      <w:r>
        <w:rPr>
          <w:i/>
          <w:iCs/>
        </w:rPr>
        <w:t>Academy of Management Journal, 50</w:t>
      </w:r>
      <w:r>
        <w:t>(1), 25–32. https://doi.org/10.5465/amj.2007.24160888</w:t>
      </w:r>
    </w:p>
    <w:p w14:paraId="29E0DFED" w14:textId="77777777" w:rsidR="00173B3F" w:rsidRDefault="00173B3F" w:rsidP="00173B3F">
      <w:pPr>
        <w:pStyle w:val="a9"/>
        <w:numPr>
          <w:ilvl w:val="0"/>
          <w:numId w:val="46"/>
        </w:numPr>
        <w:ind w:left="0"/>
        <w:divId w:val="1647278641"/>
      </w:pPr>
      <w:proofErr w:type="spellStart"/>
      <w:r>
        <w:t>Flyvbjerg</w:t>
      </w:r>
      <w:proofErr w:type="spellEnd"/>
      <w:r>
        <w:t xml:space="preserve">, B. (2006). Five misunderstandings about case-study research. </w:t>
      </w:r>
      <w:r>
        <w:rPr>
          <w:i/>
          <w:iCs/>
        </w:rPr>
        <w:t>Qualitative Inquiry, 12</w:t>
      </w:r>
      <w:r>
        <w:t>(2), 219–245. https://doi.org/10.1177/1077800405284363</w:t>
      </w:r>
    </w:p>
    <w:p w14:paraId="32FB5194" w14:textId="77777777" w:rsidR="00173B3F" w:rsidRDefault="00173B3F" w:rsidP="00173B3F">
      <w:pPr>
        <w:pStyle w:val="a9"/>
        <w:numPr>
          <w:ilvl w:val="0"/>
          <w:numId w:val="46"/>
        </w:numPr>
        <w:ind w:left="0"/>
        <w:divId w:val="1647278641"/>
      </w:pPr>
      <w:r>
        <w:t xml:space="preserve">Fowler, F. J. (2013). </w:t>
      </w:r>
      <w:r>
        <w:rPr>
          <w:i/>
          <w:iCs/>
        </w:rPr>
        <w:t>Survey research methods</w:t>
      </w:r>
      <w:r>
        <w:t xml:space="preserve"> (5th ed.). Sage.</w:t>
      </w:r>
    </w:p>
    <w:p w14:paraId="6E75635E" w14:textId="77777777" w:rsidR="00173B3F" w:rsidRDefault="00173B3F" w:rsidP="00173B3F">
      <w:pPr>
        <w:pStyle w:val="a9"/>
        <w:numPr>
          <w:ilvl w:val="0"/>
          <w:numId w:val="46"/>
        </w:numPr>
        <w:ind w:left="0"/>
        <w:divId w:val="1647278641"/>
      </w:pPr>
      <w:proofErr w:type="spellStart"/>
      <w:r>
        <w:t>Gerring</w:t>
      </w:r>
      <w:proofErr w:type="spellEnd"/>
      <w:r>
        <w:t xml:space="preserve">, J. (2017). </w:t>
      </w:r>
      <w:r>
        <w:rPr>
          <w:i/>
          <w:iCs/>
        </w:rPr>
        <w:t>Case study research: Principles and practices</w:t>
      </w:r>
      <w:r>
        <w:t xml:space="preserve"> (2nd ed.). Cambridge University Press.</w:t>
      </w:r>
    </w:p>
    <w:p w14:paraId="28720DBA" w14:textId="77777777" w:rsidR="00173B3F" w:rsidRDefault="00173B3F" w:rsidP="00173B3F">
      <w:pPr>
        <w:pStyle w:val="a9"/>
        <w:numPr>
          <w:ilvl w:val="0"/>
          <w:numId w:val="46"/>
        </w:numPr>
        <w:ind w:left="0"/>
        <w:divId w:val="1647278641"/>
      </w:pPr>
      <w:proofErr w:type="spellStart"/>
      <w:r>
        <w:t>Golz</w:t>
      </w:r>
      <w:proofErr w:type="spellEnd"/>
      <w:r>
        <w:t xml:space="preserve">, C., Peter, K. A., </w:t>
      </w:r>
      <w:proofErr w:type="spellStart"/>
      <w:r>
        <w:t>Zwakhalen</w:t>
      </w:r>
      <w:proofErr w:type="spellEnd"/>
      <w:r>
        <w:t xml:space="preserve">, S. M. G., Hahn, S., &amp; Hodel, M. (2021). Technostress and digital competence among health professionals in Swiss psychiatric hospitals: Cross-sectional study. </w:t>
      </w:r>
      <w:r>
        <w:rPr>
          <w:i/>
          <w:iCs/>
        </w:rPr>
        <w:t>JMIR Mental Health, 8</w:t>
      </w:r>
      <w:r>
        <w:t>(2), e26467. https://doi.org/10.2196/26467</w:t>
      </w:r>
    </w:p>
    <w:p w14:paraId="3A8566B9" w14:textId="77777777" w:rsidR="00173B3F" w:rsidRDefault="00173B3F" w:rsidP="00173B3F">
      <w:pPr>
        <w:pStyle w:val="a9"/>
        <w:numPr>
          <w:ilvl w:val="0"/>
          <w:numId w:val="46"/>
        </w:numPr>
        <w:ind w:left="0"/>
        <w:divId w:val="1647278641"/>
      </w:pPr>
      <w:r>
        <w:t xml:space="preserve">Hackman, J. R., &amp; Oldham, G. R. (1976). Motivation through the design of work: Test of a theory. </w:t>
      </w:r>
      <w:r>
        <w:rPr>
          <w:i/>
          <w:iCs/>
        </w:rPr>
        <w:t>Organizational Behavior and Human Performance, 16</w:t>
      </w:r>
      <w:r>
        <w:t>(2), 250–279. https://doi.org/10.1016/0030-5073(76)90016-7</w:t>
      </w:r>
    </w:p>
    <w:p w14:paraId="2AC28BFE" w14:textId="77777777" w:rsidR="00173B3F" w:rsidRDefault="00173B3F" w:rsidP="00173B3F">
      <w:pPr>
        <w:pStyle w:val="a9"/>
        <w:numPr>
          <w:ilvl w:val="0"/>
          <w:numId w:val="46"/>
        </w:numPr>
        <w:ind w:left="0"/>
        <w:divId w:val="1647278641"/>
      </w:pPr>
      <w:proofErr w:type="spellStart"/>
      <w:r>
        <w:t>Hanelt</w:t>
      </w:r>
      <w:proofErr w:type="spellEnd"/>
      <w:r>
        <w:t xml:space="preserve">, A., </w:t>
      </w:r>
      <w:proofErr w:type="spellStart"/>
      <w:r>
        <w:t>Bohnsack</w:t>
      </w:r>
      <w:proofErr w:type="spellEnd"/>
      <w:r>
        <w:t xml:space="preserve">, R., </w:t>
      </w:r>
      <w:proofErr w:type="spellStart"/>
      <w:r>
        <w:t>Marz</w:t>
      </w:r>
      <w:proofErr w:type="spellEnd"/>
      <w:r>
        <w:t xml:space="preserve">, D., &amp; Antunes </w:t>
      </w:r>
      <w:proofErr w:type="spellStart"/>
      <w:r>
        <w:t>Marante</w:t>
      </w:r>
      <w:proofErr w:type="spellEnd"/>
      <w:r>
        <w:t xml:space="preserve">, C. (2021). A systematic review of the literature on digital transformation: Insights and implications for strategy and organizational change. </w:t>
      </w:r>
      <w:r>
        <w:rPr>
          <w:i/>
          <w:iCs/>
        </w:rPr>
        <w:t>Journal of Management Studies, 58</w:t>
      </w:r>
      <w:r>
        <w:t>(5), 1159–1197. https://doi.org/10.1111/joms.12639</w:t>
      </w:r>
    </w:p>
    <w:p w14:paraId="2B9499A0" w14:textId="77777777" w:rsidR="00113D0D" w:rsidRDefault="00113D0D" w:rsidP="00113D0D">
      <w:pPr>
        <w:bidi/>
        <w:spacing w:before="600" w:after="160" w:line="360" w:lineRule="auto"/>
        <w:ind w:right="1800"/>
        <w:divId w:val="1647278641"/>
        <w:rPr>
          <w:rFonts w:ascii="Traditional Arabic" w:hAnsi="Traditional Arabic" w:cs="Traditional Arabic"/>
          <w:b/>
          <w:bCs/>
          <w:sz w:val="32"/>
          <w:szCs w:val="32"/>
          <w:rtl/>
        </w:rPr>
      </w:pPr>
      <w:bookmarkStart w:id="1" w:name="المراجع-الأجنبية-ah"/>
      <w:bookmarkEnd w:id="1"/>
    </w:p>
    <w:p w14:paraId="04815F60" w14:textId="34EAB7A9" w:rsidR="00173B3F" w:rsidRPr="00113D0D" w:rsidRDefault="00173B3F" w:rsidP="00113D0D">
      <w:pPr>
        <w:bidi/>
        <w:spacing w:before="600" w:after="160" w:line="360" w:lineRule="auto"/>
        <w:ind w:right="1800"/>
        <w:divId w:val="1647278641"/>
        <w:rPr>
          <w:rFonts w:ascii="Traditional Arabic" w:hAnsi="Traditional Arabic" w:cs="Traditional Arabic"/>
          <w:b/>
          <w:bCs/>
          <w:sz w:val="28"/>
          <w:szCs w:val="28"/>
        </w:rPr>
      </w:pPr>
      <w:r w:rsidRPr="00113D0D">
        <w:rPr>
          <w:rFonts w:ascii="Traditional Arabic" w:hAnsi="Traditional Arabic" w:cs="Traditional Arabic"/>
          <w:b/>
          <w:bCs/>
          <w:sz w:val="28"/>
          <w:szCs w:val="28"/>
          <w:rtl/>
        </w:rPr>
        <w:lastRenderedPageBreak/>
        <w:t>المراجع الأجنبية</w:t>
      </w:r>
      <w:r w:rsidRPr="00113D0D">
        <w:rPr>
          <w:rFonts w:ascii="Traditional Arabic" w:hAnsi="Traditional Arabic" w:cs="Traditional Arabic"/>
          <w:b/>
          <w:bCs/>
          <w:sz w:val="28"/>
          <w:szCs w:val="28"/>
        </w:rPr>
        <w:t xml:space="preserve"> I–R </w:t>
      </w:r>
    </w:p>
    <w:p w14:paraId="7BA24FE0" w14:textId="77777777" w:rsidR="00811F96" w:rsidRPr="00811F96" w:rsidRDefault="00811F96" w:rsidP="00811F96">
      <w:pPr>
        <w:pStyle w:val="a9"/>
        <w:numPr>
          <w:ilvl w:val="0"/>
          <w:numId w:val="48"/>
        </w:numPr>
        <w:ind w:left="0"/>
        <w:divId w:val="1647278641"/>
      </w:pPr>
      <w:r w:rsidRPr="00811F96">
        <w:rPr>
          <w:i/>
          <w:iCs/>
          <w:lang w:val="en-US"/>
        </w:rPr>
        <w:t>Jo, H., &amp; Park, D.-H. (2023). Mechanisms for successful management of enterprise resource planning from user information processing and system quality perspective. Scientific Reports, 13, Article 12678. </w:t>
      </w:r>
      <w:hyperlink r:id="rId12" w:history="1">
        <w:r w:rsidRPr="00811F96">
          <w:rPr>
            <w:rStyle w:val="Hyperlink"/>
            <w:i/>
            <w:iCs/>
            <w:lang w:val="en-US"/>
          </w:rPr>
          <w:t>https://doi.org/10.1038/s41598-023-39787-y</w:t>
        </w:r>
      </w:hyperlink>
      <w:r w:rsidRPr="00811F96">
        <w:rPr>
          <w:lang w:val="en-US"/>
        </w:rPr>
        <w:t> </w:t>
      </w:r>
    </w:p>
    <w:p w14:paraId="67EBB7DB" w14:textId="68B17A00" w:rsidR="00173B3F" w:rsidRDefault="00173B3F" w:rsidP="00811F96">
      <w:pPr>
        <w:pStyle w:val="a9"/>
        <w:numPr>
          <w:ilvl w:val="0"/>
          <w:numId w:val="48"/>
        </w:numPr>
        <w:ind w:left="0"/>
        <w:divId w:val="1647278641"/>
      </w:pPr>
      <w:r>
        <w:t xml:space="preserve">Judge, T. A., </w:t>
      </w:r>
      <w:proofErr w:type="spellStart"/>
      <w:r>
        <w:t>Thoresen</w:t>
      </w:r>
      <w:proofErr w:type="spellEnd"/>
      <w:r>
        <w:t xml:space="preserve">, C. J., Bono, J. E., &amp; Patton, G. K. (2001). The job satisfaction–job performance relationship: A qualitative and quantitative review. </w:t>
      </w:r>
      <w:r>
        <w:rPr>
          <w:i/>
          <w:iCs/>
        </w:rPr>
        <w:t>Psychological Bulletin, 127</w:t>
      </w:r>
      <w:r>
        <w:t>(3), 376–407. https://doi.org/10.1037/0033-2909.127.3.376</w:t>
      </w:r>
    </w:p>
    <w:p w14:paraId="09A54490" w14:textId="77777777" w:rsidR="00811F96" w:rsidRPr="00811F96" w:rsidRDefault="00811F96" w:rsidP="00811F96">
      <w:pPr>
        <w:pStyle w:val="a9"/>
        <w:numPr>
          <w:ilvl w:val="0"/>
          <w:numId w:val="48"/>
        </w:numPr>
        <w:ind w:left="0"/>
        <w:divId w:val="1647278641"/>
      </w:pPr>
      <w:proofErr w:type="spellStart"/>
      <w:r w:rsidRPr="00811F96">
        <w:rPr>
          <w:i/>
          <w:iCs/>
          <w:lang w:val="en-US"/>
        </w:rPr>
        <w:t>Kadi</w:t>
      </w:r>
      <w:proofErr w:type="spellEnd"/>
      <w:r w:rsidRPr="00811F96">
        <w:rPr>
          <w:i/>
          <w:iCs/>
          <w:lang w:val="en-US"/>
        </w:rPr>
        <w:t>, S. M. (2024). Digital transformation and employee involvement: Employees’ perspective in Saudi Arabia’s public sector. Environment and Social Psychology, 9(11), 3042. </w:t>
      </w:r>
      <w:hyperlink r:id="rId13" w:history="1">
        <w:r w:rsidRPr="00811F96">
          <w:rPr>
            <w:rStyle w:val="Hyperlink"/>
            <w:i/>
            <w:iCs/>
            <w:lang w:val="en-US"/>
          </w:rPr>
          <w:t>https://doi.org/10.59429/esp.v9i11.3042</w:t>
        </w:r>
      </w:hyperlink>
      <w:r w:rsidRPr="00811F96">
        <w:rPr>
          <w:lang w:val="en-US"/>
        </w:rPr>
        <w:t> </w:t>
      </w:r>
    </w:p>
    <w:p w14:paraId="1B6F83F2" w14:textId="77777777" w:rsidR="00811F96" w:rsidRPr="00811F96" w:rsidRDefault="00811F96" w:rsidP="00811F96">
      <w:pPr>
        <w:pStyle w:val="a9"/>
        <w:numPr>
          <w:ilvl w:val="0"/>
          <w:numId w:val="48"/>
        </w:numPr>
        <w:ind w:left="0"/>
        <w:divId w:val="1647278641"/>
      </w:pPr>
      <w:proofErr w:type="spellStart"/>
      <w:r w:rsidRPr="00811F96">
        <w:rPr>
          <w:i/>
          <w:iCs/>
          <w:lang w:val="en-US"/>
        </w:rPr>
        <w:t>Khuc</w:t>
      </w:r>
      <w:proofErr w:type="spellEnd"/>
      <w:r w:rsidRPr="00811F96">
        <w:rPr>
          <w:i/>
          <w:iCs/>
          <w:lang w:val="en-US"/>
        </w:rPr>
        <w:t>, N. K., &amp; Nguyen, H. (2025). The impact of digital transformation on job performance: The mediating role of job satisfaction and work pressure. HO CHI MINH CITY OPEN UNIVERSITY JOURNAL OF SCIENCE – ECONOMICS AND BUSINESS ADMINISTRATION, 15(6), 57–73. </w:t>
      </w:r>
      <w:hyperlink r:id="rId14" w:history="1">
        <w:r w:rsidRPr="00811F96">
          <w:rPr>
            <w:rStyle w:val="Hyperlink"/>
            <w:i/>
            <w:iCs/>
            <w:lang w:val="en-US"/>
          </w:rPr>
          <w:t>https://doi.org/10.46223/HCMCOUJS.econ.en.15.6.3935.2025</w:t>
        </w:r>
      </w:hyperlink>
      <w:r w:rsidRPr="00811F96">
        <w:rPr>
          <w:lang w:val="en-US"/>
        </w:rPr>
        <w:t> </w:t>
      </w:r>
    </w:p>
    <w:p w14:paraId="420227B8" w14:textId="77777777" w:rsidR="003150E7" w:rsidRPr="003150E7" w:rsidRDefault="003150E7" w:rsidP="003150E7">
      <w:pPr>
        <w:pStyle w:val="a9"/>
        <w:numPr>
          <w:ilvl w:val="0"/>
          <w:numId w:val="48"/>
        </w:numPr>
        <w:ind w:left="0"/>
        <w:divId w:val="1647278641"/>
      </w:pPr>
      <w:r w:rsidRPr="003150E7">
        <w:rPr>
          <w:i/>
          <w:iCs/>
          <w:lang w:val="en-US"/>
        </w:rPr>
        <w:t>Kim, K. T., &amp; Sohn, Y. W. (2024). The impact of quiet quitting on turnover intentions in the era of digital transformation: The mediating roles of job satisfaction and affective commitment, and the moderating role of psychological safety. Systems, 12(11), Article 460. </w:t>
      </w:r>
      <w:hyperlink r:id="rId15" w:history="1">
        <w:r w:rsidRPr="003150E7">
          <w:rPr>
            <w:rStyle w:val="Hyperlink"/>
            <w:i/>
            <w:iCs/>
            <w:lang w:val="en-US"/>
          </w:rPr>
          <w:t>https://doi.org/10.3390/systems12110460</w:t>
        </w:r>
      </w:hyperlink>
      <w:r w:rsidRPr="003150E7">
        <w:rPr>
          <w:lang w:val="en-US"/>
        </w:rPr>
        <w:t> </w:t>
      </w:r>
    </w:p>
    <w:p w14:paraId="442BA705" w14:textId="3CF5EFED" w:rsidR="00173B3F" w:rsidRDefault="00173B3F" w:rsidP="003150E7">
      <w:pPr>
        <w:pStyle w:val="a9"/>
        <w:numPr>
          <w:ilvl w:val="0"/>
          <w:numId w:val="48"/>
        </w:numPr>
        <w:ind w:left="0"/>
        <w:divId w:val="1647278641"/>
      </w:pPr>
      <w:proofErr w:type="spellStart"/>
      <w:r>
        <w:t>Kot</w:t>
      </w:r>
      <w:proofErr w:type="spellEnd"/>
      <w:r>
        <w:t xml:space="preserve">, P. (2022). Psychometric properties of the Polish adaptation of Technostress Creators and Technostress Inhibitors Scale. </w:t>
      </w:r>
      <w:proofErr w:type="spellStart"/>
      <w:r>
        <w:rPr>
          <w:i/>
          <w:iCs/>
        </w:rPr>
        <w:t>Medycyna</w:t>
      </w:r>
      <w:proofErr w:type="spellEnd"/>
      <w:r>
        <w:rPr>
          <w:i/>
          <w:iCs/>
        </w:rPr>
        <w:t xml:space="preserve"> </w:t>
      </w:r>
      <w:proofErr w:type="spellStart"/>
      <w:r>
        <w:rPr>
          <w:i/>
          <w:iCs/>
        </w:rPr>
        <w:t>Pracy</w:t>
      </w:r>
      <w:proofErr w:type="spellEnd"/>
      <w:r>
        <w:rPr>
          <w:i/>
          <w:iCs/>
        </w:rPr>
        <w:t>, 73</w:t>
      </w:r>
      <w:r>
        <w:t>(4), 277–293. https://doi.org/10.13075/mp.5893.01236</w:t>
      </w:r>
    </w:p>
    <w:p w14:paraId="59B352BE" w14:textId="77777777" w:rsidR="00173B3F" w:rsidRDefault="00173B3F" w:rsidP="00173B3F">
      <w:pPr>
        <w:pStyle w:val="a9"/>
        <w:numPr>
          <w:ilvl w:val="0"/>
          <w:numId w:val="48"/>
        </w:numPr>
        <w:ind w:left="0"/>
        <w:divId w:val="1647278641"/>
      </w:pPr>
      <w:r>
        <w:t xml:space="preserve">Kumar, S. (2024). Technostress: A comprehensive literature review on dimensions, impacts, and management strategies. </w:t>
      </w:r>
      <w:r>
        <w:rPr>
          <w:i/>
          <w:iCs/>
        </w:rPr>
        <w:t>Computers in Human Behavior Reports, 16</w:t>
      </w:r>
      <w:r>
        <w:t>, 100475. https://doi.org/10.1016/j.chbr.2024.100475</w:t>
      </w:r>
    </w:p>
    <w:p w14:paraId="0288FAD2" w14:textId="77777777" w:rsidR="003150E7" w:rsidRPr="003150E7" w:rsidRDefault="003150E7" w:rsidP="003150E7">
      <w:pPr>
        <w:pStyle w:val="a9"/>
        <w:numPr>
          <w:ilvl w:val="0"/>
          <w:numId w:val="48"/>
        </w:numPr>
        <w:ind w:left="0"/>
        <w:divId w:val="1647278641"/>
      </w:pPr>
      <w:proofErr w:type="spellStart"/>
      <w:r w:rsidRPr="003150E7">
        <w:rPr>
          <w:i/>
          <w:iCs/>
          <w:lang w:val="en-US"/>
        </w:rPr>
        <w:t>Lechevalier</w:t>
      </w:r>
      <w:proofErr w:type="spellEnd"/>
      <w:r w:rsidRPr="003150E7">
        <w:rPr>
          <w:i/>
          <w:iCs/>
          <w:lang w:val="en-US"/>
        </w:rPr>
        <w:t xml:space="preserve">, S., &amp; </w:t>
      </w:r>
      <w:proofErr w:type="spellStart"/>
      <w:r w:rsidRPr="003150E7">
        <w:rPr>
          <w:i/>
          <w:iCs/>
          <w:lang w:val="en-US"/>
        </w:rPr>
        <w:t>Mofakhami</w:t>
      </w:r>
      <w:proofErr w:type="spellEnd"/>
      <w:r w:rsidRPr="003150E7">
        <w:rPr>
          <w:i/>
          <w:iCs/>
          <w:lang w:val="en-US"/>
        </w:rPr>
        <w:t>, M. (2025). Assessing job satisfaction in the era of digital transformation: A comparative study of the first wave of tasks digitalization in Japan and France. Eurasian Business Review, 15(1), 93–129. </w:t>
      </w:r>
      <w:hyperlink r:id="rId16" w:history="1">
        <w:r w:rsidRPr="003150E7">
          <w:rPr>
            <w:rStyle w:val="Hyperlink"/>
            <w:i/>
            <w:iCs/>
            <w:lang w:val="en-US"/>
          </w:rPr>
          <w:t>https://doi.org/10.1007/s40821-024-00282-7</w:t>
        </w:r>
      </w:hyperlink>
      <w:r w:rsidRPr="003150E7">
        <w:rPr>
          <w:lang w:val="en-US"/>
        </w:rPr>
        <w:t> </w:t>
      </w:r>
    </w:p>
    <w:p w14:paraId="1A53403A" w14:textId="6605AB49" w:rsidR="00173B3F" w:rsidRDefault="00173B3F" w:rsidP="003150E7">
      <w:pPr>
        <w:pStyle w:val="a9"/>
        <w:numPr>
          <w:ilvl w:val="0"/>
          <w:numId w:val="48"/>
        </w:numPr>
        <w:ind w:left="0"/>
        <w:divId w:val="1647278641"/>
      </w:pPr>
      <w:r>
        <w:t xml:space="preserve">Locke, E. A. (1976). The nature and causes of job satisfaction. In M. D. </w:t>
      </w:r>
      <w:proofErr w:type="spellStart"/>
      <w:r>
        <w:t>Dunnette</w:t>
      </w:r>
      <w:proofErr w:type="spellEnd"/>
      <w:r>
        <w:t xml:space="preserve"> (Ed.), </w:t>
      </w:r>
      <w:r>
        <w:rPr>
          <w:i/>
          <w:iCs/>
        </w:rPr>
        <w:t>Handbook of industrial and organizational psychology</w:t>
      </w:r>
      <w:r>
        <w:t xml:space="preserve"> (pp. 1297–1349). Rand McNally.</w:t>
      </w:r>
    </w:p>
    <w:p w14:paraId="06D3B901" w14:textId="77777777" w:rsidR="00173B3F" w:rsidRDefault="00173B3F" w:rsidP="00173B3F">
      <w:pPr>
        <w:pStyle w:val="a9"/>
        <w:numPr>
          <w:ilvl w:val="0"/>
          <w:numId w:val="48"/>
        </w:numPr>
        <w:ind w:left="0"/>
        <w:divId w:val="1647278641"/>
      </w:pPr>
      <w:r>
        <w:t xml:space="preserve">Markus, M. L., &amp; Mao, J.-Y. (2004). Participation in development and implementation—Updating an old, tired concept for today’s IS contexts. </w:t>
      </w:r>
      <w:r>
        <w:rPr>
          <w:i/>
          <w:iCs/>
        </w:rPr>
        <w:t>Journal of the Association for Information Systems, 5</w:t>
      </w:r>
      <w:r>
        <w:t>(11), 514–544. https://doi.org/10.17705/1jais.00057</w:t>
      </w:r>
    </w:p>
    <w:p w14:paraId="036D1D3B" w14:textId="77777777" w:rsidR="00173B3F" w:rsidRDefault="00173B3F" w:rsidP="00173B3F">
      <w:pPr>
        <w:pStyle w:val="a9"/>
        <w:numPr>
          <w:ilvl w:val="0"/>
          <w:numId w:val="48"/>
        </w:numPr>
        <w:ind w:left="0"/>
        <w:divId w:val="1647278641"/>
      </w:pPr>
      <w:r>
        <w:lastRenderedPageBreak/>
        <w:t xml:space="preserve">Matt, C., Hess, T., &amp; </w:t>
      </w:r>
      <w:proofErr w:type="spellStart"/>
      <w:r>
        <w:t>Benlian</w:t>
      </w:r>
      <w:proofErr w:type="spellEnd"/>
      <w:r>
        <w:t xml:space="preserve">, A. (2015). Digital transformation strategies. </w:t>
      </w:r>
      <w:r>
        <w:rPr>
          <w:i/>
          <w:iCs/>
        </w:rPr>
        <w:t>Business &amp; Information Systems Engineering, 57</w:t>
      </w:r>
      <w:r>
        <w:t>(5), 339–343. https://doi.org/10.1007/s12599-015-0401-5</w:t>
      </w:r>
    </w:p>
    <w:p w14:paraId="0C0706F3" w14:textId="77777777" w:rsidR="00173B3F" w:rsidRDefault="00173B3F" w:rsidP="00173B3F">
      <w:pPr>
        <w:pStyle w:val="a9"/>
        <w:numPr>
          <w:ilvl w:val="0"/>
          <w:numId w:val="48"/>
        </w:numPr>
        <w:ind w:left="0"/>
        <w:divId w:val="1647278641"/>
      </w:pPr>
      <w:proofErr w:type="spellStart"/>
      <w:r>
        <w:t>Mergel</w:t>
      </w:r>
      <w:proofErr w:type="spellEnd"/>
      <w:r>
        <w:t xml:space="preserve">, I., </w:t>
      </w:r>
      <w:proofErr w:type="spellStart"/>
      <w:r>
        <w:t>Edelmann</w:t>
      </w:r>
      <w:proofErr w:type="spellEnd"/>
      <w:r>
        <w:t xml:space="preserve">, N., &amp; </w:t>
      </w:r>
      <w:proofErr w:type="spellStart"/>
      <w:r>
        <w:t>Haug</w:t>
      </w:r>
      <w:proofErr w:type="spellEnd"/>
      <w:r>
        <w:t xml:space="preserve">, N. (2019). Defining digital transformation: Results from expert interviews. </w:t>
      </w:r>
      <w:r>
        <w:rPr>
          <w:i/>
          <w:iCs/>
        </w:rPr>
        <w:t>Government Information Quarterly, 36</w:t>
      </w:r>
      <w:r>
        <w:t>(4), 101385. https://doi.org/10.1016/j.giq.2019.06.002</w:t>
      </w:r>
    </w:p>
    <w:p w14:paraId="04A259B2" w14:textId="77777777" w:rsidR="00173B3F" w:rsidRDefault="00173B3F" w:rsidP="00173B3F">
      <w:pPr>
        <w:pStyle w:val="a9"/>
        <w:numPr>
          <w:ilvl w:val="0"/>
          <w:numId w:val="48"/>
        </w:numPr>
        <w:ind w:left="0"/>
        <w:divId w:val="1647278641"/>
      </w:pPr>
      <w:r>
        <w:t xml:space="preserve">Morris, M. G., &amp; Venkatesh, V. (2000). Age differences in technology adoption decisions. </w:t>
      </w:r>
      <w:r>
        <w:rPr>
          <w:i/>
          <w:iCs/>
        </w:rPr>
        <w:t>Personnel Psychology, 53</w:t>
      </w:r>
      <w:r>
        <w:t>(2), 375–403. https://doi.org/10.1111/j.1744-6570.2000.tb00206.x</w:t>
      </w:r>
    </w:p>
    <w:p w14:paraId="6357A4BB" w14:textId="77777777" w:rsidR="00173B3F" w:rsidRDefault="00173B3F" w:rsidP="00173B3F">
      <w:pPr>
        <w:pStyle w:val="a9"/>
        <w:numPr>
          <w:ilvl w:val="0"/>
          <w:numId w:val="48"/>
        </w:numPr>
        <w:ind w:left="0"/>
        <w:divId w:val="1647278641"/>
      </w:pPr>
      <w:proofErr w:type="spellStart"/>
      <w:r>
        <w:t>Mutambik</w:t>
      </w:r>
      <w:proofErr w:type="spellEnd"/>
      <w:r>
        <w:t xml:space="preserve">, I., &amp; </w:t>
      </w:r>
      <w:proofErr w:type="spellStart"/>
      <w:r>
        <w:t>Almuqrin</w:t>
      </w:r>
      <w:proofErr w:type="spellEnd"/>
      <w:r>
        <w:t xml:space="preserve">, A. (2024). Employee acceptance of digital transformation: A study in a smart city context. </w:t>
      </w:r>
      <w:r>
        <w:rPr>
          <w:i/>
          <w:iCs/>
        </w:rPr>
        <w:t>Sustainability, 16</w:t>
      </w:r>
      <w:r>
        <w:t>(4), 1398. https://doi.org/10.3390/su16041398</w:t>
      </w:r>
    </w:p>
    <w:p w14:paraId="34577413" w14:textId="77777777" w:rsidR="00173B3F" w:rsidRDefault="00173B3F" w:rsidP="00173B3F">
      <w:pPr>
        <w:pStyle w:val="a9"/>
        <w:numPr>
          <w:ilvl w:val="0"/>
          <w:numId w:val="48"/>
        </w:numPr>
        <w:ind w:left="0"/>
        <w:divId w:val="1647278641"/>
      </w:pPr>
      <w:r>
        <w:t xml:space="preserve">Nadkarni, S., &amp; </w:t>
      </w:r>
      <w:proofErr w:type="spellStart"/>
      <w:r>
        <w:t>Prügl</w:t>
      </w:r>
      <w:proofErr w:type="spellEnd"/>
      <w:r>
        <w:t xml:space="preserve">, R. (2021). Digital transformation: A review, synthesis and opportunities for future research. </w:t>
      </w:r>
      <w:r>
        <w:rPr>
          <w:i/>
          <w:iCs/>
        </w:rPr>
        <w:t>Management Review Quarterly, 71</w:t>
      </w:r>
      <w:r>
        <w:t>, 233–341. https://doi.org/10.1007/s11301-020-00185-7</w:t>
      </w:r>
    </w:p>
    <w:p w14:paraId="1A0CC416" w14:textId="77777777" w:rsidR="00173B3F" w:rsidRDefault="00173B3F" w:rsidP="00173B3F">
      <w:pPr>
        <w:pStyle w:val="a9"/>
        <w:numPr>
          <w:ilvl w:val="0"/>
          <w:numId w:val="48"/>
        </w:numPr>
        <w:ind w:left="0"/>
        <w:divId w:val="1647278641"/>
      </w:pPr>
      <w:proofErr w:type="spellStart"/>
      <w:r>
        <w:t>Ninaus</w:t>
      </w:r>
      <w:proofErr w:type="spellEnd"/>
      <w:r>
        <w:t xml:space="preserve">, K., Diehl, S., &amp; </w:t>
      </w:r>
      <w:proofErr w:type="spellStart"/>
      <w:r>
        <w:t>Terlutter</w:t>
      </w:r>
      <w:proofErr w:type="spellEnd"/>
      <w:r>
        <w:t xml:space="preserve">, R. (2021). Employee perceptions of ICTs, burnout, job satisfaction, and work–family balance. </w:t>
      </w:r>
      <w:r>
        <w:rPr>
          <w:i/>
          <w:iCs/>
        </w:rPr>
        <w:t>Journal of Business Research, 136</w:t>
      </w:r>
      <w:r>
        <w:t>, 652–666. https://doi.org/10.1016/j.jbusres.2020.11.048</w:t>
      </w:r>
    </w:p>
    <w:p w14:paraId="76CB48E5" w14:textId="77777777" w:rsidR="00173B3F" w:rsidRDefault="00173B3F" w:rsidP="00173B3F">
      <w:pPr>
        <w:pStyle w:val="a9"/>
        <w:numPr>
          <w:ilvl w:val="0"/>
          <w:numId w:val="48"/>
        </w:numPr>
        <w:ind w:left="0"/>
        <w:divId w:val="1647278641"/>
      </w:pPr>
      <w:r>
        <w:t xml:space="preserve">Oliveira, T., &amp; Martins, M. F. (2011). Literature review of information technology adoption models at firm level. </w:t>
      </w:r>
      <w:r>
        <w:rPr>
          <w:i/>
          <w:iCs/>
        </w:rPr>
        <w:t>The Electronic Journal of Information Systems Evaluation, 14</w:t>
      </w:r>
      <w:r>
        <w:t>(1), 110–121. https://academic-publishing.org/index.php/ejise/article/view/389</w:t>
      </w:r>
    </w:p>
    <w:p w14:paraId="6FB86F47" w14:textId="77777777" w:rsidR="00173B3F" w:rsidRDefault="00173B3F" w:rsidP="00173B3F">
      <w:pPr>
        <w:pStyle w:val="a9"/>
        <w:numPr>
          <w:ilvl w:val="0"/>
          <w:numId w:val="48"/>
        </w:numPr>
        <w:ind w:left="0"/>
        <w:divId w:val="1647278641"/>
      </w:pPr>
      <w:proofErr w:type="spellStart"/>
      <w:r>
        <w:t>Paulhus</w:t>
      </w:r>
      <w:proofErr w:type="spellEnd"/>
      <w:r>
        <w:t xml:space="preserve">, D. L. (1991). Measurement and control of response bias. In J. P. Robinson, P. R. Shaver, &amp; L. S. </w:t>
      </w:r>
      <w:proofErr w:type="spellStart"/>
      <w:r>
        <w:t>Wrightsman</w:t>
      </w:r>
      <w:proofErr w:type="spellEnd"/>
      <w:r>
        <w:t xml:space="preserve"> (Eds.), </w:t>
      </w:r>
      <w:r>
        <w:rPr>
          <w:i/>
          <w:iCs/>
        </w:rPr>
        <w:t>Measures of personality and social psychological attitudes</w:t>
      </w:r>
      <w:r>
        <w:t xml:space="preserve"> (pp. 17–59). Academic Press.</w:t>
      </w:r>
    </w:p>
    <w:p w14:paraId="1191DAD3" w14:textId="77777777" w:rsidR="00173B3F" w:rsidRDefault="00173B3F" w:rsidP="00173B3F">
      <w:pPr>
        <w:pStyle w:val="a9"/>
        <w:numPr>
          <w:ilvl w:val="0"/>
          <w:numId w:val="48"/>
        </w:numPr>
        <w:ind w:left="0"/>
        <w:divId w:val="1647278641"/>
      </w:pPr>
      <w:proofErr w:type="spellStart"/>
      <w:r>
        <w:t>Petter</w:t>
      </w:r>
      <w:proofErr w:type="spellEnd"/>
      <w:r>
        <w:t xml:space="preserve">, S., </w:t>
      </w:r>
      <w:proofErr w:type="spellStart"/>
      <w:r>
        <w:t>DeLone</w:t>
      </w:r>
      <w:proofErr w:type="spellEnd"/>
      <w:r>
        <w:t xml:space="preserve">, W., &amp; McLean, E. (2008). Measuring information systems success: Models, dimensions, measures, and interrelationships. </w:t>
      </w:r>
      <w:r>
        <w:rPr>
          <w:i/>
          <w:iCs/>
        </w:rPr>
        <w:t>European Journal of Information Systems, 17</w:t>
      </w:r>
      <w:r>
        <w:t>(3), 236–263. https://doi.org/10.1057/ejis.2008.15</w:t>
      </w:r>
    </w:p>
    <w:p w14:paraId="23849703" w14:textId="77777777" w:rsidR="00173B3F" w:rsidRDefault="00173B3F" w:rsidP="00173B3F">
      <w:pPr>
        <w:pStyle w:val="a9"/>
        <w:numPr>
          <w:ilvl w:val="0"/>
          <w:numId w:val="48"/>
        </w:numPr>
        <w:ind w:left="0"/>
        <w:divId w:val="1647278641"/>
      </w:pPr>
      <w:proofErr w:type="spellStart"/>
      <w:r>
        <w:t>Ployhart</w:t>
      </w:r>
      <w:proofErr w:type="spellEnd"/>
      <w:r>
        <w:t xml:space="preserve">, R. E., &amp; Vandenberg, R. J. (2010). Longitudinal research: The theory, design, and analysis of change. </w:t>
      </w:r>
      <w:r>
        <w:rPr>
          <w:i/>
          <w:iCs/>
        </w:rPr>
        <w:t>Journal of Management, 36</w:t>
      </w:r>
      <w:r>
        <w:t>(1), 94–120. https://doi.org/10.1177/0149206309352110</w:t>
      </w:r>
    </w:p>
    <w:p w14:paraId="30A21712" w14:textId="77777777" w:rsidR="00173B3F" w:rsidRDefault="00173B3F" w:rsidP="00173B3F">
      <w:pPr>
        <w:pStyle w:val="a9"/>
        <w:numPr>
          <w:ilvl w:val="0"/>
          <w:numId w:val="48"/>
        </w:numPr>
        <w:ind w:left="0"/>
        <w:divId w:val="1647278641"/>
      </w:pPr>
      <w:r>
        <w:t xml:space="preserve">Podsakoff, P. M., </w:t>
      </w:r>
      <w:proofErr w:type="spellStart"/>
      <w:r>
        <w:t>MacKenzie</w:t>
      </w:r>
      <w:proofErr w:type="spellEnd"/>
      <w:r>
        <w:t xml:space="preserve">, S. B., Lee, J.-Y., &amp; Podsakoff, N. P. (2003). Common method biases in behavioral research: A critical review of the literature and recommended remedies. </w:t>
      </w:r>
      <w:r>
        <w:rPr>
          <w:i/>
          <w:iCs/>
        </w:rPr>
        <w:t>Journal of Applied Psychology, 88</w:t>
      </w:r>
      <w:r>
        <w:t>(5), 879–903. https://doi.org/10.1037/0021-9010.88.5.879</w:t>
      </w:r>
    </w:p>
    <w:p w14:paraId="555BE43B" w14:textId="77777777" w:rsidR="00173B3F" w:rsidRDefault="00173B3F" w:rsidP="00173B3F">
      <w:pPr>
        <w:pStyle w:val="a9"/>
        <w:numPr>
          <w:ilvl w:val="0"/>
          <w:numId w:val="48"/>
        </w:numPr>
        <w:ind w:left="0"/>
        <w:divId w:val="1647278641"/>
      </w:pPr>
      <w:r>
        <w:t xml:space="preserve">Ragu-Nathan, T. S., </w:t>
      </w:r>
      <w:proofErr w:type="spellStart"/>
      <w:r>
        <w:t>Tarafdar</w:t>
      </w:r>
      <w:proofErr w:type="spellEnd"/>
      <w:r>
        <w:t xml:space="preserve">, M., Ragu-Nathan, B. S., &amp; Tu, Q. (2008). Consequences of technostress for end users in organizations: Conceptual development and empirical validation. </w:t>
      </w:r>
      <w:r>
        <w:rPr>
          <w:i/>
          <w:iCs/>
        </w:rPr>
        <w:t>Information Systems Research, 19</w:t>
      </w:r>
      <w:r>
        <w:t>(4), 417–433. https://doi.org/10.1287/isre.1070.0165</w:t>
      </w:r>
    </w:p>
    <w:p w14:paraId="414F8B58" w14:textId="77777777" w:rsidR="00173B3F" w:rsidRDefault="00173B3F" w:rsidP="00173B3F">
      <w:pPr>
        <w:pStyle w:val="a9"/>
        <w:numPr>
          <w:ilvl w:val="0"/>
          <w:numId w:val="48"/>
        </w:numPr>
        <w:ind w:left="0"/>
        <w:divId w:val="1647278641"/>
      </w:pPr>
      <w:proofErr w:type="spellStart"/>
      <w:r>
        <w:lastRenderedPageBreak/>
        <w:t>Ravid</w:t>
      </w:r>
      <w:proofErr w:type="spellEnd"/>
      <w:r>
        <w:t xml:space="preserve">, D., </w:t>
      </w:r>
      <w:proofErr w:type="spellStart"/>
      <w:r>
        <w:t>Tomprou</w:t>
      </w:r>
      <w:proofErr w:type="spellEnd"/>
      <w:r>
        <w:t xml:space="preserve">, M., &amp; </w:t>
      </w:r>
      <w:proofErr w:type="spellStart"/>
      <w:r>
        <w:t>Detert</w:t>
      </w:r>
      <w:proofErr w:type="spellEnd"/>
      <w:r>
        <w:t xml:space="preserve">, J. R. (2020). A meta-analysis of electronic performance monitoring. </w:t>
      </w:r>
      <w:r>
        <w:rPr>
          <w:i/>
          <w:iCs/>
        </w:rPr>
        <w:t>Journal of Applied Psychology, 105</w:t>
      </w:r>
      <w:r>
        <w:t>(12), 1461–1482. https://doi.org/10.1037/apl0000486</w:t>
      </w:r>
    </w:p>
    <w:p w14:paraId="23A175A1" w14:textId="77777777" w:rsidR="00173B3F" w:rsidRDefault="00173B3F" w:rsidP="00173B3F">
      <w:pPr>
        <w:pStyle w:val="a9"/>
        <w:numPr>
          <w:ilvl w:val="0"/>
          <w:numId w:val="48"/>
        </w:numPr>
        <w:ind w:left="0"/>
        <w:divId w:val="1647278641"/>
      </w:pPr>
      <w:proofErr w:type="spellStart"/>
      <w:r>
        <w:t>Ravid</w:t>
      </w:r>
      <w:proofErr w:type="spellEnd"/>
      <w:r>
        <w:t xml:space="preserve">, D. M., White, J. C., Tomczak, D. L., Miles, A. F., &amp; Behrend, T. S. (2023). A meta-analysis of the effects of electronic performance monitoring on work outcomes. </w:t>
      </w:r>
      <w:r>
        <w:rPr>
          <w:i/>
          <w:iCs/>
        </w:rPr>
        <w:t>Personnel Psychology, 76</w:t>
      </w:r>
      <w:r>
        <w:t>(1), 5–40. https://doi.org/10.1111/peps.12514</w:t>
      </w:r>
    </w:p>
    <w:p w14:paraId="042A5FFC" w14:textId="77777777" w:rsidR="00173B3F" w:rsidRDefault="00173B3F" w:rsidP="00173B3F">
      <w:pPr>
        <w:pStyle w:val="a9"/>
        <w:numPr>
          <w:ilvl w:val="0"/>
          <w:numId w:val="48"/>
        </w:numPr>
        <w:ind w:left="0"/>
        <w:divId w:val="1647278641"/>
      </w:pPr>
      <w:proofErr w:type="spellStart"/>
      <w:r>
        <w:t>Rindfleisch</w:t>
      </w:r>
      <w:proofErr w:type="spellEnd"/>
      <w:r>
        <w:t xml:space="preserve">, A., </w:t>
      </w:r>
      <w:proofErr w:type="spellStart"/>
      <w:r>
        <w:t>Malter</w:t>
      </w:r>
      <w:proofErr w:type="spellEnd"/>
      <w:r>
        <w:t xml:space="preserve">, A. J., Ganesan, S., &amp; Moorman, C. (2008). Cross-sectional versus longitudinal survey research: Concepts, findings, and guidelines. </w:t>
      </w:r>
      <w:r>
        <w:rPr>
          <w:i/>
          <w:iCs/>
        </w:rPr>
        <w:t>Journal of Marketing Research, 45</w:t>
      </w:r>
      <w:r>
        <w:t>(3), 261–279. https://doi.org/10.1509/jmkr.45.3.261</w:t>
      </w:r>
    </w:p>
    <w:p w14:paraId="68B0E664" w14:textId="28C76A88" w:rsidR="00173B3F" w:rsidRPr="00113D0D" w:rsidRDefault="00173B3F" w:rsidP="00113D0D">
      <w:pPr>
        <w:bidi/>
        <w:spacing w:before="600" w:after="160" w:line="360" w:lineRule="auto"/>
        <w:ind w:right="1800"/>
        <w:divId w:val="1647278641"/>
        <w:rPr>
          <w:rFonts w:ascii="Traditional Arabic" w:hAnsi="Traditional Arabic" w:cs="Traditional Arabic"/>
          <w:b/>
          <w:bCs/>
          <w:sz w:val="28"/>
          <w:szCs w:val="28"/>
          <w:rtl/>
        </w:rPr>
      </w:pPr>
      <w:bookmarkStart w:id="2" w:name="المراجع-الأجنبية-ir"/>
      <w:bookmarkEnd w:id="2"/>
      <w:r w:rsidRPr="00113D0D">
        <w:rPr>
          <w:rFonts w:ascii="Traditional Arabic" w:hAnsi="Traditional Arabic" w:cs="Traditional Arabic"/>
          <w:b/>
          <w:bCs/>
          <w:sz w:val="28"/>
          <w:szCs w:val="28"/>
          <w:rtl/>
        </w:rPr>
        <w:t>المراجع الأجنبية</w:t>
      </w:r>
      <w:r w:rsidRPr="00113D0D">
        <w:rPr>
          <w:rFonts w:ascii="Traditional Arabic" w:hAnsi="Traditional Arabic" w:cs="Traditional Arabic"/>
          <w:b/>
          <w:bCs/>
          <w:sz w:val="28"/>
          <w:szCs w:val="28"/>
        </w:rPr>
        <w:t xml:space="preserve"> S–Z</w:t>
      </w:r>
      <w:r w:rsidR="00113D0D" w:rsidRPr="00113D0D">
        <w:rPr>
          <w:rFonts w:ascii="Traditional Arabic" w:hAnsi="Traditional Arabic" w:cs="Traditional Arabic"/>
          <w:b/>
          <w:bCs/>
          <w:sz w:val="28"/>
          <w:szCs w:val="28"/>
        </w:rPr>
        <w:t xml:space="preserve"> </w:t>
      </w:r>
    </w:p>
    <w:p w14:paraId="65836BBC" w14:textId="11EEF4B6" w:rsidR="00173B3F" w:rsidRDefault="00173B3F" w:rsidP="00DA3433">
      <w:pPr>
        <w:pStyle w:val="FirstParagraph"/>
        <w:numPr>
          <w:ilvl w:val="0"/>
          <w:numId w:val="49"/>
        </w:numPr>
        <w:ind w:left="0"/>
        <w:divId w:val="1647278641"/>
      </w:pPr>
      <w:proofErr w:type="spellStart"/>
      <w:r>
        <w:t>Sarker</w:t>
      </w:r>
      <w:proofErr w:type="spellEnd"/>
      <w:r>
        <w:t xml:space="preserve">, S., Chatterjee, S., Xiao, X., &amp; </w:t>
      </w:r>
      <w:proofErr w:type="spellStart"/>
      <w:r>
        <w:t>Elbanna</w:t>
      </w:r>
      <w:proofErr w:type="spellEnd"/>
      <w:r>
        <w:t xml:space="preserve">, A. (2019). The sociotechnical axis of cohesion for the IS discipline: Its historical legacy and its continued relevance. </w:t>
      </w:r>
      <w:r>
        <w:rPr>
          <w:i/>
          <w:iCs/>
        </w:rPr>
        <w:t>MIS Quarterly, 43</w:t>
      </w:r>
      <w:r>
        <w:t>(3)</w:t>
      </w:r>
      <w:r w:rsidR="00DA3433">
        <w:t>.</w:t>
      </w:r>
    </w:p>
    <w:p w14:paraId="7DC8EA3A" w14:textId="77777777" w:rsidR="00173B3F" w:rsidRDefault="00173B3F" w:rsidP="00173B3F">
      <w:pPr>
        <w:pStyle w:val="a9"/>
        <w:numPr>
          <w:ilvl w:val="0"/>
          <w:numId w:val="49"/>
        </w:numPr>
        <w:ind w:left="0"/>
        <w:divId w:val="1647278641"/>
      </w:pPr>
      <w:proofErr w:type="spellStart"/>
      <w:r>
        <w:t>Shadish</w:t>
      </w:r>
      <w:proofErr w:type="spellEnd"/>
      <w:r>
        <w:t xml:space="preserve">, W. R., Cook, T. D., &amp; Campbell, D. T. (2002). </w:t>
      </w:r>
      <w:r>
        <w:rPr>
          <w:i/>
          <w:iCs/>
        </w:rPr>
        <w:t>Experimental and quasi-experimental designs for generalized causal inference</w:t>
      </w:r>
      <w:r>
        <w:t>. Houghton Mifflin.</w:t>
      </w:r>
    </w:p>
    <w:p w14:paraId="497F8BD8" w14:textId="77777777" w:rsidR="003150E7" w:rsidRPr="003150E7" w:rsidRDefault="003150E7" w:rsidP="003150E7">
      <w:pPr>
        <w:pStyle w:val="a9"/>
        <w:numPr>
          <w:ilvl w:val="0"/>
          <w:numId w:val="49"/>
        </w:numPr>
        <w:ind w:left="0"/>
        <w:divId w:val="1647278641"/>
      </w:pPr>
      <w:proofErr w:type="spellStart"/>
      <w:r w:rsidRPr="003150E7">
        <w:rPr>
          <w:i/>
          <w:iCs/>
          <w:lang w:val="en-US"/>
        </w:rPr>
        <w:t>Shibeika</w:t>
      </w:r>
      <w:proofErr w:type="spellEnd"/>
      <w:r w:rsidRPr="003150E7">
        <w:rPr>
          <w:i/>
          <w:iCs/>
          <w:lang w:val="en-US"/>
        </w:rPr>
        <w:t xml:space="preserve">, A. M., </w:t>
      </w:r>
      <w:proofErr w:type="spellStart"/>
      <w:r w:rsidRPr="003150E7">
        <w:rPr>
          <w:i/>
          <w:iCs/>
          <w:lang w:val="en-US"/>
        </w:rPr>
        <w:t>Abdalrahman</w:t>
      </w:r>
      <w:proofErr w:type="spellEnd"/>
      <w:r w:rsidRPr="003150E7">
        <w:rPr>
          <w:i/>
          <w:iCs/>
          <w:lang w:val="en-US"/>
        </w:rPr>
        <w:t xml:space="preserve">, N. A., </w:t>
      </w:r>
      <w:proofErr w:type="spellStart"/>
      <w:r w:rsidRPr="003150E7">
        <w:rPr>
          <w:i/>
          <w:iCs/>
          <w:lang w:val="en-US"/>
        </w:rPr>
        <w:t>AlShaygy</w:t>
      </w:r>
      <w:proofErr w:type="spellEnd"/>
      <w:r w:rsidRPr="003150E7">
        <w:rPr>
          <w:i/>
          <w:iCs/>
          <w:lang w:val="en-US"/>
        </w:rPr>
        <w:t xml:space="preserve">, R. S. M., &amp; </w:t>
      </w:r>
      <w:proofErr w:type="spellStart"/>
      <w:r w:rsidRPr="003150E7">
        <w:rPr>
          <w:i/>
          <w:iCs/>
          <w:lang w:val="en-US"/>
        </w:rPr>
        <w:t>Algeilani</w:t>
      </w:r>
      <w:proofErr w:type="spellEnd"/>
      <w:r w:rsidRPr="003150E7">
        <w:rPr>
          <w:i/>
          <w:iCs/>
          <w:lang w:val="en-US"/>
        </w:rPr>
        <w:t xml:space="preserve">, E. M. (2025). The impact of digital transformation in human resource management on employee satisfaction in Saudi private sector. Lex </w:t>
      </w:r>
      <w:proofErr w:type="spellStart"/>
      <w:r w:rsidRPr="003150E7">
        <w:rPr>
          <w:i/>
          <w:iCs/>
          <w:lang w:val="en-US"/>
        </w:rPr>
        <w:t>Localis</w:t>
      </w:r>
      <w:proofErr w:type="spellEnd"/>
      <w:r w:rsidRPr="003150E7">
        <w:rPr>
          <w:i/>
          <w:iCs/>
          <w:lang w:val="en-US"/>
        </w:rPr>
        <w:t xml:space="preserve"> – Journal of Local Self-Government, 23(S6), 103–132. </w:t>
      </w:r>
      <w:hyperlink r:id="rId17" w:history="1">
        <w:r w:rsidRPr="003150E7">
          <w:rPr>
            <w:rStyle w:val="Hyperlink"/>
            <w:i/>
            <w:iCs/>
            <w:lang w:val="en-US"/>
          </w:rPr>
          <w:t>https://doi.org/10.52152/801761</w:t>
        </w:r>
      </w:hyperlink>
      <w:r w:rsidRPr="003150E7">
        <w:rPr>
          <w:lang w:val="en-US"/>
        </w:rPr>
        <w:t> </w:t>
      </w:r>
    </w:p>
    <w:p w14:paraId="6A248C98" w14:textId="77777777" w:rsidR="003150E7" w:rsidRDefault="003150E7" w:rsidP="003150E7">
      <w:pPr>
        <w:pStyle w:val="a9"/>
        <w:numPr>
          <w:ilvl w:val="0"/>
          <w:numId w:val="49"/>
        </w:numPr>
        <w:ind w:left="0"/>
        <w:divId w:val="1647278641"/>
      </w:pPr>
      <w:r w:rsidRPr="003150E7">
        <w:rPr>
          <w:i/>
          <w:iCs/>
          <w:lang w:val="en-US"/>
        </w:rPr>
        <w:t xml:space="preserve">Singh, P., </w:t>
      </w:r>
      <w:proofErr w:type="spellStart"/>
      <w:r w:rsidRPr="003150E7">
        <w:rPr>
          <w:i/>
          <w:iCs/>
          <w:lang w:val="en-US"/>
        </w:rPr>
        <w:t>Bala</w:t>
      </w:r>
      <w:proofErr w:type="spellEnd"/>
      <w:r w:rsidRPr="003150E7">
        <w:rPr>
          <w:i/>
          <w:iCs/>
          <w:lang w:val="en-US"/>
        </w:rPr>
        <w:t xml:space="preserve">, H., Dey, B. L., &amp; </w:t>
      </w:r>
      <w:proofErr w:type="spellStart"/>
      <w:r w:rsidRPr="003150E7">
        <w:rPr>
          <w:i/>
          <w:iCs/>
          <w:lang w:val="en-US"/>
        </w:rPr>
        <w:t>Filieri</w:t>
      </w:r>
      <w:proofErr w:type="spellEnd"/>
      <w:r w:rsidRPr="003150E7">
        <w:rPr>
          <w:i/>
          <w:iCs/>
          <w:lang w:val="en-US"/>
        </w:rPr>
        <w:t>, R. (2022). Enforced remote working: The impact of digital platform-induced stress and remote working experience on technology exhaustion and subjective wellbeing. Journal of Business Research, 151, 269–286. </w:t>
      </w:r>
      <w:hyperlink r:id="rId18" w:history="1">
        <w:r w:rsidRPr="003150E7">
          <w:rPr>
            <w:rStyle w:val="Hyperlink"/>
            <w:i/>
            <w:iCs/>
            <w:lang w:val="en-US"/>
          </w:rPr>
          <w:t>https://doi.org/10.1016/j.jbusres.2022.07.002</w:t>
        </w:r>
      </w:hyperlink>
    </w:p>
    <w:p w14:paraId="1E411AD1" w14:textId="269CD859" w:rsidR="00173B3F" w:rsidRDefault="00173B3F" w:rsidP="003150E7">
      <w:pPr>
        <w:pStyle w:val="a9"/>
        <w:numPr>
          <w:ilvl w:val="0"/>
          <w:numId w:val="49"/>
        </w:numPr>
        <w:ind w:left="0"/>
        <w:divId w:val="1647278641"/>
      </w:pPr>
      <w:r>
        <w:t xml:space="preserve">Spector, P. E. (1997). </w:t>
      </w:r>
      <w:r>
        <w:rPr>
          <w:i/>
          <w:iCs/>
        </w:rPr>
        <w:t>Job satisfaction: Application, assessment, causes, and consequences</w:t>
      </w:r>
      <w:r>
        <w:t>. Sage.</w:t>
      </w:r>
    </w:p>
    <w:p w14:paraId="42AE7E25" w14:textId="77777777" w:rsidR="00173B3F" w:rsidRDefault="00173B3F" w:rsidP="00173B3F">
      <w:pPr>
        <w:pStyle w:val="a9"/>
        <w:numPr>
          <w:ilvl w:val="0"/>
          <w:numId w:val="49"/>
        </w:numPr>
        <w:ind w:left="0"/>
        <w:divId w:val="1647278641"/>
      </w:pPr>
      <w:proofErr w:type="spellStart"/>
      <w:r>
        <w:t>Tarafdar</w:t>
      </w:r>
      <w:proofErr w:type="spellEnd"/>
      <w:r>
        <w:t xml:space="preserve">, M., Tu, Q., Ragu-Nathan, B. S., &amp; Ragu-Nathan, T. S. (2007). The impact of technostress on role stress and productivity. </w:t>
      </w:r>
      <w:r>
        <w:rPr>
          <w:i/>
          <w:iCs/>
        </w:rPr>
        <w:t>Journal of Management Information Systems, 24</w:t>
      </w:r>
      <w:r>
        <w:t>(1), 301–328. https://doi.org/10.2753/MIS0742-1222240109</w:t>
      </w:r>
    </w:p>
    <w:p w14:paraId="3B2A3073" w14:textId="77777777" w:rsidR="00173B3F" w:rsidRDefault="00173B3F" w:rsidP="00173B3F">
      <w:pPr>
        <w:pStyle w:val="a9"/>
        <w:numPr>
          <w:ilvl w:val="0"/>
          <w:numId w:val="49"/>
        </w:numPr>
        <w:ind w:left="0"/>
        <w:divId w:val="1647278641"/>
      </w:pPr>
      <w:proofErr w:type="spellStart"/>
      <w:r>
        <w:t>Tarafdar</w:t>
      </w:r>
      <w:proofErr w:type="spellEnd"/>
      <w:r>
        <w:t xml:space="preserve">, M., Tu, Q., Ragu-Nathan, B. S., &amp; Ragu-Nathan, T. S. (2011). Crossing to the dark side: Examining creators, outcomes, and inhibitors of technostress. </w:t>
      </w:r>
      <w:r>
        <w:rPr>
          <w:i/>
          <w:iCs/>
        </w:rPr>
        <w:t>Communications of the ACM, 54</w:t>
      </w:r>
      <w:r>
        <w:t>(9), 113–120. https://doi.org/10.1145/1995376.1995403</w:t>
      </w:r>
    </w:p>
    <w:p w14:paraId="5C9191E7" w14:textId="77777777" w:rsidR="00173B3F" w:rsidRDefault="00173B3F" w:rsidP="00173B3F">
      <w:pPr>
        <w:pStyle w:val="a9"/>
        <w:numPr>
          <w:ilvl w:val="0"/>
          <w:numId w:val="49"/>
        </w:numPr>
        <w:ind w:left="0"/>
        <w:divId w:val="1647278641"/>
      </w:pPr>
      <w:proofErr w:type="spellStart"/>
      <w:r>
        <w:t>Tarafdar</w:t>
      </w:r>
      <w:proofErr w:type="spellEnd"/>
      <w:r>
        <w:t xml:space="preserve">, M., </w:t>
      </w:r>
      <w:proofErr w:type="spellStart"/>
      <w:r>
        <w:t>Pullins</w:t>
      </w:r>
      <w:proofErr w:type="spellEnd"/>
      <w:r>
        <w:t xml:space="preserve">, E. B., &amp; Ragu-Nathan, T. S. (2015). Technostress: Negative effect on performance and possible mitigations. </w:t>
      </w:r>
      <w:r>
        <w:rPr>
          <w:i/>
          <w:iCs/>
        </w:rPr>
        <w:t>Information Systems Journal, 25</w:t>
      </w:r>
      <w:r>
        <w:t>(2), 103–132. https://doi.org/10.1111/isj.12042</w:t>
      </w:r>
    </w:p>
    <w:p w14:paraId="57973ADC" w14:textId="77777777" w:rsidR="00173B3F" w:rsidRDefault="00173B3F" w:rsidP="00173B3F">
      <w:pPr>
        <w:pStyle w:val="a9"/>
        <w:numPr>
          <w:ilvl w:val="0"/>
          <w:numId w:val="49"/>
        </w:numPr>
        <w:ind w:left="0"/>
        <w:divId w:val="1647278641"/>
      </w:pPr>
      <w:proofErr w:type="spellStart"/>
      <w:r>
        <w:lastRenderedPageBreak/>
        <w:t>Tornatzky</w:t>
      </w:r>
      <w:proofErr w:type="spellEnd"/>
      <w:r>
        <w:t xml:space="preserve">, L. G., &amp; Fleischer, M. (1990). </w:t>
      </w:r>
      <w:r>
        <w:rPr>
          <w:i/>
          <w:iCs/>
        </w:rPr>
        <w:t>The processes of technological innovation</w:t>
      </w:r>
      <w:r>
        <w:t>. Lexington Books.</w:t>
      </w:r>
    </w:p>
    <w:p w14:paraId="5FB9F1FF" w14:textId="77777777" w:rsidR="00173B3F" w:rsidRDefault="00173B3F" w:rsidP="00173B3F">
      <w:pPr>
        <w:pStyle w:val="a9"/>
        <w:numPr>
          <w:ilvl w:val="0"/>
          <w:numId w:val="49"/>
        </w:numPr>
        <w:ind w:left="0"/>
        <w:divId w:val="1647278641"/>
      </w:pPr>
      <w:r>
        <w:t xml:space="preserve">Tu, L., Rao, Z., Jiang, H., &amp; Dai, L. (2025). Technostress, burnout, and job satisfaction: An empirical study of STEM teachers’ well-being and performance. </w:t>
      </w:r>
      <w:r>
        <w:rPr>
          <w:i/>
          <w:iCs/>
        </w:rPr>
        <w:t>Behavioral Sciences, 15</w:t>
      </w:r>
      <w:r>
        <w:t>(7), 992. https://doi.org/10.3390/bs15070992</w:t>
      </w:r>
    </w:p>
    <w:p w14:paraId="733CADCF" w14:textId="77777777" w:rsidR="003150E7" w:rsidRPr="003150E7" w:rsidRDefault="003150E7" w:rsidP="003150E7">
      <w:pPr>
        <w:pStyle w:val="a9"/>
        <w:numPr>
          <w:ilvl w:val="0"/>
          <w:numId w:val="49"/>
        </w:numPr>
        <w:ind w:left="0"/>
        <w:divId w:val="1647278641"/>
      </w:pPr>
      <w:proofErr w:type="spellStart"/>
      <w:r w:rsidRPr="003150E7">
        <w:rPr>
          <w:i/>
          <w:iCs/>
          <w:lang w:val="en-US"/>
        </w:rPr>
        <w:t>Tzavella</w:t>
      </w:r>
      <w:proofErr w:type="spellEnd"/>
      <w:r w:rsidRPr="003150E7">
        <w:rPr>
          <w:i/>
          <w:iCs/>
          <w:lang w:val="en-US"/>
        </w:rPr>
        <w:t xml:space="preserve">, V., </w:t>
      </w:r>
      <w:proofErr w:type="spellStart"/>
      <w:r w:rsidRPr="003150E7">
        <w:rPr>
          <w:i/>
          <w:iCs/>
          <w:lang w:val="en-US"/>
        </w:rPr>
        <w:t>Konstantinopoulou</w:t>
      </w:r>
      <w:proofErr w:type="spellEnd"/>
      <w:r w:rsidRPr="003150E7">
        <w:rPr>
          <w:i/>
          <w:iCs/>
          <w:lang w:val="en-US"/>
        </w:rPr>
        <w:t xml:space="preserve">, A., &amp; </w:t>
      </w:r>
      <w:proofErr w:type="spellStart"/>
      <w:r w:rsidRPr="003150E7">
        <w:rPr>
          <w:i/>
          <w:iCs/>
          <w:lang w:val="en-US"/>
        </w:rPr>
        <w:t>Lazakidou</w:t>
      </w:r>
      <w:proofErr w:type="spellEnd"/>
      <w:r w:rsidRPr="003150E7">
        <w:rPr>
          <w:i/>
          <w:iCs/>
          <w:lang w:val="en-US"/>
        </w:rPr>
        <w:t xml:space="preserve">, A. (2025). Measuring job satisfaction of government employees and the impact of digital transformation in the public sector. Acta Universitatis </w:t>
      </w:r>
      <w:proofErr w:type="spellStart"/>
      <w:r w:rsidRPr="003150E7">
        <w:rPr>
          <w:i/>
          <w:iCs/>
          <w:lang w:val="en-US"/>
        </w:rPr>
        <w:t>Bohemiae</w:t>
      </w:r>
      <w:proofErr w:type="spellEnd"/>
      <w:r w:rsidRPr="003150E7">
        <w:rPr>
          <w:i/>
          <w:iCs/>
          <w:lang w:val="en-US"/>
        </w:rPr>
        <w:t xml:space="preserve"> </w:t>
      </w:r>
      <w:proofErr w:type="spellStart"/>
      <w:r w:rsidRPr="003150E7">
        <w:rPr>
          <w:i/>
          <w:iCs/>
          <w:lang w:val="en-US"/>
        </w:rPr>
        <w:t>Meridionalis</w:t>
      </w:r>
      <w:proofErr w:type="spellEnd"/>
      <w:r w:rsidRPr="003150E7">
        <w:rPr>
          <w:i/>
          <w:iCs/>
          <w:lang w:val="en-US"/>
        </w:rPr>
        <w:t>, 28(1), 1–13. </w:t>
      </w:r>
      <w:hyperlink r:id="rId19" w:history="1">
        <w:r w:rsidRPr="003150E7">
          <w:rPr>
            <w:rStyle w:val="Hyperlink"/>
            <w:i/>
            <w:iCs/>
            <w:lang w:val="en-US"/>
          </w:rPr>
          <w:t>https://doi.org/10.32725/acta.2025.001</w:t>
        </w:r>
      </w:hyperlink>
      <w:r w:rsidRPr="003150E7">
        <w:rPr>
          <w:lang w:val="en-US"/>
        </w:rPr>
        <w:t> </w:t>
      </w:r>
    </w:p>
    <w:p w14:paraId="51AEEF34" w14:textId="4C690048" w:rsidR="00173B3F" w:rsidRDefault="00173B3F" w:rsidP="003150E7">
      <w:pPr>
        <w:pStyle w:val="a9"/>
        <w:numPr>
          <w:ilvl w:val="0"/>
          <w:numId w:val="49"/>
        </w:numPr>
        <w:ind w:left="0"/>
        <w:divId w:val="1647278641"/>
      </w:pPr>
      <w:r>
        <w:t xml:space="preserve">Ullrich, A., </w:t>
      </w:r>
      <w:proofErr w:type="spellStart"/>
      <w:r>
        <w:t>Stief</w:t>
      </w:r>
      <w:proofErr w:type="spellEnd"/>
      <w:r>
        <w:t xml:space="preserve">, M., &amp; Nissen, V. (2023). Public sector digital transformation: A systematic literature review. In </w:t>
      </w:r>
      <w:r>
        <w:rPr>
          <w:i/>
          <w:iCs/>
        </w:rPr>
        <w:t>Advances in Digital Transformation</w:t>
      </w:r>
      <w:r>
        <w:t xml:space="preserve"> (pp. 3–20). Springer. https://doi.org/10.1007/978-3-031-11007-6_1</w:t>
      </w:r>
    </w:p>
    <w:p w14:paraId="3F1B8D02" w14:textId="77777777" w:rsidR="00173B3F" w:rsidRDefault="00173B3F" w:rsidP="00173B3F">
      <w:pPr>
        <w:pStyle w:val="a9"/>
        <w:numPr>
          <w:ilvl w:val="0"/>
          <w:numId w:val="49"/>
        </w:numPr>
        <w:ind w:left="0"/>
        <w:divId w:val="1647278641"/>
      </w:pPr>
      <w:r>
        <w:t xml:space="preserve">Venkatesh, V., &amp; </w:t>
      </w:r>
      <w:proofErr w:type="spellStart"/>
      <w:r>
        <w:t>Bala</w:t>
      </w:r>
      <w:proofErr w:type="spellEnd"/>
      <w:r>
        <w:t xml:space="preserve">, H. (2008). Technology acceptance model 3 and a research agenda on interventions. </w:t>
      </w:r>
      <w:r>
        <w:rPr>
          <w:i/>
          <w:iCs/>
        </w:rPr>
        <w:t>Decision Sciences, 39</w:t>
      </w:r>
      <w:r>
        <w:t>(2), 273–315. https://doi.org/10.1111/j.1540-5915.2008.00192.x</w:t>
      </w:r>
    </w:p>
    <w:p w14:paraId="1EFD6DE1" w14:textId="77777777" w:rsidR="00173B3F" w:rsidRDefault="00173B3F" w:rsidP="00173B3F">
      <w:pPr>
        <w:pStyle w:val="a9"/>
        <w:numPr>
          <w:ilvl w:val="0"/>
          <w:numId w:val="49"/>
        </w:numPr>
        <w:ind w:left="0"/>
        <w:divId w:val="1647278641"/>
      </w:pPr>
      <w:r>
        <w:t xml:space="preserve">Venkatesh, V., &amp; Davis, F. D. (2000). A theoretical extension of the Technology Acceptance Model: Four longitudinal field studies. </w:t>
      </w:r>
      <w:r>
        <w:rPr>
          <w:i/>
          <w:iCs/>
        </w:rPr>
        <w:t>Management Science, 46</w:t>
      </w:r>
      <w:r>
        <w:t>(2), 186–204. https://doi.org/10.1287/mnsc.46.2.186.11926</w:t>
      </w:r>
    </w:p>
    <w:p w14:paraId="7B6D16A5" w14:textId="77777777" w:rsidR="00173B3F" w:rsidRDefault="00173B3F" w:rsidP="00173B3F">
      <w:pPr>
        <w:pStyle w:val="a9"/>
        <w:numPr>
          <w:ilvl w:val="0"/>
          <w:numId w:val="49"/>
        </w:numPr>
        <w:ind w:left="0"/>
        <w:divId w:val="1647278641"/>
      </w:pPr>
      <w:r>
        <w:t xml:space="preserve">Venkatesh, V., Morris, M. G., Davis, G. B., &amp; Davis, F. D. (2003). User acceptance of information technology: Toward a unified view. </w:t>
      </w:r>
      <w:r>
        <w:rPr>
          <w:i/>
          <w:iCs/>
        </w:rPr>
        <w:t>MIS Quarterly, 27</w:t>
      </w:r>
      <w:r>
        <w:t>(3), 425–478. https://doi.org/10.2307/30036540</w:t>
      </w:r>
    </w:p>
    <w:p w14:paraId="230AA3D7" w14:textId="77777777" w:rsidR="00173B3F" w:rsidRDefault="00173B3F" w:rsidP="00173B3F">
      <w:pPr>
        <w:pStyle w:val="a9"/>
        <w:numPr>
          <w:ilvl w:val="0"/>
          <w:numId w:val="49"/>
        </w:numPr>
        <w:ind w:left="0"/>
        <w:divId w:val="1647278641"/>
      </w:pPr>
      <w:r>
        <w:t xml:space="preserve">Vial, G. (2019). Understanding digital transformation: A review and a research agenda. </w:t>
      </w:r>
      <w:r>
        <w:rPr>
          <w:i/>
          <w:iCs/>
        </w:rPr>
        <w:t>The Journal of Strategic Information Systems, 28</w:t>
      </w:r>
      <w:r>
        <w:t>(2), 118–144. https://doi.org/10.1016/j.jsis.2019.01.003</w:t>
      </w:r>
    </w:p>
    <w:p w14:paraId="6A3C3829" w14:textId="77777777" w:rsidR="00173B3F" w:rsidRDefault="00173B3F" w:rsidP="00173B3F">
      <w:pPr>
        <w:pStyle w:val="a9"/>
        <w:numPr>
          <w:ilvl w:val="0"/>
          <w:numId w:val="49"/>
        </w:numPr>
        <w:ind w:left="0"/>
        <w:divId w:val="1647278641"/>
      </w:pPr>
      <w:r>
        <w:t xml:space="preserve">Weiner, B. J. (2009). A theory of organizational readiness for change. </w:t>
      </w:r>
      <w:r>
        <w:rPr>
          <w:i/>
          <w:iCs/>
        </w:rPr>
        <w:t>Implementation Science, 4</w:t>
      </w:r>
      <w:r>
        <w:t>, 67. https://doi.org/10.1186/1748-5908-4-67</w:t>
      </w:r>
    </w:p>
    <w:p w14:paraId="23435A8F" w14:textId="77777777" w:rsidR="00173B3F" w:rsidRDefault="00173B3F" w:rsidP="00173B3F">
      <w:pPr>
        <w:pStyle w:val="a9"/>
        <w:numPr>
          <w:ilvl w:val="0"/>
          <w:numId w:val="49"/>
        </w:numPr>
        <w:ind w:left="0"/>
        <w:divId w:val="1647278641"/>
      </w:pPr>
      <w:r>
        <w:t xml:space="preserve">Weiss, H. M. (2002). Deconstructing job satisfaction: Separating evaluations, beliefs and affective experiences. </w:t>
      </w:r>
      <w:r>
        <w:rPr>
          <w:i/>
          <w:iCs/>
        </w:rPr>
        <w:t>Human Resource Management Review, 12</w:t>
      </w:r>
      <w:r>
        <w:t>(2), 173–194. https://doi.org/10.1016/S1053-4822(02)00045-8</w:t>
      </w:r>
    </w:p>
    <w:p w14:paraId="69F5D55F" w14:textId="77777777" w:rsidR="00173B3F" w:rsidRDefault="00173B3F" w:rsidP="00173B3F">
      <w:pPr>
        <w:pStyle w:val="a9"/>
        <w:numPr>
          <w:ilvl w:val="0"/>
          <w:numId w:val="49"/>
        </w:numPr>
        <w:ind w:left="0"/>
        <w:divId w:val="1647278641"/>
      </w:pPr>
      <w:r>
        <w:t xml:space="preserve">Wixom, B. H., &amp; Todd, P. A. (2005). A theoretical integration of user satisfaction and technology acceptance. </w:t>
      </w:r>
      <w:r>
        <w:rPr>
          <w:i/>
          <w:iCs/>
        </w:rPr>
        <w:t>Information Systems Research, 16</w:t>
      </w:r>
      <w:r>
        <w:t>(1), 85–102. https://doi.org/10.1287/isre.1050.0062</w:t>
      </w:r>
    </w:p>
    <w:p w14:paraId="17078AE9" w14:textId="77777777" w:rsidR="00173B3F" w:rsidRDefault="00173B3F" w:rsidP="00173B3F">
      <w:pPr>
        <w:pStyle w:val="a9"/>
        <w:numPr>
          <w:ilvl w:val="0"/>
          <w:numId w:val="49"/>
        </w:numPr>
        <w:ind w:left="0"/>
        <w:divId w:val="1647278641"/>
      </w:pPr>
      <w:r>
        <w:t xml:space="preserve">Yin, R. K. (2018). </w:t>
      </w:r>
      <w:r>
        <w:rPr>
          <w:i/>
          <w:iCs/>
        </w:rPr>
        <w:t>Case study research and applications: Design and methods</w:t>
      </w:r>
      <w:r>
        <w:t xml:space="preserve"> (6th ed.). Sage.</w:t>
      </w:r>
    </w:p>
    <w:p w14:paraId="6303EDD2" w14:textId="77777777" w:rsidR="00113D0D" w:rsidRDefault="00113D0D" w:rsidP="00113D0D">
      <w:pPr>
        <w:bidi/>
        <w:spacing w:before="600" w:after="160" w:line="360" w:lineRule="auto"/>
        <w:ind w:right="1800"/>
        <w:divId w:val="1647278641"/>
        <w:rPr>
          <w:rFonts w:ascii="Traditional Arabic" w:hAnsi="Traditional Arabic" w:cs="Traditional Arabic"/>
          <w:b/>
          <w:bCs/>
          <w:sz w:val="32"/>
          <w:szCs w:val="32"/>
          <w:rtl/>
        </w:rPr>
      </w:pPr>
      <w:bookmarkStart w:id="3" w:name="المراجع-الأجنبية-sz"/>
      <w:bookmarkEnd w:id="3"/>
    </w:p>
    <w:p w14:paraId="1768C79E" w14:textId="7BDCDC7F" w:rsidR="00173B3F" w:rsidRPr="00113D0D" w:rsidRDefault="00173B3F" w:rsidP="00113D0D">
      <w:pPr>
        <w:bidi/>
        <w:spacing w:before="600" w:after="160" w:line="360" w:lineRule="auto"/>
        <w:ind w:right="1800"/>
        <w:divId w:val="1647278641"/>
        <w:rPr>
          <w:rFonts w:ascii="Traditional Arabic" w:hAnsi="Traditional Arabic" w:cs="Traditional Arabic"/>
          <w:b/>
          <w:bCs/>
          <w:sz w:val="28"/>
          <w:szCs w:val="28"/>
        </w:rPr>
      </w:pPr>
      <w:r w:rsidRPr="00113D0D">
        <w:rPr>
          <w:rFonts w:ascii="Traditional Arabic" w:hAnsi="Traditional Arabic" w:cs="Traditional Arabic"/>
          <w:b/>
          <w:bCs/>
          <w:sz w:val="28"/>
          <w:szCs w:val="28"/>
          <w:rtl/>
        </w:rPr>
        <w:lastRenderedPageBreak/>
        <w:t>المراجع العربية والوثائق الرسمية</w:t>
      </w:r>
    </w:p>
    <w:p w14:paraId="1304FE48" w14:textId="77777777" w:rsidR="003150E7" w:rsidRPr="003150E7" w:rsidRDefault="003150E7" w:rsidP="008A2837">
      <w:pPr>
        <w:pStyle w:val="a9"/>
        <w:numPr>
          <w:ilvl w:val="0"/>
          <w:numId w:val="47"/>
        </w:numPr>
        <w:bidi/>
        <w:ind w:left="0"/>
        <w:divId w:val="1647278641"/>
      </w:pPr>
      <w:r w:rsidRPr="003150E7">
        <w:rPr>
          <w:i/>
          <w:iCs/>
          <w:rtl/>
        </w:rPr>
        <w:t>هيئة الحكومة الرقمية. (2025). التقرير السنوي لهيئة الحكومة الرقمية 2024 [تقرير]</w:t>
      </w:r>
      <w:r w:rsidRPr="003150E7">
        <w:rPr>
          <w:i/>
          <w:iCs/>
          <w:lang w:val="en-US"/>
        </w:rPr>
        <w:t>. </w:t>
      </w:r>
      <w:hyperlink r:id="rId20" w:history="1">
        <w:r w:rsidRPr="003150E7">
          <w:rPr>
            <w:rStyle w:val="Hyperlink"/>
            <w:i/>
            <w:iCs/>
            <w:lang w:val="en-US"/>
          </w:rPr>
          <w:t>https://dga.gov.sa/ar/digital-knowledge/DGA-Annual-Report-2024</w:t>
        </w:r>
      </w:hyperlink>
      <w:r w:rsidRPr="003150E7">
        <w:rPr>
          <w:lang w:val="en-US"/>
        </w:rPr>
        <w:t> </w:t>
      </w:r>
    </w:p>
    <w:p w14:paraId="128CA548" w14:textId="0FA39E85" w:rsidR="00173B3F" w:rsidRDefault="00173B3F" w:rsidP="008A2837">
      <w:pPr>
        <w:pStyle w:val="a9"/>
        <w:numPr>
          <w:ilvl w:val="0"/>
          <w:numId w:val="47"/>
        </w:numPr>
        <w:bidi/>
        <w:ind w:left="0"/>
        <w:divId w:val="1647278641"/>
      </w:pPr>
      <w:r>
        <w:rPr>
          <w:rtl/>
        </w:rPr>
        <w:t>وزارة العدل. (د.ت.)</w:t>
      </w:r>
      <w:r>
        <w:t xml:space="preserve">. </w:t>
      </w:r>
      <w:r>
        <w:rPr>
          <w:i/>
          <w:iCs/>
          <w:rtl/>
        </w:rPr>
        <w:t>مركز ناجز للخدمات العدلية</w:t>
      </w:r>
      <w:r>
        <w:t xml:space="preserve">. </w:t>
      </w:r>
      <w:r>
        <w:rPr>
          <w:rtl/>
        </w:rPr>
        <w:t xml:space="preserve">وزارة العدل (المملكة العربية السعودية). تم </w:t>
      </w:r>
      <w:bookmarkStart w:id="4" w:name="_GoBack"/>
      <w:bookmarkEnd w:id="4"/>
      <w:r>
        <w:rPr>
          <w:rtl/>
        </w:rPr>
        <w:t xml:space="preserve">الاسترجاع في 31 مارس 2026، من </w:t>
      </w:r>
      <w:r>
        <w:t>https://www.moj.gov.sa/ar/Ministry/Departments/NajizCenter</w:t>
      </w:r>
    </w:p>
    <w:p w14:paraId="08F267C4" w14:textId="77777777" w:rsidR="003150E7" w:rsidRPr="003150E7" w:rsidRDefault="003150E7" w:rsidP="008A2837">
      <w:pPr>
        <w:pStyle w:val="a9"/>
        <w:numPr>
          <w:ilvl w:val="0"/>
          <w:numId w:val="47"/>
        </w:numPr>
        <w:bidi/>
        <w:ind w:left="0"/>
        <w:divId w:val="1647278641"/>
      </w:pPr>
      <w:r w:rsidRPr="003150E7">
        <w:rPr>
          <w:i/>
          <w:iCs/>
          <w:lang w:val="en-US"/>
        </w:rPr>
        <w:t xml:space="preserve">Ministry of Interior. (n.d.). About </w:t>
      </w:r>
      <w:proofErr w:type="spellStart"/>
      <w:r w:rsidRPr="003150E7">
        <w:rPr>
          <w:i/>
          <w:iCs/>
          <w:lang w:val="en-US"/>
        </w:rPr>
        <w:t>Absher</w:t>
      </w:r>
      <w:proofErr w:type="spellEnd"/>
      <w:r w:rsidRPr="003150E7">
        <w:rPr>
          <w:i/>
          <w:iCs/>
          <w:lang w:val="en-US"/>
        </w:rPr>
        <w:t>. Retrieved March 31, 2026, from </w:t>
      </w:r>
      <w:hyperlink r:id="rId21" w:history="1">
        <w:r w:rsidRPr="003150E7">
          <w:rPr>
            <w:rStyle w:val="Hyperlink"/>
            <w:i/>
            <w:iCs/>
            <w:lang w:val="en-US"/>
          </w:rPr>
          <w:t>https://www.absher.sa/wps/portal/individuals/static/footer/about/</w:t>
        </w:r>
      </w:hyperlink>
      <w:r w:rsidRPr="003150E7">
        <w:rPr>
          <w:lang w:val="en-US"/>
        </w:rPr>
        <w:t> </w:t>
      </w:r>
    </w:p>
    <w:p w14:paraId="6E052823" w14:textId="77777777" w:rsidR="003150E7" w:rsidRPr="003150E7" w:rsidRDefault="003150E7" w:rsidP="008A2837">
      <w:pPr>
        <w:pStyle w:val="a9"/>
        <w:numPr>
          <w:ilvl w:val="0"/>
          <w:numId w:val="47"/>
        </w:numPr>
        <w:bidi/>
        <w:ind w:left="0"/>
        <w:divId w:val="1647278641"/>
      </w:pPr>
      <w:r w:rsidRPr="003150E7">
        <w:rPr>
          <w:i/>
          <w:iCs/>
          <w:lang w:val="en-US"/>
        </w:rPr>
        <w:t xml:space="preserve">Ministry of Justice (Saudi Arabia). (n.d.). </w:t>
      </w:r>
      <w:r w:rsidRPr="003150E7">
        <w:rPr>
          <w:i/>
          <w:iCs/>
          <w:rtl/>
        </w:rPr>
        <w:t>مركز ناجز للخدمات العدلية</w:t>
      </w:r>
      <w:r w:rsidRPr="003150E7">
        <w:rPr>
          <w:i/>
          <w:iCs/>
          <w:lang w:val="en-US"/>
        </w:rPr>
        <w:t>. Retrieved March 31, 2026, from </w:t>
      </w:r>
      <w:hyperlink r:id="rId22" w:history="1">
        <w:r w:rsidRPr="003150E7">
          <w:rPr>
            <w:rStyle w:val="Hyperlink"/>
            <w:i/>
            <w:iCs/>
            <w:lang w:val="en-US"/>
          </w:rPr>
          <w:t>https://www.moj.gov.sa/ar/Ministry/Departments/NajizCenter/Pages/default.aspx</w:t>
        </w:r>
      </w:hyperlink>
      <w:r w:rsidRPr="003150E7">
        <w:rPr>
          <w:lang w:val="en-US"/>
        </w:rPr>
        <w:t> </w:t>
      </w:r>
    </w:p>
    <w:p w14:paraId="435F7C11" w14:textId="2B73728E" w:rsidR="003150E7" w:rsidRPr="003150E7" w:rsidRDefault="003150E7" w:rsidP="008A2837">
      <w:pPr>
        <w:pStyle w:val="a9"/>
        <w:numPr>
          <w:ilvl w:val="0"/>
          <w:numId w:val="47"/>
        </w:numPr>
        <w:bidi/>
        <w:ind w:left="0"/>
        <w:divId w:val="1647278641"/>
      </w:pPr>
      <w:r w:rsidRPr="003150E7">
        <w:rPr>
          <w:i/>
          <w:iCs/>
          <w:lang w:val="en-US"/>
        </w:rPr>
        <w:t>Vision 2030. (</w:t>
      </w:r>
      <w:r>
        <w:rPr>
          <w:i/>
          <w:iCs/>
        </w:rPr>
        <w:t>2023</w:t>
      </w:r>
      <w:r w:rsidRPr="003150E7">
        <w:rPr>
          <w:i/>
          <w:iCs/>
          <w:lang w:val="en-US"/>
        </w:rPr>
        <w:t>). Vision 2030 annual report 2023 [Report]. </w:t>
      </w:r>
      <w:hyperlink r:id="rId23" w:history="1">
        <w:r w:rsidRPr="003150E7">
          <w:rPr>
            <w:rStyle w:val="Hyperlink"/>
            <w:i/>
            <w:iCs/>
            <w:lang w:val="en-US"/>
          </w:rPr>
          <w:t>https://www.vision2030.gov.sa/media/xi2jlj0y/english_vision2030_annual_report_2023.pdf</w:t>
        </w:r>
      </w:hyperlink>
      <w:r w:rsidRPr="003150E7">
        <w:rPr>
          <w:lang w:val="en-US"/>
        </w:rPr>
        <w:t> </w:t>
      </w:r>
    </w:p>
    <w:p w14:paraId="6FEFA85C" w14:textId="6D647EC0" w:rsidR="003150E7" w:rsidRPr="003150E7" w:rsidRDefault="003150E7" w:rsidP="008A2837">
      <w:pPr>
        <w:pStyle w:val="a9"/>
        <w:numPr>
          <w:ilvl w:val="0"/>
          <w:numId w:val="47"/>
        </w:numPr>
        <w:bidi/>
        <w:ind w:left="0"/>
        <w:divId w:val="1647278641"/>
      </w:pPr>
      <w:r w:rsidRPr="003150E7">
        <w:rPr>
          <w:i/>
          <w:iCs/>
          <w:lang w:val="en-US"/>
        </w:rPr>
        <w:t xml:space="preserve">World Bank. (2022). 2022 </w:t>
      </w:r>
      <w:proofErr w:type="spellStart"/>
      <w:r w:rsidRPr="003150E7">
        <w:rPr>
          <w:i/>
          <w:iCs/>
          <w:lang w:val="en-US"/>
        </w:rPr>
        <w:t>GovTech</w:t>
      </w:r>
      <w:proofErr w:type="spellEnd"/>
      <w:r w:rsidRPr="003150E7">
        <w:rPr>
          <w:i/>
          <w:iCs/>
          <w:lang w:val="en-US"/>
        </w:rPr>
        <w:t xml:space="preserve"> maturity index update. </w:t>
      </w:r>
      <w:hyperlink r:id="rId24" w:history="1">
        <w:r w:rsidRPr="003150E7">
          <w:rPr>
            <w:rStyle w:val="Hyperlink"/>
            <w:i/>
            <w:iCs/>
            <w:lang w:val="en-US"/>
          </w:rPr>
          <w:t>https://www.worldbank.org/en/programs/govtech/2022-gtmi</w:t>
        </w:r>
      </w:hyperlink>
      <w:r w:rsidRPr="003150E7">
        <w:rPr>
          <w:lang w:val="en-US"/>
        </w:rPr>
        <w:t> </w:t>
      </w:r>
    </w:p>
    <w:p w14:paraId="3ADD811C" w14:textId="77777777" w:rsidR="003150E7" w:rsidRPr="003150E7" w:rsidRDefault="003150E7" w:rsidP="008A2837">
      <w:pPr>
        <w:pStyle w:val="a9"/>
        <w:numPr>
          <w:ilvl w:val="0"/>
          <w:numId w:val="47"/>
        </w:numPr>
        <w:bidi/>
        <w:spacing w:after="600" w:line="360" w:lineRule="auto"/>
        <w:ind w:left="0" w:right="600"/>
        <w:divId w:val="1647278641"/>
      </w:pPr>
      <w:r w:rsidRPr="003150E7">
        <w:rPr>
          <w:i/>
          <w:iCs/>
          <w:lang w:val="en-US"/>
        </w:rPr>
        <w:t xml:space="preserve">World Bank. (n.d.). </w:t>
      </w:r>
      <w:proofErr w:type="spellStart"/>
      <w:r w:rsidRPr="003150E7">
        <w:rPr>
          <w:i/>
          <w:iCs/>
          <w:lang w:val="en-US"/>
        </w:rPr>
        <w:t>GovTech</w:t>
      </w:r>
      <w:proofErr w:type="spellEnd"/>
      <w:r w:rsidRPr="003150E7">
        <w:rPr>
          <w:i/>
          <w:iCs/>
          <w:lang w:val="en-US"/>
        </w:rPr>
        <w:t xml:space="preserve"> dataset [Data set]. Retrieved March 31, 2026, from </w:t>
      </w:r>
      <w:hyperlink r:id="rId25" w:history="1">
        <w:r w:rsidRPr="003150E7">
          <w:rPr>
            <w:rStyle w:val="Hyperlink"/>
            <w:i/>
            <w:iCs/>
            <w:lang w:val="en-US"/>
          </w:rPr>
          <w:t>https://datacatalog.worldbank.org/search/dataset/0037889/govtech-dataset</w:t>
        </w:r>
      </w:hyperlink>
      <w:r w:rsidRPr="003150E7">
        <w:rPr>
          <w:lang w:val="en-US"/>
        </w:rPr>
        <w:t> </w:t>
      </w:r>
    </w:p>
    <w:p w14:paraId="30791546" w14:textId="6FF23B65" w:rsidR="00B64312" w:rsidRPr="003150E7" w:rsidRDefault="00173B3F" w:rsidP="008A2837">
      <w:pPr>
        <w:pStyle w:val="a9"/>
        <w:numPr>
          <w:ilvl w:val="0"/>
          <w:numId w:val="47"/>
        </w:numPr>
        <w:bidi/>
        <w:spacing w:after="600" w:line="360" w:lineRule="auto"/>
        <w:ind w:left="0" w:right="600"/>
        <w:divId w:val="1647278641"/>
        <w:rPr>
          <w:i/>
          <w:iCs/>
          <w:lang w:val="en-US"/>
        </w:rPr>
      </w:pPr>
      <w:r w:rsidRPr="003150E7">
        <w:rPr>
          <w:i/>
          <w:iCs/>
          <w:lang w:val="en-US"/>
        </w:rPr>
        <w:t xml:space="preserve">International </w:t>
      </w:r>
      <w:proofErr w:type="spellStart"/>
      <w:r w:rsidRPr="003150E7">
        <w:rPr>
          <w:i/>
          <w:iCs/>
          <w:lang w:val="en-US"/>
        </w:rPr>
        <w:t>Labour</w:t>
      </w:r>
      <w:proofErr w:type="spellEnd"/>
      <w:r w:rsidRPr="003150E7">
        <w:rPr>
          <w:i/>
          <w:iCs/>
          <w:lang w:val="en-US"/>
        </w:rPr>
        <w:t xml:space="preserve"> Organization. (2021). Skills, jobs and digital transformation: Global strategies [Report]. </w:t>
      </w:r>
    </w:p>
    <w:sectPr w:rsidR="00B64312" w:rsidRPr="003150E7" w:rsidSect="003625A1">
      <w:footerReference w:type="default" r:id="rId2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65F6FD" w14:textId="77777777" w:rsidR="00B16554" w:rsidRDefault="00B16554" w:rsidP="003625A1">
      <w:r>
        <w:separator/>
      </w:r>
    </w:p>
  </w:endnote>
  <w:endnote w:type="continuationSeparator" w:id="0">
    <w:p w14:paraId="325B3E62" w14:textId="77777777" w:rsidR="00B16554" w:rsidRDefault="00B16554" w:rsidP="00362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BC55E" w14:textId="77777777" w:rsidR="00191B11" w:rsidRDefault="00191B11">
    <w:pPr>
      <w:pStyle w:val="a7"/>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A0F63C3" w14:textId="77777777" w:rsidR="00191B11" w:rsidRDefault="00191B1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5534B" w14:textId="77777777" w:rsidR="00B16554" w:rsidRDefault="00B16554" w:rsidP="003625A1">
      <w:r>
        <w:separator/>
      </w:r>
    </w:p>
  </w:footnote>
  <w:footnote w:type="continuationSeparator" w:id="0">
    <w:p w14:paraId="69D4FDBB" w14:textId="77777777" w:rsidR="00B16554" w:rsidRDefault="00B16554" w:rsidP="00362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8B"/>
    <w:multiLevelType w:val="multilevel"/>
    <w:tmpl w:val="6E9E2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F253A8"/>
    <w:multiLevelType w:val="multilevel"/>
    <w:tmpl w:val="3612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E7085"/>
    <w:multiLevelType w:val="multilevel"/>
    <w:tmpl w:val="FAF89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87F5B"/>
    <w:multiLevelType w:val="multilevel"/>
    <w:tmpl w:val="38FEB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57BDD"/>
    <w:multiLevelType w:val="multilevel"/>
    <w:tmpl w:val="1B4C9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DA240C"/>
    <w:multiLevelType w:val="multilevel"/>
    <w:tmpl w:val="0DF8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2F4BDA"/>
    <w:multiLevelType w:val="hybridMultilevel"/>
    <w:tmpl w:val="4C5E2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80F63"/>
    <w:multiLevelType w:val="multilevel"/>
    <w:tmpl w:val="18027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A94A2A"/>
    <w:multiLevelType w:val="multilevel"/>
    <w:tmpl w:val="D94E40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6D52E8"/>
    <w:multiLevelType w:val="multilevel"/>
    <w:tmpl w:val="B3E6F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2D100A"/>
    <w:multiLevelType w:val="multilevel"/>
    <w:tmpl w:val="22B24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94119BE"/>
    <w:multiLevelType w:val="multilevel"/>
    <w:tmpl w:val="8C72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9F5E09"/>
    <w:multiLevelType w:val="multilevel"/>
    <w:tmpl w:val="916A3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9379DB"/>
    <w:multiLevelType w:val="multilevel"/>
    <w:tmpl w:val="1C5C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9E024A"/>
    <w:multiLevelType w:val="multilevel"/>
    <w:tmpl w:val="E8C42A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020AB7"/>
    <w:multiLevelType w:val="multilevel"/>
    <w:tmpl w:val="A0BCF9A8"/>
    <w:lvl w:ilvl="0">
      <w:start w:val="1"/>
      <w:numFmt w:val="bullet"/>
      <w:lvlText w:val=""/>
      <w:lvlJc w:val="left"/>
      <w:pPr>
        <w:tabs>
          <w:tab w:val="num" w:pos="480"/>
        </w:tabs>
        <w:ind w:left="480" w:hanging="360"/>
      </w:pPr>
      <w:rPr>
        <w:rFonts w:ascii="Symbol" w:hAnsi="Symbol" w:hint="default"/>
        <w:sz w:val="20"/>
      </w:rPr>
    </w:lvl>
    <w:lvl w:ilvl="1" w:tentative="1">
      <w:start w:val="1"/>
      <w:numFmt w:val="bullet"/>
      <w:lvlText w:val="o"/>
      <w:lvlJc w:val="left"/>
      <w:pPr>
        <w:tabs>
          <w:tab w:val="num" w:pos="1200"/>
        </w:tabs>
        <w:ind w:left="1200" w:hanging="360"/>
      </w:pPr>
      <w:rPr>
        <w:rFonts w:ascii="Courier New" w:hAnsi="Courier New" w:hint="default"/>
        <w:sz w:val="20"/>
      </w:rPr>
    </w:lvl>
    <w:lvl w:ilvl="2" w:tentative="1">
      <w:start w:val="1"/>
      <w:numFmt w:val="bullet"/>
      <w:lvlText w:val=""/>
      <w:lvlJc w:val="left"/>
      <w:pPr>
        <w:tabs>
          <w:tab w:val="num" w:pos="1920"/>
        </w:tabs>
        <w:ind w:left="1920" w:hanging="360"/>
      </w:pPr>
      <w:rPr>
        <w:rFonts w:ascii="Wingdings" w:hAnsi="Wingdings" w:hint="default"/>
        <w:sz w:val="20"/>
      </w:rPr>
    </w:lvl>
    <w:lvl w:ilvl="3" w:tentative="1">
      <w:start w:val="1"/>
      <w:numFmt w:val="bullet"/>
      <w:lvlText w:val=""/>
      <w:lvlJc w:val="left"/>
      <w:pPr>
        <w:tabs>
          <w:tab w:val="num" w:pos="2640"/>
        </w:tabs>
        <w:ind w:left="2640" w:hanging="360"/>
      </w:pPr>
      <w:rPr>
        <w:rFonts w:ascii="Wingdings" w:hAnsi="Wingdings" w:hint="default"/>
        <w:sz w:val="20"/>
      </w:rPr>
    </w:lvl>
    <w:lvl w:ilvl="4" w:tentative="1">
      <w:start w:val="1"/>
      <w:numFmt w:val="bullet"/>
      <w:lvlText w:val=""/>
      <w:lvlJc w:val="left"/>
      <w:pPr>
        <w:tabs>
          <w:tab w:val="num" w:pos="3360"/>
        </w:tabs>
        <w:ind w:left="3360" w:hanging="360"/>
      </w:pPr>
      <w:rPr>
        <w:rFonts w:ascii="Wingdings" w:hAnsi="Wingdings" w:hint="default"/>
        <w:sz w:val="20"/>
      </w:rPr>
    </w:lvl>
    <w:lvl w:ilvl="5" w:tentative="1">
      <w:start w:val="1"/>
      <w:numFmt w:val="bullet"/>
      <w:lvlText w:val=""/>
      <w:lvlJc w:val="left"/>
      <w:pPr>
        <w:tabs>
          <w:tab w:val="num" w:pos="4080"/>
        </w:tabs>
        <w:ind w:left="4080" w:hanging="360"/>
      </w:pPr>
      <w:rPr>
        <w:rFonts w:ascii="Wingdings" w:hAnsi="Wingdings" w:hint="default"/>
        <w:sz w:val="20"/>
      </w:rPr>
    </w:lvl>
    <w:lvl w:ilvl="6" w:tentative="1">
      <w:start w:val="1"/>
      <w:numFmt w:val="bullet"/>
      <w:lvlText w:val=""/>
      <w:lvlJc w:val="left"/>
      <w:pPr>
        <w:tabs>
          <w:tab w:val="num" w:pos="4800"/>
        </w:tabs>
        <w:ind w:left="4800" w:hanging="360"/>
      </w:pPr>
      <w:rPr>
        <w:rFonts w:ascii="Wingdings" w:hAnsi="Wingdings" w:hint="default"/>
        <w:sz w:val="20"/>
      </w:rPr>
    </w:lvl>
    <w:lvl w:ilvl="7" w:tentative="1">
      <w:start w:val="1"/>
      <w:numFmt w:val="bullet"/>
      <w:lvlText w:val=""/>
      <w:lvlJc w:val="left"/>
      <w:pPr>
        <w:tabs>
          <w:tab w:val="num" w:pos="5520"/>
        </w:tabs>
        <w:ind w:left="5520" w:hanging="360"/>
      </w:pPr>
      <w:rPr>
        <w:rFonts w:ascii="Wingdings" w:hAnsi="Wingdings" w:hint="default"/>
        <w:sz w:val="20"/>
      </w:rPr>
    </w:lvl>
    <w:lvl w:ilvl="8" w:tentative="1">
      <w:start w:val="1"/>
      <w:numFmt w:val="bullet"/>
      <w:lvlText w:val=""/>
      <w:lvlJc w:val="left"/>
      <w:pPr>
        <w:tabs>
          <w:tab w:val="num" w:pos="6240"/>
        </w:tabs>
        <w:ind w:left="6240" w:hanging="360"/>
      </w:pPr>
      <w:rPr>
        <w:rFonts w:ascii="Wingdings" w:hAnsi="Wingdings" w:hint="default"/>
        <w:sz w:val="20"/>
      </w:rPr>
    </w:lvl>
  </w:abstractNum>
  <w:abstractNum w:abstractNumId="16" w15:restartNumberingAfterBreak="0">
    <w:nsid w:val="2F76088D"/>
    <w:multiLevelType w:val="multilevel"/>
    <w:tmpl w:val="9682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501BF8"/>
    <w:multiLevelType w:val="multilevel"/>
    <w:tmpl w:val="3C0053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C879DC"/>
    <w:multiLevelType w:val="multilevel"/>
    <w:tmpl w:val="8B28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657636"/>
    <w:multiLevelType w:val="multilevel"/>
    <w:tmpl w:val="772E9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093A32"/>
    <w:multiLevelType w:val="hybridMultilevel"/>
    <w:tmpl w:val="7F24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8E0EB1"/>
    <w:multiLevelType w:val="multilevel"/>
    <w:tmpl w:val="8CE25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496BA3"/>
    <w:multiLevelType w:val="hybridMultilevel"/>
    <w:tmpl w:val="26084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5423D84"/>
    <w:multiLevelType w:val="multilevel"/>
    <w:tmpl w:val="6D54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0061CB"/>
    <w:multiLevelType w:val="multilevel"/>
    <w:tmpl w:val="D212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1E2E61"/>
    <w:multiLevelType w:val="multilevel"/>
    <w:tmpl w:val="D6D2C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7B170A"/>
    <w:multiLevelType w:val="hybridMultilevel"/>
    <w:tmpl w:val="6AD6FE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A01F0A"/>
    <w:multiLevelType w:val="multilevel"/>
    <w:tmpl w:val="CF48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471C42"/>
    <w:multiLevelType w:val="multilevel"/>
    <w:tmpl w:val="6C42AC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8946807"/>
    <w:multiLevelType w:val="multilevel"/>
    <w:tmpl w:val="2354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437879"/>
    <w:multiLevelType w:val="hybridMultilevel"/>
    <w:tmpl w:val="FE500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F40D40"/>
    <w:multiLevelType w:val="multilevel"/>
    <w:tmpl w:val="29A27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1B5F76"/>
    <w:multiLevelType w:val="multilevel"/>
    <w:tmpl w:val="0C9C13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772A16"/>
    <w:multiLevelType w:val="multilevel"/>
    <w:tmpl w:val="6D46A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E750677"/>
    <w:multiLevelType w:val="multilevel"/>
    <w:tmpl w:val="40E06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F17F38"/>
    <w:multiLevelType w:val="multilevel"/>
    <w:tmpl w:val="93384774"/>
    <w:lvl w:ilvl="0">
      <w:start w:val="4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26809FD"/>
    <w:multiLevelType w:val="multilevel"/>
    <w:tmpl w:val="E5B4D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A91459"/>
    <w:multiLevelType w:val="multilevel"/>
    <w:tmpl w:val="A5D8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9A5C06"/>
    <w:multiLevelType w:val="hybridMultilevel"/>
    <w:tmpl w:val="5C42C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C85D7A"/>
    <w:multiLevelType w:val="multilevel"/>
    <w:tmpl w:val="AE268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307B75"/>
    <w:multiLevelType w:val="multilevel"/>
    <w:tmpl w:val="F3A47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D57FFE"/>
    <w:multiLevelType w:val="multilevel"/>
    <w:tmpl w:val="06D21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EC569E"/>
    <w:multiLevelType w:val="hybridMultilevel"/>
    <w:tmpl w:val="83E2D760"/>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43" w15:restartNumberingAfterBreak="0">
    <w:nsid w:val="764F0786"/>
    <w:multiLevelType w:val="multilevel"/>
    <w:tmpl w:val="7BB2D1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8C44283"/>
    <w:multiLevelType w:val="multilevel"/>
    <w:tmpl w:val="C45C9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D6D094E"/>
    <w:multiLevelType w:val="multilevel"/>
    <w:tmpl w:val="6A1A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9A6067"/>
    <w:multiLevelType w:val="hybridMultilevel"/>
    <w:tmpl w:val="46161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FF102A0"/>
    <w:multiLevelType w:val="multilevel"/>
    <w:tmpl w:val="FBA20A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0"/>
  </w:num>
  <w:num w:numId="3">
    <w:abstractNumId w:val="24"/>
  </w:num>
  <w:num w:numId="4">
    <w:abstractNumId w:val="40"/>
  </w:num>
  <w:num w:numId="5">
    <w:abstractNumId w:val="34"/>
  </w:num>
  <w:num w:numId="6">
    <w:abstractNumId w:val="27"/>
  </w:num>
  <w:num w:numId="7">
    <w:abstractNumId w:val="13"/>
  </w:num>
  <w:num w:numId="8">
    <w:abstractNumId w:val="44"/>
  </w:num>
  <w:num w:numId="9">
    <w:abstractNumId w:val="21"/>
  </w:num>
  <w:num w:numId="10">
    <w:abstractNumId w:val="0"/>
  </w:num>
  <w:num w:numId="11">
    <w:abstractNumId w:val="33"/>
  </w:num>
  <w:num w:numId="12">
    <w:abstractNumId w:val="16"/>
  </w:num>
  <w:num w:numId="13">
    <w:abstractNumId w:val="42"/>
  </w:num>
  <w:num w:numId="14">
    <w:abstractNumId w:val="4"/>
  </w:num>
  <w:num w:numId="15">
    <w:abstractNumId w:val="5"/>
  </w:num>
  <w:num w:numId="16">
    <w:abstractNumId w:val="39"/>
  </w:num>
  <w:num w:numId="17">
    <w:abstractNumId w:val="47"/>
  </w:num>
  <w:num w:numId="18">
    <w:abstractNumId w:val="11"/>
  </w:num>
  <w:num w:numId="19">
    <w:abstractNumId w:val="14"/>
  </w:num>
  <w:num w:numId="20">
    <w:abstractNumId w:val="32"/>
  </w:num>
  <w:num w:numId="21">
    <w:abstractNumId w:val="17"/>
  </w:num>
  <w:num w:numId="22">
    <w:abstractNumId w:val="43"/>
  </w:num>
  <w:num w:numId="23">
    <w:abstractNumId w:val="29"/>
  </w:num>
  <w:num w:numId="24">
    <w:abstractNumId w:val="3"/>
  </w:num>
  <w:num w:numId="25">
    <w:abstractNumId w:val="9"/>
  </w:num>
  <w:num w:numId="26">
    <w:abstractNumId w:val="23"/>
  </w:num>
  <w:num w:numId="27">
    <w:abstractNumId w:val="8"/>
  </w:num>
  <w:num w:numId="28">
    <w:abstractNumId w:val="8"/>
    <w:lvlOverride w:ilvl="1">
      <w:lvl w:ilvl="1">
        <w:numFmt w:val="bullet"/>
        <w:lvlText w:val="o"/>
        <w:lvlJc w:val="left"/>
        <w:pPr>
          <w:tabs>
            <w:tab w:val="num" w:pos="1440"/>
          </w:tabs>
          <w:ind w:left="1440" w:hanging="360"/>
        </w:pPr>
        <w:rPr>
          <w:rFonts w:ascii="Courier New" w:hAnsi="Courier New" w:hint="default"/>
          <w:sz w:val="20"/>
        </w:rPr>
      </w:lvl>
    </w:lvlOverride>
  </w:num>
  <w:num w:numId="29">
    <w:abstractNumId w:val="28"/>
  </w:num>
  <w:num w:numId="30">
    <w:abstractNumId w:val="37"/>
  </w:num>
  <w:num w:numId="31">
    <w:abstractNumId w:val="7"/>
  </w:num>
  <w:num w:numId="32">
    <w:abstractNumId w:val="35"/>
  </w:num>
  <w:num w:numId="33">
    <w:abstractNumId w:val="22"/>
  </w:num>
  <w:num w:numId="34">
    <w:abstractNumId w:val="36"/>
  </w:num>
  <w:num w:numId="35">
    <w:abstractNumId w:val="31"/>
  </w:num>
  <w:num w:numId="36">
    <w:abstractNumId w:val="45"/>
  </w:num>
  <w:num w:numId="37">
    <w:abstractNumId w:val="1"/>
  </w:num>
  <w:num w:numId="38">
    <w:abstractNumId w:val="2"/>
  </w:num>
  <w:num w:numId="39">
    <w:abstractNumId w:val="12"/>
  </w:num>
  <w:num w:numId="40">
    <w:abstractNumId w:val="19"/>
  </w:num>
  <w:num w:numId="41">
    <w:abstractNumId w:val="41"/>
  </w:num>
  <w:num w:numId="42">
    <w:abstractNumId w:val="18"/>
  </w:num>
  <w:num w:numId="43">
    <w:abstractNumId w:val="15"/>
  </w:num>
  <w:num w:numId="44">
    <w:abstractNumId w:val="26"/>
  </w:num>
  <w:num w:numId="45">
    <w:abstractNumId w:val="46"/>
  </w:num>
  <w:num w:numId="46">
    <w:abstractNumId w:val="20"/>
  </w:num>
  <w:num w:numId="47">
    <w:abstractNumId w:val="30"/>
  </w:num>
  <w:num w:numId="48">
    <w:abstractNumId w:val="6"/>
  </w:num>
  <w:num w:numId="4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B61"/>
    <w:rsid w:val="00020D34"/>
    <w:rsid w:val="00026091"/>
    <w:rsid w:val="000B50EE"/>
    <w:rsid w:val="000C339F"/>
    <w:rsid w:val="00111C65"/>
    <w:rsid w:val="00113D0D"/>
    <w:rsid w:val="00173B3F"/>
    <w:rsid w:val="00186650"/>
    <w:rsid w:val="00191B11"/>
    <w:rsid w:val="001D6516"/>
    <w:rsid w:val="00202D33"/>
    <w:rsid w:val="002544C2"/>
    <w:rsid w:val="00284884"/>
    <w:rsid w:val="002D2D73"/>
    <w:rsid w:val="002F488C"/>
    <w:rsid w:val="00311C76"/>
    <w:rsid w:val="003150E7"/>
    <w:rsid w:val="00323439"/>
    <w:rsid w:val="00335B65"/>
    <w:rsid w:val="003625A1"/>
    <w:rsid w:val="003627DB"/>
    <w:rsid w:val="00397F3A"/>
    <w:rsid w:val="003B7C35"/>
    <w:rsid w:val="003F3897"/>
    <w:rsid w:val="00422956"/>
    <w:rsid w:val="00481E53"/>
    <w:rsid w:val="004D2C4E"/>
    <w:rsid w:val="005018D5"/>
    <w:rsid w:val="00537022"/>
    <w:rsid w:val="00563CAE"/>
    <w:rsid w:val="00572992"/>
    <w:rsid w:val="00574EA9"/>
    <w:rsid w:val="005939A1"/>
    <w:rsid w:val="005E42D3"/>
    <w:rsid w:val="005F5918"/>
    <w:rsid w:val="005F6506"/>
    <w:rsid w:val="00606ECD"/>
    <w:rsid w:val="0062755D"/>
    <w:rsid w:val="00651926"/>
    <w:rsid w:val="00663477"/>
    <w:rsid w:val="006850AB"/>
    <w:rsid w:val="006B19D1"/>
    <w:rsid w:val="006C4275"/>
    <w:rsid w:val="00727C9B"/>
    <w:rsid w:val="007414CB"/>
    <w:rsid w:val="007619B3"/>
    <w:rsid w:val="007873C6"/>
    <w:rsid w:val="007B6401"/>
    <w:rsid w:val="007B785B"/>
    <w:rsid w:val="007C2480"/>
    <w:rsid w:val="007C5230"/>
    <w:rsid w:val="007F0F6F"/>
    <w:rsid w:val="00811F96"/>
    <w:rsid w:val="00870201"/>
    <w:rsid w:val="00880908"/>
    <w:rsid w:val="00896DDD"/>
    <w:rsid w:val="008A2837"/>
    <w:rsid w:val="008A75B0"/>
    <w:rsid w:val="008B0592"/>
    <w:rsid w:val="008B6F3E"/>
    <w:rsid w:val="008E4A93"/>
    <w:rsid w:val="00905EEE"/>
    <w:rsid w:val="00931223"/>
    <w:rsid w:val="0093597D"/>
    <w:rsid w:val="00977543"/>
    <w:rsid w:val="009D14BA"/>
    <w:rsid w:val="00A54C3F"/>
    <w:rsid w:val="00A93973"/>
    <w:rsid w:val="00AB2FD6"/>
    <w:rsid w:val="00AC2BD1"/>
    <w:rsid w:val="00B04E3B"/>
    <w:rsid w:val="00B16554"/>
    <w:rsid w:val="00B64312"/>
    <w:rsid w:val="00BC27A4"/>
    <w:rsid w:val="00BC4A07"/>
    <w:rsid w:val="00C37F6C"/>
    <w:rsid w:val="00CC426D"/>
    <w:rsid w:val="00CF7B61"/>
    <w:rsid w:val="00D20045"/>
    <w:rsid w:val="00D70865"/>
    <w:rsid w:val="00D8585C"/>
    <w:rsid w:val="00D9234A"/>
    <w:rsid w:val="00DA3433"/>
    <w:rsid w:val="00DA778E"/>
    <w:rsid w:val="00DB3C7B"/>
    <w:rsid w:val="00E72D37"/>
    <w:rsid w:val="00EB02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3F0081"/>
  <w15:chartTrackingRefBased/>
  <w15:docId w15:val="{A32ACF51-CFBF-461B-B563-C20EC9E52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eastAsiaTheme="minorEastAsia"/>
      <w:sz w:val="24"/>
      <w:szCs w:val="24"/>
    </w:rPr>
  </w:style>
  <w:style w:type="paragraph" w:styleId="1">
    <w:name w:val="heading 1"/>
    <w:basedOn w:val="a"/>
    <w:link w:val="1Char"/>
    <w:uiPriority w:val="9"/>
    <w:qFormat/>
    <w:pPr>
      <w:spacing w:before="288" w:after="96"/>
      <w:jc w:val="right"/>
      <w:outlineLvl w:val="0"/>
    </w:pPr>
    <w:rPr>
      <w:b/>
      <w:bCs/>
      <w:kern w:val="36"/>
      <w:sz w:val="48"/>
      <w:szCs w:val="48"/>
    </w:rPr>
  </w:style>
  <w:style w:type="paragraph" w:styleId="2">
    <w:name w:val="heading 2"/>
    <w:basedOn w:val="a"/>
    <w:link w:val="2Char"/>
    <w:uiPriority w:val="9"/>
    <w:qFormat/>
    <w:pPr>
      <w:spacing w:before="288" w:after="96"/>
      <w:jc w:val="right"/>
      <w:outlineLvl w:val="1"/>
    </w:pPr>
    <w:rPr>
      <w:b/>
      <w:bCs/>
      <w:sz w:val="36"/>
      <w:szCs w:val="36"/>
    </w:rPr>
  </w:style>
  <w:style w:type="paragraph" w:styleId="3">
    <w:name w:val="heading 3"/>
    <w:basedOn w:val="a"/>
    <w:link w:val="3Char"/>
    <w:uiPriority w:val="9"/>
    <w:qFormat/>
    <w:pPr>
      <w:spacing w:before="288" w:after="96"/>
      <w:jc w:val="right"/>
      <w:outlineLvl w:val="2"/>
    </w:pPr>
    <w:rPr>
      <w:b/>
      <w:bCs/>
      <w:sz w:val="27"/>
      <w:szCs w:val="27"/>
    </w:rPr>
  </w:style>
  <w:style w:type="paragraph" w:styleId="4">
    <w:name w:val="heading 4"/>
    <w:basedOn w:val="a"/>
    <w:next w:val="a"/>
    <w:link w:val="4Char"/>
    <w:uiPriority w:val="9"/>
    <w:semiHidden/>
    <w:unhideWhenUsed/>
    <w:qFormat/>
    <w:rsid w:val="00870201"/>
    <w:pPr>
      <w:keepNext/>
      <w:keepLines/>
      <w:bidi/>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semiHidden/>
    <w:rPr>
      <w:rFonts w:asciiTheme="majorHAnsi" w:eastAsiaTheme="majorEastAsia" w:hAnsiTheme="majorHAnsi" w:cstheme="majorBidi"/>
      <w:color w:val="1F3763" w:themeColor="accent1" w:themeShade="7F"/>
      <w:sz w:val="24"/>
      <w:szCs w:val="24"/>
    </w:rPr>
  </w:style>
  <w:style w:type="paragraph" w:customStyle="1" w:styleId="msonormal0">
    <w:name w:val="msonormal"/>
    <w:basedOn w:val="a"/>
    <w:pPr>
      <w:spacing w:before="96" w:after="96"/>
      <w:jc w:val="right"/>
    </w:pPr>
  </w:style>
  <w:style w:type="paragraph" w:styleId="a3">
    <w:name w:val="Normal (Web)"/>
    <w:basedOn w:val="a"/>
    <w:uiPriority w:val="99"/>
    <w:unhideWhenUsed/>
    <w:pPr>
      <w:spacing w:before="96" w:after="96"/>
      <w:jc w:val="right"/>
    </w:pPr>
  </w:style>
  <w:style w:type="paragraph" w:customStyle="1" w:styleId="Title1">
    <w:name w:val="Title1"/>
    <w:basedOn w:val="a"/>
    <w:pPr>
      <w:spacing w:before="100" w:beforeAutospacing="1" w:after="240"/>
      <w:jc w:val="center"/>
    </w:pPr>
    <w:rPr>
      <w:b/>
      <w:bCs/>
      <w:sz w:val="44"/>
      <w:szCs w:val="44"/>
    </w:rPr>
  </w:style>
  <w:style w:type="paragraph" w:customStyle="1" w:styleId="ref-title">
    <w:name w:val="ref-title"/>
    <w:basedOn w:val="a"/>
    <w:pPr>
      <w:spacing w:before="288" w:after="100" w:afterAutospacing="1"/>
    </w:pPr>
    <w:rPr>
      <w:b/>
      <w:bCs/>
      <w:sz w:val="32"/>
      <w:szCs w:val="32"/>
    </w:rPr>
  </w:style>
  <w:style w:type="paragraph" w:customStyle="1" w:styleId="pagebreak">
    <w:name w:val="pagebreak"/>
    <w:basedOn w:val="a"/>
    <w:pPr>
      <w:pageBreakBefore/>
      <w:spacing w:before="100" w:beforeAutospacing="1" w:after="100" w:afterAutospacing="1"/>
    </w:pPr>
  </w:style>
  <w:style w:type="character" w:styleId="a4">
    <w:name w:val="Strong"/>
    <w:basedOn w:val="a0"/>
    <w:uiPriority w:val="22"/>
    <w:qFormat/>
    <w:rPr>
      <w:b/>
      <w:bCs/>
    </w:rPr>
  </w:style>
  <w:style w:type="character" w:customStyle="1" w:styleId="4Char">
    <w:name w:val="عنوان 4 Char"/>
    <w:basedOn w:val="a0"/>
    <w:link w:val="4"/>
    <w:uiPriority w:val="9"/>
    <w:semiHidden/>
    <w:rsid w:val="00870201"/>
    <w:rPr>
      <w:rFonts w:asciiTheme="majorHAnsi" w:eastAsiaTheme="majorEastAsia" w:hAnsiTheme="majorHAnsi" w:cstheme="majorBidi"/>
      <w:i/>
      <w:iCs/>
      <w:color w:val="2F5496" w:themeColor="accent1" w:themeShade="BF"/>
      <w:sz w:val="22"/>
      <w:szCs w:val="22"/>
    </w:rPr>
  </w:style>
  <w:style w:type="character" w:styleId="a5">
    <w:name w:val="Emphasis"/>
    <w:basedOn w:val="a0"/>
    <w:uiPriority w:val="20"/>
    <w:qFormat/>
    <w:rsid w:val="00870201"/>
    <w:rPr>
      <w:i/>
      <w:iCs/>
    </w:rPr>
  </w:style>
  <w:style w:type="table" w:styleId="30">
    <w:name w:val="Grid Table 3"/>
    <w:basedOn w:val="a1"/>
    <w:uiPriority w:val="48"/>
    <w:rsid w:val="007619B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3">
    <w:name w:val="Grid Table 5 Dark Accent 3"/>
    <w:basedOn w:val="a1"/>
    <w:uiPriority w:val="50"/>
    <w:rsid w:val="007619B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yperlink">
    <w:name w:val="Hyperlink"/>
    <w:basedOn w:val="a0"/>
    <w:uiPriority w:val="99"/>
    <w:unhideWhenUsed/>
    <w:rsid w:val="007619B3"/>
    <w:rPr>
      <w:color w:val="0000FF"/>
      <w:u w:val="single"/>
    </w:rPr>
  </w:style>
  <w:style w:type="character" w:customStyle="1" w:styleId="ms-1">
    <w:name w:val="ms-1"/>
    <w:basedOn w:val="a0"/>
    <w:rsid w:val="007619B3"/>
  </w:style>
  <w:style w:type="character" w:customStyle="1" w:styleId="max-w-15ch">
    <w:name w:val="max-w-[15ch]"/>
    <w:basedOn w:val="a0"/>
    <w:rsid w:val="007619B3"/>
  </w:style>
  <w:style w:type="paragraph" w:styleId="a6">
    <w:name w:val="header"/>
    <w:basedOn w:val="a"/>
    <w:link w:val="Char"/>
    <w:uiPriority w:val="99"/>
    <w:unhideWhenUsed/>
    <w:rsid w:val="003625A1"/>
    <w:pPr>
      <w:tabs>
        <w:tab w:val="center" w:pos="4513"/>
        <w:tab w:val="right" w:pos="9026"/>
      </w:tabs>
    </w:pPr>
  </w:style>
  <w:style w:type="character" w:customStyle="1" w:styleId="Char">
    <w:name w:val="رأس الصفحة Char"/>
    <w:basedOn w:val="a0"/>
    <w:link w:val="a6"/>
    <w:uiPriority w:val="99"/>
    <w:rsid w:val="003625A1"/>
    <w:rPr>
      <w:rFonts w:eastAsiaTheme="minorEastAsia"/>
      <w:sz w:val="24"/>
      <w:szCs w:val="24"/>
    </w:rPr>
  </w:style>
  <w:style w:type="paragraph" w:styleId="a7">
    <w:name w:val="footer"/>
    <w:basedOn w:val="a"/>
    <w:link w:val="Char0"/>
    <w:uiPriority w:val="99"/>
    <w:unhideWhenUsed/>
    <w:rsid w:val="003625A1"/>
    <w:pPr>
      <w:tabs>
        <w:tab w:val="center" w:pos="4513"/>
        <w:tab w:val="right" w:pos="9026"/>
      </w:tabs>
    </w:pPr>
  </w:style>
  <w:style w:type="character" w:customStyle="1" w:styleId="Char0">
    <w:name w:val="تذييل الصفحة Char"/>
    <w:basedOn w:val="a0"/>
    <w:link w:val="a7"/>
    <w:uiPriority w:val="99"/>
    <w:rsid w:val="003625A1"/>
    <w:rPr>
      <w:rFonts w:eastAsiaTheme="minorEastAsia"/>
      <w:sz w:val="24"/>
      <w:szCs w:val="24"/>
    </w:rPr>
  </w:style>
  <w:style w:type="character" w:styleId="a8">
    <w:name w:val="Unresolved Mention"/>
    <w:basedOn w:val="a0"/>
    <w:uiPriority w:val="99"/>
    <w:semiHidden/>
    <w:unhideWhenUsed/>
    <w:rsid w:val="00B64312"/>
    <w:rPr>
      <w:color w:val="605E5C"/>
      <w:shd w:val="clear" w:color="auto" w:fill="E1DFDD"/>
    </w:rPr>
  </w:style>
  <w:style w:type="table" w:styleId="10">
    <w:name w:val="Grid Table 1 Light"/>
    <w:basedOn w:val="a1"/>
    <w:uiPriority w:val="46"/>
    <w:rsid w:val="00B6431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ody Text"/>
    <w:basedOn w:val="a"/>
    <w:link w:val="Char1"/>
    <w:unhideWhenUsed/>
    <w:qFormat/>
    <w:rsid w:val="00173B3F"/>
    <w:pPr>
      <w:spacing w:before="180" w:after="180"/>
    </w:pPr>
    <w:rPr>
      <w:rFonts w:asciiTheme="minorHAnsi" w:eastAsiaTheme="minorHAnsi" w:hAnsiTheme="minorHAnsi" w:cstheme="minorBidi"/>
      <w:lang w:val="en"/>
    </w:rPr>
  </w:style>
  <w:style w:type="character" w:customStyle="1" w:styleId="Char1">
    <w:name w:val="نص أساسي Char"/>
    <w:basedOn w:val="a0"/>
    <w:link w:val="a9"/>
    <w:rsid w:val="00173B3F"/>
    <w:rPr>
      <w:rFonts w:asciiTheme="minorHAnsi" w:eastAsiaTheme="minorHAnsi" w:hAnsiTheme="minorHAnsi" w:cstheme="minorBidi"/>
      <w:sz w:val="24"/>
      <w:szCs w:val="24"/>
      <w:lang w:val="en"/>
    </w:rPr>
  </w:style>
  <w:style w:type="paragraph" w:customStyle="1" w:styleId="FirstParagraph">
    <w:name w:val="First Paragraph"/>
    <w:basedOn w:val="a9"/>
    <w:next w:val="a9"/>
    <w:qFormat/>
    <w:rsid w:val="00173B3F"/>
  </w:style>
  <w:style w:type="paragraph" w:styleId="aa">
    <w:name w:val="List Paragraph"/>
    <w:basedOn w:val="a"/>
    <w:uiPriority w:val="34"/>
    <w:qFormat/>
    <w:rsid w:val="00D923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127131">
      <w:bodyDiv w:val="1"/>
      <w:marLeft w:val="0"/>
      <w:marRight w:val="0"/>
      <w:marTop w:val="0"/>
      <w:marBottom w:val="0"/>
      <w:divBdr>
        <w:top w:val="none" w:sz="0" w:space="0" w:color="auto"/>
        <w:left w:val="none" w:sz="0" w:space="0" w:color="auto"/>
        <w:bottom w:val="none" w:sz="0" w:space="0" w:color="auto"/>
        <w:right w:val="none" w:sz="0" w:space="0" w:color="auto"/>
      </w:divBdr>
    </w:div>
    <w:div w:id="224226175">
      <w:bodyDiv w:val="1"/>
      <w:marLeft w:val="0"/>
      <w:marRight w:val="0"/>
      <w:marTop w:val="0"/>
      <w:marBottom w:val="0"/>
      <w:divBdr>
        <w:top w:val="none" w:sz="0" w:space="0" w:color="auto"/>
        <w:left w:val="none" w:sz="0" w:space="0" w:color="auto"/>
        <w:bottom w:val="none" w:sz="0" w:space="0" w:color="auto"/>
        <w:right w:val="none" w:sz="0" w:space="0" w:color="auto"/>
      </w:divBdr>
    </w:div>
    <w:div w:id="364335810">
      <w:bodyDiv w:val="1"/>
      <w:marLeft w:val="0"/>
      <w:marRight w:val="0"/>
      <w:marTop w:val="0"/>
      <w:marBottom w:val="0"/>
      <w:divBdr>
        <w:top w:val="none" w:sz="0" w:space="0" w:color="auto"/>
        <w:left w:val="none" w:sz="0" w:space="0" w:color="auto"/>
        <w:bottom w:val="none" w:sz="0" w:space="0" w:color="auto"/>
        <w:right w:val="none" w:sz="0" w:space="0" w:color="auto"/>
      </w:divBdr>
    </w:div>
    <w:div w:id="439107036">
      <w:bodyDiv w:val="1"/>
      <w:marLeft w:val="0"/>
      <w:marRight w:val="0"/>
      <w:marTop w:val="0"/>
      <w:marBottom w:val="0"/>
      <w:divBdr>
        <w:top w:val="none" w:sz="0" w:space="0" w:color="auto"/>
        <w:left w:val="none" w:sz="0" w:space="0" w:color="auto"/>
        <w:bottom w:val="none" w:sz="0" w:space="0" w:color="auto"/>
        <w:right w:val="none" w:sz="0" w:space="0" w:color="auto"/>
      </w:divBdr>
    </w:div>
    <w:div w:id="520553922">
      <w:bodyDiv w:val="1"/>
      <w:marLeft w:val="0"/>
      <w:marRight w:val="0"/>
      <w:marTop w:val="0"/>
      <w:marBottom w:val="0"/>
      <w:divBdr>
        <w:top w:val="none" w:sz="0" w:space="0" w:color="auto"/>
        <w:left w:val="none" w:sz="0" w:space="0" w:color="auto"/>
        <w:bottom w:val="none" w:sz="0" w:space="0" w:color="auto"/>
        <w:right w:val="none" w:sz="0" w:space="0" w:color="auto"/>
      </w:divBdr>
    </w:div>
    <w:div w:id="633485499">
      <w:bodyDiv w:val="1"/>
      <w:marLeft w:val="0"/>
      <w:marRight w:val="0"/>
      <w:marTop w:val="0"/>
      <w:marBottom w:val="0"/>
      <w:divBdr>
        <w:top w:val="none" w:sz="0" w:space="0" w:color="auto"/>
        <w:left w:val="none" w:sz="0" w:space="0" w:color="auto"/>
        <w:bottom w:val="none" w:sz="0" w:space="0" w:color="auto"/>
        <w:right w:val="none" w:sz="0" w:space="0" w:color="auto"/>
      </w:divBdr>
    </w:div>
    <w:div w:id="800919543">
      <w:bodyDiv w:val="1"/>
      <w:marLeft w:val="0"/>
      <w:marRight w:val="0"/>
      <w:marTop w:val="0"/>
      <w:marBottom w:val="0"/>
      <w:divBdr>
        <w:top w:val="none" w:sz="0" w:space="0" w:color="auto"/>
        <w:left w:val="none" w:sz="0" w:space="0" w:color="auto"/>
        <w:bottom w:val="none" w:sz="0" w:space="0" w:color="auto"/>
        <w:right w:val="none" w:sz="0" w:space="0" w:color="auto"/>
      </w:divBdr>
      <w:divsChild>
        <w:div w:id="732195128">
          <w:marLeft w:val="0"/>
          <w:marRight w:val="0"/>
          <w:marTop w:val="0"/>
          <w:marBottom w:val="0"/>
          <w:divBdr>
            <w:top w:val="none" w:sz="0" w:space="0" w:color="auto"/>
            <w:left w:val="none" w:sz="0" w:space="0" w:color="auto"/>
            <w:bottom w:val="none" w:sz="0" w:space="0" w:color="auto"/>
            <w:right w:val="none" w:sz="0" w:space="0" w:color="auto"/>
          </w:divBdr>
          <w:divsChild>
            <w:div w:id="50032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102584">
      <w:bodyDiv w:val="1"/>
      <w:marLeft w:val="0"/>
      <w:marRight w:val="0"/>
      <w:marTop w:val="0"/>
      <w:marBottom w:val="0"/>
      <w:divBdr>
        <w:top w:val="none" w:sz="0" w:space="0" w:color="auto"/>
        <w:left w:val="none" w:sz="0" w:space="0" w:color="auto"/>
        <w:bottom w:val="none" w:sz="0" w:space="0" w:color="auto"/>
        <w:right w:val="none" w:sz="0" w:space="0" w:color="auto"/>
      </w:divBdr>
    </w:div>
    <w:div w:id="1114445041">
      <w:bodyDiv w:val="1"/>
      <w:marLeft w:val="0"/>
      <w:marRight w:val="0"/>
      <w:marTop w:val="0"/>
      <w:marBottom w:val="0"/>
      <w:divBdr>
        <w:top w:val="none" w:sz="0" w:space="0" w:color="auto"/>
        <w:left w:val="none" w:sz="0" w:space="0" w:color="auto"/>
        <w:bottom w:val="none" w:sz="0" w:space="0" w:color="auto"/>
        <w:right w:val="none" w:sz="0" w:space="0" w:color="auto"/>
      </w:divBdr>
    </w:div>
    <w:div w:id="1418746285">
      <w:bodyDiv w:val="1"/>
      <w:marLeft w:val="0"/>
      <w:marRight w:val="0"/>
      <w:marTop w:val="0"/>
      <w:marBottom w:val="0"/>
      <w:divBdr>
        <w:top w:val="none" w:sz="0" w:space="0" w:color="auto"/>
        <w:left w:val="none" w:sz="0" w:space="0" w:color="auto"/>
        <w:bottom w:val="none" w:sz="0" w:space="0" w:color="auto"/>
        <w:right w:val="none" w:sz="0" w:space="0" w:color="auto"/>
      </w:divBdr>
    </w:div>
    <w:div w:id="1647278641">
      <w:bodyDiv w:val="1"/>
      <w:marLeft w:val="600"/>
      <w:marRight w:val="600"/>
      <w:marTop w:val="600"/>
      <w:marBottom w:val="600"/>
      <w:divBdr>
        <w:top w:val="none" w:sz="0" w:space="0" w:color="auto"/>
        <w:left w:val="none" w:sz="0" w:space="0" w:color="auto"/>
        <w:bottom w:val="none" w:sz="0" w:space="0" w:color="auto"/>
        <w:right w:val="none" w:sz="0" w:space="0" w:color="auto"/>
      </w:divBdr>
      <w:divsChild>
        <w:div w:id="757093599">
          <w:marLeft w:val="0"/>
          <w:marRight w:val="0"/>
          <w:marTop w:val="0"/>
          <w:marBottom w:val="0"/>
          <w:divBdr>
            <w:top w:val="none" w:sz="0" w:space="0" w:color="auto"/>
            <w:left w:val="none" w:sz="0" w:space="0" w:color="auto"/>
            <w:bottom w:val="none" w:sz="0" w:space="0" w:color="auto"/>
            <w:right w:val="none" w:sz="0" w:space="0" w:color="auto"/>
          </w:divBdr>
        </w:div>
        <w:div w:id="1362171122">
          <w:marLeft w:val="0"/>
          <w:marRight w:val="0"/>
          <w:marTop w:val="0"/>
          <w:marBottom w:val="0"/>
          <w:divBdr>
            <w:top w:val="none" w:sz="0" w:space="0" w:color="auto"/>
            <w:left w:val="none" w:sz="0" w:space="0" w:color="auto"/>
            <w:bottom w:val="none" w:sz="0" w:space="0" w:color="auto"/>
            <w:right w:val="none" w:sz="0" w:space="0" w:color="auto"/>
          </w:divBdr>
        </w:div>
      </w:divsChild>
    </w:div>
    <w:div w:id="1895310528">
      <w:bodyDiv w:val="1"/>
      <w:marLeft w:val="0"/>
      <w:marRight w:val="0"/>
      <w:marTop w:val="0"/>
      <w:marBottom w:val="0"/>
      <w:divBdr>
        <w:top w:val="none" w:sz="0" w:space="0" w:color="auto"/>
        <w:left w:val="none" w:sz="0" w:space="0" w:color="auto"/>
        <w:bottom w:val="none" w:sz="0" w:space="0" w:color="auto"/>
        <w:right w:val="none" w:sz="0" w:space="0" w:color="auto"/>
      </w:divBdr>
    </w:div>
    <w:div w:id="1992127201">
      <w:bodyDiv w:val="1"/>
      <w:marLeft w:val="0"/>
      <w:marRight w:val="0"/>
      <w:marTop w:val="0"/>
      <w:marBottom w:val="0"/>
      <w:divBdr>
        <w:top w:val="none" w:sz="0" w:space="0" w:color="auto"/>
        <w:left w:val="none" w:sz="0" w:space="0" w:color="auto"/>
        <w:bottom w:val="none" w:sz="0" w:space="0" w:color="auto"/>
        <w:right w:val="none" w:sz="0" w:space="0" w:color="auto"/>
      </w:divBdr>
    </w:div>
    <w:div w:id="2113042554">
      <w:bodyDiv w:val="1"/>
      <w:marLeft w:val="0"/>
      <w:marRight w:val="0"/>
      <w:marTop w:val="0"/>
      <w:marBottom w:val="0"/>
      <w:divBdr>
        <w:top w:val="none" w:sz="0" w:space="0" w:color="auto"/>
        <w:left w:val="none" w:sz="0" w:space="0" w:color="auto"/>
        <w:bottom w:val="none" w:sz="0" w:space="0" w:color="auto"/>
        <w:right w:val="none" w:sz="0" w:space="0" w:color="auto"/>
      </w:divBdr>
      <w:divsChild>
        <w:div w:id="1150564089">
          <w:marLeft w:val="0"/>
          <w:marRight w:val="0"/>
          <w:marTop w:val="0"/>
          <w:marBottom w:val="0"/>
          <w:divBdr>
            <w:top w:val="none" w:sz="0" w:space="0" w:color="auto"/>
            <w:left w:val="none" w:sz="0" w:space="0" w:color="auto"/>
            <w:bottom w:val="none" w:sz="0" w:space="0" w:color="auto"/>
            <w:right w:val="none" w:sz="0" w:space="0" w:color="auto"/>
          </w:divBdr>
          <w:divsChild>
            <w:div w:id="81441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59429/esp.v9i11.3042" TargetMode="External"/><Relationship Id="rId18" Type="http://schemas.openxmlformats.org/officeDocument/2006/relationships/hyperlink" Target="https://doi.org/10.1016/j.jbusres.2022.07.002"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absher.sa/wps/portal/individuals/static/footer/about/" TargetMode="External"/><Relationship Id="rId7" Type="http://schemas.openxmlformats.org/officeDocument/2006/relationships/endnotes" Target="endnotes.xml"/><Relationship Id="rId12" Type="http://schemas.openxmlformats.org/officeDocument/2006/relationships/hyperlink" Target="https://doi.org/10.1038/s41598-023-39787-y" TargetMode="External"/><Relationship Id="rId17" Type="http://schemas.openxmlformats.org/officeDocument/2006/relationships/hyperlink" Target="https://doi.org/10.52152/801761" TargetMode="External"/><Relationship Id="rId25" Type="http://schemas.openxmlformats.org/officeDocument/2006/relationships/hyperlink" Target="https://datacatalog.worldbank.org/search/dataset/0037889/govtech-dataset" TargetMode="External"/><Relationship Id="rId2" Type="http://schemas.openxmlformats.org/officeDocument/2006/relationships/numbering" Target="numbering.xml"/><Relationship Id="rId16" Type="http://schemas.openxmlformats.org/officeDocument/2006/relationships/hyperlink" Target="https://doi.org/10.1007/s40821-024-00282-7" TargetMode="External"/><Relationship Id="rId20" Type="http://schemas.openxmlformats.org/officeDocument/2006/relationships/hyperlink" Target="https://dga.gov.sa/ar/digital-knowledge/DGA-Annual-Report-2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1608/aja.2025.410527.1911" TargetMode="External"/><Relationship Id="rId24" Type="http://schemas.openxmlformats.org/officeDocument/2006/relationships/hyperlink" Target="https://www.worldbank.org/en/programs/govtech/2022-gtmi" TargetMode="External"/><Relationship Id="rId5" Type="http://schemas.openxmlformats.org/officeDocument/2006/relationships/webSettings" Target="webSettings.xml"/><Relationship Id="rId15" Type="http://schemas.openxmlformats.org/officeDocument/2006/relationships/hyperlink" Target="https://doi.org/10.3390/systems12110460" TargetMode="External"/><Relationship Id="rId23" Type="http://schemas.openxmlformats.org/officeDocument/2006/relationships/hyperlink" Target="https://www.vision2030.gov.sa/media/xi2jlj0y/english_vision2030_annual_report_2023.pdf" TargetMode="External"/><Relationship Id="rId28" Type="http://schemas.openxmlformats.org/officeDocument/2006/relationships/theme" Target="theme/theme1.xml"/><Relationship Id="rId10" Type="http://schemas.openxmlformats.org/officeDocument/2006/relationships/hyperlink" Target="https://doi.org/10.24294/jipd.v8i9.5458" TargetMode="External"/><Relationship Id="rId19" Type="http://schemas.openxmlformats.org/officeDocument/2006/relationships/hyperlink" Target="https://doi.org/10.32725/acta.2025.00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46223/HCMCOUJS.econ.en.15.6.3935.2025" TargetMode="External"/><Relationship Id="rId22" Type="http://schemas.openxmlformats.org/officeDocument/2006/relationships/hyperlink" Target="https://www.moj.gov.sa/ar/Ministry/Departments/NajizCenter/Pages/default.asp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B443B0-76D1-4356-BCDF-D655D5E3A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29</Pages>
  <Words>8779</Words>
  <Characters>50041</Characters>
  <Application>Microsoft Office Word</Application>
  <DocSecurity>0</DocSecurity>
  <Lines>417</Lines>
  <Paragraphs>117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التحوّل الرقمي المؤسسي على رضا الموظفين</vt:lpstr>
      <vt:lpstr>أثر التحوّل الرقمي المؤسسي على رضا الموظفين</vt:lpstr>
    </vt:vector>
  </TitlesOfParts>
  <Company>HRSD</Company>
  <LinksUpToDate>false</LinksUpToDate>
  <CharactersWithSpaces>58703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التحوّل الرقمي المؤسسي على رضا الموظفين</dc:title>
  <dc:subject/>
  <dc:creator>Saud A. Alhamad</dc:creator>
  <cp:keywords/>
  <dc:description/>
  <cp:lastModifiedBy>Saud A. Alhamad (HRSD)</cp:lastModifiedBy>
  <cp:revision>8</cp:revision>
  <cp:lastPrinted>2026-03-05T12:30:00Z</cp:lastPrinted>
  <dcterms:created xsi:type="dcterms:W3CDTF">2026-04-16T10:01:00Z</dcterms:created>
  <dcterms:modified xsi:type="dcterms:W3CDTF">2026-04-17T22:14:00Z</dcterms:modified>
</cp:coreProperties>
</file>